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56FFF" w14:textId="77777777" w:rsidR="002C0247" w:rsidRPr="00D53A2B" w:rsidRDefault="002C0247">
      <w:pPr>
        <w:pStyle w:val="Balk1"/>
        <w:jc w:val="right"/>
        <w:rPr>
          <w:szCs w:val="24"/>
          <w:lang w:eastAsia="en-US"/>
        </w:rPr>
      </w:pPr>
      <w:bookmarkStart w:id="0" w:name="_GoBack"/>
      <w:bookmarkEnd w:id="0"/>
      <w:r w:rsidRPr="00D53A2B">
        <w:rPr>
          <w:szCs w:val="24"/>
          <w:lang w:eastAsia="en-US"/>
        </w:rPr>
        <w:t>EK-1</w:t>
      </w:r>
    </w:p>
    <w:p w14:paraId="450B3A60" w14:textId="77777777" w:rsidR="002C0247" w:rsidRPr="00D53A2B" w:rsidRDefault="002C0247" w:rsidP="009077F5">
      <w:pPr>
        <w:pStyle w:val="Balk1"/>
        <w:rPr>
          <w:rFonts w:eastAsia="DengXian Light"/>
          <w:szCs w:val="24"/>
          <w:lang w:val="en-US" w:eastAsia="en-US"/>
        </w:rPr>
      </w:pPr>
      <w:r w:rsidRPr="00D53A2B">
        <w:rPr>
          <w:rFonts w:eastAsia="DengXian Light"/>
          <w:szCs w:val="24"/>
          <w:lang w:val="en-US" w:eastAsia="en-US"/>
        </w:rPr>
        <w:t>BÖLÜM 1</w:t>
      </w:r>
    </w:p>
    <w:p w14:paraId="5ACB5CA6" w14:textId="77777777" w:rsidR="002C0247" w:rsidRPr="00D53A2B" w:rsidRDefault="002C0247" w:rsidP="009077F5">
      <w:pPr>
        <w:pStyle w:val="Balk2"/>
        <w:jc w:val="center"/>
        <w:rPr>
          <w:rFonts w:eastAsia="DengXian Light" w:cs="Times New Roman"/>
          <w:szCs w:val="24"/>
          <w:lang w:val="en-US" w:eastAsia="en-US"/>
        </w:rPr>
      </w:pPr>
      <w:r w:rsidRPr="00D53A2B">
        <w:rPr>
          <w:rFonts w:eastAsia="DengXian Light" w:cs="Times New Roman"/>
          <w:szCs w:val="24"/>
          <w:lang w:val="en-US" w:eastAsia="en-US"/>
        </w:rPr>
        <w:t>GENEL HUSUSLAR</w:t>
      </w:r>
    </w:p>
    <w:p w14:paraId="25446539" w14:textId="742FBF9D" w:rsidR="002C0247" w:rsidRPr="00D53A2B" w:rsidRDefault="002D60D9" w:rsidP="004A7132">
      <w:pPr>
        <w:pStyle w:val="Balk3"/>
        <w:rPr>
          <w:rFonts w:cs="Times New Roman"/>
          <w:lang w:eastAsia="en-US"/>
        </w:rPr>
      </w:pPr>
      <w:r w:rsidRPr="00D53A2B">
        <w:rPr>
          <w:rFonts w:cs="Times New Roman"/>
        </w:rPr>
        <w:t xml:space="preserve">1. Demir ve Çelik Üretim </w:t>
      </w:r>
      <w:r w:rsidR="008C7032" w:rsidRPr="00D53A2B">
        <w:rPr>
          <w:rFonts w:cs="Times New Roman"/>
        </w:rPr>
        <w:t>Endüstrisi</w:t>
      </w:r>
    </w:p>
    <w:p w14:paraId="71EFFC74" w14:textId="6CDC598B" w:rsidR="002C0247" w:rsidRPr="00D53A2B" w:rsidRDefault="004D44B0">
      <w:pPr>
        <w:jc w:val="both"/>
        <w:rPr>
          <w:rFonts w:eastAsia="Calibri"/>
          <w:lang w:val="en-US" w:eastAsia="en-US"/>
        </w:rPr>
      </w:pPr>
      <w:bookmarkStart w:id="1" w:name="_Ref134456651"/>
      <w:r w:rsidRPr="00D53A2B">
        <w:rPr>
          <w:rFonts w:eastAsia="Calibri"/>
          <w:lang w:eastAsia="en-US"/>
        </w:rPr>
        <w:t>MET</w:t>
      </w:r>
      <w:r w:rsidR="002D60D9" w:rsidRPr="00D53A2B">
        <w:rPr>
          <w:rFonts w:eastAsia="Calibri"/>
          <w:lang w:eastAsia="en-US"/>
        </w:rPr>
        <w:t xml:space="preserve"> ile ilişkili çevresel performans seviyeleri tek değerler yerine aralıklar olarak ifade edilir. Bir aralık, belirli bir kurulum türü içindeki farklılıkları (örneğin, nihai ürünün sınıfı/saflığı ve kalitesindeki farklılıklar, kurulumun tasarımı, inşası, boyutu ve kapasitesindeki farklılıklar) yansıtabilir ve bu da </w:t>
      </w:r>
      <w:r w:rsidRPr="00D53A2B">
        <w:rPr>
          <w:rFonts w:eastAsia="Calibri"/>
          <w:lang w:eastAsia="en-US"/>
        </w:rPr>
        <w:t>MET</w:t>
      </w:r>
      <w:r w:rsidR="002D60D9" w:rsidRPr="00D53A2B">
        <w:rPr>
          <w:rFonts w:eastAsia="Calibri"/>
          <w:lang w:eastAsia="en-US"/>
        </w:rPr>
        <w:t xml:space="preserve"> uygulandığında elde edilen çevresel performanslarda değişikliklere neden olur.</w:t>
      </w:r>
    </w:p>
    <w:p w14:paraId="0895A850" w14:textId="77777777" w:rsidR="004D44B0" w:rsidRPr="00D53A2B" w:rsidRDefault="004D44B0">
      <w:pPr>
        <w:jc w:val="both"/>
        <w:rPr>
          <w:rFonts w:eastAsia="Calibri"/>
          <w:lang w:val="en-US" w:eastAsia="en-US"/>
        </w:rPr>
      </w:pPr>
    </w:p>
    <w:p w14:paraId="0389FC05" w14:textId="015D5E64" w:rsidR="002D60D9" w:rsidRPr="00D53A2B" w:rsidRDefault="004D44B0">
      <w:pPr>
        <w:pStyle w:val="Balk4"/>
        <w:rPr>
          <w:rFonts w:eastAsia="Calibri" w:cs="Times New Roman"/>
          <w:lang w:val="en-US" w:eastAsia="en-US"/>
        </w:rPr>
      </w:pPr>
      <w:r w:rsidRPr="00D53A2B">
        <w:rPr>
          <w:rFonts w:eastAsia="Calibri" w:cs="Times New Roman"/>
          <w:lang w:val="en-US" w:eastAsia="en-US"/>
        </w:rPr>
        <w:t>1.1. Mevcut En İyi Teknik İle İlişkili Emisyon Seviyelerinin İfadesi (MET-İES)</w:t>
      </w:r>
    </w:p>
    <w:p w14:paraId="24228084" w14:textId="3066180D" w:rsidR="004D44B0" w:rsidRPr="00D53A2B" w:rsidRDefault="004D44B0">
      <w:pPr>
        <w:jc w:val="both"/>
        <w:rPr>
          <w:rFonts w:eastAsia="Calibri"/>
          <w:lang w:val="en-US" w:eastAsia="en-US"/>
        </w:rPr>
      </w:pPr>
      <w:r w:rsidRPr="00D53A2B">
        <w:rPr>
          <w:rFonts w:eastAsia="Calibri"/>
          <w:lang w:val="en-US" w:eastAsia="en-US"/>
        </w:rPr>
        <w:t xml:space="preserve">Bu </w:t>
      </w:r>
      <w:r w:rsidR="00651500" w:rsidRPr="00D53A2B">
        <w:rPr>
          <w:rFonts w:eastAsia="Calibri"/>
          <w:lang w:val="en-US" w:eastAsia="en-US"/>
        </w:rPr>
        <w:t>MET</w:t>
      </w:r>
      <w:r w:rsidRPr="00D53A2B">
        <w:rPr>
          <w:rFonts w:eastAsia="Calibri"/>
          <w:lang w:val="en-US" w:eastAsia="en-US"/>
        </w:rPr>
        <w:t>sonuçlarında, hava emisyonları için MET-İES</w:t>
      </w:r>
      <w:r w:rsidR="00E56504" w:rsidRPr="00D53A2B">
        <w:rPr>
          <w:rFonts w:eastAsia="Calibri"/>
          <w:lang w:val="en-US" w:eastAsia="en-US"/>
        </w:rPr>
        <w:t>’</w:t>
      </w:r>
      <w:r w:rsidRPr="00D53A2B">
        <w:rPr>
          <w:rFonts w:eastAsia="Calibri"/>
          <w:lang w:val="en-US" w:eastAsia="en-US"/>
        </w:rPr>
        <w:t xml:space="preserve">ler </w:t>
      </w:r>
      <w:r w:rsidR="00506C1A" w:rsidRPr="00D53A2B">
        <w:rPr>
          <w:rFonts w:eastAsia="Calibri"/>
          <w:lang w:val="en-US" w:eastAsia="en-US"/>
        </w:rPr>
        <w:t>;</w:t>
      </w:r>
    </w:p>
    <w:p w14:paraId="33B95AB2" w14:textId="77777777" w:rsidR="004D44B0" w:rsidRPr="00D53A2B" w:rsidRDefault="004D44B0">
      <w:pPr>
        <w:jc w:val="both"/>
        <w:rPr>
          <w:rFonts w:eastAsia="Calibri"/>
          <w:lang w:val="en-US" w:eastAsia="en-US"/>
        </w:rPr>
      </w:pPr>
    </w:p>
    <w:p w14:paraId="0B1F0BA2" w14:textId="77777777" w:rsidR="004D44B0" w:rsidRPr="00D53A2B" w:rsidRDefault="004D44B0">
      <w:pPr>
        <w:pStyle w:val="ListeParagraf"/>
        <w:numPr>
          <w:ilvl w:val="0"/>
          <w:numId w:val="235"/>
        </w:numPr>
        <w:tabs>
          <w:tab w:val="clear" w:pos="567"/>
        </w:tabs>
        <w:spacing w:line="276" w:lineRule="auto"/>
        <w:ind w:left="284" w:hanging="284"/>
        <w:rPr>
          <w:rFonts w:eastAsia="Calibri"/>
          <w:sz w:val="24"/>
          <w:szCs w:val="24"/>
        </w:rPr>
      </w:pPr>
      <w:r w:rsidRPr="00D53A2B">
        <w:rPr>
          <w:rFonts w:eastAsia="Calibri"/>
          <w:sz w:val="24"/>
          <w:szCs w:val="24"/>
        </w:rPr>
        <w:t>Standart koşullar altında (273,15 K, 101,3 kPa) atık gaz hacmi başına yayılan maddelerin kütlesi, su buharı içeriğinin düşülmesinden sonra, g/Nm</w:t>
      </w:r>
      <w:r w:rsidRPr="00D53A2B">
        <w:rPr>
          <w:rFonts w:eastAsia="Calibri"/>
          <w:sz w:val="24"/>
          <w:szCs w:val="24"/>
          <w:vertAlign w:val="superscript"/>
        </w:rPr>
        <w:t>3</w:t>
      </w:r>
      <w:r w:rsidRPr="00D53A2B">
        <w:rPr>
          <w:rFonts w:eastAsia="Calibri"/>
          <w:sz w:val="24"/>
          <w:szCs w:val="24"/>
        </w:rPr>
        <w:t xml:space="preserve"> , mg/Nm</w:t>
      </w:r>
      <w:r w:rsidRPr="00D53A2B">
        <w:rPr>
          <w:rFonts w:eastAsia="Calibri"/>
          <w:sz w:val="24"/>
          <w:szCs w:val="24"/>
          <w:vertAlign w:val="superscript"/>
        </w:rPr>
        <w:t>3</w:t>
      </w:r>
      <w:r w:rsidRPr="00D53A2B">
        <w:rPr>
          <w:rFonts w:eastAsia="Calibri"/>
          <w:sz w:val="24"/>
          <w:szCs w:val="24"/>
        </w:rPr>
        <w:t>, μg/Nm</w:t>
      </w:r>
      <w:r w:rsidRPr="00D53A2B">
        <w:rPr>
          <w:rFonts w:eastAsia="Calibri"/>
          <w:sz w:val="24"/>
          <w:szCs w:val="24"/>
          <w:vertAlign w:val="superscript"/>
        </w:rPr>
        <w:t>3</w:t>
      </w:r>
      <w:r w:rsidRPr="00D53A2B">
        <w:rPr>
          <w:rFonts w:eastAsia="Calibri"/>
          <w:sz w:val="24"/>
          <w:szCs w:val="24"/>
        </w:rPr>
        <w:t xml:space="preserve"> veya ng/N m</w:t>
      </w:r>
      <w:r w:rsidRPr="00D53A2B">
        <w:rPr>
          <w:rFonts w:eastAsia="Calibri"/>
          <w:sz w:val="24"/>
          <w:szCs w:val="24"/>
          <w:vertAlign w:val="superscript"/>
        </w:rPr>
        <w:t>3</w:t>
      </w:r>
      <w:r w:rsidRPr="00D53A2B">
        <w:rPr>
          <w:rFonts w:eastAsia="Calibri"/>
          <w:sz w:val="24"/>
          <w:szCs w:val="24"/>
        </w:rPr>
        <w:t xml:space="preserve"> birimleriyle ifade edilir ; veya</w:t>
      </w:r>
    </w:p>
    <w:p w14:paraId="32BDADD7" w14:textId="63ADB8E5" w:rsidR="004D44B0" w:rsidRPr="00602365" w:rsidRDefault="00077B43">
      <w:pPr>
        <w:pStyle w:val="ListeParagraf"/>
        <w:numPr>
          <w:ilvl w:val="0"/>
          <w:numId w:val="235"/>
        </w:numPr>
        <w:tabs>
          <w:tab w:val="clear" w:pos="567"/>
        </w:tabs>
        <w:spacing w:line="276" w:lineRule="auto"/>
        <w:ind w:left="284" w:hanging="284"/>
        <w:rPr>
          <w:rFonts w:eastAsia="Calibri"/>
          <w:sz w:val="24"/>
          <w:szCs w:val="24"/>
        </w:rPr>
      </w:pPr>
      <w:r w:rsidRPr="00D53A2B">
        <w:rPr>
          <w:rFonts w:eastAsia="Calibri"/>
          <w:sz w:val="24"/>
          <w:szCs w:val="24"/>
        </w:rPr>
        <w:t>Ü</w:t>
      </w:r>
      <w:r w:rsidR="004D44B0" w:rsidRPr="00D53A2B">
        <w:rPr>
          <w:rFonts w:eastAsia="Calibri"/>
          <w:sz w:val="24"/>
          <w:szCs w:val="24"/>
        </w:rPr>
        <w:t>retilen veya işlenen ürünlerin birim kütlesi başına yayılan maddelerin kütlesi (tüketim veya emisyon faktörleri), kg/t, g/t, mg/t veya μg/t birimleriyle ifade edilir.</w:t>
      </w:r>
    </w:p>
    <w:p w14:paraId="67008E72" w14:textId="57B56BFC" w:rsidR="004D44B0" w:rsidRPr="00D53A2B" w:rsidRDefault="004D44B0">
      <w:pPr>
        <w:jc w:val="both"/>
        <w:rPr>
          <w:rFonts w:eastAsia="Calibri"/>
          <w:lang w:val="en-US" w:eastAsia="en-US"/>
        </w:rPr>
      </w:pPr>
      <w:r w:rsidRPr="00D53A2B">
        <w:rPr>
          <w:rFonts w:eastAsia="Calibri"/>
          <w:lang w:val="en-US" w:eastAsia="en-US"/>
        </w:rPr>
        <w:t>Ve su emisyonlar</w:t>
      </w:r>
      <w:r w:rsidR="00077B43" w:rsidRPr="00D53A2B">
        <w:rPr>
          <w:rFonts w:eastAsia="Calibri"/>
          <w:lang w:val="en-US" w:eastAsia="en-US"/>
        </w:rPr>
        <w:t>ı</w:t>
      </w:r>
      <w:r w:rsidRPr="00D53A2B">
        <w:rPr>
          <w:rFonts w:eastAsia="Calibri"/>
          <w:lang w:val="en-US" w:eastAsia="en-US"/>
        </w:rPr>
        <w:t xml:space="preserve"> için </w:t>
      </w:r>
      <w:r w:rsidR="00077B43" w:rsidRPr="00D53A2B">
        <w:rPr>
          <w:rFonts w:eastAsia="Calibri"/>
          <w:lang w:val="en-US" w:eastAsia="en-US"/>
        </w:rPr>
        <w:t>MET-İES</w:t>
      </w:r>
      <w:r w:rsidR="005F0DEC" w:rsidRPr="00D53A2B">
        <w:rPr>
          <w:rFonts w:eastAsia="Calibri"/>
          <w:lang w:val="en-US" w:eastAsia="en-US"/>
        </w:rPr>
        <w:t>;</w:t>
      </w:r>
      <w:r w:rsidRPr="00D53A2B">
        <w:rPr>
          <w:rFonts w:eastAsia="Calibri"/>
          <w:lang w:val="en-US" w:eastAsia="en-US"/>
        </w:rPr>
        <w:t xml:space="preserve"> </w:t>
      </w:r>
    </w:p>
    <w:p w14:paraId="17D41CEC" w14:textId="3669C8F9" w:rsidR="002D60D9" w:rsidRPr="00D53A2B" w:rsidRDefault="006E7A34">
      <w:pPr>
        <w:pStyle w:val="ListeParagraf"/>
        <w:numPr>
          <w:ilvl w:val="0"/>
          <w:numId w:val="235"/>
        </w:numPr>
        <w:tabs>
          <w:tab w:val="clear" w:pos="567"/>
        </w:tabs>
        <w:spacing w:line="276" w:lineRule="auto"/>
        <w:ind w:left="284" w:hanging="284"/>
        <w:rPr>
          <w:rFonts w:eastAsia="Calibri"/>
          <w:sz w:val="24"/>
          <w:szCs w:val="24"/>
        </w:rPr>
      </w:pPr>
      <w:r>
        <w:rPr>
          <w:rFonts w:eastAsia="Calibri"/>
          <w:sz w:val="24"/>
          <w:szCs w:val="24"/>
        </w:rPr>
        <w:t>Konsantrasyon</w:t>
      </w:r>
      <w:r w:rsidR="004D44B0" w:rsidRPr="00D53A2B">
        <w:rPr>
          <w:rFonts w:eastAsia="Calibri"/>
          <w:sz w:val="24"/>
          <w:szCs w:val="24"/>
        </w:rPr>
        <w:t>, g/l, mg/l veya μg/l birimleriyle ifade edilir.</w:t>
      </w:r>
    </w:p>
    <w:p w14:paraId="61EDE121" w14:textId="77777777" w:rsidR="002D60D9" w:rsidRPr="00D53A2B" w:rsidRDefault="002D60D9">
      <w:pPr>
        <w:jc w:val="both"/>
        <w:rPr>
          <w:rFonts w:eastAsia="Calibri"/>
          <w:lang w:val="en-US" w:eastAsia="en-US"/>
        </w:rPr>
      </w:pPr>
    </w:p>
    <w:p w14:paraId="22411CD8" w14:textId="4FFF89D4" w:rsidR="002D60D9" w:rsidRPr="00D53A2B" w:rsidRDefault="008C7032">
      <w:pPr>
        <w:pStyle w:val="Balk3"/>
        <w:rPr>
          <w:rFonts w:eastAsia="Calibri" w:cs="Times New Roman"/>
          <w:lang w:val="en-US" w:eastAsia="en-US"/>
        </w:rPr>
      </w:pPr>
      <w:r w:rsidRPr="00D53A2B">
        <w:rPr>
          <w:rFonts w:eastAsia="Calibri" w:cs="Times New Roman"/>
          <w:lang w:val="en-US" w:eastAsia="en-US"/>
        </w:rPr>
        <w:t>2. Demirli Metalleri İşleme Endüstrisi</w:t>
      </w:r>
    </w:p>
    <w:p w14:paraId="4CE89B1F" w14:textId="0BA3E381" w:rsidR="002D60D9" w:rsidRPr="00D53A2B" w:rsidRDefault="006C0BA3">
      <w:pPr>
        <w:jc w:val="both"/>
        <w:rPr>
          <w:rFonts w:eastAsia="Calibri"/>
          <w:b/>
          <w:bCs/>
          <w:lang w:val="en-US" w:eastAsia="en-US"/>
        </w:rPr>
      </w:pPr>
      <w:r w:rsidRPr="00D53A2B">
        <w:rPr>
          <w:rFonts w:eastAsia="Calibri"/>
          <w:b/>
          <w:bCs/>
          <w:lang w:val="en-US" w:eastAsia="en-US"/>
        </w:rPr>
        <w:t>Mevcut En İyi Teknikler</w:t>
      </w:r>
    </w:p>
    <w:p w14:paraId="50A61C5D" w14:textId="086F9582" w:rsidR="002D60D9" w:rsidRPr="00D53A2B" w:rsidRDefault="006C0BA3">
      <w:pPr>
        <w:jc w:val="both"/>
        <w:rPr>
          <w:rFonts w:eastAsia="Calibri"/>
          <w:lang w:val="en-US" w:eastAsia="en-US"/>
        </w:rPr>
      </w:pPr>
      <w:r w:rsidRPr="00D53A2B">
        <w:rPr>
          <w:rFonts w:eastAsia="Calibri"/>
          <w:lang w:val="en-US" w:eastAsia="en-US"/>
        </w:rPr>
        <w:t>Bu MET sonuçlarında listelenen ve açıklanan teknikler ne kural koyucu ne de kapsamlıdır. En azından eşdeğer düzeyde çevre korumasını garanti altına alan başka teknikler de kullanılabilir.</w:t>
      </w:r>
    </w:p>
    <w:p w14:paraId="46BC8D93" w14:textId="6F9D62DF" w:rsidR="002D60D9" w:rsidRPr="00D53A2B" w:rsidRDefault="006C0BA3">
      <w:pPr>
        <w:jc w:val="both"/>
        <w:rPr>
          <w:rFonts w:eastAsia="Calibri"/>
          <w:lang w:val="en-US" w:eastAsia="en-US"/>
        </w:rPr>
      </w:pPr>
      <w:r w:rsidRPr="00D53A2B">
        <w:rPr>
          <w:rFonts w:eastAsia="Calibri"/>
          <w:lang w:val="en-US" w:eastAsia="en-US"/>
        </w:rPr>
        <w:t>Aksi belirtilmediği takdirde MET sonuçları genel olarak geçerlidir.</w:t>
      </w:r>
    </w:p>
    <w:p w14:paraId="132F2683" w14:textId="77777777" w:rsidR="002D60D9" w:rsidRPr="00D53A2B" w:rsidRDefault="002D60D9">
      <w:pPr>
        <w:jc w:val="both"/>
        <w:rPr>
          <w:rFonts w:eastAsia="Calibri"/>
          <w:lang w:val="en-US" w:eastAsia="en-US"/>
        </w:rPr>
      </w:pPr>
    </w:p>
    <w:p w14:paraId="7C8D48B0" w14:textId="7BE4E47E" w:rsidR="002D60D9" w:rsidRPr="00D53A2B" w:rsidRDefault="006C0BA3">
      <w:pPr>
        <w:jc w:val="both"/>
        <w:rPr>
          <w:rFonts w:eastAsia="Calibri"/>
          <w:b/>
          <w:bCs/>
          <w:lang w:val="en-US" w:eastAsia="en-US"/>
        </w:rPr>
      </w:pPr>
      <w:r w:rsidRPr="00D53A2B">
        <w:rPr>
          <w:rFonts w:eastAsia="Calibri"/>
          <w:b/>
          <w:bCs/>
          <w:lang w:val="en-US" w:eastAsia="en-US"/>
        </w:rPr>
        <w:t>Hava emisyonları için MET-İES ve gösterge emisyon seviyeleri</w:t>
      </w:r>
    </w:p>
    <w:p w14:paraId="2E8904B7" w14:textId="4E9BFA94" w:rsidR="002D60D9" w:rsidRPr="00D53A2B" w:rsidRDefault="006C0BA3">
      <w:pPr>
        <w:jc w:val="both"/>
        <w:rPr>
          <w:rFonts w:eastAsia="Calibri"/>
          <w:lang w:val="en-US" w:eastAsia="en-US"/>
        </w:rPr>
      </w:pPr>
      <w:r w:rsidRPr="00D53A2B">
        <w:rPr>
          <w:rFonts w:eastAsia="Calibri"/>
          <w:lang w:val="en-US" w:eastAsia="en-US"/>
        </w:rPr>
        <w:t>Bu MET sonuçlarında verilen mevcut en iyi tekniklerle ilişkili emisyon seviyeleri (MET-İES) ve havaya emisyonlar için gösterge emisyon seviyeleri, aşağıdaki standart koşullar altında konsantrasyonları (atık gaz hacmi başına yayılan maddelerin kütlesi) ifade eder: 273,15 K sıcaklıkta ve 101,3 kPa basınçta kuru gaz ve mg/Nm</w:t>
      </w:r>
      <w:r w:rsidRPr="00D53A2B">
        <w:rPr>
          <w:rFonts w:eastAsia="Calibri"/>
          <w:vertAlign w:val="superscript"/>
          <w:lang w:val="en-US" w:eastAsia="en-US"/>
        </w:rPr>
        <w:t>3</w:t>
      </w:r>
      <w:r w:rsidRPr="00D53A2B">
        <w:rPr>
          <w:rFonts w:eastAsia="Calibri"/>
          <w:lang w:val="en-US" w:eastAsia="en-US"/>
        </w:rPr>
        <w:t xml:space="preserve"> olarak ifade edilir.</w:t>
      </w:r>
    </w:p>
    <w:p w14:paraId="1E3409A8" w14:textId="77777777" w:rsidR="002D60D9" w:rsidRPr="00D53A2B" w:rsidRDefault="002D60D9">
      <w:pPr>
        <w:jc w:val="both"/>
        <w:rPr>
          <w:rFonts w:eastAsia="Calibri"/>
          <w:lang w:val="en-US" w:eastAsia="en-US"/>
        </w:rPr>
      </w:pPr>
    </w:p>
    <w:p w14:paraId="12471809" w14:textId="3C1178FA" w:rsidR="00461730" w:rsidRPr="00D53A2B" w:rsidRDefault="006C0BA3">
      <w:pPr>
        <w:jc w:val="both"/>
        <w:rPr>
          <w:rFonts w:eastAsia="Calibri"/>
          <w:lang w:val="en-US" w:eastAsia="en-US"/>
        </w:rPr>
      </w:pPr>
      <w:r w:rsidRPr="00D53A2B">
        <w:rPr>
          <w:rFonts w:eastAsia="Calibri"/>
          <w:lang w:val="en-US" w:eastAsia="en-US"/>
        </w:rPr>
        <w:t>Bu MET sonuçlarında MET-İES ifade etmek için kullanılan referans oksijen seviyeleri ve gösterge emisyon seviyeleri aşağıdaki tabloda gösterilmektedir.</w:t>
      </w:r>
    </w:p>
    <w:p w14:paraId="0FDE8ED1" w14:textId="77777777" w:rsidR="00461730" w:rsidRPr="00D53A2B" w:rsidRDefault="00461730">
      <w:pPr>
        <w:jc w:val="both"/>
        <w:rPr>
          <w:rFonts w:eastAsia="Calibri"/>
          <w:lang w:val="en-US" w:eastAsia="en-US"/>
        </w:rPr>
      </w:pPr>
    </w:p>
    <w:tbl>
      <w:tblPr>
        <w:tblStyle w:val="TabloKlavuzu7"/>
        <w:tblW w:w="5000" w:type="pct"/>
        <w:tblLook w:val="04A0" w:firstRow="1" w:lastRow="0" w:firstColumn="1" w:lastColumn="0" w:noHBand="0" w:noVBand="1"/>
      </w:tblPr>
      <w:tblGrid>
        <w:gridCol w:w="4309"/>
        <w:gridCol w:w="4313"/>
      </w:tblGrid>
      <w:tr w:rsidR="008179C3" w:rsidRPr="00D53A2B" w14:paraId="3FDCB004" w14:textId="77777777" w:rsidTr="008179C3">
        <w:tc>
          <w:tcPr>
            <w:tcW w:w="2499" w:type="pct"/>
          </w:tcPr>
          <w:p w14:paraId="37AD1000" w14:textId="52C00F21" w:rsidR="006C0BA3" w:rsidRPr="00D53A2B" w:rsidRDefault="00461730">
            <w:pPr>
              <w:jc w:val="both"/>
            </w:pPr>
            <w:r w:rsidRPr="00D53A2B">
              <w:rPr>
                <w:b/>
              </w:rPr>
              <w:t>Emisyon Kaynağı</w:t>
            </w:r>
          </w:p>
        </w:tc>
        <w:tc>
          <w:tcPr>
            <w:tcW w:w="2501" w:type="pct"/>
          </w:tcPr>
          <w:p w14:paraId="054B9696" w14:textId="43997682" w:rsidR="006C0BA3" w:rsidRPr="00D53A2B" w:rsidRDefault="00461730">
            <w:pPr>
              <w:jc w:val="both"/>
            </w:pPr>
            <w:r w:rsidRPr="00D53A2B">
              <w:rPr>
                <w:b/>
              </w:rPr>
              <w:t>Referans Oksijen Seviyesi (O</w:t>
            </w:r>
            <w:r w:rsidRPr="00D53A2B">
              <w:rPr>
                <w:b/>
                <w:vertAlign w:val="subscript"/>
              </w:rPr>
              <w:t>R</w:t>
            </w:r>
            <w:r w:rsidRPr="00D53A2B">
              <w:rPr>
                <w:b/>
              </w:rPr>
              <w:t>)</w:t>
            </w:r>
          </w:p>
        </w:tc>
      </w:tr>
      <w:tr w:rsidR="008179C3" w:rsidRPr="00D53A2B" w14:paraId="0B574266" w14:textId="77777777" w:rsidTr="008179C3">
        <w:tc>
          <w:tcPr>
            <w:tcW w:w="2499" w:type="pct"/>
          </w:tcPr>
          <w:p w14:paraId="17241495" w14:textId="77777777" w:rsidR="006C0BA3" w:rsidRPr="00833846" w:rsidRDefault="00461730" w:rsidP="004A7132">
            <w:pPr>
              <w:jc w:val="both"/>
            </w:pPr>
            <w:r w:rsidRPr="008179C3">
              <w:t>Aşağıdakilerle ilişkili yanma prosesleri:</w:t>
            </w:r>
          </w:p>
          <w:p w14:paraId="523C0C80" w14:textId="77777777" w:rsidR="00461730" w:rsidRPr="00F22B58" w:rsidRDefault="00461730" w:rsidP="004A7132">
            <w:pPr>
              <w:pStyle w:val="ListeParagraf"/>
              <w:numPr>
                <w:ilvl w:val="0"/>
                <w:numId w:val="235"/>
              </w:numPr>
              <w:tabs>
                <w:tab w:val="clear" w:pos="567"/>
              </w:tabs>
              <w:spacing w:line="240" w:lineRule="auto"/>
              <w:ind w:left="319" w:hanging="319"/>
              <w:rPr>
                <w:sz w:val="24"/>
                <w:szCs w:val="24"/>
                <w:lang w:eastAsia="ja-JP"/>
              </w:rPr>
            </w:pPr>
            <w:r w:rsidRPr="00F22B58">
              <w:rPr>
                <w:sz w:val="24"/>
                <w:szCs w:val="24"/>
                <w:lang w:eastAsia="ja-JP"/>
              </w:rPr>
              <w:t>Hammadde ısıtma ve soğutma</w:t>
            </w:r>
          </w:p>
          <w:p w14:paraId="105953C9" w14:textId="262663ED" w:rsidR="00461730" w:rsidRPr="00F22B58" w:rsidRDefault="00461730" w:rsidP="004A7132">
            <w:pPr>
              <w:pStyle w:val="ListeParagraf"/>
              <w:numPr>
                <w:ilvl w:val="0"/>
                <w:numId w:val="235"/>
              </w:numPr>
              <w:tabs>
                <w:tab w:val="clear" w:pos="567"/>
              </w:tabs>
              <w:spacing w:line="240" w:lineRule="auto"/>
              <w:ind w:left="319" w:hanging="319"/>
              <w:rPr>
                <w:sz w:val="24"/>
                <w:szCs w:val="24"/>
                <w:lang w:eastAsia="ja-JP"/>
              </w:rPr>
            </w:pPr>
            <w:r w:rsidRPr="00F22B58">
              <w:rPr>
                <w:sz w:val="24"/>
                <w:szCs w:val="24"/>
                <w:lang w:eastAsia="ja-JP"/>
              </w:rPr>
              <w:t>Galvanizleme kazanının ısıtılması</w:t>
            </w:r>
          </w:p>
        </w:tc>
        <w:tc>
          <w:tcPr>
            <w:tcW w:w="2501" w:type="pct"/>
          </w:tcPr>
          <w:p w14:paraId="4DF000B0" w14:textId="490BFA82" w:rsidR="006C0BA3" w:rsidRPr="00096112" w:rsidRDefault="00461730">
            <w:pPr>
              <w:jc w:val="both"/>
            </w:pPr>
            <w:r w:rsidRPr="00F22B58">
              <w:t>%3 kuru hacim</w:t>
            </w:r>
          </w:p>
        </w:tc>
      </w:tr>
      <w:tr w:rsidR="008179C3" w:rsidRPr="00D53A2B" w14:paraId="2251DBCF" w14:textId="77777777" w:rsidTr="008179C3">
        <w:trPr>
          <w:trHeight w:val="361"/>
        </w:trPr>
        <w:tc>
          <w:tcPr>
            <w:tcW w:w="2499" w:type="pct"/>
          </w:tcPr>
          <w:p w14:paraId="2D9AEA18" w14:textId="4A8F49FC" w:rsidR="006C0BA3" w:rsidRPr="00833846" w:rsidRDefault="00461730" w:rsidP="004A7132">
            <w:pPr>
              <w:jc w:val="both"/>
            </w:pPr>
            <w:r w:rsidRPr="008179C3">
              <w:t>Diğer tüm kaynaklar</w:t>
            </w:r>
          </w:p>
        </w:tc>
        <w:tc>
          <w:tcPr>
            <w:tcW w:w="2501" w:type="pct"/>
          </w:tcPr>
          <w:p w14:paraId="2B13668C" w14:textId="4BFAA51A" w:rsidR="006C0BA3" w:rsidRPr="00096112" w:rsidRDefault="00461730" w:rsidP="004A7132">
            <w:pPr>
              <w:jc w:val="both"/>
            </w:pPr>
            <w:r w:rsidRPr="00F22B58">
              <w:t>Oksijen seviyesi için düzeltme yok</w:t>
            </w:r>
          </w:p>
        </w:tc>
      </w:tr>
    </w:tbl>
    <w:p w14:paraId="7E91B163" w14:textId="77777777" w:rsidR="002D60D9" w:rsidRPr="00D53A2B" w:rsidRDefault="002D60D9" w:rsidP="004A7132">
      <w:pPr>
        <w:jc w:val="both"/>
        <w:rPr>
          <w:rFonts w:eastAsia="Calibri"/>
          <w:lang w:val="en-US" w:eastAsia="en-US"/>
        </w:rPr>
      </w:pPr>
    </w:p>
    <w:p w14:paraId="4E231C78" w14:textId="63AB0FCF" w:rsidR="006C0BA3" w:rsidRPr="00D53A2B" w:rsidRDefault="00461730" w:rsidP="004A7132">
      <w:pPr>
        <w:jc w:val="both"/>
        <w:rPr>
          <w:rFonts w:eastAsia="Calibri"/>
          <w:lang w:val="en-US" w:eastAsia="en-US"/>
        </w:rPr>
      </w:pPr>
      <w:r w:rsidRPr="00D53A2B">
        <w:rPr>
          <w:rFonts w:eastAsia="Calibri"/>
          <w:lang w:val="en-US" w:eastAsia="en-US"/>
        </w:rPr>
        <w:t>Referans oksijen seviyesinin verildiği durumlarda, referans oksijen seviyesindeki emisyon konsantrasyonunun hesaplanmasına ilişkin denklem şu şekildedir:</w:t>
      </w:r>
    </w:p>
    <w:p w14:paraId="3BD3D133" w14:textId="3BD49FE9" w:rsidR="00FC72D8" w:rsidRPr="00D53A2B" w:rsidRDefault="0019747C" w:rsidP="004A7132">
      <w:pPr>
        <w:jc w:val="both"/>
        <w:rPr>
          <w:rFonts w:eastAsia="Calibri"/>
          <w:lang w:val="en-US" w:eastAsia="en-US"/>
        </w:rPr>
      </w:pPr>
      <m:oMathPara>
        <m:oMath>
          <m:sSub>
            <m:sSubPr>
              <m:ctrlPr>
                <w:rPr>
                  <w:rFonts w:ascii="Cambria Math" w:eastAsia="Calibri" w:hAnsi="Cambria Math"/>
                  <w:i/>
                  <w:lang w:val="en-US" w:eastAsia="en-US"/>
                </w:rPr>
              </m:ctrlPr>
            </m:sSubPr>
            <m:e>
              <m:r>
                <w:rPr>
                  <w:rFonts w:ascii="Cambria Math" w:eastAsia="Calibri" w:hAnsi="Cambria Math"/>
                  <w:lang w:val="en-US" w:eastAsia="en-US"/>
                </w:rPr>
                <m:t>E</m:t>
              </m:r>
            </m:e>
            <m:sub>
              <m:r>
                <w:rPr>
                  <w:rFonts w:ascii="Cambria Math" w:eastAsia="Calibri" w:hAnsi="Cambria Math"/>
                  <w:lang w:val="en-US" w:eastAsia="en-US"/>
                </w:rPr>
                <m:t>R</m:t>
              </m:r>
            </m:sub>
          </m:sSub>
          <m:r>
            <w:rPr>
              <w:rFonts w:ascii="Cambria Math" w:eastAsia="Calibri" w:hAnsi="Cambria Math"/>
              <w:lang w:val="en-US" w:eastAsia="en-US"/>
            </w:rPr>
            <m:t>=</m:t>
          </m:r>
          <m:f>
            <m:fPr>
              <m:ctrlPr>
                <w:rPr>
                  <w:rFonts w:ascii="Cambria Math" w:eastAsia="Calibri" w:hAnsi="Cambria Math"/>
                  <w:i/>
                  <w:lang w:val="en-US" w:eastAsia="en-US"/>
                </w:rPr>
              </m:ctrlPr>
            </m:fPr>
            <m:num>
              <m:r>
                <w:rPr>
                  <w:rFonts w:ascii="Cambria Math" w:eastAsia="Calibri" w:hAnsi="Cambria Math"/>
                  <w:lang w:val="en-US" w:eastAsia="en-US"/>
                </w:rPr>
                <m:t>21-</m:t>
              </m:r>
              <m:sSub>
                <m:sSubPr>
                  <m:ctrlPr>
                    <w:rPr>
                      <w:rFonts w:ascii="Cambria Math" w:eastAsia="Calibri" w:hAnsi="Cambria Math"/>
                      <w:i/>
                      <w:lang w:val="en-US" w:eastAsia="en-US"/>
                    </w:rPr>
                  </m:ctrlPr>
                </m:sSubPr>
                <m:e>
                  <m:r>
                    <w:rPr>
                      <w:rFonts w:ascii="Cambria Math" w:eastAsia="Calibri" w:hAnsi="Cambria Math"/>
                      <w:lang w:val="en-US" w:eastAsia="en-US"/>
                    </w:rPr>
                    <m:t>O</m:t>
                  </m:r>
                </m:e>
                <m:sub>
                  <m:r>
                    <w:rPr>
                      <w:rFonts w:ascii="Cambria Math" w:eastAsia="Calibri" w:hAnsi="Cambria Math"/>
                      <w:lang w:val="en-US" w:eastAsia="en-US"/>
                    </w:rPr>
                    <m:t>R</m:t>
                  </m:r>
                </m:sub>
              </m:sSub>
            </m:num>
            <m:den>
              <m:r>
                <w:rPr>
                  <w:rFonts w:ascii="Cambria Math" w:eastAsia="Calibri" w:hAnsi="Cambria Math"/>
                  <w:lang w:val="en-US" w:eastAsia="en-US"/>
                </w:rPr>
                <m:t>21-</m:t>
              </m:r>
              <m:sSub>
                <m:sSubPr>
                  <m:ctrlPr>
                    <w:rPr>
                      <w:rFonts w:ascii="Cambria Math" w:eastAsia="Calibri" w:hAnsi="Cambria Math"/>
                      <w:i/>
                      <w:lang w:val="en-US" w:eastAsia="en-US"/>
                    </w:rPr>
                  </m:ctrlPr>
                </m:sSubPr>
                <m:e>
                  <m:r>
                    <w:rPr>
                      <w:rFonts w:ascii="Cambria Math" w:eastAsia="Calibri" w:hAnsi="Cambria Math"/>
                      <w:lang w:val="en-US" w:eastAsia="en-US"/>
                    </w:rPr>
                    <m:t>O</m:t>
                  </m:r>
                </m:e>
                <m:sub>
                  <m:r>
                    <w:rPr>
                      <w:rFonts w:ascii="Cambria Math" w:eastAsia="Calibri" w:hAnsi="Cambria Math"/>
                      <w:lang w:val="en-US" w:eastAsia="en-US"/>
                    </w:rPr>
                    <m:t>M</m:t>
                  </m:r>
                </m:sub>
              </m:sSub>
            </m:den>
          </m:f>
          <m:r>
            <w:rPr>
              <w:rFonts w:ascii="Cambria Math" w:eastAsia="Calibri" w:hAnsi="Cambria Math"/>
              <w:lang w:val="en-US" w:eastAsia="en-US"/>
            </w:rPr>
            <m:t>×</m:t>
          </m:r>
          <m:sSub>
            <m:sSubPr>
              <m:ctrlPr>
                <w:rPr>
                  <w:rFonts w:ascii="Cambria Math" w:eastAsia="Calibri" w:hAnsi="Cambria Math"/>
                  <w:i/>
                  <w:lang w:val="en-US" w:eastAsia="en-US"/>
                </w:rPr>
              </m:ctrlPr>
            </m:sSubPr>
            <m:e>
              <m:r>
                <w:rPr>
                  <w:rFonts w:ascii="Cambria Math" w:eastAsia="Calibri" w:hAnsi="Cambria Math"/>
                  <w:lang w:val="en-US" w:eastAsia="en-US"/>
                </w:rPr>
                <m:t>E</m:t>
              </m:r>
            </m:e>
            <m:sub>
              <m:r>
                <w:rPr>
                  <w:rFonts w:ascii="Cambria Math" w:eastAsia="Calibri" w:hAnsi="Cambria Math"/>
                  <w:lang w:val="en-US" w:eastAsia="en-US"/>
                </w:rPr>
                <m:t>M</m:t>
              </m:r>
            </m:sub>
          </m:sSub>
        </m:oMath>
      </m:oMathPara>
    </w:p>
    <w:p w14:paraId="2182364A" w14:textId="5472A95D" w:rsidR="00CF3EC6" w:rsidRPr="00D53A2B" w:rsidRDefault="00CF3EC6" w:rsidP="004A7132">
      <w:pPr>
        <w:jc w:val="both"/>
        <w:rPr>
          <w:rFonts w:eastAsia="Calibri"/>
          <w:iCs/>
          <w:lang w:eastAsia="en-US"/>
        </w:rPr>
      </w:pPr>
      <w:r w:rsidRPr="00D53A2B">
        <w:rPr>
          <w:rFonts w:eastAsia="Calibri"/>
          <w:iCs/>
          <w:lang w:eastAsia="en-US"/>
        </w:rPr>
        <w:t>E</w:t>
      </w:r>
      <w:r w:rsidRPr="00D53A2B">
        <w:rPr>
          <w:rFonts w:eastAsia="Calibri"/>
          <w:iCs/>
          <w:vertAlign w:val="subscript"/>
          <w:lang w:eastAsia="en-US"/>
        </w:rPr>
        <w:t>R</w:t>
      </w:r>
      <w:r w:rsidRPr="00D53A2B">
        <w:rPr>
          <w:rFonts w:eastAsia="Calibri"/>
          <w:iCs/>
          <w:lang w:eastAsia="en-US"/>
        </w:rPr>
        <w:t xml:space="preserve"> (mg/Nm</w:t>
      </w:r>
      <w:r w:rsidRPr="00D53A2B">
        <w:rPr>
          <w:rFonts w:eastAsia="Calibri"/>
          <w:iCs/>
          <w:vertAlign w:val="superscript"/>
          <w:lang w:eastAsia="en-US"/>
        </w:rPr>
        <w:t>3</w:t>
      </w:r>
      <w:r w:rsidRPr="00D53A2B">
        <w:rPr>
          <w:rFonts w:eastAsia="Calibri"/>
          <w:iCs/>
          <w:lang w:eastAsia="en-US"/>
        </w:rPr>
        <w:t>): referans oksijen seviyesi O</w:t>
      </w:r>
      <w:r w:rsidRPr="00D53A2B">
        <w:rPr>
          <w:rFonts w:eastAsia="Calibri"/>
          <w:iCs/>
          <w:vertAlign w:val="subscript"/>
          <w:lang w:eastAsia="en-US"/>
        </w:rPr>
        <w:t>R</w:t>
      </w:r>
      <w:r w:rsidRPr="00D53A2B">
        <w:rPr>
          <w:rFonts w:eastAsia="Calibri"/>
          <w:iCs/>
          <w:lang w:eastAsia="en-US"/>
        </w:rPr>
        <w:t xml:space="preserve"> ile ilişkili emisyon konsantrasyonu</w:t>
      </w:r>
      <w:r w:rsidR="007B3A15" w:rsidRPr="00D53A2B">
        <w:rPr>
          <w:rFonts w:eastAsia="Calibri"/>
          <w:iCs/>
          <w:lang w:eastAsia="en-US"/>
        </w:rPr>
        <w:t>ç</w:t>
      </w:r>
    </w:p>
    <w:p w14:paraId="1B697FD0" w14:textId="77777777" w:rsidR="00CF3EC6" w:rsidRPr="00D53A2B" w:rsidRDefault="00CF3EC6">
      <w:pPr>
        <w:jc w:val="both"/>
        <w:rPr>
          <w:rFonts w:eastAsia="Calibri"/>
          <w:iCs/>
          <w:lang w:eastAsia="en-US"/>
        </w:rPr>
      </w:pPr>
      <w:r w:rsidRPr="00D53A2B">
        <w:rPr>
          <w:rFonts w:eastAsia="Calibri"/>
          <w:iCs/>
          <w:lang w:eastAsia="en-US"/>
        </w:rPr>
        <w:t>O</w:t>
      </w:r>
      <w:r w:rsidRPr="00D53A2B">
        <w:rPr>
          <w:rFonts w:eastAsia="Calibri"/>
          <w:iCs/>
          <w:vertAlign w:val="subscript"/>
          <w:lang w:eastAsia="en-US"/>
        </w:rPr>
        <w:t>R</w:t>
      </w:r>
      <w:r w:rsidRPr="00D53A2B">
        <w:rPr>
          <w:rFonts w:eastAsia="Calibri"/>
          <w:iCs/>
          <w:lang w:eastAsia="en-US"/>
        </w:rPr>
        <w:t xml:space="preserve"> (hacimsel %): referans oksijen seviyesi</w:t>
      </w:r>
    </w:p>
    <w:p w14:paraId="39591A9E" w14:textId="77777777" w:rsidR="00CF3EC6" w:rsidRPr="00D53A2B" w:rsidRDefault="00CF3EC6">
      <w:pPr>
        <w:jc w:val="both"/>
        <w:rPr>
          <w:rFonts w:eastAsia="Calibri"/>
          <w:iCs/>
          <w:lang w:eastAsia="en-US"/>
        </w:rPr>
      </w:pPr>
      <w:r w:rsidRPr="00D53A2B">
        <w:rPr>
          <w:rFonts w:eastAsia="Calibri"/>
          <w:iCs/>
          <w:lang w:eastAsia="en-US"/>
        </w:rPr>
        <w:t>E</w:t>
      </w:r>
      <w:r w:rsidRPr="00D53A2B">
        <w:rPr>
          <w:rFonts w:eastAsia="Calibri"/>
          <w:iCs/>
          <w:vertAlign w:val="subscript"/>
          <w:lang w:eastAsia="en-US"/>
        </w:rPr>
        <w:t>M</w:t>
      </w:r>
      <w:r w:rsidRPr="00D53A2B">
        <w:rPr>
          <w:rFonts w:eastAsia="Calibri"/>
          <w:iCs/>
          <w:lang w:eastAsia="en-US"/>
        </w:rPr>
        <w:t xml:space="preserve"> (mg/Nm</w:t>
      </w:r>
      <w:r w:rsidRPr="00D53A2B">
        <w:rPr>
          <w:rFonts w:eastAsia="Calibri"/>
          <w:iCs/>
          <w:vertAlign w:val="superscript"/>
          <w:lang w:eastAsia="en-US"/>
        </w:rPr>
        <w:t>3</w:t>
      </w:r>
      <w:r w:rsidRPr="00D53A2B">
        <w:rPr>
          <w:rFonts w:eastAsia="Calibri"/>
          <w:iCs/>
          <w:lang w:eastAsia="en-US"/>
        </w:rPr>
        <w:t>): ölçülen oksijen seviyesi O</w:t>
      </w:r>
      <w:r w:rsidRPr="00D53A2B">
        <w:rPr>
          <w:rFonts w:eastAsia="Calibri"/>
          <w:iCs/>
          <w:vertAlign w:val="subscript"/>
          <w:lang w:eastAsia="en-US"/>
        </w:rPr>
        <w:t>M</w:t>
      </w:r>
      <w:r w:rsidRPr="00D53A2B">
        <w:rPr>
          <w:rFonts w:eastAsia="Calibri"/>
          <w:iCs/>
          <w:lang w:eastAsia="en-US"/>
        </w:rPr>
        <w:t xml:space="preserve"> ile ilişkili emisyon konsantrasyonu</w:t>
      </w:r>
    </w:p>
    <w:p w14:paraId="2A5EE0E3" w14:textId="77777777" w:rsidR="00CF3EC6" w:rsidRPr="00D53A2B" w:rsidRDefault="00CF3EC6">
      <w:pPr>
        <w:jc w:val="both"/>
        <w:rPr>
          <w:rFonts w:eastAsia="Calibri"/>
          <w:iCs/>
          <w:lang w:eastAsia="en-US"/>
        </w:rPr>
      </w:pPr>
      <w:r w:rsidRPr="00D53A2B">
        <w:rPr>
          <w:rFonts w:eastAsia="Calibri"/>
          <w:iCs/>
          <w:lang w:eastAsia="en-US"/>
        </w:rPr>
        <w:t>O</w:t>
      </w:r>
      <w:r w:rsidRPr="00D53A2B">
        <w:rPr>
          <w:rFonts w:eastAsia="Calibri"/>
          <w:iCs/>
          <w:vertAlign w:val="subscript"/>
          <w:lang w:eastAsia="en-US"/>
        </w:rPr>
        <w:t>M</w:t>
      </w:r>
      <w:r w:rsidRPr="00D53A2B">
        <w:rPr>
          <w:rFonts w:eastAsia="Calibri"/>
          <w:iCs/>
          <w:lang w:eastAsia="en-US"/>
        </w:rPr>
        <w:t xml:space="preserve"> (hacimsel %): ölçülen oksijen seviyesi</w:t>
      </w:r>
    </w:p>
    <w:p w14:paraId="66E0CE58" w14:textId="77777777" w:rsidR="00CF3EC6" w:rsidRPr="00D53A2B" w:rsidRDefault="00CF3EC6">
      <w:pPr>
        <w:jc w:val="both"/>
        <w:rPr>
          <w:rFonts w:eastAsia="Calibri"/>
          <w:lang w:val="en-US" w:eastAsia="en-US"/>
        </w:rPr>
      </w:pPr>
    </w:p>
    <w:p w14:paraId="35144F80" w14:textId="12009DBC" w:rsidR="006C0BA3" w:rsidRPr="00D53A2B" w:rsidRDefault="00CF3EC6">
      <w:pPr>
        <w:jc w:val="both"/>
        <w:rPr>
          <w:rFonts w:eastAsia="Calibri"/>
          <w:lang w:val="en-US" w:eastAsia="en-US"/>
        </w:rPr>
      </w:pPr>
      <w:r w:rsidRPr="00D53A2B">
        <w:rPr>
          <w:rFonts w:eastAsia="Calibri"/>
          <w:lang w:val="en-US" w:eastAsia="en-US"/>
        </w:rPr>
        <w:t>Yukarıdaki denklem, yanma prosesinde oksijenle zenginleştirilmiş hava veya saf oksijen kullanılması veya güvenlik nedeniyle ilave hava alımının atık gazdaki oksijen seviyesini hacimce %21</w:t>
      </w:r>
      <w:r w:rsidR="00E56504" w:rsidRPr="00D53A2B">
        <w:rPr>
          <w:rFonts w:eastAsia="Calibri"/>
          <w:lang w:val="en-US" w:eastAsia="en-US"/>
        </w:rPr>
        <w:t>’</w:t>
      </w:r>
      <w:r w:rsidRPr="00D53A2B">
        <w:rPr>
          <w:rFonts w:eastAsia="Calibri"/>
          <w:lang w:val="en-US" w:eastAsia="en-US"/>
        </w:rPr>
        <w:t>e çok yakın hale getirmesi durumunda geçerli değildir. Bu durumda, %3 kuru hacim referans oksijen seviyesindeki emisyon konsantrasyonu farklı şekilde, örneğin yanma sonucu oluşan karbondioksit baz alınarak normalize edilerek hesaplanır.</w:t>
      </w:r>
    </w:p>
    <w:p w14:paraId="51BA7D89" w14:textId="3B6B372E" w:rsidR="006C0BA3" w:rsidRPr="00D53A2B" w:rsidRDefault="00CF3EC6">
      <w:pPr>
        <w:jc w:val="both"/>
        <w:rPr>
          <w:rFonts w:eastAsia="Calibri"/>
          <w:lang w:val="en-US" w:eastAsia="en-US"/>
        </w:rPr>
      </w:pPr>
      <w:r w:rsidRPr="00D53A2B">
        <w:rPr>
          <w:rFonts w:eastAsia="Calibri"/>
          <w:lang w:val="en-US" w:eastAsia="en-US"/>
        </w:rPr>
        <w:t>Havaya yapılan emisyonlar için MET-İES ortalama periyotları için aşağıdaki tanımlar geçerlidir.</w:t>
      </w:r>
    </w:p>
    <w:p w14:paraId="0077ADB6" w14:textId="77777777" w:rsidR="00CF3EC6" w:rsidRPr="00D53A2B" w:rsidRDefault="00CF3EC6">
      <w:pPr>
        <w:jc w:val="both"/>
        <w:rPr>
          <w:rFonts w:eastAsia="Calibri"/>
          <w:lang w:val="en-US" w:eastAsia="en-US"/>
        </w:rPr>
      </w:pPr>
    </w:p>
    <w:tbl>
      <w:tblPr>
        <w:tblStyle w:val="TabloKlavuzu7"/>
        <w:tblW w:w="5000" w:type="pct"/>
        <w:tblLook w:val="04A0" w:firstRow="1" w:lastRow="0" w:firstColumn="1" w:lastColumn="0" w:noHBand="0" w:noVBand="1"/>
      </w:tblPr>
      <w:tblGrid>
        <w:gridCol w:w="2743"/>
        <w:gridCol w:w="3004"/>
        <w:gridCol w:w="2875"/>
      </w:tblGrid>
      <w:tr w:rsidR="008179C3" w:rsidRPr="00D53A2B" w14:paraId="3ECA54CD" w14:textId="430C4FDC" w:rsidTr="009077F5">
        <w:tc>
          <w:tcPr>
            <w:tcW w:w="1591" w:type="pct"/>
          </w:tcPr>
          <w:p w14:paraId="77F03FEE" w14:textId="12B8076C" w:rsidR="00CF3EC6" w:rsidRPr="00D53A2B" w:rsidRDefault="00CF3EC6">
            <w:pPr>
              <w:jc w:val="both"/>
            </w:pPr>
            <w:r w:rsidRPr="00D53A2B">
              <w:rPr>
                <w:b/>
              </w:rPr>
              <w:t>Ölçüm türü</w:t>
            </w:r>
          </w:p>
        </w:tc>
        <w:tc>
          <w:tcPr>
            <w:tcW w:w="1742" w:type="pct"/>
          </w:tcPr>
          <w:p w14:paraId="56D18439" w14:textId="0156A5DD" w:rsidR="00CF3EC6" w:rsidRPr="00D53A2B" w:rsidRDefault="00CF3EC6">
            <w:pPr>
              <w:jc w:val="both"/>
            </w:pPr>
            <w:r w:rsidRPr="00D53A2B">
              <w:rPr>
                <w:b/>
              </w:rPr>
              <w:t>Ortalama dönem</w:t>
            </w:r>
          </w:p>
        </w:tc>
        <w:tc>
          <w:tcPr>
            <w:tcW w:w="1667" w:type="pct"/>
          </w:tcPr>
          <w:p w14:paraId="4A608FA0" w14:textId="6046029A" w:rsidR="00CF3EC6" w:rsidRPr="00D53A2B" w:rsidRDefault="00CF3EC6">
            <w:pPr>
              <w:jc w:val="both"/>
              <w:rPr>
                <w:b/>
              </w:rPr>
            </w:pPr>
            <w:r w:rsidRPr="00D53A2B">
              <w:rPr>
                <w:b/>
              </w:rPr>
              <w:t>Tanım</w:t>
            </w:r>
          </w:p>
        </w:tc>
      </w:tr>
      <w:tr w:rsidR="008179C3" w:rsidRPr="00D53A2B" w14:paraId="1D2C172F" w14:textId="7572CBC2" w:rsidTr="009077F5">
        <w:trPr>
          <w:trHeight w:val="766"/>
        </w:trPr>
        <w:tc>
          <w:tcPr>
            <w:tcW w:w="1591" w:type="pct"/>
          </w:tcPr>
          <w:p w14:paraId="0BCAAC46" w14:textId="61D5CB6B" w:rsidR="00CF3EC6" w:rsidRPr="00D53A2B" w:rsidRDefault="00CF3EC6" w:rsidP="004A7132">
            <w:pPr>
              <w:pStyle w:val="ListeParagraf"/>
              <w:numPr>
                <w:ilvl w:val="0"/>
                <w:numId w:val="0"/>
              </w:numPr>
              <w:tabs>
                <w:tab w:val="clear" w:pos="567"/>
              </w:tabs>
              <w:spacing w:line="240" w:lineRule="auto"/>
              <w:ind w:left="35"/>
              <w:rPr>
                <w:sz w:val="24"/>
                <w:szCs w:val="24"/>
                <w:lang w:eastAsia="ja-JP"/>
              </w:rPr>
            </w:pPr>
            <w:r w:rsidRPr="00D53A2B">
              <w:rPr>
                <w:sz w:val="24"/>
                <w:szCs w:val="24"/>
                <w:lang w:eastAsia="ja-JP"/>
              </w:rPr>
              <w:t>Sürekli</w:t>
            </w:r>
          </w:p>
        </w:tc>
        <w:tc>
          <w:tcPr>
            <w:tcW w:w="1742" w:type="pct"/>
          </w:tcPr>
          <w:p w14:paraId="793FBC6A" w14:textId="6F1CDD68" w:rsidR="00CF3EC6" w:rsidRPr="00D53A2B" w:rsidRDefault="00CF3EC6" w:rsidP="004A7132">
            <w:pPr>
              <w:jc w:val="both"/>
            </w:pPr>
            <w:r w:rsidRPr="00D53A2B">
              <w:t>Günlük ortalama</w:t>
            </w:r>
          </w:p>
        </w:tc>
        <w:tc>
          <w:tcPr>
            <w:tcW w:w="1667" w:type="pct"/>
          </w:tcPr>
          <w:p w14:paraId="4FFFBB20" w14:textId="10C839AD" w:rsidR="00CF3EC6" w:rsidRPr="00D53A2B" w:rsidRDefault="00E13120" w:rsidP="004A7132">
            <w:pPr>
              <w:jc w:val="both"/>
            </w:pPr>
            <w:r w:rsidRPr="00D53A2B">
              <w:t>Geçerli saatlik veya yarım saatlik ortalamalara dayalı olarak bir günlük ortalama.</w:t>
            </w:r>
          </w:p>
        </w:tc>
      </w:tr>
      <w:tr w:rsidR="008179C3" w:rsidRPr="00D53A2B" w14:paraId="57365F60" w14:textId="20BA98F6" w:rsidTr="009077F5">
        <w:trPr>
          <w:trHeight w:val="361"/>
        </w:trPr>
        <w:tc>
          <w:tcPr>
            <w:tcW w:w="1591" w:type="pct"/>
          </w:tcPr>
          <w:p w14:paraId="3F823679" w14:textId="4626698B" w:rsidR="00CF3EC6" w:rsidRPr="00D53A2B" w:rsidRDefault="00CF3EC6" w:rsidP="004A7132">
            <w:pPr>
              <w:jc w:val="both"/>
            </w:pPr>
            <w:r w:rsidRPr="00D53A2B">
              <w:t>Periyodik</w:t>
            </w:r>
          </w:p>
        </w:tc>
        <w:tc>
          <w:tcPr>
            <w:tcW w:w="1742" w:type="pct"/>
          </w:tcPr>
          <w:p w14:paraId="017095FB" w14:textId="4EA2536E" w:rsidR="00CF3EC6" w:rsidRPr="00D53A2B" w:rsidRDefault="00CF3EC6" w:rsidP="004A7132">
            <w:pPr>
              <w:jc w:val="both"/>
            </w:pPr>
            <w:r w:rsidRPr="00D53A2B">
              <w:t>Örnekleme dönemi boyunca ortalama</w:t>
            </w:r>
          </w:p>
        </w:tc>
        <w:tc>
          <w:tcPr>
            <w:tcW w:w="1667" w:type="pct"/>
          </w:tcPr>
          <w:p w14:paraId="318AE325" w14:textId="26A24E91" w:rsidR="00CF3EC6" w:rsidRPr="00D53A2B" w:rsidRDefault="00E13120" w:rsidP="004A7132">
            <w:pPr>
              <w:jc w:val="both"/>
            </w:pPr>
            <w:r w:rsidRPr="00D53A2B">
              <w:t>En az 30 dakika süren üç ardışık ölçümün ortalama değeri (</w:t>
            </w:r>
            <w:r w:rsidRPr="00D53A2B">
              <w:rPr>
                <w:vertAlign w:val="superscript"/>
              </w:rPr>
              <w:t>1</w:t>
            </w:r>
            <w:r w:rsidRPr="00D53A2B">
              <w:t>).</w:t>
            </w:r>
          </w:p>
        </w:tc>
      </w:tr>
      <w:tr w:rsidR="008179C3" w:rsidRPr="00D53A2B" w14:paraId="0454C670" w14:textId="77777777" w:rsidTr="009077F5">
        <w:trPr>
          <w:trHeight w:val="361"/>
        </w:trPr>
        <w:tc>
          <w:tcPr>
            <w:tcW w:w="5000" w:type="pct"/>
            <w:gridSpan w:val="3"/>
          </w:tcPr>
          <w:p w14:paraId="69E7FFFF" w14:textId="3EDD981E" w:rsidR="00E13120" w:rsidRPr="009077F5" w:rsidRDefault="00E13120" w:rsidP="004A7132">
            <w:pPr>
              <w:jc w:val="both"/>
              <w:rPr>
                <w:sz w:val="20"/>
                <w:szCs w:val="20"/>
              </w:rPr>
            </w:pPr>
            <w:r w:rsidRPr="009077F5">
              <w:rPr>
                <w:sz w:val="20"/>
                <w:szCs w:val="20"/>
              </w:rPr>
              <w:t>(1) Örnekleme veya analitik sınırlamalar ve/veya işletme koşulları nedeniyle 30 dakikalık örnekleme/ölçüm ve/veya üç ardışık ölçümün ortalamasının uygun olmadığı herhangi bir parametre için daha temsili bir örnekleme/ölçüm prosedürü kullanılabilir.</w:t>
            </w:r>
          </w:p>
        </w:tc>
      </w:tr>
    </w:tbl>
    <w:p w14:paraId="70250299" w14:textId="77777777" w:rsidR="00A5025E" w:rsidRPr="00D53A2B" w:rsidRDefault="00A5025E" w:rsidP="004A7132">
      <w:pPr>
        <w:jc w:val="both"/>
        <w:rPr>
          <w:rFonts w:eastAsia="Calibri"/>
          <w:lang w:val="en-US" w:eastAsia="en-US"/>
        </w:rPr>
      </w:pPr>
    </w:p>
    <w:p w14:paraId="06657F99" w14:textId="141E4732" w:rsidR="006C0BA3" w:rsidRPr="00D53A2B" w:rsidRDefault="00A5025E" w:rsidP="004A7132">
      <w:pPr>
        <w:jc w:val="both"/>
        <w:rPr>
          <w:rFonts w:eastAsia="Calibri"/>
          <w:lang w:val="en-US" w:eastAsia="en-US"/>
        </w:rPr>
      </w:pPr>
      <w:r w:rsidRPr="00D53A2B">
        <w:rPr>
          <w:rFonts w:eastAsia="Calibri"/>
          <w:lang w:val="en-US" w:eastAsia="en-US"/>
        </w:rPr>
        <w:t>İki veya daha fazla kaynağın (örneğin fırınların) atık gazları ortak bir bacadan deşarj edildiğinde, MET-İES bacadan yapılan birleşik deşarj için geçerlidir.</w:t>
      </w:r>
    </w:p>
    <w:p w14:paraId="1AA6857C" w14:textId="2EDE680D" w:rsidR="00CF3EC6" w:rsidRPr="00D53A2B" w:rsidRDefault="00944AC9" w:rsidP="004A7132">
      <w:pPr>
        <w:jc w:val="both"/>
        <w:rPr>
          <w:rFonts w:eastAsia="Calibri"/>
          <w:lang w:val="en-US" w:eastAsia="en-US"/>
        </w:rPr>
      </w:pPr>
      <w:r w:rsidRPr="00D53A2B">
        <w:rPr>
          <w:rFonts w:eastAsia="Calibri"/>
          <w:lang w:val="en-US" w:eastAsia="en-US"/>
        </w:rPr>
        <w:t xml:space="preserve">Ek- </w:t>
      </w:r>
      <w:r w:rsidR="00F320FB" w:rsidRPr="00D53A2B">
        <w:rPr>
          <w:rFonts w:eastAsia="Calibri"/>
          <w:lang w:val="en-US" w:eastAsia="en-US"/>
        </w:rPr>
        <w:t>3 de</w:t>
      </w:r>
      <w:r w:rsidRPr="00D53A2B">
        <w:rPr>
          <w:rFonts w:eastAsia="Calibri"/>
          <w:lang w:val="en-US" w:eastAsia="en-US"/>
        </w:rPr>
        <w:t xml:space="preserve"> yer alan </w:t>
      </w:r>
      <w:r w:rsidR="00651500" w:rsidRPr="00D53A2B">
        <w:rPr>
          <w:rFonts w:eastAsia="Calibri"/>
          <w:lang w:val="en-US" w:eastAsia="en-US"/>
        </w:rPr>
        <w:t>MET</w:t>
      </w:r>
      <w:r w:rsidR="006E560D" w:rsidRPr="00D53A2B">
        <w:rPr>
          <w:rFonts w:eastAsia="Calibri"/>
          <w:lang w:val="en-US" w:eastAsia="en-US"/>
        </w:rPr>
        <w:t>-</w:t>
      </w:r>
      <w:r w:rsidR="00A5025E" w:rsidRPr="00D53A2B">
        <w:rPr>
          <w:rFonts w:eastAsia="Calibri"/>
          <w:lang w:val="en-US" w:eastAsia="en-US"/>
        </w:rPr>
        <w:t xml:space="preserve">7 ve </w:t>
      </w:r>
      <w:r w:rsidR="00651500" w:rsidRPr="00D53A2B">
        <w:rPr>
          <w:rFonts w:eastAsia="Calibri"/>
          <w:lang w:val="en-US" w:eastAsia="en-US"/>
        </w:rPr>
        <w:t>MET</w:t>
      </w:r>
      <w:r w:rsidR="006E560D" w:rsidRPr="00D53A2B">
        <w:rPr>
          <w:rFonts w:eastAsia="Calibri"/>
          <w:lang w:val="en-US" w:eastAsia="en-US"/>
        </w:rPr>
        <w:t>-</w:t>
      </w:r>
      <w:r w:rsidR="00A5025E" w:rsidRPr="00D53A2B">
        <w:rPr>
          <w:rFonts w:eastAsia="Calibri"/>
          <w:lang w:val="en-US" w:eastAsia="en-US"/>
        </w:rPr>
        <w:t>20</w:t>
      </w:r>
      <w:r w:rsidR="00E56504" w:rsidRPr="00D53A2B">
        <w:rPr>
          <w:rFonts w:eastAsia="Calibri"/>
          <w:lang w:val="en-US" w:eastAsia="en-US"/>
        </w:rPr>
        <w:t>’</w:t>
      </w:r>
      <w:r w:rsidR="00A5025E" w:rsidRPr="00D53A2B">
        <w:rPr>
          <w:rFonts w:eastAsia="Calibri"/>
          <w:lang w:val="en-US" w:eastAsia="en-US"/>
        </w:rPr>
        <w:t>ye ilişkin kütle akışlarının hesaplanması amacıyla, yetkili makamın takdirine göre, bir kaynak türünden (örneğin fırınlar) çıkan atık gazların iki veya daha fazla ayrı bacadan boşaltılması durumunda, bu bacalar tek bir baca olarak kabul edilir.</w:t>
      </w:r>
    </w:p>
    <w:p w14:paraId="363C6BE4" w14:textId="77777777" w:rsidR="00CF3EC6" w:rsidRPr="00D53A2B" w:rsidRDefault="00CF3EC6">
      <w:pPr>
        <w:jc w:val="both"/>
        <w:rPr>
          <w:rFonts w:eastAsia="Calibri"/>
          <w:lang w:val="en-US" w:eastAsia="en-US"/>
        </w:rPr>
      </w:pPr>
    </w:p>
    <w:p w14:paraId="78C0F118" w14:textId="1AD4B656" w:rsidR="00CF3EC6" w:rsidRPr="00D53A2B" w:rsidRDefault="00A5025E">
      <w:pPr>
        <w:jc w:val="both"/>
        <w:rPr>
          <w:rFonts w:eastAsia="Calibri"/>
          <w:b/>
          <w:bCs/>
          <w:lang w:val="en-US" w:eastAsia="en-US"/>
        </w:rPr>
      </w:pPr>
      <w:r w:rsidRPr="00D53A2B">
        <w:rPr>
          <w:rFonts w:eastAsia="Calibri"/>
          <w:b/>
          <w:bCs/>
          <w:lang w:val="en-US" w:eastAsia="en-US"/>
        </w:rPr>
        <w:t>Suya emisyonlar için MET-İES</w:t>
      </w:r>
    </w:p>
    <w:p w14:paraId="75AAB211" w14:textId="7DE39AEB" w:rsidR="00CF3EC6" w:rsidRPr="00D53A2B" w:rsidRDefault="00A5025E">
      <w:pPr>
        <w:jc w:val="both"/>
        <w:rPr>
          <w:rFonts w:eastAsia="Calibri"/>
          <w:lang w:val="en-US" w:eastAsia="en-US"/>
        </w:rPr>
      </w:pPr>
      <w:r w:rsidRPr="00D53A2B">
        <w:rPr>
          <w:rFonts w:eastAsia="Calibri"/>
          <w:lang w:val="en-US" w:eastAsia="en-US"/>
        </w:rPr>
        <w:t>Bu MET sonuçlarında suya emisyonlar için en iyi mevcut tekniklerle ilişkili emisyon seviyeleri (MET-İES), mg/l veya μg/l olarak ifade edilen konsantrasyonları (su hacmi başına yayılan maddelerin kütlesi) ifade eder.</w:t>
      </w:r>
    </w:p>
    <w:p w14:paraId="6145DF9F" w14:textId="77777777" w:rsidR="00A5025E" w:rsidRPr="00D53A2B" w:rsidRDefault="00A5025E">
      <w:pPr>
        <w:jc w:val="both"/>
        <w:rPr>
          <w:rFonts w:eastAsia="Calibri"/>
          <w:lang w:val="en-US" w:eastAsia="en-US"/>
        </w:rPr>
      </w:pPr>
    </w:p>
    <w:p w14:paraId="73B427AC" w14:textId="6FB5ECF0" w:rsidR="00CF3EC6" w:rsidRPr="00D53A2B" w:rsidRDefault="00A5025E">
      <w:pPr>
        <w:jc w:val="both"/>
        <w:rPr>
          <w:rFonts w:eastAsia="Calibri"/>
          <w:lang w:val="en-US" w:eastAsia="en-US"/>
        </w:rPr>
      </w:pPr>
      <w:r w:rsidRPr="00D53A2B">
        <w:rPr>
          <w:rFonts w:eastAsia="Calibri"/>
          <w:lang w:val="en-US" w:eastAsia="en-US"/>
        </w:rPr>
        <w:t xml:space="preserve">MET-İES </w:t>
      </w:r>
      <w:r w:rsidR="00E56504" w:rsidRPr="00D53A2B">
        <w:rPr>
          <w:rFonts w:eastAsia="Calibri"/>
          <w:lang w:val="en-US" w:eastAsia="en-US"/>
        </w:rPr>
        <w:t>‘</w:t>
      </w:r>
      <w:r w:rsidRPr="00D53A2B">
        <w:rPr>
          <w:rFonts w:eastAsia="Calibri"/>
          <w:lang w:val="en-US" w:eastAsia="en-US"/>
        </w:rPr>
        <w:t>lerle ilişkili ortalama alma dönemleri aşağıdaki iki durumdan birine karşılık gelir:</w:t>
      </w:r>
    </w:p>
    <w:p w14:paraId="28F08084" w14:textId="6F567BAA" w:rsidR="00CF3EC6" w:rsidRPr="00D53A2B" w:rsidRDefault="00A5025E">
      <w:pPr>
        <w:pStyle w:val="ListeParagraf"/>
        <w:numPr>
          <w:ilvl w:val="0"/>
          <w:numId w:val="235"/>
        </w:numPr>
        <w:tabs>
          <w:tab w:val="clear" w:pos="567"/>
        </w:tabs>
        <w:ind w:left="426" w:hanging="426"/>
        <w:rPr>
          <w:rFonts w:eastAsia="Calibri"/>
          <w:sz w:val="24"/>
          <w:szCs w:val="24"/>
        </w:rPr>
      </w:pPr>
      <w:r w:rsidRPr="00D53A2B">
        <w:rPr>
          <w:rFonts w:eastAsia="Calibri"/>
          <w:sz w:val="24"/>
          <w:szCs w:val="24"/>
        </w:rPr>
        <w:t xml:space="preserve">Sürekli deşarj durumunda, günlük ortalama değerler, yani 24 saatlik </w:t>
      </w:r>
      <w:r w:rsidR="005F20C7">
        <w:rPr>
          <w:rFonts w:eastAsia="Calibri"/>
          <w:sz w:val="24"/>
          <w:szCs w:val="24"/>
        </w:rPr>
        <w:t xml:space="preserve">debiye </w:t>
      </w:r>
      <w:r w:rsidRPr="00D53A2B">
        <w:rPr>
          <w:rFonts w:eastAsia="Calibri"/>
          <w:sz w:val="24"/>
          <w:szCs w:val="24"/>
        </w:rPr>
        <w:t>orantılı kompozit numuneler. Zamana orantılı kompozit numuneler, yeterli akış kararlılığının gösterilmesi koşuluyla kullanılabilir. Emisyon seviyelerinin yeterince kararlı olduğu kanıtlandığında anlık</w:t>
      </w:r>
      <w:r w:rsidR="009F4A0D" w:rsidRPr="00D53A2B">
        <w:rPr>
          <w:rFonts w:eastAsia="Calibri"/>
          <w:sz w:val="24"/>
          <w:szCs w:val="24"/>
        </w:rPr>
        <w:t xml:space="preserve"> </w:t>
      </w:r>
      <w:r w:rsidRPr="00D53A2B">
        <w:rPr>
          <w:rFonts w:eastAsia="Calibri"/>
          <w:sz w:val="24"/>
          <w:szCs w:val="24"/>
        </w:rPr>
        <w:t>numuneler kullanılabilir.</w:t>
      </w:r>
    </w:p>
    <w:p w14:paraId="0C825B6D" w14:textId="7356AF75" w:rsidR="009F4A0D" w:rsidRPr="00D53A2B" w:rsidRDefault="009F4A0D">
      <w:pPr>
        <w:pStyle w:val="ListeParagraf"/>
        <w:numPr>
          <w:ilvl w:val="0"/>
          <w:numId w:val="235"/>
        </w:numPr>
        <w:tabs>
          <w:tab w:val="clear" w:pos="567"/>
        </w:tabs>
        <w:ind w:left="426" w:hanging="426"/>
        <w:rPr>
          <w:rFonts w:eastAsia="Calibri"/>
          <w:sz w:val="24"/>
          <w:szCs w:val="24"/>
        </w:rPr>
      </w:pPr>
      <w:r w:rsidRPr="00D53A2B">
        <w:rPr>
          <w:rFonts w:eastAsia="Calibri"/>
          <w:sz w:val="24"/>
          <w:szCs w:val="24"/>
        </w:rPr>
        <w:t xml:space="preserve">Kesikli deşarj durumunda, deşarj süresi boyunca alınan ortalama değerler </w:t>
      </w:r>
      <w:r w:rsidR="005F20C7">
        <w:rPr>
          <w:rFonts w:eastAsia="Calibri"/>
          <w:sz w:val="24"/>
          <w:szCs w:val="24"/>
        </w:rPr>
        <w:t>debiye</w:t>
      </w:r>
      <w:r w:rsidRPr="00D53A2B">
        <w:rPr>
          <w:rFonts w:eastAsia="Calibri"/>
          <w:sz w:val="24"/>
          <w:szCs w:val="24"/>
        </w:rPr>
        <w:t xml:space="preserve"> orantılı kompozit numuneler olarak veya çıkış suyunun uygun şekilde karıştırılmış ve homojen olması koşuluyla deşarjdan önce alınan </w:t>
      </w:r>
      <w:r w:rsidR="002F36E0">
        <w:rPr>
          <w:rFonts w:eastAsia="Calibri"/>
          <w:sz w:val="24"/>
          <w:szCs w:val="24"/>
        </w:rPr>
        <w:t>anlık</w:t>
      </w:r>
      <w:r w:rsidRPr="00D53A2B">
        <w:rPr>
          <w:rFonts w:eastAsia="Calibri"/>
          <w:sz w:val="24"/>
          <w:szCs w:val="24"/>
        </w:rPr>
        <w:t xml:space="preserve"> numunesi olarak alınır.</w:t>
      </w:r>
    </w:p>
    <w:p w14:paraId="7DBC82E5" w14:textId="5A84EAEF" w:rsidR="00CF3EC6" w:rsidRPr="00D53A2B" w:rsidRDefault="009F4A0D">
      <w:pPr>
        <w:jc w:val="both"/>
        <w:rPr>
          <w:rFonts w:eastAsia="Calibri"/>
          <w:lang w:val="en-US" w:eastAsia="en-US"/>
        </w:rPr>
      </w:pPr>
      <w:r w:rsidRPr="00D53A2B">
        <w:rPr>
          <w:rFonts w:eastAsia="Calibri"/>
          <w:lang w:val="en-US" w:eastAsia="en-US"/>
        </w:rPr>
        <w:t>MET-İES</w:t>
      </w:r>
      <w:r w:rsidR="00E56504" w:rsidRPr="00D53A2B">
        <w:rPr>
          <w:rFonts w:eastAsia="Calibri"/>
          <w:lang w:val="en-US" w:eastAsia="en-US"/>
        </w:rPr>
        <w:t>’</w:t>
      </w:r>
      <w:r w:rsidRPr="00D53A2B">
        <w:rPr>
          <w:rFonts w:eastAsia="Calibri"/>
          <w:lang w:val="en-US" w:eastAsia="en-US"/>
        </w:rPr>
        <w:t>ler emisyonun tesisten çıktığı noktada uygulanır.</w:t>
      </w:r>
    </w:p>
    <w:p w14:paraId="62126D19" w14:textId="77777777" w:rsidR="00CF3EC6" w:rsidRPr="00D53A2B" w:rsidRDefault="00CF3EC6">
      <w:pPr>
        <w:jc w:val="both"/>
        <w:rPr>
          <w:rFonts w:eastAsia="Calibri"/>
          <w:lang w:val="en-US" w:eastAsia="en-US"/>
        </w:rPr>
      </w:pPr>
    </w:p>
    <w:p w14:paraId="40F1F7C4" w14:textId="745898FD" w:rsidR="009F4A0D" w:rsidRPr="00D53A2B" w:rsidRDefault="009F4A0D">
      <w:pPr>
        <w:jc w:val="both"/>
        <w:rPr>
          <w:rFonts w:eastAsia="Calibri"/>
          <w:b/>
          <w:bCs/>
          <w:lang w:val="en-US" w:eastAsia="en-US"/>
        </w:rPr>
      </w:pPr>
      <w:r w:rsidRPr="00D53A2B">
        <w:rPr>
          <w:rFonts w:eastAsia="Calibri"/>
          <w:b/>
          <w:bCs/>
          <w:lang w:val="en-US" w:eastAsia="en-US"/>
        </w:rPr>
        <w:t>Mevcut en iyi tekniklerle ilişkili diğer çevresel performans seviyeleri (MET-İÇPS)</w:t>
      </w:r>
    </w:p>
    <w:p w14:paraId="1D096ABB" w14:textId="0968105B" w:rsidR="009F4A0D" w:rsidRPr="00D53A2B" w:rsidRDefault="00B42FFE">
      <w:pPr>
        <w:jc w:val="both"/>
        <w:rPr>
          <w:rFonts w:eastAsia="Calibri"/>
          <w:lang w:val="en-US" w:eastAsia="en-US"/>
        </w:rPr>
      </w:pPr>
      <w:r w:rsidRPr="00D53A2B">
        <w:rPr>
          <w:rFonts w:eastAsia="Calibri"/>
          <w:b/>
          <w:bCs/>
          <w:lang w:val="en-US" w:eastAsia="en-US"/>
        </w:rPr>
        <w:t>Spesifik enerji tüketimine yönelik MET-İÇPS (enerji verimliliği)</w:t>
      </w:r>
    </w:p>
    <w:p w14:paraId="5E76499A" w14:textId="1997E1BC" w:rsidR="009F4A0D" w:rsidRPr="00D53A2B" w:rsidRDefault="00B42FFE">
      <w:pPr>
        <w:jc w:val="both"/>
        <w:rPr>
          <w:rFonts w:eastAsia="Calibri"/>
          <w:lang w:val="en-US" w:eastAsia="en-US"/>
        </w:rPr>
      </w:pPr>
      <w:r w:rsidRPr="00D53A2B">
        <w:rPr>
          <w:rFonts w:eastAsia="Calibri"/>
          <w:lang w:val="en-US" w:eastAsia="en-US"/>
        </w:rPr>
        <w:lastRenderedPageBreak/>
        <w:t>Belirli enerji tüketimine ilişkin MET-İÇPS, aşağıdaki denklem kullanılarak hesaplanan yıllık ortalamaları ifade eder:</w:t>
      </w:r>
    </w:p>
    <w:p w14:paraId="44BF7CF2" w14:textId="321D3D6F" w:rsidR="009F4A0D" w:rsidRPr="00D53A2B" w:rsidRDefault="009F4A0D">
      <w:pPr>
        <w:jc w:val="both"/>
        <w:rPr>
          <w:rFonts w:eastAsia="Calibri"/>
          <w:lang w:val="en-US" w:eastAsia="en-US"/>
        </w:rPr>
      </w:pPr>
    </w:p>
    <w:p w14:paraId="24D1902A" w14:textId="45EF5E15" w:rsidR="009F4A0D" w:rsidRPr="00D53A2B" w:rsidRDefault="005C370B">
      <w:pPr>
        <w:jc w:val="both"/>
        <w:rPr>
          <w:rFonts w:eastAsia="Calibri"/>
          <w:lang w:val="en-US" w:eastAsia="en-US"/>
        </w:rPr>
      </w:pPr>
      <w:r w:rsidRPr="00D53A2B">
        <w:rPr>
          <w:rFonts w:eastAsia="Calibri"/>
          <w:lang w:val="en-US" w:eastAsia="en-US"/>
        </w:rPr>
        <w:t>Enerji tüketimi: İlgili işlem(ler) tarafından tüketilen toplam ısı (birincil enerji kaynaklarından üretilen) ve elektrik miktarı, MJ/yıl veya kWh/yıl olarak ifade edilir.</w:t>
      </w:r>
    </w:p>
    <w:p w14:paraId="1380F9DF" w14:textId="33CAF27C" w:rsidR="005C370B" w:rsidRPr="00D53A2B" w:rsidRDefault="005C370B">
      <w:pPr>
        <w:jc w:val="both"/>
        <w:rPr>
          <w:rFonts w:eastAsia="Calibri"/>
          <w:lang w:val="en-US" w:eastAsia="en-US"/>
        </w:rPr>
      </w:pPr>
      <w:r w:rsidRPr="00D53A2B">
        <w:rPr>
          <w:rFonts w:eastAsia="Calibri"/>
          <w:lang w:val="en-US" w:eastAsia="en-US"/>
        </w:rPr>
        <w:t>Girdi: İşlenen toplam hammadde miktarı, t/yıl olarak ifade edilir.</w:t>
      </w:r>
    </w:p>
    <w:p w14:paraId="28C83DFD" w14:textId="77777777" w:rsidR="005C370B" w:rsidRPr="00D53A2B" w:rsidRDefault="005C370B">
      <w:pPr>
        <w:jc w:val="both"/>
        <w:rPr>
          <w:rFonts w:eastAsia="Calibri"/>
          <w:lang w:val="en-US" w:eastAsia="en-US"/>
        </w:rPr>
      </w:pPr>
    </w:p>
    <w:p w14:paraId="61466502" w14:textId="58426D43" w:rsidR="005C370B" w:rsidRPr="00D53A2B" w:rsidRDefault="005C370B">
      <w:pPr>
        <w:jc w:val="both"/>
        <w:rPr>
          <w:rFonts w:eastAsia="Calibri"/>
          <w:lang w:val="en-US" w:eastAsia="en-US"/>
        </w:rPr>
      </w:pPr>
      <w:r w:rsidRPr="00D53A2B">
        <w:rPr>
          <w:rFonts w:eastAsia="Calibri"/>
          <w:lang w:val="en-US" w:eastAsia="en-US"/>
        </w:rPr>
        <w:t>Hammadde ısıtmasında enerji tüketimi, ilgili prosesteki tüm fırınların tükettiği toplam ısı (birincil enerji kaynaklarından üretilen) ve elektrik miktarına karşılık gelmektedir.</w:t>
      </w:r>
    </w:p>
    <w:p w14:paraId="14EE3AD5" w14:textId="77777777" w:rsidR="005C370B" w:rsidRPr="00D53A2B" w:rsidRDefault="005C370B">
      <w:pPr>
        <w:jc w:val="both"/>
        <w:rPr>
          <w:rFonts w:eastAsia="Calibri"/>
          <w:b/>
          <w:bCs/>
          <w:lang w:val="en-US" w:eastAsia="en-US"/>
        </w:rPr>
      </w:pPr>
    </w:p>
    <w:p w14:paraId="05CE11FE" w14:textId="24DBFB1B" w:rsidR="005C370B" w:rsidRPr="00D53A2B" w:rsidRDefault="005C370B">
      <w:pPr>
        <w:jc w:val="both"/>
        <w:rPr>
          <w:rFonts w:eastAsia="Calibri"/>
          <w:b/>
          <w:bCs/>
          <w:lang w:val="en-US" w:eastAsia="en-US"/>
        </w:rPr>
      </w:pPr>
      <w:r w:rsidRPr="00D53A2B">
        <w:rPr>
          <w:rFonts w:eastAsia="Calibri"/>
          <w:b/>
          <w:bCs/>
          <w:lang w:val="en-US" w:eastAsia="en-US"/>
        </w:rPr>
        <w:t>Spesifik su tüketimine yönelik MET-İÇPS</w:t>
      </w:r>
    </w:p>
    <w:p w14:paraId="33CDC407" w14:textId="65FC8467" w:rsidR="005C370B" w:rsidRPr="00D53A2B" w:rsidRDefault="000D7EFC">
      <w:pPr>
        <w:jc w:val="both"/>
        <w:rPr>
          <w:rFonts w:eastAsia="Calibri"/>
          <w:lang w:val="en-US" w:eastAsia="en-US"/>
        </w:rPr>
      </w:pPr>
      <w:r w:rsidRPr="00D53A2B">
        <w:rPr>
          <w:rFonts w:eastAsia="Calibri"/>
          <w:lang w:val="en-US" w:eastAsia="en-US"/>
        </w:rPr>
        <w:t xml:space="preserve">Spesifik  </w:t>
      </w:r>
      <w:r w:rsidR="005C370B" w:rsidRPr="00D53A2B">
        <w:rPr>
          <w:rFonts w:eastAsia="Calibri"/>
          <w:lang w:val="en-US" w:eastAsia="en-US"/>
        </w:rPr>
        <w:t>su tüketimine ilişkin MET-İÇPS, aşağıdaki denklem kullanılarak hesaplanan yıllık ortalamaları ifade eder:</w:t>
      </w:r>
    </w:p>
    <w:p w14:paraId="14C7B1C5" w14:textId="77777777" w:rsidR="00EC1ED5" w:rsidRPr="00D53A2B" w:rsidRDefault="00EC1ED5">
      <w:pPr>
        <w:jc w:val="both"/>
        <w:rPr>
          <w:rFonts w:eastAsia="Calibri"/>
          <w:lang w:val="en-US" w:eastAsia="en-US"/>
        </w:rPr>
      </w:pPr>
    </w:p>
    <w:p w14:paraId="3AE4CF37" w14:textId="77777777" w:rsidR="00233B3F" w:rsidRDefault="00233B3F">
      <w:pPr>
        <w:spacing w:line="278" w:lineRule="auto"/>
        <w:jc w:val="both"/>
        <w:rPr>
          <w:rFonts w:eastAsia="Aptos"/>
        </w:rPr>
      </w:pPr>
    </w:p>
    <w:p w14:paraId="76EE3191" w14:textId="0C145A91" w:rsidR="00233B3F" w:rsidRDefault="00233B3F">
      <w:pPr>
        <w:spacing w:line="278" w:lineRule="auto"/>
        <w:jc w:val="both"/>
        <w:rPr>
          <w:rFonts w:eastAsia="Aptos"/>
        </w:rPr>
      </w:pPr>
      <m:oMathPara>
        <m:oMath>
          <m:r>
            <w:rPr>
              <w:rFonts w:ascii="Cambria Math" w:hAnsi="Cambria Math"/>
            </w:rPr>
            <m:t>Spesifik su tüketimi=</m:t>
          </m:r>
          <m:f>
            <m:fPr>
              <m:ctrlPr>
                <w:rPr>
                  <w:rFonts w:ascii="Cambria Math" w:eastAsiaTheme="minorEastAsia" w:hAnsi="Cambria Math"/>
                  <w:i/>
                </w:rPr>
              </m:ctrlPr>
            </m:fPr>
            <m:num>
              <m:r>
                <w:rPr>
                  <w:rFonts w:ascii="Cambria Math" w:hAnsi="Cambria Math"/>
                </w:rPr>
                <m:t>su tüketimi</m:t>
              </m:r>
            </m:num>
            <m:den>
              <m:r>
                <w:rPr>
                  <w:rFonts w:ascii="Cambria Math" w:hAnsi="Cambria Math"/>
                </w:rPr>
                <m:t>üretim hızı</m:t>
              </m:r>
            </m:den>
          </m:f>
        </m:oMath>
      </m:oMathPara>
    </w:p>
    <w:p w14:paraId="2AF0778C" w14:textId="77777777" w:rsidR="00233B3F" w:rsidRDefault="00233B3F">
      <w:pPr>
        <w:spacing w:line="278" w:lineRule="auto"/>
        <w:jc w:val="both"/>
        <w:rPr>
          <w:rFonts w:eastAsia="Aptos"/>
        </w:rPr>
      </w:pPr>
    </w:p>
    <w:p w14:paraId="7D86E542" w14:textId="77777777" w:rsidR="00EC1ED5" w:rsidRPr="00D53A2B" w:rsidRDefault="00EC1ED5">
      <w:pPr>
        <w:jc w:val="both"/>
        <w:rPr>
          <w:rFonts w:eastAsia="Calibri"/>
          <w:lang w:val="en-US" w:eastAsia="en-US"/>
        </w:rPr>
      </w:pPr>
    </w:p>
    <w:p w14:paraId="55B94383" w14:textId="60872008" w:rsidR="00EC1ED5" w:rsidRPr="00D53A2B" w:rsidRDefault="00EC1ED5">
      <w:pPr>
        <w:jc w:val="both"/>
        <w:rPr>
          <w:rFonts w:eastAsia="Calibri"/>
          <w:lang w:val="en-US" w:eastAsia="en-US"/>
        </w:rPr>
      </w:pPr>
    </w:p>
    <w:p w14:paraId="5405B0C7" w14:textId="77777777" w:rsidR="00EC1ED5" w:rsidRPr="00D53A2B" w:rsidRDefault="00EC1ED5">
      <w:pPr>
        <w:spacing w:line="354" w:lineRule="exact"/>
        <w:jc w:val="both"/>
        <w:rPr>
          <w:lang w:eastAsia="ja-JP"/>
          <w14:ligatures w14:val="standardContextual"/>
        </w:rPr>
      </w:pPr>
    </w:p>
    <w:p w14:paraId="1308F7FA" w14:textId="78BA4BFA" w:rsidR="000D7EFC" w:rsidRPr="00D53A2B" w:rsidRDefault="000D7EFC">
      <w:pPr>
        <w:spacing w:line="0" w:lineRule="atLeast"/>
        <w:ind w:left="820"/>
        <w:jc w:val="both"/>
        <w:rPr>
          <w:lang w:eastAsia="ja-JP"/>
          <w14:ligatures w14:val="standardContextual"/>
        </w:rPr>
      </w:pPr>
      <w:r w:rsidRPr="00D53A2B">
        <w:rPr>
          <w:lang w:eastAsia="ja-JP"/>
          <w14:ligatures w14:val="standardContextual"/>
        </w:rPr>
        <w:t>Burada:</w:t>
      </w:r>
    </w:p>
    <w:p w14:paraId="5A1DDACE" w14:textId="77777777" w:rsidR="000D7EFC" w:rsidRPr="00D53A2B" w:rsidRDefault="000D7EFC">
      <w:pPr>
        <w:tabs>
          <w:tab w:val="left" w:pos="3680"/>
        </w:tabs>
        <w:spacing w:line="0" w:lineRule="atLeast"/>
        <w:ind w:left="1540"/>
        <w:jc w:val="both"/>
        <w:rPr>
          <w:lang w:eastAsia="ja-JP"/>
          <w14:ligatures w14:val="standardContextual"/>
        </w:rPr>
      </w:pPr>
      <w:r w:rsidRPr="00D53A2B">
        <w:rPr>
          <w:lang w:eastAsia="ja-JP"/>
          <w14:ligatures w14:val="standardContextual"/>
        </w:rPr>
        <w:t>Su tüketimi:</w:t>
      </w:r>
      <w:r w:rsidRPr="00D53A2B">
        <w:rPr>
          <w:lang w:eastAsia="ja-JP"/>
          <w14:ligatures w14:val="standardContextual"/>
        </w:rPr>
        <w:tab/>
        <w:t>aşağıdakiler hariç tesisin tükettiği toplam su miktarı:</w:t>
      </w:r>
    </w:p>
    <w:p w14:paraId="465FF863" w14:textId="77777777" w:rsidR="000D7EFC" w:rsidRPr="00D53A2B" w:rsidRDefault="000D7EFC">
      <w:pPr>
        <w:spacing w:line="16" w:lineRule="exact"/>
        <w:jc w:val="both"/>
        <w:rPr>
          <w:lang w:eastAsia="ja-JP"/>
          <w14:ligatures w14:val="standardContextual"/>
        </w:rPr>
      </w:pPr>
    </w:p>
    <w:p w14:paraId="6AC8C8DA" w14:textId="77777777" w:rsidR="000D7EFC" w:rsidRPr="00D53A2B" w:rsidRDefault="000D7EFC">
      <w:pPr>
        <w:tabs>
          <w:tab w:val="left" w:pos="4060"/>
        </w:tabs>
        <w:spacing w:line="0" w:lineRule="atLeast"/>
        <w:ind w:left="3720"/>
        <w:jc w:val="both"/>
        <w:rPr>
          <w:lang w:eastAsia="ja-JP"/>
          <w14:ligatures w14:val="standardContextual"/>
        </w:rPr>
      </w:pPr>
      <w:r w:rsidRPr="00D53A2B">
        <w:rPr>
          <w:rFonts w:eastAsia="Arial"/>
          <w:lang w:eastAsia="ja-JP"/>
          <w14:ligatures w14:val="standardContextual"/>
        </w:rPr>
        <w:t>•</w:t>
      </w:r>
      <w:r w:rsidRPr="00D53A2B">
        <w:rPr>
          <w:lang w:eastAsia="ja-JP"/>
          <w14:ligatures w14:val="standardContextual"/>
        </w:rPr>
        <w:tab/>
        <w:t>geri dönüştürülen ve yeniden kullanılan su</w:t>
      </w:r>
    </w:p>
    <w:p w14:paraId="33CE39B3" w14:textId="77777777" w:rsidR="000D7EFC" w:rsidRPr="00D53A2B" w:rsidRDefault="000D7EFC">
      <w:pPr>
        <w:spacing w:line="15" w:lineRule="exact"/>
        <w:jc w:val="both"/>
        <w:rPr>
          <w:lang w:eastAsia="ja-JP"/>
          <w14:ligatures w14:val="standardContextual"/>
        </w:rPr>
      </w:pPr>
    </w:p>
    <w:p w14:paraId="09884E17" w14:textId="77777777" w:rsidR="000D7EFC" w:rsidRPr="00D53A2B" w:rsidRDefault="000D7EFC">
      <w:pPr>
        <w:tabs>
          <w:tab w:val="left" w:pos="4060"/>
        </w:tabs>
        <w:spacing w:line="0" w:lineRule="atLeast"/>
        <w:ind w:left="3720"/>
        <w:jc w:val="both"/>
        <w:rPr>
          <w:lang w:eastAsia="ja-JP"/>
          <w14:ligatures w14:val="standardContextual"/>
        </w:rPr>
      </w:pPr>
      <w:r w:rsidRPr="00D53A2B">
        <w:rPr>
          <w:rFonts w:eastAsia="Arial"/>
          <w:lang w:eastAsia="ja-JP"/>
          <w14:ligatures w14:val="standardContextual"/>
        </w:rPr>
        <w:t>•</w:t>
      </w:r>
      <w:r w:rsidRPr="00D53A2B">
        <w:rPr>
          <w:lang w:eastAsia="ja-JP"/>
          <w14:ligatures w14:val="standardContextual"/>
        </w:rPr>
        <w:tab/>
        <w:t>açık devre soğutma sistemlerinde kullanılan soğutma suyu</w:t>
      </w:r>
    </w:p>
    <w:p w14:paraId="4D287576" w14:textId="77777777" w:rsidR="000D7EFC" w:rsidRPr="00D53A2B" w:rsidRDefault="000D7EFC">
      <w:pPr>
        <w:spacing w:line="5" w:lineRule="exact"/>
        <w:jc w:val="both"/>
        <w:rPr>
          <w:lang w:eastAsia="ja-JP"/>
          <w14:ligatures w14:val="standardContextual"/>
        </w:rPr>
      </w:pPr>
    </w:p>
    <w:p w14:paraId="242F170C" w14:textId="77777777" w:rsidR="000D7EFC" w:rsidRPr="00D53A2B" w:rsidRDefault="000D7EFC">
      <w:pPr>
        <w:tabs>
          <w:tab w:val="left" w:pos="4060"/>
        </w:tabs>
        <w:spacing w:line="0" w:lineRule="atLeast"/>
        <w:ind w:left="3720"/>
        <w:jc w:val="both"/>
        <w:rPr>
          <w:lang w:eastAsia="ja-JP"/>
          <w14:ligatures w14:val="standardContextual"/>
        </w:rPr>
      </w:pPr>
      <w:r w:rsidRPr="00D53A2B">
        <w:rPr>
          <w:rFonts w:eastAsia="Arial"/>
          <w:lang w:eastAsia="ja-JP"/>
          <w14:ligatures w14:val="standardContextual"/>
        </w:rPr>
        <w:t>•</w:t>
      </w:r>
      <w:r w:rsidRPr="00D53A2B">
        <w:rPr>
          <w:lang w:eastAsia="ja-JP"/>
          <w14:ligatures w14:val="standardContextual"/>
        </w:rPr>
        <w:tab/>
        <w:t>ev tipi kullanım suyu</w:t>
      </w:r>
    </w:p>
    <w:p w14:paraId="3D93DF68" w14:textId="77777777" w:rsidR="000D7EFC" w:rsidRPr="00D53A2B" w:rsidRDefault="000D7EFC">
      <w:pPr>
        <w:spacing w:line="0" w:lineRule="atLeast"/>
        <w:ind w:right="-299"/>
        <w:jc w:val="both"/>
        <w:rPr>
          <w:lang w:eastAsia="ja-JP"/>
          <w14:ligatures w14:val="standardContextual"/>
        </w:rPr>
      </w:pPr>
      <w:r w:rsidRPr="00D53A2B">
        <w:rPr>
          <w:lang w:eastAsia="ja-JP"/>
          <w14:ligatures w14:val="standardContextual"/>
        </w:rPr>
        <w:t>m</w:t>
      </w:r>
      <w:r w:rsidRPr="00D53A2B">
        <w:rPr>
          <w:vertAlign w:val="superscript"/>
          <w:lang w:eastAsia="ja-JP"/>
          <w14:ligatures w14:val="standardContextual"/>
        </w:rPr>
        <w:t>3</w:t>
      </w:r>
      <w:r w:rsidRPr="00D53A2B">
        <w:rPr>
          <w:lang w:eastAsia="ja-JP"/>
          <w14:ligatures w14:val="standardContextual"/>
        </w:rPr>
        <w:t>/yıl olarak ifade edilir ve</w:t>
      </w:r>
    </w:p>
    <w:p w14:paraId="6CEE6D86" w14:textId="77777777" w:rsidR="000D7EFC" w:rsidRPr="00D53A2B" w:rsidRDefault="000D7EFC">
      <w:pPr>
        <w:spacing w:line="192" w:lineRule="exact"/>
        <w:jc w:val="both"/>
        <w:rPr>
          <w:lang w:eastAsia="ja-JP"/>
          <w14:ligatures w14:val="standardContextual"/>
        </w:rPr>
      </w:pPr>
    </w:p>
    <w:p w14:paraId="11EC983B" w14:textId="77777777" w:rsidR="000D7EFC" w:rsidRPr="00D53A2B" w:rsidRDefault="000D7EFC">
      <w:pPr>
        <w:tabs>
          <w:tab w:val="left" w:pos="3680"/>
        </w:tabs>
        <w:spacing w:line="0" w:lineRule="atLeast"/>
        <w:ind w:left="1540"/>
        <w:jc w:val="both"/>
        <w:rPr>
          <w:lang w:eastAsia="ja-JP"/>
          <w14:ligatures w14:val="standardContextual"/>
        </w:rPr>
      </w:pPr>
      <w:r w:rsidRPr="00D53A2B">
        <w:rPr>
          <w:lang w:eastAsia="ja-JP"/>
          <w14:ligatures w14:val="standardContextual"/>
        </w:rPr>
        <w:t>Üretim hızı:</w:t>
      </w:r>
      <w:r w:rsidRPr="00D53A2B">
        <w:rPr>
          <w:lang w:eastAsia="ja-JP"/>
          <w14:ligatures w14:val="standardContextual"/>
        </w:rPr>
        <w:tab/>
        <w:t xml:space="preserve">t/yıl olarak ifade edilen ve tesisin ürettiği toplam ürün miktarı. </w:t>
      </w:r>
    </w:p>
    <w:p w14:paraId="7FDF8610" w14:textId="77777777" w:rsidR="000D7EFC" w:rsidRPr="00D53A2B" w:rsidRDefault="000D7EFC">
      <w:pPr>
        <w:jc w:val="both"/>
        <w:rPr>
          <w:rFonts w:eastAsia="Calibri"/>
          <w:lang w:val="en-US" w:eastAsia="en-US"/>
        </w:rPr>
      </w:pPr>
    </w:p>
    <w:p w14:paraId="0DE3D1BC" w14:textId="411D5903" w:rsidR="005C370B" w:rsidRPr="00D53A2B" w:rsidRDefault="005C370B">
      <w:pPr>
        <w:jc w:val="both"/>
        <w:rPr>
          <w:rFonts w:eastAsia="Calibri"/>
          <w:lang w:val="en-US" w:eastAsia="en-US"/>
        </w:rPr>
      </w:pPr>
    </w:p>
    <w:p w14:paraId="355D28CF" w14:textId="77777777" w:rsidR="005C370B" w:rsidRPr="00D53A2B" w:rsidRDefault="005C370B">
      <w:pPr>
        <w:jc w:val="both"/>
        <w:rPr>
          <w:rFonts w:eastAsia="Calibri"/>
          <w:lang w:val="en-US" w:eastAsia="en-US"/>
        </w:rPr>
      </w:pPr>
      <w:r w:rsidRPr="00D53A2B">
        <w:rPr>
          <w:rFonts w:eastAsia="Calibri"/>
          <w:lang w:val="en-US" w:eastAsia="en-US"/>
        </w:rPr>
        <w:t>su tüketimi, tesisin tükettiği toplam su miktarı hariç:</w:t>
      </w:r>
    </w:p>
    <w:p w14:paraId="55BD34F4" w14:textId="77777777" w:rsidR="005C370B" w:rsidRPr="00D53A2B" w:rsidRDefault="005C370B">
      <w:pPr>
        <w:pStyle w:val="ListeParagraf"/>
        <w:numPr>
          <w:ilvl w:val="0"/>
          <w:numId w:val="235"/>
        </w:numPr>
        <w:tabs>
          <w:tab w:val="clear" w:pos="567"/>
        </w:tabs>
        <w:ind w:left="426" w:hanging="426"/>
        <w:rPr>
          <w:rFonts w:eastAsia="Calibri"/>
          <w:sz w:val="24"/>
          <w:szCs w:val="24"/>
        </w:rPr>
      </w:pPr>
      <w:r w:rsidRPr="00D53A2B">
        <w:rPr>
          <w:rFonts w:eastAsia="Calibri"/>
          <w:sz w:val="24"/>
          <w:szCs w:val="24"/>
        </w:rPr>
        <w:t>geri dönüştürülmüş ve yeniden kullanılmış su ve</w:t>
      </w:r>
    </w:p>
    <w:p w14:paraId="4979E120" w14:textId="77777777" w:rsidR="005C370B" w:rsidRPr="00D53A2B" w:rsidRDefault="005C370B">
      <w:pPr>
        <w:pStyle w:val="ListeParagraf"/>
        <w:numPr>
          <w:ilvl w:val="0"/>
          <w:numId w:val="235"/>
        </w:numPr>
        <w:tabs>
          <w:tab w:val="clear" w:pos="567"/>
        </w:tabs>
        <w:ind w:left="426" w:hanging="426"/>
        <w:rPr>
          <w:rFonts w:eastAsia="Calibri"/>
          <w:sz w:val="24"/>
          <w:szCs w:val="24"/>
        </w:rPr>
      </w:pPr>
      <w:r w:rsidRPr="00D53A2B">
        <w:rPr>
          <w:rFonts w:eastAsia="Calibri"/>
          <w:sz w:val="24"/>
          <w:szCs w:val="24"/>
        </w:rPr>
        <w:t xml:space="preserve"> tek geçişli soğutma sistemlerinde kullanılan soğutma suyu ve</w:t>
      </w:r>
    </w:p>
    <w:p w14:paraId="161F0F3A" w14:textId="594865E5" w:rsidR="005C370B" w:rsidRPr="00D53A2B" w:rsidRDefault="005C370B">
      <w:pPr>
        <w:pStyle w:val="ListeParagraf"/>
        <w:numPr>
          <w:ilvl w:val="0"/>
          <w:numId w:val="235"/>
        </w:numPr>
        <w:tabs>
          <w:tab w:val="clear" w:pos="567"/>
        </w:tabs>
        <w:ind w:left="426" w:hanging="426"/>
        <w:rPr>
          <w:rFonts w:eastAsia="Calibri"/>
          <w:sz w:val="24"/>
          <w:szCs w:val="24"/>
        </w:rPr>
      </w:pPr>
      <w:r w:rsidRPr="00D53A2B">
        <w:rPr>
          <w:rFonts w:eastAsia="Calibri"/>
          <w:sz w:val="24"/>
          <w:szCs w:val="24"/>
        </w:rPr>
        <w:t>ev tipi kullanım için su,</w:t>
      </w:r>
    </w:p>
    <w:p w14:paraId="5599FD12" w14:textId="4097D9CB" w:rsidR="009F4A0D" w:rsidRPr="00D53A2B" w:rsidRDefault="005C370B">
      <w:pPr>
        <w:jc w:val="both"/>
        <w:rPr>
          <w:rFonts w:eastAsia="Calibri"/>
          <w:lang w:val="en-US" w:eastAsia="en-US"/>
        </w:rPr>
      </w:pPr>
      <w:r w:rsidRPr="00D53A2B">
        <w:rPr>
          <w:rFonts w:eastAsia="Calibri"/>
          <w:lang w:val="en-US" w:eastAsia="en-US"/>
        </w:rPr>
        <w:t>m</w:t>
      </w:r>
      <w:r w:rsidRPr="00D53A2B">
        <w:rPr>
          <w:rFonts w:eastAsia="Calibri"/>
          <w:vertAlign w:val="superscript"/>
          <w:lang w:val="en-US" w:eastAsia="en-US"/>
        </w:rPr>
        <w:t>3</w:t>
      </w:r>
      <w:r w:rsidRPr="00D53A2B">
        <w:rPr>
          <w:rFonts w:eastAsia="Calibri"/>
          <w:lang w:val="en-US" w:eastAsia="en-US"/>
        </w:rPr>
        <w:t>/yıl olarak ifade edilir; ve</w:t>
      </w:r>
    </w:p>
    <w:p w14:paraId="660D7976" w14:textId="4694EDC8" w:rsidR="009F4A0D" w:rsidRPr="00D53A2B" w:rsidRDefault="005C370B">
      <w:pPr>
        <w:jc w:val="both"/>
        <w:rPr>
          <w:rFonts w:eastAsia="Calibri"/>
          <w:lang w:val="en-US" w:eastAsia="en-US"/>
        </w:rPr>
      </w:pPr>
      <w:r w:rsidRPr="00D53A2B">
        <w:rPr>
          <w:rFonts w:eastAsia="Calibri"/>
          <w:lang w:val="en-US" w:eastAsia="en-US"/>
        </w:rPr>
        <w:t>Üretim hızı: tesisin ürettiği toplam ürün miktarı, t/yıl olarak ifade edilir.</w:t>
      </w:r>
    </w:p>
    <w:p w14:paraId="5918C640" w14:textId="77777777" w:rsidR="009F4A0D" w:rsidRPr="00D53A2B" w:rsidRDefault="009F4A0D">
      <w:pPr>
        <w:jc w:val="both"/>
        <w:rPr>
          <w:rFonts w:eastAsia="Calibri"/>
          <w:lang w:val="en-US" w:eastAsia="en-US"/>
        </w:rPr>
      </w:pPr>
    </w:p>
    <w:p w14:paraId="07F49F77" w14:textId="237045CD" w:rsidR="005C370B" w:rsidRPr="00D53A2B" w:rsidRDefault="00510CAD">
      <w:pPr>
        <w:jc w:val="both"/>
        <w:rPr>
          <w:rFonts w:eastAsia="Calibri"/>
          <w:b/>
          <w:bCs/>
          <w:lang w:val="en-US" w:eastAsia="en-US"/>
        </w:rPr>
      </w:pPr>
      <w:r w:rsidRPr="00D53A2B">
        <w:rPr>
          <w:rFonts w:eastAsia="Calibri"/>
          <w:b/>
          <w:bCs/>
          <w:lang w:val="en-US" w:eastAsia="en-US"/>
        </w:rPr>
        <w:t xml:space="preserve">Spesifik </w:t>
      </w:r>
      <w:r w:rsidR="005C370B" w:rsidRPr="00D53A2B">
        <w:rPr>
          <w:rFonts w:eastAsia="Calibri"/>
          <w:b/>
          <w:bCs/>
          <w:lang w:val="en-US" w:eastAsia="en-US"/>
        </w:rPr>
        <w:t>malzeme tüketimine yönelik MET-İÇPS</w:t>
      </w:r>
    </w:p>
    <w:p w14:paraId="6202B671" w14:textId="25328FE8" w:rsidR="002D60D9" w:rsidRPr="00D53A2B" w:rsidRDefault="00510CAD">
      <w:pPr>
        <w:jc w:val="both"/>
        <w:rPr>
          <w:rFonts w:eastAsia="Calibri"/>
          <w:lang w:val="en-US" w:eastAsia="en-US"/>
        </w:rPr>
      </w:pPr>
      <w:r w:rsidRPr="00D53A2B">
        <w:rPr>
          <w:rFonts w:eastAsia="Calibri"/>
          <w:lang w:val="en-US" w:eastAsia="en-US"/>
        </w:rPr>
        <w:t xml:space="preserve">spesifik </w:t>
      </w:r>
      <w:r w:rsidR="005C370B" w:rsidRPr="00D53A2B">
        <w:rPr>
          <w:rFonts w:eastAsia="Calibri"/>
          <w:lang w:val="en-US" w:eastAsia="en-US"/>
        </w:rPr>
        <w:t>malzeme tüketimine ilişkin MET-İÇPS, aşağıdaki denklem kullanılarak hesaplanan 3 yıllık ortalamaları ifade eder:</w:t>
      </w:r>
    </w:p>
    <w:p w14:paraId="11E7A3DA" w14:textId="77777777" w:rsidR="007A5922" w:rsidRPr="00D53A2B" w:rsidRDefault="007A5922">
      <w:pPr>
        <w:jc w:val="both"/>
        <w:rPr>
          <w:rFonts w:eastAsia="Calibri"/>
          <w:lang w:val="en-US" w:eastAsia="en-US"/>
        </w:rPr>
      </w:pPr>
    </w:p>
    <w:p w14:paraId="07F65A1C" w14:textId="26296411" w:rsidR="007A5922" w:rsidRDefault="007A5922">
      <w:pPr>
        <w:jc w:val="both"/>
        <w:rPr>
          <w:rFonts w:eastAsia="Calibri"/>
          <w:lang w:val="en-US" w:eastAsia="en-US"/>
        </w:rPr>
      </w:pPr>
      <w:r w:rsidRPr="007F3946">
        <w:rPr>
          <w:rFonts w:eastAsia="Calibri"/>
          <w:strike/>
          <w:noProof/>
        </w:rPr>
        <w:lastRenderedPageBreak/>
        <w:drawing>
          <wp:inline distT="0" distB="0" distL="0" distR="0" wp14:anchorId="0436D748" wp14:editId="4B86D08B">
            <wp:extent cx="5760720" cy="962952"/>
            <wp:effectExtent l="0" t="0" r="0" b="0"/>
            <wp:docPr id="62884741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4723" cy="966964"/>
                    </a:xfrm>
                    <a:prstGeom prst="rect">
                      <a:avLst/>
                    </a:prstGeom>
                    <a:noFill/>
                    <a:ln>
                      <a:noFill/>
                    </a:ln>
                  </pic:spPr>
                </pic:pic>
              </a:graphicData>
            </a:graphic>
          </wp:inline>
        </w:drawing>
      </w:r>
    </w:p>
    <w:p w14:paraId="1CF094DA" w14:textId="15A4991C" w:rsidR="007F3946" w:rsidRDefault="007F3946">
      <w:pPr>
        <w:jc w:val="both"/>
        <w:rPr>
          <w:rFonts w:eastAsia="Calibri"/>
          <w:lang w:val="en-US" w:eastAsia="en-US"/>
        </w:rPr>
      </w:pPr>
    </w:p>
    <w:p w14:paraId="1D69791E" w14:textId="77777777" w:rsidR="007F3946" w:rsidRDefault="007F3946">
      <w:pPr>
        <w:spacing w:line="278" w:lineRule="auto"/>
        <w:jc w:val="both"/>
        <w:rPr>
          <w:rFonts w:eastAsia="Aptos"/>
        </w:rPr>
      </w:pPr>
    </w:p>
    <w:p w14:paraId="72582606" w14:textId="77488FD5" w:rsidR="007F3946" w:rsidRPr="00ED56B1" w:rsidRDefault="007F3946">
      <w:pPr>
        <w:spacing w:line="278" w:lineRule="auto"/>
        <w:jc w:val="both"/>
        <w:rPr>
          <w:rFonts w:eastAsia="Aptos"/>
          <w:iCs/>
        </w:rPr>
      </w:pPr>
      <w:r w:rsidRPr="00096502">
        <w:rPr>
          <w:rFonts w:eastAsia="Aptos"/>
          <w:kern w:val="2"/>
          <w:lang w:eastAsia="en-US"/>
          <w14:ligatures w14:val="standardContextual"/>
        </w:rPr>
        <w:t xml:space="preserve"> </w:t>
      </w:r>
      <m:oMath>
        <m:r>
          <m:rPr>
            <m:sty m:val="p"/>
          </m:rPr>
          <w:rPr>
            <w:rFonts w:ascii="Cambria Math" w:hAnsi="Cambria Math"/>
          </w:rPr>
          <m:t>Spesifik malzeme tüketimi=</m:t>
        </m:r>
        <m:f>
          <m:fPr>
            <m:ctrlPr>
              <w:rPr>
                <w:rFonts w:ascii="Cambria Math" w:eastAsiaTheme="minorEastAsia" w:hAnsi="Cambria Math"/>
                <w:iCs/>
              </w:rPr>
            </m:ctrlPr>
          </m:fPr>
          <m:num>
            <m:r>
              <m:rPr>
                <m:sty m:val="p"/>
              </m:rPr>
              <w:rPr>
                <w:rFonts w:ascii="Cambria Math" w:hAnsi="Cambria Math"/>
              </w:rPr>
              <m:t>malzeme tüketimi</m:t>
            </m:r>
          </m:num>
          <m:den>
            <m:r>
              <m:rPr>
                <m:sty m:val="p"/>
              </m:rPr>
              <w:rPr>
                <w:rFonts w:ascii="Cambria Math" w:hAnsi="Cambria Math"/>
              </w:rPr>
              <m:t>üretim miktarı</m:t>
            </m:r>
          </m:den>
        </m:f>
      </m:oMath>
    </w:p>
    <w:p w14:paraId="669280F1" w14:textId="77777777" w:rsidR="007F3946" w:rsidRPr="00ED56B1" w:rsidRDefault="007F3946">
      <w:pPr>
        <w:jc w:val="both"/>
        <w:rPr>
          <w:rFonts w:eastAsia="Calibri"/>
          <w:iCs/>
          <w:lang w:val="en-US" w:eastAsia="en-US"/>
        </w:rPr>
      </w:pPr>
    </w:p>
    <w:p w14:paraId="0217DEC7" w14:textId="5B7F9BEB" w:rsidR="005C370B" w:rsidRPr="00D53A2B" w:rsidRDefault="005C370B">
      <w:pPr>
        <w:jc w:val="both"/>
        <w:rPr>
          <w:rFonts w:eastAsia="Calibri"/>
          <w:lang w:val="en-US" w:eastAsia="en-US"/>
        </w:rPr>
      </w:pPr>
    </w:p>
    <w:p w14:paraId="30B8A253" w14:textId="6170194B" w:rsidR="005C370B" w:rsidRPr="00D53A2B" w:rsidRDefault="005C370B">
      <w:pPr>
        <w:jc w:val="both"/>
        <w:rPr>
          <w:rFonts w:eastAsia="Calibri"/>
          <w:lang w:val="en-US" w:eastAsia="en-US"/>
        </w:rPr>
      </w:pPr>
      <w:r w:rsidRPr="00D53A2B">
        <w:rPr>
          <w:rFonts w:eastAsia="Calibri"/>
          <w:lang w:val="en-US" w:eastAsia="en-US"/>
        </w:rPr>
        <w:t>malzeme tüketimi: ilgili işlem(ler) tarafından tüketilen toplam malzeme miktarının 3 yıllık ortalaması, kg/yıl olarak ifade edilir; ve</w:t>
      </w:r>
    </w:p>
    <w:p w14:paraId="747EADF3" w14:textId="1AD872DD" w:rsidR="005C370B" w:rsidRPr="00D53A2B" w:rsidRDefault="005C370B">
      <w:pPr>
        <w:jc w:val="both"/>
        <w:rPr>
          <w:rFonts w:eastAsia="Calibri"/>
          <w:lang w:val="en-US" w:eastAsia="en-US"/>
        </w:rPr>
      </w:pPr>
      <w:r w:rsidRPr="00D53A2B">
        <w:rPr>
          <w:rFonts w:eastAsia="Calibri"/>
          <w:lang w:val="en-US" w:eastAsia="en-US"/>
        </w:rPr>
        <w:t>girdi: işlenen toplam hammadde miktarının 3 yıllık ortalaması, t/yıl veya m</w:t>
      </w:r>
      <w:r w:rsidRPr="00D53A2B">
        <w:rPr>
          <w:rFonts w:eastAsia="Calibri"/>
          <w:vertAlign w:val="superscript"/>
          <w:lang w:val="en-US" w:eastAsia="en-US"/>
        </w:rPr>
        <w:t>2</w:t>
      </w:r>
      <w:r w:rsidRPr="00D53A2B">
        <w:rPr>
          <w:rFonts w:eastAsia="Calibri"/>
          <w:lang w:val="en-US" w:eastAsia="en-US"/>
        </w:rPr>
        <w:t>/yıl olarak ifade edilir.</w:t>
      </w:r>
    </w:p>
    <w:p w14:paraId="32FCFCD2" w14:textId="77777777" w:rsidR="000D45FF" w:rsidRPr="00D53A2B" w:rsidRDefault="000D45FF">
      <w:pPr>
        <w:jc w:val="both"/>
        <w:rPr>
          <w:rFonts w:eastAsia="Calibri"/>
          <w:lang w:val="en-US" w:eastAsia="en-US"/>
        </w:rPr>
      </w:pPr>
    </w:p>
    <w:p w14:paraId="3AD38B47" w14:textId="77777777" w:rsidR="00FE2879" w:rsidRPr="00D53A2B" w:rsidRDefault="00FE2879">
      <w:pPr>
        <w:pStyle w:val="Balk3"/>
        <w:rPr>
          <w:rFonts w:eastAsia="Calibri" w:cs="Times New Roman"/>
          <w:lang w:val="en-US" w:eastAsia="en-US"/>
        </w:rPr>
      </w:pPr>
      <w:r w:rsidRPr="00D53A2B">
        <w:rPr>
          <w:rFonts w:eastAsia="Calibri" w:cs="Times New Roman"/>
          <w:lang w:val="en-US" w:eastAsia="en-US"/>
        </w:rPr>
        <w:t>3. Demir Dışı Metal Endüstrisi</w:t>
      </w:r>
    </w:p>
    <w:p w14:paraId="500B0DFB" w14:textId="77777777" w:rsidR="00CA220F" w:rsidRPr="00D53A2B" w:rsidRDefault="00CA220F">
      <w:pPr>
        <w:jc w:val="both"/>
        <w:rPr>
          <w:rFonts w:eastAsia="Calibri"/>
          <w:b/>
          <w:bCs/>
          <w:lang w:val="en-US" w:eastAsia="en-US"/>
        </w:rPr>
      </w:pPr>
      <w:r w:rsidRPr="00D53A2B">
        <w:rPr>
          <w:rFonts w:eastAsia="Calibri"/>
          <w:b/>
          <w:bCs/>
          <w:lang w:val="en-US" w:eastAsia="en-US"/>
        </w:rPr>
        <w:t>Mevcut En İyi Teknikler</w:t>
      </w:r>
    </w:p>
    <w:p w14:paraId="53244514" w14:textId="77777777" w:rsidR="00CA220F" w:rsidRPr="00D53A2B" w:rsidRDefault="00CA220F">
      <w:pPr>
        <w:jc w:val="both"/>
        <w:rPr>
          <w:rFonts w:eastAsia="Calibri"/>
          <w:lang w:val="en-US" w:eastAsia="en-US"/>
        </w:rPr>
      </w:pPr>
      <w:r w:rsidRPr="00D53A2B">
        <w:rPr>
          <w:rFonts w:eastAsia="Calibri"/>
          <w:lang w:val="en-US" w:eastAsia="en-US"/>
        </w:rPr>
        <w:t>Bu MET sonuçlarında listelenen ve açıklanan teknikler ne kural koyucu ne de kapsamlıdır. En azından eşdeğer düzeyde çevre korumasını garanti altına alan başka teknikler de kullanılabilir.</w:t>
      </w:r>
    </w:p>
    <w:p w14:paraId="317AE383" w14:textId="77777777" w:rsidR="00CA220F" w:rsidRPr="00D53A2B" w:rsidRDefault="00CA220F">
      <w:pPr>
        <w:jc w:val="both"/>
        <w:rPr>
          <w:rFonts w:eastAsia="Calibri"/>
          <w:lang w:val="en-US" w:eastAsia="en-US"/>
        </w:rPr>
      </w:pPr>
      <w:r w:rsidRPr="00D53A2B">
        <w:rPr>
          <w:rFonts w:eastAsia="Calibri"/>
          <w:lang w:val="en-US" w:eastAsia="en-US"/>
        </w:rPr>
        <w:t>Aksi belirtilmediği takdirde MET sonuçları genel olarak geçerlidir.</w:t>
      </w:r>
    </w:p>
    <w:p w14:paraId="1F99943A" w14:textId="77777777" w:rsidR="005C370B" w:rsidRPr="00D53A2B" w:rsidRDefault="005C370B">
      <w:pPr>
        <w:jc w:val="both"/>
        <w:rPr>
          <w:rFonts w:eastAsia="Calibri"/>
          <w:lang w:val="en-US" w:eastAsia="en-US"/>
        </w:rPr>
      </w:pPr>
    </w:p>
    <w:p w14:paraId="371CE4B2" w14:textId="0A52C933" w:rsidR="00CA220F" w:rsidRPr="00D53A2B" w:rsidRDefault="00CA220F">
      <w:pPr>
        <w:jc w:val="both"/>
        <w:rPr>
          <w:rFonts w:eastAsia="Calibri"/>
          <w:b/>
          <w:bCs/>
          <w:lang w:val="en-US" w:eastAsia="en-US"/>
        </w:rPr>
      </w:pPr>
      <w:r w:rsidRPr="00D53A2B">
        <w:rPr>
          <w:rFonts w:eastAsia="Calibri"/>
          <w:b/>
          <w:bCs/>
          <w:lang w:val="en-US" w:eastAsia="en-US"/>
        </w:rPr>
        <w:t>MET ile ilişkili havaya yönelik emisyon seviyeleri</w:t>
      </w:r>
    </w:p>
    <w:p w14:paraId="02853DEF" w14:textId="5E5D5484" w:rsidR="00FE2879" w:rsidRPr="009E053F" w:rsidRDefault="00CA220F">
      <w:pPr>
        <w:jc w:val="both"/>
        <w:rPr>
          <w:rFonts w:eastAsia="Calibri"/>
          <w:lang w:val="en-US" w:eastAsia="en-US"/>
        </w:rPr>
      </w:pPr>
      <w:r w:rsidRPr="00D53A2B">
        <w:rPr>
          <w:rFonts w:eastAsia="Calibri"/>
          <w:lang w:val="en-US" w:eastAsia="en-US"/>
        </w:rPr>
        <w:t>Bu MET sonuçlarında havaya emisyonlar için en iyi mevcut tekniklerle ilişkili emisyon seviyeleri (MET-İES) standart koşullara</w:t>
      </w:r>
      <w:r w:rsidR="009E053F">
        <w:rPr>
          <w:rFonts w:eastAsia="Calibri"/>
          <w:lang w:val="en-US" w:eastAsia="en-US"/>
        </w:rPr>
        <w:t xml:space="preserve"> </w:t>
      </w:r>
      <w:r w:rsidR="009E053F" w:rsidRPr="00096502">
        <w:rPr>
          <w:rFonts w:eastAsia="Calibri"/>
          <w:lang w:val="en-US" w:eastAsia="en-US"/>
        </w:rPr>
        <w:t xml:space="preserve">(273,15 K sıcaklıkta ve 101,3 kPa basınçta kuru gaz.) </w:t>
      </w:r>
      <w:r w:rsidRPr="00D53A2B">
        <w:rPr>
          <w:rFonts w:eastAsia="Calibri"/>
          <w:lang w:val="en-US" w:eastAsia="en-US"/>
        </w:rPr>
        <w:t>atıfta bulunmaktadır:</w:t>
      </w:r>
    </w:p>
    <w:p w14:paraId="0824B51D" w14:textId="77777777" w:rsidR="00FE2879" w:rsidRPr="00D53A2B" w:rsidRDefault="00FE2879">
      <w:pPr>
        <w:jc w:val="both"/>
        <w:rPr>
          <w:rFonts w:eastAsia="Calibri"/>
          <w:lang w:val="en-US" w:eastAsia="en-US"/>
        </w:rPr>
      </w:pPr>
    </w:p>
    <w:p w14:paraId="7EE49B81" w14:textId="0086C05E" w:rsidR="00FE2879" w:rsidRPr="00D53A2B" w:rsidRDefault="00CA220F">
      <w:pPr>
        <w:jc w:val="both"/>
        <w:rPr>
          <w:rFonts w:eastAsia="Calibri"/>
          <w:b/>
          <w:bCs/>
          <w:lang w:val="en-US" w:eastAsia="en-US"/>
        </w:rPr>
      </w:pPr>
      <w:r w:rsidRPr="00D53A2B">
        <w:rPr>
          <w:rFonts w:eastAsia="Calibri"/>
          <w:b/>
          <w:bCs/>
          <w:lang w:val="en-US" w:eastAsia="en-US"/>
        </w:rPr>
        <w:t>Havaya verilen emisyonların ortalama süreleri</w:t>
      </w:r>
    </w:p>
    <w:p w14:paraId="4D989D06" w14:textId="1FA9679D" w:rsidR="00FE2879" w:rsidRPr="00D53A2B" w:rsidRDefault="00CA220F">
      <w:pPr>
        <w:jc w:val="both"/>
        <w:rPr>
          <w:rFonts w:eastAsia="Calibri"/>
          <w:lang w:val="en-US" w:eastAsia="en-US"/>
        </w:rPr>
      </w:pPr>
      <w:r w:rsidRPr="00D53A2B">
        <w:rPr>
          <w:rFonts w:eastAsia="Calibri"/>
          <w:lang w:val="en-US" w:eastAsia="en-US"/>
        </w:rPr>
        <w:t>Havaya salınan emisyonların ortalama dönemleri için aşağıdaki tanımlar geçerlidir.</w:t>
      </w:r>
    </w:p>
    <w:tbl>
      <w:tblPr>
        <w:tblStyle w:val="TabloKlavuzu7"/>
        <w:tblW w:w="5000" w:type="pct"/>
        <w:tblLook w:val="04A0" w:firstRow="1" w:lastRow="0" w:firstColumn="1" w:lastColumn="0" w:noHBand="0" w:noVBand="1"/>
      </w:tblPr>
      <w:tblGrid>
        <w:gridCol w:w="1830"/>
        <w:gridCol w:w="6792"/>
      </w:tblGrid>
      <w:tr w:rsidR="008179C3" w:rsidRPr="00D53A2B" w14:paraId="15D65B77" w14:textId="77777777" w:rsidTr="009077F5">
        <w:tc>
          <w:tcPr>
            <w:tcW w:w="1061" w:type="pct"/>
          </w:tcPr>
          <w:p w14:paraId="2BEC35EE" w14:textId="088757D9" w:rsidR="00CA220F" w:rsidRPr="00D53A2B" w:rsidRDefault="00CA220F">
            <w:pPr>
              <w:pStyle w:val="ListeParagraf"/>
              <w:numPr>
                <w:ilvl w:val="0"/>
                <w:numId w:val="0"/>
              </w:numPr>
              <w:tabs>
                <w:tab w:val="clear" w:pos="567"/>
              </w:tabs>
              <w:spacing w:line="240" w:lineRule="auto"/>
              <w:ind w:left="35"/>
              <w:rPr>
                <w:sz w:val="24"/>
                <w:szCs w:val="24"/>
                <w:lang w:eastAsia="ja-JP"/>
              </w:rPr>
            </w:pPr>
            <w:r w:rsidRPr="00D53A2B">
              <w:rPr>
                <w:sz w:val="24"/>
                <w:szCs w:val="24"/>
                <w:lang w:eastAsia="ja-JP"/>
              </w:rPr>
              <w:t>Günlük ortalama</w:t>
            </w:r>
          </w:p>
        </w:tc>
        <w:tc>
          <w:tcPr>
            <w:tcW w:w="3939" w:type="pct"/>
          </w:tcPr>
          <w:p w14:paraId="1FDDAA2E" w14:textId="269D15B0" w:rsidR="00CA220F" w:rsidRPr="00D53A2B" w:rsidRDefault="00CA220F">
            <w:pPr>
              <w:jc w:val="both"/>
            </w:pPr>
            <w:r w:rsidRPr="00D53A2B">
              <w:t>Sürekli ölçümlerle elde edilen geçerli yarım saatlik veya saatlik ortalamaların 24 saatlik bir süre boyunca ortalaması.</w:t>
            </w:r>
          </w:p>
        </w:tc>
      </w:tr>
      <w:tr w:rsidR="008179C3" w:rsidRPr="00D53A2B" w14:paraId="0773D1FD" w14:textId="77777777" w:rsidTr="009077F5">
        <w:trPr>
          <w:trHeight w:val="361"/>
        </w:trPr>
        <w:tc>
          <w:tcPr>
            <w:tcW w:w="1061" w:type="pct"/>
          </w:tcPr>
          <w:p w14:paraId="5B7F92E9" w14:textId="12BADE83" w:rsidR="00CA220F" w:rsidRPr="00D53A2B" w:rsidRDefault="00CA220F" w:rsidP="004A7132">
            <w:pPr>
              <w:jc w:val="both"/>
            </w:pPr>
            <w:r w:rsidRPr="00D53A2B">
              <w:t>Örnekleme dönemi boyunca ortalama</w:t>
            </w:r>
          </w:p>
        </w:tc>
        <w:tc>
          <w:tcPr>
            <w:tcW w:w="3939" w:type="pct"/>
          </w:tcPr>
          <w:p w14:paraId="4833D4B4" w14:textId="6F39A81B" w:rsidR="00CA220F" w:rsidRPr="00D53A2B" w:rsidRDefault="00CA220F" w:rsidP="004A7132">
            <w:pPr>
              <w:jc w:val="both"/>
            </w:pPr>
            <w:r w:rsidRPr="00D53A2B">
              <w:t>Aksi belirtilmediği takdirde, her biri en az 30 dakika süren üç ardışık ölçümün ortalama değeri</w:t>
            </w:r>
            <w:r w:rsidRPr="009077F5">
              <w:rPr>
                <w:vertAlign w:val="superscript"/>
              </w:rPr>
              <w:t>.</w:t>
            </w:r>
            <w:r w:rsidR="007D11F8" w:rsidRPr="009077F5">
              <w:rPr>
                <w:vertAlign w:val="superscript"/>
              </w:rPr>
              <w:t>(1)</w:t>
            </w:r>
          </w:p>
        </w:tc>
      </w:tr>
      <w:tr w:rsidR="008179C3" w:rsidRPr="00F22B58" w14:paraId="76B80D8F" w14:textId="77777777" w:rsidTr="009077F5">
        <w:trPr>
          <w:trHeight w:val="361"/>
        </w:trPr>
        <w:tc>
          <w:tcPr>
            <w:tcW w:w="5000" w:type="pct"/>
            <w:gridSpan w:val="2"/>
          </w:tcPr>
          <w:p w14:paraId="0DB1BD4E" w14:textId="1A66F86C" w:rsidR="00CA220F" w:rsidRPr="009077F5" w:rsidRDefault="00CA220F" w:rsidP="004A7132">
            <w:pPr>
              <w:jc w:val="both"/>
              <w:rPr>
                <w:sz w:val="20"/>
                <w:szCs w:val="20"/>
              </w:rPr>
            </w:pPr>
            <w:r w:rsidRPr="009077F5">
              <w:rPr>
                <w:sz w:val="20"/>
                <w:szCs w:val="20"/>
              </w:rPr>
              <w:t>(</w:t>
            </w:r>
            <w:r w:rsidRPr="009077F5">
              <w:rPr>
                <w:sz w:val="20"/>
                <w:szCs w:val="20"/>
                <w:vertAlign w:val="superscript"/>
              </w:rPr>
              <w:t>1</w:t>
            </w:r>
            <w:r w:rsidRPr="009077F5">
              <w:rPr>
                <w:sz w:val="20"/>
                <w:szCs w:val="20"/>
              </w:rPr>
              <w:t>)Toplu prosesler için, toplam toplu zaman boyunca alınan temsili ölçüm sayısının ortalaması veya toplam toplu zaman boyunca gerçekleştirilen bir ölçümün sonucu kullanılabilir.</w:t>
            </w:r>
          </w:p>
        </w:tc>
      </w:tr>
    </w:tbl>
    <w:p w14:paraId="3836D4BC" w14:textId="77777777" w:rsidR="00FE2879" w:rsidRPr="00F22B58" w:rsidRDefault="00FE2879" w:rsidP="004A7132">
      <w:pPr>
        <w:jc w:val="both"/>
        <w:rPr>
          <w:rFonts w:eastAsia="Calibri"/>
          <w:lang w:val="en-US" w:eastAsia="en-US"/>
        </w:rPr>
      </w:pPr>
    </w:p>
    <w:p w14:paraId="5928B57D" w14:textId="1E234FE3" w:rsidR="00FE2879" w:rsidRPr="00D53A2B" w:rsidRDefault="003923E3" w:rsidP="004A7132">
      <w:pPr>
        <w:jc w:val="both"/>
        <w:rPr>
          <w:rFonts w:eastAsia="Calibri"/>
          <w:b/>
          <w:bCs/>
          <w:lang w:val="en-US" w:eastAsia="en-US"/>
        </w:rPr>
      </w:pPr>
      <w:r w:rsidRPr="00D53A2B">
        <w:rPr>
          <w:rFonts w:eastAsia="Calibri"/>
          <w:b/>
          <w:bCs/>
          <w:lang w:val="en-US" w:eastAsia="en-US"/>
        </w:rPr>
        <w:t>Suya emisyonların ortalama süreleri</w:t>
      </w:r>
    </w:p>
    <w:p w14:paraId="4286416B" w14:textId="60756D95" w:rsidR="00FE2879" w:rsidRPr="00D53A2B" w:rsidRDefault="003923E3" w:rsidP="004A7132">
      <w:pPr>
        <w:jc w:val="both"/>
        <w:rPr>
          <w:rFonts w:eastAsia="Calibri"/>
          <w:lang w:val="en-US" w:eastAsia="en-US"/>
        </w:rPr>
      </w:pPr>
      <w:r w:rsidRPr="00D53A2B">
        <w:rPr>
          <w:rFonts w:eastAsia="Calibri"/>
          <w:lang w:val="en-US" w:eastAsia="en-US"/>
        </w:rPr>
        <w:t>Suya yapılan emisyonların ortalama süreleri için aşağıdaki tanım geçerlidir.</w:t>
      </w:r>
    </w:p>
    <w:tbl>
      <w:tblPr>
        <w:tblStyle w:val="TabloKlavuzu7"/>
        <w:tblW w:w="5000" w:type="pct"/>
        <w:tblLook w:val="04A0" w:firstRow="1" w:lastRow="0" w:firstColumn="1" w:lastColumn="0" w:noHBand="0" w:noVBand="1"/>
      </w:tblPr>
      <w:tblGrid>
        <w:gridCol w:w="1830"/>
        <w:gridCol w:w="6792"/>
      </w:tblGrid>
      <w:tr w:rsidR="008179C3" w:rsidRPr="00D53A2B" w14:paraId="230D53FB" w14:textId="77777777" w:rsidTr="009077F5">
        <w:tc>
          <w:tcPr>
            <w:tcW w:w="1061" w:type="pct"/>
          </w:tcPr>
          <w:p w14:paraId="6F5C2109" w14:textId="77777777" w:rsidR="003923E3" w:rsidRPr="00D53A2B" w:rsidRDefault="003923E3">
            <w:pPr>
              <w:pStyle w:val="ListeParagraf"/>
              <w:numPr>
                <w:ilvl w:val="0"/>
                <w:numId w:val="0"/>
              </w:numPr>
              <w:tabs>
                <w:tab w:val="clear" w:pos="567"/>
              </w:tabs>
              <w:spacing w:line="240" w:lineRule="auto"/>
              <w:ind w:left="35"/>
              <w:rPr>
                <w:sz w:val="24"/>
                <w:szCs w:val="24"/>
                <w:lang w:eastAsia="ja-JP"/>
              </w:rPr>
            </w:pPr>
            <w:r w:rsidRPr="00D53A2B">
              <w:rPr>
                <w:sz w:val="24"/>
                <w:szCs w:val="24"/>
                <w:lang w:eastAsia="ja-JP"/>
              </w:rPr>
              <w:t>Günlük ortalama</w:t>
            </w:r>
          </w:p>
        </w:tc>
        <w:tc>
          <w:tcPr>
            <w:tcW w:w="3939" w:type="pct"/>
          </w:tcPr>
          <w:p w14:paraId="3C6C5533" w14:textId="43E826F5" w:rsidR="003923E3" w:rsidRPr="00D31D18" w:rsidRDefault="003923E3">
            <w:pPr>
              <w:jc w:val="both"/>
            </w:pPr>
            <w:r w:rsidRPr="00F22B58">
              <w:t xml:space="preserve">24 saatlik bir </w:t>
            </w:r>
            <w:r w:rsidR="002F36E0" w:rsidRPr="00F22B58">
              <w:t>numune alma periyodu</w:t>
            </w:r>
            <w:r w:rsidRPr="00F22B58">
              <w:t xml:space="preserve"> boyunca alınan ortalama, </w:t>
            </w:r>
            <w:r w:rsidR="002F36E0" w:rsidRPr="00F22B58">
              <w:t>debiye</w:t>
            </w:r>
            <w:r w:rsidRPr="00F22B58">
              <w:t xml:space="preserve"> orantılı </w:t>
            </w:r>
            <w:r w:rsidR="002F36E0" w:rsidRPr="00F22B58">
              <w:t>kompozit</w:t>
            </w:r>
            <w:r w:rsidRPr="00F22B58">
              <w:t xml:space="preserve"> numune (veya yeterli </w:t>
            </w:r>
            <w:r w:rsidR="002F36E0" w:rsidRPr="00F22B58">
              <w:t>debi</w:t>
            </w:r>
            <w:r w:rsidRPr="00F22B58">
              <w:t xml:space="preserve"> kararlılığının gösterilmesi koşuluyla zamana orantılı </w:t>
            </w:r>
            <w:r w:rsidR="002F36E0" w:rsidRPr="00F22B58">
              <w:t>kompozit</w:t>
            </w:r>
            <w:r w:rsidRPr="00F22B58">
              <w:t xml:space="preserve"> numune) olarak alınır.</w:t>
            </w:r>
          </w:p>
        </w:tc>
      </w:tr>
      <w:tr w:rsidR="003923E3" w:rsidRPr="00D53A2B" w14:paraId="55F28D40" w14:textId="77777777" w:rsidTr="009077F5">
        <w:trPr>
          <w:trHeight w:val="361"/>
        </w:trPr>
        <w:tc>
          <w:tcPr>
            <w:tcW w:w="0" w:type="pct"/>
            <w:gridSpan w:val="2"/>
          </w:tcPr>
          <w:p w14:paraId="1ADE1C5B" w14:textId="5B65FFEF" w:rsidR="003923E3" w:rsidRPr="009077F5" w:rsidRDefault="003923E3" w:rsidP="004A7132">
            <w:pPr>
              <w:jc w:val="both"/>
              <w:rPr>
                <w:sz w:val="20"/>
                <w:szCs w:val="20"/>
              </w:rPr>
            </w:pPr>
            <w:r w:rsidRPr="009077F5">
              <w:rPr>
                <w:sz w:val="20"/>
                <w:szCs w:val="20"/>
              </w:rPr>
              <w:t>(</w:t>
            </w:r>
            <w:r w:rsidRPr="009077F5">
              <w:rPr>
                <w:sz w:val="20"/>
                <w:szCs w:val="20"/>
                <w:vertAlign w:val="superscript"/>
              </w:rPr>
              <w:t>1</w:t>
            </w:r>
            <w:r w:rsidRPr="009077F5">
              <w:rPr>
                <w:sz w:val="20"/>
                <w:szCs w:val="20"/>
              </w:rPr>
              <w:t xml:space="preserve">) </w:t>
            </w:r>
            <w:r w:rsidR="00EC6486" w:rsidRPr="009077F5">
              <w:rPr>
                <w:sz w:val="20"/>
                <w:szCs w:val="20"/>
              </w:rPr>
              <w:t xml:space="preserve">Kesikli </w:t>
            </w:r>
            <w:r w:rsidR="002F36E0" w:rsidRPr="009077F5">
              <w:rPr>
                <w:sz w:val="20"/>
                <w:szCs w:val="20"/>
              </w:rPr>
              <w:t>deşarjlar</w:t>
            </w:r>
            <w:r w:rsidRPr="009077F5">
              <w:rPr>
                <w:sz w:val="20"/>
                <w:szCs w:val="20"/>
              </w:rPr>
              <w:t xml:space="preserve"> için, temsili sonuçlar veren farklı bir örnekleme prosedürü (örneğin, </w:t>
            </w:r>
            <w:r w:rsidR="002F36E0" w:rsidRPr="009077F5">
              <w:rPr>
                <w:sz w:val="20"/>
                <w:szCs w:val="20"/>
              </w:rPr>
              <w:t>anlık numune)</w:t>
            </w:r>
            <w:r w:rsidRPr="009077F5">
              <w:rPr>
                <w:sz w:val="20"/>
                <w:szCs w:val="20"/>
              </w:rPr>
              <w:t xml:space="preserve"> kullanılabilir.</w:t>
            </w:r>
          </w:p>
        </w:tc>
      </w:tr>
    </w:tbl>
    <w:p w14:paraId="15A6C5A8" w14:textId="77777777" w:rsidR="00FE2879" w:rsidRPr="00D53A2B" w:rsidRDefault="00FE2879" w:rsidP="004A7132">
      <w:pPr>
        <w:jc w:val="both"/>
        <w:rPr>
          <w:rFonts w:eastAsia="Calibri"/>
          <w:lang w:val="en-US" w:eastAsia="en-US"/>
        </w:rPr>
      </w:pPr>
    </w:p>
    <w:p w14:paraId="194464FF" w14:textId="496AAC05" w:rsidR="002A7D25" w:rsidRPr="00D53A2B" w:rsidRDefault="002A7D25" w:rsidP="004A7132">
      <w:pPr>
        <w:pStyle w:val="Balk3"/>
        <w:rPr>
          <w:rFonts w:eastAsia="Calibri" w:cs="Times New Roman"/>
          <w:lang w:val="en-US" w:eastAsia="en-US"/>
        </w:rPr>
      </w:pPr>
      <w:r w:rsidRPr="00D53A2B">
        <w:rPr>
          <w:rFonts w:eastAsia="Calibri" w:cs="Times New Roman"/>
          <w:lang w:val="en-US" w:eastAsia="en-US"/>
        </w:rPr>
        <w:t>4. Dökümhane ve Demir İşleme Sanayisi</w:t>
      </w:r>
    </w:p>
    <w:p w14:paraId="3B4239B8" w14:textId="77777777" w:rsidR="002A7D25" w:rsidRPr="00D53A2B" w:rsidRDefault="002A7D25" w:rsidP="004A7132">
      <w:pPr>
        <w:spacing w:after="160" w:line="278" w:lineRule="auto"/>
        <w:jc w:val="both"/>
        <w:rPr>
          <w:rFonts w:eastAsia="Aptos"/>
          <w:b/>
          <w:bCs/>
          <w:kern w:val="2"/>
          <w:lang w:eastAsia="en-US"/>
          <w14:ligatures w14:val="standardContextual"/>
        </w:rPr>
      </w:pPr>
      <w:r w:rsidRPr="00D53A2B">
        <w:rPr>
          <w:rFonts w:eastAsia="Aptos"/>
          <w:b/>
          <w:bCs/>
          <w:kern w:val="2"/>
          <w:lang w:eastAsia="en-US"/>
          <w14:ligatures w14:val="standardContextual"/>
        </w:rPr>
        <w:t>Mevcut En İyi Teknikler</w:t>
      </w:r>
    </w:p>
    <w:p w14:paraId="76AD243A"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lastRenderedPageBreak/>
        <w:t>Bu MET sonuçlarında listelenen ve açıklanan teknikler, ne tanımlayıcı ne de kapsamlıdır. En azından eşdeğer bir çevre koruma seviyesini garanti eden diğer teknikler de kullanılabilir.</w:t>
      </w:r>
    </w:p>
    <w:p w14:paraId="6B53C3D9"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Başka bir şekilde belirtilmedikçe, MET sonuçları genel olarak geçerlidir.</w:t>
      </w:r>
    </w:p>
    <w:p w14:paraId="078D4290" w14:textId="2809E675"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En İyi Mevcut Tekniklerle (</w:t>
      </w:r>
      <w:r w:rsidR="00831B53" w:rsidRPr="00D53A2B">
        <w:rPr>
          <w:rFonts w:eastAsia="Aptos"/>
          <w:kern w:val="2"/>
          <w:lang w:eastAsia="en-US"/>
          <w14:ligatures w14:val="standardContextual"/>
        </w:rPr>
        <w:t>MET-İES</w:t>
      </w:r>
      <w:r w:rsidRPr="00D53A2B">
        <w:rPr>
          <w:rFonts w:eastAsia="Aptos"/>
          <w:kern w:val="2"/>
          <w:lang w:eastAsia="en-US"/>
          <w14:ligatures w14:val="standardContextual"/>
        </w:rPr>
        <w:t>) ve hava emisyonlarına yönelik göstergelere ilişkin emisyon seviyeleri</w:t>
      </w:r>
    </w:p>
    <w:p w14:paraId="513F42FD" w14:textId="4AE52F75"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 xml:space="preserve">Dökümhanelerde, bu MET sonuçlarında verilen hava emisyonlarına yönelik </w:t>
      </w:r>
      <w:r w:rsidR="00831B53" w:rsidRPr="00D53A2B">
        <w:rPr>
          <w:rFonts w:eastAsia="Aptos"/>
          <w:kern w:val="2"/>
          <w:lang w:eastAsia="en-US"/>
          <w14:ligatures w14:val="standardContextual"/>
        </w:rPr>
        <w:t>MET-İES</w:t>
      </w:r>
      <w:r w:rsidRPr="00D53A2B">
        <w:rPr>
          <w:rFonts w:eastAsia="Aptos"/>
          <w:kern w:val="2"/>
          <w:lang w:eastAsia="en-US"/>
          <w14:ligatures w14:val="standardContextual"/>
        </w:rPr>
        <w:t xml:space="preserve"> ve göstergeler, aşağıdaki standart koşullar altında emisyon konsantrasyonlarına (atık gaz hacmi başına emisyon edilen madde miktarı) atıfta bulunur: 273,15 K sıcaklıkta ve 101,3 kPa basınçta kuru gaz, referans oksijen seviyesine düzeltme yapılmadan ve mg/Nm3 veya ng WHO-TEQ/Nm3 biriminde ifade edilir.</w:t>
      </w:r>
    </w:p>
    <w:p w14:paraId="02F9B1FD" w14:textId="0C42EC66"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 xml:space="preserve">Demirhanelerde, bu MET sonuçlarında verilen hava emisyonlarına yönelik </w:t>
      </w:r>
      <w:r w:rsidR="00831B53" w:rsidRPr="00D53A2B">
        <w:rPr>
          <w:rFonts w:eastAsia="Aptos"/>
          <w:kern w:val="2"/>
          <w:lang w:eastAsia="en-US"/>
          <w14:ligatures w14:val="standardContextual"/>
        </w:rPr>
        <w:t>MET-İES</w:t>
      </w:r>
      <w:r w:rsidRPr="00D53A2B">
        <w:rPr>
          <w:rFonts w:eastAsia="Aptos"/>
          <w:kern w:val="2"/>
          <w:lang w:eastAsia="en-US"/>
          <w14:ligatures w14:val="standardContextual"/>
        </w:rPr>
        <w:t xml:space="preserve"> ve göstergeler, aşağıdaki standart koşullar altında emisyon konsantrasyonlarına (atık gaz hacmi başına emisyon edilen madde miktarı) atıfta bulunur: 273,15 K sıcaklıkta ve 101,3 kPa basınçta kuru gaz, %3 kuru hacim oksijen düzeyinde düzeltme yapılmış ve mg/Nm3 biriminde ifade edilir.</w:t>
      </w:r>
    </w:p>
    <w:p w14:paraId="402DF4BA"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Referans oksijen seviyesinde emisyon konsantrasyonunu hesaplamak için formül:</w:t>
      </w:r>
    </w:p>
    <w:p w14:paraId="3E1257CB"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noProof/>
          <w:kern w:val="2"/>
          <w14:ligatures w14:val="standardContextual"/>
        </w:rPr>
        <w:drawing>
          <wp:inline distT="0" distB="0" distL="0" distR="0" wp14:anchorId="0CCDAFA5" wp14:editId="49D7FBC5">
            <wp:extent cx="1236980" cy="403225"/>
            <wp:effectExtent l="0" t="0" r="0" b="3175"/>
            <wp:docPr id="228136098" name="Resim 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ul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6980" cy="403225"/>
                    </a:xfrm>
                    <a:prstGeom prst="rect">
                      <a:avLst/>
                    </a:prstGeom>
                    <a:noFill/>
                    <a:ln>
                      <a:noFill/>
                    </a:ln>
                  </pic:spPr>
                </pic:pic>
              </a:graphicData>
            </a:graphic>
          </wp:inline>
        </w:drawing>
      </w:r>
    </w:p>
    <w:p w14:paraId="60BED784"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Burada:</w:t>
      </w:r>
      <w:r w:rsidRPr="00D53A2B">
        <w:rPr>
          <w:rFonts w:eastAsia="Aptos"/>
          <w:kern w:val="2"/>
          <w:lang w:eastAsia="en-US"/>
          <w14:ligatures w14:val="standardContextual"/>
        </w:rPr>
        <w:br/>
        <w:t>E</w:t>
      </w:r>
      <w:r w:rsidRPr="00D53A2B">
        <w:rPr>
          <w:rFonts w:eastAsia="Aptos"/>
          <w:kern w:val="2"/>
          <w:vertAlign w:val="subscript"/>
          <w:lang w:eastAsia="en-US"/>
          <w14:ligatures w14:val="standardContextual"/>
        </w:rPr>
        <w:t>R</w:t>
      </w:r>
      <w:r w:rsidRPr="00D53A2B">
        <w:rPr>
          <w:rFonts w:eastAsia="Aptos"/>
          <w:kern w:val="2"/>
          <w:lang w:eastAsia="en-US"/>
          <w14:ligatures w14:val="standardContextual"/>
        </w:rPr>
        <w:t xml:space="preserve"> = referans oksijen seviyesindeki emisyon konsantrasyonu</w:t>
      </w:r>
      <w:r w:rsidRPr="00D53A2B">
        <w:rPr>
          <w:rFonts w:eastAsia="Aptos"/>
          <w:kern w:val="2"/>
          <w:lang w:eastAsia="en-US"/>
          <w14:ligatures w14:val="standardContextual"/>
        </w:rPr>
        <w:br/>
        <w:t>O</w:t>
      </w:r>
      <w:r w:rsidRPr="00D53A2B">
        <w:rPr>
          <w:rFonts w:eastAsia="Aptos"/>
          <w:kern w:val="2"/>
          <w:vertAlign w:val="subscript"/>
          <w:lang w:eastAsia="en-US"/>
          <w14:ligatures w14:val="standardContextual"/>
        </w:rPr>
        <w:t>R</w:t>
      </w:r>
      <w:r w:rsidRPr="00D53A2B">
        <w:rPr>
          <w:rFonts w:eastAsia="Aptos"/>
          <w:kern w:val="2"/>
          <w:lang w:eastAsia="en-US"/>
          <w14:ligatures w14:val="standardContextual"/>
        </w:rPr>
        <w:t xml:space="preserve"> = referans oksijen seviyesi vol-% cinsinden</w:t>
      </w:r>
      <w:r w:rsidRPr="00D53A2B">
        <w:rPr>
          <w:rFonts w:eastAsia="Aptos"/>
          <w:kern w:val="2"/>
          <w:lang w:eastAsia="en-US"/>
          <w14:ligatures w14:val="standardContextual"/>
        </w:rPr>
        <w:br/>
        <w:t>E</w:t>
      </w:r>
      <w:r w:rsidRPr="00D53A2B">
        <w:rPr>
          <w:rFonts w:eastAsia="Aptos"/>
          <w:kern w:val="2"/>
          <w:vertAlign w:val="subscript"/>
          <w:lang w:eastAsia="en-US"/>
          <w14:ligatures w14:val="standardContextual"/>
        </w:rPr>
        <w:t>M</w:t>
      </w:r>
      <w:r w:rsidRPr="00D53A2B">
        <w:rPr>
          <w:rFonts w:eastAsia="Aptos"/>
          <w:kern w:val="2"/>
          <w:lang w:eastAsia="en-US"/>
          <w14:ligatures w14:val="standardContextual"/>
        </w:rPr>
        <w:t xml:space="preserve"> = ölçülen emisyon konsantrasyonu</w:t>
      </w:r>
      <w:r w:rsidRPr="00D53A2B">
        <w:rPr>
          <w:rFonts w:eastAsia="Aptos"/>
          <w:kern w:val="2"/>
          <w:lang w:eastAsia="en-US"/>
          <w14:ligatures w14:val="standardContextual"/>
        </w:rPr>
        <w:br/>
        <w:t>O</w:t>
      </w:r>
      <w:r w:rsidRPr="00D53A2B">
        <w:rPr>
          <w:rFonts w:eastAsia="Aptos"/>
          <w:kern w:val="2"/>
          <w:vertAlign w:val="subscript"/>
          <w:lang w:eastAsia="en-US"/>
          <w14:ligatures w14:val="standardContextual"/>
        </w:rPr>
        <w:t>M</w:t>
      </w:r>
      <w:r w:rsidRPr="00D53A2B">
        <w:rPr>
          <w:rFonts w:eastAsia="Aptos"/>
          <w:kern w:val="2"/>
          <w:lang w:eastAsia="en-US"/>
          <w14:ligatures w14:val="standardContextual"/>
        </w:rPr>
        <w:t xml:space="preserve"> = ölçülen oksijen seviyesi vol-% cinsinden</w:t>
      </w:r>
    </w:p>
    <w:p w14:paraId="145EDBD1" w14:textId="3B6C2932"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 xml:space="preserve">Kanallı hava emisyonlarına yönelik </w:t>
      </w:r>
      <w:r w:rsidR="00831B53" w:rsidRPr="00D53A2B">
        <w:rPr>
          <w:rFonts w:eastAsia="Aptos"/>
          <w:kern w:val="2"/>
          <w:lang w:eastAsia="en-US"/>
          <w14:ligatures w14:val="standardContextual"/>
        </w:rPr>
        <w:t>MET-İES</w:t>
      </w:r>
      <w:r w:rsidRPr="00D53A2B">
        <w:rPr>
          <w:rFonts w:eastAsia="Aptos"/>
          <w:kern w:val="2"/>
          <w:lang w:eastAsia="en-US"/>
          <w14:ligatures w14:val="standardContextual"/>
        </w:rPr>
        <w:t xml:space="preserve"> ve göstergelere ilişkin ortalama süreler için aşağıdaki tanımlar geçerlidir:</w:t>
      </w:r>
    </w:p>
    <w:tbl>
      <w:tblPr>
        <w:tblStyle w:val="TabloKlavuzu7"/>
        <w:tblW w:w="0" w:type="auto"/>
        <w:tblLook w:val="04A0" w:firstRow="1" w:lastRow="0" w:firstColumn="1" w:lastColumn="0" w:noHBand="0" w:noVBand="1"/>
      </w:tblPr>
      <w:tblGrid>
        <w:gridCol w:w="1485"/>
        <w:gridCol w:w="2825"/>
        <w:gridCol w:w="4312"/>
      </w:tblGrid>
      <w:tr w:rsidR="002A7D25" w:rsidRPr="00D53A2B" w14:paraId="1E9E6858" w14:textId="77777777" w:rsidTr="00A202FD">
        <w:trPr>
          <w:trHeight w:val="320"/>
        </w:trPr>
        <w:tc>
          <w:tcPr>
            <w:tcW w:w="1555" w:type="dxa"/>
            <w:noWrap/>
            <w:hideMark/>
          </w:tcPr>
          <w:p w14:paraId="162393E1" w14:textId="77777777" w:rsidR="002A7D25" w:rsidRPr="00D53A2B" w:rsidRDefault="002A7D25">
            <w:pPr>
              <w:jc w:val="both"/>
              <w:rPr>
                <w:b/>
                <w:bCs/>
              </w:rPr>
            </w:pPr>
            <w:r w:rsidRPr="00D53A2B">
              <w:rPr>
                <w:b/>
                <w:bCs/>
              </w:rPr>
              <w:t>Ölçüm Türü</w:t>
            </w:r>
          </w:p>
        </w:tc>
        <w:tc>
          <w:tcPr>
            <w:tcW w:w="2969" w:type="dxa"/>
            <w:noWrap/>
            <w:hideMark/>
          </w:tcPr>
          <w:p w14:paraId="6DECE5FE" w14:textId="77777777" w:rsidR="002A7D25" w:rsidRPr="00D53A2B" w:rsidRDefault="002A7D25">
            <w:pPr>
              <w:jc w:val="both"/>
              <w:rPr>
                <w:b/>
                <w:bCs/>
              </w:rPr>
            </w:pPr>
            <w:r w:rsidRPr="00D53A2B">
              <w:rPr>
                <w:b/>
                <w:bCs/>
              </w:rPr>
              <w:t>Ortalama Süre</w:t>
            </w:r>
          </w:p>
        </w:tc>
        <w:tc>
          <w:tcPr>
            <w:tcW w:w="4538" w:type="dxa"/>
            <w:noWrap/>
            <w:hideMark/>
          </w:tcPr>
          <w:p w14:paraId="34403783" w14:textId="77777777" w:rsidR="002A7D25" w:rsidRPr="00D53A2B" w:rsidRDefault="002A7D25">
            <w:pPr>
              <w:jc w:val="both"/>
              <w:rPr>
                <w:b/>
                <w:bCs/>
              </w:rPr>
            </w:pPr>
            <w:r w:rsidRPr="00D53A2B">
              <w:rPr>
                <w:b/>
                <w:bCs/>
              </w:rPr>
              <w:t>Tanım</w:t>
            </w:r>
          </w:p>
        </w:tc>
      </w:tr>
      <w:tr w:rsidR="002A7D25" w:rsidRPr="00D53A2B" w14:paraId="57FB1721" w14:textId="77777777" w:rsidTr="00A202FD">
        <w:trPr>
          <w:trHeight w:val="320"/>
        </w:trPr>
        <w:tc>
          <w:tcPr>
            <w:tcW w:w="1555" w:type="dxa"/>
            <w:noWrap/>
            <w:hideMark/>
          </w:tcPr>
          <w:p w14:paraId="3E15C3F2" w14:textId="77777777" w:rsidR="002A7D25" w:rsidRPr="00D53A2B" w:rsidRDefault="002A7D25" w:rsidP="004A7132">
            <w:pPr>
              <w:jc w:val="both"/>
            </w:pPr>
            <w:r w:rsidRPr="00D53A2B">
              <w:t>Sürekli</w:t>
            </w:r>
          </w:p>
        </w:tc>
        <w:tc>
          <w:tcPr>
            <w:tcW w:w="2969" w:type="dxa"/>
            <w:noWrap/>
            <w:hideMark/>
          </w:tcPr>
          <w:p w14:paraId="640AFBCB" w14:textId="77777777" w:rsidR="002A7D25" w:rsidRPr="00D53A2B" w:rsidRDefault="002A7D25" w:rsidP="004A7132">
            <w:pPr>
              <w:jc w:val="both"/>
            </w:pPr>
            <w:r w:rsidRPr="00D53A2B">
              <w:t>Günlük ortalama</w:t>
            </w:r>
          </w:p>
        </w:tc>
        <w:tc>
          <w:tcPr>
            <w:tcW w:w="4538" w:type="dxa"/>
            <w:noWrap/>
            <w:hideMark/>
          </w:tcPr>
          <w:p w14:paraId="146A95A2" w14:textId="77777777" w:rsidR="002A7D25" w:rsidRPr="00D53A2B" w:rsidRDefault="002A7D25" w:rsidP="004A7132">
            <w:pPr>
              <w:jc w:val="both"/>
            </w:pPr>
            <w:r w:rsidRPr="00D53A2B">
              <w:t>Geçerli saatlik veya yarım saatlik ortalamalarla 1 gün süresince ortalama.</w:t>
            </w:r>
          </w:p>
        </w:tc>
      </w:tr>
      <w:tr w:rsidR="002A7D25" w:rsidRPr="00D53A2B" w14:paraId="7DA54D9C" w14:textId="77777777" w:rsidTr="00A202FD">
        <w:trPr>
          <w:trHeight w:val="320"/>
        </w:trPr>
        <w:tc>
          <w:tcPr>
            <w:tcW w:w="1555" w:type="dxa"/>
            <w:noWrap/>
            <w:hideMark/>
          </w:tcPr>
          <w:p w14:paraId="56B33E6E" w14:textId="77777777" w:rsidR="002A7D25" w:rsidRPr="00D53A2B" w:rsidRDefault="002A7D25" w:rsidP="004A7132">
            <w:pPr>
              <w:jc w:val="both"/>
            </w:pPr>
            <w:r w:rsidRPr="00D53A2B">
              <w:t>Periyodik</w:t>
            </w:r>
          </w:p>
        </w:tc>
        <w:tc>
          <w:tcPr>
            <w:tcW w:w="2969" w:type="dxa"/>
            <w:noWrap/>
            <w:hideMark/>
          </w:tcPr>
          <w:p w14:paraId="356EDBF3" w14:textId="77777777" w:rsidR="002A7D25" w:rsidRPr="00D53A2B" w:rsidRDefault="002A7D25" w:rsidP="004A7132">
            <w:pPr>
              <w:jc w:val="both"/>
            </w:pPr>
            <w:r w:rsidRPr="00D53A2B">
              <w:t>Numune alma süresi boyunca ortalama</w:t>
            </w:r>
          </w:p>
        </w:tc>
        <w:tc>
          <w:tcPr>
            <w:tcW w:w="4538" w:type="dxa"/>
            <w:noWrap/>
            <w:hideMark/>
          </w:tcPr>
          <w:p w14:paraId="78F8D8E2" w14:textId="28D5AFC4" w:rsidR="002A7D25" w:rsidRPr="00D53A2B" w:rsidRDefault="002A7D25" w:rsidP="004A7132">
            <w:pPr>
              <w:jc w:val="both"/>
            </w:pPr>
            <w:r w:rsidRPr="00D53A2B">
              <w:t xml:space="preserve">En az 30 dakika süren üç ardışık numune/ölçümün ortalama değeri </w:t>
            </w:r>
            <w:r w:rsidRPr="009077F5">
              <w:rPr>
                <w:vertAlign w:val="superscript"/>
              </w:rPr>
              <w:t>(</w:t>
            </w:r>
            <w:r w:rsidR="007D11F8" w:rsidRPr="009077F5">
              <w:rPr>
                <w:vertAlign w:val="superscript"/>
              </w:rPr>
              <w:t>1</w:t>
            </w:r>
            <w:r w:rsidRPr="009077F5">
              <w:rPr>
                <w:vertAlign w:val="superscript"/>
              </w:rPr>
              <w:t>).</w:t>
            </w:r>
          </w:p>
        </w:tc>
      </w:tr>
      <w:tr w:rsidR="007D11F8" w:rsidRPr="00D53A2B" w14:paraId="42480575" w14:textId="77777777" w:rsidTr="00A834B5">
        <w:trPr>
          <w:trHeight w:val="320"/>
        </w:trPr>
        <w:tc>
          <w:tcPr>
            <w:tcW w:w="9062" w:type="dxa"/>
            <w:gridSpan w:val="3"/>
            <w:noWrap/>
          </w:tcPr>
          <w:p w14:paraId="5BA0C8E6" w14:textId="785AEF5A" w:rsidR="007D11F8" w:rsidRPr="009077F5" w:rsidRDefault="007D11F8" w:rsidP="004A7132">
            <w:pPr>
              <w:jc w:val="both"/>
              <w:rPr>
                <w:sz w:val="20"/>
                <w:szCs w:val="20"/>
              </w:rPr>
            </w:pPr>
            <w:r w:rsidRPr="00F22B58">
              <w:rPr>
                <w:sz w:val="20"/>
                <w:szCs w:val="20"/>
              </w:rPr>
              <w:t>(1)</w:t>
            </w:r>
            <w:r w:rsidRPr="009077F5">
              <w:rPr>
                <w:sz w:val="20"/>
                <w:szCs w:val="20"/>
              </w:rPr>
              <w:t>Örnekleme veya analitik sınırlamalar ve/veya operasyonel koşullar (örneğin, toplu işlemler) nedeniyle 30 dakikalık örnekleme/ölçüm ve/veya üç ardışık örnekleme/ölçüm ortalamasının uygun olmadığı herhangi bir parametre için, daha temsil edici bir örnekleme/ölçüm prosedürü kullanılabilir. PCDD/F için, 6 ila 8 saatlik bir örnekleme süresi kullanılır.</w:t>
            </w:r>
          </w:p>
        </w:tc>
      </w:tr>
    </w:tbl>
    <w:p w14:paraId="499F4F16" w14:textId="77777777" w:rsidR="002A7D25" w:rsidRPr="00D53A2B" w:rsidRDefault="002A7D25" w:rsidP="004A7132">
      <w:pPr>
        <w:spacing w:after="160" w:line="278" w:lineRule="auto"/>
        <w:jc w:val="both"/>
        <w:rPr>
          <w:rFonts w:eastAsia="Aptos"/>
          <w:kern w:val="2"/>
          <w:lang w:eastAsia="en-US"/>
          <w14:ligatures w14:val="standardContextual"/>
        </w:rPr>
      </w:pPr>
    </w:p>
    <w:p w14:paraId="7FA9CABE" w14:textId="0ECC2B62" w:rsidR="002A7D25" w:rsidRPr="00D53A2B" w:rsidRDefault="002A7D25" w:rsidP="004A7132">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 xml:space="preserve">İki veya daha fazla kaynağın (örneğin fırınlar) atık gazları ortak bir baca aracılığıyla atıldığında, </w:t>
      </w:r>
      <w:r w:rsidR="00831B53" w:rsidRPr="00D53A2B">
        <w:rPr>
          <w:rFonts w:eastAsia="Aptos"/>
          <w:kern w:val="2"/>
          <w:lang w:eastAsia="en-US"/>
          <w14:ligatures w14:val="standardContextual"/>
        </w:rPr>
        <w:t>MET-İES</w:t>
      </w:r>
      <w:r w:rsidRPr="00D53A2B">
        <w:rPr>
          <w:rFonts w:eastAsia="Aptos"/>
          <w:kern w:val="2"/>
          <w:lang w:eastAsia="en-US"/>
          <w14:ligatures w14:val="standardContextual"/>
        </w:rPr>
        <w:t xml:space="preserve"> bu baca çıkışının birleşik atığına uygulanır.</w:t>
      </w:r>
    </w:p>
    <w:p w14:paraId="2FD3CD5E" w14:textId="77777777" w:rsidR="002A7D25" w:rsidRPr="00D53A2B" w:rsidRDefault="002A7D25" w:rsidP="004A7132">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lastRenderedPageBreak/>
        <w:t>MET 12'ye ilişkin kütle akışlarını hesaplamak amacıyla, benzer özelliklere sahip atık gazları, örneğin aynı (tipteki) maddeler/parametreleri içeren ve iki veya daha fazla ayrı bacadan atılan atık gazlar, yetkili makamın değerlendirmesine göre, ortak bir baca aracılığıyla atılabilecek durumda ise, bu bacalar tek bir baca olarak kabul edilir.</w:t>
      </w:r>
    </w:p>
    <w:p w14:paraId="6B7A49D1" w14:textId="771A2465" w:rsidR="002A7D25" w:rsidRPr="00D53A2B" w:rsidRDefault="002A7D25" w:rsidP="004A7132">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Suya yönelik en iyi mevcut tekniklerle (</w:t>
      </w:r>
      <w:r w:rsidR="00831B53" w:rsidRPr="00D53A2B">
        <w:rPr>
          <w:rFonts w:eastAsia="Aptos"/>
          <w:b/>
          <w:bCs/>
          <w:kern w:val="2"/>
          <w:lang w:eastAsia="en-US"/>
          <w14:ligatures w14:val="standardContextual"/>
        </w:rPr>
        <w:t>MET-İES</w:t>
      </w:r>
      <w:r w:rsidRPr="00D53A2B">
        <w:rPr>
          <w:rFonts w:eastAsia="Aptos"/>
          <w:b/>
          <w:bCs/>
          <w:kern w:val="2"/>
          <w:lang w:eastAsia="en-US"/>
          <w14:ligatures w14:val="standardContextual"/>
        </w:rPr>
        <w:t>) emisyon seviyeleri</w:t>
      </w:r>
    </w:p>
    <w:p w14:paraId="4D6EB962" w14:textId="4D6B427D"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 xml:space="preserve">Bu MET sonuçlarında verilen suya yönelik </w:t>
      </w:r>
      <w:r w:rsidR="00831B53" w:rsidRPr="00D53A2B">
        <w:rPr>
          <w:rFonts w:eastAsia="Aptos"/>
          <w:kern w:val="2"/>
          <w:lang w:eastAsia="en-US"/>
          <w14:ligatures w14:val="standardContextual"/>
        </w:rPr>
        <w:t>MET-İES</w:t>
      </w:r>
      <w:r w:rsidRPr="00D53A2B">
        <w:rPr>
          <w:rFonts w:eastAsia="Aptos"/>
          <w:kern w:val="2"/>
          <w:lang w:eastAsia="en-US"/>
          <w14:ligatures w14:val="standardContextual"/>
        </w:rPr>
        <w:t>, su hacmi başına emisyon edilen madde miktarını (mg/l cinsinden) ifade eden konsantrasyonlara atıfta bulunur.</w:t>
      </w:r>
    </w:p>
    <w:p w14:paraId="2BCAB227" w14:textId="5F41DD87" w:rsidR="002A7D25" w:rsidRPr="00D53A2B" w:rsidRDefault="00831B53">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MET-İES</w:t>
      </w:r>
      <w:r w:rsidR="002A7D25" w:rsidRPr="00D53A2B">
        <w:rPr>
          <w:rFonts w:eastAsia="Aptos"/>
          <w:kern w:val="2"/>
          <w:lang w:eastAsia="en-US"/>
          <w14:ligatures w14:val="standardContextual"/>
        </w:rPr>
        <w:t>e ilişkin ortalama süreler aşağıdaki iki durumdan birine uygulanır:</w:t>
      </w:r>
    </w:p>
    <w:p w14:paraId="1A215BEF" w14:textId="77777777" w:rsidR="002A7D25" w:rsidRPr="00D53A2B" w:rsidRDefault="002A7D25">
      <w:pPr>
        <w:numPr>
          <w:ilvl w:val="0"/>
          <w:numId w:val="247"/>
        </w:num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Sürekli deşarj durumunda, günlük ortalama değerler, yani 24 saatlik akışa orantılı kompozit numuneler.</w:t>
      </w:r>
    </w:p>
    <w:p w14:paraId="0CD0AA88" w14:textId="76C2BEED" w:rsidR="002A7D25" w:rsidRPr="00D53A2B" w:rsidRDefault="002A7D25">
      <w:pPr>
        <w:numPr>
          <w:ilvl w:val="0"/>
          <w:numId w:val="247"/>
        </w:num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 xml:space="preserve">Kesikli deşarjı durumunda, salınım süresi boyunca akışa orantılı kompozit numunelerle alınan ortalama değerler veya atıksu uygun şekilde karıştırılmış ve homojen ise deşarjdan önce alınan </w:t>
      </w:r>
      <w:r w:rsidR="002F36E0">
        <w:rPr>
          <w:rFonts w:eastAsia="Aptos"/>
          <w:kern w:val="2"/>
          <w:lang w:eastAsia="en-US"/>
          <w14:ligatures w14:val="standardContextual"/>
        </w:rPr>
        <w:t>anlık</w:t>
      </w:r>
      <w:r w:rsidRPr="00D53A2B">
        <w:rPr>
          <w:rFonts w:eastAsia="Aptos"/>
          <w:kern w:val="2"/>
          <w:lang w:eastAsia="en-US"/>
          <w14:ligatures w14:val="standardContextual"/>
        </w:rPr>
        <w:t xml:space="preserve"> numunesi.</w:t>
      </w:r>
    </w:p>
    <w:p w14:paraId="3C2ADA8E" w14:textId="124BA934"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 xml:space="preserve">Zaman orantılı kompozit numuneler, yeterli akış kararlılığı gösterildiği sürece kullanılabilir. Alternatif olarak, </w:t>
      </w:r>
      <w:r w:rsidR="002F36E0">
        <w:rPr>
          <w:rFonts w:eastAsia="Aptos"/>
          <w:kern w:val="2"/>
          <w:lang w:eastAsia="en-US"/>
          <w14:ligatures w14:val="standardContextual"/>
        </w:rPr>
        <w:t>anlık</w:t>
      </w:r>
      <w:r w:rsidRPr="00D53A2B">
        <w:rPr>
          <w:rFonts w:eastAsia="Aptos"/>
          <w:kern w:val="2"/>
          <w:lang w:eastAsia="en-US"/>
          <w14:ligatures w14:val="standardContextual"/>
        </w:rPr>
        <w:t xml:space="preserve"> numuneleri alınabilir, ancak atıksu uygun şekilde karıştırılmış ve homojen olmalıdır.</w:t>
      </w:r>
    </w:p>
    <w:p w14:paraId="530F4770" w14:textId="3151A780" w:rsidR="002A7D25" w:rsidRPr="00D53A2B" w:rsidRDefault="00831B53">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MET-İES</w:t>
      </w:r>
      <w:r w:rsidR="002A7D25" w:rsidRPr="00D53A2B">
        <w:rPr>
          <w:rFonts w:eastAsia="Aptos"/>
          <w:kern w:val="2"/>
          <w:lang w:eastAsia="en-US"/>
          <w14:ligatures w14:val="standardContextual"/>
        </w:rPr>
        <w:t>, emisyonun tesisten çıkış yaptığı noktada geçerlidir.</w:t>
      </w:r>
    </w:p>
    <w:p w14:paraId="0C3462F7" w14:textId="77777777" w:rsidR="002A7D25" w:rsidRPr="00D53A2B" w:rsidRDefault="002A7D25">
      <w:pPr>
        <w:spacing w:after="160" w:line="278" w:lineRule="auto"/>
        <w:jc w:val="both"/>
        <w:rPr>
          <w:rFonts w:eastAsia="Aptos"/>
          <w:b/>
          <w:bCs/>
          <w:kern w:val="2"/>
          <w:lang w:eastAsia="en-US"/>
          <w14:ligatures w14:val="standardContextual"/>
        </w:rPr>
      </w:pPr>
      <w:r w:rsidRPr="00D53A2B">
        <w:rPr>
          <w:rFonts w:eastAsia="Aptos"/>
          <w:b/>
          <w:bCs/>
          <w:kern w:val="2"/>
          <w:lang w:eastAsia="en-US"/>
          <w14:ligatures w14:val="standardContextual"/>
        </w:rPr>
        <w:t>En iyi mevcut tekniklerle (MET-AEPL'ler) ve göstergelere dayalı diğer çevresel performans seviyeleri</w:t>
      </w:r>
    </w:p>
    <w:p w14:paraId="50C557F3"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Özel enerji tüketimi için MET-AEPL'ler (dökümhaneler)</w:t>
      </w:r>
    </w:p>
    <w:p w14:paraId="3DCBE449"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Özel enerji tüketimi için MET-AEPL'ler, aşağıdaki denklem kullanılarak hesaplanan yıllık ortalamalara atıfta bulunur:</w:t>
      </w:r>
    </w:p>
    <w:p w14:paraId="5201AAA5"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Formül</w:t>
      </w:r>
      <w:r w:rsidRPr="00D53A2B">
        <w:rPr>
          <w:rFonts w:eastAsia="Aptos"/>
          <w:kern w:val="2"/>
          <w:lang w:eastAsia="en-US"/>
          <w14:ligatures w14:val="standardContextual"/>
        </w:rPr>
        <w:br/>
        <w:t xml:space="preserve">Burada:        Enerji tüketimi= </w:t>
      </w:r>
      <m:oMath>
        <m:f>
          <m:fPr>
            <m:ctrlPr>
              <w:rPr>
                <w:rFonts w:ascii="Cambria Math" w:eastAsia="Aptos" w:hAnsi="Cambria Math"/>
                <w:iCs/>
                <w:kern w:val="2"/>
                <w:lang w:eastAsia="en-US"/>
                <w14:ligatures w14:val="standardContextual"/>
              </w:rPr>
            </m:ctrlPr>
          </m:fPr>
          <m:num>
            <m:r>
              <m:rPr>
                <m:sty m:val="p"/>
              </m:rPr>
              <w:rPr>
                <w:rFonts w:ascii="Cambria Math" w:eastAsia="Aptos" w:hAnsi="Cambria Math"/>
                <w:kern w:val="2"/>
                <w:lang w:eastAsia="en-US"/>
                <w14:ligatures w14:val="standardContextual"/>
              </w:rPr>
              <m:t>enerji tüketim oranı</m:t>
            </m:r>
          </m:num>
          <m:den>
            <m:r>
              <m:rPr>
                <m:sty m:val="p"/>
              </m:rPr>
              <w:rPr>
                <w:rFonts w:ascii="Cambria Math" w:eastAsia="Aptos" w:hAnsi="Cambria Math"/>
                <w:kern w:val="2"/>
                <w:lang w:eastAsia="en-US"/>
                <w14:ligatures w14:val="standardContextual"/>
              </w:rPr>
              <m:t>aktivite oranı</m:t>
            </m:r>
          </m:den>
        </m:f>
      </m:oMath>
    </w:p>
    <w:p w14:paraId="24FC6BE3"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Enerji tüketim oranı</w:t>
      </w:r>
      <w:r w:rsidRPr="00D53A2B">
        <w:rPr>
          <w:rFonts w:eastAsia="Aptos"/>
          <w:kern w:val="2"/>
          <w:lang w:eastAsia="en-US"/>
          <w14:ligatures w14:val="standardContextual"/>
        </w:rPr>
        <w:t>: Dökümhanelerde ilgili süreç(ler)de (erime ve tutma, kepçe ısıtma) tüketilen toplam ısı (birincil enerji kaynaklarından üretilen) ve elektrik miktarı, kWh/yıl olarak ifade edilir; ve</w:t>
      </w:r>
    </w:p>
    <w:p w14:paraId="02C3A52E"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Aktivite oranı</w:t>
      </w:r>
      <w:r w:rsidRPr="00D53A2B">
        <w:rPr>
          <w:rFonts w:eastAsia="Aptos"/>
          <w:kern w:val="2"/>
          <w:lang w:eastAsia="en-US"/>
          <w14:ligatures w14:val="standardContextual"/>
        </w:rPr>
        <w:t>: Toplam sıvı metal çıktısı, t/yıl olarak ifade edilir.</w:t>
      </w:r>
    </w:p>
    <w:p w14:paraId="26A494A7"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Enerji tüketim oranı, ilgili süreç(ler)de (erime ve tutma, kepçe ısıtma) tüm fırınlar tarafından tüketilen toplam ısı (birincil enerji kaynaklarından üretilen) ve elektriği ifade eder.</w:t>
      </w:r>
    </w:p>
    <w:p w14:paraId="12E79454"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Özel enerji tüketimi için göstergelere dayalı seviyeler (demirhaneler)</w:t>
      </w:r>
    </w:p>
    <w:p w14:paraId="593213D6"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Özel enerji tüketimi için göstergelere dayalı seviyeler, aşağıdaki denklem kullanılarak hesaplanan yıllık ortalamalara atıfta bulunur:</w:t>
      </w:r>
    </w:p>
    <w:p w14:paraId="093BC2E1" w14:textId="77777777" w:rsidR="00A67B38" w:rsidRPr="00592FBB" w:rsidRDefault="002A7D25">
      <w:pPr>
        <w:spacing w:line="278" w:lineRule="auto"/>
        <w:jc w:val="both"/>
        <w:rPr>
          <w:rFonts w:eastAsia="Aptos"/>
          <w:kern w:val="2"/>
          <w:lang w:eastAsia="en-US"/>
          <w14:ligatures w14:val="standardContextual"/>
        </w:rPr>
      </w:pPr>
      <w:r w:rsidRPr="00D53A2B">
        <w:rPr>
          <w:rFonts w:eastAsia="Aptos"/>
          <w:b/>
          <w:bCs/>
          <w:kern w:val="2"/>
          <w:lang w:eastAsia="en-US"/>
          <w14:ligatures w14:val="standardContextual"/>
        </w:rPr>
        <w:lastRenderedPageBreak/>
        <w:t>Formül</w:t>
      </w:r>
      <w:r w:rsidRPr="00D53A2B">
        <w:rPr>
          <w:rFonts w:eastAsia="Aptos"/>
          <w:kern w:val="2"/>
          <w:lang w:eastAsia="en-US"/>
          <w14:ligatures w14:val="standardContextual"/>
        </w:rPr>
        <w:br/>
      </w:r>
      <w:r w:rsidR="00A67B38" w:rsidRPr="00D53A2B">
        <w:rPr>
          <w:rFonts w:eastAsia="Aptos"/>
          <w:kern w:val="2"/>
          <w:lang w:eastAsia="en-US"/>
          <w14:ligatures w14:val="standardContextual"/>
        </w:rPr>
        <w:t>Burada</w:t>
      </w:r>
      <w:r w:rsidR="00A67B38">
        <w:rPr>
          <w:rFonts w:eastAsia="Aptos"/>
          <w:kern w:val="2"/>
          <w:lang w:eastAsia="en-US"/>
          <w14:ligatures w14:val="standardContextual"/>
        </w:rPr>
        <w:t xml:space="preserve">: </w:t>
      </w:r>
      <m:oMath>
        <m:r>
          <w:rPr>
            <w:rFonts w:ascii="Cambria Math" w:hAnsi="Cambria Math"/>
          </w:rPr>
          <m:t>Enerji tüketimi=</m:t>
        </m:r>
        <m:f>
          <m:fPr>
            <m:ctrlPr>
              <w:rPr>
                <w:rFonts w:ascii="Cambria Math" w:eastAsiaTheme="minorEastAsia" w:hAnsi="Cambria Math"/>
                <w:i/>
              </w:rPr>
            </m:ctrlPr>
          </m:fPr>
          <m:num>
            <m:r>
              <w:rPr>
                <w:rFonts w:ascii="Cambria Math" w:hAnsi="Cambria Math"/>
              </w:rPr>
              <m:t>enerji tüketim oranı</m:t>
            </m:r>
          </m:num>
          <m:den>
            <m:r>
              <w:rPr>
                <w:rFonts w:ascii="Cambria Math" w:hAnsi="Cambria Math"/>
              </w:rPr>
              <m:t>aktivite oranı</m:t>
            </m:r>
          </m:den>
        </m:f>
      </m:oMath>
    </w:p>
    <w:p w14:paraId="25D2BB7A" w14:textId="77777777" w:rsidR="00A67B38" w:rsidRDefault="00A67B38">
      <w:pPr>
        <w:spacing w:after="160" w:line="278" w:lineRule="auto"/>
        <w:jc w:val="both"/>
        <w:rPr>
          <w:rFonts w:eastAsia="Aptos"/>
          <w:b/>
          <w:bCs/>
          <w:kern w:val="2"/>
          <w:lang w:eastAsia="en-US"/>
          <w14:ligatures w14:val="standardContextual"/>
        </w:rPr>
      </w:pPr>
    </w:p>
    <w:p w14:paraId="526C52C6" w14:textId="7DF7C879"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Enerji tüketim oranı</w:t>
      </w:r>
      <w:r w:rsidRPr="00D53A2B">
        <w:rPr>
          <w:rFonts w:eastAsia="Aptos"/>
          <w:kern w:val="2"/>
          <w:lang w:eastAsia="en-US"/>
          <w14:ligatures w14:val="standardContextual"/>
        </w:rPr>
        <w:t>: Demirhanelerde fabrikada tüketilen toplam ısı (birincil enerji kaynaklarından üretilen) ve elektrik miktarı, kWh/yıl olarak ifade edilir; ve</w:t>
      </w:r>
    </w:p>
    <w:p w14:paraId="20B06174"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Aktivite oranı</w:t>
      </w:r>
      <w:r w:rsidRPr="00D53A2B">
        <w:rPr>
          <w:rFonts w:eastAsia="Aptos"/>
          <w:kern w:val="2"/>
          <w:lang w:eastAsia="en-US"/>
          <w14:ligatures w14:val="standardContextual"/>
        </w:rPr>
        <w:t>: Toplam hammadde miktarı, t/yıl olarak ifade edilir.</w:t>
      </w:r>
    </w:p>
    <w:p w14:paraId="29976BB8"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Özel su tüketimi için MET-AEPL'ler (dökümhaneler)</w:t>
      </w:r>
    </w:p>
    <w:p w14:paraId="310C3DBF"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Özel su tüketimi için MET-AEPL'ler, aşağıdaki denklem kullanılarak hesaplanan yıllık ortalamalara atıfta bulunur:</w:t>
      </w:r>
    </w:p>
    <w:p w14:paraId="3DA9A24D"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Formül</w:t>
      </w:r>
      <w:r w:rsidRPr="00D53A2B">
        <w:rPr>
          <w:rFonts w:eastAsia="Aptos"/>
          <w:kern w:val="2"/>
          <w:lang w:eastAsia="en-US"/>
          <w14:ligatures w14:val="standardContextual"/>
        </w:rPr>
        <w:br/>
        <w:t xml:space="preserve">Burada: Su tüketimi= </w:t>
      </w:r>
      <m:oMath>
        <m:f>
          <m:fPr>
            <m:ctrlPr>
              <w:rPr>
                <w:rFonts w:ascii="Cambria Math" w:eastAsia="Aptos" w:hAnsi="Cambria Math"/>
                <w:iCs/>
                <w:kern w:val="2"/>
                <w:lang w:eastAsia="en-US"/>
                <w14:ligatures w14:val="standardContextual"/>
              </w:rPr>
            </m:ctrlPr>
          </m:fPr>
          <m:num>
            <m:r>
              <m:rPr>
                <m:sty m:val="p"/>
              </m:rPr>
              <w:rPr>
                <w:rFonts w:ascii="Cambria Math" w:eastAsia="Aptos" w:hAnsi="Cambria Math"/>
                <w:kern w:val="2"/>
                <w:lang w:eastAsia="en-US"/>
                <w14:ligatures w14:val="standardContextual"/>
              </w:rPr>
              <m:t>su tüketim oranı</m:t>
            </m:r>
          </m:num>
          <m:den>
            <m:r>
              <m:rPr>
                <m:sty m:val="p"/>
              </m:rPr>
              <w:rPr>
                <w:rFonts w:ascii="Cambria Math" w:eastAsia="Aptos" w:hAnsi="Cambria Math"/>
                <w:kern w:val="2"/>
                <w:lang w:eastAsia="en-US"/>
                <w14:ligatures w14:val="standardContextual"/>
              </w:rPr>
              <m:t>aktivite oranı</m:t>
            </m:r>
          </m:den>
        </m:f>
      </m:oMath>
    </w:p>
    <w:p w14:paraId="2FC43C9D"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Su tüketim oranı</w:t>
      </w:r>
      <w:r w:rsidRPr="00D53A2B">
        <w:rPr>
          <w:rFonts w:eastAsia="Aptos"/>
          <w:kern w:val="2"/>
          <w:lang w:eastAsia="en-US"/>
          <w14:ligatures w14:val="standardContextual"/>
        </w:rPr>
        <w:t>: Fabrika tarafından tüketilen toplam su miktarı, hariç tutularak:</w:t>
      </w:r>
    </w:p>
    <w:p w14:paraId="1656284E"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 Yeniden kullanılan ve geri kazanılan su, ve</w:t>
      </w:r>
    </w:p>
    <w:p w14:paraId="025506F1"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 Bir kez geçen soğutma sistemlerinde kullanılan soğutma suyu, ve</w:t>
      </w:r>
    </w:p>
    <w:p w14:paraId="4C5BFF9C" w14:textId="449BB501"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 Ev tipi kullanım için sum³/yıl olarak ifade edilir; ve</w:t>
      </w:r>
    </w:p>
    <w:p w14:paraId="0069D712"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Aktivite oranı</w:t>
      </w:r>
      <w:r w:rsidRPr="00D53A2B">
        <w:rPr>
          <w:rFonts w:eastAsia="Aptos"/>
          <w:kern w:val="2"/>
          <w:lang w:eastAsia="en-US"/>
          <w14:ligatures w14:val="standardContextual"/>
        </w:rPr>
        <w:t>: Toplam sıvı metal çıktısı, t/yıl olarak ifade edilir.</w:t>
      </w:r>
    </w:p>
    <w:p w14:paraId="776C8761"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Atık bertarafı için MET-AEPL'ler (dökümhaneler)</w:t>
      </w:r>
    </w:p>
    <w:p w14:paraId="19929D23"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Özel miktar için atık bertarafı MET-AEPL'ler, aşağıdaki denklem kullanılarak hesaplanan yıllık ortalamalara atıfta bulunur:</w:t>
      </w:r>
    </w:p>
    <w:p w14:paraId="28A3042F" w14:textId="77777777" w:rsidR="002A7D25" w:rsidRPr="00D53A2B" w:rsidRDefault="002A7D25">
      <w:pPr>
        <w:spacing w:after="160" w:line="278" w:lineRule="auto"/>
        <w:jc w:val="both"/>
        <w:rPr>
          <w:rFonts w:eastAsia="Aptos"/>
          <w:b/>
          <w:bCs/>
          <w:kern w:val="2"/>
          <w:lang w:eastAsia="en-US"/>
          <w14:ligatures w14:val="standardContextual"/>
        </w:rPr>
      </w:pPr>
      <w:r w:rsidRPr="00D53A2B">
        <w:rPr>
          <w:rFonts w:eastAsia="Aptos"/>
          <w:b/>
          <w:bCs/>
          <w:kern w:val="2"/>
          <w:lang w:eastAsia="en-US"/>
          <w14:ligatures w14:val="standardContextual"/>
        </w:rPr>
        <w:t>Formül</w:t>
      </w:r>
    </w:p>
    <w:p w14:paraId="10E448F5"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 xml:space="preserve">                           Belirli oranda atık bertarafı= </w:t>
      </w:r>
      <m:oMath>
        <m:f>
          <m:fPr>
            <m:ctrlPr>
              <w:rPr>
                <w:rFonts w:ascii="Cambria Math" w:eastAsia="Aptos" w:hAnsi="Cambria Math"/>
                <w:iCs/>
                <w:kern w:val="2"/>
                <w:lang w:eastAsia="en-US"/>
                <w14:ligatures w14:val="standardContextual"/>
              </w:rPr>
            </m:ctrlPr>
          </m:fPr>
          <m:num>
            <m:r>
              <m:rPr>
                <m:sty m:val="p"/>
              </m:rPr>
              <w:rPr>
                <w:rFonts w:ascii="Cambria Math" w:eastAsia="Aptos" w:hAnsi="Cambria Math"/>
                <w:kern w:val="2"/>
                <w:lang w:eastAsia="en-US"/>
                <w14:ligatures w14:val="standardContextual"/>
              </w:rPr>
              <m:t>Atık bertaraf  oranı</m:t>
            </m:r>
          </m:num>
          <m:den>
            <m:r>
              <m:rPr>
                <m:sty m:val="p"/>
              </m:rPr>
              <w:rPr>
                <w:rFonts w:ascii="Cambria Math" w:eastAsia="Aptos" w:hAnsi="Cambria Math"/>
                <w:kern w:val="2"/>
                <w:lang w:eastAsia="en-US"/>
                <w14:ligatures w14:val="standardContextual"/>
              </w:rPr>
              <m:t>Aktivite oranı</m:t>
            </m:r>
          </m:den>
        </m:f>
      </m:oMath>
      <w:r w:rsidRPr="00D53A2B">
        <w:rPr>
          <w:rFonts w:eastAsia="Aptos"/>
          <w:kern w:val="2"/>
          <w:lang w:eastAsia="en-US"/>
          <w14:ligatures w14:val="standardContextual"/>
        </w:rPr>
        <w:br/>
        <w:t xml:space="preserve">Burada: </w:t>
      </w:r>
    </w:p>
    <w:p w14:paraId="20CF963A"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Atık bertaraf oranı</w:t>
      </w:r>
      <w:r w:rsidRPr="00D53A2B">
        <w:rPr>
          <w:rFonts w:eastAsia="Aptos"/>
          <w:kern w:val="2"/>
          <w:lang w:eastAsia="en-US"/>
          <w14:ligatures w14:val="standardContextual"/>
        </w:rPr>
        <w:t>: Bertaraf edilen toplam atık miktarı, kg/yıl olarak ifade edilir; ve</w:t>
      </w:r>
    </w:p>
    <w:p w14:paraId="56C303E3"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Aktivite oranı</w:t>
      </w:r>
      <w:r w:rsidRPr="00D53A2B">
        <w:rPr>
          <w:rFonts w:eastAsia="Aptos"/>
          <w:kern w:val="2"/>
          <w:lang w:eastAsia="en-US"/>
          <w14:ligatures w14:val="standardContextual"/>
        </w:rPr>
        <w:t>: Toplam sıvı metal çıktısı, t/yıl olarak ifade edilir.</w:t>
      </w:r>
    </w:p>
    <w:p w14:paraId="12790CFC"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İşletme malzeme verimliliği (OME) için göstergelere dayalı seviyeler (dökümhaneler)</w:t>
      </w:r>
    </w:p>
    <w:p w14:paraId="48F3DA24"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OME için göstergelere dayalı seviyeler, aşağıdaki denklem kullanılarak hesaplanan yıllık ortalamalar olarak yüzde şeklinde ifade edilir:</w:t>
      </w:r>
    </w:p>
    <w:p w14:paraId="4E047291"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Formül</w:t>
      </w:r>
      <w:r w:rsidRPr="00D53A2B">
        <w:rPr>
          <w:rFonts w:eastAsia="Aptos"/>
          <w:kern w:val="2"/>
          <w:lang w:eastAsia="en-US"/>
          <w14:ligatures w14:val="standardContextual"/>
        </w:rPr>
        <w:br/>
        <w:t>Burada: İşletme malzeme verimliliği</w:t>
      </w:r>
      <w:r w:rsidRPr="00D53A2B">
        <w:rPr>
          <w:rFonts w:eastAsia="Aptos"/>
          <w:b/>
          <w:bCs/>
          <w:kern w:val="2"/>
          <w:lang w:eastAsia="en-US"/>
          <w14:ligatures w14:val="standardContextual"/>
        </w:rPr>
        <w:t xml:space="preserve"> </w:t>
      </w:r>
      <w:r w:rsidRPr="00D53A2B">
        <w:rPr>
          <w:rFonts w:eastAsia="Aptos"/>
          <w:kern w:val="2"/>
          <w:lang w:eastAsia="en-US"/>
          <w14:ligatures w14:val="standardContextual"/>
        </w:rPr>
        <w:t xml:space="preserve">= </w:t>
      </w:r>
      <m:oMath>
        <m:f>
          <m:fPr>
            <m:ctrlPr>
              <w:rPr>
                <w:rFonts w:ascii="Cambria Math" w:eastAsia="Aptos" w:hAnsi="Cambria Math"/>
                <w:iCs/>
                <w:kern w:val="2"/>
                <w:lang w:eastAsia="en-US"/>
                <w14:ligatures w14:val="standardContextual"/>
              </w:rPr>
            </m:ctrlPr>
          </m:fPr>
          <m:num>
            <m:r>
              <m:rPr>
                <m:sty m:val="p"/>
              </m:rPr>
              <w:rPr>
                <w:rFonts w:ascii="Cambria Math" w:eastAsia="Aptos" w:hAnsi="Cambria Math"/>
                <w:kern w:val="2"/>
                <w:lang w:eastAsia="en-US"/>
                <w14:ligatures w14:val="standardContextual"/>
              </w:rPr>
              <m:t>İyi döküm oranı</m:t>
            </m:r>
          </m:num>
          <m:den>
            <m:r>
              <m:rPr>
                <m:sty m:val="p"/>
              </m:rPr>
              <w:rPr>
                <w:rFonts w:ascii="Cambria Math" w:eastAsia="Aptos" w:hAnsi="Cambria Math"/>
                <w:kern w:val="2"/>
                <w:lang w:eastAsia="en-US"/>
                <w14:ligatures w14:val="standardContextual"/>
              </w:rPr>
              <m:t>Aktivite oranı</m:t>
            </m:r>
          </m:den>
        </m:f>
      </m:oMath>
      <w:r w:rsidRPr="00D53A2B">
        <w:rPr>
          <w:rFonts w:eastAsia="Aptos"/>
          <w:kern w:val="2"/>
          <w:lang w:eastAsia="en-US"/>
          <w14:ligatures w14:val="standardContextual"/>
        </w:rPr>
        <w:t xml:space="preserve"> </w:t>
      </w:r>
    </w:p>
    <w:p w14:paraId="1BABF633"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İyi döküm oranı</w:t>
      </w:r>
      <w:r w:rsidRPr="00D53A2B">
        <w:rPr>
          <w:rFonts w:eastAsia="Aptos"/>
          <w:kern w:val="2"/>
          <w:lang w:eastAsia="en-US"/>
          <w14:ligatures w14:val="standardContextual"/>
        </w:rPr>
        <w:t>: Kuruluşta kusursuz bir şekilde üretilen son dökümlerin toplam miktarı, t/yıl olarak ifade edilir; ve</w:t>
      </w:r>
    </w:p>
    <w:p w14:paraId="2F10CDFB"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lastRenderedPageBreak/>
        <w:t>Aktivite oranı</w:t>
      </w:r>
      <w:r w:rsidRPr="00D53A2B">
        <w:rPr>
          <w:rFonts w:eastAsia="Aptos"/>
          <w:kern w:val="2"/>
          <w:lang w:eastAsia="en-US"/>
          <w14:ligatures w14:val="standardContextual"/>
        </w:rPr>
        <w:t>: Toplam sıvı metal çıktısı, t/yıl olarak ifade edilir.</w:t>
      </w:r>
    </w:p>
    <w:p w14:paraId="32BAECA7"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Dökümhaneler için kumun yeniden kullanımına ilişkin MET-AEPL'ler</w:t>
      </w:r>
    </w:p>
    <w:p w14:paraId="48158DAC"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kern w:val="2"/>
          <w:lang w:eastAsia="en-US"/>
          <w14:ligatures w14:val="standardContextual"/>
        </w:rPr>
        <w:t>Kumun yeniden kullanımına ilişkin MET-AEPL'ler, aşağıdaki denklem kullanılarak hesaplanan yıllık ortalamalar olarak yüzde şeklinde ifade edilir:</w:t>
      </w:r>
    </w:p>
    <w:p w14:paraId="7DE8D280"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Formül</w:t>
      </w:r>
      <w:r w:rsidRPr="00D53A2B">
        <w:rPr>
          <w:rFonts w:eastAsia="Aptos"/>
          <w:kern w:val="2"/>
          <w:lang w:eastAsia="en-US"/>
          <w14:ligatures w14:val="standardContextual"/>
        </w:rPr>
        <w:br/>
        <w:t>Burada:</w:t>
      </w:r>
      <w:r w:rsidRPr="00D53A2B">
        <w:rPr>
          <w:rFonts w:eastAsia="Aptos"/>
          <w:b/>
          <w:bCs/>
          <w:kern w:val="2"/>
          <w:lang w:eastAsia="en-US"/>
          <w14:ligatures w14:val="standardContextual"/>
        </w:rPr>
        <w:t xml:space="preserve"> </w:t>
      </w:r>
      <w:r w:rsidRPr="00D53A2B">
        <w:rPr>
          <w:rFonts w:eastAsia="Aptos"/>
          <w:kern w:val="2"/>
          <w:lang w:eastAsia="en-US"/>
          <w14:ligatures w14:val="standardContextual"/>
        </w:rPr>
        <w:t xml:space="preserve"> Kumun yeniden kullanım oranı= </w:t>
      </w:r>
      <m:oMath>
        <m:f>
          <m:fPr>
            <m:ctrlPr>
              <w:rPr>
                <w:rFonts w:ascii="Cambria Math" w:eastAsia="Aptos" w:hAnsi="Cambria Math"/>
                <w:iCs/>
                <w:kern w:val="2"/>
                <w:lang w:eastAsia="en-US"/>
                <w14:ligatures w14:val="standardContextual"/>
              </w:rPr>
            </m:ctrlPr>
          </m:fPr>
          <m:num>
            <m:r>
              <m:rPr>
                <m:sty m:val="p"/>
              </m:rPr>
              <w:rPr>
                <w:rFonts w:ascii="Cambria Math" w:eastAsia="Aptos" w:hAnsi="Cambria Math"/>
                <w:kern w:val="2"/>
                <w:lang w:eastAsia="en-US"/>
                <w14:ligatures w14:val="standardContextual"/>
              </w:rPr>
              <m:t>Yeniden kullanılan kum miktarı</m:t>
            </m:r>
          </m:num>
          <m:den>
            <m:r>
              <m:rPr>
                <m:sty m:val="p"/>
              </m:rPr>
              <w:rPr>
                <w:rFonts w:ascii="Cambria Math" w:eastAsia="Aptos" w:hAnsi="Cambria Math"/>
                <w:kern w:val="2"/>
                <w:lang w:eastAsia="en-US"/>
                <w14:ligatures w14:val="standardContextual"/>
              </w:rPr>
              <m:t>Kullanılan toplam kum miktarı</m:t>
            </m:r>
          </m:den>
        </m:f>
        <m:r>
          <w:rPr>
            <w:rFonts w:ascii="Cambria Math" w:eastAsia="Aptos" w:hAnsi="Cambria Math"/>
            <w:kern w:val="2"/>
            <w:lang w:eastAsia="en-US"/>
            <w14:ligatures w14:val="standardContextual"/>
          </w:rPr>
          <m:t>100</m:t>
        </m:r>
      </m:oMath>
      <w:r w:rsidRPr="00D53A2B">
        <w:rPr>
          <w:rFonts w:eastAsia="Aptos"/>
          <w:kern w:val="2"/>
          <w:lang w:eastAsia="en-US"/>
          <w14:ligatures w14:val="standardContextual"/>
        </w:rPr>
        <w:t xml:space="preserve"> </w:t>
      </w:r>
    </w:p>
    <w:p w14:paraId="67E08297"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Yeniden kullanılan kum miktarı</w:t>
      </w:r>
      <w:r w:rsidRPr="00D53A2B">
        <w:rPr>
          <w:rFonts w:eastAsia="Aptos"/>
          <w:kern w:val="2"/>
          <w:lang w:eastAsia="en-US"/>
          <w14:ligatures w14:val="standardContextual"/>
        </w:rPr>
        <w:t>: Yeniden düzenleme veya geri kazanım yoluyla elde edilen toplam kum miktarı, t/yıl olarak ifade edilir; ve</w:t>
      </w:r>
    </w:p>
    <w:p w14:paraId="2AFED211" w14:textId="77777777" w:rsidR="002A7D25" w:rsidRPr="00D53A2B" w:rsidRDefault="002A7D25">
      <w:pPr>
        <w:spacing w:after="160" w:line="278" w:lineRule="auto"/>
        <w:jc w:val="both"/>
        <w:rPr>
          <w:rFonts w:eastAsia="Aptos"/>
          <w:kern w:val="2"/>
          <w:lang w:eastAsia="en-US"/>
          <w14:ligatures w14:val="standardContextual"/>
        </w:rPr>
      </w:pPr>
      <w:r w:rsidRPr="00D53A2B">
        <w:rPr>
          <w:rFonts w:eastAsia="Aptos"/>
          <w:b/>
          <w:bCs/>
          <w:kern w:val="2"/>
          <w:lang w:eastAsia="en-US"/>
          <w14:ligatures w14:val="standardContextual"/>
        </w:rPr>
        <w:t>Kullanılan toplam kum miktarı</w:t>
      </w:r>
      <w:r w:rsidRPr="00D53A2B">
        <w:rPr>
          <w:rFonts w:eastAsia="Aptos"/>
          <w:kern w:val="2"/>
          <w:lang w:eastAsia="en-US"/>
          <w14:ligatures w14:val="standardContextual"/>
        </w:rPr>
        <w:t>: Kullanılan toplam kum miktarı, t/yıl olarak ifade edilir.</w:t>
      </w:r>
    </w:p>
    <w:p w14:paraId="0B0F0C7A" w14:textId="77777777" w:rsidR="005C370B" w:rsidRPr="00D53A2B" w:rsidRDefault="005C370B">
      <w:pPr>
        <w:jc w:val="both"/>
        <w:rPr>
          <w:rFonts w:eastAsia="Calibri"/>
          <w:lang w:val="en-US" w:eastAsia="en-US"/>
        </w:rPr>
      </w:pPr>
    </w:p>
    <w:p w14:paraId="4506BCEE" w14:textId="3E11D362" w:rsidR="002D60D9" w:rsidRPr="00D53A2B" w:rsidRDefault="002D60D9">
      <w:pPr>
        <w:pStyle w:val="Balk2"/>
        <w:rPr>
          <w:rFonts w:eastAsia="Calibri" w:cs="Times New Roman"/>
          <w:szCs w:val="24"/>
          <w:lang w:val="en-US" w:eastAsia="en-US"/>
        </w:rPr>
      </w:pPr>
      <w:r w:rsidRPr="00D53A2B">
        <w:rPr>
          <w:rFonts w:eastAsia="Calibri" w:cs="Times New Roman"/>
          <w:szCs w:val="24"/>
          <w:lang w:val="en-US" w:eastAsia="en-US"/>
        </w:rPr>
        <w:t>TANIMLAR</w:t>
      </w:r>
    </w:p>
    <w:p w14:paraId="5EC251CF" w14:textId="67FEE050" w:rsidR="002D60D9" w:rsidRPr="00D53A2B" w:rsidRDefault="002D60D9">
      <w:pPr>
        <w:pStyle w:val="Balk3"/>
        <w:rPr>
          <w:rFonts w:cs="Times New Roman"/>
          <w:lang w:eastAsia="en-US"/>
        </w:rPr>
      </w:pPr>
      <w:r w:rsidRPr="00D53A2B">
        <w:rPr>
          <w:rFonts w:cs="Times New Roman"/>
        </w:rPr>
        <w:t xml:space="preserve">1. Demir ve Çelik Üretim </w:t>
      </w:r>
      <w:r w:rsidR="008C7032" w:rsidRPr="00D53A2B">
        <w:rPr>
          <w:rFonts w:cs="Times New Roman"/>
        </w:rPr>
        <w:t>Endüstrisi</w:t>
      </w:r>
    </w:p>
    <w:p w14:paraId="5CDD3873" w14:textId="2DCB781C" w:rsidR="00BD0F13" w:rsidRPr="00D53A2B" w:rsidRDefault="00BD0F13">
      <w:pPr>
        <w:jc w:val="both"/>
        <w:rPr>
          <w:rFonts w:eastAsia="Calibri"/>
          <w:lang w:val="en-US" w:eastAsia="en-US"/>
        </w:rPr>
      </w:pPr>
      <w:r w:rsidRPr="00D53A2B">
        <w:rPr>
          <w:rFonts w:eastAsia="Calibri"/>
          <w:lang w:val="en-US" w:eastAsia="en-US"/>
        </w:rPr>
        <w:t>MET sonuçlarının amaçları doğrultusunda;</w:t>
      </w:r>
    </w:p>
    <w:p w14:paraId="1B065066" w14:textId="71D2D4FF" w:rsidR="00BD0F13" w:rsidRPr="00D53A2B" w:rsidRDefault="00BD0F13">
      <w:pPr>
        <w:pStyle w:val="ListeParagraf"/>
        <w:numPr>
          <w:ilvl w:val="0"/>
          <w:numId w:val="235"/>
        </w:numPr>
        <w:tabs>
          <w:tab w:val="clear" w:pos="567"/>
        </w:tabs>
        <w:spacing w:line="276" w:lineRule="auto"/>
        <w:ind w:left="284" w:hanging="284"/>
        <w:rPr>
          <w:rFonts w:eastAsia="Calibri"/>
          <w:sz w:val="24"/>
          <w:szCs w:val="24"/>
        </w:rPr>
      </w:pPr>
      <w:r w:rsidRPr="00D53A2B">
        <w:rPr>
          <w:rFonts w:eastAsia="Calibri"/>
          <w:sz w:val="24"/>
          <w:szCs w:val="24"/>
        </w:rPr>
        <w:t>NO</w:t>
      </w:r>
      <w:r w:rsidRPr="00D53A2B">
        <w:rPr>
          <w:rFonts w:eastAsia="Calibri"/>
          <w:sz w:val="24"/>
          <w:szCs w:val="24"/>
          <w:vertAlign w:val="subscript"/>
        </w:rPr>
        <w:t>x</w:t>
      </w:r>
      <w:r w:rsidRPr="00D53A2B">
        <w:rPr>
          <w:rFonts w:eastAsia="Calibri"/>
          <w:sz w:val="24"/>
          <w:szCs w:val="24"/>
        </w:rPr>
        <w:t xml:space="preserve">: </w:t>
      </w:r>
      <w:r w:rsidR="00DD383B" w:rsidRPr="00D53A2B">
        <w:rPr>
          <w:sz w:val="24"/>
          <w:szCs w:val="24"/>
        </w:rPr>
        <w:t>NO</w:t>
      </w:r>
      <w:r w:rsidR="00DD383B" w:rsidRPr="00D53A2B">
        <w:rPr>
          <w:sz w:val="24"/>
          <w:szCs w:val="24"/>
          <w:vertAlign w:val="subscript"/>
        </w:rPr>
        <w:t>2</w:t>
      </w:r>
      <w:r w:rsidR="00DD383B" w:rsidRPr="00D53A2B">
        <w:rPr>
          <w:sz w:val="24"/>
          <w:szCs w:val="24"/>
        </w:rPr>
        <w:t xml:space="preserve"> olarak ifade edilen </w:t>
      </w:r>
      <w:r w:rsidRPr="00D53A2B">
        <w:rPr>
          <w:rFonts w:eastAsia="Calibri"/>
          <w:sz w:val="24"/>
          <w:szCs w:val="24"/>
        </w:rPr>
        <w:t>azot oksit (NO) ve azot dioksitin (NO</w:t>
      </w:r>
      <w:r w:rsidRPr="00D53A2B">
        <w:rPr>
          <w:rFonts w:eastAsia="Calibri"/>
          <w:sz w:val="24"/>
          <w:szCs w:val="24"/>
          <w:vertAlign w:val="subscript"/>
        </w:rPr>
        <w:t>2</w:t>
      </w:r>
      <w:r w:rsidRPr="00D53A2B">
        <w:rPr>
          <w:rFonts w:eastAsia="Calibri"/>
          <w:sz w:val="24"/>
          <w:szCs w:val="24"/>
        </w:rPr>
        <w:t>) toplamı</w:t>
      </w:r>
    </w:p>
    <w:p w14:paraId="2452B0D1" w14:textId="43215BFD" w:rsidR="00DD383B" w:rsidRPr="00D53A2B" w:rsidRDefault="00DD383B">
      <w:pPr>
        <w:pStyle w:val="ListeParagraf"/>
        <w:numPr>
          <w:ilvl w:val="0"/>
          <w:numId w:val="235"/>
        </w:numPr>
        <w:tabs>
          <w:tab w:val="clear" w:pos="567"/>
        </w:tabs>
        <w:spacing w:line="276" w:lineRule="auto"/>
        <w:ind w:left="284" w:hanging="284"/>
        <w:rPr>
          <w:rFonts w:eastAsia="Calibri"/>
          <w:sz w:val="24"/>
          <w:szCs w:val="24"/>
        </w:rPr>
      </w:pPr>
      <w:r w:rsidRPr="00D53A2B">
        <w:rPr>
          <w:rFonts w:eastAsia="Calibri"/>
          <w:sz w:val="24"/>
          <w:szCs w:val="24"/>
        </w:rPr>
        <w:t>SO</w:t>
      </w:r>
      <w:r w:rsidRPr="00D53A2B">
        <w:rPr>
          <w:rFonts w:eastAsia="Calibri"/>
          <w:sz w:val="24"/>
          <w:szCs w:val="24"/>
          <w:vertAlign w:val="subscript"/>
        </w:rPr>
        <w:t>x</w:t>
      </w:r>
      <w:r w:rsidRPr="00D53A2B">
        <w:rPr>
          <w:rFonts w:eastAsia="Calibri"/>
          <w:sz w:val="24"/>
          <w:szCs w:val="24"/>
        </w:rPr>
        <w:t xml:space="preserve">: </w:t>
      </w:r>
      <w:r w:rsidRPr="00D53A2B">
        <w:rPr>
          <w:sz w:val="24"/>
          <w:szCs w:val="24"/>
        </w:rPr>
        <w:t>SO</w:t>
      </w:r>
      <w:r w:rsidRPr="00D53A2B">
        <w:rPr>
          <w:sz w:val="24"/>
          <w:szCs w:val="24"/>
          <w:vertAlign w:val="subscript"/>
        </w:rPr>
        <w:t>2</w:t>
      </w:r>
      <w:r w:rsidRPr="00D53A2B">
        <w:rPr>
          <w:sz w:val="24"/>
          <w:szCs w:val="24"/>
        </w:rPr>
        <w:t xml:space="preserve"> olarak ifade edilen SO</w:t>
      </w:r>
      <w:r w:rsidRPr="00D53A2B">
        <w:rPr>
          <w:sz w:val="24"/>
          <w:szCs w:val="24"/>
          <w:vertAlign w:val="subscript"/>
        </w:rPr>
        <w:t>2</w:t>
      </w:r>
      <w:r w:rsidRPr="00D53A2B">
        <w:rPr>
          <w:sz w:val="24"/>
          <w:szCs w:val="24"/>
        </w:rPr>
        <w:t xml:space="preserve"> olarak ifade edilen kükürt dioksit (SO</w:t>
      </w:r>
      <w:r w:rsidRPr="00D53A2B">
        <w:rPr>
          <w:sz w:val="24"/>
          <w:szCs w:val="24"/>
          <w:vertAlign w:val="subscript"/>
        </w:rPr>
        <w:t>2</w:t>
      </w:r>
      <w:r w:rsidRPr="00D53A2B">
        <w:rPr>
          <w:sz w:val="24"/>
          <w:szCs w:val="24"/>
        </w:rPr>
        <w:t>) ve kükürt trioksitin (SO</w:t>
      </w:r>
      <w:r w:rsidRPr="00D53A2B">
        <w:rPr>
          <w:sz w:val="24"/>
          <w:szCs w:val="24"/>
          <w:vertAlign w:val="subscript"/>
        </w:rPr>
        <w:t>3</w:t>
      </w:r>
      <w:r w:rsidRPr="00D53A2B">
        <w:rPr>
          <w:sz w:val="24"/>
          <w:szCs w:val="24"/>
        </w:rPr>
        <w:t>) toplamı.</w:t>
      </w:r>
    </w:p>
    <w:p w14:paraId="1C69DD12" w14:textId="500FD200" w:rsidR="00DD383B" w:rsidRPr="00D53A2B" w:rsidRDefault="00DD383B">
      <w:pPr>
        <w:pStyle w:val="ListeParagraf"/>
        <w:numPr>
          <w:ilvl w:val="0"/>
          <w:numId w:val="235"/>
        </w:numPr>
        <w:tabs>
          <w:tab w:val="clear" w:pos="567"/>
        </w:tabs>
        <w:spacing w:line="276" w:lineRule="auto"/>
        <w:ind w:left="284" w:hanging="284"/>
        <w:rPr>
          <w:rFonts w:eastAsia="Calibri"/>
          <w:sz w:val="24"/>
          <w:szCs w:val="24"/>
        </w:rPr>
      </w:pPr>
      <w:r w:rsidRPr="00D53A2B">
        <w:rPr>
          <w:rFonts w:eastAsia="Calibri"/>
          <w:sz w:val="24"/>
          <w:szCs w:val="24"/>
        </w:rPr>
        <w:t xml:space="preserve">HCl: </w:t>
      </w:r>
      <w:r w:rsidRPr="00D53A2B">
        <w:rPr>
          <w:sz w:val="24"/>
          <w:szCs w:val="24"/>
        </w:rPr>
        <w:t>HCl olarak ifade edilen tüm gaz halindeki klorürler.</w:t>
      </w:r>
    </w:p>
    <w:p w14:paraId="186317B6" w14:textId="2C98C52A" w:rsidR="00DD383B" w:rsidRPr="00D53A2B" w:rsidRDefault="00DD383B">
      <w:pPr>
        <w:pStyle w:val="ListeParagraf"/>
        <w:numPr>
          <w:ilvl w:val="0"/>
          <w:numId w:val="235"/>
        </w:numPr>
        <w:tabs>
          <w:tab w:val="clear" w:pos="567"/>
        </w:tabs>
        <w:spacing w:line="276" w:lineRule="auto"/>
        <w:ind w:left="284" w:hanging="284"/>
        <w:rPr>
          <w:rFonts w:eastAsia="Calibri"/>
          <w:sz w:val="24"/>
          <w:szCs w:val="24"/>
        </w:rPr>
      </w:pPr>
      <w:r w:rsidRPr="00D53A2B">
        <w:rPr>
          <w:sz w:val="24"/>
          <w:szCs w:val="24"/>
        </w:rPr>
        <w:t>HF: HF olarak ifade edilen tüm gaz halindeki florürler</w:t>
      </w:r>
    </w:p>
    <w:p w14:paraId="3E198F66" w14:textId="207C66ED" w:rsidR="00BD0F13" w:rsidRPr="00D53A2B" w:rsidRDefault="00BD0F13">
      <w:pPr>
        <w:jc w:val="both"/>
        <w:rPr>
          <w:rFonts w:eastAsia="Calibri"/>
          <w:lang w:val="en-US" w:eastAsia="en-US"/>
        </w:rPr>
      </w:pPr>
    </w:p>
    <w:p w14:paraId="0024D936" w14:textId="7EC82DFC" w:rsidR="006F1A0E" w:rsidRPr="00D53A2B" w:rsidRDefault="008C7032">
      <w:pPr>
        <w:pStyle w:val="Balk3"/>
        <w:rPr>
          <w:rFonts w:eastAsia="Calibri" w:cs="Times New Roman"/>
          <w:lang w:val="en-US" w:eastAsia="en-US"/>
        </w:rPr>
      </w:pPr>
      <w:r w:rsidRPr="00D53A2B">
        <w:rPr>
          <w:rFonts w:eastAsia="Calibri" w:cs="Times New Roman"/>
          <w:lang w:val="en-US" w:eastAsia="en-US"/>
        </w:rPr>
        <w:t>2. Demirli Metalleri İşleme Endüstrisi</w:t>
      </w:r>
      <w:bookmarkEnd w:id="1"/>
    </w:p>
    <w:tbl>
      <w:tblPr>
        <w:tblStyle w:val="TabloKlavuzu2"/>
        <w:tblW w:w="5176" w:type="pct"/>
        <w:tblLook w:val="04A0" w:firstRow="1" w:lastRow="0" w:firstColumn="1" w:lastColumn="0" w:noHBand="0" w:noVBand="1"/>
      </w:tblPr>
      <w:tblGrid>
        <w:gridCol w:w="1699"/>
        <w:gridCol w:w="7226"/>
      </w:tblGrid>
      <w:tr w:rsidR="006F1A0E" w:rsidRPr="00D53A2B" w14:paraId="0065218F" w14:textId="77777777" w:rsidTr="008A08CF">
        <w:tc>
          <w:tcPr>
            <w:tcW w:w="5000" w:type="pct"/>
            <w:gridSpan w:val="2"/>
          </w:tcPr>
          <w:p w14:paraId="2EF8230B" w14:textId="77777777" w:rsidR="006F1A0E" w:rsidRPr="00D53A2B" w:rsidRDefault="006F1A0E">
            <w:pPr>
              <w:jc w:val="both"/>
            </w:pPr>
            <w:r w:rsidRPr="00D53A2B">
              <w:rPr>
                <w:b/>
              </w:rPr>
              <w:t>Genel Terimler</w:t>
            </w:r>
          </w:p>
        </w:tc>
      </w:tr>
      <w:tr w:rsidR="006F1A0E" w:rsidRPr="00D53A2B" w14:paraId="7CB79294" w14:textId="77777777" w:rsidTr="008A08CF">
        <w:tc>
          <w:tcPr>
            <w:tcW w:w="952" w:type="pct"/>
          </w:tcPr>
          <w:p w14:paraId="42C52625" w14:textId="77777777" w:rsidR="006F1A0E" w:rsidRPr="00D53A2B" w:rsidRDefault="006F1A0E" w:rsidP="004A7132">
            <w:pPr>
              <w:jc w:val="both"/>
            </w:pPr>
            <w:bookmarkStart w:id="2" w:name="_Hlk129187351"/>
            <w:r w:rsidRPr="00D53A2B">
              <w:rPr>
                <w:b/>
              </w:rPr>
              <w:t>Kullanılan Terim</w:t>
            </w:r>
          </w:p>
        </w:tc>
        <w:tc>
          <w:tcPr>
            <w:tcW w:w="4048" w:type="pct"/>
          </w:tcPr>
          <w:p w14:paraId="20551FF4" w14:textId="77777777" w:rsidR="006F1A0E" w:rsidRPr="00D53A2B" w:rsidRDefault="006F1A0E" w:rsidP="004A7132">
            <w:pPr>
              <w:jc w:val="both"/>
            </w:pPr>
            <w:r w:rsidRPr="00D53A2B">
              <w:rPr>
                <w:b/>
              </w:rPr>
              <w:t>Tanım</w:t>
            </w:r>
          </w:p>
        </w:tc>
      </w:tr>
      <w:tr w:rsidR="006F1A0E" w:rsidRPr="00D53A2B" w14:paraId="65AB1E14" w14:textId="77777777" w:rsidTr="008A08CF">
        <w:tc>
          <w:tcPr>
            <w:tcW w:w="952" w:type="pct"/>
          </w:tcPr>
          <w:p w14:paraId="297F27C9" w14:textId="124EB444" w:rsidR="006F1A0E" w:rsidRPr="00D53A2B" w:rsidRDefault="0027037A" w:rsidP="004A7132">
            <w:pPr>
              <w:jc w:val="both"/>
            </w:pPr>
            <w:r w:rsidRPr="00D53A2B">
              <w:t>Kesikli</w:t>
            </w:r>
            <w:r w:rsidR="006F1A0E" w:rsidRPr="00D53A2B">
              <w:t xml:space="preserve"> galvanizleme</w:t>
            </w:r>
          </w:p>
        </w:tc>
        <w:tc>
          <w:tcPr>
            <w:tcW w:w="4048" w:type="pct"/>
          </w:tcPr>
          <w:p w14:paraId="0E2612C7" w14:textId="6EB086DF" w:rsidR="006F1A0E" w:rsidRPr="00D53A2B" w:rsidRDefault="0027037A" w:rsidP="004A7132">
            <w:pPr>
              <w:jc w:val="both"/>
            </w:pPr>
            <w:r w:rsidRPr="00D53A2B">
              <w:t>Çelik iş parçalarının yüzeylerini çinko ile kaplamak için erimiş çinko içeren bir banyoya aralıklı olarak daldırılması. Bu ayrıca doğrudan ilişkili herhangi bir ön ve son işlem sürecini (örneğin yağ alma ve pasifleştirme) de içerir.</w:t>
            </w:r>
          </w:p>
        </w:tc>
      </w:tr>
      <w:tr w:rsidR="006F1A0E" w:rsidRPr="00D53A2B" w14:paraId="39752102" w14:textId="77777777" w:rsidTr="008A08CF">
        <w:tc>
          <w:tcPr>
            <w:tcW w:w="952" w:type="pct"/>
          </w:tcPr>
          <w:p w14:paraId="70ADD189" w14:textId="77777777" w:rsidR="006F1A0E" w:rsidRPr="00D53A2B" w:rsidRDefault="006F1A0E" w:rsidP="004A7132">
            <w:pPr>
              <w:jc w:val="both"/>
            </w:pPr>
            <w:r w:rsidRPr="00D53A2B">
              <w:t>Dip cüruf</w:t>
            </w:r>
          </w:p>
        </w:tc>
        <w:tc>
          <w:tcPr>
            <w:tcW w:w="4048" w:type="pct"/>
          </w:tcPr>
          <w:p w14:paraId="2825492E" w14:textId="7E9594BE" w:rsidR="006F1A0E" w:rsidRPr="00D53A2B" w:rsidRDefault="006F1A0E" w:rsidP="004A7132">
            <w:pPr>
              <w:jc w:val="both"/>
            </w:pPr>
            <w:r w:rsidRPr="00D53A2B">
              <w:t>Erimiş çinkonun, asitleme veya eritkenleme işlemlerinden taşınan demir veya demir tuzuyla tepkimesinden oluşan bir üründür. Bu tepkime ürünü, çinko banyosunun dibine çöker.</w:t>
            </w:r>
          </w:p>
        </w:tc>
      </w:tr>
      <w:tr w:rsidR="006F1A0E" w:rsidRPr="00D53A2B" w14:paraId="6B0847E0" w14:textId="77777777" w:rsidTr="008A08CF">
        <w:tc>
          <w:tcPr>
            <w:tcW w:w="952" w:type="pct"/>
          </w:tcPr>
          <w:p w14:paraId="5D802583" w14:textId="77777777" w:rsidR="006F1A0E" w:rsidRPr="00D53A2B" w:rsidRDefault="006F1A0E" w:rsidP="004A7132">
            <w:pPr>
              <w:jc w:val="both"/>
            </w:pPr>
            <w:r w:rsidRPr="00D53A2B">
              <w:t>Karbon çeliği</w:t>
            </w:r>
          </w:p>
        </w:tc>
        <w:tc>
          <w:tcPr>
            <w:tcW w:w="4048" w:type="pct"/>
          </w:tcPr>
          <w:p w14:paraId="182BFFFD" w14:textId="7D67705A" w:rsidR="006F1A0E" w:rsidRPr="00D53A2B" w:rsidRDefault="00463EF8" w:rsidP="004A7132">
            <w:pPr>
              <w:jc w:val="both"/>
            </w:pPr>
            <w:r w:rsidRPr="00D53A2B">
              <w:t>Her alaşım elementinin ağırlığının %5 wt</w:t>
            </w:r>
            <w:r w:rsidR="00E56504" w:rsidRPr="00D53A2B">
              <w:t>’</w:t>
            </w:r>
            <w:r w:rsidRPr="00D53A2B">
              <w:t>ten az olduğu çelik.</w:t>
            </w:r>
          </w:p>
        </w:tc>
      </w:tr>
      <w:tr w:rsidR="006F1A0E" w:rsidRPr="00D53A2B" w14:paraId="5F11E98D" w14:textId="77777777" w:rsidTr="008A08CF">
        <w:tc>
          <w:tcPr>
            <w:tcW w:w="952" w:type="pct"/>
          </w:tcPr>
          <w:p w14:paraId="37BA5AB4" w14:textId="2F5FB315" w:rsidR="006F1A0E" w:rsidRPr="00D53A2B" w:rsidRDefault="00463EF8" w:rsidP="004A7132">
            <w:pPr>
              <w:jc w:val="both"/>
            </w:pPr>
            <w:r w:rsidRPr="00D53A2B">
              <w:t>Baca gazı</w:t>
            </w:r>
            <w:r w:rsidR="006F1A0E" w:rsidRPr="00D53A2B">
              <w:t xml:space="preserve"> emisyonlar</w:t>
            </w:r>
            <w:r w:rsidRPr="00D53A2B">
              <w:t>ı</w:t>
            </w:r>
          </w:p>
        </w:tc>
        <w:tc>
          <w:tcPr>
            <w:tcW w:w="4048" w:type="pct"/>
          </w:tcPr>
          <w:p w14:paraId="03368ED3" w14:textId="77777777" w:rsidR="006F1A0E" w:rsidRPr="00D53A2B" w:rsidRDefault="006F1A0E" w:rsidP="004A7132">
            <w:pPr>
              <w:jc w:val="both"/>
            </w:pPr>
            <w:r w:rsidRPr="00D53A2B">
              <w:t>Kirleticilerin çevreye herhangi bir boru, oluk, baca vs. aracılığıyla salınması.</w:t>
            </w:r>
          </w:p>
        </w:tc>
      </w:tr>
      <w:tr w:rsidR="006F1A0E" w:rsidRPr="00D53A2B" w14:paraId="502FF865" w14:textId="77777777" w:rsidTr="008A08CF">
        <w:tc>
          <w:tcPr>
            <w:tcW w:w="952" w:type="pct"/>
          </w:tcPr>
          <w:p w14:paraId="4D39A934" w14:textId="77777777" w:rsidR="006F1A0E" w:rsidRPr="00D53A2B" w:rsidRDefault="006F1A0E" w:rsidP="004A7132">
            <w:pPr>
              <w:jc w:val="both"/>
            </w:pPr>
            <w:r w:rsidRPr="00D53A2B">
              <w:t>Soğuk haddeleme</w:t>
            </w:r>
          </w:p>
        </w:tc>
        <w:tc>
          <w:tcPr>
            <w:tcW w:w="4048" w:type="pct"/>
          </w:tcPr>
          <w:p w14:paraId="381D1EB6" w14:textId="05A3CE11" w:rsidR="006F1A0E" w:rsidRPr="00D53A2B" w:rsidRDefault="006F1A0E" w:rsidP="004A7132">
            <w:pPr>
              <w:jc w:val="both"/>
            </w:pPr>
            <w:r w:rsidRPr="00D53A2B">
              <w:t>Çeliğin, özelliklerini (</w:t>
            </w:r>
            <w:r w:rsidR="00463EF8" w:rsidRPr="00D53A2B">
              <w:t xml:space="preserve">örneğin </w:t>
            </w:r>
            <w:r w:rsidRPr="00D53A2B">
              <w:t>boyutu, şekli ve/veya metalürjik özellikleri) değiştirmek amacıyla ortam sıcaklıklarında silindirler yardımıyla sıkıştırılması işlemi. Bu işlem aynı zamanda doğrudan ilişkili her türlü işlem öncesi ve sonrası süreçleri de (</w:t>
            </w:r>
            <w:r w:rsidR="00463EF8" w:rsidRPr="00D53A2B">
              <w:t xml:space="preserve">örneğin </w:t>
            </w:r>
            <w:r w:rsidRPr="00D53A2B">
              <w:t>asitleme, tavlama ve yağlama) kapsar.</w:t>
            </w:r>
          </w:p>
        </w:tc>
      </w:tr>
      <w:tr w:rsidR="006F1A0E" w:rsidRPr="00D53A2B" w14:paraId="7BBF0CAE" w14:textId="77777777" w:rsidTr="008A08CF">
        <w:tc>
          <w:tcPr>
            <w:tcW w:w="952" w:type="pct"/>
          </w:tcPr>
          <w:p w14:paraId="5B591115" w14:textId="5B8D3160" w:rsidR="006F1A0E" w:rsidRPr="00D53A2B" w:rsidRDefault="006F1A0E" w:rsidP="004A7132">
            <w:pPr>
              <w:jc w:val="both"/>
            </w:pPr>
            <w:r w:rsidRPr="00D53A2B">
              <w:t>Sürekli ölçüm</w:t>
            </w:r>
          </w:p>
        </w:tc>
        <w:tc>
          <w:tcPr>
            <w:tcW w:w="4048" w:type="pct"/>
          </w:tcPr>
          <w:p w14:paraId="02F13D08" w14:textId="77777777" w:rsidR="006F1A0E" w:rsidRPr="00D53A2B" w:rsidRDefault="006F1A0E" w:rsidP="004A7132">
            <w:pPr>
              <w:jc w:val="both"/>
            </w:pPr>
            <w:r w:rsidRPr="00D53A2B">
              <w:t>Sahada kalıcı olarak kurulu otomatik bir ölçüm sistemi kullanarak yapılan ölçüm.</w:t>
            </w:r>
          </w:p>
        </w:tc>
      </w:tr>
      <w:tr w:rsidR="006F1A0E" w:rsidRPr="00D53A2B" w14:paraId="17AF55DE" w14:textId="77777777" w:rsidTr="008A08CF">
        <w:tc>
          <w:tcPr>
            <w:tcW w:w="952" w:type="pct"/>
          </w:tcPr>
          <w:p w14:paraId="701D03F7" w14:textId="77777777" w:rsidR="006F1A0E" w:rsidRPr="00D53A2B" w:rsidRDefault="006F1A0E" w:rsidP="004A7132">
            <w:pPr>
              <w:jc w:val="both"/>
            </w:pPr>
            <w:r w:rsidRPr="00D53A2B">
              <w:t>Hammadde</w:t>
            </w:r>
          </w:p>
        </w:tc>
        <w:tc>
          <w:tcPr>
            <w:tcW w:w="4048" w:type="pct"/>
          </w:tcPr>
          <w:p w14:paraId="242E1A2F" w14:textId="13D12DEE" w:rsidR="006F1A0E" w:rsidRPr="00D53A2B" w:rsidRDefault="006F1A0E" w:rsidP="004A7132">
            <w:pPr>
              <w:jc w:val="both"/>
            </w:pPr>
            <w:r w:rsidRPr="00D53A2B">
              <w:t>Bir üretimin proses aşamasına dahil olan her türlü çelik girdi (işlenmemiş veya kısmen işlenmiş) veya iş parçası</w:t>
            </w:r>
          </w:p>
        </w:tc>
      </w:tr>
      <w:tr w:rsidR="006F1A0E" w:rsidRPr="00D53A2B" w14:paraId="35325B55" w14:textId="77777777" w:rsidTr="008A08CF">
        <w:tc>
          <w:tcPr>
            <w:tcW w:w="952" w:type="pct"/>
          </w:tcPr>
          <w:p w14:paraId="3C7DE27E" w14:textId="5ADBB5F6" w:rsidR="006F1A0E" w:rsidRPr="00D53A2B" w:rsidRDefault="006F1A0E" w:rsidP="004A7132">
            <w:pPr>
              <w:jc w:val="both"/>
            </w:pPr>
            <w:r w:rsidRPr="00D53A2B">
              <w:lastRenderedPageBreak/>
              <w:t>Hammadde ısıtma</w:t>
            </w:r>
          </w:p>
        </w:tc>
        <w:tc>
          <w:tcPr>
            <w:tcW w:w="4048" w:type="pct"/>
          </w:tcPr>
          <w:p w14:paraId="4466C222" w14:textId="30ECE915" w:rsidR="006F1A0E" w:rsidRPr="00D53A2B" w:rsidRDefault="006F1A0E" w:rsidP="004A7132">
            <w:pPr>
              <w:jc w:val="both"/>
            </w:pPr>
            <w:r w:rsidRPr="00D53A2B">
              <w:t>Hammadde</w:t>
            </w:r>
            <w:r w:rsidR="00463EF8" w:rsidRPr="00D53A2B">
              <w:t>nin</w:t>
            </w:r>
            <w:r w:rsidRPr="00D53A2B">
              <w:t xml:space="preserve"> ısıtıldığı herhangi bir proses aşaması. </w:t>
            </w:r>
            <w:r w:rsidR="00C94A0E" w:rsidRPr="00D53A2B">
              <w:t>Bu, hammaddenin kurutulması veya galvanizleme kazanının ısıtılması işlemini içermez.</w:t>
            </w:r>
          </w:p>
        </w:tc>
      </w:tr>
      <w:tr w:rsidR="006F1A0E" w:rsidRPr="00D53A2B" w14:paraId="570022EF" w14:textId="77777777" w:rsidTr="008A08CF">
        <w:tc>
          <w:tcPr>
            <w:tcW w:w="952" w:type="pct"/>
          </w:tcPr>
          <w:p w14:paraId="67E6A292" w14:textId="75E2FEBB" w:rsidR="006F1A0E" w:rsidRPr="00D53A2B" w:rsidRDefault="006F1A0E" w:rsidP="004A7132">
            <w:pPr>
              <w:jc w:val="both"/>
            </w:pPr>
            <w:r w:rsidRPr="00D53A2B">
              <w:t>Ferrokrom</w:t>
            </w:r>
          </w:p>
        </w:tc>
        <w:tc>
          <w:tcPr>
            <w:tcW w:w="4048" w:type="pct"/>
          </w:tcPr>
          <w:p w14:paraId="15F79AF3" w14:textId="19EF0D94" w:rsidR="006F1A0E" w:rsidRPr="00D53A2B" w:rsidRDefault="00C94A0E" w:rsidP="004A7132">
            <w:pPr>
              <w:jc w:val="both"/>
            </w:pPr>
            <w:r w:rsidRPr="00D53A2B">
              <w:t>Genellikle ağırlıkça %50 ile %70 arasında krom içeren bir krom ve demir alaşımı.</w:t>
            </w:r>
          </w:p>
        </w:tc>
      </w:tr>
      <w:tr w:rsidR="006F1A0E" w:rsidRPr="00D53A2B" w14:paraId="69DF8647" w14:textId="77777777" w:rsidTr="008A08CF">
        <w:tc>
          <w:tcPr>
            <w:tcW w:w="952" w:type="pct"/>
          </w:tcPr>
          <w:p w14:paraId="3B490FAE" w14:textId="342448EA" w:rsidR="006F1A0E" w:rsidRPr="00D53A2B" w:rsidRDefault="006F1A0E" w:rsidP="004A7132">
            <w:pPr>
              <w:jc w:val="both"/>
            </w:pPr>
            <w:r w:rsidRPr="00D53A2B">
              <w:t>Baca gazı</w:t>
            </w:r>
          </w:p>
        </w:tc>
        <w:tc>
          <w:tcPr>
            <w:tcW w:w="4048" w:type="pct"/>
          </w:tcPr>
          <w:p w14:paraId="7CEB4C6A" w14:textId="6F0E0B47" w:rsidR="006F1A0E" w:rsidRPr="00D53A2B" w:rsidRDefault="006F1A0E" w:rsidP="004A7132">
            <w:pPr>
              <w:jc w:val="both"/>
            </w:pPr>
            <w:r w:rsidRPr="00D53A2B">
              <w:t>Bir yakma biriminden çıkan egzoz gazı.</w:t>
            </w:r>
          </w:p>
        </w:tc>
      </w:tr>
      <w:tr w:rsidR="006F1A0E" w:rsidRPr="00D53A2B" w14:paraId="47A689A2" w14:textId="77777777" w:rsidTr="008A08CF">
        <w:tc>
          <w:tcPr>
            <w:tcW w:w="952" w:type="pct"/>
          </w:tcPr>
          <w:p w14:paraId="3F2F30BA" w14:textId="08D38D92" w:rsidR="006F1A0E" w:rsidRPr="00D53A2B" w:rsidRDefault="006F1A0E" w:rsidP="004A7132">
            <w:pPr>
              <w:jc w:val="both"/>
            </w:pPr>
            <w:r w:rsidRPr="00D53A2B">
              <w:t>Yüksek alaşımlı çelik</w:t>
            </w:r>
          </w:p>
        </w:tc>
        <w:tc>
          <w:tcPr>
            <w:tcW w:w="4048" w:type="pct"/>
          </w:tcPr>
          <w:p w14:paraId="106D2EBC" w14:textId="3D1285E8" w:rsidR="006F1A0E" w:rsidRPr="00D53A2B" w:rsidRDefault="00C94A0E" w:rsidP="004A7132">
            <w:pPr>
              <w:jc w:val="both"/>
            </w:pPr>
            <w:r w:rsidRPr="00D53A2B">
              <w:t>Bir veya daha fazla alaşım elementinin içeriği ağırlıkça %5 veya daha fazla olan çelik.</w:t>
            </w:r>
          </w:p>
        </w:tc>
      </w:tr>
      <w:tr w:rsidR="006F1A0E" w:rsidRPr="00D53A2B" w14:paraId="055817A0" w14:textId="77777777" w:rsidTr="008A08CF">
        <w:tc>
          <w:tcPr>
            <w:tcW w:w="952" w:type="pct"/>
          </w:tcPr>
          <w:p w14:paraId="5AFAF38D" w14:textId="36EAC75F" w:rsidR="006F1A0E" w:rsidRPr="00D53A2B" w:rsidRDefault="006F1A0E" w:rsidP="004A7132">
            <w:pPr>
              <w:jc w:val="both"/>
            </w:pPr>
            <w:r w:rsidRPr="00D53A2B">
              <w:t>Sıcak daldırmalı kaplama</w:t>
            </w:r>
          </w:p>
        </w:tc>
        <w:tc>
          <w:tcPr>
            <w:tcW w:w="4048" w:type="pct"/>
          </w:tcPr>
          <w:p w14:paraId="685E510C" w14:textId="67EF5D3A" w:rsidR="006F1A0E" w:rsidRPr="00D53A2B" w:rsidRDefault="006F1A0E" w:rsidP="004A7132">
            <w:pPr>
              <w:jc w:val="both"/>
            </w:pPr>
            <w:r w:rsidRPr="00D53A2B">
              <w:t>Çelik sac veya tellerin, yüzeylerini metalle kaplamak amacıyla çinko ve/veya alüminyum gibi erimiş metal (ler)i içeren bir banyoya sürekli olarak daldırılması işlemi. Bu işlem, aynı zamanda doğrudan ilişkili her türlü işlem öncesi ve sonrası süreçleri de (ör. asitleme ve fosfatlama) kapsar.</w:t>
            </w:r>
          </w:p>
        </w:tc>
      </w:tr>
      <w:tr w:rsidR="006F1A0E" w:rsidRPr="00D53A2B" w14:paraId="3984EF8F" w14:textId="77777777" w:rsidTr="008A08CF">
        <w:tc>
          <w:tcPr>
            <w:tcW w:w="952" w:type="pct"/>
          </w:tcPr>
          <w:p w14:paraId="1F8EF592" w14:textId="77777777" w:rsidR="006F1A0E" w:rsidRPr="00D53A2B" w:rsidRDefault="006F1A0E" w:rsidP="00A202FD">
            <w:pPr>
              <w:jc w:val="both"/>
            </w:pPr>
            <w:r w:rsidRPr="00D53A2B">
              <w:t>Sıcak haddeleme</w:t>
            </w:r>
          </w:p>
        </w:tc>
        <w:tc>
          <w:tcPr>
            <w:tcW w:w="4048" w:type="pct"/>
          </w:tcPr>
          <w:p w14:paraId="4A6FAE77" w14:textId="27B7AC98" w:rsidR="006F1A0E" w:rsidRPr="00D53A2B" w:rsidRDefault="006F1A0E" w:rsidP="00A202FD">
            <w:pPr>
              <w:jc w:val="both"/>
            </w:pPr>
            <w:r w:rsidRPr="00D53A2B">
              <w:t>Kızgın çeliğin, özelliklerini (ör. boyutu, şekli ve/veya metalürjik özellikleri) değiştirmek amacıyla genelde 1050°C ila 1300°C aralığındaki sıcaklıklarda silindirler yardımıyla sıkıştırılması işlemi. Bu işlem aynı zamanda dikişsiz borularda sıcak halkalı haddeleme ve sıcak haddeleme işlemlerinin yanı sıra doğrudan ilişkili her türlü işlem öncesi ve sonrası süreçleri de (ör. yüzey temizleme, bitirme, asitleme ve yağlama) kapsar.</w:t>
            </w:r>
          </w:p>
        </w:tc>
      </w:tr>
      <w:tr w:rsidR="006F1A0E" w:rsidRPr="00D53A2B" w14:paraId="6D9F1CA0" w14:textId="77777777" w:rsidTr="008A08CF">
        <w:tc>
          <w:tcPr>
            <w:tcW w:w="952" w:type="pct"/>
          </w:tcPr>
          <w:p w14:paraId="0933580E" w14:textId="21B13735" w:rsidR="006F1A0E" w:rsidRPr="00D53A2B" w:rsidRDefault="006F1A0E" w:rsidP="00A202FD">
            <w:pPr>
              <w:jc w:val="both"/>
            </w:pPr>
            <w:r w:rsidRPr="00D53A2B">
              <w:t>Ara ısıtma</w:t>
            </w:r>
          </w:p>
        </w:tc>
        <w:tc>
          <w:tcPr>
            <w:tcW w:w="4048" w:type="pct"/>
          </w:tcPr>
          <w:p w14:paraId="11C5D593" w14:textId="269FB9E2" w:rsidR="006F1A0E" w:rsidRPr="00D53A2B" w:rsidRDefault="006F1A0E" w:rsidP="00A202FD">
            <w:pPr>
              <w:jc w:val="both"/>
            </w:pPr>
            <w:r w:rsidRPr="00D53A2B">
              <w:t>Hammaddenin sıcak haddeleme aşamaları arasında ısıtılması.</w:t>
            </w:r>
          </w:p>
        </w:tc>
      </w:tr>
      <w:tr w:rsidR="006F1A0E" w:rsidRPr="00D53A2B" w14:paraId="6F7EB105" w14:textId="77777777" w:rsidTr="008A08CF">
        <w:tc>
          <w:tcPr>
            <w:tcW w:w="952" w:type="pct"/>
          </w:tcPr>
          <w:p w14:paraId="0C1A171F" w14:textId="58AACD78" w:rsidR="006F1A0E" w:rsidRPr="00D53A2B" w:rsidRDefault="006F1A0E" w:rsidP="00A202FD">
            <w:pPr>
              <w:jc w:val="both"/>
            </w:pPr>
            <w:r w:rsidRPr="00D53A2B">
              <w:t>Demir ve çelik proses gazları</w:t>
            </w:r>
          </w:p>
        </w:tc>
        <w:tc>
          <w:tcPr>
            <w:tcW w:w="4048" w:type="pct"/>
          </w:tcPr>
          <w:p w14:paraId="5FF5B070" w14:textId="2B99618B" w:rsidR="006F1A0E" w:rsidRPr="00D53A2B" w:rsidRDefault="006F1A0E" w:rsidP="00A202FD">
            <w:pPr>
              <w:jc w:val="both"/>
            </w:pPr>
            <w:r w:rsidRPr="00D53A2B">
              <w:t>Demir çelik üretiminden kaynaklanan yüksek fırın gazı, bazik oksijen fırını gazı, kok gazı veya bunların karışımları.</w:t>
            </w:r>
          </w:p>
        </w:tc>
      </w:tr>
      <w:tr w:rsidR="006F1A0E" w:rsidRPr="00D53A2B" w14:paraId="3DBAF2A2" w14:textId="77777777" w:rsidTr="008A08CF">
        <w:tc>
          <w:tcPr>
            <w:tcW w:w="952" w:type="pct"/>
          </w:tcPr>
          <w:p w14:paraId="6A5A0214" w14:textId="363FC905" w:rsidR="006F1A0E" w:rsidRPr="00D53A2B" w:rsidRDefault="006F1A0E" w:rsidP="00A202FD">
            <w:pPr>
              <w:jc w:val="both"/>
            </w:pPr>
            <w:r w:rsidRPr="00D53A2B">
              <w:t>Kurşunlu çelik</w:t>
            </w:r>
          </w:p>
        </w:tc>
        <w:tc>
          <w:tcPr>
            <w:tcW w:w="4048" w:type="pct"/>
          </w:tcPr>
          <w:p w14:paraId="1A0E9D73" w14:textId="5D1681D8" w:rsidR="006F1A0E" w:rsidRPr="00D53A2B" w:rsidRDefault="00C94A0E" w:rsidP="00A202FD">
            <w:pPr>
              <w:jc w:val="both"/>
            </w:pPr>
            <w:r w:rsidRPr="00D53A2B">
              <w:t>İçerisine eklenen kurşun içeriğinin genellikle ağırlıkça % 0,15 ile % 0,35 arasında olduğu çelik sınıfları.</w:t>
            </w:r>
          </w:p>
        </w:tc>
      </w:tr>
      <w:tr w:rsidR="006F1A0E" w:rsidRPr="00D53A2B" w14:paraId="4EFE5DA9" w14:textId="77777777" w:rsidTr="008A08CF">
        <w:tc>
          <w:tcPr>
            <w:tcW w:w="952" w:type="pct"/>
          </w:tcPr>
          <w:p w14:paraId="47FB10FC" w14:textId="17F35F7A" w:rsidR="006F1A0E" w:rsidRPr="00D53A2B" w:rsidRDefault="006F1A0E" w:rsidP="00A202FD">
            <w:pPr>
              <w:jc w:val="both"/>
            </w:pPr>
            <w:r w:rsidRPr="00D53A2B">
              <w:t>Tesiste önemli yükseltme</w:t>
            </w:r>
          </w:p>
        </w:tc>
        <w:tc>
          <w:tcPr>
            <w:tcW w:w="4048" w:type="pct"/>
          </w:tcPr>
          <w:p w14:paraId="05C76F1D" w14:textId="6EA28769" w:rsidR="006F1A0E" w:rsidRPr="00D53A2B" w:rsidRDefault="006F1A0E" w:rsidP="00A202FD">
            <w:pPr>
              <w:jc w:val="both"/>
            </w:pPr>
            <w:r w:rsidRPr="00D53A2B">
              <w:t>Bir tesisin tasarım veya teknolojisinde büyük düzenlemelerin yapılması veya proseslerin ve/veya etki azaltma teknik (ler)inin ve ilişkili teçhizatın değiştirilmesi suretiyle gerçekleştirilen önemli bir değişiklik.</w:t>
            </w:r>
          </w:p>
        </w:tc>
      </w:tr>
      <w:tr w:rsidR="006F1A0E" w:rsidRPr="00D53A2B" w14:paraId="537ACB02" w14:textId="77777777" w:rsidTr="008A08CF">
        <w:tc>
          <w:tcPr>
            <w:tcW w:w="952" w:type="pct"/>
          </w:tcPr>
          <w:p w14:paraId="0F5C0A18" w14:textId="6C31BAE8" w:rsidR="006F1A0E" w:rsidRPr="00D53A2B" w:rsidRDefault="006F1A0E" w:rsidP="00A202FD">
            <w:pPr>
              <w:jc w:val="both"/>
            </w:pPr>
            <w:r w:rsidRPr="00D53A2B">
              <w:t>Kütle akışı</w:t>
            </w:r>
          </w:p>
        </w:tc>
        <w:tc>
          <w:tcPr>
            <w:tcW w:w="4048" w:type="pct"/>
          </w:tcPr>
          <w:p w14:paraId="58FBEB32" w14:textId="4ADC488C" w:rsidR="006F1A0E" w:rsidRPr="00D53A2B" w:rsidRDefault="006F1A0E" w:rsidP="00A202FD">
            <w:pPr>
              <w:jc w:val="both"/>
            </w:pPr>
            <w:r w:rsidRPr="00D53A2B">
              <w:t>Belirli bir süre zarfında salınan belirli bir madde veya parametrenin kütlesi.</w:t>
            </w:r>
          </w:p>
        </w:tc>
      </w:tr>
      <w:tr w:rsidR="006F1A0E" w:rsidRPr="00D53A2B" w14:paraId="28F63CC3" w14:textId="77777777" w:rsidTr="008A08CF">
        <w:tc>
          <w:tcPr>
            <w:tcW w:w="952" w:type="pct"/>
          </w:tcPr>
          <w:p w14:paraId="28CAF082" w14:textId="7FD7FCD8" w:rsidR="006F1A0E" w:rsidRPr="00D53A2B" w:rsidRDefault="006F1A0E" w:rsidP="00A202FD">
            <w:pPr>
              <w:jc w:val="both"/>
            </w:pPr>
            <w:r w:rsidRPr="00D53A2B">
              <w:t>Hadde tufalı</w:t>
            </w:r>
          </w:p>
        </w:tc>
        <w:tc>
          <w:tcPr>
            <w:tcW w:w="4048" w:type="pct"/>
          </w:tcPr>
          <w:p w14:paraId="0C796A78" w14:textId="2DA510A3" w:rsidR="006F1A0E" w:rsidRPr="00D53A2B" w:rsidRDefault="00AA7363" w:rsidP="00A202FD">
            <w:pPr>
              <w:jc w:val="both"/>
            </w:pPr>
            <w:r w:rsidRPr="00D53A2B">
              <w:t xml:space="preserve">Oksijenin sıcak metalle reaksiyona girmesi sonucu çelik yüzeyinde demir oksitler oluşur. </w:t>
            </w:r>
            <w:r w:rsidR="006F1A0E" w:rsidRPr="00D53A2B">
              <w:t>Bu durum, ara ısıtma ve sıcak haddeleme esnasında döküm işleminin hemen ardından meydana gelir.</w:t>
            </w:r>
          </w:p>
        </w:tc>
      </w:tr>
      <w:tr w:rsidR="006F1A0E" w:rsidRPr="00D53A2B" w14:paraId="45A92095" w14:textId="77777777" w:rsidTr="008A08CF">
        <w:tc>
          <w:tcPr>
            <w:tcW w:w="952" w:type="pct"/>
          </w:tcPr>
          <w:p w14:paraId="0985BD0A" w14:textId="4BC34FFB" w:rsidR="006F1A0E" w:rsidRPr="00D53A2B" w:rsidRDefault="006F1A0E" w:rsidP="00A202FD">
            <w:pPr>
              <w:jc w:val="both"/>
            </w:pPr>
            <w:r w:rsidRPr="00D53A2B">
              <w:t>Kar</w:t>
            </w:r>
            <w:r w:rsidR="00AA7363" w:rsidRPr="00D53A2B">
              <w:t>ışık</w:t>
            </w:r>
            <w:r w:rsidRPr="00D53A2B">
              <w:t xml:space="preserve"> asit</w:t>
            </w:r>
          </w:p>
        </w:tc>
        <w:tc>
          <w:tcPr>
            <w:tcW w:w="4048" w:type="pct"/>
          </w:tcPr>
          <w:p w14:paraId="6AB1E4F3" w14:textId="44F2A380" w:rsidR="006F1A0E" w:rsidRPr="00D53A2B" w:rsidRDefault="006F1A0E" w:rsidP="00A202FD">
            <w:pPr>
              <w:jc w:val="both"/>
            </w:pPr>
            <w:r w:rsidRPr="00D53A2B">
              <w:t>Hidroflorik asit ile nitrik asit karışımı.</w:t>
            </w:r>
          </w:p>
        </w:tc>
      </w:tr>
      <w:tr w:rsidR="00C94A0E" w:rsidRPr="00D53A2B" w14:paraId="3DCC46D0" w14:textId="77777777" w:rsidTr="008A08CF">
        <w:tc>
          <w:tcPr>
            <w:tcW w:w="952" w:type="pct"/>
          </w:tcPr>
          <w:p w14:paraId="1F442B14" w14:textId="732976A5" w:rsidR="00C94A0E" w:rsidRPr="00D53A2B" w:rsidRDefault="00AA7363" w:rsidP="00A202FD">
            <w:pPr>
              <w:jc w:val="both"/>
            </w:pPr>
            <w:r w:rsidRPr="00D53A2B">
              <w:t>Periyodik ölçüm</w:t>
            </w:r>
          </w:p>
        </w:tc>
        <w:tc>
          <w:tcPr>
            <w:tcW w:w="4048" w:type="pct"/>
          </w:tcPr>
          <w:p w14:paraId="15356E11" w14:textId="5BE5E84C" w:rsidR="00C94A0E" w:rsidRPr="00D53A2B" w:rsidRDefault="00AA7363" w:rsidP="00A202FD">
            <w:pPr>
              <w:jc w:val="both"/>
            </w:pPr>
            <w:r w:rsidRPr="00D53A2B">
              <w:t>Belirli zaman aralıklarında manuel veya otomatik yöntemlerle ölçüm.</w:t>
            </w:r>
          </w:p>
        </w:tc>
      </w:tr>
      <w:tr w:rsidR="00AA7363" w:rsidRPr="00D53A2B" w14:paraId="749F2B86" w14:textId="77777777" w:rsidTr="008A08CF">
        <w:tc>
          <w:tcPr>
            <w:tcW w:w="952" w:type="pct"/>
          </w:tcPr>
          <w:p w14:paraId="018BAFA6" w14:textId="47A31FE5" w:rsidR="00AA7363" w:rsidRPr="00D53A2B" w:rsidRDefault="00FE2722" w:rsidP="00A202FD">
            <w:pPr>
              <w:jc w:val="both"/>
            </w:pPr>
            <w:r w:rsidRPr="00D53A2B">
              <w:t>Ard ısıtma</w:t>
            </w:r>
          </w:p>
        </w:tc>
        <w:tc>
          <w:tcPr>
            <w:tcW w:w="4048" w:type="pct"/>
          </w:tcPr>
          <w:p w14:paraId="66DE2E32" w14:textId="01C6E5FC" w:rsidR="00AA7363" w:rsidRPr="00D53A2B" w:rsidRDefault="00FE2722" w:rsidP="00A202FD">
            <w:pPr>
              <w:jc w:val="both"/>
            </w:pPr>
            <w:r w:rsidRPr="00D53A2B">
              <w:t>Sıcak haddelemeden sonra hammaddenin ısıtılması.</w:t>
            </w:r>
          </w:p>
        </w:tc>
      </w:tr>
      <w:tr w:rsidR="00FE2722" w:rsidRPr="00D53A2B" w14:paraId="1D35C91C" w14:textId="77777777" w:rsidTr="008A08CF">
        <w:tc>
          <w:tcPr>
            <w:tcW w:w="952" w:type="pct"/>
          </w:tcPr>
          <w:p w14:paraId="16A2E9AE" w14:textId="1DFF796F" w:rsidR="00FE2722" w:rsidRPr="00D53A2B" w:rsidRDefault="00FE2722" w:rsidP="00A202FD">
            <w:pPr>
              <w:jc w:val="both"/>
            </w:pPr>
            <w:r w:rsidRPr="00D53A2B">
              <w:t>Proses kimyasalları</w:t>
            </w:r>
          </w:p>
        </w:tc>
        <w:tc>
          <w:tcPr>
            <w:tcW w:w="4048" w:type="pct"/>
          </w:tcPr>
          <w:p w14:paraId="02EB7009" w14:textId="63C66A41" w:rsidR="00FE2722" w:rsidRPr="00D53A2B" w:rsidRDefault="00233B55" w:rsidP="00A202FD">
            <w:pPr>
              <w:jc w:val="both"/>
            </w:pPr>
            <w:r w:rsidRPr="00233B55">
              <w:t>23/6/2017 tarihli 30105 mükerrer sayılı Resm</w:t>
            </w:r>
            <w:r w:rsidR="00824F39">
              <w:t>î</w:t>
            </w:r>
            <w:r w:rsidRPr="00233B55">
              <w:t xml:space="preserve"> Gazete’de yayımlanan Kimyasalların Kaydı, Değerlendirilmesi, İzni ve Kısıtlanması Hakkında Yönetmelik (KKDİK Yönetmeliği)  </w:t>
            </w:r>
            <w:r w:rsidR="00824F39">
              <w:t>m</w:t>
            </w:r>
            <w:r w:rsidRPr="00233B55">
              <w:t>adde 4’te belirtilen ve proses(ler)de kullanılan maddeler ve/veya karışımlar.</w:t>
            </w:r>
          </w:p>
        </w:tc>
      </w:tr>
      <w:tr w:rsidR="00FE2722" w:rsidRPr="00D53A2B" w14:paraId="692D9CDC" w14:textId="77777777" w:rsidTr="008A08CF">
        <w:tc>
          <w:tcPr>
            <w:tcW w:w="952" w:type="pct"/>
          </w:tcPr>
          <w:p w14:paraId="32EC3307" w14:textId="00F1EB8C" w:rsidR="00FE2722" w:rsidRPr="00D53A2B" w:rsidRDefault="00FE2722" w:rsidP="00A202FD">
            <w:pPr>
              <w:jc w:val="both"/>
            </w:pPr>
            <w:r w:rsidRPr="00D53A2B">
              <w:t>Geri kazanım</w:t>
            </w:r>
          </w:p>
        </w:tc>
        <w:tc>
          <w:tcPr>
            <w:tcW w:w="4048" w:type="pct"/>
          </w:tcPr>
          <w:p w14:paraId="3A19D692" w14:textId="196876E2" w:rsidR="00FE2722" w:rsidRPr="00D53A2B" w:rsidRDefault="00FE2722" w:rsidP="00A202FD">
            <w:pPr>
              <w:jc w:val="both"/>
            </w:pPr>
            <w:r w:rsidRPr="00D53A2B">
              <w:t>Avrupa Parlamentosu ve Konseyi</w:t>
            </w:r>
            <w:r w:rsidR="00E56504" w:rsidRPr="00D53A2B">
              <w:t>’</w:t>
            </w:r>
            <w:r w:rsidRPr="00D53A2B">
              <w:t>nin (2) 2008/98 Sayılı (AB) Yönetmeliği Madde 3(15)</w:t>
            </w:r>
            <w:r w:rsidR="00E56504" w:rsidRPr="00D53A2B">
              <w:t>’</w:t>
            </w:r>
            <w:r w:rsidRPr="00D53A2B">
              <w:t>te belirtilen geri kazanım işlemi.</w:t>
            </w:r>
          </w:p>
          <w:p w14:paraId="2A6E6BE3" w14:textId="7A615964" w:rsidR="00FE2722" w:rsidRPr="00D53A2B" w:rsidRDefault="00FE2722" w:rsidP="00A202FD">
            <w:pPr>
              <w:jc w:val="both"/>
            </w:pPr>
            <w:r w:rsidRPr="00D53A2B">
              <w:t>Kullanılmış asitlerin geri kazanımı, rejenerasyonu, geri kazanımı ve geri dönüşümünü içerir.</w:t>
            </w:r>
          </w:p>
        </w:tc>
      </w:tr>
      <w:tr w:rsidR="00FE2722" w:rsidRPr="00D53A2B" w14:paraId="7C743FCF" w14:textId="77777777" w:rsidTr="008A08CF">
        <w:tc>
          <w:tcPr>
            <w:tcW w:w="952" w:type="pct"/>
          </w:tcPr>
          <w:p w14:paraId="77898E22" w14:textId="5E2EE688" w:rsidR="00FE2722" w:rsidRPr="00D53A2B" w:rsidRDefault="00C61312" w:rsidP="00A202FD">
            <w:pPr>
              <w:jc w:val="both"/>
            </w:pPr>
            <w:r w:rsidRPr="00D53A2B">
              <w:t>Yeniden galvanizleme</w:t>
            </w:r>
          </w:p>
        </w:tc>
        <w:tc>
          <w:tcPr>
            <w:tcW w:w="4048" w:type="pct"/>
          </w:tcPr>
          <w:p w14:paraId="731EB78B" w14:textId="19F64D70" w:rsidR="00FE2722" w:rsidRPr="00D53A2B" w:rsidRDefault="00C61312" w:rsidP="00A202FD">
            <w:pPr>
              <w:jc w:val="both"/>
            </w:pPr>
            <w:r w:rsidRPr="00D53A2B">
              <w:t>Uzun süreli kullanımlardan sonra galvanizlenmek üzere geri gönderilen kullanılmış galvanizli malzemelerin (örneğin karayolu bariyerleri) işlenmesi. Bu maddelerin işlenmesi, kısmen aşınmış yüzeylerin varlığı veya herhangi bir kalıntı çinko kaplamanın çıkarılması gerekliliği nedeniyle ek işlem adımları gerektirir.</w:t>
            </w:r>
          </w:p>
        </w:tc>
      </w:tr>
      <w:tr w:rsidR="00C61312" w:rsidRPr="00D53A2B" w14:paraId="7AABC0FD" w14:textId="77777777" w:rsidTr="008A08CF">
        <w:tc>
          <w:tcPr>
            <w:tcW w:w="952" w:type="pct"/>
          </w:tcPr>
          <w:p w14:paraId="1D15D566" w14:textId="60087618" w:rsidR="00C61312" w:rsidRPr="00D53A2B" w:rsidRDefault="00481CA5" w:rsidP="00A202FD">
            <w:pPr>
              <w:jc w:val="both"/>
            </w:pPr>
            <w:r w:rsidRPr="00D53A2B">
              <w:t>Yeniden ısıtma</w:t>
            </w:r>
          </w:p>
        </w:tc>
        <w:tc>
          <w:tcPr>
            <w:tcW w:w="4048" w:type="pct"/>
          </w:tcPr>
          <w:p w14:paraId="69A85AAE" w14:textId="0CE54A05" w:rsidR="00C61312" w:rsidRPr="00D53A2B" w:rsidRDefault="00481CA5" w:rsidP="00A202FD">
            <w:pPr>
              <w:jc w:val="both"/>
            </w:pPr>
            <w:r w:rsidRPr="00D53A2B">
              <w:t>Sıcak haddelemeden önce hammaddenin ısıtılması.</w:t>
            </w:r>
          </w:p>
        </w:tc>
      </w:tr>
      <w:tr w:rsidR="00481CA5" w:rsidRPr="00D53A2B" w14:paraId="6ED1E499" w14:textId="77777777" w:rsidTr="008A08CF">
        <w:tc>
          <w:tcPr>
            <w:tcW w:w="952" w:type="pct"/>
          </w:tcPr>
          <w:p w14:paraId="1EF39002" w14:textId="278AB440" w:rsidR="00481CA5" w:rsidRPr="00D53A2B" w:rsidRDefault="00481CA5" w:rsidP="00A202FD">
            <w:pPr>
              <w:jc w:val="both"/>
            </w:pPr>
            <w:r w:rsidRPr="00D53A2B">
              <w:lastRenderedPageBreak/>
              <w:t>Kalıntı</w:t>
            </w:r>
          </w:p>
        </w:tc>
        <w:tc>
          <w:tcPr>
            <w:tcW w:w="4048" w:type="pct"/>
          </w:tcPr>
          <w:p w14:paraId="00E8675C" w14:textId="4BE6127E" w:rsidR="00481CA5" w:rsidRPr="00D53A2B" w:rsidRDefault="00481CA5" w:rsidP="00A202FD">
            <w:pPr>
              <w:jc w:val="both"/>
            </w:pPr>
            <w:r w:rsidRPr="00D53A2B">
              <w:t xml:space="preserve">Bu </w:t>
            </w:r>
            <w:r w:rsidR="00651500" w:rsidRPr="00D53A2B">
              <w:t>MET</w:t>
            </w:r>
            <w:r w:rsidRPr="00D53A2B">
              <w:t>sonuçlarının kapsamına giren faaliyetler sonucu atık veya yan ürün olarak ortaya çıkan madde veya nesne.</w:t>
            </w:r>
          </w:p>
        </w:tc>
      </w:tr>
      <w:tr w:rsidR="00481CA5" w:rsidRPr="00D53A2B" w14:paraId="3735E9F3" w14:textId="77777777" w:rsidTr="008A08CF">
        <w:tc>
          <w:tcPr>
            <w:tcW w:w="952" w:type="pct"/>
          </w:tcPr>
          <w:p w14:paraId="0C8825C6" w14:textId="0192E5AB" w:rsidR="00481CA5" w:rsidRPr="00D53A2B" w:rsidRDefault="00481CA5" w:rsidP="00A202FD">
            <w:pPr>
              <w:jc w:val="both"/>
            </w:pPr>
            <w:r w:rsidRPr="00D53A2B">
              <w:t>Hassas ortam</w:t>
            </w:r>
          </w:p>
        </w:tc>
        <w:tc>
          <w:tcPr>
            <w:tcW w:w="4048" w:type="pct"/>
          </w:tcPr>
          <w:p w14:paraId="3863E2AB" w14:textId="77777777" w:rsidR="00481CA5" w:rsidRPr="00D53A2B" w:rsidRDefault="00481CA5" w:rsidP="00A202FD">
            <w:pPr>
              <w:jc w:val="both"/>
            </w:pPr>
            <w:r w:rsidRPr="00D53A2B">
              <w:t>Özel korumaya ihtiyaç duyan alanlar; örneğin</w:t>
            </w:r>
          </w:p>
          <w:p w14:paraId="17EF94FD" w14:textId="77777777" w:rsidR="00481CA5" w:rsidRPr="00D53A2B" w:rsidRDefault="00481CA5" w:rsidP="00602365">
            <w:pPr>
              <w:pStyle w:val="ListeParagraf"/>
              <w:numPr>
                <w:ilvl w:val="0"/>
                <w:numId w:val="235"/>
              </w:numPr>
              <w:tabs>
                <w:tab w:val="clear" w:pos="567"/>
              </w:tabs>
              <w:spacing w:line="240" w:lineRule="auto"/>
              <w:ind w:left="321" w:hanging="284"/>
              <w:rPr>
                <w:sz w:val="24"/>
                <w:szCs w:val="24"/>
                <w:lang w:eastAsia="ja-JP"/>
              </w:rPr>
            </w:pPr>
            <w:r w:rsidRPr="00D53A2B">
              <w:rPr>
                <w:sz w:val="24"/>
                <w:szCs w:val="24"/>
                <w:lang w:eastAsia="ja-JP"/>
              </w:rPr>
              <w:t>Konut alanları,</w:t>
            </w:r>
          </w:p>
          <w:p w14:paraId="5E1DC5B0" w14:textId="5813ABFA" w:rsidR="00481CA5" w:rsidRPr="00D53A2B" w:rsidRDefault="00481CA5" w:rsidP="00602365">
            <w:pPr>
              <w:pStyle w:val="ListeParagraf"/>
              <w:numPr>
                <w:ilvl w:val="0"/>
                <w:numId w:val="235"/>
              </w:numPr>
              <w:tabs>
                <w:tab w:val="clear" w:pos="567"/>
              </w:tabs>
              <w:spacing w:line="240" w:lineRule="auto"/>
              <w:ind w:left="321" w:hanging="284"/>
              <w:rPr>
                <w:sz w:val="24"/>
                <w:szCs w:val="24"/>
                <w:lang w:eastAsia="ja-JP"/>
              </w:rPr>
            </w:pPr>
            <w:r w:rsidRPr="00D53A2B">
              <w:rPr>
                <w:sz w:val="24"/>
                <w:szCs w:val="24"/>
                <w:lang w:eastAsia="ja-JP"/>
              </w:rPr>
              <w:t>İnsan faaliyetlerinin gerçekleştirildiği alanlar (örneğin komşu işyerleri, okullar, kreşler, dinlenme alanları, hastaneler veya huzurevleri).</w:t>
            </w:r>
          </w:p>
        </w:tc>
      </w:tr>
      <w:tr w:rsidR="00481CA5" w:rsidRPr="00D53A2B" w14:paraId="63B45E9B" w14:textId="77777777" w:rsidTr="008A08CF">
        <w:tc>
          <w:tcPr>
            <w:tcW w:w="952" w:type="pct"/>
          </w:tcPr>
          <w:p w14:paraId="1074FB2D" w14:textId="3D861CBA" w:rsidR="00481CA5" w:rsidRPr="00D53A2B" w:rsidRDefault="00481CA5" w:rsidP="00A202FD">
            <w:pPr>
              <w:jc w:val="both"/>
            </w:pPr>
            <w:r w:rsidRPr="00D53A2B">
              <w:t>Paslanmaz çelik</w:t>
            </w:r>
          </w:p>
        </w:tc>
        <w:tc>
          <w:tcPr>
            <w:tcW w:w="4048" w:type="pct"/>
          </w:tcPr>
          <w:p w14:paraId="72D4AB16" w14:textId="2789A673" w:rsidR="00481CA5" w:rsidRPr="00D53A2B" w:rsidRDefault="001514B9" w:rsidP="00A202FD">
            <w:pPr>
              <w:jc w:val="both"/>
            </w:pPr>
            <w:r w:rsidRPr="00D53A2B">
              <w:t>Genellikle %10–23 ağırlık aralığında krom içeren yüksek alaşımlı çelik. Genellikle %8–10 ağırlık aralığında nikel içeren ostenitik çelik de dahildir.</w:t>
            </w:r>
          </w:p>
        </w:tc>
      </w:tr>
      <w:tr w:rsidR="001514B9" w:rsidRPr="00D53A2B" w14:paraId="0E34FEF0" w14:textId="77777777" w:rsidTr="008A08CF">
        <w:tc>
          <w:tcPr>
            <w:tcW w:w="952" w:type="pct"/>
          </w:tcPr>
          <w:p w14:paraId="79FB1C06" w14:textId="77F579F6" w:rsidR="001514B9" w:rsidRPr="00D53A2B" w:rsidRDefault="001514B9" w:rsidP="00A202FD">
            <w:pPr>
              <w:jc w:val="both"/>
            </w:pPr>
            <w:r w:rsidRPr="00D53A2B">
              <w:t>Üst cüruf</w:t>
            </w:r>
          </w:p>
        </w:tc>
        <w:tc>
          <w:tcPr>
            <w:tcW w:w="4048" w:type="pct"/>
          </w:tcPr>
          <w:p w14:paraId="316F1994" w14:textId="3F518B6F" w:rsidR="001514B9" w:rsidRPr="00D53A2B" w:rsidRDefault="001514B9" w:rsidP="00A202FD">
            <w:pPr>
              <w:jc w:val="both"/>
            </w:pPr>
            <w:r w:rsidRPr="00D53A2B">
              <w:t>Sıcak daldırmada, erimiş çinko banyosunun yüzeyinde demir ve alüminyumun reaksiyonu sonucu oksitler oluşur.</w:t>
            </w:r>
          </w:p>
        </w:tc>
      </w:tr>
      <w:tr w:rsidR="001514B9" w:rsidRPr="00D53A2B" w14:paraId="3D7F8653" w14:textId="77777777" w:rsidTr="008A08CF">
        <w:tc>
          <w:tcPr>
            <w:tcW w:w="952" w:type="pct"/>
          </w:tcPr>
          <w:p w14:paraId="2981761F" w14:textId="195A6537" w:rsidR="001514B9" w:rsidRPr="00D53A2B" w:rsidRDefault="001514B9" w:rsidP="00A202FD">
            <w:pPr>
              <w:jc w:val="both"/>
            </w:pPr>
            <w:r w:rsidRPr="00D53A2B">
              <w:t>Geçerli saatlik (veya yarım saatlik) ortalama.</w:t>
            </w:r>
          </w:p>
        </w:tc>
        <w:tc>
          <w:tcPr>
            <w:tcW w:w="4048" w:type="pct"/>
          </w:tcPr>
          <w:p w14:paraId="669D5981" w14:textId="4496CF0D" w:rsidR="001514B9" w:rsidRPr="00D53A2B" w:rsidRDefault="001514B9" w:rsidP="00A202FD">
            <w:pPr>
              <w:jc w:val="both"/>
            </w:pPr>
            <w:r w:rsidRPr="00D53A2B">
              <w:t>Otomatik ölçüm sisteminde herhangi bir bakım veya arıza olmadığında saatlik (veya yarım saatlik) ortalama geçerli kabul edilir.</w:t>
            </w:r>
          </w:p>
        </w:tc>
      </w:tr>
      <w:tr w:rsidR="001514B9" w:rsidRPr="00D53A2B" w14:paraId="4CA23C41" w14:textId="77777777" w:rsidTr="008A08CF">
        <w:tc>
          <w:tcPr>
            <w:tcW w:w="952" w:type="pct"/>
          </w:tcPr>
          <w:p w14:paraId="583EEA32" w14:textId="6DF0C164" w:rsidR="001514B9" w:rsidRPr="00D53A2B" w:rsidRDefault="001514B9" w:rsidP="00A202FD">
            <w:pPr>
              <w:jc w:val="both"/>
            </w:pPr>
            <w:r w:rsidRPr="00D53A2B">
              <w:t>Uçucu madde</w:t>
            </w:r>
          </w:p>
        </w:tc>
        <w:tc>
          <w:tcPr>
            <w:tcW w:w="4048" w:type="pct"/>
          </w:tcPr>
          <w:p w14:paraId="00AB7488" w14:textId="3646C31F" w:rsidR="001514B9" w:rsidRPr="00D53A2B" w:rsidRDefault="001514B9" w:rsidP="00A202FD">
            <w:pPr>
              <w:jc w:val="both"/>
            </w:pPr>
            <w:r w:rsidRPr="00D53A2B">
              <w:t>Katı veya sıvı formdan buhara kolayca dönüşebilen, yüksek buhar basıncına ve düşük kaynama noktasına sahip bir madde (örn</w:t>
            </w:r>
            <w:r w:rsidR="00D23B73">
              <w:t>eğin</w:t>
            </w:r>
            <w:r w:rsidRPr="00D53A2B">
              <w:t xml:space="preserve"> HCl). Bu, Direktif 2010/75/EU</w:t>
            </w:r>
            <w:r w:rsidR="00E56504" w:rsidRPr="00D53A2B">
              <w:t>’</w:t>
            </w:r>
            <w:r w:rsidRPr="00D53A2B">
              <w:t xml:space="preserve">nun 3(45) </w:t>
            </w:r>
            <w:r w:rsidR="00824F39">
              <w:t>m</w:t>
            </w:r>
            <w:r w:rsidRPr="00D53A2B">
              <w:t>addesinde tanımlandığı gibi uçucu organik bileşikleri içerir.</w:t>
            </w:r>
          </w:p>
        </w:tc>
      </w:tr>
      <w:tr w:rsidR="001514B9" w:rsidRPr="00D53A2B" w14:paraId="45AE9ACA" w14:textId="77777777" w:rsidTr="008A08CF">
        <w:tc>
          <w:tcPr>
            <w:tcW w:w="952" w:type="pct"/>
          </w:tcPr>
          <w:p w14:paraId="60356FB7" w14:textId="743B12AF" w:rsidR="001514B9" w:rsidRPr="00D53A2B" w:rsidRDefault="001514B9" w:rsidP="00A202FD">
            <w:pPr>
              <w:jc w:val="both"/>
            </w:pPr>
            <w:r w:rsidRPr="00D53A2B">
              <w:t>Tel çekme</w:t>
            </w:r>
          </w:p>
        </w:tc>
        <w:tc>
          <w:tcPr>
            <w:tcW w:w="4048" w:type="pct"/>
          </w:tcPr>
          <w:p w14:paraId="7D0BB869" w14:textId="41A0E775" w:rsidR="001514B9" w:rsidRPr="00D53A2B" w:rsidRDefault="001514B9" w:rsidP="00A202FD">
            <w:pPr>
              <w:jc w:val="both"/>
            </w:pPr>
            <w:r w:rsidRPr="00D53A2B">
              <w:t>Çelik çubukların veya tellerin çaplarını azaltmak için kalıplardan çekilmesi. Bu ayrıca doğrudan ilişkili herhangi bir ön ve son işlem sürecini (örneğin tel çubuğun asitlenmesi ve çekme işleminden sonra hammaddenin ısıtılması) de içerir.</w:t>
            </w:r>
          </w:p>
        </w:tc>
      </w:tr>
      <w:tr w:rsidR="001514B9" w:rsidRPr="00D53A2B" w14:paraId="31EC64A7" w14:textId="77777777" w:rsidTr="008A08CF">
        <w:tc>
          <w:tcPr>
            <w:tcW w:w="952" w:type="pct"/>
          </w:tcPr>
          <w:p w14:paraId="16D86446" w14:textId="156649CD" w:rsidR="001514B9" w:rsidRPr="00D53A2B" w:rsidRDefault="001514B9" w:rsidP="00A202FD">
            <w:pPr>
              <w:jc w:val="both"/>
            </w:pPr>
            <w:r w:rsidRPr="00D53A2B">
              <w:t>Çinko külü</w:t>
            </w:r>
          </w:p>
        </w:tc>
        <w:tc>
          <w:tcPr>
            <w:tcW w:w="4048" w:type="pct"/>
          </w:tcPr>
          <w:p w14:paraId="068B87FB" w14:textId="13CBD5E3" w:rsidR="001514B9" w:rsidRPr="00D53A2B" w:rsidRDefault="001514B9" w:rsidP="00A202FD">
            <w:pPr>
              <w:jc w:val="both"/>
            </w:pPr>
            <w:r w:rsidRPr="00D53A2B">
              <w:t>Erimiş çinko banyosunun yüzeyinde oluşan çinko metali, çinko oksit ve çinko klorürden oluşan bir karışım.</w:t>
            </w:r>
          </w:p>
        </w:tc>
      </w:tr>
      <w:tr w:rsidR="005A2536" w:rsidRPr="00D53A2B" w14:paraId="3D1204A5" w14:textId="77777777" w:rsidTr="008A08CF">
        <w:tc>
          <w:tcPr>
            <w:tcW w:w="5000" w:type="pct"/>
            <w:gridSpan w:val="2"/>
          </w:tcPr>
          <w:p w14:paraId="18733916" w14:textId="0784BE33" w:rsidR="005A2536" w:rsidRPr="00D53A2B" w:rsidRDefault="005A2536" w:rsidP="00A202FD">
            <w:pPr>
              <w:jc w:val="both"/>
              <w:rPr>
                <w:sz w:val="20"/>
                <w:szCs w:val="20"/>
              </w:rPr>
            </w:pPr>
            <w:r w:rsidRPr="00D53A2B">
              <w:rPr>
                <w:sz w:val="20"/>
                <w:szCs w:val="20"/>
              </w:rPr>
              <w:t>(</w:t>
            </w:r>
            <w:r w:rsidRPr="00D53A2B">
              <w:rPr>
                <w:sz w:val="20"/>
                <w:szCs w:val="20"/>
                <w:vertAlign w:val="superscript"/>
              </w:rPr>
              <w:t>1</w:t>
            </w:r>
            <w:r w:rsidRPr="00D53A2B">
              <w:rPr>
                <w:sz w:val="20"/>
                <w:szCs w:val="20"/>
              </w:rPr>
              <w:t>) 18 Aralık 2006 tarihli, Kimyasalların Kaydı, Değerlendirilmesi, İzni ve Kısıtlanması (REACH) hakkında Avrupa Kimyasal Ajansı</w:t>
            </w:r>
            <w:r w:rsidR="00E56504" w:rsidRPr="00D53A2B">
              <w:rPr>
                <w:sz w:val="20"/>
                <w:szCs w:val="20"/>
              </w:rPr>
              <w:t>’</w:t>
            </w:r>
            <w:r w:rsidRPr="00D53A2B">
              <w:rPr>
                <w:sz w:val="20"/>
                <w:szCs w:val="20"/>
              </w:rPr>
              <w:t>nı kuran, 1999/45/EC sayılı Direktifi değiştiren ve 793/93 sayılı Konsey Tüzüğü ile 1488/94 sayılı Komisyon Tüzüğünü ve 76/769/EEC sayılı Konsey Direktifini ve 91/155/EEC, 93/67/EEC, 93/105/EC ve 2000/21/EC sayılı Komisyon Direktiflerini yürürlükten kaldıran 1907/2006 sayılı Avrupa Parlamentosu ve Konseyi Tüzüğü (OJ L 396, 30.12.2006, s. 1).</w:t>
            </w:r>
          </w:p>
          <w:p w14:paraId="196E71D7" w14:textId="6CB0C5E7" w:rsidR="005A2536" w:rsidRPr="00D53A2B" w:rsidRDefault="005A2536" w:rsidP="00A202FD">
            <w:pPr>
              <w:jc w:val="both"/>
            </w:pPr>
            <w:r w:rsidRPr="00D53A2B">
              <w:rPr>
                <w:sz w:val="20"/>
                <w:szCs w:val="20"/>
              </w:rPr>
              <w:t>(</w:t>
            </w:r>
            <w:r w:rsidRPr="00D53A2B">
              <w:rPr>
                <w:sz w:val="20"/>
                <w:szCs w:val="20"/>
                <w:vertAlign w:val="superscript"/>
              </w:rPr>
              <w:t>2</w:t>
            </w:r>
            <w:r w:rsidRPr="00D53A2B">
              <w:rPr>
                <w:sz w:val="20"/>
                <w:szCs w:val="20"/>
              </w:rPr>
              <w:t>) Avrupa Parlamentosu ve Konseyinin 19 Kasım 2008 tarihli, atıklar ve bazı Direktiflerin yürürlükten kaldırılmasına ilişkin 2008/98/EC sayılı Direktifi (OJ L 312, 22.11.2008, s. 3).</w:t>
            </w:r>
          </w:p>
        </w:tc>
      </w:tr>
      <w:bookmarkEnd w:id="2"/>
    </w:tbl>
    <w:p w14:paraId="2F431E6A" w14:textId="09097150" w:rsidR="004479E1" w:rsidRPr="00D53A2B" w:rsidRDefault="004479E1" w:rsidP="00A202FD">
      <w:pPr>
        <w:jc w:val="both"/>
        <w:rPr>
          <w:rFonts w:eastAsia="DengXian Light"/>
          <w:lang w:val="en-US" w:eastAsia="en-US"/>
        </w:rPr>
      </w:pPr>
    </w:p>
    <w:tbl>
      <w:tblPr>
        <w:tblStyle w:val="TabloKlavuzu2"/>
        <w:tblW w:w="5176" w:type="pct"/>
        <w:tblLook w:val="04A0" w:firstRow="1" w:lastRow="0" w:firstColumn="1" w:lastColumn="0" w:noHBand="0" w:noVBand="1"/>
      </w:tblPr>
      <w:tblGrid>
        <w:gridCol w:w="1310"/>
        <w:gridCol w:w="7615"/>
      </w:tblGrid>
      <w:tr w:rsidR="00A60F99" w:rsidRPr="00D53A2B" w14:paraId="394538C2" w14:textId="77777777" w:rsidTr="008A08CF">
        <w:tc>
          <w:tcPr>
            <w:tcW w:w="5000" w:type="pct"/>
            <w:gridSpan w:val="2"/>
            <w:hideMark/>
          </w:tcPr>
          <w:p w14:paraId="11886988" w14:textId="77777777" w:rsidR="00A60F99" w:rsidRPr="00D53A2B" w:rsidRDefault="00A60F99" w:rsidP="00A202FD">
            <w:pPr>
              <w:jc w:val="both"/>
              <w:rPr>
                <w:rFonts w:eastAsia="DengXian Light"/>
                <w:b/>
                <w:bCs/>
                <w:lang w:eastAsia="en-US"/>
              </w:rPr>
            </w:pPr>
            <w:r w:rsidRPr="00D53A2B">
              <w:rPr>
                <w:rFonts w:eastAsia="DengXian Light"/>
                <w:b/>
                <w:bCs/>
                <w:lang w:eastAsia="en-US"/>
              </w:rPr>
              <w:t>Kirleticiler ve parametreler</w:t>
            </w:r>
          </w:p>
        </w:tc>
      </w:tr>
      <w:tr w:rsidR="00891E07" w:rsidRPr="00D53A2B" w14:paraId="258D39FA" w14:textId="77777777" w:rsidTr="008A08CF">
        <w:tc>
          <w:tcPr>
            <w:tcW w:w="734" w:type="pct"/>
            <w:hideMark/>
          </w:tcPr>
          <w:p w14:paraId="2F9F46B7" w14:textId="77777777" w:rsidR="00A60F99" w:rsidRPr="00D53A2B" w:rsidRDefault="00A60F99" w:rsidP="00A202FD">
            <w:pPr>
              <w:jc w:val="both"/>
              <w:rPr>
                <w:rFonts w:eastAsia="DengXian Light"/>
                <w:b/>
                <w:bCs/>
                <w:lang w:eastAsia="en-US"/>
              </w:rPr>
            </w:pPr>
            <w:r w:rsidRPr="00D53A2B">
              <w:rPr>
                <w:rFonts w:eastAsia="DengXian Light"/>
                <w:b/>
                <w:bCs/>
                <w:lang w:eastAsia="en-US"/>
              </w:rPr>
              <w:t>Kullanılan terim</w:t>
            </w:r>
          </w:p>
        </w:tc>
        <w:tc>
          <w:tcPr>
            <w:tcW w:w="4266" w:type="pct"/>
            <w:hideMark/>
          </w:tcPr>
          <w:p w14:paraId="0C68A4F6" w14:textId="77777777" w:rsidR="00A60F99" w:rsidRPr="00D53A2B" w:rsidRDefault="00A60F99" w:rsidP="00A202FD">
            <w:pPr>
              <w:jc w:val="both"/>
              <w:rPr>
                <w:rFonts w:eastAsia="DengXian Light"/>
                <w:b/>
                <w:bCs/>
                <w:lang w:eastAsia="en-US"/>
              </w:rPr>
            </w:pPr>
            <w:r w:rsidRPr="00D53A2B">
              <w:rPr>
                <w:rFonts w:eastAsia="DengXian Light"/>
                <w:b/>
                <w:bCs/>
                <w:lang w:eastAsia="en-US"/>
              </w:rPr>
              <w:t>Tanım</w:t>
            </w:r>
          </w:p>
        </w:tc>
      </w:tr>
      <w:tr w:rsidR="00891E07" w:rsidRPr="00D53A2B" w14:paraId="76D00CFF" w14:textId="77777777" w:rsidTr="008A08CF">
        <w:tc>
          <w:tcPr>
            <w:tcW w:w="734" w:type="pct"/>
            <w:hideMark/>
          </w:tcPr>
          <w:p w14:paraId="35F5DFAC" w14:textId="77777777" w:rsidR="00A60F99" w:rsidRPr="00D53A2B" w:rsidRDefault="00A60F99" w:rsidP="00A202FD">
            <w:pPr>
              <w:jc w:val="both"/>
              <w:rPr>
                <w:rFonts w:eastAsia="DengXian Light"/>
                <w:lang w:eastAsia="en-US"/>
              </w:rPr>
            </w:pPr>
            <w:r w:rsidRPr="00D53A2B">
              <w:rPr>
                <w:rFonts w:eastAsia="DengXian Light"/>
                <w:lang w:eastAsia="en-US"/>
              </w:rPr>
              <w:t>B</w:t>
            </w:r>
          </w:p>
        </w:tc>
        <w:tc>
          <w:tcPr>
            <w:tcW w:w="4266" w:type="pct"/>
            <w:hideMark/>
          </w:tcPr>
          <w:p w14:paraId="349297A3" w14:textId="77777777" w:rsidR="00A60F99" w:rsidRPr="00D53A2B" w:rsidRDefault="00A60F99" w:rsidP="00A202FD">
            <w:pPr>
              <w:jc w:val="both"/>
              <w:rPr>
                <w:rFonts w:eastAsia="DengXian Light"/>
                <w:lang w:eastAsia="en-US"/>
              </w:rPr>
            </w:pPr>
            <w:r w:rsidRPr="00D53A2B">
              <w:rPr>
                <w:rFonts w:eastAsia="DengXian Light"/>
                <w:lang w:eastAsia="en-US"/>
              </w:rPr>
              <w:t>B ile ifade edilen, çözünmüş veya parçacıklara bağlanmış bor ve bileşiklerinin toplamı.</w:t>
            </w:r>
          </w:p>
        </w:tc>
      </w:tr>
      <w:tr w:rsidR="00891E07" w:rsidRPr="00D53A2B" w14:paraId="5DA1ACC4" w14:textId="77777777" w:rsidTr="008A08CF">
        <w:tc>
          <w:tcPr>
            <w:tcW w:w="734" w:type="pct"/>
            <w:hideMark/>
          </w:tcPr>
          <w:p w14:paraId="268F891A" w14:textId="77A4EB73" w:rsidR="00A60F99" w:rsidRPr="00D53A2B" w:rsidRDefault="00A60F99" w:rsidP="00A202FD">
            <w:pPr>
              <w:jc w:val="both"/>
              <w:rPr>
                <w:rFonts w:eastAsia="DengXian Light"/>
                <w:lang w:eastAsia="en-US"/>
              </w:rPr>
            </w:pPr>
            <w:r w:rsidRPr="00D53A2B">
              <w:rPr>
                <w:rFonts w:eastAsia="DengXian Light"/>
                <w:lang w:eastAsia="en-US"/>
              </w:rPr>
              <w:t>C</w:t>
            </w:r>
            <w:r w:rsidR="006A4451" w:rsidRPr="00D53A2B">
              <w:rPr>
                <w:rFonts w:eastAsia="DengXian Light"/>
                <w:lang w:eastAsia="en-US"/>
              </w:rPr>
              <w:t>d</w:t>
            </w:r>
          </w:p>
        </w:tc>
        <w:tc>
          <w:tcPr>
            <w:tcW w:w="4266" w:type="pct"/>
            <w:hideMark/>
          </w:tcPr>
          <w:p w14:paraId="6B8B64AA" w14:textId="77777777" w:rsidR="00A60F99" w:rsidRPr="00D53A2B" w:rsidRDefault="00A60F99" w:rsidP="00A202FD">
            <w:pPr>
              <w:jc w:val="both"/>
              <w:rPr>
                <w:rFonts w:eastAsia="DengXian Light"/>
                <w:lang w:eastAsia="en-US"/>
              </w:rPr>
            </w:pPr>
            <w:r w:rsidRPr="00D53A2B">
              <w:rPr>
                <w:rFonts w:eastAsia="DengXian Light"/>
                <w:lang w:eastAsia="en-US"/>
              </w:rPr>
              <w:t>Parçacıklarda çözünmüş veya bağlı halde bulunan kadmiyum ve bileşiklerinin toplamı Cd olarak ifade edilir.</w:t>
            </w:r>
          </w:p>
        </w:tc>
      </w:tr>
      <w:tr w:rsidR="00891E07" w:rsidRPr="00D53A2B" w14:paraId="27F1A795" w14:textId="77777777" w:rsidTr="008A08CF">
        <w:tc>
          <w:tcPr>
            <w:tcW w:w="734" w:type="pct"/>
            <w:hideMark/>
          </w:tcPr>
          <w:p w14:paraId="1E6DC155" w14:textId="7B93FD85" w:rsidR="00A60F99" w:rsidRPr="00D53A2B" w:rsidRDefault="006A4451" w:rsidP="00A202FD">
            <w:pPr>
              <w:jc w:val="both"/>
              <w:rPr>
                <w:rFonts w:eastAsia="DengXian Light"/>
                <w:lang w:eastAsia="en-US"/>
              </w:rPr>
            </w:pPr>
            <w:r w:rsidRPr="00D53A2B">
              <w:rPr>
                <w:rFonts w:eastAsia="DengXian Light"/>
                <w:lang w:eastAsia="en-US"/>
              </w:rPr>
              <w:t>CO</w:t>
            </w:r>
          </w:p>
        </w:tc>
        <w:tc>
          <w:tcPr>
            <w:tcW w:w="4266" w:type="pct"/>
            <w:hideMark/>
          </w:tcPr>
          <w:p w14:paraId="739EA375" w14:textId="77777777" w:rsidR="00A60F99" w:rsidRPr="00D53A2B" w:rsidRDefault="00A60F99" w:rsidP="00A202FD">
            <w:pPr>
              <w:jc w:val="both"/>
              <w:rPr>
                <w:rFonts w:eastAsia="DengXian Light"/>
                <w:lang w:eastAsia="en-US"/>
              </w:rPr>
            </w:pPr>
            <w:r w:rsidRPr="00D53A2B">
              <w:rPr>
                <w:rFonts w:eastAsia="DengXian Light"/>
                <w:lang w:eastAsia="en-US"/>
              </w:rPr>
              <w:t>Karbon monoksit.</w:t>
            </w:r>
          </w:p>
        </w:tc>
      </w:tr>
      <w:tr w:rsidR="00891E07" w:rsidRPr="00D53A2B" w14:paraId="4223EABC" w14:textId="77777777" w:rsidTr="008A08CF">
        <w:tc>
          <w:tcPr>
            <w:tcW w:w="734" w:type="pct"/>
            <w:hideMark/>
          </w:tcPr>
          <w:p w14:paraId="7CB6BE24" w14:textId="4E083DF7" w:rsidR="00A60F99" w:rsidRPr="00D53A2B" w:rsidRDefault="009D6435" w:rsidP="00A202FD">
            <w:pPr>
              <w:jc w:val="both"/>
              <w:rPr>
                <w:rFonts w:eastAsia="DengXian Light"/>
                <w:lang w:eastAsia="en-US"/>
              </w:rPr>
            </w:pPr>
            <w:r w:rsidRPr="00D53A2B">
              <w:rPr>
                <w:rFonts w:eastAsia="DengXian Light"/>
                <w:lang w:eastAsia="en-US"/>
              </w:rPr>
              <w:t>KOİ</w:t>
            </w:r>
          </w:p>
        </w:tc>
        <w:tc>
          <w:tcPr>
            <w:tcW w:w="4266" w:type="pct"/>
            <w:hideMark/>
          </w:tcPr>
          <w:p w14:paraId="09A96211" w14:textId="42AAB6A9" w:rsidR="00A60F99" w:rsidRPr="00D53A2B" w:rsidRDefault="00A60F99" w:rsidP="00A202FD">
            <w:pPr>
              <w:jc w:val="both"/>
              <w:rPr>
                <w:rFonts w:eastAsia="DengXian Light"/>
                <w:lang w:eastAsia="en-US"/>
              </w:rPr>
            </w:pPr>
            <w:r w:rsidRPr="00D53A2B">
              <w:rPr>
                <w:rFonts w:eastAsia="DengXian Light"/>
                <w:lang w:eastAsia="en-US"/>
              </w:rPr>
              <w:t xml:space="preserve">Kimyasal oksijen ihtiyacı. Dikromat kullanılarak organik maddenin karbondioksite toplam kimyasal oksidasyonu için gereken oksijen miktarı. </w:t>
            </w:r>
            <w:r w:rsidR="009D6435" w:rsidRPr="00D53A2B">
              <w:rPr>
                <w:rFonts w:eastAsia="DengXian Light"/>
                <w:lang w:eastAsia="en-US"/>
              </w:rPr>
              <w:t>KOİ</w:t>
            </w:r>
            <w:r w:rsidRPr="00D53A2B">
              <w:rPr>
                <w:rFonts w:eastAsia="DengXian Light"/>
                <w:lang w:eastAsia="en-US"/>
              </w:rPr>
              <w:t>, organik bileşiklerin kütle konsantrasyonunun bir göstergesidir.</w:t>
            </w:r>
          </w:p>
        </w:tc>
      </w:tr>
      <w:tr w:rsidR="00891E07" w:rsidRPr="00D53A2B" w14:paraId="4B87622B" w14:textId="77777777" w:rsidTr="008A08CF">
        <w:tc>
          <w:tcPr>
            <w:tcW w:w="734" w:type="pct"/>
            <w:hideMark/>
          </w:tcPr>
          <w:p w14:paraId="76F10FDA" w14:textId="77777777" w:rsidR="00A60F99" w:rsidRPr="00D53A2B" w:rsidRDefault="00A60F99" w:rsidP="00A202FD">
            <w:pPr>
              <w:jc w:val="both"/>
              <w:rPr>
                <w:rFonts w:eastAsia="DengXian Light"/>
                <w:lang w:eastAsia="en-US"/>
              </w:rPr>
            </w:pPr>
            <w:r w:rsidRPr="00D53A2B">
              <w:rPr>
                <w:rFonts w:eastAsia="DengXian Light"/>
                <w:lang w:eastAsia="en-US"/>
              </w:rPr>
              <w:t>Cr</w:t>
            </w:r>
          </w:p>
        </w:tc>
        <w:tc>
          <w:tcPr>
            <w:tcW w:w="4266" w:type="pct"/>
            <w:hideMark/>
          </w:tcPr>
          <w:p w14:paraId="18FA0B12" w14:textId="77777777" w:rsidR="00A60F99" w:rsidRPr="00D53A2B" w:rsidRDefault="00A60F99" w:rsidP="00A202FD">
            <w:pPr>
              <w:jc w:val="both"/>
              <w:rPr>
                <w:rFonts w:eastAsia="DengXian Light"/>
                <w:lang w:eastAsia="en-US"/>
              </w:rPr>
            </w:pPr>
            <w:r w:rsidRPr="00D53A2B">
              <w:rPr>
                <w:rFonts w:eastAsia="DengXian Light"/>
                <w:lang w:eastAsia="en-US"/>
              </w:rPr>
              <w:t>Çözünmüş veya parçacıklara bağlanmış krom ve bileşiklerinin toplamı Cr olarak ifade edilir.</w:t>
            </w:r>
          </w:p>
        </w:tc>
      </w:tr>
      <w:tr w:rsidR="00891E07" w:rsidRPr="00D53A2B" w14:paraId="0BB56CFA" w14:textId="77777777" w:rsidTr="008A08CF">
        <w:tc>
          <w:tcPr>
            <w:tcW w:w="734" w:type="pct"/>
            <w:hideMark/>
          </w:tcPr>
          <w:p w14:paraId="23CDE10B" w14:textId="77777777" w:rsidR="00A60F99" w:rsidRPr="00D53A2B" w:rsidRDefault="00A60F99" w:rsidP="00A202FD">
            <w:pPr>
              <w:jc w:val="both"/>
              <w:rPr>
                <w:rFonts w:eastAsia="DengXian Light"/>
                <w:lang w:eastAsia="en-US"/>
              </w:rPr>
            </w:pPr>
            <w:r w:rsidRPr="00D53A2B">
              <w:rPr>
                <w:rFonts w:eastAsia="DengXian Light"/>
                <w:lang w:eastAsia="en-US"/>
              </w:rPr>
              <w:t>Cr(VI)</w:t>
            </w:r>
          </w:p>
        </w:tc>
        <w:tc>
          <w:tcPr>
            <w:tcW w:w="4266" w:type="pct"/>
            <w:hideMark/>
          </w:tcPr>
          <w:p w14:paraId="2C3F192C" w14:textId="77777777" w:rsidR="00A60F99" w:rsidRPr="00D53A2B" w:rsidRDefault="00A60F99" w:rsidP="00A202FD">
            <w:pPr>
              <w:jc w:val="both"/>
              <w:rPr>
                <w:rFonts w:eastAsia="DengXian Light"/>
                <w:lang w:eastAsia="en-US"/>
              </w:rPr>
            </w:pPr>
            <w:r w:rsidRPr="00D53A2B">
              <w:rPr>
                <w:rFonts w:eastAsia="DengXian Light"/>
                <w:lang w:eastAsia="en-US"/>
              </w:rPr>
              <w:t>Cr(VI) olarak ifade edilen altı değerlikli krom, kromun +6 oksidasyon durumunda olduğu tüm krom bileşiklerini içerir.</w:t>
            </w:r>
          </w:p>
        </w:tc>
      </w:tr>
      <w:tr w:rsidR="00891E07" w:rsidRPr="00D53A2B" w14:paraId="741E9FC4" w14:textId="77777777" w:rsidTr="008A08CF">
        <w:tc>
          <w:tcPr>
            <w:tcW w:w="734" w:type="pct"/>
            <w:hideMark/>
          </w:tcPr>
          <w:p w14:paraId="4A226AF1" w14:textId="77777777" w:rsidR="00A60F99" w:rsidRPr="00D53A2B" w:rsidRDefault="00A60F99" w:rsidP="00A202FD">
            <w:pPr>
              <w:jc w:val="both"/>
              <w:rPr>
                <w:rFonts w:eastAsia="DengXian Light"/>
                <w:lang w:eastAsia="en-US"/>
              </w:rPr>
            </w:pPr>
            <w:r w:rsidRPr="00D53A2B">
              <w:rPr>
                <w:rFonts w:eastAsia="DengXian Light"/>
                <w:lang w:eastAsia="en-US"/>
              </w:rPr>
              <w:t>Toz</w:t>
            </w:r>
          </w:p>
        </w:tc>
        <w:tc>
          <w:tcPr>
            <w:tcW w:w="4266" w:type="pct"/>
            <w:hideMark/>
          </w:tcPr>
          <w:p w14:paraId="256D7B44" w14:textId="77777777" w:rsidR="00A60F99" w:rsidRPr="00D53A2B" w:rsidRDefault="00A60F99" w:rsidP="00A202FD">
            <w:pPr>
              <w:jc w:val="both"/>
              <w:rPr>
                <w:rFonts w:eastAsia="DengXian Light"/>
                <w:lang w:eastAsia="en-US"/>
              </w:rPr>
            </w:pPr>
            <w:r w:rsidRPr="00D53A2B">
              <w:rPr>
                <w:rFonts w:eastAsia="DengXian Light"/>
                <w:lang w:eastAsia="en-US"/>
              </w:rPr>
              <w:t>Toplam partikül madde (havada).</w:t>
            </w:r>
          </w:p>
        </w:tc>
      </w:tr>
      <w:tr w:rsidR="00891E07" w:rsidRPr="00D53A2B" w14:paraId="1EC66D4F" w14:textId="77777777" w:rsidTr="008A08CF">
        <w:tc>
          <w:tcPr>
            <w:tcW w:w="734" w:type="pct"/>
            <w:hideMark/>
          </w:tcPr>
          <w:p w14:paraId="55E407A8" w14:textId="77777777" w:rsidR="00A60F99" w:rsidRPr="00D53A2B" w:rsidRDefault="00A60F99" w:rsidP="00A202FD">
            <w:pPr>
              <w:jc w:val="both"/>
              <w:rPr>
                <w:rFonts w:eastAsia="DengXian Light"/>
                <w:lang w:eastAsia="en-US"/>
              </w:rPr>
            </w:pPr>
            <w:r w:rsidRPr="00D53A2B">
              <w:rPr>
                <w:rFonts w:eastAsia="DengXian Light"/>
                <w:lang w:eastAsia="en-US"/>
              </w:rPr>
              <w:lastRenderedPageBreak/>
              <w:t>Fe</w:t>
            </w:r>
          </w:p>
        </w:tc>
        <w:tc>
          <w:tcPr>
            <w:tcW w:w="4266" w:type="pct"/>
            <w:hideMark/>
          </w:tcPr>
          <w:p w14:paraId="28068FC6" w14:textId="77777777" w:rsidR="00A60F99" w:rsidRPr="00D53A2B" w:rsidRDefault="00A60F99" w:rsidP="00A202FD">
            <w:pPr>
              <w:jc w:val="both"/>
              <w:rPr>
                <w:rFonts w:eastAsia="DengXian Light"/>
                <w:lang w:eastAsia="en-US"/>
              </w:rPr>
            </w:pPr>
            <w:r w:rsidRPr="00D53A2B">
              <w:rPr>
                <w:rFonts w:eastAsia="DengXian Light"/>
                <w:lang w:eastAsia="en-US"/>
              </w:rPr>
              <w:t>Demir ve bileşiklerinin çözünmüş veya parçacıklara bağlanmış haldeki toplamı Fe olarak ifade edilir.</w:t>
            </w:r>
          </w:p>
        </w:tc>
      </w:tr>
      <w:tr w:rsidR="00891E07" w:rsidRPr="00D53A2B" w14:paraId="4C2A906D" w14:textId="77777777" w:rsidTr="008A08CF">
        <w:tc>
          <w:tcPr>
            <w:tcW w:w="734" w:type="pct"/>
            <w:hideMark/>
          </w:tcPr>
          <w:p w14:paraId="3D5C2307" w14:textId="2A2E4517" w:rsidR="00A60F99" w:rsidRPr="00D53A2B" w:rsidRDefault="00A60F99" w:rsidP="00A202FD">
            <w:pPr>
              <w:jc w:val="both"/>
              <w:rPr>
                <w:rFonts w:eastAsia="DengXian Light"/>
                <w:lang w:eastAsia="en-US"/>
              </w:rPr>
            </w:pPr>
            <w:r w:rsidRPr="00D53A2B">
              <w:rPr>
                <w:rFonts w:eastAsia="DengXian Light"/>
                <w:lang w:eastAsia="en-US"/>
              </w:rPr>
              <w:t>F</w:t>
            </w:r>
            <w:r w:rsidRPr="00D53A2B">
              <w:rPr>
                <w:rFonts w:eastAsia="DengXian Light"/>
                <w:vertAlign w:val="superscript"/>
                <w:lang w:eastAsia="en-US"/>
              </w:rPr>
              <w:t>-</w:t>
            </w:r>
          </w:p>
        </w:tc>
        <w:tc>
          <w:tcPr>
            <w:tcW w:w="4266" w:type="pct"/>
            <w:hideMark/>
          </w:tcPr>
          <w:p w14:paraId="12B88748" w14:textId="1CEEFFF4" w:rsidR="00A60F99" w:rsidRPr="00D53A2B" w:rsidRDefault="00A60F99" w:rsidP="00A202FD">
            <w:pPr>
              <w:jc w:val="both"/>
              <w:rPr>
                <w:rFonts w:eastAsia="DengXian Light"/>
                <w:lang w:eastAsia="en-US"/>
              </w:rPr>
            </w:pPr>
            <w:r w:rsidRPr="00D53A2B">
              <w:rPr>
                <w:rFonts w:eastAsia="DengXian Light"/>
                <w:lang w:eastAsia="en-US"/>
              </w:rPr>
              <w:t>Çözünmüş florür, F</w:t>
            </w:r>
            <w:r w:rsidRPr="00D53A2B">
              <w:rPr>
                <w:rFonts w:eastAsia="DengXian Light"/>
                <w:vertAlign w:val="superscript"/>
                <w:lang w:eastAsia="en-US"/>
              </w:rPr>
              <w:t>-</w:t>
            </w:r>
            <w:r w:rsidRPr="00D53A2B">
              <w:rPr>
                <w:rFonts w:eastAsia="DengXian Light"/>
                <w:lang w:eastAsia="en-US"/>
              </w:rPr>
              <w:t>olarak ifade edilir .</w:t>
            </w:r>
          </w:p>
        </w:tc>
      </w:tr>
      <w:tr w:rsidR="00891E07" w:rsidRPr="00D53A2B" w14:paraId="1A470BDB" w14:textId="77777777" w:rsidTr="008A08CF">
        <w:tc>
          <w:tcPr>
            <w:tcW w:w="734" w:type="pct"/>
            <w:hideMark/>
          </w:tcPr>
          <w:p w14:paraId="17F37314" w14:textId="77777777" w:rsidR="00A60F99" w:rsidRPr="00D53A2B" w:rsidRDefault="00A60F99" w:rsidP="00A202FD">
            <w:pPr>
              <w:jc w:val="both"/>
              <w:rPr>
                <w:rFonts w:eastAsia="DengXian Light"/>
                <w:lang w:eastAsia="en-US"/>
              </w:rPr>
            </w:pPr>
            <w:r w:rsidRPr="00D53A2B">
              <w:rPr>
                <w:rFonts w:eastAsia="DengXian Light"/>
                <w:lang w:eastAsia="en-US"/>
              </w:rPr>
              <w:t>HCl</w:t>
            </w:r>
          </w:p>
        </w:tc>
        <w:tc>
          <w:tcPr>
            <w:tcW w:w="4266" w:type="pct"/>
            <w:hideMark/>
          </w:tcPr>
          <w:p w14:paraId="719272B2" w14:textId="77777777" w:rsidR="00A60F99" w:rsidRPr="00D53A2B" w:rsidRDefault="00A60F99" w:rsidP="00A202FD">
            <w:pPr>
              <w:jc w:val="both"/>
              <w:rPr>
                <w:rFonts w:eastAsia="DengXian Light"/>
                <w:lang w:eastAsia="en-US"/>
              </w:rPr>
            </w:pPr>
            <w:r w:rsidRPr="00D53A2B">
              <w:rPr>
                <w:rFonts w:eastAsia="DengXian Light"/>
                <w:lang w:eastAsia="en-US"/>
              </w:rPr>
              <w:t>Hidrojen klorür.</w:t>
            </w:r>
          </w:p>
        </w:tc>
      </w:tr>
      <w:tr w:rsidR="00891E07" w:rsidRPr="00D53A2B" w14:paraId="3F961021" w14:textId="77777777" w:rsidTr="008A08CF">
        <w:tc>
          <w:tcPr>
            <w:tcW w:w="734" w:type="pct"/>
            <w:hideMark/>
          </w:tcPr>
          <w:p w14:paraId="329E8755" w14:textId="177E3D3A" w:rsidR="00A60F99" w:rsidRPr="00D53A2B" w:rsidRDefault="009D6435" w:rsidP="00A202FD">
            <w:pPr>
              <w:jc w:val="both"/>
              <w:rPr>
                <w:rFonts w:eastAsia="DengXian Light"/>
                <w:lang w:eastAsia="en-US"/>
              </w:rPr>
            </w:pPr>
            <w:r w:rsidRPr="00D53A2B">
              <w:rPr>
                <w:rFonts w:eastAsia="DengXian Light"/>
                <w:lang w:eastAsia="en-US"/>
              </w:rPr>
              <w:t>HF</w:t>
            </w:r>
          </w:p>
        </w:tc>
        <w:tc>
          <w:tcPr>
            <w:tcW w:w="4266" w:type="pct"/>
            <w:hideMark/>
          </w:tcPr>
          <w:p w14:paraId="06BA9941" w14:textId="77777777" w:rsidR="00A60F99" w:rsidRPr="00D53A2B" w:rsidRDefault="00A60F99" w:rsidP="00A202FD">
            <w:pPr>
              <w:jc w:val="both"/>
              <w:rPr>
                <w:rFonts w:eastAsia="DengXian Light"/>
                <w:lang w:eastAsia="en-US"/>
              </w:rPr>
            </w:pPr>
            <w:r w:rsidRPr="00D53A2B">
              <w:rPr>
                <w:rFonts w:eastAsia="DengXian Light"/>
                <w:lang w:eastAsia="en-US"/>
              </w:rPr>
              <w:t>Hidrojen florür.</w:t>
            </w:r>
          </w:p>
        </w:tc>
      </w:tr>
      <w:tr w:rsidR="00891E07" w:rsidRPr="00D53A2B" w14:paraId="1BC44D4C" w14:textId="77777777" w:rsidTr="008A08CF">
        <w:tc>
          <w:tcPr>
            <w:tcW w:w="734" w:type="pct"/>
            <w:hideMark/>
          </w:tcPr>
          <w:p w14:paraId="7AF5A0B2" w14:textId="77777777" w:rsidR="00A60F99" w:rsidRPr="00D53A2B" w:rsidRDefault="00A60F99" w:rsidP="00A202FD">
            <w:pPr>
              <w:jc w:val="both"/>
              <w:rPr>
                <w:rFonts w:eastAsia="DengXian Light"/>
                <w:lang w:eastAsia="en-US"/>
              </w:rPr>
            </w:pPr>
            <w:r w:rsidRPr="00D53A2B">
              <w:rPr>
                <w:rFonts w:eastAsia="DengXian Light"/>
                <w:lang w:eastAsia="en-US"/>
              </w:rPr>
              <w:t>Cıva</w:t>
            </w:r>
          </w:p>
        </w:tc>
        <w:tc>
          <w:tcPr>
            <w:tcW w:w="4266" w:type="pct"/>
            <w:hideMark/>
          </w:tcPr>
          <w:p w14:paraId="3C22BD48" w14:textId="77777777" w:rsidR="00A60F99" w:rsidRPr="00D53A2B" w:rsidRDefault="00A60F99" w:rsidP="00A202FD">
            <w:pPr>
              <w:jc w:val="both"/>
              <w:rPr>
                <w:rFonts w:eastAsia="DengXian Light"/>
                <w:lang w:eastAsia="en-US"/>
              </w:rPr>
            </w:pPr>
            <w:r w:rsidRPr="00D53A2B">
              <w:rPr>
                <w:rFonts w:eastAsia="DengXian Light"/>
                <w:lang w:eastAsia="en-US"/>
              </w:rPr>
              <w:t>Çözünmüş veya parçacıklara bağlanmış civa ve bileşiklerinin toplamı Hg olarak ifade edilir.</w:t>
            </w:r>
          </w:p>
        </w:tc>
      </w:tr>
      <w:tr w:rsidR="00891E07" w:rsidRPr="00D53A2B" w14:paraId="34883565" w14:textId="77777777" w:rsidTr="008A08CF">
        <w:tc>
          <w:tcPr>
            <w:tcW w:w="734" w:type="pct"/>
            <w:hideMark/>
          </w:tcPr>
          <w:p w14:paraId="54D623CA" w14:textId="77777777" w:rsidR="00A60F99" w:rsidRPr="00D53A2B" w:rsidRDefault="00A60F99" w:rsidP="00A202FD">
            <w:pPr>
              <w:jc w:val="both"/>
              <w:rPr>
                <w:rFonts w:eastAsia="DengXian Light"/>
                <w:lang w:eastAsia="en-US"/>
              </w:rPr>
            </w:pPr>
            <w:r w:rsidRPr="00D53A2B">
              <w:rPr>
                <w:rFonts w:eastAsia="DengXian Light"/>
                <w:lang w:eastAsia="en-US"/>
              </w:rPr>
              <w:t>HOI</w:t>
            </w:r>
          </w:p>
        </w:tc>
        <w:tc>
          <w:tcPr>
            <w:tcW w:w="4266" w:type="pct"/>
            <w:hideMark/>
          </w:tcPr>
          <w:p w14:paraId="3627EBA7" w14:textId="77777777" w:rsidR="00A60F99" w:rsidRPr="00D53A2B" w:rsidRDefault="00A60F99" w:rsidP="00A202FD">
            <w:pPr>
              <w:jc w:val="both"/>
              <w:rPr>
                <w:rFonts w:eastAsia="DengXian Light"/>
                <w:lang w:eastAsia="en-US"/>
              </w:rPr>
            </w:pPr>
            <w:r w:rsidRPr="00D53A2B">
              <w:rPr>
                <w:rFonts w:eastAsia="DengXian Light"/>
                <w:lang w:eastAsia="en-US"/>
              </w:rPr>
              <w:t>Hidrokarbon yağı endeksi. Bir hidrokarbon çözücü ile ekstrakte edilebilen bileşiklerin toplamı (uzun zincirli veya dallanmış alifatik, alisiklik, aromatik veya alkil-sübstitüe aromatik hidrokarbonlar dahil).</w:t>
            </w:r>
          </w:p>
        </w:tc>
      </w:tr>
      <w:tr w:rsidR="00891E07" w:rsidRPr="00D53A2B" w14:paraId="015BBDC5" w14:textId="77777777" w:rsidTr="008A08CF">
        <w:tc>
          <w:tcPr>
            <w:tcW w:w="734" w:type="pct"/>
            <w:hideMark/>
          </w:tcPr>
          <w:p w14:paraId="6875215B" w14:textId="64D5EAF6" w:rsidR="00A60F99" w:rsidRPr="00D53A2B" w:rsidRDefault="00A60F99" w:rsidP="00A202FD">
            <w:pPr>
              <w:jc w:val="both"/>
              <w:rPr>
                <w:rFonts w:eastAsia="DengXian Light"/>
                <w:lang w:eastAsia="en-US"/>
              </w:rPr>
            </w:pPr>
            <w:r w:rsidRPr="00D53A2B">
              <w:rPr>
                <w:rFonts w:eastAsia="DengXian Light"/>
                <w:lang w:eastAsia="en-US"/>
              </w:rPr>
              <w:t>H</w:t>
            </w:r>
            <w:r w:rsidRPr="00D53A2B">
              <w:rPr>
                <w:rFonts w:eastAsia="DengXian Light"/>
                <w:vertAlign w:val="subscript"/>
                <w:lang w:eastAsia="en-US"/>
              </w:rPr>
              <w:t>2</w:t>
            </w:r>
            <w:r w:rsidRPr="00D53A2B">
              <w:rPr>
                <w:rFonts w:eastAsia="DengXian Light"/>
                <w:lang w:eastAsia="en-US"/>
              </w:rPr>
              <w:t>SO</w:t>
            </w:r>
            <w:r w:rsidR="009D6435" w:rsidRPr="00D53A2B">
              <w:rPr>
                <w:rFonts w:eastAsia="DengXian Light"/>
                <w:vertAlign w:val="subscript"/>
                <w:lang w:eastAsia="en-US"/>
              </w:rPr>
              <w:t>4</w:t>
            </w:r>
          </w:p>
        </w:tc>
        <w:tc>
          <w:tcPr>
            <w:tcW w:w="4266" w:type="pct"/>
            <w:hideMark/>
          </w:tcPr>
          <w:p w14:paraId="708D8CB4" w14:textId="77777777" w:rsidR="00A60F99" w:rsidRPr="00D53A2B" w:rsidRDefault="00A60F99" w:rsidP="00A202FD">
            <w:pPr>
              <w:jc w:val="both"/>
              <w:rPr>
                <w:rFonts w:eastAsia="DengXian Light"/>
                <w:lang w:eastAsia="en-US"/>
              </w:rPr>
            </w:pPr>
            <w:r w:rsidRPr="00D53A2B">
              <w:rPr>
                <w:rFonts w:eastAsia="DengXian Light"/>
                <w:lang w:eastAsia="en-US"/>
              </w:rPr>
              <w:t>Sülfürik asit.</w:t>
            </w:r>
          </w:p>
        </w:tc>
      </w:tr>
      <w:tr w:rsidR="00891E07" w:rsidRPr="00D53A2B" w14:paraId="1D99FC72" w14:textId="77777777" w:rsidTr="008A08CF">
        <w:tc>
          <w:tcPr>
            <w:tcW w:w="734" w:type="pct"/>
            <w:hideMark/>
          </w:tcPr>
          <w:p w14:paraId="378BE318" w14:textId="7DA3BC33" w:rsidR="00A60F99" w:rsidRPr="00D53A2B" w:rsidRDefault="00A60F99" w:rsidP="00A202FD">
            <w:pPr>
              <w:jc w:val="both"/>
              <w:rPr>
                <w:rFonts w:eastAsia="DengXian Light"/>
                <w:lang w:eastAsia="en-US"/>
              </w:rPr>
            </w:pPr>
            <w:r w:rsidRPr="00D53A2B">
              <w:rPr>
                <w:rFonts w:eastAsia="DengXian Light"/>
                <w:lang w:eastAsia="en-US"/>
              </w:rPr>
              <w:t>NH</w:t>
            </w:r>
            <w:r w:rsidRPr="00D53A2B">
              <w:rPr>
                <w:rFonts w:eastAsia="DengXian Light"/>
                <w:vertAlign w:val="subscript"/>
                <w:lang w:eastAsia="en-US"/>
              </w:rPr>
              <w:t>3</w:t>
            </w:r>
          </w:p>
        </w:tc>
        <w:tc>
          <w:tcPr>
            <w:tcW w:w="4266" w:type="pct"/>
            <w:hideMark/>
          </w:tcPr>
          <w:p w14:paraId="0C93CFDD" w14:textId="77777777" w:rsidR="00A60F99" w:rsidRPr="00D53A2B" w:rsidRDefault="00A60F99" w:rsidP="00A202FD">
            <w:pPr>
              <w:jc w:val="both"/>
              <w:rPr>
                <w:rFonts w:eastAsia="DengXian Light"/>
                <w:lang w:eastAsia="en-US"/>
              </w:rPr>
            </w:pPr>
            <w:r w:rsidRPr="00D53A2B">
              <w:rPr>
                <w:rFonts w:eastAsia="DengXian Light"/>
                <w:lang w:eastAsia="en-US"/>
              </w:rPr>
              <w:t>Amonyak.</w:t>
            </w:r>
          </w:p>
        </w:tc>
      </w:tr>
      <w:tr w:rsidR="00891E07" w:rsidRPr="00D53A2B" w14:paraId="6089E4E6" w14:textId="77777777" w:rsidTr="008A08CF">
        <w:tc>
          <w:tcPr>
            <w:tcW w:w="734" w:type="pct"/>
            <w:hideMark/>
          </w:tcPr>
          <w:p w14:paraId="37766CDE" w14:textId="405BDA56" w:rsidR="00A60F99" w:rsidRPr="00D53A2B" w:rsidRDefault="009D6435" w:rsidP="00A202FD">
            <w:pPr>
              <w:jc w:val="both"/>
              <w:rPr>
                <w:rFonts w:eastAsia="DengXian Light"/>
                <w:lang w:eastAsia="en-US"/>
              </w:rPr>
            </w:pPr>
            <w:r w:rsidRPr="00D53A2B">
              <w:rPr>
                <w:rFonts w:eastAsia="DengXian Light"/>
                <w:lang w:eastAsia="en-US"/>
              </w:rPr>
              <w:t>Ni</w:t>
            </w:r>
          </w:p>
        </w:tc>
        <w:tc>
          <w:tcPr>
            <w:tcW w:w="4266" w:type="pct"/>
            <w:hideMark/>
          </w:tcPr>
          <w:p w14:paraId="553B571D" w14:textId="77777777" w:rsidR="00A60F99" w:rsidRPr="00D53A2B" w:rsidRDefault="00A60F99" w:rsidP="00A202FD">
            <w:pPr>
              <w:jc w:val="both"/>
              <w:rPr>
                <w:rFonts w:eastAsia="DengXian Light"/>
                <w:lang w:eastAsia="en-US"/>
              </w:rPr>
            </w:pPr>
            <w:r w:rsidRPr="00D53A2B">
              <w:rPr>
                <w:rFonts w:eastAsia="DengXian Light"/>
                <w:lang w:eastAsia="en-US"/>
              </w:rPr>
              <w:t>Nikel ve bileşiklerinin çözünmüş veya parçacıklara bağlanmış halinin toplamı Ni olarak ifade edilir.</w:t>
            </w:r>
          </w:p>
        </w:tc>
      </w:tr>
      <w:tr w:rsidR="00891E07" w:rsidRPr="00D53A2B" w14:paraId="330B9E25" w14:textId="77777777" w:rsidTr="008A08CF">
        <w:tc>
          <w:tcPr>
            <w:tcW w:w="734" w:type="pct"/>
            <w:hideMark/>
          </w:tcPr>
          <w:p w14:paraId="251F44F1" w14:textId="5E517412" w:rsidR="00A60F99" w:rsidRPr="00D53A2B" w:rsidRDefault="009D6435" w:rsidP="00A202FD">
            <w:pPr>
              <w:jc w:val="both"/>
              <w:rPr>
                <w:rFonts w:eastAsia="DengXian Light"/>
                <w:lang w:eastAsia="en-US"/>
              </w:rPr>
            </w:pPr>
            <w:r w:rsidRPr="00D53A2B">
              <w:rPr>
                <w:rFonts w:eastAsia="DengXian Light"/>
                <w:lang w:eastAsia="en-US"/>
              </w:rPr>
              <w:t>NO</w:t>
            </w:r>
            <w:r w:rsidRPr="00D53A2B">
              <w:rPr>
                <w:rFonts w:eastAsia="DengXian Light"/>
                <w:vertAlign w:val="subscript"/>
                <w:lang w:eastAsia="en-US"/>
              </w:rPr>
              <w:t>x</w:t>
            </w:r>
          </w:p>
        </w:tc>
        <w:tc>
          <w:tcPr>
            <w:tcW w:w="4266" w:type="pct"/>
            <w:hideMark/>
          </w:tcPr>
          <w:p w14:paraId="3BA48EEB" w14:textId="59365249" w:rsidR="00A60F99" w:rsidRPr="00D53A2B" w:rsidRDefault="009D6435" w:rsidP="00A202FD">
            <w:pPr>
              <w:jc w:val="both"/>
              <w:rPr>
                <w:rFonts w:eastAsia="DengXian Light"/>
                <w:lang w:eastAsia="en-US"/>
              </w:rPr>
            </w:pPr>
            <w:r w:rsidRPr="00D53A2B">
              <w:rPr>
                <w:rFonts w:eastAsia="DengXian Light"/>
                <w:lang w:eastAsia="en-US"/>
              </w:rPr>
              <w:t>NO</w:t>
            </w:r>
            <w:r w:rsidRPr="00D53A2B">
              <w:rPr>
                <w:rFonts w:eastAsia="DengXian Light"/>
                <w:vertAlign w:val="subscript"/>
                <w:lang w:eastAsia="en-US"/>
              </w:rPr>
              <w:t>2</w:t>
            </w:r>
            <w:r w:rsidRPr="00D53A2B">
              <w:rPr>
                <w:rFonts w:eastAsia="DengXian Light"/>
                <w:lang w:eastAsia="en-US"/>
              </w:rPr>
              <w:t xml:space="preserve"> olarak ifade edilen azot oksit (NO) ve azot dioksitin (NO</w:t>
            </w:r>
            <w:r w:rsidRPr="00D53A2B">
              <w:rPr>
                <w:rFonts w:eastAsia="DengXian Light"/>
                <w:vertAlign w:val="subscript"/>
                <w:lang w:eastAsia="en-US"/>
              </w:rPr>
              <w:t>2</w:t>
            </w:r>
            <w:r w:rsidRPr="00D53A2B">
              <w:rPr>
                <w:rFonts w:eastAsia="DengXian Light"/>
                <w:lang w:eastAsia="en-US"/>
              </w:rPr>
              <w:t>) toplamı</w:t>
            </w:r>
          </w:p>
        </w:tc>
      </w:tr>
      <w:tr w:rsidR="00891E07" w:rsidRPr="00D53A2B" w14:paraId="3A79C71F" w14:textId="77777777" w:rsidTr="008A08CF">
        <w:tc>
          <w:tcPr>
            <w:tcW w:w="734" w:type="pct"/>
            <w:hideMark/>
          </w:tcPr>
          <w:p w14:paraId="5FBEC3F0" w14:textId="77777777" w:rsidR="00A60F99" w:rsidRPr="00D53A2B" w:rsidRDefault="00A60F99" w:rsidP="00A202FD">
            <w:pPr>
              <w:jc w:val="both"/>
              <w:rPr>
                <w:rFonts w:eastAsia="DengXian Light"/>
                <w:lang w:eastAsia="en-US"/>
              </w:rPr>
            </w:pPr>
            <w:r w:rsidRPr="00D53A2B">
              <w:rPr>
                <w:rFonts w:eastAsia="DengXian Light"/>
                <w:lang w:eastAsia="en-US"/>
              </w:rPr>
              <w:t>Kurşun</w:t>
            </w:r>
          </w:p>
        </w:tc>
        <w:tc>
          <w:tcPr>
            <w:tcW w:w="4266" w:type="pct"/>
            <w:hideMark/>
          </w:tcPr>
          <w:p w14:paraId="346FA781" w14:textId="63A3D0A6" w:rsidR="00A60F99" w:rsidRPr="00D53A2B" w:rsidRDefault="009D6435" w:rsidP="00A202FD">
            <w:pPr>
              <w:jc w:val="both"/>
              <w:rPr>
                <w:rFonts w:eastAsia="DengXian Light"/>
                <w:lang w:eastAsia="en-US"/>
              </w:rPr>
            </w:pPr>
            <w:r w:rsidRPr="00D53A2B">
              <w:rPr>
                <w:rFonts w:eastAsia="DengXian Light"/>
                <w:lang w:eastAsia="en-US"/>
              </w:rPr>
              <w:t>Kurşun ve bileşiklerinin çözünmüş veya parçacıklara bağlanmış halinin toplamı Pb olarak ifade edilir.</w:t>
            </w:r>
          </w:p>
        </w:tc>
      </w:tr>
      <w:tr w:rsidR="00891E07" w:rsidRPr="00D53A2B" w14:paraId="5A1169E7" w14:textId="77777777" w:rsidTr="008A08CF">
        <w:tc>
          <w:tcPr>
            <w:tcW w:w="734" w:type="pct"/>
            <w:hideMark/>
          </w:tcPr>
          <w:p w14:paraId="6CD8C022" w14:textId="77777777" w:rsidR="00A60F99" w:rsidRPr="00D53A2B" w:rsidRDefault="00A60F99" w:rsidP="00A202FD">
            <w:pPr>
              <w:jc w:val="both"/>
              <w:rPr>
                <w:rFonts w:eastAsia="DengXian Light"/>
                <w:lang w:eastAsia="en-US"/>
              </w:rPr>
            </w:pPr>
            <w:r w:rsidRPr="00D53A2B">
              <w:rPr>
                <w:rFonts w:eastAsia="DengXian Light"/>
                <w:lang w:eastAsia="en-US"/>
              </w:rPr>
              <w:t>Sn</w:t>
            </w:r>
          </w:p>
        </w:tc>
        <w:tc>
          <w:tcPr>
            <w:tcW w:w="4266" w:type="pct"/>
            <w:hideMark/>
          </w:tcPr>
          <w:p w14:paraId="524FCA51" w14:textId="4323A9F3" w:rsidR="00A60F99" w:rsidRPr="00D53A2B" w:rsidRDefault="009D6435" w:rsidP="00A202FD">
            <w:pPr>
              <w:jc w:val="both"/>
              <w:rPr>
                <w:rFonts w:eastAsia="DengXian Light"/>
                <w:lang w:eastAsia="en-US"/>
              </w:rPr>
            </w:pPr>
            <w:r w:rsidRPr="00D53A2B">
              <w:rPr>
                <w:rFonts w:eastAsia="DengXian Light"/>
                <w:lang w:eastAsia="en-US"/>
              </w:rPr>
              <w:t>Kalay ve bileşiklerinin çözünmüş veya parçacıklara bağlanmış halinin toplamı Sn olarak ifade edilir.</w:t>
            </w:r>
          </w:p>
        </w:tc>
      </w:tr>
      <w:tr w:rsidR="00891E07" w:rsidRPr="00D53A2B" w14:paraId="3451B4B9" w14:textId="77777777" w:rsidTr="008A08CF">
        <w:tc>
          <w:tcPr>
            <w:tcW w:w="734" w:type="pct"/>
            <w:hideMark/>
          </w:tcPr>
          <w:p w14:paraId="6918B302" w14:textId="09283783" w:rsidR="00A60F99" w:rsidRPr="00D53A2B" w:rsidRDefault="009D6435" w:rsidP="00A202FD">
            <w:pPr>
              <w:jc w:val="both"/>
              <w:rPr>
                <w:rFonts w:eastAsia="DengXian Light"/>
                <w:lang w:eastAsia="en-US"/>
              </w:rPr>
            </w:pPr>
            <w:r w:rsidRPr="00D53A2B">
              <w:t>SO</w:t>
            </w:r>
            <w:r w:rsidRPr="00D53A2B">
              <w:rPr>
                <w:vertAlign w:val="subscript"/>
              </w:rPr>
              <w:t>2</w:t>
            </w:r>
          </w:p>
        </w:tc>
        <w:tc>
          <w:tcPr>
            <w:tcW w:w="4266" w:type="pct"/>
            <w:hideMark/>
          </w:tcPr>
          <w:p w14:paraId="739849BC" w14:textId="66E654C9" w:rsidR="00A60F99" w:rsidRPr="00D53A2B" w:rsidRDefault="00A60F99" w:rsidP="00A202FD">
            <w:pPr>
              <w:jc w:val="both"/>
              <w:rPr>
                <w:rFonts w:eastAsia="DengXian Light"/>
                <w:lang w:eastAsia="en-US"/>
              </w:rPr>
            </w:pPr>
            <w:r w:rsidRPr="00D53A2B">
              <w:rPr>
                <w:rFonts w:eastAsia="DengXian Light"/>
                <w:lang w:eastAsia="en-US"/>
              </w:rPr>
              <w:t>Kükürtdioksit.</w:t>
            </w:r>
          </w:p>
        </w:tc>
      </w:tr>
      <w:tr w:rsidR="00891E07" w:rsidRPr="00D53A2B" w14:paraId="654FFF99" w14:textId="77777777" w:rsidTr="008A08CF">
        <w:tc>
          <w:tcPr>
            <w:tcW w:w="734" w:type="pct"/>
            <w:hideMark/>
          </w:tcPr>
          <w:p w14:paraId="3D8EE7C3" w14:textId="25C01600" w:rsidR="00A60F99" w:rsidRPr="00D53A2B" w:rsidRDefault="00891E07" w:rsidP="00A202FD">
            <w:pPr>
              <w:jc w:val="both"/>
              <w:rPr>
                <w:rFonts w:eastAsia="DengXian Light"/>
                <w:lang w:eastAsia="en-US"/>
              </w:rPr>
            </w:pPr>
            <w:r w:rsidRPr="00D53A2B">
              <w:t>SO</w:t>
            </w:r>
            <w:r w:rsidRPr="00D53A2B">
              <w:rPr>
                <w:vertAlign w:val="subscript"/>
              </w:rPr>
              <w:t>x</w:t>
            </w:r>
          </w:p>
        </w:tc>
        <w:tc>
          <w:tcPr>
            <w:tcW w:w="4266" w:type="pct"/>
            <w:hideMark/>
          </w:tcPr>
          <w:p w14:paraId="2E5DF36A" w14:textId="65CABB00" w:rsidR="00A60F99" w:rsidRPr="00D53A2B" w:rsidRDefault="00891E07" w:rsidP="00A202FD">
            <w:pPr>
              <w:jc w:val="both"/>
              <w:rPr>
                <w:rFonts w:eastAsia="DengXian Light"/>
                <w:lang w:eastAsia="en-US"/>
              </w:rPr>
            </w:pPr>
            <w:r w:rsidRPr="00D53A2B">
              <w:rPr>
                <w:rFonts w:eastAsia="DengXian Light"/>
                <w:lang w:eastAsia="en-US"/>
              </w:rPr>
              <w:t>SO</w:t>
            </w:r>
            <w:r w:rsidRPr="00D53A2B">
              <w:rPr>
                <w:rFonts w:eastAsia="DengXian Light"/>
                <w:vertAlign w:val="subscript"/>
                <w:lang w:eastAsia="en-US"/>
              </w:rPr>
              <w:t>2</w:t>
            </w:r>
            <w:r w:rsidRPr="00D53A2B">
              <w:rPr>
                <w:rFonts w:eastAsia="DengXian Light"/>
                <w:lang w:eastAsia="en-US"/>
              </w:rPr>
              <w:t xml:space="preserve"> olarak ifade edilen SO</w:t>
            </w:r>
            <w:r w:rsidRPr="00D53A2B">
              <w:rPr>
                <w:rFonts w:eastAsia="DengXian Light"/>
                <w:vertAlign w:val="subscript"/>
                <w:lang w:eastAsia="en-US"/>
              </w:rPr>
              <w:t>2</w:t>
            </w:r>
            <w:r w:rsidRPr="00D53A2B">
              <w:rPr>
                <w:rFonts w:eastAsia="DengXian Light"/>
                <w:lang w:eastAsia="en-US"/>
              </w:rPr>
              <w:t xml:space="preserve"> olarak ifade edilen kükürt dioksit (SO</w:t>
            </w:r>
            <w:r w:rsidRPr="00D53A2B">
              <w:rPr>
                <w:rFonts w:eastAsia="DengXian Light"/>
                <w:vertAlign w:val="subscript"/>
                <w:lang w:eastAsia="en-US"/>
              </w:rPr>
              <w:t>2</w:t>
            </w:r>
            <w:r w:rsidRPr="00D53A2B">
              <w:rPr>
                <w:rFonts w:eastAsia="DengXian Light"/>
                <w:lang w:eastAsia="en-US"/>
              </w:rPr>
              <w:t>) ve kükürt trioksitin (SO</w:t>
            </w:r>
            <w:r w:rsidRPr="00D53A2B">
              <w:rPr>
                <w:rFonts w:eastAsia="DengXian Light"/>
                <w:vertAlign w:val="subscript"/>
                <w:lang w:eastAsia="en-US"/>
              </w:rPr>
              <w:t>3</w:t>
            </w:r>
            <w:r w:rsidRPr="00D53A2B">
              <w:rPr>
                <w:rFonts w:eastAsia="DengXian Light"/>
                <w:lang w:eastAsia="en-US"/>
              </w:rPr>
              <w:t>) toplamı.</w:t>
            </w:r>
          </w:p>
        </w:tc>
      </w:tr>
      <w:tr w:rsidR="00891E07" w:rsidRPr="00D53A2B" w14:paraId="1CCE2A34" w14:textId="77777777" w:rsidTr="008A08CF">
        <w:tc>
          <w:tcPr>
            <w:tcW w:w="734" w:type="pct"/>
            <w:hideMark/>
          </w:tcPr>
          <w:p w14:paraId="490D8578" w14:textId="071A1BD1" w:rsidR="00A60F99" w:rsidRPr="00D53A2B" w:rsidRDefault="00891E07" w:rsidP="00A202FD">
            <w:pPr>
              <w:jc w:val="both"/>
              <w:rPr>
                <w:rFonts w:eastAsia="DengXian Light"/>
                <w:lang w:eastAsia="en-US"/>
              </w:rPr>
            </w:pPr>
            <w:r w:rsidRPr="00D53A2B">
              <w:rPr>
                <w:rFonts w:eastAsia="DengXian Light"/>
                <w:lang w:eastAsia="en-US"/>
              </w:rPr>
              <w:t>TOK</w:t>
            </w:r>
          </w:p>
        </w:tc>
        <w:tc>
          <w:tcPr>
            <w:tcW w:w="4266" w:type="pct"/>
            <w:hideMark/>
          </w:tcPr>
          <w:p w14:paraId="26C63439" w14:textId="77777777" w:rsidR="00A60F99" w:rsidRPr="00D53A2B" w:rsidRDefault="00A60F99" w:rsidP="00A202FD">
            <w:pPr>
              <w:jc w:val="both"/>
              <w:rPr>
                <w:rFonts w:eastAsia="DengXian Light"/>
                <w:lang w:eastAsia="en-US"/>
              </w:rPr>
            </w:pPr>
            <w:r w:rsidRPr="00D53A2B">
              <w:rPr>
                <w:rFonts w:eastAsia="DengXian Light"/>
                <w:lang w:eastAsia="en-US"/>
              </w:rPr>
              <w:t>Toplam organik karbon, C (suda) olarak ifade edilir; tüm organik bileşikleri içerir.</w:t>
            </w:r>
          </w:p>
        </w:tc>
      </w:tr>
      <w:tr w:rsidR="00891E07" w:rsidRPr="00D53A2B" w14:paraId="328B2437" w14:textId="77777777" w:rsidTr="008A08CF">
        <w:tc>
          <w:tcPr>
            <w:tcW w:w="734" w:type="pct"/>
            <w:hideMark/>
          </w:tcPr>
          <w:p w14:paraId="2C35C8E9" w14:textId="77777777" w:rsidR="00A60F99" w:rsidRPr="00D53A2B" w:rsidRDefault="00A60F99" w:rsidP="00A202FD">
            <w:pPr>
              <w:jc w:val="both"/>
              <w:rPr>
                <w:rFonts w:eastAsia="DengXian Light"/>
                <w:lang w:eastAsia="en-US"/>
              </w:rPr>
            </w:pPr>
            <w:r w:rsidRPr="00D53A2B">
              <w:rPr>
                <w:rFonts w:eastAsia="DengXian Light"/>
                <w:lang w:eastAsia="en-US"/>
              </w:rPr>
              <w:t>Toplam P</w:t>
            </w:r>
          </w:p>
        </w:tc>
        <w:tc>
          <w:tcPr>
            <w:tcW w:w="4266" w:type="pct"/>
            <w:hideMark/>
          </w:tcPr>
          <w:p w14:paraId="26695914" w14:textId="77777777" w:rsidR="00A60F99" w:rsidRPr="00D53A2B" w:rsidRDefault="00A60F99" w:rsidP="00A202FD">
            <w:pPr>
              <w:jc w:val="both"/>
              <w:rPr>
                <w:rFonts w:eastAsia="DengXian Light"/>
                <w:lang w:eastAsia="en-US"/>
              </w:rPr>
            </w:pPr>
            <w:r w:rsidRPr="00D53A2B">
              <w:rPr>
                <w:rFonts w:eastAsia="DengXian Light"/>
                <w:lang w:eastAsia="en-US"/>
              </w:rPr>
              <w:t>P olarak ifade edilen toplam fosfor, tüm inorganik ve organik fosfor bileşiklerini içerir.</w:t>
            </w:r>
          </w:p>
        </w:tc>
      </w:tr>
      <w:tr w:rsidR="00891E07" w:rsidRPr="00D53A2B" w14:paraId="1FD1DF5D" w14:textId="77777777" w:rsidTr="008A08CF">
        <w:tc>
          <w:tcPr>
            <w:tcW w:w="734" w:type="pct"/>
            <w:hideMark/>
          </w:tcPr>
          <w:p w14:paraId="1EF9248E" w14:textId="77777777" w:rsidR="00A60F99" w:rsidRPr="00D53A2B" w:rsidRDefault="00A60F99" w:rsidP="00A202FD">
            <w:pPr>
              <w:jc w:val="both"/>
              <w:rPr>
                <w:rFonts w:eastAsia="DengXian Light"/>
                <w:lang w:eastAsia="en-US"/>
              </w:rPr>
            </w:pPr>
            <w:r w:rsidRPr="00D53A2B">
              <w:rPr>
                <w:rFonts w:eastAsia="DengXian Light"/>
                <w:lang w:eastAsia="en-US"/>
              </w:rPr>
              <w:t>TSS</w:t>
            </w:r>
          </w:p>
        </w:tc>
        <w:tc>
          <w:tcPr>
            <w:tcW w:w="4266" w:type="pct"/>
            <w:hideMark/>
          </w:tcPr>
          <w:p w14:paraId="56FC1581" w14:textId="77777777" w:rsidR="00A60F99" w:rsidRPr="00D53A2B" w:rsidRDefault="00A60F99" w:rsidP="00A202FD">
            <w:pPr>
              <w:jc w:val="both"/>
              <w:rPr>
                <w:rFonts w:eastAsia="DengXian Light"/>
                <w:lang w:eastAsia="en-US"/>
              </w:rPr>
            </w:pPr>
            <w:r w:rsidRPr="00D53A2B">
              <w:rPr>
                <w:rFonts w:eastAsia="DengXian Light"/>
                <w:lang w:eastAsia="en-US"/>
              </w:rPr>
              <w:t>Toplam askıda katı maddeler. Tüm askıda katı maddelerin kütle konsantrasyonu (suda), cam elyaf filtreler ve gravimetri yoluyla filtrasyon yoluyla ölçülür.</w:t>
            </w:r>
          </w:p>
        </w:tc>
      </w:tr>
      <w:tr w:rsidR="00891E07" w:rsidRPr="00D53A2B" w14:paraId="3234647F" w14:textId="77777777" w:rsidTr="008A08CF">
        <w:tc>
          <w:tcPr>
            <w:tcW w:w="734" w:type="pct"/>
            <w:hideMark/>
          </w:tcPr>
          <w:p w14:paraId="5172C308" w14:textId="77777777" w:rsidR="00A60F99" w:rsidRPr="00D53A2B" w:rsidRDefault="00A60F99" w:rsidP="00A202FD">
            <w:pPr>
              <w:jc w:val="both"/>
              <w:rPr>
                <w:rFonts w:eastAsia="DengXian Light"/>
                <w:lang w:eastAsia="en-US"/>
              </w:rPr>
            </w:pPr>
            <w:r w:rsidRPr="00D53A2B">
              <w:rPr>
                <w:rFonts w:eastAsia="DengXian Light"/>
                <w:lang w:eastAsia="en-US"/>
              </w:rPr>
              <w:t>TVOC</w:t>
            </w:r>
          </w:p>
        </w:tc>
        <w:tc>
          <w:tcPr>
            <w:tcW w:w="4266" w:type="pct"/>
            <w:hideMark/>
          </w:tcPr>
          <w:p w14:paraId="3AB0F85A" w14:textId="77777777" w:rsidR="00A60F99" w:rsidRPr="00D53A2B" w:rsidRDefault="00A60F99" w:rsidP="00A202FD">
            <w:pPr>
              <w:jc w:val="both"/>
              <w:rPr>
                <w:rFonts w:eastAsia="DengXian Light"/>
                <w:lang w:eastAsia="en-US"/>
              </w:rPr>
            </w:pPr>
            <w:r w:rsidRPr="00D53A2B">
              <w:rPr>
                <w:rFonts w:eastAsia="DengXian Light"/>
                <w:lang w:eastAsia="en-US"/>
              </w:rPr>
              <w:t>Toplam uçucu organik karbon, C (havada) olarak ifade edilir.</w:t>
            </w:r>
          </w:p>
        </w:tc>
      </w:tr>
      <w:tr w:rsidR="00891E07" w:rsidRPr="00D53A2B" w14:paraId="1487711C" w14:textId="77777777" w:rsidTr="008A08CF">
        <w:tc>
          <w:tcPr>
            <w:tcW w:w="734" w:type="pct"/>
            <w:hideMark/>
          </w:tcPr>
          <w:p w14:paraId="1F0020C6" w14:textId="77777777" w:rsidR="00A60F99" w:rsidRPr="00D53A2B" w:rsidRDefault="00A60F99" w:rsidP="00A202FD">
            <w:pPr>
              <w:jc w:val="both"/>
              <w:rPr>
                <w:rFonts w:eastAsia="DengXian Light"/>
                <w:lang w:eastAsia="en-US"/>
              </w:rPr>
            </w:pPr>
            <w:r w:rsidRPr="00D53A2B">
              <w:rPr>
                <w:rFonts w:eastAsia="DengXian Light"/>
                <w:lang w:eastAsia="en-US"/>
              </w:rPr>
              <w:t>Çinko</w:t>
            </w:r>
          </w:p>
        </w:tc>
        <w:tc>
          <w:tcPr>
            <w:tcW w:w="4266" w:type="pct"/>
            <w:hideMark/>
          </w:tcPr>
          <w:p w14:paraId="62F60E17" w14:textId="77777777" w:rsidR="00A60F99" w:rsidRPr="00D53A2B" w:rsidRDefault="00A60F99" w:rsidP="00A202FD">
            <w:pPr>
              <w:jc w:val="both"/>
              <w:rPr>
                <w:rFonts w:eastAsia="DengXian Light"/>
                <w:lang w:eastAsia="en-US"/>
              </w:rPr>
            </w:pPr>
            <w:r w:rsidRPr="00D53A2B">
              <w:rPr>
                <w:rFonts w:eastAsia="DengXian Light"/>
                <w:lang w:eastAsia="en-US"/>
              </w:rPr>
              <w:t>Çinko ve bileşiklerinin, çözünmüş veya parçacıklara bağlanmış haldeki toplamı Zn olarak ifade edilir.</w:t>
            </w:r>
          </w:p>
        </w:tc>
      </w:tr>
    </w:tbl>
    <w:p w14:paraId="35AEA683" w14:textId="77777777" w:rsidR="00A60F99" w:rsidRPr="00D53A2B" w:rsidRDefault="00A60F99" w:rsidP="00A202FD">
      <w:pPr>
        <w:jc w:val="both"/>
        <w:rPr>
          <w:rFonts w:eastAsia="DengXian Light"/>
          <w:lang w:val="en-US" w:eastAsia="en-US"/>
        </w:rPr>
      </w:pPr>
    </w:p>
    <w:p w14:paraId="11DBAF96" w14:textId="57B48A63" w:rsidR="004F7D62" w:rsidRPr="00D53A2B" w:rsidRDefault="004F7D62" w:rsidP="00A202FD">
      <w:pPr>
        <w:pStyle w:val="Balk3"/>
        <w:rPr>
          <w:rFonts w:eastAsia="Calibri" w:cs="Times New Roman"/>
          <w:lang w:val="en-US" w:eastAsia="en-US"/>
        </w:rPr>
      </w:pPr>
      <w:r w:rsidRPr="00D53A2B">
        <w:rPr>
          <w:rFonts w:eastAsia="Calibri" w:cs="Times New Roman"/>
          <w:lang w:val="en-US" w:eastAsia="en-US"/>
        </w:rPr>
        <w:t>3. Demir Dışı Metal Endüstrisi</w:t>
      </w:r>
    </w:p>
    <w:p w14:paraId="37E8DD7F" w14:textId="6001F822" w:rsidR="00A60F99" w:rsidRPr="00D53A2B" w:rsidRDefault="004F7D62" w:rsidP="00A202FD">
      <w:pPr>
        <w:jc w:val="both"/>
        <w:rPr>
          <w:rFonts w:eastAsia="DengXian Light"/>
          <w:lang w:val="en-US" w:eastAsia="en-US"/>
        </w:rPr>
      </w:pPr>
      <w:r w:rsidRPr="00D53A2B">
        <w:rPr>
          <w:rFonts w:eastAsia="DengXian Light"/>
          <w:lang w:val="en-US" w:eastAsia="en-US"/>
        </w:rPr>
        <w:t>Bu MET sonuçlarının amaçları bakımından aşağıdaki tanımlar geçerlidir:</w:t>
      </w:r>
    </w:p>
    <w:p w14:paraId="64CF8EAF" w14:textId="77777777" w:rsidR="004F7D62" w:rsidRPr="00D53A2B" w:rsidRDefault="004F7D62" w:rsidP="00A202FD">
      <w:pPr>
        <w:jc w:val="both"/>
        <w:rPr>
          <w:rFonts w:eastAsia="DengXian Light"/>
          <w:lang w:val="en-US" w:eastAsia="en-US"/>
        </w:rPr>
      </w:pPr>
    </w:p>
    <w:tbl>
      <w:tblPr>
        <w:tblStyle w:val="TabloKlavuzu7"/>
        <w:tblW w:w="5176" w:type="pct"/>
        <w:tblLook w:val="04A0" w:firstRow="1" w:lastRow="0" w:firstColumn="1" w:lastColumn="0" w:noHBand="0" w:noVBand="1"/>
      </w:tblPr>
      <w:tblGrid>
        <w:gridCol w:w="1699"/>
        <w:gridCol w:w="7226"/>
      </w:tblGrid>
      <w:tr w:rsidR="004F7D62" w:rsidRPr="00D53A2B" w14:paraId="2C7D4062" w14:textId="77777777" w:rsidTr="008A08CF">
        <w:tc>
          <w:tcPr>
            <w:tcW w:w="952" w:type="pct"/>
          </w:tcPr>
          <w:p w14:paraId="326C9513" w14:textId="77777777" w:rsidR="004F7D62" w:rsidRPr="00D53A2B" w:rsidRDefault="004F7D62" w:rsidP="00A202FD">
            <w:pPr>
              <w:jc w:val="both"/>
            </w:pPr>
            <w:r w:rsidRPr="00D53A2B">
              <w:rPr>
                <w:b/>
              </w:rPr>
              <w:t>Kullanılan Terim</w:t>
            </w:r>
          </w:p>
        </w:tc>
        <w:tc>
          <w:tcPr>
            <w:tcW w:w="4048" w:type="pct"/>
          </w:tcPr>
          <w:p w14:paraId="0A9FB8B2" w14:textId="77777777" w:rsidR="004F7D62" w:rsidRPr="00D53A2B" w:rsidRDefault="004F7D62" w:rsidP="00A202FD">
            <w:pPr>
              <w:jc w:val="both"/>
            </w:pPr>
            <w:r w:rsidRPr="00D53A2B">
              <w:rPr>
                <w:b/>
              </w:rPr>
              <w:t>Tanım</w:t>
            </w:r>
          </w:p>
        </w:tc>
      </w:tr>
      <w:tr w:rsidR="004F7D62" w:rsidRPr="00D53A2B" w14:paraId="1FDF4450" w14:textId="77777777" w:rsidTr="008A08CF">
        <w:tc>
          <w:tcPr>
            <w:tcW w:w="952" w:type="pct"/>
          </w:tcPr>
          <w:p w14:paraId="3B4531FA" w14:textId="670359BF" w:rsidR="004F7D62" w:rsidRPr="00D53A2B" w:rsidRDefault="004F7D62" w:rsidP="00A202FD">
            <w:pPr>
              <w:jc w:val="both"/>
            </w:pPr>
            <w:r w:rsidRPr="00D53A2B">
              <w:t>Önemli değişiklik</w:t>
            </w:r>
          </w:p>
        </w:tc>
        <w:tc>
          <w:tcPr>
            <w:tcW w:w="4048" w:type="pct"/>
          </w:tcPr>
          <w:p w14:paraId="689B10C5" w14:textId="7911585A" w:rsidR="004F7D62" w:rsidRPr="00D53A2B" w:rsidRDefault="004F7D62" w:rsidP="00A202FD">
            <w:pPr>
              <w:jc w:val="both"/>
            </w:pPr>
            <w:r w:rsidRPr="00D53A2B">
              <w:t>Bir tesisin tasarımında veya teknolojisinde büyük bir değişiklik ve proses üniteleri ile ilişkili ekipmanlarda büyük ayarlamalar veya değişiklikler yapılması.</w:t>
            </w:r>
          </w:p>
        </w:tc>
      </w:tr>
      <w:tr w:rsidR="004F7D62" w:rsidRPr="00D53A2B" w14:paraId="5D75D134" w14:textId="77777777" w:rsidTr="008A08CF">
        <w:tc>
          <w:tcPr>
            <w:tcW w:w="952" w:type="pct"/>
          </w:tcPr>
          <w:p w14:paraId="534C765F" w14:textId="1BB07C2F" w:rsidR="004F7D62" w:rsidRPr="00D53A2B" w:rsidRDefault="004F7D62" w:rsidP="00A202FD">
            <w:pPr>
              <w:jc w:val="both"/>
            </w:pPr>
            <w:r w:rsidRPr="00D53A2B">
              <w:t>Birincil emisyonlar</w:t>
            </w:r>
          </w:p>
        </w:tc>
        <w:tc>
          <w:tcPr>
            <w:tcW w:w="4048" w:type="pct"/>
          </w:tcPr>
          <w:p w14:paraId="3765F507" w14:textId="0622869B" w:rsidR="004F7D62" w:rsidRPr="00D53A2B" w:rsidRDefault="004F7D62" w:rsidP="00A202FD">
            <w:pPr>
              <w:jc w:val="both"/>
            </w:pPr>
            <w:r w:rsidRPr="00D53A2B">
              <w:t>Fırınlardan doğrudan çıkan ve fırınları çevreleyen alanlara yayılmayan emisyonlar.</w:t>
            </w:r>
          </w:p>
        </w:tc>
      </w:tr>
      <w:tr w:rsidR="004F7D62" w:rsidRPr="00D53A2B" w14:paraId="43C8947F" w14:textId="77777777" w:rsidTr="008A08CF">
        <w:tc>
          <w:tcPr>
            <w:tcW w:w="952" w:type="pct"/>
          </w:tcPr>
          <w:p w14:paraId="0BE7928F" w14:textId="40D0F3E3" w:rsidR="004F7D62" w:rsidRPr="00D53A2B" w:rsidRDefault="004F7D62" w:rsidP="00A202FD">
            <w:pPr>
              <w:jc w:val="both"/>
            </w:pPr>
            <w:r w:rsidRPr="00D53A2B">
              <w:t>İkincil emisyonlar</w:t>
            </w:r>
          </w:p>
        </w:tc>
        <w:tc>
          <w:tcPr>
            <w:tcW w:w="4048" w:type="pct"/>
          </w:tcPr>
          <w:p w14:paraId="4DEE232F" w14:textId="018E2980" w:rsidR="004F7D62" w:rsidRPr="00D53A2B" w:rsidRDefault="004F7D62" w:rsidP="00A202FD">
            <w:pPr>
              <w:jc w:val="both"/>
            </w:pPr>
            <w:r w:rsidRPr="00D53A2B">
              <w:t xml:space="preserve">Fırın astarından veya şarj, </w:t>
            </w:r>
            <w:r w:rsidR="00FE2879" w:rsidRPr="00D53A2B">
              <w:t>cüruf akıtma</w:t>
            </w:r>
            <w:r w:rsidRPr="00D53A2B">
              <w:t xml:space="preserve"> gibi işlemler sırasında çıkan ve bir davlumbaz veya muhafaza (</w:t>
            </w:r>
            <w:r w:rsidR="00FE2879" w:rsidRPr="00D53A2B">
              <w:t>brülör odacığı</w:t>
            </w:r>
            <w:r w:rsidRPr="00D53A2B">
              <w:t xml:space="preserve"> gibi) ile tutulan emisyonlar.</w:t>
            </w:r>
          </w:p>
        </w:tc>
      </w:tr>
      <w:tr w:rsidR="004F7D62" w:rsidRPr="00D53A2B" w14:paraId="1642131A" w14:textId="77777777" w:rsidTr="008A08CF">
        <w:tc>
          <w:tcPr>
            <w:tcW w:w="952" w:type="pct"/>
          </w:tcPr>
          <w:p w14:paraId="00F59E7D" w14:textId="016F4C8A" w:rsidR="004F7D62" w:rsidRPr="00D53A2B" w:rsidRDefault="00FE2879" w:rsidP="00A202FD">
            <w:pPr>
              <w:jc w:val="both"/>
            </w:pPr>
            <w:r w:rsidRPr="00D53A2B">
              <w:t>Birincil üretim</w:t>
            </w:r>
          </w:p>
        </w:tc>
        <w:tc>
          <w:tcPr>
            <w:tcW w:w="4048" w:type="pct"/>
          </w:tcPr>
          <w:p w14:paraId="69CDC66C" w14:textId="55354E85" w:rsidR="004F7D62" w:rsidRPr="00D53A2B" w:rsidRDefault="00FE2879" w:rsidP="00A202FD">
            <w:pPr>
              <w:jc w:val="both"/>
            </w:pPr>
            <w:r w:rsidRPr="00D53A2B">
              <w:t>Cevher ve konsantrelerden metal üretimi.</w:t>
            </w:r>
          </w:p>
        </w:tc>
      </w:tr>
      <w:tr w:rsidR="004F7D62" w:rsidRPr="00D53A2B" w14:paraId="10B95C15" w14:textId="77777777" w:rsidTr="008A08CF">
        <w:tc>
          <w:tcPr>
            <w:tcW w:w="952" w:type="pct"/>
          </w:tcPr>
          <w:p w14:paraId="7FE380AB" w14:textId="6EBFEBC8" w:rsidR="004F7D62" w:rsidRPr="00D53A2B" w:rsidRDefault="00FE2879" w:rsidP="00A202FD">
            <w:pPr>
              <w:jc w:val="both"/>
            </w:pPr>
            <w:r w:rsidRPr="00D53A2B">
              <w:t>İkincil üretim</w:t>
            </w:r>
          </w:p>
        </w:tc>
        <w:tc>
          <w:tcPr>
            <w:tcW w:w="4048" w:type="pct"/>
          </w:tcPr>
          <w:p w14:paraId="55CC111D" w14:textId="6D816E59" w:rsidR="004F7D62" w:rsidRPr="00D53A2B" w:rsidRDefault="00FE2879" w:rsidP="00A202FD">
            <w:pPr>
              <w:jc w:val="both"/>
            </w:pPr>
            <w:r w:rsidRPr="00D53A2B">
              <w:t>Kalıntı ve/veya hurdaların eritilmesi ve alaşımlandırılması işlemleri de dahil olmak üzere metal üretimi.</w:t>
            </w:r>
          </w:p>
        </w:tc>
      </w:tr>
      <w:tr w:rsidR="004F7D62" w:rsidRPr="00D53A2B" w14:paraId="07514F8F" w14:textId="77777777" w:rsidTr="008A08CF">
        <w:tc>
          <w:tcPr>
            <w:tcW w:w="952" w:type="pct"/>
          </w:tcPr>
          <w:p w14:paraId="320E3D3D" w14:textId="34B26319" w:rsidR="004F7D62" w:rsidRPr="00D53A2B" w:rsidRDefault="00FE2879" w:rsidP="00A202FD">
            <w:pPr>
              <w:jc w:val="both"/>
            </w:pPr>
            <w:r w:rsidRPr="00D53A2B">
              <w:lastRenderedPageBreak/>
              <w:t>Sürekli ölçüm</w:t>
            </w:r>
          </w:p>
        </w:tc>
        <w:tc>
          <w:tcPr>
            <w:tcW w:w="4048" w:type="pct"/>
          </w:tcPr>
          <w:p w14:paraId="67501C0F" w14:textId="1C8A71E1" w:rsidR="004F7D62" w:rsidRPr="00D53A2B" w:rsidRDefault="00FE2879" w:rsidP="00A202FD">
            <w:pPr>
              <w:jc w:val="both"/>
            </w:pPr>
            <w:r w:rsidRPr="00D53A2B">
              <w:t xml:space="preserve">Emisyonların sürekli izlenmesi için sahada kalıcı olarak kurulan </w:t>
            </w:r>
            <w:r w:rsidR="00E56504" w:rsidRPr="00D53A2B">
              <w:t>‘</w:t>
            </w:r>
            <w:r w:rsidRPr="00D53A2B">
              <w:t>otomatik ölçüm sistemi</w:t>
            </w:r>
            <w:r w:rsidR="00E56504" w:rsidRPr="00D53A2B">
              <w:t>’</w:t>
            </w:r>
            <w:r w:rsidRPr="00D53A2B">
              <w:t xml:space="preserve"> kullanılarak ölçüm.</w:t>
            </w:r>
          </w:p>
        </w:tc>
      </w:tr>
      <w:tr w:rsidR="004F7D62" w:rsidRPr="00D53A2B" w14:paraId="50BA51D3" w14:textId="77777777" w:rsidTr="008A08CF">
        <w:tc>
          <w:tcPr>
            <w:tcW w:w="952" w:type="pct"/>
          </w:tcPr>
          <w:p w14:paraId="5565C7D6" w14:textId="18D58A7D" w:rsidR="004F7D62" w:rsidRPr="00D53A2B" w:rsidRDefault="00FE2879" w:rsidP="00A202FD">
            <w:pPr>
              <w:jc w:val="both"/>
            </w:pPr>
            <w:r w:rsidRPr="00D53A2B">
              <w:t>Periyodik ölçüm</w:t>
            </w:r>
          </w:p>
        </w:tc>
        <w:tc>
          <w:tcPr>
            <w:tcW w:w="4048" w:type="pct"/>
          </w:tcPr>
          <w:p w14:paraId="3CB040FF" w14:textId="666BF4E6" w:rsidR="004F7D62" w:rsidRPr="00D53A2B" w:rsidRDefault="00FE2879" w:rsidP="00A202FD">
            <w:pPr>
              <w:jc w:val="both"/>
            </w:pPr>
            <w:r w:rsidRPr="00D53A2B">
              <w:t>Ölçülen bir büyüklüğün (ölçüme tabi belirli bir niceliğin) belirli zaman aralıklarında elle veya otomatik yöntemlerle belirlenmesi.</w:t>
            </w:r>
          </w:p>
        </w:tc>
      </w:tr>
    </w:tbl>
    <w:p w14:paraId="5B9CBA54" w14:textId="77777777" w:rsidR="004F7D62" w:rsidRPr="00D53A2B" w:rsidRDefault="004F7D62" w:rsidP="00A202FD">
      <w:pPr>
        <w:jc w:val="both"/>
        <w:rPr>
          <w:rFonts w:eastAsia="DengXian Light"/>
          <w:lang w:val="en-US" w:eastAsia="en-US"/>
        </w:rPr>
      </w:pPr>
    </w:p>
    <w:p w14:paraId="493F30B5" w14:textId="1C720F42" w:rsidR="002A7D25" w:rsidRPr="00D53A2B" w:rsidRDefault="002A7D25" w:rsidP="00A202FD">
      <w:pPr>
        <w:pStyle w:val="Balk3"/>
        <w:rPr>
          <w:rFonts w:eastAsia="Calibri" w:cs="Times New Roman"/>
          <w:lang w:val="en-US" w:eastAsia="en-US"/>
        </w:rPr>
      </w:pPr>
      <w:r w:rsidRPr="00D53A2B">
        <w:rPr>
          <w:rFonts w:eastAsia="Calibri" w:cs="Times New Roman"/>
          <w:lang w:val="en-US" w:eastAsia="en-US"/>
        </w:rPr>
        <w:t>4. Dökümhane ve Demir İşleme Sanayisi</w:t>
      </w:r>
    </w:p>
    <w:p w14:paraId="65F3FB2E" w14:textId="77777777" w:rsidR="002A7D25" w:rsidRPr="00D53A2B" w:rsidRDefault="002A7D25" w:rsidP="00A202FD">
      <w:pPr>
        <w:jc w:val="both"/>
      </w:pPr>
      <w:r w:rsidRPr="00D53A2B">
        <w:t>Bu MET sonuçları kapsamında aşağıdaki tanımlar uygulanır:</w:t>
      </w:r>
    </w:p>
    <w:tbl>
      <w:tblPr>
        <w:tblStyle w:val="TabloKlavuzu"/>
        <w:tblW w:w="8926" w:type="dxa"/>
        <w:tblLook w:val="04A0" w:firstRow="1" w:lastRow="0" w:firstColumn="1" w:lastColumn="0" w:noHBand="0" w:noVBand="1"/>
      </w:tblPr>
      <w:tblGrid>
        <w:gridCol w:w="4308"/>
        <w:gridCol w:w="4618"/>
      </w:tblGrid>
      <w:tr w:rsidR="002A7D25" w:rsidRPr="00D53A2B" w14:paraId="44DF593C" w14:textId="77777777" w:rsidTr="008A08CF">
        <w:tc>
          <w:tcPr>
            <w:tcW w:w="8926" w:type="dxa"/>
            <w:gridSpan w:val="2"/>
          </w:tcPr>
          <w:p w14:paraId="08A1DE71" w14:textId="77777777" w:rsidR="002A7D25" w:rsidRPr="009077F5" w:rsidRDefault="002A7D25" w:rsidP="00A202FD">
            <w:pPr>
              <w:jc w:val="both"/>
              <w:rPr>
                <w:rFonts w:eastAsia="Calibri"/>
                <w:b/>
                <w:bCs/>
                <w:sz w:val="22"/>
                <w:szCs w:val="22"/>
                <w:lang w:eastAsia="en-US"/>
              </w:rPr>
            </w:pPr>
            <w:r w:rsidRPr="009077F5">
              <w:rPr>
                <w:rFonts w:eastAsia="Calibri"/>
                <w:b/>
                <w:bCs/>
                <w:sz w:val="22"/>
                <w:szCs w:val="22"/>
                <w:lang w:eastAsia="en-US"/>
              </w:rPr>
              <w:t>GENEL TERİMLER</w:t>
            </w:r>
          </w:p>
        </w:tc>
      </w:tr>
      <w:tr w:rsidR="002A7D25" w:rsidRPr="00D53A2B" w14:paraId="19F1FB75" w14:textId="77777777" w:rsidTr="008A08CF">
        <w:tc>
          <w:tcPr>
            <w:tcW w:w="4308" w:type="dxa"/>
          </w:tcPr>
          <w:p w14:paraId="476F37E0" w14:textId="77777777" w:rsidR="002A7D25" w:rsidRPr="009077F5" w:rsidRDefault="002A7D25" w:rsidP="00A202FD">
            <w:pPr>
              <w:jc w:val="both"/>
              <w:rPr>
                <w:rFonts w:eastAsia="Calibri"/>
                <w:b/>
                <w:bCs/>
                <w:sz w:val="22"/>
                <w:szCs w:val="22"/>
                <w:lang w:eastAsia="en-US"/>
              </w:rPr>
            </w:pPr>
            <w:r w:rsidRPr="009077F5">
              <w:rPr>
                <w:rFonts w:eastAsia="Calibri"/>
                <w:b/>
                <w:bCs/>
                <w:sz w:val="22"/>
                <w:szCs w:val="22"/>
                <w:lang w:eastAsia="en-US"/>
              </w:rPr>
              <w:t>Kullanılan Terim</w:t>
            </w:r>
          </w:p>
        </w:tc>
        <w:tc>
          <w:tcPr>
            <w:tcW w:w="4618" w:type="dxa"/>
          </w:tcPr>
          <w:p w14:paraId="10BF677E"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Tanım</w:t>
            </w:r>
          </w:p>
        </w:tc>
      </w:tr>
      <w:tr w:rsidR="002A7D25" w:rsidRPr="00D53A2B" w14:paraId="22F10DF8" w14:textId="77777777" w:rsidTr="008A08CF">
        <w:tc>
          <w:tcPr>
            <w:tcW w:w="430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7"/>
            </w:tblGrid>
            <w:tr w:rsidR="002A7D25" w:rsidRPr="00D53A2B" w14:paraId="3D2B861F" w14:textId="77777777" w:rsidTr="00A202FD">
              <w:trPr>
                <w:tblCellSpacing w:w="15" w:type="dxa"/>
              </w:trPr>
              <w:tc>
                <w:tcPr>
                  <w:tcW w:w="0" w:type="auto"/>
                  <w:vAlign w:val="center"/>
                  <w:hideMark/>
                </w:tcPr>
                <w:p w14:paraId="73487132"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Döküm</w:t>
                  </w:r>
                </w:p>
              </w:tc>
            </w:tr>
          </w:tbl>
          <w:p w14:paraId="49C52FF3" w14:textId="77777777" w:rsidR="002A7D25" w:rsidRPr="00D53A2B" w:rsidRDefault="002A7D25" w:rsidP="00A202FD">
            <w:pPr>
              <w:jc w:val="both"/>
              <w:rPr>
                <w:rFonts w:eastAsia="Calibri"/>
                <w:vanish/>
                <w:sz w:val="22"/>
                <w:szCs w:val="22"/>
                <w:lang w:eastAsia="en-US"/>
              </w:rPr>
            </w:pPr>
          </w:p>
          <w:p w14:paraId="2CCD4B34" w14:textId="77777777" w:rsidR="002A7D25" w:rsidRPr="00D53A2B" w:rsidRDefault="002A7D25" w:rsidP="00A202FD">
            <w:pPr>
              <w:jc w:val="both"/>
              <w:rPr>
                <w:rFonts w:eastAsia="Calibri"/>
                <w:vanish/>
                <w:sz w:val="22"/>
                <w:szCs w:val="22"/>
                <w:lang w:eastAsia="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2A7D25" w:rsidRPr="00D53A2B" w14:paraId="4B938EF2" w14:textId="77777777" w:rsidTr="00A202FD">
              <w:trPr>
                <w:tblCellSpacing w:w="15" w:type="dxa"/>
              </w:trPr>
              <w:tc>
                <w:tcPr>
                  <w:tcW w:w="0" w:type="auto"/>
                  <w:vAlign w:val="center"/>
                  <w:hideMark/>
                </w:tcPr>
                <w:p w14:paraId="5ACAE022" w14:textId="77777777" w:rsidR="002A7D25" w:rsidRPr="00D53A2B" w:rsidRDefault="002A7D25" w:rsidP="00A202FD">
                  <w:pPr>
                    <w:jc w:val="both"/>
                    <w:rPr>
                      <w:rFonts w:eastAsia="Calibri"/>
                      <w:sz w:val="22"/>
                      <w:szCs w:val="22"/>
                      <w:lang w:eastAsia="en-US"/>
                    </w:rPr>
                  </w:pPr>
                </w:p>
              </w:tc>
              <w:tc>
                <w:tcPr>
                  <w:tcW w:w="0" w:type="auto"/>
                  <w:vAlign w:val="center"/>
                  <w:hideMark/>
                </w:tcPr>
                <w:p w14:paraId="340554D0" w14:textId="77777777" w:rsidR="002A7D25" w:rsidRPr="00D53A2B" w:rsidRDefault="002A7D25" w:rsidP="00A202FD">
                  <w:pPr>
                    <w:jc w:val="both"/>
                    <w:rPr>
                      <w:rFonts w:eastAsia="Calibri"/>
                      <w:sz w:val="22"/>
                      <w:szCs w:val="22"/>
                      <w:lang w:eastAsia="en-US"/>
                    </w:rPr>
                  </w:pPr>
                </w:p>
              </w:tc>
            </w:tr>
          </w:tbl>
          <w:p w14:paraId="76DFBC84" w14:textId="77777777" w:rsidR="002A7D25" w:rsidRPr="00D53A2B" w:rsidRDefault="002A7D25" w:rsidP="00A202FD">
            <w:pPr>
              <w:jc w:val="both"/>
              <w:rPr>
                <w:rFonts w:eastAsia="Calibri"/>
                <w:sz w:val="22"/>
                <w:szCs w:val="22"/>
                <w:lang w:eastAsia="en-US"/>
              </w:rPr>
            </w:pPr>
          </w:p>
        </w:tc>
        <w:tc>
          <w:tcPr>
            <w:tcW w:w="4618" w:type="dxa"/>
          </w:tcPr>
          <w:p w14:paraId="1B5B91B2" w14:textId="317F4A1C" w:rsidR="002A7D25" w:rsidRPr="00D53A2B" w:rsidRDefault="002A7D25" w:rsidP="00A202FD">
            <w:pPr>
              <w:jc w:val="both"/>
              <w:rPr>
                <w:rFonts w:eastAsia="Calibri"/>
                <w:sz w:val="22"/>
                <w:szCs w:val="22"/>
                <w:lang w:eastAsia="en-US"/>
              </w:rPr>
            </w:pPr>
            <w:r w:rsidRPr="00D53A2B">
              <w:rPr>
                <w:rFonts w:eastAsia="Calibri"/>
                <w:sz w:val="22"/>
                <w:szCs w:val="22"/>
                <w:lang w:eastAsia="en-US"/>
              </w:rPr>
              <w:t>Döküm işlemiyle üretilen, kalıptan dışarı çıkarılan veya ser</w:t>
            </w:r>
            <w:r w:rsidR="00E16700" w:rsidRPr="00D53A2B">
              <w:rPr>
                <w:rFonts w:eastAsia="Calibri"/>
                <w:sz w:val="22"/>
                <w:szCs w:val="22"/>
                <w:lang w:eastAsia="en-US"/>
              </w:rPr>
              <w:t>best bırakılan metal iş parçası</w:t>
            </w:r>
          </w:p>
        </w:tc>
      </w:tr>
      <w:tr w:rsidR="002A7D25" w:rsidRPr="00D53A2B" w14:paraId="789B6A89" w14:textId="77777777" w:rsidTr="008A08CF">
        <w:tc>
          <w:tcPr>
            <w:tcW w:w="430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7"/>
              <w:gridCol w:w="81"/>
            </w:tblGrid>
            <w:tr w:rsidR="002A7D25" w:rsidRPr="00D53A2B" w14:paraId="34E97A8B" w14:textId="77777777" w:rsidTr="00A202FD">
              <w:trPr>
                <w:tblCellSpacing w:w="15" w:type="dxa"/>
              </w:trPr>
              <w:tc>
                <w:tcPr>
                  <w:tcW w:w="0" w:type="auto"/>
                  <w:vAlign w:val="center"/>
                  <w:hideMark/>
                </w:tcPr>
                <w:p w14:paraId="14B19CB7"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Döküm işlemi</w:t>
                  </w:r>
                </w:p>
              </w:tc>
              <w:tc>
                <w:tcPr>
                  <w:tcW w:w="0" w:type="auto"/>
                  <w:vAlign w:val="center"/>
                  <w:hideMark/>
                </w:tcPr>
                <w:p w14:paraId="7CD5E61A" w14:textId="77777777" w:rsidR="002A7D25" w:rsidRPr="00D53A2B" w:rsidRDefault="002A7D25" w:rsidP="00A202FD">
                  <w:pPr>
                    <w:jc w:val="both"/>
                    <w:rPr>
                      <w:rFonts w:eastAsia="Calibri"/>
                      <w:sz w:val="22"/>
                      <w:szCs w:val="22"/>
                      <w:lang w:eastAsia="en-US"/>
                    </w:rPr>
                  </w:pPr>
                </w:p>
              </w:tc>
            </w:tr>
          </w:tbl>
          <w:p w14:paraId="7C0EED26" w14:textId="77777777" w:rsidR="002A7D25" w:rsidRPr="00D53A2B" w:rsidRDefault="002A7D25" w:rsidP="00A202FD">
            <w:pPr>
              <w:jc w:val="both"/>
              <w:rPr>
                <w:rFonts w:eastAsia="Calibri"/>
                <w:sz w:val="22"/>
                <w:szCs w:val="22"/>
                <w:lang w:eastAsia="en-US"/>
              </w:rPr>
            </w:pPr>
          </w:p>
        </w:tc>
        <w:tc>
          <w:tcPr>
            <w:tcW w:w="4618" w:type="dxa"/>
          </w:tcPr>
          <w:p w14:paraId="63ACD605"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Eritilmiş metalin bir kalıbın boşluğuna dökülmesi ve sonrasında katılaşmaya bırakılması.</w:t>
            </w:r>
          </w:p>
        </w:tc>
      </w:tr>
      <w:tr w:rsidR="002A7D25" w:rsidRPr="00D53A2B" w14:paraId="6C4DE4CB" w14:textId="77777777" w:rsidTr="008A08CF">
        <w:tc>
          <w:tcPr>
            <w:tcW w:w="4308" w:type="dxa"/>
          </w:tcPr>
          <w:p w14:paraId="7D52F91C"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Santrifüj döküm</w:t>
            </w:r>
          </w:p>
        </w:tc>
        <w:tc>
          <w:tcPr>
            <w:tcW w:w="4618" w:type="dxa"/>
          </w:tcPr>
          <w:p w14:paraId="732BA460"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Eritilmiş metalin, şekline bağlı olarak dikey veya yatay şekilde ısıtılmış dönen bir kalıba dökülmesi.</w:t>
            </w:r>
          </w:p>
        </w:tc>
      </w:tr>
      <w:tr w:rsidR="002A7D25" w:rsidRPr="00D53A2B" w14:paraId="727C3D37" w14:textId="77777777" w:rsidTr="008A08CF">
        <w:tc>
          <w:tcPr>
            <w:tcW w:w="430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1"/>
            </w:tblGrid>
            <w:tr w:rsidR="002A7D25" w:rsidRPr="00D53A2B" w14:paraId="0F474234" w14:textId="77777777" w:rsidTr="00A202FD">
              <w:trPr>
                <w:tblCellSpacing w:w="15" w:type="dxa"/>
              </w:trPr>
              <w:tc>
                <w:tcPr>
                  <w:tcW w:w="0" w:type="auto"/>
                  <w:vAlign w:val="center"/>
                  <w:hideMark/>
                </w:tcPr>
                <w:p w14:paraId="034F2B92"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Kanallı emisyonlar</w:t>
                  </w:r>
                </w:p>
              </w:tc>
            </w:tr>
          </w:tbl>
          <w:p w14:paraId="3BC38748" w14:textId="77777777" w:rsidR="002A7D25" w:rsidRPr="00D53A2B" w:rsidRDefault="002A7D25" w:rsidP="00A202FD">
            <w:pPr>
              <w:jc w:val="both"/>
              <w:rPr>
                <w:rFonts w:eastAsia="Calibri"/>
                <w:sz w:val="22"/>
                <w:szCs w:val="22"/>
                <w:lang w:eastAsia="en-US"/>
              </w:rPr>
            </w:pPr>
          </w:p>
        </w:tc>
        <w:tc>
          <w:tcPr>
            <w:tcW w:w="4618" w:type="dxa"/>
          </w:tcPr>
          <w:p w14:paraId="57299D16"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Kirleticilerin çevreye boru, kanal, baca vb. aracılığıyla salınması.</w:t>
            </w:r>
          </w:p>
        </w:tc>
      </w:tr>
      <w:tr w:rsidR="002A7D25" w:rsidRPr="00D53A2B" w14:paraId="2601746F" w14:textId="77777777" w:rsidTr="008A08CF">
        <w:tc>
          <w:tcPr>
            <w:tcW w:w="4308" w:type="dxa"/>
          </w:tcPr>
          <w:p w14:paraId="23455A39" w14:textId="77777777" w:rsidR="002A7D25" w:rsidRPr="00D53A2B" w:rsidRDefault="002A7D25" w:rsidP="00A202FD">
            <w:pPr>
              <w:jc w:val="both"/>
              <w:rPr>
                <w:rFonts w:eastAsia="Calibri"/>
                <w:b/>
                <w:bCs/>
                <w:sz w:val="22"/>
                <w:szCs w:val="22"/>
                <w:lang w:eastAsia="en-US"/>
              </w:rPr>
            </w:pPr>
            <w:r w:rsidRPr="00D53A2B">
              <w:rPr>
                <w:rFonts w:eastAsia="Calibri"/>
                <w:b/>
                <w:bCs/>
                <w:sz w:val="22"/>
                <w:szCs w:val="22"/>
                <w:lang w:eastAsia="en-US"/>
              </w:rPr>
              <w:t>Temiz hurda</w:t>
            </w:r>
          </w:p>
        </w:tc>
        <w:tc>
          <w:tcPr>
            <w:tcW w:w="4618" w:type="dxa"/>
          </w:tcPr>
          <w:p w14:paraId="36A2FE45"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Metal dışı safsızlık içermeyen, galvanizli, boyalı parçalardan, yağdan, patlayıcı maddelerden arındırılmış hurda.</w:t>
            </w:r>
          </w:p>
        </w:tc>
      </w:tr>
      <w:tr w:rsidR="002A7D25" w:rsidRPr="00D53A2B" w14:paraId="2D7B7771" w14:textId="77777777" w:rsidTr="008A08CF">
        <w:tc>
          <w:tcPr>
            <w:tcW w:w="4308" w:type="dxa"/>
          </w:tcPr>
          <w:p w14:paraId="20DC9839" w14:textId="77777777" w:rsidR="002A7D25" w:rsidRPr="00D53A2B" w:rsidRDefault="002A7D25" w:rsidP="00A202FD">
            <w:pPr>
              <w:jc w:val="both"/>
              <w:rPr>
                <w:rFonts w:eastAsia="Calibri"/>
                <w:b/>
                <w:bCs/>
                <w:sz w:val="22"/>
                <w:szCs w:val="22"/>
                <w:lang w:eastAsia="en-US"/>
              </w:rPr>
            </w:pPr>
            <w:r w:rsidRPr="00D53A2B">
              <w:rPr>
                <w:rFonts w:eastAsia="Calibri"/>
                <w:b/>
                <w:bCs/>
                <w:sz w:val="22"/>
                <w:szCs w:val="22"/>
                <w:lang w:eastAsia="en-US"/>
              </w:rPr>
              <w:t>Soğuk kürleme süreçleri</w:t>
            </w:r>
          </w:p>
        </w:tc>
        <w:tc>
          <w:tcPr>
            <w:tcW w:w="4618" w:type="dxa"/>
          </w:tcPr>
          <w:p w14:paraId="49C88AA3"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Kum bağlayıcılarının ortam sıcaklığında sertleştiği kalıp ve çekirdek kürleme işlemleri.</w:t>
            </w:r>
          </w:p>
        </w:tc>
      </w:tr>
      <w:tr w:rsidR="002A7D25" w:rsidRPr="00D53A2B" w14:paraId="5B6F5FE1" w14:textId="77777777" w:rsidTr="008A08CF">
        <w:tc>
          <w:tcPr>
            <w:tcW w:w="4308" w:type="dxa"/>
          </w:tcPr>
          <w:p w14:paraId="74A1F6ED" w14:textId="77777777" w:rsidR="002A7D25" w:rsidRPr="00D53A2B" w:rsidRDefault="002A7D25" w:rsidP="00A202FD">
            <w:pPr>
              <w:jc w:val="both"/>
              <w:rPr>
                <w:rFonts w:eastAsia="Calibri"/>
                <w:b/>
                <w:bCs/>
                <w:sz w:val="22"/>
                <w:szCs w:val="22"/>
                <w:lang w:eastAsia="en-US"/>
              </w:rPr>
            </w:pPr>
            <w:r w:rsidRPr="00D53A2B">
              <w:rPr>
                <w:rFonts w:eastAsia="Calibri"/>
                <w:b/>
                <w:bCs/>
                <w:sz w:val="22"/>
                <w:szCs w:val="22"/>
                <w:lang w:eastAsia="en-US"/>
              </w:rPr>
              <w:t>Sürekli döküm</w:t>
            </w:r>
          </w:p>
        </w:tc>
        <w:tc>
          <w:tcPr>
            <w:tcW w:w="4618" w:type="dxa"/>
          </w:tcPr>
          <w:p w14:paraId="048AC9E1"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Eritilmiş metalin, suyla soğutulmuş bir kalıba dökülmesi, dış kısmın katılaşırken yavaşça kalıptan çekilmesi.</w:t>
            </w:r>
          </w:p>
        </w:tc>
      </w:tr>
      <w:tr w:rsidR="002A7D25" w:rsidRPr="00D53A2B" w14:paraId="715E1878" w14:textId="77777777" w:rsidTr="008A08CF">
        <w:tc>
          <w:tcPr>
            <w:tcW w:w="4308" w:type="dxa"/>
          </w:tcPr>
          <w:p w14:paraId="5ABE1BD8" w14:textId="77777777" w:rsidR="002A7D25" w:rsidRPr="00D53A2B" w:rsidRDefault="002A7D25" w:rsidP="00A202FD">
            <w:pPr>
              <w:jc w:val="both"/>
              <w:rPr>
                <w:rFonts w:eastAsia="Calibri"/>
                <w:b/>
                <w:bCs/>
                <w:sz w:val="22"/>
                <w:szCs w:val="22"/>
                <w:lang w:eastAsia="en-US"/>
              </w:rPr>
            </w:pPr>
            <w:r w:rsidRPr="00D53A2B">
              <w:rPr>
                <w:rFonts w:eastAsia="Calibri"/>
                <w:b/>
                <w:bCs/>
                <w:sz w:val="22"/>
                <w:szCs w:val="22"/>
                <w:lang w:eastAsia="en-US"/>
              </w:rPr>
              <w:t>Sürekli ölçüm</w:t>
            </w:r>
          </w:p>
        </w:tc>
        <w:tc>
          <w:tcPr>
            <w:tcW w:w="4618" w:type="dxa"/>
          </w:tcPr>
          <w:p w14:paraId="4A3F16E4"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Yerinde sürekli olarak kurulu bir otomatik ölçüm sistemi ile yapılan ölçüm.</w:t>
            </w:r>
          </w:p>
        </w:tc>
      </w:tr>
      <w:tr w:rsidR="002A7D25" w:rsidRPr="00D53A2B" w14:paraId="75CBEBD0" w14:textId="77777777" w:rsidTr="008A08CF">
        <w:tc>
          <w:tcPr>
            <w:tcW w:w="4308" w:type="dxa"/>
          </w:tcPr>
          <w:p w14:paraId="41DDA629" w14:textId="77777777" w:rsidR="002A7D25" w:rsidRPr="00D53A2B" w:rsidRDefault="002A7D25" w:rsidP="00A202FD">
            <w:pPr>
              <w:jc w:val="both"/>
              <w:rPr>
                <w:rFonts w:eastAsia="Calibri"/>
                <w:b/>
                <w:bCs/>
                <w:sz w:val="22"/>
                <w:szCs w:val="22"/>
                <w:lang w:eastAsia="en-US"/>
              </w:rPr>
            </w:pPr>
            <w:r w:rsidRPr="00D53A2B">
              <w:rPr>
                <w:rFonts w:eastAsia="Calibri"/>
                <w:b/>
                <w:bCs/>
                <w:sz w:val="22"/>
                <w:szCs w:val="22"/>
                <w:lang w:eastAsia="en-US"/>
              </w:rPr>
              <w:t>Çekirdek yapımı</w:t>
            </w:r>
          </w:p>
        </w:tc>
        <w:tc>
          <w:tcPr>
            <w:tcW w:w="4618" w:type="dxa"/>
          </w:tcPr>
          <w:p w14:paraId="6F3C4264"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Döküm kalıbının içine, dökümden önce iç boşlukları veya dış şekli sağlamak için takılan çekirdeklerin üretimi.</w:t>
            </w:r>
          </w:p>
        </w:tc>
      </w:tr>
      <w:tr w:rsidR="002A7D25" w:rsidRPr="00D53A2B" w14:paraId="363D5F22" w14:textId="77777777" w:rsidTr="008A08CF">
        <w:tc>
          <w:tcPr>
            <w:tcW w:w="4308" w:type="dxa"/>
          </w:tcPr>
          <w:p w14:paraId="2B228393" w14:textId="77777777" w:rsidR="002A7D25" w:rsidRPr="00D53A2B" w:rsidRDefault="002A7D25" w:rsidP="00A202FD">
            <w:pPr>
              <w:jc w:val="both"/>
              <w:rPr>
                <w:rFonts w:eastAsia="Calibri"/>
                <w:b/>
                <w:bCs/>
                <w:sz w:val="22"/>
                <w:szCs w:val="22"/>
                <w:lang w:eastAsia="en-US"/>
              </w:rPr>
            </w:pPr>
            <w:r w:rsidRPr="00D53A2B">
              <w:rPr>
                <w:rFonts w:eastAsia="Calibri"/>
                <w:b/>
                <w:bCs/>
                <w:sz w:val="22"/>
                <w:szCs w:val="22"/>
                <w:lang w:eastAsia="en-US"/>
              </w:rPr>
              <w:t>Dağılmış emisyonlar</w:t>
            </w:r>
          </w:p>
        </w:tc>
        <w:tc>
          <w:tcPr>
            <w:tcW w:w="4618" w:type="dxa"/>
          </w:tcPr>
          <w:p w14:paraId="661E5F5D"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Hava yoluyla kanal dışında gerçekleşen emisyonlar. Dağılmış emisyonlar, kaçak ve kaçak olmayan emisyonları içerir.</w:t>
            </w:r>
          </w:p>
        </w:tc>
      </w:tr>
      <w:tr w:rsidR="002A7D25" w:rsidRPr="00D53A2B" w14:paraId="1FBE1CD0" w14:textId="77777777" w:rsidTr="008A08CF">
        <w:tc>
          <w:tcPr>
            <w:tcW w:w="4308" w:type="dxa"/>
          </w:tcPr>
          <w:p w14:paraId="6B7767DA"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Doğrudan deşarj</w:t>
            </w:r>
          </w:p>
        </w:tc>
        <w:tc>
          <w:tcPr>
            <w:tcW w:w="4618" w:type="dxa"/>
            <w:vAlign w:val="center"/>
          </w:tcPr>
          <w:p w14:paraId="5ED8017E"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Alıcı su ortamına herhangi bir ileri arıtma yapılmadan yapılan deşarj.</w:t>
            </w:r>
          </w:p>
        </w:tc>
      </w:tr>
      <w:tr w:rsidR="002A7D25" w:rsidRPr="00D53A2B" w14:paraId="5636EA05" w14:textId="77777777" w:rsidTr="008A08CF">
        <w:tc>
          <w:tcPr>
            <w:tcW w:w="4308" w:type="dxa"/>
            <w:vAlign w:val="center"/>
          </w:tcPr>
          <w:p w14:paraId="5B640977"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Demir Cürufu</w:t>
            </w:r>
          </w:p>
        </w:tc>
        <w:tc>
          <w:tcPr>
            <w:tcW w:w="4618" w:type="dxa"/>
            <w:vAlign w:val="center"/>
          </w:tcPr>
          <w:p w14:paraId="27CBF306"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Metalin yüzeyinde oluşan, genellikle oksidasyonla meydana gelen katı maddeler.</w:t>
            </w:r>
          </w:p>
        </w:tc>
      </w:tr>
      <w:tr w:rsidR="002A7D25" w:rsidRPr="00D53A2B" w14:paraId="734394DB" w14:textId="77777777" w:rsidTr="008A08CF">
        <w:tc>
          <w:tcPr>
            <w:tcW w:w="430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0"/>
              <w:gridCol w:w="81"/>
            </w:tblGrid>
            <w:tr w:rsidR="002A7D25" w:rsidRPr="00D53A2B" w14:paraId="1F92F6B0" w14:textId="77777777" w:rsidTr="00A202FD">
              <w:trPr>
                <w:tblCellSpacing w:w="15" w:type="dxa"/>
              </w:trPr>
              <w:tc>
                <w:tcPr>
                  <w:tcW w:w="0" w:type="auto"/>
                  <w:vAlign w:val="center"/>
                  <w:hideMark/>
                </w:tcPr>
                <w:p w14:paraId="76D834E0"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Ham madde</w:t>
                  </w:r>
                </w:p>
              </w:tc>
              <w:tc>
                <w:tcPr>
                  <w:tcW w:w="0" w:type="auto"/>
                  <w:vAlign w:val="center"/>
                  <w:hideMark/>
                </w:tcPr>
                <w:p w14:paraId="5F717B45" w14:textId="77777777" w:rsidR="002A7D25" w:rsidRPr="00D53A2B" w:rsidRDefault="002A7D25" w:rsidP="00A202FD">
                  <w:pPr>
                    <w:jc w:val="both"/>
                    <w:rPr>
                      <w:rFonts w:eastAsia="Calibri"/>
                      <w:sz w:val="22"/>
                      <w:szCs w:val="22"/>
                      <w:lang w:eastAsia="en-US"/>
                    </w:rPr>
                  </w:pPr>
                </w:p>
              </w:tc>
            </w:tr>
          </w:tbl>
          <w:p w14:paraId="640E71A3" w14:textId="77777777" w:rsidR="002A7D25" w:rsidRPr="00D53A2B" w:rsidRDefault="002A7D25" w:rsidP="00A202FD">
            <w:pPr>
              <w:jc w:val="both"/>
              <w:rPr>
                <w:rFonts w:eastAsia="Calibri"/>
                <w:sz w:val="22"/>
                <w:szCs w:val="22"/>
                <w:lang w:eastAsia="en-US"/>
              </w:rPr>
            </w:pPr>
          </w:p>
        </w:tc>
        <w:tc>
          <w:tcPr>
            <w:tcW w:w="461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321"/>
            </w:tblGrid>
            <w:tr w:rsidR="002A7D25" w:rsidRPr="00D53A2B" w14:paraId="0F533348" w14:textId="77777777" w:rsidTr="00A202FD">
              <w:trPr>
                <w:tblCellSpacing w:w="15" w:type="dxa"/>
              </w:trPr>
              <w:tc>
                <w:tcPr>
                  <w:tcW w:w="0" w:type="auto"/>
                  <w:vAlign w:val="center"/>
                  <w:hideMark/>
                </w:tcPr>
                <w:p w14:paraId="192A60CB" w14:textId="77777777" w:rsidR="002A7D25" w:rsidRPr="00D53A2B" w:rsidRDefault="002A7D25" w:rsidP="00A202FD">
                  <w:pPr>
                    <w:jc w:val="both"/>
                    <w:rPr>
                      <w:rFonts w:eastAsia="Calibri"/>
                      <w:sz w:val="22"/>
                      <w:szCs w:val="22"/>
                      <w:lang w:eastAsia="en-US"/>
                    </w:rPr>
                  </w:pPr>
                </w:p>
              </w:tc>
              <w:tc>
                <w:tcPr>
                  <w:tcW w:w="0" w:type="auto"/>
                  <w:vAlign w:val="center"/>
                  <w:hideMark/>
                </w:tcPr>
                <w:p w14:paraId="09D018C7"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Demir dışı veya demirli metalin döküm veya işleme tesislerinde kullanılan her türlü metal girdi.</w:t>
                  </w:r>
                </w:p>
              </w:tc>
            </w:tr>
          </w:tbl>
          <w:p w14:paraId="05E31259" w14:textId="77777777" w:rsidR="002A7D25" w:rsidRPr="00D53A2B" w:rsidRDefault="002A7D25" w:rsidP="00A202FD">
            <w:pPr>
              <w:jc w:val="both"/>
              <w:rPr>
                <w:rFonts w:eastAsia="Calibri"/>
                <w:sz w:val="22"/>
                <w:szCs w:val="22"/>
                <w:lang w:eastAsia="en-US"/>
              </w:rPr>
            </w:pPr>
          </w:p>
        </w:tc>
      </w:tr>
      <w:tr w:rsidR="002A7D25" w:rsidRPr="00D53A2B" w14:paraId="17C2397D" w14:textId="77777777" w:rsidTr="008A08CF">
        <w:tc>
          <w:tcPr>
            <w:tcW w:w="4308" w:type="dxa"/>
          </w:tcPr>
          <w:p w14:paraId="02B27C11"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Yüzey işleme</w:t>
            </w:r>
          </w:p>
        </w:tc>
        <w:tc>
          <w:tcPr>
            <w:tcW w:w="4618" w:type="dxa"/>
          </w:tcPr>
          <w:p w14:paraId="144E37E0"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Döküm sonrası yapılan işlemler; örneğin, fazlalıkların temizlenmesi, kesme, taşlama, kumlama ve kaynak yapma işlemleri.</w:t>
            </w:r>
          </w:p>
        </w:tc>
      </w:tr>
      <w:tr w:rsidR="002A7D25" w:rsidRPr="00D53A2B" w14:paraId="0DA3260F" w14:textId="77777777" w:rsidTr="008A08CF">
        <w:tc>
          <w:tcPr>
            <w:tcW w:w="4308" w:type="dxa"/>
            <w:vAlign w:val="center"/>
          </w:tcPr>
          <w:p w14:paraId="112421DE"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Fırın gazları</w:t>
            </w:r>
          </w:p>
        </w:tc>
        <w:tc>
          <w:tcPr>
            <w:tcW w:w="4618" w:type="dxa"/>
            <w:vAlign w:val="center"/>
          </w:tcPr>
          <w:p w14:paraId="3233F0A1"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Yanma ünitesinden çıkan egzoz gazları.</w:t>
            </w:r>
          </w:p>
        </w:tc>
      </w:tr>
      <w:tr w:rsidR="002A7D25" w:rsidRPr="00D53A2B" w14:paraId="2AACD3AF" w14:textId="77777777" w:rsidTr="008A08CF">
        <w:trPr>
          <w:trHeight w:val="871"/>
        </w:trPr>
        <w:tc>
          <w:tcPr>
            <w:tcW w:w="4308" w:type="dxa"/>
            <w:vAlign w:val="center"/>
          </w:tcPr>
          <w:p w14:paraId="46F7D18F"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Şekillendirme</w:t>
            </w:r>
          </w:p>
        </w:tc>
        <w:tc>
          <w:tcPr>
            <w:tcW w:w="4618" w:type="dxa"/>
            <w:vAlign w:val="center"/>
          </w:tcPr>
          <w:p w14:paraId="2C2F3910"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Metalin, ısıtma ve çekiçlerle şekillendirilmesi işlemi (örneğin, pnömatik, buharlı, mekanik, elektrikli, hidrolik).</w:t>
            </w:r>
          </w:p>
        </w:tc>
      </w:tr>
      <w:tr w:rsidR="002A7D25" w:rsidRPr="00D53A2B" w14:paraId="192BA1A6" w14:textId="77777777" w:rsidTr="008A08CF">
        <w:tc>
          <w:tcPr>
            <w:tcW w:w="4308" w:type="dxa"/>
            <w:vAlign w:val="center"/>
          </w:tcPr>
          <w:p w14:paraId="4341B53E"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Tam kalıp işlemi</w:t>
            </w:r>
          </w:p>
        </w:tc>
        <w:tc>
          <w:tcPr>
            <w:tcW w:w="4618" w:type="dxa"/>
            <w:vAlign w:val="center"/>
          </w:tcPr>
          <w:p w14:paraId="4AD2EF1A"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Genellikle büyük dökümler için kullanılan, genişletilmiş polimerler (örneğin, genişletilmiş polistiren) ile yapılan kalıplama işlemi.</w:t>
            </w:r>
          </w:p>
        </w:tc>
      </w:tr>
      <w:tr w:rsidR="002A7D25" w:rsidRPr="00D53A2B" w14:paraId="00975899" w14:textId="77777777" w:rsidTr="008A08CF">
        <w:tc>
          <w:tcPr>
            <w:tcW w:w="4308" w:type="dxa"/>
            <w:vAlign w:val="center"/>
          </w:tcPr>
          <w:p w14:paraId="39E511AE"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lastRenderedPageBreak/>
              <w:t>Gazla sertleştirme süreçleri</w:t>
            </w:r>
          </w:p>
        </w:tc>
        <w:tc>
          <w:tcPr>
            <w:tcW w:w="4618" w:type="dxa"/>
            <w:vAlign w:val="center"/>
          </w:tcPr>
          <w:p w14:paraId="23E418C7"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Çekirdek kutusuna gaz formunda bir katalizör veya sertleştirici enjekte edilerek yapılan kürleme işlemi.</w:t>
            </w:r>
          </w:p>
        </w:tc>
      </w:tr>
      <w:tr w:rsidR="002A7D25" w:rsidRPr="00D53A2B" w14:paraId="437A8C81" w14:textId="77777777" w:rsidTr="008A08CF">
        <w:tc>
          <w:tcPr>
            <w:tcW w:w="4308" w:type="dxa"/>
            <w:vAlign w:val="center"/>
          </w:tcPr>
          <w:p w14:paraId="492E91F0"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Yerçekimi döküm</w:t>
            </w:r>
          </w:p>
        </w:tc>
        <w:tc>
          <w:tcPr>
            <w:tcW w:w="4618" w:type="dxa"/>
            <w:vAlign w:val="center"/>
          </w:tcPr>
          <w:p w14:paraId="1AA19269"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Eritilmiş metalin bir kapta yerçekimiyle kalıba dökülmesi ve ardından katılaşması.</w:t>
            </w:r>
          </w:p>
        </w:tc>
      </w:tr>
      <w:tr w:rsidR="002A7D25" w:rsidRPr="00D53A2B" w14:paraId="47C1C6CD" w14:textId="77777777" w:rsidTr="008A08CF">
        <w:tc>
          <w:tcPr>
            <w:tcW w:w="4308" w:type="dxa"/>
            <w:vAlign w:val="center"/>
          </w:tcPr>
          <w:p w14:paraId="4F6CF9D8"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Yeşil kum</w:t>
            </w:r>
          </w:p>
        </w:tc>
        <w:tc>
          <w:tcPr>
            <w:tcW w:w="4618" w:type="dxa"/>
            <w:vAlign w:val="center"/>
          </w:tcPr>
          <w:p w14:paraId="22B9AA2A"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Kum, kil ve katkı maddelerinden (örneğin, kömür tozu, tahıl bağlayıcıları) oluşan kalıp yapım karışımı.</w:t>
            </w:r>
          </w:p>
        </w:tc>
      </w:tr>
      <w:tr w:rsidR="002A7D25" w:rsidRPr="00D53A2B" w14:paraId="042D0787" w14:textId="77777777" w:rsidTr="008A08CF">
        <w:tc>
          <w:tcPr>
            <w:tcW w:w="4308" w:type="dxa"/>
            <w:vAlign w:val="center"/>
          </w:tcPr>
          <w:p w14:paraId="587830D0"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Isıl işlem</w:t>
            </w:r>
          </w:p>
        </w:tc>
        <w:tc>
          <w:tcPr>
            <w:tcW w:w="4618" w:type="dxa"/>
            <w:vAlign w:val="center"/>
          </w:tcPr>
          <w:p w14:paraId="15F57242"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Döküm işlemi veya işleme sırasında metallerin fiziksel özelliklerini iyileştirmek amacıyla eritilmeden alt sıcaklıklarda ısıtma işlemi.</w:t>
            </w:r>
          </w:p>
        </w:tc>
      </w:tr>
      <w:tr w:rsidR="002A7D25" w:rsidRPr="00D53A2B" w14:paraId="41F2434A" w14:textId="77777777" w:rsidTr="008A08CF">
        <w:tc>
          <w:tcPr>
            <w:tcW w:w="4308" w:type="dxa"/>
            <w:vAlign w:val="center"/>
          </w:tcPr>
          <w:p w14:paraId="4E866656"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Yüksek basınç döküm</w:t>
            </w:r>
          </w:p>
        </w:tc>
        <w:tc>
          <w:tcPr>
            <w:tcW w:w="4618" w:type="dxa"/>
            <w:vAlign w:val="center"/>
          </w:tcPr>
          <w:p w14:paraId="1510D619"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Eritilmiş metalin, basınç altında bir kalıba zorla enjekte edilmesi ve metalin katılaşana kadar bu basınç altında tutulması işlemi.</w:t>
            </w:r>
          </w:p>
        </w:tc>
      </w:tr>
      <w:tr w:rsidR="002A7D25" w:rsidRPr="00D53A2B" w14:paraId="483B3916" w14:textId="77777777" w:rsidTr="008A08CF">
        <w:tc>
          <w:tcPr>
            <w:tcW w:w="4308" w:type="dxa"/>
            <w:vAlign w:val="center"/>
          </w:tcPr>
          <w:p w14:paraId="060C4F4B"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Sıcak kürleme süreçleri</w:t>
            </w:r>
          </w:p>
        </w:tc>
        <w:tc>
          <w:tcPr>
            <w:tcW w:w="4618" w:type="dxa"/>
            <w:vAlign w:val="center"/>
          </w:tcPr>
          <w:p w14:paraId="214AA8D2"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Kalıp ve çekirdeklerin, metal veya ahşap yapılmış kalıp kutusunda ısıtılarak bağlayıcı maddelerle sertleşmesi.</w:t>
            </w:r>
          </w:p>
        </w:tc>
      </w:tr>
      <w:tr w:rsidR="002A7D25" w:rsidRPr="00D53A2B" w14:paraId="447C9CD3" w14:textId="77777777" w:rsidTr="008A08CF">
        <w:tc>
          <w:tcPr>
            <w:tcW w:w="4308" w:type="dxa"/>
            <w:vAlign w:val="center"/>
          </w:tcPr>
          <w:p w14:paraId="2309CEB2"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Dolaylı deşarj</w:t>
            </w:r>
          </w:p>
        </w:tc>
        <w:tc>
          <w:tcPr>
            <w:tcW w:w="4618" w:type="dxa"/>
            <w:vAlign w:val="center"/>
          </w:tcPr>
          <w:p w14:paraId="4A4B4400"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Doğrudan deşarj olmayan bir deşarj işlemi.</w:t>
            </w:r>
          </w:p>
        </w:tc>
      </w:tr>
      <w:tr w:rsidR="002A7D25" w:rsidRPr="00D53A2B" w14:paraId="0B3FA16E" w14:textId="77777777" w:rsidTr="008A08CF">
        <w:tc>
          <w:tcPr>
            <w:tcW w:w="4308" w:type="dxa"/>
            <w:vAlign w:val="center"/>
          </w:tcPr>
          <w:p w14:paraId="7B9928E9"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İç hurda</w:t>
            </w:r>
          </w:p>
        </w:tc>
        <w:tc>
          <w:tcPr>
            <w:tcW w:w="4618" w:type="dxa"/>
            <w:vAlign w:val="center"/>
          </w:tcPr>
          <w:p w14:paraId="3DC35FD1"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Tesiste içerde üretilen, örneğin kapaklar, çıkış borusu, hatalı dökümler ve diğer metal parçalar.</w:t>
            </w:r>
          </w:p>
        </w:tc>
      </w:tr>
      <w:tr w:rsidR="002A7D25" w:rsidRPr="00D53A2B" w14:paraId="3F710156" w14:textId="77777777" w:rsidTr="008A08CF">
        <w:tc>
          <w:tcPr>
            <w:tcW w:w="4308" w:type="dxa"/>
            <w:vAlign w:val="center"/>
          </w:tcPr>
          <w:p w14:paraId="2320BDE6"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Döküm Kasesi Ön Isıtma</w:t>
            </w:r>
          </w:p>
        </w:tc>
        <w:tc>
          <w:tcPr>
            <w:tcW w:w="4618" w:type="dxa"/>
            <w:vAlign w:val="center"/>
          </w:tcPr>
          <w:p w14:paraId="3A21D83A"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Eritilmiş metali döküm işlemine taşımak için kullanılan ızgaraların, hazırlık sonrası kurutulması, termal şokun minimize edilmesi ve refrakter aşınmanın önlenmesi amacıyla kontrollü sıcaklıkta ısıtılması.</w:t>
            </w:r>
          </w:p>
        </w:tc>
      </w:tr>
      <w:tr w:rsidR="002A7D25" w:rsidRPr="00D53A2B" w14:paraId="6A70BDE4" w14:textId="77777777" w:rsidTr="008A08CF">
        <w:tc>
          <w:tcPr>
            <w:tcW w:w="4308" w:type="dxa"/>
            <w:vAlign w:val="center"/>
          </w:tcPr>
          <w:p w14:paraId="6D4D1908"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Sıvı Metal Çıkışı</w:t>
            </w:r>
          </w:p>
        </w:tc>
        <w:tc>
          <w:tcPr>
            <w:tcW w:w="4618" w:type="dxa"/>
            <w:vAlign w:val="center"/>
          </w:tcPr>
          <w:p w14:paraId="41C62B1D"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Eritme fırınlarında üretilen sıvı metal miktarı.</w:t>
            </w:r>
          </w:p>
        </w:tc>
      </w:tr>
      <w:tr w:rsidR="002A7D25" w:rsidRPr="00D53A2B" w14:paraId="4692DDC2" w14:textId="77777777" w:rsidTr="008A08CF">
        <w:tc>
          <w:tcPr>
            <w:tcW w:w="4308" w:type="dxa"/>
            <w:vAlign w:val="center"/>
          </w:tcPr>
          <w:p w14:paraId="0231C32D"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Kayıp Köpük Dökümü</w:t>
            </w:r>
          </w:p>
        </w:tc>
        <w:tc>
          <w:tcPr>
            <w:tcW w:w="4618" w:type="dxa"/>
            <w:vAlign w:val="center"/>
          </w:tcPr>
          <w:p w14:paraId="4A1945AD"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Genleştirilmiş polimerlerden (örneğin genleştirilmiş polistiren) yapılmış döküm parçalarının, otomatik kalıplama makineleri ile üretilmesi ve kümeler halinde birleştirilmesi işlemi.</w:t>
            </w:r>
          </w:p>
        </w:tc>
      </w:tr>
      <w:tr w:rsidR="002A7D25" w:rsidRPr="00D53A2B" w14:paraId="3F334EE5" w14:textId="77777777" w:rsidTr="008A08CF">
        <w:tc>
          <w:tcPr>
            <w:tcW w:w="4308" w:type="dxa"/>
            <w:vAlign w:val="center"/>
          </w:tcPr>
          <w:p w14:paraId="0B523924"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Düşük Basınçlı Döküm</w:t>
            </w:r>
          </w:p>
        </w:tc>
        <w:tc>
          <w:tcPr>
            <w:tcW w:w="4618" w:type="dxa"/>
            <w:vAlign w:val="center"/>
          </w:tcPr>
          <w:p w14:paraId="6C66CF80"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Sıkıca kapalı bir fırından metalin, çıkış borusu tüpü aracılığıyla metal bir kalıba iletilmesi ve düşük gaz basıncı altında yukarı doğru itilen sıvı metalin katılaşması sonrası basıncın serbest bırakılması işlemi.</w:t>
            </w:r>
          </w:p>
        </w:tc>
      </w:tr>
      <w:tr w:rsidR="002A7D25" w:rsidRPr="00D53A2B" w14:paraId="720C2138" w14:textId="77777777" w:rsidTr="008A08CF">
        <w:tc>
          <w:tcPr>
            <w:tcW w:w="4308" w:type="dxa"/>
            <w:vAlign w:val="center"/>
          </w:tcPr>
          <w:p w14:paraId="2E668886"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Büyük Tesis Yükseltmesi</w:t>
            </w:r>
          </w:p>
        </w:tc>
        <w:tc>
          <w:tcPr>
            <w:tcW w:w="4618" w:type="dxa"/>
            <w:vAlign w:val="center"/>
          </w:tcPr>
          <w:p w14:paraId="2E9054A6"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Bir tesisin tasarımında veya teknolojisinde yapılan büyük değişiklikler, süreç veya arıtma tekniklerinin önemli ölçüde ayarlanması veya değiştirilmesi.</w:t>
            </w:r>
          </w:p>
        </w:tc>
      </w:tr>
      <w:tr w:rsidR="002A7D25" w:rsidRPr="00D53A2B" w14:paraId="1C656C0F" w14:textId="77777777" w:rsidTr="008A08CF">
        <w:tc>
          <w:tcPr>
            <w:tcW w:w="4308" w:type="dxa"/>
            <w:vAlign w:val="center"/>
          </w:tcPr>
          <w:p w14:paraId="56635508"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Kütle Akışı</w:t>
            </w:r>
          </w:p>
        </w:tc>
        <w:tc>
          <w:tcPr>
            <w:tcW w:w="4618" w:type="dxa"/>
            <w:vAlign w:val="center"/>
          </w:tcPr>
          <w:p w14:paraId="3BC1FF21"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Belirli bir zaman diliminde yayılan belirli bir madde veya parametrenin kütlesi.</w:t>
            </w:r>
          </w:p>
        </w:tc>
      </w:tr>
      <w:tr w:rsidR="002A7D25" w:rsidRPr="00D53A2B" w14:paraId="71726E3C" w14:textId="77777777" w:rsidTr="008A08CF">
        <w:tc>
          <w:tcPr>
            <w:tcW w:w="4308" w:type="dxa"/>
            <w:vAlign w:val="center"/>
          </w:tcPr>
          <w:p w14:paraId="79EF3178"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Metal Eritme</w:t>
            </w:r>
          </w:p>
        </w:tc>
        <w:tc>
          <w:tcPr>
            <w:tcW w:w="4618" w:type="dxa"/>
            <w:vAlign w:val="center"/>
          </w:tcPr>
          <w:p w14:paraId="6849C75F"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Fırınlarda demir içerikli veya demir içermeyen metalin eritilmesi. Bu işlem, örneğin yerinde üretilen atıkların eritilmesini ve sıvı metalin tutma fırınlarında ısısını koruma işlemini içerir.</w:t>
            </w:r>
          </w:p>
        </w:tc>
      </w:tr>
      <w:tr w:rsidR="002A7D25" w:rsidRPr="00D53A2B" w14:paraId="15F114FA" w14:textId="77777777" w:rsidTr="008A08CF">
        <w:tc>
          <w:tcPr>
            <w:tcW w:w="4308" w:type="dxa"/>
            <w:vAlign w:val="center"/>
          </w:tcPr>
          <w:p w14:paraId="4DFBF51F"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Kalıp Yapma</w:t>
            </w:r>
          </w:p>
        </w:tc>
        <w:tc>
          <w:tcPr>
            <w:tcW w:w="4618" w:type="dxa"/>
            <w:vAlign w:val="center"/>
          </w:tcPr>
          <w:p w14:paraId="55F793E1"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Sıvı metalin döküleceği kalıbın yapılması. Ayrıca, kalıp desenlerinin yapılmasını da içerir.</w:t>
            </w:r>
          </w:p>
        </w:tc>
      </w:tr>
      <w:tr w:rsidR="002A7D25" w:rsidRPr="00D53A2B" w14:paraId="3A0C7357" w14:textId="77777777" w:rsidTr="008A08CF">
        <w:tc>
          <w:tcPr>
            <w:tcW w:w="4308" w:type="dxa"/>
            <w:vAlign w:val="center"/>
          </w:tcPr>
          <w:p w14:paraId="5CBE866C"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Doğal Kum</w:t>
            </w:r>
          </w:p>
        </w:tc>
        <w:tc>
          <w:tcPr>
            <w:tcW w:w="4618" w:type="dxa"/>
            <w:vAlign w:val="center"/>
          </w:tcPr>
          <w:p w14:paraId="1437C1A4"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Silika kumu (örneğin %85) ve kil (örneğin %15) ve su karışımından oluşan karışım. Genellikle karışıma başka katkı maddeleri eklenmez.</w:t>
            </w:r>
          </w:p>
        </w:tc>
      </w:tr>
      <w:tr w:rsidR="002A7D25" w:rsidRPr="00D53A2B" w14:paraId="20234D20" w14:textId="77777777" w:rsidTr="008A08CF">
        <w:tc>
          <w:tcPr>
            <w:tcW w:w="4308" w:type="dxa"/>
            <w:vAlign w:val="center"/>
          </w:tcPr>
          <w:p w14:paraId="219F3F68"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Nodüler Demir</w:t>
            </w:r>
          </w:p>
        </w:tc>
        <w:tc>
          <w:tcPr>
            <w:tcW w:w="4618" w:type="dxa"/>
            <w:vAlign w:val="center"/>
          </w:tcPr>
          <w:p w14:paraId="75502EE0"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Nodüler / küresel şekillerde karbon içeren dökme demir, genellikle duktil demir olarak bilinir.</w:t>
            </w:r>
          </w:p>
        </w:tc>
      </w:tr>
      <w:tr w:rsidR="002A7D25" w:rsidRPr="00D53A2B" w14:paraId="581ADA63" w14:textId="77777777" w:rsidTr="008A08CF">
        <w:tc>
          <w:tcPr>
            <w:tcW w:w="4308" w:type="dxa"/>
            <w:vAlign w:val="center"/>
          </w:tcPr>
          <w:p w14:paraId="055280F2"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lastRenderedPageBreak/>
              <w:t>Nodülerleştirme</w:t>
            </w:r>
          </w:p>
        </w:tc>
        <w:tc>
          <w:tcPr>
            <w:tcW w:w="4618" w:type="dxa"/>
            <w:vAlign w:val="center"/>
          </w:tcPr>
          <w:p w14:paraId="49297FDB"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Sıvı dökme demirinin, karbon parçacıklarını nodüler / küresel şekle dönüştürmek için magnezyum veya nadir toprak elementleri ile işlenmesi.</w:t>
            </w:r>
          </w:p>
        </w:tc>
      </w:tr>
      <w:tr w:rsidR="002A7D25" w:rsidRPr="00D53A2B" w14:paraId="75B71408" w14:textId="77777777" w:rsidTr="008A08CF">
        <w:tc>
          <w:tcPr>
            <w:tcW w:w="4308" w:type="dxa"/>
            <w:vAlign w:val="center"/>
          </w:tcPr>
          <w:p w14:paraId="1938DC09"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Periyodik Ölçüm</w:t>
            </w:r>
          </w:p>
        </w:tc>
        <w:tc>
          <w:tcPr>
            <w:tcW w:w="4618" w:type="dxa"/>
            <w:vAlign w:val="center"/>
          </w:tcPr>
          <w:p w14:paraId="355E1778"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Belirli zaman aralıklarında, manuel veya otomatik yöntemlerle yapılan ölçümler.</w:t>
            </w:r>
          </w:p>
        </w:tc>
      </w:tr>
      <w:tr w:rsidR="002A7D25" w:rsidRPr="00D53A2B" w14:paraId="7E1D08C9" w14:textId="77777777" w:rsidTr="008A08CF">
        <w:tc>
          <w:tcPr>
            <w:tcW w:w="4308" w:type="dxa"/>
            <w:vAlign w:val="center"/>
          </w:tcPr>
          <w:p w14:paraId="0B887504"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Isıtma/Yeniden Isıtma</w:t>
            </w:r>
          </w:p>
        </w:tc>
        <w:tc>
          <w:tcPr>
            <w:tcW w:w="4618" w:type="dxa"/>
            <w:vAlign w:val="center"/>
          </w:tcPr>
          <w:p w14:paraId="0CFDC28B"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Hammaddeyi çekiçle işleme öncesinde ısıtmak için uygulanan termal işlem adımlarının sırası.</w:t>
            </w:r>
          </w:p>
        </w:tc>
      </w:tr>
      <w:tr w:rsidR="002A7D25" w:rsidRPr="00D53A2B" w14:paraId="6EA72FC9" w14:textId="77777777" w:rsidTr="008A08CF">
        <w:tc>
          <w:tcPr>
            <w:tcW w:w="4308" w:type="dxa"/>
            <w:vAlign w:val="center"/>
          </w:tcPr>
          <w:p w14:paraId="3AE7135C"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İşlem Kimyasalları</w:t>
            </w:r>
          </w:p>
        </w:tc>
        <w:tc>
          <w:tcPr>
            <w:tcW w:w="4618" w:type="dxa"/>
            <w:vAlign w:val="center"/>
          </w:tcPr>
          <w:p w14:paraId="4DDE9281" w14:textId="03CC7AA5" w:rsidR="002A7D25" w:rsidRPr="00D53A2B" w:rsidRDefault="00AB1619" w:rsidP="00A202FD">
            <w:pPr>
              <w:jc w:val="both"/>
              <w:rPr>
                <w:rFonts w:eastAsia="Calibri"/>
                <w:sz w:val="22"/>
                <w:szCs w:val="22"/>
                <w:lang w:eastAsia="en-US"/>
              </w:rPr>
            </w:pPr>
            <w:r w:rsidRPr="00AB1619">
              <w:rPr>
                <w:rFonts w:eastAsia="Calibri"/>
                <w:sz w:val="22"/>
                <w:szCs w:val="22"/>
                <w:lang w:eastAsia="en-US"/>
              </w:rPr>
              <w:t>KKDİK Yönetmeliği, Madde 4'te tanımlanan ve işlemde kullanılan maddeler ve/veya karışımlar. İşlem kimyasalları, zararlı maddeler veya yüksek önem arz eden maddeler içerebilir.</w:t>
            </w:r>
          </w:p>
        </w:tc>
      </w:tr>
      <w:tr w:rsidR="002A7D25" w:rsidRPr="00D53A2B" w14:paraId="47A38EDB" w14:textId="77777777" w:rsidTr="008A08CF">
        <w:tc>
          <w:tcPr>
            <w:tcW w:w="4308" w:type="dxa"/>
            <w:vAlign w:val="center"/>
          </w:tcPr>
          <w:p w14:paraId="1EE11274"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Çelik Rafine Etme</w:t>
            </w:r>
          </w:p>
        </w:tc>
        <w:tc>
          <w:tcPr>
            <w:tcW w:w="4618" w:type="dxa"/>
            <w:vAlign w:val="center"/>
          </w:tcPr>
          <w:p w14:paraId="3B8DBD4A"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Pik demirinden (ilk rafinasyon) karbonun (dekarbürizasyon) ve diğer safsızlıkların temizlenmesi işlemi.</w:t>
            </w:r>
          </w:p>
        </w:tc>
      </w:tr>
      <w:tr w:rsidR="002A7D25" w:rsidRPr="00D53A2B" w14:paraId="0DB956D1" w14:textId="77777777" w:rsidTr="008A08CF">
        <w:tc>
          <w:tcPr>
            <w:tcW w:w="4308" w:type="dxa"/>
            <w:vAlign w:val="center"/>
          </w:tcPr>
          <w:p w14:paraId="68AC52A1"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Artık Madde</w:t>
            </w:r>
          </w:p>
        </w:tc>
        <w:tc>
          <w:tcPr>
            <w:tcW w:w="4618" w:type="dxa"/>
            <w:vAlign w:val="center"/>
          </w:tcPr>
          <w:p w14:paraId="35EAD9FC"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Bu MET sonuçlarının kapsamındaki faaliyetlerle üretilen atık veya yan ürün olarak oluşan madde veya nesne.</w:t>
            </w:r>
          </w:p>
        </w:tc>
      </w:tr>
      <w:tr w:rsidR="002A7D25" w:rsidRPr="00D53A2B" w14:paraId="2A0F84EB" w14:textId="77777777" w:rsidTr="008A08CF">
        <w:tc>
          <w:tcPr>
            <w:tcW w:w="4308" w:type="dxa"/>
            <w:vAlign w:val="center"/>
          </w:tcPr>
          <w:p w14:paraId="1A44413B"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Kum Yeniden Kullanımı</w:t>
            </w:r>
          </w:p>
        </w:tc>
        <w:tc>
          <w:tcPr>
            <w:tcW w:w="4618" w:type="dxa"/>
            <w:vAlign w:val="center"/>
          </w:tcPr>
          <w:p w14:paraId="47873BD7"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Kumun, yeniden işlenmesi veya iyileştirilmesi sonrası dökümhanelerde yeniden kullanılması işlemi.</w:t>
            </w:r>
          </w:p>
        </w:tc>
      </w:tr>
      <w:tr w:rsidR="002A7D25" w:rsidRPr="00D53A2B" w14:paraId="137A6B14" w14:textId="77777777" w:rsidTr="008A08CF">
        <w:tc>
          <w:tcPr>
            <w:tcW w:w="4308" w:type="dxa"/>
            <w:vAlign w:val="center"/>
          </w:tcPr>
          <w:p w14:paraId="306AEEBC"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Kum Yeniden İşlenmesi</w:t>
            </w:r>
          </w:p>
        </w:tc>
        <w:tc>
          <w:tcPr>
            <w:tcW w:w="4618" w:type="dxa"/>
            <w:vAlign w:val="center"/>
          </w:tcPr>
          <w:p w14:paraId="11556117"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Yeşil ve/veya doğal kumun yeniden kullanılabilmesi için yapılan mekanik işlemler. Bu işlemler, ekranlama, yabancı metallerin giderilmesi, ince parçacıkların ve aşırı büyük aglomeratların ayrılması işlemlerini içerir.</w:t>
            </w:r>
          </w:p>
        </w:tc>
      </w:tr>
      <w:tr w:rsidR="002A7D25" w:rsidRPr="00D53A2B" w14:paraId="31210811" w14:textId="77777777" w:rsidTr="008A08CF">
        <w:tc>
          <w:tcPr>
            <w:tcW w:w="4308" w:type="dxa"/>
            <w:vAlign w:val="center"/>
          </w:tcPr>
          <w:p w14:paraId="5A6A88D3"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Kum Geri Kazanımı</w:t>
            </w:r>
          </w:p>
        </w:tc>
        <w:tc>
          <w:tcPr>
            <w:tcW w:w="4618" w:type="dxa"/>
            <w:vAlign w:val="center"/>
          </w:tcPr>
          <w:p w14:paraId="440FE716"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Kimyasal bağlanmış kum veya karışık kumun yeniden kullanılabilir hale getirilmesi için yapılan mekanik ve/veya termal işlemler. Başlangıçta mekanik bir adım (örneğin ezme, ekranlama), ardından mekanik (örneğin taşlama tekerleği, darbe tamburu) ve/veya termal (örneğin sıvılaştırılmış yatak, döner fırınlar) işlemleri yapılır.</w:t>
            </w:r>
          </w:p>
        </w:tc>
      </w:tr>
      <w:tr w:rsidR="002A7D25" w:rsidRPr="00D53A2B" w14:paraId="7AA75009" w14:textId="77777777" w:rsidTr="008A08CF">
        <w:tc>
          <w:tcPr>
            <w:tcW w:w="4308" w:type="dxa"/>
            <w:vAlign w:val="center"/>
          </w:tcPr>
          <w:p w14:paraId="5B3F3C2E"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Hassas Alıcılar</w:t>
            </w:r>
          </w:p>
        </w:tc>
        <w:tc>
          <w:tcPr>
            <w:tcW w:w="4618" w:type="dxa"/>
            <w:vAlign w:val="center"/>
          </w:tcPr>
          <w:p w14:paraId="23F49FE8"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Özel koruma gerektiren alanlar, örneğin: – Konut alanları; – İnsan aktivitelerinin yapıldığı alanlar (örneğin komşu işyerleri, okullar, kreşler, rekreasyon alanları, hastaneler veya huzurevleri).</w:t>
            </w:r>
          </w:p>
        </w:tc>
      </w:tr>
      <w:tr w:rsidR="002A7D25" w:rsidRPr="00D53A2B" w14:paraId="7F8A266B" w14:textId="77777777" w:rsidTr="008A08CF">
        <w:tc>
          <w:tcPr>
            <w:tcW w:w="430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0"/>
              <w:gridCol w:w="81"/>
            </w:tblGrid>
            <w:tr w:rsidR="002A7D25" w:rsidRPr="00D53A2B" w14:paraId="0FEDAACB" w14:textId="77777777" w:rsidTr="00A202FD">
              <w:trPr>
                <w:tblCellSpacing w:w="15" w:type="dxa"/>
              </w:trPr>
              <w:tc>
                <w:tcPr>
                  <w:tcW w:w="0" w:type="auto"/>
                  <w:vAlign w:val="center"/>
                  <w:hideMark/>
                </w:tcPr>
                <w:p w14:paraId="7FB6516B"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Cüruf</w:t>
                  </w:r>
                </w:p>
              </w:tc>
              <w:tc>
                <w:tcPr>
                  <w:tcW w:w="0" w:type="auto"/>
                  <w:vAlign w:val="center"/>
                  <w:hideMark/>
                </w:tcPr>
                <w:p w14:paraId="105E624C" w14:textId="77777777" w:rsidR="002A7D25" w:rsidRPr="00D53A2B" w:rsidRDefault="002A7D25" w:rsidP="00A202FD">
                  <w:pPr>
                    <w:jc w:val="both"/>
                    <w:rPr>
                      <w:rFonts w:eastAsia="Calibri"/>
                      <w:sz w:val="22"/>
                      <w:szCs w:val="22"/>
                      <w:lang w:eastAsia="en-US"/>
                    </w:rPr>
                  </w:pPr>
                </w:p>
              </w:tc>
            </w:tr>
          </w:tbl>
          <w:p w14:paraId="2BBDF587" w14:textId="77777777" w:rsidR="002A7D25" w:rsidRPr="00D53A2B" w:rsidRDefault="002A7D25" w:rsidP="00A202FD">
            <w:pPr>
              <w:jc w:val="both"/>
              <w:rPr>
                <w:rFonts w:eastAsia="Calibri"/>
                <w:sz w:val="22"/>
                <w:szCs w:val="22"/>
                <w:lang w:eastAsia="en-US"/>
              </w:rPr>
            </w:pPr>
          </w:p>
        </w:tc>
        <w:tc>
          <w:tcPr>
            <w:tcW w:w="461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321"/>
            </w:tblGrid>
            <w:tr w:rsidR="002A7D25" w:rsidRPr="00D53A2B" w14:paraId="549B10AA" w14:textId="77777777" w:rsidTr="00A202FD">
              <w:trPr>
                <w:tblCellSpacing w:w="15" w:type="dxa"/>
              </w:trPr>
              <w:tc>
                <w:tcPr>
                  <w:tcW w:w="0" w:type="auto"/>
                  <w:vAlign w:val="center"/>
                  <w:hideMark/>
                </w:tcPr>
                <w:p w14:paraId="31811655" w14:textId="77777777" w:rsidR="002A7D25" w:rsidRPr="00D53A2B" w:rsidRDefault="002A7D25" w:rsidP="00A202FD">
                  <w:pPr>
                    <w:jc w:val="both"/>
                    <w:rPr>
                      <w:rFonts w:eastAsia="Calibri"/>
                      <w:sz w:val="22"/>
                      <w:szCs w:val="22"/>
                      <w:lang w:eastAsia="en-US"/>
                    </w:rPr>
                  </w:pPr>
                </w:p>
              </w:tc>
              <w:tc>
                <w:tcPr>
                  <w:tcW w:w="0" w:type="auto"/>
                  <w:vAlign w:val="center"/>
                  <w:hideMark/>
                </w:tcPr>
                <w:p w14:paraId="40428FFF"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Eritilmiş metalde çözünmeyen fakat ondan kolayca ayrılan ve düşük yoğunluğu nedeniyle sıvı metalin üzerinde ayrı bir katman oluşturan sıvı maddeler. Cüruf, metal yükünde bulunan metal olmayan elementlerin oksitlenmesiyle oluşur.</w:t>
                  </w:r>
                </w:p>
              </w:tc>
            </w:tr>
          </w:tbl>
          <w:p w14:paraId="5BDB1A3B" w14:textId="77777777" w:rsidR="002A7D25" w:rsidRPr="00D53A2B" w:rsidRDefault="002A7D25" w:rsidP="00A202FD">
            <w:pPr>
              <w:jc w:val="both"/>
              <w:rPr>
                <w:rFonts w:eastAsia="Calibri"/>
                <w:sz w:val="22"/>
                <w:szCs w:val="22"/>
                <w:lang w:eastAsia="en-US"/>
              </w:rPr>
            </w:pPr>
          </w:p>
        </w:tc>
      </w:tr>
      <w:tr w:rsidR="002A7D25" w:rsidRPr="00D53A2B" w14:paraId="24A5C48F" w14:textId="77777777" w:rsidTr="008A08CF">
        <w:tc>
          <w:tcPr>
            <w:tcW w:w="4308" w:type="dxa"/>
            <w:vAlign w:val="center"/>
          </w:tcPr>
          <w:p w14:paraId="71F0C0AB" w14:textId="79E9BC4C" w:rsidR="002A7D25" w:rsidRPr="00D53A2B" w:rsidRDefault="00226535" w:rsidP="00A202FD">
            <w:pPr>
              <w:jc w:val="both"/>
              <w:rPr>
                <w:rFonts w:eastAsia="Calibri"/>
                <w:sz w:val="22"/>
                <w:szCs w:val="22"/>
                <w:lang w:eastAsia="en-US"/>
              </w:rPr>
            </w:pPr>
            <w:r w:rsidRPr="00226535">
              <w:rPr>
                <w:rFonts w:eastAsia="Calibri"/>
                <w:b/>
                <w:bCs/>
                <w:sz w:val="22"/>
                <w:szCs w:val="22"/>
                <w:lang w:eastAsia="en-US"/>
              </w:rPr>
              <w:t>Yüksek Önem Arz Eden Maddeler</w:t>
            </w:r>
          </w:p>
        </w:tc>
        <w:tc>
          <w:tcPr>
            <w:tcW w:w="4618" w:type="dxa"/>
            <w:vAlign w:val="center"/>
          </w:tcPr>
          <w:p w14:paraId="3C1C4C3E" w14:textId="29046465" w:rsidR="002A7D25" w:rsidRPr="00D53A2B" w:rsidRDefault="00226535" w:rsidP="00A202FD">
            <w:pPr>
              <w:jc w:val="both"/>
              <w:rPr>
                <w:rFonts w:eastAsia="Calibri"/>
                <w:sz w:val="22"/>
                <w:szCs w:val="22"/>
                <w:lang w:eastAsia="en-US"/>
              </w:rPr>
            </w:pPr>
            <w:r w:rsidRPr="00226535">
              <w:rPr>
                <w:rFonts w:eastAsia="Calibri"/>
                <w:sz w:val="22"/>
                <w:szCs w:val="22"/>
                <w:lang w:eastAsia="en-US"/>
              </w:rPr>
              <w:t>KKDİK Yönetmeliği Madde 47'de belirtilen ve Aday Listeye dahil edilen yüksek önem arz eden maddeler.</w:t>
            </w:r>
          </w:p>
        </w:tc>
      </w:tr>
      <w:tr w:rsidR="002A7D25" w:rsidRPr="00D53A2B" w14:paraId="36A7F9DD" w14:textId="77777777" w:rsidTr="008A08CF">
        <w:tc>
          <w:tcPr>
            <w:tcW w:w="430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6"/>
            </w:tblGrid>
            <w:tr w:rsidR="002A7D25" w:rsidRPr="00D53A2B" w14:paraId="70C768C5" w14:textId="77777777" w:rsidTr="00A202FD">
              <w:trPr>
                <w:tblCellSpacing w:w="15" w:type="dxa"/>
              </w:trPr>
              <w:tc>
                <w:tcPr>
                  <w:tcW w:w="0" w:type="auto"/>
                  <w:vAlign w:val="center"/>
                  <w:hideMark/>
                </w:tcPr>
                <w:p w14:paraId="06727A38"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Yüzeysel Akış Suyu</w:t>
                  </w:r>
                </w:p>
              </w:tc>
            </w:tr>
          </w:tbl>
          <w:p w14:paraId="2D0B30C6" w14:textId="77777777" w:rsidR="002A7D25" w:rsidRPr="00D53A2B" w:rsidRDefault="002A7D25" w:rsidP="00A202FD">
            <w:pPr>
              <w:jc w:val="both"/>
              <w:rPr>
                <w:rFonts w:eastAsia="Calibri"/>
                <w:sz w:val="22"/>
                <w:szCs w:val="22"/>
                <w:lang w:eastAsia="en-US"/>
              </w:rPr>
            </w:pPr>
          </w:p>
        </w:tc>
        <w:tc>
          <w:tcPr>
            <w:tcW w:w="4618" w:type="dxa"/>
          </w:tcPr>
          <w:p w14:paraId="215AE24A"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Yağıştan kaynaklanan, kara veya geçirimli olmayan yüzeylerde (örneğin asfaltlı sokaklar, depo alanları, çatı yüzeyleri) akan su, toprağa emilmeden akar.</w:t>
            </w:r>
          </w:p>
        </w:tc>
      </w:tr>
      <w:tr w:rsidR="002A7D25" w:rsidRPr="00D53A2B" w14:paraId="4C3E7B97" w14:textId="77777777" w:rsidTr="008A08CF">
        <w:tc>
          <w:tcPr>
            <w:tcW w:w="4308" w:type="dxa"/>
            <w:vAlign w:val="center"/>
          </w:tcPr>
          <w:p w14:paraId="652969FA"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Sıvı Metal İşlemi</w:t>
            </w:r>
          </w:p>
        </w:tc>
        <w:tc>
          <w:tcPr>
            <w:tcW w:w="4618" w:type="dxa"/>
            <w:vAlign w:val="center"/>
          </w:tcPr>
          <w:p w14:paraId="00D37BBC"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 xml:space="preserve">Alüminyum eritme süreçlerinde sıvı metalin işlenmesi, örneğin gaz giderme, tane iyileştirme ve akı işlemeleri. Gaz giderme (yani çözünmüş </w:t>
            </w:r>
            <w:r w:rsidRPr="00D53A2B">
              <w:rPr>
                <w:rFonts w:eastAsia="Calibri"/>
                <w:sz w:val="22"/>
                <w:szCs w:val="22"/>
                <w:lang w:eastAsia="en-US"/>
              </w:rPr>
              <w:lastRenderedPageBreak/>
              <w:t>hidrojenin azotla giderilmesi) genellikle temizleme işlemiyle (örneğin alkali veya alkali toprak metallerinin Ca ile giderilmesi) birleştirilir.</w:t>
            </w:r>
          </w:p>
        </w:tc>
      </w:tr>
      <w:tr w:rsidR="002A7D25" w:rsidRPr="00D53A2B" w14:paraId="5D8A4DC5" w14:textId="77777777" w:rsidTr="008A08CF">
        <w:tc>
          <w:tcPr>
            <w:tcW w:w="4308" w:type="dxa"/>
            <w:vAlign w:val="center"/>
          </w:tcPr>
          <w:p w14:paraId="141834B7" w14:textId="77777777" w:rsidR="002A7D25" w:rsidRPr="00D53A2B" w:rsidRDefault="002A7D25" w:rsidP="00A202FD">
            <w:pPr>
              <w:jc w:val="both"/>
              <w:rPr>
                <w:rFonts w:eastAsia="Calibri"/>
                <w:sz w:val="22"/>
                <w:szCs w:val="22"/>
                <w:lang w:eastAsia="en-US"/>
              </w:rPr>
            </w:pPr>
            <w:r w:rsidRPr="00D53A2B">
              <w:rPr>
                <w:rFonts w:eastAsia="Calibri"/>
                <w:b/>
                <w:bCs/>
                <w:sz w:val="22"/>
                <w:szCs w:val="22"/>
                <w:lang w:eastAsia="en-US"/>
              </w:rPr>
              <w:t>Geçerli Saatlik (veya Yarım Saatlik) Ortalama</w:t>
            </w:r>
          </w:p>
        </w:tc>
        <w:tc>
          <w:tcPr>
            <w:tcW w:w="4618" w:type="dxa"/>
            <w:vAlign w:val="center"/>
          </w:tcPr>
          <w:p w14:paraId="7FAAFBC9" w14:textId="77777777" w:rsidR="002A7D25" w:rsidRPr="00D53A2B" w:rsidRDefault="002A7D25" w:rsidP="00A202FD">
            <w:pPr>
              <w:jc w:val="both"/>
              <w:rPr>
                <w:rFonts w:eastAsia="Calibri"/>
                <w:sz w:val="22"/>
                <w:szCs w:val="22"/>
                <w:lang w:eastAsia="en-US"/>
              </w:rPr>
            </w:pPr>
            <w:r w:rsidRPr="00D53A2B">
              <w:rPr>
                <w:rFonts w:eastAsia="Calibri"/>
                <w:sz w:val="22"/>
                <w:szCs w:val="22"/>
                <w:lang w:eastAsia="en-US"/>
              </w:rPr>
              <w:t>Saatlik (veya yarım saatlik) ortalama, otomatik ölçüm sisteminde bakım veya arıza olmadığında geçerli kabul edilir.</w:t>
            </w:r>
          </w:p>
        </w:tc>
      </w:tr>
    </w:tbl>
    <w:p w14:paraId="09A58713" w14:textId="77777777" w:rsidR="002A7D25" w:rsidRPr="00D53A2B" w:rsidRDefault="002A7D25" w:rsidP="00A202FD">
      <w:pPr>
        <w:jc w:val="both"/>
        <w:rPr>
          <w:rFonts w:eastAsia="Calibri"/>
          <w:lang w:val="en-US" w:eastAsia="en-US"/>
        </w:rPr>
      </w:pPr>
    </w:p>
    <w:tbl>
      <w:tblPr>
        <w:tblStyle w:val="TabloKlavuzu"/>
        <w:tblW w:w="8926" w:type="dxa"/>
        <w:tblLook w:val="04A0" w:firstRow="1" w:lastRow="0" w:firstColumn="1" w:lastColumn="0" w:noHBand="0" w:noVBand="1"/>
      </w:tblPr>
      <w:tblGrid>
        <w:gridCol w:w="1217"/>
        <w:gridCol w:w="7709"/>
      </w:tblGrid>
      <w:tr w:rsidR="002A7D25" w:rsidRPr="00D53A2B" w14:paraId="6821245A" w14:textId="77777777" w:rsidTr="008A08CF">
        <w:trPr>
          <w:trHeight w:val="320"/>
        </w:trPr>
        <w:tc>
          <w:tcPr>
            <w:tcW w:w="1217" w:type="dxa"/>
            <w:noWrap/>
            <w:hideMark/>
          </w:tcPr>
          <w:p w14:paraId="04C89E3C" w14:textId="77777777" w:rsidR="002A7D25" w:rsidRPr="00D53A2B" w:rsidRDefault="002A7D25" w:rsidP="00A202FD">
            <w:pPr>
              <w:jc w:val="both"/>
              <w:rPr>
                <w:b/>
                <w:bCs/>
                <w:sz w:val="22"/>
                <w:szCs w:val="22"/>
              </w:rPr>
            </w:pPr>
            <w:r w:rsidRPr="00D53A2B">
              <w:rPr>
                <w:b/>
                <w:bCs/>
                <w:sz w:val="22"/>
                <w:szCs w:val="22"/>
              </w:rPr>
              <w:t>Terim</w:t>
            </w:r>
          </w:p>
        </w:tc>
        <w:tc>
          <w:tcPr>
            <w:tcW w:w="7709" w:type="dxa"/>
            <w:noWrap/>
            <w:hideMark/>
          </w:tcPr>
          <w:p w14:paraId="1F6B0811" w14:textId="77777777" w:rsidR="002A7D25" w:rsidRPr="00D53A2B" w:rsidRDefault="002A7D25" w:rsidP="00A202FD">
            <w:pPr>
              <w:jc w:val="both"/>
              <w:rPr>
                <w:b/>
                <w:bCs/>
                <w:sz w:val="22"/>
                <w:szCs w:val="22"/>
              </w:rPr>
            </w:pPr>
            <w:r w:rsidRPr="00D53A2B">
              <w:rPr>
                <w:b/>
                <w:bCs/>
                <w:sz w:val="22"/>
                <w:szCs w:val="22"/>
              </w:rPr>
              <w:t>Tanım</w:t>
            </w:r>
          </w:p>
        </w:tc>
      </w:tr>
      <w:tr w:rsidR="002A7D25" w:rsidRPr="00D53A2B" w14:paraId="3754B0F1" w14:textId="77777777" w:rsidTr="008A08CF">
        <w:trPr>
          <w:trHeight w:val="320"/>
        </w:trPr>
        <w:tc>
          <w:tcPr>
            <w:tcW w:w="1217" w:type="dxa"/>
            <w:noWrap/>
            <w:hideMark/>
          </w:tcPr>
          <w:p w14:paraId="5A7C8907" w14:textId="77777777" w:rsidR="002A7D25" w:rsidRPr="00D53A2B" w:rsidRDefault="002A7D25" w:rsidP="00A202FD">
            <w:pPr>
              <w:jc w:val="both"/>
              <w:rPr>
                <w:b/>
                <w:bCs/>
                <w:sz w:val="22"/>
                <w:szCs w:val="22"/>
              </w:rPr>
            </w:pPr>
            <w:r w:rsidRPr="00D53A2B">
              <w:rPr>
                <w:b/>
                <w:bCs/>
                <w:sz w:val="22"/>
                <w:szCs w:val="22"/>
              </w:rPr>
              <w:t>Aminler</w:t>
            </w:r>
          </w:p>
        </w:tc>
        <w:tc>
          <w:tcPr>
            <w:tcW w:w="7709" w:type="dxa"/>
            <w:noWrap/>
            <w:hideMark/>
          </w:tcPr>
          <w:p w14:paraId="76A1C6CD" w14:textId="77777777" w:rsidR="002A7D25" w:rsidRPr="00D53A2B" w:rsidRDefault="002A7D25" w:rsidP="00A202FD">
            <w:pPr>
              <w:jc w:val="both"/>
              <w:rPr>
                <w:sz w:val="22"/>
                <w:szCs w:val="22"/>
              </w:rPr>
            </w:pPr>
            <w:r w:rsidRPr="00D53A2B">
              <w:rPr>
                <w:sz w:val="22"/>
                <w:szCs w:val="22"/>
              </w:rPr>
              <w:t>Amonyak türevleri, bir veya daha fazla hidrojen atomunun alkil veya aril grubu ile değiştiği bileşikler.</w:t>
            </w:r>
          </w:p>
        </w:tc>
      </w:tr>
      <w:tr w:rsidR="002A7D25" w:rsidRPr="00D53A2B" w14:paraId="4D7990C2" w14:textId="77777777" w:rsidTr="008A08CF">
        <w:trPr>
          <w:trHeight w:val="320"/>
        </w:trPr>
        <w:tc>
          <w:tcPr>
            <w:tcW w:w="1217" w:type="dxa"/>
            <w:noWrap/>
            <w:hideMark/>
          </w:tcPr>
          <w:p w14:paraId="4714DACD" w14:textId="77777777" w:rsidR="002A7D25" w:rsidRPr="00D53A2B" w:rsidRDefault="002A7D25" w:rsidP="00A202FD">
            <w:pPr>
              <w:jc w:val="both"/>
              <w:rPr>
                <w:b/>
                <w:bCs/>
                <w:sz w:val="22"/>
                <w:szCs w:val="22"/>
              </w:rPr>
            </w:pPr>
            <w:r w:rsidRPr="00D53A2B">
              <w:rPr>
                <w:b/>
                <w:bCs/>
                <w:sz w:val="22"/>
                <w:szCs w:val="22"/>
              </w:rPr>
              <w:t>AOX</w:t>
            </w:r>
          </w:p>
        </w:tc>
        <w:tc>
          <w:tcPr>
            <w:tcW w:w="7709" w:type="dxa"/>
            <w:noWrap/>
            <w:hideMark/>
          </w:tcPr>
          <w:p w14:paraId="061ACEBB" w14:textId="77777777" w:rsidR="002A7D25" w:rsidRPr="00D53A2B" w:rsidRDefault="002A7D25" w:rsidP="00A202FD">
            <w:pPr>
              <w:jc w:val="both"/>
              <w:rPr>
                <w:sz w:val="22"/>
                <w:szCs w:val="22"/>
              </w:rPr>
            </w:pPr>
            <w:r w:rsidRPr="00D53A2B">
              <w:rPr>
                <w:sz w:val="22"/>
                <w:szCs w:val="22"/>
              </w:rPr>
              <w:t>Adsorplanabilir organik bağlı halojenler, Cl olarak ifade edilen, adsorplanabilir organik bağlı klor, brom ve iyot içerir.</w:t>
            </w:r>
          </w:p>
        </w:tc>
      </w:tr>
      <w:tr w:rsidR="002A7D25" w:rsidRPr="00D53A2B" w14:paraId="2C7FB44D" w14:textId="77777777" w:rsidTr="008A08CF">
        <w:trPr>
          <w:trHeight w:val="320"/>
        </w:trPr>
        <w:tc>
          <w:tcPr>
            <w:tcW w:w="1217" w:type="dxa"/>
            <w:noWrap/>
            <w:hideMark/>
          </w:tcPr>
          <w:p w14:paraId="4BB33E7D" w14:textId="77777777" w:rsidR="002A7D25" w:rsidRPr="00D53A2B" w:rsidRDefault="002A7D25" w:rsidP="00A202FD">
            <w:pPr>
              <w:jc w:val="both"/>
              <w:rPr>
                <w:b/>
                <w:bCs/>
                <w:sz w:val="22"/>
                <w:szCs w:val="22"/>
              </w:rPr>
            </w:pPr>
            <w:r w:rsidRPr="00D53A2B">
              <w:rPr>
                <w:b/>
                <w:bCs/>
                <w:sz w:val="22"/>
                <w:szCs w:val="22"/>
              </w:rPr>
              <w:t>As</w:t>
            </w:r>
          </w:p>
        </w:tc>
        <w:tc>
          <w:tcPr>
            <w:tcW w:w="7709" w:type="dxa"/>
            <w:noWrap/>
            <w:hideMark/>
          </w:tcPr>
          <w:p w14:paraId="36711D59" w14:textId="77777777" w:rsidR="002A7D25" w:rsidRPr="00D53A2B" w:rsidRDefault="002A7D25" w:rsidP="00A202FD">
            <w:pPr>
              <w:jc w:val="both"/>
              <w:rPr>
                <w:sz w:val="22"/>
                <w:szCs w:val="22"/>
              </w:rPr>
            </w:pPr>
            <w:r w:rsidRPr="00D53A2B">
              <w:rPr>
                <w:sz w:val="22"/>
                <w:szCs w:val="22"/>
              </w:rPr>
              <w:t>Arsenik ve bileşiklerinin toplamı, çözünmüş veya parçalara bağlı olarak ifade edilen As.</w:t>
            </w:r>
          </w:p>
        </w:tc>
      </w:tr>
      <w:tr w:rsidR="002A7D25" w:rsidRPr="00D53A2B" w14:paraId="5639DC47" w14:textId="77777777" w:rsidTr="008A08CF">
        <w:trPr>
          <w:trHeight w:val="320"/>
        </w:trPr>
        <w:tc>
          <w:tcPr>
            <w:tcW w:w="1217" w:type="dxa"/>
            <w:noWrap/>
            <w:hideMark/>
          </w:tcPr>
          <w:p w14:paraId="3A34C710" w14:textId="77777777" w:rsidR="002A7D25" w:rsidRPr="00D53A2B" w:rsidRDefault="002A7D25" w:rsidP="00A202FD">
            <w:pPr>
              <w:jc w:val="both"/>
              <w:rPr>
                <w:b/>
                <w:bCs/>
                <w:sz w:val="22"/>
                <w:szCs w:val="22"/>
              </w:rPr>
            </w:pPr>
            <w:r w:rsidRPr="00D53A2B">
              <w:rPr>
                <w:b/>
                <w:bCs/>
                <w:sz w:val="22"/>
                <w:szCs w:val="22"/>
              </w:rPr>
              <w:t>B[a]P</w:t>
            </w:r>
          </w:p>
        </w:tc>
        <w:tc>
          <w:tcPr>
            <w:tcW w:w="7709" w:type="dxa"/>
            <w:noWrap/>
            <w:hideMark/>
          </w:tcPr>
          <w:p w14:paraId="15C58988" w14:textId="77777777" w:rsidR="002A7D25" w:rsidRPr="00D53A2B" w:rsidRDefault="002A7D25" w:rsidP="00A202FD">
            <w:pPr>
              <w:jc w:val="both"/>
              <w:rPr>
                <w:sz w:val="22"/>
                <w:szCs w:val="22"/>
              </w:rPr>
            </w:pPr>
            <w:r w:rsidRPr="00D53A2B">
              <w:rPr>
                <w:sz w:val="22"/>
                <w:szCs w:val="22"/>
              </w:rPr>
              <w:t>Benzo[a]piren.</w:t>
            </w:r>
          </w:p>
        </w:tc>
      </w:tr>
      <w:tr w:rsidR="002A7D25" w:rsidRPr="00D53A2B" w14:paraId="4E571381" w14:textId="77777777" w:rsidTr="008A08CF">
        <w:trPr>
          <w:trHeight w:val="320"/>
        </w:trPr>
        <w:tc>
          <w:tcPr>
            <w:tcW w:w="1217" w:type="dxa"/>
            <w:noWrap/>
            <w:hideMark/>
          </w:tcPr>
          <w:p w14:paraId="04C480A4" w14:textId="7D622A17" w:rsidR="002A7D25" w:rsidRPr="00D53A2B" w:rsidRDefault="00602365" w:rsidP="00A202FD">
            <w:pPr>
              <w:jc w:val="both"/>
              <w:rPr>
                <w:b/>
                <w:bCs/>
                <w:sz w:val="22"/>
                <w:szCs w:val="22"/>
              </w:rPr>
            </w:pPr>
            <w:r>
              <w:rPr>
                <w:b/>
                <w:bCs/>
                <w:sz w:val="22"/>
                <w:szCs w:val="22"/>
              </w:rPr>
              <w:t>BOİ5</w:t>
            </w:r>
          </w:p>
        </w:tc>
        <w:tc>
          <w:tcPr>
            <w:tcW w:w="7709" w:type="dxa"/>
            <w:noWrap/>
            <w:hideMark/>
          </w:tcPr>
          <w:p w14:paraId="0187B5D3" w14:textId="77777777" w:rsidR="002A7D25" w:rsidRPr="00D53A2B" w:rsidRDefault="002A7D25" w:rsidP="00A202FD">
            <w:pPr>
              <w:jc w:val="both"/>
              <w:rPr>
                <w:sz w:val="22"/>
                <w:szCs w:val="22"/>
              </w:rPr>
            </w:pPr>
            <w:r w:rsidRPr="00D53A2B">
              <w:rPr>
                <w:sz w:val="22"/>
                <w:szCs w:val="22"/>
              </w:rPr>
              <w:t>Beş günlük biyokimyasal oksijen talebi, organik ve/veya inorganik maddelerin biyokimyasal oksidasyonu için gereken oksijen miktarı.</w:t>
            </w:r>
          </w:p>
        </w:tc>
      </w:tr>
      <w:tr w:rsidR="002A7D25" w:rsidRPr="00D53A2B" w14:paraId="473AC08C" w14:textId="77777777" w:rsidTr="008A08CF">
        <w:trPr>
          <w:trHeight w:val="320"/>
        </w:trPr>
        <w:tc>
          <w:tcPr>
            <w:tcW w:w="1217" w:type="dxa"/>
            <w:noWrap/>
            <w:hideMark/>
          </w:tcPr>
          <w:p w14:paraId="7D940A03" w14:textId="77777777" w:rsidR="002A7D25" w:rsidRPr="00D53A2B" w:rsidRDefault="002A7D25" w:rsidP="00A202FD">
            <w:pPr>
              <w:jc w:val="both"/>
              <w:rPr>
                <w:b/>
                <w:bCs/>
                <w:sz w:val="22"/>
                <w:szCs w:val="22"/>
              </w:rPr>
            </w:pPr>
            <w:r w:rsidRPr="00D53A2B">
              <w:rPr>
                <w:b/>
                <w:bCs/>
                <w:sz w:val="22"/>
                <w:szCs w:val="22"/>
              </w:rPr>
              <w:t>Cd</w:t>
            </w:r>
          </w:p>
        </w:tc>
        <w:tc>
          <w:tcPr>
            <w:tcW w:w="7709" w:type="dxa"/>
            <w:noWrap/>
            <w:hideMark/>
          </w:tcPr>
          <w:p w14:paraId="33510BB4" w14:textId="77777777" w:rsidR="002A7D25" w:rsidRPr="00D53A2B" w:rsidRDefault="002A7D25" w:rsidP="00A202FD">
            <w:pPr>
              <w:jc w:val="both"/>
              <w:rPr>
                <w:sz w:val="22"/>
                <w:szCs w:val="22"/>
              </w:rPr>
            </w:pPr>
            <w:r w:rsidRPr="00D53A2B">
              <w:rPr>
                <w:sz w:val="22"/>
                <w:szCs w:val="22"/>
              </w:rPr>
              <w:t>Kadmiyum ve bileşiklerinin toplamı, çözünmüş veya parçalara bağlı olarak ifade edilen Cd.</w:t>
            </w:r>
          </w:p>
        </w:tc>
      </w:tr>
      <w:tr w:rsidR="002A7D25" w:rsidRPr="00D53A2B" w14:paraId="2ED87EE7" w14:textId="77777777" w:rsidTr="008A08CF">
        <w:trPr>
          <w:trHeight w:val="320"/>
        </w:trPr>
        <w:tc>
          <w:tcPr>
            <w:tcW w:w="1217" w:type="dxa"/>
            <w:noWrap/>
            <w:hideMark/>
          </w:tcPr>
          <w:p w14:paraId="33F991A1" w14:textId="77777777" w:rsidR="002A7D25" w:rsidRPr="00D53A2B" w:rsidRDefault="002A7D25" w:rsidP="00A202FD">
            <w:pPr>
              <w:jc w:val="both"/>
              <w:rPr>
                <w:b/>
                <w:bCs/>
                <w:sz w:val="22"/>
                <w:szCs w:val="22"/>
              </w:rPr>
            </w:pPr>
            <w:r w:rsidRPr="00D53A2B">
              <w:rPr>
                <w:b/>
                <w:bCs/>
                <w:sz w:val="22"/>
                <w:szCs w:val="22"/>
              </w:rPr>
              <w:t>Cl</w:t>
            </w:r>
            <w:r w:rsidRPr="00D53A2B">
              <w:rPr>
                <w:b/>
                <w:bCs/>
                <w:sz w:val="22"/>
                <w:szCs w:val="22"/>
                <w:vertAlign w:val="subscript"/>
              </w:rPr>
              <w:t>2</w:t>
            </w:r>
          </w:p>
        </w:tc>
        <w:tc>
          <w:tcPr>
            <w:tcW w:w="7709" w:type="dxa"/>
            <w:noWrap/>
            <w:hideMark/>
          </w:tcPr>
          <w:p w14:paraId="08548E01" w14:textId="77777777" w:rsidR="002A7D25" w:rsidRPr="00D53A2B" w:rsidRDefault="002A7D25" w:rsidP="00A202FD">
            <w:pPr>
              <w:jc w:val="both"/>
              <w:rPr>
                <w:sz w:val="22"/>
                <w:szCs w:val="22"/>
              </w:rPr>
            </w:pPr>
            <w:r w:rsidRPr="00D53A2B">
              <w:rPr>
                <w:sz w:val="22"/>
                <w:szCs w:val="22"/>
              </w:rPr>
              <w:t>Elemental klor.</w:t>
            </w:r>
          </w:p>
        </w:tc>
      </w:tr>
      <w:tr w:rsidR="002A7D25" w:rsidRPr="00D53A2B" w14:paraId="30E75B8F" w14:textId="77777777" w:rsidTr="008A08CF">
        <w:trPr>
          <w:trHeight w:val="320"/>
        </w:trPr>
        <w:tc>
          <w:tcPr>
            <w:tcW w:w="1217" w:type="dxa"/>
            <w:noWrap/>
            <w:hideMark/>
          </w:tcPr>
          <w:p w14:paraId="428922C8" w14:textId="77777777" w:rsidR="002A7D25" w:rsidRPr="00D53A2B" w:rsidRDefault="002A7D25" w:rsidP="00A202FD">
            <w:pPr>
              <w:jc w:val="both"/>
              <w:rPr>
                <w:b/>
                <w:bCs/>
                <w:sz w:val="22"/>
                <w:szCs w:val="22"/>
              </w:rPr>
            </w:pPr>
            <w:r w:rsidRPr="00D53A2B">
              <w:rPr>
                <w:b/>
                <w:bCs/>
                <w:sz w:val="22"/>
                <w:szCs w:val="22"/>
              </w:rPr>
              <w:t>CO</w:t>
            </w:r>
          </w:p>
        </w:tc>
        <w:tc>
          <w:tcPr>
            <w:tcW w:w="7709" w:type="dxa"/>
            <w:noWrap/>
            <w:hideMark/>
          </w:tcPr>
          <w:p w14:paraId="22083BB5" w14:textId="77777777" w:rsidR="002A7D25" w:rsidRPr="00D53A2B" w:rsidRDefault="002A7D25" w:rsidP="00A202FD">
            <w:pPr>
              <w:jc w:val="both"/>
              <w:rPr>
                <w:sz w:val="22"/>
                <w:szCs w:val="22"/>
              </w:rPr>
            </w:pPr>
            <w:r w:rsidRPr="00D53A2B">
              <w:rPr>
                <w:sz w:val="22"/>
                <w:szCs w:val="22"/>
              </w:rPr>
              <w:t>Karbon monoksit.</w:t>
            </w:r>
          </w:p>
        </w:tc>
      </w:tr>
      <w:tr w:rsidR="002A7D25" w:rsidRPr="00D53A2B" w14:paraId="2BD2834A" w14:textId="77777777" w:rsidTr="008A08CF">
        <w:trPr>
          <w:trHeight w:val="320"/>
        </w:trPr>
        <w:tc>
          <w:tcPr>
            <w:tcW w:w="1217" w:type="dxa"/>
            <w:noWrap/>
            <w:hideMark/>
          </w:tcPr>
          <w:p w14:paraId="36B03765" w14:textId="5BD048F9" w:rsidR="002A7D25" w:rsidRPr="00D53A2B" w:rsidRDefault="00602365" w:rsidP="00A202FD">
            <w:pPr>
              <w:jc w:val="both"/>
              <w:rPr>
                <w:b/>
                <w:bCs/>
                <w:sz w:val="22"/>
                <w:szCs w:val="22"/>
              </w:rPr>
            </w:pPr>
            <w:r>
              <w:rPr>
                <w:b/>
                <w:bCs/>
                <w:sz w:val="22"/>
                <w:szCs w:val="22"/>
              </w:rPr>
              <w:t>KOİ</w:t>
            </w:r>
          </w:p>
        </w:tc>
        <w:tc>
          <w:tcPr>
            <w:tcW w:w="7709" w:type="dxa"/>
            <w:noWrap/>
            <w:hideMark/>
          </w:tcPr>
          <w:p w14:paraId="2149EB3F" w14:textId="77777777" w:rsidR="002A7D25" w:rsidRPr="00D53A2B" w:rsidRDefault="002A7D25" w:rsidP="00A202FD">
            <w:pPr>
              <w:jc w:val="both"/>
              <w:rPr>
                <w:sz w:val="22"/>
                <w:szCs w:val="22"/>
              </w:rPr>
            </w:pPr>
            <w:r w:rsidRPr="00D53A2B">
              <w:rPr>
                <w:sz w:val="22"/>
                <w:szCs w:val="22"/>
              </w:rPr>
              <w:t>Kimyasal oksijen talebi, organik maddelerin karbondiokside oksidasyonu için gerekli oksijen miktarı.</w:t>
            </w:r>
          </w:p>
        </w:tc>
      </w:tr>
      <w:tr w:rsidR="002A7D25" w:rsidRPr="00D53A2B" w14:paraId="46452437" w14:textId="77777777" w:rsidTr="008A08CF">
        <w:trPr>
          <w:trHeight w:val="320"/>
        </w:trPr>
        <w:tc>
          <w:tcPr>
            <w:tcW w:w="1217" w:type="dxa"/>
            <w:noWrap/>
            <w:hideMark/>
          </w:tcPr>
          <w:p w14:paraId="46037896" w14:textId="77777777" w:rsidR="002A7D25" w:rsidRPr="00D53A2B" w:rsidRDefault="002A7D25" w:rsidP="00A202FD">
            <w:pPr>
              <w:jc w:val="both"/>
              <w:rPr>
                <w:b/>
                <w:bCs/>
                <w:sz w:val="22"/>
                <w:szCs w:val="22"/>
              </w:rPr>
            </w:pPr>
            <w:r w:rsidRPr="00D53A2B">
              <w:rPr>
                <w:b/>
                <w:bCs/>
                <w:sz w:val="22"/>
                <w:szCs w:val="22"/>
              </w:rPr>
              <w:t>Cr</w:t>
            </w:r>
          </w:p>
        </w:tc>
        <w:tc>
          <w:tcPr>
            <w:tcW w:w="7709" w:type="dxa"/>
            <w:noWrap/>
            <w:hideMark/>
          </w:tcPr>
          <w:p w14:paraId="0E35F002" w14:textId="77777777" w:rsidR="002A7D25" w:rsidRPr="00D53A2B" w:rsidRDefault="002A7D25" w:rsidP="00A202FD">
            <w:pPr>
              <w:jc w:val="both"/>
              <w:rPr>
                <w:sz w:val="22"/>
                <w:szCs w:val="22"/>
              </w:rPr>
            </w:pPr>
            <w:r w:rsidRPr="00D53A2B">
              <w:rPr>
                <w:sz w:val="22"/>
                <w:szCs w:val="22"/>
              </w:rPr>
              <w:t>Krom ve bileşiklerinin toplamı, çözünmüş veya parçalara bağlı olarak ifade edilen Cr.</w:t>
            </w:r>
          </w:p>
        </w:tc>
      </w:tr>
      <w:tr w:rsidR="002A7D25" w:rsidRPr="00D53A2B" w14:paraId="5E59AC2C" w14:textId="77777777" w:rsidTr="008A08CF">
        <w:trPr>
          <w:trHeight w:val="320"/>
        </w:trPr>
        <w:tc>
          <w:tcPr>
            <w:tcW w:w="1217" w:type="dxa"/>
            <w:noWrap/>
            <w:hideMark/>
          </w:tcPr>
          <w:p w14:paraId="658B2141" w14:textId="77777777" w:rsidR="002A7D25" w:rsidRPr="00D53A2B" w:rsidRDefault="002A7D25" w:rsidP="00A202FD">
            <w:pPr>
              <w:jc w:val="both"/>
              <w:rPr>
                <w:b/>
                <w:bCs/>
                <w:sz w:val="22"/>
                <w:szCs w:val="22"/>
              </w:rPr>
            </w:pPr>
            <w:r w:rsidRPr="00D53A2B">
              <w:rPr>
                <w:b/>
                <w:bCs/>
                <w:sz w:val="22"/>
                <w:szCs w:val="22"/>
              </w:rPr>
              <w:t>Cu</w:t>
            </w:r>
          </w:p>
        </w:tc>
        <w:tc>
          <w:tcPr>
            <w:tcW w:w="7709" w:type="dxa"/>
            <w:noWrap/>
            <w:hideMark/>
          </w:tcPr>
          <w:p w14:paraId="25879B33" w14:textId="77777777" w:rsidR="002A7D25" w:rsidRPr="00D53A2B" w:rsidRDefault="002A7D25" w:rsidP="00A202FD">
            <w:pPr>
              <w:jc w:val="both"/>
              <w:rPr>
                <w:sz w:val="22"/>
                <w:szCs w:val="22"/>
              </w:rPr>
            </w:pPr>
            <w:r w:rsidRPr="00D53A2B">
              <w:rPr>
                <w:sz w:val="22"/>
                <w:szCs w:val="22"/>
              </w:rPr>
              <w:t>Bakır ve bileşiklerinin toplamı, çözünmüş veya parçalara bağlı olarak ifade edilen Cu.</w:t>
            </w:r>
          </w:p>
        </w:tc>
      </w:tr>
      <w:tr w:rsidR="002A7D25" w:rsidRPr="00D53A2B" w14:paraId="4DCAE49C" w14:textId="77777777" w:rsidTr="008A08CF">
        <w:trPr>
          <w:trHeight w:val="320"/>
        </w:trPr>
        <w:tc>
          <w:tcPr>
            <w:tcW w:w="1217" w:type="dxa"/>
            <w:noWrap/>
            <w:hideMark/>
          </w:tcPr>
          <w:p w14:paraId="312EFA1D" w14:textId="77777777" w:rsidR="002A7D25" w:rsidRPr="00D53A2B" w:rsidRDefault="002A7D25" w:rsidP="00A202FD">
            <w:pPr>
              <w:jc w:val="both"/>
              <w:rPr>
                <w:b/>
                <w:bCs/>
                <w:sz w:val="22"/>
                <w:szCs w:val="22"/>
              </w:rPr>
            </w:pPr>
            <w:r w:rsidRPr="00D53A2B">
              <w:rPr>
                <w:b/>
                <w:bCs/>
                <w:sz w:val="22"/>
                <w:szCs w:val="22"/>
              </w:rPr>
              <w:t>Toz</w:t>
            </w:r>
          </w:p>
        </w:tc>
        <w:tc>
          <w:tcPr>
            <w:tcW w:w="7709" w:type="dxa"/>
            <w:noWrap/>
            <w:hideMark/>
          </w:tcPr>
          <w:p w14:paraId="723DF41D" w14:textId="77777777" w:rsidR="002A7D25" w:rsidRPr="00D53A2B" w:rsidRDefault="002A7D25" w:rsidP="00A202FD">
            <w:pPr>
              <w:jc w:val="both"/>
              <w:rPr>
                <w:sz w:val="22"/>
                <w:szCs w:val="22"/>
              </w:rPr>
            </w:pPr>
            <w:r w:rsidRPr="00D53A2B">
              <w:rPr>
                <w:sz w:val="22"/>
                <w:szCs w:val="22"/>
              </w:rPr>
              <w:t>Havadaki toplam partikül madde.</w:t>
            </w:r>
          </w:p>
        </w:tc>
      </w:tr>
      <w:tr w:rsidR="002A7D25" w:rsidRPr="00D53A2B" w14:paraId="64A85BE4" w14:textId="77777777" w:rsidTr="008A08CF">
        <w:trPr>
          <w:trHeight w:val="320"/>
        </w:trPr>
        <w:tc>
          <w:tcPr>
            <w:tcW w:w="1217" w:type="dxa"/>
            <w:noWrap/>
            <w:hideMark/>
          </w:tcPr>
          <w:p w14:paraId="7BB11A0C" w14:textId="77777777" w:rsidR="002A7D25" w:rsidRPr="00D53A2B" w:rsidRDefault="002A7D25" w:rsidP="00A202FD">
            <w:pPr>
              <w:jc w:val="both"/>
              <w:rPr>
                <w:b/>
                <w:bCs/>
                <w:sz w:val="22"/>
                <w:szCs w:val="22"/>
              </w:rPr>
            </w:pPr>
            <w:r w:rsidRPr="00D53A2B">
              <w:rPr>
                <w:b/>
                <w:bCs/>
                <w:sz w:val="22"/>
                <w:szCs w:val="22"/>
              </w:rPr>
              <w:t>Fe</w:t>
            </w:r>
          </w:p>
        </w:tc>
        <w:tc>
          <w:tcPr>
            <w:tcW w:w="7709" w:type="dxa"/>
            <w:noWrap/>
            <w:hideMark/>
          </w:tcPr>
          <w:p w14:paraId="54413558" w14:textId="77777777" w:rsidR="002A7D25" w:rsidRPr="00D53A2B" w:rsidRDefault="002A7D25" w:rsidP="00A202FD">
            <w:pPr>
              <w:jc w:val="both"/>
              <w:rPr>
                <w:sz w:val="22"/>
                <w:szCs w:val="22"/>
              </w:rPr>
            </w:pPr>
            <w:r w:rsidRPr="00D53A2B">
              <w:rPr>
                <w:sz w:val="22"/>
                <w:szCs w:val="22"/>
              </w:rPr>
              <w:t>Demir ve bileşiklerinin toplamı, çözünmüş veya parçalara bağlı olarak ifade edilen Fe.</w:t>
            </w:r>
          </w:p>
        </w:tc>
      </w:tr>
      <w:tr w:rsidR="002A7D25" w:rsidRPr="00D53A2B" w14:paraId="147CD7E0" w14:textId="77777777" w:rsidTr="008A08CF">
        <w:trPr>
          <w:trHeight w:val="320"/>
        </w:trPr>
        <w:tc>
          <w:tcPr>
            <w:tcW w:w="1217" w:type="dxa"/>
            <w:noWrap/>
            <w:hideMark/>
          </w:tcPr>
          <w:p w14:paraId="29DA1B63" w14:textId="77777777" w:rsidR="002A7D25" w:rsidRPr="00D53A2B" w:rsidRDefault="002A7D25" w:rsidP="00A202FD">
            <w:pPr>
              <w:jc w:val="both"/>
              <w:rPr>
                <w:b/>
                <w:bCs/>
                <w:sz w:val="22"/>
                <w:szCs w:val="22"/>
              </w:rPr>
            </w:pPr>
            <w:r w:rsidRPr="00D53A2B">
              <w:rPr>
                <w:b/>
                <w:bCs/>
                <w:sz w:val="22"/>
                <w:szCs w:val="22"/>
              </w:rPr>
              <w:t>HCl</w:t>
            </w:r>
          </w:p>
        </w:tc>
        <w:tc>
          <w:tcPr>
            <w:tcW w:w="7709" w:type="dxa"/>
            <w:noWrap/>
            <w:hideMark/>
          </w:tcPr>
          <w:p w14:paraId="2F596B79" w14:textId="77777777" w:rsidR="002A7D25" w:rsidRPr="00D53A2B" w:rsidRDefault="002A7D25" w:rsidP="00A202FD">
            <w:pPr>
              <w:jc w:val="both"/>
              <w:rPr>
                <w:sz w:val="22"/>
                <w:szCs w:val="22"/>
              </w:rPr>
            </w:pPr>
            <w:r w:rsidRPr="00D53A2B">
              <w:rPr>
                <w:sz w:val="22"/>
                <w:szCs w:val="22"/>
              </w:rPr>
              <w:t>Hidrojen klorür.</w:t>
            </w:r>
          </w:p>
        </w:tc>
      </w:tr>
      <w:tr w:rsidR="002A7D25" w:rsidRPr="00D53A2B" w14:paraId="2D10A9AE" w14:textId="77777777" w:rsidTr="008A08CF">
        <w:trPr>
          <w:trHeight w:val="320"/>
        </w:trPr>
        <w:tc>
          <w:tcPr>
            <w:tcW w:w="1217" w:type="dxa"/>
            <w:noWrap/>
            <w:hideMark/>
          </w:tcPr>
          <w:p w14:paraId="14727AD4" w14:textId="77777777" w:rsidR="002A7D25" w:rsidRPr="00D53A2B" w:rsidRDefault="002A7D25" w:rsidP="00A202FD">
            <w:pPr>
              <w:jc w:val="both"/>
              <w:rPr>
                <w:b/>
                <w:bCs/>
                <w:sz w:val="22"/>
                <w:szCs w:val="22"/>
              </w:rPr>
            </w:pPr>
            <w:r w:rsidRPr="00D53A2B">
              <w:rPr>
                <w:b/>
                <w:bCs/>
                <w:sz w:val="22"/>
                <w:szCs w:val="22"/>
              </w:rPr>
              <w:t>HF</w:t>
            </w:r>
          </w:p>
        </w:tc>
        <w:tc>
          <w:tcPr>
            <w:tcW w:w="7709" w:type="dxa"/>
            <w:noWrap/>
            <w:hideMark/>
          </w:tcPr>
          <w:p w14:paraId="06DED150" w14:textId="77777777" w:rsidR="002A7D25" w:rsidRPr="00D53A2B" w:rsidRDefault="002A7D25" w:rsidP="00A202FD">
            <w:pPr>
              <w:jc w:val="both"/>
              <w:rPr>
                <w:sz w:val="22"/>
                <w:szCs w:val="22"/>
              </w:rPr>
            </w:pPr>
            <w:r w:rsidRPr="00D53A2B">
              <w:rPr>
                <w:sz w:val="22"/>
                <w:szCs w:val="22"/>
              </w:rPr>
              <w:t>Hidrojen florür.</w:t>
            </w:r>
          </w:p>
        </w:tc>
      </w:tr>
      <w:tr w:rsidR="002A7D25" w:rsidRPr="00D53A2B" w14:paraId="199CE039" w14:textId="77777777" w:rsidTr="008A08CF">
        <w:trPr>
          <w:trHeight w:val="320"/>
        </w:trPr>
        <w:tc>
          <w:tcPr>
            <w:tcW w:w="1217" w:type="dxa"/>
            <w:noWrap/>
            <w:hideMark/>
          </w:tcPr>
          <w:p w14:paraId="734A33DA" w14:textId="77777777" w:rsidR="002A7D25" w:rsidRPr="00D53A2B" w:rsidRDefault="002A7D25" w:rsidP="00A202FD">
            <w:pPr>
              <w:jc w:val="both"/>
              <w:rPr>
                <w:b/>
                <w:bCs/>
                <w:sz w:val="22"/>
                <w:szCs w:val="22"/>
              </w:rPr>
            </w:pPr>
            <w:r w:rsidRPr="00D53A2B">
              <w:rPr>
                <w:b/>
                <w:bCs/>
                <w:sz w:val="22"/>
                <w:szCs w:val="22"/>
              </w:rPr>
              <w:t>Hg</w:t>
            </w:r>
          </w:p>
        </w:tc>
        <w:tc>
          <w:tcPr>
            <w:tcW w:w="7709" w:type="dxa"/>
            <w:noWrap/>
            <w:hideMark/>
          </w:tcPr>
          <w:p w14:paraId="00B42284" w14:textId="77777777" w:rsidR="002A7D25" w:rsidRPr="00D53A2B" w:rsidRDefault="002A7D25" w:rsidP="00A202FD">
            <w:pPr>
              <w:jc w:val="both"/>
              <w:rPr>
                <w:sz w:val="22"/>
                <w:szCs w:val="22"/>
              </w:rPr>
            </w:pPr>
            <w:r w:rsidRPr="00D53A2B">
              <w:rPr>
                <w:sz w:val="22"/>
                <w:szCs w:val="22"/>
              </w:rPr>
              <w:t>Cıva ve bileşiklerinin toplamı, çözünmüş veya parçalara bağlı olarak ifade edilen Hg.</w:t>
            </w:r>
          </w:p>
        </w:tc>
      </w:tr>
      <w:tr w:rsidR="002A7D25" w:rsidRPr="00D53A2B" w14:paraId="4B4BB018" w14:textId="77777777" w:rsidTr="008A08CF">
        <w:trPr>
          <w:trHeight w:val="320"/>
        </w:trPr>
        <w:tc>
          <w:tcPr>
            <w:tcW w:w="1217" w:type="dxa"/>
            <w:noWrap/>
            <w:hideMark/>
          </w:tcPr>
          <w:p w14:paraId="32529C03" w14:textId="77777777" w:rsidR="002A7D25" w:rsidRPr="00D53A2B" w:rsidRDefault="002A7D25" w:rsidP="00A202FD">
            <w:pPr>
              <w:jc w:val="both"/>
              <w:rPr>
                <w:b/>
                <w:bCs/>
                <w:sz w:val="22"/>
                <w:szCs w:val="22"/>
              </w:rPr>
            </w:pPr>
            <w:r w:rsidRPr="00D53A2B">
              <w:rPr>
                <w:b/>
                <w:bCs/>
                <w:sz w:val="22"/>
                <w:szCs w:val="22"/>
              </w:rPr>
              <w:t>HOI</w:t>
            </w:r>
          </w:p>
        </w:tc>
        <w:tc>
          <w:tcPr>
            <w:tcW w:w="7709" w:type="dxa"/>
            <w:noWrap/>
            <w:hideMark/>
          </w:tcPr>
          <w:p w14:paraId="2637F200" w14:textId="77777777" w:rsidR="002A7D25" w:rsidRPr="00D53A2B" w:rsidRDefault="002A7D25" w:rsidP="00A202FD">
            <w:pPr>
              <w:jc w:val="both"/>
              <w:rPr>
                <w:sz w:val="22"/>
                <w:szCs w:val="22"/>
              </w:rPr>
            </w:pPr>
            <w:r w:rsidRPr="00D53A2B">
              <w:rPr>
                <w:sz w:val="22"/>
                <w:szCs w:val="22"/>
              </w:rPr>
              <w:t>Karbonhidrat yağı indeksi. Karbonhidrat çözgeni ile çıkarılabilen bileşiklerin toplamı.</w:t>
            </w:r>
          </w:p>
        </w:tc>
      </w:tr>
      <w:tr w:rsidR="002A7D25" w:rsidRPr="00D53A2B" w14:paraId="58D1E94E" w14:textId="77777777" w:rsidTr="008A08CF">
        <w:trPr>
          <w:trHeight w:val="320"/>
        </w:trPr>
        <w:tc>
          <w:tcPr>
            <w:tcW w:w="1217" w:type="dxa"/>
            <w:noWrap/>
            <w:hideMark/>
          </w:tcPr>
          <w:p w14:paraId="31AF72DB" w14:textId="77777777" w:rsidR="002A7D25" w:rsidRPr="00D53A2B" w:rsidRDefault="002A7D25" w:rsidP="00A202FD">
            <w:pPr>
              <w:jc w:val="both"/>
              <w:rPr>
                <w:b/>
                <w:bCs/>
                <w:sz w:val="22"/>
                <w:szCs w:val="22"/>
              </w:rPr>
            </w:pPr>
            <w:r w:rsidRPr="00D53A2B">
              <w:rPr>
                <w:b/>
                <w:bCs/>
                <w:sz w:val="22"/>
                <w:szCs w:val="22"/>
              </w:rPr>
              <w:t>Mg</w:t>
            </w:r>
          </w:p>
        </w:tc>
        <w:tc>
          <w:tcPr>
            <w:tcW w:w="7709" w:type="dxa"/>
            <w:noWrap/>
            <w:hideMark/>
          </w:tcPr>
          <w:p w14:paraId="32D60D88" w14:textId="77777777" w:rsidR="002A7D25" w:rsidRPr="00D53A2B" w:rsidRDefault="002A7D25" w:rsidP="00A202FD">
            <w:pPr>
              <w:jc w:val="both"/>
              <w:rPr>
                <w:sz w:val="22"/>
                <w:szCs w:val="22"/>
              </w:rPr>
            </w:pPr>
            <w:r w:rsidRPr="00D53A2B">
              <w:rPr>
                <w:sz w:val="22"/>
                <w:szCs w:val="22"/>
              </w:rPr>
              <w:t>Magnezyum.</w:t>
            </w:r>
          </w:p>
        </w:tc>
      </w:tr>
      <w:tr w:rsidR="002A7D25" w:rsidRPr="00D53A2B" w14:paraId="7B7F7B39" w14:textId="77777777" w:rsidTr="008A08CF">
        <w:trPr>
          <w:trHeight w:val="320"/>
        </w:trPr>
        <w:tc>
          <w:tcPr>
            <w:tcW w:w="1217" w:type="dxa"/>
            <w:noWrap/>
            <w:hideMark/>
          </w:tcPr>
          <w:p w14:paraId="07F03972" w14:textId="77777777" w:rsidR="002A7D25" w:rsidRPr="00D53A2B" w:rsidRDefault="002A7D25" w:rsidP="00A202FD">
            <w:pPr>
              <w:jc w:val="both"/>
              <w:rPr>
                <w:b/>
                <w:bCs/>
                <w:sz w:val="22"/>
                <w:szCs w:val="22"/>
              </w:rPr>
            </w:pPr>
            <w:r w:rsidRPr="00D53A2B">
              <w:rPr>
                <w:b/>
                <w:bCs/>
                <w:sz w:val="22"/>
                <w:szCs w:val="22"/>
              </w:rPr>
              <w:t>MgO</w:t>
            </w:r>
          </w:p>
        </w:tc>
        <w:tc>
          <w:tcPr>
            <w:tcW w:w="7709" w:type="dxa"/>
            <w:noWrap/>
            <w:hideMark/>
          </w:tcPr>
          <w:p w14:paraId="25D8714E" w14:textId="77777777" w:rsidR="002A7D25" w:rsidRPr="00D53A2B" w:rsidRDefault="002A7D25" w:rsidP="00A202FD">
            <w:pPr>
              <w:jc w:val="both"/>
              <w:rPr>
                <w:sz w:val="22"/>
                <w:szCs w:val="22"/>
              </w:rPr>
            </w:pPr>
            <w:r w:rsidRPr="00D53A2B">
              <w:rPr>
                <w:sz w:val="22"/>
                <w:szCs w:val="22"/>
              </w:rPr>
              <w:t>Magnezyum oksit.</w:t>
            </w:r>
          </w:p>
        </w:tc>
      </w:tr>
      <w:tr w:rsidR="002A7D25" w:rsidRPr="00D53A2B" w14:paraId="55AF5BB8" w14:textId="77777777" w:rsidTr="008A08CF">
        <w:trPr>
          <w:trHeight w:val="320"/>
        </w:trPr>
        <w:tc>
          <w:tcPr>
            <w:tcW w:w="1217" w:type="dxa"/>
            <w:noWrap/>
            <w:hideMark/>
          </w:tcPr>
          <w:p w14:paraId="64A73B42" w14:textId="77777777" w:rsidR="002A7D25" w:rsidRPr="00D53A2B" w:rsidRDefault="002A7D25" w:rsidP="00A202FD">
            <w:pPr>
              <w:jc w:val="both"/>
              <w:rPr>
                <w:b/>
                <w:bCs/>
                <w:sz w:val="22"/>
                <w:szCs w:val="22"/>
              </w:rPr>
            </w:pPr>
            <w:r w:rsidRPr="00D53A2B">
              <w:rPr>
                <w:b/>
                <w:bCs/>
                <w:sz w:val="22"/>
                <w:szCs w:val="22"/>
              </w:rPr>
              <w:t>MgS</w:t>
            </w:r>
          </w:p>
        </w:tc>
        <w:tc>
          <w:tcPr>
            <w:tcW w:w="7709" w:type="dxa"/>
            <w:noWrap/>
            <w:hideMark/>
          </w:tcPr>
          <w:p w14:paraId="7E992F0F" w14:textId="77777777" w:rsidR="002A7D25" w:rsidRPr="00D53A2B" w:rsidRDefault="002A7D25" w:rsidP="00A202FD">
            <w:pPr>
              <w:jc w:val="both"/>
              <w:rPr>
                <w:sz w:val="22"/>
                <w:szCs w:val="22"/>
              </w:rPr>
            </w:pPr>
            <w:r w:rsidRPr="00D53A2B">
              <w:rPr>
                <w:sz w:val="22"/>
                <w:szCs w:val="22"/>
              </w:rPr>
              <w:t>Magnezyum sülfür.</w:t>
            </w:r>
          </w:p>
        </w:tc>
      </w:tr>
      <w:tr w:rsidR="002A7D25" w:rsidRPr="00D53A2B" w14:paraId="7DE33965" w14:textId="77777777" w:rsidTr="008A08CF">
        <w:trPr>
          <w:trHeight w:val="320"/>
        </w:trPr>
        <w:tc>
          <w:tcPr>
            <w:tcW w:w="1217" w:type="dxa"/>
            <w:noWrap/>
            <w:hideMark/>
          </w:tcPr>
          <w:p w14:paraId="435E72B1" w14:textId="77777777" w:rsidR="002A7D25" w:rsidRPr="00D53A2B" w:rsidRDefault="002A7D25" w:rsidP="00A202FD">
            <w:pPr>
              <w:jc w:val="both"/>
              <w:rPr>
                <w:b/>
                <w:bCs/>
                <w:sz w:val="22"/>
                <w:szCs w:val="22"/>
              </w:rPr>
            </w:pPr>
            <w:r w:rsidRPr="00D53A2B">
              <w:rPr>
                <w:b/>
                <w:bCs/>
                <w:sz w:val="22"/>
                <w:szCs w:val="22"/>
              </w:rPr>
              <w:t>MgSO</w:t>
            </w:r>
            <w:r w:rsidRPr="00D53A2B">
              <w:rPr>
                <w:b/>
                <w:bCs/>
                <w:sz w:val="22"/>
                <w:szCs w:val="22"/>
                <w:vertAlign w:val="subscript"/>
              </w:rPr>
              <w:t>4</w:t>
            </w:r>
          </w:p>
        </w:tc>
        <w:tc>
          <w:tcPr>
            <w:tcW w:w="7709" w:type="dxa"/>
            <w:noWrap/>
            <w:hideMark/>
          </w:tcPr>
          <w:p w14:paraId="1962C9C5" w14:textId="77777777" w:rsidR="002A7D25" w:rsidRPr="00D53A2B" w:rsidRDefault="002A7D25" w:rsidP="00A202FD">
            <w:pPr>
              <w:jc w:val="both"/>
              <w:rPr>
                <w:sz w:val="22"/>
                <w:szCs w:val="22"/>
              </w:rPr>
            </w:pPr>
            <w:r w:rsidRPr="00D53A2B">
              <w:rPr>
                <w:sz w:val="22"/>
                <w:szCs w:val="22"/>
              </w:rPr>
              <w:t>Magnezyum sülfat.</w:t>
            </w:r>
          </w:p>
        </w:tc>
      </w:tr>
      <w:tr w:rsidR="002A7D25" w:rsidRPr="00D53A2B" w14:paraId="2EAB9D3F" w14:textId="77777777" w:rsidTr="008A08CF">
        <w:trPr>
          <w:trHeight w:val="320"/>
        </w:trPr>
        <w:tc>
          <w:tcPr>
            <w:tcW w:w="1217" w:type="dxa"/>
            <w:noWrap/>
            <w:hideMark/>
          </w:tcPr>
          <w:p w14:paraId="111DC5B0" w14:textId="77777777" w:rsidR="002A7D25" w:rsidRPr="00D53A2B" w:rsidRDefault="002A7D25" w:rsidP="00A202FD">
            <w:pPr>
              <w:jc w:val="both"/>
              <w:rPr>
                <w:b/>
                <w:bCs/>
                <w:sz w:val="22"/>
                <w:szCs w:val="22"/>
              </w:rPr>
            </w:pPr>
            <w:r w:rsidRPr="00D53A2B">
              <w:rPr>
                <w:b/>
                <w:bCs/>
                <w:sz w:val="22"/>
                <w:szCs w:val="22"/>
              </w:rPr>
              <w:t>Ni</w:t>
            </w:r>
          </w:p>
        </w:tc>
        <w:tc>
          <w:tcPr>
            <w:tcW w:w="7709" w:type="dxa"/>
            <w:noWrap/>
            <w:hideMark/>
          </w:tcPr>
          <w:p w14:paraId="3E35BD4A" w14:textId="77777777" w:rsidR="002A7D25" w:rsidRPr="00D53A2B" w:rsidRDefault="002A7D25" w:rsidP="00A202FD">
            <w:pPr>
              <w:jc w:val="both"/>
              <w:rPr>
                <w:sz w:val="22"/>
                <w:szCs w:val="22"/>
              </w:rPr>
            </w:pPr>
            <w:r w:rsidRPr="00D53A2B">
              <w:rPr>
                <w:sz w:val="22"/>
                <w:szCs w:val="22"/>
              </w:rPr>
              <w:t>Nikel ve bileşiklerinin toplamı, çözünmüş veya parçalara bağlı olarak ifade edilen Ni.</w:t>
            </w:r>
          </w:p>
        </w:tc>
      </w:tr>
      <w:tr w:rsidR="002A7D25" w:rsidRPr="00D53A2B" w14:paraId="4A1D7DBE" w14:textId="77777777" w:rsidTr="008A08CF">
        <w:trPr>
          <w:trHeight w:val="320"/>
        </w:trPr>
        <w:tc>
          <w:tcPr>
            <w:tcW w:w="1217" w:type="dxa"/>
            <w:noWrap/>
            <w:hideMark/>
          </w:tcPr>
          <w:p w14:paraId="08BC39CE" w14:textId="77777777" w:rsidR="002A7D25" w:rsidRPr="00D53A2B" w:rsidRDefault="002A7D25" w:rsidP="00A202FD">
            <w:pPr>
              <w:jc w:val="both"/>
              <w:rPr>
                <w:b/>
                <w:bCs/>
                <w:sz w:val="22"/>
                <w:szCs w:val="22"/>
              </w:rPr>
            </w:pPr>
            <w:r w:rsidRPr="00D53A2B">
              <w:rPr>
                <w:b/>
                <w:bCs/>
                <w:sz w:val="22"/>
                <w:szCs w:val="22"/>
              </w:rPr>
              <w:t>NOX</w:t>
            </w:r>
          </w:p>
        </w:tc>
        <w:tc>
          <w:tcPr>
            <w:tcW w:w="7709" w:type="dxa"/>
            <w:noWrap/>
            <w:hideMark/>
          </w:tcPr>
          <w:p w14:paraId="380244FD" w14:textId="77777777" w:rsidR="002A7D25" w:rsidRPr="00D53A2B" w:rsidRDefault="002A7D25" w:rsidP="00A202FD">
            <w:pPr>
              <w:jc w:val="both"/>
              <w:rPr>
                <w:sz w:val="22"/>
                <w:szCs w:val="22"/>
              </w:rPr>
            </w:pPr>
            <w:r w:rsidRPr="00D53A2B">
              <w:rPr>
                <w:sz w:val="22"/>
                <w:szCs w:val="22"/>
              </w:rPr>
              <w:t>Azot monoksit (NO) ve azot dioksit (NO</w:t>
            </w:r>
            <w:r w:rsidRPr="00D53A2B">
              <w:rPr>
                <w:sz w:val="22"/>
                <w:szCs w:val="22"/>
                <w:vertAlign w:val="subscript"/>
              </w:rPr>
              <w:t>2</w:t>
            </w:r>
            <w:r w:rsidRPr="00D53A2B">
              <w:rPr>
                <w:sz w:val="22"/>
                <w:szCs w:val="22"/>
              </w:rPr>
              <w:t>) toplamı, NO</w:t>
            </w:r>
            <w:r w:rsidRPr="00D53A2B">
              <w:rPr>
                <w:sz w:val="22"/>
                <w:szCs w:val="22"/>
                <w:vertAlign w:val="subscript"/>
              </w:rPr>
              <w:t>2</w:t>
            </w:r>
            <w:r w:rsidRPr="00D53A2B">
              <w:rPr>
                <w:sz w:val="22"/>
                <w:szCs w:val="22"/>
              </w:rPr>
              <w:t xml:space="preserve"> olarak ifade edilir.</w:t>
            </w:r>
          </w:p>
        </w:tc>
      </w:tr>
      <w:tr w:rsidR="002A7D25" w:rsidRPr="00D53A2B" w14:paraId="0967A293" w14:textId="77777777" w:rsidTr="008A08CF">
        <w:trPr>
          <w:trHeight w:val="320"/>
        </w:trPr>
        <w:tc>
          <w:tcPr>
            <w:tcW w:w="1217" w:type="dxa"/>
            <w:noWrap/>
            <w:hideMark/>
          </w:tcPr>
          <w:p w14:paraId="686DC813" w14:textId="77777777" w:rsidR="002A7D25" w:rsidRPr="00D53A2B" w:rsidRDefault="002A7D25" w:rsidP="00A202FD">
            <w:pPr>
              <w:jc w:val="both"/>
              <w:rPr>
                <w:b/>
                <w:bCs/>
                <w:sz w:val="22"/>
                <w:szCs w:val="22"/>
              </w:rPr>
            </w:pPr>
            <w:r w:rsidRPr="00D53A2B">
              <w:rPr>
                <w:b/>
                <w:bCs/>
                <w:sz w:val="22"/>
                <w:szCs w:val="22"/>
              </w:rPr>
              <w:t>PCDD/F</w:t>
            </w:r>
          </w:p>
        </w:tc>
        <w:tc>
          <w:tcPr>
            <w:tcW w:w="7709" w:type="dxa"/>
            <w:noWrap/>
            <w:hideMark/>
          </w:tcPr>
          <w:p w14:paraId="56A169E0" w14:textId="77777777" w:rsidR="002A7D25" w:rsidRPr="00D53A2B" w:rsidRDefault="002A7D25" w:rsidP="00A202FD">
            <w:pPr>
              <w:jc w:val="both"/>
              <w:rPr>
                <w:sz w:val="22"/>
                <w:szCs w:val="22"/>
              </w:rPr>
            </w:pPr>
            <w:r w:rsidRPr="00D53A2B">
              <w:rPr>
                <w:sz w:val="22"/>
                <w:szCs w:val="22"/>
              </w:rPr>
              <w:t>Poliklorlu dibenzoparadioksinler/furanlar.</w:t>
            </w:r>
          </w:p>
        </w:tc>
      </w:tr>
      <w:tr w:rsidR="002A7D25" w:rsidRPr="00D53A2B" w14:paraId="073BC65B" w14:textId="77777777" w:rsidTr="008A08CF">
        <w:trPr>
          <w:trHeight w:val="320"/>
        </w:trPr>
        <w:tc>
          <w:tcPr>
            <w:tcW w:w="1217" w:type="dxa"/>
            <w:noWrap/>
            <w:hideMark/>
          </w:tcPr>
          <w:p w14:paraId="67D49FF7" w14:textId="77777777" w:rsidR="002A7D25" w:rsidRPr="00D53A2B" w:rsidRDefault="002A7D25" w:rsidP="00A202FD">
            <w:pPr>
              <w:jc w:val="both"/>
              <w:rPr>
                <w:b/>
                <w:bCs/>
                <w:sz w:val="22"/>
                <w:szCs w:val="22"/>
              </w:rPr>
            </w:pPr>
            <w:r w:rsidRPr="00D53A2B">
              <w:rPr>
                <w:b/>
                <w:bCs/>
                <w:sz w:val="22"/>
                <w:szCs w:val="22"/>
              </w:rPr>
              <w:t>Fenol indeksi</w:t>
            </w:r>
          </w:p>
        </w:tc>
        <w:tc>
          <w:tcPr>
            <w:tcW w:w="7709" w:type="dxa"/>
            <w:noWrap/>
            <w:hideMark/>
          </w:tcPr>
          <w:p w14:paraId="6309BA45" w14:textId="77777777" w:rsidR="002A7D25" w:rsidRPr="00D53A2B" w:rsidRDefault="002A7D25" w:rsidP="00A202FD">
            <w:pPr>
              <w:jc w:val="both"/>
              <w:rPr>
                <w:sz w:val="22"/>
                <w:szCs w:val="22"/>
              </w:rPr>
            </w:pPr>
            <w:r w:rsidRPr="00D53A2B">
              <w:rPr>
                <w:sz w:val="22"/>
                <w:szCs w:val="22"/>
              </w:rPr>
              <w:t>Fenolik bileşiklerin toplamı, fenol konsantrasyonu olarak ifade edilir ve EN ISO 14402'ye göre ölçülür.</w:t>
            </w:r>
          </w:p>
        </w:tc>
      </w:tr>
      <w:tr w:rsidR="002A7D25" w:rsidRPr="00D53A2B" w14:paraId="478BB375" w14:textId="77777777" w:rsidTr="008A08CF">
        <w:trPr>
          <w:trHeight w:val="320"/>
        </w:trPr>
        <w:tc>
          <w:tcPr>
            <w:tcW w:w="1217" w:type="dxa"/>
            <w:noWrap/>
            <w:hideMark/>
          </w:tcPr>
          <w:p w14:paraId="1B354A02" w14:textId="77777777" w:rsidR="002A7D25" w:rsidRPr="00D53A2B" w:rsidRDefault="002A7D25" w:rsidP="00A202FD">
            <w:pPr>
              <w:jc w:val="both"/>
              <w:rPr>
                <w:b/>
                <w:bCs/>
                <w:sz w:val="22"/>
                <w:szCs w:val="22"/>
              </w:rPr>
            </w:pPr>
            <w:r w:rsidRPr="00D53A2B">
              <w:rPr>
                <w:b/>
                <w:bCs/>
                <w:sz w:val="22"/>
                <w:szCs w:val="22"/>
              </w:rPr>
              <w:t>Pb</w:t>
            </w:r>
          </w:p>
        </w:tc>
        <w:tc>
          <w:tcPr>
            <w:tcW w:w="7709" w:type="dxa"/>
            <w:noWrap/>
            <w:hideMark/>
          </w:tcPr>
          <w:p w14:paraId="6664E400" w14:textId="77777777" w:rsidR="002A7D25" w:rsidRPr="00D53A2B" w:rsidRDefault="002A7D25" w:rsidP="00A202FD">
            <w:pPr>
              <w:jc w:val="both"/>
              <w:rPr>
                <w:sz w:val="22"/>
                <w:szCs w:val="22"/>
              </w:rPr>
            </w:pPr>
            <w:r w:rsidRPr="00D53A2B">
              <w:rPr>
                <w:sz w:val="22"/>
                <w:szCs w:val="22"/>
              </w:rPr>
              <w:t>Kurşun ve bileşiklerinin toplamı, su veya hava ortamında çözünmüş veya parçalara bağlı olarak ifade edilen Pb.</w:t>
            </w:r>
          </w:p>
        </w:tc>
      </w:tr>
      <w:tr w:rsidR="002A7D25" w:rsidRPr="00D53A2B" w14:paraId="2F481802" w14:textId="77777777" w:rsidTr="008A08CF">
        <w:trPr>
          <w:trHeight w:val="320"/>
        </w:trPr>
        <w:tc>
          <w:tcPr>
            <w:tcW w:w="1217" w:type="dxa"/>
            <w:noWrap/>
            <w:hideMark/>
          </w:tcPr>
          <w:p w14:paraId="55707914" w14:textId="77777777" w:rsidR="002A7D25" w:rsidRPr="00D53A2B" w:rsidRDefault="002A7D25" w:rsidP="00A202FD">
            <w:pPr>
              <w:jc w:val="both"/>
              <w:rPr>
                <w:b/>
                <w:bCs/>
                <w:sz w:val="22"/>
                <w:szCs w:val="22"/>
              </w:rPr>
            </w:pPr>
            <w:r w:rsidRPr="00D53A2B">
              <w:rPr>
                <w:b/>
                <w:bCs/>
                <w:sz w:val="22"/>
                <w:szCs w:val="22"/>
              </w:rPr>
              <w:t>SO</w:t>
            </w:r>
            <w:r w:rsidRPr="00D53A2B">
              <w:rPr>
                <w:b/>
                <w:bCs/>
                <w:sz w:val="22"/>
                <w:szCs w:val="22"/>
                <w:vertAlign w:val="subscript"/>
              </w:rPr>
              <w:t>2</w:t>
            </w:r>
          </w:p>
        </w:tc>
        <w:tc>
          <w:tcPr>
            <w:tcW w:w="7709" w:type="dxa"/>
            <w:noWrap/>
            <w:hideMark/>
          </w:tcPr>
          <w:p w14:paraId="56E1CB7B" w14:textId="77777777" w:rsidR="002A7D25" w:rsidRPr="00D53A2B" w:rsidRDefault="002A7D25" w:rsidP="00A202FD">
            <w:pPr>
              <w:jc w:val="both"/>
              <w:rPr>
                <w:sz w:val="22"/>
                <w:szCs w:val="22"/>
              </w:rPr>
            </w:pPr>
            <w:r w:rsidRPr="00D53A2B">
              <w:rPr>
                <w:sz w:val="22"/>
                <w:szCs w:val="22"/>
              </w:rPr>
              <w:t>Kükürt dioksit.</w:t>
            </w:r>
          </w:p>
        </w:tc>
      </w:tr>
      <w:tr w:rsidR="002A7D25" w:rsidRPr="00D53A2B" w14:paraId="597CFDE6" w14:textId="77777777" w:rsidTr="008A08CF">
        <w:trPr>
          <w:trHeight w:val="320"/>
        </w:trPr>
        <w:tc>
          <w:tcPr>
            <w:tcW w:w="1217" w:type="dxa"/>
            <w:noWrap/>
            <w:hideMark/>
          </w:tcPr>
          <w:p w14:paraId="7BCDD4E6" w14:textId="77777777" w:rsidR="002A7D25" w:rsidRPr="00D53A2B" w:rsidRDefault="002A7D25" w:rsidP="00A202FD">
            <w:pPr>
              <w:jc w:val="both"/>
              <w:rPr>
                <w:b/>
                <w:bCs/>
                <w:sz w:val="22"/>
                <w:szCs w:val="22"/>
              </w:rPr>
            </w:pPr>
            <w:r w:rsidRPr="00D53A2B">
              <w:rPr>
                <w:b/>
                <w:bCs/>
                <w:sz w:val="22"/>
                <w:szCs w:val="22"/>
              </w:rPr>
              <w:t>TOC</w:t>
            </w:r>
          </w:p>
        </w:tc>
        <w:tc>
          <w:tcPr>
            <w:tcW w:w="7709" w:type="dxa"/>
            <w:noWrap/>
            <w:hideMark/>
          </w:tcPr>
          <w:p w14:paraId="226D6308" w14:textId="77777777" w:rsidR="002A7D25" w:rsidRPr="00D53A2B" w:rsidRDefault="002A7D25" w:rsidP="00A202FD">
            <w:pPr>
              <w:jc w:val="both"/>
              <w:rPr>
                <w:sz w:val="22"/>
                <w:szCs w:val="22"/>
              </w:rPr>
            </w:pPr>
            <w:r w:rsidRPr="00D53A2B">
              <w:rPr>
                <w:sz w:val="22"/>
                <w:szCs w:val="22"/>
              </w:rPr>
              <w:t>Toplam organik karbon, su ortamında C olarak ifade edilir, tüm organik bileşenleri içerir.</w:t>
            </w:r>
          </w:p>
        </w:tc>
      </w:tr>
      <w:tr w:rsidR="002A7D25" w:rsidRPr="00D53A2B" w14:paraId="49B81684" w14:textId="77777777" w:rsidTr="008A08CF">
        <w:trPr>
          <w:trHeight w:val="320"/>
        </w:trPr>
        <w:tc>
          <w:tcPr>
            <w:tcW w:w="1217" w:type="dxa"/>
            <w:noWrap/>
            <w:hideMark/>
          </w:tcPr>
          <w:p w14:paraId="2B255226" w14:textId="77777777" w:rsidR="002A7D25" w:rsidRPr="00D53A2B" w:rsidRDefault="002A7D25" w:rsidP="00A202FD">
            <w:pPr>
              <w:jc w:val="both"/>
              <w:rPr>
                <w:b/>
                <w:bCs/>
                <w:sz w:val="22"/>
                <w:szCs w:val="22"/>
              </w:rPr>
            </w:pPr>
            <w:r w:rsidRPr="00D53A2B">
              <w:rPr>
                <w:b/>
                <w:bCs/>
                <w:sz w:val="22"/>
                <w:szCs w:val="22"/>
              </w:rPr>
              <w:t>TSS</w:t>
            </w:r>
          </w:p>
        </w:tc>
        <w:tc>
          <w:tcPr>
            <w:tcW w:w="7709" w:type="dxa"/>
            <w:noWrap/>
            <w:hideMark/>
          </w:tcPr>
          <w:p w14:paraId="51CD3D5E" w14:textId="77777777" w:rsidR="002A7D25" w:rsidRPr="00D53A2B" w:rsidRDefault="002A7D25" w:rsidP="00A202FD">
            <w:pPr>
              <w:jc w:val="both"/>
              <w:rPr>
                <w:sz w:val="22"/>
                <w:szCs w:val="22"/>
              </w:rPr>
            </w:pPr>
            <w:r w:rsidRPr="00D53A2B">
              <w:rPr>
                <w:sz w:val="22"/>
                <w:szCs w:val="22"/>
              </w:rPr>
              <w:t>Toplam askıda katı maddeler. Suda askıda bulunan tüm katı maddelerin kütle konsantrasyonu, cam elyaf filtresiyle filtrasyon ve gravimetrik yöntemle ölçülür.</w:t>
            </w:r>
          </w:p>
        </w:tc>
      </w:tr>
      <w:tr w:rsidR="002A7D25" w:rsidRPr="00D53A2B" w14:paraId="21FC09DA" w14:textId="77777777" w:rsidTr="008A08CF">
        <w:trPr>
          <w:trHeight w:val="320"/>
        </w:trPr>
        <w:tc>
          <w:tcPr>
            <w:tcW w:w="1217" w:type="dxa"/>
            <w:noWrap/>
            <w:hideMark/>
          </w:tcPr>
          <w:p w14:paraId="364497DA" w14:textId="77777777" w:rsidR="002A7D25" w:rsidRPr="00D53A2B" w:rsidRDefault="002A7D25" w:rsidP="00A202FD">
            <w:pPr>
              <w:jc w:val="both"/>
              <w:rPr>
                <w:b/>
                <w:bCs/>
                <w:sz w:val="22"/>
                <w:szCs w:val="22"/>
              </w:rPr>
            </w:pPr>
            <w:r w:rsidRPr="00D53A2B">
              <w:rPr>
                <w:b/>
                <w:bCs/>
                <w:sz w:val="22"/>
                <w:szCs w:val="22"/>
              </w:rPr>
              <w:lastRenderedPageBreak/>
              <w:t>Toplam azot (TN)</w:t>
            </w:r>
          </w:p>
        </w:tc>
        <w:tc>
          <w:tcPr>
            <w:tcW w:w="7709" w:type="dxa"/>
            <w:noWrap/>
            <w:hideMark/>
          </w:tcPr>
          <w:p w14:paraId="00824E21" w14:textId="77777777" w:rsidR="002A7D25" w:rsidRPr="00D53A2B" w:rsidRDefault="002A7D25" w:rsidP="00A202FD">
            <w:pPr>
              <w:jc w:val="both"/>
              <w:rPr>
                <w:sz w:val="22"/>
                <w:szCs w:val="22"/>
              </w:rPr>
            </w:pPr>
            <w:r w:rsidRPr="00D53A2B">
              <w:rPr>
                <w:sz w:val="22"/>
                <w:szCs w:val="22"/>
              </w:rPr>
              <w:t>Toplam azot, N olarak ifade edilir, serbest amonyak ve amonyum azotu (NH4-N), nitrit azotu (NO2-N), nitrat azotu (NO3-N) ve organik bağlı azotu içerir.</w:t>
            </w:r>
          </w:p>
        </w:tc>
      </w:tr>
      <w:tr w:rsidR="002A7D25" w:rsidRPr="00D53A2B" w14:paraId="2E98800B" w14:textId="77777777" w:rsidTr="008A08CF">
        <w:trPr>
          <w:trHeight w:val="320"/>
        </w:trPr>
        <w:tc>
          <w:tcPr>
            <w:tcW w:w="1217" w:type="dxa"/>
            <w:noWrap/>
            <w:hideMark/>
          </w:tcPr>
          <w:p w14:paraId="5D12BD12" w14:textId="77777777" w:rsidR="002A7D25" w:rsidRPr="00D53A2B" w:rsidRDefault="002A7D25" w:rsidP="00A202FD">
            <w:pPr>
              <w:jc w:val="both"/>
              <w:rPr>
                <w:b/>
                <w:bCs/>
                <w:sz w:val="22"/>
                <w:szCs w:val="22"/>
              </w:rPr>
            </w:pPr>
            <w:r w:rsidRPr="00D53A2B">
              <w:rPr>
                <w:b/>
                <w:bCs/>
                <w:sz w:val="22"/>
                <w:szCs w:val="22"/>
              </w:rPr>
              <w:t>TVOC</w:t>
            </w:r>
          </w:p>
        </w:tc>
        <w:tc>
          <w:tcPr>
            <w:tcW w:w="7709" w:type="dxa"/>
            <w:noWrap/>
            <w:hideMark/>
          </w:tcPr>
          <w:p w14:paraId="32EC4ED1" w14:textId="77777777" w:rsidR="002A7D25" w:rsidRPr="00D53A2B" w:rsidRDefault="002A7D25" w:rsidP="00A202FD">
            <w:pPr>
              <w:jc w:val="both"/>
              <w:rPr>
                <w:sz w:val="22"/>
                <w:szCs w:val="22"/>
              </w:rPr>
            </w:pPr>
            <w:r w:rsidRPr="00D53A2B">
              <w:rPr>
                <w:sz w:val="22"/>
                <w:szCs w:val="22"/>
              </w:rPr>
              <w:t>Toplam uçucu organik karbon, hava ortamında C olarak ifade edilir.</w:t>
            </w:r>
          </w:p>
        </w:tc>
      </w:tr>
      <w:tr w:rsidR="002A7D25" w:rsidRPr="00D53A2B" w14:paraId="3D39AFC4" w14:textId="77777777" w:rsidTr="008A08CF">
        <w:trPr>
          <w:trHeight w:val="320"/>
        </w:trPr>
        <w:tc>
          <w:tcPr>
            <w:tcW w:w="1217" w:type="dxa"/>
            <w:noWrap/>
            <w:hideMark/>
          </w:tcPr>
          <w:p w14:paraId="2B74F0DA" w14:textId="0EE263AE" w:rsidR="002A7D25" w:rsidRPr="00D53A2B" w:rsidRDefault="00602365" w:rsidP="00A202FD">
            <w:pPr>
              <w:jc w:val="both"/>
              <w:rPr>
                <w:b/>
                <w:bCs/>
                <w:sz w:val="22"/>
                <w:szCs w:val="22"/>
              </w:rPr>
            </w:pPr>
            <w:r>
              <w:rPr>
                <w:b/>
                <w:bCs/>
                <w:sz w:val="22"/>
                <w:szCs w:val="22"/>
              </w:rPr>
              <w:t>UOB</w:t>
            </w:r>
          </w:p>
        </w:tc>
        <w:tc>
          <w:tcPr>
            <w:tcW w:w="7709" w:type="dxa"/>
            <w:noWrap/>
            <w:hideMark/>
          </w:tcPr>
          <w:p w14:paraId="4048A048" w14:textId="77777777" w:rsidR="002A7D25" w:rsidRPr="00D53A2B" w:rsidRDefault="002A7D25" w:rsidP="00A202FD">
            <w:pPr>
              <w:jc w:val="both"/>
              <w:rPr>
                <w:sz w:val="22"/>
                <w:szCs w:val="22"/>
              </w:rPr>
            </w:pPr>
            <w:r w:rsidRPr="00D53A2B">
              <w:rPr>
                <w:sz w:val="22"/>
                <w:szCs w:val="22"/>
              </w:rPr>
              <w:t>Uçucu organik bileşen, 2010/75/EU Direktifinin 3 maddesinde tanımlandığı şekilde.</w:t>
            </w:r>
          </w:p>
        </w:tc>
      </w:tr>
      <w:tr w:rsidR="002A7D25" w:rsidRPr="00D53A2B" w14:paraId="2E1DB0D6" w14:textId="77777777" w:rsidTr="008A08CF">
        <w:trPr>
          <w:trHeight w:val="320"/>
        </w:trPr>
        <w:tc>
          <w:tcPr>
            <w:tcW w:w="1217" w:type="dxa"/>
            <w:noWrap/>
            <w:hideMark/>
          </w:tcPr>
          <w:p w14:paraId="6918C239" w14:textId="77777777" w:rsidR="002A7D25" w:rsidRPr="00D53A2B" w:rsidRDefault="002A7D25" w:rsidP="00A202FD">
            <w:pPr>
              <w:jc w:val="both"/>
              <w:rPr>
                <w:b/>
                <w:bCs/>
                <w:sz w:val="22"/>
                <w:szCs w:val="22"/>
              </w:rPr>
            </w:pPr>
            <w:r w:rsidRPr="00D53A2B">
              <w:rPr>
                <w:b/>
                <w:bCs/>
                <w:sz w:val="22"/>
                <w:szCs w:val="22"/>
              </w:rPr>
              <w:t>Zn</w:t>
            </w:r>
          </w:p>
        </w:tc>
        <w:tc>
          <w:tcPr>
            <w:tcW w:w="7709" w:type="dxa"/>
            <w:noWrap/>
            <w:hideMark/>
          </w:tcPr>
          <w:p w14:paraId="75E0049B" w14:textId="77777777" w:rsidR="002A7D25" w:rsidRPr="00D53A2B" w:rsidRDefault="002A7D25" w:rsidP="00A202FD">
            <w:pPr>
              <w:jc w:val="both"/>
              <w:rPr>
                <w:sz w:val="22"/>
                <w:szCs w:val="22"/>
              </w:rPr>
            </w:pPr>
            <w:r w:rsidRPr="00D53A2B">
              <w:rPr>
                <w:sz w:val="22"/>
                <w:szCs w:val="22"/>
              </w:rPr>
              <w:t>Çinko ve bileşiklerinin toplamı, çözünmüş veya parçalara bağlı olarak ifade edilen Zn.</w:t>
            </w:r>
          </w:p>
        </w:tc>
      </w:tr>
    </w:tbl>
    <w:p w14:paraId="201D32A1" w14:textId="77777777" w:rsidR="002A7D25" w:rsidRPr="00D53A2B" w:rsidRDefault="002A7D25" w:rsidP="00A202FD">
      <w:pPr>
        <w:jc w:val="both"/>
        <w:rPr>
          <w:rFonts w:eastAsia="DengXian Light"/>
          <w:lang w:val="en-US" w:eastAsia="en-US"/>
        </w:rPr>
      </w:pPr>
    </w:p>
    <w:p w14:paraId="06AB8581" w14:textId="77777777" w:rsidR="002A7D25" w:rsidRPr="00D53A2B" w:rsidRDefault="002A7D25" w:rsidP="00A202FD">
      <w:pPr>
        <w:jc w:val="both"/>
        <w:rPr>
          <w:rFonts w:eastAsia="DengXian Light"/>
          <w:lang w:val="en-US" w:eastAsia="en-US"/>
        </w:rPr>
      </w:pPr>
    </w:p>
    <w:p w14:paraId="4E3102A4" w14:textId="77777777" w:rsidR="002A7D25" w:rsidRPr="00D53A2B" w:rsidRDefault="002A7D25" w:rsidP="00A202FD">
      <w:pPr>
        <w:jc w:val="both"/>
        <w:rPr>
          <w:rFonts w:eastAsia="DengXian Light"/>
          <w:lang w:val="en-US" w:eastAsia="en-US"/>
        </w:rPr>
      </w:pPr>
    </w:p>
    <w:p w14:paraId="304F6D6A" w14:textId="656AE95A" w:rsidR="005F08C8" w:rsidRPr="00D53A2B" w:rsidRDefault="005F08C8" w:rsidP="00A202FD">
      <w:pPr>
        <w:pStyle w:val="Balk2"/>
        <w:rPr>
          <w:rFonts w:eastAsia="Calibri" w:cs="Times New Roman"/>
          <w:szCs w:val="24"/>
          <w:lang w:val="en-US" w:eastAsia="en-US"/>
        </w:rPr>
      </w:pPr>
      <w:r w:rsidRPr="00D53A2B">
        <w:rPr>
          <w:rFonts w:eastAsia="Calibri" w:cs="Times New Roman"/>
          <w:szCs w:val="24"/>
          <w:lang w:val="en-US" w:eastAsia="en-US"/>
        </w:rPr>
        <w:t>KISALTMALAR</w:t>
      </w:r>
    </w:p>
    <w:p w14:paraId="46467C15" w14:textId="0B7DA2D4" w:rsidR="005F08C8" w:rsidRPr="00D53A2B" w:rsidRDefault="005F08C8" w:rsidP="00A202FD">
      <w:pPr>
        <w:pStyle w:val="Balk3"/>
        <w:rPr>
          <w:rFonts w:eastAsia="Calibri" w:cs="Times New Roman"/>
          <w:lang w:val="en-US" w:eastAsia="en-US"/>
        </w:rPr>
      </w:pPr>
      <w:r w:rsidRPr="00D53A2B">
        <w:rPr>
          <w:rFonts w:eastAsia="Calibri" w:cs="Times New Roman"/>
          <w:lang w:val="en-US" w:eastAsia="en-US"/>
        </w:rPr>
        <w:t>1. Demirli Metalleri İşleme Endüstrisi</w:t>
      </w:r>
    </w:p>
    <w:p w14:paraId="653CC9B7" w14:textId="0D4FBEB8" w:rsidR="00A60F99" w:rsidRPr="00D53A2B" w:rsidRDefault="005F08C8" w:rsidP="00A202FD">
      <w:pPr>
        <w:jc w:val="both"/>
        <w:rPr>
          <w:rFonts w:eastAsia="DengXian Light"/>
          <w:lang w:val="en-US" w:eastAsia="en-US"/>
        </w:rPr>
      </w:pPr>
      <w:r w:rsidRPr="00D53A2B">
        <w:rPr>
          <w:rFonts w:eastAsia="DengXian Light"/>
          <w:lang w:val="en-US" w:eastAsia="en-US"/>
        </w:rPr>
        <w:t xml:space="preserve">Bu </w:t>
      </w:r>
      <w:r w:rsidR="00651500" w:rsidRPr="00D53A2B">
        <w:rPr>
          <w:rFonts w:eastAsia="DengXian Light"/>
          <w:lang w:val="en-US" w:eastAsia="en-US"/>
        </w:rPr>
        <w:t>MET</w:t>
      </w:r>
      <w:r w:rsidRPr="00D53A2B">
        <w:rPr>
          <w:rFonts w:eastAsia="DengXian Light"/>
          <w:lang w:val="en-US" w:eastAsia="en-US"/>
        </w:rPr>
        <w:t>sonuçlarının amaçları doğrultusunda aşağıdaki kısaltmalar geçerlidir:</w:t>
      </w: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041"/>
        <w:gridCol w:w="7884"/>
      </w:tblGrid>
      <w:tr w:rsidR="00F72785" w:rsidRPr="00D53A2B" w14:paraId="633FA198" w14:textId="77777777" w:rsidTr="008A08CF">
        <w:tc>
          <w:tcPr>
            <w:tcW w:w="583" w:type="pct"/>
            <w:shd w:val="clear" w:color="auto" w:fill="FFFFFF"/>
            <w:vAlign w:val="center"/>
            <w:hideMark/>
          </w:tcPr>
          <w:p w14:paraId="3C482DEF" w14:textId="2F95DFA9" w:rsidR="005F08C8" w:rsidRPr="00D53A2B" w:rsidRDefault="005F08C8" w:rsidP="00A202FD">
            <w:pPr>
              <w:jc w:val="both"/>
              <w:rPr>
                <w:rFonts w:eastAsia="DengXian Light"/>
                <w:b/>
                <w:bCs/>
                <w:sz w:val="22"/>
                <w:szCs w:val="22"/>
                <w:lang w:eastAsia="en-US"/>
              </w:rPr>
            </w:pPr>
            <w:r w:rsidRPr="00D53A2B">
              <w:rPr>
                <w:rFonts w:eastAsia="DengXian Light"/>
                <w:b/>
                <w:bCs/>
                <w:sz w:val="22"/>
                <w:szCs w:val="22"/>
                <w:lang w:eastAsia="en-US"/>
              </w:rPr>
              <w:t>Kısaltma</w:t>
            </w:r>
          </w:p>
        </w:tc>
        <w:tc>
          <w:tcPr>
            <w:tcW w:w="4417" w:type="pct"/>
            <w:shd w:val="clear" w:color="auto" w:fill="FFFFFF"/>
            <w:vAlign w:val="center"/>
            <w:hideMark/>
          </w:tcPr>
          <w:p w14:paraId="3816F19B" w14:textId="77777777" w:rsidR="005F08C8" w:rsidRPr="00D53A2B" w:rsidRDefault="005F08C8" w:rsidP="00A202FD">
            <w:pPr>
              <w:jc w:val="both"/>
              <w:rPr>
                <w:rFonts w:eastAsia="DengXian Light"/>
                <w:b/>
                <w:bCs/>
                <w:sz w:val="22"/>
                <w:szCs w:val="22"/>
                <w:lang w:eastAsia="en-US"/>
              </w:rPr>
            </w:pPr>
            <w:r w:rsidRPr="00D53A2B">
              <w:rPr>
                <w:rFonts w:eastAsia="DengXian Light"/>
                <w:b/>
                <w:bCs/>
                <w:sz w:val="22"/>
                <w:szCs w:val="22"/>
                <w:lang w:eastAsia="en-US"/>
              </w:rPr>
              <w:t>Tanım</w:t>
            </w:r>
          </w:p>
        </w:tc>
      </w:tr>
      <w:tr w:rsidR="00F72785" w:rsidRPr="00D53A2B" w14:paraId="2A6CF290" w14:textId="77777777" w:rsidTr="008A08CF">
        <w:tc>
          <w:tcPr>
            <w:tcW w:w="583" w:type="pct"/>
            <w:shd w:val="clear" w:color="auto" w:fill="FFFFFF"/>
            <w:hideMark/>
          </w:tcPr>
          <w:p w14:paraId="1B273FB4" w14:textId="4AA8922B"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BG</w:t>
            </w:r>
          </w:p>
        </w:tc>
        <w:tc>
          <w:tcPr>
            <w:tcW w:w="4417" w:type="pct"/>
            <w:shd w:val="clear" w:color="auto" w:fill="FFFFFF"/>
            <w:hideMark/>
          </w:tcPr>
          <w:p w14:paraId="4BC39D0E" w14:textId="0B5941AB"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Kesikli galvanizleme (Batch galvanising)</w:t>
            </w:r>
          </w:p>
        </w:tc>
      </w:tr>
      <w:tr w:rsidR="00F72785" w:rsidRPr="00D53A2B" w14:paraId="733325E1" w14:textId="77777777" w:rsidTr="008A08CF">
        <w:tc>
          <w:tcPr>
            <w:tcW w:w="583" w:type="pct"/>
            <w:shd w:val="clear" w:color="auto" w:fill="FFFFFF"/>
            <w:hideMark/>
          </w:tcPr>
          <w:p w14:paraId="30A234F0" w14:textId="7A24FA9B"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CMS</w:t>
            </w:r>
          </w:p>
        </w:tc>
        <w:tc>
          <w:tcPr>
            <w:tcW w:w="4417" w:type="pct"/>
            <w:shd w:val="clear" w:color="auto" w:fill="FFFFFF"/>
            <w:hideMark/>
          </w:tcPr>
          <w:p w14:paraId="59D59E9F" w14:textId="65232DBE"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Kimyasal yönetim sistemi (Chemicals management system)</w:t>
            </w:r>
          </w:p>
        </w:tc>
      </w:tr>
      <w:tr w:rsidR="00F72785" w:rsidRPr="00D53A2B" w14:paraId="022D1ED4" w14:textId="77777777" w:rsidTr="008A08CF">
        <w:tc>
          <w:tcPr>
            <w:tcW w:w="583" w:type="pct"/>
            <w:shd w:val="clear" w:color="auto" w:fill="FFFFFF"/>
            <w:hideMark/>
          </w:tcPr>
          <w:p w14:paraId="0C412D11" w14:textId="3A2F8D21"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CR</w:t>
            </w:r>
          </w:p>
        </w:tc>
        <w:tc>
          <w:tcPr>
            <w:tcW w:w="4417" w:type="pct"/>
            <w:shd w:val="clear" w:color="auto" w:fill="FFFFFF"/>
            <w:hideMark/>
          </w:tcPr>
          <w:p w14:paraId="3B6A9043" w14:textId="170A31B3"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Soğuk haddeleme (Cold Rolling)</w:t>
            </w:r>
          </w:p>
        </w:tc>
      </w:tr>
      <w:tr w:rsidR="00F72785" w:rsidRPr="00D53A2B" w14:paraId="2FC7FDB7" w14:textId="77777777" w:rsidTr="008A08CF">
        <w:tc>
          <w:tcPr>
            <w:tcW w:w="583" w:type="pct"/>
            <w:shd w:val="clear" w:color="auto" w:fill="FFFFFF"/>
            <w:hideMark/>
          </w:tcPr>
          <w:p w14:paraId="18045F3E" w14:textId="6C6A6815"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ÇYS</w:t>
            </w:r>
          </w:p>
        </w:tc>
        <w:tc>
          <w:tcPr>
            <w:tcW w:w="4417" w:type="pct"/>
            <w:shd w:val="clear" w:color="auto" w:fill="FFFFFF"/>
            <w:hideMark/>
          </w:tcPr>
          <w:p w14:paraId="7AC69827" w14:textId="74C483E3"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Çevre yönetim sistemi (Environmental management system-EMS)</w:t>
            </w:r>
          </w:p>
        </w:tc>
      </w:tr>
      <w:tr w:rsidR="00F72785" w:rsidRPr="00D53A2B" w14:paraId="2B7F96C0" w14:textId="77777777" w:rsidTr="008A08CF">
        <w:tc>
          <w:tcPr>
            <w:tcW w:w="583" w:type="pct"/>
            <w:shd w:val="clear" w:color="auto" w:fill="FFFFFF"/>
            <w:hideMark/>
          </w:tcPr>
          <w:p w14:paraId="265D1E8A" w14:textId="7DED4B1A"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FMP</w:t>
            </w:r>
          </w:p>
        </w:tc>
        <w:tc>
          <w:tcPr>
            <w:tcW w:w="4417" w:type="pct"/>
            <w:shd w:val="clear" w:color="auto" w:fill="FFFFFF"/>
            <w:hideMark/>
          </w:tcPr>
          <w:p w14:paraId="5D694B6E" w14:textId="6A14C19B"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Demirli metalleri işleme (Ferrous metals processing)</w:t>
            </w:r>
          </w:p>
        </w:tc>
      </w:tr>
      <w:tr w:rsidR="00F72785" w:rsidRPr="00D53A2B" w14:paraId="72A270E0" w14:textId="77777777" w:rsidTr="008A08CF">
        <w:tc>
          <w:tcPr>
            <w:tcW w:w="583" w:type="pct"/>
            <w:shd w:val="clear" w:color="auto" w:fill="FFFFFF"/>
            <w:hideMark/>
          </w:tcPr>
          <w:p w14:paraId="58C70AC8" w14:textId="4AE026C3"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HDC</w:t>
            </w:r>
          </w:p>
        </w:tc>
        <w:tc>
          <w:tcPr>
            <w:tcW w:w="4417" w:type="pct"/>
            <w:shd w:val="clear" w:color="auto" w:fill="FFFFFF"/>
            <w:hideMark/>
          </w:tcPr>
          <w:p w14:paraId="66F57BFC" w14:textId="55132B1E" w:rsidR="005F08C8" w:rsidRPr="00D53A2B" w:rsidRDefault="001C3486" w:rsidP="00A202FD">
            <w:pPr>
              <w:jc w:val="both"/>
              <w:rPr>
                <w:rFonts w:eastAsia="DengXian Light"/>
                <w:sz w:val="22"/>
                <w:szCs w:val="22"/>
                <w:lang w:eastAsia="en-US"/>
              </w:rPr>
            </w:pPr>
            <w:r w:rsidRPr="00D53A2B">
              <w:rPr>
                <w:rFonts w:eastAsia="DengXian Light"/>
                <w:sz w:val="22"/>
                <w:szCs w:val="22"/>
                <w:lang w:eastAsia="en-US"/>
              </w:rPr>
              <w:t>Sıcak daldırma kaplama (</w:t>
            </w:r>
            <w:r w:rsidR="005F08C8" w:rsidRPr="00D53A2B">
              <w:rPr>
                <w:rFonts w:eastAsia="DengXian Light"/>
                <w:sz w:val="22"/>
                <w:szCs w:val="22"/>
                <w:lang w:eastAsia="en-US"/>
              </w:rPr>
              <w:t>Hot dip coating</w:t>
            </w:r>
            <w:r w:rsidRPr="00D53A2B">
              <w:rPr>
                <w:rFonts w:eastAsia="DengXian Light"/>
                <w:sz w:val="22"/>
                <w:szCs w:val="22"/>
                <w:lang w:eastAsia="en-US"/>
              </w:rPr>
              <w:t>)</w:t>
            </w:r>
          </w:p>
        </w:tc>
      </w:tr>
      <w:tr w:rsidR="00F72785" w:rsidRPr="00D53A2B" w14:paraId="3ECE8427" w14:textId="77777777" w:rsidTr="008A08CF">
        <w:tc>
          <w:tcPr>
            <w:tcW w:w="583" w:type="pct"/>
            <w:shd w:val="clear" w:color="auto" w:fill="FFFFFF"/>
            <w:hideMark/>
          </w:tcPr>
          <w:p w14:paraId="5CD124A7" w14:textId="1788DA60"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HR</w:t>
            </w:r>
          </w:p>
        </w:tc>
        <w:tc>
          <w:tcPr>
            <w:tcW w:w="4417" w:type="pct"/>
            <w:shd w:val="clear" w:color="auto" w:fill="FFFFFF"/>
            <w:hideMark/>
          </w:tcPr>
          <w:p w14:paraId="5E780E6E" w14:textId="405CC003" w:rsidR="005F08C8" w:rsidRPr="00D53A2B" w:rsidRDefault="001C3486" w:rsidP="00A202FD">
            <w:pPr>
              <w:jc w:val="both"/>
              <w:rPr>
                <w:rFonts w:eastAsia="DengXian Light"/>
                <w:sz w:val="22"/>
                <w:szCs w:val="22"/>
                <w:lang w:eastAsia="en-US"/>
              </w:rPr>
            </w:pPr>
            <w:r w:rsidRPr="00D53A2B">
              <w:rPr>
                <w:rFonts w:eastAsia="DengXian Light"/>
                <w:sz w:val="22"/>
                <w:szCs w:val="22"/>
                <w:lang w:eastAsia="en-US"/>
              </w:rPr>
              <w:t>Sıcak haddeleme (</w:t>
            </w:r>
            <w:r w:rsidR="005F08C8" w:rsidRPr="00D53A2B">
              <w:rPr>
                <w:rFonts w:eastAsia="DengXian Light"/>
                <w:sz w:val="22"/>
                <w:szCs w:val="22"/>
                <w:lang w:eastAsia="en-US"/>
              </w:rPr>
              <w:t xml:space="preserve">Hot </w:t>
            </w:r>
            <w:r w:rsidRPr="00D53A2B">
              <w:rPr>
                <w:rFonts w:eastAsia="DengXian Light"/>
                <w:sz w:val="22"/>
                <w:szCs w:val="22"/>
                <w:lang w:eastAsia="en-US"/>
              </w:rPr>
              <w:t>Rolling)</w:t>
            </w:r>
          </w:p>
        </w:tc>
      </w:tr>
      <w:tr w:rsidR="00F72785" w:rsidRPr="00D53A2B" w14:paraId="7A465080" w14:textId="77777777" w:rsidTr="008A08CF">
        <w:tc>
          <w:tcPr>
            <w:tcW w:w="583" w:type="pct"/>
            <w:shd w:val="clear" w:color="auto" w:fill="FFFFFF"/>
            <w:hideMark/>
          </w:tcPr>
          <w:p w14:paraId="13B09F1E" w14:textId="47765E2B"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OTNOC</w:t>
            </w:r>
          </w:p>
        </w:tc>
        <w:tc>
          <w:tcPr>
            <w:tcW w:w="4417" w:type="pct"/>
            <w:shd w:val="clear" w:color="auto" w:fill="FFFFFF"/>
            <w:hideMark/>
          </w:tcPr>
          <w:p w14:paraId="79D4F84B" w14:textId="5B88408C" w:rsidR="005F08C8" w:rsidRPr="00D53A2B" w:rsidRDefault="001C3486" w:rsidP="00A202FD">
            <w:pPr>
              <w:jc w:val="both"/>
              <w:rPr>
                <w:rFonts w:eastAsia="DengXian Light"/>
                <w:sz w:val="22"/>
                <w:szCs w:val="22"/>
                <w:lang w:eastAsia="en-US"/>
              </w:rPr>
            </w:pPr>
            <w:r w:rsidRPr="00D53A2B">
              <w:rPr>
                <w:rFonts w:eastAsia="DengXian Light"/>
                <w:sz w:val="22"/>
                <w:szCs w:val="22"/>
                <w:lang w:eastAsia="en-US"/>
              </w:rPr>
              <w:t>Normal çalışma koşullarının dışında (</w:t>
            </w:r>
            <w:r w:rsidR="005F08C8" w:rsidRPr="00D53A2B">
              <w:rPr>
                <w:rFonts w:eastAsia="DengXian Light"/>
                <w:sz w:val="22"/>
                <w:szCs w:val="22"/>
                <w:lang w:eastAsia="en-US"/>
              </w:rPr>
              <w:t>Other than normal operating conditions</w:t>
            </w:r>
            <w:r w:rsidRPr="00D53A2B">
              <w:rPr>
                <w:rFonts w:eastAsia="DengXian Light"/>
                <w:sz w:val="22"/>
                <w:szCs w:val="22"/>
                <w:lang w:eastAsia="en-US"/>
              </w:rPr>
              <w:t>)</w:t>
            </w:r>
          </w:p>
        </w:tc>
      </w:tr>
      <w:tr w:rsidR="00F72785" w:rsidRPr="00D53A2B" w14:paraId="12B45B4E" w14:textId="77777777" w:rsidTr="008A08CF">
        <w:tc>
          <w:tcPr>
            <w:tcW w:w="583" w:type="pct"/>
            <w:shd w:val="clear" w:color="auto" w:fill="FFFFFF"/>
            <w:hideMark/>
          </w:tcPr>
          <w:p w14:paraId="768B370E" w14:textId="6DFE3B4F"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SCR</w:t>
            </w:r>
          </w:p>
        </w:tc>
        <w:tc>
          <w:tcPr>
            <w:tcW w:w="4417" w:type="pct"/>
            <w:shd w:val="clear" w:color="auto" w:fill="FFFFFF"/>
            <w:hideMark/>
          </w:tcPr>
          <w:p w14:paraId="55CC1E54" w14:textId="735962C9" w:rsidR="005F08C8" w:rsidRPr="00D53A2B" w:rsidRDefault="001C3486" w:rsidP="00A202FD">
            <w:pPr>
              <w:jc w:val="both"/>
              <w:rPr>
                <w:rFonts w:eastAsia="DengXian Light"/>
                <w:sz w:val="22"/>
                <w:szCs w:val="22"/>
                <w:lang w:eastAsia="en-US"/>
              </w:rPr>
            </w:pPr>
            <w:r w:rsidRPr="00D53A2B">
              <w:rPr>
                <w:rFonts w:eastAsia="DengXian Light"/>
                <w:sz w:val="22"/>
                <w:szCs w:val="22"/>
                <w:lang w:eastAsia="en-US"/>
              </w:rPr>
              <w:t>Seçici katalitik indirgeme/redüksiyon (</w:t>
            </w:r>
            <w:r w:rsidR="005F08C8" w:rsidRPr="00D53A2B">
              <w:rPr>
                <w:rFonts w:eastAsia="DengXian Light"/>
                <w:sz w:val="22"/>
                <w:szCs w:val="22"/>
                <w:lang w:eastAsia="en-US"/>
              </w:rPr>
              <w:t>Selective catalytic reduction</w:t>
            </w:r>
            <w:r w:rsidRPr="00D53A2B">
              <w:rPr>
                <w:rFonts w:eastAsia="DengXian Light"/>
                <w:sz w:val="22"/>
                <w:szCs w:val="22"/>
                <w:lang w:eastAsia="en-US"/>
              </w:rPr>
              <w:t>)</w:t>
            </w:r>
          </w:p>
        </w:tc>
      </w:tr>
      <w:tr w:rsidR="00F72785" w:rsidRPr="00D53A2B" w14:paraId="61D7B0C2" w14:textId="77777777" w:rsidTr="008A08CF">
        <w:tc>
          <w:tcPr>
            <w:tcW w:w="583" w:type="pct"/>
            <w:shd w:val="clear" w:color="auto" w:fill="FFFFFF"/>
            <w:hideMark/>
          </w:tcPr>
          <w:p w14:paraId="2C1F6A32" w14:textId="4E1C8652"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SNCR</w:t>
            </w:r>
          </w:p>
        </w:tc>
        <w:tc>
          <w:tcPr>
            <w:tcW w:w="4417" w:type="pct"/>
            <w:shd w:val="clear" w:color="auto" w:fill="FFFFFF"/>
            <w:hideMark/>
          </w:tcPr>
          <w:p w14:paraId="4C39D61B" w14:textId="2F49C5EB" w:rsidR="005F08C8" w:rsidRPr="00D53A2B" w:rsidRDefault="001C3486" w:rsidP="00A202FD">
            <w:pPr>
              <w:jc w:val="both"/>
              <w:rPr>
                <w:rFonts w:eastAsia="DengXian Light"/>
                <w:sz w:val="22"/>
                <w:szCs w:val="22"/>
                <w:lang w:eastAsia="en-US"/>
              </w:rPr>
            </w:pPr>
            <w:r w:rsidRPr="00D53A2B">
              <w:rPr>
                <w:rFonts w:eastAsia="DengXian Light"/>
                <w:sz w:val="22"/>
                <w:szCs w:val="22"/>
                <w:lang w:eastAsia="en-US"/>
              </w:rPr>
              <w:t>Seçici katalitik olmayan indirgeme/redüksiyon (</w:t>
            </w:r>
            <w:r w:rsidR="005F08C8" w:rsidRPr="00D53A2B">
              <w:rPr>
                <w:rFonts w:eastAsia="DengXian Light"/>
                <w:sz w:val="22"/>
                <w:szCs w:val="22"/>
                <w:lang w:eastAsia="en-US"/>
              </w:rPr>
              <w:t>Selective non-catalytic reduction</w:t>
            </w:r>
            <w:r w:rsidRPr="00D53A2B">
              <w:rPr>
                <w:rFonts w:eastAsia="DengXian Light"/>
                <w:sz w:val="22"/>
                <w:szCs w:val="22"/>
                <w:lang w:eastAsia="en-US"/>
              </w:rPr>
              <w:t>)</w:t>
            </w:r>
          </w:p>
        </w:tc>
      </w:tr>
      <w:tr w:rsidR="00F72785" w:rsidRPr="00D53A2B" w14:paraId="2239F154" w14:textId="77777777" w:rsidTr="008A08CF">
        <w:tc>
          <w:tcPr>
            <w:tcW w:w="583" w:type="pct"/>
            <w:shd w:val="clear" w:color="auto" w:fill="FFFFFF"/>
            <w:hideMark/>
          </w:tcPr>
          <w:p w14:paraId="2AA4F259" w14:textId="744C0C5A" w:rsidR="005F08C8" w:rsidRPr="00D53A2B" w:rsidRDefault="005F08C8" w:rsidP="00A202FD">
            <w:pPr>
              <w:jc w:val="both"/>
              <w:rPr>
                <w:rFonts w:eastAsia="DengXian Light"/>
                <w:sz w:val="22"/>
                <w:szCs w:val="22"/>
                <w:lang w:eastAsia="en-US"/>
              </w:rPr>
            </w:pPr>
            <w:r w:rsidRPr="00D53A2B">
              <w:rPr>
                <w:rFonts w:eastAsia="DengXian Light"/>
                <w:sz w:val="22"/>
                <w:szCs w:val="22"/>
                <w:lang w:eastAsia="en-US"/>
              </w:rPr>
              <w:t>WD</w:t>
            </w:r>
          </w:p>
        </w:tc>
        <w:tc>
          <w:tcPr>
            <w:tcW w:w="4417" w:type="pct"/>
            <w:shd w:val="clear" w:color="auto" w:fill="FFFFFF"/>
            <w:hideMark/>
          </w:tcPr>
          <w:p w14:paraId="14F1FB14" w14:textId="1F621FDC" w:rsidR="005F08C8" w:rsidRPr="00D53A2B" w:rsidRDefault="001C3486" w:rsidP="00A202FD">
            <w:pPr>
              <w:jc w:val="both"/>
              <w:rPr>
                <w:rFonts w:eastAsia="DengXian Light"/>
                <w:sz w:val="22"/>
                <w:szCs w:val="22"/>
                <w:lang w:eastAsia="en-US"/>
              </w:rPr>
            </w:pPr>
            <w:r w:rsidRPr="00D53A2B">
              <w:rPr>
                <w:rFonts w:eastAsia="DengXian Light"/>
                <w:sz w:val="22"/>
                <w:szCs w:val="22"/>
                <w:lang w:eastAsia="en-US"/>
              </w:rPr>
              <w:t>Tel çekme (</w:t>
            </w:r>
            <w:r w:rsidR="005F08C8" w:rsidRPr="00D53A2B">
              <w:rPr>
                <w:rFonts w:eastAsia="DengXian Light"/>
                <w:sz w:val="22"/>
                <w:szCs w:val="22"/>
                <w:lang w:eastAsia="en-US"/>
              </w:rPr>
              <w:t>Wire drawing</w:t>
            </w:r>
            <w:r w:rsidRPr="00D53A2B">
              <w:rPr>
                <w:rFonts w:eastAsia="DengXian Light"/>
                <w:sz w:val="22"/>
                <w:szCs w:val="22"/>
                <w:lang w:eastAsia="en-US"/>
              </w:rPr>
              <w:t>)</w:t>
            </w:r>
          </w:p>
        </w:tc>
      </w:tr>
    </w:tbl>
    <w:p w14:paraId="493743B3" w14:textId="77777777" w:rsidR="00A60F99" w:rsidRPr="00D53A2B" w:rsidRDefault="00A60F99" w:rsidP="00A202FD">
      <w:pPr>
        <w:jc w:val="both"/>
        <w:rPr>
          <w:rFonts w:eastAsia="DengXian Light"/>
          <w:lang w:val="en-US" w:eastAsia="en-US"/>
        </w:rPr>
      </w:pPr>
    </w:p>
    <w:p w14:paraId="167CE12D" w14:textId="6680DD6D" w:rsidR="00086487" w:rsidRPr="00D53A2B" w:rsidRDefault="002A7D25" w:rsidP="00A202FD">
      <w:pPr>
        <w:pStyle w:val="Balk3"/>
        <w:rPr>
          <w:rFonts w:eastAsia="Calibri" w:cs="Times New Roman"/>
          <w:lang w:val="en-US" w:eastAsia="en-US"/>
        </w:rPr>
      </w:pPr>
      <w:r w:rsidRPr="00D53A2B">
        <w:rPr>
          <w:rFonts w:eastAsia="Calibri" w:cs="Times New Roman"/>
          <w:lang w:val="en-US" w:eastAsia="en-US"/>
        </w:rPr>
        <w:t>2</w:t>
      </w:r>
      <w:r w:rsidR="00086487" w:rsidRPr="00D53A2B">
        <w:rPr>
          <w:rFonts w:eastAsia="Calibri" w:cs="Times New Roman"/>
          <w:lang w:val="en-US" w:eastAsia="en-US"/>
        </w:rPr>
        <w:t>. Demir Dışı Metal Endüstrisi</w:t>
      </w: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041"/>
        <w:gridCol w:w="7884"/>
      </w:tblGrid>
      <w:tr w:rsidR="00F72785" w:rsidRPr="00D53A2B" w14:paraId="6695F173" w14:textId="77777777" w:rsidTr="008A08CF">
        <w:tc>
          <w:tcPr>
            <w:tcW w:w="583" w:type="pct"/>
            <w:shd w:val="clear" w:color="auto" w:fill="FFFFFF"/>
            <w:vAlign w:val="center"/>
            <w:hideMark/>
          </w:tcPr>
          <w:p w14:paraId="3EFECCBF" w14:textId="77777777" w:rsidR="00086487" w:rsidRPr="00D53A2B" w:rsidRDefault="00086487" w:rsidP="00A202FD">
            <w:pPr>
              <w:jc w:val="both"/>
              <w:rPr>
                <w:rFonts w:eastAsia="DengXian Light"/>
                <w:b/>
                <w:bCs/>
                <w:sz w:val="22"/>
                <w:szCs w:val="22"/>
                <w:lang w:eastAsia="en-US"/>
              </w:rPr>
            </w:pPr>
            <w:r w:rsidRPr="00D53A2B">
              <w:rPr>
                <w:rFonts w:eastAsia="DengXian Light"/>
                <w:b/>
                <w:bCs/>
                <w:sz w:val="22"/>
                <w:szCs w:val="22"/>
                <w:lang w:eastAsia="en-US"/>
              </w:rPr>
              <w:t>Kısaltma</w:t>
            </w:r>
          </w:p>
        </w:tc>
        <w:tc>
          <w:tcPr>
            <w:tcW w:w="4417" w:type="pct"/>
            <w:shd w:val="clear" w:color="auto" w:fill="FFFFFF"/>
            <w:vAlign w:val="center"/>
            <w:hideMark/>
          </w:tcPr>
          <w:p w14:paraId="50018D48" w14:textId="77777777" w:rsidR="00086487" w:rsidRPr="00D53A2B" w:rsidRDefault="00086487" w:rsidP="00A202FD">
            <w:pPr>
              <w:jc w:val="both"/>
              <w:rPr>
                <w:rFonts w:eastAsia="DengXian Light"/>
                <w:b/>
                <w:bCs/>
                <w:sz w:val="22"/>
                <w:szCs w:val="22"/>
                <w:lang w:eastAsia="en-US"/>
              </w:rPr>
            </w:pPr>
            <w:r w:rsidRPr="00D53A2B">
              <w:rPr>
                <w:rFonts w:eastAsia="DengXian Light"/>
                <w:b/>
                <w:bCs/>
                <w:sz w:val="22"/>
                <w:szCs w:val="22"/>
                <w:lang w:eastAsia="en-US"/>
              </w:rPr>
              <w:t>Tanım</w:t>
            </w:r>
          </w:p>
        </w:tc>
      </w:tr>
      <w:tr w:rsidR="00F72785" w:rsidRPr="00D53A2B" w14:paraId="0A504BF0" w14:textId="77777777" w:rsidTr="008A08CF">
        <w:tc>
          <w:tcPr>
            <w:tcW w:w="583" w:type="pct"/>
            <w:shd w:val="clear" w:color="auto" w:fill="FFFFFF"/>
            <w:hideMark/>
          </w:tcPr>
          <w:p w14:paraId="215CB101" w14:textId="47A85A99" w:rsidR="00086487" w:rsidRPr="00D53A2B" w:rsidRDefault="00086487" w:rsidP="00A202FD">
            <w:pPr>
              <w:jc w:val="both"/>
              <w:rPr>
                <w:rFonts w:eastAsia="DengXian Light"/>
                <w:sz w:val="22"/>
                <w:szCs w:val="22"/>
                <w:lang w:eastAsia="en-US"/>
              </w:rPr>
            </w:pPr>
            <w:r w:rsidRPr="00D53A2B">
              <w:rPr>
                <w:rFonts w:eastAsia="DengXian Light"/>
                <w:sz w:val="22"/>
                <w:szCs w:val="22"/>
                <w:lang w:eastAsia="en-US"/>
              </w:rPr>
              <w:t>BaP</w:t>
            </w:r>
          </w:p>
        </w:tc>
        <w:tc>
          <w:tcPr>
            <w:tcW w:w="4417" w:type="pct"/>
            <w:shd w:val="clear" w:color="auto" w:fill="FFFFFF"/>
            <w:hideMark/>
          </w:tcPr>
          <w:p w14:paraId="7BFF403D" w14:textId="684203A4" w:rsidR="00086487" w:rsidRPr="00D53A2B" w:rsidRDefault="00086487" w:rsidP="00A202FD">
            <w:pPr>
              <w:jc w:val="both"/>
              <w:rPr>
                <w:rFonts w:eastAsia="DengXian Light"/>
                <w:sz w:val="22"/>
                <w:szCs w:val="22"/>
                <w:lang w:eastAsia="en-US"/>
              </w:rPr>
            </w:pPr>
            <w:r w:rsidRPr="00D53A2B">
              <w:rPr>
                <w:rFonts w:eastAsia="DengXian Light"/>
                <w:sz w:val="22"/>
                <w:szCs w:val="22"/>
                <w:lang w:eastAsia="en-US"/>
              </w:rPr>
              <w:t>Benzoapiren (Benzo[a]pyrene)</w:t>
            </w:r>
          </w:p>
        </w:tc>
      </w:tr>
      <w:tr w:rsidR="00F72785" w:rsidRPr="00D53A2B" w14:paraId="27E72135" w14:textId="77777777" w:rsidTr="008A08CF">
        <w:tc>
          <w:tcPr>
            <w:tcW w:w="583" w:type="pct"/>
            <w:shd w:val="clear" w:color="auto" w:fill="FFFFFF"/>
            <w:hideMark/>
          </w:tcPr>
          <w:p w14:paraId="457DFFB1" w14:textId="7F9F6A97" w:rsidR="00086487" w:rsidRPr="00D53A2B" w:rsidRDefault="00086487" w:rsidP="00A202FD">
            <w:pPr>
              <w:jc w:val="both"/>
              <w:rPr>
                <w:rFonts w:eastAsia="DengXian Light"/>
                <w:sz w:val="22"/>
                <w:szCs w:val="22"/>
                <w:lang w:eastAsia="en-US"/>
              </w:rPr>
            </w:pPr>
            <w:r w:rsidRPr="00D53A2B">
              <w:rPr>
                <w:rFonts w:eastAsia="DengXian Light"/>
                <w:sz w:val="22"/>
                <w:szCs w:val="22"/>
                <w:lang w:eastAsia="en-US"/>
              </w:rPr>
              <w:t>ESP</w:t>
            </w:r>
          </w:p>
        </w:tc>
        <w:tc>
          <w:tcPr>
            <w:tcW w:w="4417" w:type="pct"/>
            <w:shd w:val="clear" w:color="auto" w:fill="FFFFFF"/>
            <w:hideMark/>
          </w:tcPr>
          <w:p w14:paraId="0DC70A69" w14:textId="7D6CA3D4" w:rsidR="00086487" w:rsidRPr="00D53A2B" w:rsidRDefault="00086487" w:rsidP="00A202FD">
            <w:pPr>
              <w:jc w:val="both"/>
              <w:rPr>
                <w:rFonts w:eastAsia="DengXian Light"/>
                <w:sz w:val="22"/>
                <w:szCs w:val="22"/>
                <w:lang w:eastAsia="en-US"/>
              </w:rPr>
            </w:pPr>
            <w:r w:rsidRPr="00D53A2B">
              <w:rPr>
                <w:rFonts w:eastAsia="DengXian Light"/>
                <w:sz w:val="22"/>
                <w:szCs w:val="22"/>
                <w:lang w:eastAsia="en-US"/>
              </w:rPr>
              <w:t>Elektrostatik çöktürücü (Electrostatic precipitator)</w:t>
            </w:r>
          </w:p>
        </w:tc>
      </w:tr>
      <w:tr w:rsidR="00F72785" w:rsidRPr="00D53A2B" w14:paraId="4B82F5E1" w14:textId="77777777" w:rsidTr="008A08CF">
        <w:tc>
          <w:tcPr>
            <w:tcW w:w="583" w:type="pct"/>
            <w:shd w:val="clear" w:color="auto" w:fill="FFFFFF"/>
            <w:hideMark/>
          </w:tcPr>
          <w:p w14:paraId="68F1B788" w14:textId="5833C763" w:rsidR="00086487" w:rsidRPr="00D53A2B" w:rsidRDefault="00086487" w:rsidP="00A202FD">
            <w:pPr>
              <w:jc w:val="both"/>
              <w:rPr>
                <w:rFonts w:eastAsia="DengXian Light"/>
                <w:sz w:val="22"/>
                <w:szCs w:val="22"/>
                <w:lang w:eastAsia="en-US"/>
              </w:rPr>
            </w:pPr>
            <w:r w:rsidRPr="00D53A2B">
              <w:rPr>
                <w:rFonts w:eastAsia="DengXian Light"/>
                <w:sz w:val="22"/>
                <w:szCs w:val="22"/>
                <w:lang w:eastAsia="en-US"/>
              </w:rPr>
              <w:t>I-TEQ</w:t>
            </w:r>
          </w:p>
        </w:tc>
        <w:tc>
          <w:tcPr>
            <w:tcW w:w="4417" w:type="pct"/>
            <w:shd w:val="clear" w:color="auto" w:fill="FFFFFF"/>
            <w:hideMark/>
          </w:tcPr>
          <w:p w14:paraId="1C1ACEF9" w14:textId="567C1A89" w:rsidR="00086487" w:rsidRPr="00D53A2B" w:rsidRDefault="00086487" w:rsidP="00A202FD">
            <w:pPr>
              <w:jc w:val="both"/>
              <w:rPr>
                <w:rFonts w:eastAsia="DengXian Light"/>
                <w:sz w:val="22"/>
                <w:szCs w:val="22"/>
                <w:lang w:eastAsia="en-US"/>
              </w:rPr>
            </w:pPr>
            <w:r w:rsidRPr="00D53A2B">
              <w:rPr>
                <w:rFonts w:eastAsia="DengXian Light"/>
                <w:sz w:val="22"/>
                <w:szCs w:val="22"/>
                <w:lang w:eastAsia="en-US"/>
              </w:rPr>
              <w:t xml:space="preserve">Uluslararası toksik eşdeğerlik </w:t>
            </w:r>
            <w:r w:rsidR="006E3396">
              <w:rPr>
                <w:rFonts w:eastAsia="DengXian Light"/>
                <w:sz w:val="22"/>
                <w:szCs w:val="22"/>
                <w:lang w:eastAsia="en-US"/>
              </w:rPr>
              <w:t>(</w:t>
            </w:r>
            <w:r w:rsidRPr="00D53A2B">
              <w:rPr>
                <w:rFonts w:eastAsia="DengXian Light"/>
                <w:sz w:val="22"/>
                <w:szCs w:val="22"/>
                <w:lang w:eastAsia="en-US"/>
              </w:rPr>
              <w:t>Direktif 2010/75/EU</w:t>
            </w:r>
            <w:r w:rsidR="00E56504" w:rsidRPr="00D53A2B">
              <w:rPr>
                <w:rFonts w:eastAsia="DengXian Light"/>
                <w:sz w:val="22"/>
                <w:szCs w:val="22"/>
                <w:lang w:eastAsia="en-US"/>
              </w:rPr>
              <w:t>’</w:t>
            </w:r>
            <w:r w:rsidRPr="00D53A2B">
              <w:rPr>
                <w:rFonts w:eastAsia="DengXian Light"/>
                <w:sz w:val="22"/>
                <w:szCs w:val="22"/>
                <w:lang w:eastAsia="en-US"/>
              </w:rPr>
              <w:t>nun Ek VI, Bölüm 2</w:t>
            </w:r>
            <w:r w:rsidR="00E56504" w:rsidRPr="00D53A2B">
              <w:rPr>
                <w:rFonts w:eastAsia="DengXian Light"/>
                <w:sz w:val="22"/>
                <w:szCs w:val="22"/>
                <w:lang w:eastAsia="en-US"/>
              </w:rPr>
              <w:t>’</w:t>
            </w:r>
            <w:r w:rsidRPr="00D53A2B">
              <w:rPr>
                <w:rFonts w:eastAsia="DengXian Light"/>
                <w:sz w:val="22"/>
                <w:szCs w:val="22"/>
                <w:lang w:eastAsia="en-US"/>
              </w:rPr>
              <w:t>sinde tanımlandığı gibi uluslararası toksik eşdeğerlik faktörlerinin uygulanmasıyla elde edilen uluslararası toksik eşdeğerlik</w:t>
            </w:r>
            <w:r w:rsidR="006E3396">
              <w:rPr>
                <w:rFonts w:eastAsia="DengXian Light"/>
                <w:sz w:val="22"/>
                <w:szCs w:val="22"/>
                <w:lang w:eastAsia="en-US"/>
              </w:rPr>
              <w:t>)</w:t>
            </w:r>
          </w:p>
        </w:tc>
      </w:tr>
      <w:tr w:rsidR="00F72785" w:rsidRPr="00D53A2B" w14:paraId="2C2C110D" w14:textId="77777777" w:rsidTr="008A08CF">
        <w:tc>
          <w:tcPr>
            <w:tcW w:w="583" w:type="pct"/>
            <w:shd w:val="clear" w:color="auto" w:fill="FFFFFF"/>
            <w:vAlign w:val="center"/>
            <w:hideMark/>
          </w:tcPr>
          <w:p w14:paraId="7A1FA741" w14:textId="02B9C386" w:rsidR="00086487" w:rsidRPr="00D53A2B" w:rsidRDefault="00086487" w:rsidP="00A202FD">
            <w:pPr>
              <w:jc w:val="both"/>
              <w:rPr>
                <w:rFonts w:eastAsia="DengXian Light"/>
                <w:sz w:val="22"/>
                <w:szCs w:val="22"/>
                <w:lang w:eastAsia="en-US"/>
              </w:rPr>
            </w:pPr>
            <w:r w:rsidRPr="00D53A2B">
              <w:rPr>
                <w:rFonts w:eastAsia="DengXian Light"/>
                <w:sz w:val="22"/>
                <w:szCs w:val="22"/>
                <w:lang w:eastAsia="en-US"/>
              </w:rPr>
              <w:t>NO</w:t>
            </w:r>
            <w:r w:rsidRPr="00D53A2B">
              <w:rPr>
                <w:rFonts w:eastAsia="DengXian Light"/>
                <w:sz w:val="22"/>
                <w:szCs w:val="22"/>
                <w:vertAlign w:val="subscript"/>
                <w:lang w:eastAsia="en-US"/>
              </w:rPr>
              <w:t>x</w:t>
            </w:r>
          </w:p>
        </w:tc>
        <w:tc>
          <w:tcPr>
            <w:tcW w:w="4417" w:type="pct"/>
            <w:shd w:val="clear" w:color="auto" w:fill="FFFFFF"/>
            <w:vAlign w:val="center"/>
            <w:hideMark/>
          </w:tcPr>
          <w:p w14:paraId="2B6065BF" w14:textId="1BAA3A1E" w:rsidR="00086487" w:rsidRPr="00D53A2B" w:rsidRDefault="00086487" w:rsidP="00A202FD">
            <w:pPr>
              <w:jc w:val="both"/>
              <w:rPr>
                <w:rFonts w:eastAsia="DengXian Light"/>
                <w:sz w:val="22"/>
                <w:szCs w:val="22"/>
                <w:lang w:eastAsia="en-US"/>
              </w:rPr>
            </w:pPr>
            <w:r w:rsidRPr="00D53A2B">
              <w:rPr>
                <w:rFonts w:eastAsia="DengXian Light"/>
                <w:sz w:val="22"/>
                <w:szCs w:val="22"/>
                <w:lang w:eastAsia="en-US"/>
              </w:rPr>
              <w:t>NO</w:t>
            </w:r>
            <w:r w:rsidRPr="00D53A2B">
              <w:rPr>
                <w:rFonts w:eastAsia="DengXian Light"/>
                <w:sz w:val="22"/>
                <w:szCs w:val="22"/>
                <w:vertAlign w:val="subscript"/>
                <w:lang w:eastAsia="en-US"/>
              </w:rPr>
              <w:t>2</w:t>
            </w:r>
            <w:r w:rsidRPr="00D53A2B">
              <w:rPr>
                <w:rFonts w:eastAsia="DengXian Light"/>
                <w:sz w:val="22"/>
                <w:szCs w:val="22"/>
                <w:lang w:eastAsia="en-US"/>
              </w:rPr>
              <w:t xml:space="preserve"> olarak ifade edilen a</w:t>
            </w:r>
            <w:r w:rsidR="009D6435" w:rsidRPr="00D53A2B">
              <w:rPr>
                <w:rFonts w:eastAsia="DengXian Light"/>
                <w:sz w:val="22"/>
                <w:szCs w:val="22"/>
                <w:lang w:eastAsia="en-US"/>
              </w:rPr>
              <w:t>zot oksit (NO) ve azot dioksitin (NO</w:t>
            </w:r>
            <w:r w:rsidRPr="00D53A2B">
              <w:rPr>
                <w:rFonts w:eastAsia="DengXian Light"/>
                <w:sz w:val="22"/>
                <w:szCs w:val="22"/>
                <w:vertAlign w:val="subscript"/>
                <w:lang w:eastAsia="en-US"/>
              </w:rPr>
              <w:t>2</w:t>
            </w:r>
            <w:r w:rsidR="009D6435" w:rsidRPr="00D53A2B">
              <w:rPr>
                <w:rFonts w:eastAsia="DengXian Light"/>
                <w:sz w:val="22"/>
                <w:szCs w:val="22"/>
                <w:lang w:eastAsia="en-US"/>
              </w:rPr>
              <w:t>) toplamı</w:t>
            </w:r>
          </w:p>
        </w:tc>
      </w:tr>
      <w:tr w:rsidR="00F72785" w:rsidRPr="00D53A2B" w14:paraId="65AC1A9A" w14:textId="77777777" w:rsidTr="008A08CF">
        <w:tc>
          <w:tcPr>
            <w:tcW w:w="583" w:type="pct"/>
            <w:shd w:val="clear" w:color="auto" w:fill="FFFFFF"/>
            <w:hideMark/>
          </w:tcPr>
          <w:p w14:paraId="3196F032" w14:textId="6CD80825" w:rsidR="00086487" w:rsidRPr="00D53A2B" w:rsidRDefault="00086487" w:rsidP="00A202FD">
            <w:pPr>
              <w:jc w:val="both"/>
              <w:rPr>
                <w:rFonts w:eastAsia="DengXian Light"/>
                <w:sz w:val="22"/>
                <w:szCs w:val="22"/>
                <w:lang w:eastAsia="en-US"/>
              </w:rPr>
            </w:pPr>
            <w:r w:rsidRPr="00D53A2B">
              <w:rPr>
                <w:rFonts w:eastAsia="DengXian Light"/>
                <w:sz w:val="22"/>
                <w:szCs w:val="22"/>
                <w:lang w:eastAsia="en-US"/>
              </w:rPr>
              <w:t>PCDD/F</w:t>
            </w:r>
          </w:p>
        </w:tc>
        <w:tc>
          <w:tcPr>
            <w:tcW w:w="4417" w:type="pct"/>
            <w:shd w:val="clear" w:color="auto" w:fill="FFFFFF"/>
            <w:hideMark/>
          </w:tcPr>
          <w:p w14:paraId="2AB93A87" w14:textId="77777777" w:rsidR="00B772EB" w:rsidRPr="00D53A2B" w:rsidRDefault="00086487" w:rsidP="00A202FD">
            <w:pPr>
              <w:jc w:val="both"/>
              <w:rPr>
                <w:rFonts w:eastAsia="DengXian Light"/>
                <w:sz w:val="22"/>
                <w:szCs w:val="22"/>
                <w:lang w:eastAsia="en-US"/>
              </w:rPr>
            </w:pPr>
            <w:r w:rsidRPr="00D53A2B">
              <w:rPr>
                <w:rFonts w:eastAsia="DengXian Light"/>
                <w:sz w:val="22"/>
                <w:szCs w:val="22"/>
                <w:lang w:eastAsia="en-US"/>
              </w:rPr>
              <w:t xml:space="preserve">Poliklorlu dibenzo-p-dioksinler ve dibenzofuranlar (17 konjener) </w:t>
            </w:r>
          </w:p>
          <w:p w14:paraId="06898B27" w14:textId="3CA89718" w:rsidR="00086487" w:rsidRPr="00D53A2B" w:rsidRDefault="00086487" w:rsidP="00A202FD">
            <w:pPr>
              <w:jc w:val="both"/>
              <w:rPr>
                <w:rFonts w:eastAsia="DengXian Light"/>
                <w:sz w:val="22"/>
                <w:szCs w:val="22"/>
                <w:lang w:eastAsia="en-US"/>
              </w:rPr>
            </w:pPr>
            <w:r w:rsidRPr="00D53A2B">
              <w:rPr>
                <w:rFonts w:eastAsia="DengXian Light"/>
                <w:sz w:val="22"/>
                <w:szCs w:val="22"/>
                <w:lang w:eastAsia="en-US"/>
              </w:rPr>
              <w:t>(</w:t>
            </w:r>
            <w:r w:rsidR="00B772EB" w:rsidRPr="00D53A2B">
              <w:rPr>
                <w:rFonts w:eastAsia="DengXian Light"/>
                <w:sz w:val="22"/>
                <w:szCs w:val="22"/>
                <w:lang w:eastAsia="en-US"/>
              </w:rPr>
              <w:t>Polychlorinated dibenzo-p-dioxins and dibenzofurans (17 congeners))</w:t>
            </w:r>
          </w:p>
        </w:tc>
      </w:tr>
      <w:tr w:rsidR="00F72785" w:rsidRPr="00D53A2B" w14:paraId="7B581402" w14:textId="77777777" w:rsidTr="008A08CF">
        <w:tc>
          <w:tcPr>
            <w:tcW w:w="583" w:type="pct"/>
            <w:shd w:val="clear" w:color="auto" w:fill="FFFFFF"/>
            <w:hideMark/>
          </w:tcPr>
          <w:p w14:paraId="16857212" w14:textId="5D9B79DE" w:rsidR="00086487" w:rsidRPr="00D53A2B" w:rsidRDefault="00B772EB" w:rsidP="00A202FD">
            <w:pPr>
              <w:jc w:val="both"/>
              <w:rPr>
                <w:rFonts w:eastAsia="DengXian Light"/>
                <w:sz w:val="22"/>
                <w:szCs w:val="22"/>
                <w:lang w:eastAsia="en-US"/>
              </w:rPr>
            </w:pPr>
            <w:r w:rsidRPr="00D53A2B">
              <w:rPr>
                <w:rFonts w:eastAsia="DengXian Light"/>
                <w:sz w:val="22"/>
                <w:szCs w:val="22"/>
                <w:lang w:eastAsia="en-US"/>
              </w:rPr>
              <w:t>PAH</w:t>
            </w:r>
          </w:p>
        </w:tc>
        <w:tc>
          <w:tcPr>
            <w:tcW w:w="4417" w:type="pct"/>
            <w:shd w:val="clear" w:color="auto" w:fill="FFFFFF"/>
            <w:hideMark/>
          </w:tcPr>
          <w:p w14:paraId="1875D423" w14:textId="302B4BC5" w:rsidR="00086487" w:rsidRPr="00D53A2B" w:rsidRDefault="00B772EB" w:rsidP="00A202FD">
            <w:pPr>
              <w:jc w:val="both"/>
              <w:rPr>
                <w:rFonts w:eastAsia="DengXian Light"/>
                <w:sz w:val="22"/>
                <w:szCs w:val="22"/>
                <w:lang w:eastAsia="en-US"/>
              </w:rPr>
            </w:pPr>
            <w:r w:rsidRPr="00D53A2B">
              <w:rPr>
                <w:rFonts w:eastAsia="DengXian Light"/>
                <w:sz w:val="22"/>
                <w:szCs w:val="22"/>
                <w:lang w:eastAsia="en-US"/>
              </w:rPr>
              <w:t>Polisiklik aromatik hidrokarbonlar (Polycyclic aromatic hydrocarbons)</w:t>
            </w:r>
          </w:p>
        </w:tc>
      </w:tr>
      <w:tr w:rsidR="00F72785" w:rsidRPr="00D53A2B" w14:paraId="4E430355" w14:textId="77777777" w:rsidTr="008A08CF">
        <w:tc>
          <w:tcPr>
            <w:tcW w:w="583" w:type="pct"/>
            <w:shd w:val="clear" w:color="auto" w:fill="FFFFFF"/>
            <w:hideMark/>
          </w:tcPr>
          <w:p w14:paraId="7D0493FF" w14:textId="18778512" w:rsidR="00086487" w:rsidRPr="00D53A2B" w:rsidRDefault="00B772EB" w:rsidP="00A202FD">
            <w:pPr>
              <w:jc w:val="both"/>
              <w:rPr>
                <w:rFonts w:eastAsia="DengXian Light"/>
                <w:sz w:val="22"/>
                <w:szCs w:val="22"/>
                <w:lang w:eastAsia="en-US"/>
              </w:rPr>
            </w:pPr>
            <w:r w:rsidRPr="00D53A2B">
              <w:rPr>
                <w:rFonts w:eastAsia="DengXian Light"/>
                <w:sz w:val="22"/>
                <w:szCs w:val="22"/>
                <w:lang w:eastAsia="en-US"/>
              </w:rPr>
              <w:t>TVOC</w:t>
            </w:r>
          </w:p>
        </w:tc>
        <w:tc>
          <w:tcPr>
            <w:tcW w:w="4417" w:type="pct"/>
            <w:shd w:val="clear" w:color="auto" w:fill="FFFFFF"/>
            <w:hideMark/>
          </w:tcPr>
          <w:p w14:paraId="33AEA6D5" w14:textId="3F7258E1" w:rsidR="00086487" w:rsidRPr="00D53A2B" w:rsidRDefault="00B772EB" w:rsidP="00A202FD">
            <w:pPr>
              <w:jc w:val="both"/>
              <w:rPr>
                <w:rFonts w:eastAsia="DengXian Light"/>
                <w:sz w:val="22"/>
                <w:szCs w:val="22"/>
                <w:lang w:eastAsia="en-US"/>
              </w:rPr>
            </w:pPr>
            <w:r w:rsidRPr="00D53A2B">
              <w:rPr>
                <w:rFonts w:eastAsia="DengXian Light"/>
                <w:sz w:val="22"/>
                <w:szCs w:val="22"/>
                <w:lang w:eastAsia="en-US"/>
              </w:rPr>
              <w:t>Toplam uçucu organik karbon (Total volatile organic carbon), alev iyonizasyon dedektörü (FID) ile ölçülen ve toplam karbon olarak ifade edilen toplam uçucu organik bileşikler</w:t>
            </w:r>
          </w:p>
        </w:tc>
      </w:tr>
      <w:tr w:rsidR="00F72785" w:rsidRPr="00D53A2B" w14:paraId="0075F0C9" w14:textId="77777777" w:rsidTr="008A08CF">
        <w:tc>
          <w:tcPr>
            <w:tcW w:w="583" w:type="pct"/>
            <w:shd w:val="clear" w:color="auto" w:fill="FFFFFF"/>
            <w:hideMark/>
          </w:tcPr>
          <w:p w14:paraId="7BE3B86E" w14:textId="3C7A9FCC" w:rsidR="00086487" w:rsidRPr="00D53A2B" w:rsidRDefault="00602365" w:rsidP="00A202FD">
            <w:pPr>
              <w:jc w:val="both"/>
              <w:rPr>
                <w:rFonts w:eastAsia="DengXian Light"/>
                <w:sz w:val="22"/>
                <w:szCs w:val="22"/>
                <w:lang w:eastAsia="en-US"/>
              </w:rPr>
            </w:pPr>
            <w:r>
              <w:rPr>
                <w:rFonts w:eastAsia="DengXian Light"/>
                <w:sz w:val="22"/>
                <w:szCs w:val="22"/>
                <w:lang w:eastAsia="en-US"/>
              </w:rPr>
              <w:t>UOB</w:t>
            </w:r>
          </w:p>
        </w:tc>
        <w:tc>
          <w:tcPr>
            <w:tcW w:w="4417" w:type="pct"/>
            <w:shd w:val="clear" w:color="auto" w:fill="FFFFFF"/>
            <w:hideMark/>
          </w:tcPr>
          <w:p w14:paraId="6A274B05" w14:textId="2A402824" w:rsidR="00086487" w:rsidRPr="00D53A2B" w:rsidRDefault="00B772EB" w:rsidP="00A202FD">
            <w:pPr>
              <w:jc w:val="both"/>
              <w:rPr>
                <w:rFonts w:eastAsia="DengXian Light"/>
                <w:sz w:val="22"/>
                <w:szCs w:val="22"/>
                <w:lang w:eastAsia="en-US"/>
              </w:rPr>
            </w:pPr>
            <w:r w:rsidRPr="00D53A2B">
              <w:rPr>
                <w:rFonts w:eastAsia="DengXian Light"/>
                <w:sz w:val="22"/>
                <w:szCs w:val="22"/>
                <w:lang w:eastAsia="en-US"/>
              </w:rPr>
              <w:t xml:space="preserve">Uçucu organik bileşikler (Volatile organic compounds),  </w:t>
            </w:r>
          </w:p>
        </w:tc>
      </w:tr>
    </w:tbl>
    <w:p w14:paraId="2272E7E4" w14:textId="77777777" w:rsidR="00A60F99" w:rsidRPr="00D53A2B" w:rsidRDefault="00A60F99" w:rsidP="00A202FD">
      <w:pPr>
        <w:jc w:val="both"/>
        <w:rPr>
          <w:rFonts w:eastAsia="DengXian Light"/>
          <w:lang w:val="en-US" w:eastAsia="en-US"/>
        </w:rPr>
      </w:pPr>
    </w:p>
    <w:p w14:paraId="427E51DA" w14:textId="51D28B7A" w:rsidR="002A7D25" w:rsidRPr="00D53A2B" w:rsidRDefault="002A7D25" w:rsidP="00A202FD">
      <w:pPr>
        <w:pStyle w:val="Balk3"/>
        <w:rPr>
          <w:rFonts w:eastAsia="Calibri" w:cs="Times New Roman"/>
          <w:lang w:val="en-US" w:eastAsia="en-US"/>
        </w:rPr>
      </w:pPr>
      <w:r w:rsidRPr="00D53A2B">
        <w:rPr>
          <w:rFonts w:eastAsia="Calibri" w:cs="Times New Roman"/>
          <w:lang w:val="en-US" w:eastAsia="en-US"/>
        </w:rPr>
        <w:t>2. Dökümhane ve Demir İşleme Sanayisi</w:t>
      </w:r>
    </w:p>
    <w:p w14:paraId="79118B6A" w14:textId="77777777" w:rsidR="002A7D25" w:rsidRPr="00D53A2B" w:rsidRDefault="002A7D25" w:rsidP="00A202FD">
      <w:pPr>
        <w:jc w:val="both"/>
        <w:rPr>
          <w:rFonts w:eastAsia="Calibri"/>
          <w:lang w:val="en-US" w:eastAsia="en-US"/>
        </w:rPr>
      </w:pPr>
    </w:p>
    <w:tbl>
      <w:tblPr>
        <w:tblStyle w:val="TabloKlavuzu"/>
        <w:tblW w:w="8784" w:type="dxa"/>
        <w:tblLook w:val="04A0" w:firstRow="1" w:lastRow="0" w:firstColumn="1" w:lastColumn="0" w:noHBand="0" w:noVBand="1"/>
      </w:tblPr>
      <w:tblGrid>
        <w:gridCol w:w="1621"/>
        <w:gridCol w:w="7163"/>
      </w:tblGrid>
      <w:tr w:rsidR="002A7D25" w:rsidRPr="00D53A2B" w14:paraId="7A93AAA5" w14:textId="77777777" w:rsidTr="008A08CF">
        <w:trPr>
          <w:trHeight w:val="320"/>
        </w:trPr>
        <w:tc>
          <w:tcPr>
            <w:tcW w:w="1621" w:type="dxa"/>
            <w:noWrap/>
            <w:hideMark/>
          </w:tcPr>
          <w:p w14:paraId="6B8E49D0" w14:textId="77777777" w:rsidR="002A7D25" w:rsidRPr="00D53A2B" w:rsidRDefault="002A7D25" w:rsidP="00A202FD">
            <w:pPr>
              <w:jc w:val="both"/>
              <w:rPr>
                <w:b/>
                <w:bCs/>
                <w:sz w:val="22"/>
                <w:szCs w:val="22"/>
              </w:rPr>
            </w:pPr>
            <w:r w:rsidRPr="00D53A2B">
              <w:rPr>
                <w:b/>
                <w:bCs/>
                <w:sz w:val="22"/>
                <w:szCs w:val="22"/>
              </w:rPr>
              <w:t>Kısaltma</w:t>
            </w:r>
          </w:p>
        </w:tc>
        <w:tc>
          <w:tcPr>
            <w:tcW w:w="7163" w:type="dxa"/>
            <w:noWrap/>
            <w:hideMark/>
          </w:tcPr>
          <w:p w14:paraId="4CB29890" w14:textId="77777777" w:rsidR="002A7D25" w:rsidRPr="00D53A2B" w:rsidRDefault="002A7D25" w:rsidP="00A202FD">
            <w:pPr>
              <w:jc w:val="both"/>
              <w:rPr>
                <w:b/>
                <w:bCs/>
                <w:sz w:val="22"/>
                <w:szCs w:val="22"/>
              </w:rPr>
            </w:pPr>
            <w:r w:rsidRPr="00D53A2B">
              <w:rPr>
                <w:b/>
                <w:bCs/>
                <w:sz w:val="22"/>
                <w:szCs w:val="22"/>
              </w:rPr>
              <w:t>Tanım</w:t>
            </w:r>
          </w:p>
        </w:tc>
      </w:tr>
      <w:tr w:rsidR="002A7D25" w:rsidRPr="00D53A2B" w14:paraId="20EB7E45" w14:textId="77777777" w:rsidTr="008A08CF">
        <w:trPr>
          <w:trHeight w:val="320"/>
        </w:trPr>
        <w:tc>
          <w:tcPr>
            <w:tcW w:w="1621" w:type="dxa"/>
            <w:noWrap/>
            <w:hideMark/>
          </w:tcPr>
          <w:p w14:paraId="0E067015" w14:textId="77777777" w:rsidR="002A7D25" w:rsidRPr="00D53A2B" w:rsidRDefault="002A7D25" w:rsidP="00A202FD">
            <w:pPr>
              <w:jc w:val="both"/>
              <w:rPr>
                <w:sz w:val="22"/>
                <w:szCs w:val="22"/>
              </w:rPr>
            </w:pPr>
            <w:r w:rsidRPr="00D53A2B">
              <w:rPr>
                <w:sz w:val="22"/>
                <w:szCs w:val="22"/>
              </w:rPr>
              <w:t>CBC</w:t>
            </w:r>
          </w:p>
        </w:tc>
        <w:tc>
          <w:tcPr>
            <w:tcW w:w="7163" w:type="dxa"/>
            <w:noWrap/>
            <w:hideMark/>
          </w:tcPr>
          <w:p w14:paraId="28069E16" w14:textId="77777777" w:rsidR="002A7D25" w:rsidRPr="00D53A2B" w:rsidRDefault="002A7D25" w:rsidP="00A202FD">
            <w:pPr>
              <w:jc w:val="both"/>
              <w:rPr>
                <w:sz w:val="22"/>
                <w:szCs w:val="22"/>
              </w:rPr>
            </w:pPr>
            <w:r w:rsidRPr="00D53A2B">
              <w:rPr>
                <w:sz w:val="22"/>
                <w:szCs w:val="22"/>
              </w:rPr>
              <w:t>Soğuk üfleme ocakları</w:t>
            </w:r>
          </w:p>
        </w:tc>
      </w:tr>
      <w:tr w:rsidR="002A7D25" w:rsidRPr="00D53A2B" w14:paraId="679FAA0F" w14:textId="77777777" w:rsidTr="008A08CF">
        <w:trPr>
          <w:trHeight w:val="320"/>
        </w:trPr>
        <w:tc>
          <w:tcPr>
            <w:tcW w:w="1621" w:type="dxa"/>
            <w:noWrap/>
            <w:hideMark/>
          </w:tcPr>
          <w:p w14:paraId="0557F376" w14:textId="77777777" w:rsidR="002A7D25" w:rsidRPr="00D53A2B" w:rsidRDefault="002A7D25" w:rsidP="00A202FD">
            <w:pPr>
              <w:jc w:val="both"/>
              <w:rPr>
                <w:sz w:val="22"/>
                <w:szCs w:val="22"/>
              </w:rPr>
            </w:pPr>
            <w:r w:rsidRPr="00D53A2B">
              <w:rPr>
                <w:sz w:val="22"/>
                <w:szCs w:val="22"/>
              </w:rPr>
              <w:t>CMS</w:t>
            </w:r>
          </w:p>
        </w:tc>
        <w:tc>
          <w:tcPr>
            <w:tcW w:w="7163" w:type="dxa"/>
            <w:noWrap/>
            <w:hideMark/>
          </w:tcPr>
          <w:p w14:paraId="1A23B9E8" w14:textId="77777777" w:rsidR="002A7D25" w:rsidRPr="00D53A2B" w:rsidRDefault="002A7D25" w:rsidP="00A202FD">
            <w:pPr>
              <w:jc w:val="both"/>
              <w:rPr>
                <w:sz w:val="22"/>
                <w:szCs w:val="22"/>
              </w:rPr>
            </w:pPr>
            <w:r w:rsidRPr="00D53A2B">
              <w:rPr>
                <w:sz w:val="22"/>
                <w:szCs w:val="22"/>
              </w:rPr>
              <w:t>Kimyasallar yönetim sistemi</w:t>
            </w:r>
          </w:p>
        </w:tc>
      </w:tr>
      <w:tr w:rsidR="002A7D25" w:rsidRPr="00D53A2B" w14:paraId="206DE42B" w14:textId="77777777" w:rsidTr="008A08CF">
        <w:trPr>
          <w:trHeight w:val="320"/>
        </w:trPr>
        <w:tc>
          <w:tcPr>
            <w:tcW w:w="1621" w:type="dxa"/>
            <w:noWrap/>
            <w:hideMark/>
          </w:tcPr>
          <w:p w14:paraId="734BE4CD" w14:textId="77777777" w:rsidR="002A7D25" w:rsidRPr="00D53A2B" w:rsidRDefault="002A7D25" w:rsidP="00A202FD">
            <w:pPr>
              <w:jc w:val="both"/>
              <w:rPr>
                <w:sz w:val="22"/>
                <w:szCs w:val="22"/>
              </w:rPr>
            </w:pPr>
            <w:r w:rsidRPr="00D53A2B">
              <w:rPr>
                <w:sz w:val="22"/>
                <w:szCs w:val="22"/>
              </w:rPr>
              <w:t>CMR</w:t>
            </w:r>
          </w:p>
        </w:tc>
        <w:tc>
          <w:tcPr>
            <w:tcW w:w="7163" w:type="dxa"/>
            <w:noWrap/>
            <w:hideMark/>
          </w:tcPr>
          <w:p w14:paraId="41958721" w14:textId="0EBE7BE0" w:rsidR="002A7D25" w:rsidRPr="00D53A2B" w:rsidRDefault="002A7D25" w:rsidP="00A202FD">
            <w:pPr>
              <w:jc w:val="both"/>
              <w:rPr>
                <w:sz w:val="22"/>
                <w:szCs w:val="22"/>
              </w:rPr>
            </w:pPr>
            <w:r w:rsidRPr="00D53A2B">
              <w:rPr>
                <w:sz w:val="22"/>
                <w:szCs w:val="22"/>
              </w:rPr>
              <w:t xml:space="preserve">Kanserojen, mutajen veya üreme </w:t>
            </w:r>
            <w:r w:rsidR="00233B55">
              <w:rPr>
                <w:sz w:val="22"/>
                <w:szCs w:val="22"/>
              </w:rPr>
              <w:t>sistemine toksik</w:t>
            </w:r>
          </w:p>
        </w:tc>
      </w:tr>
      <w:tr w:rsidR="002A7D25" w:rsidRPr="00D53A2B" w14:paraId="13F3D1D6" w14:textId="77777777" w:rsidTr="008A08CF">
        <w:trPr>
          <w:trHeight w:val="320"/>
        </w:trPr>
        <w:tc>
          <w:tcPr>
            <w:tcW w:w="1621" w:type="dxa"/>
            <w:noWrap/>
            <w:hideMark/>
          </w:tcPr>
          <w:p w14:paraId="32D6FDAB" w14:textId="77777777" w:rsidR="002A7D25" w:rsidRPr="00D53A2B" w:rsidRDefault="002A7D25" w:rsidP="00A202FD">
            <w:pPr>
              <w:jc w:val="both"/>
              <w:rPr>
                <w:sz w:val="22"/>
                <w:szCs w:val="22"/>
              </w:rPr>
            </w:pPr>
            <w:r w:rsidRPr="00D53A2B">
              <w:rPr>
                <w:sz w:val="22"/>
                <w:szCs w:val="22"/>
              </w:rPr>
              <w:t>CMR 1A</w:t>
            </w:r>
          </w:p>
        </w:tc>
        <w:tc>
          <w:tcPr>
            <w:tcW w:w="7163" w:type="dxa"/>
            <w:noWrap/>
            <w:hideMark/>
          </w:tcPr>
          <w:p w14:paraId="7CCE5DDD" w14:textId="67E5F228" w:rsidR="002A7D25" w:rsidRPr="00D53A2B" w:rsidRDefault="00233B55" w:rsidP="00A202FD">
            <w:pPr>
              <w:jc w:val="both"/>
              <w:rPr>
                <w:sz w:val="22"/>
                <w:szCs w:val="22"/>
              </w:rPr>
            </w:pPr>
            <w:r w:rsidRPr="00233B55">
              <w:rPr>
                <w:sz w:val="22"/>
                <w:szCs w:val="22"/>
              </w:rPr>
              <w:t>11/12/2013 tarihli 28848 mükerrer sayılı Resm</w:t>
            </w:r>
            <w:r w:rsidR="00467B57">
              <w:rPr>
                <w:sz w:val="22"/>
                <w:szCs w:val="22"/>
              </w:rPr>
              <w:t>î</w:t>
            </w:r>
            <w:r w:rsidRPr="00233B55">
              <w:rPr>
                <w:sz w:val="22"/>
                <w:szCs w:val="22"/>
              </w:rPr>
              <w:t xml:space="preserve"> Gazete’de yayımlanan Maddelerin  ve Karışımların Sınıflandırılması, Etiketlenmesi ve Ambalajlanması Hakkında Yönetmeliğe (SEA Yönetmeliği) göre 1A </w:t>
            </w:r>
            <w:r w:rsidRPr="00233B55">
              <w:rPr>
                <w:sz w:val="22"/>
                <w:szCs w:val="22"/>
              </w:rPr>
              <w:lastRenderedPageBreak/>
              <w:t>kategorisinde CMR maddesi, yani H340, H350, H360 zararlılık ifadelerine sahip</w:t>
            </w:r>
          </w:p>
        </w:tc>
      </w:tr>
      <w:tr w:rsidR="002A7D25" w:rsidRPr="00D53A2B" w14:paraId="1237B23A" w14:textId="77777777" w:rsidTr="008A08CF">
        <w:trPr>
          <w:trHeight w:val="320"/>
        </w:trPr>
        <w:tc>
          <w:tcPr>
            <w:tcW w:w="1621" w:type="dxa"/>
            <w:noWrap/>
            <w:hideMark/>
          </w:tcPr>
          <w:p w14:paraId="0BC5BD9C" w14:textId="77777777" w:rsidR="002A7D25" w:rsidRPr="00D53A2B" w:rsidRDefault="002A7D25" w:rsidP="00A202FD">
            <w:pPr>
              <w:jc w:val="both"/>
              <w:rPr>
                <w:sz w:val="22"/>
                <w:szCs w:val="22"/>
              </w:rPr>
            </w:pPr>
            <w:r w:rsidRPr="00D53A2B">
              <w:rPr>
                <w:sz w:val="22"/>
                <w:szCs w:val="22"/>
              </w:rPr>
              <w:t>CMR 1B</w:t>
            </w:r>
          </w:p>
        </w:tc>
        <w:tc>
          <w:tcPr>
            <w:tcW w:w="7163" w:type="dxa"/>
            <w:noWrap/>
            <w:hideMark/>
          </w:tcPr>
          <w:p w14:paraId="3C07CC5C" w14:textId="5AEB7E2C" w:rsidR="002A7D25" w:rsidRPr="00D53A2B" w:rsidRDefault="00233B55" w:rsidP="00A202FD">
            <w:pPr>
              <w:jc w:val="both"/>
              <w:rPr>
                <w:sz w:val="22"/>
                <w:szCs w:val="22"/>
              </w:rPr>
            </w:pPr>
            <w:r w:rsidRPr="00233B55">
              <w:rPr>
                <w:sz w:val="22"/>
                <w:szCs w:val="22"/>
              </w:rPr>
              <w:t>SEA Yönetmeliğine göre 1B kategorisinde CMR maddesi, yani H340, H350, H360 zararlılık ifadelerine sahip</w:t>
            </w:r>
          </w:p>
        </w:tc>
      </w:tr>
      <w:tr w:rsidR="002A7D25" w:rsidRPr="00D53A2B" w14:paraId="490ACCB4" w14:textId="77777777" w:rsidTr="008A08CF">
        <w:trPr>
          <w:trHeight w:val="320"/>
        </w:trPr>
        <w:tc>
          <w:tcPr>
            <w:tcW w:w="1621" w:type="dxa"/>
            <w:noWrap/>
            <w:hideMark/>
          </w:tcPr>
          <w:p w14:paraId="7DBD1583" w14:textId="77777777" w:rsidR="002A7D25" w:rsidRPr="00D53A2B" w:rsidRDefault="002A7D25" w:rsidP="00A202FD">
            <w:pPr>
              <w:jc w:val="both"/>
              <w:rPr>
                <w:sz w:val="22"/>
                <w:szCs w:val="22"/>
              </w:rPr>
            </w:pPr>
            <w:r w:rsidRPr="00D53A2B">
              <w:rPr>
                <w:sz w:val="22"/>
                <w:szCs w:val="22"/>
              </w:rPr>
              <w:t>CMR 2</w:t>
            </w:r>
          </w:p>
        </w:tc>
        <w:tc>
          <w:tcPr>
            <w:tcW w:w="7163" w:type="dxa"/>
            <w:noWrap/>
            <w:hideMark/>
          </w:tcPr>
          <w:p w14:paraId="59EF3681" w14:textId="54F29184" w:rsidR="002A7D25" w:rsidRPr="00D53A2B" w:rsidRDefault="00233B55" w:rsidP="00A202FD">
            <w:pPr>
              <w:jc w:val="both"/>
              <w:rPr>
                <w:sz w:val="22"/>
                <w:szCs w:val="22"/>
              </w:rPr>
            </w:pPr>
            <w:r w:rsidRPr="00233B55">
              <w:rPr>
                <w:sz w:val="22"/>
                <w:szCs w:val="22"/>
              </w:rPr>
              <w:t>SEA Yönetmeliğine göre 2 kategorisinde CMR maddesi, yani H341, H351, H361 zararlılık ifadelerine sahip</w:t>
            </w:r>
          </w:p>
        </w:tc>
      </w:tr>
      <w:tr w:rsidR="002A7D25" w:rsidRPr="00D53A2B" w14:paraId="5BABDB1D" w14:textId="77777777" w:rsidTr="008A08CF">
        <w:trPr>
          <w:trHeight w:val="320"/>
        </w:trPr>
        <w:tc>
          <w:tcPr>
            <w:tcW w:w="1621" w:type="dxa"/>
            <w:noWrap/>
            <w:hideMark/>
          </w:tcPr>
          <w:p w14:paraId="3E5BE710" w14:textId="77777777" w:rsidR="002A7D25" w:rsidRPr="00D53A2B" w:rsidRDefault="002A7D25" w:rsidP="00A202FD">
            <w:pPr>
              <w:jc w:val="both"/>
              <w:rPr>
                <w:sz w:val="22"/>
                <w:szCs w:val="22"/>
              </w:rPr>
            </w:pPr>
            <w:r w:rsidRPr="00D53A2B">
              <w:rPr>
                <w:sz w:val="22"/>
                <w:szCs w:val="22"/>
              </w:rPr>
              <w:t>DMEA</w:t>
            </w:r>
          </w:p>
        </w:tc>
        <w:tc>
          <w:tcPr>
            <w:tcW w:w="7163" w:type="dxa"/>
            <w:noWrap/>
            <w:hideMark/>
          </w:tcPr>
          <w:p w14:paraId="66BC2A33" w14:textId="77777777" w:rsidR="002A7D25" w:rsidRPr="00D53A2B" w:rsidRDefault="002A7D25" w:rsidP="00A202FD">
            <w:pPr>
              <w:jc w:val="both"/>
              <w:rPr>
                <w:sz w:val="22"/>
                <w:szCs w:val="22"/>
              </w:rPr>
            </w:pPr>
            <w:r w:rsidRPr="00D53A2B">
              <w:rPr>
                <w:sz w:val="22"/>
                <w:szCs w:val="22"/>
              </w:rPr>
              <w:t>N,N-Dimetiletilamin</w:t>
            </w:r>
          </w:p>
        </w:tc>
      </w:tr>
      <w:tr w:rsidR="002A7D25" w:rsidRPr="00D53A2B" w14:paraId="5DB745F9" w14:textId="77777777" w:rsidTr="008A08CF">
        <w:trPr>
          <w:trHeight w:val="320"/>
        </w:trPr>
        <w:tc>
          <w:tcPr>
            <w:tcW w:w="1621" w:type="dxa"/>
            <w:noWrap/>
            <w:hideMark/>
          </w:tcPr>
          <w:p w14:paraId="6B01D9A6" w14:textId="77777777" w:rsidR="002A7D25" w:rsidRPr="00D53A2B" w:rsidRDefault="002A7D25" w:rsidP="00A202FD">
            <w:pPr>
              <w:jc w:val="both"/>
              <w:rPr>
                <w:sz w:val="22"/>
                <w:szCs w:val="22"/>
              </w:rPr>
            </w:pPr>
            <w:r w:rsidRPr="00D53A2B">
              <w:rPr>
                <w:sz w:val="22"/>
                <w:szCs w:val="22"/>
              </w:rPr>
              <w:t>EAF</w:t>
            </w:r>
          </w:p>
        </w:tc>
        <w:tc>
          <w:tcPr>
            <w:tcW w:w="7163" w:type="dxa"/>
            <w:noWrap/>
            <w:hideMark/>
          </w:tcPr>
          <w:p w14:paraId="4107A7A5" w14:textId="77777777" w:rsidR="002A7D25" w:rsidRPr="00D53A2B" w:rsidRDefault="002A7D25" w:rsidP="00A202FD">
            <w:pPr>
              <w:jc w:val="both"/>
              <w:rPr>
                <w:sz w:val="22"/>
                <w:szCs w:val="22"/>
              </w:rPr>
            </w:pPr>
            <w:r w:rsidRPr="00D53A2B">
              <w:rPr>
                <w:sz w:val="22"/>
                <w:szCs w:val="22"/>
              </w:rPr>
              <w:t>Elektrik ark fırını</w:t>
            </w:r>
          </w:p>
        </w:tc>
      </w:tr>
      <w:tr w:rsidR="002A7D25" w:rsidRPr="00D53A2B" w14:paraId="2F43C8F9" w14:textId="77777777" w:rsidTr="008A08CF">
        <w:trPr>
          <w:trHeight w:val="320"/>
        </w:trPr>
        <w:tc>
          <w:tcPr>
            <w:tcW w:w="1621" w:type="dxa"/>
            <w:noWrap/>
            <w:hideMark/>
          </w:tcPr>
          <w:p w14:paraId="5B0443E9" w14:textId="77777777" w:rsidR="002A7D25" w:rsidRPr="00D53A2B" w:rsidRDefault="002A7D25" w:rsidP="00A202FD">
            <w:pPr>
              <w:jc w:val="both"/>
              <w:rPr>
                <w:sz w:val="22"/>
                <w:szCs w:val="22"/>
              </w:rPr>
            </w:pPr>
            <w:r w:rsidRPr="00D53A2B">
              <w:rPr>
                <w:sz w:val="22"/>
                <w:szCs w:val="22"/>
              </w:rPr>
              <w:t>EMS</w:t>
            </w:r>
          </w:p>
        </w:tc>
        <w:tc>
          <w:tcPr>
            <w:tcW w:w="7163" w:type="dxa"/>
            <w:noWrap/>
            <w:hideMark/>
          </w:tcPr>
          <w:p w14:paraId="4DAE3569" w14:textId="77777777" w:rsidR="002A7D25" w:rsidRPr="00D53A2B" w:rsidRDefault="002A7D25" w:rsidP="00A202FD">
            <w:pPr>
              <w:jc w:val="both"/>
              <w:rPr>
                <w:sz w:val="22"/>
                <w:szCs w:val="22"/>
              </w:rPr>
            </w:pPr>
            <w:r w:rsidRPr="00D53A2B">
              <w:rPr>
                <w:sz w:val="22"/>
                <w:szCs w:val="22"/>
              </w:rPr>
              <w:t>Çevre yönetim sistemi</w:t>
            </w:r>
          </w:p>
        </w:tc>
      </w:tr>
      <w:tr w:rsidR="002A7D25" w:rsidRPr="00D53A2B" w14:paraId="5B6AB89A" w14:textId="77777777" w:rsidTr="008A08CF">
        <w:trPr>
          <w:trHeight w:val="320"/>
        </w:trPr>
        <w:tc>
          <w:tcPr>
            <w:tcW w:w="1621" w:type="dxa"/>
            <w:noWrap/>
            <w:hideMark/>
          </w:tcPr>
          <w:p w14:paraId="5681CB67" w14:textId="77777777" w:rsidR="002A7D25" w:rsidRPr="00D53A2B" w:rsidRDefault="002A7D25" w:rsidP="00A202FD">
            <w:pPr>
              <w:jc w:val="both"/>
              <w:rPr>
                <w:sz w:val="22"/>
                <w:szCs w:val="22"/>
              </w:rPr>
            </w:pPr>
            <w:r w:rsidRPr="00D53A2B">
              <w:rPr>
                <w:sz w:val="22"/>
                <w:szCs w:val="22"/>
              </w:rPr>
              <w:t>ESP</w:t>
            </w:r>
          </w:p>
        </w:tc>
        <w:tc>
          <w:tcPr>
            <w:tcW w:w="7163" w:type="dxa"/>
            <w:noWrap/>
            <w:hideMark/>
          </w:tcPr>
          <w:p w14:paraId="4C650B2E" w14:textId="77777777" w:rsidR="002A7D25" w:rsidRPr="00D53A2B" w:rsidRDefault="002A7D25" w:rsidP="00A202FD">
            <w:pPr>
              <w:jc w:val="both"/>
              <w:rPr>
                <w:sz w:val="22"/>
                <w:szCs w:val="22"/>
              </w:rPr>
            </w:pPr>
            <w:r w:rsidRPr="00D53A2B">
              <w:rPr>
                <w:sz w:val="22"/>
                <w:szCs w:val="22"/>
              </w:rPr>
              <w:t>Elektrostatik çöktürme cihazı</w:t>
            </w:r>
          </w:p>
        </w:tc>
      </w:tr>
      <w:tr w:rsidR="002A7D25" w:rsidRPr="00D53A2B" w14:paraId="00E369FA" w14:textId="77777777" w:rsidTr="008A08CF">
        <w:trPr>
          <w:trHeight w:val="320"/>
        </w:trPr>
        <w:tc>
          <w:tcPr>
            <w:tcW w:w="1621" w:type="dxa"/>
            <w:noWrap/>
            <w:hideMark/>
          </w:tcPr>
          <w:p w14:paraId="2838E46F" w14:textId="77777777" w:rsidR="002A7D25" w:rsidRPr="00D53A2B" w:rsidRDefault="002A7D25" w:rsidP="00A202FD">
            <w:pPr>
              <w:jc w:val="both"/>
              <w:rPr>
                <w:sz w:val="22"/>
                <w:szCs w:val="22"/>
              </w:rPr>
            </w:pPr>
            <w:r w:rsidRPr="00D53A2B">
              <w:rPr>
                <w:sz w:val="22"/>
                <w:szCs w:val="22"/>
              </w:rPr>
              <w:t>HBC</w:t>
            </w:r>
          </w:p>
        </w:tc>
        <w:tc>
          <w:tcPr>
            <w:tcW w:w="7163" w:type="dxa"/>
            <w:noWrap/>
            <w:hideMark/>
          </w:tcPr>
          <w:p w14:paraId="29A02CCC" w14:textId="77777777" w:rsidR="002A7D25" w:rsidRPr="00D53A2B" w:rsidRDefault="002A7D25" w:rsidP="00A202FD">
            <w:pPr>
              <w:jc w:val="both"/>
              <w:rPr>
                <w:sz w:val="22"/>
                <w:szCs w:val="22"/>
              </w:rPr>
            </w:pPr>
            <w:r w:rsidRPr="00D53A2B">
              <w:rPr>
                <w:sz w:val="22"/>
                <w:szCs w:val="22"/>
              </w:rPr>
              <w:t>Sıcak üfleme ocakları</w:t>
            </w:r>
          </w:p>
        </w:tc>
      </w:tr>
      <w:tr w:rsidR="002A7D25" w:rsidRPr="00D53A2B" w14:paraId="6E299C52" w14:textId="77777777" w:rsidTr="008A08CF">
        <w:trPr>
          <w:trHeight w:val="320"/>
        </w:trPr>
        <w:tc>
          <w:tcPr>
            <w:tcW w:w="1621" w:type="dxa"/>
            <w:noWrap/>
            <w:hideMark/>
          </w:tcPr>
          <w:p w14:paraId="2F654375" w14:textId="77777777" w:rsidR="002A7D25" w:rsidRPr="00D53A2B" w:rsidRDefault="002A7D25" w:rsidP="00A202FD">
            <w:pPr>
              <w:jc w:val="both"/>
              <w:rPr>
                <w:sz w:val="22"/>
                <w:szCs w:val="22"/>
              </w:rPr>
            </w:pPr>
            <w:r w:rsidRPr="00D53A2B">
              <w:rPr>
                <w:sz w:val="22"/>
                <w:szCs w:val="22"/>
              </w:rPr>
              <w:t>HPDC</w:t>
            </w:r>
          </w:p>
        </w:tc>
        <w:tc>
          <w:tcPr>
            <w:tcW w:w="7163" w:type="dxa"/>
            <w:noWrap/>
            <w:hideMark/>
          </w:tcPr>
          <w:p w14:paraId="5AD9BCB7" w14:textId="77777777" w:rsidR="002A7D25" w:rsidRPr="00D53A2B" w:rsidRDefault="002A7D25" w:rsidP="00A202FD">
            <w:pPr>
              <w:jc w:val="both"/>
              <w:rPr>
                <w:sz w:val="22"/>
                <w:szCs w:val="22"/>
              </w:rPr>
            </w:pPr>
            <w:r w:rsidRPr="00D53A2B">
              <w:rPr>
                <w:sz w:val="22"/>
                <w:szCs w:val="22"/>
              </w:rPr>
              <w:t>Yüksek basınçlı döküm</w:t>
            </w:r>
          </w:p>
        </w:tc>
      </w:tr>
      <w:tr w:rsidR="002A7D25" w:rsidRPr="00D53A2B" w14:paraId="1857EEF6" w14:textId="77777777" w:rsidTr="008A08CF">
        <w:trPr>
          <w:trHeight w:val="320"/>
        </w:trPr>
        <w:tc>
          <w:tcPr>
            <w:tcW w:w="1621" w:type="dxa"/>
            <w:noWrap/>
            <w:hideMark/>
          </w:tcPr>
          <w:p w14:paraId="4D5EE43C" w14:textId="77777777" w:rsidR="002A7D25" w:rsidRPr="00D53A2B" w:rsidRDefault="002A7D25" w:rsidP="00A202FD">
            <w:pPr>
              <w:jc w:val="both"/>
              <w:rPr>
                <w:sz w:val="22"/>
                <w:szCs w:val="22"/>
              </w:rPr>
            </w:pPr>
            <w:r w:rsidRPr="00D53A2B">
              <w:rPr>
                <w:sz w:val="22"/>
                <w:szCs w:val="22"/>
              </w:rPr>
              <w:t>NFM</w:t>
            </w:r>
          </w:p>
        </w:tc>
        <w:tc>
          <w:tcPr>
            <w:tcW w:w="7163" w:type="dxa"/>
            <w:noWrap/>
            <w:hideMark/>
          </w:tcPr>
          <w:p w14:paraId="4C66A1BF" w14:textId="77777777" w:rsidR="002A7D25" w:rsidRPr="00D53A2B" w:rsidRDefault="002A7D25" w:rsidP="00A202FD">
            <w:pPr>
              <w:jc w:val="both"/>
              <w:rPr>
                <w:sz w:val="22"/>
                <w:szCs w:val="22"/>
              </w:rPr>
            </w:pPr>
            <w:r w:rsidRPr="00D53A2B">
              <w:rPr>
                <w:sz w:val="22"/>
                <w:szCs w:val="22"/>
              </w:rPr>
              <w:t>Demir dışı metal</w:t>
            </w:r>
          </w:p>
        </w:tc>
      </w:tr>
      <w:tr w:rsidR="002A7D25" w:rsidRPr="00D53A2B" w14:paraId="7225F710" w14:textId="77777777" w:rsidTr="008A08CF">
        <w:trPr>
          <w:trHeight w:val="320"/>
        </w:trPr>
        <w:tc>
          <w:tcPr>
            <w:tcW w:w="1621" w:type="dxa"/>
            <w:noWrap/>
            <w:hideMark/>
          </w:tcPr>
          <w:p w14:paraId="00770D4A" w14:textId="77777777" w:rsidR="002A7D25" w:rsidRPr="00D53A2B" w:rsidRDefault="002A7D25" w:rsidP="00A202FD">
            <w:pPr>
              <w:jc w:val="both"/>
              <w:rPr>
                <w:sz w:val="22"/>
                <w:szCs w:val="22"/>
              </w:rPr>
            </w:pPr>
            <w:r w:rsidRPr="00D53A2B">
              <w:rPr>
                <w:sz w:val="22"/>
                <w:szCs w:val="22"/>
              </w:rPr>
              <w:t>OME</w:t>
            </w:r>
          </w:p>
        </w:tc>
        <w:tc>
          <w:tcPr>
            <w:tcW w:w="7163" w:type="dxa"/>
            <w:noWrap/>
            <w:hideMark/>
          </w:tcPr>
          <w:p w14:paraId="72459304" w14:textId="77777777" w:rsidR="002A7D25" w:rsidRPr="00D53A2B" w:rsidRDefault="002A7D25" w:rsidP="00A202FD">
            <w:pPr>
              <w:jc w:val="both"/>
              <w:rPr>
                <w:sz w:val="22"/>
                <w:szCs w:val="22"/>
              </w:rPr>
            </w:pPr>
            <w:r w:rsidRPr="00D53A2B">
              <w:rPr>
                <w:sz w:val="22"/>
                <w:szCs w:val="22"/>
              </w:rPr>
              <w:t>Operasyonel malzeme verimliliği</w:t>
            </w:r>
          </w:p>
        </w:tc>
      </w:tr>
      <w:tr w:rsidR="002A7D25" w:rsidRPr="00D53A2B" w14:paraId="4A6361DA" w14:textId="77777777" w:rsidTr="008A08CF">
        <w:trPr>
          <w:trHeight w:val="320"/>
        </w:trPr>
        <w:tc>
          <w:tcPr>
            <w:tcW w:w="1621" w:type="dxa"/>
            <w:noWrap/>
            <w:hideMark/>
          </w:tcPr>
          <w:p w14:paraId="35841ADF" w14:textId="77777777" w:rsidR="002A7D25" w:rsidRPr="00D53A2B" w:rsidRDefault="002A7D25" w:rsidP="00A202FD">
            <w:pPr>
              <w:jc w:val="both"/>
              <w:rPr>
                <w:sz w:val="22"/>
                <w:szCs w:val="22"/>
              </w:rPr>
            </w:pPr>
            <w:r w:rsidRPr="00D53A2B">
              <w:rPr>
                <w:sz w:val="22"/>
                <w:szCs w:val="22"/>
              </w:rPr>
              <w:t>OTNOC</w:t>
            </w:r>
          </w:p>
        </w:tc>
        <w:tc>
          <w:tcPr>
            <w:tcW w:w="7163" w:type="dxa"/>
            <w:noWrap/>
            <w:hideMark/>
          </w:tcPr>
          <w:p w14:paraId="2807B2CE" w14:textId="77777777" w:rsidR="002A7D25" w:rsidRPr="00D53A2B" w:rsidRDefault="002A7D25" w:rsidP="00A202FD">
            <w:pPr>
              <w:jc w:val="both"/>
              <w:rPr>
                <w:sz w:val="22"/>
                <w:szCs w:val="22"/>
              </w:rPr>
            </w:pPr>
            <w:r w:rsidRPr="00D53A2B">
              <w:rPr>
                <w:sz w:val="22"/>
                <w:szCs w:val="22"/>
              </w:rPr>
              <w:t>Normal olmayan işletim koşulları</w:t>
            </w:r>
          </w:p>
        </w:tc>
      </w:tr>
      <w:tr w:rsidR="002A7D25" w:rsidRPr="00D53A2B" w14:paraId="3B84DEC0" w14:textId="77777777" w:rsidTr="008A08CF">
        <w:trPr>
          <w:trHeight w:val="320"/>
        </w:trPr>
        <w:tc>
          <w:tcPr>
            <w:tcW w:w="1621" w:type="dxa"/>
            <w:noWrap/>
            <w:hideMark/>
          </w:tcPr>
          <w:p w14:paraId="61ADB9F1" w14:textId="77777777" w:rsidR="002A7D25" w:rsidRPr="00D53A2B" w:rsidRDefault="002A7D25" w:rsidP="00A202FD">
            <w:pPr>
              <w:jc w:val="both"/>
              <w:rPr>
                <w:sz w:val="22"/>
                <w:szCs w:val="22"/>
              </w:rPr>
            </w:pPr>
            <w:r w:rsidRPr="00D53A2B">
              <w:rPr>
                <w:sz w:val="22"/>
                <w:szCs w:val="22"/>
              </w:rPr>
              <w:t>TEA</w:t>
            </w:r>
          </w:p>
        </w:tc>
        <w:tc>
          <w:tcPr>
            <w:tcW w:w="7163" w:type="dxa"/>
            <w:noWrap/>
            <w:hideMark/>
          </w:tcPr>
          <w:p w14:paraId="60C332E8" w14:textId="77777777" w:rsidR="002A7D25" w:rsidRPr="00D53A2B" w:rsidRDefault="002A7D25" w:rsidP="00A202FD">
            <w:pPr>
              <w:jc w:val="both"/>
              <w:rPr>
                <w:sz w:val="22"/>
                <w:szCs w:val="22"/>
              </w:rPr>
            </w:pPr>
            <w:r w:rsidRPr="00D53A2B">
              <w:rPr>
                <w:sz w:val="22"/>
                <w:szCs w:val="22"/>
              </w:rPr>
              <w:t>Trietilamin</w:t>
            </w:r>
          </w:p>
        </w:tc>
      </w:tr>
    </w:tbl>
    <w:p w14:paraId="76DC262C" w14:textId="77777777" w:rsidR="002A7D25" w:rsidRPr="00D53A2B" w:rsidRDefault="002A7D25" w:rsidP="00A202FD">
      <w:pPr>
        <w:jc w:val="both"/>
        <w:rPr>
          <w:rFonts w:eastAsia="Calibri"/>
          <w:lang w:val="en-US" w:eastAsia="en-US"/>
        </w:rPr>
      </w:pPr>
    </w:p>
    <w:p w14:paraId="3153ADCA" w14:textId="77777777" w:rsidR="0068350C" w:rsidRPr="00D53A2B" w:rsidRDefault="0068350C" w:rsidP="00A202FD">
      <w:pPr>
        <w:jc w:val="both"/>
        <w:rPr>
          <w:rFonts w:eastAsia="DengXian Light"/>
          <w:lang w:val="en-US" w:eastAsia="en-US"/>
        </w:rPr>
      </w:pPr>
    </w:p>
    <w:p w14:paraId="720813EF" w14:textId="77777777" w:rsidR="002A7D25" w:rsidRPr="00D53A2B" w:rsidRDefault="002A7D25" w:rsidP="00A202FD">
      <w:pPr>
        <w:jc w:val="both"/>
        <w:rPr>
          <w:rFonts w:eastAsia="DengXian Light"/>
          <w:lang w:val="en-US" w:eastAsia="en-US"/>
        </w:rPr>
      </w:pPr>
    </w:p>
    <w:p w14:paraId="6198EB0E" w14:textId="77777777" w:rsidR="002A7D25" w:rsidRPr="00D53A2B" w:rsidRDefault="002A7D25" w:rsidP="00A202FD">
      <w:pPr>
        <w:jc w:val="both"/>
        <w:rPr>
          <w:rFonts w:eastAsia="DengXian Light"/>
          <w:lang w:val="en-US" w:eastAsia="en-US"/>
        </w:rPr>
      </w:pPr>
    </w:p>
    <w:p w14:paraId="5DAAF9EA" w14:textId="77777777" w:rsidR="002A7D25" w:rsidRPr="00D53A2B" w:rsidRDefault="002A7D25" w:rsidP="00A202FD">
      <w:pPr>
        <w:jc w:val="both"/>
        <w:rPr>
          <w:rFonts w:eastAsia="DengXian Light"/>
          <w:lang w:val="en-US" w:eastAsia="en-US"/>
        </w:rPr>
        <w:sectPr w:rsidR="002A7D25" w:rsidRPr="00D53A2B" w:rsidSect="009077F5">
          <w:type w:val="nextColumn"/>
          <w:pgSz w:w="11900" w:h="16840"/>
          <w:pgMar w:top="1418" w:right="1418" w:bottom="1418" w:left="1418" w:header="0" w:footer="0" w:gutter="0"/>
          <w:cols w:space="0" w:equalWidth="0">
            <w:col w:w="8632"/>
          </w:cols>
          <w:docGrid w:linePitch="360"/>
        </w:sectPr>
      </w:pPr>
    </w:p>
    <w:p w14:paraId="5CC844DF" w14:textId="7969F850" w:rsidR="002C0247" w:rsidRPr="00D53A2B" w:rsidRDefault="002C0247" w:rsidP="00B220B9">
      <w:pPr>
        <w:pStyle w:val="Balk1"/>
        <w:jc w:val="right"/>
        <w:rPr>
          <w:szCs w:val="24"/>
          <w:lang w:eastAsia="en-US"/>
        </w:rPr>
      </w:pPr>
      <w:r w:rsidRPr="00D53A2B">
        <w:rPr>
          <w:szCs w:val="24"/>
          <w:lang w:eastAsia="en-US"/>
        </w:rPr>
        <w:lastRenderedPageBreak/>
        <w:t>EK-2</w:t>
      </w:r>
    </w:p>
    <w:p w14:paraId="6094EF5E" w14:textId="22874FD1" w:rsidR="00451B9A" w:rsidRDefault="00040336" w:rsidP="009077F5">
      <w:pPr>
        <w:pStyle w:val="Balk1"/>
        <w:rPr>
          <w:szCs w:val="24"/>
        </w:rPr>
      </w:pPr>
      <w:r w:rsidRPr="00D53A2B">
        <w:rPr>
          <w:szCs w:val="24"/>
        </w:rPr>
        <w:t>DEMİR ve ÇELİK ÜRETİMİ İÇİN MEVCUT EN İYİ TEKNİK</w:t>
      </w:r>
      <w:r w:rsidR="00C12219" w:rsidRPr="00D53A2B">
        <w:rPr>
          <w:szCs w:val="24"/>
        </w:rPr>
        <w:t>LER</w:t>
      </w:r>
      <w:r w:rsidRPr="00D53A2B">
        <w:rPr>
          <w:szCs w:val="24"/>
        </w:rPr>
        <w:t xml:space="preserve"> (MET)</w:t>
      </w:r>
    </w:p>
    <w:p w14:paraId="47F2A53D" w14:textId="4AA77FE2" w:rsidR="0091566A" w:rsidRDefault="0091566A" w:rsidP="009077F5">
      <w:pPr>
        <w:jc w:val="both"/>
      </w:pPr>
      <w:r>
        <w:t>Bu EK</w:t>
      </w:r>
      <w:r w:rsidR="00653B8E">
        <w:t xml:space="preserve"> Endüstriyel </w:t>
      </w:r>
      <w:r w:rsidR="00F22B58">
        <w:t>E</w:t>
      </w:r>
      <w:r w:rsidR="00653B8E">
        <w:t>misyonların Yönetimi Yönetmeliği’nin EK-1 inde yer alan</w:t>
      </w:r>
      <w:r>
        <w:t xml:space="preserve"> aşağıdaki faaliyetleri kapsar:</w:t>
      </w:r>
    </w:p>
    <w:p w14:paraId="6D2D34B2" w14:textId="77777777" w:rsidR="0091566A" w:rsidRDefault="0091566A" w:rsidP="009077F5">
      <w:pPr>
        <w:jc w:val="both"/>
      </w:pPr>
    </w:p>
    <w:p w14:paraId="42B9FF09" w14:textId="6ACD740C" w:rsidR="0091566A" w:rsidRDefault="0091566A" w:rsidP="009077F5">
      <w:pPr>
        <w:jc w:val="both"/>
      </w:pPr>
      <w:r>
        <w:t>a)</w:t>
      </w:r>
      <w:r w:rsidR="00F22B58">
        <w:tab/>
      </w:r>
      <w:r>
        <w:t xml:space="preserve"> 1.3: Kok üretimi</w:t>
      </w:r>
    </w:p>
    <w:p w14:paraId="7479C8FE" w14:textId="30BFD8D0" w:rsidR="0091566A" w:rsidRDefault="0091566A" w:rsidP="009077F5">
      <w:pPr>
        <w:jc w:val="both"/>
      </w:pPr>
      <w:r>
        <w:t>b)</w:t>
      </w:r>
      <w:r>
        <w:tab/>
        <w:t>2.1: Maden cevheri (sülfür cevheri dahil) kavurma veya sinterleme</w:t>
      </w:r>
    </w:p>
    <w:p w14:paraId="7F20B879" w14:textId="4AED5DC8" w:rsidR="0091566A" w:rsidRDefault="0091566A" w:rsidP="009077F5">
      <w:pPr>
        <w:jc w:val="both"/>
      </w:pPr>
      <w:r>
        <w:t>c)</w:t>
      </w:r>
      <w:r>
        <w:tab/>
        <w:t>2.2: Saatte 2,5 tonu aşan kapasite ile sürekli döküm dahil olmak üzere pik demir veya çelik üretimi (birincil veya ikincil füzyon)</w:t>
      </w:r>
    </w:p>
    <w:p w14:paraId="2551F212" w14:textId="20961923" w:rsidR="0091566A" w:rsidRDefault="0091566A" w:rsidP="009077F5">
      <w:pPr>
        <w:jc w:val="both"/>
      </w:pPr>
      <w:r>
        <w:t>ç)</w:t>
      </w:r>
      <w:r>
        <w:tab/>
        <w:t>MET sonuçları özellikle aşağıdaki prosesleri kapsar:</w:t>
      </w:r>
    </w:p>
    <w:p w14:paraId="53C0569C" w14:textId="77777777" w:rsidR="0091566A" w:rsidRDefault="0091566A" w:rsidP="009077F5">
      <w:pPr>
        <w:jc w:val="both"/>
      </w:pPr>
      <w:r>
        <w:t>-</w:t>
      </w:r>
      <w:r>
        <w:tab/>
        <w:t>Dökme ham maddelerin yüklenmesi, boşaltılması ve taşınması</w:t>
      </w:r>
    </w:p>
    <w:p w14:paraId="14C76FBF" w14:textId="77777777" w:rsidR="0091566A" w:rsidRDefault="0091566A" w:rsidP="009077F5">
      <w:pPr>
        <w:jc w:val="both"/>
      </w:pPr>
      <w:r>
        <w:t>-</w:t>
      </w:r>
      <w:r>
        <w:tab/>
        <w:t>Ham maddelerin harmanlanması ve karıştırılması</w:t>
      </w:r>
    </w:p>
    <w:p w14:paraId="4216BA65" w14:textId="77777777" w:rsidR="0091566A" w:rsidRDefault="0091566A" w:rsidP="009077F5">
      <w:pPr>
        <w:jc w:val="both"/>
      </w:pPr>
      <w:r>
        <w:t>-</w:t>
      </w:r>
      <w:r>
        <w:tab/>
        <w:t>Demir cevherinin sinterlenmesi ve peletlenmesi</w:t>
      </w:r>
    </w:p>
    <w:p w14:paraId="7CF97D85" w14:textId="77777777" w:rsidR="0091566A" w:rsidRDefault="0091566A" w:rsidP="009077F5">
      <w:pPr>
        <w:jc w:val="both"/>
      </w:pPr>
      <w:r>
        <w:t>-</w:t>
      </w:r>
      <w:r>
        <w:tab/>
        <w:t>Kok kömüründen kok üretimi</w:t>
      </w:r>
    </w:p>
    <w:p w14:paraId="0A514670" w14:textId="77777777" w:rsidR="0091566A" w:rsidRDefault="0091566A" w:rsidP="009077F5">
      <w:pPr>
        <w:jc w:val="both"/>
      </w:pPr>
      <w:r>
        <w:t>-</w:t>
      </w:r>
      <w:r>
        <w:tab/>
        <w:t>Cüruf işleme dahil olmak üzere yüksek fırın yolu ile sıcak metal üretimi</w:t>
      </w:r>
    </w:p>
    <w:p w14:paraId="6B07F88C" w14:textId="77777777" w:rsidR="0091566A" w:rsidRDefault="0091566A" w:rsidP="009077F5">
      <w:pPr>
        <w:jc w:val="both"/>
      </w:pPr>
      <w:r>
        <w:t>-</w:t>
      </w:r>
      <w:r>
        <w:tab/>
        <w:t>Kaynak tarafında pota kükürt giderme, akış tarafında pota metalürjisi ve cüruf işleme dahil olmak üzere bazik oksijen prosesi kullanılarak çelik üretimi ve rafinajı</w:t>
      </w:r>
    </w:p>
    <w:p w14:paraId="2BD7061A" w14:textId="77777777" w:rsidR="0091566A" w:rsidRDefault="0091566A" w:rsidP="009077F5">
      <w:pPr>
        <w:jc w:val="both"/>
      </w:pPr>
      <w:r>
        <w:t>-</w:t>
      </w:r>
      <w:r>
        <w:tab/>
        <w:t>Akış tarafında pota metalürjisi ve cüruf işleme dahil olmak üzere elektrik ark fırınlarıyla çelik üretimi</w:t>
      </w:r>
    </w:p>
    <w:p w14:paraId="7311D501" w14:textId="77777777" w:rsidR="0091566A" w:rsidRDefault="0091566A" w:rsidP="009077F5">
      <w:pPr>
        <w:jc w:val="both"/>
      </w:pPr>
      <w:r>
        <w:t>-</w:t>
      </w:r>
      <w:r>
        <w:tab/>
        <w:t>Sürekli döküm (ince levha/ince şerit ve doğrudan levha dökümü (şekle yakın))</w:t>
      </w:r>
    </w:p>
    <w:p w14:paraId="0E258519" w14:textId="77777777" w:rsidR="0091566A" w:rsidRDefault="0091566A" w:rsidP="009077F5">
      <w:pPr>
        <w:jc w:val="both"/>
      </w:pPr>
    </w:p>
    <w:p w14:paraId="506FBBC4" w14:textId="28E7A80F" w:rsidR="0091566A" w:rsidRDefault="0091566A" w:rsidP="009077F5">
      <w:pPr>
        <w:jc w:val="both"/>
      </w:pPr>
      <w:r>
        <w:t>d)</w:t>
      </w:r>
      <w:r>
        <w:tab/>
        <w:t>Bu MET sonuçlarında aşağıdaki faaliyetler ele alınmamaktadır:</w:t>
      </w:r>
    </w:p>
    <w:p w14:paraId="69832412" w14:textId="77777777" w:rsidR="0091566A" w:rsidRDefault="0091566A" w:rsidP="009077F5">
      <w:pPr>
        <w:jc w:val="both"/>
      </w:pPr>
      <w:r>
        <w:t>-</w:t>
      </w:r>
      <w:r>
        <w:tab/>
        <w:t>Çimento, Kireç ve Magnezyum Oksit İmalat Endüstrilerine dair MET-Ref (CLM) kapsamında yer alan fırınlarda kireç üretimi</w:t>
      </w:r>
    </w:p>
    <w:p w14:paraId="670BA685" w14:textId="77777777" w:rsidR="0091566A" w:rsidRDefault="0091566A" w:rsidP="009077F5">
      <w:pPr>
        <w:jc w:val="both"/>
      </w:pPr>
      <w:r>
        <w:t>-</w:t>
      </w:r>
      <w:r>
        <w:tab/>
        <w:t>Demir Dışı Metal Endüstrilerine dair MET-Ref (NFM) kapsamında yer alan demir alaşımlarının üretimi ve demir dışı metallerin (örneğin elektrik ark fırın tozu) geri kazanılması için tozların işlenmesi</w:t>
      </w:r>
    </w:p>
    <w:p w14:paraId="4500304E" w14:textId="77777777" w:rsidR="0091566A" w:rsidRDefault="0091566A" w:rsidP="009077F5">
      <w:pPr>
        <w:jc w:val="both"/>
      </w:pPr>
      <w:r>
        <w:t>-</w:t>
      </w:r>
      <w:r>
        <w:tab/>
        <w:t>Büyük Hacimli İnorganik Kimyasallar - Amonyak, Asit ve Gübre Endüstrileri (LVIC-AAF BREF) kapsamında yer alan kok fırınlarında sülfürik asit üretim tesisleri</w:t>
      </w:r>
    </w:p>
    <w:p w14:paraId="7A1BCDF3" w14:textId="77777777" w:rsidR="0091566A" w:rsidRPr="0091566A" w:rsidRDefault="0091566A" w:rsidP="009077F5"/>
    <w:p w14:paraId="4E4B6B60" w14:textId="77777777" w:rsidR="00F06458" w:rsidRPr="00F06458" w:rsidRDefault="00F06458" w:rsidP="00F06458"/>
    <w:p w14:paraId="002C5E8D" w14:textId="2895773C" w:rsidR="00EC16E7" w:rsidRPr="00D53A2B" w:rsidRDefault="008A1A82" w:rsidP="00A202FD">
      <w:pPr>
        <w:pStyle w:val="Balk2"/>
        <w:rPr>
          <w:rFonts w:cs="Times New Roman"/>
          <w:szCs w:val="24"/>
        </w:rPr>
      </w:pPr>
      <w:bookmarkStart w:id="3" w:name="bookmark1401"/>
      <w:bookmarkStart w:id="4" w:name="bookmark1402"/>
      <w:r w:rsidRPr="00D53A2B">
        <w:rPr>
          <w:rStyle w:val="Balk1Arial3"/>
          <w:rFonts w:ascii="Times New Roman" w:hAnsi="Times New Roman" w:cs="Times New Roman"/>
          <w:b/>
          <w:bCs w:val="0"/>
          <w:sz w:val="24"/>
          <w:szCs w:val="24"/>
        </w:rPr>
        <w:t xml:space="preserve">1. </w:t>
      </w:r>
      <w:r w:rsidR="002C5FC4" w:rsidRPr="00D53A2B">
        <w:rPr>
          <w:rStyle w:val="Balk1Arial3"/>
          <w:rFonts w:ascii="Times New Roman" w:hAnsi="Times New Roman" w:cs="Times New Roman"/>
          <w:b/>
          <w:bCs w:val="0"/>
          <w:sz w:val="24"/>
          <w:szCs w:val="24"/>
        </w:rPr>
        <w:t xml:space="preserve">Genel MET </w:t>
      </w:r>
      <w:bookmarkEnd w:id="3"/>
      <w:bookmarkEnd w:id="4"/>
      <w:r w:rsidR="002C5FC4" w:rsidRPr="00D53A2B">
        <w:rPr>
          <w:rStyle w:val="Balk1Arial3"/>
          <w:rFonts w:ascii="Times New Roman" w:hAnsi="Times New Roman" w:cs="Times New Roman"/>
          <w:b/>
          <w:bCs w:val="0"/>
          <w:sz w:val="24"/>
          <w:szCs w:val="24"/>
        </w:rPr>
        <w:t>Uygulamaları</w:t>
      </w:r>
    </w:p>
    <w:p w14:paraId="4B541700" w14:textId="77777777" w:rsidR="003D03F6" w:rsidRPr="00D53A2B" w:rsidRDefault="003D03F6" w:rsidP="00A202FD">
      <w:pPr>
        <w:jc w:val="both"/>
      </w:pPr>
      <w:r w:rsidRPr="00D53A2B">
        <w:t xml:space="preserve">Aksi belirtilmediği sürece, bu bölümde sunulan MET sonuçları genel olarak geçerlidir. </w:t>
      </w:r>
    </w:p>
    <w:p w14:paraId="070EFDD2" w14:textId="31562A63" w:rsidR="008A1A82" w:rsidRPr="00D53A2B" w:rsidRDefault="003D03F6" w:rsidP="00A202FD">
      <w:pPr>
        <w:jc w:val="both"/>
      </w:pPr>
      <w:r w:rsidRPr="00D53A2B">
        <w:t>2</w:t>
      </w:r>
      <w:r w:rsidR="00155FF6" w:rsidRPr="00D53A2B">
        <w:t xml:space="preserve">. ve </w:t>
      </w:r>
      <w:r w:rsidRPr="00D53A2B">
        <w:t xml:space="preserve">7. </w:t>
      </w:r>
      <w:r w:rsidR="00155FF6" w:rsidRPr="00D53A2B">
        <w:t>B</w:t>
      </w:r>
      <w:r w:rsidRPr="00D53A2B">
        <w:t>ölümler</w:t>
      </w:r>
      <w:r w:rsidR="00155FF6" w:rsidRPr="00D53A2B">
        <w:t xml:space="preserve"> arasında</w:t>
      </w:r>
      <w:r w:rsidRPr="00D53A2B">
        <w:t xml:space="preserve"> yer alan prosese özgü MET, bu bölümde belirtilen genel MET</w:t>
      </w:r>
      <w:r w:rsidR="00E56504" w:rsidRPr="00D53A2B">
        <w:t>’</w:t>
      </w:r>
      <w:r w:rsidRPr="00D53A2B">
        <w:t>e ek olarak uygulanır.</w:t>
      </w:r>
    </w:p>
    <w:p w14:paraId="06C9FBBA" w14:textId="77777777" w:rsidR="00AC33F5" w:rsidRPr="00D53A2B" w:rsidRDefault="00AC33F5" w:rsidP="00A202FD">
      <w:pPr>
        <w:jc w:val="both"/>
      </w:pPr>
    </w:p>
    <w:p w14:paraId="155D6DB4" w14:textId="56AFAD6A" w:rsidR="00EC16E7" w:rsidRPr="00D53A2B" w:rsidRDefault="008A1A82" w:rsidP="00A202FD">
      <w:pPr>
        <w:pStyle w:val="Balk3"/>
        <w:rPr>
          <w:rFonts w:cs="Times New Roman"/>
        </w:rPr>
      </w:pPr>
      <w:bookmarkStart w:id="5" w:name="bookmark1403"/>
      <w:bookmarkStart w:id="6" w:name="bookmark1404"/>
      <w:r w:rsidRPr="00D53A2B">
        <w:rPr>
          <w:rStyle w:val="Balk211pt1"/>
          <w:rFonts w:ascii="Times New Roman" w:hAnsi="Times New Roman" w:cs="Times New Roman"/>
          <w:b/>
          <w:bCs w:val="0"/>
          <w:color w:val="000000"/>
          <w:sz w:val="24"/>
          <w:szCs w:val="24"/>
        </w:rPr>
        <w:t xml:space="preserve">1.1. </w:t>
      </w:r>
      <w:r w:rsidR="00EC16E7" w:rsidRPr="00D53A2B">
        <w:rPr>
          <w:rStyle w:val="Balk211pt1"/>
          <w:rFonts w:ascii="Times New Roman" w:hAnsi="Times New Roman" w:cs="Times New Roman"/>
          <w:b/>
          <w:color w:val="000000"/>
          <w:sz w:val="24"/>
          <w:szCs w:val="24"/>
        </w:rPr>
        <w:t xml:space="preserve">Çevre </w:t>
      </w:r>
      <w:r w:rsidR="00155FF6" w:rsidRPr="00D53A2B">
        <w:rPr>
          <w:rStyle w:val="Balk211pt1"/>
          <w:rFonts w:ascii="Times New Roman" w:hAnsi="Times New Roman" w:cs="Times New Roman"/>
          <w:b/>
          <w:color w:val="000000"/>
          <w:sz w:val="24"/>
          <w:szCs w:val="24"/>
        </w:rPr>
        <w:t>Y</w:t>
      </w:r>
      <w:r w:rsidR="007B43D6" w:rsidRPr="00D53A2B">
        <w:rPr>
          <w:rStyle w:val="Balk211pt1"/>
          <w:rFonts w:ascii="Times New Roman" w:hAnsi="Times New Roman" w:cs="Times New Roman"/>
          <w:b/>
          <w:color w:val="000000"/>
          <w:sz w:val="24"/>
          <w:szCs w:val="24"/>
        </w:rPr>
        <w:t xml:space="preserve">önetim </w:t>
      </w:r>
      <w:r w:rsidR="00155FF6" w:rsidRPr="00D53A2B">
        <w:rPr>
          <w:rStyle w:val="Balk211pt1"/>
          <w:rFonts w:ascii="Times New Roman" w:hAnsi="Times New Roman" w:cs="Times New Roman"/>
          <w:b/>
          <w:color w:val="000000"/>
          <w:sz w:val="24"/>
          <w:szCs w:val="24"/>
        </w:rPr>
        <w:t>S</w:t>
      </w:r>
      <w:r w:rsidR="007B43D6" w:rsidRPr="00D53A2B">
        <w:rPr>
          <w:rStyle w:val="Balk211pt1"/>
          <w:rFonts w:ascii="Times New Roman" w:hAnsi="Times New Roman" w:cs="Times New Roman"/>
          <w:b/>
          <w:color w:val="000000"/>
          <w:sz w:val="24"/>
          <w:szCs w:val="24"/>
        </w:rPr>
        <w:t>istem</w:t>
      </w:r>
      <w:bookmarkEnd w:id="5"/>
      <w:bookmarkEnd w:id="6"/>
      <w:r w:rsidR="00154E95" w:rsidRPr="00D53A2B">
        <w:rPr>
          <w:rStyle w:val="Balk211pt1"/>
          <w:rFonts w:ascii="Times New Roman" w:hAnsi="Times New Roman" w:cs="Times New Roman"/>
          <w:b/>
          <w:color w:val="000000"/>
          <w:sz w:val="24"/>
          <w:szCs w:val="24"/>
        </w:rPr>
        <w:t>i</w:t>
      </w:r>
    </w:p>
    <w:p w14:paraId="47FFF70C" w14:textId="634E7CBB" w:rsidR="003D03F6" w:rsidRPr="00D53A2B" w:rsidRDefault="003D03F6" w:rsidP="00A202FD">
      <w:pPr>
        <w:pStyle w:val="MET"/>
        <w:rPr>
          <w:rFonts w:eastAsia="Calibri"/>
          <w:b w:val="0"/>
          <w:szCs w:val="24"/>
          <w:lang w:val="en-US"/>
        </w:rPr>
      </w:pPr>
      <w:bookmarkStart w:id="7" w:name="bookmark1405"/>
      <w:r w:rsidRPr="00D53A2B">
        <w:rPr>
          <w:rStyle w:val="Balk63"/>
          <w:bCs/>
          <w:sz w:val="24"/>
          <w:szCs w:val="24"/>
        </w:rPr>
        <w:t>MET 1:</w:t>
      </w:r>
      <w:r w:rsidRPr="00D53A2B">
        <w:rPr>
          <w:rStyle w:val="Balk63"/>
          <w:b w:val="0"/>
          <w:sz w:val="24"/>
          <w:szCs w:val="24"/>
        </w:rPr>
        <w:t xml:space="preserve"> </w:t>
      </w:r>
      <w:r w:rsidR="003770CD" w:rsidRPr="00D53A2B">
        <w:rPr>
          <w:rFonts w:eastAsia="Calibri"/>
          <w:b w:val="0"/>
          <w:szCs w:val="24"/>
          <w:lang w:val="en-US"/>
        </w:rPr>
        <w:t>A</w:t>
      </w:r>
      <w:r w:rsidRPr="00D53A2B">
        <w:rPr>
          <w:rFonts w:eastAsia="Calibri"/>
          <w:b w:val="0"/>
          <w:szCs w:val="24"/>
          <w:lang w:val="en-US"/>
        </w:rPr>
        <w:t>şağıdaki özellikleri bünyesinde barındıran bir çevre yönetim sistemini (ÇYS) uygulamak ve buna uymakla yükümlüdür.</w:t>
      </w:r>
    </w:p>
    <w:p w14:paraId="53C9703C" w14:textId="77777777" w:rsidR="00A278CB" w:rsidRPr="00D53A2B" w:rsidRDefault="003D03F6" w:rsidP="00A202FD">
      <w:pPr>
        <w:pStyle w:val="ListeParagraf"/>
        <w:numPr>
          <w:ilvl w:val="0"/>
          <w:numId w:val="58"/>
        </w:numPr>
        <w:spacing w:line="240" w:lineRule="auto"/>
        <w:ind w:left="646" w:hanging="646"/>
        <w:rPr>
          <w:rStyle w:val="Gvdemetni3a"/>
          <w:color w:val="000000"/>
          <w:sz w:val="24"/>
          <w:szCs w:val="24"/>
        </w:rPr>
      </w:pPr>
      <w:r w:rsidRPr="00D53A2B">
        <w:rPr>
          <w:rStyle w:val="Gvdemetni3a"/>
          <w:color w:val="000000"/>
          <w:sz w:val="24"/>
          <w:szCs w:val="24"/>
        </w:rPr>
        <w:t>Üst düzey yönetim de dahil olmak üzere yönetimin taahhüdü;</w:t>
      </w:r>
    </w:p>
    <w:p w14:paraId="03361507" w14:textId="77777777" w:rsidR="00A278CB" w:rsidRPr="00D53A2B" w:rsidRDefault="003D03F6" w:rsidP="00A202FD">
      <w:pPr>
        <w:pStyle w:val="ListeParagraf"/>
        <w:numPr>
          <w:ilvl w:val="0"/>
          <w:numId w:val="58"/>
        </w:numPr>
        <w:spacing w:line="240" w:lineRule="auto"/>
        <w:ind w:left="646" w:hanging="646"/>
        <w:rPr>
          <w:rStyle w:val="Gvdemetni3a"/>
          <w:color w:val="000000"/>
          <w:sz w:val="24"/>
          <w:szCs w:val="24"/>
        </w:rPr>
      </w:pPr>
      <w:r w:rsidRPr="00D53A2B">
        <w:rPr>
          <w:rStyle w:val="Gvdemetni3a"/>
          <w:color w:val="000000"/>
          <w:sz w:val="24"/>
          <w:szCs w:val="24"/>
        </w:rPr>
        <w:t>Yönetim tarafından  tesisin sürekli iyileştirilmesini kapsayan bir çevre politikasının tanımı;</w:t>
      </w:r>
    </w:p>
    <w:p w14:paraId="75DACD0F" w14:textId="42B9C385" w:rsidR="00A278CB" w:rsidRPr="00D53A2B" w:rsidRDefault="003D03F6" w:rsidP="00A202FD">
      <w:pPr>
        <w:pStyle w:val="ListeParagraf"/>
        <w:numPr>
          <w:ilvl w:val="0"/>
          <w:numId w:val="58"/>
        </w:numPr>
        <w:spacing w:line="240" w:lineRule="auto"/>
        <w:ind w:left="567" w:hanging="567"/>
        <w:rPr>
          <w:rStyle w:val="Gvdemetni3a"/>
          <w:color w:val="000000"/>
          <w:sz w:val="24"/>
          <w:szCs w:val="24"/>
        </w:rPr>
      </w:pPr>
      <w:r w:rsidRPr="00D53A2B">
        <w:rPr>
          <w:rStyle w:val="Gvdemetni3a"/>
          <w:color w:val="000000"/>
          <w:sz w:val="24"/>
          <w:szCs w:val="24"/>
        </w:rPr>
        <w:t>Gerekli prosedürler, amaç ve hedeflerin finansal planlama ve yatırımla bir arada planlanması ve belirlenmesi</w:t>
      </w:r>
    </w:p>
    <w:p w14:paraId="47453955" w14:textId="643F9242" w:rsidR="003D03F6" w:rsidRPr="00D53A2B" w:rsidRDefault="003D03F6" w:rsidP="00A202FD">
      <w:pPr>
        <w:pStyle w:val="ListeParagraf"/>
        <w:numPr>
          <w:ilvl w:val="0"/>
          <w:numId w:val="58"/>
        </w:numPr>
        <w:spacing w:line="240" w:lineRule="auto"/>
        <w:ind w:left="646" w:hanging="646"/>
        <w:rPr>
          <w:color w:val="000000"/>
          <w:sz w:val="24"/>
          <w:szCs w:val="24"/>
        </w:rPr>
      </w:pPr>
      <w:r w:rsidRPr="00D53A2B">
        <w:rPr>
          <w:rStyle w:val="Gvdemetni3a"/>
          <w:color w:val="000000"/>
          <w:sz w:val="24"/>
          <w:szCs w:val="24"/>
        </w:rPr>
        <w:t>Aşağıdaki unsurlara özellikle dikkat edilerek prosedürlerin uygulanması:</w:t>
      </w:r>
    </w:p>
    <w:p w14:paraId="26A3074E" w14:textId="77777777" w:rsidR="00A278CB" w:rsidRPr="00D53A2B" w:rsidRDefault="003D03F6" w:rsidP="00A202FD">
      <w:pPr>
        <w:pStyle w:val="ListeParagraf"/>
        <w:numPr>
          <w:ilvl w:val="0"/>
          <w:numId w:val="63"/>
        </w:numPr>
        <w:tabs>
          <w:tab w:val="clear" w:pos="567"/>
          <w:tab w:val="left" w:pos="993"/>
        </w:tabs>
        <w:spacing w:line="240" w:lineRule="auto"/>
        <w:ind w:left="993" w:hanging="437"/>
        <w:rPr>
          <w:rStyle w:val="Gvdemetni3a"/>
          <w:sz w:val="24"/>
          <w:szCs w:val="24"/>
        </w:rPr>
      </w:pPr>
      <w:r w:rsidRPr="00D53A2B">
        <w:rPr>
          <w:rStyle w:val="Gvdemetni3a"/>
          <w:color w:val="000000"/>
          <w:sz w:val="24"/>
          <w:szCs w:val="24"/>
        </w:rPr>
        <w:t>Yapı ve sorumluluk</w:t>
      </w:r>
    </w:p>
    <w:p w14:paraId="4AB542AD" w14:textId="77777777" w:rsidR="00A278CB" w:rsidRPr="00D53A2B" w:rsidRDefault="003D03F6" w:rsidP="00A202FD">
      <w:pPr>
        <w:pStyle w:val="ListeParagraf"/>
        <w:numPr>
          <w:ilvl w:val="0"/>
          <w:numId w:val="63"/>
        </w:numPr>
        <w:tabs>
          <w:tab w:val="clear" w:pos="567"/>
          <w:tab w:val="left" w:pos="709"/>
        </w:tabs>
        <w:spacing w:line="240" w:lineRule="auto"/>
        <w:ind w:left="993" w:hanging="437"/>
        <w:rPr>
          <w:rStyle w:val="Gvdemetni3a"/>
          <w:sz w:val="24"/>
          <w:szCs w:val="24"/>
        </w:rPr>
      </w:pPr>
      <w:r w:rsidRPr="00D53A2B">
        <w:rPr>
          <w:rStyle w:val="Gvdemetni3a"/>
          <w:color w:val="000000"/>
          <w:sz w:val="24"/>
          <w:szCs w:val="24"/>
        </w:rPr>
        <w:t>Eğitim, farkındalık ve yetkinlik</w:t>
      </w:r>
    </w:p>
    <w:p w14:paraId="6E5853E1" w14:textId="77777777" w:rsidR="00A278CB" w:rsidRPr="00D53A2B" w:rsidRDefault="003D03F6" w:rsidP="00A202FD">
      <w:pPr>
        <w:pStyle w:val="ListeParagraf"/>
        <w:numPr>
          <w:ilvl w:val="0"/>
          <w:numId w:val="63"/>
        </w:numPr>
        <w:tabs>
          <w:tab w:val="clear" w:pos="567"/>
          <w:tab w:val="left" w:pos="709"/>
        </w:tabs>
        <w:spacing w:line="240" w:lineRule="auto"/>
        <w:ind w:left="993" w:hanging="437"/>
        <w:rPr>
          <w:rStyle w:val="Gvdemetni3a"/>
          <w:sz w:val="24"/>
          <w:szCs w:val="24"/>
        </w:rPr>
      </w:pPr>
      <w:r w:rsidRPr="00D53A2B">
        <w:rPr>
          <w:rStyle w:val="Gvdemetni3a"/>
          <w:color w:val="000000"/>
          <w:sz w:val="24"/>
          <w:szCs w:val="24"/>
        </w:rPr>
        <w:t>İletişim</w:t>
      </w:r>
    </w:p>
    <w:p w14:paraId="0F4C1856" w14:textId="77777777" w:rsidR="00A278CB" w:rsidRPr="00D53A2B" w:rsidRDefault="003D03F6" w:rsidP="00A202FD">
      <w:pPr>
        <w:pStyle w:val="ListeParagraf"/>
        <w:numPr>
          <w:ilvl w:val="0"/>
          <w:numId w:val="63"/>
        </w:numPr>
        <w:tabs>
          <w:tab w:val="clear" w:pos="567"/>
          <w:tab w:val="left" w:pos="709"/>
        </w:tabs>
        <w:spacing w:line="240" w:lineRule="auto"/>
        <w:ind w:left="993" w:hanging="437"/>
        <w:rPr>
          <w:rStyle w:val="Gvdemetni3a"/>
          <w:sz w:val="24"/>
          <w:szCs w:val="24"/>
        </w:rPr>
      </w:pPr>
      <w:r w:rsidRPr="00D53A2B">
        <w:rPr>
          <w:rStyle w:val="Gvdemetni3a"/>
          <w:color w:val="000000"/>
          <w:sz w:val="24"/>
          <w:szCs w:val="24"/>
        </w:rPr>
        <w:lastRenderedPageBreak/>
        <w:t>Çalışan katılımı</w:t>
      </w:r>
    </w:p>
    <w:p w14:paraId="6BEB39CD" w14:textId="77777777" w:rsidR="00A278CB" w:rsidRPr="00D53A2B" w:rsidRDefault="003D03F6" w:rsidP="00A202FD">
      <w:pPr>
        <w:pStyle w:val="ListeParagraf"/>
        <w:numPr>
          <w:ilvl w:val="0"/>
          <w:numId w:val="63"/>
        </w:numPr>
        <w:tabs>
          <w:tab w:val="clear" w:pos="567"/>
          <w:tab w:val="left" w:pos="709"/>
        </w:tabs>
        <w:spacing w:line="240" w:lineRule="auto"/>
        <w:ind w:left="993" w:hanging="437"/>
        <w:rPr>
          <w:rStyle w:val="Gvdemetni3a"/>
          <w:sz w:val="24"/>
          <w:szCs w:val="24"/>
        </w:rPr>
      </w:pPr>
      <w:r w:rsidRPr="00D53A2B">
        <w:rPr>
          <w:rStyle w:val="Gvdemetni3a"/>
          <w:color w:val="000000"/>
          <w:sz w:val="24"/>
          <w:szCs w:val="24"/>
        </w:rPr>
        <w:t>Belgelendirme</w:t>
      </w:r>
    </w:p>
    <w:p w14:paraId="4DB64986" w14:textId="77777777" w:rsidR="00A278CB" w:rsidRPr="00D53A2B" w:rsidRDefault="003D03F6" w:rsidP="00A202FD">
      <w:pPr>
        <w:pStyle w:val="ListeParagraf"/>
        <w:numPr>
          <w:ilvl w:val="0"/>
          <w:numId w:val="63"/>
        </w:numPr>
        <w:tabs>
          <w:tab w:val="clear" w:pos="567"/>
          <w:tab w:val="left" w:pos="709"/>
        </w:tabs>
        <w:spacing w:line="240" w:lineRule="auto"/>
        <w:ind w:left="993" w:hanging="437"/>
        <w:rPr>
          <w:rStyle w:val="Gvdemetni3a"/>
          <w:sz w:val="24"/>
          <w:szCs w:val="24"/>
        </w:rPr>
      </w:pPr>
      <w:r w:rsidRPr="00D53A2B">
        <w:rPr>
          <w:rStyle w:val="Gvdemetni3a"/>
          <w:color w:val="000000"/>
          <w:sz w:val="24"/>
          <w:szCs w:val="24"/>
        </w:rPr>
        <w:t>Etkin süreç kontrolü</w:t>
      </w:r>
    </w:p>
    <w:p w14:paraId="321E6DA6" w14:textId="77777777" w:rsidR="00A278CB" w:rsidRPr="00D53A2B" w:rsidRDefault="003D03F6" w:rsidP="00A202FD">
      <w:pPr>
        <w:pStyle w:val="ListeParagraf"/>
        <w:numPr>
          <w:ilvl w:val="0"/>
          <w:numId w:val="63"/>
        </w:numPr>
        <w:tabs>
          <w:tab w:val="clear" w:pos="567"/>
          <w:tab w:val="left" w:pos="709"/>
        </w:tabs>
        <w:spacing w:line="240" w:lineRule="auto"/>
        <w:ind w:left="993" w:hanging="437"/>
        <w:rPr>
          <w:rStyle w:val="Gvdemetni3a"/>
          <w:sz w:val="24"/>
          <w:szCs w:val="24"/>
        </w:rPr>
      </w:pPr>
      <w:r w:rsidRPr="00D53A2B">
        <w:rPr>
          <w:rStyle w:val="Gvdemetni3a"/>
          <w:color w:val="000000"/>
          <w:sz w:val="24"/>
          <w:szCs w:val="24"/>
        </w:rPr>
        <w:t>Bakım programları</w:t>
      </w:r>
    </w:p>
    <w:p w14:paraId="6C812FC5" w14:textId="77777777" w:rsidR="00A278CB" w:rsidRPr="00D53A2B" w:rsidRDefault="003D03F6" w:rsidP="00A202FD">
      <w:pPr>
        <w:pStyle w:val="ListeParagraf"/>
        <w:numPr>
          <w:ilvl w:val="0"/>
          <w:numId w:val="63"/>
        </w:numPr>
        <w:tabs>
          <w:tab w:val="clear" w:pos="567"/>
          <w:tab w:val="left" w:pos="709"/>
        </w:tabs>
        <w:spacing w:line="240" w:lineRule="auto"/>
        <w:ind w:left="993" w:hanging="437"/>
        <w:rPr>
          <w:rStyle w:val="Gvdemetni3a"/>
          <w:sz w:val="24"/>
          <w:szCs w:val="24"/>
        </w:rPr>
      </w:pPr>
      <w:r w:rsidRPr="00D53A2B">
        <w:rPr>
          <w:rStyle w:val="Gvdemetni3a"/>
          <w:color w:val="000000"/>
          <w:sz w:val="24"/>
          <w:szCs w:val="24"/>
        </w:rPr>
        <w:t>Acil duruma hazırlık ve müdahale</w:t>
      </w:r>
    </w:p>
    <w:p w14:paraId="2EEAB35C" w14:textId="24C674F2" w:rsidR="003D03F6" w:rsidRPr="00D53A2B" w:rsidRDefault="003D03F6" w:rsidP="00A202FD">
      <w:pPr>
        <w:pStyle w:val="ListeParagraf"/>
        <w:numPr>
          <w:ilvl w:val="0"/>
          <w:numId w:val="63"/>
        </w:numPr>
        <w:tabs>
          <w:tab w:val="clear" w:pos="567"/>
          <w:tab w:val="left" w:pos="709"/>
        </w:tabs>
        <w:spacing w:line="240" w:lineRule="auto"/>
        <w:ind w:left="993" w:hanging="437"/>
        <w:rPr>
          <w:rStyle w:val="Gvdemetni3a"/>
          <w:sz w:val="24"/>
          <w:szCs w:val="24"/>
        </w:rPr>
      </w:pPr>
      <w:r w:rsidRPr="00D53A2B">
        <w:rPr>
          <w:rStyle w:val="Gvdemetni3a"/>
          <w:color w:val="000000"/>
          <w:sz w:val="24"/>
          <w:szCs w:val="24"/>
        </w:rPr>
        <w:t>Çevre mevzuatına uygunluğun korunması;</w:t>
      </w:r>
    </w:p>
    <w:p w14:paraId="0DBD680C" w14:textId="3DF1F3E5" w:rsidR="003D03F6" w:rsidRPr="00D53A2B" w:rsidRDefault="003D03F6" w:rsidP="00A202FD">
      <w:pPr>
        <w:pStyle w:val="ListeParagraf"/>
        <w:numPr>
          <w:ilvl w:val="0"/>
          <w:numId w:val="58"/>
        </w:numPr>
        <w:spacing w:line="240" w:lineRule="auto"/>
        <w:rPr>
          <w:sz w:val="24"/>
          <w:szCs w:val="24"/>
        </w:rPr>
      </w:pPr>
      <w:r w:rsidRPr="00D53A2B">
        <w:rPr>
          <w:rStyle w:val="Gvdemetni3a"/>
          <w:color w:val="000000"/>
          <w:sz w:val="24"/>
          <w:szCs w:val="24"/>
        </w:rPr>
        <w:t>Aşağıdaki unsurlara özellikle dikkat ederek performansın kontrol edilmesi ve düzeltici önlemlerin alınması:</w:t>
      </w:r>
    </w:p>
    <w:p w14:paraId="30398376" w14:textId="77777777" w:rsidR="00A278CB" w:rsidRPr="00D53A2B" w:rsidRDefault="003D03F6" w:rsidP="00A202FD">
      <w:pPr>
        <w:pStyle w:val="ListeParagraf"/>
        <w:numPr>
          <w:ilvl w:val="0"/>
          <w:numId w:val="66"/>
        </w:numPr>
        <w:spacing w:line="240" w:lineRule="auto"/>
        <w:ind w:left="992" w:hanging="357"/>
        <w:rPr>
          <w:rStyle w:val="Gvdemetni3a"/>
          <w:sz w:val="24"/>
          <w:szCs w:val="24"/>
        </w:rPr>
      </w:pPr>
      <w:r w:rsidRPr="00D53A2B">
        <w:rPr>
          <w:rStyle w:val="Gvdemetni3a"/>
          <w:color w:val="000000"/>
          <w:sz w:val="24"/>
          <w:szCs w:val="24"/>
        </w:rPr>
        <w:t>İzleme ve ölçüm (Ayrıca bkz. İzleme Genel İlkelerine İlişkin Referans Belgesi)</w:t>
      </w:r>
    </w:p>
    <w:p w14:paraId="20ABD52B" w14:textId="77777777" w:rsidR="00A278CB" w:rsidRPr="00D53A2B" w:rsidRDefault="003D03F6" w:rsidP="00A202FD">
      <w:pPr>
        <w:pStyle w:val="ListeParagraf"/>
        <w:numPr>
          <w:ilvl w:val="0"/>
          <w:numId w:val="66"/>
        </w:numPr>
        <w:spacing w:line="240" w:lineRule="auto"/>
        <w:ind w:left="992" w:hanging="357"/>
        <w:rPr>
          <w:rStyle w:val="Gvdemetni3a"/>
          <w:sz w:val="24"/>
          <w:szCs w:val="24"/>
        </w:rPr>
      </w:pPr>
      <w:r w:rsidRPr="00D53A2B">
        <w:rPr>
          <w:rStyle w:val="Gvdemetni3a"/>
          <w:color w:val="000000"/>
          <w:sz w:val="24"/>
          <w:szCs w:val="24"/>
        </w:rPr>
        <w:t>Düzeltici ve önleyici eylem</w:t>
      </w:r>
    </w:p>
    <w:p w14:paraId="02ABE137" w14:textId="77777777" w:rsidR="00A278CB" w:rsidRPr="00D53A2B" w:rsidRDefault="003D03F6" w:rsidP="00A202FD">
      <w:pPr>
        <w:pStyle w:val="ListeParagraf"/>
        <w:numPr>
          <w:ilvl w:val="0"/>
          <w:numId w:val="66"/>
        </w:numPr>
        <w:spacing w:line="240" w:lineRule="auto"/>
        <w:ind w:left="992" w:hanging="357"/>
        <w:rPr>
          <w:rStyle w:val="Gvdemetni3a"/>
          <w:sz w:val="24"/>
          <w:szCs w:val="24"/>
        </w:rPr>
      </w:pPr>
      <w:r w:rsidRPr="00D53A2B">
        <w:rPr>
          <w:rStyle w:val="Gvdemetni3a"/>
          <w:color w:val="000000"/>
          <w:sz w:val="24"/>
          <w:szCs w:val="24"/>
        </w:rPr>
        <w:t>Kayıtların tutulması</w:t>
      </w:r>
    </w:p>
    <w:p w14:paraId="5E4928A4" w14:textId="3E22916D" w:rsidR="003D03F6" w:rsidRPr="00D53A2B" w:rsidRDefault="003D03F6" w:rsidP="00A202FD">
      <w:pPr>
        <w:pStyle w:val="ListeParagraf"/>
        <w:numPr>
          <w:ilvl w:val="0"/>
          <w:numId w:val="66"/>
        </w:numPr>
        <w:spacing w:line="240" w:lineRule="auto"/>
        <w:ind w:left="992" w:hanging="357"/>
        <w:rPr>
          <w:sz w:val="24"/>
          <w:szCs w:val="24"/>
        </w:rPr>
      </w:pPr>
      <w:r w:rsidRPr="00D53A2B">
        <w:rPr>
          <w:rStyle w:val="Gvdemetni3a"/>
          <w:color w:val="000000"/>
          <w:sz w:val="24"/>
          <w:szCs w:val="24"/>
        </w:rPr>
        <w:t>ÇYS</w:t>
      </w:r>
      <w:r w:rsidR="00E56504" w:rsidRPr="00D53A2B">
        <w:rPr>
          <w:rStyle w:val="Gvdemetni3a"/>
          <w:color w:val="000000"/>
          <w:sz w:val="24"/>
          <w:szCs w:val="24"/>
        </w:rPr>
        <w:t>’</w:t>
      </w:r>
      <w:r w:rsidRPr="00D53A2B">
        <w:rPr>
          <w:rStyle w:val="Gvdemetni3a"/>
          <w:color w:val="000000"/>
          <w:sz w:val="24"/>
          <w:szCs w:val="24"/>
        </w:rPr>
        <w:t>nin planlanan düzenlemelere uyup uymadığını ve düzgün bir şekilde uygulanıp uygulanmadığını ve sürdürülüp sürdürülmediğini belirlemek amacıyla bağımsız iç ve dış denetim (uygulanabilir olduğu durumlarda);</w:t>
      </w:r>
    </w:p>
    <w:p w14:paraId="5C679B8E" w14:textId="4430A566" w:rsidR="00A278CB" w:rsidRPr="00D53A2B" w:rsidRDefault="003D03F6" w:rsidP="00A202FD">
      <w:pPr>
        <w:pStyle w:val="ListeParagraf"/>
        <w:numPr>
          <w:ilvl w:val="0"/>
          <w:numId w:val="58"/>
        </w:numPr>
        <w:spacing w:line="240" w:lineRule="auto"/>
        <w:ind w:left="567" w:hanging="567"/>
        <w:rPr>
          <w:rStyle w:val="Gvdemetni3a"/>
          <w:sz w:val="24"/>
          <w:szCs w:val="24"/>
        </w:rPr>
      </w:pPr>
      <w:r w:rsidRPr="00D53A2B">
        <w:rPr>
          <w:rStyle w:val="Gvdemetni3a"/>
          <w:color w:val="000000"/>
          <w:sz w:val="24"/>
          <w:szCs w:val="24"/>
        </w:rPr>
        <w:t>ÇYS</w:t>
      </w:r>
      <w:r w:rsidR="00E56504" w:rsidRPr="00D53A2B">
        <w:rPr>
          <w:rStyle w:val="Gvdemetni3a"/>
          <w:color w:val="000000"/>
          <w:sz w:val="24"/>
          <w:szCs w:val="24"/>
        </w:rPr>
        <w:t>’</w:t>
      </w:r>
      <w:r w:rsidRPr="00D53A2B">
        <w:rPr>
          <w:rStyle w:val="Gvdemetni3a"/>
          <w:color w:val="000000"/>
          <w:sz w:val="24"/>
          <w:szCs w:val="24"/>
        </w:rPr>
        <w:t>nin, üst düzey yönetim tarafından sürekli uygunluğunun, yeterliliğinin ve etkinliğinin gözden geçirilmesi;</w:t>
      </w:r>
    </w:p>
    <w:p w14:paraId="6B9EE4AF" w14:textId="77777777" w:rsidR="00A278CB" w:rsidRPr="00D53A2B" w:rsidRDefault="003D03F6" w:rsidP="00A202FD">
      <w:pPr>
        <w:pStyle w:val="ListeParagraf"/>
        <w:numPr>
          <w:ilvl w:val="0"/>
          <w:numId w:val="58"/>
        </w:numPr>
        <w:spacing w:line="240" w:lineRule="auto"/>
        <w:rPr>
          <w:rStyle w:val="Gvdemetni3a"/>
          <w:sz w:val="24"/>
          <w:szCs w:val="24"/>
        </w:rPr>
      </w:pPr>
      <w:r w:rsidRPr="00D53A2B">
        <w:rPr>
          <w:rStyle w:val="Gvdemetni3a"/>
          <w:color w:val="000000"/>
          <w:sz w:val="24"/>
          <w:szCs w:val="24"/>
        </w:rPr>
        <w:t>Temiz teknolojilerin gelişiminin takip edilmesi;</w:t>
      </w:r>
    </w:p>
    <w:p w14:paraId="1EBD7BB5" w14:textId="77777777" w:rsidR="00A278CB" w:rsidRPr="00D53A2B" w:rsidRDefault="003D03F6" w:rsidP="00A202FD">
      <w:pPr>
        <w:pStyle w:val="ListeParagraf"/>
        <w:numPr>
          <w:ilvl w:val="0"/>
          <w:numId w:val="58"/>
        </w:numPr>
        <w:spacing w:line="240" w:lineRule="auto"/>
        <w:ind w:left="567" w:hanging="567"/>
        <w:rPr>
          <w:rStyle w:val="Gvdemetni3a"/>
          <w:sz w:val="24"/>
          <w:szCs w:val="24"/>
        </w:rPr>
      </w:pPr>
      <w:r w:rsidRPr="00D53A2B">
        <w:rPr>
          <w:rStyle w:val="Gvdemetni3a"/>
          <w:color w:val="000000"/>
          <w:sz w:val="24"/>
          <w:szCs w:val="24"/>
        </w:rPr>
        <w:t>Yeni bir tesisin tasarlanması aşamasında ve bu tesisin işletme ömrü boyunca, tesisin nihai olarak devre dışı bırakılmasından kaynaklanacak çevresel etkilerin dikkate alınması;</w:t>
      </w:r>
    </w:p>
    <w:p w14:paraId="6454FBAE" w14:textId="629F9254" w:rsidR="003D03F6" w:rsidRPr="00D53A2B" w:rsidRDefault="003D03F6" w:rsidP="00A202FD">
      <w:pPr>
        <w:pStyle w:val="ListeParagraf"/>
        <w:numPr>
          <w:ilvl w:val="0"/>
          <w:numId w:val="58"/>
        </w:numPr>
        <w:spacing w:line="240" w:lineRule="auto"/>
        <w:rPr>
          <w:rStyle w:val="Gvdemetni3a"/>
          <w:sz w:val="24"/>
          <w:szCs w:val="24"/>
        </w:rPr>
      </w:pPr>
      <w:r w:rsidRPr="00D53A2B">
        <w:rPr>
          <w:rStyle w:val="Gvdemetni3a"/>
          <w:color w:val="000000"/>
          <w:sz w:val="24"/>
          <w:szCs w:val="24"/>
        </w:rPr>
        <w:t>Sektörel kıyaslamanın düzenli olarak uygulanması.</w:t>
      </w:r>
      <w:bookmarkStart w:id="8" w:name="bookmark1407"/>
      <w:bookmarkStart w:id="9" w:name="bookmark1408"/>
      <w:bookmarkEnd w:id="7"/>
    </w:p>
    <w:p w14:paraId="60006EEB" w14:textId="77777777" w:rsidR="003D03F6" w:rsidRPr="00D53A2B" w:rsidRDefault="003D03F6" w:rsidP="00A202FD">
      <w:pPr>
        <w:pStyle w:val="Gvdemetni1"/>
        <w:shd w:val="clear" w:color="auto" w:fill="auto"/>
        <w:tabs>
          <w:tab w:val="left" w:pos="793"/>
        </w:tabs>
        <w:spacing w:after="0" w:line="360" w:lineRule="auto"/>
        <w:ind w:firstLine="0"/>
        <w:rPr>
          <w:rStyle w:val="Gvdemetni3a"/>
          <w:b/>
          <w:bCs/>
          <w:sz w:val="24"/>
          <w:szCs w:val="24"/>
        </w:rPr>
      </w:pPr>
    </w:p>
    <w:p w14:paraId="3124717D" w14:textId="6A5F2AF8" w:rsidR="003D03F6" w:rsidRPr="00D53A2B" w:rsidRDefault="003D03F6" w:rsidP="00A202FD">
      <w:pPr>
        <w:pStyle w:val="Gvdemetni1"/>
        <w:shd w:val="clear" w:color="auto" w:fill="auto"/>
        <w:tabs>
          <w:tab w:val="left" w:pos="793"/>
        </w:tabs>
        <w:spacing w:after="0" w:line="360" w:lineRule="auto"/>
        <w:ind w:firstLine="0"/>
        <w:rPr>
          <w:rStyle w:val="Gvdemetni3a"/>
          <w:sz w:val="24"/>
          <w:szCs w:val="24"/>
        </w:rPr>
      </w:pPr>
      <w:r w:rsidRPr="00D53A2B">
        <w:rPr>
          <w:rStyle w:val="Gvdemetni3a"/>
          <w:b/>
          <w:bCs/>
          <w:sz w:val="24"/>
          <w:szCs w:val="24"/>
        </w:rPr>
        <w:t>Uygulanabilirlik</w:t>
      </w:r>
    </w:p>
    <w:p w14:paraId="7E652A57" w14:textId="22E94471" w:rsidR="003D03F6" w:rsidRPr="00D53A2B" w:rsidRDefault="003D03F6" w:rsidP="00A202FD">
      <w:pPr>
        <w:jc w:val="both"/>
        <w:rPr>
          <w:rStyle w:val="Gvdemetni3a"/>
        </w:rPr>
      </w:pPr>
      <w:r w:rsidRPr="00D53A2B">
        <w:rPr>
          <w:rStyle w:val="Gvdemetni3a"/>
        </w:rPr>
        <w:t>ÇYS</w:t>
      </w:r>
      <w:r w:rsidR="00E56504" w:rsidRPr="00D53A2B">
        <w:rPr>
          <w:rStyle w:val="Gvdemetni3a"/>
        </w:rPr>
        <w:t>’</w:t>
      </w:r>
      <w:r w:rsidRPr="00D53A2B">
        <w:rPr>
          <w:rStyle w:val="Gvdemetni3a"/>
        </w:rPr>
        <w:t>nin kapsamı (örneğin ayrıntı düzeyi) ve</w:t>
      </w:r>
      <w:r w:rsidR="000E31A4" w:rsidRPr="00D53A2B">
        <w:rPr>
          <w:rStyle w:val="Gvdemetni3a"/>
        </w:rPr>
        <w:t xml:space="preserve"> ÇYS</w:t>
      </w:r>
      <w:r w:rsidR="0063764C" w:rsidRPr="00D53A2B">
        <w:rPr>
          <w:rStyle w:val="Gvdemetni3a"/>
        </w:rPr>
        <w:t>nin</w:t>
      </w:r>
      <w:r w:rsidRPr="00D53A2B">
        <w:rPr>
          <w:rStyle w:val="Gvdemetni3a"/>
        </w:rPr>
        <w:t xml:space="preserve"> niteliği (örneğin standartlaştırılmış veya standartlaştırılmamış) genellikle tesisin niteliği, ölçeği ve karmaşıklığı ve yaratabileceği çevresel etki aralığıyla ilişkili olacaktır.</w:t>
      </w:r>
    </w:p>
    <w:p w14:paraId="0761F360" w14:textId="77777777" w:rsidR="00630820" w:rsidRPr="00D53A2B" w:rsidRDefault="00630820" w:rsidP="00A202FD">
      <w:pPr>
        <w:jc w:val="both"/>
        <w:rPr>
          <w:rStyle w:val="Gvdemetni3a"/>
        </w:rPr>
      </w:pPr>
    </w:p>
    <w:p w14:paraId="6523865E" w14:textId="0AD95E1B" w:rsidR="00630820" w:rsidRPr="00D53A2B" w:rsidRDefault="00630820" w:rsidP="00602365">
      <w:pPr>
        <w:pStyle w:val="Balk3"/>
        <w:numPr>
          <w:ilvl w:val="1"/>
          <w:numId w:val="244"/>
        </w:numPr>
        <w:rPr>
          <w:rStyle w:val="Gvdemetni3a"/>
          <w:rFonts w:cs="Times New Roman"/>
        </w:rPr>
      </w:pPr>
      <w:r w:rsidRPr="00D53A2B">
        <w:rPr>
          <w:rStyle w:val="Gvdemetni3a"/>
          <w:rFonts w:cs="Times New Roman"/>
        </w:rPr>
        <w:t xml:space="preserve">Enerji </w:t>
      </w:r>
      <w:r w:rsidR="003770CD" w:rsidRPr="00D53A2B">
        <w:rPr>
          <w:rStyle w:val="Gvdemetni3a"/>
          <w:rFonts w:cs="Times New Roman"/>
        </w:rPr>
        <w:t>Y</w:t>
      </w:r>
      <w:r w:rsidR="007B43D6" w:rsidRPr="00D53A2B">
        <w:rPr>
          <w:rStyle w:val="Gvdemetni3a"/>
          <w:rFonts w:cs="Times New Roman"/>
        </w:rPr>
        <w:t>öneti</w:t>
      </w:r>
      <w:r w:rsidRPr="00D53A2B">
        <w:rPr>
          <w:rStyle w:val="Gvdemetni3a"/>
          <w:rFonts w:cs="Times New Roman"/>
        </w:rPr>
        <w:t>mi</w:t>
      </w:r>
    </w:p>
    <w:p w14:paraId="53DB424D" w14:textId="17503DF6" w:rsidR="003D03F6" w:rsidRPr="00D53A2B" w:rsidRDefault="003D03F6" w:rsidP="00A202FD">
      <w:pPr>
        <w:pStyle w:val="MET"/>
        <w:rPr>
          <w:b w:val="0"/>
          <w:szCs w:val="24"/>
        </w:rPr>
      </w:pPr>
      <w:r w:rsidRPr="00D53A2B">
        <w:rPr>
          <w:rStyle w:val="Balk63"/>
          <w:bCs/>
          <w:color w:val="000000"/>
          <w:sz w:val="24"/>
          <w:szCs w:val="24"/>
        </w:rPr>
        <w:t>MET 2:</w:t>
      </w:r>
      <w:r w:rsidRPr="00D53A2B">
        <w:rPr>
          <w:rStyle w:val="Balk63"/>
          <w:b w:val="0"/>
          <w:color w:val="000000"/>
          <w:sz w:val="24"/>
          <w:szCs w:val="24"/>
        </w:rPr>
        <w:t xml:space="preserve"> Aşağıda belirtilen tekniklerin bir kombinasyonunu kullanarak, termal enerji tüketimini azalt</w:t>
      </w:r>
      <w:r w:rsidR="003770CD" w:rsidRPr="00D53A2B">
        <w:rPr>
          <w:rStyle w:val="Balk63"/>
          <w:b w:val="0"/>
          <w:color w:val="000000"/>
          <w:sz w:val="24"/>
          <w:szCs w:val="24"/>
        </w:rPr>
        <w:t>ılmalıdır</w:t>
      </w:r>
      <w:r w:rsidRPr="00D53A2B">
        <w:rPr>
          <w:rStyle w:val="Balk63"/>
          <w:b w:val="0"/>
          <w:color w:val="000000"/>
          <w:sz w:val="24"/>
          <w:szCs w:val="24"/>
        </w:rPr>
        <w:t>.</w:t>
      </w:r>
    </w:p>
    <w:p w14:paraId="1D8B60F6" w14:textId="649790A6" w:rsidR="003D03F6" w:rsidRPr="00D53A2B" w:rsidRDefault="003D03F6" w:rsidP="00A202FD">
      <w:pPr>
        <w:pStyle w:val="Gvdemetni1"/>
        <w:numPr>
          <w:ilvl w:val="0"/>
          <w:numId w:val="48"/>
        </w:numPr>
        <w:shd w:val="clear" w:color="auto" w:fill="auto"/>
        <w:tabs>
          <w:tab w:val="left" w:pos="960"/>
        </w:tabs>
        <w:spacing w:after="0" w:line="240" w:lineRule="auto"/>
        <w:ind w:left="567" w:right="20" w:hanging="567"/>
        <w:rPr>
          <w:sz w:val="24"/>
          <w:szCs w:val="24"/>
        </w:rPr>
      </w:pPr>
      <w:r w:rsidRPr="00D53A2B">
        <w:rPr>
          <w:rStyle w:val="Gvdemetni3a"/>
          <w:color w:val="000000"/>
          <w:sz w:val="24"/>
          <w:szCs w:val="24"/>
        </w:rPr>
        <w:t>Sorunsuz ve kararlı işleme sağlamak için geliştirilmiş ve optimize edilmiş sistemler kullanılarak proses parametresi ayar noktalarına yakın çalışılır;</w:t>
      </w:r>
    </w:p>
    <w:p w14:paraId="071380CE" w14:textId="48381F23" w:rsidR="003D03F6" w:rsidRPr="00D53A2B" w:rsidRDefault="003D03F6" w:rsidP="00A202FD">
      <w:pPr>
        <w:pStyle w:val="Gvdemetni1"/>
        <w:numPr>
          <w:ilvl w:val="0"/>
          <w:numId w:val="49"/>
        </w:numPr>
        <w:shd w:val="clear" w:color="auto" w:fill="auto"/>
        <w:spacing w:after="0" w:line="240" w:lineRule="auto"/>
        <w:ind w:left="993" w:right="380" w:hanging="426"/>
        <w:rPr>
          <w:sz w:val="24"/>
          <w:szCs w:val="24"/>
        </w:rPr>
      </w:pPr>
      <w:r w:rsidRPr="00D53A2B">
        <w:rPr>
          <w:rStyle w:val="Gvdemetni3a"/>
          <w:color w:val="000000"/>
          <w:sz w:val="24"/>
          <w:szCs w:val="24"/>
        </w:rPr>
        <w:t>Bilgisayar tabanlı otomatik kontrol sistemleri de dahil olmak üzere proses kontrol optimizasyonu</w:t>
      </w:r>
    </w:p>
    <w:p w14:paraId="12412499" w14:textId="77777777" w:rsidR="003D03F6" w:rsidRPr="00D53A2B" w:rsidRDefault="003D03F6" w:rsidP="00A202FD">
      <w:pPr>
        <w:pStyle w:val="Gvdemetni1"/>
        <w:numPr>
          <w:ilvl w:val="0"/>
          <w:numId w:val="49"/>
        </w:numPr>
        <w:shd w:val="clear" w:color="auto" w:fill="auto"/>
        <w:spacing w:after="0" w:line="240" w:lineRule="auto"/>
        <w:ind w:left="993" w:right="380" w:hanging="426"/>
        <w:rPr>
          <w:sz w:val="24"/>
          <w:szCs w:val="24"/>
        </w:rPr>
      </w:pPr>
      <w:r w:rsidRPr="00D53A2B">
        <w:rPr>
          <w:rStyle w:val="Gvdemetni3a"/>
          <w:color w:val="000000"/>
          <w:sz w:val="24"/>
          <w:szCs w:val="24"/>
        </w:rPr>
        <w:t>Modern, gravimetrik katı yakıt besleme sistemleri</w:t>
      </w:r>
    </w:p>
    <w:p w14:paraId="6825B92D" w14:textId="72843184" w:rsidR="003D03F6" w:rsidRPr="00D53A2B" w:rsidRDefault="003D03F6" w:rsidP="00A202FD">
      <w:pPr>
        <w:pStyle w:val="Gvdemetni1"/>
        <w:numPr>
          <w:ilvl w:val="0"/>
          <w:numId w:val="49"/>
        </w:numPr>
        <w:shd w:val="clear" w:color="auto" w:fill="auto"/>
        <w:spacing w:after="0" w:line="240" w:lineRule="auto"/>
        <w:ind w:left="993" w:right="380" w:hanging="426"/>
        <w:rPr>
          <w:sz w:val="24"/>
          <w:szCs w:val="24"/>
        </w:rPr>
      </w:pPr>
      <w:r w:rsidRPr="00D53A2B">
        <w:rPr>
          <w:rStyle w:val="Gvdemetni3a"/>
          <w:color w:val="000000"/>
          <w:sz w:val="24"/>
          <w:szCs w:val="24"/>
        </w:rPr>
        <w:t>Mevcut proses konfigürasyonu dikkate alınarak mümkün olan en geniş ölçüde ön ısıtma yapılır.</w:t>
      </w:r>
    </w:p>
    <w:p w14:paraId="0A3DEB03" w14:textId="546C7CBA" w:rsidR="003D03F6" w:rsidRPr="00D53A2B" w:rsidRDefault="003D03F6" w:rsidP="00A202FD">
      <w:pPr>
        <w:pStyle w:val="Gvdemetni1"/>
        <w:numPr>
          <w:ilvl w:val="0"/>
          <w:numId w:val="48"/>
        </w:numPr>
        <w:shd w:val="clear" w:color="auto" w:fill="auto"/>
        <w:spacing w:after="0" w:line="240" w:lineRule="auto"/>
        <w:ind w:left="426" w:hanging="436"/>
        <w:rPr>
          <w:sz w:val="24"/>
          <w:szCs w:val="24"/>
        </w:rPr>
      </w:pPr>
      <w:r w:rsidRPr="00D53A2B">
        <w:rPr>
          <w:rStyle w:val="Gvdemetni3a"/>
          <w:color w:val="000000"/>
          <w:sz w:val="24"/>
          <w:szCs w:val="24"/>
        </w:rPr>
        <w:t>Özellikle soğutma bölgelerinde oluşan fazla ısının proseslerden geri kazanılması</w:t>
      </w:r>
    </w:p>
    <w:p w14:paraId="046D88A4" w14:textId="77777777" w:rsidR="003D03F6" w:rsidRPr="00D53A2B" w:rsidRDefault="003D03F6" w:rsidP="00A202FD">
      <w:pPr>
        <w:pStyle w:val="Gvdemetni1"/>
        <w:numPr>
          <w:ilvl w:val="0"/>
          <w:numId w:val="48"/>
        </w:numPr>
        <w:shd w:val="clear" w:color="auto" w:fill="auto"/>
        <w:spacing w:after="0" w:line="240" w:lineRule="auto"/>
        <w:ind w:left="426" w:hanging="436"/>
        <w:rPr>
          <w:sz w:val="24"/>
          <w:szCs w:val="24"/>
        </w:rPr>
      </w:pPr>
      <w:r w:rsidRPr="00D53A2B">
        <w:rPr>
          <w:rStyle w:val="Gvdemetni3a"/>
          <w:color w:val="000000"/>
          <w:sz w:val="24"/>
          <w:szCs w:val="24"/>
        </w:rPr>
        <w:t>Optimize edilmiş buhar ve ısı yönetimi</w:t>
      </w:r>
    </w:p>
    <w:p w14:paraId="791FB80B" w14:textId="60F9DB70" w:rsidR="003D03F6" w:rsidRPr="00D53A2B" w:rsidRDefault="003D03F6" w:rsidP="00A202FD">
      <w:pPr>
        <w:pStyle w:val="Gvdemetni1"/>
        <w:numPr>
          <w:ilvl w:val="0"/>
          <w:numId w:val="48"/>
        </w:numPr>
        <w:shd w:val="clear" w:color="auto" w:fill="auto"/>
        <w:spacing w:after="0" w:line="240" w:lineRule="auto"/>
        <w:ind w:left="426" w:hanging="426"/>
        <w:rPr>
          <w:sz w:val="24"/>
          <w:szCs w:val="24"/>
        </w:rPr>
      </w:pPr>
      <w:r w:rsidRPr="00D53A2B">
        <w:rPr>
          <w:rStyle w:val="Gvdemetni3a"/>
          <w:color w:val="000000"/>
          <w:sz w:val="24"/>
          <w:szCs w:val="24"/>
        </w:rPr>
        <w:t>Mümkün olduğunca, ölçülebilen ısının proses entegreli yeniden kullanımını uygulamak.</w:t>
      </w:r>
    </w:p>
    <w:p w14:paraId="206CC633" w14:textId="77777777" w:rsidR="00A06578" w:rsidRPr="00D53A2B" w:rsidRDefault="00A06578" w:rsidP="00A202FD">
      <w:pPr>
        <w:jc w:val="both"/>
      </w:pPr>
    </w:p>
    <w:p w14:paraId="50E46E3D" w14:textId="30A88F26" w:rsidR="003D03F6" w:rsidRPr="00D53A2B" w:rsidRDefault="003D03F6" w:rsidP="00A202FD">
      <w:pPr>
        <w:pStyle w:val="Gvdemetni1"/>
        <w:shd w:val="clear" w:color="auto" w:fill="auto"/>
        <w:spacing w:after="0" w:line="360" w:lineRule="auto"/>
        <w:ind w:firstLine="0"/>
        <w:rPr>
          <w:sz w:val="24"/>
          <w:szCs w:val="24"/>
        </w:rPr>
      </w:pPr>
      <w:r w:rsidRPr="00D53A2B">
        <w:rPr>
          <w:sz w:val="24"/>
          <w:szCs w:val="24"/>
        </w:rPr>
        <w:t>Enerji yönetimi bağlamında Enerji Verimliliği BREF</w:t>
      </w:r>
      <w:r w:rsidR="00E56504" w:rsidRPr="00D53A2B">
        <w:rPr>
          <w:sz w:val="24"/>
          <w:szCs w:val="24"/>
        </w:rPr>
        <w:t>’</w:t>
      </w:r>
      <w:r w:rsidRPr="00D53A2B">
        <w:rPr>
          <w:sz w:val="24"/>
          <w:szCs w:val="24"/>
        </w:rPr>
        <w:t>ine bakınız.</w:t>
      </w:r>
    </w:p>
    <w:p w14:paraId="498F1C95" w14:textId="055BB50D" w:rsidR="00A06578" w:rsidRPr="00D53A2B" w:rsidRDefault="003D03F6" w:rsidP="00A202FD">
      <w:pPr>
        <w:pStyle w:val="MET"/>
        <w:rPr>
          <w:rStyle w:val="Balk620"/>
          <w:color w:val="000000"/>
          <w:sz w:val="24"/>
          <w:szCs w:val="24"/>
        </w:rPr>
      </w:pPr>
      <w:r w:rsidRPr="00D53A2B">
        <w:rPr>
          <w:rStyle w:val="Balk620"/>
          <w:b/>
          <w:color w:val="000000"/>
          <w:sz w:val="24"/>
          <w:szCs w:val="24"/>
        </w:rPr>
        <w:t>MET I.i</w:t>
      </w:r>
      <w:r w:rsidR="00E56504" w:rsidRPr="00D53A2B">
        <w:rPr>
          <w:rStyle w:val="Balk620"/>
          <w:b/>
          <w:color w:val="000000"/>
          <w:sz w:val="24"/>
          <w:szCs w:val="24"/>
        </w:rPr>
        <w:t>’</w:t>
      </w:r>
      <w:r w:rsidRPr="00D53A2B">
        <w:rPr>
          <w:rStyle w:val="Balk620"/>
          <w:b/>
          <w:color w:val="000000"/>
          <w:sz w:val="24"/>
          <w:szCs w:val="24"/>
        </w:rPr>
        <w:t xml:space="preserve">nin </w:t>
      </w:r>
      <w:r w:rsidR="00A06578" w:rsidRPr="00D53A2B">
        <w:rPr>
          <w:rStyle w:val="Balk620"/>
          <w:b/>
          <w:color w:val="000000"/>
          <w:sz w:val="24"/>
          <w:szCs w:val="24"/>
        </w:rPr>
        <w:t>T</w:t>
      </w:r>
      <w:r w:rsidRPr="00D53A2B">
        <w:rPr>
          <w:rStyle w:val="Balk620"/>
          <w:b/>
          <w:color w:val="000000"/>
          <w:sz w:val="24"/>
          <w:szCs w:val="24"/>
        </w:rPr>
        <w:t>anımı</w:t>
      </w:r>
    </w:p>
    <w:p w14:paraId="70E3EEF2" w14:textId="744D0393" w:rsidR="003D03F6" w:rsidRPr="00D53A2B" w:rsidRDefault="003D03F6" w:rsidP="00A202FD">
      <w:pPr>
        <w:jc w:val="both"/>
      </w:pPr>
      <w:r w:rsidRPr="00D53A2B">
        <w:rPr>
          <w:rStyle w:val="Gvdemetni3a"/>
        </w:rPr>
        <w:t>Entegre çelik fabrikalarında genel enerji verimliliğinin artırılması için aşağıdaki hususlar önemlidir:</w:t>
      </w:r>
    </w:p>
    <w:p w14:paraId="7352A32F" w14:textId="77777777" w:rsidR="003D03F6" w:rsidRPr="00D53A2B" w:rsidRDefault="003D03F6" w:rsidP="00A202FD">
      <w:pPr>
        <w:pStyle w:val="Gvdemetni1"/>
        <w:numPr>
          <w:ilvl w:val="0"/>
          <w:numId w:val="50"/>
        </w:numPr>
        <w:shd w:val="clear" w:color="auto" w:fill="auto"/>
        <w:spacing w:after="0" w:line="240" w:lineRule="auto"/>
        <w:ind w:left="714" w:right="23" w:hanging="357"/>
        <w:rPr>
          <w:sz w:val="24"/>
          <w:szCs w:val="24"/>
        </w:rPr>
      </w:pPr>
      <w:r w:rsidRPr="00D53A2B">
        <w:rPr>
          <w:rStyle w:val="Gvdemetni3a"/>
          <w:color w:val="000000"/>
          <w:sz w:val="24"/>
          <w:szCs w:val="24"/>
        </w:rPr>
        <w:t>Enerji tüketimini optimize etmek</w:t>
      </w:r>
    </w:p>
    <w:p w14:paraId="176B21D6" w14:textId="227A34C8" w:rsidR="003D03F6" w:rsidRPr="00D53A2B" w:rsidRDefault="003D03F6" w:rsidP="00A202FD">
      <w:pPr>
        <w:pStyle w:val="Gvdemetni1"/>
        <w:numPr>
          <w:ilvl w:val="0"/>
          <w:numId w:val="50"/>
        </w:numPr>
        <w:shd w:val="clear" w:color="auto" w:fill="auto"/>
        <w:spacing w:after="0" w:line="240" w:lineRule="auto"/>
        <w:ind w:left="714" w:right="23" w:hanging="357"/>
        <w:rPr>
          <w:sz w:val="24"/>
          <w:szCs w:val="24"/>
        </w:rPr>
      </w:pPr>
      <w:r w:rsidRPr="00D53A2B">
        <w:rPr>
          <w:rStyle w:val="Gvdemetni3a"/>
          <w:color w:val="000000"/>
          <w:sz w:val="24"/>
          <w:szCs w:val="24"/>
        </w:rPr>
        <w:t xml:space="preserve">Tesisteki en önemli enerji akışları ve yanma prosesleri için çevrimiçi izleme, enerji </w:t>
      </w:r>
      <w:r w:rsidRPr="00D53A2B">
        <w:rPr>
          <w:rStyle w:val="Gvdemetni3a"/>
          <w:color w:val="000000"/>
          <w:sz w:val="24"/>
          <w:szCs w:val="24"/>
        </w:rPr>
        <w:lastRenderedPageBreak/>
        <w:t>kayıplarını önlemek amacıyla tüm gaz alevlerinin izlenmesi, anında bakım yapılması ve kesintisiz bir üretim sürecinin sağlanması.Her bir prosesin ortalama enerji tüketimini kontrol etmeye yarayan raporlama ve analiz araçları</w:t>
      </w:r>
    </w:p>
    <w:p w14:paraId="03FDB9E8" w14:textId="4547AEED" w:rsidR="003D03F6" w:rsidRPr="00D53A2B" w:rsidRDefault="003D03F6" w:rsidP="00A202FD">
      <w:pPr>
        <w:pStyle w:val="Gvdemetni1"/>
        <w:numPr>
          <w:ilvl w:val="0"/>
          <w:numId w:val="50"/>
        </w:numPr>
        <w:shd w:val="clear" w:color="auto" w:fill="auto"/>
        <w:spacing w:after="0" w:line="240" w:lineRule="auto"/>
        <w:ind w:left="714" w:right="23" w:hanging="357"/>
        <w:rPr>
          <w:sz w:val="24"/>
          <w:szCs w:val="24"/>
        </w:rPr>
      </w:pPr>
      <w:r w:rsidRPr="00D53A2B">
        <w:rPr>
          <w:rStyle w:val="Gvdemetni3a"/>
          <w:color w:val="000000"/>
          <w:sz w:val="24"/>
          <w:szCs w:val="24"/>
        </w:rPr>
        <w:t>İlgili prosesler için özgül enerji tüketim seviyelerinin tanımlanması ve bunların uzun vadeli olarak karşılaştırılması</w:t>
      </w:r>
    </w:p>
    <w:p w14:paraId="5D0ACBF4" w14:textId="1319C545" w:rsidR="00A06578" w:rsidRPr="00D53A2B" w:rsidRDefault="003D03F6" w:rsidP="00A202FD">
      <w:pPr>
        <w:pStyle w:val="Gvdemetni1"/>
        <w:numPr>
          <w:ilvl w:val="0"/>
          <w:numId w:val="50"/>
        </w:numPr>
        <w:shd w:val="clear" w:color="auto" w:fill="auto"/>
        <w:spacing w:after="0" w:line="240" w:lineRule="auto"/>
        <w:ind w:left="714" w:right="23" w:hanging="357"/>
        <w:rPr>
          <w:rStyle w:val="Gvdemetni3a"/>
          <w:color w:val="000000"/>
          <w:sz w:val="24"/>
          <w:szCs w:val="24"/>
        </w:rPr>
      </w:pPr>
      <w:r w:rsidRPr="00D53A2B">
        <w:rPr>
          <w:rStyle w:val="Gvdemetni3a"/>
          <w:color w:val="000000"/>
          <w:sz w:val="24"/>
          <w:szCs w:val="24"/>
        </w:rPr>
        <w:t>Örneğin maliyet etkin enerji tasarrufu fırsatlarını belirlemek amacıyla Enerji Verimliliği BREF</w:t>
      </w:r>
      <w:r w:rsidR="00E56504" w:rsidRPr="00D53A2B">
        <w:rPr>
          <w:rStyle w:val="Gvdemetni3a"/>
          <w:color w:val="000000"/>
          <w:sz w:val="24"/>
          <w:szCs w:val="24"/>
        </w:rPr>
        <w:t>’</w:t>
      </w:r>
      <w:r w:rsidRPr="00D53A2B">
        <w:rPr>
          <w:rStyle w:val="Gvdemetni3a"/>
          <w:color w:val="000000"/>
          <w:sz w:val="24"/>
          <w:szCs w:val="24"/>
        </w:rPr>
        <w:t>inde tanımlandığı şekilde enerji denetimleri gerçekleştirmek.</w:t>
      </w:r>
    </w:p>
    <w:p w14:paraId="7999781B" w14:textId="77777777" w:rsidR="00A06578" w:rsidRPr="00D53A2B" w:rsidRDefault="00A06578" w:rsidP="00A202FD">
      <w:pPr>
        <w:pStyle w:val="Gvdemetni1"/>
        <w:shd w:val="clear" w:color="auto" w:fill="auto"/>
        <w:spacing w:after="0" w:line="240" w:lineRule="auto"/>
        <w:ind w:left="714" w:right="23" w:firstLine="0"/>
        <w:rPr>
          <w:rStyle w:val="Gvdemetni3a"/>
          <w:color w:val="000000"/>
          <w:sz w:val="24"/>
          <w:szCs w:val="24"/>
        </w:rPr>
      </w:pPr>
    </w:p>
    <w:p w14:paraId="7FB578FA" w14:textId="62D0BF36" w:rsidR="003D03F6" w:rsidRPr="00D53A2B" w:rsidRDefault="003D03F6" w:rsidP="00A202FD">
      <w:pPr>
        <w:pStyle w:val="MET"/>
        <w:rPr>
          <w:szCs w:val="24"/>
        </w:rPr>
      </w:pPr>
      <w:r w:rsidRPr="00D53A2B">
        <w:rPr>
          <w:rStyle w:val="Balk620"/>
          <w:b/>
          <w:color w:val="000000"/>
          <w:sz w:val="24"/>
          <w:szCs w:val="24"/>
        </w:rPr>
        <w:t>MET II ve IV</w:t>
      </w:r>
      <w:r w:rsidR="00E56504" w:rsidRPr="00D53A2B">
        <w:rPr>
          <w:rStyle w:val="Balk620"/>
          <w:b/>
          <w:color w:val="000000"/>
          <w:sz w:val="24"/>
          <w:szCs w:val="24"/>
        </w:rPr>
        <w:t>’</w:t>
      </w:r>
      <w:r w:rsidR="00C1113A">
        <w:rPr>
          <w:rStyle w:val="Balk620"/>
          <w:b/>
          <w:color w:val="000000"/>
          <w:sz w:val="24"/>
          <w:szCs w:val="24"/>
        </w:rPr>
        <w:t>ün</w:t>
      </w:r>
      <w:r w:rsidRPr="00D53A2B">
        <w:rPr>
          <w:rStyle w:val="Balk620"/>
          <w:b/>
          <w:color w:val="000000"/>
          <w:sz w:val="24"/>
          <w:szCs w:val="24"/>
        </w:rPr>
        <w:t xml:space="preserve"> Tanımı</w:t>
      </w:r>
    </w:p>
    <w:p w14:paraId="6FEF002F" w14:textId="63BEC707" w:rsidR="003D03F6" w:rsidRPr="00D53A2B" w:rsidRDefault="003D03F6" w:rsidP="00A202FD">
      <w:pPr>
        <w:jc w:val="both"/>
      </w:pPr>
      <w:r w:rsidRPr="00D53A2B">
        <w:rPr>
          <w:rStyle w:val="Gvdemetni3a"/>
        </w:rPr>
        <w:t>Çelik üretiminde ısı geri kazanımını iyileştirerek enerji verimliliğini artırmak için kullanılan süreç entegre teknikler şunlardır:</w:t>
      </w:r>
    </w:p>
    <w:p w14:paraId="767723A0" w14:textId="7C39CF34" w:rsidR="003D03F6" w:rsidRPr="00D53A2B" w:rsidRDefault="003D03F6" w:rsidP="00A202FD">
      <w:pPr>
        <w:pStyle w:val="Gvdemetni1"/>
        <w:numPr>
          <w:ilvl w:val="0"/>
          <w:numId w:val="51"/>
        </w:numPr>
        <w:shd w:val="clear" w:color="auto" w:fill="auto"/>
        <w:spacing w:after="0" w:line="240" w:lineRule="auto"/>
        <w:ind w:right="20"/>
        <w:rPr>
          <w:sz w:val="24"/>
          <w:szCs w:val="24"/>
        </w:rPr>
      </w:pPr>
      <w:r w:rsidRPr="00D53A2B">
        <w:rPr>
          <w:rStyle w:val="Gvdemetni3a"/>
          <w:color w:val="000000"/>
          <w:sz w:val="24"/>
          <w:szCs w:val="24"/>
        </w:rPr>
        <w:t>Atık ısının ısı eşanjörleri ile geri kazanılıp çelik fabrikalarının diğer bölümlerine veya bölgesel ısıtma şebekesine dağıtılmasıyla kombine ısı ve güç üretimi.</w:t>
      </w:r>
      <w:r w:rsidR="003770CD" w:rsidRPr="00D53A2B">
        <w:rPr>
          <w:rStyle w:val="Gvdemetni3a"/>
          <w:color w:val="000000"/>
          <w:sz w:val="24"/>
          <w:szCs w:val="24"/>
        </w:rPr>
        <w:t xml:space="preserve"> </w:t>
      </w:r>
      <w:r w:rsidRPr="00D53A2B">
        <w:rPr>
          <w:rStyle w:val="Gvdemetni3a"/>
          <w:color w:val="000000"/>
          <w:sz w:val="24"/>
          <w:szCs w:val="24"/>
        </w:rPr>
        <w:t>Büyük ısıtma fırınlarına (fırınlar, buhar ihtiyacının bir kısmını karşılayabilir) buhar kazanlarının veya yeterli sistemlerin kurulması.</w:t>
      </w:r>
      <w:r w:rsidR="003770CD" w:rsidRPr="00D53A2B">
        <w:rPr>
          <w:rStyle w:val="Gvdemetni3a"/>
          <w:color w:val="000000"/>
          <w:sz w:val="24"/>
          <w:szCs w:val="24"/>
        </w:rPr>
        <w:t xml:space="preserve"> </w:t>
      </w:r>
      <w:r w:rsidRPr="00D53A2B">
        <w:rPr>
          <w:rStyle w:val="Gvdemetni3a"/>
          <w:color w:val="000000"/>
          <w:sz w:val="24"/>
          <w:szCs w:val="24"/>
        </w:rPr>
        <w:t>Yakıt tasarrufu sağlamak amacıyla fırınlarda ve diğer yakma sistemlerinde yanma havasının önceden ısıtılması, atık gazdaki azot oksitlerin artması gibi olumsuz etkiler dikkate alınarak yapılır.Buhar ve sıcak su borularının yalıtımı</w:t>
      </w:r>
    </w:p>
    <w:p w14:paraId="539EADA8" w14:textId="77777777" w:rsidR="003D03F6" w:rsidRPr="00D53A2B" w:rsidRDefault="003D03F6" w:rsidP="00A202FD">
      <w:pPr>
        <w:pStyle w:val="Gvdemetni1"/>
        <w:numPr>
          <w:ilvl w:val="0"/>
          <w:numId w:val="51"/>
        </w:numPr>
        <w:shd w:val="clear" w:color="auto" w:fill="auto"/>
        <w:spacing w:after="0" w:line="240" w:lineRule="auto"/>
        <w:ind w:right="20"/>
        <w:rPr>
          <w:sz w:val="24"/>
          <w:szCs w:val="24"/>
        </w:rPr>
      </w:pPr>
      <w:r w:rsidRPr="00D53A2B">
        <w:rPr>
          <w:rStyle w:val="Gvdemetni3a"/>
          <w:color w:val="000000"/>
          <w:sz w:val="24"/>
          <w:szCs w:val="24"/>
        </w:rPr>
        <w:t>Isının, sinter gibi ürünlerden geri kazanımı</w:t>
      </w:r>
    </w:p>
    <w:p w14:paraId="0978DBAE" w14:textId="77777777" w:rsidR="003D03F6" w:rsidRPr="00D53A2B" w:rsidRDefault="003D03F6" w:rsidP="00A202FD">
      <w:pPr>
        <w:pStyle w:val="Gvdemetni1"/>
        <w:numPr>
          <w:ilvl w:val="0"/>
          <w:numId w:val="51"/>
        </w:numPr>
        <w:shd w:val="clear" w:color="auto" w:fill="auto"/>
        <w:spacing w:after="0" w:line="240" w:lineRule="auto"/>
        <w:ind w:right="20"/>
        <w:rPr>
          <w:sz w:val="24"/>
          <w:szCs w:val="24"/>
        </w:rPr>
      </w:pPr>
      <w:r w:rsidRPr="00D53A2B">
        <w:rPr>
          <w:rStyle w:val="Gvdemetni3a"/>
          <w:color w:val="000000"/>
          <w:sz w:val="24"/>
          <w:szCs w:val="24"/>
        </w:rPr>
        <w:t>Çeliğin soğutulmasının gerektiği yerlerde hem ısı pompalarının hem de güneş panellerinin kullanımı</w:t>
      </w:r>
    </w:p>
    <w:p w14:paraId="76DFA001" w14:textId="77777777" w:rsidR="00A06578" w:rsidRPr="00D53A2B" w:rsidRDefault="003D03F6" w:rsidP="00A202FD">
      <w:pPr>
        <w:pStyle w:val="Gvdemetni1"/>
        <w:numPr>
          <w:ilvl w:val="0"/>
          <w:numId w:val="51"/>
        </w:numPr>
        <w:shd w:val="clear" w:color="auto" w:fill="auto"/>
        <w:spacing w:after="0" w:line="240" w:lineRule="auto"/>
        <w:ind w:right="20"/>
        <w:rPr>
          <w:rStyle w:val="Gvdemetni3a"/>
          <w:color w:val="000000"/>
          <w:sz w:val="24"/>
          <w:szCs w:val="24"/>
        </w:rPr>
      </w:pPr>
      <w:r w:rsidRPr="00D53A2B">
        <w:rPr>
          <w:rStyle w:val="Gvdemetni3a"/>
          <w:color w:val="000000"/>
          <w:sz w:val="24"/>
          <w:szCs w:val="24"/>
        </w:rPr>
        <w:t>Yüksek sıcaklıklı fırınlarda baca gazı kazanlarının kullanımı</w:t>
      </w:r>
    </w:p>
    <w:p w14:paraId="0460EDD7" w14:textId="159100FD" w:rsidR="00A06578" w:rsidRPr="00D53A2B" w:rsidRDefault="003D03F6" w:rsidP="00A202FD">
      <w:pPr>
        <w:pStyle w:val="Gvdemetni1"/>
        <w:numPr>
          <w:ilvl w:val="0"/>
          <w:numId w:val="51"/>
        </w:numPr>
        <w:shd w:val="clear" w:color="auto" w:fill="auto"/>
        <w:spacing w:after="0" w:line="240" w:lineRule="auto"/>
        <w:ind w:right="20"/>
        <w:rPr>
          <w:rStyle w:val="Gvdemetni3a"/>
          <w:color w:val="000000"/>
          <w:sz w:val="24"/>
          <w:szCs w:val="24"/>
        </w:rPr>
      </w:pPr>
      <w:r w:rsidRPr="00D53A2B">
        <w:rPr>
          <w:rStyle w:val="Gvdemetni3a"/>
          <w:color w:val="000000"/>
          <w:sz w:val="24"/>
          <w:szCs w:val="24"/>
        </w:rPr>
        <w:t>Oksijen buharlaştırma ve kompresör soğutması ile standart ısı değiştiriciler arasında enerji değişimi.</w:t>
      </w:r>
    </w:p>
    <w:p w14:paraId="7893DCA2" w14:textId="03D7AEFE" w:rsidR="003D03F6" w:rsidRPr="00D53A2B" w:rsidRDefault="003D03F6" w:rsidP="00A202FD">
      <w:pPr>
        <w:pStyle w:val="Gvdemetni1"/>
        <w:numPr>
          <w:ilvl w:val="0"/>
          <w:numId w:val="51"/>
        </w:numPr>
        <w:shd w:val="clear" w:color="auto" w:fill="auto"/>
        <w:spacing w:after="0" w:line="240" w:lineRule="auto"/>
        <w:ind w:right="20"/>
        <w:rPr>
          <w:rStyle w:val="Gvdemetni3a"/>
          <w:color w:val="000000"/>
          <w:sz w:val="24"/>
          <w:szCs w:val="24"/>
        </w:rPr>
      </w:pPr>
      <w:r w:rsidRPr="00D53A2B">
        <w:rPr>
          <w:rStyle w:val="Gvdemetni3a"/>
          <w:color w:val="000000"/>
          <w:sz w:val="24"/>
          <w:szCs w:val="24"/>
        </w:rPr>
        <w:t>Yüksek fırında üretilen gazın kinetik enerjisini elektrik enerjisine dönüştürmek için üstten geri kazanım türbinlerinin kullanılması.</w:t>
      </w:r>
    </w:p>
    <w:p w14:paraId="7B8306A2" w14:textId="77777777" w:rsidR="00A06578" w:rsidRPr="00D53A2B" w:rsidRDefault="00A06578" w:rsidP="00A202FD">
      <w:pPr>
        <w:pStyle w:val="Gvdemetni1"/>
        <w:shd w:val="clear" w:color="auto" w:fill="auto"/>
        <w:spacing w:after="0" w:line="240" w:lineRule="auto"/>
        <w:ind w:left="720" w:right="20" w:firstLine="0"/>
        <w:rPr>
          <w:rStyle w:val="Gvdemetni3a"/>
          <w:color w:val="000000"/>
          <w:sz w:val="24"/>
          <w:szCs w:val="24"/>
        </w:rPr>
      </w:pPr>
    </w:p>
    <w:p w14:paraId="5E498FF6" w14:textId="3DF06703" w:rsidR="003D03F6" w:rsidRPr="00D53A2B" w:rsidRDefault="003D03F6" w:rsidP="00A202FD">
      <w:pPr>
        <w:pStyle w:val="MET"/>
        <w:rPr>
          <w:szCs w:val="24"/>
        </w:rPr>
      </w:pPr>
      <w:r w:rsidRPr="00D53A2B">
        <w:rPr>
          <w:rStyle w:val="Balk620"/>
          <w:b/>
          <w:color w:val="000000"/>
          <w:sz w:val="24"/>
          <w:szCs w:val="24"/>
        </w:rPr>
        <w:t>MET II ve IV</w:t>
      </w:r>
      <w:r w:rsidR="00E56504" w:rsidRPr="00D53A2B">
        <w:rPr>
          <w:rStyle w:val="Balk620"/>
          <w:b/>
          <w:color w:val="000000"/>
          <w:sz w:val="24"/>
          <w:szCs w:val="24"/>
        </w:rPr>
        <w:t>’</w:t>
      </w:r>
      <w:r w:rsidRPr="00D53A2B">
        <w:rPr>
          <w:rStyle w:val="Balk620"/>
          <w:b/>
          <w:color w:val="000000"/>
          <w:sz w:val="24"/>
          <w:szCs w:val="24"/>
        </w:rPr>
        <w:t>ün Uygulanabilirliği</w:t>
      </w:r>
    </w:p>
    <w:p w14:paraId="68235C93" w14:textId="3A2C66AF" w:rsidR="003D03F6" w:rsidRPr="00D53A2B" w:rsidRDefault="003D03F6" w:rsidP="00A202FD">
      <w:pPr>
        <w:jc w:val="both"/>
      </w:pPr>
      <w:r w:rsidRPr="00D53A2B">
        <w:rPr>
          <w:rStyle w:val="Gvdemetni3a"/>
        </w:rPr>
        <w:t>Kombine ısı ve güç üretimi, uygun ısı talebine sahip kentsel alanlara yakın tüm demir ve çelik tesisleri için geçerlidir. Özgül enerji tüketimi, prosesin kapsamına, ürün kalitesine ve kurulum türüne (örneğin, bazik oksijen fırınındaki (BOF) vakum işleminin miktarı, tavlama sıcaklığı, ürün kalınlığı vb.) bağlıdır.</w:t>
      </w:r>
    </w:p>
    <w:p w14:paraId="3F170B70" w14:textId="77777777" w:rsidR="00A06578" w:rsidRPr="00D53A2B" w:rsidRDefault="00A06578" w:rsidP="00A202FD">
      <w:pPr>
        <w:pStyle w:val="Gvdemetni1"/>
        <w:shd w:val="clear" w:color="auto" w:fill="auto"/>
        <w:spacing w:after="0" w:line="360" w:lineRule="auto"/>
        <w:ind w:firstLine="0"/>
        <w:rPr>
          <w:rStyle w:val="Gvdemetni3a"/>
          <w:b/>
          <w:bCs/>
          <w:color w:val="000000"/>
          <w:sz w:val="24"/>
          <w:szCs w:val="24"/>
        </w:rPr>
      </w:pPr>
    </w:p>
    <w:p w14:paraId="2FA35F60" w14:textId="64023F7F" w:rsidR="003D03F6" w:rsidRPr="00D53A2B" w:rsidRDefault="003D03F6" w:rsidP="00A202FD">
      <w:pPr>
        <w:pStyle w:val="MET"/>
        <w:rPr>
          <w:szCs w:val="24"/>
        </w:rPr>
      </w:pPr>
      <w:r w:rsidRPr="00D53A2B">
        <w:rPr>
          <w:rStyle w:val="Gvdemetni3a"/>
          <w:bCs/>
          <w:color w:val="000000"/>
          <w:szCs w:val="24"/>
        </w:rPr>
        <w:t xml:space="preserve">MET 3: </w:t>
      </w:r>
      <w:r w:rsidR="003770CD" w:rsidRPr="00D53A2B">
        <w:rPr>
          <w:rStyle w:val="Gvdemetni3a"/>
          <w:b w:val="0"/>
          <w:color w:val="000000"/>
          <w:szCs w:val="24"/>
        </w:rPr>
        <w:t>E</w:t>
      </w:r>
      <w:r w:rsidRPr="00D53A2B">
        <w:rPr>
          <w:rStyle w:val="Gvdemetni3a"/>
          <w:b w:val="0"/>
          <w:color w:val="000000"/>
          <w:szCs w:val="24"/>
        </w:rPr>
        <w:t>nerji akışlarının optimizasyonu ve kok fırını gazı, yüksek fırın gazı ve bazik oksijen fırın gazı gibi çıkarılan proses gazlarının optimize edilmiş kullanımı yoluyla birincil enerji tüketimi</w:t>
      </w:r>
      <w:r w:rsidR="003770CD" w:rsidRPr="00D53A2B">
        <w:rPr>
          <w:rStyle w:val="Gvdemetni3a"/>
          <w:b w:val="0"/>
          <w:color w:val="000000"/>
          <w:szCs w:val="24"/>
        </w:rPr>
        <w:t xml:space="preserve"> azaltılmalıdır</w:t>
      </w:r>
      <w:r w:rsidRPr="00D53A2B">
        <w:rPr>
          <w:rStyle w:val="Gvdemetni3a"/>
          <w:b w:val="0"/>
          <w:color w:val="000000"/>
          <w:szCs w:val="24"/>
        </w:rPr>
        <w:t>.</w:t>
      </w:r>
    </w:p>
    <w:p w14:paraId="298EB5E6" w14:textId="77777777" w:rsidR="003D03F6" w:rsidRPr="00D53A2B" w:rsidRDefault="003D03F6" w:rsidP="00A202FD">
      <w:pPr>
        <w:pStyle w:val="Gvdemetni1"/>
        <w:shd w:val="clear" w:color="auto" w:fill="auto"/>
        <w:spacing w:after="0" w:line="240" w:lineRule="auto"/>
        <w:ind w:firstLine="0"/>
        <w:rPr>
          <w:b/>
          <w:bCs/>
          <w:sz w:val="24"/>
          <w:szCs w:val="24"/>
        </w:rPr>
      </w:pPr>
      <w:r w:rsidRPr="00D53A2B">
        <w:rPr>
          <w:rStyle w:val="Gvdemetni3a"/>
          <w:b/>
          <w:bCs/>
          <w:color w:val="000000"/>
          <w:sz w:val="24"/>
          <w:szCs w:val="24"/>
        </w:rPr>
        <w:t>Tanım</w:t>
      </w:r>
    </w:p>
    <w:p w14:paraId="62E51218" w14:textId="7C327089" w:rsidR="003D03F6" w:rsidRPr="00D53A2B" w:rsidRDefault="003D03F6" w:rsidP="00A202FD">
      <w:pPr>
        <w:jc w:val="both"/>
      </w:pPr>
      <w:r w:rsidRPr="00D53A2B">
        <w:rPr>
          <w:rStyle w:val="Gvdemetni3a"/>
        </w:rPr>
        <w:t>Entegre bir çelik fabrikasında proses gazı kullanımını optimize ederek enerji verimliliğini artırmaya yönelik proses entegre teknikleri şunları içerir.</w:t>
      </w:r>
      <w:r w:rsidRPr="00D53A2B" w:rsidDel="00336FB7">
        <w:rPr>
          <w:rStyle w:val="Gvdemetni3a"/>
        </w:rPr>
        <w:t xml:space="preserve"> </w:t>
      </w:r>
    </w:p>
    <w:p w14:paraId="08F3FEE2" w14:textId="2F4924A6" w:rsidR="003D03F6" w:rsidRPr="00D53A2B" w:rsidRDefault="003D03F6" w:rsidP="00A202FD">
      <w:pPr>
        <w:pStyle w:val="Gvdemetni1"/>
        <w:numPr>
          <w:ilvl w:val="0"/>
          <w:numId w:val="52"/>
        </w:numPr>
        <w:shd w:val="clear" w:color="auto" w:fill="auto"/>
        <w:spacing w:after="0" w:line="240" w:lineRule="auto"/>
        <w:rPr>
          <w:sz w:val="24"/>
          <w:szCs w:val="24"/>
        </w:rPr>
      </w:pPr>
      <w:r w:rsidRPr="00D53A2B">
        <w:rPr>
          <w:rStyle w:val="Gvdemetni3a"/>
          <w:color w:val="000000"/>
          <w:sz w:val="24"/>
          <w:szCs w:val="24"/>
        </w:rPr>
        <w:t>Tüm yan ürün gazlar için gaz tutucularının veya kısa süreli depolama ve basınç depolama tesisleri için</w:t>
      </w:r>
      <w:r w:rsidRPr="00D53A2B">
        <w:rPr>
          <w:sz w:val="24"/>
          <w:szCs w:val="24"/>
        </w:rPr>
        <w:t xml:space="preserve"> </w:t>
      </w:r>
      <w:r w:rsidRPr="00D53A2B">
        <w:rPr>
          <w:rStyle w:val="Gvdemetni3a"/>
          <w:color w:val="000000"/>
          <w:sz w:val="24"/>
          <w:szCs w:val="24"/>
        </w:rPr>
        <w:t>uygun diğer sistemlerin kullanılması</w:t>
      </w:r>
    </w:p>
    <w:p w14:paraId="44EAEFD9" w14:textId="77777777" w:rsidR="00CE072B" w:rsidRPr="00D53A2B" w:rsidRDefault="003D03F6" w:rsidP="00A202FD">
      <w:pPr>
        <w:pStyle w:val="Gvdemetni1"/>
        <w:numPr>
          <w:ilvl w:val="0"/>
          <w:numId w:val="52"/>
        </w:numPr>
        <w:shd w:val="clear" w:color="auto" w:fill="auto"/>
        <w:spacing w:after="0" w:line="240" w:lineRule="auto"/>
        <w:rPr>
          <w:rStyle w:val="Gvdemetni3a"/>
          <w:sz w:val="24"/>
          <w:szCs w:val="24"/>
        </w:rPr>
      </w:pPr>
      <w:r w:rsidRPr="00D53A2B">
        <w:rPr>
          <w:rStyle w:val="Gvdemetni3a"/>
          <w:color w:val="000000"/>
          <w:sz w:val="24"/>
          <w:szCs w:val="24"/>
        </w:rPr>
        <w:t>Alevlerde enerji kayıpları olması durumunda gaz şebekesindeki basıncın artırılması – daha fazla proses gazının kullanılması ve bunun sonucunda kullanım oranının artırılması.</w:t>
      </w:r>
      <w:r w:rsidRPr="00D53A2B" w:rsidDel="00336FB7">
        <w:rPr>
          <w:rStyle w:val="Gvdemetni3a"/>
          <w:color w:val="000000"/>
          <w:sz w:val="24"/>
          <w:szCs w:val="24"/>
        </w:rPr>
        <w:t xml:space="preserve"> </w:t>
      </w:r>
    </w:p>
    <w:p w14:paraId="13AA05C0" w14:textId="77777777" w:rsidR="00CE072B" w:rsidRPr="00D53A2B" w:rsidRDefault="003D03F6" w:rsidP="00A202FD">
      <w:pPr>
        <w:pStyle w:val="Gvdemetni1"/>
        <w:numPr>
          <w:ilvl w:val="0"/>
          <w:numId w:val="52"/>
        </w:numPr>
        <w:shd w:val="clear" w:color="auto" w:fill="auto"/>
        <w:spacing w:after="0" w:line="240" w:lineRule="auto"/>
        <w:rPr>
          <w:rStyle w:val="Gvdemetni3a"/>
          <w:sz w:val="24"/>
          <w:szCs w:val="24"/>
        </w:rPr>
      </w:pPr>
      <w:r w:rsidRPr="00D53A2B">
        <w:rPr>
          <w:rStyle w:val="Gvdemetni3a"/>
          <w:color w:val="000000"/>
          <w:sz w:val="24"/>
          <w:szCs w:val="24"/>
        </w:rPr>
        <w:t>Farklı tüketiciler için proses gazları ve farklı kalorifik değerlerle gaz zenginleştirme</w:t>
      </w:r>
      <w:r w:rsidRPr="00D53A2B" w:rsidDel="00336FB7">
        <w:rPr>
          <w:rStyle w:val="Gvdemetni3a"/>
          <w:color w:val="000000"/>
          <w:sz w:val="24"/>
          <w:szCs w:val="24"/>
        </w:rPr>
        <w:t xml:space="preserve"> </w:t>
      </w:r>
    </w:p>
    <w:p w14:paraId="645B98AD" w14:textId="04001ECB" w:rsidR="003D03F6" w:rsidRPr="00D53A2B" w:rsidRDefault="003D03F6" w:rsidP="00A202FD">
      <w:pPr>
        <w:pStyle w:val="Gvdemetni1"/>
        <w:numPr>
          <w:ilvl w:val="0"/>
          <w:numId w:val="52"/>
        </w:numPr>
        <w:shd w:val="clear" w:color="auto" w:fill="auto"/>
        <w:spacing w:after="0" w:line="240" w:lineRule="auto"/>
        <w:rPr>
          <w:sz w:val="24"/>
          <w:szCs w:val="24"/>
        </w:rPr>
      </w:pPr>
      <w:r w:rsidRPr="00D53A2B">
        <w:rPr>
          <w:rStyle w:val="Gvdemetni3a"/>
          <w:color w:val="000000"/>
          <w:sz w:val="24"/>
          <w:szCs w:val="24"/>
        </w:rPr>
        <w:t>Proses gazıyla ateş fırınlarının ısıtılması</w:t>
      </w:r>
    </w:p>
    <w:p w14:paraId="28FD1CE2" w14:textId="023CC7A7" w:rsidR="003D03F6" w:rsidRPr="00D53A2B" w:rsidRDefault="003D03F6" w:rsidP="00A202FD">
      <w:pPr>
        <w:pStyle w:val="Gvdemetni1"/>
        <w:numPr>
          <w:ilvl w:val="0"/>
          <w:numId w:val="52"/>
        </w:numPr>
        <w:shd w:val="clear" w:color="auto" w:fill="auto"/>
        <w:spacing w:after="0" w:line="240" w:lineRule="auto"/>
        <w:rPr>
          <w:sz w:val="24"/>
          <w:szCs w:val="24"/>
        </w:rPr>
      </w:pPr>
      <w:r w:rsidRPr="00D53A2B">
        <w:rPr>
          <w:rStyle w:val="Gvdemetni3a"/>
          <w:color w:val="000000"/>
          <w:sz w:val="24"/>
          <w:szCs w:val="24"/>
        </w:rPr>
        <w:t>Bilgisayar kontrollü kalorifik değer kontrol sisteminin kullanımı</w:t>
      </w:r>
    </w:p>
    <w:p w14:paraId="1149E37F" w14:textId="2BA44701" w:rsidR="003D03F6" w:rsidRPr="00D53A2B" w:rsidRDefault="003D03F6" w:rsidP="00A202FD">
      <w:pPr>
        <w:pStyle w:val="Gvdemetni1"/>
        <w:numPr>
          <w:ilvl w:val="0"/>
          <w:numId w:val="52"/>
        </w:numPr>
        <w:shd w:val="clear" w:color="auto" w:fill="auto"/>
        <w:spacing w:after="0" w:line="240" w:lineRule="auto"/>
        <w:rPr>
          <w:sz w:val="24"/>
          <w:szCs w:val="24"/>
        </w:rPr>
      </w:pPr>
      <w:r w:rsidRPr="00D53A2B">
        <w:rPr>
          <w:rStyle w:val="Gvdemetni3a"/>
          <w:color w:val="000000"/>
          <w:sz w:val="24"/>
          <w:szCs w:val="24"/>
        </w:rPr>
        <w:t>Kok ve baca gazı sıcaklıklarının kaydedilmesi ve kullanılması</w:t>
      </w:r>
    </w:p>
    <w:p w14:paraId="5AA926FF" w14:textId="688DA6A2" w:rsidR="003D03F6" w:rsidRPr="00D53A2B" w:rsidRDefault="003D03F6" w:rsidP="00A202FD">
      <w:pPr>
        <w:pStyle w:val="Gvdemetni1"/>
        <w:numPr>
          <w:ilvl w:val="0"/>
          <w:numId w:val="52"/>
        </w:numPr>
        <w:shd w:val="clear" w:color="auto" w:fill="auto"/>
        <w:spacing w:after="0" w:line="240" w:lineRule="auto"/>
        <w:rPr>
          <w:rStyle w:val="Gvdemetni3a"/>
          <w:sz w:val="24"/>
          <w:szCs w:val="24"/>
        </w:rPr>
      </w:pPr>
      <w:r w:rsidRPr="00D53A2B">
        <w:rPr>
          <w:rStyle w:val="Gvdemetni3a"/>
          <w:color w:val="000000"/>
          <w:sz w:val="24"/>
          <w:szCs w:val="24"/>
        </w:rPr>
        <w:lastRenderedPageBreak/>
        <w:t>Özellikle proses gazlarının değişkenliği dikkate alınarak, proses gazları için enerji geri kazanım tesislerinin kapasitesinin yeterli şekilde boyutlandırılması.</w:t>
      </w:r>
    </w:p>
    <w:p w14:paraId="52A1A0DD" w14:textId="77777777" w:rsidR="00CE072B" w:rsidRPr="00D53A2B" w:rsidRDefault="00CE072B" w:rsidP="00A202FD">
      <w:pPr>
        <w:pStyle w:val="Gvdemetni1"/>
        <w:shd w:val="clear" w:color="auto" w:fill="auto"/>
        <w:spacing w:after="0" w:line="240" w:lineRule="auto"/>
        <w:ind w:left="284" w:hanging="284"/>
        <w:rPr>
          <w:rStyle w:val="Gvdemetni3a"/>
          <w:b/>
          <w:bCs/>
          <w:color w:val="000000"/>
          <w:sz w:val="24"/>
          <w:szCs w:val="24"/>
        </w:rPr>
      </w:pPr>
    </w:p>
    <w:p w14:paraId="2649F6C1" w14:textId="7CAB4C78" w:rsidR="003D03F6" w:rsidRPr="00D53A2B" w:rsidRDefault="003D03F6" w:rsidP="00A202FD">
      <w:pPr>
        <w:pStyle w:val="Gvdemetni1"/>
        <w:shd w:val="clear" w:color="auto" w:fill="auto"/>
        <w:spacing w:after="0" w:line="276" w:lineRule="auto"/>
        <w:ind w:left="284" w:hanging="284"/>
        <w:rPr>
          <w:b/>
          <w:bCs/>
          <w:sz w:val="24"/>
          <w:szCs w:val="24"/>
        </w:rPr>
      </w:pPr>
      <w:r w:rsidRPr="00D53A2B">
        <w:rPr>
          <w:rStyle w:val="Gvdemetni3a"/>
          <w:b/>
          <w:bCs/>
          <w:color w:val="000000"/>
          <w:sz w:val="24"/>
          <w:szCs w:val="24"/>
        </w:rPr>
        <w:t>Uygulanabilirlik</w:t>
      </w:r>
    </w:p>
    <w:p w14:paraId="48A5C70A" w14:textId="53729C23" w:rsidR="003D03F6" w:rsidRPr="00D53A2B" w:rsidRDefault="00684483" w:rsidP="00A202FD">
      <w:pPr>
        <w:jc w:val="both"/>
        <w:rPr>
          <w:rStyle w:val="Gvdemetni3a"/>
        </w:rPr>
      </w:pPr>
      <w:r w:rsidRPr="00D53A2B">
        <w:rPr>
          <w:rStyle w:val="Gvdemetni3a"/>
        </w:rPr>
        <w:t xml:space="preserve">Spesifik </w:t>
      </w:r>
      <w:r w:rsidR="003D03F6" w:rsidRPr="00D53A2B">
        <w:rPr>
          <w:rStyle w:val="Gvdemetni3a"/>
        </w:rPr>
        <w:t>enerji tüketimi, prosesin kapsamına, ürün kalitesine ve kurulum türüne (örneğin BOF</w:t>
      </w:r>
      <w:r w:rsidR="00E56504" w:rsidRPr="00D53A2B">
        <w:rPr>
          <w:rStyle w:val="Gvdemetni3a"/>
        </w:rPr>
        <w:t>’</w:t>
      </w:r>
      <w:r w:rsidR="003D03F6" w:rsidRPr="00D53A2B">
        <w:rPr>
          <w:rStyle w:val="Gvdemetni3a"/>
        </w:rPr>
        <w:t>daki vakum işlem miktarı, tavlama sıcaklığı, ürün kalınlığı vb.) bağlıdır.</w:t>
      </w:r>
      <w:r w:rsidR="003D03F6" w:rsidRPr="00D53A2B" w:rsidDel="005C7727">
        <w:rPr>
          <w:rStyle w:val="Gvdemetni3a"/>
        </w:rPr>
        <w:t xml:space="preserve"> </w:t>
      </w:r>
    </w:p>
    <w:p w14:paraId="72F47B3D" w14:textId="77777777" w:rsidR="00CE072B" w:rsidRPr="00D53A2B" w:rsidRDefault="00CE072B" w:rsidP="00A202FD">
      <w:pPr>
        <w:pStyle w:val="Gvdemetni1"/>
        <w:shd w:val="clear" w:color="auto" w:fill="auto"/>
        <w:tabs>
          <w:tab w:val="left" w:pos="794"/>
        </w:tabs>
        <w:spacing w:after="0" w:line="360" w:lineRule="auto"/>
        <w:ind w:firstLine="0"/>
        <w:rPr>
          <w:rStyle w:val="Gvdemetni3a"/>
          <w:b/>
          <w:bCs/>
          <w:color w:val="000000"/>
          <w:sz w:val="24"/>
          <w:szCs w:val="24"/>
        </w:rPr>
      </w:pPr>
    </w:p>
    <w:p w14:paraId="5F38513C" w14:textId="5983612F" w:rsidR="003D03F6" w:rsidRPr="00D53A2B" w:rsidRDefault="003D03F6" w:rsidP="00A202FD">
      <w:pPr>
        <w:pStyle w:val="MET"/>
        <w:rPr>
          <w:szCs w:val="24"/>
        </w:rPr>
      </w:pPr>
      <w:r w:rsidRPr="00D53A2B">
        <w:rPr>
          <w:rStyle w:val="Gvdemetni3a"/>
          <w:bCs/>
          <w:color w:val="000000"/>
          <w:szCs w:val="24"/>
        </w:rPr>
        <w:t xml:space="preserve">MET 4: </w:t>
      </w:r>
      <w:r w:rsidR="003770CD" w:rsidRPr="00D53A2B">
        <w:rPr>
          <w:rStyle w:val="Gvdemetni3a"/>
          <w:b w:val="0"/>
          <w:color w:val="000000"/>
          <w:szCs w:val="24"/>
        </w:rPr>
        <w:t>Ü</w:t>
      </w:r>
      <w:r w:rsidRPr="00D53A2B">
        <w:rPr>
          <w:rStyle w:val="Gvdemetni3a"/>
          <w:b w:val="0"/>
          <w:color w:val="000000"/>
          <w:szCs w:val="24"/>
        </w:rPr>
        <w:t>çüncü bir taraftan talep olması halinde, iç veya dış ısıtma şebekeleri için buhar, elektrik ve/veya ısı üretmek amacıyla kazanlarda veya kombine ısı ve güç santrallerinde kükürtten arındırılm</w:t>
      </w:r>
      <w:r w:rsidR="003770CD" w:rsidRPr="00D53A2B">
        <w:rPr>
          <w:rStyle w:val="Gvdemetni3a"/>
          <w:b w:val="0"/>
          <w:color w:val="000000"/>
          <w:szCs w:val="24"/>
        </w:rPr>
        <w:t>alı</w:t>
      </w:r>
      <w:r w:rsidRPr="00D53A2B">
        <w:rPr>
          <w:rStyle w:val="Gvdemetni3a"/>
          <w:b w:val="0"/>
          <w:color w:val="000000"/>
          <w:szCs w:val="24"/>
        </w:rPr>
        <w:t xml:space="preserve"> ve tozdan arındırılmış fazlalık kok fırını gazı ve tozdan arındırıl</w:t>
      </w:r>
      <w:r w:rsidR="003770CD" w:rsidRPr="00D53A2B">
        <w:rPr>
          <w:rStyle w:val="Gvdemetni3a"/>
          <w:b w:val="0"/>
          <w:color w:val="000000"/>
          <w:szCs w:val="24"/>
        </w:rPr>
        <w:t>malı</w:t>
      </w:r>
      <w:r w:rsidRPr="00D53A2B">
        <w:rPr>
          <w:rStyle w:val="Gvdemetni3a"/>
          <w:b w:val="0"/>
          <w:color w:val="000000"/>
          <w:szCs w:val="24"/>
        </w:rPr>
        <w:t xml:space="preserve"> yüksek fırın gazı ve bazik oksijen gazının (karıştırılmış veya ayrı) kullanılma</w:t>
      </w:r>
      <w:r w:rsidR="003770CD" w:rsidRPr="00D53A2B">
        <w:rPr>
          <w:rStyle w:val="Gvdemetni3a"/>
          <w:b w:val="0"/>
          <w:color w:val="000000"/>
          <w:szCs w:val="24"/>
        </w:rPr>
        <w:t>lı</w:t>
      </w:r>
      <w:r w:rsidRPr="00D53A2B">
        <w:rPr>
          <w:rStyle w:val="Gvdemetni3a"/>
          <w:b w:val="0"/>
          <w:color w:val="000000"/>
          <w:szCs w:val="24"/>
        </w:rPr>
        <w:t>dır.</w:t>
      </w:r>
    </w:p>
    <w:p w14:paraId="40C163FD" w14:textId="77777777" w:rsidR="00CE072B" w:rsidRPr="00D53A2B" w:rsidRDefault="00CE072B" w:rsidP="00A202FD">
      <w:pPr>
        <w:pStyle w:val="Gvdemetni1"/>
        <w:shd w:val="clear" w:color="auto" w:fill="auto"/>
        <w:spacing w:after="0" w:line="240" w:lineRule="auto"/>
        <w:ind w:left="284" w:hanging="284"/>
        <w:rPr>
          <w:rStyle w:val="Gvdemetni3a"/>
          <w:b/>
          <w:bCs/>
          <w:color w:val="000000"/>
          <w:sz w:val="24"/>
          <w:szCs w:val="24"/>
        </w:rPr>
      </w:pPr>
    </w:p>
    <w:p w14:paraId="0E9165C2" w14:textId="640C23AC" w:rsidR="003D03F6" w:rsidRPr="00D53A2B" w:rsidRDefault="003D03F6" w:rsidP="00A202FD">
      <w:pPr>
        <w:pStyle w:val="Gvdemetni1"/>
        <w:shd w:val="clear" w:color="auto" w:fill="auto"/>
        <w:spacing w:after="0" w:line="240" w:lineRule="auto"/>
        <w:ind w:left="284" w:hanging="284"/>
        <w:rPr>
          <w:b/>
          <w:bCs/>
          <w:sz w:val="24"/>
          <w:szCs w:val="24"/>
        </w:rPr>
      </w:pPr>
      <w:r w:rsidRPr="00D53A2B">
        <w:rPr>
          <w:rStyle w:val="Gvdemetni3a"/>
          <w:b/>
          <w:bCs/>
          <w:color w:val="000000"/>
          <w:sz w:val="24"/>
          <w:szCs w:val="24"/>
        </w:rPr>
        <w:t>Uygulanabilirlik</w:t>
      </w:r>
    </w:p>
    <w:p w14:paraId="7AF979B9" w14:textId="64620F81" w:rsidR="003D03F6" w:rsidRPr="00D53A2B" w:rsidRDefault="003D03F6" w:rsidP="00A202FD">
      <w:pPr>
        <w:jc w:val="both"/>
      </w:pPr>
      <w:r w:rsidRPr="00D53A2B">
        <w:rPr>
          <w:rStyle w:val="Gvdemetni3a"/>
        </w:rPr>
        <w:t>Üçüncü bir tarafın işbirliği ve anlaşması, işletmecinin kontrolü dâhilinde olmayabilir ve bu nedenle de izin kapsamında olmayabilir.</w:t>
      </w:r>
    </w:p>
    <w:p w14:paraId="41C6ED47" w14:textId="77777777" w:rsidR="00CE072B" w:rsidRPr="00D53A2B" w:rsidRDefault="00CE072B" w:rsidP="00A202FD">
      <w:pPr>
        <w:pStyle w:val="Gvdemetni1"/>
        <w:shd w:val="clear" w:color="auto" w:fill="auto"/>
        <w:tabs>
          <w:tab w:val="left" w:pos="722"/>
        </w:tabs>
        <w:spacing w:after="0" w:line="240" w:lineRule="auto"/>
        <w:ind w:firstLine="0"/>
        <w:rPr>
          <w:rStyle w:val="Gvdemetni3a"/>
          <w:b/>
          <w:bCs/>
          <w:color w:val="000000"/>
          <w:sz w:val="24"/>
          <w:szCs w:val="24"/>
        </w:rPr>
      </w:pPr>
    </w:p>
    <w:p w14:paraId="4FBF9B87" w14:textId="12CBB91D" w:rsidR="003D03F6" w:rsidRPr="00D53A2B" w:rsidRDefault="003D03F6" w:rsidP="00A202FD">
      <w:pPr>
        <w:pStyle w:val="MET"/>
        <w:rPr>
          <w:szCs w:val="24"/>
        </w:rPr>
      </w:pPr>
      <w:r w:rsidRPr="00D53A2B">
        <w:rPr>
          <w:rStyle w:val="Gvdemetni3a"/>
          <w:bCs/>
          <w:color w:val="000000"/>
          <w:szCs w:val="24"/>
        </w:rPr>
        <w:t xml:space="preserve">MET 5: </w:t>
      </w:r>
      <w:r w:rsidRPr="00D53A2B">
        <w:rPr>
          <w:rStyle w:val="Gvdemetni3a"/>
          <w:b w:val="0"/>
          <w:color w:val="000000"/>
          <w:szCs w:val="24"/>
        </w:rPr>
        <w:t>Aşağıda belirtilen tekniklerden birinin ya da bu tekniklerin bir kombinasyonunu kullanarak elektrik enerjisi tüketimi en az miktara indir</w:t>
      </w:r>
      <w:r w:rsidR="003770CD" w:rsidRPr="00D53A2B">
        <w:rPr>
          <w:rStyle w:val="Gvdemetni3a"/>
          <w:b w:val="0"/>
          <w:color w:val="000000"/>
          <w:szCs w:val="24"/>
        </w:rPr>
        <w:t>ilmelidir</w:t>
      </w:r>
      <w:r w:rsidRPr="00D53A2B">
        <w:rPr>
          <w:rStyle w:val="Gvdemetni3a"/>
          <w:b w:val="0"/>
          <w:color w:val="000000"/>
          <w:szCs w:val="24"/>
        </w:rPr>
        <w:t>.</w:t>
      </w:r>
    </w:p>
    <w:p w14:paraId="04BE647C" w14:textId="77777777" w:rsidR="003D03F6" w:rsidRPr="00D53A2B" w:rsidRDefault="003D03F6" w:rsidP="00A202FD">
      <w:pPr>
        <w:pStyle w:val="Gvdemetni1"/>
        <w:numPr>
          <w:ilvl w:val="0"/>
          <w:numId w:val="53"/>
        </w:numPr>
        <w:shd w:val="clear" w:color="auto" w:fill="auto"/>
        <w:tabs>
          <w:tab w:val="left" w:pos="722"/>
        </w:tabs>
        <w:spacing w:after="0" w:line="240" w:lineRule="auto"/>
        <w:rPr>
          <w:b/>
          <w:bCs/>
          <w:sz w:val="24"/>
          <w:szCs w:val="24"/>
        </w:rPr>
      </w:pPr>
      <w:r w:rsidRPr="00D53A2B">
        <w:rPr>
          <w:rStyle w:val="Gvdemetni3a"/>
          <w:color w:val="000000"/>
          <w:sz w:val="24"/>
          <w:szCs w:val="24"/>
        </w:rPr>
        <w:t>Güç yönetim sistemleri</w:t>
      </w:r>
    </w:p>
    <w:p w14:paraId="1721A5BE" w14:textId="09EA1CB6" w:rsidR="003D03F6" w:rsidRPr="00D53A2B" w:rsidRDefault="003D03F6" w:rsidP="00A202FD">
      <w:pPr>
        <w:pStyle w:val="Gvdemetni1"/>
        <w:numPr>
          <w:ilvl w:val="0"/>
          <w:numId w:val="53"/>
        </w:numPr>
        <w:shd w:val="clear" w:color="auto" w:fill="auto"/>
        <w:tabs>
          <w:tab w:val="left" w:pos="722"/>
        </w:tabs>
        <w:spacing w:after="0" w:line="240" w:lineRule="auto"/>
        <w:rPr>
          <w:b/>
          <w:bCs/>
          <w:sz w:val="24"/>
          <w:szCs w:val="24"/>
        </w:rPr>
      </w:pPr>
      <w:r w:rsidRPr="00D53A2B">
        <w:rPr>
          <w:rStyle w:val="Gvdemetni3a"/>
          <w:color w:val="000000"/>
          <w:sz w:val="24"/>
          <w:szCs w:val="24"/>
        </w:rPr>
        <w:t>Öğütme, pompalama, havalandırma ve taşıma ekipmanı ile yüksek enerji verimliliğine sahip diğer elektrik bazlı ekipmanlar</w:t>
      </w:r>
    </w:p>
    <w:p w14:paraId="067871B9" w14:textId="77777777" w:rsidR="007200B5" w:rsidRPr="00D53A2B" w:rsidRDefault="007200B5" w:rsidP="00A202FD">
      <w:pPr>
        <w:pStyle w:val="Gvdemetni1"/>
        <w:shd w:val="clear" w:color="auto" w:fill="auto"/>
        <w:spacing w:after="0" w:line="240" w:lineRule="auto"/>
        <w:ind w:left="284" w:hanging="284"/>
        <w:rPr>
          <w:rStyle w:val="Gvdemetni3a"/>
          <w:b/>
          <w:bCs/>
          <w:color w:val="000000"/>
          <w:sz w:val="24"/>
          <w:szCs w:val="24"/>
        </w:rPr>
      </w:pPr>
    </w:p>
    <w:p w14:paraId="319640A3" w14:textId="34E669DF" w:rsidR="003D03F6" w:rsidRPr="00D53A2B" w:rsidRDefault="003D03F6" w:rsidP="00A202FD">
      <w:pPr>
        <w:pStyle w:val="Gvdemetni1"/>
        <w:shd w:val="clear" w:color="auto" w:fill="auto"/>
        <w:spacing w:after="0" w:line="240" w:lineRule="auto"/>
        <w:ind w:left="284" w:hanging="284"/>
        <w:rPr>
          <w:b/>
          <w:bCs/>
          <w:sz w:val="24"/>
          <w:szCs w:val="24"/>
        </w:rPr>
      </w:pPr>
      <w:r w:rsidRPr="00D53A2B">
        <w:rPr>
          <w:rStyle w:val="Gvdemetni3a"/>
          <w:b/>
          <w:bCs/>
          <w:color w:val="000000"/>
          <w:sz w:val="24"/>
          <w:szCs w:val="24"/>
        </w:rPr>
        <w:t>Uygulanabilirlik</w:t>
      </w:r>
    </w:p>
    <w:p w14:paraId="1BC687FD" w14:textId="69018213" w:rsidR="003D03F6" w:rsidRPr="00D53A2B" w:rsidRDefault="003D03F6" w:rsidP="00A202FD">
      <w:pPr>
        <w:jc w:val="both"/>
        <w:rPr>
          <w:rStyle w:val="Gvdemetni3a"/>
        </w:rPr>
      </w:pPr>
      <w:r w:rsidRPr="00D53A2B">
        <w:rPr>
          <w:rStyle w:val="Gvdemetni3a"/>
        </w:rPr>
        <w:t>Prosesin emniyeti açısından pompaların güvenilirliğinin büyük önem taşıdığı durumlarda frekans kontrollü pompalar kullanılamaz.</w:t>
      </w:r>
    </w:p>
    <w:p w14:paraId="3C753B27" w14:textId="77777777" w:rsidR="007200B5" w:rsidRPr="00D53A2B" w:rsidRDefault="007200B5" w:rsidP="00A202FD">
      <w:pPr>
        <w:jc w:val="both"/>
      </w:pPr>
    </w:p>
    <w:p w14:paraId="2A5BA6BD" w14:textId="30A20421" w:rsidR="003D03F6" w:rsidRPr="00D53A2B" w:rsidRDefault="003D03F6" w:rsidP="00602365">
      <w:pPr>
        <w:pStyle w:val="Balk3"/>
        <w:numPr>
          <w:ilvl w:val="1"/>
          <w:numId w:val="244"/>
        </w:numPr>
        <w:rPr>
          <w:rStyle w:val="Balk211pt1"/>
          <w:rFonts w:ascii="Times New Roman" w:hAnsi="Times New Roman" w:cs="Times New Roman"/>
          <w:b/>
          <w:bCs w:val="0"/>
          <w:sz w:val="24"/>
          <w:szCs w:val="24"/>
        </w:rPr>
      </w:pPr>
      <w:r w:rsidRPr="00D53A2B">
        <w:rPr>
          <w:rStyle w:val="Balk211pt1"/>
          <w:rFonts w:ascii="Times New Roman" w:hAnsi="Times New Roman" w:cs="Times New Roman"/>
          <w:b/>
          <w:bCs w:val="0"/>
          <w:sz w:val="24"/>
          <w:szCs w:val="24"/>
        </w:rPr>
        <w:t xml:space="preserve">Malzeme </w:t>
      </w:r>
      <w:r w:rsidR="00D914C2" w:rsidRPr="00D53A2B">
        <w:rPr>
          <w:rStyle w:val="Balk211pt1"/>
          <w:rFonts w:ascii="Times New Roman" w:hAnsi="Times New Roman" w:cs="Times New Roman"/>
          <w:b/>
          <w:bCs w:val="0"/>
          <w:sz w:val="24"/>
          <w:szCs w:val="24"/>
        </w:rPr>
        <w:t>Y</w:t>
      </w:r>
      <w:r w:rsidRPr="00D53A2B">
        <w:rPr>
          <w:rStyle w:val="Balk211pt1"/>
          <w:rFonts w:ascii="Times New Roman" w:hAnsi="Times New Roman" w:cs="Times New Roman"/>
          <w:b/>
          <w:bCs w:val="0"/>
          <w:sz w:val="24"/>
          <w:szCs w:val="24"/>
        </w:rPr>
        <w:t>önetimi</w:t>
      </w:r>
    </w:p>
    <w:p w14:paraId="1918727C" w14:textId="6EC783E6" w:rsidR="003D03F6" w:rsidRPr="00D53A2B" w:rsidRDefault="003D03F6" w:rsidP="00A202FD">
      <w:pPr>
        <w:pStyle w:val="MET"/>
        <w:rPr>
          <w:rStyle w:val="Gvdemetni3a"/>
          <w:b w:val="0"/>
          <w:color w:val="000000"/>
          <w:szCs w:val="24"/>
        </w:rPr>
      </w:pPr>
      <w:r w:rsidRPr="00D53A2B">
        <w:rPr>
          <w:rStyle w:val="Gvdemetni3a"/>
          <w:bCs/>
          <w:color w:val="000000"/>
          <w:szCs w:val="24"/>
        </w:rPr>
        <w:t xml:space="preserve">MET 6: </w:t>
      </w:r>
      <w:r w:rsidR="003770CD" w:rsidRPr="00D53A2B">
        <w:rPr>
          <w:rStyle w:val="Gvdemetni3a"/>
          <w:b w:val="0"/>
          <w:color w:val="000000"/>
          <w:szCs w:val="24"/>
        </w:rPr>
        <w:t>K</w:t>
      </w:r>
      <w:r w:rsidRPr="00D53A2B">
        <w:rPr>
          <w:rStyle w:val="Gvdemetni3a"/>
          <w:b w:val="0"/>
          <w:color w:val="000000"/>
          <w:szCs w:val="24"/>
        </w:rPr>
        <w:t>irliliği önlemek, bozulmayı önlemek, yeterli girdi kalitesi sağlamak, yeniden kullanıma ve geri dönüşüme olanak sağlamak, proses verimliliğini iyileştirmek ve metal verimini optimize etmek amacıyla iç malzeme akışlarının yönetimi ve kontrolü optimize e</w:t>
      </w:r>
      <w:r w:rsidR="003770CD" w:rsidRPr="00D53A2B">
        <w:rPr>
          <w:rStyle w:val="Gvdemetni3a"/>
          <w:b w:val="0"/>
          <w:color w:val="000000"/>
          <w:szCs w:val="24"/>
        </w:rPr>
        <w:t>dilmelidi</w:t>
      </w:r>
      <w:r w:rsidRPr="00D53A2B">
        <w:rPr>
          <w:rStyle w:val="Gvdemetni3a"/>
          <w:b w:val="0"/>
          <w:color w:val="000000"/>
          <w:szCs w:val="24"/>
        </w:rPr>
        <w:t>r.</w:t>
      </w:r>
    </w:p>
    <w:p w14:paraId="0A5DBB01" w14:textId="77777777" w:rsidR="003770CD" w:rsidRPr="00D53A2B" w:rsidRDefault="003770CD" w:rsidP="00A202FD">
      <w:pPr>
        <w:pStyle w:val="MET"/>
        <w:rPr>
          <w:szCs w:val="24"/>
        </w:rPr>
      </w:pPr>
    </w:p>
    <w:p w14:paraId="59ECC002" w14:textId="77777777" w:rsidR="003D03F6" w:rsidRPr="00D53A2B" w:rsidRDefault="003D03F6" w:rsidP="00A202FD">
      <w:pPr>
        <w:pStyle w:val="Gvdemetni1"/>
        <w:shd w:val="clear" w:color="auto" w:fill="auto"/>
        <w:spacing w:after="0" w:line="240" w:lineRule="auto"/>
        <w:ind w:firstLine="0"/>
        <w:rPr>
          <w:b/>
          <w:bCs/>
          <w:sz w:val="24"/>
          <w:szCs w:val="24"/>
        </w:rPr>
      </w:pPr>
      <w:r w:rsidRPr="00D53A2B">
        <w:rPr>
          <w:rStyle w:val="Gvdemetni3a"/>
          <w:b/>
          <w:bCs/>
          <w:color w:val="000000"/>
          <w:sz w:val="24"/>
          <w:szCs w:val="24"/>
        </w:rPr>
        <w:t>Tanım</w:t>
      </w:r>
    </w:p>
    <w:p w14:paraId="6A8EF912" w14:textId="330C1B97" w:rsidR="003D03F6" w:rsidRPr="00D53A2B" w:rsidRDefault="003D03F6" w:rsidP="00A202FD">
      <w:pPr>
        <w:jc w:val="both"/>
      </w:pPr>
      <w:r w:rsidRPr="00D53A2B">
        <w:rPr>
          <w:rStyle w:val="Gvdemetni3a"/>
        </w:rPr>
        <w:t>Girdi malzemelerinin ve üretim artıklarının uygun bir şekilde depolanması ve işlenmesi, stok sahaları ve transfer noktaları dahil olmak üzere taşıma bantlarından kaynaklanan havaya yayılantoz emisyonlarının en aza indirilmesine ve toprak, yeraltı suyu ve akış suyu kirliliğinin önlenmesine yardımcı olabilir</w:t>
      </w:r>
      <w:r w:rsidRPr="00D53A2B" w:rsidDel="00481051">
        <w:rPr>
          <w:rStyle w:val="Gvdemetni3a"/>
        </w:rPr>
        <w:t xml:space="preserve"> </w:t>
      </w:r>
      <w:r w:rsidRPr="00D53A2B">
        <w:rPr>
          <w:rStyle w:val="Gvdemetni3a"/>
        </w:rPr>
        <w:t>(Ayrıca bakınız MET 11).</w:t>
      </w:r>
    </w:p>
    <w:p w14:paraId="09F61A68" w14:textId="728B2F9E" w:rsidR="003D03F6" w:rsidRPr="00D53A2B" w:rsidRDefault="003D03F6" w:rsidP="00A202FD">
      <w:pPr>
        <w:jc w:val="both"/>
      </w:pPr>
      <w:r w:rsidRPr="00D53A2B">
        <w:rPr>
          <w:rStyle w:val="Gvdemetni3a"/>
        </w:rPr>
        <w:t>Entegre çelik tesisleri ve diğer tesis ve sektörlerden gelen atıklar dahil olmak üzere kalıntıların yeterli yönetiminin uygulanması, hammadde olarak maksimum düzeyde dahili ve/veya harici kullanıma olanak sağlar</w:t>
      </w:r>
      <w:r w:rsidRPr="00D53A2B" w:rsidDel="00481051">
        <w:rPr>
          <w:rStyle w:val="Gvdemetni3a"/>
        </w:rPr>
        <w:t xml:space="preserve"> </w:t>
      </w:r>
      <w:r w:rsidRPr="00D53A2B">
        <w:rPr>
          <w:rStyle w:val="Gvdemetni3a"/>
        </w:rPr>
        <w:t>(ayrıca bakınız MET 8, 9 ve 10).</w:t>
      </w:r>
    </w:p>
    <w:p w14:paraId="71176A80" w14:textId="77777777" w:rsidR="007200B5" w:rsidRPr="00D53A2B" w:rsidRDefault="003D03F6" w:rsidP="00A202FD">
      <w:pPr>
        <w:jc w:val="both"/>
        <w:rPr>
          <w:rStyle w:val="Gvdemetni3a"/>
        </w:rPr>
      </w:pPr>
      <w:r w:rsidRPr="00D53A2B">
        <w:rPr>
          <w:rStyle w:val="Gvdemetni3a"/>
        </w:rPr>
        <w:t>Malzeme yönetimi, entegre çelik fabrikalarından çıkan toplam atık miktarının ekonomik kullanımı olmayan küçük parçalarının kontrollü bir şekilde bertaraf edilmesini içerir.</w:t>
      </w:r>
      <w:r w:rsidRPr="00D53A2B" w:rsidDel="00481051">
        <w:rPr>
          <w:rStyle w:val="Gvdemetni3a"/>
        </w:rPr>
        <w:t xml:space="preserve"> </w:t>
      </w:r>
    </w:p>
    <w:p w14:paraId="4AFB9470" w14:textId="77777777" w:rsidR="007200B5" w:rsidRPr="00D53A2B" w:rsidRDefault="007200B5" w:rsidP="00A202FD">
      <w:pPr>
        <w:jc w:val="both"/>
        <w:rPr>
          <w:rStyle w:val="Gvdemetni3a"/>
        </w:rPr>
      </w:pPr>
    </w:p>
    <w:p w14:paraId="133D6685" w14:textId="2EF148A0" w:rsidR="003D03F6" w:rsidRPr="00D53A2B" w:rsidRDefault="003D03F6" w:rsidP="00A202FD">
      <w:pPr>
        <w:pStyle w:val="MET"/>
        <w:rPr>
          <w:szCs w:val="24"/>
        </w:rPr>
      </w:pPr>
      <w:r w:rsidRPr="00D53A2B">
        <w:rPr>
          <w:rStyle w:val="Gvdemetni710pt3"/>
          <w:b/>
          <w:color w:val="000000"/>
          <w:sz w:val="24"/>
          <w:szCs w:val="24"/>
        </w:rPr>
        <w:t xml:space="preserve">MET 7: </w:t>
      </w:r>
      <w:r w:rsidRPr="00D53A2B">
        <w:rPr>
          <w:rStyle w:val="Gvdemetni710pt3"/>
          <w:bCs w:val="0"/>
          <w:color w:val="000000"/>
          <w:sz w:val="24"/>
          <w:szCs w:val="24"/>
        </w:rPr>
        <w:t>İlgili kirleticiler için düşük emisyon seviyelerine ulaşmak amacıyla, uygun hurda kaliteleri ve diğer ham maddeleri seç</w:t>
      </w:r>
      <w:r w:rsidR="003770CD" w:rsidRPr="00D53A2B">
        <w:rPr>
          <w:rStyle w:val="Gvdemetni710pt3"/>
          <w:bCs w:val="0"/>
          <w:color w:val="000000"/>
          <w:sz w:val="24"/>
          <w:szCs w:val="24"/>
        </w:rPr>
        <w:t>ilir</w:t>
      </w:r>
      <w:r w:rsidRPr="00D53A2B">
        <w:rPr>
          <w:rStyle w:val="Gvdemetni710pt3"/>
          <w:bCs w:val="0"/>
          <w:color w:val="000000"/>
          <w:sz w:val="24"/>
          <w:szCs w:val="24"/>
        </w:rPr>
        <w:t xml:space="preserve">. Hurda ile ilgili olarak, ağır metaller, özellikle cıva içerebilecek veya poliklorlu dibenzodioksinler/furanlar (PCDD/F) ve </w:t>
      </w:r>
      <w:r w:rsidRPr="00D53A2B">
        <w:rPr>
          <w:rStyle w:val="Gvdemetni710pt3"/>
          <w:bCs w:val="0"/>
          <w:color w:val="000000"/>
          <w:sz w:val="24"/>
          <w:szCs w:val="24"/>
        </w:rPr>
        <w:lastRenderedPageBreak/>
        <w:t>poliklorlu bifeniller (PCB) oluşumuna yol açabilecek görünür kirleticiler için uygun bir inceleme yap</w:t>
      </w:r>
      <w:r w:rsidR="003770CD" w:rsidRPr="00D53A2B">
        <w:rPr>
          <w:rStyle w:val="Gvdemetni710pt3"/>
          <w:bCs w:val="0"/>
          <w:color w:val="000000"/>
          <w:sz w:val="24"/>
          <w:szCs w:val="24"/>
        </w:rPr>
        <w:t>abilir</w:t>
      </w:r>
      <w:r w:rsidRPr="00D53A2B">
        <w:rPr>
          <w:rStyle w:val="Gvdemetni710pt3"/>
          <w:bCs w:val="0"/>
          <w:color w:val="000000"/>
          <w:sz w:val="24"/>
          <w:szCs w:val="24"/>
        </w:rPr>
        <w:t>.</w:t>
      </w:r>
    </w:p>
    <w:p w14:paraId="3592AE38" w14:textId="65D7337C" w:rsidR="003D03F6" w:rsidRPr="00D53A2B" w:rsidRDefault="003D03F6" w:rsidP="00A202FD">
      <w:pPr>
        <w:jc w:val="both"/>
        <w:rPr>
          <w:rStyle w:val="Gvdemetni710pt3"/>
          <w:b w:val="0"/>
          <w:bCs w:val="0"/>
          <w:spacing w:val="2"/>
          <w:sz w:val="24"/>
          <w:szCs w:val="24"/>
          <w:lang w:eastAsia="en-US"/>
        </w:rPr>
      </w:pPr>
      <w:r w:rsidRPr="00D53A2B">
        <w:rPr>
          <w:rStyle w:val="Gvdemetni710pt3"/>
          <w:b w:val="0"/>
          <w:bCs w:val="0"/>
          <w:sz w:val="24"/>
          <w:szCs w:val="24"/>
        </w:rPr>
        <w:t>Aşağıda yer alan teknikler, hurda kullanımını iyileştirmek için tek tek veya bir arada kullanılabilir:</w:t>
      </w:r>
    </w:p>
    <w:p w14:paraId="5667C02F" w14:textId="77777777" w:rsidR="00974EDA" w:rsidRPr="00D53A2B" w:rsidRDefault="003D03F6" w:rsidP="00A202FD">
      <w:pPr>
        <w:pStyle w:val="Gvdemetni71"/>
        <w:numPr>
          <w:ilvl w:val="0"/>
          <w:numId w:val="54"/>
        </w:numPr>
        <w:shd w:val="clear" w:color="auto" w:fill="auto"/>
        <w:spacing w:before="0" w:after="0" w:line="240" w:lineRule="auto"/>
        <w:ind w:left="426" w:right="20" w:hanging="426"/>
        <w:rPr>
          <w:rStyle w:val="Gvdemetni3a"/>
          <w:b w:val="0"/>
          <w:bCs w:val="0"/>
          <w:color w:val="000000"/>
          <w:sz w:val="24"/>
          <w:szCs w:val="24"/>
        </w:rPr>
      </w:pPr>
      <w:r w:rsidRPr="00D53A2B">
        <w:rPr>
          <w:rStyle w:val="Gvdemetni3a"/>
          <w:b w:val="0"/>
          <w:bCs w:val="0"/>
          <w:color w:val="000000"/>
          <w:sz w:val="24"/>
          <w:szCs w:val="24"/>
        </w:rPr>
        <w:t>Hurda satın alma siparişlerindeki üretim profiline uygun kabul kriterlerinin belirlenmesi</w:t>
      </w:r>
    </w:p>
    <w:p w14:paraId="32D02C70" w14:textId="77777777" w:rsidR="00974EDA" w:rsidRPr="00D53A2B" w:rsidRDefault="003D03F6" w:rsidP="00A202FD">
      <w:pPr>
        <w:pStyle w:val="Gvdemetni71"/>
        <w:numPr>
          <w:ilvl w:val="0"/>
          <w:numId w:val="54"/>
        </w:numPr>
        <w:shd w:val="clear" w:color="auto" w:fill="auto"/>
        <w:spacing w:before="0" w:after="0" w:line="240" w:lineRule="auto"/>
        <w:ind w:left="426" w:right="20" w:hanging="426"/>
        <w:rPr>
          <w:rStyle w:val="Gvdemetni3a"/>
          <w:b w:val="0"/>
          <w:bCs w:val="0"/>
          <w:color w:val="000000"/>
          <w:sz w:val="24"/>
          <w:szCs w:val="24"/>
        </w:rPr>
      </w:pPr>
      <w:r w:rsidRPr="00D53A2B">
        <w:rPr>
          <w:rStyle w:val="Gvdemetni3a"/>
          <w:b w:val="0"/>
          <w:bCs w:val="0"/>
          <w:color w:val="000000"/>
          <w:sz w:val="24"/>
          <w:szCs w:val="24"/>
        </w:rPr>
        <w:t>Hurdanın kaynağını yakından izleyerek hurda bileşimi hakkında iyi bir bilgi sahibi olmak; istisnai durumlarda eritme testi ile hurdanın bileşiminin karakterize edilmesi mümkün olabilir</w:t>
      </w:r>
    </w:p>
    <w:p w14:paraId="7B41970C" w14:textId="77777777" w:rsidR="00974EDA" w:rsidRPr="00D53A2B" w:rsidRDefault="003D03F6" w:rsidP="00A202FD">
      <w:pPr>
        <w:pStyle w:val="Gvdemetni71"/>
        <w:numPr>
          <w:ilvl w:val="0"/>
          <w:numId w:val="54"/>
        </w:numPr>
        <w:shd w:val="clear" w:color="auto" w:fill="auto"/>
        <w:spacing w:before="0" w:after="0" w:line="240" w:lineRule="auto"/>
        <w:ind w:left="426" w:right="20" w:hanging="426"/>
        <w:rPr>
          <w:rStyle w:val="Gvdemetni3a"/>
          <w:b w:val="0"/>
          <w:bCs w:val="0"/>
          <w:color w:val="000000"/>
          <w:sz w:val="24"/>
          <w:szCs w:val="24"/>
        </w:rPr>
      </w:pPr>
      <w:r w:rsidRPr="00D53A2B">
        <w:rPr>
          <w:rStyle w:val="Gvdemetni3a"/>
          <w:b w:val="0"/>
          <w:bCs w:val="0"/>
          <w:color w:val="000000"/>
          <w:sz w:val="24"/>
          <w:szCs w:val="24"/>
        </w:rPr>
        <w:t>Yeterli sayıda hurda kabul tesisine sahip olmak ve teslimatları kontrol etmek</w:t>
      </w:r>
    </w:p>
    <w:p w14:paraId="396DD6DE" w14:textId="77777777" w:rsidR="00974EDA" w:rsidRPr="00D53A2B" w:rsidRDefault="003D03F6" w:rsidP="00A202FD">
      <w:pPr>
        <w:pStyle w:val="Gvdemetni71"/>
        <w:numPr>
          <w:ilvl w:val="0"/>
          <w:numId w:val="54"/>
        </w:numPr>
        <w:shd w:val="clear" w:color="auto" w:fill="auto"/>
        <w:spacing w:before="0" w:after="0" w:line="240" w:lineRule="auto"/>
        <w:ind w:left="426" w:right="20" w:hanging="426"/>
        <w:rPr>
          <w:rStyle w:val="Gvdemetni3a"/>
          <w:b w:val="0"/>
          <w:bCs w:val="0"/>
          <w:color w:val="000000"/>
          <w:sz w:val="24"/>
          <w:szCs w:val="24"/>
        </w:rPr>
      </w:pPr>
      <w:r w:rsidRPr="00D53A2B">
        <w:rPr>
          <w:rStyle w:val="Gvdemetni3a"/>
          <w:b w:val="0"/>
          <w:bCs w:val="0"/>
          <w:color w:val="000000"/>
          <w:sz w:val="24"/>
          <w:szCs w:val="24"/>
        </w:rPr>
        <w:t>Tesiste kullanılmaya uygun olmayan hurdaların bertarafını sağlayacak prosedürlere sahip olunması.</w:t>
      </w:r>
    </w:p>
    <w:p w14:paraId="40944EDA" w14:textId="77777777" w:rsidR="00974EDA" w:rsidRPr="00D53A2B" w:rsidRDefault="003D03F6" w:rsidP="00A202FD">
      <w:pPr>
        <w:pStyle w:val="Gvdemetni71"/>
        <w:numPr>
          <w:ilvl w:val="0"/>
          <w:numId w:val="54"/>
        </w:numPr>
        <w:shd w:val="clear" w:color="auto" w:fill="auto"/>
        <w:spacing w:before="0" w:after="0" w:line="240" w:lineRule="auto"/>
        <w:ind w:left="426" w:right="20" w:hanging="426"/>
        <w:rPr>
          <w:rStyle w:val="Gvdemetni3a"/>
          <w:b w:val="0"/>
          <w:bCs w:val="0"/>
          <w:color w:val="000000"/>
          <w:sz w:val="24"/>
          <w:szCs w:val="24"/>
        </w:rPr>
      </w:pPr>
      <w:r w:rsidRPr="00D53A2B">
        <w:rPr>
          <w:rStyle w:val="Gvdemetni3a"/>
          <w:b w:val="0"/>
          <w:bCs w:val="0"/>
          <w:color w:val="000000"/>
          <w:sz w:val="24"/>
          <w:szCs w:val="24"/>
        </w:rPr>
        <w:t>Hurdaların farklı kriterlere göre (örneğin; boyut, alaşım, temizlik derecesi) depolanması; toprağa kirletici madde salınımı potansiyeli olan hurdaların drenaj ve toplama sistemi olan geçirimsiz yüzeyler üzerinde depolanması; böyle bir sisteme olan ihtiyacı azaltabilecek bir çatı kullanılması.</w:t>
      </w:r>
    </w:p>
    <w:p w14:paraId="20095DB2" w14:textId="77777777" w:rsidR="00974EDA" w:rsidRPr="00D53A2B" w:rsidRDefault="003D03F6" w:rsidP="00A202FD">
      <w:pPr>
        <w:pStyle w:val="Gvdemetni71"/>
        <w:numPr>
          <w:ilvl w:val="0"/>
          <w:numId w:val="54"/>
        </w:numPr>
        <w:shd w:val="clear" w:color="auto" w:fill="auto"/>
        <w:spacing w:before="0" w:after="0" w:line="240" w:lineRule="auto"/>
        <w:ind w:left="426" w:right="20" w:hanging="426"/>
        <w:rPr>
          <w:rStyle w:val="Gvdemetni3a"/>
          <w:b w:val="0"/>
          <w:bCs w:val="0"/>
          <w:color w:val="000000"/>
          <w:sz w:val="24"/>
          <w:szCs w:val="24"/>
        </w:rPr>
      </w:pPr>
      <w:r w:rsidRPr="00D53A2B">
        <w:rPr>
          <w:rStyle w:val="Gvdemetni3a"/>
          <w:b w:val="0"/>
          <w:bCs w:val="0"/>
          <w:color w:val="000000"/>
          <w:sz w:val="24"/>
          <w:szCs w:val="24"/>
        </w:rPr>
        <w:t>Üretilecek çelik kalitesine en uygun hurdayı kullanmak için, bileşim bilgisini de dikkate alarak farklı eritmeler için hurda yükünün bir araya getirilmesi (bu, bazı durumlarda istenmeyen elementlerin varlığını önlemek, diğer durumlarda ise hurdada bulunan ve üretilecek çelik kalitesi için ihtiyaç duyulan alaşım elementlerinden yararlanmak için gereklidir).</w:t>
      </w:r>
      <w:r w:rsidRPr="00D53A2B" w:rsidDel="00581F44">
        <w:rPr>
          <w:rStyle w:val="Gvdemetni3a"/>
          <w:b w:val="0"/>
          <w:bCs w:val="0"/>
          <w:color w:val="000000"/>
          <w:sz w:val="24"/>
          <w:szCs w:val="24"/>
        </w:rPr>
        <w:t xml:space="preserve"> </w:t>
      </w:r>
    </w:p>
    <w:p w14:paraId="0C163693" w14:textId="14A1D8DD" w:rsidR="00974EDA" w:rsidRPr="00D53A2B" w:rsidRDefault="003D03F6" w:rsidP="00A202FD">
      <w:pPr>
        <w:pStyle w:val="Gvdemetni71"/>
        <w:numPr>
          <w:ilvl w:val="0"/>
          <w:numId w:val="54"/>
        </w:numPr>
        <w:shd w:val="clear" w:color="auto" w:fill="auto"/>
        <w:spacing w:before="0" w:after="0" w:line="240" w:lineRule="auto"/>
        <w:ind w:left="426" w:right="20" w:hanging="426"/>
        <w:rPr>
          <w:rStyle w:val="Gvdemetni3a"/>
          <w:b w:val="0"/>
          <w:bCs w:val="0"/>
          <w:color w:val="000000"/>
          <w:sz w:val="24"/>
          <w:szCs w:val="24"/>
        </w:rPr>
      </w:pPr>
      <w:r w:rsidRPr="00D53A2B">
        <w:rPr>
          <w:rStyle w:val="Gvdemetni3a"/>
          <w:b w:val="0"/>
          <w:bCs w:val="0"/>
          <w:color w:val="000000"/>
          <w:sz w:val="24"/>
          <w:szCs w:val="24"/>
        </w:rPr>
        <w:t>Dahili olarak üretilen tüm hurdaların geri dönüşüm için hurda sahasına gecikmeden gönderilmesi</w:t>
      </w:r>
    </w:p>
    <w:p w14:paraId="05D0B439" w14:textId="77777777" w:rsidR="00974EDA" w:rsidRPr="00D53A2B" w:rsidRDefault="003D03F6" w:rsidP="00A202FD">
      <w:pPr>
        <w:pStyle w:val="Gvdemetni71"/>
        <w:numPr>
          <w:ilvl w:val="0"/>
          <w:numId w:val="54"/>
        </w:numPr>
        <w:shd w:val="clear" w:color="auto" w:fill="auto"/>
        <w:spacing w:before="0" w:after="0" w:line="240" w:lineRule="auto"/>
        <w:ind w:left="426" w:right="20" w:hanging="426"/>
        <w:rPr>
          <w:rStyle w:val="Gvdemetni3a"/>
          <w:b w:val="0"/>
          <w:bCs w:val="0"/>
          <w:color w:val="000000"/>
          <w:sz w:val="24"/>
          <w:szCs w:val="24"/>
        </w:rPr>
      </w:pPr>
      <w:r w:rsidRPr="00D53A2B">
        <w:rPr>
          <w:rStyle w:val="Gvdemetni3a"/>
          <w:b w:val="0"/>
          <w:bCs w:val="0"/>
          <w:color w:val="000000"/>
          <w:sz w:val="24"/>
          <w:szCs w:val="24"/>
        </w:rPr>
        <w:t>Bir işletme ve yönetim planına sahip olmak</w:t>
      </w:r>
    </w:p>
    <w:p w14:paraId="76B018D2" w14:textId="77777777" w:rsidR="00974EDA" w:rsidRPr="00D53A2B" w:rsidRDefault="003D03F6" w:rsidP="00A202FD">
      <w:pPr>
        <w:pStyle w:val="Gvdemetni71"/>
        <w:numPr>
          <w:ilvl w:val="0"/>
          <w:numId w:val="54"/>
        </w:numPr>
        <w:shd w:val="clear" w:color="auto" w:fill="auto"/>
        <w:spacing w:before="0" w:after="0" w:line="240" w:lineRule="auto"/>
        <w:ind w:left="426" w:right="20" w:hanging="426"/>
        <w:rPr>
          <w:rStyle w:val="Gvdemetni3a"/>
          <w:b w:val="0"/>
          <w:bCs w:val="0"/>
          <w:color w:val="000000"/>
          <w:sz w:val="24"/>
          <w:szCs w:val="24"/>
        </w:rPr>
      </w:pPr>
      <w:r w:rsidRPr="00D53A2B">
        <w:rPr>
          <w:rStyle w:val="Gvdemetni3a"/>
          <w:b w:val="0"/>
          <w:bCs w:val="0"/>
          <w:color w:val="000000"/>
          <w:sz w:val="24"/>
          <w:szCs w:val="24"/>
        </w:rPr>
        <w:t>Hurdaların, özellikle poliklorlu bifeniller (PCB) ve yağ veya gres gibi tehlikeli veya demir dışı kirleticilerin dahil olma riskini en aza indirmek için ayrıştırılması.</w:t>
      </w:r>
      <w:r w:rsidRPr="00D53A2B" w:rsidDel="00581F44">
        <w:rPr>
          <w:rStyle w:val="Gvdemetni3a"/>
          <w:b w:val="0"/>
          <w:bCs w:val="0"/>
          <w:color w:val="000000"/>
          <w:sz w:val="24"/>
          <w:szCs w:val="24"/>
        </w:rPr>
        <w:t xml:space="preserve"> </w:t>
      </w:r>
      <w:r w:rsidRPr="00D53A2B">
        <w:rPr>
          <w:rStyle w:val="Gvdemetni3a"/>
          <w:b w:val="0"/>
          <w:bCs w:val="0"/>
          <w:color w:val="000000"/>
          <w:sz w:val="24"/>
          <w:szCs w:val="24"/>
        </w:rPr>
        <w:t>Bu işlem genellikle hurda tedarikçisi tarafından gerçekleştirilir, ancak operatör güvenlik nedeniyle tüm hurda yüklerini mühürlü konteynerlerde inceler. Bu nedenle kirleticileri kontrol etmek, aynı zamanda uygulanabilir olduğu ölçüde mümkün olur. Küçük miktardaki plastiğin (örneğin plastik kaplamalı bileşenler olarak) değerlendirilmesi gerekebilir.</w:t>
      </w:r>
    </w:p>
    <w:p w14:paraId="45273F34" w14:textId="0DB07959" w:rsidR="00974EDA" w:rsidRPr="00D53A2B" w:rsidRDefault="003D03F6" w:rsidP="00A202FD">
      <w:pPr>
        <w:pStyle w:val="Gvdemetni71"/>
        <w:numPr>
          <w:ilvl w:val="0"/>
          <w:numId w:val="54"/>
        </w:numPr>
        <w:shd w:val="clear" w:color="auto" w:fill="auto"/>
        <w:spacing w:before="0" w:after="0" w:line="240" w:lineRule="auto"/>
        <w:ind w:left="426" w:right="20" w:hanging="426"/>
        <w:rPr>
          <w:rStyle w:val="Gvdemetni3a"/>
          <w:b w:val="0"/>
          <w:bCs w:val="0"/>
          <w:color w:val="000000"/>
          <w:sz w:val="24"/>
          <w:szCs w:val="24"/>
        </w:rPr>
      </w:pPr>
      <w:r w:rsidRPr="00D53A2B">
        <w:rPr>
          <w:rStyle w:val="Gvdemetni3a"/>
          <w:b w:val="0"/>
          <w:bCs w:val="0"/>
          <w:color w:val="000000"/>
          <w:sz w:val="24"/>
          <w:szCs w:val="24"/>
        </w:rPr>
        <w:t>Birleşmiş Milletler Avrupa Ekonomik Komisyonu (UNECE) Uzman Grubu tavsiye çerçevesine göre radyoaktivite kontrol</w:t>
      </w:r>
      <w:r w:rsidR="00974EDA" w:rsidRPr="00D53A2B">
        <w:rPr>
          <w:rStyle w:val="Gvdemetni3a"/>
          <w:b w:val="0"/>
          <w:bCs w:val="0"/>
          <w:color w:val="000000"/>
          <w:sz w:val="24"/>
          <w:szCs w:val="24"/>
        </w:rPr>
        <w:t>ü</w:t>
      </w:r>
    </w:p>
    <w:p w14:paraId="2059C2B1" w14:textId="77777777" w:rsidR="00974EDA" w:rsidRPr="00D53A2B" w:rsidRDefault="003D03F6" w:rsidP="00A202FD">
      <w:pPr>
        <w:pStyle w:val="Gvdemetni71"/>
        <w:numPr>
          <w:ilvl w:val="0"/>
          <w:numId w:val="54"/>
        </w:numPr>
        <w:shd w:val="clear" w:color="auto" w:fill="auto"/>
        <w:spacing w:before="0" w:after="0" w:line="240" w:lineRule="auto"/>
        <w:ind w:left="426" w:right="20" w:hanging="426"/>
        <w:rPr>
          <w:rStyle w:val="Gvdemetni3a"/>
          <w:b w:val="0"/>
          <w:bCs w:val="0"/>
          <w:color w:val="000000"/>
          <w:sz w:val="24"/>
          <w:szCs w:val="24"/>
        </w:rPr>
      </w:pPr>
      <w:r w:rsidRPr="00D53A2B">
        <w:rPr>
          <w:rStyle w:val="Gvdemetni3a"/>
          <w:b w:val="0"/>
          <w:bCs w:val="0"/>
          <w:color w:val="000000"/>
          <w:sz w:val="24"/>
          <w:szCs w:val="24"/>
        </w:rPr>
        <w:t xml:space="preserve">Hurda işleyicileri tarafından Ömrünü Tamamlamış Araçlar ve Atık Elektrikli ve Elektronik Ekipmanlardan (AEEE) cıva içeren bileşenlerin zorunlu olarak çıkarılmasının uygulanması aşağıdaki şekilde iyileştirilebilir: </w:t>
      </w:r>
    </w:p>
    <w:p w14:paraId="10705253" w14:textId="462BFB70" w:rsidR="00974EDA" w:rsidRPr="00D53A2B" w:rsidRDefault="003D03F6" w:rsidP="00A202FD">
      <w:pPr>
        <w:pStyle w:val="Gvdemetni71"/>
        <w:numPr>
          <w:ilvl w:val="0"/>
          <w:numId w:val="55"/>
        </w:numPr>
        <w:shd w:val="clear" w:color="auto" w:fill="auto"/>
        <w:spacing w:before="0" w:after="0" w:line="240" w:lineRule="auto"/>
        <w:ind w:right="20"/>
        <w:rPr>
          <w:rStyle w:val="Gvdemetni3a"/>
          <w:b w:val="0"/>
          <w:bCs w:val="0"/>
          <w:color w:val="000000"/>
          <w:sz w:val="24"/>
          <w:szCs w:val="24"/>
        </w:rPr>
      </w:pPr>
      <w:r w:rsidRPr="00D53A2B">
        <w:rPr>
          <w:rStyle w:val="Gvdemetni3a"/>
          <w:b w:val="0"/>
          <w:bCs w:val="0"/>
          <w:color w:val="000000"/>
          <w:sz w:val="24"/>
          <w:szCs w:val="24"/>
        </w:rPr>
        <w:t>Hurda satın alma sözleşmelerinde cıva bulunmamasının düzeltilmesi</w:t>
      </w:r>
    </w:p>
    <w:p w14:paraId="1E595CCD" w14:textId="08C88A5A" w:rsidR="003D03F6" w:rsidRPr="00D53A2B" w:rsidRDefault="003D03F6" w:rsidP="00A202FD">
      <w:pPr>
        <w:pStyle w:val="Gvdemetni71"/>
        <w:numPr>
          <w:ilvl w:val="0"/>
          <w:numId w:val="55"/>
        </w:numPr>
        <w:shd w:val="clear" w:color="auto" w:fill="auto"/>
        <w:spacing w:before="0" w:after="0" w:line="240" w:lineRule="auto"/>
        <w:ind w:right="20"/>
        <w:rPr>
          <w:rStyle w:val="Gvdemetni710pt3"/>
          <w:color w:val="000000"/>
          <w:sz w:val="24"/>
          <w:szCs w:val="24"/>
        </w:rPr>
      </w:pPr>
      <w:r w:rsidRPr="00D53A2B">
        <w:rPr>
          <w:rStyle w:val="Gvdemetni3a"/>
          <w:b w:val="0"/>
          <w:bCs w:val="0"/>
          <w:color w:val="000000"/>
          <w:sz w:val="24"/>
          <w:szCs w:val="24"/>
        </w:rPr>
        <w:t>Görünür elektronik bileşenler ve düzenekler içeren hurdaların reddedilmesi.</w:t>
      </w:r>
    </w:p>
    <w:p w14:paraId="15C83664" w14:textId="77777777" w:rsidR="00974EDA" w:rsidRPr="00D53A2B" w:rsidRDefault="00974EDA" w:rsidP="00A202FD">
      <w:pPr>
        <w:pStyle w:val="Gvdemetni71"/>
        <w:shd w:val="clear" w:color="auto" w:fill="auto"/>
        <w:spacing w:before="0" w:after="0" w:line="240" w:lineRule="auto"/>
        <w:rPr>
          <w:rStyle w:val="Gvdemetni710pt3"/>
          <w:b/>
          <w:bCs/>
          <w:color w:val="000000"/>
          <w:sz w:val="24"/>
          <w:szCs w:val="24"/>
        </w:rPr>
      </w:pPr>
    </w:p>
    <w:p w14:paraId="6549DEB1" w14:textId="7EB58BFC" w:rsidR="003D03F6" w:rsidRPr="00D53A2B" w:rsidRDefault="003D03F6" w:rsidP="00A202FD">
      <w:pPr>
        <w:pStyle w:val="Gvdemetni71"/>
        <w:shd w:val="clear" w:color="auto" w:fill="auto"/>
        <w:spacing w:before="0" w:after="0" w:line="240" w:lineRule="auto"/>
        <w:rPr>
          <w:sz w:val="24"/>
          <w:szCs w:val="24"/>
        </w:rPr>
      </w:pPr>
      <w:r w:rsidRPr="00D53A2B">
        <w:rPr>
          <w:rStyle w:val="Gvdemetni710pt3"/>
          <w:b/>
          <w:bCs/>
          <w:color w:val="000000"/>
          <w:sz w:val="24"/>
          <w:szCs w:val="24"/>
        </w:rPr>
        <w:t>Uygulanabilirlik</w:t>
      </w:r>
    </w:p>
    <w:p w14:paraId="5DF10B4F" w14:textId="6178A540" w:rsidR="003D03F6" w:rsidRPr="00D53A2B" w:rsidRDefault="003D03F6" w:rsidP="00A202FD">
      <w:pPr>
        <w:pStyle w:val="Gvdemetni1"/>
        <w:shd w:val="clear" w:color="auto" w:fill="auto"/>
        <w:tabs>
          <w:tab w:val="left" w:pos="562"/>
        </w:tabs>
        <w:spacing w:after="0" w:line="240" w:lineRule="auto"/>
        <w:ind w:firstLine="0"/>
        <w:rPr>
          <w:rStyle w:val="Gvdemetni3a"/>
          <w:sz w:val="24"/>
          <w:szCs w:val="24"/>
        </w:rPr>
      </w:pPr>
      <w:r w:rsidRPr="00D53A2B">
        <w:rPr>
          <w:rStyle w:val="Gvdemetni3a"/>
          <w:color w:val="000000"/>
          <w:sz w:val="24"/>
          <w:szCs w:val="24"/>
        </w:rPr>
        <w:t>Hurdanın seçimi ve ayrıştılması tamamen operatörün kontrolü altında olmayabilir.</w:t>
      </w:r>
    </w:p>
    <w:p w14:paraId="034BBBD5" w14:textId="77777777" w:rsidR="003D03F6" w:rsidRPr="00D53A2B" w:rsidRDefault="003D03F6" w:rsidP="00A202FD">
      <w:pPr>
        <w:pStyle w:val="Gvdemetni1"/>
        <w:shd w:val="clear" w:color="auto" w:fill="auto"/>
        <w:tabs>
          <w:tab w:val="left" w:pos="562"/>
        </w:tabs>
        <w:spacing w:after="0" w:line="360" w:lineRule="auto"/>
        <w:ind w:firstLine="0"/>
        <w:rPr>
          <w:sz w:val="24"/>
          <w:szCs w:val="24"/>
        </w:rPr>
      </w:pPr>
    </w:p>
    <w:p w14:paraId="0B717D99" w14:textId="6B3BA9FB" w:rsidR="003D03F6" w:rsidRPr="00D53A2B" w:rsidRDefault="003D03F6" w:rsidP="00602365">
      <w:pPr>
        <w:pStyle w:val="Balk3"/>
        <w:numPr>
          <w:ilvl w:val="1"/>
          <w:numId w:val="244"/>
        </w:numPr>
        <w:rPr>
          <w:rFonts w:cs="Times New Roman"/>
        </w:rPr>
      </w:pPr>
      <w:r w:rsidRPr="00D53A2B">
        <w:rPr>
          <w:rStyle w:val="Balk211pt1"/>
          <w:rFonts w:ascii="Times New Roman" w:hAnsi="Times New Roman" w:cs="Times New Roman"/>
          <w:b/>
          <w:color w:val="000000"/>
          <w:sz w:val="24"/>
          <w:szCs w:val="24"/>
        </w:rPr>
        <w:t xml:space="preserve">Yan </w:t>
      </w:r>
      <w:r w:rsidR="00D914C2" w:rsidRPr="00D53A2B">
        <w:rPr>
          <w:rStyle w:val="Balk211pt1"/>
          <w:rFonts w:ascii="Times New Roman" w:hAnsi="Times New Roman" w:cs="Times New Roman"/>
          <w:b/>
          <w:color w:val="000000"/>
          <w:sz w:val="24"/>
          <w:szCs w:val="24"/>
        </w:rPr>
        <w:t>Ürün ve Atık Gibi Proses Kalıntılarının Yönetimi</w:t>
      </w:r>
    </w:p>
    <w:p w14:paraId="6957628F" w14:textId="1AC4FFB3" w:rsidR="00974EDA" w:rsidRPr="00096502" w:rsidRDefault="003D03F6" w:rsidP="00A202FD">
      <w:pPr>
        <w:pStyle w:val="MET"/>
        <w:rPr>
          <w:rStyle w:val="Gvdemetni3a"/>
          <w:bCs/>
          <w:szCs w:val="24"/>
        </w:rPr>
      </w:pPr>
      <w:r w:rsidRPr="00096502">
        <w:rPr>
          <w:rStyle w:val="Gvdemetni3a"/>
          <w:bCs/>
          <w:color w:val="000000"/>
          <w:szCs w:val="24"/>
        </w:rPr>
        <w:t xml:space="preserve">MET 8: </w:t>
      </w:r>
      <w:r w:rsidRPr="00096502">
        <w:rPr>
          <w:rStyle w:val="Gvdemetni3a"/>
          <w:b w:val="0"/>
          <w:color w:val="000000"/>
          <w:szCs w:val="24"/>
        </w:rPr>
        <w:t>Katı atıklara yönelik</w:t>
      </w:r>
      <w:r w:rsidRPr="00096502">
        <w:rPr>
          <w:rStyle w:val="Gvdemetni3a"/>
          <w:b w:val="0"/>
          <w:szCs w:val="24"/>
        </w:rPr>
        <w:t xml:space="preserve">, atıkların </w:t>
      </w:r>
      <w:r w:rsidR="00C1113A" w:rsidRPr="00096502">
        <w:rPr>
          <w:rStyle w:val="Gvdemetni3a"/>
          <w:b w:val="0"/>
          <w:szCs w:val="24"/>
        </w:rPr>
        <w:t xml:space="preserve">tesis içi </w:t>
      </w:r>
      <w:r w:rsidRPr="00096502">
        <w:rPr>
          <w:rStyle w:val="Gvdemetni3a"/>
          <w:b w:val="0"/>
          <w:szCs w:val="24"/>
        </w:rPr>
        <w:t>kullanım veya özel geri dönüşüm süreçlerinin uygulanması (</w:t>
      </w:r>
      <w:r w:rsidR="00C1113A" w:rsidRPr="00096502">
        <w:rPr>
          <w:rStyle w:val="Gvdemetni3a"/>
          <w:b w:val="0"/>
          <w:szCs w:val="24"/>
        </w:rPr>
        <w:t>tesis içi veya dışı</w:t>
      </w:r>
      <w:r w:rsidRPr="00096502">
        <w:rPr>
          <w:rStyle w:val="Gvdemetni3a"/>
          <w:b w:val="0"/>
          <w:szCs w:val="24"/>
        </w:rPr>
        <w:t>) yoluyla en aza indirilmesi için entegre tekniklerin ve operasyonel teknikler kullanılma</w:t>
      </w:r>
      <w:r w:rsidR="00D914C2" w:rsidRPr="00096502">
        <w:rPr>
          <w:rStyle w:val="Gvdemetni3a"/>
          <w:b w:val="0"/>
          <w:szCs w:val="24"/>
        </w:rPr>
        <w:t>l</w:t>
      </w:r>
      <w:r w:rsidRPr="00096502">
        <w:rPr>
          <w:rStyle w:val="Gvdemetni3a"/>
          <w:b w:val="0"/>
          <w:szCs w:val="24"/>
        </w:rPr>
        <w:t>ıdır.</w:t>
      </w:r>
    </w:p>
    <w:p w14:paraId="68D6F2FD" w14:textId="77777777" w:rsidR="00974EDA" w:rsidRPr="00096502" w:rsidRDefault="00974EDA" w:rsidP="00A202FD">
      <w:pPr>
        <w:pStyle w:val="MET"/>
        <w:rPr>
          <w:rStyle w:val="Gvdemetni3a"/>
          <w:bCs/>
          <w:szCs w:val="24"/>
        </w:rPr>
      </w:pPr>
    </w:p>
    <w:p w14:paraId="4B6CF18B" w14:textId="6E4BB11F" w:rsidR="003D03F6" w:rsidRPr="00D53A2B" w:rsidRDefault="003D03F6" w:rsidP="00A202FD">
      <w:pPr>
        <w:pStyle w:val="MET"/>
        <w:rPr>
          <w:szCs w:val="24"/>
        </w:rPr>
      </w:pPr>
      <w:r w:rsidRPr="00D53A2B">
        <w:rPr>
          <w:rStyle w:val="Gvdemetni3a"/>
          <w:bCs/>
          <w:color w:val="000000"/>
          <w:szCs w:val="24"/>
        </w:rPr>
        <w:lastRenderedPageBreak/>
        <w:t>Tanım</w:t>
      </w:r>
    </w:p>
    <w:p w14:paraId="40A6163A" w14:textId="35458745" w:rsidR="00974EDA" w:rsidRPr="00D53A2B" w:rsidRDefault="003D03F6" w:rsidP="00A202FD">
      <w:pPr>
        <w:pStyle w:val="Gvdemetni1"/>
        <w:shd w:val="clear" w:color="auto" w:fill="auto"/>
        <w:spacing w:after="276" w:line="240" w:lineRule="auto"/>
        <w:ind w:right="20" w:firstLine="0"/>
        <w:rPr>
          <w:sz w:val="24"/>
          <w:szCs w:val="24"/>
        </w:rPr>
      </w:pPr>
      <w:r w:rsidRPr="00D53A2B">
        <w:rPr>
          <w:rStyle w:val="Gvdemetni3a"/>
          <w:color w:val="000000"/>
          <w:sz w:val="24"/>
          <w:szCs w:val="24"/>
        </w:rPr>
        <w:t>Demir açısından zengin kalıntıların geri dönüştürülmesine yönelik teknikler, OxyCup</w:t>
      </w:r>
      <w:r w:rsidRPr="00D53A2B">
        <w:rPr>
          <w:rStyle w:val="Gvdemetni3a"/>
          <w:color w:val="000000"/>
          <w:sz w:val="24"/>
          <w:szCs w:val="24"/>
          <w:vertAlign w:val="superscript"/>
        </w:rPr>
        <w:t>®</w:t>
      </w:r>
      <w:r w:rsidRPr="00D53A2B">
        <w:rPr>
          <w:rStyle w:val="Gvdemetni3a"/>
          <w:color w:val="000000"/>
          <w:sz w:val="24"/>
          <w:szCs w:val="24"/>
        </w:rPr>
        <w:t xml:space="preserve"> şaft fırın, DK prosesi, </w:t>
      </w:r>
      <w:r w:rsidRPr="00D53A2B">
        <w:rPr>
          <w:sz w:val="24"/>
          <w:szCs w:val="24"/>
        </w:rPr>
        <w:t>eritme indirgeme işlemleri veya soğuk bağlı peletleme/briketleme gibi özel geri dönüştürme teknikleri ve Bölüm 2-7</w:t>
      </w:r>
      <w:r w:rsidR="00E56504" w:rsidRPr="00D53A2B">
        <w:rPr>
          <w:sz w:val="24"/>
          <w:szCs w:val="24"/>
        </w:rPr>
        <w:t>’</w:t>
      </w:r>
      <w:r w:rsidRPr="00D53A2B">
        <w:rPr>
          <w:sz w:val="24"/>
          <w:szCs w:val="24"/>
        </w:rPr>
        <w:t>de belirtilen üretim kalıntılarına yönelik teknikler yer almaktadır.</w:t>
      </w:r>
    </w:p>
    <w:p w14:paraId="46B58EFF" w14:textId="77777777" w:rsidR="00974EDA" w:rsidRPr="00D53A2B" w:rsidRDefault="003D03F6" w:rsidP="00A202FD">
      <w:pPr>
        <w:pStyle w:val="Gvdemetni1"/>
        <w:shd w:val="clear" w:color="auto" w:fill="auto"/>
        <w:spacing w:after="0" w:line="240" w:lineRule="auto"/>
        <w:ind w:right="23" w:firstLine="0"/>
        <w:rPr>
          <w:sz w:val="24"/>
          <w:szCs w:val="24"/>
        </w:rPr>
      </w:pPr>
      <w:r w:rsidRPr="00D53A2B">
        <w:rPr>
          <w:rStyle w:val="Gvdemetni3a"/>
          <w:b/>
          <w:bCs/>
          <w:color w:val="000000"/>
          <w:sz w:val="24"/>
          <w:szCs w:val="24"/>
        </w:rPr>
        <w:t>Uygulanabilirlik</w:t>
      </w:r>
    </w:p>
    <w:p w14:paraId="284F2AA7" w14:textId="77777777" w:rsidR="00974EDA" w:rsidRPr="00D53A2B" w:rsidRDefault="003D03F6" w:rsidP="00A202FD">
      <w:pPr>
        <w:pStyle w:val="Gvdemetni1"/>
        <w:shd w:val="clear" w:color="auto" w:fill="auto"/>
        <w:spacing w:after="276" w:line="240" w:lineRule="auto"/>
        <w:ind w:right="20" w:firstLine="0"/>
        <w:rPr>
          <w:rStyle w:val="Gvdemetni3a"/>
          <w:color w:val="000000"/>
          <w:sz w:val="24"/>
          <w:szCs w:val="24"/>
        </w:rPr>
      </w:pPr>
      <w:r w:rsidRPr="00D53A2B">
        <w:rPr>
          <w:rStyle w:val="Gvdemetni3a"/>
          <w:color w:val="000000"/>
          <w:sz w:val="24"/>
          <w:szCs w:val="24"/>
        </w:rPr>
        <w:t xml:space="preserve">Söz konusu işlemler üçüncü kişiler tarafından gerçekleştirilebileceğinden, geri dönüşümün kendisi demir-çelik tesisi işletmecisinin kontrolü dışında olabilir ve dolayısıyla izin kapsamında olmayabilir. </w:t>
      </w:r>
    </w:p>
    <w:p w14:paraId="04AD6E5E" w14:textId="40F8F341" w:rsidR="003D03F6" w:rsidRPr="00D53A2B" w:rsidRDefault="003D03F6" w:rsidP="00A202FD">
      <w:pPr>
        <w:pStyle w:val="MET"/>
        <w:rPr>
          <w:rStyle w:val="Gvdemetni3a"/>
          <w:bCs/>
          <w:color w:val="000000"/>
          <w:szCs w:val="24"/>
        </w:rPr>
      </w:pPr>
      <w:r w:rsidRPr="00D53A2B">
        <w:rPr>
          <w:rStyle w:val="Gvdemetni3a"/>
          <w:bCs/>
          <w:color w:val="000000"/>
          <w:szCs w:val="24"/>
        </w:rPr>
        <w:t>MET 9:</w:t>
      </w:r>
      <w:r w:rsidR="00D914C2" w:rsidRPr="00D53A2B">
        <w:rPr>
          <w:rStyle w:val="Gvdemetni3a"/>
          <w:bCs/>
          <w:color w:val="000000"/>
          <w:szCs w:val="24"/>
        </w:rPr>
        <w:t xml:space="preserve"> </w:t>
      </w:r>
      <w:r w:rsidR="00651500" w:rsidRPr="00D53A2B">
        <w:rPr>
          <w:rStyle w:val="Gvdemetni3a"/>
          <w:b w:val="0"/>
          <w:color w:val="000000"/>
          <w:szCs w:val="24"/>
        </w:rPr>
        <w:t>MET</w:t>
      </w:r>
      <w:r w:rsidRPr="00D53A2B">
        <w:rPr>
          <w:rStyle w:val="Gvdemetni3a"/>
          <w:b w:val="0"/>
          <w:color w:val="000000"/>
          <w:szCs w:val="24"/>
        </w:rPr>
        <w:t>8</w:t>
      </w:r>
      <w:r w:rsidR="00E56504" w:rsidRPr="00D53A2B">
        <w:rPr>
          <w:rStyle w:val="Gvdemetni3a"/>
          <w:b w:val="0"/>
          <w:color w:val="000000"/>
          <w:szCs w:val="24"/>
        </w:rPr>
        <w:t>’</w:t>
      </w:r>
      <w:r w:rsidRPr="00D53A2B">
        <w:rPr>
          <w:rStyle w:val="Gvdemetni3a"/>
          <w:b w:val="0"/>
          <w:color w:val="000000"/>
          <w:szCs w:val="24"/>
        </w:rPr>
        <w:t>e göre kullanılamayan veya geri dönüştürülemeyen katı atıkların, mümkün olan her yerde ve atık yönetmeliklerine uygun olarak, harici kullanımını veya geri dönüşümünü en üst düzeye çıkar</w:t>
      </w:r>
      <w:r w:rsidR="00D914C2" w:rsidRPr="00D53A2B">
        <w:rPr>
          <w:rStyle w:val="Gvdemetni3a"/>
          <w:b w:val="0"/>
          <w:color w:val="000000"/>
          <w:szCs w:val="24"/>
        </w:rPr>
        <w:t>ılmalıdır</w:t>
      </w:r>
      <w:r w:rsidRPr="00D53A2B">
        <w:rPr>
          <w:rStyle w:val="Gvdemetni3a"/>
          <w:b w:val="0"/>
          <w:color w:val="000000"/>
          <w:szCs w:val="24"/>
        </w:rPr>
        <w:t xml:space="preserve">. </w:t>
      </w:r>
      <w:r w:rsidR="00D914C2" w:rsidRPr="00D53A2B">
        <w:rPr>
          <w:rStyle w:val="Gvdemetni3a"/>
          <w:b w:val="0"/>
          <w:color w:val="000000"/>
          <w:szCs w:val="24"/>
        </w:rPr>
        <w:t>K</w:t>
      </w:r>
      <w:r w:rsidRPr="00D53A2B">
        <w:rPr>
          <w:rStyle w:val="Gvdemetni3a"/>
          <w:b w:val="0"/>
          <w:color w:val="000000"/>
          <w:szCs w:val="24"/>
        </w:rPr>
        <w:t>açınılamayan veya geri dönüştürülemeyen kalıntılar kontrollü bir şekilde yönet</w:t>
      </w:r>
      <w:r w:rsidR="00D914C2" w:rsidRPr="00D53A2B">
        <w:rPr>
          <w:rStyle w:val="Gvdemetni3a"/>
          <w:b w:val="0"/>
          <w:color w:val="000000"/>
          <w:szCs w:val="24"/>
        </w:rPr>
        <w:t>ilmelid</w:t>
      </w:r>
      <w:r w:rsidRPr="00D53A2B">
        <w:rPr>
          <w:rStyle w:val="Gvdemetni3a"/>
          <w:b w:val="0"/>
          <w:color w:val="000000"/>
          <w:szCs w:val="24"/>
        </w:rPr>
        <w:t>ir.</w:t>
      </w:r>
    </w:p>
    <w:p w14:paraId="45C76E09" w14:textId="77777777" w:rsidR="00974EDA" w:rsidRPr="00D53A2B" w:rsidRDefault="00974EDA" w:rsidP="00A202FD">
      <w:pPr>
        <w:pStyle w:val="MET"/>
        <w:rPr>
          <w:szCs w:val="24"/>
        </w:rPr>
      </w:pPr>
    </w:p>
    <w:p w14:paraId="0C6FC0E7" w14:textId="26608945" w:rsidR="003D03F6" w:rsidRPr="00D53A2B" w:rsidRDefault="003D03F6" w:rsidP="00A202FD">
      <w:pPr>
        <w:pStyle w:val="MET"/>
        <w:rPr>
          <w:rStyle w:val="Gvdemetni3a"/>
          <w:bCs/>
          <w:color w:val="000000"/>
          <w:szCs w:val="24"/>
        </w:rPr>
      </w:pPr>
      <w:r w:rsidRPr="00D53A2B">
        <w:rPr>
          <w:rStyle w:val="Gvdemetni3a"/>
          <w:bCs/>
          <w:color w:val="000000"/>
          <w:szCs w:val="24"/>
        </w:rPr>
        <w:t xml:space="preserve">MET 10: </w:t>
      </w:r>
      <w:r w:rsidR="00D914C2" w:rsidRPr="00D53A2B">
        <w:rPr>
          <w:rStyle w:val="Gvdemetni3a"/>
          <w:b w:val="0"/>
          <w:color w:val="000000"/>
          <w:szCs w:val="24"/>
        </w:rPr>
        <w:t>T</w:t>
      </w:r>
      <w:r w:rsidRPr="00D53A2B">
        <w:rPr>
          <w:rStyle w:val="Gvdemetni3a"/>
          <w:b w:val="0"/>
          <w:color w:val="000000"/>
          <w:szCs w:val="24"/>
        </w:rPr>
        <w:t>üm katı atıkların toplanması, işlenmesi, depolanması ve taşınması ile transfer noktalarının hava ve suya emisyonunu önlemek için kaplanmasında en iyi işletme ve bakım uygulamalar kullan</w:t>
      </w:r>
      <w:r w:rsidR="00D914C2" w:rsidRPr="00D53A2B">
        <w:rPr>
          <w:rStyle w:val="Gvdemetni3a"/>
          <w:b w:val="0"/>
          <w:color w:val="000000"/>
          <w:szCs w:val="24"/>
        </w:rPr>
        <w:t>ılmalıdır</w:t>
      </w:r>
      <w:r w:rsidRPr="00D53A2B">
        <w:rPr>
          <w:rStyle w:val="Gvdemetni3a"/>
          <w:b w:val="0"/>
          <w:color w:val="000000"/>
          <w:szCs w:val="24"/>
        </w:rPr>
        <w:t>.</w:t>
      </w:r>
    </w:p>
    <w:p w14:paraId="21DEF11F" w14:textId="77777777" w:rsidR="00974EDA" w:rsidRPr="00D53A2B" w:rsidRDefault="00974EDA" w:rsidP="00A202FD">
      <w:pPr>
        <w:pStyle w:val="MET"/>
        <w:rPr>
          <w:szCs w:val="24"/>
        </w:rPr>
      </w:pPr>
    </w:p>
    <w:p w14:paraId="0EDE8AC8" w14:textId="1639CFE1" w:rsidR="00686E8D" w:rsidRPr="00D53A2B" w:rsidRDefault="00D914C2" w:rsidP="00A202FD">
      <w:pPr>
        <w:pStyle w:val="Balk3"/>
        <w:rPr>
          <w:rFonts w:cs="Times New Roman"/>
        </w:rPr>
      </w:pPr>
      <w:r w:rsidRPr="00D53A2B">
        <w:rPr>
          <w:rStyle w:val="Balk211pt1"/>
          <w:rFonts w:ascii="Times New Roman" w:hAnsi="Times New Roman" w:cs="Times New Roman"/>
          <w:b/>
          <w:bCs w:val="0"/>
          <w:sz w:val="24"/>
          <w:szCs w:val="24"/>
        </w:rPr>
        <w:t xml:space="preserve">1.5. </w:t>
      </w:r>
      <w:r w:rsidR="003D03F6" w:rsidRPr="00D53A2B">
        <w:rPr>
          <w:rStyle w:val="Balk211pt1"/>
          <w:rFonts w:ascii="Times New Roman" w:hAnsi="Times New Roman" w:cs="Times New Roman"/>
          <w:b/>
          <w:bCs w:val="0"/>
          <w:sz w:val="24"/>
          <w:szCs w:val="24"/>
        </w:rPr>
        <w:t xml:space="preserve">Hammaddelerin </w:t>
      </w:r>
      <w:r w:rsidRPr="00D53A2B">
        <w:rPr>
          <w:rStyle w:val="Balk211pt1"/>
          <w:rFonts w:ascii="Times New Roman" w:hAnsi="Times New Roman" w:cs="Times New Roman"/>
          <w:b/>
          <w:bCs w:val="0"/>
          <w:sz w:val="24"/>
          <w:szCs w:val="24"/>
        </w:rPr>
        <w:t>ve (Ara) Ürünlerin Depolanması, İşlenmesi ve Taşınmasından Yaygın Toz Emisyonları</w:t>
      </w:r>
    </w:p>
    <w:p w14:paraId="7B9629FB" w14:textId="6127BC00" w:rsidR="003D03F6" w:rsidRPr="00D53A2B" w:rsidRDefault="003D03F6" w:rsidP="00A202FD">
      <w:pPr>
        <w:pStyle w:val="MET"/>
        <w:rPr>
          <w:szCs w:val="24"/>
        </w:rPr>
      </w:pPr>
      <w:bookmarkStart w:id="10" w:name="bookmark1417"/>
      <w:bookmarkStart w:id="11" w:name="bookmark1418"/>
      <w:bookmarkEnd w:id="8"/>
      <w:bookmarkEnd w:id="9"/>
      <w:r w:rsidRPr="00D53A2B">
        <w:rPr>
          <w:rStyle w:val="Gvdemetni3a"/>
          <w:bCs/>
          <w:color w:val="000000"/>
          <w:szCs w:val="24"/>
        </w:rPr>
        <w:t xml:space="preserve">MET 11: </w:t>
      </w:r>
      <w:r w:rsidR="00D914C2" w:rsidRPr="00D53A2B">
        <w:rPr>
          <w:rStyle w:val="Gvdemetni3a"/>
          <w:b w:val="0"/>
          <w:color w:val="000000"/>
          <w:szCs w:val="24"/>
        </w:rPr>
        <w:t>A</w:t>
      </w:r>
      <w:r w:rsidRPr="00D53A2B">
        <w:rPr>
          <w:rStyle w:val="Gvdemetni3a"/>
          <w:b w:val="0"/>
          <w:color w:val="000000"/>
          <w:szCs w:val="24"/>
        </w:rPr>
        <w:t>şağıda belirtilen tekniklerden birini veya birkaçını kullanarak malzemelerin depolanması, elleçlenmesi ve taşınmasından kaynaklanan dağınık toz emisyonları önle</w:t>
      </w:r>
      <w:r w:rsidR="00D914C2" w:rsidRPr="00D53A2B">
        <w:rPr>
          <w:rStyle w:val="Gvdemetni3a"/>
          <w:b w:val="0"/>
          <w:color w:val="000000"/>
          <w:szCs w:val="24"/>
        </w:rPr>
        <w:t>nebilir</w:t>
      </w:r>
      <w:r w:rsidRPr="00D53A2B">
        <w:rPr>
          <w:rStyle w:val="Gvdemetni3a"/>
          <w:b w:val="0"/>
          <w:color w:val="000000"/>
          <w:szCs w:val="24"/>
        </w:rPr>
        <w:t xml:space="preserve"> veya azalt</w:t>
      </w:r>
      <w:r w:rsidR="00D914C2" w:rsidRPr="00D53A2B">
        <w:rPr>
          <w:rStyle w:val="Gvdemetni3a"/>
          <w:b w:val="0"/>
          <w:color w:val="000000"/>
          <w:szCs w:val="24"/>
        </w:rPr>
        <w:t>ılabilir</w:t>
      </w:r>
      <w:r w:rsidRPr="00D53A2B">
        <w:rPr>
          <w:rStyle w:val="Gvdemetni3a"/>
          <w:b w:val="0"/>
          <w:color w:val="000000"/>
          <w:szCs w:val="24"/>
        </w:rPr>
        <w:t>.</w:t>
      </w:r>
    </w:p>
    <w:p w14:paraId="343259E9" w14:textId="4C64265D" w:rsidR="003A4FFE" w:rsidRPr="00D53A2B" w:rsidRDefault="003D03F6" w:rsidP="00A202FD">
      <w:pPr>
        <w:jc w:val="both"/>
        <w:rPr>
          <w:rStyle w:val="Gvdemetni3a"/>
        </w:rPr>
      </w:pPr>
      <w:r w:rsidRPr="00D53A2B">
        <w:rPr>
          <w:rStyle w:val="Gvdemetni3a"/>
        </w:rPr>
        <w:t>MET, azaltma teknikleri kullanılıyorsa aşağıda belirtilenler</w:t>
      </w:r>
      <w:r w:rsidR="00D914C2" w:rsidRPr="00D53A2B">
        <w:rPr>
          <w:rStyle w:val="Gvdemetni3a"/>
        </w:rPr>
        <w:t xml:space="preserve"> </w:t>
      </w:r>
      <w:r w:rsidRPr="00D53A2B">
        <w:rPr>
          <w:rStyle w:val="Gvdemetni3a"/>
        </w:rPr>
        <w:t>gibi uygun tekniklerle yakalama verimliliğini ve sonraki temizliği optimize etmektir. Toz emisyonlarının kaynağa en yakın yerden toplanması tercih edilir.</w:t>
      </w:r>
    </w:p>
    <w:p w14:paraId="016EF110" w14:textId="77777777" w:rsidR="003A4FFE" w:rsidRPr="00D53A2B" w:rsidRDefault="003A4FFE" w:rsidP="00A202FD">
      <w:pPr>
        <w:jc w:val="both"/>
      </w:pPr>
    </w:p>
    <w:p w14:paraId="79A1FC9C" w14:textId="77777777" w:rsidR="003D03F6" w:rsidRPr="00D53A2B" w:rsidRDefault="003D03F6" w:rsidP="00A202FD">
      <w:pPr>
        <w:pStyle w:val="Gvdemetni1"/>
        <w:numPr>
          <w:ilvl w:val="0"/>
          <w:numId w:val="56"/>
        </w:numPr>
        <w:shd w:val="clear" w:color="auto" w:fill="auto"/>
        <w:spacing w:after="0" w:line="240" w:lineRule="auto"/>
        <w:ind w:left="426" w:hanging="426"/>
        <w:rPr>
          <w:sz w:val="24"/>
          <w:szCs w:val="24"/>
        </w:rPr>
      </w:pPr>
      <w:r w:rsidRPr="00D53A2B">
        <w:rPr>
          <w:rStyle w:val="Gvdemetni3a"/>
          <w:color w:val="000000"/>
          <w:sz w:val="24"/>
          <w:szCs w:val="24"/>
        </w:rPr>
        <w:t>Genel teknikler aşağıda belirtilmiştir.</w:t>
      </w:r>
    </w:p>
    <w:p w14:paraId="41A8457B" w14:textId="656A7E8A" w:rsidR="00686E8D" w:rsidRPr="00D53A2B" w:rsidRDefault="003D03F6" w:rsidP="00A202FD">
      <w:pPr>
        <w:pStyle w:val="Gvdemetni1"/>
        <w:numPr>
          <w:ilvl w:val="0"/>
          <w:numId w:val="57"/>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Çelik fabrikalarının ÇYS</w:t>
      </w:r>
      <w:r w:rsidR="00E56504" w:rsidRPr="00D53A2B">
        <w:rPr>
          <w:rStyle w:val="Gvdemetni3a"/>
          <w:color w:val="000000"/>
          <w:sz w:val="24"/>
          <w:szCs w:val="24"/>
        </w:rPr>
        <w:t>’</w:t>
      </w:r>
      <w:r w:rsidRPr="00D53A2B">
        <w:rPr>
          <w:rStyle w:val="Gvdemetni3a"/>
          <w:color w:val="000000"/>
          <w:sz w:val="24"/>
          <w:szCs w:val="24"/>
        </w:rPr>
        <w:t>si içerisinde ilgili dağınık toz eylem planının (diffuse dust action plan) oluşturulması.</w:t>
      </w:r>
    </w:p>
    <w:p w14:paraId="0298FA69" w14:textId="76D23751" w:rsidR="003A4FFE" w:rsidRPr="00D53A2B" w:rsidRDefault="003D03F6" w:rsidP="00A202FD">
      <w:pPr>
        <w:pStyle w:val="Gvdemetni1"/>
        <w:numPr>
          <w:ilvl w:val="0"/>
          <w:numId w:val="57"/>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Yüksek ortam okumasına neden olan PM</w:t>
      </w:r>
      <w:r w:rsidRPr="00D53A2B">
        <w:rPr>
          <w:rStyle w:val="Gvdemetni3a"/>
          <w:color w:val="000000"/>
          <w:sz w:val="24"/>
          <w:szCs w:val="24"/>
          <w:vertAlign w:val="subscript"/>
        </w:rPr>
        <w:t>10</w:t>
      </w:r>
      <w:r w:rsidRPr="00D53A2B">
        <w:rPr>
          <w:rStyle w:val="Gvdemetni3a"/>
          <w:color w:val="000000"/>
          <w:sz w:val="24"/>
          <w:szCs w:val="24"/>
        </w:rPr>
        <w:t xml:space="preserve"> kaynağı olarak tanımlandıkları durumlarda belirli operasyonların geçici olarak durdurulmasının dikkate alınması. Bunun için, ince toz kaynağının ana kaynaklarını üçgenlere bölebilmek ve tanımlayabilmek amacıyla ilgili rüzgâr yönü bulunan ve güçlü izleme özelliğine sahip yeterli sayıda PM</w:t>
      </w:r>
      <w:r w:rsidRPr="00D53A2B">
        <w:rPr>
          <w:rStyle w:val="Gvdemetni610"/>
          <w:color w:val="000000"/>
          <w:sz w:val="24"/>
          <w:szCs w:val="24"/>
          <w:vertAlign w:val="subscript"/>
        </w:rPr>
        <w:t>10</w:t>
      </w:r>
      <w:r w:rsidRPr="00D53A2B">
        <w:rPr>
          <w:rStyle w:val="Gvdemetni3a"/>
          <w:color w:val="000000"/>
          <w:sz w:val="24"/>
          <w:szCs w:val="24"/>
        </w:rPr>
        <w:t xml:space="preserve"> monitörüne gereksinim duyulacaktır.</w:t>
      </w:r>
    </w:p>
    <w:p w14:paraId="46EFF82C" w14:textId="77777777" w:rsidR="00BA69A7" w:rsidRPr="00D53A2B" w:rsidRDefault="00BA69A7" w:rsidP="00A202FD">
      <w:pPr>
        <w:pStyle w:val="Gvdemetni1"/>
        <w:shd w:val="clear" w:color="auto" w:fill="auto"/>
        <w:tabs>
          <w:tab w:val="left" w:pos="709"/>
        </w:tabs>
        <w:spacing w:after="0" w:line="240" w:lineRule="auto"/>
        <w:ind w:left="426" w:right="23" w:firstLine="0"/>
        <w:rPr>
          <w:rStyle w:val="Gvdemetni3a"/>
          <w:sz w:val="24"/>
          <w:szCs w:val="24"/>
        </w:rPr>
      </w:pPr>
    </w:p>
    <w:p w14:paraId="157502B7" w14:textId="77777777" w:rsidR="00686E8D" w:rsidRPr="00D53A2B" w:rsidRDefault="003D03F6" w:rsidP="00A202FD">
      <w:pPr>
        <w:pStyle w:val="Gvdemetni1"/>
        <w:numPr>
          <w:ilvl w:val="0"/>
          <w:numId w:val="56"/>
        </w:numPr>
        <w:shd w:val="clear" w:color="auto" w:fill="auto"/>
        <w:tabs>
          <w:tab w:val="left" w:pos="567"/>
          <w:tab w:val="left" w:pos="709"/>
        </w:tabs>
        <w:spacing w:after="0" w:line="240" w:lineRule="auto"/>
        <w:ind w:left="426" w:right="23" w:hanging="426"/>
        <w:rPr>
          <w:rStyle w:val="Gvdemetni3a"/>
          <w:sz w:val="24"/>
          <w:szCs w:val="24"/>
        </w:rPr>
      </w:pPr>
      <w:r w:rsidRPr="00D53A2B">
        <w:rPr>
          <w:rStyle w:val="Gvdemetni3a"/>
          <w:color w:val="000000"/>
          <w:sz w:val="24"/>
          <w:szCs w:val="24"/>
        </w:rPr>
        <w:t>Yığın halindeki hammaddelerin işlenmesi ve nakliyesi sırasında toz yayılımının önlenmesine yönelik teknikler şunlardır</w:t>
      </w:r>
    </w:p>
    <w:p w14:paraId="2ACD9E34" w14:textId="77777777" w:rsidR="00686E8D" w:rsidRPr="00D53A2B" w:rsidRDefault="003D03F6" w:rsidP="00A202FD">
      <w:pPr>
        <w:pStyle w:val="Gvdemetni1"/>
        <w:numPr>
          <w:ilvl w:val="0"/>
          <w:numId w:val="73"/>
        </w:numPr>
        <w:shd w:val="clear" w:color="auto" w:fill="auto"/>
        <w:tabs>
          <w:tab w:val="left" w:pos="709"/>
        </w:tabs>
        <w:spacing w:after="0" w:line="240" w:lineRule="auto"/>
        <w:ind w:left="426" w:right="23" w:hanging="426"/>
        <w:rPr>
          <w:sz w:val="24"/>
          <w:szCs w:val="24"/>
        </w:rPr>
      </w:pPr>
      <w:r w:rsidRPr="00D53A2B">
        <w:rPr>
          <w:rStyle w:val="Gvdemetni3a"/>
          <w:color w:val="000000"/>
          <w:sz w:val="24"/>
          <w:szCs w:val="24"/>
        </w:rPr>
        <w:t xml:space="preserve">Uzun stokların hâkim rüzgâr yönüne doğru yönlendirilmesi </w:t>
      </w:r>
    </w:p>
    <w:p w14:paraId="6E25A058" w14:textId="77777777" w:rsidR="00801DF0" w:rsidRPr="00D53A2B" w:rsidRDefault="003D03F6" w:rsidP="00A202FD">
      <w:pPr>
        <w:pStyle w:val="Gvdemetni1"/>
        <w:numPr>
          <w:ilvl w:val="0"/>
          <w:numId w:val="73"/>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Rüzgar bariyerleri kurmak veya barınak sağlamak için doğal araziyi kullanmak</w:t>
      </w:r>
    </w:p>
    <w:p w14:paraId="4F186A23" w14:textId="0B699FD7" w:rsidR="00686E8D" w:rsidRPr="00D53A2B" w:rsidRDefault="003D03F6" w:rsidP="00A202FD">
      <w:pPr>
        <w:pStyle w:val="Gvdemetni1"/>
        <w:numPr>
          <w:ilvl w:val="0"/>
          <w:numId w:val="73"/>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Teslim edilen malzemenin nem içeriğini kontrol edilmesi</w:t>
      </w:r>
    </w:p>
    <w:p w14:paraId="751D80FD" w14:textId="77777777" w:rsidR="005D678A" w:rsidRPr="00D53A2B" w:rsidRDefault="003D03F6" w:rsidP="00A202FD">
      <w:pPr>
        <w:pStyle w:val="Gvdemetni1"/>
        <w:numPr>
          <w:ilvl w:val="0"/>
          <w:numId w:val="73"/>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Malzemelerin gereksiz yere taşınmasından ve uzun süre açıkta bırakılmasından kaçınmak için prosedürlere dikkat edilmesi.</w:t>
      </w:r>
      <w:r w:rsidR="005D678A" w:rsidRPr="00D53A2B">
        <w:rPr>
          <w:rStyle w:val="Gvdemetni3a"/>
          <w:color w:val="000000"/>
          <w:sz w:val="24"/>
          <w:szCs w:val="24"/>
        </w:rPr>
        <w:t xml:space="preserve"> </w:t>
      </w:r>
    </w:p>
    <w:p w14:paraId="441B8D21" w14:textId="77777777" w:rsidR="005D678A" w:rsidRPr="00D53A2B" w:rsidRDefault="003D03F6" w:rsidP="00A202FD">
      <w:pPr>
        <w:pStyle w:val="Gvdemetni1"/>
        <w:numPr>
          <w:ilvl w:val="0"/>
          <w:numId w:val="73"/>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Konveyörlerde ve haznelerde vb. yeterli muhafaza.</w:t>
      </w:r>
      <w:r w:rsidR="005D678A" w:rsidRPr="00D53A2B">
        <w:rPr>
          <w:rStyle w:val="Gvdemetni3a"/>
          <w:color w:val="000000"/>
          <w:sz w:val="24"/>
          <w:szCs w:val="24"/>
        </w:rPr>
        <w:t xml:space="preserve"> </w:t>
      </w:r>
    </w:p>
    <w:p w14:paraId="613D3BED" w14:textId="77777777" w:rsidR="005D678A" w:rsidRPr="00D53A2B" w:rsidRDefault="003D03F6" w:rsidP="00A202FD">
      <w:pPr>
        <w:pStyle w:val="Gvdemetni1"/>
        <w:numPr>
          <w:ilvl w:val="0"/>
          <w:numId w:val="73"/>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 xml:space="preserve">Uygun durumlarda lateks gibi katkı maddeleri içeren toz önleyici su spreylerinin </w:t>
      </w:r>
      <w:r w:rsidRPr="00D53A2B">
        <w:rPr>
          <w:rStyle w:val="Gvdemetni3a"/>
          <w:color w:val="000000"/>
          <w:sz w:val="24"/>
          <w:szCs w:val="24"/>
        </w:rPr>
        <w:lastRenderedPageBreak/>
        <w:t>kullanılması.</w:t>
      </w:r>
    </w:p>
    <w:p w14:paraId="4D9442A6" w14:textId="1B1DCC8F" w:rsidR="00686E8D" w:rsidRPr="00D53A2B" w:rsidRDefault="003D03F6" w:rsidP="00A202FD">
      <w:pPr>
        <w:pStyle w:val="Gvdemetni1"/>
        <w:numPr>
          <w:ilvl w:val="0"/>
          <w:numId w:val="73"/>
        </w:numPr>
        <w:shd w:val="clear" w:color="auto" w:fill="auto"/>
        <w:tabs>
          <w:tab w:val="left" w:pos="709"/>
        </w:tabs>
        <w:spacing w:after="0" w:line="240" w:lineRule="auto"/>
        <w:ind w:left="426" w:right="23" w:hanging="426"/>
        <w:rPr>
          <w:sz w:val="24"/>
          <w:szCs w:val="24"/>
        </w:rPr>
      </w:pPr>
      <w:r w:rsidRPr="00D53A2B">
        <w:rPr>
          <w:rStyle w:val="Gvdemetni3a"/>
          <w:color w:val="000000"/>
          <w:sz w:val="24"/>
          <w:szCs w:val="24"/>
        </w:rPr>
        <w:t>Ekipmana yönelik sıkı bakım standartları</w:t>
      </w:r>
    </w:p>
    <w:p w14:paraId="3D15FAA5" w14:textId="77777777" w:rsidR="005D678A" w:rsidRPr="00D53A2B" w:rsidRDefault="003D03F6" w:rsidP="00A202FD">
      <w:pPr>
        <w:pStyle w:val="Gvdemetni1"/>
        <w:numPr>
          <w:ilvl w:val="0"/>
          <w:numId w:val="73"/>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Özellikle yolların temizliği ve nemlendirilmesi konusunda yüksek standartlarda temizlik.</w:t>
      </w:r>
    </w:p>
    <w:p w14:paraId="016C66EC" w14:textId="0530D2DC" w:rsidR="00686E8D" w:rsidRPr="00D53A2B" w:rsidRDefault="003D03F6" w:rsidP="00A202FD">
      <w:pPr>
        <w:pStyle w:val="Gvdemetni1"/>
        <w:numPr>
          <w:ilvl w:val="0"/>
          <w:numId w:val="73"/>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Mobil ve sabit vakumlu temizlik ekipmanının kullanımı</w:t>
      </w:r>
    </w:p>
    <w:p w14:paraId="3E997C4E" w14:textId="77777777" w:rsidR="005D678A" w:rsidRPr="00D53A2B" w:rsidRDefault="003D03F6" w:rsidP="00A202FD">
      <w:pPr>
        <w:pStyle w:val="Gvdemetni1"/>
        <w:numPr>
          <w:ilvl w:val="0"/>
          <w:numId w:val="73"/>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Toz bastırma veya toz emme ve önemli toz oluşumunun kaynaklarını azaltmak için torba filtre temizleme sisteminin kullanılması.</w:t>
      </w:r>
      <w:r w:rsidR="005D678A" w:rsidRPr="00D53A2B">
        <w:rPr>
          <w:rStyle w:val="Gvdemetni3a"/>
          <w:color w:val="000000"/>
          <w:sz w:val="24"/>
          <w:szCs w:val="24"/>
        </w:rPr>
        <w:t xml:space="preserve"> </w:t>
      </w:r>
    </w:p>
    <w:p w14:paraId="6E43C355" w14:textId="2C956576" w:rsidR="003A4FFE" w:rsidRPr="00D53A2B" w:rsidRDefault="003D03F6" w:rsidP="00A202FD">
      <w:pPr>
        <w:pStyle w:val="Gvdemetni1"/>
        <w:numPr>
          <w:ilvl w:val="0"/>
          <w:numId w:val="73"/>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Sert yüzeyli yolların rutin temizliğinin yapılmasında emisyonu azaltılmış süpürme araçlarının kullanılması.</w:t>
      </w:r>
    </w:p>
    <w:p w14:paraId="37B68CC3" w14:textId="77777777" w:rsidR="00BA69A7" w:rsidRPr="00D53A2B" w:rsidRDefault="00BA69A7" w:rsidP="00A202FD">
      <w:pPr>
        <w:pStyle w:val="Gvdemetni1"/>
        <w:shd w:val="clear" w:color="auto" w:fill="auto"/>
        <w:tabs>
          <w:tab w:val="left" w:pos="709"/>
        </w:tabs>
        <w:spacing w:after="0" w:line="240" w:lineRule="auto"/>
        <w:ind w:left="426" w:right="23" w:firstLine="0"/>
        <w:rPr>
          <w:rStyle w:val="Gvdemetni3a"/>
          <w:sz w:val="24"/>
          <w:szCs w:val="24"/>
        </w:rPr>
      </w:pPr>
    </w:p>
    <w:p w14:paraId="69461643" w14:textId="77777777" w:rsidR="005D678A" w:rsidRPr="00D53A2B" w:rsidRDefault="003D03F6" w:rsidP="00A202FD">
      <w:pPr>
        <w:pStyle w:val="Gvdemetni1"/>
        <w:numPr>
          <w:ilvl w:val="0"/>
          <w:numId w:val="56"/>
        </w:numPr>
        <w:shd w:val="clear" w:color="auto" w:fill="auto"/>
        <w:tabs>
          <w:tab w:val="left" w:pos="709"/>
        </w:tabs>
        <w:spacing w:after="0" w:line="240" w:lineRule="auto"/>
        <w:ind w:left="426" w:right="23" w:hanging="426"/>
        <w:rPr>
          <w:rStyle w:val="Gvdemetni3a"/>
          <w:sz w:val="24"/>
          <w:szCs w:val="24"/>
        </w:rPr>
      </w:pPr>
      <w:r w:rsidRPr="00D53A2B">
        <w:rPr>
          <w:rStyle w:val="Gvdemetni3a"/>
          <w:color w:val="000000"/>
          <w:sz w:val="24"/>
          <w:szCs w:val="24"/>
        </w:rPr>
        <w:t>Malzemelerin teslimatı, depolanması ve iade faaliyetlerine yönelik teknikler şunları içerir:</w:t>
      </w:r>
    </w:p>
    <w:p w14:paraId="5262B8AC" w14:textId="77777777" w:rsidR="005D678A" w:rsidRPr="00D53A2B" w:rsidRDefault="005D678A" w:rsidP="00A202FD">
      <w:pPr>
        <w:pStyle w:val="Gvdemetni1"/>
        <w:numPr>
          <w:ilvl w:val="0"/>
          <w:numId w:val="74"/>
        </w:numPr>
        <w:shd w:val="clear" w:color="auto" w:fill="auto"/>
        <w:tabs>
          <w:tab w:val="left" w:pos="426"/>
        </w:tabs>
        <w:spacing w:after="0" w:line="240" w:lineRule="auto"/>
        <w:ind w:left="425" w:right="23" w:hanging="425"/>
        <w:rPr>
          <w:rStyle w:val="Balk211pt1"/>
          <w:rFonts w:ascii="Times New Roman" w:hAnsi="Times New Roman" w:cs="Times New Roman"/>
          <w:b w:val="0"/>
          <w:bCs w:val="0"/>
          <w:color w:val="000000"/>
          <w:sz w:val="24"/>
          <w:szCs w:val="24"/>
        </w:rPr>
      </w:pPr>
      <w:r w:rsidRPr="00D53A2B">
        <w:rPr>
          <w:rStyle w:val="Gvdemetni3a"/>
          <w:color w:val="000000"/>
          <w:sz w:val="24"/>
          <w:szCs w:val="24"/>
        </w:rPr>
        <w:t>Tozlu malzemeler için filtreli hava tahliyesi ile donatılmış bir binadaki boşaltma hunilerinin tamamı kapatılmalı veya huniler toz engelleyicilerle donatılmalı ve boşaltma ızgaraları bir toz tahliye ve temizleme sistemine bağlanmalıdır.</w:t>
      </w:r>
      <w:bookmarkEnd w:id="10"/>
      <w:bookmarkEnd w:id="11"/>
    </w:p>
    <w:p w14:paraId="74E5393B" w14:textId="537760D0" w:rsidR="00EC16E7" w:rsidRPr="00D53A2B" w:rsidRDefault="00EC16E7" w:rsidP="00A202FD">
      <w:pPr>
        <w:pStyle w:val="Gvdemetni1"/>
        <w:numPr>
          <w:ilvl w:val="0"/>
          <w:numId w:val="74"/>
        </w:numPr>
        <w:shd w:val="clear" w:color="auto" w:fill="auto"/>
        <w:tabs>
          <w:tab w:val="left" w:pos="426"/>
        </w:tabs>
        <w:spacing w:after="0" w:line="240" w:lineRule="auto"/>
        <w:ind w:left="425" w:right="23" w:hanging="425"/>
        <w:rPr>
          <w:rStyle w:val="Gvdemetni3a"/>
          <w:color w:val="000000"/>
          <w:sz w:val="24"/>
          <w:szCs w:val="24"/>
        </w:rPr>
      </w:pPr>
      <w:r w:rsidRPr="00D53A2B">
        <w:rPr>
          <w:rStyle w:val="Gvdemetni3a"/>
          <w:color w:val="000000"/>
          <w:sz w:val="24"/>
          <w:szCs w:val="24"/>
        </w:rPr>
        <w:t>Mümkünse düş</w:t>
      </w:r>
      <w:r w:rsidR="005D678A" w:rsidRPr="00D53A2B">
        <w:rPr>
          <w:rStyle w:val="Gvdemetni3a"/>
          <w:color w:val="000000"/>
          <w:sz w:val="24"/>
          <w:szCs w:val="24"/>
        </w:rPr>
        <w:t xml:space="preserve">ü </w:t>
      </w:r>
      <w:r w:rsidRPr="00D53A2B">
        <w:rPr>
          <w:rStyle w:val="Gvdemetni3a"/>
          <w:color w:val="000000"/>
          <w:sz w:val="24"/>
          <w:szCs w:val="24"/>
        </w:rPr>
        <w:t>yüksekliğini</w:t>
      </w:r>
      <w:r w:rsidR="005D678A" w:rsidRPr="00D53A2B">
        <w:rPr>
          <w:rStyle w:val="Gvdemetni3a"/>
          <w:color w:val="000000"/>
          <w:sz w:val="24"/>
          <w:szCs w:val="24"/>
        </w:rPr>
        <w:t>n</w:t>
      </w:r>
      <w:r w:rsidRPr="00D53A2B">
        <w:rPr>
          <w:rStyle w:val="Gvdemetni3a"/>
          <w:color w:val="000000"/>
          <w:sz w:val="24"/>
          <w:szCs w:val="24"/>
        </w:rPr>
        <w:t xml:space="preserve"> </w:t>
      </w:r>
      <w:r w:rsidR="005D678A" w:rsidRPr="00D53A2B">
        <w:rPr>
          <w:rStyle w:val="Gvdemetni3a"/>
          <w:color w:val="000000"/>
          <w:sz w:val="24"/>
          <w:szCs w:val="24"/>
        </w:rPr>
        <w:t>maksimum</w:t>
      </w:r>
      <w:r w:rsidRPr="00D53A2B">
        <w:rPr>
          <w:rStyle w:val="Gvdemetni3a"/>
          <w:color w:val="000000"/>
          <w:sz w:val="24"/>
          <w:szCs w:val="24"/>
        </w:rPr>
        <w:t xml:space="preserve"> 0</w:t>
      </w:r>
      <w:r w:rsidR="005D678A" w:rsidRPr="00D53A2B">
        <w:rPr>
          <w:rStyle w:val="Gvdemetni3a"/>
          <w:color w:val="000000"/>
          <w:sz w:val="24"/>
          <w:szCs w:val="24"/>
        </w:rPr>
        <w:t>,</w:t>
      </w:r>
      <w:r w:rsidRPr="00D53A2B">
        <w:rPr>
          <w:rStyle w:val="Gvdemetni3a"/>
          <w:color w:val="000000"/>
          <w:sz w:val="24"/>
          <w:szCs w:val="24"/>
        </w:rPr>
        <w:t>5 metreyle sınırlandırılması</w:t>
      </w:r>
    </w:p>
    <w:p w14:paraId="77C5684C" w14:textId="2DDB348A" w:rsidR="005D678A" w:rsidRPr="00D53A2B" w:rsidRDefault="005D678A" w:rsidP="00A202FD">
      <w:pPr>
        <w:pStyle w:val="Gvdemetni1"/>
        <w:numPr>
          <w:ilvl w:val="0"/>
          <w:numId w:val="74"/>
        </w:numPr>
        <w:shd w:val="clear" w:color="auto" w:fill="auto"/>
        <w:tabs>
          <w:tab w:val="left" w:pos="426"/>
        </w:tabs>
        <w:spacing w:after="0" w:line="240" w:lineRule="auto"/>
        <w:ind w:left="425" w:right="23" w:hanging="425"/>
        <w:rPr>
          <w:rStyle w:val="Gvdemetni3a"/>
          <w:color w:val="000000"/>
          <w:sz w:val="24"/>
          <w:szCs w:val="24"/>
        </w:rPr>
      </w:pPr>
      <w:r w:rsidRPr="00D53A2B">
        <w:rPr>
          <w:rStyle w:val="Gvdemetni3a"/>
          <w:color w:val="000000"/>
          <w:sz w:val="24"/>
          <w:szCs w:val="24"/>
        </w:rPr>
        <w:t>Toz giderme amacıyla su spreylerinin (tercihen geri dönüştürülmüş su kullanılarak) kullanılması.</w:t>
      </w:r>
    </w:p>
    <w:p w14:paraId="7D672A51" w14:textId="4EC565F6" w:rsidR="00793792" w:rsidRPr="00D53A2B" w:rsidRDefault="00793792" w:rsidP="00A202FD">
      <w:pPr>
        <w:pStyle w:val="Gvdemetni1"/>
        <w:numPr>
          <w:ilvl w:val="0"/>
          <w:numId w:val="74"/>
        </w:numPr>
        <w:shd w:val="clear" w:color="auto" w:fill="auto"/>
        <w:tabs>
          <w:tab w:val="left" w:pos="426"/>
        </w:tabs>
        <w:spacing w:after="0" w:line="240" w:lineRule="auto"/>
        <w:ind w:left="425" w:right="23" w:hanging="425"/>
        <w:rPr>
          <w:rStyle w:val="Gvdemetni3a"/>
          <w:color w:val="000000"/>
          <w:sz w:val="24"/>
          <w:szCs w:val="24"/>
        </w:rPr>
      </w:pPr>
      <w:r w:rsidRPr="00D53A2B">
        <w:rPr>
          <w:rStyle w:val="Gvdemetni3a"/>
          <w:color w:val="000000"/>
          <w:sz w:val="24"/>
          <w:szCs w:val="24"/>
        </w:rPr>
        <w:t>Gerektiğinde tozu kontrol etmek için depolama kutularının filtre üniteleriyle donatılması.</w:t>
      </w:r>
    </w:p>
    <w:p w14:paraId="4D90A2C7" w14:textId="7840B536" w:rsidR="00793792" w:rsidRPr="00D53A2B" w:rsidRDefault="00793792" w:rsidP="00A202FD">
      <w:pPr>
        <w:pStyle w:val="Gvdemetni1"/>
        <w:numPr>
          <w:ilvl w:val="0"/>
          <w:numId w:val="74"/>
        </w:numPr>
        <w:shd w:val="clear" w:color="auto" w:fill="auto"/>
        <w:tabs>
          <w:tab w:val="left" w:pos="426"/>
        </w:tabs>
        <w:spacing w:after="0" w:line="240" w:lineRule="auto"/>
        <w:ind w:left="425" w:right="23" w:hanging="425"/>
        <w:rPr>
          <w:rStyle w:val="Gvdemetni3a"/>
          <w:color w:val="000000"/>
          <w:sz w:val="24"/>
          <w:szCs w:val="24"/>
        </w:rPr>
      </w:pPr>
      <w:r w:rsidRPr="00D53A2B">
        <w:rPr>
          <w:rStyle w:val="Gvdemetni3a"/>
          <w:color w:val="000000"/>
          <w:sz w:val="24"/>
          <w:szCs w:val="24"/>
        </w:rPr>
        <w:t>Çöp kutularından geri kazanım için tamamen kapalı cihazların kullanılması.</w:t>
      </w:r>
    </w:p>
    <w:p w14:paraId="4D898F3A" w14:textId="6C54B408" w:rsidR="00793792" w:rsidRPr="00D53A2B" w:rsidRDefault="00793792" w:rsidP="00A202FD">
      <w:pPr>
        <w:pStyle w:val="Gvdemetni1"/>
        <w:numPr>
          <w:ilvl w:val="0"/>
          <w:numId w:val="74"/>
        </w:numPr>
        <w:shd w:val="clear" w:color="auto" w:fill="auto"/>
        <w:tabs>
          <w:tab w:val="left" w:pos="426"/>
        </w:tabs>
        <w:spacing w:after="0" w:line="240" w:lineRule="auto"/>
        <w:ind w:left="425" w:right="23" w:hanging="425"/>
        <w:rPr>
          <w:rStyle w:val="Gvdemetni3a"/>
          <w:color w:val="000000"/>
          <w:sz w:val="24"/>
          <w:szCs w:val="24"/>
        </w:rPr>
      </w:pPr>
      <w:r w:rsidRPr="00D53A2B">
        <w:rPr>
          <w:rStyle w:val="Gvdemetni3a"/>
          <w:color w:val="000000"/>
          <w:sz w:val="24"/>
          <w:szCs w:val="24"/>
        </w:rPr>
        <w:t>Gerektiğinde, zemin kirlenme riskini azaltmak için hurdaların kapalı ve sert yüzeyli alanlarda depolanması (tam zamanında teslimat yapılarak sahanın büyüklüğü ve dolayısıyla emisyonlar en aza indirilmektedir).</w:t>
      </w:r>
    </w:p>
    <w:p w14:paraId="06A7FB06" w14:textId="77777777" w:rsidR="00095718" w:rsidRPr="00D53A2B" w:rsidRDefault="00EC16E7" w:rsidP="00A202FD">
      <w:pPr>
        <w:pStyle w:val="Gvdemetni1"/>
        <w:numPr>
          <w:ilvl w:val="0"/>
          <w:numId w:val="74"/>
        </w:numPr>
        <w:shd w:val="clear" w:color="auto" w:fill="auto"/>
        <w:tabs>
          <w:tab w:val="left" w:pos="426"/>
        </w:tabs>
        <w:spacing w:after="0" w:line="240" w:lineRule="auto"/>
        <w:ind w:left="425" w:right="23" w:hanging="425"/>
        <w:rPr>
          <w:rStyle w:val="Gvdemetni3a"/>
          <w:color w:val="000000"/>
          <w:sz w:val="24"/>
          <w:szCs w:val="24"/>
        </w:rPr>
      </w:pPr>
      <w:r w:rsidRPr="00D53A2B">
        <w:rPr>
          <w:rStyle w:val="Gvdemetni3a"/>
          <w:color w:val="000000"/>
          <w:sz w:val="24"/>
          <w:szCs w:val="24"/>
        </w:rPr>
        <w:t>Stoklardaki karışıklığı en aza indirmek</w:t>
      </w:r>
    </w:p>
    <w:p w14:paraId="66206C91" w14:textId="4EE01C3C" w:rsidR="00EC16E7" w:rsidRPr="00D53A2B" w:rsidRDefault="00EC16E7" w:rsidP="00A202FD">
      <w:pPr>
        <w:pStyle w:val="Gvdemetni1"/>
        <w:numPr>
          <w:ilvl w:val="0"/>
          <w:numId w:val="74"/>
        </w:numPr>
        <w:shd w:val="clear" w:color="auto" w:fill="auto"/>
        <w:tabs>
          <w:tab w:val="left" w:pos="426"/>
        </w:tabs>
        <w:spacing w:after="0" w:line="240" w:lineRule="auto"/>
        <w:ind w:left="425" w:right="23" w:hanging="425"/>
        <w:rPr>
          <w:rStyle w:val="Gvdemetni3a"/>
          <w:color w:val="000000"/>
          <w:sz w:val="24"/>
          <w:szCs w:val="24"/>
        </w:rPr>
      </w:pPr>
      <w:r w:rsidRPr="00D53A2B">
        <w:rPr>
          <w:rStyle w:val="Gvdemetni3a"/>
          <w:color w:val="000000"/>
          <w:sz w:val="24"/>
          <w:szCs w:val="24"/>
        </w:rPr>
        <w:t>Yüksekliğin sınırlandırılması ve stokların genel şeklinin kontrol</w:t>
      </w:r>
      <w:r w:rsidR="00095718" w:rsidRPr="00D53A2B">
        <w:rPr>
          <w:rStyle w:val="Gvdemetni3a"/>
          <w:color w:val="000000"/>
          <w:sz w:val="24"/>
          <w:szCs w:val="24"/>
        </w:rPr>
        <w:t xml:space="preserve"> edilmesi</w:t>
      </w:r>
    </w:p>
    <w:p w14:paraId="27008E54" w14:textId="58B5051E" w:rsidR="003A4FFE" w:rsidRPr="00D53A2B" w:rsidRDefault="00095718" w:rsidP="00A202FD">
      <w:pPr>
        <w:pStyle w:val="Gvdemetni1"/>
        <w:numPr>
          <w:ilvl w:val="0"/>
          <w:numId w:val="74"/>
        </w:numPr>
        <w:shd w:val="clear" w:color="auto" w:fill="auto"/>
        <w:tabs>
          <w:tab w:val="left" w:pos="426"/>
        </w:tabs>
        <w:spacing w:after="0" w:line="240" w:lineRule="auto"/>
        <w:ind w:left="425" w:right="23" w:hanging="425"/>
        <w:rPr>
          <w:rStyle w:val="Gvdemetni3a"/>
          <w:color w:val="000000"/>
          <w:sz w:val="24"/>
          <w:szCs w:val="24"/>
        </w:rPr>
      </w:pPr>
      <w:r w:rsidRPr="00D53A2B">
        <w:rPr>
          <w:rStyle w:val="Gvdemetni3a"/>
          <w:color w:val="000000"/>
          <w:sz w:val="24"/>
          <w:szCs w:val="24"/>
        </w:rPr>
        <w:t xml:space="preserve">Depolama boyutunun uygun olması durumunda, harici stoklar yerine bina içi veya </w:t>
      </w:r>
      <w:r w:rsidR="00736824" w:rsidRPr="00D53A2B">
        <w:rPr>
          <w:rStyle w:val="Gvdemetni3a"/>
          <w:color w:val="000000"/>
          <w:sz w:val="24"/>
          <w:szCs w:val="24"/>
        </w:rPr>
        <w:t xml:space="preserve">kazan içi </w:t>
      </w:r>
      <w:r w:rsidRPr="00D53A2B">
        <w:rPr>
          <w:rStyle w:val="Gvdemetni3a"/>
          <w:color w:val="000000"/>
          <w:sz w:val="24"/>
          <w:szCs w:val="24"/>
        </w:rPr>
        <w:t>depolamanın kullanılması.</w:t>
      </w:r>
    </w:p>
    <w:p w14:paraId="28D9D15B" w14:textId="30577A6E" w:rsidR="00095718" w:rsidRPr="00D53A2B" w:rsidRDefault="003A4FFE" w:rsidP="00A202FD">
      <w:pPr>
        <w:pStyle w:val="Gvdemetni1"/>
        <w:numPr>
          <w:ilvl w:val="0"/>
          <w:numId w:val="74"/>
        </w:numPr>
        <w:shd w:val="clear" w:color="auto" w:fill="auto"/>
        <w:tabs>
          <w:tab w:val="left" w:pos="426"/>
        </w:tabs>
        <w:spacing w:after="0" w:line="240" w:lineRule="auto"/>
        <w:ind w:left="425" w:right="23" w:hanging="425"/>
        <w:rPr>
          <w:rStyle w:val="Gvdemetni3a"/>
          <w:color w:val="000000"/>
          <w:sz w:val="24"/>
          <w:szCs w:val="24"/>
        </w:rPr>
      </w:pPr>
      <w:r w:rsidRPr="00D53A2B">
        <w:rPr>
          <w:rStyle w:val="Gvdemetni3a"/>
          <w:color w:val="000000"/>
          <w:sz w:val="24"/>
          <w:szCs w:val="24"/>
        </w:rPr>
        <w:t>Uzun vadede zarar görmeden tozu yakalamak ve tutmak için açık alanlarda doğal arazi, toprak setleri veya uzun çimen ve yaprak dökmeyen ağaçların dikilmesiyle rüzgar perdelerinin oluşturulması.</w:t>
      </w:r>
    </w:p>
    <w:p w14:paraId="6F04D125" w14:textId="1E19EEA3" w:rsidR="003A4FFE" w:rsidRPr="00D53A2B" w:rsidRDefault="003A4FFE" w:rsidP="00A202FD">
      <w:pPr>
        <w:pStyle w:val="Gvdemetni1"/>
        <w:numPr>
          <w:ilvl w:val="0"/>
          <w:numId w:val="74"/>
        </w:numPr>
        <w:shd w:val="clear" w:color="auto" w:fill="auto"/>
        <w:tabs>
          <w:tab w:val="left" w:pos="426"/>
        </w:tabs>
        <w:spacing w:after="0" w:line="240" w:lineRule="auto"/>
        <w:ind w:left="425" w:right="23" w:hanging="425"/>
        <w:rPr>
          <w:color w:val="000000"/>
          <w:sz w:val="24"/>
          <w:szCs w:val="24"/>
        </w:rPr>
      </w:pPr>
      <w:r w:rsidRPr="00D53A2B">
        <w:rPr>
          <w:color w:val="000000"/>
          <w:sz w:val="24"/>
          <w:szCs w:val="24"/>
        </w:rPr>
        <w:t>Dayanıklı toz bağlayıcı maddeler kullanılarak yüzeyin nemlendirilmesi.</w:t>
      </w:r>
    </w:p>
    <w:p w14:paraId="568692AA" w14:textId="7EBA37EF" w:rsidR="003A4FFE" w:rsidRPr="00D53A2B" w:rsidRDefault="003A4FFE" w:rsidP="00A202FD">
      <w:pPr>
        <w:pStyle w:val="Gvdemetni1"/>
        <w:numPr>
          <w:ilvl w:val="0"/>
          <w:numId w:val="74"/>
        </w:numPr>
        <w:shd w:val="clear" w:color="auto" w:fill="auto"/>
        <w:tabs>
          <w:tab w:val="left" w:pos="426"/>
        </w:tabs>
        <w:spacing w:after="0" w:line="240" w:lineRule="auto"/>
        <w:ind w:left="425" w:right="23" w:hanging="425"/>
        <w:rPr>
          <w:color w:val="000000"/>
          <w:sz w:val="24"/>
          <w:szCs w:val="24"/>
        </w:rPr>
      </w:pPr>
      <w:r w:rsidRPr="00D53A2B">
        <w:rPr>
          <w:color w:val="000000"/>
          <w:sz w:val="24"/>
          <w:szCs w:val="24"/>
        </w:rPr>
        <w:t>Yüzeyin branda veya kaplama (örn. lateks) stokları ile kaplanması.</w:t>
      </w:r>
    </w:p>
    <w:p w14:paraId="3EAB79C6" w14:textId="56415F17" w:rsidR="003A4FFE" w:rsidRPr="00D53A2B" w:rsidRDefault="003A4FFE" w:rsidP="00A202FD">
      <w:pPr>
        <w:pStyle w:val="Gvdemetni1"/>
        <w:numPr>
          <w:ilvl w:val="0"/>
          <w:numId w:val="74"/>
        </w:numPr>
        <w:shd w:val="clear" w:color="auto" w:fill="auto"/>
        <w:tabs>
          <w:tab w:val="left" w:pos="426"/>
        </w:tabs>
        <w:spacing w:after="0" w:line="240" w:lineRule="auto"/>
        <w:ind w:left="425" w:right="23" w:hanging="425"/>
        <w:rPr>
          <w:color w:val="000000"/>
          <w:sz w:val="24"/>
          <w:szCs w:val="24"/>
        </w:rPr>
      </w:pPr>
      <w:r w:rsidRPr="00D53A2B">
        <w:rPr>
          <w:color w:val="000000"/>
          <w:sz w:val="24"/>
          <w:szCs w:val="24"/>
        </w:rPr>
        <w:t>Açıkta kalan yüzeyi azaltmak için istinat duvarları ile depolama uygulaması.</w:t>
      </w:r>
    </w:p>
    <w:p w14:paraId="1A69E449" w14:textId="011BA4E1" w:rsidR="003A4FFE" w:rsidRPr="00D53A2B" w:rsidRDefault="003A4FFE" w:rsidP="00A202FD">
      <w:pPr>
        <w:pStyle w:val="Gvdemetni1"/>
        <w:numPr>
          <w:ilvl w:val="0"/>
          <w:numId w:val="74"/>
        </w:numPr>
        <w:shd w:val="clear" w:color="auto" w:fill="auto"/>
        <w:tabs>
          <w:tab w:val="left" w:pos="426"/>
        </w:tabs>
        <w:spacing w:after="0" w:line="240" w:lineRule="auto"/>
        <w:ind w:left="425" w:right="23" w:hanging="425"/>
        <w:rPr>
          <w:color w:val="000000"/>
          <w:sz w:val="24"/>
          <w:szCs w:val="24"/>
        </w:rPr>
      </w:pPr>
      <w:r w:rsidRPr="00D53A2B">
        <w:rPr>
          <w:color w:val="000000"/>
          <w:sz w:val="24"/>
          <w:szCs w:val="24"/>
        </w:rPr>
        <w:t>Gerektiğinde, beton ve drenaj ile geçirimsiz yüzeylerin dahil edilmesi bir önlem olabilir.</w:t>
      </w:r>
    </w:p>
    <w:p w14:paraId="1CD30CBD" w14:textId="77777777" w:rsidR="00EA077C" w:rsidRPr="00D53A2B" w:rsidRDefault="00EA077C" w:rsidP="00A202FD">
      <w:pPr>
        <w:pStyle w:val="Gvdemetni1"/>
        <w:shd w:val="clear" w:color="auto" w:fill="auto"/>
        <w:tabs>
          <w:tab w:val="left" w:pos="426"/>
        </w:tabs>
        <w:spacing w:after="0" w:line="240" w:lineRule="auto"/>
        <w:ind w:right="23" w:firstLine="0"/>
        <w:rPr>
          <w:color w:val="000000"/>
          <w:sz w:val="24"/>
          <w:szCs w:val="24"/>
        </w:rPr>
      </w:pPr>
    </w:p>
    <w:p w14:paraId="4106A009" w14:textId="220A65AC" w:rsidR="003A4FFE" w:rsidRPr="00D53A2B" w:rsidRDefault="003A4FFE" w:rsidP="00A202FD">
      <w:pPr>
        <w:pStyle w:val="Gvdemetni1"/>
        <w:numPr>
          <w:ilvl w:val="0"/>
          <w:numId w:val="56"/>
        </w:numPr>
        <w:shd w:val="clear" w:color="auto" w:fill="auto"/>
        <w:tabs>
          <w:tab w:val="left" w:pos="851"/>
        </w:tabs>
        <w:spacing w:after="0" w:line="259" w:lineRule="exact"/>
        <w:ind w:left="426" w:hanging="426"/>
        <w:rPr>
          <w:sz w:val="24"/>
          <w:szCs w:val="24"/>
        </w:rPr>
      </w:pPr>
      <w:r w:rsidRPr="00D53A2B">
        <w:rPr>
          <w:sz w:val="24"/>
          <w:szCs w:val="24"/>
        </w:rPr>
        <w:t>Yakıt ve hammaddelerin deniz yoluyla taşındığı ve toz salınımlarının önemli olabileceği durumlarda, bazı teknikler şunlardır:</w:t>
      </w:r>
    </w:p>
    <w:p w14:paraId="5766E896" w14:textId="2E94A036" w:rsidR="00D77597" w:rsidRPr="00D53A2B" w:rsidRDefault="00D77597" w:rsidP="00A202FD">
      <w:pPr>
        <w:pStyle w:val="Gvdemetni1"/>
        <w:numPr>
          <w:ilvl w:val="0"/>
          <w:numId w:val="75"/>
        </w:numPr>
        <w:shd w:val="clear" w:color="auto" w:fill="auto"/>
        <w:spacing w:after="0" w:line="259" w:lineRule="exact"/>
        <w:ind w:left="426" w:hanging="426"/>
        <w:rPr>
          <w:sz w:val="24"/>
          <w:szCs w:val="24"/>
        </w:rPr>
      </w:pPr>
      <w:r w:rsidRPr="00D53A2B">
        <w:rPr>
          <w:sz w:val="24"/>
          <w:szCs w:val="24"/>
        </w:rPr>
        <w:t>Kendinden boşaltmalı gemilerin veya kapalı sürekli boşaltıcıların operatörleri tarafından kullanılması. Aksi takdirde, kepçe tipi gemi boşaltıcılar tarafından üretilen toz, malzemenin yeterli nem içeriğine sahip olmasını sağlayarak, damla yüksekliklerini en aza indirerek ve gemi boşaltıcı haznesinin ağzında su spreyleri veya ince su sisleri kullanarak en aza indirilmelidir.</w:t>
      </w:r>
    </w:p>
    <w:p w14:paraId="4BBBDA2B" w14:textId="2D6EBB92" w:rsidR="00D77597" w:rsidRPr="00D53A2B" w:rsidRDefault="00D77597" w:rsidP="00A202FD">
      <w:pPr>
        <w:pStyle w:val="Gvdemetni1"/>
        <w:numPr>
          <w:ilvl w:val="0"/>
          <w:numId w:val="75"/>
        </w:numPr>
        <w:shd w:val="clear" w:color="auto" w:fill="auto"/>
        <w:spacing w:after="0" w:line="259" w:lineRule="exact"/>
        <w:ind w:left="426" w:hanging="426"/>
        <w:rPr>
          <w:sz w:val="24"/>
          <w:szCs w:val="24"/>
        </w:rPr>
      </w:pPr>
      <w:r w:rsidRPr="00D53A2B">
        <w:rPr>
          <w:sz w:val="24"/>
          <w:szCs w:val="24"/>
        </w:rPr>
        <w:t>Sinter tesisi elektrostatik çökelticilerinin sodyum klorür ile kirlenmesine neden olduğundan, cevherlerin veya flaksların püskürtülmesinde deniz suyundan kaçınılması. Hammaddelere ilave klor girdisi de emisyonların artmasına (örneğin poliklorlu dibenzodioksinler/furanlar (PCDD/F)) yol açabilir ve filtre tozu devridaimini engelleyebilir.</w:t>
      </w:r>
    </w:p>
    <w:p w14:paraId="4537E3F0" w14:textId="26A689CA" w:rsidR="003A4FFE" w:rsidRPr="00D53A2B" w:rsidRDefault="00D77597" w:rsidP="00A202FD">
      <w:pPr>
        <w:pStyle w:val="Gvdemetni1"/>
        <w:numPr>
          <w:ilvl w:val="0"/>
          <w:numId w:val="75"/>
        </w:numPr>
        <w:shd w:val="clear" w:color="auto" w:fill="auto"/>
        <w:spacing w:after="0" w:line="259" w:lineRule="exact"/>
        <w:ind w:left="426" w:hanging="426"/>
        <w:rPr>
          <w:sz w:val="24"/>
          <w:szCs w:val="24"/>
        </w:rPr>
      </w:pPr>
      <w:r w:rsidRPr="00D53A2B">
        <w:rPr>
          <w:sz w:val="24"/>
          <w:szCs w:val="24"/>
        </w:rPr>
        <w:t xml:space="preserve">Toz karbon, kireç ve kalsiyum karbürün kapalı silolarda depolanması ve pnömatik </w:t>
      </w:r>
      <w:r w:rsidRPr="00D53A2B">
        <w:rPr>
          <w:sz w:val="24"/>
          <w:szCs w:val="24"/>
        </w:rPr>
        <w:lastRenderedPageBreak/>
        <w:t>olarak taşınması veya kapalı torbalarda depolanması ve aktarılması.</w:t>
      </w:r>
    </w:p>
    <w:p w14:paraId="23CCE131" w14:textId="77777777" w:rsidR="00264218" w:rsidRPr="00D53A2B" w:rsidRDefault="00264218" w:rsidP="00A202FD">
      <w:pPr>
        <w:pStyle w:val="Gvdemetni1"/>
        <w:shd w:val="clear" w:color="auto" w:fill="auto"/>
        <w:spacing w:after="0" w:line="240" w:lineRule="auto"/>
        <w:ind w:left="851" w:right="23" w:firstLine="0"/>
        <w:rPr>
          <w:rStyle w:val="Gvdemetni3a"/>
          <w:sz w:val="24"/>
          <w:szCs w:val="24"/>
        </w:rPr>
      </w:pPr>
    </w:p>
    <w:p w14:paraId="05E7DD7C" w14:textId="00258919" w:rsidR="00264218" w:rsidRPr="00D53A2B" w:rsidRDefault="00264218" w:rsidP="00A202FD">
      <w:pPr>
        <w:pStyle w:val="Gvdemetni1"/>
        <w:numPr>
          <w:ilvl w:val="0"/>
          <w:numId w:val="56"/>
        </w:numPr>
        <w:shd w:val="clear" w:color="auto" w:fill="auto"/>
        <w:spacing w:after="0" w:line="240" w:lineRule="auto"/>
        <w:ind w:left="426" w:right="23" w:hanging="426"/>
        <w:rPr>
          <w:sz w:val="24"/>
          <w:szCs w:val="24"/>
        </w:rPr>
      </w:pPr>
      <w:r w:rsidRPr="00D53A2B">
        <w:rPr>
          <w:sz w:val="24"/>
          <w:szCs w:val="24"/>
        </w:rPr>
        <w:t>Tren veya kamyon boşaltma teknikleri şunları içermektedir</w:t>
      </w:r>
      <w:r w:rsidR="005D7631" w:rsidRPr="00D53A2B">
        <w:rPr>
          <w:sz w:val="24"/>
          <w:szCs w:val="24"/>
        </w:rPr>
        <w:t>:</w:t>
      </w:r>
    </w:p>
    <w:p w14:paraId="61E73FE5" w14:textId="42726AB4" w:rsidR="005D7631" w:rsidRPr="00D53A2B" w:rsidRDefault="005D7631" w:rsidP="00A202FD">
      <w:pPr>
        <w:pStyle w:val="Gvdemetni1"/>
        <w:numPr>
          <w:ilvl w:val="0"/>
          <w:numId w:val="76"/>
        </w:numPr>
        <w:shd w:val="clear" w:color="auto" w:fill="auto"/>
        <w:spacing w:after="0" w:line="240" w:lineRule="auto"/>
        <w:ind w:left="426" w:right="23" w:hanging="426"/>
        <w:rPr>
          <w:sz w:val="24"/>
          <w:szCs w:val="24"/>
        </w:rPr>
      </w:pPr>
      <w:r w:rsidRPr="00D53A2B">
        <w:rPr>
          <w:sz w:val="24"/>
          <w:szCs w:val="24"/>
        </w:rPr>
        <w:t>Toz emisyonu oluşumu nedeniyle gerekliyse, genel olarak kapalı bir tasarıma sahip özel boşaltma ekipmanının kullanılması.</w:t>
      </w:r>
    </w:p>
    <w:p w14:paraId="00774B15" w14:textId="77777777" w:rsidR="005D7631" w:rsidRPr="00D53A2B" w:rsidRDefault="005D7631" w:rsidP="00A202FD">
      <w:pPr>
        <w:pStyle w:val="Gvdemetni1"/>
        <w:shd w:val="clear" w:color="auto" w:fill="auto"/>
        <w:spacing w:after="0" w:line="240" w:lineRule="auto"/>
        <w:ind w:left="426" w:right="23" w:firstLine="0"/>
        <w:rPr>
          <w:sz w:val="24"/>
          <w:szCs w:val="24"/>
        </w:rPr>
      </w:pPr>
    </w:p>
    <w:p w14:paraId="1DCB1507" w14:textId="4647ACC5" w:rsidR="005D7631" w:rsidRPr="00D53A2B" w:rsidRDefault="005D7631" w:rsidP="00A202FD">
      <w:pPr>
        <w:pStyle w:val="Gvdemetni1"/>
        <w:numPr>
          <w:ilvl w:val="0"/>
          <w:numId w:val="56"/>
        </w:numPr>
        <w:shd w:val="clear" w:color="auto" w:fill="auto"/>
        <w:spacing w:after="0" w:line="240" w:lineRule="auto"/>
        <w:ind w:left="426" w:right="23" w:hanging="426"/>
        <w:rPr>
          <w:sz w:val="24"/>
          <w:szCs w:val="24"/>
        </w:rPr>
      </w:pPr>
      <w:r w:rsidRPr="00D53A2B">
        <w:rPr>
          <w:sz w:val="24"/>
          <w:szCs w:val="24"/>
        </w:rPr>
        <w:t>Önemli ölçüde toz salınımına yol açabilecek sürüklenmeye karşı son derece hassas malzemeler için bazı teknikler şunlardır:</w:t>
      </w:r>
    </w:p>
    <w:p w14:paraId="3A7886C7" w14:textId="2B1BB3BF" w:rsidR="001D1AAD" w:rsidRPr="00D53A2B" w:rsidRDefault="001D1AAD" w:rsidP="00A202FD">
      <w:pPr>
        <w:pStyle w:val="Gvdemetni1"/>
        <w:numPr>
          <w:ilvl w:val="0"/>
          <w:numId w:val="76"/>
        </w:numPr>
        <w:shd w:val="clear" w:color="auto" w:fill="auto"/>
        <w:spacing w:after="0" w:line="240" w:lineRule="auto"/>
        <w:ind w:left="426" w:right="23" w:hanging="426"/>
        <w:rPr>
          <w:sz w:val="24"/>
          <w:szCs w:val="24"/>
        </w:rPr>
      </w:pPr>
      <w:r w:rsidRPr="00D53A2B">
        <w:rPr>
          <w:sz w:val="24"/>
          <w:szCs w:val="24"/>
        </w:rPr>
        <w:t>Tamamen kapalı olabilen ve bir torba filtre tesisine çıkarılan aktarma noktalarının, titreşimli eleklerin, kırıcıların, bunkerlerin ve benzerlerinin kullanımı.</w:t>
      </w:r>
    </w:p>
    <w:p w14:paraId="01DEE364" w14:textId="6B922F07" w:rsidR="001D1AAD" w:rsidRPr="00D53A2B" w:rsidRDefault="001D1AAD" w:rsidP="00A202FD">
      <w:pPr>
        <w:pStyle w:val="Gvdemetni1"/>
        <w:numPr>
          <w:ilvl w:val="0"/>
          <w:numId w:val="76"/>
        </w:numPr>
        <w:shd w:val="clear" w:color="auto" w:fill="auto"/>
        <w:spacing w:after="0" w:line="240" w:lineRule="auto"/>
        <w:ind w:left="426" w:right="23" w:hanging="426"/>
        <w:rPr>
          <w:sz w:val="24"/>
          <w:szCs w:val="24"/>
        </w:rPr>
      </w:pPr>
      <w:r w:rsidRPr="00D53A2B">
        <w:rPr>
          <w:sz w:val="24"/>
          <w:szCs w:val="24"/>
        </w:rPr>
        <w:t>Döküntülerin temizlenmesinde yıkama yerine merkezi veya bölgesel vakumlu temizleme sistemlerinin kullanılması, etkilerin tek bir ortamla sınırlı olması ve dökülen malzemenin geri dönüşümünün kolaylaştırılması.</w:t>
      </w:r>
    </w:p>
    <w:p w14:paraId="338F9EEA" w14:textId="77777777" w:rsidR="001D1AAD" w:rsidRPr="00D53A2B" w:rsidRDefault="001D1AAD" w:rsidP="00A202FD">
      <w:pPr>
        <w:pStyle w:val="Gvdemetni1"/>
        <w:shd w:val="clear" w:color="auto" w:fill="auto"/>
        <w:spacing w:after="0" w:line="240" w:lineRule="auto"/>
        <w:ind w:right="23" w:firstLine="0"/>
        <w:rPr>
          <w:sz w:val="24"/>
          <w:szCs w:val="24"/>
        </w:rPr>
      </w:pPr>
    </w:p>
    <w:p w14:paraId="1CB1D068" w14:textId="679CA0CF" w:rsidR="001D1AAD" w:rsidRPr="00D53A2B" w:rsidRDefault="001D1AAD" w:rsidP="00A202FD">
      <w:pPr>
        <w:pStyle w:val="Gvdemetni1"/>
        <w:numPr>
          <w:ilvl w:val="0"/>
          <w:numId w:val="56"/>
        </w:numPr>
        <w:shd w:val="clear" w:color="auto" w:fill="auto"/>
        <w:spacing w:after="0" w:line="240" w:lineRule="auto"/>
        <w:ind w:left="426" w:right="23" w:hanging="426"/>
        <w:rPr>
          <w:sz w:val="24"/>
          <w:szCs w:val="24"/>
        </w:rPr>
      </w:pPr>
      <w:r w:rsidRPr="00D53A2B">
        <w:rPr>
          <w:sz w:val="24"/>
          <w:szCs w:val="24"/>
        </w:rPr>
        <w:t>Cürufun taşınması ve işlenmesine yönelik teknikler şunları içerir:</w:t>
      </w:r>
    </w:p>
    <w:p w14:paraId="5CDDEA03" w14:textId="4E2B7CF3" w:rsidR="001D1AAD" w:rsidRPr="00D53A2B" w:rsidRDefault="001D1AAD" w:rsidP="00A202FD">
      <w:pPr>
        <w:pStyle w:val="Gvdemetni1"/>
        <w:numPr>
          <w:ilvl w:val="0"/>
          <w:numId w:val="77"/>
        </w:numPr>
        <w:shd w:val="clear" w:color="auto" w:fill="auto"/>
        <w:spacing w:after="0" w:line="240" w:lineRule="auto"/>
        <w:ind w:left="426" w:right="23" w:hanging="426"/>
        <w:rPr>
          <w:sz w:val="24"/>
          <w:szCs w:val="24"/>
        </w:rPr>
      </w:pPr>
      <w:r w:rsidRPr="00D53A2B">
        <w:rPr>
          <w:sz w:val="24"/>
          <w:szCs w:val="24"/>
        </w:rPr>
        <w:t>Kurutulmuş yüksek fırın cürufu ve çelik cürufu toz oluşturabileceğinden, cüruf granül stoklarının cüruf taşıma ve işleme için nemli tutulması.</w:t>
      </w:r>
    </w:p>
    <w:p w14:paraId="2DCC6351" w14:textId="10665714" w:rsidR="001D1AAD" w:rsidRPr="00D53A2B" w:rsidRDefault="001D1AAD" w:rsidP="00A202FD">
      <w:pPr>
        <w:pStyle w:val="Gvdemetni1"/>
        <w:numPr>
          <w:ilvl w:val="0"/>
          <w:numId w:val="77"/>
        </w:numPr>
        <w:shd w:val="clear" w:color="auto" w:fill="auto"/>
        <w:spacing w:after="0" w:line="240" w:lineRule="auto"/>
        <w:ind w:left="426" w:right="23" w:hanging="426"/>
        <w:rPr>
          <w:sz w:val="24"/>
          <w:szCs w:val="24"/>
        </w:rPr>
      </w:pPr>
      <w:r w:rsidRPr="00D53A2B">
        <w:rPr>
          <w:sz w:val="24"/>
          <w:szCs w:val="24"/>
        </w:rPr>
        <w:t>Toz emisyonlarını azaltmak için etkili ekstraksiyon ve torba filtrelerle donatılmış kapalı cüruf kırma ekipmanının kullanılması.</w:t>
      </w:r>
    </w:p>
    <w:p w14:paraId="1A19DAB9" w14:textId="77777777" w:rsidR="001D1AAD" w:rsidRPr="00D53A2B" w:rsidRDefault="001D1AAD" w:rsidP="00A202FD">
      <w:pPr>
        <w:pStyle w:val="Gvdemetni1"/>
        <w:shd w:val="clear" w:color="auto" w:fill="auto"/>
        <w:spacing w:after="0" w:line="240" w:lineRule="auto"/>
        <w:ind w:right="23" w:firstLine="0"/>
        <w:rPr>
          <w:sz w:val="24"/>
          <w:szCs w:val="24"/>
        </w:rPr>
      </w:pPr>
    </w:p>
    <w:p w14:paraId="2CDBCD56" w14:textId="38CCDCFB" w:rsidR="001D1AAD" w:rsidRPr="00D53A2B" w:rsidRDefault="001D1AAD" w:rsidP="00A202FD">
      <w:pPr>
        <w:pStyle w:val="Gvdemetni1"/>
        <w:numPr>
          <w:ilvl w:val="0"/>
          <w:numId w:val="56"/>
        </w:numPr>
        <w:shd w:val="clear" w:color="auto" w:fill="auto"/>
        <w:spacing w:after="0" w:line="240" w:lineRule="auto"/>
        <w:ind w:left="567" w:right="23" w:hanging="567"/>
        <w:rPr>
          <w:sz w:val="24"/>
          <w:szCs w:val="24"/>
        </w:rPr>
      </w:pPr>
      <w:r w:rsidRPr="00D53A2B">
        <w:rPr>
          <w:sz w:val="24"/>
          <w:szCs w:val="24"/>
        </w:rPr>
        <w:t>Hurda işleme teknikleri şunları içerir:</w:t>
      </w:r>
    </w:p>
    <w:p w14:paraId="75BEE9EF" w14:textId="19A18E81" w:rsidR="001D1AAD" w:rsidRPr="00D53A2B" w:rsidRDefault="00246D51" w:rsidP="00A202FD">
      <w:pPr>
        <w:pStyle w:val="Gvdemetni1"/>
        <w:numPr>
          <w:ilvl w:val="0"/>
          <w:numId w:val="78"/>
        </w:numPr>
        <w:shd w:val="clear" w:color="auto" w:fill="auto"/>
        <w:spacing w:after="0" w:line="240" w:lineRule="auto"/>
        <w:ind w:left="426" w:right="23" w:hanging="426"/>
        <w:rPr>
          <w:sz w:val="24"/>
          <w:szCs w:val="24"/>
        </w:rPr>
      </w:pPr>
      <w:r w:rsidRPr="00D53A2B">
        <w:rPr>
          <w:sz w:val="24"/>
          <w:szCs w:val="24"/>
        </w:rPr>
        <w:t>Araç hareketlerinden kaynaklanan toz kalkışını en aza indirmek için hurda deposunun örtü altında ve/veya beton zemin üzerinde sağlanması.</w:t>
      </w:r>
    </w:p>
    <w:p w14:paraId="53D953DB" w14:textId="77777777" w:rsidR="00246D51" w:rsidRPr="00D53A2B" w:rsidRDefault="00246D51" w:rsidP="00A202FD">
      <w:pPr>
        <w:pStyle w:val="Gvdemetni1"/>
        <w:shd w:val="clear" w:color="auto" w:fill="auto"/>
        <w:spacing w:after="0" w:line="240" w:lineRule="auto"/>
        <w:ind w:right="23" w:firstLine="0"/>
        <w:rPr>
          <w:sz w:val="24"/>
          <w:szCs w:val="24"/>
        </w:rPr>
      </w:pPr>
    </w:p>
    <w:p w14:paraId="1EF57339" w14:textId="5372D2D9" w:rsidR="00246D51" w:rsidRPr="00D53A2B" w:rsidRDefault="00246D51" w:rsidP="00A202FD">
      <w:pPr>
        <w:pStyle w:val="Gvdemetni1"/>
        <w:numPr>
          <w:ilvl w:val="0"/>
          <w:numId w:val="56"/>
        </w:numPr>
        <w:shd w:val="clear" w:color="auto" w:fill="auto"/>
        <w:spacing w:after="0" w:line="240" w:lineRule="auto"/>
        <w:ind w:right="23"/>
        <w:rPr>
          <w:sz w:val="24"/>
          <w:szCs w:val="24"/>
        </w:rPr>
      </w:pPr>
      <w:r w:rsidRPr="00D53A2B">
        <w:rPr>
          <w:sz w:val="24"/>
          <w:szCs w:val="24"/>
        </w:rPr>
        <w:t>Malzeme nakliyesi sırasında dikkate alınması gereken teknikler şunlardır:</w:t>
      </w:r>
    </w:p>
    <w:p w14:paraId="4463FB7B" w14:textId="77777777" w:rsidR="00246D51" w:rsidRPr="00D53A2B" w:rsidRDefault="00246D51" w:rsidP="00A202FD">
      <w:pPr>
        <w:pStyle w:val="Gvdemetni1"/>
        <w:numPr>
          <w:ilvl w:val="0"/>
          <w:numId w:val="78"/>
        </w:numPr>
        <w:spacing w:after="0" w:line="240" w:lineRule="auto"/>
        <w:ind w:left="425" w:right="23" w:hanging="425"/>
        <w:rPr>
          <w:sz w:val="24"/>
          <w:szCs w:val="24"/>
        </w:rPr>
      </w:pPr>
      <w:r w:rsidRPr="00D53A2B">
        <w:rPr>
          <w:sz w:val="24"/>
          <w:szCs w:val="24"/>
        </w:rPr>
        <w:t>Kamuya açık otoyollardan erişim noktalarının en aza indirilmesi.</w:t>
      </w:r>
    </w:p>
    <w:p w14:paraId="4AB36B9C" w14:textId="77777777" w:rsidR="00246D51" w:rsidRPr="00D53A2B" w:rsidRDefault="00246D51" w:rsidP="00A202FD">
      <w:pPr>
        <w:pStyle w:val="Gvdemetni1"/>
        <w:numPr>
          <w:ilvl w:val="0"/>
          <w:numId w:val="78"/>
        </w:numPr>
        <w:spacing w:after="0" w:line="240" w:lineRule="auto"/>
        <w:ind w:left="425" w:right="23" w:hanging="425"/>
        <w:rPr>
          <w:sz w:val="24"/>
          <w:szCs w:val="24"/>
        </w:rPr>
      </w:pPr>
      <w:r w:rsidRPr="00D53A2B">
        <w:rPr>
          <w:sz w:val="24"/>
          <w:szCs w:val="24"/>
        </w:rPr>
        <w:t>Çamur ve tozun kamuya açık yollara taşınmasını önlemek için tekerlek temizleme ekipmanının kullanılması.</w:t>
      </w:r>
    </w:p>
    <w:p w14:paraId="2E11884E" w14:textId="603415EA" w:rsidR="00246D51" w:rsidRPr="00D53A2B" w:rsidRDefault="00246D51" w:rsidP="00A202FD">
      <w:pPr>
        <w:pStyle w:val="Gvdemetni1"/>
        <w:numPr>
          <w:ilvl w:val="0"/>
          <w:numId w:val="78"/>
        </w:numPr>
        <w:shd w:val="clear" w:color="auto" w:fill="auto"/>
        <w:spacing w:after="0" w:line="240" w:lineRule="auto"/>
        <w:ind w:left="425" w:right="23" w:hanging="425"/>
        <w:rPr>
          <w:sz w:val="24"/>
          <w:szCs w:val="24"/>
        </w:rPr>
      </w:pPr>
      <w:r w:rsidRPr="00D53A2B">
        <w:rPr>
          <w:sz w:val="24"/>
          <w:szCs w:val="24"/>
        </w:rPr>
        <w:t>Malzemelerin taşınması ve yolların temizlenmesi sırasında toz bulutu oluşumunu en aza indirmek için nakliye yollarına sert yüzeyler (beton veya asfalt) uygulanması.</w:t>
      </w:r>
    </w:p>
    <w:p w14:paraId="1F27A73B" w14:textId="77777777" w:rsidR="00246D51" w:rsidRPr="00D53A2B" w:rsidRDefault="00246D51" w:rsidP="00A202FD">
      <w:pPr>
        <w:pStyle w:val="Gvdemetni1"/>
        <w:numPr>
          <w:ilvl w:val="0"/>
          <w:numId w:val="78"/>
        </w:numPr>
        <w:spacing w:after="0" w:line="240" w:lineRule="auto"/>
        <w:ind w:left="425" w:right="23" w:hanging="425"/>
        <w:rPr>
          <w:sz w:val="24"/>
          <w:szCs w:val="24"/>
        </w:rPr>
      </w:pPr>
      <w:r w:rsidRPr="00D53A2B">
        <w:rPr>
          <w:sz w:val="24"/>
          <w:szCs w:val="24"/>
        </w:rPr>
        <w:t>Araçların çitler, hendekler veya geri dönüştürülmüş cüruf yığınları ile belirlenmiş güzergahlarla sınırlandırılması.</w:t>
      </w:r>
    </w:p>
    <w:p w14:paraId="4F475740" w14:textId="77777777" w:rsidR="00246D51" w:rsidRPr="00D53A2B" w:rsidRDefault="00246D51" w:rsidP="00A202FD">
      <w:pPr>
        <w:pStyle w:val="Gvdemetni1"/>
        <w:numPr>
          <w:ilvl w:val="0"/>
          <w:numId w:val="78"/>
        </w:numPr>
        <w:spacing w:after="0" w:line="240" w:lineRule="auto"/>
        <w:ind w:left="425" w:right="23" w:hanging="425"/>
        <w:rPr>
          <w:sz w:val="24"/>
          <w:szCs w:val="24"/>
        </w:rPr>
      </w:pPr>
      <w:r w:rsidRPr="00D53A2B">
        <w:rPr>
          <w:sz w:val="24"/>
          <w:szCs w:val="24"/>
        </w:rPr>
        <w:t xml:space="preserve">Tozlu yolların su spreyleri ile nemlendirilmesi, örneğin cüruf işleme operasyonlarında. </w:t>
      </w:r>
    </w:p>
    <w:p w14:paraId="7EEB23C3" w14:textId="77777777" w:rsidR="00246D51" w:rsidRPr="00D53A2B" w:rsidRDefault="00246D51" w:rsidP="00A202FD">
      <w:pPr>
        <w:pStyle w:val="Gvdemetni1"/>
        <w:numPr>
          <w:ilvl w:val="0"/>
          <w:numId w:val="78"/>
        </w:numPr>
        <w:spacing w:after="0" w:line="240" w:lineRule="auto"/>
        <w:ind w:left="425" w:right="23" w:hanging="425"/>
        <w:rPr>
          <w:sz w:val="24"/>
          <w:szCs w:val="24"/>
        </w:rPr>
      </w:pPr>
      <w:r w:rsidRPr="00D53A2B">
        <w:rPr>
          <w:sz w:val="24"/>
          <w:szCs w:val="24"/>
        </w:rPr>
        <w:t>Herhangi bir dökülmeyi önlemek için nakliye araçlarının aşırı dolu olmamasını sağlamak.</w:t>
      </w:r>
    </w:p>
    <w:p w14:paraId="1DC7F72A" w14:textId="77777777" w:rsidR="00246D51" w:rsidRPr="00D53A2B" w:rsidRDefault="00246D51" w:rsidP="00A202FD">
      <w:pPr>
        <w:pStyle w:val="Gvdemetni1"/>
        <w:numPr>
          <w:ilvl w:val="0"/>
          <w:numId w:val="78"/>
        </w:numPr>
        <w:spacing w:after="0" w:line="240" w:lineRule="auto"/>
        <w:ind w:left="425" w:right="23" w:hanging="425"/>
        <w:rPr>
          <w:sz w:val="24"/>
          <w:szCs w:val="24"/>
        </w:rPr>
      </w:pPr>
      <w:r w:rsidRPr="00D53A2B">
        <w:rPr>
          <w:sz w:val="24"/>
          <w:szCs w:val="24"/>
        </w:rPr>
        <w:t>Taşıma araçlarının taşınan malzemeyi örtecek şekilde örtülmesinin sağlanması.</w:t>
      </w:r>
    </w:p>
    <w:p w14:paraId="1B61BB89" w14:textId="77777777" w:rsidR="00246D51" w:rsidRPr="00D53A2B" w:rsidRDefault="00246D51" w:rsidP="00A202FD">
      <w:pPr>
        <w:pStyle w:val="Gvdemetni1"/>
        <w:numPr>
          <w:ilvl w:val="0"/>
          <w:numId w:val="78"/>
        </w:numPr>
        <w:spacing w:after="0" w:line="240" w:lineRule="auto"/>
        <w:ind w:left="425" w:right="23" w:hanging="425"/>
        <w:rPr>
          <w:sz w:val="24"/>
          <w:szCs w:val="24"/>
        </w:rPr>
      </w:pPr>
      <w:r w:rsidRPr="00D53A2B">
        <w:rPr>
          <w:sz w:val="24"/>
          <w:szCs w:val="24"/>
        </w:rPr>
        <w:t>Aktarma sayısının en aza indirilmesi.</w:t>
      </w:r>
    </w:p>
    <w:p w14:paraId="1F568E5D" w14:textId="0E59B5E0" w:rsidR="00246D51" w:rsidRPr="00D53A2B" w:rsidRDefault="00246D51" w:rsidP="00A202FD">
      <w:pPr>
        <w:pStyle w:val="Gvdemetni1"/>
        <w:numPr>
          <w:ilvl w:val="0"/>
          <w:numId w:val="78"/>
        </w:numPr>
        <w:shd w:val="clear" w:color="auto" w:fill="auto"/>
        <w:spacing w:after="0" w:line="240" w:lineRule="auto"/>
        <w:ind w:left="425" w:right="23" w:hanging="425"/>
        <w:rPr>
          <w:sz w:val="24"/>
          <w:szCs w:val="24"/>
        </w:rPr>
      </w:pPr>
      <w:r w:rsidRPr="00D53A2B">
        <w:rPr>
          <w:sz w:val="24"/>
          <w:szCs w:val="24"/>
        </w:rPr>
        <w:t>Kapalı veya örtülü konveyörlerin kullanılması.</w:t>
      </w:r>
    </w:p>
    <w:p w14:paraId="681C0D47" w14:textId="66CE4732" w:rsidR="00246D51" w:rsidRPr="00D53A2B" w:rsidRDefault="00246D51" w:rsidP="00A202FD">
      <w:pPr>
        <w:pStyle w:val="Gvdemetni1"/>
        <w:numPr>
          <w:ilvl w:val="0"/>
          <w:numId w:val="78"/>
        </w:numPr>
        <w:shd w:val="clear" w:color="auto" w:fill="auto"/>
        <w:spacing w:after="0" w:line="240" w:lineRule="auto"/>
        <w:ind w:left="425" w:right="23" w:hanging="425"/>
        <w:rPr>
          <w:sz w:val="24"/>
          <w:szCs w:val="24"/>
        </w:rPr>
      </w:pPr>
      <w:r w:rsidRPr="00D53A2B">
        <w:rPr>
          <w:sz w:val="24"/>
          <w:szCs w:val="24"/>
        </w:rPr>
        <w:t>Genellikle malzemelerin bir banttan diğerine boşaltılmasıyla sağlanan sahalardaki yön değişikliklerinden kaynaklanan malzeme kayıplarını en aza indirmek için mümkün olan yerlerde tüp şeklindeki konveyörlerin kullanılması</w:t>
      </w:r>
    </w:p>
    <w:p w14:paraId="7B977449" w14:textId="7C58B7E3" w:rsidR="007B43D6" w:rsidRPr="00D53A2B" w:rsidRDefault="007B43D6" w:rsidP="00A202FD">
      <w:pPr>
        <w:pStyle w:val="Gvdemetni1"/>
        <w:numPr>
          <w:ilvl w:val="0"/>
          <w:numId w:val="78"/>
        </w:numPr>
        <w:spacing w:after="0" w:line="240" w:lineRule="auto"/>
        <w:ind w:left="425" w:right="23" w:hanging="425"/>
        <w:rPr>
          <w:sz w:val="24"/>
          <w:szCs w:val="24"/>
        </w:rPr>
      </w:pPr>
      <w:r w:rsidRPr="00D53A2B">
        <w:rPr>
          <w:sz w:val="24"/>
          <w:szCs w:val="24"/>
        </w:rPr>
        <w:t xml:space="preserve">Erimiş metal transferi ve </w:t>
      </w:r>
      <w:r w:rsidR="000D72BB" w:rsidRPr="00D53A2B">
        <w:rPr>
          <w:sz w:val="24"/>
          <w:szCs w:val="24"/>
        </w:rPr>
        <w:t>potada işlenmesi</w:t>
      </w:r>
      <w:r w:rsidRPr="00D53A2B">
        <w:rPr>
          <w:sz w:val="24"/>
          <w:szCs w:val="24"/>
        </w:rPr>
        <w:t xml:space="preserve"> için iyi uygulama teknikleri.</w:t>
      </w:r>
    </w:p>
    <w:p w14:paraId="6D7C78C0" w14:textId="7C550C07" w:rsidR="007B43D6" w:rsidRPr="00D53A2B" w:rsidRDefault="007B43D6" w:rsidP="00A202FD">
      <w:pPr>
        <w:pStyle w:val="Gvdemetni1"/>
        <w:numPr>
          <w:ilvl w:val="0"/>
          <w:numId w:val="78"/>
        </w:numPr>
        <w:shd w:val="clear" w:color="auto" w:fill="auto"/>
        <w:spacing w:after="0" w:line="240" w:lineRule="auto"/>
        <w:ind w:left="425" w:right="23" w:hanging="425"/>
        <w:rPr>
          <w:sz w:val="24"/>
          <w:szCs w:val="24"/>
        </w:rPr>
      </w:pPr>
      <w:r w:rsidRPr="00D53A2B">
        <w:rPr>
          <w:sz w:val="24"/>
          <w:szCs w:val="24"/>
        </w:rPr>
        <w:t>Konveyör transfer noktalarının tozdan arındırılması.</w:t>
      </w:r>
    </w:p>
    <w:p w14:paraId="6E55234A" w14:textId="77777777" w:rsidR="00246D51" w:rsidRPr="00D53A2B" w:rsidRDefault="00246D51" w:rsidP="00A202FD">
      <w:pPr>
        <w:pStyle w:val="Gvdemetni1"/>
        <w:shd w:val="clear" w:color="auto" w:fill="auto"/>
        <w:spacing w:after="0" w:line="240" w:lineRule="auto"/>
        <w:ind w:right="23" w:firstLine="0"/>
        <w:rPr>
          <w:sz w:val="24"/>
          <w:szCs w:val="24"/>
        </w:rPr>
      </w:pPr>
    </w:p>
    <w:p w14:paraId="1240418F" w14:textId="7206002B" w:rsidR="00EC16E7" w:rsidRPr="00D53A2B" w:rsidRDefault="000D72BB" w:rsidP="00A202FD">
      <w:pPr>
        <w:pStyle w:val="Balk3"/>
        <w:rPr>
          <w:rFonts w:cs="Times New Roman"/>
        </w:rPr>
      </w:pPr>
      <w:bookmarkStart w:id="12" w:name="bookmark1419"/>
      <w:bookmarkStart w:id="13" w:name="bookmark1420"/>
      <w:r w:rsidRPr="00D53A2B">
        <w:rPr>
          <w:rStyle w:val="Balk211pt1"/>
          <w:rFonts w:ascii="Times New Roman" w:hAnsi="Times New Roman" w:cs="Times New Roman"/>
          <w:b/>
          <w:color w:val="000000"/>
          <w:sz w:val="24"/>
          <w:szCs w:val="24"/>
        </w:rPr>
        <w:t xml:space="preserve">1.6. </w:t>
      </w:r>
      <w:r w:rsidR="00EC16E7" w:rsidRPr="00D53A2B">
        <w:rPr>
          <w:rStyle w:val="Balk211pt1"/>
          <w:rFonts w:ascii="Times New Roman" w:hAnsi="Times New Roman" w:cs="Times New Roman"/>
          <w:b/>
          <w:color w:val="000000"/>
          <w:sz w:val="24"/>
          <w:szCs w:val="24"/>
        </w:rPr>
        <w:t xml:space="preserve">Su </w:t>
      </w:r>
      <w:r w:rsidRPr="00D53A2B">
        <w:rPr>
          <w:rStyle w:val="Balk211pt1"/>
          <w:rFonts w:ascii="Times New Roman" w:hAnsi="Times New Roman" w:cs="Times New Roman"/>
          <w:b/>
          <w:color w:val="000000"/>
          <w:sz w:val="24"/>
          <w:szCs w:val="24"/>
        </w:rPr>
        <w:t>ve Atıksu Yönetimi</w:t>
      </w:r>
      <w:bookmarkEnd w:id="12"/>
      <w:bookmarkEnd w:id="13"/>
    </w:p>
    <w:p w14:paraId="1189604A" w14:textId="08200C3F" w:rsidR="007B43D6" w:rsidRPr="00D53A2B" w:rsidRDefault="006F59B2" w:rsidP="00A202FD">
      <w:pPr>
        <w:pStyle w:val="MET"/>
        <w:rPr>
          <w:szCs w:val="24"/>
        </w:rPr>
      </w:pPr>
      <w:bookmarkStart w:id="14" w:name="bookmark1421"/>
      <w:r w:rsidRPr="00D53A2B">
        <w:rPr>
          <w:rStyle w:val="Balk620"/>
          <w:b/>
          <w:color w:val="000000"/>
          <w:sz w:val="24"/>
          <w:szCs w:val="24"/>
        </w:rPr>
        <w:t xml:space="preserve">MET 12: </w:t>
      </w:r>
      <w:bookmarkEnd w:id="14"/>
      <w:r w:rsidR="00517446" w:rsidRPr="00D53A2B">
        <w:rPr>
          <w:b w:val="0"/>
          <w:bCs/>
          <w:szCs w:val="24"/>
          <w:lang w:bidi="tr-TR"/>
        </w:rPr>
        <w:t xml:space="preserve">Atıksu yönetimi için </w:t>
      </w:r>
      <w:r w:rsidR="007B43D6" w:rsidRPr="00D53A2B">
        <w:rPr>
          <w:b w:val="0"/>
          <w:bCs/>
          <w:szCs w:val="24"/>
        </w:rPr>
        <w:t>atıksu türlerini önlemek, toplamak ve ayırmak, dahili geri dönüşümü en üst düzeye çıkarmak ve her nihai akış için uygun bir arıtma kullan</w:t>
      </w:r>
      <w:r w:rsidR="00323B6B" w:rsidRPr="00D53A2B">
        <w:rPr>
          <w:b w:val="0"/>
          <w:bCs/>
          <w:szCs w:val="24"/>
        </w:rPr>
        <w:t>ıl</w:t>
      </w:r>
      <w:r w:rsidR="007B43D6" w:rsidRPr="00D53A2B">
        <w:rPr>
          <w:b w:val="0"/>
          <w:bCs/>
          <w:szCs w:val="24"/>
        </w:rPr>
        <w:t>ma</w:t>
      </w:r>
      <w:r w:rsidR="00323B6B" w:rsidRPr="00D53A2B">
        <w:rPr>
          <w:b w:val="0"/>
          <w:bCs/>
          <w:szCs w:val="24"/>
        </w:rPr>
        <w:t>lıdı</w:t>
      </w:r>
      <w:r w:rsidR="007B43D6" w:rsidRPr="00D53A2B">
        <w:rPr>
          <w:b w:val="0"/>
          <w:bCs/>
          <w:szCs w:val="24"/>
        </w:rPr>
        <w:t xml:space="preserve">r. </w:t>
      </w:r>
      <w:r w:rsidR="007B43D6" w:rsidRPr="00D53A2B">
        <w:rPr>
          <w:b w:val="0"/>
          <w:bCs/>
          <w:szCs w:val="24"/>
        </w:rPr>
        <w:lastRenderedPageBreak/>
        <w:t>Bu, örneğin yağ tutucular, filtrasyon veya çöktürme gibi teknikleri içerir. Bu bağlamda, belirtilen ön koşulların mevcut olduğu durumlarda aşağıdaki teknikler kullanılabilir</w:t>
      </w:r>
      <w:r w:rsidR="00BC23C9" w:rsidRPr="00D53A2B">
        <w:rPr>
          <w:b w:val="0"/>
          <w:bCs/>
          <w:szCs w:val="24"/>
        </w:rPr>
        <w:t>.</w:t>
      </w:r>
    </w:p>
    <w:p w14:paraId="44F5EB38" w14:textId="706385D1" w:rsidR="00BC23C9" w:rsidRPr="00D53A2B" w:rsidRDefault="00BC23C9" w:rsidP="00A202FD">
      <w:pPr>
        <w:pStyle w:val="ListeParagraf"/>
        <w:ind w:left="426" w:hanging="426"/>
        <w:rPr>
          <w:sz w:val="24"/>
          <w:szCs w:val="24"/>
        </w:rPr>
      </w:pPr>
      <w:r w:rsidRPr="00D53A2B">
        <w:rPr>
          <w:sz w:val="24"/>
          <w:szCs w:val="24"/>
        </w:rPr>
        <w:t>Üretim hatları için</w:t>
      </w:r>
      <w:r w:rsidR="00A92AAA">
        <w:rPr>
          <w:sz w:val="24"/>
          <w:szCs w:val="24"/>
        </w:rPr>
        <w:t xml:space="preserve"> içme suyu</w:t>
      </w:r>
      <w:r w:rsidRPr="00D53A2B">
        <w:rPr>
          <w:sz w:val="24"/>
          <w:szCs w:val="24"/>
        </w:rPr>
        <w:t xml:space="preserve">  kullanımından kaçınılması.</w:t>
      </w:r>
    </w:p>
    <w:p w14:paraId="294D8FEC" w14:textId="77777777" w:rsidR="00BC23C9" w:rsidRPr="00D53A2B" w:rsidRDefault="00BC23C9" w:rsidP="00A202FD">
      <w:pPr>
        <w:pStyle w:val="ListeParagraf"/>
        <w:ind w:left="426" w:hanging="426"/>
        <w:rPr>
          <w:sz w:val="24"/>
          <w:szCs w:val="24"/>
        </w:rPr>
      </w:pPr>
      <w:r w:rsidRPr="00D53A2B">
        <w:rPr>
          <w:sz w:val="24"/>
          <w:szCs w:val="24"/>
        </w:rPr>
        <w:t>Yeni tesisler inşa ederken veya mevcut tesisleri modernize ederken/yenilerken su dağıtım sistemlerinin sayısını ve/veya kapasitesini artırmak</w:t>
      </w:r>
    </w:p>
    <w:p w14:paraId="1F971CA4" w14:textId="77777777" w:rsidR="00BC23C9" w:rsidRPr="00D53A2B" w:rsidRDefault="00BC23C9" w:rsidP="00A202FD">
      <w:pPr>
        <w:pStyle w:val="ListeParagraf"/>
        <w:ind w:left="426" w:hanging="426"/>
        <w:rPr>
          <w:sz w:val="24"/>
          <w:szCs w:val="24"/>
        </w:rPr>
      </w:pPr>
      <w:r w:rsidRPr="00D53A2B">
        <w:rPr>
          <w:sz w:val="24"/>
          <w:szCs w:val="24"/>
        </w:rPr>
        <w:t>Gelen tatlı suyun dağıtımının merkezileştirilmesi.</w:t>
      </w:r>
    </w:p>
    <w:p w14:paraId="03327322" w14:textId="77777777" w:rsidR="00BC23C9" w:rsidRPr="00D53A2B" w:rsidRDefault="00BC23C9" w:rsidP="00A202FD">
      <w:pPr>
        <w:pStyle w:val="ListeParagraf"/>
        <w:ind w:left="426" w:hanging="426"/>
        <w:rPr>
          <w:sz w:val="24"/>
          <w:szCs w:val="24"/>
        </w:rPr>
      </w:pPr>
      <w:r w:rsidRPr="00D53A2B">
        <w:rPr>
          <w:sz w:val="24"/>
          <w:szCs w:val="24"/>
        </w:rPr>
        <w:t xml:space="preserve">Tek parametreler yasal veya teknik sınırlarına ulaşana kadar suyun kaskatlarda kullanılması. </w:t>
      </w:r>
    </w:p>
    <w:p w14:paraId="417791A1" w14:textId="77777777" w:rsidR="00BC23C9" w:rsidRPr="00D53A2B" w:rsidRDefault="00BC23C9" w:rsidP="00A202FD">
      <w:pPr>
        <w:pStyle w:val="ListeParagraf"/>
        <w:ind w:left="426" w:hanging="426"/>
        <w:rPr>
          <w:sz w:val="24"/>
          <w:szCs w:val="24"/>
        </w:rPr>
      </w:pPr>
      <w:r w:rsidRPr="00D53A2B">
        <w:rPr>
          <w:sz w:val="24"/>
          <w:szCs w:val="24"/>
        </w:rPr>
        <w:t>Suyun sadece tek bir parametresi etkilenmişse ve daha fazla kullanım mümkünse suyun diğer tesislerde kullanılması.</w:t>
      </w:r>
    </w:p>
    <w:p w14:paraId="231AA2C3" w14:textId="78A9CA5B" w:rsidR="00BC23C9" w:rsidRPr="00D53A2B" w:rsidRDefault="00BC23C9" w:rsidP="00A202FD">
      <w:pPr>
        <w:pStyle w:val="ListeParagraf"/>
        <w:ind w:left="426" w:hanging="426"/>
        <w:rPr>
          <w:sz w:val="24"/>
          <w:szCs w:val="24"/>
        </w:rPr>
      </w:pPr>
      <w:r w:rsidRPr="00D53A2B">
        <w:rPr>
          <w:sz w:val="24"/>
          <w:szCs w:val="24"/>
        </w:rPr>
        <w:t>Arıtılmış ve arıtılmamış atıksuyun ayrı tutulması; bu önlem sayesinde atıksuyun makul bir maliyetle farklı şekillerde bertaraf edilmesi mümkündür.</w:t>
      </w:r>
    </w:p>
    <w:p w14:paraId="58FCDBFC" w14:textId="4FE2D214" w:rsidR="007B43D6" w:rsidRPr="00D53A2B" w:rsidRDefault="00BC23C9" w:rsidP="00A202FD">
      <w:pPr>
        <w:pStyle w:val="ListeParagraf"/>
        <w:ind w:left="426" w:hanging="426"/>
        <w:rPr>
          <w:sz w:val="24"/>
          <w:szCs w:val="24"/>
        </w:rPr>
      </w:pPr>
      <w:r w:rsidRPr="00D53A2B">
        <w:rPr>
          <w:sz w:val="24"/>
          <w:szCs w:val="24"/>
        </w:rPr>
        <w:t>Mümkün olduğunca yağmur suyunun kullanılması.</w:t>
      </w:r>
    </w:p>
    <w:p w14:paraId="7433FEE8" w14:textId="77777777" w:rsidR="007B43D6" w:rsidRPr="00D53A2B" w:rsidRDefault="007B43D6" w:rsidP="00A202FD">
      <w:pPr>
        <w:jc w:val="both"/>
      </w:pPr>
    </w:p>
    <w:p w14:paraId="2FBEE912" w14:textId="77777777" w:rsidR="00EC16E7" w:rsidRPr="00D53A2B" w:rsidRDefault="00EC16E7" w:rsidP="00A202FD">
      <w:pPr>
        <w:jc w:val="both"/>
        <w:rPr>
          <w:rStyle w:val="Gvdemetni710pt3"/>
          <w:sz w:val="24"/>
          <w:szCs w:val="24"/>
        </w:rPr>
      </w:pPr>
      <w:r w:rsidRPr="00D53A2B">
        <w:rPr>
          <w:rStyle w:val="Gvdemetni710pt3"/>
          <w:sz w:val="24"/>
          <w:szCs w:val="24"/>
        </w:rPr>
        <w:t>Uygulanabilirlik</w:t>
      </w:r>
    </w:p>
    <w:p w14:paraId="2C6901A5" w14:textId="720271A2" w:rsidR="00E80CDA" w:rsidRPr="00D53A2B" w:rsidRDefault="00E80CDA" w:rsidP="00A202FD">
      <w:pPr>
        <w:jc w:val="both"/>
      </w:pPr>
      <w:r w:rsidRPr="00D53A2B">
        <w:t>Entegre bir çelik tesisinde su yönetimi öncelikle tatlı suyun mevcudiyeti ve kalitesi ile yerel yasal gerekliliklerle sınırlanacaktır. Mevcut tesislerde su devrelerinin mevcut yapılandırması uygulanabilirliği sınırlayabilir.</w:t>
      </w:r>
    </w:p>
    <w:p w14:paraId="4FFF77E8" w14:textId="77777777" w:rsidR="00E80CDA" w:rsidRPr="00D53A2B" w:rsidRDefault="00E80CDA" w:rsidP="00A202FD">
      <w:pPr>
        <w:jc w:val="both"/>
      </w:pPr>
    </w:p>
    <w:p w14:paraId="00B5F2FB" w14:textId="78F8BC22" w:rsidR="00EC16E7" w:rsidRPr="00D53A2B" w:rsidRDefault="00406CA5" w:rsidP="00602365">
      <w:pPr>
        <w:pStyle w:val="Balk3"/>
        <w:numPr>
          <w:ilvl w:val="1"/>
          <w:numId w:val="245"/>
        </w:numPr>
        <w:rPr>
          <w:rFonts w:cs="Times New Roman"/>
        </w:rPr>
      </w:pPr>
      <w:r w:rsidRPr="00D53A2B">
        <w:rPr>
          <w:rStyle w:val="Balk211pt1"/>
          <w:rFonts w:ascii="Times New Roman" w:hAnsi="Times New Roman" w:cs="Times New Roman"/>
          <w:b/>
          <w:bCs w:val="0"/>
          <w:color w:val="000000"/>
          <w:sz w:val="24"/>
          <w:szCs w:val="24"/>
        </w:rPr>
        <w:t xml:space="preserve"> </w:t>
      </w:r>
      <w:r w:rsidR="00E80CDA" w:rsidRPr="00D53A2B">
        <w:rPr>
          <w:rStyle w:val="Balk211pt1"/>
          <w:rFonts w:ascii="Times New Roman" w:hAnsi="Times New Roman" w:cs="Times New Roman"/>
          <w:b/>
          <w:bCs w:val="0"/>
          <w:color w:val="000000"/>
          <w:sz w:val="24"/>
          <w:szCs w:val="24"/>
        </w:rPr>
        <w:t>İzleme</w:t>
      </w:r>
    </w:p>
    <w:p w14:paraId="77D2DBC7" w14:textId="310F706E" w:rsidR="00E80CDA" w:rsidRPr="00D53A2B" w:rsidRDefault="00E80CDA" w:rsidP="00A202FD">
      <w:pPr>
        <w:pStyle w:val="Gvdemetni71"/>
        <w:shd w:val="clear" w:color="auto" w:fill="auto"/>
        <w:tabs>
          <w:tab w:val="left" w:pos="284"/>
        </w:tabs>
        <w:spacing w:before="0" w:after="272" w:line="250" w:lineRule="exact"/>
        <w:ind w:right="20"/>
        <w:rPr>
          <w:rStyle w:val="Gvdemetni710pt3"/>
          <w:b/>
          <w:bCs/>
          <w:color w:val="000000"/>
          <w:spacing w:val="2"/>
          <w:sz w:val="24"/>
          <w:szCs w:val="24"/>
          <w:lang w:eastAsia="en-US"/>
        </w:rPr>
      </w:pPr>
      <w:r w:rsidRPr="00D53A2B">
        <w:rPr>
          <w:rStyle w:val="Gvdemetni710pt3"/>
          <w:b/>
          <w:bCs/>
          <w:color w:val="000000"/>
          <w:spacing w:val="2"/>
          <w:sz w:val="24"/>
          <w:szCs w:val="24"/>
          <w:lang w:eastAsia="en-US"/>
        </w:rPr>
        <w:t>MET 13</w:t>
      </w:r>
      <w:r w:rsidR="00323B6B" w:rsidRPr="00D53A2B">
        <w:rPr>
          <w:rStyle w:val="Gvdemetni710pt3"/>
          <w:b/>
          <w:bCs/>
          <w:color w:val="000000"/>
          <w:spacing w:val="2"/>
          <w:sz w:val="24"/>
          <w:szCs w:val="24"/>
          <w:lang w:eastAsia="en-US"/>
        </w:rPr>
        <w:t>:</w:t>
      </w:r>
      <w:r w:rsidRPr="00D53A2B">
        <w:rPr>
          <w:rStyle w:val="Gvdemetni710pt3"/>
          <w:b/>
          <w:bCs/>
          <w:color w:val="000000"/>
          <w:spacing w:val="2"/>
          <w:sz w:val="24"/>
          <w:szCs w:val="24"/>
          <w:lang w:eastAsia="en-US"/>
        </w:rPr>
        <w:t xml:space="preserve"> </w:t>
      </w:r>
      <w:r w:rsidR="00323B6B" w:rsidRPr="00D53A2B">
        <w:rPr>
          <w:rStyle w:val="Gvdemetni710pt3"/>
          <w:color w:val="000000"/>
          <w:spacing w:val="2"/>
          <w:sz w:val="24"/>
          <w:szCs w:val="24"/>
          <w:lang w:eastAsia="en-US"/>
        </w:rPr>
        <w:t>P</w:t>
      </w:r>
      <w:r w:rsidRPr="00D53A2B">
        <w:rPr>
          <w:rStyle w:val="Gvdemetni710pt3"/>
          <w:color w:val="000000"/>
          <w:spacing w:val="2"/>
          <w:sz w:val="24"/>
          <w:szCs w:val="24"/>
          <w:lang w:eastAsia="en-US"/>
        </w:rPr>
        <w:t>rosesleri kontrol odalarından modern bilgisayar tabanlı sistemler vasıtasıyla yönlendirmek için gerekli tüm ilgili parametreleri ölçmek veya değerlendirmek, prosesleri çevrimiçi olarak sürekli ayarlamak ve optimize etmek, istikrarlı ve sorunsuz bir işleme sağlamak, böylece enerji verimliliğini artırmak, verimi en üst düzeye çıkarmak ve bakım uygulamalarını iyileştirmektir.</w:t>
      </w:r>
    </w:p>
    <w:p w14:paraId="332B3E4F" w14:textId="1B948D0A" w:rsidR="00E80CDA" w:rsidRPr="00D53A2B" w:rsidRDefault="00E80CDA" w:rsidP="00A202FD">
      <w:pPr>
        <w:pStyle w:val="Gvdemetni71"/>
        <w:shd w:val="clear" w:color="auto" w:fill="auto"/>
        <w:tabs>
          <w:tab w:val="left" w:pos="284"/>
        </w:tabs>
        <w:spacing w:before="0" w:after="272" w:line="250" w:lineRule="exact"/>
        <w:ind w:right="20"/>
        <w:rPr>
          <w:rStyle w:val="Gvdemetni710pt3"/>
          <w:b/>
          <w:bCs/>
          <w:color w:val="000000"/>
          <w:spacing w:val="2"/>
          <w:sz w:val="24"/>
          <w:szCs w:val="24"/>
          <w:lang w:eastAsia="en-US"/>
        </w:rPr>
      </w:pPr>
      <w:r w:rsidRPr="00D53A2B">
        <w:rPr>
          <w:rStyle w:val="Gvdemetni710pt3"/>
          <w:b/>
          <w:bCs/>
          <w:color w:val="000000"/>
          <w:spacing w:val="2"/>
          <w:sz w:val="24"/>
          <w:szCs w:val="24"/>
          <w:lang w:eastAsia="en-US"/>
        </w:rPr>
        <w:t>MET 14</w:t>
      </w:r>
      <w:r w:rsidR="00323B6B" w:rsidRPr="00D53A2B">
        <w:rPr>
          <w:rStyle w:val="Gvdemetni710pt3"/>
          <w:b/>
          <w:bCs/>
          <w:color w:val="000000"/>
          <w:spacing w:val="2"/>
          <w:sz w:val="24"/>
          <w:szCs w:val="24"/>
          <w:lang w:eastAsia="en-US"/>
        </w:rPr>
        <w:t>:</w:t>
      </w:r>
      <w:r w:rsidRPr="00D53A2B">
        <w:rPr>
          <w:rStyle w:val="Gvdemetni710pt3"/>
          <w:b/>
          <w:bCs/>
          <w:color w:val="000000"/>
          <w:spacing w:val="2"/>
          <w:sz w:val="24"/>
          <w:szCs w:val="24"/>
          <w:lang w:eastAsia="en-US"/>
        </w:rPr>
        <w:t xml:space="preserve"> </w:t>
      </w:r>
      <w:r w:rsidRPr="00D53A2B">
        <w:rPr>
          <w:rStyle w:val="Gvdemetni710pt3"/>
          <w:color w:val="000000"/>
          <w:spacing w:val="2"/>
          <w:sz w:val="24"/>
          <w:szCs w:val="24"/>
          <w:lang w:eastAsia="en-US"/>
        </w:rPr>
        <w:t xml:space="preserve">1.2–1.7. </w:t>
      </w:r>
      <w:r w:rsidR="00323B6B" w:rsidRPr="00D53A2B">
        <w:rPr>
          <w:rStyle w:val="Gvdemetni710pt3"/>
          <w:color w:val="000000"/>
          <w:spacing w:val="2"/>
          <w:sz w:val="24"/>
          <w:szCs w:val="24"/>
          <w:lang w:eastAsia="en-US"/>
        </w:rPr>
        <w:t>b</w:t>
      </w:r>
      <w:r w:rsidRPr="00D53A2B">
        <w:rPr>
          <w:rStyle w:val="Gvdemetni710pt3"/>
          <w:color w:val="000000"/>
          <w:spacing w:val="2"/>
          <w:sz w:val="24"/>
          <w:szCs w:val="24"/>
          <w:lang w:eastAsia="en-US"/>
        </w:rPr>
        <w:t>ölümler</w:t>
      </w:r>
      <w:r w:rsidR="00323B6B" w:rsidRPr="00D53A2B">
        <w:rPr>
          <w:rStyle w:val="Gvdemetni710pt3"/>
          <w:color w:val="000000"/>
          <w:spacing w:val="2"/>
          <w:sz w:val="24"/>
          <w:szCs w:val="24"/>
          <w:lang w:eastAsia="en-US"/>
        </w:rPr>
        <w:t>in</w:t>
      </w:r>
      <w:r w:rsidRPr="00D53A2B">
        <w:rPr>
          <w:rStyle w:val="Gvdemetni710pt3"/>
          <w:color w:val="000000"/>
          <w:spacing w:val="2"/>
          <w:sz w:val="24"/>
          <w:szCs w:val="24"/>
          <w:lang w:eastAsia="en-US"/>
        </w:rPr>
        <w:t xml:space="preserve">de yer alan tüm proseslerde, </w:t>
      </w:r>
      <w:r w:rsidR="00323B6B" w:rsidRPr="00D53A2B">
        <w:rPr>
          <w:rStyle w:val="Gvdemetni710pt3"/>
          <w:color w:val="000000"/>
          <w:spacing w:val="2"/>
          <w:sz w:val="24"/>
          <w:szCs w:val="24"/>
          <w:lang w:eastAsia="en-US"/>
        </w:rPr>
        <w:t>MET-İES</w:t>
      </w:r>
      <w:r w:rsidRPr="00D53A2B">
        <w:rPr>
          <w:rStyle w:val="Gvdemetni710pt3"/>
          <w:color w:val="000000"/>
          <w:spacing w:val="2"/>
          <w:sz w:val="24"/>
          <w:szCs w:val="24"/>
          <w:lang w:eastAsia="en-US"/>
        </w:rPr>
        <w:t xml:space="preserve"> verildiğinde ve demir-çelik fabrikalarındaki proses gaz yakıtlı enerji santrallerinde ana emisyon kaynaklarından kaynaklanan kirleticilerin baca emisyonlarını </w:t>
      </w:r>
      <w:r w:rsidR="00323B6B" w:rsidRPr="00D53A2B">
        <w:rPr>
          <w:rStyle w:val="Gvdemetni710pt3"/>
          <w:color w:val="000000"/>
          <w:spacing w:val="2"/>
          <w:sz w:val="24"/>
          <w:szCs w:val="24"/>
          <w:lang w:eastAsia="en-US"/>
        </w:rPr>
        <w:t>ölçülür.</w:t>
      </w:r>
    </w:p>
    <w:p w14:paraId="33A54920" w14:textId="6545EA66" w:rsidR="00E80CDA" w:rsidRPr="00D53A2B" w:rsidRDefault="00651500" w:rsidP="00A202FD">
      <w:pPr>
        <w:jc w:val="both"/>
        <w:rPr>
          <w:rStyle w:val="Gvdemetni710pt3"/>
          <w:b w:val="0"/>
          <w:bCs w:val="0"/>
          <w:spacing w:val="2"/>
          <w:sz w:val="24"/>
          <w:szCs w:val="24"/>
          <w:lang w:eastAsia="en-US"/>
        </w:rPr>
      </w:pPr>
      <w:r w:rsidRPr="00D53A2B">
        <w:rPr>
          <w:rStyle w:val="Gvdemetni710pt3"/>
          <w:b w:val="0"/>
          <w:bCs w:val="0"/>
          <w:spacing w:val="2"/>
          <w:sz w:val="24"/>
          <w:szCs w:val="24"/>
          <w:lang w:eastAsia="en-US"/>
        </w:rPr>
        <w:t>MET</w:t>
      </w:r>
      <w:r w:rsidR="00E80CDA" w:rsidRPr="00D53A2B">
        <w:rPr>
          <w:rStyle w:val="Gvdemetni710pt3"/>
          <w:b w:val="0"/>
          <w:bCs w:val="0"/>
          <w:spacing w:val="2"/>
          <w:sz w:val="24"/>
          <w:szCs w:val="24"/>
          <w:lang w:eastAsia="en-US"/>
        </w:rPr>
        <w:t>en azından aşağıdakiler için sürekli ölçümlerin kullanılmasıdır:</w:t>
      </w:r>
    </w:p>
    <w:p w14:paraId="69FA08B6" w14:textId="4F01BE19" w:rsidR="00E80CDA" w:rsidRPr="00D53A2B" w:rsidRDefault="008339F1" w:rsidP="00A202FD">
      <w:pPr>
        <w:pStyle w:val="ListeParagraf"/>
        <w:numPr>
          <w:ilvl w:val="0"/>
          <w:numId w:val="79"/>
        </w:numPr>
        <w:tabs>
          <w:tab w:val="clear" w:pos="567"/>
        </w:tabs>
        <w:ind w:left="426" w:hanging="426"/>
        <w:rPr>
          <w:rStyle w:val="Gvdemetni710pt3"/>
          <w:b w:val="0"/>
          <w:bCs w:val="0"/>
          <w:sz w:val="24"/>
          <w:szCs w:val="24"/>
        </w:rPr>
      </w:pPr>
      <w:r w:rsidRPr="00D53A2B">
        <w:rPr>
          <w:rStyle w:val="Gvdemetni710pt3"/>
          <w:b w:val="0"/>
          <w:bCs w:val="0"/>
          <w:sz w:val="24"/>
          <w:szCs w:val="24"/>
        </w:rPr>
        <w:t xml:space="preserve">Sinter </w:t>
      </w:r>
      <w:r w:rsidR="007E05A4" w:rsidRPr="00D53A2B">
        <w:rPr>
          <w:rStyle w:val="Gvdemetni710pt3"/>
          <w:b w:val="0"/>
          <w:bCs w:val="0"/>
          <w:sz w:val="24"/>
          <w:szCs w:val="24"/>
        </w:rPr>
        <w:t xml:space="preserve">bandından </w:t>
      </w:r>
      <w:r w:rsidRPr="00D53A2B">
        <w:rPr>
          <w:rStyle w:val="Gvdemetni710pt3"/>
          <w:b w:val="0"/>
          <w:bCs w:val="0"/>
          <w:sz w:val="24"/>
          <w:szCs w:val="24"/>
        </w:rPr>
        <w:t>kaynaklanan birincil toz, azot oksit (NO</w:t>
      </w:r>
      <w:r w:rsidRPr="00D53A2B">
        <w:rPr>
          <w:rStyle w:val="Gvdemetni710pt3"/>
          <w:b w:val="0"/>
          <w:bCs w:val="0"/>
          <w:sz w:val="24"/>
          <w:szCs w:val="24"/>
          <w:vertAlign w:val="subscript"/>
        </w:rPr>
        <w:t>X</w:t>
      </w:r>
      <w:r w:rsidRPr="00D53A2B">
        <w:rPr>
          <w:rStyle w:val="Gvdemetni710pt3"/>
          <w:b w:val="0"/>
          <w:bCs w:val="0"/>
          <w:sz w:val="24"/>
          <w:szCs w:val="24"/>
        </w:rPr>
        <w:t>) ve sülfür dioksit (SO</w:t>
      </w:r>
      <w:r w:rsidRPr="00D53A2B">
        <w:rPr>
          <w:rStyle w:val="Gvdemetni710pt3"/>
          <w:b w:val="0"/>
          <w:bCs w:val="0"/>
          <w:sz w:val="24"/>
          <w:szCs w:val="24"/>
          <w:vertAlign w:val="subscript"/>
        </w:rPr>
        <w:t>2</w:t>
      </w:r>
      <w:r w:rsidRPr="00D53A2B">
        <w:rPr>
          <w:rStyle w:val="Gvdemetni710pt3"/>
          <w:b w:val="0"/>
          <w:bCs w:val="0"/>
          <w:sz w:val="24"/>
          <w:szCs w:val="24"/>
        </w:rPr>
        <w:t>) emisyonları.</w:t>
      </w:r>
    </w:p>
    <w:p w14:paraId="7C4B20CF" w14:textId="44F6C452" w:rsidR="000B19DD" w:rsidRPr="00D53A2B" w:rsidRDefault="000B19DD" w:rsidP="00A202FD">
      <w:pPr>
        <w:pStyle w:val="ListeParagraf"/>
        <w:numPr>
          <w:ilvl w:val="0"/>
          <w:numId w:val="79"/>
        </w:numPr>
        <w:tabs>
          <w:tab w:val="clear" w:pos="567"/>
        </w:tabs>
        <w:ind w:left="426" w:hanging="426"/>
        <w:rPr>
          <w:rStyle w:val="Gvdemetni710pt3"/>
          <w:b w:val="0"/>
          <w:bCs w:val="0"/>
          <w:sz w:val="24"/>
          <w:szCs w:val="24"/>
        </w:rPr>
      </w:pPr>
      <w:r w:rsidRPr="00D53A2B">
        <w:rPr>
          <w:rStyle w:val="Gvdemetni710pt3"/>
          <w:b w:val="0"/>
          <w:bCs w:val="0"/>
          <w:sz w:val="24"/>
          <w:szCs w:val="24"/>
        </w:rPr>
        <w:t xml:space="preserve">Peletleme tesislerinin </w:t>
      </w:r>
      <w:r w:rsidR="00323B6B" w:rsidRPr="00D53A2B">
        <w:rPr>
          <w:sz w:val="24"/>
          <w:szCs w:val="24"/>
          <w:lang w:val="tr-TR"/>
        </w:rPr>
        <w:t>sertleştirme bandından</w:t>
      </w:r>
      <w:r w:rsidRPr="00D53A2B">
        <w:rPr>
          <w:sz w:val="24"/>
          <w:szCs w:val="24"/>
          <w:lang w:val="tr-TR"/>
        </w:rPr>
        <w:t xml:space="preserve"> </w:t>
      </w:r>
      <w:r w:rsidRPr="00D53A2B">
        <w:rPr>
          <w:rStyle w:val="Gvdemetni710pt3"/>
          <w:b w:val="0"/>
          <w:bCs w:val="0"/>
          <w:sz w:val="24"/>
          <w:szCs w:val="24"/>
        </w:rPr>
        <w:t>kaynaklanan azot oksit (NO</w:t>
      </w:r>
      <w:r w:rsidRPr="00D53A2B">
        <w:rPr>
          <w:rStyle w:val="Gvdemetni710pt3"/>
          <w:b w:val="0"/>
          <w:bCs w:val="0"/>
          <w:sz w:val="24"/>
          <w:szCs w:val="24"/>
          <w:vertAlign w:val="subscript"/>
        </w:rPr>
        <w:t>X</w:t>
      </w:r>
      <w:r w:rsidRPr="00D53A2B">
        <w:rPr>
          <w:rStyle w:val="Gvdemetni710pt3"/>
          <w:b w:val="0"/>
          <w:bCs w:val="0"/>
          <w:sz w:val="24"/>
          <w:szCs w:val="24"/>
        </w:rPr>
        <w:t>) ve sülfür dioksit (SO</w:t>
      </w:r>
      <w:r w:rsidRPr="00D53A2B">
        <w:rPr>
          <w:rStyle w:val="Gvdemetni710pt3"/>
          <w:b w:val="0"/>
          <w:bCs w:val="0"/>
          <w:sz w:val="24"/>
          <w:szCs w:val="24"/>
          <w:vertAlign w:val="subscript"/>
        </w:rPr>
        <w:t>2</w:t>
      </w:r>
      <w:r w:rsidRPr="00D53A2B">
        <w:rPr>
          <w:rStyle w:val="Gvdemetni710pt3"/>
          <w:b w:val="0"/>
          <w:bCs w:val="0"/>
          <w:sz w:val="24"/>
          <w:szCs w:val="24"/>
        </w:rPr>
        <w:t>) emisyonları.</w:t>
      </w:r>
    </w:p>
    <w:p w14:paraId="6A701ABA" w14:textId="79A9A5D0" w:rsidR="008339F1" w:rsidRPr="00D53A2B" w:rsidRDefault="000B19DD" w:rsidP="00A202FD">
      <w:pPr>
        <w:pStyle w:val="ListeParagraf"/>
        <w:numPr>
          <w:ilvl w:val="0"/>
          <w:numId w:val="79"/>
        </w:numPr>
        <w:tabs>
          <w:tab w:val="clear" w:pos="567"/>
        </w:tabs>
        <w:ind w:left="426" w:hanging="426"/>
        <w:rPr>
          <w:rStyle w:val="Gvdemetni710pt3"/>
          <w:b w:val="0"/>
          <w:bCs w:val="0"/>
          <w:sz w:val="24"/>
          <w:szCs w:val="24"/>
        </w:rPr>
      </w:pPr>
      <w:r w:rsidRPr="00D53A2B">
        <w:rPr>
          <w:rStyle w:val="Gvdemetni710pt3"/>
          <w:b w:val="0"/>
          <w:bCs w:val="0"/>
          <w:sz w:val="24"/>
          <w:szCs w:val="24"/>
        </w:rPr>
        <w:t>Yüksek fırın dökümhanelerinden kaynaklanan toz emisyonları.</w:t>
      </w:r>
    </w:p>
    <w:p w14:paraId="6E240CCE" w14:textId="38BCCB0E" w:rsidR="000B19DD" w:rsidRPr="00D53A2B" w:rsidRDefault="000B19DD" w:rsidP="00A202FD">
      <w:pPr>
        <w:pStyle w:val="ListeParagraf"/>
        <w:numPr>
          <w:ilvl w:val="0"/>
          <w:numId w:val="79"/>
        </w:numPr>
        <w:tabs>
          <w:tab w:val="clear" w:pos="567"/>
        </w:tabs>
        <w:ind w:left="426" w:hanging="426"/>
        <w:rPr>
          <w:rStyle w:val="Gvdemetni710pt3"/>
          <w:b w:val="0"/>
          <w:bCs w:val="0"/>
          <w:sz w:val="24"/>
          <w:szCs w:val="24"/>
        </w:rPr>
      </w:pPr>
      <w:r w:rsidRPr="00D53A2B">
        <w:rPr>
          <w:rStyle w:val="Gvdemetni710pt3"/>
          <w:b w:val="0"/>
          <w:bCs w:val="0"/>
          <w:sz w:val="24"/>
          <w:szCs w:val="24"/>
        </w:rPr>
        <w:t>Bazik oksijen fırınlarından kaynaklanan ikincil toz emisyonları.</w:t>
      </w:r>
    </w:p>
    <w:p w14:paraId="0709EC49" w14:textId="4CD4D472" w:rsidR="000B19DD" w:rsidRPr="00D53A2B" w:rsidRDefault="000B19DD" w:rsidP="00A202FD">
      <w:pPr>
        <w:pStyle w:val="ListeParagraf"/>
        <w:numPr>
          <w:ilvl w:val="0"/>
          <w:numId w:val="79"/>
        </w:numPr>
        <w:tabs>
          <w:tab w:val="clear" w:pos="567"/>
        </w:tabs>
        <w:ind w:left="426" w:hanging="426"/>
        <w:rPr>
          <w:rStyle w:val="Gvdemetni710pt3"/>
          <w:b w:val="0"/>
          <w:bCs w:val="0"/>
          <w:sz w:val="24"/>
          <w:szCs w:val="24"/>
        </w:rPr>
      </w:pPr>
      <w:r w:rsidRPr="00D53A2B">
        <w:rPr>
          <w:rStyle w:val="Gvdemetni710pt3"/>
          <w:b w:val="0"/>
          <w:bCs w:val="0"/>
          <w:sz w:val="24"/>
          <w:szCs w:val="24"/>
        </w:rPr>
        <w:t>Enerji santrallerinden kaynaklanan azot oksit (NO</w:t>
      </w:r>
      <w:r w:rsidRPr="00D53A2B">
        <w:rPr>
          <w:rStyle w:val="Gvdemetni710pt3"/>
          <w:b w:val="0"/>
          <w:bCs w:val="0"/>
          <w:sz w:val="24"/>
          <w:szCs w:val="24"/>
          <w:vertAlign w:val="subscript"/>
        </w:rPr>
        <w:t>X</w:t>
      </w:r>
      <w:r w:rsidRPr="00D53A2B">
        <w:rPr>
          <w:rStyle w:val="Gvdemetni710pt3"/>
          <w:b w:val="0"/>
          <w:bCs w:val="0"/>
          <w:sz w:val="24"/>
          <w:szCs w:val="24"/>
        </w:rPr>
        <w:t>) emisyonları.</w:t>
      </w:r>
    </w:p>
    <w:p w14:paraId="08FD1489" w14:textId="365BA126" w:rsidR="000B19DD" w:rsidRPr="00D53A2B" w:rsidRDefault="000B19DD" w:rsidP="00A202FD">
      <w:pPr>
        <w:pStyle w:val="ListeParagraf"/>
        <w:numPr>
          <w:ilvl w:val="0"/>
          <w:numId w:val="79"/>
        </w:numPr>
        <w:tabs>
          <w:tab w:val="clear" w:pos="567"/>
        </w:tabs>
        <w:ind w:left="426" w:hanging="426"/>
        <w:rPr>
          <w:rStyle w:val="Gvdemetni710pt3"/>
          <w:b w:val="0"/>
          <w:bCs w:val="0"/>
          <w:sz w:val="24"/>
          <w:szCs w:val="24"/>
        </w:rPr>
      </w:pPr>
      <w:r w:rsidRPr="00D53A2B">
        <w:rPr>
          <w:rStyle w:val="Gvdemetni710pt3"/>
          <w:b w:val="0"/>
          <w:bCs w:val="0"/>
          <w:sz w:val="24"/>
          <w:szCs w:val="24"/>
        </w:rPr>
        <w:t>Büyük elektrik ark fırınlarından kaynaklanan toz emisyonları.</w:t>
      </w:r>
    </w:p>
    <w:p w14:paraId="7A70B8B5" w14:textId="77777777" w:rsidR="000B19DD" w:rsidRPr="00D53A2B" w:rsidRDefault="000B19DD" w:rsidP="00A202FD">
      <w:pPr>
        <w:jc w:val="both"/>
        <w:rPr>
          <w:rStyle w:val="Gvdemetni710pt3"/>
          <w:spacing w:val="2"/>
          <w:sz w:val="24"/>
          <w:szCs w:val="24"/>
          <w:lang w:eastAsia="en-US"/>
        </w:rPr>
      </w:pPr>
    </w:p>
    <w:p w14:paraId="09E0DF9B" w14:textId="2451EBAE" w:rsidR="000B19DD" w:rsidRPr="00D53A2B" w:rsidRDefault="000B19DD" w:rsidP="00A202FD">
      <w:pPr>
        <w:jc w:val="both"/>
        <w:rPr>
          <w:rStyle w:val="Gvdemetni710pt3"/>
          <w:b w:val="0"/>
          <w:bCs w:val="0"/>
          <w:spacing w:val="2"/>
          <w:sz w:val="24"/>
          <w:szCs w:val="24"/>
          <w:lang w:eastAsia="en-US"/>
        </w:rPr>
      </w:pPr>
      <w:r w:rsidRPr="00D53A2B">
        <w:rPr>
          <w:rStyle w:val="Gvdemetni710pt3"/>
          <w:b w:val="0"/>
          <w:bCs w:val="0"/>
          <w:spacing w:val="2"/>
          <w:sz w:val="24"/>
          <w:szCs w:val="24"/>
          <w:lang w:eastAsia="en-US"/>
        </w:rPr>
        <w:t xml:space="preserve">Diğer emisyonlar için </w:t>
      </w:r>
      <w:r w:rsidR="0031317B" w:rsidRPr="00D53A2B">
        <w:rPr>
          <w:rStyle w:val="Gvdemetni710pt3"/>
          <w:b w:val="0"/>
          <w:bCs w:val="0"/>
          <w:spacing w:val="2"/>
          <w:sz w:val="24"/>
          <w:szCs w:val="24"/>
          <w:lang w:eastAsia="en-US"/>
        </w:rPr>
        <w:t>MET,</w:t>
      </w:r>
      <w:r w:rsidRPr="00D53A2B">
        <w:rPr>
          <w:rStyle w:val="Gvdemetni710pt3"/>
          <w:b w:val="0"/>
          <w:bCs w:val="0"/>
          <w:spacing w:val="2"/>
          <w:sz w:val="24"/>
          <w:szCs w:val="24"/>
          <w:lang w:eastAsia="en-US"/>
        </w:rPr>
        <w:t xml:space="preserve"> kütle akışı ve emisyon özelliklerine bağlı olarak sürekli emisyon izlemeyi kullanmayı değerlendirmelidir.</w:t>
      </w:r>
    </w:p>
    <w:p w14:paraId="6F19BF37" w14:textId="77777777" w:rsidR="000B19DD" w:rsidRPr="00D53A2B" w:rsidRDefault="000B19DD" w:rsidP="00A202FD">
      <w:pPr>
        <w:pStyle w:val="MET"/>
        <w:rPr>
          <w:rStyle w:val="Gvdemetni710pt3"/>
          <w:b/>
          <w:bCs w:val="0"/>
          <w:sz w:val="24"/>
          <w:szCs w:val="24"/>
        </w:rPr>
      </w:pPr>
    </w:p>
    <w:p w14:paraId="267FA7A3" w14:textId="651AFA51" w:rsidR="00443A2F" w:rsidRPr="00D53A2B" w:rsidRDefault="00443A2F" w:rsidP="00A202FD">
      <w:pPr>
        <w:pStyle w:val="MET"/>
        <w:rPr>
          <w:rStyle w:val="Gvdemetni710pt3"/>
          <w:b/>
          <w:bCs w:val="0"/>
          <w:sz w:val="24"/>
          <w:szCs w:val="24"/>
        </w:rPr>
      </w:pPr>
      <w:r w:rsidRPr="00D53A2B">
        <w:rPr>
          <w:rStyle w:val="Gvdemetni710pt3"/>
          <w:b/>
          <w:bCs w:val="0"/>
          <w:sz w:val="24"/>
          <w:szCs w:val="24"/>
        </w:rPr>
        <w:t xml:space="preserve">MET 15: </w:t>
      </w:r>
      <w:r w:rsidRPr="00D53A2B">
        <w:rPr>
          <w:rStyle w:val="Gvdemetni710pt3"/>
          <w:sz w:val="24"/>
          <w:szCs w:val="24"/>
        </w:rPr>
        <w:t>MET 14</w:t>
      </w:r>
      <w:r w:rsidR="00E56504" w:rsidRPr="00D53A2B">
        <w:rPr>
          <w:rStyle w:val="Gvdemetni710pt3"/>
          <w:sz w:val="24"/>
          <w:szCs w:val="24"/>
        </w:rPr>
        <w:t>’</w:t>
      </w:r>
      <w:r w:rsidRPr="00D53A2B">
        <w:rPr>
          <w:rStyle w:val="Gvdemetni710pt3"/>
          <w:sz w:val="24"/>
          <w:szCs w:val="24"/>
        </w:rPr>
        <w:t>te belirtilmeyen ilgili emisyon kaynakları için MET, Bölüm 1.2 - 1.7</w:t>
      </w:r>
      <w:r w:rsidR="00E56504" w:rsidRPr="00D53A2B">
        <w:rPr>
          <w:rStyle w:val="Gvdemetni710pt3"/>
          <w:sz w:val="24"/>
          <w:szCs w:val="24"/>
        </w:rPr>
        <w:t>’</w:t>
      </w:r>
      <w:r w:rsidRPr="00D53A2B">
        <w:rPr>
          <w:rStyle w:val="Gvdemetni710pt3"/>
          <w:sz w:val="24"/>
          <w:szCs w:val="24"/>
        </w:rPr>
        <w:t xml:space="preserve">de yer alan tüm proseslerden ve demir çelik fabrikalarındaki proses gazı yakıtlı enerji santrallerinden kaynaklanan kirletici emisyonlarının yanı sıra ilgili tüm proses gazı bileşenlerinin/kirleticilerinin periyodik ve </w:t>
      </w:r>
      <w:r w:rsidR="00EC6486">
        <w:rPr>
          <w:rStyle w:val="Gvdemetni710pt3"/>
          <w:sz w:val="24"/>
          <w:szCs w:val="24"/>
        </w:rPr>
        <w:t xml:space="preserve">kesikli </w:t>
      </w:r>
      <w:r w:rsidRPr="00D53A2B">
        <w:rPr>
          <w:rStyle w:val="Gvdemetni710pt3"/>
          <w:sz w:val="24"/>
          <w:szCs w:val="24"/>
        </w:rPr>
        <w:t>olarak ölçülmesidir. Bu, proses gazlarının, baca emisyonlarının, poliklorlu dibenzodioksin/furanların (PCDD/F) kesintili olarak izlenmesini ve atıksu deşarjının izlenmesini içerir, ancak yayılı emisyonları kapsamaz (bkz. MET 16).</w:t>
      </w:r>
    </w:p>
    <w:p w14:paraId="43823F8D" w14:textId="77777777" w:rsidR="008339F1" w:rsidRPr="00D53A2B" w:rsidRDefault="008339F1" w:rsidP="00A202FD">
      <w:pPr>
        <w:jc w:val="both"/>
        <w:rPr>
          <w:rStyle w:val="Gvdemetni710pt3"/>
          <w:b w:val="0"/>
          <w:bCs w:val="0"/>
          <w:spacing w:val="2"/>
          <w:sz w:val="24"/>
          <w:szCs w:val="24"/>
          <w:lang w:eastAsia="en-US"/>
        </w:rPr>
      </w:pPr>
    </w:p>
    <w:p w14:paraId="6DB00556" w14:textId="3B20416E" w:rsidR="00EC16E7" w:rsidRPr="00D53A2B" w:rsidRDefault="00EC16E7" w:rsidP="00A202FD">
      <w:pPr>
        <w:jc w:val="both"/>
      </w:pPr>
      <w:r w:rsidRPr="00D53A2B">
        <w:rPr>
          <w:rStyle w:val="Gvdemetni710pt3"/>
          <w:sz w:val="24"/>
          <w:szCs w:val="24"/>
        </w:rPr>
        <w:t>Tanım (MET 14 ve 15</w:t>
      </w:r>
      <w:r w:rsidR="00443A2F" w:rsidRPr="00D53A2B">
        <w:rPr>
          <w:rStyle w:val="Gvdemetni710pt3"/>
          <w:sz w:val="24"/>
          <w:szCs w:val="24"/>
        </w:rPr>
        <w:t xml:space="preserve"> ile</w:t>
      </w:r>
      <w:r w:rsidRPr="00D53A2B">
        <w:rPr>
          <w:rStyle w:val="Gvdemetni710pt3"/>
          <w:sz w:val="24"/>
          <w:szCs w:val="24"/>
        </w:rPr>
        <w:t xml:space="preserve"> ilgili)</w:t>
      </w:r>
    </w:p>
    <w:p w14:paraId="7851C75C" w14:textId="77777777" w:rsidR="00443A2F" w:rsidRPr="00D53A2B" w:rsidRDefault="00443A2F" w:rsidP="00A202FD">
      <w:pPr>
        <w:jc w:val="both"/>
        <w:rPr>
          <w:rStyle w:val="Gvdemetni3a"/>
        </w:rPr>
      </w:pPr>
      <w:r w:rsidRPr="00D53A2B">
        <w:rPr>
          <w:rStyle w:val="Gvdemetni3a"/>
        </w:rPr>
        <w:t>Proses gazlarının izlenmesi, proses gazlarının bileşimi ve toz, ağır metaller ve SO</w:t>
      </w:r>
      <w:r w:rsidRPr="00D53A2B">
        <w:rPr>
          <w:rStyle w:val="Gvdemetni3a"/>
          <w:vertAlign w:val="subscript"/>
        </w:rPr>
        <w:t>x</w:t>
      </w:r>
      <w:r w:rsidRPr="00D53A2B">
        <w:rPr>
          <w:rStyle w:val="Gvdemetni3a"/>
        </w:rPr>
        <w:t xml:space="preserve"> emisyonları gibi proses gazlarının yanmasından kaynaklanan dolaylı emisyonlar hakkında bilgi sağlar.</w:t>
      </w:r>
    </w:p>
    <w:p w14:paraId="2A9017E7" w14:textId="77777777" w:rsidR="00443A2F" w:rsidRPr="00D53A2B" w:rsidRDefault="00443A2F" w:rsidP="00A202FD">
      <w:pPr>
        <w:jc w:val="both"/>
        <w:rPr>
          <w:rStyle w:val="Gvdemetni3a"/>
        </w:rPr>
      </w:pPr>
    </w:p>
    <w:p w14:paraId="79664E38" w14:textId="7398B791" w:rsidR="00443A2F" w:rsidRPr="00D53A2B" w:rsidRDefault="00443A2F" w:rsidP="00A202FD">
      <w:pPr>
        <w:jc w:val="both"/>
        <w:rPr>
          <w:rStyle w:val="Gvdemetni3a"/>
        </w:rPr>
      </w:pPr>
      <w:r w:rsidRPr="00D53A2B">
        <w:rPr>
          <w:rStyle w:val="Gvdemetni3a"/>
        </w:rPr>
        <w:t xml:space="preserve">Baca emisyonları, temsili emisyon değerleri elde etmek için yeterince uzun bir süre boyunca ilgili yönlendirilmiş emisyon kaynaklarında düzenli, periyodik </w:t>
      </w:r>
      <w:r w:rsidR="00EC6486">
        <w:rPr>
          <w:rStyle w:val="Gvdemetni3a"/>
        </w:rPr>
        <w:t xml:space="preserve">kesikli </w:t>
      </w:r>
      <w:r w:rsidRPr="00D53A2B">
        <w:rPr>
          <w:rStyle w:val="Gvdemetni3a"/>
        </w:rPr>
        <w:t>ölçümlerle ölçülebilir.</w:t>
      </w:r>
    </w:p>
    <w:p w14:paraId="4E17F255" w14:textId="77777777" w:rsidR="00627F8B" w:rsidRPr="00D53A2B" w:rsidRDefault="00627F8B" w:rsidP="00A202FD">
      <w:pPr>
        <w:jc w:val="both"/>
        <w:rPr>
          <w:rStyle w:val="Gvdemetni3a"/>
        </w:rPr>
      </w:pPr>
    </w:p>
    <w:p w14:paraId="4B9C4B1C" w14:textId="4FE2D256" w:rsidR="00627F8B" w:rsidRPr="00D53A2B" w:rsidRDefault="00627F8B" w:rsidP="00A202FD">
      <w:pPr>
        <w:jc w:val="both"/>
        <w:rPr>
          <w:rStyle w:val="Gvdemetni3a"/>
        </w:rPr>
      </w:pPr>
      <w:r w:rsidRPr="00D53A2B">
        <w:rPr>
          <w:rStyle w:val="Gvdemetni3a"/>
        </w:rPr>
        <w:t>Atıksu deşarjının izlenmesi için, su ve atıksudan numune alınması ve analiz edilmesine yönelik çok çeşitli standartlaştırılmış prosedürler mevcuttur:</w:t>
      </w:r>
    </w:p>
    <w:p w14:paraId="5C67D35D" w14:textId="60735737" w:rsidR="00443A2F" w:rsidRPr="00D53A2B" w:rsidRDefault="00627F8B" w:rsidP="00A202FD">
      <w:pPr>
        <w:pStyle w:val="ListeParagraf"/>
        <w:numPr>
          <w:ilvl w:val="0"/>
          <w:numId w:val="80"/>
        </w:numPr>
        <w:ind w:left="284" w:hanging="284"/>
        <w:rPr>
          <w:rStyle w:val="Gvdemetni3a"/>
          <w:color w:val="000000"/>
          <w:sz w:val="24"/>
          <w:szCs w:val="24"/>
        </w:rPr>
      </w:pPr>
      <w:r w:rsidRPr="00D53A2B">
        <w:rPr>
          <w:rStyle w:val="Gvdemetni3a"/>
          <w:color w:val="000000"/>
          <w:sz w:val="24"/>
          <w:szCs w:val="24"/>
        </w:rPr>
        <w:t>Atıksu akışından rastgele alınan tek bir numuneyi ifade eden temsili numune</w:t>
      </w:r>
    </w:p>
    <w:p w14:paraId="5F7143CB" w14:textId="2996F345" w:rsidR="00627F8B" w:rsidRPr="00D53A2B" w:rsidRDefault="00627F8B" w:rsidP="00A202FD">
      <w:pPr>
        <w:pStyle w:val="ListeParagraf"/>
        <w:numPr>
          <w:ilvl w:val="0"/>
          <w:numId w:val="80"/>
        </w:numPr>
        <w:ind w:left="284" w:hanging="284"/>
        <w:rPr>
          <w:rStyle w:val="Gvdemetni3a"/>
          <w:color w:val="000000"/>
          <w:sz w:val="24"/>
          <w:szCs w:val="24"/>
        </w:rPr>
      </w:pPr>
      <w:r w:rsidRPr="00D53A2B">
        <w:rPr>
          <w:rStyle w:val="Gvdemetni3a"/>
          <w:color w:val="000000"/>
          <w:sz w:val="24"/>
          <w:szCs w:val="24"/>
        </w:rPr>
        <w:t>Bileşik numune, belirli bir süre boyunca sürekli olarak alınan bir numuneyi veya belirli bir süre boyunca sürekli veya aralıklı olarak alınan ve birleştirilmiş birkaç numuneden oluşan bir numuneyi ifade eder.</w:t>
      </w:r>
    </w:p>
    <w:p w14:paraId="46C7F20F" w14:textId="484C2CA4" w:rsidR="00627F8B" w:rsidRPr="00D53A2B" w:rsidRDefault="00627F8B" w:rsidP="00A202FD">
      <w:pPr>
        <w:pStyle w:val="ListeParagraf"/>
        <w:numPr>
          <w:ilvl w:val="0"/>
          <w:numId w:val="80"/>
        </w:numPr>
        <w:ind w:left="284" w:hanging="284"/>
        <w:rPr>
          <w:rStyle w:val="Gvdemetni3a"/>
          <w:color w:val="000000"/>
          <w:sz w:val="24"/>
          <w:szCs w:val="24"/>
        </w:rPr>
      </w:pPr>
      <w:r w:rsidRPr="00D53A2B">
        <w:rPr>
          <w:rStyle w:val="Gvdemetni3a"/>
          <w:color w:val="000000"/>
          <w:sz w:val="24"/>
          <w:szCs w:val="24"/>
        </w:rPr>
        <w:t>Nitelikli rastgele numune, iki dakikadan az olmayan aralıklarla en fazla iki saatlik bir süre boyunca alınan ve harmanlanan en az beş rastgele numuneden oluşan bir bileşik numuneyi ifade eder.</w:t>
      </w:r>
    </w:p>
    <w:p w14:paraId="13AD4600" w14:textId="77777777" w:rsidR="00443A2F" w:rsidRPr="00D53A2B" w:rsidRDefault="00443A2F" w:rsidP="00A202FD">
      <w:pPr>
        <w:jc w:val="both"/>
        <w:rPr>
          <w:rStyle w:val="Gvdemetni3a"/>
          <w:spacing w:val="2"/>
          <w:position w:val="-1"/>
          <w:lang w:val="en-US" w:eastAsia="en-US"/>
        </w:rPr>
      </w:pPr>
    </w:p>
    <w:p w14:paraId="4233FD31" w14:textId="561D7565" w:rsidR="007840A8" w:rsidRPr="00D53A2B" w:rsidRDefault="00627F8B" w:rsidP="00A202FD">
      <w:pPr>
        <w:jc w:val="both"/>
        <w:rPr>
          <w:rStyle w:val="Gvdemetni3a"/>
        </w:rPr>
      </w:pPr>
      <w:r w:rsidRPr="00D53A2B">
        <w:rPr>
          <w:rStyle w:val="Gvdemetni3a"/>
        </w:rPr>
        <w:t xml:space="preserve">İzleme, ilgili </w:t>
      </w:r>
      <w:r w:rsidR="00132755" w:rsidRPr="00D53A2B">
        <w:rPr>
          <w:rStyle w:val="Gvdemetni3a"/>
        </w:rPr>
        <w:t xml:space="preserve">TS </w:t>
      </w:r>
      <w:r w:rsidRPr="00D53A2B">
        <w:rPr>
          <w:rStyle w:val="Gvdemetni3a"/>
        </w:rPr>
        <w:t xml:space="preserve">EN veya ISO standartlarına göre yapılmalıdır. </w:t>
      </w:r>
      <w:r w:rsidR="00132755" w:rsidRPr="00D53A2B">
        <w:rPr>
          <w:rStyle w:val="Gvdemetni3a"/>
        </w:rPr>
        <w:t xml:space="preserve">TS </w:t>
      </w:r>
      <w:r w:rsidRPr="00D53A2B">
        <w:rPr>
          <w:rStyle w:val="Gvdemetni3a"/>
        </w:rPr>
        <w:t>EN veya ISO standartları mevcut değilse, eşdeğer bilimsel kalitede veri sağlanmasını temin eden ulusal veya diğer uluslararası standartlar kullanılmalıdır.</w:t>
      </w:r>
    </w:p>
    <w:p w14:paraId="18FEBD55" w14:textId="77777777" w:rsidR="00662FD8" w:rsidRPr="00D53A2B" w:rsidRDefault="00662FD8" w:rsidP="00A202FD">
      <w:pPr>
        <w:jc w:val="both"/>
        <w:rPr>
          <w:rStyle w:val="Gvdemetni3a"/>
        </w:rPr>
      </w:pPr>
    </w:p>
    <w:p w14:paraId="3BE1A5FF" w14:textId="46395544" w:rsidR="007840A8" w:rsidRPr="00D53A2B" w:rsidRDefault="007840A8" w:rsidP="00A202FD">
      <w:pPr>
        <w:pStyle w:val="MET"/>
        <w:rPr>
          <w:rStyle w:val="Gvdemetni3a"/>
          <w:color w:val="000000"/>
          <w:szCs w:val="24"/>
        </w:rPr>
      </w:pPr>
      <w:r w:rsidRPr="00D53A2B">
        <w:rPr>
          <w:rStyle w:val="Gvdemetni3a"/>
          <w:color w:val="000000"/>
          <w:szCs w:val="24"/>
        </w:rPr>
        <w:t>MET</w:t>
      </w:r>
      <w:r w:rsidRPr="00D53A2B">
        <w:rPr>
          <w:rStyle w:val="Gvdemetni3a"/>
          <w:szCs w:val="24"/>
        </w:rPr>
        <w:t xml:space="preserve"> 16:</w:t>
      </w:r>
      <w:r w:rsidRPr="00D53A2B">
        <w:rPr>
          <w:rStyle w:val="Gvdemetni3a"/>
          <w:color w:val="000000"/>
          <w:szCs w:val="24"/>
        </w:rPr>
        <w:t xml:space="preserve"> </w:t>
      </w:r>
      <w:r w:rsidRPr="00D53A2B">
        <w:rPr>
          <w:rStyle w:val="Gvdemetni3a"/>
          <w:b w:val="0"/>
          <w:bCs/>
          <w:szCs w:val="24"/>
        </w:rPr>
        <w:t>İ</w:t>
      </w:r>
      <w:r w:rsidRPr="00D53A2B">
        <w:rPr>
          <w:rStyle w:val="Gvdemetni3a"/>
          <w:b w:val="0"/>
          <w:bCs/>
          <w:color w:val="000000"/>
          <w:szCs w:val="24"/>
        </w:rPr>
        <w:t>lgili kaynaklardan kaynaklanan yayılı emisyonların büyüklük sırasını aşağıda belirtilen yöntemlerle belirlemektir. Mümkün olduğunda, dolaylı yöntemler veya emisyon faktörleri ile hesaplamalara dayalı değerlendirmeler yerine doğrudan ölçüm yöntemleri tercih edilir.</w:t>
      </w:r>
    </w:p>
    <w:p w14:paraId="373909AD" w14:textId="00DAC2F0" w:rsidR="00627F8B" w:rsidRPr="00D53A2B" w:rsidRDefault="006A2F11" w:rsidP="00A202FD">
      <w:pPr>
        <w:pStyle w:val="ListeParagraf"/>
        <w:numPr>
          <w:ilvl w:val="0"/>
          <w:numId w:val="81"/>
        </w:numPr>
        <w:tabs>
          <w:tab w:val="clear" w:pos="567"/>
        </w:tabs>
        <w:ind w:left="426" w:hanging="426"/>
        <w:rPr>
          <w:rStyle w:val="Gvdemetni3a"/>
          <w:color w:val="000000"/>
          <w:sz w:val="24"/>
          <w:szCs w:val="24"/>
        </w:rPr>
      </w:pPr>
      <w:r w:rsidRPr="00D53A2B">
        <w:rPr>
          <w:rStyle w:val="Gvdemetni3a"/>
          <w:color w:val="000000"/>
          <w:sz w:val="24"/>
          <w:szCs w:val="24"/>
        </w:rPr>
        <w:t>Emisyonların kaynağında ölçüm yapmak mümkün olduğunda doğrudan ölçüm yöntemlerinin kullanılması. Bu durumda, konsantrasyonlar ve kütle akışları ölçülebilir veya belirlenebilir.</w:t>
      </w:r>
    </w:p>
    <w:p w14:paraId="24BE6BA6" w14:textId="77777777" w:rsidR="006A2F11" w:rsidRPr="00D53A2B" w:rsidRDefault="006A2F11" w:rsidP="00A202FD">
      <w:pPr>
        <w:pStyle w:val="ListeParagraf"/>
        <w:numPr>
          <w:ilvl w:val="0"/>
          <w:numId w:val="81"/>
        </w:numPr>
        <w:tabs>
          <w:tab w:val="clear" w:pos="567"/>
        </w:tabs>
        <w:ind w:left="426" w:hanging="426"/>
        <w:rPr>
          <w:rStyle w:val="Gvdemetni3a"/>
          <w:color w:val="000000"/>
          <w:sz w:val="24"/>
          <w:szCs w:val="24"/>
        </w:rPr>
      </w:pPr>
      <w:r w:rsidRPr="00D53A2B">
        <w:rPr>
          <w:rStyle w:val="Gvdemetni3a"/>
          <w:color w:val="000000"/>
          <w:sz w:val="24"/>
          <w:szCs w:val="24"/>
        </w:rPr>
        <w:t>Emisyon tespitinin kaynaktan belirli bir mesafede gerçekleştiği dolaylı ölçüm yöntemleri; konsantrasyonların ve kütle akışının doğrudan ölçümü mümkün değildir.</w:t>
      </w:r>
    </w:p>
    <w:p w14:paraId="106A5B3D" w14:textId="6BA6F752" w:rsidR="00EC16E7" w:rsidRPr="00D53A2B" w:rsidRDefault="00EC16E7" w:rsidP="00A202FD">
      <w:pPr>
        <w:pStyle w:val="ListeParagraf"/>
        <w:numPr>
          <w:ilvl w:val="0"/>
          <w:numId w:val="81"/>
        </w:numPr>
        <w:tabs>
          <w:tab w:val="clear" w:pos="567"/>
        </w:tabs>
        <w:ind w:left="426" w:hanging="426"/>
        <w:rPr>
          <w:color w:val="000000"/>
          <w:sz w:val="24"/>
          <w:szCs w:val="24"/>
        </w:rPr>
      </w:pPr>
      <w:r w:rsidRPr="00D53A2B">
        <w:rPr>
          <w:rStyle w:val="Gvdemetni3a"/>
          <w:color w:val="000000"/>
          <w:sz w:val="24"/>
          <w:szCs w:val="24"/>
        </w:rPr>
        <w:t>Emisyon faktörleriyle hesaplama</w:t>
      </w:r>
      <w:r w:rsidR="006A2F11" w:rsidRPr="00D53A2B">
        <w:rPr>
          <w:rStyle w:val="Gvdemetni3a"/>
          <w:color w:val="000000"/>
          <w:sz w:val="24"/>
          <w:szCs w:val="24"/>
        </w:rPr>
        <w:t>.</w:t>
      </w:r>
    </w:p>
    <w:p w14:paraId="24FF89C2" w14:textId="77777777" w:rsidR="00662FD8" w:rsidRPr="00D53A2B" w:rsidRDefault="00662FD8" w:rsidP="00A202FD">
      <w:pPr>
        <w:jc w:val="both"/>
        <w:rPr>
          <w:rStyle w:val="Balk620"/>
          <w:sz w:val="24"/>
          <w:szCs w:val="24"/>
        </w:rPr>
      </w:pPr>
      <w:bookmarkStart w:id="15" w:name="bookmark1425"/>
    </w:p>
    <w:p w14:paraId="5B3ADE3E" w14:textId="657DC51B" w:rsidR="00EC16E7" w:rsidRPr="00D53A2B" w:rsidRDefault="00EC16E7" w:rsidP="00A202FD">
      <w:pPr>
        <w:jc w:val="both"/>
        <w:rPr>
          <w:rStyle w:val="Balk620"/>
          <w:sz w:val="24"/>
          <w:szCs w:val="24"/>
        </w:rPr>
      </w:pPr>
      <w:r w:rsidRPr="00D53A2B">
        <w:rPr>
          <w:rStyle w:val="Balk620"/>
          <w:sz w:val="24"/>
          <w:szCs w:val="24"/>
        </w:rPr>
        <w:t>Tanım</w:t>
      </w:r>
      <w:bookmarkEnd w:id="15"/>
    </w:p>
    <w:p w14:paraId="42AF1611" w14:textId="472D8CAC" w:rsidR="00662FD8" w:rsidRPr="00D53A2B" w:rsidRDefault="00662FD8" w:rsidP="00A202FD">
      <w:pPr>
        <w:jc w:val="both"/>
        <w:rPr>
          <w:b/>
          <w:i/>
          <w:iCs/>
        </w:rPr>
      </w:pPr>
      <w:r w:rsidRPr="00D53A2B">
        <w:rPr>
          <w:b/>
          <w:i/>
          <w:iCs/>
        </w:rPr>
        <w:t>Doğrudan veya yarı doğrudan ölçüm</w:t>
      </w:r>
    </w:p>
    <w:p w14:paraId="374B834A" w14:textId="7212E690" w:rsidR="0092324A" w:rsidRDefault="00662FD8" w:rsidP="00A202FD">
      <w:pPr>
        <w:jc w:val="both"/>
      </w:pPr>
      <w:r w:rsidRPr="00D53A2B">
        <w:t xml:space="preserve">Doğrudan ölçümlere örnek olarak rüzgar tünellerinde, </w:t>
      </w:r>
      <w:r w:rsidR="00323B6B" w:rsidRPr="00D53A2B">
        <w:t>davlumbaz</w:t>
      </w:r>
      <w:r w:rsidRPr="00D53A2B">
        <w:t xml:space="preserve"> veya endüstriyel bir tesisin çatısında yarı emisyon ölçümleri gibi diğer yöntemlerle yapılan ölçümler verilebilir. İkinci durum için, rüzgar hızı ve çatı hattı menfezinin alanı ölçülür ve bir debi hesaplanır.</w:t>
      </w:r>
      <w:r w:rsidR="0092324A" w:rsidRPr="00D53A2B">
        <w:t xml:space="preserve"> Çatı hattı menfezinin ölçüm düzleminin enine kesiti, aynı yüzey alanına sahip se</w:t>
      </w:r>
      <w:r w:rsidR="007F24F0" w:rsidRPr="00D53A2B">
        <w:t>ktörlere ayrılır (grid ölçümü).</w:t>
      </w:r>
    </w:p>
    <w:p w14:paraId="5A24189F" w14:textId="77777777" w:rsidR="006E3396" w:rsidRPr="00D53A2B" w:rsidRDefault="006E3396" w:rsidP="00A202FD">
      <w:pPr>
        <w:jc w:val="both"/>
      </w:pPr>
    </w:p>
    <w:p w14:paraId="3BA30599" w14:textId="45A820BB" w:rsidR="0092324A" w:rsidRPr="00D53A2B" w:rsidRDefault="00EC16E7" w:rsidP="00A202FD">
      <w:pPr>
        <w:jc w:val="both"/>
        <w:rPr>
          <w:rStyle w:val="Gvdemetni142"/>
          <w:b/>
          <w:i/>
          <w:iCs/>
        </w:rPr>
      </w:pPr>
      <w:r w:rsidRPr="00D53A2B">
        <w:rPr>
          <w:rStyle w:val="Gvdemetni142"/>
          <w:b/>
          <w:i/>
          <w:iCs/>
        </w:rPr>
        <w:t>Do</w:t>
      </w:r>
      <w:r w:rsidR="0092324A" w:rsidRPr="00D53A2B">
        <w:rPr>
          <w:rStyle w:val="Gvdemetni142"/>
          <w:b/>
          <w:i/>
          <w:iCs/>
        </w:rPr>
        <w:t xml:space="preserve">laylı </w:t>
      </w:r>
      <w:r w:rsidRPr="00D53A2B">
        <w:rPr>
          <w:rStyle w:val="Gvdemetni142"/>
          <w:b/>
          <w:i/>
          <w:iCs/>
        </w:rPr>
        <w:t>ölçümler</w:t>
      </w:r>
    </w:p>
    <w:p w14:paraId="0FE46905" w14:textId="35D184C6" w:rsidR="0092324A" w:rsidRDefault="0092324A" w:rsidP="00A202FD">
      <w:pPr>
        <w:jc w:val="both"/>
        <w:rPr>
          <w:rStyle w:val="Gvdemetni3a"/>
        </w:rPr>
      </w:pPr>
      <w:r w:rsidRPr="00D53A2B">
        <w:rPr>
          <w:rStyle w:val="Gvdemetni3a"/>
        </w:rPr>
        <w:t xml:space="preserve">Dolaylı ölçümlere örnek olarak iz gazların kullanımı, ters </w:t>
      </w:r>
      <w:r w:rsidR="00323B6B" w:rsidRPr="00D53A2B">
        <w:rPr>
          <w:rStyle w:val="Gvdemetni3a"/>
        </w:rPr>
        <w:t>dispersiyon</w:t>
      </w:r>
      <w:r w:rsidRPr="00D53A2B">
        <w:rPr>
          <w:rStyle w:val="Gvdemetni3a"/>
        </w:rPr>
        <w:t xml:space="preserve"> model yöntemleri ve ışık algılama</w:t>
      </w:r>
      <w:r w:rsidR="00323B6B" w:rsidRPr="00D53A2B">
        <w:rPr>
          <w:rStyle w:val="Gvdemetni3a"/>
        </w:rPr>
        <w:t>sı</w:t>
      </w:r>
      <w:r w:rsidRPr="00D53A2B">
        <w:rPr>
          <w:rStyle w:val="Gvdemetni3a"/>
        </w:rPr>
        <w:t xml:space="preserve"> ve ölçümü uygulayan kütle dengesi yöntemi verilebilir.</w:t>
      </w:r>
    </w:p>
    <w:p w14:paraId="41DF60D1" w14:textId="77777777" w:rsidR="006E3396" w:rsidRPr="00D53A2B" w:rsidRDefault="006E3396" w:rsidP="00A202FD">
      <w:pPr>
        <w:jc w:val="both"/>
        <w:rPr>
          <w:rStyle w:val="Gvdemetni3a"/>
        </w:rPr>
      </w:pPr>
    </w:p>
    <w:p w14:paraId="7B993238" w14:textId="087ABF71" w:rsidR="00EC16E7" w:rsidRPr="00D53A2B" w:rsidRDefault="00EC16E7" w:rsidP="00A202FD">
      <w:pPr>
        <w:jc w:val="both"/>
        <w:rPr>
          <w:rStyle w:val="Gvdemetni142"/>
          <w:b/>
          <w:i/>
          <w:iCs/>
        </w:rPr>
      </w:pPr>
      <w:r w:rsidRPr="00D53A2B">
        <w:rPr>
          <w:rStyle w:val="Gvdemetni142"/>
          <w:b/>
          <w:i/>
          <w:iCs/>
        </w:rPr>
        <w:t>Emisyon faktörleriyle emisyon</w:t>
      </w:r>
      <w:r w:rsidR="0092324A" w:rsidRPr="00D53A2B">
        <w:rPr>
          <w:rStyle w:val="Gvdemetni142"/>
          <w:b/>
          <w:i/>
          <w:iCs/>
        </w:rPr>
        <w:t>ların</w:t>
      </w:r>
      <w:r w:rsidRPr="00D53A2B">
        <w:rPr>
          <w:rStyle w:val="Gvdemetni142"/>
          <w:b/>
          <w:i/>
          <w:iCs/>
        </w:rPr>
        <w:t xml:space="preserve"> hesapla</w:t>
      </w:r>
      <w:r w:rsidR="0092324A" w:rsidRPr="00D53A2B">
        <w:rPr>
          <w:rStyle w:val="Gvdemetni142"/>
          <w:b/>
          <w:i/>
          <w:iCs/>
        </w:rPr>
        <w:t>n</w:t>
      </w:r>
      <w:r w:rsidRPr="00D53A2B">
        <w:rPr>
          <w:rStyle w:val="Gvdemetni142"/>
          <w:b/>
          <w:i/>
          <w:iCs/>
        </w:rPr>
        <w:t>ması</w:t>
      </w:r>
    </w:p>
    <w:p w14:paraId="24DE4CB8" w14:textId="363E53CA" w:rsidR="0092324A" w:rsidRPr="00D53A2B" w:rsidRDefault="0092324A" w:rsidP="00A202FD">
      <w:pPr>
        <w:jc w:val="both"/>
      </w:pPr>
      <w:r w:rsidRPr="00D53A2B">
        <w:lastRenderedPageBreak/>
        <w:t>Dökme malzemelerin depolanması ve işlenmesinden kaynaklanan dağınık toz emisyonlarının tahmini ve trafik hareketleri nedeniyle karayollarındaki tozun askıya alınması için emisyon faktörlerini kullanan kılavuzlar:</w:t>
      </w:r>
    </w:p>
    <w:p w14:paraId="10C94FDB" w14:textId="77777777" w:rsidR="00EC16E7" w:rsidRPr="00D53A2B" w:rsidRDefault="00EC16E7" w:rsidP="00A202FD">
      <w:pPr>
        <w:pStyle w:val="ListeParagraf"/>
        <w:numPr>
          <w:ilvl w:val="0"/>
          <w:numId w:val="82"/>
        </w:numPr>
        <w:tabs>
          <w:tab w:val="clear" w:pos="567"/>
        </w:tabs>
        <w:ind w:left="426" w:hanging="426"/>
        <w:rPr>
          <w:sz w:val="24"/>
          <w:szCs w:val="24"/>
        </w:rPr>
      </w:pPr>
      <w:r w:rsidRPr="00D53A2B">
        <w:rPr>
          <w:rStyle w:val="Gvdemetni3a"/>
          <w:color w:val="000000"/>
          <w:sz w:val="24"/>
          <w:szCs w:val="24"/>
        </w:rPr>
        <w:t>VDI 3790 Kısım 3</w:t>
      </w:r>
    </w:p>
    <w:p w14:paraId="16093A0F" w14:textId="77777777" w:rsidR="00EC16E7" w:rsidRPr="00D53A2B" w:rsidRDefault="00EC16E7" w:rsidP="00A202FD">
      <w:pPr>
        <w:pStyle w:val="ListeParagraf"/>
        <w:numPr>
          <w:ilvl w:val="0"/>
          <w:numId w:val="82"/>
        </w:numPr>
        <w:tabs>
          <w:tab w:val="clear" w:pos="567"/>
        </w:tabs>
        <w:ind w:left="426" w:hanging="426"/>
        <w:rPr>
          <w:rStyle w:val="Gvdemetni3a"/>
          <w:sz w:val="24"/>
          <w:szCs w:val="24"/>
        </w:rPr>
      </w:pPr>
      <w:r w:rsidRPr="00D53A2B">
        <w:rPr>
          <w:rStyle w:val="Gvdemetni3a"/>
          <w:color w:val="000000"/>
          <w:sz w:val="24"/>
          <w:szCs w:val="24"/>
        </w:rPr>
        <w:t>US EPA AP 42</w:t>
      </w:r>
    </w:p>
    <w:p w14:paraId="78D7C38B" w14:textId="77777777" w:rsidR="001D56C2" w:rsidRPr="00D53A2B" w:rsidRDefault="001D56C2" w:rsidP="00A202FD">
      <w:pPr>
        <w:jc w:val="both"/>
      </w:pPr>
      <w:bookmarkStart w:id="16" w:name="bookmark1426"/>
      <w:bookmarkStart w:id="17" w:name="bookmark1427"/>
    </w:p>
    <w:bookmarkEnd w:id="16"/>
    <w:bookmarkEnd w:id="17"/>
    <w:p w14:paraId="0E945BFE" w14:textId="6D108C4F" w:rsidR="00EC16E7" w:rsidRPr="00D53A2B" w:rsidRDefault="00406CA5" w:rsidP="00A202FD">
      <w:pPr>
        <w:pStyle w:val="Balk3"/>
        <w:rPr>
          <w:rStyle w:val="Balk211pt1"/>
          <w:rFonts w:ascii="Times New Roman" w:hAnsi="Times New Roman" w:cs="Times New Roman"/>
          <w:b/>
          <w:color w:val="000000"/>
          <w:sz w:val="24"/>
          <w:szCs w:val="24"/>
        </w:rPr>
      </w:pPr>
      <w:r w:rsidRPr="00D53A2B">
        <w:rPr>
          <w:rStyle w:val="Balk211pt1"/>
          <w:rFonts w:ascii="Times New Roman" w:hAnsi="Times New Roman" w:cs="Times New Roman"/>
          <w:b/>
          <w:color w:val="000000"/>
          <w:sz w:val="24"/>
          <w:szCs w:val="24"/>
        </w:rPr>
        <w:t xml:space="preserve">1.8. </w:t>
      </w:r>
      <w:r w:rsidR="0092324A" w:rsidRPr="00D53A2B">
        <w:rPr>
          <w:rStyle w:val="Balk211pt1"/>
          <w:rFonts w:ascii="Times New Roman" w:hAnsi="Times New Roman" w:cs="Times New Roman"/>
          <w:b/>
          <w:color w:val="000000"/>
          <w:sz w:val="24"/>
          <w:szCs w:val="24"/>
        </w:rPr>
        <w:t xml:space="preserve">Kullanımdan </w:t>
      </w:r>
      <w:r w:rsidRPr="00D53A2B">
        <w:rPr>
          <w:rStyle w:val="Balk211pt1"/>
          <w:rFonts w:ascii="Times New Roman" w:hAnsi="Times New Roman" w:cs="Times New Roman"/>
          <w:b/>
          <w:color w:val="000000"/>
          <w:sz w:val="24"/>
          <w:szCs w:val="24"/>
        </w:rPr>
        <w:t>K</w:t>
      </w:r>
      <w:r w:rsidR="0092324A" w:rsidRPr="00D53A2B">
        <w:rPr>
          <w:rStyle w:val="Balk211pt1"/>
          <w:rFonts w:ascii="Times New Roman" w:hAnsi="Times New Roman" w:cs="Times New Roman"/>
          <w:b/>
          <w:color w:val="000000"/>
          <w:sz w:val="24"/>
          <w:szCs w:val="24"/>
        </w:rPr>
        <w:t>aldırma</w:t>
      </w:r>
    </w:p>
    <w:p w14:paraId="17EB61E3" w14:textId="77777777" w:rsidR="00093D96" w:rsidRPr="00D53A2B" w:rsidRDefault="00093D96" w:rsidP="00A202FD">
      <w:pPr>
        <w:jc w:val="both"/>
      </w:pPr>
    </w:p>
    <w:p w14:paraId="3AFEA8CB" w14:textId="5B05C0BF" w:rsidR="00093D96" w:rsidRPr="00D53A2B" w:rsidRDefault="00651500" w:rsidP="00A202FD">
      <w:pPr>
        <w:pStyle w:val="MET"/>
        <w:rPr>
          <w:rStyle w:val="Balk620"/>
          <w:b/>
          <w:color w:val="000000"/>
          <w:sz w:val="24"/>
          <w:szCs w:val="24"/>
        </w:rPr>
      </w:pPr>
      <w:bookmarkStart w:id="18" w:name="bookmark1428"/>
      <w:r w:rsidRPr="00D53A2B">
        <w:rPr>
          <w:rStyle w:val="Balk620"/>
          <w:b/>
          <w:color w:val="000000"/>
          <w:sz w:val="24"/>
          <w:szCs w:val="24"/>
        </w:rPr>
        <w:t>MET</w:t>
      </w:r>
      <w:r w:rsidR="00093D96" w:rsidRPr="00D53A2B">
        <w:rPr>
          <w:rStyle w:val="Balk620"/>
          <w:b/>
          <w:color w:val="000000"/>
          <w:sz w:val="24"/>
          <w:szCs w:val="24"/>
        </w:rPr>
        <w:t xml:space="preserve">17: </w:t>
      </w:r>
      <w:r w:rsidR="00093D96" w:rsidRPr="00D53A2B">
        <w:rPr>
          <w:rStyle w:val="Balk620"/>
          <w:bCs w:val="0"/>
          <w:color w:val="000000"/>
          <w:sz w:val="24"/>
          <w:szCs w:val="24"/>
        </w:rPr>
        <w:t>Aşağıda listelenen gerekli teknikleri kullanarak hizmetten çıkarma sonrasında kirliliği önlemektir</w:t>
      </w:r>
      <w:bookmarkEnd w:id="18"/>
      <w:r w:rsidR="00093D96" w:rsidRPr="00D53A2B">
        <w:rPr>
          <w:rStyle w:val="Balk620"/>
          <w:bCs w:val="0"/>
          <w:color w:val="000000"/>
          <w:sz w:val="24"/>
          <w:szCs w:val="24"/>
        </w:rPr>
        <w:t>.</w:t>
      </w:r>
    </w:p>
    <w:p w14:paraId="10DE6F39" w14:textId="78D0078A" w:rsidR="00093D96" w:rsidRPr="00D53A2B" w:rsidRDefault="00093D96" w:rsidP="00A202FD">
      <w:pPr>
        <w:jc w:val="both"/>
        <w:rPr>
          <w:rStyle w:val="Balk620"/>
          <w:b w:val="0"/>
          <w:sz w:val="24"/>
          <w:szCs w:val="24"/>
        </w:rPr>
      </w:pPr>
      <w:r w:rsidRPr="00D53A2B">
        <w:rPr>
          <w:rStyle w:val="Balk620"/>
          <w:b w:val="0"/>
          <w:sz w:val="24"/>
          <w:szCs w:val="24"/>
        </w:rPr>
        <w:t>Ömrünü tamamlamış tesislerin devre dışı bırakılmasına ilişkin tasarım hususları:</w:t>
      </w:r>
    </w:p>
    <w:p w14:paraId="64773D20" w14:textId="7FD7628C" w:rsidR="00093D96" w:rsidRPr="00D53A2B" w:rsidRDefault="00093D96" w:rsidP="00A202FD">
      <w:pPr>
        <w:pStyle w:val="ListeParagraf"/>
        <w:numPr>
          <w:ilvl w:val="0"/>
          <w:numId w:val="83"/>
        </w:numPr>
        <w:tabs>
          <w:tab w:val="clear" w:pos="567"/>
        </w:tabs>
        <w:ind w:left="426" w:hanging="437"/>
        <w:rPr>
          <w:rStyle w:val="Balk620"/>
          <w:b w:val="0"/>
          <w:sz w:val="24"/>
          <w:szCs w:val="24"/>
        </w:rPr>
      </w:pPr>
      <w:r w:rsidRPr="00D53A2B">
        <w:rPr>
          <w:rStyle w:val="Balk620"/>
          <w:b w:val="0"/>
          <w:sz w:val="24"/>
          <w:szCs w:val="24"/>
        </w:rPr>
        <w:t>Yeni bir tesisin tasarlanması aşamasında, tesisin devre dışı bırakılması durumunda ortaya çıkacak çevresel etkinin önceden düşünülmesi, devre dışı bırakmayı daha kolay, daha temiz ve daha ucuz hale getirir.</w:t>
      </w:r>
    </w:p>
    <w:p w14:paraId="0AF27FF7" w14:textId="77348E37" w:rsidR="007206C2" w:rsidRPr="00D53A2B" w:rsidRDefault="00093D96" w:rsidP="00A202FD">
      <w:pPr>
        <w:pStyle w:val="ListeParagraf"/>
        <w:numPr>
          <w:ilvl w:val="0"/>
          <w:numId w:val="83"/>
        </w:numPr>
        <w:tabs>
          <w:tab w:val="clear" w:pos="567"/>
        </w:tabs>
        <w:ind w:left="426" w:hanging="437"/>
        <w:rPr>
          <w:bCs/>
          <w:sz w:val="24"/>
          <w:szCs w:val="24"/>
        </w:rPr>
      </w:pPr>
      <w:r w:rsidRPr="00D53A2B">
        <w:rPr>
          <w:rStyle w:val="Balk620"/>
          <w:b w:val="0"/>
          <w:sz w:val="24"/>
          <w:szCs w:val="24"/>
        </w:rPr>
        <w:t>Devre dışı bırakma, arazi (ve yeraltı suyu) kirliliği açısından çevresel riskler oluşturur ve büyük miktarda katı atık oluşur; önleyici teknikler sürece özgüdür ancak genel hususlar şunları içerebilir:</w:t>
      </w:r>
    </w:p>
    <w:p w14:paraId="2F7748A5" w14:textId="77777777" w:rsidR="00EC16E7" w:rsidRPr="00D53A2B" w:rsidRDefault="00EC16E7" w:rsidP="00A202FD">
      <w:pPr>
        <w:pStyle w:val="ListeParagraf"/>
        <w:numPr>
          <w:ilvl w:val="0"/>
          <w:numId w:val="84"/>
        </w:numPr>
        <w:tabs>
          <w:tab w:val="clear" w:pos="567"/>
        </w:tabs>
        <w:spacing w:line="240" w:lineRule="auto"/>
        <w:ind w:left="714" w:hanging="357"/>
        <w:rPr>
          <w:sz w:val="24"/>
          <w:szCs w:val="24"/>
        </w:rPr>
      </w:pPr>
      <w:r w:rsidRPr="00D53A2B">
        <w:rPr>
          <w:rStyle w:val="Gvdemetni3a"/>
          <w:color w:val="000000"/>
          <w:sz w:val="24"/>
          <w:szCs w:val="24"/>
        </w:rPr>
        <w:t>yeraltı yapılarından kaçınmak</w:t>
      </w:r>
    </w:p>
    <w:p w14:paraId="0E2ABA83" w14:textId="77777777" w:rsidR="00EC16E7" w:rsidRPr="00D53A2B" w:rsidRDefault="00EC16E7" w:rsidP="00A202FD">
      <w:pPr>
        <w:pStyle w:val="ListeParagraf"/>
        <w:numPr>
          <w:ilvl w:val="0"/>
          <w:numId w:val="84"/>
        </w:numPr>
        <w:tabs>
          <w:tab w:val="clear" w:pos="567"/>
        </w:tabs>
        <w:spacing w:line="240" w:lineRule="auto"/>
        <w:ind w:left="714" w:hanging="357"/>
        <w:rPr>
          <w:sz w:val="24"/>
          <w:szCs w:val="24"/>
        </w:rPr>
      </w:pPr>
      <w:r w:rsidRPr="00D53A2B">
        <w:rPr>
          <w:rStyle w:val="Gvdemetni3a"/>
          <w:color w:val="000000"/>
          <w:sz w:val="24"/>
          <w:szCs w:val="24"/>
        </w:rPr>
        <w:t>sökülme işlemlerini kolaylaştıran özellikler eklemek</w:t>
      </w:r>
    </w:p>
    <w:p w14:paraId="1841DB88" w14:textId="1E08A750" w:rsidR="00EC16E7" w:rsidRPr="00D53A2B" w:rsidRDefault="00EC16E7" w:rsidP="00A202FD">
      <w:pPr>
        <w:pStyle w:val="ListeParagraf"/>
        <w:numPr>
          <w:ilvl w:val="0"/>
          <w:numId w:val="84"/>
        </w:numPr>
        <w:tabs>
          <w:tab w:val="clear" w:pos="567"/>
        </w:tabs>
        <w:spacing w:line="240" w:lineRule="auto"/>
        <w:ind w:left="714" w:hanging="357"/>
        <w:rPr>
          <w:sz w:val="24"/>
          <w:szCs w:val="24"/>
        </w:rPr>
      </w:pPr>
      <w:r w:rsidRPr="00D53A2B">
        <w:rPr>
          <w:rStyle w:val="Gvdemetni3a"/>
          <w:color w:val="000000"/>
          <w:sz w:val="24"/>
          <w:szCs w:val="24"/>
        </w:rPr>
        <w:t>kolayca temizlenen yüzeyl</w:t>
      </w:r>
      <w:r w:rsidR="00093D96" w:rsidRPr="00D53A2B">
        <w:rPr>
          <w:rStyle w:val="Gvdemetni3a"/>
          <w:color w:val="000000"/>
          <w:sz w:val="24"/>
          <w:szCs w:val="24"/>
        </w:rPr>
        <w:t xml:space="preserve"> kaplamaları</w:t>
      </w:r>
      <w:r w:rsidRPr="00D53A2B">
        <w:rPr>
          <w:rStyle w:val="Gvdemetni3a"/>
          <w:color w:val="000000"/>
          <w:sz w:val="24"/>
          <w:szCs w:val="24"/>
        </w:rPr>
        <w:t xml:space="preserve"> seçmek</w:t>
      </w:r>
    </w:p>
    <w:p w14:paraId="2AB49A38" w14:textId="77777777" w:rsidR="00093D96" w:rsidRPr="00D53A2B" w:rsidRDefault="00093D96" w:rsidP="00A202FD">
      <w:pPr>
        <w:pStyle w:val="ListeParagraf"/>
        <w:numPr>
          <w:ilvl w:val="0"/>
          <w:numId w:val="84"/>
        </w:numPr>
        <w:spacing w:line="240" w:lineRule="auto"/>
        <w:ind w:left="714" w:hanging="357"/>
        <w:rPr>
          <w:rStyle w:val="Gvdemetni3a"/>
          <w:sz w:val="24"/>
          <w:szCs w:val="24"/>
        </w:rPr>
      </w:pPr>
      <w:r w:rsidRPr="00D53A2B">
        <w:rPr>
          <w:rStyle w:val="Gvdemetni3a"/>
          <w:color w:val="000000"/>
          <w:sz w:val="24"/>
          <w:szCs w:val="24"/>
        </w:rPr>
        <w:t>hapsolmuş kimyasalları en aza indiren ve boşaltmayı veya temizlemeyi kolaylaştıran bir ekipman konfigürasyonu kullanmak</w:t>
      </w:r>
    </w:p>
    <w:p w14:paraId="5DBD2E0E" w14:textId="77777777" w:rsidR="00093D96" w:rsidRPr="00D53A2B" w:rsidRDefault="00093D96" w:rsidP="00A202FD">
      <w:pPr>
        <w:pStyle w:val="ListeParagraf"/>
        <w:numPr>
          <w:ilvl w:val="0"/>
          <w:numId w:val="84"/>
        </w:numPr>
        <w:tabs>
          <w:tab w:val="clear" w:pos="567"/>
        </w:tabs>
        <w:spacing w:line="240" w:lineRule="auto"/>
        <w:ind w:left="714" w:hanging="357"/>
        <w:rPr>
          <w:rStyle w:val="Gvdemetni3a"/>
          <w:sz w:val="24"/>
          <w:szCs w:val="24"/>
        </w:rPr>
      </w:pPr>
      <w:r w:rsidRPr="00D53A2B">
        <w:rPr>
          <w:rStyle w:val="Gvdemetni3a"/>
          <w:color w:val="000000"/>
          <w:sz w:val="24"/>
          <w:szCs w:val="24"/>
        </w:rPr>
        <w:t>aşamalı kapatmaya olanak tanıyan esnek, bağımsız birimlerin tasarlanması.</w:t>
      </w:r>
    </w:p>
    <w:p w14:paraId="5BC04AC8" w14:textId="2569BB4A" w:rsidR="00093D96" w:rsidRPr="00D53A2B" w:rsidRDefault="00093D96" w:rsidP="00A202FD">
      <w:pPr>
        <w:pStyle w:val="ListeParagraf"/>
        <w:numPr>
          <w:ilvl w:val="0"/>
          <w:numId w:val="84"/>
        </w:numPr>
        <w:tabs>
          <w:tab w:val="clear" w:pos="567"/>
        </w:tabs>
        <w:spacing w:line="240" w:lineRule="auto"/>
        <w:ind w:left="714" w:hanging="357"/>
        <w:rPr>
          <w:rStyle w:val="Gvdemetni3a"/>
          <w:sz w:val="24"/>
          <w:szCs w:val="24"/>
        </w:rPr>
      </w:pPr>
      <w:r w:rsidRPr="00D53A2B">
        <w:rPr>
          <w:rStyle w:val="Gvdemetni3a"/>
          <w:color w:val="000000"/>
          <w:sz w:val="24"/>
          <w:szCs w:val="24"/>
        </w:rPr>
        <w:t>mümkün olan yerlerde biyolojik olarak parçalanabilir ve geri dönüştürülebilir malzemeler kullanmak</w:t>
      </w:r>
    </w:p>
    <w:p w14:paraId="774E0FA5" w14:textId="77777777" w:rsidR="00093D96" w:rsidRPr="00D53A2B" w:rsidRDefault="00093D96" w:rsidP="00A202FD">
      <w:pPr>
        <w:jc w:val="both"/>
        <w:rPr>
          <w:rStyle w:val="Gvdemetni3011pt1"/>
          <w:rFonts w:ascii="Times New Roman" w:hAnsi="Times New Roman" w:cs="Times New Roman"/>
          <w:b w:val="0"/>
          <w:bCs w:val="0"/>
          <w:sz w:val="24"/>
          <w:szCs w:val="24"/>
        </w:rPr>
      </w:pPr>
    </w:p>
    <w:p w14:paraId="77F83BE6" w14:textId="06F8BA31" w:rsidR="00EC16E7" w:rsidRPr="00D53A2B" w:rsidRDefault="006642AD" w:rsidP="00A202FD">
      <w:pPr>
        <w:pStyle w:val="Balk3"/>
        <w:rPr>
          <w:rFonts w:cs="Times New Roman"/>
        </w:rPr>
      </w:pPr>
      <w:r w:rsidRPr="00D53A2B">
        <w:rPr>
          <w:rStyle w:val="Gvdemetni3011pt1"/>
          <w:rFonts w:ascii="Times New Roman" w:hAnsi="Times New Roman" w:cs="Times New Roman"/>
          <w:b/>
          <w:color w:val="000000"/>
          <w:sz w:val="24"/>
          <w:szCs w:val="24"/>
        </w:rPr>
        <w:t xml:space="preserve">1.9. </w:t>
      </w:r>
      <w:r w:rsidR="00EC16E7" w:rsidRPr="00D53A2B">
        <w:rPr>
          <w:rStyle w:val="Gvdemetni3011pt1"/>
          <w:rFonts w:ascii="Times New Roman" w:hAnsi="Times New Roman" w:cs="Times New Roman"/>
          <w:b/>
          <w:color w:val="000000"/>
          <w:sz w:val="24"/>
          <w:szCs w:val="24"/>
        </w:rPr>
        <w:t>Gürültü</w:t>
      </w:r>
    </w:p>
    <w:p w14:paraId="147445D2" w14:textId="17D54A53" w:rsidR="00093D96" w:rsidRPr="00D53A2B" w:rsidRDefault="00EC16E7" w:rsidP="00A202FD">
      <w:pPr>
        <w:pStyle w:val="MET"/>
        <w:rPr>
          <w:rStyle w:val="Balk620"/>
          <w:b/>
          <w:bCs w:val="0"/>
          <w:sz w:val="24"/>
          <w:szCs w:val="24"/>
        </w:rPr>
      </w:pPr>
      <w:bookmarkStart w:id="19" w:name="bookmark1431"/>
      <w:r w:rsidRPr="00D53A2B">
        <w:rPr>
          <w:rStyle w:val="Balk620"/>
          <w:b/>
          <w:bCs w:val="0"/>
          <w:sz w:val="24"/>
          <w:szCs w:val="24"/>
        </w:rPr>
        <w:t>MET</w:t>
      </w:r>
      <w:r w:rsidR="006F59B2" w:rsidRPr="00D53A2B">
        <w:rPr>
          <w:rStyle w:val="Balk620"/>
          <w:b/>
          <w:bCs w:val="0"/>
          <w:sz w:val="24"/>
          <w:szCs w:val="24"/>
        </w:rPr>
        <w:t xml:space="preserve"> 18 : </w:t>
      </w:r>
      <w:bookmarkEnd w:id="19"/>
      <w:r w:rsidR="00093D96" w:rsidRPr="00D53A2B">
        <w:rPr>
          <w:rStyle w:val="Balk620"/>
          <w:sz w:val="24"/>
          <w:szCs w:val="24"/>
        </w:rPr>
        <w:t>Yerel koşullara bağlı olarak aşağıdaki tekniklerden bir veya daha fazlasını kullanarak demir ve çelik üretim süreçlerindeki ilgili kaynaklardan kaynaklanan gürültü emisyonları azalt</w:t>
      </w:r>
      <w:r w:rsidR="006642AD" w:rsidRPr="00D53A2B">
        <w:rPr>
          <w:rStyle w:val="Balk620"/>
          <w:sz w:val="24"/>
          <w:szCs w:val="24"/>
        </w:rPr>
        <w:t>ılabilir</w:t>
      </w:r>
      <w:r w:rsidR="00093D96" w:rsidRPr="00D53A2B">
        <w:rPr>
          <w:rStyle w:val="Balk620"/>
          <w:sz w:val="24"/>
          <w:szCs w:val="24"/>
        </w:rPr>
        <w:t>.</w:t>
      </w:r>
    </w:p>
    <w:p w14:paraId="7FE6A50C" w14:textId="009FFB31" w:rsidR="00EC16E7" w:rsidRPr="00D53A2B" w:rsidRDefault="00EC16E7" w:rsidP="00A202FD">
      <w:pPr>
        <w:pStyle w:val="ListeParagraf"/>
        <w:numPr>
          <w:ilvl w:val="0"/>
          <w:numId w:val="86"/>
        </w:numPr>
        <w:tabs>
          <w:tab w:val="clear" w:pos="567"/>
        </w:tabs>
        <w:spacing w:line="240" w:lineRule="auto"/>
        <w:ind w:left="425" w:hanging="425"/>
        <w:rPr>
          <w:sz w:val="24"/>
          <w:szCs w:val="24"/>
        </w:rPr>
      </w:pPr>
      <w:r w:rsidRPr="00D53A2B">
        <w:rPr>
          <w:rStyle w:val="Gvdemetni3a"/>
          <w:color w:val="000000"/>
          <w:sz w:val="24"/>
          <w:szCs w:val="24"/>
        </w:rPr>
        <w:t>gürültü azaltma stratejileri uygulamak</w:t>
      </w:r>
    </w:p>
    <w:p w14:paraId="4E56BACA" w14:textId="7A9488FB" w:rsidR="00EC16E7" w:rsidRPr="00D53A2B" w:rsidRDefault="004F5BAA" w:rsidP="00A202FD">
      <w:pPr>
        <w:pStyle w:val="ListeParagraf"/>
        <w:numPr>
          <w:ilvl w:val="0"/>
          <w:numId w:val="86"/>
        </w:numPr>
        <w:tabs>
          <w:tab w:val="clear" w:pos="567"/>
        </w:tabs>
        <w:spacing w:line="240" w:lineRule="auto"/>
        <w:ind w:left="425" w:hanging="425"/>
        <w:rPr>
          <w:sz w:val="24"/>
          <w:szCs w:val="24"/>
        </w:rPr>
      </w:pPr>
      <w:r w:rsidRPr="00D53A2B">
        <w:rPr>
          <w:rStyle w:val="Gvdemetni3a"/>
          <w:color w:val="000000"/>
          <w:sz w:val="24"/>
          <w:szCs w:val="24"/>
        </w:rPr>
        <w:t>gürültülü operasyonların/birimlerin kapatılması</w:t>
      </w:r>
    </w:p>
    <w:p w14:paraId="52BDFC56" w14:textId="77777777" w:rsidR="004F5BAA" w:rsidRPr="00D53A2B" w:rsidRDefault="004F5BAA" w:rsidP="00A202FD">
      <w:pPr>
        <w:pStyle w:val="ListeParagraf"/>
        <w:numPr>
          <w:ilvl w:val="0"/>
          <w:numId w:val="86"/>
        </w:numPr>
        <w:tabs>
          <w:tab w:val="clear" w:pos="567"/>
        </w:tabs>
        <w:spacing w:line="240" w:lineRule="auto"/>
        <w:ind w:left="425" w:hanging="425"/>
        <w:rPr>
          <w:rStyle w:val="Gvdemetni3a"/>
          <w:sz w:val="24"/>
          <w:szCs w:val="24"/>
        </w:rPr>
      </w:pPr>
      <w:r w:rsidRPr="00D53A2B">
        <w:rPr>
          <w:rStyle w:val="Gvdemetni3a"/>
          <w:color w:val="000000"/>
          <w:sz w:val="24"/>
          <w:szCs w:val="24"/>
        </w:rPr>
        <w:t>operasyonların/ünitelerin titreşim yalıtımı</w:t>
      </w:r>
    </w:p>
    <w:p w14:paraId="56541AD3" w14:textId="63C7A4B6" w:rsidR="004F5BAA" w:rsidRPr="00D53A2B" w:rsidRDefault="004F5BAA" w:rsidP="00A202FD">
      <w:pPr>
        <w:pStyle w:val="ListeParagraf"/>
        <w:numPr>
          <w:ilvl w:val="0"/>
          <w:numId w:val="86"/>
        </w:numPr>
        <w:tabs>
          <w:tab w:val="clear" w:pos="567"/>
        </w:tabs>
        <w:spacing w:line="240" w:lineRule="auto"/>
        <w:ind w:left="425" w:hanging="425"/>
        <w:rPr>
          <w:rStyle w:val="Gvdemetni3a"/>
          <w:sz w:val="24"/>
          <w:szCs w:val="24"/>
        </w:rPr>
      </w:pPr>
      <w:r w:rsidRPr="00D53A2B">
        <w:rPr>
          <w:rStyle w:val="Gvdemetni3a"/>
          <w:color w:val="000000"/>
          <w:sz w:val="24"/>
          <w:szCs w:val="24"/>
        </w:rPr>
        <w:t>darbe sönümleyici malzemeden yapılmış iç ve dış kaplama</w:t>
      </w:r>
    </w:p>
    <w:p w14:paraId="13752E41" w14:textId="77777777" w:rsidR="004F5BAA" w:rsidRPr="00D53A2B" w:rsidRDefault="004F5BAA" w:rsidP="00A202FD">
      <w:pPr>
        <w:pStyle w:val="ListeParagraf"/>
        <w:numPr>
          <w:ilvl w:val="0"/>
          <w:numId w:val="86"/>
        </w:numPr>
        <w:tabs>
          <w:tab w:val="clear" w:pos="567"/>
        </w:tabs>
        <w:spacing w:line="240" w:lineRule="auto"/>
        <w:ind w:left="425" w:hanging="425"/>
        <w:rPr>
          <w:rStyle w:val="Gvdemetni3a"/>
          <w:sz w:val="24"/>
          <w:szCs w:val="24"/>
        </w:rPr>
      </w:pPr>
      <w:r w:rsidRPr="00D53A2B">
        <w:rPr>
          <w:rStyle w:val="Gvdemetni3a"/>
          <w:color w:val="000000"/>
          <w:sz w:val="24"/>
          <w:szCs w:val="24"/>
        </w:rPr>
        <w:t>malzeme dönüştürme ekipmanı içeren gürültülü operasyonları barındırmak için binalara ses yalıtımı yapılması</w:t>
      </w:r>
    </w:p>
    <w:p w14:paraId="5CCD0C96" w14:textId="6DFE895E" w:rsidR="004F5BAA" w:rsidRPr="00D53A2B" w:rsidRDefault="004F5BAA" w:rsidP="00A202FD">
      <w:pPr>
        <w:pStyle w:val="ListeParagraf"/>
        <w:numPr>
          <w:ilvl w:val="0"/>
          <w:numId w:val="86"/>
        </w:numPr>
        <w:tabs>
          <w:tab w:val="clear" w:pos="567"/>
        </w:tabs>
        <w:spacing w:line="240" w:lineRule="auto"/>
        <w:ind w:left="425" w:hanging="425"/>
        <w:rPr>
          <w:rStyle w:val="Gvdemetni3a"/>
          <w:color w:val="000000"/>
          <w:sz w:val="24"/>
          <w:szCs w:val="24"/>
        </w:rPr>
      </w:pPr>
      <w:r w:rsidRPr="00D53A2B">
        <w:rPr>
          <w:rStyle w:val="Gvdemetni3a"/>
          <w:color w:val="000000"/>
          <w:sz w:val="24"/>
          <w:szCs w:val="24"/>
        </w:rPr>
        <w:t>gürültüden korunma duvarları inşa etmek, örneğin binalar inşa etmek veya korunan alan ile gürültülü faaliyet arasında ağaç ve çalı yetiştirmek gibi doğal bariyerler oluşturmak</w:t>
      </w:r>
    </w:p>
    <w:p w14:paraId="761495F5" w14:textId="0BAE72B9" w:rsidR="004F5BAA" w:rsidRPr="00D53A2B" w:rsidRDefault="004F5BAA" w:rsidP="00A202FD">
      <w:pPr>
        <w:pStyle w:val="ListeParagraf"/>
        <w:numPr>
          <w:ilvl w:val="0"/>
          <w:numId w:val="86"/>
        </w:numPr>
        <w:tabs>
          <w:tab w:val="clear" w:pos="567"/>
        </w:tabs>
        <w:spacing w:line="240" w:lineRule="auto"/>
        <w:ind w:left="425" w:hanging="425"/>
        <w:rPr>
          <w:rStyle w:val="Gvdemetni3a"/>
          <w:color w:val="000000"/>
          <w:sz w:val="24"/>
          <w:szCs w:val="24"/>
        </w:rPr>
      </w:pPr>
      <w:r w:rsidRPr="00D53A2B">
        <w:rPr>
          <w:rStyle w:val="Gvdemetni3a"/>
          <w:color w:val="000000"/>
          <w:sz w:val="24"/>
          <w:szCs w:val="24"/>
        </w:rPr>
        <w:t>baca gazı çıkış susturucuları</w:t>
      </w:r>
    </w:p>
    <w:p w14:paraId="3E87D563" w14:textId="7FBD29B0" w:rsidR="004F5BAA" w:rsidRPr="00D53A2B" w:rsidRDefault="004F5BAA" w:rsidP="00A202FD">
      <w:pPr>
        <w:pStyle w:val="ListeParagraf"/>
        <w:numPr>
          <w:ilvl w:val="0"/>
          <w:numId w:val="86"/>
        </w:numPr>
        <w:tabs>
          <w:tab w:val="clear" w:pos="567"/>
        </w:tabs>
        <w:spacing w:line="240" w:lineRule="auto"/>
        <w:ind w:left="425" w:hanging="425"/>
        <w:rPr>
          <w:rStyle w:val="Gvdemetni3a"/>
          <w:color w:val="000000"/>
          <w:sz w:val="24"/>
          <w:szCs w:val="24"/>
        </w:rPr>
      </w:pPr>
      <w:r w:rsidRPr="00D53A2B">
        <w:rPr>
          <w:rStyle w:val="Gvdemetni3a"/>
          <w:color w:val="000000"/>
          <w:sz w:val="24"/>
          <w:szCs w:val="24"/>
        </w:rPr>
        <w:t>ses yalıtımlı binalarda bulunan gecikme kanalları ve son fanlar.</w:t>
      </w:r>
    </w:p>
    <w:p w14:paraId="0BC2203F" w14:textId="1A89F502" w:rsidR="00EC16E7" w:rsidRPr="00D53A2B" w:rsidRDefault="00EC16E7" w:rsidP="00A202FD">
      <w:pPr>
        <w:pStyle w:val="ListeParagraf"/>
        <w:numPr>
          <w:ilvl w:val="0"/>
          <w:numId w:val="86"/>
        </w:numPr>
        <w:tabs>
          <w:tab w:val="clear" w:pos="567"/>
        </w:tabs>
        <w:spacing w:line="240" w:lineRule="auto"/>
        <w:ind w:left="425" w:hanging="425"/>
        <w:rPr>
          <w:rStyle w:val="Gvdemetni3a"/>
          <w:sz w:val="24"/>
          <w:szCs w:val="24"/>
        </w:rPr>
      </w:pPr>
      <w:r w:rsidRPr="00D53A2B">
        <w:rPr>
          <w:rStyle w:val="Gvdemetni3a"/>
          <w:color w:val="000000"/>
          <w:sz w:val="24"/>
          <w:szCs w:val="24"/>
        </w:rPr>
        <w:t>kapalı alanların kapı ve pencerelerini</w:t>
      </w:r>
      <w:r w:rsidR="004F5BAA" w:rsidRPr="00D53A2B">
        <w:rPr>
          <w:rStyle w:val="Gvdemetni3a"/>
          <w:color w:val="000000"/>
          <w:sz w:val="24"/>
          <w:szCs w:val="24"/>
        </w:rPr>
        <w:t>n</w:t>
      </w:r>
      <w:r w:rsidRPr="00D53A2B">
        <w:rPr>
          <w:rStyle w:val="Gvdemetni3a"/>
          <w:color w:val="000000"/>
          <w:sz w:val="24"/>
          <w:szCs w:val="24"/>
        </w:rPr>
        <w:t xml:space="preserve"> kapat</w:t>
      </w:r>
      <w:r w:rsidR="004F5BAA" w:rsidRPr="00D53A2B">
        <w:rPr>
          <w:rStyle w:val="Gvdemetni3a"/>
          <w:color w:val="000000"/>
          <w:sz w:val="24"/>
          <w:szCs w:val="24"/>
        </w:rPr>
        <w:t>ılması</w:t>
      </w:r>
    </w:p>
    <w:p w14:paraId="16E61A8B" w14:textId="41FFB417" w:rsidR="00B91E94" w:rsidRPr="00D53A2B" w:rsidRDefault="00B91E94" w:rsidP="00A202FD">
      <w:pPr>
        <w:jc w:val="both"/>
        <w:rPr>
          <w:rStyle w:val="Balk1Arial3"/>
          <w:rFonts w:ascii="Times New Roman" w:hAnsi="Times New Roman" w:cs="Times New Roman"/>
          <w:sz w:val="24"/>
          <w:szCs w:val="24"/>
        </w:rPr>
      </w:pPr>
      <w:bookmarkStart w:id="20" w:name="bookmark1432"/>
      <w:bookmarkStart w:id="21" w:name="bookmark1433"/>
    </w:p>
    <w:bookmarkEnd w:id="20"/>
    <w:bookmarkEnd w:id="21"/>
    <w:p w14:paraId="756BF965" w14:textId="5ACA6B32" w:rsidR="004F5BAA" w:rsidRPr="00D53A2B" w:rsidRDefault="006642AD" w:rsidP="00A202FD">
      <w:pPr>
        <w:pStyle w:val="Balk2"/>
        <w:rPr>
          <w:rStyle w:val="Balk1Arial3"/>
          <w:rFonts w:ascii="Times New Roman" w:hAnsi="Times New Roman" w:cs="Times New Roman"/>
          <w:b/>
          <w:bCs w:val="0"/>
          <w:color w:val="000000"/>
          <w:sz w:val="24"/>
          <w:szCs w:val="24"/>
        </w:rPr>
      </w:pPr>
      <w:r w:rsidRPr="00D53A2B">
        <w:rPr>
          <w:rStyle w:val="Balk1Arial3"/>
          <w:rFonts w:ascii="Times New Roman" w:hAnsi="Times New Roman" w:cs="Times New Roman"/>
          <w:b/>
          <w:bCs w:val="0"/>
          <w:color w:val="000000"/>
          <w:sz w:val="24"/>
          <w:szCs w:val="24"/>
        </w:rPr>
        <w:t xml:space="preserve">2. </w:t>
      </w:r>
      <w:r w:rsidR="004F5BAA" w:rsidRPr="00D53A2B">
        <w:rPr>
          <w:rStyle w:val="Balk1Arial3"/>
          <w:rFonts w:ascii="Times New Roman" w:hAnsi="Times New Roman" w:cs="Times New Roman"/>
          <w:b/>
          <w:bCs w:val="0"/>
          <w:color w:val="000000"/>
          <w:sz w:val="24"/>
          <w:szCs w:val="24"/>
        </w:rPr>
        <w:t>Sinter Tesisleri İçin MET Sonuçları</w:t>
      </w:r>
    </w:p>
    <w:p w14:paraId="73CB54DA" w14:textId="03D48907" w:rsidR="004F5BAA" w:rsidRPr="00D53A2B" w:rsidRDefault="004F5BAA" w:rsidP="00A202FD">
      <w:pPr>
        <w:jc w:val="both"/>
        <w:rPr>
          <w:rStyle w:val="Gvdemetni3a"/>
          <w:rFonts w:eastAsiaTheme="majorEastAsia"/>
          <w:b/>
          <w:color w:val="000000" w:themeColor="text1"/>
        </w:rPr>
      </w:pPr>
      <w:r w:rsidRPr="00D53A2B">
        <w:rPr>
          <w:rStyle w:val="Gvdemetni3a"/>
        </w:rPr>
        <w:t>Aksi belirtilmedikçe, bu bölümde sunulan MET sonuçları tüm sinter tesislerine uygulanabilir.</w:t>
      </w:r>
    </w:p>
    <w:p w14:paraId="07C01B42" w14:textId="77777777" w:rsidR="004F5BAA" w:rsidRPr="00D53A2B" w:rsidRDefault="004F5BAA" w:rsidP="00A202FD">
      <w:pPr>
        <w:jc w:val="both"/>
        <w:rPr>
          <w:rStyle w:val="Gvdemetni3a"/>
        </w:rPr>
      </w:pPr>
    </w:p>
    <w:p w14:paraId="7251E52D" w14:textId="42AF2B3A" w:rsidR="00EC16E7" w:rsidRPr="00D53A2B" w:rsidRDefault="00866818" w:rsidP="00A202FD">
      <w:pPr>
        <w:pStyle w:val="Balk4"/>
        <w:rPr>
          <w:rFonts w:cs="Times New Roman"/>
        </w:rPr>
      </w:pPr>
      <w:r w:rsidRPr="00D53A2B">
        <w:rPr>
          <w:rStyle w:val="Gvdemetni142"/>
          <w:rFonts w:cs="Times New Roman"/>
        </w:rPr>
        <w:lastRenderedPageBreak/>
        <w:t xml:space="preserve">2.1. </w:t>
      </w:r>
      <w:r w:rsidR="00EC16E7" w:rsidRPr="00D53A2B">
        <w:rPr>
          <w:rStyle w:val="Gvdemetni142"/>
          <w:rFonts w:cs="Times New Roman"/>
        </w:rPr>
        <w:t>Hava emisyonları</w:t>
      </w:r>
    </w:p>
    <w:p w14:paraId="4AD1D506" w14:textId="21F87977" w:rsidR="00EC16E7" w:rsidRPr="00D53A2B" w:rsidRDefault="006F59B2" w:rsidP="00A202FD">
      <w:pPr>
        <w:pStyle w:val="MET"/>
        <w:rPr>
          <w:szCs w:val="24"/>
          <w:lang w:bidi="tr-TR"/>
        </w:rPr>
      </w:pPr>
      <w:bookmarkStart w:id="22" w:name="bookmark1434"/>
      <w:r w:rsidRPr="00D53A2B">
        <w:rPr>
          <w:rStyle w:val="Balk620"/>
          <w:b/>
          <w:color w:val="000000"/>
          <w:sz w:val="24"/>
          <w:szCs w:val="24"/>
        </w:rPr>
        <w:t xml:space="preserve">MET 19: </w:t>
      </w:r>
      <w:bookmarkEnd w:id="22"/>
      <w:r w:rsidR="00952209" w:rsidRPr="00D53A2B">
        <w:rPr>
          <w:b w:val="0"/>
          <w:bCs/>
          <w:szCs w:val="24"/>
          <w:lang w:bidi="tr-TR"/>
        </w:rPr>
        <w:t>Karıştırma/harmanlama için nem içeriğini ayarlayarak ince malzemelerin kümelenmesini sağlayarak dağınık toz emisyonları önle</w:t>
      </w:r>
      <w:r w:rsidR="006642AD" w:rsidRPr="00D53A2B">
        <w:rPr>
          <w:b w:val="0"/>
          <w:bCs/>
          <w:szCs w:val="24"/>
          <w:lang w:bidi="tr-TR"/>
        </w:rPr>
        <w:t>nebilir</w:t>
      </w:r>
      <w:r w:rsidR="00952209" w:rsidRPr="00D53A2B">
        <w:rPr>
          <w:b w:val="0"/>
          <w:bCs/>
          <w:szCs w:val="24"/>
          <w:lang w:bidi="tr-TR"/>
        </w:rPr>
        <w:t xml:space="preserve"> veya azalt</w:t>
      </w:r>
      <w:r w:rsidR="006642AD" w:rsidRPr="00D53A2B">
        <w:rPr>
          <w:b w:val="0"/>
          <w:bCs/>
          <w:szCs w:val="24"/>
          <w:lang w:bidi="tr-TR"/>
        </w:rPr>
        <w:t>ılabilir</w:t>
      </w:r>
      <w:r w:rsidR="00952209" w:rsidRPr="00D53A2B">
        <w:rPr>
          <w:b w:val="0"/>
          <w:bCs/>
          <w:szCs w:val="24"/>
          <w:lang w:bidi="tr-TR"/>
        </w:rPr>
        <w:t xml:space="preserve"> (ayrıca bkz. </w:t>
      </w:r>
      <w:r w:rsidR="006642AD" w:rsidRPr="00D53A2B">
        <w:rPr>
          <w:b w:val="0"/>
          <w:bCs/>
          <w:szCs w:val="24"/>
          <w:lang w:bidi="tr-TR"/>
        </w:rPr>
        <w:t>MET</w:t>
      </w:r>
      <w:r w:rsidR="00952209" w:rsidRPr="00D53A2B">
        <w:rPr>
          <w:b w:val="0"/>
          <w:bCs/>
          <w:szCs w:val="24"/>
          <w:lang w:bidi="tr-TR"/>
        </w:rPr>
        <w:t xml:space="preserve"> 11).</w:t>
      </w:r>
    </w:p>
    <w:p w14:paraId="375E968B" w14:textId="77777777" w:rsidR="00952209" w:rsidRPr="00D53A2B" w:rsidRDefault="00952209" w:rsidP="00A202FD">
      <w:pPr>
        <w:pStyle w:val="MET"/>
        <w:rPr>
          <w:szCs w:val="24"/>
        </w:rPr>
      </w:pPr>
    </w:p>
    <w:p w14:paraId="6EE633C0" w14:textId="2D4D5A83" w:rsidR="00EC16E7" w:rsidRPr="00D53A2B" w:rsidRDefault="006F59B2" w:rsidP="00A202FD">
      <w:pPr>
        <w:pStyle w:val="MET"/>
        <w:rPr>
          <w:b w:val="0"/>
          <w:bCs/>
          <w:szCs w:val="24"/>
          <w:lang w:bidi="tr-TR"/>
        </w:rPr>
      </w:pPr>
      <w:bookmarkStart w:id="23" w:name="bookmark1435"/>
      <w:r w:rsidRPr="00D53A2B">
        <w:rPr>
          <w:rStyle w:val="Balk620"/>
          <w:b/>
          <w:color w:val="000000"/>
          <w:sz w:val="24"/>
          <w:szCs w:val="24"/>
        </w:rPr>
        <w:t xml:space="preserve">MET 20: </w:t>
      </w:r>
      <w:bookmarkEnd w:id="23"/>
      <w:r w:rsidR="00952209" w:rsidRPr="00D53A2B">
        <w:rPr>
          <w:b w:val="0"/>
          <w:bCs/>
          <w:szCs w:val="24"/>
          <w:lang w:bidi="tr-TR"/>
        </w:rPr>
        <w:t>Sinter tesislerinden kaynaklanan birincil emisyonlar için, bir torba filtre vasıtasıyla sinter bandı atık gazından kaynaklanan toz emisyonlarını azaltmaktır.</w:t>
      </w:r>
    </w:p>
    <w:p w14:paraId="611B02FB" w14:textId="1CFB88BB" w:rsidR="00043A30" w:rsidRPr="00D53A2B" w:rsidRDefault="00043A30" w:rsidP="00A202FD">
      <w:pPr>
        <w:pStyle w:val="MET"/>
        <w:rPr>
          <w:rStyle w:val="Gvdemetni3a"/>
          <w:b w:val="0"/>
          <w:bCs/>
          <w:color w:val="000000"/>
          <w:szCs w:val="24"/>
        </w:rPr>
      </w:pPr>
      <w:r w:rsidRPr="00D53A2B">
        <w:rPr>
          <w:rStyle w:val="Gvdemetni3a"/>
          <w:b w:val="0"/>
          <w:bCs/>
          <w:color w:val="000000"/>
          <w:szCs w:val="24"/>
        </w:rPr>
        <w:t>Mevcut tesisler için birincil emisyonlara yönelik MET, torba filtrelerin uygulanabilir olmadığı durumlarda gelişmiş elektrostatik çökelticiler kullanarak sinter tel atık gazından kaynaklanan toz emisyonları</w:t>
      </w:r>
      <w:r w:rsidR="007B72E1" w:rsidRPr="00D53A2B">
        <w:rPr>
          <w:rStyle w:val="Gvdemetni3a"/>
          <w:b w:val="0"/>
          <w:bCs/>
          <w:color w:val="000000"/>
          <w:szCs w:val="24"/>
        </w:rPr>
        <w:t xml:space="preserve"> azaltılabilir</w:t>
      </w:r>
      <w:r w:rsidRPr="00D53A2B">
        <w:rPr>
          <w:rStyle w:val="Gvdemetni3a"/>
          <w:b w:val="0"/>
          <w:bCs/>
          <w:color w:val="000000"/>
          <w:szCs w:val="24"/>
        </w:rPr>
        <w:t>.</w:t>
      </w:r>
    </w:p>
    <w:p w14:paraId="06BCD291" w14:textId="77777777" w:rsidR="00043A30" w:rsidRPr="00D53A2B" w:rsidRDefault="00043A30" w:rsidP="00A202FD">
      <w:pPr>
        <w:jc w:val="both"/>
        <w:rPr>
          <w:rStyle w:val="Gvdemetni3a"/>
          <w:b/>
          <w:bCs/>
          <w:spacing w:val="2"/>
          <w:lang w:eastAsia="en-US"/>
        </w:rPr>
      </w:pPr>
    </w:p>
    <w:p w14:paraId="382FAF98" w14:textId="78BC62D5" w:rsidR="00043A30" w:rsidRPr="00D53A2B" w:rsidRDefault="00043A30" w:rsidP="00A202FD">
      <w:pPr>
        <w:jc w:val="both"/>
        <w:rPr>
          <w:rStyle w:val="Gvdemetni3a"/>
          <w:b/>
          <w:bCs/>
          <w:i/>
          <w:iCs/>
        </w:rPr>
      </w:pPr>
      <w:r w:rsidRPr="00D53A2B">
        <w:rPr>
          <w:rStyle w:val="Gvdemetni3a"/>
        </w:rPr>
        <w:t>Toz için MET ile ilişkili emisyon seviyesi torba filtre için &lt;1-15 mg/Nm</w:t>
      </w:r>
      <w:r w:rsidRPr="00D53A2B">
        <w:rPr>
          <w:rStyle w:val="Gvdemetni3a"/>
          <w:vertAlign w:val="superscript"/>
        </w:rPr>
        <w:t>3</w:t>
      </w:r>
      <w:r w:rsidRPr="00D53A2B">
        <w:rPr>
          <w:rStyle w:val="Gvdemetni3a"/>
        </w:rPr>
        <w:t xml:space="preserve"> ve gelişmiş elektrostatik çöktürücü için &lt;20-40 mg/Nm</w:t>
      </w:r>
      <w:r w:rsidRPr="00D53A2B">
        <w:rPr>
          <w:rStyle w:val="Gvdemetni3a"/>
          <w:vertAlign w:val="superscript"/>
        </w:rPr>
        <w:t>3</w:t>
      </w:r>
      <w:r w:rsidR="00E56504" w:rsidRPr="00D53A2B">
        <w:rPr>
          <w:rStyle w:val="Gvdemetni3a"/>
        </w:rPr>
        <w:t>’</w:t>
      </w:r>
      <w:r w:rsidRPr="00D53A2B">
        <w:rPr>
          <w:rStyle w:val="Gvdemetni3a"/>
        </w:rPr>
        <w:t>tür (bu değerlere ulaşmak için tasarlanmalı ve çalıştırılmalıdır), her ikisi de günlük ortalama değer olarak belirlenmiştir.</w:t>
      </w:r>
    </w:p>
    <w:p w14:paraId="226A820E" w14:textId="77777777" w:rsidR="00043A30" w:rsidRPr="00D53A2B" w:rsidRDefault="00043A30" w:rsidP="00A202FD">
      <w:pPr>
        <w:jc w:val="both"/>
        <w:rPr>
          <w:rStyle w:val="Gvdemetni3a"/>
          <w:b/>
          <w:bCs/>
          <w:i/>
          <w:iCs/>
        </w:rPr>
      </w:pPr>
    </w:p>
    <w:p w14:paraId="761D1B63" w14:textId="0F2224FF" w:rsidR="00EC16E7" w:rsidRPr="00D53A2B" w:rsidRDefault="00EC16E7" w:rsidP="00A202FD">
      <w:pPr>
        <w:jc w:val="both"/>
      </w:pPr>
      <w:r w:rsidRPr="00D53A2B">
        <w:rPr>
          <w:rStyle w:val="Gvdemetni143"/>
          <w:sz w:val="24"/>
          <w:szCs w:val="24"/>
        </w:rPr>
        <w:t>Torba Filtre</w:t>
      </w:r>
    </w:p>
    <w:p w14:paraId="3F74414D" w14:textId="77777777" w:rsidR="00043A30" w:rsidRPr="00D53A2B" w:rsidRDefault="00043A30" w:rsidP="00A202FD">
      <w:pPr>
        <w:jc w:val="both"/>
        <w:rPr>
          <w:rStyle w:val="Balk620"/>
          <w:sz w:val="24"/>
          <w:szCs w:val="24"/>
        </w:rPr>
      </w:pPr>
      <w:bookmarkStart w:id="24" w:name="bookmark1436"/>
    </w:p>
    <w:p w14:paraId="55B09907" w14:textId="78E9E146" w:rsidR="00EC16E7" w:rsidRPr="00D53A2B" w:rsidRDefault="00EC16E7" w:rsidP="00A202FD">
      <w:pPr>
        <w:jc w:val="both"/>
      </w:pPr>
      <w:r w:rsidRPr="00D53A2B">
        <w:rPr>
          <w:rStyle w:val="Balk620"/>
          <w:sz w:val="24"/>
          <w:szCs w:val="24"/>
        </w:rPr>
        <w:t>Tanım</w:t>
      </w:r>
      <w:bookmarkEnd w:id="24"/>
    </w:p>
    <w:p w14:paraId="72EB8951" w14:textId="704EFA8E" w:rsidR="00EC16E7" w:rsidRPr="00D53A2B" w:rsidRDefault="00230E57" w:rsidP="00A202FD">
      <w:pPr>
        <w:jc w:val="both"/>
        <w:rPr>
          <w:rStyle w:val="Gvdemetni3a"/>
        </w:rPr>
      </w:pPr>
      <w:r w:rsidRPr="00D53A2B">
        <w:rPr>
          <w:rStyle w:val="Gvdemetni3a"/>
        </w:rPr>
        <w:t>Sinter tesislerinde kullanılan torba filtreler genellikle mevcut bir elektrostatik çöktürücü veya siklonun akış aşağısına uygulanır, ancak bağımsız bir cihaz olarak da çalıştırılabilir.</w:t>
      </w:r>
    </w:p>
    <w:p w14:paraId="36B90057" w14:textId="77777777" w:rsidR="00043A30" w:rsidRPr="00D53A2B" w:rsidRDefault="00043A30" w:rsidP="00A202FD">
      <w:pPr>
        <w:jc w:val="both"/>
      </w:pPr>
    </w:p>
    <w:p w14:paraId="50FFD838" w14:textId="77777777" w:rsidR="00EC16E7" w:rsidRPr="00D53A2B" w:rsidRDefault="00EC16E7" w:rsidP="00A202FD">
      <w:pPr>
        <w:jc w:val="both"/>
      </w:pPr>
      <w:bookmarkStart w:id="25" w:name="bookmark1437"/>
      <w:r w:rsidRPr="00D53A2B">
        <w:rPr>
          <w:rStyle w:val="Balk620"/>
          <w:sz w:val="24"/>
          <w:szCs w:val="24"/>
        </w:rPr>
        <w:t>Uygulanabilirlik</w:t>
      </w:r>
      <w:bookmarkEnd w:id="25"/>
    </w:p>
    <w:p w14:paraId="0216B67D" w14:textId="06B2BF05" w:rsidR="00EC16E7" w:rsidRPr="00D53A2B" w:rsidRDefault="00230E57" w:rsidP="00A202FD">
      <w:pPr>
        <w:jc w:val="both"/>
        <w:rPr>
          <w:rStyle w:val="Gvdemetni3a"/>
        </w:rPr>
      </w:pPr>
      <w:r w:rsidRPr="00D53A2B">
        <w:rPr>
          <w:rStyle w:val="Gvdemetni3a"/>
        </w:rPr>
        <w:t xml:space="preserve">Mevcut tesisler için, elektrostatik çöktürücüye aşağı yönde bir kurulum için alan gibi gereksinimler söz konusu olabilir. Mevcut elektrostatik çöktürücünün yaşı ve performansı özellikle dikkate alınmalıdır. </w:t>
      </w:r>
    </w:p>
    <w:p w14:paraId="29FFFA8E" w14:textId="77777777" w:rsidR="00230E57" w:rsidRPr="00D53A2B" w:rsidRDefault="00230E57" w:rsidP="00A202FD">
      <w:pPr>
        <w:jc w:val="both"/>
      </w:pPr>
    </w:p>
    <w:p w14:paraId="3C637A3B" w14:textId="76157891" w:rsidR="00EC16E7" w:rsidRPr="00D53A2B" w:rsidRDefault="00EC16E7" w:rsidP="00A202FD">
      <w:pPr>
        <w:jc w:val="both"/>
      </w:pPr>
      <w:r w:rsidRPr="00D53A2B">
        <w:rPr>
          <w:rStyle w:val="Gvdemetni143"/>
          <w:sz w:val="24"/>
          <w:szCs w:val="24"/>
        </w:rPr>
        <w:t>Gelişmiş elektrostatik çök</w:t>
      </w:r>
      <w:r w:rsidR="00230E57" w:rsidRPr="00D53A2B">
        <w:rPr>
          <w:rStyle w:val="Gvdemetni143"/>
          <w:sz w:val="24"/>
          <w:szCs w:val="24"/>
        </w:rPr>
        <w:t>türücüler</w:t>
      </w:r>
    </w:p>
    <w:p w14:paraId="36A4B5DE" w14:textId="77777777" w:rsidR="00230E57" w:rsidRPr="00D53A2B" w:rsidRDefault="00230E57" w:rsidP="00A202FD">
      <w:pPr>
        <w:jc w:val="both"/>
        <w:rPr>
          <w:rStyle w:val="Balk620"/>
          <w:sz w:val="24"/>
          <w:szCs w:val="24"/>
        </w:rPr>
      </w:pPr>
      <w:bookmarkStart w:id="26" w:name="bookmark1438"/>
    </w:p>
    <w:p w14:paraId="4F54F257" w14:textId="30BF5175" w:rsidR="00EC16E7" w:rsidRPr="00D53A2B" w:rsidRDefault="00EC16E7" w:rsidP="00A202FD">
      <w:pPr>
        <w:jc w:val="both"/>
      </w:pPr>
      <w:r w:rsidRPr="00D53A2B">
        <w:rPr>
          <w:rStyle w:val="Balk620"/>
          <w:sz w:val="24"/>
          <w:szCs w:val="24"/>
        </w:rPr>
        <w:t>Tanım</w:t>
      </w:r>
      <w:bookmarkEnd w:id="26"/>
    </w:p>
    <w:p w14:paraId="68D8E216" w14:textId="77777777" w:rsidR="00230E57" w:rsidRPr="00D53A2B" w:rsidRDefault="00230E57" w:rsidP="00A202FD">
      <w:pPr>
        <w:jc w:val="both"/>
        <w:rPr>
          <w:rStyle w:val="Gvdemetni3a"/>
        </w:rPr>
      </w:pPr>
      <w:r w:rsidRPr="00D53A2B">
        <w:rPr>
          <w:rStyle w:val="Gvdemetni3a"/>
        </w:rPr>
        <w:t>Gelişmiş elektrostatik çöktürücüler aşağıdaki özelliklerden biri veya bir kombinasyonu ile karakterize edilir:</w:t>
      </w:r>
    </w:p>
    <w:p w14:paraId="18105FDA" w14:textId="11C45E79" w:rsidR="00230E57" w:rsidRPr="00D53A2B" w:rsidRDefault="00230E57" w:rsidP="00A202FD">
      <w:pPr>
        <w:pStyle w:val="ListeParagraf"/>
        <w:numPr>
          <w:ilvl w:val="0"/>
          <w:numId w:val="87"/>
        </w:numPr>
        <w:tabs>
          <w:tab w:val="clear" w:pos="567"/>
        </w:tabs>
        <w:spacing w:line="240" w:lineRule="auto"/>
        <w:ind w:left="284" w:hanging="284"/>
        <w:rPr>
          <w:rStyle w:val="Gvdemetni3a"/>
          <w:sz w:val="24"/>
          <w:szCs w:val="24"/>
        </w:rPr>
      </w:pPr>
      <w:r w:rsidRPr="00D53A2B">
        <w:rPr>
          <w:rStyle w:val="Gvdemetni3a"/>
          <w:color w:val="000000"/>
          <w:sz w:val="24"/>
          <w:szCs w:val="24"/>
        </w:rPr>
        <w:t xml:space="preserve">iyi </w:t>
      </w:r>
      <w:r w:rsidR="00EC16E7" w:rsidRPr="00D53A2B">
        <w:rPr>
          <w:rStyle w:val="Gvdemetni3a"/>
          <w:color w:val="000000"/>
          <w:sz w:val="24"/>
          <w:szCs w:val="24"/>
        </w:rPr>
        <w:t>proses kontrolü</w:t>
      </w:r>
    </w:p>
    <w:p w14:paraId="46F2F6C0" w14:textId="77777777" w:rsidR="00230E57" w:rsidRPr="00D53A2B" w:rsidRDefault="00230E57" w:rsidP="00A202FD">
      <w:pPr>
        <w:pStyle w:val="ListeParagraf"/>
        <w:numPr>
          <w:ilvl w:val="0"/>
          <w:numId w:val="87"/>
        </w:numPr>
        <w:tabs>
          <w:tab w:val="clear" w:pos="567"/>
        </w:tabs>
        <w:spacing w:line="240" w:lineRule="auto"/>
        <w:ind w:left="284" w:hanging="284"/>
        <w:rPr>
          <w:rStyle w:val="Gvdemetni3a"/>
          <w:sz w:val="24"/>
          <w:szCs w:val="24"/>
        </w:rPr>
      </w:pPr>
      <w:r w:rsidRPr="00D53A2B">
        <w:rPr>
          <w:rStyle w:val="Gvdemetni3a"/>
          <w:color w:val="000000"/>
          <w:sz w:val="24"/>
          <w:szCs w:val="24"/>
        </w:rPr>
        <w:t>ilave</w:t>
      </w:r>
      <w:r w:rsidR="00EC16E7" w:rsidRPr="00D53A2B">
        <w:rPr>
          <w:rStyle w:val="Gvdemetni3a"/>
          <w:color w:val="000000"/>
          <w:sz w:val="24"/>
          <w:szCs w:val="24"/>
        </w:rPr>
        <w:t xml:space="preserve"> elektrik alanları</w:t>
      </w:r>
    </w:p>
    <w:p w14:paraId="77F7596A" w14:textId="77777777" w:rsidR="00230E57" w:rsidRPr="00D53A2B" w:rsidRDefault="00EC16E7" w:rsidP="00A202FD">
      <w:pPr>
        <w:pStyle w:val="ListeParagraf"/>
        <w:numPr>
          <w:ilvl w:val="0"/>
          <w:numId w:val="87"/>
        </w:numPr>
        <w:tabs>
          <w:tab w:val="clear" w:pos="567"/>
        </w:tabs>
        <w:spacing w:line="240" w:lineRule="auto"/>
        <w:ind w:left="284" w:hanging="284"/>
        <w:rPr>
          <w:rStyle w:val="Gvdemetni3a"/>
          <w:sz w:val="24"/>
          <w:szCs w:val="24"/>
        </w:rPr>
      </w:pPr>
      <w:r w:rsidRPr="00D53A2B">
        <w:rPr>
          <w:rStyle w:val="Gvdemetni3a"/>
          <w:color w:val="000000"/>
          <w:sz w:val="24"/>
          <w:szCs w:val="24"/>
        </w:rPr>
        <w:t>elektrik alanının uyarlanmış gücü</w:t>
      </w:r>
    </w:p>
    <w:p w14:paraId="1832B5E7" w14:textId="77777777" w:rsidR="00230E57" w:rsidRPr="00D53A2B" w:rsidRDefault="00230E57" w:rsidP="00A202FD">
      <w:pPr>
        <w:pStyle w:val="ListeParagraf"/>
        <w:numPr>
          <w:ilvl w:val="0"/>
          <w:numId w:val="87"/>
        </w:numPr>
        <w:tabs>
          <w:tab w:val="clear" w:pos="567"/>
        </w:tabs>
        <w:spacing w:line="240" w:lineRule="auto"/>
        <w:ind w:left="284" w:hanging="284"/>
        <w:rPr>
          <w:rStyle w:val="Gvdemetni3a"/>
          <w:sz w:val="24"/>
          <w:szCs w:val="24"/>
        </w:rPr>
      </w:pPr>
      <w:r w:rsidRPr="00D53A2B">
        <w:rPr>
          <w:rStyle w:val="Gvdemetni3a"/>
          <w:color w:val="000000"/>
          <w:sz w:val="24"/>
          <w:szCs w:val="24"/>
        </w:rPr>
        <w:t xml:space="preserve">ayarlanmış </w:t>
      </w:r>
      <w:r w:rsidR="00EC16E7" w:rsidRPr="00D53A2B">
        <w:rPr>
          <w:rStyle w:val="Gvdemetni3a"/>
          <w:color w:val="000000"/>
          <w:sz w:val="24"/>
          <w:szCs w:val="24"/>
        </w:rPr>
        <w:t>nem içeriği</w:t>
      </w:r>
    </w:p>
    <w:p w14:paraId="234A3F6D" w14:textId="77777777" w:rsidR="00230E57" w:rsidRPr="00D53A2B" w:rsidRDefault="00EC16E7" w:rsidP="00A202FD">
      <w:pPr>
        <w:pStyle w:val="ListeParagraf"/>
        <w:numPr>
          <w:ilvl w:val="0"/>
          <w:numId w:val="87"/>
        </w:numPr>
        <w:tabs>
          <w:tab w:val="clear" w:pos="567"/>
        </w:tabs>
        <w:spacing w:line="240" w:lineRule="auto"/>
        <w:ind w:left="284" w:hanging="284"/>
        <w:rPr>
          <w:rStyle w:val="Gvdemetni3a"/>
          <w:sz w:val="24"/>
          <w:szCs w:val="24"/>
        </w:rPr>
      </w:pPr>
      <w:r w:rsidRPr="00D53A2B">
        <w:rPr>
          <w:rStyle w:val="Gvdemetni3a"/>
          <w:color w:val="000000"/>
          <w:sz w:val="24"/>
          <w:szCs w:val="24"/>
        </w:rPr>
        <w:t>katkı maddeleri</w:t>
      </w:r>
      <w:r w:rsidR="00230E57" w:rsidRPr="00D53A2B">
        <w:rPr>
          <w:rStyle w:val="Gvdemetni3a"/>
          <w:sz w:val="24"/>
          <w:szCs w:val="24"/>
        </w:rPr>
        <w:t xml:space="preserve"> ile şartlandırma</w:t>
      </w:r>
    </w:p>
    <w:p w14:paraId="6C9020F3" w14:textId="77777777" w:rsidR="00230E57" w:rsidRPr="00D53A2B" w:rsidRDefault="00EC16E7" w:rsidP="00A202FD">
      <w:pPr>
        <w:pStyle w:val="ListeParagraf"/>
        <w:numPr>
          <w:ilvl w:val="0"/>
          <w:numId w:val="87"/>
        </w:numPr>
        <w:tabs>
          <w:tab w:val="clear" w:pos="567"/>
        </w:tabs>
        <w:spacing w:line="240" w:lineRule="auto"/>
        <w:ind w:left="284" w:hanging="284"/>
        <w:rPr>
          <w:rStyle w:val="Gvdemetni3a"/>
          <w:sz w:val="24"/>
          <w:szCs w:val="24"/>
        </w:rPr>
      </w:pPr>
      <w:r w:rsidRPr="00D53A2B">
        <w:rPr>
          <w:rStyle w:val="Gvdemetni3a"/>
          <w:color w:val="000000"/>
          <w:sz w:val="24"/>
          <w:szCs w:val="24"/>
        </w:rPr>
        <w:t xml:space="preserve">yüksek ya da değişken </w:t>
      </w:r>
      <w:r w:rsidR="00230E57" w:rsidRPr="00D53A2B">
        <w:rPr>
          <w:rStyle w:val="Gvdemetni3a"/>
          <w:color w:val="000000"/>
          <w:sz w:val="24"/>
          <w:szCs w:val="24"/>
        </w:rPr>
        <w:t>titreşimli</w:t>
      </w:r>
      <w:r w:rsidRPr="00D53A2B">
        <w:rPr>
          <w:rStyle w:val="Gvdemetni3a"/>
          <w:color w:val="000000"/>
          <w:sz w:val="24"/>
          <w:szCs w:val="24"/>
        </w:rPr>
        <w:t xml:space="preserve"> voltaj</w:t>
      </w:r>
    </w:p>
    <w:p w14:paraId="5E16585B" w14:textId="77777777" w:rsidR="00230E57" w:rsidRPr="00D53A2B" w:rsidRDefault="00EC16E7" w:rsidP="00A202FD">
      <w:pPr>
        <w:pStyle w:val="ListeParagraf"/>
        <w:numPr>
          <w:ilvl w:val="0"/>
          <w:numId w:val="87"/>
        </w:numPr>
        <w:tabs>
          <w:tab w:val="clear" w:pos="567"/>
        </w:tabs>
        <w:spacing w:line="240" w:lineRule="auto"/>
        <w:ind w:left="284" w:hanging="284"/>
        <w:rPr>
          <w:rStyle w:val="Gvdemetni3a"/>
          <w:sz w:val="24"/>
          <w:szCs w:val="24"/>
        </w:rPr>
      </w:pPr>
      <w:r w:rsidRPr="00D53A2B">
        <w:rPr>
          <w:rStyle w:val="Gvdemetni3a"/>
          <w:color w:val="000000"/>
          <w:sz w:val="24"/>
          <w:szCs w:val="24"/>
        </w:rPr>
        <w:t>hızlı reaksiyon voltajı</w:t>
      </w:r>
    </w:p>
    <w:p w14:paraId="44662248" w14:textId="77777777" w:rsidR="00230E57" w:rsidRPr="00D53A2B" w:rsidRDefault="00EC16E7" w:rsidP="00A202FD">
      <w:pPr>
        <w:pStyle w:val="ListeParagraf"/>
        <w:numPr>
          <w:ilvl w:val="0"/>
          <w:numId w:val="87"/>
        </w:numPr>
        <w:tabs>
          <w:tab w:val="clear" w:pos="567"/>
        </w:tabs>
        <w:spacing w:line="240" w:lineRule="auto"/>
        <w:ind w:left="284" w:hanging="284"/>
        <w:rPr>
          <w:rStyle w:val="Gvdemetni3a"/>
          <w:sz w:val="24"/>
          <w:szCs w:val="24"/>
        </w:rPr>
      </w:pPr>
      <w:r w:rsidRPr="00D53A2B">
        <w:rPr>
          <w:rStyle w:val="Gvdemetni3a"/>
          <w:color w:val="000000"/>
          <w:sz w:val="24"/>
          <w:szCs w:val="24"/>
        </w:rPr>
        <w:t xml:space="preserve">yüksek enerji titreşim </w:t>
      </w:r>
      <w:r w:rsidR="00230E57" w:rsidRPr="00D53A2B">
        <w:rPr>
          <w:rStyle w:val="Gvdemetni3a"/>
          <w:color w:val="000000"/>
          <w:sz w:val="24"/>
          <w:szCs w:val="24"/>
        </w:rPr>
        <w:t>süperpoze</w:t>
      </w:r>
    </w:p>
    <w:p w14:paraId="796EB71B" w14:textId="708BF5EB" w:rsidR="00EC16E7" w:rsidRPr="00D53A2B" w:rsidRDefault="00EC16E7" w:rsidP="00A202FD">
      <w:pPr>
        <w:pStyle w:val="ListeParagraf"/>
        <w:numPr>
          <w:ilvl w:val="0"/>
          <w:numId w:val="87"/>
        </w:numPr>
        <w:tabs>
          <w:tab w:val="clear" w:pos="567"/>
        </w:tabs>
        <w:spacing w:line="240" w:lineRule="auto"/>
        <w:ind w:left="284" w:hanging="284"/>
        <w:rPr>
          <w:rStyle w:val="Gvdemetni3a"/>
          <w:sz w:val="24"/>
          <w:szCs w:val="24"/>
        </w:rPr>
      </w:pPr>
      <w:r w:rsidRPr="00D53A2B">
        <w:rPr>
          <w:rStyle w:val="Gvdemetni3a"/>
          <w:color w:val="000000"/>
          <w:sz w:val="24"/>
          <w:szCs w:val="24"/>
        </w:rPr>
        <w:t>hareketli elektrotlar</w:t>
      </w:r>
    </w:p>
    <w:p w14:paraId="10C77652" w14:textId="34F5BF76" w:rsidR="00022228" w:rsidRPr="00D53A2B" w:rsidRDefault="00022228" w:rsidP="00A202FD">
      <w:pPr>
        <w:pStyle w:val="ListeParagraf"/>
        <w:numPr>
          <w:ilvl w:val="0"/>
          <w:numId w:val="87"/>
        </w:numPr>
        <w:tabs>
          <w:tab w:val="clear" w:pos="567"/>
        </w:tabs>
        <w:spacing w:line="240" w:lineRule="auto"/>
        <w:ind w:left="284" w:hanging="284"/>
        <w:rPr>
          <w:sz w:val="24"/>
          <w:szCs w:val="24"/>
        </w:rPr>
      </w:pPr>
      <w:r w:rsidRPr="00D53A2B">
        <w:rPr>
          <w:sz w:val="24"/>
          <w:szCs w:val="24"/>
        </w:rPr>
        <w:t>elektrot plakası mesafesinin veya azaltım verimliliğini artıran diğer özelliklerin genişletilmesi.</w:t>
      </w:r>
    </w:p>
    <w:p w14:paraId="7F826626" w14:textId="77777777" w:rsidR="00022228" w:rsidRPr="00D53A2B" w:rsidRDefault="00022228" w:rsidP="00A202FD">
      <w:pPr>
        <w:jc w:val="both"/>
        <w:rPr>
          <w:rStyle w:val="Gvdemetni3a"/>
          <w:b/>
          <w:bCs/>
        </w:rPr>
      </w:pPr>
    </w:p>
    <w:p w14:paraId="3C1FFF26" w14:textId="6E4B5176" w:rsidR="00022228" w:rsidRPr="00D53A2B" w:rsidRDefault="006F59B2" w:rsidP="00A202FD">
      <w:pPr>
        <w:pStyle w:val="MET"/>
        <w:rPr>
          <w:rStyle w:val="Gvdemetni3a"/>
          <w:b w:val="0"/>
          <w:bCs/>
          <w:color w:val="000000"/>
          <w:szCs w:val="24"/>
        </w:rPr>
      </w:pPr>
      <w:r w:rsidRPr="00D53A2B">
        <w:rPr>
          <w:rStyle w:val="Gvdemetni3a"/>
          <w:bCs/>
          <w:color w:val="000000"/>
          <w:szCs w:val="24"/>
        </w:rPr>
        <w:t xml:space="preserve">MET 21: </w:t>
      </w:r>
      <w:r w:rsidR="00022228" w:rsidRPr="00D53A2B">
        <w:rPr>
          <w:rStyle w:val="Gvdemetni3a"/>
          <w:b w:val="0"/>
          <w:color w:val="000000"/>
          <w:szCs w:val="24"/>
        </w:rPr>
        <w:t>Sinter bantlarından kaynaklanan birincil emisyonlar için, cıva içeriği düşük hammaddeler seçerek (bkz. MET 7) veya atık gazları aktif karbon veya aktif linyit koku enjeksiyonu ile birlikte arıtarak cıva emisyonları</w:t>
      </w:r>
      <w:r w:rsidR="007B72E1" w:rsidRPr="00D53A2B">
        <w:rPr>
          <w:rStyle w:val="Gvdemetni3a"/>
          <w:b w:val="0"/>
          <w:color w:val="000000"/>
          <w:szCs w:val="24"/>
        </w:rPr>
        <w:t xml:space="preserve"> önlenebilir veya azaltılabilir.</w:t>
      </w:r>
    </w:p>
    <w:p w14:paraId="18518F7E" w14:textId="77777777" w:rsidR="00022228" w:rsidRPr="00D53A2B" w:rsidRDefault="00022228" w:rsidP="00A202FD">
      <w:pPr>
        <w:jc w:val="both"/>
        <w:rPr>
          <w:rStyle w:val="Gvdemetni3a"/>
          <w:b/>
          <w:bCs/>
          <w:spacing w:val="2"/>
          <w:lang w:eastAsia="en-US"/>
        </w:rPr>
      </w:pPr>
    </w:p>
    <w:p w14:paraId="0760137B" w14:textId="313D2C78" w:rsidR="00022228" w:rsidRPr="00D53A2B" w:rsidRDefault="00022228" w:rsidP="00A202FD">
      <w:pPr>
        <w:jc w:val="both"/>
        <w:rPr>
          <w:rStyle w:val="Gvdemetni3a"/>
          <w:bCs/>
        </w:rPr>
      </w:pPr>
      <w:r w:rsidRPr="00D53A2B">
        <w:rPr>
          <w:rStyle w:val="Gvdemetni3a"/>
          <w:bCs/>
        </w:rPr>
        <w:lastRenderedPageBreak/>
        <w:t xml:space="preserve">Cıva için </w:t>
      </w:r>
      <w:r w:rsidR="007B72E1" w:rsidRPr="00D53A2B">
        <w:rPr>
          <w:rStyle w:val="Gvdemetni3a"/>
          <w:bCs/>
        </w:rPr>
        <w:t>MET</w:t>
      </w:r>
      <w:r w:rsidRPr="00D53A2B">
        <w:rPr>
          <w:rStyle w:val="Gvdemetni3a"/>
          <w:bCs/>
        </w:rPr>
        <w:t xml:space="preserve"> ile ilişkili emisyon seviyesi, numune alma süresi boyunca ortalama olarak &lt;0,03-0,05 mg/Nm</w:t>
      </w:r>
      <w:r w:rsidRPr="00D53A2B">
        <w:rPr>
          <w:rStyle w:val="Gvdemetni3a"/>
          <w:bCs/>
          <w:vertAlign w:val="superscript"/>
        </w:rPr>
        <w:t>3</w:t>
      </w:r>
      <w:r w:rsidR="00E56504" w:rsidRPr="00D53A2B">
        <w:rPr>
          <w:rStyle w:val="Gvdemetni3a"/>
          <w:bCs/>
        </w:rPr>
        <w:t>’</w:t>
      </w:r>
      <w:r w:rsidRPr="00D53A2B">
        <w:rPr>
          <w:rStyle w:val="Gvdemetni3a"/>
          <w:bCs/>
        </w:rPr>
        <w:t xml:space="preserve">tür </w:t>
      </w:r>
      <w:r w:rsidR="00EC6486">
        <w:rPr>
          <w:rStyle w:val="Gvdemetni3a"/>
          <w:bCs/>
        </w:rPr>
        <w:t>kesikli</w:t>
      </w:r>
      <w:r w:rsidRPr="00D53A2B">
        <w:rPr>
          <w:rStyle w:val="Gvdemetni3a"/>
          <w:bCs/>
        </w:rPr>
        <w:t xml:space="preserve"> ölçüm, en az yarım saat boyunca noktasal numuneler).</w:t>
      </w:r>
    </w:p>
    <w:p w14:paraId="3F02EA7A" w14:textId="77777777" w:rsidR="00022228" w:rsidRPr="00D53A2B" w:rsidRDefault="00022228" w:rsidP="00A202FD">
      <w:pPr>
        <w:jc w:val="both"/>
        <w:rPr>
          <w:rStyle w:val="Gvdemetni3a"/>
          <w:bCs/>
        </w:rPr>
      </w:pPr>
    </w:p>
    <w:p w14:paraId="78AD664D" w14:textId="3AE9028B" w:rsidR="00022228" w:rsidRPr="00D53A2B" w:rsidRDefault="006F59B2" w:rsidP="00A202FD">
      <w:pPr>
        <w:pStyle w:val="MET"/>
        <w:rPr>
          <w:bCs/>
          <w:color w:val="000000"/>
          <w:szCs w:val="24"/>
        </w:rPr>
      </w:pPr>
      <w:bookmarkStart w:id="27" w:name="bookmark1439"/>
      <w:r w:rsidRPr="00D53A2B">
        <w:rPr>
          <w:rStyle w:val="Balk63"/>
          <w:bCs/>
          <w:color w:val="000000"/>
          <w:sz w:val="24"/>
          <w:szCs w:val="24"/>
        </w:rPr>
        <w:t>MET 22:</w:t>
      </w:r>
      <w:r w:rsidR="00F55452" w:rsidRPr="00D53A2B">
        <w:rPr>
          <w:rStyle w:val="Balk63"/>
          <w:bCs/>
          <w:color w:val="000000"/>
          <w:sz w:val="24"/>
          <w:szCs w:val="24"/>
        </w:rPr>
        <w:t xml:space="preserve"> </w:t>
      </w:r>
      <w:bookmarkEnd w:id="27"/>
      <w:r w:rsidR="00022228" w:rsidRPr="00D53A2B">
        <w:rPr>
          <w:rStyle w:val="Balk63"/>
          <w:b w:val="0"/>
          <w:color w:val="000000"/>
          <w:sz w:val="24"/>
          <w:szCs w:val="24"/>
        </w:rPr>
        <w:t xml:space="preserve">Sinter </w:t>
      </w:r>
      <w:r w:rsidR="00807F2C" w:rsidRPr="00D53A2B">
        <w:rPr>
          <w:rStyle w:val="Balk63"/>
          <w:b w:val="0"/>
          <w:color w:val="000000"/>
          <w:sz w:val="24"/>
          <w:szCs w:val="24"/>
        </w:rPr>
        <w:t>bandından</w:t>
      </w:r>
      <w:r w:rsidR="00022228" w:rsidRPr="00D53A2B">
        <w:rPr>
          <w:rStyle w:val="Balk63"/>
          <w:b w:val="0"/>
          <w:color w:val="000000"/>
          <w:sz w:val="24"/>
          <w:szCs w:val="24"/>
        </w:rPr>
        <w:t xml:space="preserve"> kaynaklanan birincil emisyonlar için, aşağıdaki tekniklerden birini veya bir kombinasyonunu kullanarak sülfür oksit (SO</w:t>
      </w:r>
      <w:r w:rsidR="00022228" w:rsidRPr="00D53A2B">
        <w:rPr>
          <w:rStyle w:val="Balk63"/>
          <w:b w:val="0"/>
          <w:color w:val="000000"/>
          <w:sz w:val="24"/>
          <w:szCs w:val="24"/>
          <w:vertAlign w:val="subscript"/>
        </w:rPr>
        <w:t>X</w:t>
      </w:r>
      <w:r w:rsidR="00022228" w:rsidRPr="00D53A2B">
        <w:rPr>
          <w:rStyle w:val="Balk63"/>
          <w:b w:val="0"/>
          <w:color w:val="000000"/>
          <w:sz w:val="24"/>
          <w:szCs w:val="24"/>
        </w:rPr>
        <w:t>) emisyonları</w:t>
      </w:r>
      <w:r w:rsidR="007B72E1" w:rsidRPr="00D53A2B">
        <w:rPr>
          <w:rStyle w:val="Balk63"/>
          <w:b w:val="0"/>
          <w:color w:val="000000"/>
          <w:sz w:val="24"/>
          <w:szCs w:val="24"/>
        </w:rPr>
        <w:t xml:space="preserve"> azaltılabilir</w:t>
      </w:r>
      <w:r w:rsidR="00022228" w:rsidRPr="00D53A2B">
        <w:rPr>
          <w:rStyle w:val="Balk63"/>
          <w:b w:val="0"/>
          <w:color w:val="000000"/>
          <w:sz w:val="24"/>
          <w:szCs w:val="24"/>
        </w:rPr>
        <w:t>:</w:t>
      </w:r>
      <w:r w:rsidR="00022228" w:rsidRPr="00D53A2B">
        <w:rPr>
          <w:rStyle w:val="Balk63"/>
          <w:b w:val="0"/>
          <w:bCs/>
          <w:color w:val="000000"/>
          <w:sz w:val="24"/>
          <w:szCs w:val="24"/>
        </w:rPr>
        <w:t xml:space="preserve"> </w:t>
      </w:r>
    </w:p>
    <w:p w14:paraId="2B5B83C0" w14:textId="09B524ED" w:rsidR="00EC16E7" w:rsidRPr="00D53A2B" w:rsidRDefault="00EC16E7" w:rsidP="00A202FD">
      <w:pPr>
        <w:pStyle w:val="ListeParagraf"/>
        <w:numPr>
          <w:ilvl w:val="0"/>
          <w:numId w:val="88"/>
        </w:numPr>
        <w:tabs>
          <w:tab w:val="clear" w:pos="567"/>
        </w:tabs>
        <w:spacing w:line="240" w:lineRule="auto"/>
        <w:ind w:left="426" w:hanging="437"/>
        <w:rPr>
          <w:rStyle w:val="Gvdemetni3a"/>
          <w:sz w:val="24"/>
          <w:szCs w:val="24"/>
        </w:rPr>
      </w:pPr>
      <w:r w:rsidRPr="00D53A2B">
        <w:rPr>
          <w:rStyle w:val="Gvdemetni3a"/>
          <w:color w:val="000000"/>
          <w:sz w:val="24"/>
          <w:szCs w:val="24"/>
        </w:rPr>
        <w:t xml:space="preserve">düşük </w:t>
      </w:r>
      <w:r w:rsidR="005F0564" w:rsidRPr="00D53A2B">
        <w:rPr>
          <w:rStyle w:val="Gvdemetni3a"/>
          <w:color w:val="000000"/>
          <w:sz w:val="24"/>
          <w:szCs w:val="24"/>
        </w:rPr>
        <w:t>kükürt oranına sahip kok tozunun kullanılmasıyla kükürt girdisinin azaltılması</w:t>
      </w:r>
    </w:p>
    <w:p w14:paraId="6CD08EFE" w14:textId="1B40381B" w:rsidR="005F0564" w:rsidRPr="00D53A2B" w:rsidRDefault="005F0564" w:rsidP="00A202FD">
      <w:pPr>
        <w:pStyle w:val="ListeParagraf"/>
        <w:numPr>
          <w:ilvl w:val="0"/>
          <w:numId w:val="88"/>
        </w:numPr>
        <w:tabs>
          <w:tab w:val="clear" w:pos="567"/>
        </w:tabs>
        <w:spacing w:line="240" w:lineRule="auto"/>
        <w:ind w:left="426" w:hanging="437"/>
        <w:rPr>
          <w:sz w:val="24"/>
          <w:szCs w:val="24"/>
        </w:rPr>
      </w:pPr>
      <w:r w:rsidRPr="00D53A2B">
        <w:rPr>
          <w:sz w:val="24"/>
          <w:szCs w:val="24"/>
        </w:rPr>
        <w:t>kok tozu tüketiminin en aza indirilmesiyle kükürt girdisinin azaltılması</w:t>
      </w:r>
    </w:p>
    <w:p w14:paraId="5BE55CB4" w14:textId="055645A8" w:rsidR="005F0564" w:rsidRPr="00D53A2B" w:rsidRDefault="005F0564" w:rsidP="00A202FD">
      <w:pPr>
        <w:pStyle w:val="ListeParagraf"/>
        <w:numPr>
          <w:ilvl w:val="0"/>
          <w:numId w:val="88"/>
        </w:numPr>
        <w:tabs>
          <w:tab w:val="clear" w:pos="567"/>
        </w:tabs>
        <w:spacing w:line="240" w:lineRule="auto"/>
        <w:ind w:left="426" w:hanging="437"/>
        <w:rPr>
          <w:sz w:val="24"/>
          <w:szCs w:val="24"/>
        </w:rPr>
      </w:pPr>
      <w:r w:rsidRPr="00D53A2B">
        <w:rPr>
          <w:sz w:val="24"/>
          <w:szCs w:val="24"/>
        </w:rPr>
        <w:t>düşük kükürt oranına sahip demir cevheri kullanılarak kükürt girdisinin azaltılması</w:t>
      </w:r>
    </w:p>
    <w:p w14:paraId="726F7B51" w14:textId="1418ECC7" w:rsidR="005F0564" w:rsidRPr="00D53A2B" w:rsidRDefault="005F0564" w:rsidP="00A202FD">
      <w:pPr>
        <w:pStyle w:val="ListeParagraf"/>
        <w:numPr>
          <w:ilvl w:val="0"/>
          <w:numId w:val="88"/>
        </w:numPr>
        <w:tabs>
          <w:tab w:val="clear" w:pos="567"/>
        </w:tabs>
        <w:spacing w:line="240" w:lineRule="auto"/>
        <w:ind w:left="426" w:hanging="437"/>
        <w:rPr>
          <w:sz w:val="24"/>
          <w:szCs w:val="24"/>
        </w:rPr>
      </w:pPr>
      <w:r w:rsidRPr="00D53A2B">
        <w:rPr>
          <w:sz w:val="24"/>
          <w:szCs w:val="24"/>
        </w:rPr>
        <w:t>torba filtre ile tozsuzlaştırma işleminden önce sinter bandının atık gaz kanalına uygun adsorpsiyon maddelerinin enjekte edilmesi (bkz. MET 20)</w:t>
      </w:r>
    </w:p>
    <w:p w14:paraId="11B8238C" w14:textId="229905D7" w:rsidR="005F0564" w:rsidRPr="00D53A2B" w:rsidRDefault="005F0564" w:rsidP="00A202FD">
      <w:pPr>
        <w:pStyle w:val="ListeParagraf"/>
        <w:numPr>
          <w:ilvl w:val="0"/>
          <w:numId w:val="88"/>
        </w:numPr>
        <w:tabs>
          <w:tab w:val="clear" w:pos="567"/>
        </w:tabs>
        <w:spacing w:line="240" w:lineRule="auto"/>
        <w:ind w:left="426" w:hanging="437"/>
        <w:rPr>
          <w:sz w:val="24"/>
          <w:szCs w:val="24"/>
        </w:rPr>
      </w:pPr>
      <w:r w:rsidRPr="00D53A2B">
        <w:rPr>
          <w:sz w:val="24"/>
          <w:szCs w:val="24"/>
        </w:rPr>
        <w:t xml:space="preserve">ıslak desülfürizasyon veya aktif karbon </w:t>
      </w:r>
      <w:r w:rsidR="00132755" w:rsidRPr="00D53A2B">
        <w:rPr>
          <w:sz w:val="24"/>
          <w:szCs w:val="24"/>
        </w:rPr>
        <w:t xml:space="preserve">rejenerasyonu </w:t>
      </w:r>
      <w:r w:rsidRPr="00D53A2B">
        <w:rPr>
          <w:sz w:val="24"/>
          <w:szCs w:val="24"/>
        </w:rPr>
        <w:t>(Regenerative Activated Carbon-RAC) prosesi (uygulama için ön koşullar özellikle dikkate alınarak).</w:t>
      </w:r>
    </w:p>
    <w:p w14:paraId="38D29C6E" w14:textId="32ACD741" w:rsidR="005F0564" w:rsidRPr="00D53A2B" w:rsidRDefault="005F0564" w:rsidP="00A202FD">
      <w:pPr>
        <w:jc w:val="both"/>
      </w:pPr>
      <w:r w:rsidRPr="00D53A2B">
        <w:t>MET I-IV kullanılarak kükürt oksitleri (SO</w:t>
      </w:r>
      <w:r w:rsidRPr="00D53A2B">
        <w:rPr>
          <w:vertAlign w:val="subscript"/>
        </w:rPr>
        <w:t>X</w:t>
      </w:r>
      <w:r w:rsidRPr="00D53A2B">
        <w:t>) için MET ile ilişkili emisyon seviyesi &lt;350-500 mg/Nm</w:t>
      </w:r>
      <w:r w:rsidRPr="00D53A2B">
        <w:rPr>
          <w:vertAlign w:val="superscript"/>
        </w:rPr>
        <w:t>3</w:t>
      </w:r>
      <w:r w:rsidR="00E56504" w:rsidRPr="00D53A2B">
        <w:t>’</w:t>
      </w:r>
      <w:r w:rsidRPr="00D53A2B">
        <w:t>tür, kükürt dioksit (SO</w:t>
      </w:r>
      <w:r w:rsidRPr="00D53A2B">
        <w:rPr>
          <w:vertAlign w:val="subscript"/>
        </w:rPr>
        <w:t>2</w:t>
      </w:r>
      <w:r w:rsidRPr="00D53A2B">
        <w:t>) olarak ifade edilir ve günlük ortalama değer olarak belirlenir, daha düşük değer MET IV ile ilişkilidir.</w:t>
      </w:r>
    </w:p>
    <w:p w14:paraId="2A11B5D3" w14:textId="77777777" w:rsidR="005F0564" w:rsidRPr="00D53A2B" w:rsidRDefault="005F0564" w:rsidP="00A202FD">
      <w:pPr>
        <w:jc w:val="both"/>
      </w:pPr>
    </w:p>
    <w:p w14:paraId="355559D9" w14:textId="17024249" w:rsidR="005F0564" w:rsidRPr="00D53A2B" w:rsidRDefault="005F0564" w:rsidP="00A202FD">
      <w:pPr>
        <w:jc w:val="both"/>
      </w:pPr>
      <w:r w:rsidRPr="00D53A2B">
        <w:t>MET V kullanılarak sülfür oksitleri (SO</w:t>
      </w:r>
      <w:r w:rsidRPr="00D53A2B">
        <w:rPr>
          <w:vertAlign w:val="subscript"/>
        </w:rPr>
        <w:t>X</w:t>
      </w:r>
      <w:r w:rsidRPr="00D53A2B">
        <w:t>) için MET ile ilişkili emisyon seviyesi &lt;100mg/Nm</w:t>
      </w:r>
      <w:r w:rsidRPr="00D53A2B">
        <w:rPr>
          <w:vertAlign w:val="superscript"/>
        </w:rPr>
        <w:t>3</w:t>
      </w:r>
      <w:r w:rsidR="00E56504" w:rsidRPr="00D53A2B">
        <w:t>’</w:t>
      </w:r>
      <w:r w:rsidRPr="00D53A2B">
        <w:t>tür, sülfür dioksit (SO</w:t>
      </w:r>
      <w:r w:rsidRPr="00D53A2B">
        <w:rPr>
          <w:vertAlign w:val="subscript"/>
        </w:rPr>
        <w:t>2</w:t>
      </w:r>
      <w:r w:rsidRPr="00D53A2B">
        <w:t>) olarak ifade edilir ve günlük ortalama değer olarak belirlenir.</w:t>
      </w:r>
    </w:p>
    <w:p w14:paraId="257CC1AB" w14:textId="77777777" w:rsidR="005F0564" w:rsidRPr="00D53A2B" w:rsidRDefault="005F0564" w:rsidP="00A202FD">
      <w:pPr>
        <w:jc w:val="both"/>
        <w:rPr>
          <w:rStyle w:val="Gvdemetni3a"/>
        </w:rPr>
      </w:pPr>
    </w:p>
    <w:p w14:paraId="7831EF59" w14:textId="5C135953" w:rsidR="005F0564" w:rsidRPr="00D53A2B" w:rsidRDefault="006C7451" w:rsidP="00A202FD">
      <w:pPr>
        <w:jc w:val="both"/>
        <w:rPr>
          <w:rStyle w:val="Gvdemetni3a"/>
          <w:b/>
          <w:bCs/>
        </w:rPr>
      </w:pPr>
      <w:r w:rsidRPr="00D53A2B">
        <w:rPr>
          <w:rStyle w:val="Gvdemetni3a"/>
          <w:b/>
          <w:bCs/>
        </w:rPr>
        <w:t xml:space="preserve">MET V kapsamında belirtilen </w:t>
      </w:r>
      <w:r w:rsidR="007B72E1" w:rsidRPr="00D53A2B">
        <w:rPr>
          <w:rStyle w:val="Gvdemetni3a"/>
          <w:b/>
          <w:bCs/>
          <w:i/>
          <w:iCs/>
        </w:rPr>
        <w:t>aktif karbon rejenerasyonu(RAC)</w:t>
      </w:r>
      <w:r w:rsidRPr="00D53A2B">
        <w:rPr>
          <w:rStyle w:val="Gvdemetni3a"/>
          <w:b/>
          <w:bCs/>
          <w:i/>
          <w:iCs/>
        </w:rPr>
        <w:t xml:space="preserve"> prosesinin</w:t>
      </w:r>
      <w:r w:rsidRPr="00D53A2B">
        <w:rPr>
          <w:rStyle w:val="Gvdemetni3a"/>
          <w:b/>
          <w:bCs/>
        </w:rPr>
        <w:t xml:space="preserve"> tanımı</w:t>
      </w:r>
    </w:p>
    <w:p w14:paraId="1BA08F58" w14:textId="0BA48A80" w:rsidR="006C7451" w:rsidRPr="00D53A2B" w:rsidRDefault="0088443F" w:rsidP="00A202FD">
      <w:pPr>
        <w:jc w:val="both"/>
      </w:pPr>
      <w:r w:rsidRPr="00D53A2B">
        <w:t>Kuru desülfürizasyon teknikleri, SO</w:t>
      </w:r>
      <w:r w:rsidRPr="00D53A2B">
        <w:rPr>
          <w:vertAlign w:val="subscript"/>
        </w:rPr>
        <w:t>2</w:t>
      </w:r>
      <w:r w:rsidR="00E56504" w:rsidRPr="00D53A2B">
        <w:t>’</w:t>
      </w:r>
      <w:r w:rsidRPr="00D53A2B">
        <w:t>nin aktif karbon tarafından adsorpsiyonuna dayanmaktadır. SO</w:t>
      </w:r>
      <w:r w:rsidRPr="00D53A2B">
        <w:rPr>
          <w:vertAlign w:val="subscript"/>
        </w:rPr>
        <w:t>2</w:t>
      </w:r>
      <w:r w:rsidRPr="00D53A2B">
        <w:t xml:space="preserve"> yüklü aktif karbon rejenere edildiğinde, proses aktif karbon </w:t>
      </w:r>
      <w:r w:rsidR="007B72E1" w:rsidRPr="00D53A2B">
        <w:t>rejenerasyonu</w:t>
      </w:r>
      <w:r w:rsidRPr="00D53A2B">
        <w:t xml:space="preserve"> olarak adlandırılır. Bu durumda, yüksek kaliteli, pahalı bir aktif karbon türü kullanılabilir ve yan ürün olarak sülfürik asit (H</w:t>
      </w:r>
      <w:r w:rsidRPr="00D53A2B">
        <w:rPr>
          <w:vertAlign w:val="subscript"/>
        </w:rPr>
        <w:t>2</w:t>
      </w:r>
      <w:r w:rsidRPr="00D53A2B">
        <w:t>SO</w:t>
      </w:r>
      <w:r w:rsidRPr="00D53A2B">
        <w:rPr>
          <w:vertAlign w:val="subscript"/>
        </w:rPr>
        <w:t>4</w:t>
      </w:r>
      <w:r w:rsidRPr="00D53A2B">
        <w:t xml:space="preserve">) elde edilir. Yatak ya su ile ya da termal olarak rejenere edilir. Bazı durumlarda, mevcut bir desülfürizasyon ünitesinin akış aşağısında </w:t>
      </w:r>
      <w:r w:rsidR="00E56504" w:rsidRPr="00D53A2B">
        <w:t>‘</w:t>
      </w:r>
      <w:r w:rsidRPr="00D53A2B">
        <w:t>hassas ayar</w:t>
      </w:r>
      <w:r w:rsidR="00E56504" w:rsidRPr="00D53A2B">
        <w:t>’</w:t>
      </w:r>
      <w:r w:rsidRPr="00D53A2B">
        <w:t xml:space="preserve"> için linyit bazlı aktif karbon kullanılır. Bu durumda, SO</w:t>
      </w:r>
      <w:r w:rsidRPr="00D53A2B">
        <w:rPr>
          <w:vertAlign w:val="subscript"/>
        </w:rPr>
        <w:t>2</w:t>
      </w:r>
      <w:r w:rsidRPr="00D53A2B">
        <w:t xml:space="preserve"> yüklü aktifleştirilmiş karbon genellikle kontrollü koşullar altında yakılır.</w:t>
      </w:r>
    </w:p>
    <w:p w14:paraId="1037D6BB" w14:textId="338C81E7" w:rsidR="0088443F" w:rsidRPr="00D53A2B" w:rsidRDefault="0088443F" w:rsidP="00A202FD">
      <w:pPr>
        <w:jc w:val="both"/>
      </w:pPr>
      <w:r w:rsidRPr="00D53A2B">
        <w:t>RAC sistemi tek aşamalı veya iki aşamalı bir süreç olarak geliştirilebilir.</w:t>
      </w:r>
    </w:p>
    <w:p w14:paraId="7AD705B0" w14:textId="6C1FD11F" w:rsidR="0088443F" w:rsidRPr="00D53A2B" w:rsidRDefault="0088443F" w:rsidP="00A202FD">
      <w:pPr>
        <w:jc w:val="both"/>
      </w:pPr>
      <w:r w:rsidRPr="00D53A2B">
        <w:t>Tek aşamalı proseste atık gazlar bir aktif karbon yatağından geçirilir ve kirleticiler aktif karbon tarafından adsorbe edilir. Ayrıca, katalizör yatağından önce gaz akışına amonyak (NH</w:t>
      </w:r>
      <w:r w:rsidRPr="00D53A2B">
        <w:rPr>
          <w:vertAlign w:val="subscript"/>
        </w:rPr>
        <w:t>3</w:t>
      </w:r>
      <w:r w:rsidRPr="00D53A2B">
        <w:t>) enjekte edildiğinde NO</w:t>
      </w:r>
      <w:r w:rsidRPr="00D53A2B">
        <w:rPr>
          <w:vertAlign w:val="subscript"/>
        </w:rPr>
        <w:t>X</w:t>
      </w:r>
      <w:r w:rsidRPr="00D53A2B">
        <w:t xml:space="preserve"> giderimi gerçekleşir.</w:t>
      </w:r>
    </w:p>
    <w:p w14:paraId="15C7E9A3" w14:textId="77777777" w:rsidR="00191BC3" w:rsidRPr="00D53A2B" w:rsidRDefault="0088443F" w:rsidP="00A202FD">
      <w:pPr>
        <w:jc w:val="both"/>
      </w:pPr>
      <w:r w:rsidRPr="00D53A2B">
        <w:t>İki aşamalı proseste atık gazlar iki aktif karbon yatağından geçirilir. NO</w:t>
      </w:r>
      <w:r w:rsidRPr="00D53A2B">
        <w:rPr>
          <w:vertAlign w:val="subscript"/>
        </w:rPr>
        <w:t>X</w:t>
      </w:r>
      <w:r w:rsidRPr="00D53A2B">
        <w:t xml:space="preserve"> emisyonlarını azaltmak için yataktan önce amonyak uygulanabilir.</w:t>
      </w:r>
    </w:p>
    <w:p w14:paraId="03B219B7" w14:textId="77777777" w:rsidR="00191BC3" w:rsidRPr="00D53A2B" w:rsidRDefault="00191BC3" w:rsidP="00A202FD">
      <w:pPr>
        <w:jc w:val="both"/>
      </w:pPr>
    </w:p>
    <w:p w14:paraId="62DF10CE" w14:textId="119F88A6" w:rsidR="00EC16E7" w:rsidRPr="00D53A2B" w:rsidRDefault="00EC16E7" w:rsidP="00A202FD">
      <w:pPr>
        <w:jc w:val="both"/>
        <w:rPr>
          <w:b/>
          <w:bCs/>
        </w:rPr>
      </w:pPr>
      <w:r w:rsidRPr="00D53A2B">
        <w:rPr>
          <w:rStyle w:val="Gvdemetni142"/>
          <w:b/>
          <w:bCs/>
        </w:rPr>
        <w:t>MET V</w:t>
      </w:r>
      <w:r w:rsidR="00191BC3" w:rsidRPr="00D53A2B">
        <w:rPr>
          <w:rStyle w:val="Gvdemetni142"/>
          <w:b/>
          <w:bCs/>
        </w:rPr>
        <w:t xml:space="preserve"> </w:t>
      </w:r>
      <w:r w:rsidRPr="00D53A2B">
        <w:rPr>
          <w:rStyle w:val="Gvdemetni142"/>
          <w:b/>
          <w:bCs/>
        </w:rPr>
        <w:t>kapsamında ba</w:t>
      </w:r>
      <w:r w:rsidR="00191BC3" w:rsidRPr="00D53A2B">
        <w:rPr>
          <w:rStyle w:val="Gvdemetni142"/>
          <w:b/>
          <w:bCs/>
        </w:rPr>
        <w:t>elirtilen</w:t>
      </w:r>
      <w:r w:rsidRPr="00D53A2B">
        <w:rPr>
          <w:rStyle w:val="Gvdemetni142"/>
          <w:b/>
          <w:bCs/>
        </w:rPr>
        <w:t xml:space="preserve"> tekniklerin uygulanabilirliği</w:t>
      </w:r>
    </w:p>
    <w:p w14:paraId="6189B3AB" w14:textId="4689F09F" w:rsidR="00C95FBB" w:rsidRPr="00D53A2B" w:rsidRDefault="00EC16E7" w:rsidP="00A202FD">
      <w:pPr>
        <w:jc w:val="both"/>
        <w:rPr>
          <w:rStyle w:val="Gvdemetni3a"/>
        </w:rPr>
      </w:pPr>
      <w:r w:rsidRPr="00D53A2B">
        <w:rPr>
          <w:rStyle w:val="Gvdemetni10pt5"/>
          <w:sz w:val="24"/>
          <w:szCs w:val="24"/>
        </w:rPr>
        <w:t xml:space="preserve">Islak </w:t>
      </w:r>
      <w:r w:rsidR="00C95FBB" w:rsidRPr="00D53A2B">
        <w:rPr>
          <w:rStyle w:val="Gvdemetni10pt5"/>
          <w:sz w:val="24"/>
          <w:szCs w:val="24"/>
        </w:rPr>
        <w:t>desülfürizasyon</w:t>
      </w:r>
      <w:r w:rsidRPr="00D53A2B">
        <w:rPr>
          <w:rStyle w:val="Gvdemetni10pt5"/>
          <w:sz w:val="24"/>
          <w:szCs w:val="24"/>
        </w:rPr>
        <w:t>:</w:t>
      </w:r>
      <w:r w:rsidRPr="00D53A2B">
        <w:rPr>
          <w:rStyle w:val="Gvdemetni10pt4"/>
          <w:noProof w:val="0"/>
          <w:sz w:val="24"/>
          <w:szCs w:val="24"/>
        </w:rPr>
        <w:t xml:space="preserve"> </w:t>
      </w:r>
      <w:r w:rsidR="00C95FBB" w:rsidRPr="00D53A2B">
        <w:rPr>
          <w:rStyle w:val="Gvdemetni3a"/>
        </w:rPr>
        <w:t>Alan gereksinimleri önemli olabilir ve uygulanabilirliği kısıtlayabilir. Yüksek yatırım ve işletme maliyetleri ile çamur oluşumu ve bertarafı ve ilave atıksu arıtma önlemleri gibi önemli çapraz medya etkilerinin dikkate alınması gerekmektedir. Bu teknik bu yazının yazıldığı tarihte Avrupa</w:t>
      </w:r>
      <w:r w:rsidR="00E56504" w:rsidRPr="00D53A2B">
        <w:rPr>
          <w:rStyle w:val="Gvdemetni3a"/>
        </w:rPr>
        <w:t>’</w:t>
      </w:r>
      <w:r w:rsidR="00C95FBB" w:rsidRPr="00D53A2B">
        <w:rPr>
          <w:rStyle w:val="Gvdemetni3a"/>
        </w:rPr>
        <w:t>da kullanılmamaktadır, ancak çevresel kalite standartlarının diğer tekniklerin uygulanmasıyla karşılanmasının mümkün olmadığı durumlarda bir seçenek olabilir.</w:t>
      </w:r>
    </w:p>
    <w:p w14:paraId="176D84A5" w14:textId="4D4C4E11" w:rsidR="00C95FBB" w:rsidRPr="00D53A2B" w:rsidRDefault="00C95FBB" w:rsidP="00A202FD">
      <w:pPr>
        <w:jc w:val="both"/>
        <w:rPr>
          <w:rStyle w:val="Gvdemetni3a"/>
        </w:rPr>
      </w:pPr>
      <w:r w:rsidRPr="00D53A2B">
        <w:rPr>
          <w:rStyle w:val="Gvdemetni3a"/>
          <w:b/>
          <w:bCs/>
          <w:i/>
          <w:iCs/>
        </w:rPr>
        <w:t xml:space="preserve">RAC: </w:t>
      </w:r>
      <w:r w:rsidRPr="00D53A2B">
        <w:rPr>
          <w:rStyle w:val="Gvdemetni3a"/>
        </w:rPr>
        <w:t>Giriş toz konsantrasyonunu azaltmak için RAC işleminden önce toz azaltma sistemi kurulmalıdır. Genel olarak tesisin yerleşimi ve alan gereksinimleri bu tekniği değerlendirirken önemli faktörlerdir, ancak özellikle birden fazla sinter bandı olan bir tesis için bu hususa dikkat edilmelidir.</w:t>
      </w:r>
    </w:p>
    <w:p w14:paraId="728AA8A3" w14:textId="00E149B2" w:rsidR="00C95FBB" w:rsidRPr="00D53A2B" w:rsidRDefault="00C95FBB" w:rsidP="00A202FD">
      <w:pPr>
        <w:jc w:val="both"/>
        <w:rPr>
          <w:rStyle w:val="Gvdemetni3a"/>
        </w:rPr>
      </w:pPr>
      <w:r w:rsidRPr="00D53A2B">
        <w:rPr>
          <w:rStyle w:val="Gvdemetni3a"/>
        </w:rPr>
        <w:t>Özellikle yüksek kaliteli, pahalı aktif karbon tipleri kullanıldığında ve bir sülfürik asit tesisine ihtiyaç duyulduğunda yüksek yatırım ve işletme maliyetleri göz önünde bulundurulmalıdır. Bu teknik bu yazının yazıldığı tarihte Avrupa</w:t>
      </w:r>
      <w:r w:rsidR="00E56504" w:rsidRPr="00D53A2B">
        <w:rPr>
          <w:rStyle w:val="Gvdemetni3a"/>
        </w:rPr>
        <w:t>’</w:t>
      </w:r>
      <w:r w:rsidRPr="00D53A2B">
        <w:rPr>
          <w:rStyle w:val="Gvdemetni3a"/>
        </w:rPr>
        <w:t>da kullanılmamaktadır, ancak SO</w:t>
      </w:r>
      <w:r w:rsidRPr="00D53A2B">
        <w:rPr>
          <w:rStyle w:val="Gvdemetni3a"/>
          <w:vertAlign w:val="subscript"/>
        </w:rPr>
        <w:t>X</w:t>
      </w:r>
      <w:r w:rsidRPr="00D53A2B">
        <w:rPr>
          <w:rStyle w:val="Gvdemetni3a"/>
        </w:rPr>
        <w:t>, NO</w:t>
      </w:r>
      <w:r w:rsidRPr="00D53A2B">
        <w:rPr>
          <w:rStyle w:val="Gvdemetni3a"/>
          <w:vertAlign w:val="subscript"/>
        </w:rPr>
        <w:t>X</w:t>
      </w:r>
      <w:r w:rsidRPr="00D53A2B">
        <w:rPr>
          <w:rStyle w:val="Gvdemetni3a"/>
        </w:rPr>
        <w:t>, toz ve PCDD/F</w:t>
      </w:r>
      <w:r w:rsidR="00E56504" w:rsidRPr="00D53A2B">
        <w:rPr>
          <w:rStyle w:val="Gvdemetni3a"/>
        </w:rPr>
        <w:t>’</w:t>
      </w:r>
      <w:r w:rsidRPr="00D53A2B">
        <w:rPr>
          <w:rStyle w:val="Gvdemetni3a"/>
        </w:rPr>
        <w:t xml:space="preserve">yi aynı anda hedefleyen yeni tesislerde ve çevresel kalite </w:t>
      </w:r>
      <w:r w:rsidRPr="00D53A2B">
        <w:rPr>
          <w:rStyle w:val="Gvdemetni3a"/>
        </w:rPr>
        <w:lastRenderedPageBreak/>
        <w:t>standartlarının diğer tekniklerin uygulanmasıyla karşılanmasının mümkün olmadığı durumlarda bir seçenek olabilir.</w:t>
      </w:r>
    </w:p>
    <w:p w14:paraId="6AEAB3AD" w14:textId="77777777" w:rsidR="00D101BE" w:rsidRPr="00D53A2B" w:rsidRDefault="00D101BE" w:rsidP="00A202FD">
      <w:pPr>
        <w:pStyle w:val="MET"/>
        <w:rPr>
          <w:rStyle w:val="Balk620"/>
          <w:b/>
          <w:color w:val="000000"/>
          <w:sz w:val="24"/>
          <w:szCs w:val="24"/>
        </w:rPr>
      </w:pPr>
      <w:bookmarkStart w:id="28" w:name="bookmark1441"/>
    </w:p>
    <w:p w14:paraId="3FF47DF7" w14:textId="4C89695B" w:rsidR="00EC16E7" w:rsidRPr="00D53A2B" w:rsidRDefault="006F59B2" w:rsidP="00A202FD">
      <w:pPr>
        <w:pStyle w:val="MET"/>
        <w:rPr>
          <w:rStyle w:val="Balk620"/>
          <w:b/>
          <w:bCs w:val="0"/>
          <w:sz w:val="24"/>
          <w:szCs w:val="24"/>
        </w:rPr>
      </w:pPr>
      <w:r w:rsidRPr="00D53A2B">
        <w:rPr>
          <w:rStyle w:val="Balk620"/>
          <w:b/>
          <w:bCs w:val="0"/>
          <w:sz w:val="24"/>
          <w:szCs w:val="24"/>
        </w:rPr>
        <w:t>MET 23:</w:t>
      </w:r>
      <w:r w:rsidR="00F55452" w:rsidRPr="00D53A2B">
        <w:rPr>
          <w:rStyle w:val="Balk620"/>
          <w:b/>
          <w:bCs w:val="0"/>
          <w:sz w:val="24"/>
          <w:szCs w:val="24"/>
        </w:rPr>
        <w:t xml:space="preserve"> </w:t>
      </w:r>
      <w:bookmarkEnd w:id="28"/>
      <w:r w:rsidR="00D101BE" w:rsidRPr="00D53A2B">
        <w:rPr>
          <w:rStyle w:val="Balk620"/>
          <w:sz w:val="24"/>
          <w:szCs w:val="24"/>
        </w:rPr>
        <w:t>Sinter bantlarından kaynaklanan birincil emisyonlar için, aşağıdaki tekniklerden birini veya bir kombinasyonunu kullanarak toplam azot oksit (NO</w:t>
      </w:r>
      <w:r w:rsidR="00D101BE" w:rsidRPr="00D53A2B">
        <w:rPr>
          <w:rStyle w:val="Balk620"/>
          <w:sz w:val="24"/>
          <w:szCs w:val="24"/>
          <w:vertAlign w:val="subscript"/>
        </w:rPr>
        <w:t>X</w:t>
      </w:r>
      <w:r w:rsidR="00D101BE" w:rsidRPr="00D53A2B">
        <w:rPr>
          <w:rStyle w:val="Balk620"/>
          <w:sz w:val="24"/>
          <w:szCs w:val="24"/>
        </w:rPr>
        <w:t>) emisyonları</w:t>
      </w:r>
      <w:r w:rsidR="007B72E1" w:rsidRPr="00D53A2B">
        <w:rPr>
          <w:rStyle w:val="Balk620"/>
          <w:sz w:val="24"/>
          <w:szCs w:val="24"/>
        </w:rPr>
        <w:t xml:space="preserve"> azaltılabilir</w:t>
      </w:r>
      <w:r w:rsidR="00D101BE" w:rsidRPr="00D53A2B">
        <w:rPr>
          <w:rStyle w:val="Balk620"/>
          <w:sz w:val="24"/>
          <w:szCs w:val="24"/>
        </w:rPr>
        <w:t>.</w:t>
      </w:r>
    </w:p>
    <w:p w14:paraId="40555111" w14:textId="77777777" w:rsidR="00C3225D" w:rsidRPr="00D53A2B" w:rsidRDefault="00C3225D" w:rsidP="00A202FD">
      <w:pPr>
        <w:jc w:val="both"/>
      </w:pPr>
    </w:p>
    <w:p w14:paraId="21914A18" w14:textId="5A84B2EC" w:rsidR="00EC16E7" w:rsidRPr="00D53A2B" w:rsidRDefault="00D101BE" w:rsidP="00A202FD">
      <w:pPr>
        <w:pStyle w:val="ListeParagraf"/>
        <w:numPr>
          <w:ilvl w:val="0"/>
          <w:numId w:val="89"/>
        </w:numPr>
        <w:tabs>
          <w:tab w:val="clear" w:pos="567"/>
        </w:tabs>
        <w:spacing w:line="240" w:lineRule="auto"/>
        <w:ind w:left="426" w:hanging="437"/>
        <w:rPr>
          <w:rStyle w:val="Gvdemetni3a"/>
          <w:sz w:val="24"/>
          <w:szCs w:val="24"/>
        </w:rPr>
      </w:pPr>
      <w:r w:rsidRPr="00D53A2B">
        <w:rPr>
          <w:rStyle w:val="Gvdemetni3a"/>
          <w:color w:val="000000"/>
          <w:sz w:val="24"/>
          <w:szCs w:val="24"/>
        </w:rPr>
        <w:t>Aşağıdakileri içerebilen entegre önlemler süreci:</w:t>
      </w:r>
    </w:p>
    <w:p w14:paraId="7FC02427" w14:textId="1CD90C75" w:rsidR="00D101BE" w:rsidRPr="00D53A2B" w:rsidRDefault="00D101BE" w:rsidP="00A202FD">
      <w:pPr>
        <w:pStyle w:val="ListeParagraf"/>
        <w:numPr>
          <w:ilvl w:val="0"/>
          <w:numId w:val="90"/>
        </w:numPr>
        <w:tabs>
          <w:tab w:val="clear" w:pos="567"/>
        </w:tabs>
        <w:spacing w:line="240" w:lineRule="auto"/>
        <w:ind w:left="851" w:hanging="425"/>
        <w:rPr>
          <w:rStyle w:val="Gvdemetni3a"/>
          <w:sz w:val="24"/>
          <w:szCs w:val="24"/>
        </w:rPr>
      </w:pPr>
      <w:r w:rsidRPr="00D53A2B">
        <w:rPr>
          <w:rStyle w:val="Gvdemetni3a"/>
          <w:color w:val="000000"/>
          <w:sz w:val="24"/>
          <w:szCs w:val="24"/>
        </w:rPr>
        <w:t>Atık gaz resirkülasyonu</w:t>
      </w:r>
    </w:p>
    <w:p w14:paraId="1A7E65FC" w14:textId="4A3F5512" w:rsidR="00F55452" w:rsidRPr="00D53A2B" w:rsidRDefault="00D101BE" w:rsidP="00A202FD">
      <w:pPr>
        <w:pStyle w:val="ListeParagraf"/>
        <w:numPr>
          <w:ilvl w:val="0"/>
          <w:numId w:val="90"/>
        </w:numPr>
        <w:tabs>
          <w:tab w:val="clear" w:pos="567"/>
        </w:tabs>
        <w:spacing w:line="240" w:lineRule="auto"/>
        <w:ind w:left="851" w:hanging="425"/>
        <w:rPr>
          <w:sz w:val="24"/>
          <w:szCs w:val="24"/>
        </w:rPr>
      </w:pPr>
      <w:r w:rsidRPr="00D53A2B">
        <w:rPr>
          <w:sz w:val="24"/>
          <w:szCs w:val="24"/>
        </w:rPr>
        <w:t>Antrasit kullanımı veya ateşleme için düşük NOx</w:t>
      </w:r>
      <w:r w:rsidR="00E56504" w:rsidRPr="00D53A2B">
        <w:rPr>
          <w:sz w:val="24"/>
          <w:szCs w:val="24"/>
        </w:rPr>
        <w:t>’</w:t>
      </w:r>
      <w:r w:rsidRPr="00D53A2B">
        <w:rPr>
          <w:sz w:val="24"/>
          <w:szCs w:val="24"/>
        </w:rPr>
        <w:t>li brülörlerin kullanılması gibi diğer birincil önlemler.</w:t>
      </w:r>
    </w:p>
    <w:p w14:paraId="59B4F957" w14:textId="651BCCDD" w:rsidR="00D101BE" w:rsidRPr="00D53A2B" w:rsidRDefault="00D101BE" w:rsidP="00A202FD">
      <w:pPr>
        <w:pStyle w:val="ListeParagraf"/>
        <w:numPr>
          <w:ilvl w:val="0"/>
          <w:numId w:val="89"/>
        </w:numPr>
        <w:tabs>
          <w:tab w:val="clear" w:pos="567"/>
        </w:tabs>
        <w:spacing w:line="240" w:lineRule="auto"/>
        <w:ind w:left="426" w:hanging="437"/>
        <w:rPr>
          <w:sz w:val="24"/>
          <w:szCs w:val="24"/>
        </w:rPr>
      </w:pPr>
      <w:r w:rsidRPr="00D53A2B">
        <w:rPr>
          <w:sz w:val="24"/>
          <w:szCs w:val="24"/>
        </w:rPr>
        <w:t xml:space="preserve">Aşağıdakileri içeren boru sonu teknikler: </w:t>
      </w:r>
    </w:p>
    <w:p w14:paraId="5F46DF58" w14:textId="408C5DB6" w:rsidR="00D101BE" w:rsidRPr="00D53A2B" w:rsidRDefault="00D101BE" w:rsidP="00A202FD">
      <w:pPr>
        <w:pStyle w:val="ListeParagraf"/>
        <w:numPr>
          <w:ilvl w:val="0"/>
          <w:numId w:val="91"/>
        </w:numPr>
        <w:tabs>
          <w:tab w:val="clear" w:pos="567"/>
        </w:tabs>
        <w:spacing w:line="240" w:lineRule="auto"/>
        <w:ind w:left="851" w:hanging="491"/>
        <w:rPr>
          <w:sz w:val="24"/>
          <w:szCs w:val="24"/>
        </w:rPr>
      </w:pPr>
      <w:r w:rsidRPr="00D53A2B">
        <w:rPr>
          <w:sz w:val="24"/>
          <w:szCs w:val="24"/>
        </w:rPr>
        <w:t xml:space="preserve">aktif karbon </w:t>
      </w:r>
      <w:r w:rsidR="007B72E1" w:rsidRPr="00D53A2B">
        <w:rPr>
          <w:sz w:val="24"/>
          <w:szCs w:val="24"/>
        </w:rPr>
        <w:t xml:space="preserve">rejenerasyonu </w:t>
      </w:r>
      <w:r w:rsidRPr="00D53A2B">
        <w:rPr>
          <w:sz w:val="24"/>
          <w:szCs w:val="24"/>
        </w:rPr>
        <w:t>(Regenerative Activated Carbon-RAC)</w:t>
      </w:r>
    </w:p>
    <w:p w14:paraId="36826021" w14:textId="005F427B" w:rsidR="00D101BE" w:rsidRPr="00D53A2B" w:rsidRDefault="00D101BE" w:rsidP="00A202FD">
      <w:pPr>
        <w:pStyle w:val="ListeParagraf"/>
        <w:numPr>
          <w:ilvl w:val="0"/>
          <w:numId w:val="91"/>
        </w:numPr>
        <w:tabs>
          <w:tab w:val="clear" w:pos="567"/>
        </w:tabs>
        <w:spacing w:line="240" w:lineRule="auto"/>
        <w:ind w:left="851" w:hanging="491"/>
        <w:rPr>
          <w:sz w:val="24"/>
          <w:szCs w:val="24"/>
        </w:rPr>
      </w:pPr>
      <w:r w:rsidRPr="00D53A2B">
        <w:rPr>
          <w:sz w:val="24"/>
          <w:szCs w:val="24"/>
        </w:rPr>
        <w:t>seçici katalitik indirgeme (Selective Catalytic Reduction-SCR)</w:t>
      </w:r>
    </w:p>
    <w:p w14:paraId="482932B9" w14:textId="77777777" w:rsidR="00DC3337" w:rsidRPr="00D53A2B" w:rsidRDefault="00DC3337" w:rsidP="00A202FD">
      <w:pPr>
        <w:jc w:val="both"/>
      </w:pPr>
    </w:p>
    <w:p w14:paraId="08DCD8AD" w14:textId="39095CA2" w:rsidR="00D101BE" w:rsidRPr="00D53A2B" w:rsidRDefault="00DC3337" w:rsidP="00A202FD">
      <w:pPr>
        <w:jc w:val="both"/>
      </w:pPr>
      <w:r w:rsidRPr="00D53A2B">
        <w:t>Sürece entegre önlemler kullanılarak azot oksitleri (NO</w:t>
      </w:r>
      <w:r w:rsidRPr="00D53A2B">
        <w:rPr>
          <w:vertAlign w:val="subscript"/>
        </w:rPr>
        <w:t>X</w:t>
      </w:r>
      <w:r w:rsidRPr="00D53A2B">
        <w:t>) için MET ile ilişkili emisyon seviyesi, azot dioksit (NO</w:t>
      </w:r>
      <w:r w:rsidRPr="00D53A2B">
        <w:rPr>
          <w:vertAlign w:val="subscript"/>
        </w:rPr>
        <w:t>2</w:t>
      </w:r>
      <w:r w:rsidRPr="00D53A2B">
        <w:t>) olarak ifade edilen ve günlük ortalama değer olarak belirlenen &lt;500 mg/Nm</w:t>
      </w:r>
      <w:r w:rsidRPr="00D53A2B">
        <w:rPr>
          <w:vertAlign w:val="superscript"/>
        </w:rPr>
        <w:t>3</w:t>
      </w:r>
      <w:r w:rsidR="00E56504" w:rsidRPr="00D53A2B">
        <w:t>’</w:t>
      </w:r>
      <w:r w:rsidRPr="00D53A2B">
        <w:t>tür.</w:t>
      </w:r>
    </w:p>
    <w:p w14:paraId="1A885826" w14:textId="77777777" w:rsidR="00DC3337" w:rsidRPr="00D53A2B" w:rsidRDefault="00DC3337" w:rsidP="00A202FD">
      <w:pPr>
        <w:jc w:val="both"/>
      </w:pPr>
    </w:p>
    <w:p w14:paraId="6285A4B6" w14:textId="4DAF4ABC" w:rsidR="00F55452" w:rsidRPr="00D53A2B" w:rsidRDefault="00DC3337" w:rsidP="00A202FD">
      <w:pPr>
        <w:jc w:val="both"/>
      </w:pPr>
      <w:r w:rsidRPr="00D53A2B">
        <w:t>RAC kullanan azot oksitler (NO</w:t>
      </w:r>
      <w:r w:rsidRPr="00D53A2B">
        <w:rPr>
          <w:vertAlign w:val="subscript"/>
        </w:rPr>
        <w:t>X</w:t>
      </w:r>
      <w:r w:rsidRPr="00D53A2B">
        <w:t>) için MET ile ilişkili emisyon seviyesi &lt;250mg/Nm</w:t>
      </w:r>
      <w:r w:rsidRPr="00D53A2B">
        <w:rPr>
          <w:vertAlign w:val="superscript"/>
        </w:rPr>
        <w:t>3</w:t>
      </w:r>
      <w:r w:rsidRPr="00D53A2B">
        <w:t xml:space="preserve"> ve SCR kullanan azot dioksit (NO</w:t>
      </w:r>
      <w:r w:rsidRPr="00D53A2B">
        <w:rPr>
          <w:vertAlign w:val="subscript"/>
        </w:rPr>
        <w:t>2</w:t>
      </w:r>
      <w:r w:rsidRPr="00D53A2B">
        <w:t>) olarak ifade edilen, %15 oksijen içeriğine bağlı ve günlük ortalama değerler olarak belirlenen &lt;120 mg/Nm</w:t>
      </w:r>
      <w:r w:rsidRPr="00D53A2B">
        <w:rPr>
          <w:vertAlign w:val="superscript"/>
        </w:rPr>
        <w:t>3</w:t>
      </w:r>
      <w:r w:rsidR="00E56504" w:rsidRPr="00D53A2B">
        <w:t>’</w:t>
      </w:r>
      <w:r w:rsidRPr="00D53A2B">
        <w:t>tür.</w:t>
      </w:r>
    </w:p>
    <w:p w14:paraId="58350E7C" w14:textId="77777777" w:rsidR="00DC3337" w:rsidRPr="00D53A2B" w:rsidRDefault="00DC3337" w:rsidP="00A202FD">
      <w:pPr>
        <w:jc w:val="both"/>
      </w:pPr>
    </w:p>
    <w:p w14:paraId="08405195" w14:textId="77777777" w:rsidR="00EC16E7" w:rsidRPr="00D53A2B" w:rsidRDefault="00EC16E7" w:rsidP="00A202FD">
      <w:pPr>
        <w:pStyle w:val="MET"/>
        <w:rPr>
          <w:szCs w:val="24"/>
        </w:rPr>
      </w:pPr>
      <w:bookmarkStart w:id="29" w:name="bookmark1442"/>
      <w:r w:rsidRPr="00D53A2B">
        <w:rPr>
          <w:rStyle w:val="Balk620"/>
          <w:b/>
          <w:color w:val="000000"/>
          <w:sz w:val="24"/>
          <w:szCs w:val="24"/>
        </w:rPr>
        <w:t xml:space="preserve">MET I.i kapsamındaki </w:t>
      </w:r>
      <w:r w:rsidRPr="00D53A2B">
        <w:rPr>
          <w:rStyle w:val="Balk629"/>
          <w:b/>
          <w:color w:val="000000"/>
          <w:sz w:val="24"/>
          <w:szCs w:val="24"/>
        </w:rPr>
        <w:t>atık gaz devir daiminin</w:t>
      </w:r>
      <w:r w:rsidRPr="00D53A2B">
        <w:rPr>
          <w:rStyle w:val="Balk6210"/>
          <w:b w:val="0"/>
          <w:noProof w:val="0"/>
          <w:color w:val="000000"/>
          <w:sz w:val="24"/>
          <w:szCs w:val="24"/>
        </w:rPr>
        <w:t xml:space="preserve"> </w:t>
      </w:r>
      <w:r w:rsidRPr="00D53A2B">
        <w:rPr>
          <w:rStyle w:val="Balk620"/>
          <w:b/>
          <w:color w:val="000000"/>
          <w:sz w:val="24"/>
          <w:szCs w:val="24"/>
        </w:rPr>
        <w:t>tanımı</w:t>
      </w:r>
      <w:bookmarkEnd w:id="29"/>
    </w:p>
    <w:p w14:paraId="0A325A3F" w14:textId="1F7C22F7" w:rsidR="00DC3337" w:rsidRPr="00D53A2B" w:rsidRDefault="00DC3337" w:rsidP="00A202FD">
      <w:pPr>
        <w:jc w:val="both"/>
        <w:rPr>
          <w:rStyle w:val="Gvdemetni3a"/>
          <w:b/>
          <w:spacing w:val="2"/>
          <w:lang w:eastAsia="en-US"/>
        </w:rPr>
      </w:pPr>
      <w:r w:rsidRPr="00D53A2B">
        <w:rPr>
          <w:rStyle w:val="Gvdemetni3a"/>
        </w:rPr>
        <w:t>Atık gazın kısmi geri dönüşümünde, sinter atık gazının bazı kısımları sinterleme işlemine geri gönderilir.</w:t>
      </w:r>
      <w:r w:rsidR="008E05F6" w:rsidRPr="00D53A2B">
        <w:rPr>
          <w:rStyle w:val="Gvdemetni3a"/>
        </w:rPr>
        <w:t xml:space="preserve"> Tüm banttan gelen atık gazın kısmi geri dönüşümü öncelikle atık gaz akışını ve dolayısıyla ana kirleticilerin kütlesel emisyonlarını azaltmak için geliştirilmiştir. Ayrıca enerji tüketiminde azalmaya yol açabilir. Atık gaz resirkülasyonunun uygulanması, sinter kalitesinin ve verimliliğinin olumsuz etkilenmemesini sağlamak için özel dikkat gerektirir. Çalışanların karbon monoksit zehirlenmesini önlemek için resirküle edilen atık gazındaki karbonmonoksite (CO) özel dikkat gösterilmelidir. Aşağıdakiler gibi çeşitli süreçler geliştirilmiştir: </w:t>
      </w:r>
    </w:p>
    <w:p w14:paraId="03010C93" w14:textId="6AC23407" w:rsidR="008E05F6" w:rsidRPr="00D53A2B" w:rsidRDefault="008E05F6" w:rsidP="00A202FD">
      <w:pPr>
        <w:pStyle w:val="ListeParagraf"/>
        <w:numPr>
          <w:ilvl w:val="0"/>
          <w:numId w:val="92"/>
        </w:numPr>
        <w:tabs>
          <w:tab w:val="clear" w:pos="567"/>
        </w:tabs>
        <w:spacing w:line="240" w:lineRule="auto"/>
        <w:ind w:left="426" w:hanging="426"/>
        <w:rPr>
          <w:rStyle w:val="Gvdemetni3a"/>
          <w:sz w:val="24"/>
          <w:szCs w:val="24"/>
        </w:rPr>
      </w:pPr>
      <w:r w:rsidRPr="00D53A2B">
        <w:rPr>
          <w:rStyle w:val="Gvdemetni3a"/>
          <w:sz w:val="24"/>
          <w:szCs w:val="24"/>
        </w:rPr>
        <w:t>tüm banttan atık gazın kısmi geri dönüşümü</w:t>
      </w:r>
    </w:p>
    <w:p w14:paraId="0340281F" w14:textId="57BB1E0F" w:rsidR="008E05F6" w:rsidRPr="00D53A2B" w:rsidRDefault="0062067E" w:rsidP="00A202FD">
      <w:pPr>
        <w:pStyle w:val="ListeParagraf"/>
        <w:numPr>
          <w:ilvl w:val="0"/>
          <w:numId w:val="92"/>
        </w:numPr>
        <w:tabs>
          <w:tab w:val="clear" w:pos="567"/>
        </w:tabs>
        <w:spacing w:line="240" w:lineRule="auto"/>
        <w:ind w:left="426" w:hanging="426"/>
        <w:rPr>
          <w:rStyle w:val="Gvdemetni3a"/>
          <w:sz w:val="24"/>
          <w:szCs w:val="24"/>
        </w:rPr>
      </w:pPr>
      <w:r w:rsidRPr="00D53A2B">
        <w:rPr>
          <w:rStyle w:val="Gvdemetni3a"/>
          <w:sz w:val="24"/>
          <w:szCs w:val="24"/>
        </w:rPr>
        <w:t>ısı değişimi ile birlikte son sinter bandından atık gazın geri dönüşümü</w:t>
      </w:r>
    </w:p>
    <w:p w14:paraId="7C565846" w14:textId="1968023F" w:rsidR="0062067E" w:rsidRPr="00D53A2B" w:rsidRDefault="0062067E" w:rsidP="00A202FD">
      <w:pPr>
        <w:pStyle w:val="ListeParagraf"/>
        <w:numPr>
          <w:ilvl w:val="0"/>
          <w:numId w:val="93"/>
        </w:numPr>
        <w:tabs>
          <w:tab w:val="clear" w:pos="567"/>
        </w:tabs>
        <w:spacing w:line="240" w:lineRule="auto"/>
        <w:ind w:left="851" w:hanging="425"/>
        <w:rPr>
          <w:rStyle w:val="Gvdemetni3a"/>
          <w:sz w:val="24"/>
          <w:szCs w:val="24"/>
        </w:rPr>
      </w:pPr>
      <w:r w:rsidRPr="00D53A2B">
        <w:rPr>
          <w:rStyle w:val="Gvdemetni3a"/>
          <w:sz w:val="24"/>
          <w:szCs w:val="24"/>
        </w:rPr>
        <w:t>Son sinter bandının bir kısmından gelen atık gazın geri dönüşümü ve sinter soğutucusundan gelen atık gazın kullanımı.</w:t>
      </w:r>
    </w:p>
    <w:p w14:paraId="78D1D9BA" w14:textId="29DE5EAB" w:rsidR="0062067E" w:rsidRPr="00D53A2B" w:rsidRDefault="0062067E" w:rsidP="00A202FD">
      <w:pPr>
        <w:pStyle w:val="ListeParagraf"/>
        <w:numPr>
          <w:ilvl w:val="0"/>
          <w:numId w:val="93"/>
        </w:numPr>
        <w:tabs>
          <w:tab w:val="clear" w:pos="567"/>
        </w:tabs>
        <w:spacing w:line="240" w:lineRule="auto"/>
        <w:ind w:left="851" w:hanging="425"/>
        <w:rPr>
          <w:rStyle w:val="Gvdemetni3a"/>
          <w:sz w:val="24"/>
          <w:szCs w:val="24"/>
        </w:rPr>
      </w:pPr>
      <w:r w:rsidRPr="00D53A2B">
        <w:rPr>
          <w:rStyle w:val="Gvdemetni3a"/>
          <w:sz w:val="24"/>
          <w:szCs w:val="24"/>
        </w:rPr>
        <w:t>Atık gazın bir kısmının sinter bandının diğer kısımlarına geri dönüştürülmesi.</w:t>
      </w:r>
    </w:p>
    <w:p w14:paraId="674DAA7A" w14:textId="77777777" w:rsidR="00F55452" w:rsidRPr="00D53A2B" w:rsidRDefault="00F55452" w:rsidP="00A202FD">
      <w:pPr>
        <w:jc w:val="both"/>
      </w:pPr>
    </w:p>
    <w:p w14:paraId="2991FC70" w14:textId="2D851F5F" w:rsidR="00EC16E7" w:rsidRPr="00D53A2B" w:rsidRDefault="00EC16E7" w:rsidP="00A202FD">
      <w:pPr>
        <w:pStyle w:val="MET"/>
        <w:rPr>
          <w:szCs w:val="24"/>
        </w:rPr>
      </w:pPr>
      <w:bookmarkStart w:id="30" w:name="bookmark1443"/>
      <w:r w:rsidRPr="00D53A2B">
        <w:rPr>
          <w:rStyle w:val="Balk622"/>
          <w:b/>
          <w:color w:val="000000"/>
          <w:sz w:val="24"/>
          <w:szCs w:val="24"/>
          <w:u w:val="none"/>
        </w:rPr>
        <w:t>ME</w:t>
      </w:r>
      <w:r w:rsidRPr="00D53A2B">
        <w:rPr>
          <w:rStyle w:val="Balk620"/>
          <w:b/>
          <w:color w:val="000000"/>
          <w:sz w:val="24"/>
          <w:szCs w:val="24"/>
        </w:rPr>
        <w:t>T I.i</w:t>
      </w:r>
      <w:r w:rsidR="00E56504" w:rsidRPr="00D53A2B">
        <w:rPr>
          <w:rStyle w:val="Balk620"/>
          <w:b/>
          <w:color w:val="000000"/>
          <w:sz w:val="24"/>
          <w:szCs w:val="24"/>
        </w:rPr>
        <w:t>’</w:t>
      </w:r>
      <w:r w:rsidRPr="00D53A2B">
        <w:rPr>
          <w:rStyle w:val="Balk620"/>
          <w:b/>
          <w:color w:val="000000"/>
          <w:sz w:val="24"/>
          <w:szCs w:val="24"/>
        </w:rPr>
        <w:t>nin uygulanabilirliği</w:t>
      </w:r>
      <w:bookmarkEnd w:id="30"/>
    </w:p>
    <w:p w14:paraId="46FA187C" w14:textId="40A34AF6" w:rsidR="0062067E" w:rsidRPr="00D53A2B" w:rsidRDefault="00785A16" w:rsidP="00A202FD">
      <w:pPr>
        <w:jc w:val="both"/>
        <w:rPr>
          <w:rStyle w:val="Gvdemetni3a"/>
          <w:b/>
          <w:spacing w:val="2"/>
          <w:lang w:eastAsia="en-US"/>
        </w:rPr>
      </w:pPr>
      <w:r w:rsidRPr="00D53A2B">
        <w:rPr>
          <w:rStyle w:val="Gvdemetni3a"/>
        </w:rPr>
        <w:t>Bu tekniğin uygulanabilirliği sahaya özeldir. Sinter kalitesinin (soğuk mekanik mukavemet) ve strand verimliliğinin olumsuz etkilenmemesini sağlamak için eşlik eden önlemler dikkate alınmalıdır. Yerel koşullara bağlı olarak, bunlar nispeten küçük ve uygulaması kolay olabilir ya da tam tersine, daha temel nitelikte olabilir ve uygulanması maliyetli ve zor olabilir. Her halükarda, bu teknik kullanılmaya başlandığında strandların çalışma koşulları gözden geçirilmelidir.</w:t>
      </w:r>
    </w:p>
    <w:p w14:paraId="5F8A4A6B" w14:textId="77777777" w:rsidR="00785A16" w:rsidRPr="00D53A2B" w:rsidRDefault="00785A16" w:rsidP="00A202FD">
      <w:pPr>
        <w:jc w:val="both"/>
        <w:rPr>
          <w:rStyle w:val="Gvdemetni3a"/>
        </w:rPr>
      </w:pPr>
    </w:p>
    <w:p w14:paraId="126AD4A5" w14:textId="13B5B856" w:rsidR="00785A16" w:rsidRPr="00D53A2B" w:rsidRDefault="00785A16" w:rsidP="00A202FD">
      <w:pPr>
        <w:jc w:val="both"/>
        <w:rPr>
          <w:rStyle w:val="Gvdemetni3a"/>
        </w:rPr>
      </w:pPr>
      <w:r w:rsidRPr="00D53A2B">
        <w:rPr>
          <w:rStyle w:val="Gvdemetni3a"/>
        </w:rPr>
        <w:t>Mevcut tesislerde, alan kısıtlamaları nedeniyle atık gazın kısmi geri dönüşümünü tesis etmek mümkün olmayabilir.</w:t>
      </w:r>
    </w:p>
    <w:p w14:paraId="68A345DF" w14:textId="77777777" w:rsidR="0062067E" w:rsidRPr="00D53A2B" w:rsidRDefault="0062067E" w:rsidP="00A202FD">
      <w:pPr>
        <w:jc w:val="both"/>
        <w:rPr>
          <w:rStyle w:val="Gvdemetni3a"/>
        </w:rPr>
      </w:pPr>
    </w:p>
    <w:p w14:paraId="257B804F" w14:textId="5A26F40D" w:rsidR="00785A16" w:rsidRPr="00D53A2B" w:rsidRDefault="00785A16" w:rsidP="00A202FD">
      <w:pPr>
        <w:jc w:val="both"/>
        <w:rPr>
          <w:rStyle w:val="Gvdemetni3a"/>
        </w:rPr>
      </w:pPr>
      <w:r w:rsidRPr="00D53A2B">
        <w:rPr>
          <w:rStyle w:val="Gvdemetni3a"/>
        </w:rPr>
        <w:lastRenderedPageBreak/>
        <w:t>Bu tekniğin uygulanabilirliğinin belirlenmesinde dikkate alınması gereken önemli hususlar şunlardır:</w:t>
      </w:r>
    </w:p>
    <w:p w14:paraId="3C808813" w14:textId="5483A785" w:rsidR="00785A16" w:rsidRPr="00D53A2B" w:rsidRDefault="00785A16" w:rsidP="00A202FD">
      <w:pPr>
        <w:pStyle w:val="ListeParagraf"/>
        <w:numPr>
          <w:ilvl w:val="0"/>
          <w:numId w:val="94"/>
        </w:numPr>
        <w:tabs>
          <w:tab w:val="clear" w:pos="567"/>
        </w:tabs>
        <w:spacing w:line="240" w:lineRule="auto"/>
        <w:ind w:left="426" w:hanging="426"/>
        <w:rPr>
          <w:rStyle w:val="Gvdemetni3a"/>
          <w:sz w:val="24"/>
          <w:szCs w:val="24"/>
        </w:rPr>
      </w:pPr>
      <w:r w:rsidRPr="00D53A2B">
        <w:rPr>
          <w:rStyle w:val="Gvdemetni3a"/>
          <w:sz w:val="24"/>
          <w:szCs w:val="24"/>
        </w:rPr>
        <w:t>bandın ilk konfigürasyonu (örneğin, çift veya tek rüzgar kutusu kanalları, yeni ekipman için mevcut alan ve gerektiğinde hattın uzatılması)</w:t>
      </w:r>
    </w:p>
    <w:p w14:paraId="707C21D5" w14:textId="3B2A35E7" w:rsidR="00785A16" w:rsidRPr="00D53A2B" w:rsidRDefault="00785A16" w:rsidP="00A202FD">
      <w:pPr>
        <w:pStyle w:val="ListeParagraf"/>
        <w:numPr>
          <w:ilvl w:val="0"/>
          <w:numId w:val="94"/>
        </w:numPr>
        <w:tabs>
          <w:tab w:val="clear" w:pos="567"/>
        </w:tabs>
        <w:spacing w:line="240" w:lineRule="auto"/>
        <w:ind w:left="426" w:hanging="426"/>
        <w:rPr>
          <w:rStyle w:val="Gvdemetni3a"/>
          <w:sz w:val="24"/>
          <w:szCs w:val="24"/>
        </w:rPr>
      </w:pPr>
      <w:r w:rsidRPr="00D53A2B">
        <w:rPr>
          <w:rStyle w:val="Gvdemetni3a"/>
          <w:sz w:val="24"/>
          <w:szCs w:val="24"/>
        </w:rPr>
        <w:t>mevcut ekipmanın ilk tasarımı (örneğin fanlar, gaz temizleme ve sinter eleme ve soğutma cihazları)</w:t>
      </w:r>
    </w:p>
    <w:p w14:paraId="2C76DD42" w14:textId="1EABD49F" w:rsidR="00785A16" w:rsidRPr="00D53A2B" w:rsidRDefault="00785A16" w:rsidP="00A202FD">
      <w:pPr>
        <w:pStyle w:val="ListeParagraf"/>
        <w:numPr>
          <w:ilvl w:val="0"/>
          <w:numId w:val="94"/>
        </w:numPr>
        <w:tabs>
          <w:tab w:val="clear" w:pos="567"/>
        </w:tabs>
        <w:spacing w:line="240" w:lineRule="auto"/>
        <w:ind w:left="426" w:hanging="426"/>
        <w:rPr>
          <w:rStyle w:val="Gvdemetni3a"/>
          <w:sz w:val="24"/>
          <w:szCs w:val="24"/>
        </w:rPr>
      </w:pPr>
      <w:r w:rsidRPr="00D53A2B">
        <w:rPr>
          <w:rStyle w:val="Gvdemetni3a"/>
          <w:sz w:val="24"/>
          <w:szCs w:val="24"/>
        </w:rPr>
        <w:t>ilk çalışma koşulları (örneğin hammaddeler, katman yüksekliği, emme basıncı, karışımdaki hızlı kireç yüzdesi, spesifik akış hızı, beslemede geri dönen tesis içi geri dönüşlerin yüzdesi)</w:t>
      </w:r>
    </w:p>
    <w:p w14:paraId="009E8BA7" w14:textId="7451C570" w:rsidR="00785A16" w:rsidRPr="00D53A2B" w:rsidRDefault="00785A16" w:rsidP="00A202FD">
      <w:pPr>
        <w:pStyle w:val="ListeParagraf"/>
        <w:numPr>
          <w:ilvl w:val="0"/>
          <w:numId w:val="94"/>
        </w:numPr>
        <w:tabs>
          <w:tab w:val="clear" w:pos="567"/>
        </w:tabs>
        <w:spacing w:line="240" w:lineRule="auto"/>
        <w:ind w:left="426" w:hanging="426"/>
        <w:rPr>
          <w:rStyle w:val="Gvdemetni3a"/>
          <w:sz w:val="24"/>
          <w:szCs w:val="24"/>
        </w:rPr>
      </w:pPr>
      <w:r w:rsidRPr="00D53A2B">
        <w:rPr>
          <w:rStyle w:val="Gvdemetni3a"/>
          <w:sz w:val="24"/>
          <w:szCs w:val="24"/>
        </w:rPr>
        <w:t>verimlilik ve katı yakıt tüketimi açısından mevcut performans</w:t>
      </w:r>
    </w:p>
    <w:p w14:paraId="0CFF40E5" w14:textId="3DA03157" w:rsidR="00785A16" w:rsidRPr="00D53A2B" w:rsidRDefault="00785A16" w:rsidP="00A202FD">
      <w:pPr>
        <w:pStyle w:val="ListeParagraf"/>
        <w:numPr>
          <w:ilvl w:val="0"/>
          <w:numId w:val="94"/>
        </w:numPr>
        <w:tabs>
          <w:tab w:val="clear" w:pos="567"/>
        </w:tabs>
        <w:spacing w:line="240" w:lineRule="auto"/>
        <w:ind w:left="426" w:hanging="426"/>
        <w:rPr>
          <w:rStyle w:val="Gvdemetni3a"/>
          <w:sz w:val="24"/>
          <w:szCs w:val="24"/>
        </w:rPr>
      </w:pPr>
      <w:r w:rsidRPr="00D53A2B">
        <w:rPr>
          <w:rStyle w:val="Gvdemetni3a"/>
          <w:sz w:val="24"/>
          <w:szCs w:val="24"/>
        </w:rPr>
        <w:t>sinterin baziklik indeksi ve yüksek fırındaki yükün bileşimi (örneğin, yükteki sinter ve pelet yüzdesi, bu bileşenlerin demir içeriği).</w:t>
      </w:r>
    </w:p>
    <w:p w14:paraId="0B1BA57C" w14:textId="77777777" w:rsidR="0062067E" w:rsidRPr="00D53A2B" w:rsidRDefault="0062067E" w:rsidP="00A202FD">
      <w:pPr>
        <w:jc w:val="both"/>
        <w:rPr>
          <w:rStyle w:val="Gvdemetni3a"/>
        </w:rPr>
      </w:pPr>
    </w:p>
    <w:p w14:paraId="0984DECF" w14:textId="77777777" w:rsidR="00EC16E7" w:rsidRPr="00D53A2B" w:rsidRDefault="00EC16E7" w:rsidP="00A202FD">
      <w:pPr>
        <w:jc w:val="both"/>
        <w:rPr>
          <w:rStyle w:val="Gvdemetni65"/>
          <w:b/>
          <w:bCs/>
        </w:rPr>
      </w:pPr>
      <w:r w:rsidRPr="00D53A2B">
        <w:rPr>
          <w:rStyle w:val="Gvdemetni65"/>
          <w:b/>
          <w:bCs/>
        </w:rPr>
        <w:t xml:space="preserve">MET I.ii kapsamındaki </w:t>
      </w:r>
      <w:r w:rsidRPr="00D53A2B">
        <w:rPr>
          <w:rStyle w:val="Gvdemetni6talik4"/>
          <w:sz w:val="24"/>
          <w:szCs w:val="24"/>
        </w:rPr>
        <w:t>diğer birincil önlemlerin</w:t>
      </w:r>
      <w:r w:rsidRPr="00D53A2B">
        <w:rPr>
          <w:rStyle w:val="Gvdemetni65"/>
          <w:b/>
          <w:bCs/>
        </w:rPr>
        <w:t xml:space="preserve"> uygulanabilirliği</w:t>
      </w:r>
    </w:p>
    <w:p w14:paraId="00BA3D0F" w14:textId="3F4D58A8" w:rsidR="00785A16" w:rsidRPr="00D53A2B" w:rsidRDefault="00785A16" w:rsidP="00A202FD">
      <w:pPr>
        <w:jc w:val="both"/>
      </w:pPr>
      <w:r w:rsidRPr="00D53A2B">
        <w:t>Antrasit kullanımı, kok mıcırına kıyasla daha düşük nitrojen içeriğine sahip antrasitlerin mevcudiyetine bağlıdır.</w:t>
      </w:r>
    </w:p>
    <w:p w14:paraId="78E42A8A" w14:textId="77777777" w:rsidR="00785A16" w:rsidRPr="00D53A2B" w:rsidRDefault="00785A16" w:rsidP="00A202FD">
      <w:pPr>
        <w:jc w:val="both"/>
      </w:pPr>
    </w:p>
    <w:p w14:paraId="052E12B9" w14:textId="1E673156" w:rsidR="00785A16" w:rsidRPr="00D53A2B" w:rsidRDefault="00EC16E7" w:rsidP="00A202FD">
      <w:pPr>
        <w:jc w:val="both"/>
        <w:rPr>
          <w:rStyle w:val="Gvdemetni65"/>
          <w:b/>
          <w:bCs/>
        </w:rPr>
      </w:pPr>
      <w:r w:rsidRPr="00D53A2B">
        <w:rPr>
          <w:rStyle w:val="Gvdemetni630"/>
          <w:sz w:val="24"/>
          <w:szCs w:val="24"/>
          <w:u w:val="none"/>
        </w:rPr>
        <w:t>ME</w:t>
      </w:r>
      <w:r w:rsidRPr="00D53A2B">
        <w:rPr>
          <w:rStyle w:val="Gvdemetni65"/>
          <w:b/>
          <w:bCs/>
        </w:rPr>
        <w:t xml:space="preserve">T I.ii kapsamında </w:t>
      </w:r>
      <w:r w:rsidR="00785A16" w:rsidRPr="00D53A2B">
        <w:rPr>
          <w:rStyle w:val="Gvdemetni6talik3"/>
          <w:sz w:val="24"/>
          <w:szCs w:val="24"/>
          <w:u w:val="none"/>
        </w:rPr>
        <w:t>RAC</w:t>
      </w:r>
      <w:r w:rsidR="00352EF5" w:rsidRPr="00D53A2B">
        <w:rPr>
          <w:rStyle w:val="Gvdemetni6talik3"/>
          <w:sz w:val="24"/>
          <w:szCs w:val="24"/>
          <w:u w:val="none"/>
        </w:rPr>
        <w:t xml:space="preserve"> </w:t>
      </w:r>
      <w:r w:rsidRPr="00D53A2B">
        <w:rPr>
          <w:rStyle w:val="Gvdemetni6talik4"/>
          <w:sz w:val="24"/>
          <w:szCs w:val="24"/>
        </w:rPr>
        <w:t>prosesinin</w:t>
      </w:r>
      <w:r w:rsidRPr="00D53A2B">
        <w:rPr>
          <w:rStyle w:val="Gvdemetni65"/>
          <w:b/>
          <w:bCs/>
        </w:rPr>
        <w:t xml:space="preserve"> tanımı ve uygulanabilirliği için </w:t>
      </w:r>
      <w:r w:rsidR="00785A16" w:rsidRPr="00D53A2B">
        <w:rPr>
          <w:rStyle w:val="Gvdemetni65"/>
          <w:b/>
          <w:bCs/>
        </w:rPr>
        <w:t>MET 22</w:t>
      </w:r>
      <w:r w:rsidR="00E56504" w:rsidRPr="00D53A2B">
        <w:rPr>
          <w:rStyle w:val="Gvdemetni65"/>
          <w:b/>
          <w:bCs/>
        </w:rPr>
        <w:t>’</w:t>
      </w:r>
      <w:r w:rsidR="00785A16" w:rsidRPr="00D53A2B">
        <w:rPr>
          <w:rStyle w:val="Gvdemetni65"/>
          <w:b/>
          <w:bCs/>
        </w:rPr>
        <w:t xml:space="preserve">ye </w:t>
      </w:r>
      <w:r w:rsidRPr="00D53A2B">
        <w:rPr>
          <w:rStyle w:val="Gvdemetni65"/>
          <w:b/>
          <w:bCs/>
        </w:rPr>
        <w:t>bakınız</w:t>
      </w:r>
      <w:r w:rsidR="00785A16" w:rsidRPr="00D53A2B">
        <w:rPr>
          <w:rStyle w:val="Gvdemetni65"/>
          <w:b/>
          <w:bCs/>
        </w:rPr>
        <w:t>.</w:t>
      </w:r>
    </w:p>
    <w:p w14:paraId="786ECA9C" w14:textId="77777777" w:rsidR="00785A16" w:rsidRPr="00D53A2B" w:rsidRDefault="00785A16" w:rsidP="00A202FD">
      <w:pPr>
        <w:jc w:val="both"/>
        <w:rPr>
          <w:rStyle w:val="Gvdemetni65"/>
        </w:rPr>
      </w:pPr>
    </w:p>
    <w:p w14:paraId="6C0EF0C7" w14:textId="2EF7AEBC" w:rsidR="00785A16" w:rsidRPr="00D53A2B" w:rsidRDefault="00D454CD" w:rsidP="00A202FD">
      <w:pPr>
        <w:jc w:val="both"/>
        <w:rPr>
          <w:rStyle w:val="Gvdemetni65"/>
          <w:b/>
          <w:bCs/>
        </w:rPr>
      </w:pPr>
      <w:r w:rsidRPr="00D53A2B">
        <w:rPr>
          <w:rStyle w:val="Gvdemetni65"/>
          <w:b/>
          <w:bCs/>
          <w:i/>
          <w:iCs/>
        </w:rPr>
        <w:t>SCR prosesinin</w:t>
      </w:r>
      <w:r w:rsidRPr="00D53A2B">
        <w:rPr>
          <w:rStyle w:val="Gvdemetni65"/>
          <w:b/>
          <w:bCs/>
        </w:rPr>
        <w:t xml:space="preserve"> MET II.ii kapsamında uygulanabilirliği</w:t>
      </w:r>
    </w:p>
    <w:p w14:paraId="40E1D532" w14:textId="604E7475" w:rsidR="00785A16" w:rsidRPr="00D53A2B" w:rsidRDefault="00D454CD" w:rsidP="00A202FD">
      <w:pPr>
        <w:jc w:val="both"/>
        <w:rPr>
          <w:rStyle w:val="Gvdemetni65"/>
        </w:rPr>
      </w:pPr>
      <w:r w:rsidRPr="00D53A2B">
        <w:rPr>
          <w:rStyle w:val="Gvdemetni65"/>
        </w:rPr>
        <w:t>SCR, yüksek tozlu bir sistemde, düşük tozlu bir sistemde ve temiz gaz sistemi olarak uygulanabilir.</w:t>
      </w:r>
      <w:r w:rsidR="00056DF5" w:rsidRPr="00D53A2B">
        <w:rPr>
          <w:rStyle w:val="Gvdemetni65"/>
        </w:rPr>
        <w:t xml:space="preserve"> Şimdiye kadar sinter tesislerinde sadece temiz gaz sistemleri (tozsuzlaştırma ve desülfürizasyondan sonra) uygulanmıştır. Gazın toz (&lt;40 mg toz/Nm</w:t>
      </w:r>
      <w:r w:rsidR="00056DF5" w:rsidRPr="00D53A2B">
        <w:rPr>
          <w:rStyle w:val="Gvdemetni65"/>
          <w:vertAlign w:val="superscript"/>
        </w:rPr>
        <w:t>3</w:t>
      </w:r>
      <w:r w:rsidR="00056DF5" w:rsidRPr="00D53A2B">
        <w:rPr>
          <w:rStyle w:val="Gvdemetni65"/>
        </w:rPr>
        <w:t>) ve ağır metaller bakımından düşük olması önemlidir, çünkü bunlar katalizör yüzeyini etkisiz hale getirebilir. Ek olarak, katalizörden önce kükürt giderme gerekli olabilir. Bir diğer ön koşul da yaklaşık 300°C</w:t>
      </w:r>
      <w:r w:rsidR="00E56504" w:rsidRPr="00D53A2B">
        <w:rPr>
          <w:rStyle w:val="Gvdemetni65"/>
        </w:rPr>
        <w:t>’</w:t>
      </w:r>
      <w:r w:rsidR="00056DF5" w:rsidRPr="00D53A2B">
        <w:rPr>
          <w:rStyle w:val="Gvdemetni65"/>
        </w:rPr>
        <w:t>lik minimum çıkış gazı sıcaklığıdır. Bu da bir enerji girdisi gerektirir.</w:t>
      </w:r>
      <w:r w:rsidR="0003099C" w:rsidRPr="00D53A2B">
        <w:rPr>
          <w:rStyle w:val="Gvdemetni65"/>
        </w:rPr>
        <w:t xml:space="preserve"> Yüksek yatırım ve işletme maliyetleri, katalizörün yeniden değerlendirilmesi ihtiyacı, NH</w:t>
      </w:r>
      <w:r w:rsidR="0003099C" w:rsidRPr="00D53A2B">
        <w:rPr>
          <w:rStyle w:val="Gvdemetni65"/>
          <w:vertAlign w:val="subscript"/>
        </w:rPr>
        <w:t>3</w:t>
      </w:r>
      <w:r w:rsidR="0003099C" w:rsidRPr="00D53A2B">
        <w:rPr>
          <w:rStyle w:val="Gvdemetni65"/>
        </w:rPr>
        <w:t xml:space="preserve"> tüketimi ve kayması, patlayıcı amonyum nitrat (NH</w:t>
      </w:r>
      <w:r w:rsidR="0003099C" w:rsidRPr="00D53A2B">
        <w:rPr>
          <w:rStyle w:val="Gvdemetni65"/>
          <w:vertAlign w:val="subscript"/>
        </w:rPr>
        <w:t>4</w:t>
      </w:r>
      <w:r w:rsidR="0003099C" w:rsidRPr="00D53A2B">
        <w:rPr>
          <w:rStyle w:val="Gvdemetni65"/>
        </w:rPr>
        <w:t>NO</w:t>
      </w:r>
      <w:r w:rsidR="0003099C" w:rsidRPr="00D53A2B">
        <w:rPr>
          <w:rStyle w:val="Gvdemetni65"/>
          <w:vertAlign w:val="subscript"/>
        </w:rPr>
        <w:t>3</w:t>
      </w:r>
      <w:r w:rsidR="0003099C" w:rsidRPr="00D53A2B">
        <w:rPr>
          <w:rStyle w:val="Gvdemetni65"/>
        </w:rPr>
        <w:t>) birikimi, aşındırıcı SO</w:t>
      </w:r>
      <w:r w:rsidR="0003099C" w:rsidRPr="00D53A2B">
        <w:rPr>
          <w:rStyle w:val="Gvdemetni65"/>
          <w:vertAlign w:val="subscript"/>
        </w:rPr>
        <w:t>3</w:t>
      </w:r>
      <w:r w:rsidR="0003099C" w:rsidRPr="00D53A2B">
        <w:rPr>
          <w:rStyle w:val="Gvdemetni65"/>
        </w:rPr>
        <w:t xml:space="preserve"> oluşumu ve sinter işleminden hissedilebilir ısının geri kazanılması olasılığını azaltabilecek yeniden ısıtma için gereken ek enerji, uygulanabilirliği kısıtlayabilir. Bu teknik, çevresel kalite standartlarının diğer tekniklerin uygulanması yoluyla karşılanmasının mümkün olmadığı durumlarda bir seçenek olabilir.</w:t>
      </w:r>
    </w:p>
    <w:p w14:paraId="021D9031" w14:textId="77777777" w:rsidR="00D454CD" w:rsidRPr="00D53A2B" w:rsidRDefault="00D454CD" w:rsidP="00A202FD">
      <w:pPr>
        <w:jc w:val="both"/>
        <w:rPr>
          <w:rStyle w:val="Gvdemetni65"/>
        </w:rPr>
      </w:pPr>
    </w:p>
    <w:p w14:paraId="111BFA07" w14:textId="283015B7" w:rsidR="00EC16E7" w:rsidRPr="00D53A2B" w:rsidRDefault="006F59B2" w:rsidP="00A202FD">
      <w:pPr>
        <w:pStyle w:val="MET"/>
        <w:rPr>
          <w:rStyle w:val="Gvdemetni65"/>
          <w:szCs w:val="24"/>
        </w:rPr>
      </w:pPr>
      <w:r w:rsidRPr="00D53A2B">
        <w:rPr>
          <w:rStyle w:val="Gvdemetni65"/>
          <w:szCs w:val="24"/>
        </w:rPr>
        <w:t>MET 24:</w:t>
      </w:r>
      <w:r w:rsidR="0003099C" w:rsidRPr="00D53A2B">
        <w:rPr>
          <w:rStyle w:val="Gvdemetni65"/>
          <w:szCs w:val="24"/>
        </w:rPr>
        <w:t xml:space="preserve"> </w:t>
      </w:r>
      <w:r w:rsidR="0003099C" w:rsidRPr="00D53A2B">
        <w:rPr>
          <w:rStyle w:val="Gvdemetni65"/>
          <w:b w:val="0"/>
          <w:bCs/>
          <w:szCs w:val="24"/>
        </w:rPr>
        <w:t>Sinter tellerinden kaynaklanan birincil emisyonlar için, poliklorlu dibenzodioksinler/furanlar (PCDD/F) ve poliklorlubifenillerin (PCB) emisyonlarını aşağıdaki tekniklerden birini veya bir kombinasyonu kullan</w:t>
      </w:r>
      <w:r w:rsidR="007B72E1" w:rsidRPr="00D53A2B">
        <w:rPr>
          <w:rStyle w:val="Gvdemetni65"/>
          <w:b w:val="0"/>
          <w:bCs/>
          <w:szCs w:val="24"/>
        </w:rPr>
        <w:t>ılarak önlenebilir</w:t>
      </w:r>
      <w:r w:rsidR="0003099C" w:rsidRPr="00D53A2B">
        <w:rPr>
          <w:rStyle w:val="Gvdemetni65"/>
          <w:b w:val="0"/>
          <w:bCs/>
          <w:szCs w:val="24"/>
        </w:rPr>
        <w:t xml:space="preserve"> ve/veya azalt</w:t>
      </w:r>
      <w:r w:rsidR="007B72E1" w:rsidRPr="00D53A2B">
        <w:rPr>
          <w:rStyle w:val="Gvdemetni65"/>
          <w:b w:val="0"/>
          <w:bCs/>
          <w:szCs w:val="24"/>
        </w:rPr>
        <w:t>ılabilir</w:t>
      </w:r>
      <w:r w:rsidR="0003099C" w:rsidRPr="00D53A2B">
        <w:rPr>
          <w:rStyle w:val="Gvdemetni65"/>
          <w:b w:val="0"/>
          <w:bCs/>
          <w:szCs w:val="24"/>
        </w:rPr>
        <w:t>:</w:t>
      </w:r>
    </w:p>
    <w:p w14:paraId="0CD5230A" w14:textId="4FFFF87B" w:rsidR="0003099C" w:rsidRPr="00D53A2B" w:rsidRDefault="005E696D" w:rsidP="00A202FD">
      <w:pPr>
        <w:pStyle w:val="ListeParagraf"/>
        <w:numPr>
          <w:ilvl w:val="0"/>
          <w:numId w:val="95"/>
        </w:numPr>
        <w:tabs>
          <w:tab w:val="clear" w:pos="567"/>
        </w:tabs>
        <w:spacing w:line="240" w:lineRule="auto"/>
        <w:ind w:left="426" w:hanging="437"/>
        <w:rPr>
          <w:rStyle w:val="Gvdemetni65"/>
          <w:bCs/>
          <w:color w:val="000000"/>
          <w:sz w:val="24"/>
          <w:szCs w:val="24"/>
        </w:rPr>
      </w:pPr>
      <w:r w:rsidRPr="00D53A2B">
        <w:rPr>
          <w:rStyle w:val="Gvdemetni65"/>
          <w:bCs/>
          <w:color w:val="000000"/>
          <w:sz w:val="24"/>
          <w:szCs w:val="24"/>
        </w:rPr>
        <w:t xml:space="preserve">poliklorlu dibenzodioksinler/furanlar (PCDD/F) ve poliklorlu bifeniller (PCB) veya bunların öncü bileşenlerini içeren hammaddelerden mümkün olduğunca kaçınılması </w:t>
      </w:r>
      <w:r w:rsidRPr="00D53A2B">
        <w:rPr>
          <w:rStyle w:val="Gvdemetni65"/>
          <w:b/>
          <w:color w:val="000000"/>
          <w:sz w:val="24"/>
          <w:szCs w:val="24"/>
        </w:rPr>
        <w:t>(bkz. MET 7)</w:t>
      </w:r>
    </w:p>
    <w:p w14:paraId="3AAFB3D3" w14:textId="7FFE4FAE" w:rsidR="005E696D" w:rsidRPr="00D53A2B" w:rsidRDefault="005E696D" w:rsidP="00A202FD">
      <w:pPr>
        <w:pStyle w:val="ListeParagraf"/>
        <w:numPr>
          <w:ilvl w:val="0"/>
          <w:numId w:val="95"/>
        </w:numPr>
        <w:tabs>
          <w:tab w:val="clear" w:pos="567"/>
        </w:tabs>
        <w:spacing w:line="240" w:lineRule="auto"/>
        <w:ind w:left="426" w:hanging="437"/>
        <w:rPr>
          <w:rStyle w:val="Gvdemetni65"/>
          <w:bCs/>
          <w:color w:val="000000"/>
          <w:sz w:val="24"/>
          <w:szCs w:val="24"/>
        </w:rPr>
      </w:pPr>
      <w:r w:rsidRPr="00D53A2B">
        <w:rPr>
          <w:rStyle w:val="Gvdemetni65"/>
          <w:bCs/>
          <w:color w:val="000000"/>
          <w:sz w:val="24"/>
          <w:szCs w:val="24"/>
        </w:rPr>
        <w:t>poliklorlu dibenzodioksin/furanların (PCDD/F) oluşumunun azot bileşikleri ilavesiyle baskılanması</w:t>
      </w:r>
    </w:p>
    <w:p w14:paraId="341F57E0" w14:textId="10118B6F" w:rsidR="00352EF5" w:rsidRPr="00D53A2B" w:rsidRDefault="005E696D" w:rsidP="00A202FD">
      <w:pPr>
        <w:pStyle w:val="ListeParagraf"/>
        <w:numPr>
          <w:ilvl w:val="0"/>
          <w:numId w:val="95"/>
        </w:numPr>
        <w:tabs>
          <w:tab w:val="clear" w:pos="567"/>
        </w:tabs>
        <w:spacing w:line="240" w:lineRule="auto"/>
        <w:ind w:left="426" w:hanging="437"/>
        <w:rPr>
          <w:rStyle w:val="Gvdemetni65"/>
          <w:bCs/>
          <w:color w:val="000000"/>
          <w:sz w:val="24"/>
          <w:szCs w:val="24"/>
        </w:rPr>
      </w:pPr>
      <w:r w:rsidRPr="00D53A2B">
        <w:rPr>
          <w:rStyle w:val="Gvdemetni65"/>
          <w:bCs/>
          <w:color w:val="000000"/>
          <w:sz w:val="24"/>
          <w:szCs w:val="24"/>
        </w:rPr>
        <w:t xml:space="preserve">atık gaz resirkülasyonu (açıklama ve uygulanabilirlik için </w:t>
      </w:r>
      <w:r w:rsidRPr="00D53A2B">
        <w:rPr>
          <w:rStyle w:val="Gvdemetni65"/>
          <w:b/>
          <w:color w:val="000000"/>
          <w:sz w:val="24"/>
          <w:szCs w:val="24"/>
        </w:rPr>
        <w:t>MET 23</w:t>
      </w:r>
      <w:r w:rsidR="00E56504" w:rsidRPr="00D53A2B">
        <w:rPr>
          <w:rStyle w:val="Gvdemetni65"/>
          <w:b/>
          <w:color w:val="000000"/>
          <w:sz w:val="24"/>
          <w:szCs w:val="24"/>
        </w:rPr>
        <w:t>’</w:t>
      </w:r>
      <w:r w:rsidRPr="00D53A2B">
        <w:rPr>
          <w:rStyle w:val="Gvdemetni65"/>
          <w:b/>
          <w:color w:val="000000"/>
          <w:sz w:val="24"/>
          <w:szCs w:val="24"/>
        </w:rPr>
        <w:t>e bakınız</w:t>
      </w:r>
      <w:r w:rsidRPr="00D53A2B">
        <w:rPr>
          <w:rStyle w:val="Gvdemetni65"/>
          <w:bCs/>
          <w:color w:val="000000"/>
          <w:sz w:val="24"/>
          <w:szCs w:val="24"/>
        </w:rPr>
        <w:t>).</w:t>
      </w:r>
    </w:p>
    <w:p w14:paraId="293001F6" w14:textId="77777777" w:rsidR="005E696D" w:rsidRPr="00D53A2B" w:rsidRDefault="005E696D" w:rsidP="00A202FD">
      <w:pPr>
        <w:jc w:val="both"/>
      </w:pPr>
    </w:p>
    <w:p w14:paraId="10381FFD" w14:textId="43B9D147" w:rsidR="005E696D" w:rsidRPr="00D53A2B" w:rsidRDefault="006F59B2" w:rsidP="00A202FD">
      <w:pPr>
        <w:pStyle w:val="MET"/>
        <w:rPr>
          <w:rStyle w:val="Gvdemetni65"/>
          <w:color w:val="000000"/>
          <w:szCs w:val="24"/>
        </w:rPr>
      </w:pPr>
      <w:r w:rsidRPr="00D53A2B">
        <w:rPr>
          <w:rStyle w:val="Gvdemetni65"/>
          <w:color w:val="000000"/>
          <w:szCs w:val="24"/>
        </w:rPr>
        <w:t xml:space="preserve">MET 25: </w:t>
      </w:r>
      <w:r w:rsidR="005E696D" w:rsidRPr="00D53A2B">
        <w:rPr>
          <w:rStyle w:val="Gvdemetni65"/>
          <w:b w:val="0"/>
          <w:bCs/>
          <w:color w:val="000000"/>
          <w:szCs w:val="24"/>
        </w:rPr>
        <w:t xml:space="preserve">Sinter bantlarından kaynaklanan birincil emisyonlar için MET, poliklorlu dibenzodioksinler/furanlar (PCDD/F) ve poliklorlu bifenillerin (PCB) emisyonlarını, torba filtre veya torba filtrelerin uygulanamadığı durumlarda gelişmiş elektrostatik </w:t>
      </w:r>
      <w:r w:rsidR="005E696D" w:rsidRPr="00D53A2B">
        <w:rPr>
          <w:rStyle w:val="Gvdemetni65"/>
          <w:b w:val="0"/>
          <w:bCs/>
          <w:color w:val="000000"/>
          <w:szCs w:val="24"/>
        </w:rPr>
        <w:lastRenderedPageBreak/>
        <w:t>çökelticilerle tozdan arındırmadan önce sinter bantlarından atık gaz kanalına yeterli adsorpsiyon maddelerinin eklenmesiyle azalt</w:t>
      </w:r>
      <w:r w:rsidR="007B72E1" w:rsidRPr="00D53A2B">
        <w:rPr>
          <w:rStyle w:val="Gvdemetni65"/>
          <w:b w:val="0"/>
          <w:bCs/>
          <w:color w:val="000000"/>
          <w:szCs w:val="24"/>
        </w:rPr>
        <w:t>ılabilir</w:t>
      </w:r>
      <w:r w:rsidR="005E696D" w:rsidRPr="00D53A2B">
        <w:rPr>
          <w:rStyle w:val="Gvdemetni65"/>
          <w:b w:val="0"/>
          <w:bCs/>
          <w:color w:val="000000"/>
          <w:szCs w:val="24"/>
        </w:rPr>
        <w:t xml:space="preserve"> (bkz. </w:t>
      </w:r>
      <w:r w:rsidR="005E696D" w:rsidRPr="00D53A2B">
        <w:rPr>
          <w:rStyle w:val="Gvdemetni65"/>
          <w:color w:val="000000"/>
          <w:szCs w:val="24"/>
        </w:rPr>
        <w:t>MET 20</w:t>
      </w:r>
      <w:r w:rsidR="005E696D" w:rsidRPr="00D53A2B">
        <w:rPr>
          <w:rStyle w:val="Gvdemetni65"/>
          <w:b w:val="0"/>
          <w:bCs/>
          <w:color w:val="000000"/>
          <w:szCs w:val="24"/>
        </w:rPr>
        <w:t>).</w:t>
      </w:r>
    </w:p>
    <w:p w14:paraId="10D95F94" w14:textId="4DC7F98F" w:rsidR="005E696D" w:rsidRPr="00D53A2B" w:rsidRDefault="005E696D" w:rsidP="00A202FD">
      <w:pPr>
        <w:jc w:val="both"/>
        <w:rPr>
          <w:rStyle w:val="Gvdemetni65"/>
          <w:b/>
          <w:spacing w:val="2"/>
          <w:lang w:eastAsia="en-US"/>
        </w:rPr>
      </w:pPr>
      <w:r w:rsidRPr="00D53A2B">
        <w:rPr>
          <w:rStyle w:val="Gvdemetni65"/>
        </w:rPr>
        <w:t>Poliklorlu dibenzodioksinler/furanlar (PCDD/F) için MET ile ilişkili emisyon seviyesi, torba filtre için &lt;0,05-0,2 ng I-TEQ/Nm</w:t>
      </w:r>
      <w:r w:rsidRPr="00D53A2B">
        <w:rPr>
          <w:rStyle w:val="Gvdemetni65"/>
          <w:vertAlign w:val="superscript"/>
        </w:rPr>
        <w:t>3</w:t>
      </w:r>
      <w:r w:rsidRPr="00D53A2B">
        <w:rPr>
          <w:rStyle w:val="Gvdemetni65"/>
        </w:rPr>
        <w:t xml:space="preserve"> ve gelişmiş elektrostatik çökeltici için &lt;0,2-0,4 ng-I-TEQ/Nm</w:t>
      </w:r>
      <w:r w:rsidRPr="00D53A2B">
        <w:rPr>
          <w:rStyle w:val="Gvdemetni65"/>
          <w:vertAlign w:val="superscript"/>
        </w:rPr>
        <w:t>3</w:t>
      </w:r>
      <w:r w:rsidRPr="00D53A2B">
        <w:rPr>
          <w:rStyle w:val="Gvdemetni65"/>
        </w:rPr>
        <w:t xml:space="preserve"> olup, her ikisi de sabit durum koşulları altında 6-8 saatlik rastgele bir numune için belirlenmiştir.</w:t>
      </w:r>
    </w:p>
    <w:p w14:paraId="3A83755E" w14:textId="77777777" w:rsidR="005E696D" w:rsidRPr="00D53A2B" w:rsidRDefault="005E696D" w:rsidP="00A202FD">
      <w:pPr>
        <w:pStyle w:val="MET"/>
        <w:rPr>
          <w:rStyle w:val="Gvdemetni65"/>
          <w:color w:val="000000"/>
          <w:szCs w:val="24"/>
        </w:rPr>
      </w:pPr>
    </w:p>
    <w:p w14:paraId="4D01F927" w14:textId="5FA2C6F7" w:rsidR="005E696D" w:rsidRPr="00D53A2B" w:rsidRDefault="005E696D" w:rsidP="00A202FD">
      <w:pPr>
        <w:pStyle w:val="MET"/>
        <w:rPr>
          <w:rStyle w:val="Gvdemetni65"/>
          <w:color w:val="000000"/>
          <w:szCs w:val="24"/>
        </w:rPr>
      </w:pPr>
      <w:r w:rsidRPr="00D53A2B">
        <w:rPr>
          <w:rStyle w:val="Gvdemetni65"/>
          <w:color w:val="000000"/>
          <w:szCs w:val="24"/>
        </w:rPr>
        <w:t xml:space="preserve">MET 26: </w:t>
      </w:r>
      <w:r w:rsidRPr="00D53A2B">
        <w:rPr>
          <w:rStyle w:val="Gvdemetni65"/>
          <w:b w:val="0"/>
          <w:bCs/>
          <w:color w:val="000000"/>
          <w:szCs w:val="24"/>
        </w:rPr>
        <w:t>Sinter bandı tahliyesi, sinter kırma, soğutma, eleme ve konveyör aktarma noktalarından kaynaklanan ikincil emisyonlar için MET, toz emisyonlarını önlemek ve/veya verimli bir ekstraksiyon elde etmek ve ardından aşağıdaki tekniklerin bir kombinasyonunu kullanarak toz emisyonlarını azalt</w:t>
      </w:r>
      <w:r w:rsidR="007B72E1" w:rsidRPr="00D53A2B">
        <w:rPr>
          <w:rStyle w:val="Gvdemetni65"/>
          <w:b w:val="0"/>
          <w:bCs/>
          <w:color w:val="000000"/>
          <w:szCs w:val="24"/>
        </w:rPr>
        <w:t>abilir</w:t>
      </w:r>
      <w:r w:rsidRPr="00D53A2B">
        <w:rPr>
          <w:rStyle w:val="Gvdemetni65"/>
          <w:b w:val="0"/>
          <w:bCs/>
          <w:color w:val="000000"/>
          <w:szCs w:val="24"/>
        </w:rPr>
        <w:t>:</w:t>
      </w:r>
    </w:p>
    <w:p w14:paraId="5755FD85" w14:textId="77777777" w:rsidR="00BA79E4" w:rsidRPr="00D53A2B" w:rsidRDefault="00BA79E4" w:rsidP="00A202FD">
      <w:pPr>
        <w:pStyle w:val="ListeParagraf"/>
        <w:numPr>
          <w:ilvl w:val="0"/>
          <w:numId w:val="8"/>
        </w:numPr>
        <w:tabs>
          <w:tab w:val="clear" w:pos="567"/>
        </w:tabs>
        <w:spacing w:line="240" w:lineRule="auto"/>
        <w:ind w:left="426" w:hanging="426"/>
        <w:rPr>
          <w:sz w:val="24"/>
          <w:szCs w:val="24"/>
        </w:rPr>
      </w:pPr>
      <w:r w:rsidRPr="00D53A2B">
        <w:rPr>
          <w:sz w:val="24"/>
          <w:szCs w:val="24"/>
        </w:rPr>
        <w:t>üstünü kapama ve/veya örtme</w:t>
      </w:r>
    </w:p>
    <w:p w14:paraId="6F63A007" w14:textId="3D2BE0A5" w:rsidR="00EC16E7" w:rsidRPr="00D53A2B" w:rsidRDefault="00EC16E7" w:rsidP="00A202FD">
      <w:pPr>
        <w:pStyle w:val="ListeParagraf"/>
        <w:numPr>
          <w:ilvl w:val="0"/>
          <w:numId w:val="8"/>
        </w:numPr>
        <w:tabs>
          <w:tab w:val="clear" w:pos="567"/>
        </w:tabs>
        <w:spacing w:line="240" w:lineRule="auto"/>
        <w:ind w:left="426" w:hanging="426"/>
        <w:rPr>
          <w:rStyle w:val="Gvdemetni3a"/>
          <w:sz w:val="24"/>
          <w:szCs w:val="24"/>
        </w:rPr>
      </w:pPr>
      <w:r w:rsidRPr="00D53A2B">
        <w:rPr>
          <w:rStyle w:val="Gvdemetni3a"/>
          <w:color w:val="000000"/>
          <w:sz w:val="24"/>
          <w:szCs w:val="24"/>
        </w:rPr>
        <w:t>elektrostatik çöktürücü veya torbalı filtre</w:t>
      </w:r>
    </w:p>
    <w:p w14:paraId="079DA372" w14:textId="77777777" w:rsidR="00BA79E4" w:rsidRPr="00D53A2B" w:rsidRDefault="00BA79E4" w:rsidP="00A202FD">
      <w:pPr>
        <w:jc w:val="both"/>
      </w:pPr>
    </w:p>
    <w:p w14:paraId="6D96623C" w14:textId="15525419" w:rsidR="00BA79E4" w:rsidRPr="00D53A2B" w:rsidRDefault="00BA79E4" w:rsidP="00A202FD">
      <w:pPr>
        <w:jc w:val="both"/>
        <w:rPr>
          <w:rStyle w:val="Gvdemetni3a"/>
          <w:b/>
          <w:bCs/>
          <w:i/>
          <w:iCs/>
        </w:rPr>
      </w:pPr>
      <w:r w:rsidRPr="00D53A2B">
        <w:rPr>
          <w:rStyle w:val="Gvdemetni3a"/>
        </w:rPr>
        <w:t xml:space="preserve">Toz için </w:t>
      </w:r>
      <w:r w:rsidR="007B72E1" w:rsidRPr="00D53A2B">
        <w:rPr>
          <w:rStyle w:val="Gvdemetni3a"/>
          <w:b/>
          <w:bCs/>
        </w:rPr>
        <w:t>MET</w:t>
      </w:r>
      <w:r w:rsidRPr="00D53A2B">
        <w:rPr>
          <w:rStyle w:val="Gvdemetni3a"/>
          <w:b/>
          <w:bCs/>
        </w:rPr>
        <w:t xml:space="preserve"> ile ilişkili emisyon seviyesi</w:t>
      </w:r>
      <w:r w:rsidRPr="00D53A2B">
        <w:rPr>
          <w:rStyle w:val="Gvdemetni3a"/>
        </w:rPr>
        <w:t xml:space="preserve"> torba filtre için &lt;10 mg/Nm</w:t>
      </w:r>
      <w:r w:rsidRPr="00D53A2B">
        <w:rPr>
          <w:rStyle w:val="Gvdemetni3a"/>
          <w:vertAlign w:val="superscript"/>
        </w:rPr>
        <w:t>3</w:t>
      </w:r>
      <w:r w:rsidRPr="00D53A2B">
        <w:rPr>
          <w:rStyle w:val="Gvdemetni3a"/>
        </w:rPr>
        <w:t xml:space="preserve"> ve elektrostatik çökeltici için &lt;30mg/Nm</w:t>
      </w:r>
      <w:r w:rsidRPr="00D53A2B">
        <w:rPr>
          <w:rStyle w:val="Gvdemetni3a"/>
          <w:vertAlign w:val="superscript"/>
        </w:rPr>
        <w:t>3</w:t>
      </w:r>
      <w:r w:rsidR="00E56504" w:rsidRPr="00D53A2B">
        <w:rPr>
          <w:rStyle w:val="Gvdemetni3a"/>
        </w:rPr>
        <w:t>’</w:t>
      </w:r>
      <w:r w:rsidRPr="00D53A2B">
        <w:rPr>
          <w:rStyle w:val="Gvdemetni3a"/>
        </w:rPr>
        <w:t xml:space="preserve">tür ve her ikisi de günlük ortalama değer olarak belirlenmiştir. </w:t>
      </w:r>
    </w:p>
    <w:p w14:paraId="62BE25AE" w14:textId="77777777" w:rsidR="00BA79E4" w:rsidRPr="00D53A2B" w:rsidRDefault="00BA79E4" w:rsidP="00A202FD">
      <w:pPr>
        <w:jc w:val="both"/>
        <w:rPr>
          <w:rStyle w:val="Gvdemetni3a"/>
          <w:i/>
          <w:iCs/>
        </w:rPr>
      </w:pPr>
    </w:p>
    <w:p w14:paraId="311866BD" w14:textId="4C9CF674" w:rsidR="00352EF5" w:rsidRPr="00D53A2B" w:rsidRDefault="00866818" w:rsidP="00A202FD">
      <w:pPr>
        <w:pStyle w:val="Balk4"/>
        <w:rPr>
          <w:rFonts w:cs="Times New Roman"/>
          <w:bCs/>
          <w:iCs w:val="0"/>
        </w:rPr>
      </w:pPr>
      <w:r w:rsidRPr="00D53A2B">
        <w:rPr>
          <w:rStyle w:val="Gvdemetni3a"/>
          <w:rFonts w:cs="Times New Roman"/>
          <w:bCs/>
          <w:iCs w:val="0"/>
        </w:rPr>
        <w:t xml:space="preserve">2.2. </w:t>
      </w:r>
      <w:r w:rsidR="00BA79E4" w:rsidRPr="00D53A2B">
        <w:rPr>
          <w:rStyle w:val="Gvdemetni3a"/>
          <w:rFonts w:cs="Times New Roman"/>
          <w:bCs/>
          <w:iCs w:val="0"/>
        </w:rPr>
        <w:t>Su ve atıksu</w:t>
      </w:r>
    </w:p>
    <w:p w14:paraId="6395C513" w14:textId="225A73E7" w:rsidR="00BA79E4" w:rsidRPr="00D53A2B" w:rsidRDefault="00BA79E4" w:rsidP="00A202FD">
      <w:pPr>
        <w:pStyle w:val="MET"/>
        <w:rPr>
          <w:rStyle w:val="Gvdemetni710pt3"/>
          <w:color w:val="000000"/>
          <w:sz w:val="24"/>
          <w:szCs w:val="24"/>
        </w:rPr>
      </w:pPr>
      <w:r w:rsidRPr="00D53A2B">
        <w:rPr>
          <w:rStyle w:val="Gvdemetni710pt3"/>
          <w:b/>
          <w:bCs w:val="0"/>
          <w:color w:val="000000"/>
          <w:sz w:val="24"/>
          <w:szCs w:val="24"/>
        </w:rPr>
        <w:t>MET 27:</w:t>
      </w:r>
      <w:r w:rsidRPr="00D53A2B">
        <w:rPr>
          <w:rStyle w:val="Gvdemetni710pt3"/>
          <w:b/>
          <w:color w:val="000000"/>
          <w:sz w:val="24"/>
          <w:szCs w:val="24"/>
        </w:rPr>
        <w:t xml:space="preserve"> </w:t>
      </w:r>
      <w:r w:rsidRPr="00D53A2B">
        <w:rPr>
          <w:rStyle w:val="Gvdemetni710pt3"/>
          <w:color w:val="000000"/>
          <w:sz w:val="24"/>
          <w:szCs w:val="24"/>
        </w:rPr>
        <w:t>Tek geçişli soğutma sistemleri kullanılmadığı sürece soğutma suyunu mümkün olduğunca geri dönüştürerek sinter tesislerinde su tüketimini en aza indir</w:t>
      </w:r>
      <w:r w:rsidR="007B72E1" w:rsidRPr="00D53A2B">
        <w:rPr>
          <w:rStyle w:val="Gvdemetni710pt3"/>
          <w:color w:val="000000"/>
          <w:sz w:val="24"/>
          <w:szCs w:val="24"/>
        </w:rPr>
        <w:t>ilebilir</w:t>
      </w:r>
      <w:r w:rsidRPr="00D53A2B">
        <w:rPr>
          <w:rStyle w:val="Gvdemetni710pt3"/>
          <w:color w:val="000000"/>
          <w:sz w:val="24"/>
          <w:szCs w:val="24"/>
        </w:rPr>
        <w:t xml:space="preserve">. </w:t>
      </w:r>
    </w:p>
    <w:p w14:paraId="31E01783" w14:textId="24C4EA70" w:rsidR="00BA79E4" w:rsidRPr="00D53A2B" w:rsidRDefault="00BA79E4" w:rsidP="00A202FD">
      <w:pPr>
        <w:pStyle w:val="MET"/>
        <w:rPr>
          <w:rStyle w:val="Gvdemetni710pt3"/>
          <w:b/>
          <w:bCs w:val="0"/>
          <w:color w:val="000000"/>
          <w:sz w:val="24"/>
          <w:szCs w:val="24"/>
        </w:rPr>
      </w:pPr>
      <w:r w:rsidRPr="00D53A2B">
        <w:rPr>
          <w:rStyle w:val="Gvdemetni710pt3"/>
          <w:b/>
          <w:bCs w:val="0"/>
          <w:color w:val="000000"/>
          <w:sz w:val="24"/>
          <w:szCs w:val="24"/>
        </w:rPr>
        <w:t>MET 28:</w:t>
      </w:r>
      <w:r w:rsidRPr="00D53A2B">
        <w:rPr>
          <w:rStyle w:val="Gvdemetni710pt3"/>
          <w:b/>
          <w:color w:val="000000"/>
          <w:sz w:val="24"/>
          <w:szCs w:val="24"/>
        </w:rPr>
        <w:t xml:space="preserve"> </w:t>
      </w:r>
      <w:r w:rsidR="007B72E1" w:rsidRPr="00D53A2B">
        <w:rPr>
          <w:rStyle w:val="Gvdemetni710pt3"/>
          <w:color w:val="000000"/>
          <w:sz w:val="24"/>
          <w:szCs w:val="24"/>
        </w:rPr>
        <w:t>Durulama</w:t>
      </w:r>
      <w:r w:rsidRPr="00D53A2B">
        <w:rPr>
          <w:rStyle w:val="Gvdemetni710pt3"/>
          <w:color w:val="000000"/>
          <w:sz w:val="24"/>
          <w:szCs w:val="24"/>
        </w:rPr>
        <w:t xml:space="preserve"> suyunun kullanıldığı veya </w:t>
      </w:r>
      <w:r w:rsidR="007B72E1" w:rsidRPr="00D53A2B">
        <w:rPr>
          <w:rStyle w:val="Gvdemetni710pt3"/>
          <w:color w:val="000000"/>
          <w:sz w:val="24"/>
          <w:szCs w:val="24"/>
        </w:rPr>
        <w:t>yaş</w:t>
      </w:r>
      <w:r w:rsidRPr="00D53A2B">
        <w:rPr>
          <w:rStyle w:val="Gvdemetni710pt3"/>
          <w:color w:val="000000"/>
          <w:sz w:val="24"/>
          <w:szCs w:val="24"/>
        </w:rPr>
        <w:t xml:space="preserve"> atık gaz arıtma sisteminin uygulandığı sinter tesislerinden çıkan atıksuyun, soğutma suyu hariç olmak üzere, deşarjdan önce aşağıdaki tekniklerin bir kombinasyonu kullanılarak arıtıl</w:t>
      </w:r>
      <w:r w:rsidR="007B72E1" w:rsidRPr="00D53A2B">
        <w:rPr>
          <w:rStyle w:val="Gvdemetni710pt3"/>
          <w:color w:val="000000"/>
          <w:sz w:val="24"/>
          <w:szCs w:val="24"/>
        </w:rPr>
        <w:t>abilir</w:t>
      </w:r>
      <w:r w:rsidRPr="00D53A2B">
        <w:rPr>
          <w:rStyle w:val="Gvdemetni710pt3"/>
          <w:color w:val="000000"/>
          <w:sz w:val="24"/>
          <w:szCs w:val="24"/>
        </w:rPr>
        <w:t>:</w:t>
      </w:r>
    </w:p>
    <w:p w14:paraId="6699D100" w14:textId="65178F0E" w:rsidR="00BA79E4" w:rsidRPr="00D53A2B" w:rsidRDefault="00EC16E7" w:rsidP="00A202FD">
      <w:pPr>
        <w:pStyle w:val="Gvdemetni1"/>
        <w:numPr>
          <w:ilvl w:val="0"/>
          <w:numId w:val="9"/>
        </w:numPr>
        <w:shd w:val="clear" w:color="auto" w:fill="auto"/>
        <w:tabs>
          <w:tab w:val="left" w:pos="1093"/>
        </w:tabs>
        <w:spacing w:after="0" w:line="240" w:lineRule="auto"/>
        <w:ind w:left="426" w:hanging="426"/>
        <w:rPr>
          <w:sz w:val="24"/>
          <w:szCs w:val="24"/>
        </w:rPr>
      </w:pPr>
      <w:r w:rsidRPr="00D53A2B">
        <w:rPr>
          <w:rStyle w:val="Gvdemetni3a"/>
          <w:color w:val="000000"/>
          <w:sz w:val="24"/>
          <w:szCs w:val="24"/>
        </w:rPr>
        <w:t>ağır metal çökel</w:t>
      </w:r>
      <w:r w:rsidR="00E66C73" w:rsidRPr="00D53A2B">
        <w:rPr>
          <w:rStyle w:val="Gvdemetni3a"/>
          <w:color w:val="000000"/>
          <w:sz w:val="24"/>
          <w:szCs w:val="24"/>
        </w:rPr>
        <w:t>mesi</w:t>
      </w:r>
    </w:p>
    <w:p w14:paraId="602400CA" w14:textId="4038CB95" w:rsidR="00BA79E4" w:rsidRPr="00D53A2B" w:rsidRDefault="00EC16E7" w:rsidP="00A202FD">
      <w:pPr>
        <w:pStyle w:val="Gvdemetni1"/>
        <w:numPr>
          <w:ilvl w:val="0"/>
          <w:numId w:val="9"/>
        </w:numPr>
        <w:shd w:val="clear" w:color="auto" w:fill="auto"/>
        <w:tabs>
          <w:tab w:val="left" w:pos="1093"/>
        </w:tabs>
        <w:spacing w:after="0" w:line="240" w:lineRule="auto"/>
        <w:ind w:left="426" w:hanging="426"/>
        <w:rPr>
          <w:sz w:val="24"/>
          <w:szCs w:val="24"/>
        </w:rPr>
      </w:pPr>
      <w:r w:rsidRPr="00D53A2B">
        <w:rPr>
          <w:rStyle w:val="Gvdemetni3a"/>
          <w:color w:val="000000"/>
          <w:sz w:val="24"/>
          <w:szCs w:val="24"/>
        </w:rPr>
        <w:t>nötr</w:t>
      </w:r>
      <w:r w:rsidR="00E66C73" w:rsidRPr="00D53A2B">
        <w:rPr>
          <w:rStyle w:val="Gvdemetni3a"/>
          <w:color w:val="000000"/>
          <w:sz w:val="24"/>
          <w:szCs w:val="24"/>
        </w:rPr>
        <w:t>alizasyon</w:t>
      </w:r>
    </w:p>
    <w:p w14:paraId="3821B995" w14:textId="3BE95C2F" w:rsidR="00EC16E7" w:rsidRPr="00D53A2B" w:rsidRDefault="00EC16E7" w:rsidP="00A202FD">
      <w:pPr>
        <w:pStyle w:val="Gvdemetni1"/>
        <w:numPr>
          <w:ilvl w:val="0"/>
          <w:numId w:val="9"/>
        </w:numPr>
        <w:shd w:val="clear" w:color="auto" w:fill="auto"/>
        <w:tabs>
          <w:tab w:val="left" w:pos="1093"/>
        </w:tabs>
        <w:spacing w:after="0" w:line="240" w:lineRule="auto"/>
        <w:ind w:left="426" w:hanging="426"/>
        <w:rPr>
          <w:rStyle w:val="Gvdemetni3a"/>
          <w:sz w:val="24"/>
          <w:szCs w:val="24"/>
        </w:rPr>
      </w:pPr>
      <w:r w:rsidRPr="00D53A2B">
        <w:rPr>
          <w:rStyle w:val="Gvdemetni3a"/>
          <w:color w:val="000000"/>
          <w:sz w:val="24"/>
          <w:szCs w:val="24"/>
        </w:rPr>
        <w:t>kum</w:t>
      </w:r>
      <w:r w:rsidR="00E66C73" w:rsidRPr="00D53A2B">
        <w:rPr>
          <w:rStyle w:val="Gvdemetni3a"/>
          <w:color w:val="000000"/>
          <w:sz w:val="24"/>
          <w:szCs w:val="24"/>
        </w:rPr>
        <w:t xml:space="preserve"> filtrasyonu</w:t>
      </w:r>
    </w:p>
    <w:p w14:paraId="5D4CE855" w14:textId="77777777" w:rsidR="00E66C73" w:rsidRPr="00D53A2B" w:rsidRDefault="00E66C73" w:rsidP="00A202FD">
      <w:pPr>
        <w:pStyle w:val="Gvdemetni1"/>
        <w:shd w:val="clear" w:color="auto" w:fill="auto"/>
        <w:tabs>
          <w:tab w:val="left" w:pos="1093"/>
        </w:tabs>
        <w:spacing w:after="0" w:line="240" w:lineRule="auto"/>
        <w:ind w:firstLine="0"/>
        <w:rPr>
          <w:rStyle w:val="Gvdemetni3a"/>
          <w:color w:val="000000"/>
          <w:sz w:val="24"/>
          <w:szCs w:val="24"/>
        </w:rPr>
      </w:pPr>
    </w:p>
    <w:p w14:paraId="7195D5B7" w14:textId="1E5DF1F4" w:rsidR="00E66C73" w:rsidRPr="00D53A2B" w:rsidRDefault="00E66C73" w:rsidP="00A202FD">
      <w:pPr>
        <w:jc w:val="both"/>
        <w:rPr>
          <w:rStyle w:val="Gvdemetni3a"/>
        </w:rPr>
      </w:pPr>
      <w:r w:rsidRPr="00D53A2B">
        <w:rPr>
          <w:rStyle w:val="Gvdemetni3a"/>
        </w:rPr>
        <w:t xml:space="preserve">Nitelikli rastgele numune veya 24 saatlik kompozit numuneye dayalı </w:t>
      </w:r>
      <w:r w:rsidRPr="00D53A2B">
        <w:rPr>
          <w:rStyle w:val="Gvdemetni3a"/>
          <w:b/>
          <w:bCs/>
        </w:rPr>
        <w:t>MET ile ilişkili emisyon seviyeleri</w:t>
      </w:r>
      <w:r w:rsidRPr="00D53A2B">
        <w:rPr>
          <w:rStyle w:val="Gvdemetni3a"/>
        </w:rPr>
        <w:t xml:space="preserve"> şunlardır:</w:t>
      </w:r>
    </w:p>
    <w:p w14:paraId="672A0D0B" w14:textId="77777777" w:rsidR="00BA79E4" w:rsidRPr="00D53A2B" w:rsidRDefault="00BA79E4" w:rsidP="00A202FD">
      <w:pPr>
        <w:jc w:val="both"/>
      </w:pPr>
    </w:p>
    <w:p w14:paraId="2ECAB4DD" w14:textId="4C8DBE74" w:rsidR="00EC16E7" w:rsidRPr="00D53A2B" w:rsidRDefault="00EC16E7" w:rsidP="00A202FD">
      <w:pPr>
        <w:pStyle w:val="Gvdemetni1"/>
        <w:numPr>
          <w:ilvl w:val="0"/>
          <w:numId w:val="96"/>
        </w:numPr>
        <w:shd w:val="clear" w:color="auto" w:fill="auto"/>
        <w:spacing w:after="0" w:line="240" w:lineRule="auto"/>
        <w:ind w:left="426" w:hanging="426"/>
        <w:rPr>
          <w:sz w:val="24"/>
          <w:szCs w:val="24"/>
        </w:rPr>
      </w:pPr>
      <w:r w:rsidRPr="00D53A2B">
        <w:rPr>
          <w:rStyle w:val="Gvdemetni3a"/>
          <w:color w:val="000000"/>
          <w:sz w:val="24"/>
          <w:szCs w:val="24"/>
        </w:rPr>
        <w:t>askıda katı maddeler</w:t>
      </w:r>
      <w:r w:rsidR="00E66C73" w:rsidRPr="00D53A2B">
        <w:rPr>
          <w:rStyle w:val="Gvdemetni3a"/>
          <w:color w:val="000000"/>
          <w:sz w:val="24"/>
          <w:szCs w:val="24"/>
        </w:rPr>
        <w:tab/>
      </w:r>
      <w:r w:rsidR="00E66C73" w:rsidRPr="00D53A2B">
        <w:rPr>
          <w:rStyle w:val="Gvdemetni3a"/>
          <w:color w:val="000000"/>
          <w:sz w:val="24"/>
          <w:szCs w:val="24"/>
        </w:rPr>
        <w:tab/>
      </w:r>
      <w:r w:rsidR="00E66C73" w:rsidRPr="00D53A2B">
        <w:rPr>
          <w:rStyle w:val="Gvdemetni3a"/>
          <w:color w:val="000000"/>
          <w:sz w:val="24"/>
          <w:szCs w:val="24"/>
        </w:rPr>
        <w:tab/>
      </w:r>
      <w:r w:rsidRPr="00D53A2B">
        <w:rPr>
          <w:rStyle w:val="Gvdemetni3a"/>
          <w:color w:val="000000"/>
          <w:sz w:val="24"/>
          <w:szCs w:val="24"/>
        </w:rPr>
        <w:t>&lt;30 mg/l</w:t>
      </w:r>
    </w:p>
    <w:p w14:paraId="31893ED4" w14:textId="3AB9ADE4" w:rsidR="00EC16E7" w:rsidRPr="00D53A2B" w:rsidRDefault="00EC16E7" w:rsidP="00A202FD">
      <w:pPr>
        <w:pStyle w:val="Gvdemetni1"/>
        <w:numPr>
          <w:ilvl w:val="0"/>
          <w:numId w:val="96"/>
        </w:numPr>
        <w:shd w:val="clear" w:color="auto" w:fill="auto"/>
        <w:spacing w:after="0" w:line="240" w:lineRule="auto"/>
        <w:ind w:left="426" w:hanging="426"/>
        <w:rPr>
          <w:sz w:val="24"/>
          <w:szCs w:val="24"/>
        </w:rPr>
      </w:pPr>
      <w:r w:rsidRPr="00D53A2B">
        <w:rPr>
          <w:rStyle w:val="Gvdemetni3a"/>
          <w:color w:val="000000"/>
          <w:sz w:val="24"/>
          <w:szCs w:val="24"/>
        </w:rPr>
        <w:t>kimyasal oksijen ihtiyacı (</w:t>
      </w:r>
      <w:r w:rsidR="007B72E1" w:rsidRPr="00D53A2B">
        <w:rPr>
          <w:rStyle w:val="Gvdemetni3a"/>
          <w:color w:val="000000"/>
          <w:sz w:val="24"/>
          <w:szCs w:val="24"/>
        </w:rPr>
        <w:t>KOİ</w:t>
      </w:r>
      <w:r w:rsidRPr="00D53A2B">
        <w:rPr>
          <w:rStyle w:val="Gvdemetni3a"/>
          <w:color w:val="000000"/>
          <w:sz w:val="24"/>
          <w:szCs w:val="24"/>
        </w:rPr>
        <w:t>(</w:t>
      </w:r>
      <w:r w:rsidRPr="00D53A2B">
        <w:rPr>
          <w:rStyle w:val="Gvdemetni3a"/>
          <w:color w:val="000000"/>
          <w:sz w:val="24"/>
          <w:szCs w:val="24"/>
          <w:vertAlign w:val="superscript"/>
        </w:rPr>
        <w:t>1</w:t>
      </w:r>
      <w:r w:rsidRPr="00D53A2B">
        <w:rPr>
          <w:rStyle w:val="Gvdemetni3a"/>
          <w:color w:val="000000"/>
          <w:sz w:val="24"/>
          <w:szCs w:val="24"/>
        </w:rPr>
        <w:t>))</w:t>
      </w:r>
      <w:r w:rsidRPr="00D53A2B">
        <w:rPr>
          <w:rStyle w:val="Gvdemetni3a"/>
          <w:color w:val="000000"/>
          <w:sz w:val="24"/>
          <w:szCs w:val="24"/>
        </w:rPr>
        <w:tab/>
        <w:t>&lt;100 mg/l</w:t>
      </w:r>
    </w:p>
    <w:p w14:paraId="793C275D" w14:textId="4503BD72" w:rsidR="00EC16E7" w:rsidRPr="00D53A2B" w:rsidRDefault="00EC16E7" w:rsidP="00A202FD">
      <w:pPr>
        <w:pStyle w:val="Gvdemetni1"/>
        <w:numPr>
          <w:ilvl w:val="0"/>
          <w:numId w:val="96"/>
        </w:numPr>
        <w:shd w:val="clear" w:color="auto" w:fill="auto"/>
        <w:spacing w:after="0" w:line="240" w:lineRule="auto"/>
        <w:ind w:left="426" w:hanging="426"/>
        <w:rPr>
          <w:sz w:val="24"/>
          <w:szCs w:val="24"/>
        </w:rPr>
      </w:pPr>
      <w:r w:rsidRPr="00D53A2B">
        <w:rPr>
          <w:rStyle w:val="Gvdemetni3a"/>
          <w:color w:val="000000"/>
          <w:sz w:val="24"/>
          <w:szCs w:val="24"/>
        </w:rPr>
        <w:t>ağır metaller</w:t>
      </w:r>
      <w:r w:rsidRPr="00D53A2B">
        <w:rPr>
          <w:rStyle w:val="Gvdemetni3a"/>
          <w:color w:val="000000"/>
          <w:sz w:val="24"/>
          <w:szCs w:val="24"/>
        </w:rPr>
        <w:tab/>
      </w:r>
      <w:r w:rsidR="00E66C73" w:rsidRPr="00D53A2B">
        <w:rPr>
          <w:rStyle w:val="Gvdemetni3a"/>
          <w:color w:val="000000"/>
          <w:sz w:val="24"/>
          <w:szCs w:val="24"/>
        </w:rPr>
        <w:tab/>
      </w:r>
      <w:r w:rsidR="00E66C73" w:rsidRPr="00D53A2B">
        <w:rPr>
          <w:rStyle w:val="Gvdemetni3a"/>
          <w:color w:val="000000"/>
          <w:sz w:val="24"/>
          <w:szCs w:val="24"/>
        </w:rPr>
        <w:tab/>
      </w:r>
      <w:r w:rsidR="00E66C73" w:rsidRPr="00D53A2B">
        <w:rPr>
          <w:rStyle w:val="Gvdemetni3a"/>
          <w:color w:val="000000"/>
          <w:sz w:val="24"/>
          <w:szCs w:val="24"/>
        </w:rPr>
        <w:tab/>
      </w:r>
      <w:r w:rsidRPr="00D53A2B">
        <w:rPr>
          <w:rStyle w:val="Gvdemetni3a"/>
          <w:color w:val="000000"/>
          <w:sz w:val="24"/>
          <w:szCs w:val="24"/>
        </w:rPr>
        <w:t>&lt;0</w:t>
      </w:r>
      <w:r w:rsidR="00E66C73" w:rsidRPr="00D53A2B">
        <w:rPr>
          <w:rStyle w:val="Gvdemetni3a"/>
          <w:color w:val="000000"/>
          <w:sz w:val="24"/>
          <w:szCs w:val="24"/>
        </w:rPr>
        <w:t>,</w:t>
      </w:r>
      <w:r w:rsidRPr="00D53A2B">
        <w:rPr>
          <w:rStyle w:val="Gvdemetni3a"/>
          <w:color w:val="000000"/>
          <w:sz w:val="24"/>
          <w:szCs w:val="24"/>
        </w:rPr>
        <w:t>1 mg/l</w:t>
      </w:r>
    </w:p>
    <w:p w14:paraId="7F829DDE" w14:textId="5B3F9917" w:rsidR="00E66C73" w:rsidRPr="00D53A2B" w:rsidRDefault="00E66C73" w:rsidP="00A202FD">
      <w:pPr>
        <w:jc w:val="both"/>
        <w:rPr>
          <w:rStyle w:val="Gvdemetni3a"/>
        </w:rPr>
      </w:pPr>
      <w:r w:rsidRPr="00D53A2B">
        <w:rPr>
          <w:rStyle w:val="Gvdemetni3a"/>
        </w:rPr>
        <w:t>(arsenik (As), kadmiyum (Cd), krom (Cr), bakır (Cu), cıva (Hg), nikel (Ni), kurşun (Pb) ve çinko (Zn) toplamı).</w:t>
      </w:r>
    </w:p>
    <w:p w14:paraId="1E736713" w14:textId="37B46A6F" w:rsidR="00E66C73" w:rsidRPr="00D53A2B" w:rsidRDefault="00E66C73" w:rsidP="00A202FD">
      <w:pPr>
        <w:jc w:val="both"/>
        <w:rPr>
          <w:rStyle w:val="Gvdemetni3a"/>
        </w:rPr>
      </w:pPr>
      <w:r w:rsidRPr="00D53A2B">
        <w:rPr>
          <w:rStyle w:val="Gvdemetni3a"/>
        </w:rPr>
        <w:t>(</w:t>
      </w:r>
      <w:r w:rsidRPr="00D53A2B">
        <w:rPr>
          <w:rStyle w:val="Gvdemetni3a"/>
          <w:vertAlign w:val="superscript"/>
        </w:rPr>
        <w:t>1</w:t>
      </w:r>
      <w:r w:rsidRPr="00D53A2B">
        <w:rPr>
          <w:rStyle w:val="Gvdemetni3a"/>
        </w:rPr>
        <w:t>) Bazı durumlarda, KOİ yerine TOK ölçülür (KOİ analizinde HgCl</w:t>
      </w:r>
      <w:r w:rsidRPr="00D53A2B">
        <w:rPr>
          <w:rStyle w:val="Gvdemetni3a"/>
          <w:vertAlign w:val="subscript"/>
        </w:rPr>
        <w:t>2</w:t>
      </w:r>
      <w:r w:rsidRPr="00D53A2B">
        <w:rPr>
          <w:rStyle w:val="Gvdemetni3a"/>
        </w:rPr>
        <w:t xml:space="preserve"> kullanılmasını önlemek için). KOİ ve TOK arasındaki korelasyon her bir sinter tesisi için duruma göre detaylandırılmalıdır. KOİ/TOK oranı yaklaşık olarak iki ile dört arasında değişebilir.</w:t>
      </w:r>
    </w:p>
    <w:p w14:paraId="105591F6" w14:textId="77777777" w:rsidR="00031FE7" w:rsidRPr="00D53A2B" w:rsidRDefault="00031FE7" w:rsidP="00A202FD">
      <w:pPr>
        <w:jc w:val="both"/>
        <w:rPr>
          <w:rStyle w:val="Gvdemetni142"/>
          <w:i/>
          <w:iCs/>
        </w:rPr>
      </w:pPr>
    </w:p>
    <w:p w14:paraId="0423FA9C" w14:textId="3F9A8FC3" w:rsidR="00EC16E7" w:rsidRPr="00D53A2B" w:rsidRDefault="00866818" w:rsidP="00A202FD">
      <w:pPr>
        <w:pStyle w:val="Balk4"/>
        <w:rPr>
          <w:rFonts w:cs="Times New Roman"/>
          <w:iCs w:val="0"/>
        </w:rPr>
      </w:pPr>
      <w:r w:rsidRPr="00D53A2B">
        <w:rPr>
          <w:rStyle w:val="Gvdemetni142"/>
          <w:rFonts w:cs="Times New Roman"/>
          <w:bCs/>
          <w:iCs w:val="0"/>
        </w:rPr>
        <w:t xml:space="preserve">2.3. </w:t>
      </w:r>
      <w:r w:rsidR="00EC16E7" w:rsidRPr="00D53A2B">
        <w:rPr>
          <w:rStyle w:val="Gvdemetni142"/>
          <w:rFonts w:cs="Times New Roman"/>
          <w:bCs/>
          <w:iCs w:val="0"/>
        </w:rPr>
        <w:t>Üretim</w:t>
      </w:r>
      <w:r w:rsidR="00031FE7" w:rsidRPr="00D53A2B">
        <w:rPr>
          <w:rStyle w:val="Gvdemetni142"/>
          <w:rFonts w:cs="Times New Roman"/>
          <w:bCs/>
          <w:iCs w:val="0"/>
        </w:rPr>
        <w:t xml:space="preserve"> kalıntıları</w:t>
      </w:r>
    </w:p>
    <w:p w14:paraId="270F6D4E" w14:textId="73E0FD7B" w:rsidR="00031FE7" w:rsidRPr="00D53A2B" w:rsidRDefault="00EC16E7" w:rsidP="00A202FD">
      <w:pPr>
        <w:pStyle w:val="MET"/>
        <w:rPr>
          <w:rStyle w:val="Gvdemetni710pt3"/>
          <w:b/>
          <w:bCs w:val="0"/>
          <w:color w:val="000000"/>
          <w:sz w:val="24"/>
          <w:szCs w:val="24"/>
        </w:rPr>
      </w:pPr>
      <w:r w:rsidRPr="00D53A2B">
        <w:rPr>
          <w:rStyle w:val="Gvdemetni710pt3"/>
          <w:b/>
          <w:color w:val="000000"/>
          <w:sz w:val="24"/>
          <w:szCs w:val="24"/>
        </w:rPr>
        <w:t>MET</w:t>
      </w:r>
      <w:r w:rsidR="0057305E" w:rsidRPr="00D53A2B">
        <w:rPr>
          <w:rStyle w:val="Gvdemetni710pt3"/>
          <w:b/>
          <w:color w:val="000000"/>
          <w:sz w:val="24"/>
          <w:szCs w:val="24"/>
        </w:rPr>
        <w:t xml:space="preserve"> 29: </w:t>
      </w:r>
      <w:r w:rsidR="00031FE7" w:rsidRPr="00D53A2B">
        <w:rPr>
          <w:rStyle w:val="Gvdemetni710pt3"/>
          <w:color w:val="000000"/>
          <w:sz w:val="24"/>
          <w:szCs w:val="24"/>
        </w:rPr>
        <w:t>Aşağıdaki tekniklerden birini veya bir kombinasyonunu kullanarak sinter tesislerinde atık oluşumu önlenir (bkz.</w:t>
      </w:r>
      <w:r w:rsidR="00031FE7" w:rsidRPr="00D53A2B">
        <w:rPr>
          <w:rStyle w:val="Gvdemetni710pt3"/>
          <w:b/>
          <w:color w:val="000000"/>
          <w:sz w:val="24"/>
          <w:szCs w:val="24"/>
        </w:rPr>
        <w:t xml:space="preserve"> </w:t>
      </w:r>
      <w:r w:rsidR="00031FE7" w:rsidRPr="00D53A2B">
        <w:rPr>
          <w:rStyle w:val="Gvdemetni710pt3"/>
          <w:bCs w:val="0"/>
          <w:color w:val="000000"/>
          <w:sz w:val="24"/>
          <w:szCs w:val="24"/>
        </w:rPr>
        <w:t xml:space="preserve">MET 8): </w:t>
      </w:r>
    </w:p>
    <w:p w14:paraId="77E45477" w14:textId="68E037FB" w:rsidR="00031FE7" w:rsidRPr="00D53A2B" w:rsidRDefault="00031FE7" w:rsidP="00A202FD">
      <w:pPr>
        <w:pStyle w:val="ListeParagraf"/>
        <w:numPr>
          <w:ilvl w:val="0"/>
          <w:numId w:val="97"/>
        </w:numPr>
        <w:tabs>
          <w:tab w:val="clear" w:pos="567"/>
        </w:tabs>
        <w:spacing w:line="240" w:lineRule="auto"/>
        <w:ind w:left="426" w:hanging="426"/>
        <w:rPr>
          <w:rStyle w:val="Gvdemetni710pt3"/>
          <w:b w:val="0"/>
          <w:bCs w:val="0"/>
          <w:sz w:val="24"/>
          <w:szCs w:val="24"/>
        </w:rPr>
      </w:pPr>
      <w:r w:rsidRPr="00D53A2B">
        <w:rPr>
          <w:rStyle w:val="Gvdemetni710pt3"/>
          <w:b w:val="0"/>
          <w:bCs w:val="0"/>
          <w:sz w:val="24"/>
          <w:szCs w:val="24"/>
        </w:rPr>
        <w:t>Ağır metaller, alkali veya klorürle zenginleştirilmiş ince toz fraksiyonları (örneğin son elektrostatik çöktürme alanından gelen toz) hariç tutularak kalıntıların seçici olarak yerinde sinter prosesine geri dönüştürülmesi.</w:t>
      </w:r>
    </w:p>
    <w:p w14:paraId="2BBCAE03" w14:textId="68D0FC0E" w:rsidR="00031FE7" w:rsidRPr="00D53A2B" w:rsidRDefault="00031FE7" w:rsidP="00A202FD">
      <w:pPr>
        <w:pStyle w:val="ListeParagraf"/>
        <w:numPr>
          <w:ilvl w:val="0"/>
          <w:numId w:val="97"/>
        </w:numPr>
        <w:tabs>
          <w:tab w:val="clear" w:pos="567"/>
        </w:tabs>
        <w:spacing w:line="240" w:lineRule="auto"/>
        <w:ind w:left="426" w:hanging="426"/>
        <w:rPr>
          <w:rStyle w:val="Gvdemetni710pt3"/>
          <w:b w:val="0"/>
          <w:bCs w:val="0"/>
          <w:sz w:val="24"/>
          <w:szCs w:val="24"/>
        </w:rPr>
      </w:pPr>
      <w:r w:rsidRPr="00D53A2B">
        <w:rPr>
          <w:rStyle w:val="Gvdemetni710pt3"/>
          <w:b w:val="0"/>
          <w:bCs w:val="0"/>
          <w:sz w:val="24"/>
          <w:szCs w:val="24"/>
        </w:rPr>
        <w:t>Yerinde geri dönüşümün engellendiği durumlarda harici geri dönüşüm.</w:t>
      </w:r>
    </w:p>
    <w:p w14:paraId="01EB3A8B" w14:textId="2A10716D" w:rsidR="00031FE7" w:rsidRPr="00D53A2B" w:rsidRDefault="007B72E1" w:rsidP="00A202FD">
      <w:pPr>
        <w:jc w:val="both"/>
        <w:rPr>
          <w:rStyle w:val="Gvdemetni710pt3"/>
          <w:b w:val="0"/>
          <w:bCs w:val="0"/>
          <w:spacing w:val="2"/>
          <w:position w:val="-1"/>
          <w:sz w:val="24"/>
          <w:szCs w:val="24"/>
          <w:lang w:val="en-US" w:eastAsia="en-US"/>
        </w:rPr>
      </w:pPr>
      <w:r w:rsidRPr="00D53A2B">
        <w:rPr>
          <w:rStyle w:val="Gvdemetni710pt3"/>
          <w:b w:val="0"/>
          <w:bCs w:val="0"/>
          <w:sz w:val="24"/>
          <w:szCs w:val="24"/>
        </w:rPr>
        <w:lastRenderedPageBreak/>
        <w:t>MET</w:t>
      </w:r>
      <w:r w:rsidR="00A36332" w:rsidRPr="00D53A2B">
        <w:rPr>
          <w:rStyle w:val="Gvdemetni710pt3"/>
          <w:b w:val="0"/>
          <w:bCs w:val="0"/>
          <w:sz w:val="24"/>
          <w:szCs w:val="24"/>
        </w:rPr>
        <w:t>, kaçınılması veya geri dönüştürülmesi mümkün olmayan sinter tesisi proses artıklarının kontrollü bir şekilde yönetil</w:t>
      </w:r>
      <w:r w:rsidRPr="00D53A2B">
        <w:rPr>
          <w:rStyle w:val="Gvdemetni710pt3"/>
          <w:b w:val="0"/>
          <w:bCs w:val="0"/>
          <w:sz w:val="24"/>
          <w:szCs w:val="24"/>
        </w:rPr>
        <w:t>ebilir</w:t>
      </w:r>
      <w:r w:rsidR="00A36332" w:rsidRPr="00D53A2B">
        <w:rPr>
          <w:rStyle w:val="Gvdemetni710pt3"/>
          <w:b w:val="0"/>
          <w:bCs w:val="0"/>
          <w:sz w:val="24"/>
          <w:szCs w:val="24"/>
        </w:rPr>
        <w:t>.</w:t>
      </w:r>
    </w:p>
    <w:p w14:paraId="628DAFE3" w14:textId="77777777" w:rsidR="00031FE7" w:rsidRPr="00D53A2B" w:rsidRDefault="00031FE7" w:rsidP="00A202FD">
      <w:pPr>
        <w:jc w:val="both"/>
        <w:rPr>
          <w:rStyle w:val="Gvdemetni710pt3"/>
          <w:b w:val="0"/>
          <w:bCs w:val="0"/>
          <w:sz w:val="24"/>
          <w:szCs w:val="24"/>
        </w:rPr>
      </w:pPr>
    </w:p>
    <w:p w14:paraId="53CEA3E3" w14:textId="20F93245" w:rsidR="00A36332" w:rsidRPr="00D53A2B" w:rsidRDefault="00A36332" w:rsidP="00A202FD">
      <w:pPr>
        <w:pStyle w:val="MET"/>
        <w:rPr>
          <w:rStyle w:val="Gvdemetni710pt3"/>
          <w:b/>
          <w:sz w:val="24"/>
          <w:szCs w:val="24"/>
        </w:rPr>
      </w:pPr>
      <w:r w:rsidRPr="00D53A2B">
        <w:rPr>
          <w:rStyle w:val="Gvdemetni710pt3"/>
          <w:b/>
          <w:sz w:val="24"/>
          <w:szCs w:val="24"/>
        </w:rPr>
        <w:t xml:space="preserve">MET 30: </w:t>
      </w:r>
      <w:r w:rsidRPr="00D53A2B">
        <w:rPr>
          <w:rStyle w:val="Gvdemetni710pt3"/>
          <w:bCs w:val="0"/>
          <w:sz w:val="24"/>
          <w:szCs w:val="24"/>
        </w:rPr>
        <w:t>Sinter bandından ve entegre çelik fabrikalarındaki diğer proseslerden kaynaklanan demir ve karbon içeren toz, çamur ve değirmen tufali gibi yağ içerebilecek kalıntıları, ilgili yağ içeriğini dikkate alarak mümkün olduğunca sinter bandına geri dönüştür</w:t>
      </w:r>
      <w:r w:rsidR="00CC0F4F" w:rsidRPr="00D53A2B">
        <w:rPr>
          <w:rStyle w:val="Gvdemetni710pt3"/>
          <w:bCs w:val="0"/>
          <w:sz w:val="24"/>
          <w:szCs w:val="24"/>
        </w:rPr>
        <w:t>ülmelidir</w:t>
      </w:r>
      <w:r w:rsidRPr="00D53A2B">
        <w:rPr>
          <w:rStyle w:val="Gvdemetni710pt3"/>
          <w:bCs w:val="0"/>
          <w:sz w:val="24"/>
          <w:szCs w:val="24"/>
        </w:rPr>
        <w:t>.</w:t>
      </w:r>
    </w:p>
    <w:p w14:paraId="19CED042" w14:textId="77777777" w:rsidR="00A36332" w:rsidRPr="00D53A2B" w:rsidRDefault="00A36332" w:rsidP="00A202FD">
      <w:pPr>
        <w:jc w:val="both"/>
        <w:rPr>
          <w:rStyle w:val="Gvdemetni710pt3"/>
          <w:b w:val="0"/>
          <w:bCs w:val="0"/>
          <w:spacing w:val="2"/>
          <w:sz w:val="24"/>
          <w:szCs w:val="24"/>
          <w:lang w:eastAsia="en-US"/>
        </w:rPr>
      </w:pPr>
    </w:p>
    <w:p w14:paraId="1A29B7DE" w14:textId="59E579D5" w:rsidR="00A36332" w:rsidRPr="00D53A2B" w:rsidRDefault="00BE21B0" w:rsidP="00A202FD">
      <w:pPr>
        <w:pStyle w:val="MET"/>
        <w:rPr>
          <w:rStyle w:val="Gvdemetni710pt3"/>
          <w:b/>
          <w:bCs w:val="0"/>
          <w:sz w:val="24"/>
          <w:szCs w:val="24"/>
        </w:rPr>
      </w:pPr>
      <w:r w:rsidRPr="00D53A2B">
        <w:rPr>
          <w:rStyle w:val="Gvdemetni710pt3"/>
          <w:b/>
          <w:bCs w:val="0"/>
          <w:sz w:val="24"/>
          <w:szCs w:val="24"/>
        </w:rPr>
        <w:t xml:space="preserve">MET 31: </w:t>
      </w:r>
      <w:r w:rsidRPr="00D53A2B">
        <w:rPr>
          <w:rStyle w:val="Gvdemetni710pt3"/>
          <w:sz w:val="24"/>
          <w:szCs w:val="24"/>
        </w:rPr>
        <w:t>Geri dönüştürülmüş proses artıklarının uygun seçimi ve ön arıtımı ile sinter beslemesinin hidrokarbon içeriği düşür</w:t>
      </w:r>
      <w:r w:rsidR="00CC0F4F" w:rsidRPr="00D53A2B">
        <w:rPr>
          <w:rStyle w:val="Gvdemetni710pt3"/>
          <w:sz w:val="24"/>
          <w:szCs w:val="24"/>
        </w:rPr>
        <w:t>ülmelidir</w:t>
      </w:r>
      <w:r w:rsidRPr="00D53A2B">
        <w:rPr>
          <w:rStyle w:val="Gvdemetni710pt3"/>
          <w:sz w:val="24"/>
          <w:szCs w:val="24"/>
        </w:rPr>
        <w:t>.</w:t>
      </w:r>
    </w:p>
    <w:p w14:paraId="786D7276" w14:textId="77777777" w:rsidR="00BE21B0" w:rsidRPr="00D53A2B" w:rsidRDefault="00BE21B0" w:rsidP="00A202FD">
      <w:pPr>
        <w:jc w:val="both"/>
        <w:rPr>
          <w:rStyle w:val="Gvdemetni710pt3"/>
          <w:sz w:val="24"/>
          <w:szCs w:val="24"/>
        </w:rPr>
      </w:pPr>
    </w:p>
    <w:p w14:paraId="694F967F" w14:textId="6A61CF37" w:rsidR="00A36332" w:rsidRPr="00D53A2B" w:rsidRDefault="00BE21B0" w:rsidP="00A202FD">
      <w:pPr>
        <w:jc w:val="both"/>
        <w:rPr>
          <w:rStyle w:val="Gvdemetni710pt3"/>
          <w:b w:val="0"/>
          <w:bCs w:val="0"/>
          <w:sz w:val="24"/>
          <w:szCs w:val="24"/>
        </w:rPr>
      </w:pPr>
      <w:r w:rsidRPr="00D53A2B">
        <w:rPr>
          <w:rStyle w:val="Gvdemetni710pt3"/>
          <w:b w:val="0"/>
          <w:bCs w:val="0"/>
          <w:sz w:val="24"/>
          <w:szCs w:val="24"/>
        </w:rPr>
        <w:t>Her durumda, geri dönüştürülmüş proses kalıntılarının yağ içeriği &lt; %0,5 ve sinter beslemesinin içeriği &lt; %0,1 olmalıdır.</w:t>
      </w:r>
    </w:p>
    <w:p w14:paraId="4F07CFDC" w14:textId="77777777" w:rsidR="00A36332" w:rsidRPr="00D53A2B" w:rsidRDefault="00A36332" w:rsidP="00A202FD">
      <w:pPr>
        <w:jc w:val="both"/>
        <w:rPr>
          <w:rStyle w:val="Gvdemetni710pt3"/>
          <w:b w:val="0"/>
          <w:bCs w:val="0"/>
          <w:sz w:val="24"/>
          <w:szCs w:val="24"/>
        </w:rPr>
      </w:pPr>
    </w:p>
    <w:p w14:paraId="54CD225E" w14:textId="77777777" w:rsidR="00EC16E7" w:rsidRPr="00D53A2B" w:rsidRDefault="00EC16E7" w:rsidP="00A202FD">
      <w:pPr>
        <w:jc w:val="both"/>
        <w:rPr>
          <w:rStyle w:val="Balk620"/>
          <w:sz w:val="24"/>
          <w:szCs w:val="24"/>
        </w:rPr>
      </w:pPr>
      <w:bookmarkStart w:id="31" w:name="bookmark1445"/>
      <w:r w:rsidRPr="00D53A2B">
        <w:rPr>
          <w:rStyle w:val="Balk620"/>
          <w:sz w:val="24"/>
          <w:szCs w:val="24"/>
        </w:rPr>
        <w:t>Tanım</w:t>
      </w:r>
      <w:bookmarkEnd w:id="31"/>
    </w:p>
    <w:p w14:paraId="4E23AE42" w14:textId="74DD5382" w:rsidR="00BE21B0" w:rsidRPr="00D53A2B" w:rsidRDefault="00BE21B0" w:rsidP="00A202FD">
      <w:pPr>
        <w:jc w:val="both"/>
      </w:pPr>
      <w:r w:rsidRPr="00D53A2B">
        <w:t>Özellikle yağ girişinin azaltılmasıyla hidrokarbon girdisi en aza indirilebilir. Yağ, sinter beslemesine esas olarak hadde tufalı eklenmesiyle girer. Hadde tufalının yağ içeriği, kökenlerine bağlı olarak önemli ölçüde değişebilir.</w:t>
      </w:r>
    </w:p>
    <w:p w14:paraId="59ACD093" w14:textId="77777777" w:rsidR="00BE21B0" w:rsidRPr="00D53A2B" w:rsidRDefault="00BE21B0" w:rsidP="00A202FD">
      <w:pPr>
        <w:jc w:val="both"/>
      </w:pPr>
    </w:p>
    <w:p w14:paraId="5310C190" w14:textId="3BFC5716" w:rsidR="00BE21B0" w:rsidRPr="00D53A2B" w:rsidRDefault="00BE21B0" w:rsidP="00A202FD">
      <w:pPr>
        <w:jc w:val="both"/>
      </w:pPr>
      <w:r w:rsidRPr="00D53A2B">
        <w:t>Tozlar ve hadde tufalı yoluyla yağ girişini en aza indirmeye yönelik teknikler aşağıdakileri içerir:</w:t>
      </w:r>
    </w:p>
    <w:p w14:paraId="43928CBE" w14:textId="7A18F009" w:rsidR="00BE21B0" w:rsidRPr="00D53A2B" w:rsidRDefault="00BE21B0" w:rsidP="00A202FD">
      <w:pPr>
        <w:pStyle w:val="ListeParagraf"/>
        <w:numPr>
          <w:ilvl w:val="0"/>
          <w:numId w:val="98"/>
        </w:numPr>
        <w:tabs>
          <w:tab w:val="clear" w:pos="567"/>
        </w:tabs>
        <w:spacing w:line="240" w:lineRule="auto"/>
        <w:ind w:left="426" w:hanging="426"/>
        <w:rPr>
          <w:sz w:val="24"/>
          <w:szCs w:val="24"/>
        </w:rPr>
      </w:pPr>
      <w:r w:rsidRPr="00D53A2B">
        <w:rPr>
          <w:sz w:val="24"/>
          <w:szCs w:val="24"/>
        </w:rPr>
        <w:t>yalnızca düşük yağ içeriğine sahip tozları ve hadde tufalını ayırıp seçerek yağ girişini sınırlamak</w:t>
      </w:r>
    </w:p>
    <w:p w14:paraId="29CF6CBA" w14:textId="68237D17" w:rsidR="00BE21B0" w:rsidRPr="00D53A2B" w:rsidRDefault="00BE21B0" w:rsidP="00A202FD">
      <w:pPr>
        <w:pStyle w:val="ListeParagraf"/>
        <w:numPr>
          <w:ilvl w:val="0"/>
          <w:numId w:val="98"/>
        </w:numPr>
        <w:tabs>
          <w:tab w:val="clear" w:pos="567"/>
        </w:tabs>
        <w:spacing w:line="240" w:lineRule="auto"/>
        <w:ind w:left="426" w:hanging="426"/>
        <w:rPr>
          <w:sz w:val="24"/>
          <w:szCs w:val="24"/>
        </w:rPr>
      </w:pPr>
      <w:r w:rsidRPr="00D53A2B">
        <w:rPr>
          <w:sz w:val="24"/>
          <w:szCs w:val="24"/>
        </w:rPr>
        <w:t xml:space="preserve">haddehanelerde </w:t>
      </w:r>
      <w:r w:rsidR="00E56504" w:rsidRPr="00D53A2B">
        <w:rPr>
          <w:sz w:val="24"/>
          <w:szCs w:val="24"/>
        </w:rPr>
        <w:t>‘</w:t>
      </w:r>
      <w:r w:rsidRPr="00D53A2B">
        <w:rPr>
          <w:sz w:val="24"/>
          <w:szCs w:val="24"/>
        </w:rPr>
        <w:t>iyi temizlik</w:t>
      </w:r>
      <w:r w:rsidR="00E56504" w:rsidRPr="00D53A2B">
        <w:rPr>
          <w:sz w:val="24"/>
          <w:szCs w:val="24"/>
        </w:rPr>
        <w:t>’</w:t>
      </w:r>
      <w:r w:rsidRPr="00D53A2B">
        <w:rPr>
          <w:sz w:val="24"/>
          <w:szCs w:val="24"/>
        </w:rPr>
        <w:t xml:space="preserve"> tekniklerinin kullanılması, haddehane tufalının kirletici yağ içeriğinde önemli bir azalmaya yol açabilir.</w:t>
      </w:r>
    </w:p>
    <w:p w14:paraId="48373470" w14:textId="3431BC6B" w:rsidR="00BE21B0" w:rsidRPr="00D53A2B" w:rsidRDefault="00D11E2E" w:rsidP="00A202FD">
      <w:pPr>
        <w:pStyle w:val="ListeParagraf"/>
        <w:numPr>
          <w:ilvl w:val="0"/>
          <w:numId w:val="98"/>
        </w:numPr>
        <w:tabs>
          <w:tab w:val="clear" w:pos="567"/>
        </w:tabs>
        <w:spacing w:line="240" w:lineRule="auto"/>
        <w:ind w:left="426" w:hanging="426"/>
        <w:rPr>
          <w:sz w:val="24"/>
          <w:szCs w:val="24"/>
        </w:rPr>
      </w:pPr>
      <w:r w:rsidRPr="00D53A2B">
        <w:rPr>
          <w:sz w:val="24"/>
          <w:szCs w:val="24"/>
        </w:rPr>
        <w:t>h</w:t>
      </w:r>
      <w:r w:rsidR="00BE21B0" w:rsidRPr="00D53A2B">
        <w:rPr>
          <w:sz w:val="24"/>
          <w:szCs w:val="24"/>
        </w:rPr>
        <w:t>adde tufalının yağdan arındırılması:</w:t>
      </w:r>
    </w:p>
    <w:p w14:paraId="2C997FB2" w14:textId="1AD1D2C3" w:rsidR="00CB6E61" w:rsidRPr="00D53A2B" w:rsidRDefault="00D11E2E" w:rsidP="00A202FD">
      <w:pPr>
        <w:pStyle w:val="ListeParagraf"/>
        <w:numPr>
          <w:ilvl w:val="0"/>
          <w:numId w:val="99"/>
        </w:numPr>
        <w:tabs>
          <w:tab w:val="clear" w:pos="567"/>
        </w:tabs>
        <w:spacing w:line="240" w:lineRule="auto"/>
        <w:ind w:left="851" w:hanging="425"/>
        <w:rPr>
          <w:sz w:val="24"/>
          <w:szCs w:val="24"/>
        </w:rPr>
      </w:pPr>
      <w:r w:rsidRPr="00D53A2B">
        <w:rPr>
          <w:sz w:val="24"/>
          <w:szCs w:val="24"/>
        </w:rPr>
        <w:t>hadde tufalının yaklaşık 800°</w:t>
      </w:r>
      <w:r w:rsidR="00655F7A" w:rsidRPr="00D53A2B">
        <w:rPr>
          <w:sz w:val="24"/>
          <w:szCs w:val="24"/>
        </w:rPr>
        <w:t>C</w:t>
      </w:r>
      <w:r w:rsidR="00E56504" w:rsidRPr="00D53A2B">
        <w:rPr>
          <w:sz w:val="24"/>
          <w:szCs w:val="24"/>
        </w:rPr>
        <w:t>’</w:t>
      </w:r>
      <w:r w:rsidRPr="00D53A2B">
        <w:rPr>
          <w:sz w:val="24"/>
          <w:szCs w:val="24"/>
        </w:rPr>
        <w:t>ye kadar ısıtılmasıyla, yağ hidrokarbonları uçar ve temiz hadde tufalı elde edilir; uçar hale gelen hidrokarbonlar yakılabilir.</w:t>
      </w:r>
    </w:p>
    <w:p w14:paraId="674E3A0C" w14:textId="19BF3ADD" w:rsidR="00CC0F4F" w:rsidRPr="00D53A2B" w:rsidRDefault="00D11E2E" w:rsidP="00A202FD">
      <w:pPr>
        <w:pStyle w:val="ListeParagraf"/>
        <w:numPr>
          <w:ilvl w:val="0"/>
          <w:numId w:val="99"/>
        </w:numPr>
        <w:tabs>
          <w:tab w:val="clear" w:pos="567"/>
        </w:tabs>
        <w:spacing w:line="240" w:lineRule="auto"/>
        <w:ind w:left="851" w:hanging="425"/>
        <w:rPr>
          <w:sz w:val="24"/>
          <w:szCs w:val="24"/>
        </w:rPr>
      </w:pPr>
      <w:r w:rsidRPr="00D53A2B">
        <w:rPr>
          <w:sz w:val="24"/>
          <w:szCs w:val="24"/>
        </w:rPr>
        <w:t>hadde tufalıdan çözücü kullanarak yağ çıkarma.</w:t>
      </w:r>
    </w:p>
    <w:p w14:paraId="75EA9D8E" w14:textId="77777777" w:rsidR="00866818" w:rsidRPr="00D53A2B" w:rsidRDefault="00866818" w:rsidP="00A202FD">
      <w:pPr>
        <w:pStyle w:val="ListeParagraf"/>
        <w:numPr>
          <w:ilvl w:val="0"/>
          <w:numId w:val="0"/>
        </w:numPr>
        <w:tabs>
          <w:tab w:val="clear" w:pos="567"/>
        </w:tabs>
        <w:spacing w:line="240" w:lineRule="auto"/>
        <w:ind w:left="851"/>
        <w:rPr>
          <w:sz w:val="24"/>
          <w:szCs w:val="24"/>
        </w:rPr>
      </w:pPr>
    </w:p>
    <w:p w14:paraId="4C4F6597" w14:textId="6021B946" w:rsidR="00D11E2E" w:rsidRPr="00D53A2B" w:rsidRDefault="00866818" w:rsidP="00A202FD">
      <w:pPr>
        <w:pStyle w:val="Balk4"/>
        <w:rPr>
          <w:rFonts w:cs="Times New Roman"/>
        </w:rPr>
      </w:pPr>
      <w:r w:rsidRPr="00D53A2B">
        <w:rPr>
          <w:rFonts w:cs="Times New Roman"/>
        </w:rPr>
        <w:t xml:space="preserve">2.4. </w:t>
      </w:r>
      <w:r w:rsidR="00D11E2E" w:rsidRPr="00D53A2B">
        <w:rPr>
          <w:rFonts w:cs="Times New Roman"/>
        </w:rPr>
        <w:t>Enerji</w:t>
      </w:r>
    </w:p>
    <w:p w14:paraId="6B748D8F" w14:textId="580B9106" w:rsidR="00352EF5" w:rsidRPr="00D53A2B" w:rsidRDefault="00D11E2E" w:rsidP="00A202FD">
      <w:pPr>
        <w:pStyle w:val="MET"/>
        <w:rPr>
          <w:rStyle w:val="Gvdemetni3a"/>
          <w:szCs w:val="24"/>
        </w:rPr>
      </w:pPr>
      <w:r w:rsidRPr="00D53A2B">
        <w:rPr>
          <w:rStyle w:val="Gvdemetni3a"/>
          <w:szCs w:val="24"/>
        </w:rPr>
        <w:t xml:space="preserve">MET 32: </w:t>
      </w:r>
      <w:r w:rsidRPr="00D53A2B">
        <w:rPr>
          <w:rStyle w:val="Gvdemetni3a"/>
          <w:b w:val="0"/>
          <w:bCs/>
          <w:szCs w:val="24"/>
        </w:rPr>
        <w:t>Aşağıdaki tekniklerden birini veya birkaçını kullanarak sinter tesislerindeki termal enerji tüketimini azaltmaktır:</w:t>
      </w:r>
    </w:p>
    <w:p w14:paraId="55D331C9" w14:textId="77777777" w:rsidR="0078426A" w:rsidRPr="00D53A2B" w:rsidRDefault="0078426A" w:rsidP="00A202FD">
      <w:pPr>
        <w:jc w:val="both"/>
      </w:pPr>
    </w:p>
    <w:p w14:paraId="4AA18D2C" w14:textId="08F2CE97" w:rsidR="0078426A" w:rsidRPr="00D53A2B" w:rsidRDefault="0078426A" w:rsidP="00A202FD">
      <w:pPr>
        <w:pStyle w:val="Gvdemetni1"/>
        <w:numPr>
          <w:ilvl w:val="0"/>
          <w:numId w:val="11"/>
        </w:numPr>
        <w:shd w:val="clear" w:color="auto" w:fill="auto"/>
        <w:spacing w:after="0" w:line="240" w:lineRule="auto"/>
        <w:ind w:left="426" w:hanging="426"/>
        <w:rPr>
          <w:rStyle w:val="Gvdemetni3a"/>
          <w:sz w:val="24"/>
          <w:szCs w:val="24"/>
        </w:rPr>
      </w:pPr>
      <w:r w:rsidRPr="00D53A2B">
        <w:rPr>
          <w:rStyle w:val="Gvdemetni3a"/>
          <w:color w:val="000000"/>
          <w:sz w:val="24"/>
          <w:szCs w:val="24"/>
        </w:rPr>
        <w:t xml:space="preserve">sinter soğutucu atık gazından ölçülebilen ısının geri kazanılması </w:t>
      </w:r>
    </w:p>
    <w:p w14:paraId="73317B94" w14:textId="01921C80" w:rsidR="0078426A" w:rsidRPr="00D53A2B" w:rsidRDefault="0078426A" w:rsidP="00A202FD">
      <w:pPr>
        <w:pStyle w:val="Gvdemetni1"/>
        <w:numPr>
          <w:ilvl w:val="0"/>
          <w:numId w:val="11"/>
        </w:numPr>
        <w:shd w:val="clear" w:color="auto" w:fill="auto"/>
        <w:spacing w:after="0" w:line="240" w:lineRule="auto"/>
        <w:ind w:left="426" w:hanging="426"/>
        <w:rPr>
          <w:rStyle w:val="Gvdemetni3a"/>
          <w:sz w:val="24"/>
          <w:szCs w:val="24"/>
        </w:rPr>
      </w:pPr>
      <w:r w:rsidRPr="00D53A2B">
        <w:rPr>
          <w:rStyle w:val="Gvdemetni3a"/>
          <w:sz w:val="24"/>
          <w:szCs w:val="24"/>
        </w:rPr>
        <w:t xml:space="preserve">mümkünse, sinter ızgarası atık gazından </w:t>
      </w:r>
      <w:r w:rsidRPr="00D53A2B">
        <w:rPr>
          <w:rStyle w:val="Gvdemetni3a"/>
          <w:color w:val="000000"/>
          <w:sz w:val="24"/>
          <w:szCs w:val="24"/>
        </w:rPr>
        <w:t>ölçülebilen</w:t>
      </w:r>
      <w:r w:rsidRPr="00D53A2B">
        <w:rPr>
          <w:rStyle w:val="Gvdemetni3a"/>
          <w:sz w:val="24"/>
          <w:szCs w:val="24"/>
        </w:rPr>
        <w:t xml:space="preserve"> ısının geri kazanılması</w:t>
      </w:r>
    </w:p>
    <w:p w14:paraId="024BA7B3" w14:textId="599636E7" w:rsidR="0078426A" w:rsidRPr="00D53A2B" w:rsidRDefault="0078426A" w:rsidP="00A202FD">
      <w:pPr>
        <w:pStyle w:val="Gvdemetni1"/>
        <w:numPr>
          <w:ilvl w:val="0"/>
          <w:numId w:val="11"/>
        </w:numPr>
        <w:shd w:val="clear" w:color="auto" w:fill="auto"/>
        <w:spacing w:after="0" w:line="240" w:lineRule="auto"/>
        <w:ind w:left="426" w:hanging="426"/>
        <w:rPr>
          <w:rStyle w:val="Gvdemetni3a"/>
          <w:sz w:val="24"/>
          <w:szCs w:val="24"/>
        </w:rPr>
      </w:pPr>
      <w:r w:rsidRPr="00D53A2B">
        <w:rPr>
          <w:rStyle w:val="Gvdemetni3a"/>
          <w:sz w:val="24"/>
          <w:szCs w:val="24"/>
        </w:rPr>
        <w:t xml:space="preserve">Atık gazların yeniden dolaşımının en üst düzeye çıkarılarak, </w:t>
      </w:r>
      <w:r w:rsidRPr="00D53A2B">
        <w:rPr>
          <w:rStyle w:val="Gvdemetni3a"/>
          <w:color w:val="000000"/>
          <w:sz w:val="24"/>
          <w:szCs w:val="24"/>
        </w:rPr>
        <w:t>ölçülebilen</w:t>
      </w:r>
      <w:r w:rsidRPr="00D53A2B">
        <w:rPr>
          <w:rStyle w:val="Gvdemetni3a"/>
          <w:sz w:val="24"/>
          <w:szCs w:val="24"/>
        </w:rPr>
        <w:t xml:space="preserve"> ısının kullanılması (açıklama ve uygulanabilirlik için MET 23</w:t>
      </w:r>
      <w:r w:rsidR="00E56504" w:rsidRPr="00D53A2B">
        <w:rPr>
          <w:rStyle w:val="Gvdemetni3a"/>
          <w:sz w:val="24"/>
          <w:szCs w:val="24"/>
        </w:rPr>
        <w:t>’</w:t>
      </w:r>
      <w:r w:rsidRPr="00D53A2B">
        <w:rPr>
          <w:rStyle w:val="Gvdemetni3a"/>
          <w:sz w:val="24"/>
          <w:szCs w:val="24"/>
        </w:rPr>
        <w:t>e bakınız).</w:t>
      </w:r>
    </w:p>
    <w:p w14:paraId="24E6E691" w14:textId="77777777" w:rsidR="0078426A" w:rsidRPr="00D53A2B" w:rsidRDefault="0078426A" w:rsidP="00A202FD">
      <w:pPr>
        <w:jc w:val="both"/>
        <w:rPr>
          <w:rStyle w:val="Balk620"/>
          <w:sz w:val="24"/>
          <w:szCs w:val="24"/>
        </w:rPr>
      </w:pPr>
      <w:bookmarkStart w:id="32" w:name="bookmark1447"/>
    </w:p>
    <w:p w14:paraId="2270A2C2" w14:textId="2B73D99C" w:rsidR="0078426A" w:rsidRPr="00D53A2B" w:rsidRDefault="00EC16E7" w:rsidP="00A202FD">
      <w:pPr>
        <w:jc w:val="both"/>
        <w:rPr>
          <w:rStyle w:val="Gvdemetni3a"/>
        </w:rPr>
      </w:pPr>
      <w:r w:rsidRPr="00D53A2B">
        <w:rPr>
          <w:rStyle w:val="Balk620"/>
          <w:sz w:val="24"/>
          <w:szCs w:val="24"/>
        </w:rPr>
        <w:t>Tanım</w:t>
      </w:r>
      <w:bookmarkEnd w:id="32"/>
    </w:p>
    <w:p w14:paraId="00757E5F" w14:textId="251ED8E7" w:rsidR="0078426A" w:rsidRPr="00D53A2B" w:rsidRDefault="0078426A" w:rsidP="00A202FD">
      <w:pPr>
        <w:jc w:val="both"/>
        <w:rPr>
          <w:rStyle w:val="Gvdemetni3a"/>
        </w:rPr>
      </w:pPr>
      <w:r w:rsidRPr="00D53A2B">
        <w:rPr>
          <w:rStyle w:val="Gvdemetni3a"/>
        </w:rPr>
        <w:t>Sinter tesislerinden potansiyel olarak yeniden kullanılabilen iki tür atık enerji deşarj edilmektedir.</w:t>
      </w:r>
    </w:p>
    <w:p w14:paraId="119EEFA6" w14:textId="4EBF537F" w:rsidR="0078426A" w:rsidRPr="00D53A2B" w:rsidRDefault="0078426A" w:rsidP="00A202FD">
      <w:pPr>
        <w:pStyle w:val="ListeParagraf"/>
        <w:numPr>
          <w:ilvl w:val="0"/>
          <w:numId w:val="100"/>
        </w:numPr>
        <w:tabs>
          <w:tab w:val="clear" w:pos="567"/>
        </w:tabs>
        <w:spacing w:line="240" w:lineRule="auto"/>
        <w:ind w:left="426" w:hanging="426"/>
        <w:rPr>
          <w:rStyle w:val="Gvdemetni3a"/>
          <w:sz w:val="24"/>
          <w:szCs w:val="24"/>
        </w:rPr>
      </w:pPr>
      <w:r w:rsidRPr="00D53A2B">
        <w:rPr>
          <w:rStyle w:val="Gvdemetni3a"/>
          <w:sz w:val="24"/>
          <w:szCs w:val="24"/>
        </w:rPr>
        <w:t>sinterleme makinelerinden çıkan atık gazlardan gelen ölçülebilen ısı.</w:t>
      </w:r>
    </w:p>
    <w:p w14:paraId="3FD86074" w14:textId="66FD16D4" w:rsidR="0078426A" w:rsidRPr="00D53A2B" w:rsidRDefault="0078426A" w:rsidP="00A202FD">
      <w:pPr>
        <w:pStyle w:val="ListeParagraf"/>
        <w:numPr>
          <w:ilvl w:val="0"/>
          <w:numId w:val="100"/>
        </w:numPr>
        <w:tabs>
          <w:tab w:val="clear" w:pos="567"/>
        </w:tabs>
        <w:spacing w:line="240" w:lineRule="auto"/>
        <w:ind w:left="426" w:hanging="426"/>
        <w:rPr>
          <w:rStyle w:val="Gvdemetni3a"/>
          <w:color w:val="000000"/>
          <w:sz w:val="24"/>
          <w:szCs w:val="24"/>
        </w:rPr>
      </w:pPr>
      <w:r w:rsidRPr="00D53A2B">
        <w:rPr>
          <w:rStyle w:val="Gvdemetni3a"/>
          <w:sz w:val="24"/>
          <w:szCs w:val="24"/>
        </w:rPr>
        <w:t>sinter soğutucusundan gelen soğutma havasının ölçülebilen ısısı.</w:t>
      </w:r>
    </w:p>
    <w:p w14:paraId="73D84527" w14:textId="77777777" w:rsidR="0078426A" w:rsidRPr="00D53A2B" w:rsidRDefault="0078426A" w:rsidP="00A202FD">
      <w:pPr>
        <w:jc w:val="both"/>
        <w:rPr>
          <w:rStyle w:val="Gvdemetni3a"/>
          <w:spacing w:val="2"/>
          <w:position w:val="-1"/>
          <w:lang w:val="en-US" w:eastAsia="en-US"/>
        </w:rPr>
      </w:pPr>
    </w:p>
    <w:p w14:paraId="77208860" w14:textId="1127DF63" w:rsidR="0078426A" w:rsidRPr="00D53A2B" w:rsidRDefault="0078426A" w:rsidP="00A202FD">
      <w:pPr>
        <w:jc w:val="both"/>
        <w:rPr>
          <w:rStyle w:val="Gvdemetni3a"/>
        </w:rPr>
      </w:pPr>
      <w:r w:rsidRPr="00D53A2B">
        <w:rPr>
          <w:rStyle w:val="Gvdemetni3a"/>
        </w:rPr>
        <w:t xml:space="preserve">Kısmi atık gaz resirkülasyonu, sinterleme makinelerinden çıkan atık gazlardan ısı geri kazanımının özel bir durumudur ve </w:t>
      </w:r>
      <w:r w:rsidR="00651500" w:rsidRPr="00D53A2B">
        <w:rPr>
          <w:rStyle w:val="Gvdemetni3a"/>
        </w:rPr>
        <w:t>MET</w:t>
      </w:r>
      <w:r w:rsidRPr="00D53A2B">
        <w:rPr>
          <w:rStyle w:val="Gvdemetni3a"/>
        </w:rPr>
        <w:t>23</w:t>
      </w:r>
      <w:r w:rsidR="00E56504" w:rsidRPr="00D53A2B">
        <w:rPr>
          <w:rStyle w:val="Gvdemetni3a"/>
        </w:rPr>
        <w:t>’</w:t>
      </w:r>
      <w:r w:rsidRPr="00D53A2B">
        <w:rPr>
          <w:rStyle w:val="Gvdemetni3a"/>
        </w:rPr>
        <w:t xml:space="preserve">te ele alınmıştır. Ölçülebilen ısı, sıcak </w:t>
      </w:r>
      <w:r w:rsidRPr="00D53A2B">
        <w:rPr>
          <w:rStyle w:val="Gvdemetni3a"/>
        </w:rPr>
        <w:lastRenderedPageBreak/>
        <w:t>resirküle edilen gazlar tarafından doğrudan sinter yatağına geri aktarılır. Yazma sırasında (2010), bu atık gazlardan ısı geri kazanımının tek pratik yöntemidir.</w:t>
      </w:r>
    </w:p>
    <w:p w14:paraId="54BA962D" w14:textId="77777777" w:rsidR="0078426A" w:rsidRPr="00D53A2B" w:rsidRDefault="0078426A" w:rsidP="00A202FD">
      <w:pPr>
        <w:jc w:val="both"/>
        <w:rPr>
          <w:rStyle w:val="Gvdemetni3a"/>
        </w:rPr>
      </w:pPr>
    </w:p>
    <w:p w14:paraId="60729D81" w14:textId="78404087" w:rsidR="0078426A" w:rsidRPr="00D53A2B" w:rsidRDefault="0078426A" w:rsidP="00A202FD">
      <w:pPr>
        <w:jc w:val="both"/>
        <w:rPr>
          <w:rStyle w:val="Gvdemetni3a"/>
        </w:rPr>
      </w:pPr>
      <w:r w:rsidRPr="00D53A2B">
        <w:rPr>
          <w:rStyle w:val="Gvdemetni3a"/>
        </w:rPr>
        <w:t>Sinter soğutucudan gelen sıcak havadaki ölçülebilen ısı, aşağıdaki yollardan bir veya daha fazlasıyla geri kazanılabilir:</w:t>
      </w:r>
    </w:p>
    <w:p w14:paraId="03D4E3DE" w14:textId="77777777" w:rsidR="0078426A" w:rsidRPr="00D53A2B" w:rsidRDefault="0078426A" w:rsidP="00A202FD">
      <w:pPr>
        <w:pStyle w:val="ListeParagraf"/>
        <w:numPr>
          <w:ilvl w:val="0"/>
          <w:numId w:val="101"/>
        </w:numPr>
        <w:tabs>
          <w:tab w:val="clear" w:pos="567"/>
        </w:tabs>
        <w:spacing w:line="240" w:lineRule="auto"/>
        <w:ind w:left="426" w:hanging="426"/>
        <w:rPr>
          <w:rStyle w:val="Gvdemetni3a"/>
          <w:sz w:val="24"/>
          <w:szCs w:val="24"/>
        </w:rPr>
      </w:pPr>
      <w:r w:rsidRPr="00D53A2B">
        <w:rPr>
          <w:rStyle w:val="Gvdemetni3a"/>
          <w:sz w:val="24"/>
          <w:szCs w:val="24"/>
        </w:rPr>
        <w:t>demir ve çelik fabrikalarında kullanılmak üzere atık ısı kazanında buhar üretimi</w:t>
      </w:r>
    </w:p>
    <w:p w14:paraId="0C324641" w14:textId="77777777" w:rsidR="0078426A" w:rsidRPr="00D53A2B" w:rsidRDefault="0078426A" w:rsidP="00A202FD">
      <w:pPr>
        <w:pStyle w:val="ListeParagraf"/>
        <w:numPr>
          <w:ilvl w:val="0"/>
          <w:numId w:val="101"/>
        </w:numPr>
        <w:tabs>
          <w:tab w:val="clear" w:pos="567"/>
        </w:tabs>
        <w:spacing w:line="240" w:lineRule="auto"/>
        <w:ind w:left="426" w:hanging="426"/>
        <w:rPr>
          <w:rStyle w:val="Gvdemetni3a"/>
          <w:sz w:val="24"/>
          <w:szCs w:val="24"/>
        </w:rPr>
      </w:pPr>
      <w:r w:rsidRPr="00D53A2B">
        <w:rPr>
          <w:rStyle w:val="Gvdemetni3a"/>
          <w:sz w:val="24"/>
          <w:szCs w:val="24"/>
        </w:rPr>
        <w:t>bölge ısıtması için sıcak su üretimi</w:t>
      </w:r>
    </w:p>
    <w:p w14:paraId="1AD3530D" w14:textId="2C3CEF69" w:rsidR="0078426A" w:rsidRPr="00D53A2B" w:rsidRDefault="0078426A" w:rsidP="00A202FD">
      <w:pPr>
        <w:pStyle w:val="ListeParagraf"/>
        <w:numPr>
          <w:ilvl w:val="0"/>
          <w:numId w:val="101"/>
        </w:numPr>
        <w:tabs>
          <w:tab w:val="clear" w:pos="567"/>
        </w:tabs>
        <w:spacing w:line="240" w:lineRule="auto"/>
        <w:ind w:left="426" w:hanging="426"/>
        <w:rPr>
          <w:rStyle w:val="Gvdemetni3a"/>
          <w:sz w:val="24"/>
          <w:szCs w:val="24"/>
        </w:rPr>
      </w:pPr>
      <w:r w:rsidRPr="00D53A2B">
        <w:rPr>
          <w:rStyle w:val="Gvdemetni3a"/>
          <w:sz w:val="24"/>
          <w:szCs w:val="24"/>
        </w:rPr>
        <w:t xml:space="preserve">sinter tesisinin ateşleme </w:t>
      </w:r>
      <w:r w:rsidR="00CC0F4F" w:rsidRPr="00D53A2B">
        <w:rPr>
          <w:rStyle w:val="Gvdemetni3a"/>
          <w:sz w:val="24"/>
          <w:szCs w:val="24"/>
        </w:rPr>
        <w:t>kabininde</w:t>
      </w:r>
      <w:r w:rsidRPr="00D53A2B">
        <w:rPr>
          <w:rStyle w:val="Gvdemetni3a"/>
          <w:sz w:val="24"/>
          <w:szCs w:val="24"/>
        </w:rPr>
        <w:t xml:space="preserve"> yanma havasının ön ısıtılması</w:t>
      </w:r>
    </w:p>
    <w:p w14:paraId="0BFFD59A" w14:textId="33AD0CAE" w:rsidR="0078426A" w:rsidRPr="00D53A2B" w:rsidRDefault="0078426A" w:rsidP="00A202FD">
      <w:pPr>
        <w:pStyle w:val="ListeParagraf"/>
        <w:numPr>
          <w:ilvl w:val="0"/>
          <w:numId w:val="101"/>
        </w:numPr>
        <w:tabs>
          <w:tab w:val="clear" w:pos="567"/>
        </w:tabs>
        <w:spacing w:line="240" w:lineRule="auto"/>
        <w:ind w:left="426" w:hanging="426"/>
        <w:rPr>
          <w:rStyle w:val="Gvdemetni3a"/>
          <w:sz w:val="24"/>
          <w:szCs w:val="24"/>
        </w:rPr>
      </w:pPr>
      <w:r w:rsidRPr="00D53A2B">
        <w:rPr>
          <w:rStyle w:val="Gvdemetni3a"/>
          <w:sz w:val="24"/>
          <w:szCs w:val="24"/>
        </w:rPr>
        <w:t>sinter ham karışımının ön ısıtılması</w:t>
      </w:r>
    </w:p>
    <w:p w14:paraId="0604A174" w14:textId="43B85455" w:rsidR="0078426A" w:rsidRPr="00D53A2B" w:rsidRDefault="0078426A" w:rsidP="00A202FD">
      <w:pPr>
        <w:pStyle w:val="ListeParagraf"/>
        <w:numPr>
          <w:ilvl w:val="0"/>
          <w:numId w:val="101"/>
        </w:numPr>
        <w:tabs>
          <w:tab w:val="clear" w:pos="567"/>
        </w:tabs>
        <w:spacing w:line="240" w:lineRule="auto"/>
        <w:ind w:left="426" w:hanging="426"/>
        <w:rPr>
          <w:rStyle w:val="Gvdemetni3a"/>
          <w:sz w:val="24"/>
          <w:szCs w:val="24"/>
        </w:rPr>
      </w:pPr>
      <w:r w:rsidRPr="00D53A2B">
        <w:rPr>
          <w:rStyle w:val="Gvdemetni3a"/>
          <w:sz w:val="24"/>
          <w:szCs w:val="24"/>
        </w:rPr>
        <w:t>Sinter soğutucu gazlarının atık gaz devridaim sisteminde kullanımı.</w:t>
      </w:r>
    </w:p>
    <w:p w14:paraId="003B0C97" w14:textId="77777777" w:rsidR="0078426A" w:rsidRPr="00D53A2B" w:rsidRDefault="0078426A" w:rsidP="00A202FD">
      <w:pPr>
        <w:jc w:val="both"/>
        <w:rPr>
          <w:rStyle w:val="Gvdemetni3a"/>
          <w:spacing w:val="2"/>
          <w:position w:val="-1"/>
          <w:lang w:val="en-US" w:eastAsia="en-US"/>
        </w:rPr>
      </w:pPr>
    </w:p>
    <w:p w14:paraId="620509F7" w14:textId="4202A383" w:rsidR="0078426A" w:rsidRPr="00D53A2B" w:rsidRDefault="0078426A" w:rsidP="00A202FD">
      <w:pPr>
        <w:jc w:val="both"/>
        <w:rPr>
          <w:rStyle w:val="Gvdemetni3a"/>
          <w:b/>
          <w:bCs/>
        </w:rPr>
      </w:pPr>
      <w:r w:rsidRPr="00D53A2B">
        <w:rPr>
          <w:rStyle w:val="Gvdemetni3a"/>
          <w:b/>
          <w:bCs/>
        </w:rPr>
        <w:t>Uygulanabilirlik</w:t>
      </w:r>
    </w:p>
    <w:p w14:paraId="6C8BE1FC" w14:textId="149E88D3" w:rsidR="0078426A" w:rsidRPr="00D53A2B" w:rsidRDefault="00EB390D" w:rsidP="00A202FD">
      <w:pPr>
        <w:jc w:val="both"/>
        <w:rPr>
          <w:rStyle w:val="Gvdemetni3a"/>
        </w:rPr>
      </w:pPr>
      <w:r w:rsidRPr="00D53A2B">
        <w:rPr>
          <w:rStyle w:val="Gvdemetni3a"/>
        </w:rPr>
        <w:t>Bazı tesislerde mevcut konfigürasyon, sinter atık gazlarından veya sinter soğutucu atık gazından ısı geri kazanımının maliyetlerini çok yüksek hale getirebilir.</w:t>
      </w:r>
    </w:p>
    <w:p w14:paraId="44321364" w14:textId="60517B6C" w:rsidR="00EB390D" w:rsidRPr="00D53A2B" w:rsidRDefault="00EB390D" w:rsidP="00A202FD">
      <w:pPr>
        <w:jc w:val="both"/>
        <w:rPr>
          <w:rStyle w:val="Gvdemetni3a"/>
        </w:rPr>
      </w:pPr>
      <w:r w:rsidRPr="00D53A2B">
        <w:rPr>
          <w:rStyle w:val="Gvdemetni3a"/>
        </w:rPr>
        <w:t>Atık gazlardan ısı eşanjörü vasıtasıyla ısı geri kazanımı, kabul edilemez yoğuşma ve korozyon sorunlarına yol açacaktır.</w:t>
      </w:r>
    </w:p>
    <w:p w14:paraId="6248864B" w14:textId="38B96251" w:rsidR="00B91E94" w:rsidRPr="00D53A2B" w:rsidRDefault="00B91E94" w:rsidP="00A202FD">
      <w:pPr>
        <w:jc w:val="both"/>
        <w:rPr>
          <w:rStyle w:val="Gvdemetni3a"/>
        </w:rPr>
      </w:pPr>
    </w:p>
    <w:p w14:paraId="1354DCFE" w14:textId="0D24A93E" w:rsidR="00EC16E7" w:rsidRPr="00D53A2B" w:rsidRDefault="00CC0F4F" w:rsidP="00A202FD">
      <w:pPr>
        <w:pStyle w:val="Balk2"/>
        <w:rPr>
          <w:rFonts w:cs="Times New Roman"/>
          <w:szCs w:val="24"/>
        </w:rPr>
      </w:pPr>
      <w:bookmarkStart w:id="33" w:name="bookmark1448"/>
      <w:bookmarkStart w:id="34" w:name="bookmark1449"/>
      <w:r w:rsidRPr="00D53A2B">
        <w:rPr>
          <w:rStyle w:val="Balk1Arial3"/>
          <w:rFonts w:ascii="Times New Roman" w:hAnsi="Times New Roman" w:cs="Times New Roman"/>
          <w:b/>
          <w:bCs w:val="0"/>
          <w:sz w:val="24"/>
          <w:szCs w:val="24"/>
        </w:rPr>
        <w:t xml:space="preserve">3. </w:t>
      </w:r>
      <w:r w:rsidR="00EB390D" w:rsidRPr="00D53A2B">
        <w:rPr>
          <w:rStyle w:val="Balk1Arial3"/>
          <w:rFonts w:ascii="Times New Roman" w:hAnsi="Times New Roman" w:cs="Times New Roman"/>
          <w:b/>
          <w:bCs w:val="0"/>
          <w:sz w:val="24"/>
          <w:szCs w:val="24"/>
        </w:rPr>
        <w:t xml:space="preserve">Peletleme Tesisleri İçin MET Sonuçları </w:t>
      </w:r>
      <w:bookmarkEnd w:id="33"/>
      <w:bookmarkEnd w:id="34"/>
    </w:p>
    <w:p w14:paraId="39AEA569" w14:textId="77777777" w:rsidR="00774483" w:rsidRPr="00D53A2B" w:rsidRDefault="00EC16E7" w:rsidP="00A202FD">
      <w:pPr>
        <w:jc w:val="both"/>
        <w:rPr>
          <w:rStyle w:val="Gvdemetni3a"/>
          <w:rFonts w:eastAsiaTheme="majorEastAsia"/>
          <w:b/>
          <w:color w:val="000000" w:themeColor="text1"/>
        </w:rPr>
      </w:pPr>
      <w:r w:rsidRPr="00D53A2B">
        <w:rPr>
          <w:rStyle w:val="Gvdemetni3a"/>
        </w:rPr>
        <w:t xml:space="preserve">Aksi belirtilmediği takdirde, bu bölümde belirtilen MET sonuçları tüm peletleme tesisleri için uygulanabilir. </w:t>
      </w:r>
    </w:p>
    <w:p w14:paraId="579515A6" w14:textId="77777777" w:rsidR="00354644" w:rsidRPr="00D53A2B" w:rsidRDefault="00354644" w:rsidP="00A202FD">
      <w:pPr>
        <w:jc w:val="both"/>
        <w:rPr>
          <w:rStyle w:val="Gvdemetni3a"/>
        </w:rPr>
      </w:pPr>
    </w:p>
    <w:p w14:paraId="7C0C7C44" w14:textId="08D4CE26" w:rsidR="00EC16E7" w:rsidRPr="00D53A2B" w:rsidRDefault="00866818" w:rsidP="00A202FD">
      <w:pPr>
        <w:pStyle w:val="Balk4"/>
        <w:rPr>
          <w:rFonts w:cs="Times New Roman"/>
          <w:b w:val="0"/>
          <w:bCs/>
          <w:i/>
          <w:iCs w:val="0"/>
        </w:rPr>
      </w:pPr>
      <w:r w:rsidRPr="00D53A2B">
        <w:rPr>
          <w:rStyle w:val="Gvdemetni10pt5"/>
          <w:b/>
          <w:bCs w:val="0"/>
          <w:i w:val="0"/>
          <w:iCs/>
          <w:sz w:val="24"/>
          <w:szCs w:val="24"/>
        </w:rPr>
        <w:t xml:space="preserve">3.1. </w:t>
      </w:r>
      <w:r w:rsidR="00EC16E7" w:rsidRPr="00D53A2B">
        <w:rPr>
          <w:rStyle w:val="Gvdemetni10pt5"/>
          <w:b/>
          <w:bCs w:val="0"/>
          <w:i w:val="0"/>
          <w:iCs/>
          <w:sz w:val="24"/>
          <w:szCs w:val="24"/>
        </w:rPr>
        <w:t>Hava emisyonları</w:t>
      </w:r>
    </w:p>
    <w:p w14:paraId="658CB542" w14:textId="0C185EC1" w:rsidR="00354644" w:rsidRPr="00D53A2B" w:rsidRDefault="0057305E" w:rsidP="00A202FD">
      <w:pPr>
        <w:pStyle w:val="MET"/>
        <w:rPr>
          <w:rStyle w:val="Gvdemetni710pt3"/>
          <w:b/>
          <w:sz w:val="24"/>
          <w:szCs w:val="24"/>
        </w:rPr>
      </w:pPr>
      <w:r w:rsidRPr="00D53A2B">
        <w:rPr>
          <w:rStyle w:val="Gvdemetni710pt3"/>
          <w:b/>
          <w:sz w:val="24"/>
          <w:szCs w:val="24"/>
        </w:rPr>
        <w:t>MET 33</w:t>
      </w:r>
      <w:r w:rsidR="00354644" w:rsidRPr="00D53A2B">
        <w:rPr>
          <w:rStyle w:val="Gvdemetni710pt3"/>
          <w:b/>
          <w:sz w:val="24"/>
          <w:szCs w:val="24"/>
        </w:rPr>
        <w:t xml:space="preserve">: </w:t>
      </w:r>
      <w:r w:rsidR="00C45569" w:rsidRPr="00D53A2B">
        <w:rPr>
          <w:rStyle w:val="Gvdemetni710pt3"/>
          <w:bCs w:val="0"/>
          <w:sz w:val="24"/>
          <w:szCs w:val="24"/>
        </w:rPr>
        <w:t>Aşağıda yer alan kaynaklardan a</w:t>
      </w:r>
      <w:r w:rsidR="00354644" w:rsidRPr="00D53A2B">
        <w:rPr>
          <w:rStyle w:val="Gvdemetni710pt3"/>
          <w:bCs w:val="0"/>
          <w:sz w:val="24"/>
          <w:szCs w:val="24"/>
        </w:rPr>
        <w:t>tık gazlardaki</w:t>
      </w:r>
      <w:r w:rsidR="0001141C" w:rsidRPr="00D53A2B">
        <w:rPr>
          <w:rStyle w:val="Gvdemetni710pt3"/>
          <w:bCs w:val="0"/>
          <w:sz w:val="24"/>
          <w:szCs w:val="24"/>
        </w:rPr>
        <w:t xml:space="preserve">, </w:t>
      </w:r>
      <w:r w:rsidR="00354644" w:rsidRPr="00D53A2B">
        <w:rPr>
          <w:rStyle w:val="Gvdemetni710pt3"/>
          <w:bCs w:val="0"/>
          <w:sz w:val="24"/>
          <w:szCs w:val="24"/>
        </w:rPr>
        <w:t xml:space="preserve"> toz emisyonları azalt</w:t>
      </w:r>
      <w:r w:rsidR="00C45569" w:rsidRPr="00D53A2B">
        <w:rPr>
          <w:rStyle w:val="Gvdemetni710pt3"/>
          <w:bCs w:val="0"/>
          <w:sz w:val="24"/>
          <w:szCs w:val="24"/>
        </w:rPr>
        <w:t>ıl</w:t>
      </w:r>
      <w:r w:rsidR="00CC0F4F" w:rsidRPr="00D53A2B">
        <w:rPr>
          <w:rStyle w:val="Gvdemetni710pt3"/>
          <w:bCs w:val="0"/>
          <w:sz w:val="24"/>
          <w:szCs w:val="24"/>
        </w:rPr>
        <w:t>abilir</w:t>
      </w:r>
      <w:r w:rsidR="00354644" w:rsidRPr="00D53A2B">
        <w:rPr>
          <w:rStyle w:val="Gvdemetni710pt3"/>
          <w:bCs w:val="0"/>
          <w:sz w:val="24"/>
          <w:szCs w:val="24"/>
        </w:rPr>
        <w:t>.</w:t>
      </w:r>
    </w:p>
    <w:p w14:paraId="7DFEE269" w14:textId="7C92FB8B" w:rsidR="00354644" w:rsidRPr="00D53A2B" w:rsidRDefault="0001141C" w:rsidP="00A202FD">
      <w:pPr>
        <w:pStyle w:val="ListeParagraf"/>
        <w:numPr>
          <w:ilvl w:val="0"/>
          <w:numId w:val="102"/>
        </w:numPr>
        <w:tabs>
          <w:tab w:val="clear" w:pos="567"/>
        </w:tabs>
        <w:ind w:left="425" w:hanging="425"/>
        <w:rPr>
          <w:rStyle w:val="Gvdemetni710pt3"/>
          <w:b w:val="0"/>
          <w:bCs w:val="0"/>
          <w:sz w:val="24"/>
          <w:szCs w:val="24"/>
        </w:rPr>
      </w:pPr>
      <w:r w:rsidRPr="00D53A2B">
        <w:rPr>
          <w:rStyle w:val="Gvdemetni710pt3"/>
          <w:b w:val="0"/>
          <w:bCs w:val="0"/>
          <w:sz w:val="24"/>
          <w:szCs w:val="24"/>
        </w:rPr>
        <w:t>Hammadde ön işleme, kurutma, öğütme, ıslatma, karıştırma ve yumaklama</w:t>
      </w:r>
    </w:p>
    <w:p w14:paraId="36202C14" w14:textId="673638F7" w:rsidR="0001141C" w:rsidRPr="00D53A2B" w:rsidRDefault="00CC0F4F" w:rsidP="00A202FD">
      <w:pPr>
        <w:pStyle w:val="ListeParagraf"/>
        <w:numPr>
          <w:ilvl w:val="0"/>
          <w:numId w:val="102"/>
        </w:numPr>
        <w:tabs>
          <w:tab w:val="clear" w:pos="567"/>
        </w:tabs>
        <w:ind w:left="425" w:hanging="425"/>
        <w:rPr>
          <w:rStyle w:val="Gvdemetni710pt3"/>
          <w:b w:val="0"/>
          <w:bCs w:val="0"/>
          <w:sz w:val="24"/>
          <w:szCs w:val="24"/>
        </w:rPr>
      </w:pPr>
      <w:r w:rsidRPr="00D53A2B">
        <w:rPr>
          <w:rStyle w:val="Gvdemetni710pt3"/>
          <w:b w:val="0"/>
          <w:bCs w:val="0"/>
          <w:sz w:val="24"/>
          <w:szCs w:val="24"/>
        </w:rPr>
        <w:t>Sertleştirme bandı</w:t>
      </w:r>
    </w:p>
    <w:p w14:paraId="217B9184" w14:textId="4B8A7C1D" w:rsidR="0001141C" w:rsidRPr="00D53A2B" w:rsidRDefault="0001141C" w:rsidP="00A202FD">
      <w:pPr>
        <w:pStyle w:val="ListeParagraf"/>
        <w:numPr>
          <w:ilvl w:val="0"/>
          <w:numId w:val="102"/>
        </w:numPr>
        <w:tabs>
          <w:tab w:val="clear" w:pos="567"/>
        </w:tabs>
        <w:ind w:left="425" w:hanging="425"/>
        <w:rPr>
          <w:rStyle w:val="Gvdemetni710pt3"/>
          <w:b w:val="0"/>
          <w:bCs w:val="0"/>
          <w:sz w:val="24"/>
          <w:szCs w:val="24"/>
        </w:rPr>
      </w:pPr>
      <w:r w:rsidRPr="00D53A2B">
        <w:rPr>
          <w:rStyle w:val="Gvdemetni710pt3"/>
          <w:b w:val="0"/>
          <w:bCs w:val="0"/>
          <w:sz w:val="24"/>
          <w:szCs w:val="24"/>
        </w:rPr>
        <w:t>pellet işleme ve ayırma</w:t>
      </w:r>
    </w:p>
    <w:p w14:paraId="6D32EB1E" w14:textId="6F38FD53" w:rsidR="00354644" w:rsidRPr="00D53A2B" w:rsidRDefault="00C45569" w:rsidP="00A202FD">
      <w:pPr>
        <w:jc w:val="both"/>
        <w:rPr>
          <w:rStyle w:val="Gvdemetni710pt3"/>
          <w:b w:val="0"/>
          <w:bCs w:val="0"/>
          <w:spacing w:val="2"/>
          <w:position w:val="-1"/>
          <w:sz w:val="24"/>
          <w:szCs w:val="24"/>
          <w:lang w:val="en-US" w:eastAsia="en-US"/>
        </w:rPr>
      </w:pPr>
      <w:r w:rsidRPr="00D53A2B">
        <w:rPr>
          <w:rStyle w:val="Gvdemetni710pt3"/>
          <w:b w:val="0"/>
          <w:bCs w:val="0"/>
          <w:sz w:val="24"/>
          <w:szCs w:val="24"/>
        </w:rPr>
        <w:t xml:space="preserve">Toz emisyonlarının azaltılmasında aşağıdaki tekniklerden birini veya bir kombinasyonu kullanılmaktadır: </w:t>
      </w:r>
    </w:p>
    <w:p w14:paraId="01966584" w14:textId="77777777" w:rsidR="00C45569" w:rsidRPr="00D53A2B" w:rsidRDefault="00EC16E7" w:rsidP="00A202FD">
      <w:pPr>
        <w:pStyle w:val="ListeParagraf"/>
        <w:numPr>
          <w:ilvl w:val="0"/>
          <w:numId w:val="103"/>
        </w:numPr>
        <w:tabs>
          <w:tab w:val="clear" w:pos="567"/>
        </w:tabs>
        <w:spacing w:line="240" w:lineRule="auto"/>
        <w:ind w:left="709"/>
        <w:rPr>
          <w:rStyle w:val="Gvdemetni3a"/>
          <w:b/>
          <w:bCs/>
          <w:sz w:val="24"/>
          <w:szCs w:val="24"/>
        </w:rPr>
      </w:pPr>
      <w:r w:rsidRPr="00D53A2B">
        <w:rPr>
          <w:rStyle w:val="Gvdemetni3a"/>
          <w:color w:val="000000"/>
          <w:sz w:val="24"/>
          <w:szCs w:val="24"/>
        </w:rPr>
        <w:t>Elektrostatik çök</w:t>
      </w:r>
      <w:r w:rsidR="00C45569" w:rsidRPr="00D53A2B">
        <w:rPr>
          <w:rStyle w:val="Gvdemetni3a"/>
          <w:color w:val="000000"/>
          <w:sz w:val="24"/>
          <w:szCs w:val="24"/>
        </w:rPr>
        <w:t>türücü</w:t>
      </w:r>
    </w:p>
    <w:p w14:paraId="06B12D87" w14:textId="77777777" w:rsidR="00C45569" w:rsidRPr="00D53A2B" w:rsidRDefault="00EC16E7" w:rsidP="00A202FD">
      <w:pPr>
        <w:pStyle w:val="ListeParagraf"/>
        <w:numPr>
          <w:ilvl w:val="0"/>
          <w:numId w:val="103"/>
        </w:numPr>
        <w:tabs>
          <w:tab w:val="clear" w:pos="567"/>
        </w:tabs>
        <w:spacing w:line="240" w:lineRule="auto"/>
        <w:ind w:left="709"/>
        <w:rPr>
          <w:rStyle w:val="Gvdemetni3a"/>
          <w:b/>
          <w:bCs/>
          <w:sz w:val="24"/>
          <w:szCs w:val="24"/>
        </w:rPr>
      </w:pPr>
      <w:r w:rsidRPr="00D53A2B">
        <w:rPr>
          <w:rStyle w:val="Gvdemetni3a"/>
          <w:color w:val="000000"/>
          <w:sz w:val="24"/>
          <w:szCs w:val="24"/>
        </w:rPr>
        <w:t>Torba filtre</w:t>
      </w:r>
    </w:p>
    <w:p w14:paraId="1943AEFC" w14:textId="33CE26BF" w:rsidR="00EC16E7" w:rsidRPr="00D53A2B" w:rsidRDefault="00C45569" w:rsidP="00A202FD">
      <w:pPr>
        <w:pStyle w:val="ListeParagraf"/>
        <w:numPr>
          <w:ilvl w:val="0"/>
          <w:numId w:val="103"/>
        </w:numPr>
        <w:tabs>
          <w:tab w:val="clear" w:pos="567"/>
        </w:tabs>
        <w:spacing w:line="240" w:lineRule="auto"/>
        <w:ind w:left="709"/>
        <w:rPr>
          <w:b/>
          <w:bCs/>
          <w:sz w:val="24"/>
          <w:szCs w:val="24"/>
        </w:rPr>
      </w:pPr>
      <w:r w:rsidRPr="00D53A2B">
        <w:rPr>
          <w:rStyle w:val="Gvdemetni3a"/>
          <w:sz w:val="24"/>
          <w:szCs w:val="24"/>
        </w:rPr>
        <w:t>Sulu</w:t>
      </w:r>
      <w:r w:rsidR="00EC16E7" w:rsidRPr="00D53A2B">
        <w:rPr>
          <w:rStyle w:val="Gvdemetni3a"/>
          <w:color w:val="000000"/>
          <w:sz w:val="24"/>
          <w:szCs w:val="24"/>
        </w:rPr>
        <w:t xml:space="preserve"> yıkayıcı</w:t>
      </w:r>
    </w:p>
    <w:p w14:paraId="549CABF9" w14:textId="77777777" w:rsidR="00077870" w:rsidRPr="00D53A2B" w:rsidRDefault="00077870" w:rsidP="00A202FD">
      <w:pPr>
        <w:jc w:val="both"/>
        <w:rPr>
          <w:rStyle w:val="Gvdemetni3a"/>
          <w:spacing w:val="2"/>
          <w:position w:val="-1"/>
          <w:lang w:val="en-US" w:eastAsia="en-US"/>
        </w:rPr>
      </w:pPr>
    </w:p>
    <w:p w14:paraId="672798A2" w14:textId="56FD7356" w:rsidR="00C45569" w:rsidRPr="00D53A2B" w:rsidRDefault="00C45569" w:rsidP="00A202FD">
      <w:pPr>
        <w:jc w:val="both"/>
        <w:rPr>
          <w:rStyle w:val="Gvdemetni3a"/>
        </w:rPr>
      </w:pPr>
      <w:r w:rsidRPr="00D53A2B">
        <w:rPr>
          <w:rStyle w:val="Gvdemetni3a"/>
        </w:rPr>
        <w:t>Toz için MET</w:t>
      </w:r>
      <w:r w:rsidR="00E56504" w:rsidRPr="00D53A2B">
        <w:rPr>
          <w:rStyle w:val="Gvdemetni3a"/>
        </w:rPr>
        <w:t>’</w:t>
      </w:r>
      <w:r w:rsidRPr="00D53A2B">
        <w:rPr>
          <w:rStyle w:val="Gvdemetni3a"/>
        </w:rPr>
        <w:t>e bağlı emisyon değerleri, kırma, öğütme ve kurutma için &lt;20 mg/Nm</w:t>
      </w:r>
      <w:r w:rsidRPr="00D53A2B">
        <w:rPr>
          <w:rStyle w:val="Gvdemetni3a"/>
          <w:vertAlign w:val="superscript"/>
        </w:rPr>
        <w:t>3</w:t>
      </w:r>
      <w:r w:rsidRPr="00D53A2B">
        <w:rPr>
          <w:rStyle w:val="Gvdemetni3a"/>
        </w:rPr>
        <w:t>, diğer tüm proses adımları için veya tüm atık gazların birlikte arıtıldığı durumlarda ise &lt;10 - 15 mg/Nm</w:t>
      </w:r>
      <w:r w:rsidRPr="00D53A2B">
        <w:rPr>
          <w:rStyle w:val="Gvdemetni3a"/>
          <w:vertAlign w:val="superscript"/>
        </w:rPr>
        <w:t>3</w:t>
      </w:r>
      <w:r w:rsidRPr="00D53A2B">
        <w:rPr>
          <w:rStyle w:val="Gvdemetni3a"/>
        </w:rPr>
        <w:t xml:space="preserve"> olup, hepsi günlük ortalama değerler olarak belirlenmiştir.</w:t>
      </w:r>
    </w:p>
    <w:p w14:paraId="3C7884D2" w14:textId="77777777" w:rsidR="00C45569" w:rsidRPr="00D53A2B" w:rsidRDefault="00C45569" w:rsidP="00A202FD">
      <w:pPr>
        <w:jc w:val="both"/>
        <w:rPr>
          <w:rStyle w:val="Gvdemetni3a"/>
        </w:rPr>
      </w:pPr>
    </w:p>
    <w:p w14:paraId="7B20F78D" w14:textId="3D718661" w:rsidR="00C45569" w:rsidRPr="00D53A2B" w:rsidRDefault="0015774C" w:rsidP="00A202FD">
      <w:pPr>
        <w:pStyle w:val="MET"/>
        <w:rPr>
          <w:rStyle w:val="Gvdemetni3a"/>
          <w:szCs w:val="24"/>
        </w:rPr>
      </w:pPr>
      <w:r w:rsidRPr="00D53A2B">
        <w:rPr>
          <w:rStyle w:val="Gvdemetni3a"/>
          <w:szCs w:val="24"/>
        </w:rPr>
        <w:t xml:space="preserve">MET 34. </w:t>
      </w:r>
      <w:r w:rsidRPr="00D53A2B">
        <w:rPr>
          <w:rStyle w:val="Gvdemetni3a"/>
          <w:b w:val="0"/>
          <w:bCs/>
          <w:szCs w:val="24"/>
        </w:rPr>
        <w:t xml:space="preserve">Aşağıdaki tekniklerden birini kullanarak </w:t>
      </w:r>
      <w:r w:rsidR="00CC0F4F" w:rsidRPr="00D53A2B">
        <w:rPr>
          <w:rStyle w:val="Gvdemetni3a"/>
          <w:b w:val="0"/>
          <w:bCs/>
          <w:szCs w:val="24"/>
        </w:rPr>
        <w:t>sertleştirme bandı</w:t>
      </w:r>
      <w:r w:rsidRPr="00D53A2B">
        <w:rPr>
          <w:rStyle w:val="Gvdemetni3a"/>
          <w:b w:val="0"/>
          <w:bCs/>
          <w:szCs w:val="24"/>
        </w:rPr>
        <w:t xml:space="preserve"> atık gazından </w:t>
      </w:r>
      <w:r w:rsidR="00CC0F4F" w:rsidRPr="00D53A2B">
        <w:rPr>
          <w:rStyle w:val="Gvdemetni3a"/>
          <w:b w:val="0"/>
          <w:bCs/>
          <w:szCs w:val="24"/>
        </w:rPr>
        <w:t xml:space="preserve">kaynaklanan </w:t>
      </w:r>
      <w:r w:rsidRPr="00D53A2B">
        <w:rPr>
          <w:rStyle w:val="Gvdemetni3a"/>
          <w:b w:val="0"/>
          <w:bCs/>
          <w:szCs w:val="24"/>
        </w:rPr>
        <w:t>kükürt oksitleri (SO</w:t>
      </w:r>
      <w:r w:rsidRPr="00D53A2B">
        <w:rPr>
          <w:rStyle w:val="Gvdemetni3a"/>
          <w:b w:val="0"/>
          <w:bCs/>
          <w:szCs w:val="24"/>
          <w:vertAlign w:val="subscript"/>
        </w:rPr>
        <w:t>X</w:t>
      </w:r>
      <w:r w:rsidRPr="00D53A2B">
        <w:rPr>
          <w:rStyle w:val="Gvdemetni3a"/>
          <w:b w:val="0"/>
          <w:bCs/>
          <w:szCs w:val="24"/>
        </w:rPr>
        <w:t>), hidrojen klorür (HCl) ve hidrojen florür (HF) emisyonlarını</w:t>
      </w:r>
      <w:r w:rsidR="00CC0F4F" w:rsidRPr="00D53A2B">
        <w:rPr>
          <w:rStyle w:val="Gvdemetni3a"/>
          <w:b w:val="0"/>
          <w:bCs/>
          <w:szCs w:val="24"/>
        </w:rPr>
        <w:t>n</w:t>
      </w:r>
      <w:r w:rsidRPr="00D53A2B">
        <w:rPr>
          <w:rStyle w:val="Gvdemetni3a"/>
          <w:b w:val="0"/>
          <w:bCs/>
          <w:szCs w:val="24"/>
        </w:rPr>
        <w:t xml:space="preserve"> azalt</w:t>
      </w:r>
      <w:r w:rsidR="00CC0F4F" w:rsidRPr="00D53A2B">
        <w:rPr>
          <w:rStyle w:val="Gvdemetni3a"/>
          <w:b w:val="0"/>
          <w:bCs/>
          <w:szCs w:val="24"/>
        </w:rPr>
        <w:t>ılmasıdır</w:t>
      </w:r>
      <w:r w:rsidRPr="00D53A2B">
        <w:rPr>
          <w:rStyle w:val="Gvdemetni3a"/>
          <w:b w:val="0"/>
          <w:bCs/>
          <w:szCs w:val="24"/>
        </w:rPr>
        <w:t>:</w:t>
      </w:r>
    </w:p>
    <w:p w14:paraId="6866B144" w14:textId="77777777" w:rsidR="0015774C" w:rsidRPr="00D53A2B" w:rsidRDefault="0015774C" w:rsidP="00A202FD">
      <w:pPr>
        <w:pStyle w:val="ListeParagraf"/>
        <w:numPr>
          <w:ilvl w:val="0"/>
          <w:numId w:val="104"/>
        </w:numPr>
        <w:tabs>
          <w:tab w:val="clear" w:pos="567"/>
        </w:tabs>
        <w:spacing w:line="240" w:lineRule="auto"/>
        <w:ind w:left="709"/>
        <w:rPr>
          <w:rStyle w:val="Gvdemetni3a"/>
          <w:b/>
          <w:bCs/>
          <w:sz w:val="24"/>
          <w:szCs w:val="24"/>
        </w:rPr>
      </w:pPr>
      <w:r w:rsidRPr="00D53A2B">
        <w:rPr>
          <w:rStyle w:val="Gvdemetni3a"/>
          <w:sz w:val="24"/>
          <w:szCs w:val="24"/>
        </w:rPr>
        <w:t>Sulu</w:t>
      </w:r>
      <w:r w:rsidRPr="00D53A2B">
        <w:rPr>
          <w:rStyle w:val="Gvdemetni3a"/>
          <w:color w:val="000000"/>
          <w:sz w:val="24"/>
          <w:szCs w:val="24"/>
        </w:rPr>
        <w:t xml:space="preserve"> yıkayıcı</w:t>
      </w:r>
    </w:p>
    <w:p w14:paraId="46CD4701" w14:textId="6C5669BE" w:rsidR="0015774C" w:rsidRPr="00D53A2B" w:rsidRDefault="0015774C" w:rsidP="00A202FD">
      <w:pPr>
        <w:pStyle w:val="ListeParagraf"/>
        <w:numPr>
          <w:ilvl w:val="0"/>
          <w:numId w:val="104"/>
        </w:numPr>
        <w:tabs>
          <w:tab w:val="clear" w:pos="567"/>
        </w:tabs>
        <w:spacing w:line="240" w:lineRule="auto"/>
        <w:ind w:left="709"/>
        <w:rPr>
          <w:sz w:val="24"/>
          <w:szCs w:val="24"/>
        </w:rPr>
      </w:pPr>
      <w:r w:rsidRPr="00D53A2B">
        <w:rPr>
          <w:sz w:val="24"/>
          <w:szCs w:val="24"/>
        </w:rPr>
        <w:t>yarı kuru absorpsiyon ve ardından toz giderme sistemi.</w:t>
      </w:r>
    </w:p>
    <w:p w14:paraId="68187402" w14:textId="77777777" w:rsidR="0015774C" w:rsidRPr="00D53A2B" w:rsidRDefault="0015774C" w:rsidP="00A202FD">
      <w:pPr>
        <w:pStyle w:val="MET"/>
        <w:rPr>
          <w:rStyle w:val="Gvdemetni3a"/>
          <w:szCs w:val="24"/>
        </w:rPr>
      </w:pPr>
    </w:p>
    <w:p w14:paraId="509276C7" w14:textId="69766747" w:rsidR="00C45569" w:rsidRDefault="0015774C" w:rsidP="00A202FD">
      <w:pPr>
        <w:jc w:val="both"/>
        <w:rPr>
          <w:rStyle w:val="Gvdemetni3a"/>
        </w:rPr>
      </w:pPr>
      <w:r w:rsidRPr="00D53A2B">
        <w:rPr>
          <w:rStyle w:val="Gvdemetni3a"/>
        </w:rPr>
        <w:t xml:space="preserve">Bu bileşikler için günlük ortalama değerler olarak belirlenen </w:t>
      </w:r>
      <w:r w:rsidR="00CC0F4F" w:rsidRPr="00D53A2B">
        <w:rPr>
          <w:rStyle w:val="Gvdemetni3a"/>
        </w:rPr>
        <w:t>MET</w:t>
      </w:r>
      <w:r w:rsidRPr="00D53A2B">
        <w:rPr>
          <w:rStyle w:val="Gvdemetni3a"/>
        </w:rPr>
        <w:t xml:space="preserve"> ile ilişkili emisyon seviyeleri şunlardır:</w:t>
      </w:r>
    </w:p>
    <w:tbl>
      <w:tblPr>
        <w:tblStyle w:val="TabloKlavuzu"/>
        <w:tblW w:w="8642" w:type="dxa"/>
        <w:tblLook w:val="04A0" w:firstRow="1" w:lastRow="0" w:firstColumn="1" w:lastColumn="0" w:noHBand="0" w:noVBand="1"/>
      </w:tblPr>
      <w:tblGrid>
        <w:gridCol w:w="4311"/>
        <w:gridCol w:w="4331"/>
      </w:tblGrid>
      <w:tr w:rsidR="008A08CF" w:rsidRPr="008A08CF" w14:paraId="684F9522" w14:textId="77777777" w:rsidTr="008A08CF">
        <w:tc>
          <w:tcPr>
            <w:tcW w:w="4311" w:type="dxa"/>
          </w:tcPr>
          <w:p w14:paraId="3C21AED0" w14:textId="59A63C81" w:rsidR="008A08CF" w:rsidRPr="008A08CF" w:rsidRDefault="008A08CF" w:rsidP="008A08CF">
            <w:pPr>
              <w:jc w:val="both"/>
              <w:rPr>
                <w:b/>
                <w:spacing w:val="2"/>
                <w:lang w:eastAsia="en-US"/>
              </w:rPr>
            </w:pPr>
            <w:r w:rsidRPr="008A08CF">
              <w:rPr>
                <w:b/>
                <w:spacing w:val="2"/>
                <w:lang w:eastAsia="en-US"/>
              </w:rPr>
              <w:t>kükürt oksitler (SO</w:t>
            </w:r>
            <w:r w:rsidRPr="008A08CF">
              <w:rPr>
                <w:b/>
                <w:spacing w:val="2"/>
                <w:vertAlign w:val="subscript"/>
                <w:lang w:eastAsia="en-US"/>
              </w:rPr>
              <w:t>X</w:t>
            </w:r>
            <w:r w:rsidRPr="008A08CF">
              <w:rPr>
                <w:b/>
                <w:spacing w:val="2"/>
                <w:lang w:eastAsia="en-US"/>
              </w:rPr>
              <w:t>), kükürt dioksit (SO</w:t>
            </w:r>
            <w:r w:rsidRPr="008A08CF">
              <w:rPr>
                <w:b/>
                <w:spacing w:val="2"/>
                <w:vertAlign w:val="subscript"/>
                <w:lang w:eastAsia="en-US"/>
              </w:rPr>
              <w:t>2</w:t>
            </w:r>
            <w:r w:rsidRPr="008A08CF">
              <w:rPr>
                <w:b/>
                <w:spacing w:val="2"/>
                <w:lang w:eastAsia="en-US"/>
              </w:rPr>
              <w:t>) olarak ifade edilir</w:t>
            </w:r>
          </w:p>
        </w:tc>
        <w:tc>
          <w:tcPr>
            <w:tcW w:w="4331" w:type="dxa"/>
          </w:tcPr>
          <w:p w14:paraId="733C387A" w14:textId="77777777" w:rsidR="008A08CF" w:rsidRPr="008A08CF" w:rsidRDefault="008A08CF" w:rsidP="008A08CF">
            <w:pPr>
              <w:jc w:val="both"/>
              <w:rPr>
                <w:b/>
                <w:spacing w:val="2"/>
                <w:lang w:eastAsia="en-US"/>
              </w:rPr>
            </w:pPr>
            <w:r w:rsidRPr="008A08CF">
              <w:rPr>
                <w:b/>
                <w:spacing w:val="2"/>
                <w:lang w:eastAsia="en-US"/>
              </w:rPr>
              <w:t>&lt;30-50  mg/Nm</w:t>
            </w:r>
            <w:r w:rsidRPr="008A08CF">
              <w:rPr>
                <w:b/>
                <w:spacing w:val="2"/>
                <w:vertAlign w:val="superscript"/>
                <w:lang w:eastAsia="en-US"/>
              </w:rPr>
              <w:t>3</w:t>
            </w:r>
          </w:p>
        </w:tc>
      </w:tr>
      <w:tr w:rsidR="008A08CF" w:rsidRPr="008A08CF" w14:paraId="248CD94A" w14:textId="77777777" w:rsidTr="008A08CF">
        <w:tc>
          <w:tcPr>
            <w:tcW w:w="4311" w:type="dxa"/>
          </w:tcPr>
          <w:p w14:paraId="50191A15" w14:textId="77777777" w:rsidR="008A08CF" w:rsidRPr="008A08CF" w:rsidRDefault="008A08CF" w:rsidP="008A08CF">
            <w:pPr>
              <w:jc w:val="both"/>
              <w:rPr>
                <w:b/>
                <w:spacing w:val="2"/>
                <w:lang w:eastAsia="en-US"/>
              </w:rPr>
            </w:pPr>
            <w:r w:rsidRPr="008A08CF">
              <w:rPr>
                <w:b/>
                <w:spacing w:val="2"/>
                <w:lang w:eastAsia="en-US"/>
              </w:rPr>
              <w:t>hidrojen florür (HF)</w:t>
            </w:r>
            <w:r w:rsidRPr="008A08CF">
              <w:rPr>
                <w:b/>
                <w:spacing w:val="2"/>
                <w:lang w:eastAsia="en-US"/>
              </w:rPr>
              <w:tab/>
            </w:r>
          </w:p>
        </w:tc>
        <w:tc>
          <w:tcPr>
            <w:tcW w:w="4331" w:type="dxa"/>
          </w:tcPr>
          <w:p w14:paraId="6E0A8492" w14:textId="77777777" w:rsidR="008A08CF" w:rsidRPr="008A08CF" w:rsidRDefault="008A08CF" w:rsidP="008A08CF">
            <w:pPr>
              <w:jc w:val="both"/>
              <w:rPr>
                <w:b/>
                <w:spacing w:val="2"/>
                <w:lang w:eastAsia="en-US"/>
              </w:rPr>
            </w:pPr>
            <w:r w:rsidRPr="008A08CF">
              <w:rPr>
                <w:b/>
                <w:spacing w:val="2"/>
                <w:lang w:eastAsia="en-US"/>
              </w:rPr>
              <w:t>1-3 mg/Nm</w:t>
            </w:r>
            <w:r w:rsidRPr="008A08CF">
              <w:rPr>
                <w:b/>
                <w:spacing w:val="2"/>
                <w:vertAlign w:val="superscript"/>
                <w:lang w:eastAsia="en-US"/>
              </w:rPr>
              <w:t>3</w:t>
            </w:r>
            <w:r w:rsidRPr="008A08CF">
              <w:rPr>
                <w:b/>
                <w:spacing w:val="2"/>
                <w:lang w:eastAsia="en-US"/>
              </w:rPr>
              <w:t>hidrojen klorür</w:t>
            </w:r>
          </w:p>
        </w:tc>
      </w:tr>
      <w:tr w:rsidR="008A08CF" w:rsidRPr="008A08CF" w14:paraId="5DFF2AA6" w14:textId="77777777" w:rsidTr="008A08CF">
        <w:tc>
          <w:tcPr>
            <w:tcW w:w="4311" w:type="dxa"/>
          </w:tcPr>
          <w:p w14:paraId="4A78B649" w14:textId="77777777" w:rsidR="008A08CF" w:rsidRPr="008A08CF" w:rsidRDefault="008A08CF" w:rsidP="008A08CF">
            <w:pPr>
              <w:jc w:val="both"/>
              <w:rPr>
                <w:b/>
                <w:spacing w:val="2"/>
                <w:lang w:eastAsia="en-US"/>
              </w:rPr>
            </w:pPr>
            <w:r w:rsidRPr="008A08CF">
              <w:rPr>
                <w:b/>
                <w:spacing w:val="2"/>
                <w:lang w:eastAsia="en-US"/>
              </w:rPr>
              <w:t>(HCl)</w:t>
            </w:r>
            <w:r w:rsidRPr="008A08CF">
              <w:rPr>
                <w:b/>
                <w:spacing w:val="2"/>
                <w:lang w:eastAsia="en-US"/>
              </w:rPr>
              <w:tab/>
            </w:r>
          </w:p>
        </w:tc>
        <w:tc>
          <w:tcPr>
            <w:tcW w:w="4331" w:type="dxa"/>
          </w:tcPr>
          <w:p w14:paraId="13F5F686" w14:textId="77777777" w:rsidR="008A08CF" w:rsidRPr="008A08CF" w:rsidRDefault="008A08CF" w:rsidP="008A08CF">
            <w:pPr>
              <w:jc w:val="both"/>
              <w:rPr>
                <w:b/>
                <w:spacing w:val="2"/>
                <w:lang w:eastAsia="en-US"/>
              </w:rPr>
            </w:pPr>
            <w:r w:rsidRPr="008A08CF">
              <w:rPr>
                <w:b/>
                <w:spacing w:val="2"/>
                <w:lang w:eastAsia="en-US"/>
              </w:rPr>
              <w:t>1-3 mg/Nm</w:t>
            </w:r>
            <w:r w:rsidRPr="008A08CF">
              <w:rPr>
                <w:b/>
                <w:spacing w:val="2"/>
                <w:vertAlign w:val="superscript"/>
                <w:lang w:eastAsia="en-US"/>
              </w:rPr>
              <w:t>3</w:t>
            </w:r>
            <w:r w:rsidRPr="008A08CF">
              <w:rPr>
                <w:b/>
                <w:spacing w:val="2"/>
                <w:lang w:eastAsia="en-US"/>
              </w:rPr>
              <w:t>.</w:t>
            </w:r>
          </w:p>
        </w:tc>
      </w:tr>
    </w:tbl>
    <w:p w14:paraId="1CAC4CEC" w14:textId="77777777" w:rsidR="00C45569" w:rsidRPr="00D53A2B" w:rsidRDefault="00C45569" w:rsidP="00A202FD">
      <w:pPr>
        <w:jc w:val="both"/>
        <w:rPr>
          <w:rStyle w:val="Gvdemetni3a"/>
        </w:rPr>
      </w:pPr>
    </w:p>
    <w:p w14:paraId="0AFE9093" w14:textId="7A91CB32" w:rsidR="00C45569" w:rsidRPr="00D53A2B" w:rsidRDefault="00FA6E05" w:rsidP="00A202FD">
      <w:pPr>
        <w:pStyle w:val="MET"/>
        <w:rPr>
          <w:rStyle w:val="Gvdemetni3a"/>
          <w:szCs w:val="24"/>
        </w:rPr>
      </w:pPr>
      <w:r w:rsidRPr="00D53A2B">
        <w:rPr>
          <w:rStyle w:val="Gvdemetni3a"/>
          <w:szCs w:val="24"/>
        </w:rPr>
        <w:t xml:space="preserve">MET 35: </w:t>
      </w:r>
      <w:r w:rsidRPr="00D53A2B">
        <w:rPr>
          <w:rStyle w:val="Gvdemetni3a"/>
          <w:b w:val="0"/>
          <w:bCs/>
          <w:szCs w:val="24"/>
        </w:rPr>
        <w:t>Proses-entegre tekniklerin uygulanması yoluyla kurutma ve öğütme bölümünden kaynaklanan NO</w:t>
      </w:r>
      <w:r w:rsidRPr="00D53A2B">
        <w:rPr>
          <w:rStyle w:val="Gvdemetni3a"/>
          <w:b w:val="0"/>
          <w:bCs/>
          <w:szCs w:val="24"/>
          <w:vertAlign w:val="subscript"/>
        </w:rPr>
        <w:t>X</w:t>
      </w:r>
      <w:r w:rsidRPr="00D53A2B">
        <w:rPr>
          <w:rStyle w:val="Gvdemetni3a"/>
          <w:b w:val="0"/>
          <w:bCs/>
          <w:szCs w:val="24"/>
        </w:rPr>
        <w:t xml:space="preserve"> emisyonlarını ve sertleştirme bandı atık gazlarını azaltmaktır.</w:t>
      </w:r>
    </w:p>
    <w:p w14:paraId="2226B970" w14:textId="77777777" w:rsidR="00C45569" w:rsidRPr="00D53A2B" w:rsidRDefault="00C45569" w:rsidP="00A202FD">
      <w:pPr>
        <w:jc w:val="both"/>
        <w:rPr>
          <w:rStyle w:val="Gvdemetni3a"/>
          <w:b/>
          <w:spacing w:val="2"/>
          <w:lang w:eastAsia="en-US"/>
        </w:rPr>
      </w:pPr>
    </w:p>
    <w:p w14:paraId="0466D9BD" w14:textId="0BC2A183" w:rsidR="00FA6E05" w:rsidRPr="00D53A2B" w:rsidRDefault="00FA6E05" w:rsidP="00A202FD">
      <w:pPr>
        <w:jc w:val="both"/>
        <w:rPr>
          <w:rStyle w:val="Gvdemetni3a"/>
          <w:b/>
          <w:bCs/>
        </w:rPr>
      </w:pPr>
      <w:r w:rsidRPr="00D53A2B">
        <w:rPr>
          <w:rStyle w:val="Gvdemetni3a"/>
          <w:b/>
          <w:bCs/>
        </w:rPr>
        <w:t>Tanım</w:t>
      </w:r>
    </w:p>
    <w:p w14:paraId="0055F3C3" w14:textId="3E6F7782" w:rsidR="00FA6E05" w:rsidRPr="00D53A2B" w:rsidRDefault="00FA6E05" w:rsidP="00A202FD">
      <w:pPr>
        <w:jc w:val="both"/>
        <w:rPr>
          <w:rStyle w:val="Gvdemetni710pt3"/>
          <w:b w:val="0"/>
          <w:bCs w:val="0"/>
          <w:sz w:val="24"/>
          <w:szCs w:val="24"/>
        </w:rPr>
      </w:pPr>
      <w:r w:rsidRPr="00D53A2B">
        <w:rPr>
          <w:rStyle w:val="Gvdemetni710pt3"/>
          <w:b w:val="0"/>
          <w:bCs w:val="0"/>
          <w:sz w:val="24"/>
          <w:szCs w:val="24"/>
        </w:rPr>
        <w:t>Tüm yakma bölümlerinden düşük azot oksit (NO</w:t>
      </w:r>
      <w:r w:rsidRPr="00D53A2B">
        <w:rPr>
          <w:rStyle w:val="Gvdemetni710pt3"/>
          <w:b w:val="0"/>
          <w:bCs w:val="0"/>
          <w:sz w:val="24"/>
          <w:szCs w:val="24"/>
          <w:vertAlign w:val="subscript"/>
        </w:rPr>
        <w:t>X</w:t>
      </w:r>
      <w:r w:rsidRPr="00D53A2B">
        <w:rPr>
          <w:rStyle w:val="Gvdemetni710pt3"/>
          <w:b w:val="0"/>
          <w:bCs w:val="0"/>
          <w:sz w:val="24"/>
          <w:szCs w:val="24"/>
        </w:rPr>
        <w:t>) emisyonları için tesis tasarımı, özel çözümlerle optimize edilmelidir. Termal NO</w:t>
      </w:r>
      <w:r w:rsidRPr="00D53A2B">
        <w:rPr>
          <w:rStyle w:val="Gvdemetni710pt3"/>
          <w:b w:val="0"/>
          <w:bCs w:val="0"/>
          <w:sz w:val="24"/>
          <w:szCs w:val="24"/>
          <w:vertAlign w:val="subscript"/>
        </w:rPr>
        <w:t>X</w:t>
      </w:r>
      <w:r w:rsidRPr="00D53A2B">
        <w:rPr>
          <w:rStyle w:val="Gvdemetni710pt3"/>
          <w:b w:val="0"/>
          <w:bCs w:val="0"/>
          <w:sz w:val="24"/>
          <w:szCs w:val="24"/>
        </w:rPr>
        <w:t xml:space="preserve"> oluşumunun azaltılması, brülörlerdeki (en üst) sıcaklığın düşürülmesi ve yanma havasındaki fazla oksijenin azaltılmasıyla sağlanabilir. Ayrıca, yakıttaki (kömür ve petrol) düşük enerji kullanımı ve düşük azot içeriğinin bir araya gelmesiyle daha düşük NO</w:t>
      </w:r>
      <w:r w:rsidRPr="00D53A2B">
        <w:rPr>
          <w:rStyle w:val="Gvdemetni710pt3"/>
          <w:b w:val="0"/>
          <w:bCs w:val="0"/>
          <w:sz w:val="24"/>
          <w:szCs w:val="24"/>
          <w:vertAlign w:val="subscript"/>
        </w:rPr>
        <w:t>X</w:t>
      </w:r>
      <w:r w:rsidRPr="00D53A2B">
        <w:rPr>
          <w:rStyle w:val="Gvdemetni710pt3"/>
          <w:b w:val="0"/>
          <w:bCs w:val="0"/>
          <w:sz w:val="24"/>
          <w:szCs w:val="24"/>
        </w:rPr>
        <w:t xml:space="preserve"> emisyonları elde edilebilir.</w:t>
      </w:r>
    </w:p>
    <w:p w14:paraId="5C6CA69B" w14:textId="77777777" w:rsidR="00FA6E05" w:rsidRPr="00D53A2B" w:rsidRDefault="00FA6E05" w:rsidP="00A202FD">
      <w:pPr>
        <w:jc w:val="both"/>
        <w:rPr>
          <w:rStyle w:val="Gvdemetni710pt3"/>
          <w:b w:val="0"/>
          <w:bCs w:val="0"/>
          <w:sz w:val="24"/>
          <w:szCs w:val="24"/>
        </w:rPr>
      </w:pPr>
    </w:p>
    <w:p w14:paraId="2E427394" w14:textId="123580A1" w:rsidR="00FA6E05" w:rsidRPr="00D53A2B" w:rsidRDefault="00FA6E05" w:rsidP="00A202FD">
      <w:pPr>
        <w:pStyle w:val="MET"/>
        <w:rPr>
          <w:rStyle w:val="Gvdemetni710pt3"/>
          <w:b/>
          <w:bCs w:val="0"/>
          <w:color w:val="000000"/>
          <w:sz w:val="24"/>
          <w:szCs w:val="24"/>
        </w:rPr>
      </w:pPr>
      <w:r w:rsidRPr="00D53A2B">
        <w:rPr>
          <w:rStyle w:val="Gvdemetni710pt3"/>
          <w:b/>
          <w:bCs w:val="0"/>
          <w:sz w:val="24"/>
          <w:szCs w:val="24"/>
        </w:rPr>
        <w:t xml:space="preserve">MET 36: </w:t>
      </w:r>
      <w:r w:rsidRPr="00D53A2B">
        <w:rPr>
          <w:rStyle w:val="Gvdemetni710pt3"/>
          <w:sz w:val="24"/>
          <w:szCs w:val="24"/>
        </w:rPr>
        <w:t>Mevcut tesisler için, aşağıdaki tekniklerden birini uygulayarak kurutma ve öğütme bölümünden kaynaklanan NO</w:t>
      </w:r>
      <w:r w:rsidRPr="00D53A2B">
        <w:rPr>
          <w:rStyle w:val="Gvdemetni710pt3"/>
          <w:sz w:val="24"/>
          <w:szCs w:val="24"/>
          <w:vertAlign w:val="subscript"/>
        </w:rPr>
        <w:t>X</w:t>
      </w:r>
      <w:r w:rsidRPr="00D53A2B">
        <w:rPr>
          <w:rStyle w:val="Gvdemetni710pt3"/>
          <w:sz w:val="24"/>
          <w:szCs w:val="24"/>
        </w:rPr>
        <w:t xml:space="preserve"> emisyonlarını ve sertleştirme bandı atık gazları azalt</w:t>
      </w:r>
      <w:r w:rsidR="008942AC" w:rsidRPr="00D53A2B">
        <w:rPr>
          <w:rStyle w:val="Gvdemetni710pt3"/>
          <w:sz w:val="24"/>
          <w:szCs w:val="24"/>
        </w:rPr>
        <w:t>ılı</w:t>
      </w:r>
      <w:r w:rsidRPr="00D53A2B">
        <w:rPr>
          <w:rStyle w:val="Gvdemetni710pt3"/>
          <w:sz w:val="24"/>
          <w:szCs w:val="24"/>
        </w:rPr>
        <w:t>r:</w:t>
      </w:r>
    </w:p>
    <w:p w14:paraId="5CA15D3E" w14:textId="77E216B3" w:rsidR="00927D90" w:rsidRPr="00D53A2B" w:rsidRDefault="00927D90" w:rsidP="00A202FD">
      <w:pPr>
        <w:pStyle w:val="ListeParagraf"/>
        <w:numPr>
          <w:ilvl w:val="0"/>
          <w:numId w:val="106"/>
        </w:numPr>
        <w:tabs>
          <w:tab w:val="clear" w:pos="567"/>
        </w:tabs>
        <w:spacing w:line="276" w:lineRule="auto"/>
        <w:ind w:left="426" w:hanging="437"/>
        <w:rPr>
          <w:rStyle w:val="Gvdemetni710pt3"/>
          <w:b w:val="0"/>
          <w:bCs w:val="0"/>
          <w:sz w:val="24"/>
          <w:szCs w:val="24"/>
        </w:rPr>
      </w:pPr>
      <w:r w:rsidRPr="00D53A2B">
        <w:rPr>
          <w:rStyle w:val="Gvdemetni710pt3"/>
          <w:b w:val="0"/>
          <w:bCs w:val="0"/>
          <w:sz w:val="24"/>
          <w:szCs w:val="24"/>
        </w:rPr>
        <w:t xml:space="preserve">Boru sonu tekniği olarak seçici katalitik </w:t>
      </w:r>
      <w:r w:rsidR="008942AC" w:rsidRPr="00D53A2B">
        <w:rPr>
          <w:rStyle w:val="Gvdemetni710pt3"/>
          <w:b w:val="0"/>
          <w:bCs w:val="0"/>
          <w:sz w:val="24"/>
          <w:szCs w:val="24"/>
        </w:rPr>
        <w:t>indirgeme</w:t>
      </w:r>
    </w:p>
    <w:p w14:paraId="3846F034" w14:textId="7F090A37" w:rsidR="00FA6E05" w:rsidRPr="00D53A2B" w:rsidRDefault="00927D90" w:rsidP="00A202FD">
      <w:pPr>
        <w:pStyle w:val="ListeParagraf"/>
        <w:numPr>
          <w:ilvl w:val="0"/>
          <w:numId w:val="106"/>
        </w:numPr>
        <w:tabs>
          <w:tab w:val="clear" w:pos="567"/>
        </w:tabs>
        <w:spacing w:line="276" w:lineRule="auto"/>
        <w:ind w:left="426" w:hanging="437"/>
        <w:rPr>
          <w:rStyle w:val="Gvdemetni710pt3"/>
          <w:b w:val="0"/>
          <w:bCs w:val="0"/>
          <w:sz w:val="24"/>
          <w:szCs w:val="24"/>
        </w:rPr>
      </w:pPr>
      <w:r w:rsidRPr="00D53A2B">
        <w:rPr>
          <w:rStyle w:val="Gvdemetni710pt3"/>
          <w:b w:val="0"/>
          <w:bCs w:val="0"/>
          <w:sz w:val="24"/>
          <w:szCs w:val="24"/>
        </w:rPr>
        <w:t>NO</w:t>
      </w:r>
      <w:r w:rsidRPr="00D53A2B">
        <w:rPr>
          <w:rStyle w:val="Gvdemetni710pt3"/>
          <w:b w:val="0"/>
          <w:bCs w:val="0"/>
          <w:sz w:val="24"/>
          <w:szCs w:val="24"/>
          <w:vertAlign w:val="subscript"/>
        </w:rPr>
        <w:t>X</w:t>
      </w:r>
      <w:r w:rsidRPr="00D53A2B">
        <w:rPr>
          <w:rStyle w:val="Gvdemetni710pt3"/>
          <w:b w:val="0"/>
          <w:bCs w:val="0"/>
          <w:sz w:val="24"/>
          <w:szCs w:val="24"/>
        </w:rPr>
        <w:t xml:space="preserve"> azaltma verimliliği en az %80 olan diğer herhangi bir teknik.</w:t>
      </w:r>
    </w:p>
    <w:p w14:paraId="0B8DC42F" w14:textId="77777777" w:rsidR="00FA6E05" w:rsidRPr="00D53A2B" w:rsidRDefault="00FA6E05" w:rsidP="00A202FD">
      <w:pPr>
        <w:jc w:val="both"/>
        <w:rPr>
          <w:rStyle w:val="Gvdemetni710pt3"/>
          <w:b w:val="0"/>
          <w:bCs w:val="0"/>
          <w:spacing w:val="2"/>
          <w:position w:val="-1"/>
          <w:sz w:val="24"/>
          <w:szCs w:val="24"/>
          <w:lang w:val="en-US" w:eastAsia="en-US"/>
        </w:rPr>
      </w:pPr>
    </w:p>
    <w:p w14:paraId="11C618D2" w14:textId="712D4427" w:rsidR="00927D90" w:rsidRPr="00D53A2B" w:rsidRDefault="00927D90" w:rsidP="00A202FD">
      <w:pPr>
        <w:jc w:val="both"/>
        <w:rPr>
          <w:rStyle w:val="Gvdemetni710pt3"/>
          <w:sz w:val="24"/>
          <w:szCs w:val="24"/>
        </w:rPr>
      </w:pPr>
      <w:r w:rsidRPr="00D53A2B">
        <w:rPr>
          <w:rStyle w:val="Gvdemetni710pt3"/>
          <w:sz w:val="24"/>
          <w:szCs w:val="24"/>
        </w:rPr>
        <w:t>Uygulanabilirlik</w:t>
      </w:r>
    </w:p>
    <w:p w14:paraId="59118B0C" w14:textId="0CCE0E93" w:rsidR="00FA6E05" w:rsidRPr="00D53A2B" w:rsidRDefault="00927D90" w:rsidP="00A202FD">
      <w:pPr>
        <w:jc w:val="both"/>
        <w:rPr>
          <w:rStyle w:val="Gvdemetni710pt3"/>
          <w:b w:val="0"/>
          <w:bCs w:val="0"/>
          <w:sz w:val="24"/>
          <w:szCs w:val="24"/>
        </w:rPr>
      </w:pPr>
      <w:r w:rsidRPr="00D53A2B">
        <w:rPr>
          <w:rStyle w:val="Gvdemetni710pt3"/>
          <w:b w:val="0"/>
          <w:bCs w:val="0"/>
          <w:sz w:val="24"/>
          <w:szCs w:val="24"/>
        </w:rPr>
        <w:t>Mevcut tesisler için, hem düz ızgara hem de ızgara fırın sistemleri için, bir SCR reaktörüne uyması için gereken çalışma koşullarını elde etmek zordur. Yüksek maliyetler nedeniyle, bu boru sonu teknikleri yalnızca çevresel kalite standartlarının aksi takdirde karşılanmasının muhtemel olmadığı durumlarda düşünülmelidir.</w:t>
      </w:r>
    </w:p>
    <w:p w14:paraId="2CEBBBC9" w14:textId="77777777" w:rsidR="00927D90" w:rsidRPr="00D53A2B" w:rsidRDefault="00927D90" w:rsidP="00A202FD">
      <w:pPr>
        <w:jc w:val="both"/>
        <w:rPr>
          <w:rStyle w:val="Gvdemetni710pt3"/>
          <w:b w:val="0"/>
          <w:bCs w:val="0"/>
          <w:sz w:val="24"/>
          <w:szCs w:val="24"/>
        </w:rPr>
      </w:pPr>
    </w:p>
    <w:p w14:paraId="28CDED80" w14:textId="55EC48E4" w:rsidR="00927D90" w:rsidRPr="00D53A2B" w:rsidRDefault="00927D90" w:rsidP="00A202FD">
      <w:pPr>
        <w:jc w:val="both"/>
        <w:rPr>
          <w:rStyle w:val="Gvdemetni710pt3"/>
          <w:b w:val="0"/>
          <w:bCs w:val="0"/>
          <w:sz w:val="24"/>
          <w:szCs w:val="24"/>
        </w:rPr>
      </w:pPr>
      <w:r w:rsidRPr="00D53A2B">
        <w:rPr>
          <w:rStyle w:val="Gvdemetni710pt3"/>
          <w:sz w:val="24"/>
          <w:szCs w:val="24"/>
        </w:rPr>
        <w:t>MET 37:</w:t>
      </w:r>
      <w:r w:rsidRPr="00D53A2B">
        <w:rPr>
          <w:rStyle w:val="Gvdemetni710pt3"/>
          <w:b w:val="0"/>
          <w:bCs w:val="0"/>
          <w:sz w:val="24"/>
          <w:szCs w:val="24"/>
        </w:rPr>
        <w:t xml:space="preserve"> Yeni tesisler için, boru sonu tekniği olarak seçici katalitik indirgeme (SCR) uygula</w:t>
      </w:r>
      <w:r w:rsidR="00866818" w:rsidRPr="00D53A2B">
        <w:rPr>
          <w:rStyle w:val="Gvdemetni710pt3"/>
          <w:b w:val="0"/>
          <w:bCs w:val="0"/>
          <w:sz w:val="24"/>
          <w:szCs w:val="24"/>
        </w:rPr>
        <w:t>yar</w:t>
      </w:r>
      <w:r w:rsidRPr="00D53A2B">
        <w:rPr>
          <w:rStyle w:val="Gvdemetni710pt3"/>
          <w:b w:val="0"/>
          <w:bCs w:val="0"/>
          <w:sz w:val="24"/>
          <w:szCs w:val="24"/>
        </w:rPr>
        <w:t>ak kurutma ve öğütme bölümünden kaynaklanan NO</w:t>
      </w:r>
      <w:r w:rsidRPr="00D53A2B">
        <w:rPr>
          <w:rStyle w:val="Gvdemetni710pt3"/>
          <w:b w:val="0"/>
          <w:bCs w:val="0"/>
          <w:sz w:val="24"/>
          <w:szCs w:val="24"/>
          <w:vertAlign w:val="subscript"/>
        </w:rPr>
        <w:t>X</w:t>
      </w:r>
      <w:r w:rsidRPr="00D53A2B">
        <w:rPr>
          <w:rStyle w:val="Gvdemetni710pt3"/>
          <w:b w:val="0"/>
          <w:bCs w:val="0"/>
          <w:sz w:val="24"/>
          <w:szCs w:val="24"/>
        </w:rPr>
        <w:t xml:space="preserve"> emisyonlarını ve sertleştirme </w:t>
      </w:r>
      <w:r w:rsidR="00866818" w:rsidRPr="00D53A2B">
        <w:rPr>
          <w:rStyle w:val="Gvdemetni710pt3"/>
          <w:b w:val="0"/>
          <w:bCs w:val="0"/>
          <w:sz w:val="24"/>
          <w:szCs w:val="24"/>
        </w:rPr>
        <w:t>bandı</w:t>
      </w:r>
      <w:r w:rsidRPr="00D53A2B">
        <w:rPr>
          <w:rStyle w:val="Gvdemetni710pt3"/>
          <w:b w:val="0"/>
          <w:bCs w:val="0"/>
          <w:sz w:val="24"/>
          <w:szCs w:val="24"/>
        </w:rPr>
        <w:t xml:space="preserve"> atık gazları</w:t>
      </w:r>
      <w:r w:rsidR="00866818" w:rsidRPr="00D53A2B">
        <w:rPr>
          <w:rStyle w:val="Gvdemetni710pt3"/>
          <w:b w:val="0"/>
          <w:bCs w:val="0"/>
          <w:sz w:val="24"/>
          <w:szCs w:val="24"/>
        </w:rPr>
        <w:t xml:space="preserve"> azaltılabilir</w:t>
      </w:r>
      <w:r w:rsidRPr="00D53A2B">
        <w:rPr>
          <w:rStyle w:val="Gvdemetni710pt3"/>
          <w:b w:val="0"/>
          <w:bCs w:val="0"/>
          <w:sz w:val="24"/>
          <w:szCs w:val="24"/>
        </w:rPr>
        <w:t>.</w:t>
      </w:r>
    </w:p>
    <w:p w14:paraId="174AC9AF" w14:textId="77777777" w:rsidR="00927D90" w:rsidRPr="00D53A2B" w:rsidRDefault="00927D90" w:rsidP="00A202FD">
      <w:pPr>
        <w:jc w:val="both"/>
        <w:rPr>
          <w:rStyle w:val="Gvdemetni710pt3"/>
          <w:b w:val="0"/>
          <w:bCs w:val="0"/>
          <w:sz w:val="24"/>
          <w:szCs w:val="24"/>
        </w:rPr>
      </w:pPr>
    </w:p>
    <w:p w14:paraId="36A02CD8" w14:textId="626A7AE9" w:rsidR="00927D90" w:rsidRPr="00D53A2B" w:rsidRDefault="00866818" w:rsidP="00A202FD">
      <w:pPr>
        <w:pStyle w:val="Balk4"/>
        <w:rPr>
          <w:rStyle w:val="Gvdemetni710pt3"/>
          <w:b/>
          <w:bCs w:val="0"/>
          <w:iCs w:val="0"/>
          <w:sz w:val="24"/>
          <w:szCs w:val="24"/>
        </w:rPr>
      </w:pPr>
      <w:r w:rsidRPr="00D53A2B">
        <w:rPr>
          <w:rStyle w:val="Gvdemetni710pt3"/>
          <w:b/>
          <w:bCs w:val="0"/>
          <w:iCs w:val="0"/>
          <w:sz w:val="24"/>
          <w:szCs w:val="24"/>
        </w:rPr>
        <w:t xml:space="preserve">3.2. </w:t>
      </w:r>
      <w:r w:rsidR="005F7406" w:rsidRPr="00D53A2B">
        <w:rPr>
          <w:rStyle w:val="Gvdemetni710pt3"/>
          <w:b/>
          <w:bCs w:val="0"/>
          <w:iCs w:val="0"/>
          <w:sz w:val="24"/>
          <w:szCs w:val="24"/>
        </w:rPr>
        <w:t>Su ve Atıksu</w:t>
      </w:r>
    </w:p>
    <w:p w14:paraId="3B68C92B" w14:textId="29C57D84" w:rsidR="005F7406" w:rsidRPr="00D53A2B" w:rsidRDefault="005F7406" w:rsidP="00A202FD">
      <w:pPr>
        <w:pStyle w:val="MET"/>
        <w:rPr>
          <w:rStyle w:val="Gvdemetni710pt3"/>
          <w:b/>
          <w:bCs w:val="0"/>
          <w:sz w:val="24"/>
          <w:szCs w:val="24"/>
        </w:rPr>
      </w:pPr>
      <w:r w:rsidRPr="00D53A2B">
        <w:rPr>
          <w:rStyle w:val="Gvdemetni710pt3"/>
          <w:b/>
          <w:bCs w:val="0"/>
          <w:sz w:val="24"/>
          <w:szCs w:val="24"/>
        </w:rPr>
        <w:t xml:space="preserve">MET 38: </w:t>
      </w:r>
      <w:r w:rsidRPr="00D53A2B">
        <w:rPr>
          <w:rStyle w:val="Gvdemetni710pt3"/>
          <w:sz w:val="24"/>
          <w:szCs w:val="24"/>
        </w:rPr>
        <w:t>Peletleme tesisleri için yıkama, durulama ve soğutma suyunun tüketimini ve deşarjını en aza indirmek ve mümkün olduğunca yeniden kullanmaktır.</w:t>
      </w:r>
    </w:p>
    <w:p w14:paraId="2759E04A" w14:textId="77777777" w:rsidR="00927D90" w:rsidRPr="00D53A2B" w:rsidRDefault="00927D90" w:rsidP="00A202FD">
      <w:pPr>
        <w:jc w:val="both"/>
        <w:rPr>
          <w:rStyle w:val="Gvdemetni710pt3"/>
          <w:b w:val="0"/>
          <w:bCs w:val="0"/>
          <w:spacing w:val="2"/>
          <w:sz w:val="24"/>
          <w:szCs w:val="24"/>
          <w:lang w:eastAsia="en-US"/>
        </w:rPr>
      </w:pPr>
    </w:p>
    <w:p w14:paraId="040150E2" w14:textId="1830D0BD" w:rsidR="00655F7A" w:rsidRPr="00D53A2B" w:rsidRDefault="00655F7A" w:rsidP="00A202FD">
      <w:pPr>
        <w:pStyle w:val="MET"/>
        <w:rPr>
          <w:rStyle w:val="Gvdemetni710pt3"/>
          <w:b/>
          <w:bCs w:val="0"/>
          <w:sz w:val="24"/>
          <w:szCs w:val="24"/>
        </w:rPr>
      </w:pPr>
      <w:r w:rsidRPr="00D53A2B">
        <w:rPr>
          <w:rStyle w:val="Gvdemetni710pt3"/>
          <w:b/>
          <w:bCs w:val="0"/>
          <w:sz w:val="24"/>
          <w:szCs w:val="24"/>
        </w:rPr>
        <w:t xml:space="preserve">MET 39: </w:t>
      </w:r>
      <w:r w:rsidRPr="00D53A2B">
        <w:rPr>
          <w:rStyle w:val="Gvdemetni710pt3"/>
          <w:sz w:val="24"/>
          <w:szCs w:val="24"/>
        </w:rPr>
        <w:t>Peletleme tesisleri için aşağıdaki tekniklerin bir kombinasyonunu kullanarak atıksuyu deşarjdan önce arıtılmasıdır:</w:t>
      </w:r>
    </w:p>
    <w:p w14:paraId="472DF4FB" w14:textId="08E2B2A3" w:rsidR="00655F7A" w:rsidRPr="00D53A2B" w:rsidRDefault="00655F7A" w:rsidP="00A202FD">
      <w:pPr>
        <w:pStyle w:val="ListeParagraf"/>
        <w:numPr>
          <w:ilvl w:val="0"/>
          <w:numId w:val="107"/>
        </w:numPr>
        <w:tabs>
          <w:tab w:val="clear" w:pos="567"/>
        </w:tabs>
        <w:ind w:left="567" w:hanging="567"/>
        <w:rPr>
          <w:rStyle w:val="Gvdemetni710pt3"/>
          <w:b w:val="0"/>
          <w:bCs w:val="0"/>
          <w:sz w:val="24"/>
          <w:szCs w:val="24"/>
        </w:rPr>
      </w:pPr>
      <w:r w:rsidRPr="00D53A2B">
        <w:rPr>
          <w:rStyle w:val="Gvdemetni710pt3"/>
          <w:b w:val="0"/>
          <w:bCs w:val="0"/>
          <w:sz w:val="24"/>
          <w:szCs w:val="24"/>
        </w:rPr>
        <w:t>nötralizasyon</w:t>
      </w:r>
    </w:p>
    <w:p w14:paraId="22C2C72C" w14:textId="1FA37BC9" w:rsidR="00655F7A" w:rsidRPr="00D53A2B" w:rsidRDefault="00655F7A" w:rsidP="00A202FD">
      <w:pPr>
        <w:pStyle w:val="ListeParagraf"/>
        <w:numPr>
          <w:ilvl w:val="0"/>
          <w:numId w:val="107"/>
        </w:numPr>
        <w:tabs>
          <w:tab w:val="clear" w:pos="567"/>
        </w:tabs>
        <w:ind w:left="567" w:hanging="567"/>
        <w:rPr>
          <w:rStyle w:val="Gvdemetni710pt3"/>
          <w:b w:val="0"/>
          <w:bCs w:val="0"/>
          <w:sz w:val="24"/>
          <w:szCs w:val="24"/>
        </w:rPr>
      </w:pPr>
      <w:r w:rsidRPr="00D53A2B">
        <w:rPr>
          <w:rStyle w:val="Gvdemetni710pt3"/>
          <w:b w:val="0"/>
          <w:bCs w:val="0"/>
          <w:sz w:val="24"/>
          <w:szCs w:val="24"/>
        </w:rPr>
        <w:t>flokülasyon</w:t>
      </w:r>
    </w:p>
    <w:p w14:paraId="7F7A5829" w14:textId="25D91638" w:rsidR="00655F7A" w:rsidRPr="00D53A2B" w:rsidRDefault="00655F7A" w:rsidP="00A202FD">
      <w:pPr>
        <w:pStyle w:val="ListeParagraf"/>
        <w:numPr>
          <w:ilvl w:val="0"/>
          <w:numId w:val="107"/>
        </w:numPr>
        <w:tabs>
          <w:tab w:val="clear" w:pos="567"/>
        </w:tabs>
        <w:ind w:left="567" w:hanging="567"/>
        <w:rPr>
          <w:rStyle w:val="Gvdemetni710pt3"/>
          <w:b w:val="0"/>
          <w:bCs w:val="0"/>
          <w:sz w:val="24"/>
          <w:szCs w:val="24"/>
        </w:rPr>
      </w:pPr>
      <w:r w:rsidRPr="00D53A2B">
        <w:rPr>
          <w:rStyle w:val="Gvdemetni710pt3"/>
          <w:b w:val="0"/>
          <w:bCs w:val="0"/>
          <w:sz w:val="24"/>
          <w:szCs w:val="24"/>
        </w:rPr>
        <w:t>sedimentasyon</w:t>
      </w:r>
    </w:p>
    <w:p w14:paraId="3B9FC144" w14:textId="7F36EE2D" w:rsidR="00655F7A" w:rsidRPr="00D53A2B" w:rsidRDefault="00655F7A" w:rsidP="00A202FD">
      <w:pPr>
        <w:pStyle w:val="ListeParagraf"/>
        <w:numPr>
          <w:ilvl w:val="0"/>
          <w:numId w:val="107"/>
        </w:numPr>
        <w:tabs>
          <w:tab w:val="clear" w:pos="567"/>
        </w:tabs>
        <w:ind w:left="567" w:hanging="567"/>
        <w:rPr>
          <w:rStyle w:val="Gvdemetni710pt3"/>
          <w:b w:val="0"/>
          <w:bCs w:val="0"/>
          <w:sz w:val="24"/>
          <w:szCs w:val="24"/>
        </w:rPr>
      </w:pPr>
      <w:r w:rsidRPr="00D53A2B">
        <w:rPr>
          <w:rStyle w:val="Gvdemetni710pt3"/>
          <w:b w:val="0"/>
          <w:bCs w:val="0"/>
          <w:sz w:val="24"/>
          <w:szCs w:val="24"/>
        </w:rPr>
        <w:t>kum filtrasyonu</w:t>
      </w:r>
    </w:p>
    <w:p w14:paraId="60C90576" w14:textId="5E78F813" w:rsidR="00655F7A" w:rsidRPr="00D53A2B" w:rsidRDefault="00655F7A" w:rsidP="00A202FD">
      <w:pPr>
        <w:pStyle w:val="ListeParagraf"/>
        <w:numPr>
          <w:ilvl w:val="0"/>
          <w:numId w:val="107"/>
        </w:numPr>
        <w:tabs>
          <w:tab w:val="clear" w:pos="567"/>
        </w:tabs>
        <w:ind w:left="567" w:hanging="567"/>
        <w:rPr>
          <w:rStyle w:val="Gvdemetni710pt3"/>
          <w:b w:val="0"/>
          <w:bCs w:val="0"/>
          <w:sz w:val="24"/>
          <w:szCs w:val="24"/>
        </w:rPr>
      </w:pPr>
      <w:r w:rsidRPr="00D53A2B">
        <w:rPr>
          <w:rStyle w:val="Gvdemetni710pt3"/>
          <w:b w:val="0"/>
          <w:bCs w:val="0"/>
          <w:sz w:val="24"/>
          <w:szCs w:val="24"/>
        </w:rPr>
        <w:t>ağır metal çökelmesi</w:t>
      </w:r>
    </w:p>
    <w:p w14:paraId="58F487F1" w14:textId="77777777" w:rsidR="00655F7A" w:rsidRPr="00D53A2B" w:rsidRDefault="00655F7A" w:rsidP="00A202FD">
      <w:pPr>
        <w:jc w:val="both"/>
        <w:rPr>
          <w:rStyle w:val="Gvdemetni710pt3"/>
          <w:b w:val="0"/>
          <w:bCs w:val="0"/>
          <w:spacing w:val="2"/>
          <w:position w:val="-1"/>
          <w:sz w:val="24"/>
          <w:szCs w:val="24"/>
          <w:lang w:val="en-US" w:eastAsia="en-US"/>
        </w:rPr>
      </w:pPr>
    </w:p>
    <w:p w14:paraId="5B07532D" w14:textId="47265C2D" w:rsidR="00655F7A" w:rsidRPr="00D53A2B" w:rsidRDefault="00655F7A" w:rsidP="00A202FD">
      <w:pPr>
        <w:jc w:val="both"/>
        <w:rPr>
          <w:rStyle w:val="Gvdemetni710pt3"/>
          <w:b w:val="0"/>
          <w:bCs w:val="0"/>
          <w:sz w:val="24"/>
          <w:szCs w:val="24"/>
        </w:rPr>
      </w:pPr>
      <w:r w:rsidRPr="00D53A2B">
        <w:rPr>
          <w:rStyle w:val="Gvdemetni710pt3"/>
          <w:b w:val="0"/>
          <w:bCs w:val="0"/>
          <w:sz w:val="24"/>
          <w:szCs w:val="24"/>
        </w:rPr>
        <w:t xml:space="preserve">Nitelikli rastgele </w:t>
      </w:r>
      <w:r w:rsidR="00D669B6" w:rsidRPr="00D53A2B">
        <w:rPr>
          <w:rStyle w:val="Gvdemetni710pt3"/>
          <w:b w:val="0"/>
          <w:bCs w:val="0"/>
          <w:sz w:val="24"/>
          <w:szCs w:val="24"/>
        </w:rPr>
        <w:t>numune almaya</w:t>
      </w:r>
      <w:r w:rsidRPr="00D53A2B">
        <w:rPr>
          <w:rStyle w:val="Gvdemetni710pt3"/>
          <w:b w:val="0"/>
          <w:bCs w:val="0"/>
          <w:sz w:val="24"/>
          <w:szCs w:val="24"/>
        </w:rPr>
        <w:t xml:space="preserve"> veya 24 saatlik </w:t>
      </w:r>
      <w:r w:rsidR="00D669B6" w:rsidRPr="00D53A2B">
        <w:rPr>
          <w:rStyle w:val="Gvdemetni710pt3"/>
          <w:b w:val="0"/>
          <w:bCs w:val="0"/>
          <w:sz w:val="24"/>
          <w:szCs w:val="24"/>
        </w:rPr>
        <w:t>kompozit numune</w:t>
      </w:r>
      <w:r w:rsidRPr="00D53A2B">
        <w:rPr>
          <w:rStyle w:val="Gvdemetni710pt3"/>
          <w:b w:val="0"/>
          <w:bCs w:val="0"/>
          <w:sz w:val="24"/>
          <w:szCs w:val="24"/>
        </w:rPr>
        <w:t xml:space="preserve"> esas alınarak hesaplanan </w:t>
      </w:r>
      <w:r w:rsidR="00D669B6" w:rsidRPr="00D53A2B">
        <w:rPr>
          <w:rStyle w:val="Gvdemetni710pt3"/>
          <w:b w:val="0"/>
          <w:bCs w:val="0"/>
          <w:sz w:val="24"/>
          <w:szCs w:val="24"/>
        </w:rPr>
        <w:t>MET</w:t>
      </w:r>
      <w:r w:rsidRPr="00D53A2B">
        <w:rPr>
          <w:rStyle w:val="Gvdemetni710pt3"/>
          <w:b w:val="0"/>
          <w:bCs w:val="0"/>
          <w:sz w:val="24"/>
          <w:szCs w:val="24"/>
        </w:rPr>
        <w:t xml:space="preserve"> ile ilişkili emisyon seviyeleri şunlardır:</w:t>
      </w:r>
    </w:p>
    <w:p w14:paraId="34615C56" w14:textId="77777777" w:rsidR="00FA6E05" w:rsidRPr="00D53A2B" w:rsidRDefault="00FA6E05" w:rsidP="00A202FD">
      <w:pPr>
        <w:jc w:val="both"/>
        <w:rPr>
          <w:rStyle w:val="Gvdemetni710pt3"/>
          <w:b w:val="0"/>
          <w:bCs w:val="0"/>
          <w:sz w:val="24"/>
          <w:szCs w:val="24"/>
        </w:rPr>
      </w:pPr>
    </w:p>
    <w:tbl>
      <w:tblPr>
        <w:tblStyle w:val="TabloKlavuzu"/>
        <w:tblW w:w="0" w:type="auto"/>
        <w:tblLook w:val="04A0" w:firstRow="1" w:lastRow="0" w:firstColumn="1" w:lastColumn="0" w:noHBand="0" w:noVBand="1"/>
      </w:tblPr>
      <w:tblGrid>
        <w:gridCol w:w="4331"/>
        <w:gridCol w:w="4291"/>
      </w:tblGrid>
      <w:tr w:rsidR="00F17C79" w14:paraId="7F416CCA" w14:textId="77777777" w:rsidTr="000A5F0F">
        <w:tc>
          <w:tcPr>
            <w:tcW w:w="4531" w:type="dxa"/>
          </w:tcPr>
          <w:p w14:paraId="58B1DD93" w14:textId="77777777" w:rsidR="00F17C79" w:rsidRDefault="00F17C79" w:rsidP="000A5F0F">
            <w:r>
              <w:t>Askıda Katı Maddeler</w:t>
            </w:r>
            <w:r>
              <w:tab/>
            </w:r>
          </w:p>
        </w:tc>
        <w:tc>
          <w:tcPr>
            <w:tcW w:w="4531" w:type="dxa"/>
          </w:tcPr>
          <w:p w14:paraId="3A8E46DD" w14:textId="77777777" w:rsidR="00F17C79" w:rsidRDefault="00F17C79" w:rsidP="000A5F0F">
            <w:r>
              <w:t>&lt; 50 mg/l</w:t>
            </w:r>
          </w:p>
        </w:tc>
      </w:tr>
      <w:tr w:rsidR="00F17C79" w14:paraId="3C27FC25" w14:textId="77777777" w:rsidTr="000A5F0F">
        <w:tc>
          <w:tcPr>
            <w:tcW w:w="4531" w:type="dxa"/>
          </w:tcPr>
          <w:p w14:paraId="0BF77FCA" w14:textId="77777777" w:rsidR="00F17C79" w:rsidRDefault="00F17C79" w:rsidP="000A5F0F">
            <w:r>
              <w:t>Kimyasal Oksijen İhtiyacı (KOİ(1))</w:t>
            </w:r>
          </w:p>
        </w:tc>
        <w:tc>
          <w:tcPr>
            <w:tcW w:w="4531" w:type="dxa"/>
          </w:tcPr>
          <w:p w14:paraId="30EE2C58" w14:textId="77777777" w:rsidR="00F17C79" w:rsidRDefault="00F17C79" w:rsidP="000A5F0F">
            <w:r>
              <w:t>&lt; 160 mg/l</w:t>
            </w:r>
          </w:p>
        </w:tc>
      </w:tr>
      <w:tr w:rsidR="00F17C79" w14:paraId="1BA7A67D" w14:textId="77777777" w:rsidTr="000A5F0F">
        <w:tc>
          <w:tcPr>
            <w:tcW w:w="4531" w:type="dxa"/>
          </w:tcPr>
          <w:p w14:paraId="6500D88D" w14:textId="77777777" w:rsidR="00F17C79" w:rsidRDefault="00F17C79" w:rsidP="000A5F0F">
            <w:r>
              <w:t>Kjeldahl Azotu</w:t>
            </w:r>
            <w:r>
              <w:tab/>
            </w:r>
          </w:p>
        </w:tc>
        <w:tc>
          <w:tcPr>
            <w:tcW w:w="4531" w:type="dxa"/>
          </w:tcPr>
          <w:p w14:paraId="6C809381" w14:textId="77777777" w:rsidR="00F17C79" w:rsidRDefault="00F17C79" w:rsidP="000A5F0F">
            <w:r>
              <w:t>&lt; 45 mg/l</w:t>
            </w:r>
          </w:p>
        </w:tc>
      </w:tr>
      <w:tr w:rsidR="00F17C79" w14:paraId="5DE7FF00" w14:textId="77777777" w:rsidTr="000A5F0F">
        <w:tc>
          <w:tcPr>
            <w:tcW w:w="4531" w:type="dxa"/>
          </w:tcPr>
          <w:p w14:paraId="09AACF2C" w14:textId="77777777" w:rsidR="00F17C79" w:rsidRDefault="00F17C79" w:rsidP="000A5F0F">
            <w:r>
              <w:t>Ağır Metaller</w:t>
            </w:r>
            <w:r>
              <w:tab/>
            </w:r>
          </w:p>
          <w:p w14:paraId="78DA8294" w14:textId="77777777" w:rsidR="00F17C79" w:rsidRDefault="00F17C79" w:rsidP="000A5F0F">
            <w:r>
              <w:lastRenderedPageBreak/>
              <w:t>(Arsenik (As), Kadmiyum (Cd), Krom (Cr), Bakır (Cu), Cıva (Hg), Nikel (Ni), Kurşun (Pb) Ve Çinkonun (Zn) Toplamı).</w:t>
            </w:r>
          </w:p>
          <w:p w14:paraId="71D05F6C" w14:textId="77777777" w:rsidR="00F17C79" w:rsidRDefault="00F17C79" w:rsidP="000A5F0F">
            <w:r>
              <w:tab/>
            </w:r>
          </w:p>
        </w:tc>
        <w:tc>
          <w:tcPr>
            <w:tcW w:w="4531" w:type="dxa"/>
          </w:tcPr>
          <w:p w14:paraId="61E9B595" w14:textId="77777777" w:rsidR="00F17C79" w:rsidRDefault="00F17C79" w:rsidP="000A5F0F">
            <w:r>
              <w:lastRenderedPageBreak/>
              <w:t>&lt; 0,55 mg/l</w:t>
            </w:r>
          </w:p>
        </w:tc>
      </w:tr>
      <w:tr w:rsidR="00F17C79" w14:paraId="1E40CA32" w14:textId="77777777" w:rsidTr="000A5F0F">
        <w:tc>
          <w:tcPr>
            <w:tcW w:w="9062" w:type="dxa"/>
            <w:gridSpan w:val="2"/>
          </w:tcPr>
          <w:p w14:paraId="282E9617" w14:textId="77777777" w:rsidR="00F17C79" w:rsidRPr="00473314" w:rsidRDefault="00F17C79" w:rsidP="000A5F0F">
            <w:pPr>
              <w:jc w:val="both"/>
              <w:rPr>
                <w:sz w:val="20"/>
                <w:szCs w:val="20"/>
              </w:rPr>
            </w:pPr>
            <w:r w:rsidRPr="00473314">
              <w:rPr>
                <w:sz w:val="20"/>
                <w:szCs w:val="20"/>
              </w:rPr>
              <w:t>(1) Bazı durumlarda, KOİ yerine TOK ölçülür (KOİ analizinde kullanılan HgCl2’den kaçınmak için). KOİ ve TOK arasındaki korelasyon, her peletleme tesisi için vaka bazında ayrıntılı olarak açıklanmalıdır. KOİ/TOKoranı yaklaşık olarak iki ile dört arasında değişebilir.</w:t>
            </w:r>
          </w:p>
        </w:tc>
      </w:tr>
    </w:tbl>
    <w:p w14:paraId="2B773B8E" w14:textId="77777777" w:rsidR="00D669B6" w:rsidRPr="00D53A2B" w:rsidRDefault="00D669B6" w:rsidP="00A202FD">
      <w:pPr>
        <w:jc w:val="both"/>
      </w:pPr>
    </w:p>
    <w:p w14:paraId="669642E7" w14:textId="5FC6350E" w:rsidR="00D669B6" w:rsidRPr="00D53A2B" w:rsidRDefault="0028659A" w:rsidP="00A202FD">
      <w:pPr>
        <w:pStyle w:val="Balk4"/>
        <w:rPr>
          <w:rFonts w:cs="Times New Roman"/>
        </w:rPr>
      </w:pPr>
      <w:r w:rsidRPr="00D53A2B">
        <w:rPr>
          <w:rFonts w:cs="Times New Roman"/>
        </w:rPr>
        <w:t xml:space="preserve">3.3. </w:t>
      </w:r>
      <w:r w:rsidR="00D669B6" w:rsidRPr="00D53A2B">
        <w:rPr>
          <w:rFonts w:cs="Times New Roman"/>
        </w:rPr>
        <w:t>Üretim kalıntılar</w:t>
      </w:r>
      <w:r w:rsidRPr="00D53A2B">
        <w:rPr>
          <w:rFonts w:cs="Times New Roman"/>
        </w:rPr>
        <w:t>ı</w:t>
      </w:r>
    </w:p>
    <w:p w14:paraId="6C8A1B56" w14:textId="06AFBA77" w:rsidR="00D669B6" w:rsidRPr="00D53A2B" w:rsidRDefault="00D669B6" w:rsidP="00A202FD">
      <w:pPr>
        <w:pStyle w:val="MET"/>
        <w:rPr>
          <w:szCs w:val="24"/>
        </w:rPr>
      </w:pPr>
      <w:r w:rsidRPr="00D53A2B">
        <w:rPr>
          <w:szCs w:val="24"/>
        </w:rPr>
        <w:t xml:space="preserve">MET 40: </w:t>
      </w:r>
      <w:r w:rsidRPr="00D53A2B">
        <w:rPr>
          <w:b w:val="0"/>
          <w:bCs/>
          <w:szCs w:val="24"/>
        </w:rPr>
        <w:t>Peletleme tesislerinden atık oluşumu, yerinde etkili geri dönüşüm veya kalıntıların (yani, küçük boyutlu yeşil ve ısıl işlem görmüş peletlerin) yeniden kullanımı yoluyla önlen</w:t>
      </w:r>
      <w:r w:rsidR="0028659A" w:rsidRPr="00D53A2B">
        <w:rPr>
          <w:b w:val="0"/>
          <w:bCs/>
          <w:szCs w:val="24"/>
        </w:rPr>
        <w:t>ebilir</w:t>
      </w:r>
      <w:r w:rsidRPr="00D53A2B">
        <w:rPr>
          <w:b w:val="0"/>
          <w:bCs/>
          <w:szCs w:val="24"/>
        </w:rPr>
        <w:t>.</w:t>
      </w:r>
    </w:p>
    <w:p w14:paraId="2BD9AA58" w14:textId="3458EBB5" w:rsidR="00D669B6" w:rsidRPr="00D53A2B" w:rsidRDefault="00D669B6" w:rsidP="00A202FD">
      <w:pPr>
        <w:pStyle w:val="MET"/>
        <w:rPr>
          <w:b w:val="0"/>
          <w:bCs/>
          <w:szCs w:val="24"/>
        </w:rPr>
      </w:pPr>
      <w:r w:rsidRPr="00D53A2B">
        <w:rPr>
          <w:b w:val="0"/>
          <w:bCs/>
          <w:szCs w:val="24"/>
        </w:rPr>
        <w:t>MET, atıksu arıtımından kaynaklanan ve kaçınılması veya geri dönüştürülmesi mümkün olmayan pelet tesisi proses artıklarını, yani çamuru kontrollü bir şekilde yönetmektir.</w:t>
      </w:r>
    </w:p>
    <w:p w14:paraId="3D7CC03E" w14:textId="77777777" w:rsidR="00D669B6" w:rsidRPr="00D53A2B" w:rsidRDefault="00D669B6" w:rsidP="00A202FD">
      <w:pPr>
        <w:jc w:val="both"/>
      </w:pPr>
    </w:p>
    <w:p w14:paraId="5C6CF2BD" w14:textId="69204C15" w:rsidR="00D669B6" w:rsidRPr="00D53A2B" w:rsidRDefault="0028659A" w:rsidP="00A202FD">
      <w:pPr>
        <w:pStyle w:val="Balk4"/>
        <w:rPr>
          <w:rFonts w:cs="Times New Roman"/>
        </w:rPr>
      </w:pPr>
      <w:r w:rsidRPr="00D53A2B">
        <w:rPr>
          <w:rFonts w:cs="Times New Roman"/>
        </w:rPr>
        <w:t xml:space="preserve">3.4. </w:t>
      </w:r>
      <w:r w:rsidR="00D669B6" w:rsidRPr="00D53A2B">
        <w:rPr>
          <w:rFonts w:cs="Times New Roman"/>
        </w:rPr>
        <w:t>Enerji</w:t>
      </w:r>
    </w:p>
    <w:p w14:paraId="18A47858" w14:textId="7B5585E2" w:rsidR="00D669B6" w:rsidRPr="00D53A2B" w:rsidRDefault="00D669B6" w:rsidP="00A202FD">
      <w:pPr>
        <w:pStyle w:val="MET"/>
        <w:rPr>
          <w:szCs w:val="24"/>
        </w:rPr>
      </w:pPr>
      <w:r w:rsidRPr="00D53A2B">
        <w:rPr>
          <w:szCs w:val="24"/>
        </w:rPr>
        <w:t xml:space="preserve">MET 41: </w:t>
      </w:r>
      <w:r w:rsidR="0028659A" w:rsidRPr="00D53A2B">
        <w:rPr>
          <w:b w:val="0"/>
          <w:bCs/>
          <w:szCs w:val="24"/>
        </w:rPr>
        <w:t>Peletleme tesislerinde termal enerji tüketimini azaltmak/en aza indirmek için a</w:t>
      </w:r>
      <w:r w:rsidRPr="00D53A2B">
        <w:rPr>
          <w:b w:val="0"/>
          <w:bCs/>
          <w:szCs w:val="24"/>
        </w:rPr>
        <w:t>şağıdaki tekniklerden biri veya birkaçı</w:t>
      </w:r>
      <w:r w:rsidR="0028659A" w:rsidRPr="00D53A2B">
        <w:rPr>
          <w:b w:val="0"/>
          <w:bCs/>
          <w:szCs w:val="24"/>
        </w:rPr>
        <w:t xml:space="preserve"> kullanılabilir:</w:t>
      </w:r>
    </w:p>
    <w:p w14:paraId="199E0E54" w14:textId="3F20C4BA" w:rsidR="00D669B6" w:rsidRPr="00D53A2B" w:rsidRDefault="00D669B6" w:rsidP="00A202FD">
      <w:pPr>
        <w:pStyle w:val="ListeParagraf"/>
        <w:numPr>
          <w:ilvl w:val="0"/>
          <w:numId w:val="12"/>
        </w:numPr>
        <w:tabs>
          <w:tab w:val="clear" w:pos="567"/>
        </w:tabs>
        <w:spacing w:line="240" w:lineRule="auto"/>
        <w:ind w:left="425" w:hanging="425"/>
        <w:rPr>
          <w:sz w:val="24"/>
          <w:szCs w:val="24"/>
        </w:rPr>
      </w:pPr>
      <w:r w:rsidRPr="00D53A2B">
        <w:rPr>
          <w:sz w:val="24"/>
          <w:szCs w:val="24"/>
        </w:rPr>
        <w:t xml:space="preserve">Mümkün olduğunca sertleştirme </w:t>
      </w:r>
      <w:r w:rsidR="0028659A" w:rsidRPr="00D53A2B">
        <w:rPr>
          <w:sz w:val="24"/>
          <w:szCs w:val="24"/>
        </w:rPr>
        <w:t xml:space="preserve">bandının </w:t>
      </w:r>
      <w:r w:rsidRPr="00D53A2B">
        <w:rPr>
          <w:sz w:val="24"/>
          <w:szCs w:val="24"/>
        </w:rPr>
        <w:t xml:space="preserve">farklı bölümlerinden gelen </w:t>
      </w:r>
      <w:r w:rsidR="00AD0F05" w:rsidRPr="00D53A2B">
        <w:rPr>
          <w:sz w:val="24"/>
          <w:szCs w:val="24"/>
        </w:rPr>
        <w:t>ölçülebilen</w:t>
      </w:r>
      <w:r w:rsidRPr="00D53A2B">
        <w:rPr>
          <w:sz w:val="24"/>
          <w:szCs w:val="24"/>
        </w:rPr>
        <w:t xml:space="preserve"> ısının entegre bir şekilde yeniden kullanılması süreci.</w:t>
      </w:r>
    </w:p>
    <w:p w14:paraId="7701D032" w14:textId="4193432C" w:rsidR="00D669B6" w:rsidRPr="00D53A2B" w:rsidRDefault="00AD0F05" w:rsidP="00A202FD">
      <w:pPr>
        <w:pStyle w:val="ListeParagraf"/>
        <w:numPr>
          <w:ilvl w:val="0"/>
          <w:numId w:val="12"/>
        </w:numPr>
        <w:tabs>
          <w:tab w:val="clear" w:pos="567"/>
        </w:tabs>
        <w:spacing w:line="240" w:lineRule="auto"/>
        <w:ind w:left="425" w:hanging="425"/>
        <w:rPr>
          <w:sz w:val="24"/>
          <w:szCs w:val="24"/>
        </w:rPr>
      </w:pPr>
      <w:r w:rsidRPr="00D53A2B">
        <w:rPr>
          <w:sz w:val="24"/>
          <w:szCs w:val="24"/>
        </w:rPr>
        <w:t>Üçüncü bir taraftan talep olması halinde, fazla atık ısının iç veya dış ısıtma şebekelerinde kullanılması.</w:t>
      </w:r>
    </w:p>
    <w:p w14:paraId="33929766" w14:textId="77777777" w:rsidR="00D669B6" w:rsidRPr="00D53A2B" w:rsidRDefault="00D669B6" w:rsidP="00A202FD">
      <w:pPr>
        <w:jc w:val="both"/>
      </w:pPr>
    </w:p>
    <w:p w14:paraId="4FA60449" w14:textId="7969EE4E" w:rsidR="00077870" w:rsidRPr="00D53A2B" w:rsidRDefault="00AD0F05" w:rsidP="00A202FD">
      <w:pPr>
        <w:jc w:val="both"/>
        <w:rPr>
          <w:rStyle w:val="Gvdemetni3a"/>
          <w:b/>
          <w:bCs/>
        </w:rPr>
      </w:pPr>
      <w:r w:rsidRPr="00D53A2B">
        <w:rPr>
          <w:rStyle w:val="Gvdemetni3a"/>
          <w:b/>
          <w:bCs/>
        </w:rPr>
        <w:t>Tanım</w:t>
      </w:r>
    </w:p>
    <w:p w14:paraId="2BAA9FD9" w14:textId="52111269" w:rsidR="00AD0F05" w:rsidRPr="00D53A2B" w:rsidRDefault="00AD0F05" w:rsidP="00A202FD">
      <w:pPr>
        <w:jc w:val="both"/>
        <w:rPr>
          <w:rStyle w:val="Gvdemetni3a"/>
        </w:rPr>
      </w:pPr>
      <w:r w:rsidRPr="00D53A2B">
        <w:rPr>
          <w:rStyle w:val="Gvdemetni3a"/>
        </w:rPr>
        <w:t xml:space="preserve">Birincil soğutma bölümünden gelen sıcak hava, ateşleme bölümünde ikincil yanma havası olarak kullanılabilir. Buna karşılık, ateşleme bölümünden gelen ısı, </w:t>
      </w:r>
      <w:r w:rsidR="0028659A" w:rsidRPr="00D53A2B">
        <w:t xml:space="preserve">sertleştirme bandının </w:t>
      </w:r>
      <w:r w:rsidRPr="00D53A2B">
        <w:rPr>
          <w:rStyle w:val="Gvdemetni3a"/>
        </w:rPr>
        <w:t>kurutma bölümünde kullanılabilir. İkincil soğutma bölümünden gelen ısı, kurutma bölümünde de kullanılabilir.</w:t>
      </w:r>
    </w:p>
    <w:p w14:paraId="007744AA" w14:textId="77777777" w:rsidR="00AD0F05" w:rsidRPr="00D53A2B" w:rsidRDefault="00AD0F05" w:rsidP="00A202FD">
      <w:pPr>
        <w:jc w:val="both"/>
        <w:rPr>
          <w:rStyle w:val="Gvdemetni3a"/>
        </w:rPr>
      </w:pPr>
    </w:p>
    <w:p w14:paraId="36293BD3" w14:textId="2EA78548" w:rsidR="00AD0F05" w:rsidRPr="00D53A2B" w:rsidRDefault="00AD0F05" w:rsidP="00A202FD">
      <w:pPr>
        <w:jc w:val="both"/>
        <w:rPr>
          <w:rStyle w:val="Gvdemetni3a"/>
        </w:rPr>
      </w:pPr>
      <w:r w:rsidRPr="00D53A2B">
        <w:rPr>
          <w:rStyle w:val="Gvdemetni3a"/>
        </w:rPr>
        <w:t xml:space="preserve">Soğutma bölümünden gelen fazla ısı, kurutma ve öğütme ünitesinin kurutma odalarında kullanılabilir. Sıcak hava, </w:t>
      </w:r>
      <w:r w:rsidR="00E56504" w:rsidRPr="00D53A2B">
        <w:rPr>
          <w:rStyle w:val="Gvdemetni3a"/>
        </w:rPr>
        <w:t>‘</w:t>
      </w:r>
      <w:r w:rsidRPr="00D53A2B">
        <w:rPr>
          <w:rStyle w:val="Gvdemetni3a"/>
        </w:rPr>
        <w:t>sıcak hava devridaim kanalı</w:t>
      </w:r>
      <w:r w:rsidR="00E56504" w:rsidRPr="00D53A2B">
        <w:rPr>
          <w:rStyle w:val="Gvdemetni3a"/>
        </w:rPr>
        <w:t>’</w:t>
      </w:r>
      <w:r w:rsidRPr="00D53A2B">
        <w:rPr>
          <w:rStyle w:val="Gvdemetni3a"/>
        </w:rPr>
        <w:t xml:space="preserve"> adı verilen yalıtımlı bir boru hattıyla taşınır.</w:t>
      </w:r>
    </w:p>
    <w:p w14:paraId="48BCD501" w14:textId="77777777" w:rsidR="00AD0F05" w:rsidRPr="00D53A2B" w:rsidRDefault="00AD0F05" w:rsidP="00A202FD">
      <w:pPr>
        <w:jc w:val="both"/>
        <w:rPr>
          <w:rStyle w:val="Gvdemetni3a"/>
        </w:rPr>
      </w:pPr>
    </w:p>
    <w:p w14:paraId="4F7F8079" w14:textId="73FC3316" w:rsidR="00AD0F05" w:rsidRPr="00D53A2B" w:rsidRDefault="00AD0F05" w:rsidP="00A202FD">
      <w:pPr>
        <w:jc w:val="both"/>
        <w:rPr>
          <w:rStyle w:val="Gvdemetni3a"/>
          <w:b/>
          <w:bCs/>
        </w:rPr>
      </w:pPr>
      <w:r w:rsidRPr="00D53A2B">
        <w:rPr>
          <w:rStyle w:val="Gvdemetni3a"/>
          <w:b/>
          <w:bCs/>
        </w:rPr>
        <w:t>Uygulanabilirlik</w:t>
      </w:r>
    </w:p>
    <w:p w14:paraId="5D4EA2F4" w14:textId="1971F4D8" w:rsidR="00AD0F05" w:rsidRPr="00D53A2B" w:rsidRDefault="00AD0F05" w:rsidP="00A202FD">
      <w:pPr>
        <w:jc w:val="both"/>
        <w:rPr>
          <w:rStyle w:val="Gvdemetni3a"/>
        </w:rPr>
      </w:pPr>
      <w:r w:rsidRPr="00D53A2B">
        <w:rPr>
          <w:rStyle w:val="Gvdemetni3a"/>
        </w:rPr>
        <w:t xml:space="preserve">Ölçülebilir ısının geri kazanımı, peletleme tesislerinin entegre bir parçasıdır. </w:t>
      </w:r>
      <w:r w:rsidR="00E56504" w:rsidRPr="00D53A2B">
        <w:rPr>
          <w:rStyle w:val="Gvdemetni3a"/>
        </w:rPr>
        <w:t>‘</w:t>
      </w:r>
      <w:r w:rsidRPr="00D53A2B">
        <w:rPr>
          <w:rStyle w:val="Gvdemetni3a"/>
        </w:rPr>
        <w:t>Sıcak hava devridaim kanalı</w:t>
      </w:r>
      <w:r w:rsidR="00E56504" w:rsidRPr="00D53A2B">
        <w:rPr>
          <w:rStyle w:val="Gvdemetni3a"/>
        </w:rPr>
        <w:t>’</w:t>
      </w:r>
      <w:r w:rsidRPr="00D53A2B">
        <w:rPr>
          <w:rStyle w:val="Gvdemetni3a"/>
        </w:rPr>
        <w:t>, benzer bir tasarıma ve yeterli ölçülebilir ısı tedarikine sahip mevcut tesislerde uygulanabilir.</w:t>
      </w:r>
    </w:p>
    <w:p w14:paraId="1C2488F4" w14:textId="77777777" w:rsidR="00AD0F05" w:rsidRPr="00D53A2B" w:rsidRDefault="00AD0F05" w:rsidP="00A202FD">
      <w:pPr>
        <w:jc w:val="both"/>
        <w:rPr>
          <w:rStyle w:val="Gvdemetni3a"/>
        </w:rPr>
      </w:pPr>
    </w:p>
    <w:p w14:paraId="59E2D5FE" w14:textId="4A62FA8E" w:rsidR="00AD0F05" w:rsidRPr="00D53A2B" w:rsidRDefault="00AD0F05" w:rsidP="00A202FD">
      <w:pPr>
        <w:jc w:val="both"/>
        <w:rPr>
          <w:rStyle w:val="Gvdemetni3a"/>
        </w:rPr>
      </w:pPr>
      <w:r w:rsidRPr="00D53A2B">
        <w:rPr>
          <w:rStyle w:val="Gvdemetni3a"/>
        </w:rPr>
        <w:t>Üçüncü bir şahsın işbirliği ve mutabakatı işletmecinin kontrolünde olmayabilir ve bu nedenle izin kapsamında olmayabilir.</w:t>
      </w:r>
    </w:p>
    <w:p w14:paraId="046C3DC2" w14:textId="77777777" w:rsidR="00AD0F05" w:rsidRPr="00D53A2B" w:rsidRDefault="00AD0F05" w:rsidP="00A202FD">
      <w:pPr>
        <w:jc w:val="both"/>
        <w:rPr>
          <w:rStyle w:val="Gvdemetni3a"/>
        </w:rPr>
      </w:pPr>
    </w:p>
    <w:p w14:paraId="4E056705" w14:textId="14DA0715" w:rsidR="00903A8D" w:rsidRPr="00D53A2B" w:rsidRDefault="0028659A" w:rsidP="00A202FD">
      <w:pPr>
        <w:pStyle w:val="Balk2"/>
        <w:rPr>
          <w:rStyle w:val="Gvdemetni3a"/>
          <w:rFonts w:cs="Times New Roman"/>
          <w:bCs/>
          <w:color w:val="000000"/>
          <w:szCs w:val="24"/>
        </w:rPr>
      </w:pPr>
      <w:r w:rsidRPr="00D53A2B">
        <w:rPr>
          <w:rStyle w:val="Balk1Arial3"/>
          <w:rFonts w:ascii="Times New Roman" w:hAnsi="Times New Roman" w:cs="Times New Roman"/>
          <w:b/>
          <w:color w:val="000000"/>
          <w:sz w:val="24"/>
          <w:szCs w:val="24"/>
        </w:rPr>
        <w:t xml:space="preserve">4. </w:t>
      </w:r>
      <w:r w:rsidR="00903A8D" w:rsidRPr="00D53A2B">
        <w:rPr>
          <w:rStyle w:val="Balk1Arial3"/>
          <w:rFonts w:ascii="Times New Roman" w:hAnsi="Times New Roman" w:cs="Times New Roman"/>
          <w:b/>
          <w:color w:val="000000"/>
          <w:sz w:val="24"/>
          <w:szCs w:val="24"/>
        </w:rPr>
        <w:t>Kok Fırını Tesisleri İçin MET Sonuçları</w:t>
      </w:r>
    </w:p>
    <w:p w14:paraId="10CCDB1A" w14:textId="4C860F4A" w:rsidR="00903A8D" w:rsidRPr="00D53A2B" w:rsidRDefault="00903A8D" w:rsidP="00A202FD">
      <w:pPr>
        <w:jc w:val="both"/>
      </w:pPr>
      <w:r w:rsidRPr="00D53A2B">
        <w:rPr>
          <w:rStyle w:val="Gvdemetni3a"/>
        </w:rPr>
        <w:t>Aksi belirtilmediği takdirde, bu bölümde belirtilen MET sonuçları, tüm kok fırın tesislerine uygulanabilir.</w:t>
      </w:r>
    </w:p>
    <w:p w14:paraId="06C8A957" w14:textId="77777777" w:rsidR="00903A8D" w:rsidRPr="00D53A2B" w:rsidRDefault="00903A8D" w:rsidP="00A202FD">
      <w:pPr>
        <w:jc w:val="both"/>
      </w:pPr>
    </w:p>
    <w:p w14:paraId="03CBDE4F" w14:textId="4BB5AB4A" w:rsidR="00903A8D" w:rsidRPr="00D53A2B" w:rsidRDefault="0028659A" w:rsidP="00A202FD">
      <w:pPr>
        <w:pStyle w:val="Balk4"/>
        <w:rPr>
          <w:rFonts w:cs="Times New Roman"/>
        </w:rPr>
      </w:pPr>
      <w:r w:rsidRPr="00D53A2B">
        <w:rPr>
          <w:rFonts w:cs="Times New Roman"/>
        </w:rPr>
        <w:lastRenderedPageBreak/>
        <w:t xml:space="preserve">4.1. </w:t>
      </w:r>
      <w:r w:rsidR="00903A8D" w:rsidRPr="00D53A2B">
        <w:rPr>
          <w:rFonts w:cs="Times New Roman"/>
        </w:rPr>
        <w:t>Hava emisyonları</w:t>
      </w:r>
    </w:p>
    <w:p w14:paraId="35F870F6" w14:textId="457ED6A2" w:rsidR="00903A8D" w:rsidRPr="00D53A2B" w:rsidRDefault="00C159C5" w:rsidP="00A202FD">
      <w:pPr>
        <w:pStyle w:val="MET"/>
        <w:rPr>
          <w:szCs w:val="24"/>
        </w:rPr>
      </w:pPr>
      <w:r w:rsidRPr="00D53A2B">
        <w:rPr>
          <w:szCs w:val="24"/>
        </w:rPr>
        <w:t xml:space="preserve">MET 42: </w:t>
      </w:r>
      <w:r w:rsidRPr="00D53A2B">
        <w:rPr>
          <w:b w:val="0"/>
          <w:bCs/>
          <w:szCs w:val="24"/>
        </w:rPr>
        <w:t>Kömür öğütme tesisleri için (kırma, öğütme, toz haline getirme ve eleme dahil kömür hazırlama) aşağıdaki tekniklerden birini veya bir kombinasyonu kullan</w:t>
      </w:r>
      <w:r w:rsidR="0028659A" w:rsidRPr="00D53A2B">
        <w:rPr>
          <w:b w:val="0"/>
          <w:bCs/>
          <w:szCs w:val="24"/>
        </w:rPr>
        <w:t>ıl</w:t>
      </w:r>
      <w:r w:rsidRPr="00D53A2B">
        <w:rPr>
          <w:b w:val="0"/>
          <w:bCs/>
          <w:szCs w:val="24"/>
        </w:rPr>
        <w:t>arak toz emisyonları önle</w:t>
      </w:r>
      <w:r w:rsidR="0028659A" w:rsidRPr="00D53A2B">
        <w:rPr>
          <w:b w:val="0"/>
          <w:bCs/>
          <w:szCs w:val="24"/>
        </w:rPr>
        <w:t>nebilir</w:t>
      </w:r>
      <w:r w:rsidRPr="00D53A2B">
        <w:rPr>
          <w:b w:val="0"/>
          <w:bCs/>
          <w:szCs w:val="24"/>
        </w:rPr>
        <w:t xml:space="preserve"> veya azalt</w:t>
      </w:r>
      <w:r w:rsidR="0028659A" w:rsidRPr="00D53A2B">
        <w:rPr>
          <w:b w:val="0"/>
          <w:bCs/>
          <w:szCs w:val="24"/>
        </w:rPr>
        <w:t>ılabilir</w:t>
      </w:r>
      <w:r w:rsidRPr="00D53A2B">
        <w:rPr>
          <w:b w:val="0"/>
          <w:bCs/>
          <w:szCs w:val="24"/>
        </w:rPr>
        <w:t>:</w:t>
      </w:r>
    </w:p>
    <w:p w14:paraId="386749EB" w14:textId="0937ADEE" w:rsidR="00903A8D" w:rsidRPr="00D53A2B" w:rsidRDefault="00C159C5" w:rsidP="00A202FD">
      <w:pPr>
        <w:pStyle w:val="ListeParagraf"/>
        <w:numPr>
          <w:ilvl w:val="0"/>
          <w:numId w:val="109"/>
        </w:numPr>
        <w:tabs>
          <w:tab w:val="clear" w:pos="567"/>
        </w:tabs>
        <w:spacing w:line="240" w:lineRule="auto"/>
        <w:ind w:left="426" w:hanging="426"/>
        <w:rPr>
          <w:sz w:val="24"/>
          <w:szCs w:val="24"/>
        </w:rPr>
      </w:pPr>
      <w:r w:rsidRPr="00D53A2B">
        <w:rPr>
          <w:sz w:val="24"/>
          <w:szCs w:val="24"/>
        </w:rPr>
        <w:t>bina ve/veya cihaz muhafazası (kırıcı, öğütücü, elekler) ve</w:t>
      </w:r>
    </w:p>
    <w:p w14:paraId="6F0FD815" w14:textId="7C3B621B" w:rsidR="00C159C5" w:rsidRPr="00D53A2B" w:rsidRDefault="00C159C5" w:rsidP="00A202FD">
      <w:pPr>
        <w:pStyle w:val="ListeParagraf"/>
        <w:numPr>
          <w:ilvl w:val="0"/>
          <w:numId w:val="109"/>
        </w:numPr>
        <w:tabs>
          <w:tab w:val="clear" w:pos="567"/>
        </w:tabs>
        <w:spacing w:line="240" w:lineRule="auto"/>
        <w:ind w:left="426" w:hanging="426"/>
        <w:rPr>
          <w:sz w:val="24"/>
          <w:szCs w:val="24"/>
        </w:rPr>
      </w:pPr>
      <w:r w:rsidRPr="00D53A2B">
        <w:rPr>
          <w:sz w:val="24"/>
          <w:szCs w:val="24"/>
        </w:rPr>
        <w:t>verimli bir şekilde çıkarılması ve sonrasında kuru toz giderme sistemlerinin kullanılması.</w:t>
      </w:r>
    </w:p>
    <w:p w14:paraId="1D175DEC" w14:textId="77777777" w:rsidR="00903A8D" w:rsidRPr="00D53A2B" w:rsidRDefault="00903A8D" w:rsidP="00A202FD">
      <w:pPr>
        <w:jc w:val="both"/>
      </w:pPr>
    </w:p>
    <w:p w14:paraId="4521CAE7" w14:textId="52625A35" w:rsidR="00C159C5" w:rsidRPr="00D53A2B" w:rsidRDefault="00C159C5" w:rsidP="00A202FD">
      <w:pPr>
        <w:jc w:val="both"/>
      </w:pPr>
      <w:r w:rsidRPr="00D53A2B">
        <w:t>Toz için MET ile ilişkili emisyon seviyesi, örnekleme periyodu boyunca ortalama olarak &lt;10–20 mg/Nm</w:t>
      </w:r>
      <w:r w:rsidRPr="00D53A2B">
        <w:rPr>
          <w:vertAlign w:val="superscript"/>
        </w:rPr>
        <w:t>3</w:t>
      </w:r>
      <w:r w:rsidR="00E56504" w:rsidRPr="00D53A2B">
        <w:t>’</w:t>
      </w:r>
      <w:r w:rsidRPr="00D53A2B">
        <w:t>tür (sürekli olmayan ölçüm, en az yarım saat boyunca anlık numuneleri).</w:t>
      </w:r>
    </w:p>
    <w:p w14:paraId="793CBC4E" w14:textId="77777777" w:rsidR="00C159C5" w:rsidRPr="00D53A2B" w:rsidRDefault="00C159C5" w:rsidP="00A202FD">
      <w:pPr>
        <w:jc w:val="both"/>
      </w:pPr>
    </w:p>
    <w:p w14:paraId="68E5E99B" w14:textId="6EF99608" w:rsidR="00C159C5" w:rsidRPr="00D53A2B" w:rsidRDefault="00C159C5" w:rsidP="00A202FD">
      <w:pPr>
        <w:pStyle w:val="MET"/>
        <w:rPr>
          <w:szCs w:val="24"/>
        </w:rPr>
      </w:pPr>
      <w:r w:rsidRPr="00D53A2B">
        <w:rPr>
          <w:szCs w:val="24"/>
        </w:rPr>
        <w:t xml:space="preserve">MET 43: </w:t>
      </w:r>
      <w:r w:rsidRPr="00D53A2B">
        <w:rPr>
          <w:b w:val="0"/>
          <w:bCs/>
          <w:szCs w:val="24"/>
        </w:rPr>
        <w:t>Toz kömürün depolanması ve işlenmesi için aşağıdaki tekniklerden birini veya bir kombinasyonunu kullanarak dağınık toz emisyonları önle</w:t>
      </w:r>
      <w:r w:rsidR="0028659A" w:rsidRPr="00D53A2B">
        <w:rPr>
          <w:b w:val="0"/>
          <w:bCs/>
          <w:szCs w:val="24"/>
        </w:rPr>
        <w:t>nebilir</w:t>
      </w:r>
      <w:r w:rsidRPr="00D53A2B">
        <w:rPr>
          <w:b w:val="0"/>
          <w:bCs/>
          <w:szCs w:val="24"/>
        </w:rPr>
        <w:t xml:space="preserve"> veya azalt</w:t>
      </w:r>
      <w:r w:rsidR="0028659A" w:rsidRPr="00D53A2B">
        <w:rPr>
          <w:b w:val="0"/>
          <w:bCs/>
          <w:szCs w:val="24"/>
        </w:rPr>
        <w:t>ılabilir</w:t>
      </w:r>
      <w:r w:rsidRPr="00D53A2B">
        <w:rPr>
          <w:b w:val="0"/>
          <w:bCs/>
          <w:szCs w:val="24"/>
        </w:rPr>
        <w:t>:</w:t>
      </w:r>
    </w:p>
    <w:p w14:paraId="251B78BB" w14:textId="5B818355" w:rsidR="00C159C5" w:rsidRPr="00D53A2B" w:rsidRDefault="00C159C5" w:rsidP="00A202FD">
      <w:pPr>
        <w:pStyle w:val="ListeParagraf"/>
        <w:numPr>
          <w:ilvl w:val="0"/>
          <w:numId w:val="110"/>
        </w:numPr>
        <w:tabs>
          <w:tab w:val="clear" w:pos="567"/>
        </w:tabs>
        <w:spacing w:line="240" w:lineRule="auto"/>
        <w:ind w:left="426" w:hanging="426"/>
        <w:rPr>
          <w:sz w:val="24"/>
          <w:szCs w:val="24"/>
        </w:rPr>
      </w:pPr>
      <w:r w:rsidRPr="00D53A2B">
        <w:rPr>
          <w:sz w:val="24"/>
          <w:szCs w:val="24"/>
        </w:rPr>
        <w:t>toz haline getirilmiş malzemelerin silolarda ve depolarda depolanması</w:t>
      </w:r>
    </w:p>
    <w:p w14:paraId="29F37214" w14:textId="62C24F7B" w:rsidR="00C159C5" w:rsidRPr="00D53A2B" w:rsidRDefault="00C159C5" w:rsidP="00A202FD">
      <w:pPr>
        <w:pStyle w:val="ListeParagraf"/>
        <w:numPr>
          <w:ilvl w:val="0"/>
          <w:numId w:val="110"/>
        </w:numPr>
        <w:tabs>
          <w:tab w:val="clear" w:pos="567"/>
        </w:tabs>
        <w:spacing w:line="240" w:lineRule="auto"/>
        <w:ind w:left="426" w:hanging="426"/>
        <w:rPr>
          <w:sz w:val="24"/>
          <w:szCs w:val="24"/>
        </w:rPr>
      </w:pPr>
      <w:r w:rsidRPr="00D53A2B">
        <w:rPr>
          <w:sz w:val="24"/>
          <w:szCs w:val="24"/>
        </w:rPr>
        <w:t>kapalı veya muhafazalı konveyörlerin kullanılması</w:t>
      </w:r>
    </w:p>
    <w:p w14:paraId="7B6C426D" w14:textId="2390EC95" w:rsidR="00C159C5" w:rsidRPr="00D53A2B" w:rsidRDefault="00C159C5" w:rsidP="00A202FD">
      <w:pPr>
        <w:pStyle w:val="ListeParagraf"/>
        <w:numPr>
          <w:ilvl w:val="0"/>
          <w:numId w:val="110"/>
        </w:numPr>
        <w:tabs>
          <w:tab w:val="clear" w:pos="567"/>
        </w:tabs>
        <w:spacing w:line="240" w:lineRule="auto"/>
        <w:ind w:left="426" w:hanging="426"/>
        <w:rPr>
          <w:sz w:val="24"/>
          <w:szCs w:val="24"/>
        </w:rPr>
      </w:pPr>
      <w:r w:rsidRPr="00D53A2B">
        <w:rPr>
          <w:sz w:val="24"/>
          <w:szCs w:val="24"/>
        </w:rPr>
        <w:t>tesis büyüklüğüne ve yapıya bağlı olarak düşüş yüksekliklerinin en aza indirilmesi</w:t>
      </w:r>
    </w:p>
    <w:p w14:paraId="033D55A6" w14:textId="0E84B75C" w:rsidR="00C159C5" w:rsidRPr="00D53A2B" w:rsidRDefault="00C159C5" w:rsidP="00A202FD">
      <w:pPr>
        <w:pStyle w:val="ListeParagraf"/>
        <w:numPr>
          <w:ilvl w:val="0"/>
          <w:numId w:val="110"/>
        </w:numPr>
        <w:tabs>
          <w:tab w:val="clear" w:pos="567"/>
        </w:tabs>
        <w:spacing w:line="240" w:lineRule="auto"/>
        <w:ind w:left="426" w:hanging="426"/>
        <w:rPr>
          <w:sz w:val="24"/>
          <w:szCs w:val="24"/>
        </w:rPr>
      </w:pPr>
      <w:r w:rsidRPr="00D53A2B">
        <w:rPr>
          <w:sz w:val="24"/>
          <w:szCs w:val="24"/>
        </w:rPr>
        <w:t>kömür kulesinin ve şarj arabasının şarj edilmesinden kaynaklanan emisyonların azaltılması</w:t>
      </w:r>
    </w:p>
    <w:p w14:paraId="439D4DBE" w14:textId="68BB3772" w:rsidR="00C159C5" w:rsidRPr="00D53A2B" w:rsidRDefault="00C159C5" w:rsidP="00A202FD">
      <w:pPr>
        <w:pStyle w:val="ListeParagraf"/>
        <w:numPr>
          <w:ilvl w:val="0"/>
          <w:numId w:val="110"/>
        </w:numPr>
        <w:tabs>
          <w:tab w:val="clear" w:pos="567"/>
        </w:tabs>
        <w:spacing w:line="240" w:lineRule="auto"/>
        <w:ind w:left="426" w:hanging="426"/>
        <w:rPr>
          <w:sz w:val="24"/>
          <w:szCs w:val="24"/>
        </w:rPr>
      </w:pPr>
      <w:r w:rsidRPr="00D53A2B">
        <w:rPr>
          <w:sz w:val="24"/>
          <w:szCs w:val="24"/>
        </w:rPr>
        <w:t>verimli ekstraksiyon ve ardından toz gidermenin kullanılması.</w:t>
      </w:r>
    </w:p>
    <w:p w14:paraId="47218A2C" w14:textId="77777777" w:rsidR="00C159C5" w:rsidRPr="00D53A2B" w:rsidRDefault="00C159C5" w:rsidP="00A202FD">
      <w:pPr>
        <w:jc w:val="both"/>
      </w:pPr>
    </w:p>
    <w:p w14:paraId="1DE684A0" w14:textId="796513A5" w:rsidR="00C159C5" w:rsidRPr="00D53A2B" w:rsidRDefault="002556B6" w:rsidP="00A202FD">
      <w:pPr>
        <w:jc w:val="both"/>
      </w:pPr>
      <w:r w:rsidRPr="00D53A2B">
        <w:t>MET</w:t>
      </w:r>
      <w:r w:rsidR="00C159C5" w:rsidRPr="00D53A2B">
        <w:t xml:space="preserve"> V kullanıldığında, toz için MET ile ilişkili emisyon seviyesi, örnekleme periyodu boyunca ortalama olarak &lt;10-20 mg/Nm</w:t>
      </w:r>
      <w:r w:rsidR="00C159C5" w:rsidRPr="00D53A2B">
        <w:rPr>
          <w:vertAlign w:val="superscript"/>
        </w:rPr>
        <w:t>3</w:t>
      </w:r>
      <w:r w:rsidR="00E56504" w:rsidRPr="00D53A2B">
        <w:t>’</w:t>
      </w:r>
      <w:r w:rsidR="00C159C5" w:rsidRPr="00D53A2B">
        <w:t>tür (sürekli olmayan ölçüm, en az yarım saat boyunca anlık numuneleri).</w:t>
      </w:r>
    </w:p>
    <w:p w14:paraId="664DF66B" w14:textId="77777777" w:rsidR="00C159C5" w:rsidRPr="00D53A2B" w:rsidRDefault="00C159C5" w:rsidP="00A202FD">
      <w:pPr>
        <w:jc w:val="both"/>
      </w:pPr>
    </w:p>
    <w:p w14:paraId="50F5252E" w14:textId="4EBB61E5" w:rsidR="002556B6" w:rsidRPr="00D53A2B" w:rsidRDefault="002556B6" w:rsidP="00A202FD">
      <w:pPr>
        <w:pStyle w:val="MET"/>
        <w:rPr>
          <w:szCs w:val="24"/>
        </w:rPr>
      </w:pPr>
      <w:r w:rsidRPr="00D53A2B">
        <w:rPr>
          <w:szCs w:val="24"/>
        </w:rPr>
        <w:t xml:space="preserve">MET 44: </w:t>
      </w:r>
      <w:r w:rsidRPr="00D53A2B">
        <w:rPr>
          <w:b w:val="0"/>
          <w:bCs/>
          <w:szCs w:val="24"/>
        </w:rPr>
        <w:t>Kok fırını bölmelerini emisyon azaltıcı şarj sistemleriyle şarj etmektir.</w:t>
      </w:r>
    </w:p>
    <w:p w14:paraId="096F2D54" w14:textId="0ED5F5B4" w:rsidR="002556B6" w:rsidRPr="00D53A2B" w:rsidRDefault="002556B6" w:rsidP="00A202FD">
      <w:pPr>
        <w:jc w:val="both"/>
        <w:rPr>
          <w:b/>
          <w:bCs/>
        </w:rPr>
      </w:pPr>
      <w:r w:rsidRPr="00D53A2B">
        <w:rPr>
          <w:b/>
          <w:bCs/>
        </w:rPr>
        <w:t>Tanım</w:t>
      </w:r>
    </w:p>
    <w:p w14:paraId="414ED7E1" w14:textId="6B46484D" w:rsidR="002556B6" w:rsidRPr="00D53A2B" w:rsidRDefault="00D7189D" w:rsidP="00A202FD">
      <w:pPr>
        <w:jc w:val="both"/>
      </w:pPr>
      <w:r w:rsidRPr="00D53A2B">
        <w:t xml:space="preserve">Bütünleşik bir bakış açısından bakıldığında, tüm gazlar ve tozlar kok fırını gaz arıtımının bir parçası olarak işlendiğinden, </w:t>
      </w:r>
      <w:r w:rsidR="00E56504" w:rsidRPr="00D53A2B">
        <w:t>‘</w:t>
      </w:r>
      <w:r w:rsidRPr="00D53A2B">
        <w:t>dumansız</w:t>
      </w:r>
      <w:r w:rsidR="00E56504" w:rsidRPr="00D53A2B">
        <w:t>’</w:t>
      </w:r>
      <w:r w:rsidRPr="00D53A2B">
        <w:t xml:space="preserve"> dolum veya çift yükselen boruları veya atlama boruları ile sıralı yükleme tercih edilen türlerdir.</w:t>
      </w:r>
    </w:p>
    <w:p w14:paraId="4A4F2EC3" w14:textId="77777777" w:rsidR="002556B6" w:rsidRPr="00D53A2B" w:rsidRDefault="002556B6" w:rsidP="00A202FD">
      <w:pPr>
        <w:jc w:val="both"/>
      </w:pPr>
    </w:p>
    <w:p w14:paraId="59E2EE5C" w14:textId="32036232" w:rsidR="002556B6" w:rsidRPr="00D53A2B" w:rsidRDefault="00D7189D" w:rsidP="00A202FD">
      <w:pPr>
        <w:jc w:val="both"/>
      </w:pPr>
      <w:r w:rsidRPr="00D53A2B">
        <w:t>Ancak gazlar kok fırınının dışında çıkarılıp işleniyorsa, çıkarılan gazların karada işlenerek yüklenmesi tercih edilen yöntemdir. Arıtma, organik bileşikleri azaltmak için emisyonların etkin bir şekilde çıkarılması ve ardından yanma ve partikülleri azaltmak için torba filtre kullanımından oluşmalıdır.</w:t>
      </w:r>
    </w:p>
    <w:p w14:paraId="57DC2989" w14:textId="77777777" w:rsidR="00D7189D" w:rsidRPr="00D53A2B" w:rsidRDefault="00D7189D" w:rsidP="00A202FD">
      <w:pPr>
        <w:jc w:val="both"/>
      </w:pPr>
    </w:p>
    <w:p w14:paraId="090D91DD" w14:textId="679D55E5" w:rsidR="00D7189D" w:rsidRPr="00D53A2B" w:rsidRDefault="00D7189D" w:rsidP="00A202FD">
      <w:pPr>
        <w:jc w:val="both"/>
      </w:pPr>
      <w:r w:rsidRPr="00D53A2B">
        <w:t>Çıkarılan gazların kara</w:t>
      </w:r>
      <w:r w:rsidR="00034F8A" w:rsidRPr="00D53A2B">
        <w:t>da gerçekleştirilen</w:t>
      </w:r>
      <w:r w:rsidRPr="00D53A2B">
        <w:t xml:space="preserve"> arıtım</w:t>
      </w:r>
      <w:r w:rsidR="00034F8A" w:rsidRPr="00D53A2B">
        <w:t xml:space="preserve"> ile</w:t>
      </w:r>
      <w:r w:rsidRPr="00D53A2B">
        <w:t xml:space="preserve"> kömür yükleme sistemlerinden kaynaklanan toz için </w:t>
      </w:r>
      <w:r w:rsidR="00034F8A" w:rsidRPr="00D53A2B">
        <w:t>MET</w:t>
      </w:r>
      <w:r w:rsidRPr="00D53A2B">
        <w:t xml:space="preserve"> ile ilişkili emisyon seviyesi, örnekleme süresi boyunca ortalama olarak &lt;5 g/t kok eşdeğeri, yani &lt;50 mg/Nm</w:t>
      </w:r>
      <w:r w:rsidRPr="00D53A2B">
        <w:rPr>
          <w:vertAlign w:val="superscript"/>
        </w:rPr>
        <w:t>3</w:t>
      </w:r>
      <w:r w:rsidR="00E56504" w:rsidRPr="00D53A2B">
        <w:t>’</w:t>
      </w:r>
      <w:r w:rsidRPr="00D53A2B">
        <w:t>tür (sürekli olmayan ölçüm, en az yarım saat boyunca anlık numuneler).</w:t>
      </w:r>
    </w:p>
    <w:p w14:paraId="1A8206DB" w14:textId="77777777" w:rsidR="002556B6" w:rsidRPr="00D53A2B" w:rsidRDefault="002556B6" w:rsidP="00A202FD">
      <w:pPr>
        <w:jc w:val="both"/>
      </w:pPr>
    </w:p>
    <w:p w14:paraId="1531ED7C" w14:textId="6D05E799" w:rsidR="00034F8A" w:rsidRPr="00D53A2B" w:rsidRDefault="00034F8A" w:rsidP="00A202FD">
      <w:pPr>
        <w:jc w:val="both"/>
      </w:pPr>
      <w:r w:rsidRPr="00D53A2B">
        <w:t>MET 46</w:t>
      </w:r>
      <w:r w:rsidR="00E56504" w:rsidRPr="00D53A2B">
        <w:t>’</w:t>
      </w:r>
      <w:r w:rsidRPr="00D53A2B">
        <w:t xml:space="preserve">da açıklanan bir izleme yöntemi kullanılarak, dolumdan kaynaklanan görünür emisyonların </w:t>
      </w:r>
      <w:r w:rsidR="00651500" w:rsidRPr="00D53A2B">
        <w:t>MET</w:t>
      </w:r>
      <w:r w:rsidRPr="00D53A2B">
        <w:t>ile ilişkili süresi aylık ortalama olarak dolum başına &lt;30 saniyedir.</w:t>
      </w:r>
    </w:p>
    <w:p w14:paraId="6AC20D32" w14:textId="77777777" w:rsidR="00AB7E45" w:rsidRPr="00D53A2B" w:rsidRDefault="00AB7E45" w:rsidP="00A202FD">
      <w:pPr>
        <w:jc w:val="both"/>
      </w:pPr>
    </w:p>
    <w:p w14:paraId="66BE5097" w14:textId="008FF9A9" w:rsidR="00034F8A" w:rsidRPr="00D53A2B" w:rsidRDefault="00034F8A" w:rsidP="00A202FD">
      <w:pPr>
        <w:pStyle w:val="MET"/>
        <w:rPr>
          <w:szCs w:val="24"/>
        </w:rPr>
      </w:pPr>
      <w:r w:rsidRPr="00D53A2B">
        <w:rPr>
          <w:szCs w:val="24"/>
        </w:rPr>
        <w:t xml:space="preserve">MET 45: </w:t>
      </w:r>
      <w:r w:rsidRPr="00D53A2B">
        <w:rPr>
          <w:b w:val="0"/>
          <w:bCs/>
          <w:szCs w:val="24"/>
        </w:rPr>
        <w:t>Koklaştırma</w:t>
      </w:r>
      <w:r w:rsidR="0028659A" w:rsidRPr="00D53A2B">
        <w:rPr>
          <w:b w:val="0"/>
          <w:bCs/>
          <w:szCs w:val="24"/>
        </w:rPr>
        <w:t>ya yönelik olarak,</w:t>
      </w:r>
      <w:r w:rsidRPr="00D53A2B">
        <w:rPr>
          <w:b w:val="0"/>
          <w:bCs/>
          <w:szCs w:val="24"/>
        </w:rPr>
        <w:t xml:space="preserve"> koklaştırma sırasında kok </w:t>
      </w:r>
      <w:r w:rsidR="0053409C" w:rsidRPr="00D53A2B">
        <w:rPr>
          <w:b w:val="0"/>
          <w:bCs/>
          <w:szCs w:val="24"/>
        </w:rPr>
        <w:t xml:space="preserve">fırın </w:t>
      </w:r>
      <w:r w:rsidRPr="00D53A2B">
        <w:rPr>
          <w:b w:val="0"/>
          <w:bCs/>
          <w:szCs w:val="24"/>
        </w:rPr>
        <w:t>gazını (COG) mümkün olduğunca çıkarmaktır.</w:t>
      </w:r>
    </w:p>
    <w:p w14:paraId="1BCE105C" w14:textId="77777777" w:rsidR="00034F8A" w:rsidRPr="00D53A2B" w:rsidRDefault="00034F8A" w:rsidP="00A202FD">
      <w:pPr>
        <w:jc w:val="both"/>
      </w:pPr>
    </w:p>
    <w:p w14:paraId="49973C4E" w14:textId="65CDD6DC" w:rsidR="00034F8A" w:rsidRPr="00D53A2B" w:rsidRDefault="00034F8A" w:rsidP="00A202FD">
      <w:pPr>
        <w:pStyle w:val="MET"/>
        <w:rPr>
          <w:szCs w:val="24"/>
        </w:rPr>
      </w:pPr>
      <w:r w:rsidRPr="00D53A2B">
        <w:rPr>
          <w:szCs w:val="24"/>
        </w:rPr>
        <w:t xml:space="preserve">MET 46: </w:t>
      </w:r>
      <w:r w:rsidRPr="00D53A2B">
        <w:rPr>
          <w:b w:val="0"/>
          <w:bCs/>
          <w:szCs w:val="24"/>
        </w:rPr>
        <w:t>Kok tesisleri için aşağıdaki teknikleri kullanarak sürekli ve kesintisiz kok üretimi sağlayarak emisyonlar azalt</w:t>
      </w:r>
      <w:r w:rsidR="0028659A" w:rsidRPr="00D53A2B">
        <w:rPr>
          <w:b w:val="0"/>
          <w:bCs/>
          <w:szCs w:val="24"/>
        </w:rPr>
        <w:t>ılabilir</w:t>
      </w:r>
      <w:r w:rsidRPr="00D53A2B">
        <w:rPr>
          <w:b w:val="0"/>
          <w:bCs/>
          <w:szCs w:val="24"/>
        </w:rPr>
        <w:t>:</w:t>
      </w:r>
    </w:p>
    <w:p w14:paraId="48140A15" w14:textId="5A8959D1" w:rsidR="00034F8A" w:rsidRPr="00D53A2B" w:rsidRDefault="0028659A" w:rsidP="00A202FD">
      <w:pPr>
        <w:pStyle w:val="ListeParagraf"/>
        <w:numPr>
          <w:ilvl w:val="0"/>
          <w:numId w:val="111"/>
        </w:numPr>
        <w:tabs>
          <w:tab w:val="clear" w:pos="567"/>
        </w:tabs>
        <w:spacing w:line="240" w:lineRule="auto"/>
        <w:ind w:left="567" w:hanging="578"/>
        <w:rPr>
          <w:sz w:val="24"/>
          <w:szCs w:val="24"/>
        </w:rPr>
      </w:pPr>
      <w:r w:rsidRPr="00D53A2B">
        <w:rPr>
          <w:sz w:val="24"/>
          <w:szCs w:val="24"/>
        </w:rPr>
        <w:lastRenderedPageBreak/>
        <w:t>f</w:t>
      </w:r>
      <w:r w:rsidR="00034F8A" w:rsidRPr="00D53A2B">
        <w:rPr>
          <w:sz w:val="24"/>
          <w:szCs w:val="24"/>
        </w:rPr>
        <w:t>ırın bölmelerinin, fırın kapaklarının ve çerçeve dolgularının, yüksel</w:t>
      </w:r>
      <w:r w:rsidR="005D47FE" w:rsidRPr="00D53A2B">
        <w:rPr>
          <w:sz w:val="24"/>
          <w:szCs w:val="24"/>
        </w:rPr>
        <w:t>en</w:t>
      </w:r>
      <w:r w:rsidR="00034F8A" w:rsidRPr="00D53A2B">
        <w:rPr>
          <w:sz w:val="24"/>
          <w:szCs w:val="24"/>
        </w:rPr>
        <w:t xml:space="preserve"> borularının, </w:t>
      </w:r>
      <w:r w:rsidR="005D47FE" w:rsidRPr="00D53A2B">
        <w:rPr>
          <w:sz w:val="24"/>
          <w:szCs w:val="24"/>
        </w:rPr>
        <w:t>dolum</w:t>
      </w:r>
      <w:r w:rsidR="00034F8A" w:rsidRPr="00D53A2B">
        <w:rPr>
          <w:sz w:val="24"/>
          <w:szCs w:val="24"/>
        </w:rPr>
        <w:t xml:space="preserve"> deliklerinin ve diğer ekipmanların kapsamlı bakımı (özel eğitimli bakım personeli tarafından sistematik bir program yürütülmelidir)</w:t>
      </w:r>
    </w:p>
    <w:p w14:paraId="2372885F" w14:textId="7DCD65AF" w:rsidR="005D47FE" w:rsidRPr="00D53A2B" w:rsidRDefault="005D47FE" w:rsidP="00A202FD">
      <w:pPr>
        <w:pStyle w:val="ListeParagraf"/>
        <w:numPr>
          <w:ilvl w:val="0"/>
          <w:numId w:val="111"/>
        </w:numPr>
        <w:tabs>
          <w:tab w:val="clear" w:pos="567"/>
        </w:tabs>
        <w:spacing w:line="240" w:lineRule="auto"/>
        <w:ind w:left="567" w:hanging="578"/>
        <w:rPr>
          <w:sz w:val="24"/>
          <w:szCs w:val="24"/>
        </w:rPr>
      </w:pPr>
      <w:r w:rsidRPr="00D53A2B">
        <w:rPr>
          <w:sz w:val="24"/>
          <w:szCs w:val="24"/>
        </w:rPr>
        <w:t>güçlü sıcaklık dalgalanmalarından kaçınmak</w:t>
      </w:r>
    </w:p>
    <w:p w14:paraId="0C826AFA" w14:textId="7CA1A41C" w:rsidR="005D47FE" w:rsidRPr="00D53A2B" w:rsidRDefault="002A1A4C" w:rsidP="00A202FD">
      <w:pPr>
        <w:pStyle w:val="ListeParagraf"/>
        <w:numPr>
          <w:ilvl w:val="0"/>
          <w:numId w:val="111"/>
        </w:numPr>
        <w:tabs>
          <w:tab w:val="clear" w:pos="567"/>
        </w:tabs>
        <w:spacing w:line="240" w:lineRule="auto"/>
        <w:ind w:left="567" w:hanging="578"/>
        <w:rPr>
          <w:sz w:val="24"/>
          <w:szCs w:val="24"/>
        </w:rPr>
      </w:pPr>
      <w:r w:rsidRPr="00D53A2B">
        <w:rPr>
          <w:sz w:val="24"/>
          <w:szCs w:val="24"/>
        </w:rPr>
        <w:t>kok fırınının kapsamlı gözlemlenmesi ve izlenmesi</w:t>
      </w:r>
    </w:p>
    <w:p w14:paraId="07320BC0" w14:textId="6E17DA5F" w:rsidR="002A1A4C" w:rsidRPr="00D53A2B" w:rsidRDefault="0028659A" w:rsidP="00A202FD">
      <w:pPr>
        <w:pStyle w:val="ListeParagraf"/>
        <w:numPr>
          <w:ilvl w:val="0"/>
          <w:numId w:val="111"/>
        </w:numPr>
        <w:tabs>
          <w:tab w:val="clear" w:pos="567"/>
        </w:tabs>
        <w:spacing w:line="240" w:lineRule="auto"/>
        <w:ind w:left="567" w:hanging="578"/>
        <w:rPr>
          <w:sz w:val="24"/>
          <w:szCs w:val="24"/>
        </w:rPr>
      </w:pPr>
      <w:r w:rsidRPr="00D53A2B">
        <w:rPr>
          <w:sz w:val="24"/>
          <w:szCs w:val="24"/>
        </w:rPr>
        <w:t>k</w:t>
      </w:r>
      <w:r w:rsidR="002A1A4C" w:rsidRPr="00D53A2B">
        <w:rPr>
          <w:sz w:val="24"/>
          <w:szCs w:val="24"/>
        </w:rPr>
        <w:t>apıların, çerçeve dolgularının, yükleme deliklerinin, kapakların ve yükselen borularının işlemlerden sonra temizlenmesi (yeni ve bazı durumlarda mevcut tesislerde uygulanabilir).</w:t>
      </w:r>
    </w:p>
    <w:p w14:paraId="2D2B52BB" w14:textId="51C0297B" w:rsidR="002A1A4C" w:rsidRPr="00D53A2B" w:rsidRDefault="002A1A4C" w:rsidP="00A202FD">
      <w:pPr>
        <w:pStyle w:val="ListeParagraf"/>
        <w:numPr>
          <w:ilvl w:val="0"/>
          <w:numId w:val="111"/>
        </w:numPr>
        <w:tabs>
          <w:tab w:val="clear" w:pos="567"/>
        </w:tabs>
        <w:spacing w:line="240" w:lineRule="auto"/>
        <w:ind w:left="567" w:hanging="578"/>
        <w:rPr>
          <w:sz w:val="24"/>
          <w:szCs w:val="24"/>
        </w:rPr>
      </w:pPr>
      <w:r w:rsidRPr="00D53A2B">
        <w:rPr>
          <w:sz w:val="24"/>
          <w:szCs w:val="24"/>
        </w:rPr>
        <w:t>kok fırınlarında serbest gaz akışının sağlanması</w:t>
      </w:r>
    </w:p>
    <w:p w14:paraId="3E9587E3" w14:textId="2D9662C9" w:rsidR="002A1A4C" w:rsidRPr="00D53A2B" w:rsidRDefault="0028659A" w:rsidP="00A202FD">
      <w:pPr>
        <w:pStyle w:val="ListeParagraf"/>
        <w:numPr>
          <w:ilvl w:val="0"/>
          <w:numId w:val="111"/>
        </w:numPr>
        <w:tabs>
          <w:tab w:val="clear" w:pos="567"/>
        </w:tabs>
        <w:spacing w:line="240" w:lineRule="auto"/>
        <w:ind w:left="567" w:hanging="578"/>
        <w:rPr>
          <w:sz w:val="24"/>
          <w:szCs w:val="24"/>
        </w:rPr>
      </w:pPr>
      <w:r w:rsidRPr="00D53A2B">
        <w:rPr>
          <w:sz w:val="24"/>
          <w:szCs w:val="24"/>
        </w:rPr>
        <w:t>k</w:t>
      </w:r>
      <w:r w:rsidR="002A1A4C" w:rsidRPr="00D53A2B">
        <w:rPr>
          <w:sz w:val="24"/>
          <w:szCs w:val="24"/>
        </w:rPr>
        <w:t>oklaştırma sırasında yeterli basınç düzenlemesi ve yaylı esnek sızdırmazlık kapaklarının veya bıçak ağızlı kapaklarının uygulanması (5 m yüksekliğinde ve iyi çalışır durumda olan fırınlarda).</w:t>
      </w:r>
    </w:p>
    <w:p w14:paraId="0D23CB09" w14:textId="491DFE12" w:rsidR="002A1A4C" w:rsidRPr="00D53A2B" w:rsidRDefault="0028659A" w:rsidP="00A202FD">
      <w:pPr>
        <w:pStyle w:val="ListeParagraf"/>
        <w:numPr>
          <w:ilvl w:val="0"/>
          <w:numId w:val="111"/>
        </w:numPr>
        <w:tabs>
          <w:tab w:val="clear" w:pos="567"/>
        </w:tabs>
        <w:spacing w:line="240" w:lineRule="auto"/>
        <w:ind w:left="567" w:hanging="578"/>
        <w:rPr>
          <w:sz w:val="24"/>
          <w:szCs w:val="24"/>
        </w:rPr>
      </w:pPr>
      <w:r w:rsidRPr="00D53A2B">
        <w:rPr>
          <w:sz w:val="24"/>
          <w:szCs w:val="24"/>
        </w:rPr>
        <w:t>k</w:t>
      </w:r>
      <w:r w:rsidR="002A1A4C" w:rsidRPr="00D53A2B">
        <w:rPr>
          <w:sz w:val="24"/>
          <w:szCs w:val="24"/>
        </w:rPr>
        <w:t xml:space="preserve">ok fırını bataryasından toplayıcı ana, </w:t>
      </w:r>
      <w:r w:rsidR="002406EC" w:rsidRPr="00D53A2B">
        <w:rPr>
          <w:sz w:val="24"/>
          <w:szCs w:val="24"/>
        </w:rPr>
        <w:t>tüyer</w:t>
      </w:r>
      <w:r w:rsidR="002A1A4C" w:rsidRPr="00D53A2B">
        <w:rPr>
          <w:sz w:val="24"/>
          <w:szCs w:val="24"/>
        </w:rPr>
        <w:t xml:space="preserve"> boynu ve sabit </w:t>
      </w:r>
      <w:r w:rsidR="002406EC" w:rsidRPr="00D53A2B">
        <w:rPr>
          <w:sz w:val="24"/>
          <w:szCs w:val="24"/>
        </w:rPr>
        <w:t>atlama</w:t>
      </w:r>
      <w:r w:rsidR="002A1A4C" w:rsidRPr="00D53A2B">
        <w:rPr>
          <w:sz w:val="24"/>
          <w:szCs w:val="24"/>
        </w:rPr>
        <w:t xml:space="preserve"> borularına geçiş sağlayan tüm aparattan kaynaklanan görünür emisyonları azaltmak için su geçirmez yükselme boruları kullanılması.</w:t>
      </w:r>
    </w:p>
    <w:p w14:paraId="7CB4C524" w14:textId="4BD57958" w:rsidR="00730DF7" w:rsidRPr="00D53A2B" w:rsidRDefault="0028659A" w:rsidP="00A202FD">
      <w:pPr>
        <w:pStyle w:val="ListeParagraf"/>
        <w:numPr>
          <w:ilvl w:val="0"/>
          <w:numId w:val="111"/>
        </w:numPr>
        <w:tabs>
          <w:tab w:val="clear" w:pos="567"/>
        </w:tabs>
        <w:spacing w:line="240" w:lineRule="auto"/>
        <w:ind w:left="567" w:hanging="578"/>
        <w:rPr>
          <w:sz w:val="24"/>
          <w:szCs w:val="24"/>
        </w:rPr>
      </w:pPr>
      <w:r w:rsidRPr="00D53A2B">
        <w:rPr>
          <w:sz w:val="24"/>
          <w:szCs w:val="24"/>
        </w:rPr>
        <w:t>t</w:t>
      </w:r>
      <w:r w:rsidR="00730DF7" w:rsidRPr="00D53A2B">
        <w:rPr>
          <w:sz w:val="24"/>
          <w:szCs w:val="24"/>
        </w:rPr>
        <w:t>üm deliklerden gözle görülür emisyonları azaltmak için yükleme deliği kapaklarının kil süspansiyonu (veya başka bir uygun sızdırmazlık malzemesi) ile yapıştırılması.</w:t>
      </w:r>
    </w:p>
    <w:p w14:paraId="5279F734" w14:textId="3CAE9F75" w:rsidR="00730DF7" w:rsidRPr="00D53A2B" w:rsidRDefault="0028659A" w:rsidP="00A202FD">
      <w:pPr>
        <w:pStyle w:val="ListeParagraf"/>
        <w:numPr>
          <w:ilvl w:val="0"/>
          <w:numId w:val="111"/>
        </w:numPr>
        <w:tabs>
          <w:tab w:val="clear" w:pos="567"/>
        </w:tabs>
        <w:spacing w:line="240" w:lineRule="auto"/>
        <w:ind w:left="567" w:hanging="578"/>
        <w:rPr>
          <w:sz w:val="24"/>
          <w:szCs w:val="24"/>
        </w:rPr>
      </w:pPr>
      <w:r w:rsidRPr="00D53A2B">
        <w:rPr>
          <w:sz w:val="24"/>
          <w:szCs w:val="24"/>
        </w:rPr>
        <w:t>u</w:t>
      </w:r>
      <w:r w:rsidR="00730DF7" w:rsidRPr="00D53A2B">
        <w:rPr>
          <w:sz w:val="24"/>
          <w:szCs w:val="24"/>
        </w:rPr>
        <w:t>ygun tekniklerin uygulanmasıyla tam koklaşmanın sağlanması (ham kok itmelerinin önlenmesi).</w:t>
      </w:r>
    </w:p>
    <w:p w14:paraId="54E296EE" w14:textId="29F6A997" w:rsidR="00730DF7" w:rsidRPr="00D53A2B" w:rsidRDefault="0028659A" w:rsidP="00A202FD">
      <w:pPr>
        <w:pStyle w:val="ListeParagraf"/>
        <w:numPr>
          <w:ilvl w:val="0"/>
          <w:numId w:val="111"/>
        </w:numPr>
        <w:tabs>
          <w:tab w:val="clear" w:pos="567"/>
        </w:tabs>
        <w:spacing w:line="240" w:lineRule="auto"/>
        <w:ind w:left="567" w:hanging="578"/>
        <w:rPr>
          <w:sz w:val="24"/>
          <w:szCs w:val="24"/>
        </w:rPr>
      </w:pPr>
      <w:r w:rsidRPr="00D53A2B">
        <w:rPr>
          <w:sz w:val="24"/>
          <w:szCs w:val="24"/>
        </w:rPr>
        <w:t>d</w:t>
      </w:r>
      <w:r w:rsidR="00730DF7" w:rsidRPr="00D53A2B">
        <w:rPr>
          <w:sz w:val="24"/>
          <w:szCs w:val="24"/>
        </w:rPr>
        <w:t>aha büyük kok fırını bölmelerinin kurulması (yeni tesislerde veya bazı durumlarda tesisin eski temeller üzerine tamamen değiştirilmesi durumunda uygulanabilir)</w:t>
      </w:r>
    </w:p>
    <w:p w14:paraId="3FADD24F" w14:textId="5C88A483" w:rsidR="00730DF7" w:rsidRPr="00D53A2B" w:rsidRDefault="0028659A" w:rsidP="00A202FD">
      <w:pPr>
        <w:pStyle w:val="ListeParagraf"/>
        <w:numPr>
          <w:ilvl w:val="0"/>
          <w:numId w:val="111"/>
        </w:numPr>
        <w:tabs>
          <w:tab w:val="clear" w:pos="567"/>
        </w:tabs>
        <w:spacing w:line="240" w:lineRule="auto"/>
        <w:ind w:left="567" w:hanging="578"/>
        <w:rPr>
          <w:sz w:val="24"/>
          <w:szCs w:val="24"/>
        </w:rPr>
      </w:pPr>
      <w:r w:rsidRPr="00D53A2B">
        <w:rPr>
          <w:sz w:val="24"/>
          <w:szCs w:val="24"/>
        </w:rPr>
        <w:t>m</w:t>
      </w:r>
      <w:r w:rsidR="00730DF7" w:rsidRPr="00D53A2B">
        <w:rPr>
          <w:sz w:val="24"/>
          <w:szCs w:val="24"/>
        </w:rPr>
        <w:t>ümkün olduğunda, koklaştırma sırasında fırın bölmelerinde değişken basınç düzenlemesi kullanılması (yeni tesisler için uygulanabilir ve mevcut tesisler için bir seçenek olabilir; bu tekniğin mevcut tesislere kurulma olasılığı dikkatlice değerlendirilmeli ve her tesisin bireysel durumuna tabidir).</w:t>
      </w:r>
    </w:p>
    <w:p w14:paraId="2A9E167B" w14:textId="77777777" w:rsidR="00034F8A" w:rsidRPr="00D53A2B" w:rsidRDefault="00034F8A" w:rsidP="00A202FD">
      <w:pPr>
        <w:jc w:val="both"/>
      </w:pPr>
    </w:p>
    <w:p w14:paraId="2C9EAFFB" w14:textId="19FDEF7E" w:rsidR="00730DF7" w:rsidRPr="00D53A2B" w:rsidRDefault="00730DF7" w:rsidP="00A202FD">
      <w:pPr>
        <w:jc w:val="both"/>
      </w:pPr>
      <w:r w:rsidRPr="00D53A2B">
        <w:t>MET ile ilişkili tüm kapılardan kaynaklanan görünür emisyonların yüzdesi &lt; %5-10</w:t>
      </w:r>
      <w:r w:rsidR="00E56504" w:rsidRPr="00D53A2B">
        <w:t>’</w:t>
      </w:r>
      <w:r w:rsidRPr="00D53A2B">
        <w:t>dur.</w:t>
      </w:r>
    </w:p>
    <w:p w14:paraId="5E3EDB9F" w14:textId="5CD99EDF" w:rsidR="00730DF7" w:rsidRPr="00D53A2B" w:rsidRDefault="00730DF7" w:rsidP="00A202FD">
      <w:pPr>
        <w:jc w:val="both"/>
      </w:pPr>
      <w:r w:rsidRPr="00D53A2B">
        <w:t xml:space="preserve">MET VII ve </w:t>
      </w:r>
      <w:r w:rsidR="00006E61" w:rsidRPr="00D53A2B">
        <w:t>MET</w:t>
      </w:r>
      <w:r w:rsidRPr="00D53A2B">
        <w:t xml:space="preserve"> VIII ile ilişkili tüm kaynak tipleri için görünür emisyonların yüzdesi %1</w:t>
      </w:r>
      <w:r w:rsidR="00E56504" w:rsidRPr="00D53A2B">
        <w:t>’</w:t>
      </w:r>
      <w:r w:rsidRPr="00D53A2B">
        <w:t>den azdır.</w:t>
      </w:r>
    </w:p>
    <w:p w14:paraId="38A199E3" w14:textId="77777777" w:rsidR="00730DF7" w:rsidRPr="00D53A2B" w:rsidRDefault="00730DF7" w:rsidP="00A202FD">
      <w:pPr>
        <w:jc w:val="both"/>
      </w:pPr>
    </w:p>
    <w:p w14:paraId="5C2E45E7" w14:textId="65537318" w:rsidR="00730DF7" w:rsidRPr="00D53A2B" w:rsidRDefault="00006E61" w:rsidP="00A202FD">
      <w:pPr>
        <w:jc w:val="both"/>
      </w:pPr>
      <w:r w:rsidRPr="00D53A2B">
        <w:t>Yüzdelik değerler, aşağıda açıklanan izleme yöntemi kullanılarak, herhangi bir sızıntının sıklığının, toplam kapı, yükselme borusu veya doldurma proses kapak sayısına göre aylık ortalama olarak belirlenmesiyle ilgilidir.</w:t>
      </w:r>
    </w:p>
    <w:p w14:paraId="0DB2F0FE" w14:textId="77777777" w:rsidR="00730DF7" w:rsidRPr="00D53A2B" w:rsidRDefault="00730DF7" w:rsidP="00A202FD">
      <w:pPr>
        <w:jc w:val="both"/>
      </w:pPr>
    </w:p>
    <w:p w14:paraId="74B341F8" w14:textId="01160D1B" w:rsidR="00730DF7" w:rsidRPr="00D53A2B" w:rsidRDefault="00006E61" w:rsidP="00A202FD">
      <w:pPr>
        <w:jc w:val="both"/>
      </w:pPr>
      <w:r w:rsidRPr="00D53A2B">
        <w:t>Kok fırınlarından yayılan yayılan emisyonların tahmini için aşağıdaki yöntemler kullanılmaktadır:</w:t>
      </w:r>
    </w:p>
    <w:p w14:paraId="6193EB08" w14:textId="6B14EDD1" w:rsidR="00730DF7" w:rsidRPr="00D53A2B" w:rsidRDefault="00006E61" w:rsidP="00A202FD">
      <w:pPr>
        <w:pStyle w:val="ListeParagraf"/>
        <w:numPr>
          <w:ilvl w:val="0"/>
          <w:numId w:val="112"/>
        </w:numPr>
        <w:tabs>
          <w:tab w:val="clear" w:pos="567"/>
        </w:tabs>
        <w:spacing w:line="240" w:lineRule="auto"/>
        <w:ind w:left="425" w:hanging="425"/>
        <w:rPr>
          <w:sz w:val="24"/>
          <w:szCs w:val="24"/>
        </w:rPr>
      </w:pPr>
      <w:r w:rsidRPr="00D53A2B">
        <w:rPr>
          <w:sz w:val="24"/>
          <w:szCs w:val="24"/>
        </w:rPr>
        <w:t>EPA 303 yöntemi</w:t>
      </w:r>
    </w:p>
    <w:p w14:paraId="16B88068" w14:textId="77777777" w:rsidR="00006E61" w:rsidRPr="00D53A2B" w:rsidRDefault="00006E61" w:rsidP="00A202FD">
      <w:pPr>
        <w:pStyle w:val="ListeParagraf"/>
        <w:numPr>
          <w:ilvl w:val="0"/>
          <w:numId w:val="112"/>
        </w:numPr>
        <w:tabs>
          <w:tab w:val="clear" w:pos="567"/>
        </w:tabs>
        <w:spacing w:line="240" w:lineRule="auto"/>
        <w:ind w:left="425" w:hanging="425"/>
        <w:rPr>
          <w:sz w:val="24"/>
          <w:szCs w:val="24"/>
        </w:rPr>
      </w:pPr>
      <w:r w:rsidRPr="00D53A2B">
        <w:rPr>
          <w:sz w:val="24"/>
          <w:szCs w:val="24"/>
        </w:rPr>
        <w:t>DMT (Deutsche Montan Technologie GmbH) yöntemi</w:t>
      </w:r>
    </w:p>
    <w:p w14:paraId="61DA6847" w14:textId="706DB6B5" w:rsidR="00006E61" w:rsidRPr="00D53A2B" w:rsidRDefault="00006E61" w:rsidP="00A202FD">
      <w:pPr>
        <w:pStyle w:val="ListeParagraf"/>
        <w:numPr>
          <w:ilvl w:val="0"/>
          <w:numId w:val="112"/>
        </w:numPr>
        <w:tabs>
          <w:tab w:val="clear" w:pos="567"/>
        </w:tabs>
        <w:spacing w:line="240" w:lineRule="auto"/>
        <w:ind w:left="425" w:hanging="425"/>
        <w:rPr>
          <w:sz w:val="24"/>
          <w:szCs w:val="24"/>
        </w:rPr>
      </w:pPr>
      <w:r w:rsidRPr="00D53A2B">
        <w:rPr>
          <w:rStyle w:val="Gvdemetni3a"/>
          <w:color w:val="000000"/>
          <w:sz w:val="24"/>
          <w:szCs w:val="24"/>
        </w:rPr>
        <w:t>BCRA tarafından geliştirilen yöntem (British Carbonisation Research Association).</w:t>
      </w:r>
    </w:p>
    <w:p w14:paraId="50DE6346" w14:textId="4DFB8352" w:rsidR="00006E61" w:rsidRPr="00D53A2B" w:rsidRDefault="00006E61" w:rsidP="00A202FD">
      <w:pPr>
        <w:pStyle w:val="ListeParagraf"/>
        <w:numPr>
          <w:ilvl w:val="0"/>
          <w:numId w:val="112"/>
        </w:numPr>
        <w:tabs>
          <w:tab w:val="clear" w:pos="567"/>
        </w:tabs>
        <w:spacing w:line="240" w:lineRule="auto"/>
        <w:ind w:left="425" w:hanging="425"/>
        <w:rPr>
          <w:sz w:val="24"/>
          <w:szCs w:val="24"/>
        </w:rPr>
      </w:pPr>
      <w:r w:rsidRPr="00D53A2B">
        <w:rPr>
          <w:sz w:val="24"/>
          <w:szCs w:val="24"/>
        </w:rPr>
        <w:t>Hollanda</w:t>
      </w:r>
      <w:r w:rsidR="00E56504" w:rsidRPr="00D53A2B">
        <w:rPr>
          <w:sz w:val="24"/>
          <w:szCs w:val="24"/>
        </w:rPr>
        <w:t>’</w:t>
      </w:r>
      <w:r w:rsidRPr="00D53A2B">
        <w:rPr>
          <w:sz w:val="24"/>
          <w:szCs w:val="24"/>
        </w:rPr>
        <w:t>da uygulanan metodoloji, normal operasyonlardan (kömür yükleme, kok itme) kaynaklanan görünür emisyonları hariç tutarak, yükselme boruları ve doldurma deliklerindeki görünür sızıntıların sayılmasına dayanmaktadır.</w:t>
      </w:r>
    </w:p>
    <w:p w14:paraId="5A16A9FF" w14:textId="77777777" w:rsidR="00034F8A" w:rsidRPr="00D53A2B" w:rsidRDefault="00034F8A" w:rsidP="00A202FD">
      <w:pPr>
        <w:jc w:val="both"/>
      </w:pPr>
    </w:p>
    <w:p w14:paraId="6139C22F" w14:textId="6DBF7B84" w:rsidR="00006E61" w:rsidRPr="00D53A2B" w:rsidRDefault="00006E61" w:rsidP="00A202FD">
      <w:pPr>
        <w:pStyle w:val="MET"/>
        <w:rPr>
          <w:szCs w:val="24"/>
        </w:rPr>
      </w:pPr>
      <w:r w:rsidRPr="00D53A2B">
        <w:rPr>
          <w:szCs w:val="24"/>
        </w:rPr>
        <w:t xml:space="preserve">MET 47: </w:t>
      </w:r>
      <w:r w:rsidRPr="00D53A2B">
        <w:rPr>
          <w:b w:val="0"/>
          <w:bCs/>
          <w:szCs w:val="24"/>
        </w:rPr>
        <w:t>Gaz arıtma tesisi için aşağıdaki teknikleri kullanarak kaçak gaz emisyonları en aza indir</w:t>
      </w:r>
      <w:r w:rsidR="003908B2" w:rsidRPr="00D53A2B">
        <w:rPr>
          <w:b w:val="0"/>
          <w:bCs/>
          <w:szCs w:val="24"/>
        </w:rPr>
        <w:t>ilir:</w:t>
      </w:r>
    </w:p>
    <w:p w14:paraId="432DE626" w14:textId="67055406" w:rsidR="00006E61" w:rsidRPr="00D53A2B" w:rsidRDefault="00006E61" w:rsidP="00A202FD">
      <w:pPr>
        <w:pStyle w:val="ListeParagraf"/>
        <w:numPr>
          <w:ilvl w:val="0"/>
          <w:numId w:val="113"/>
        </w:numPr>
        <w:tabs>
          <w:tab w:val="clear" w:pos="567"/>
        </w:tabs>
        <w:spacing w:line="240" w:lineRule="auto"/>
        <w:ind w:left="426" w:hanging="437"/>
        <w:rPr>
          <w:sz w:val="24"/>
          <w:szCs w:val="24"/>
        </w:rPr>
      </w:pPr>
      <w:r w:rsidRPr="00D53A2B">
        <w:rPr>
          <w:sz w:val="24"/>
          <w:szCs w:val="24"/>
        </w:rPr>
        <w:t>Mümkün olan her yerde boru bağlantılarını kaynaklayarak flanş sayısını en aza indirmek</w:t>
      </w:r>
    </w:p>
    <w:p w14:paraId="1487D751" w14:textId="2D5D1542" w:rsidR="007500F5" w:rsidRPr="00D53A2B" w:rsidRDefault="007500F5" w:rsidP="00A202FD">
      <w:pPr>
        <w:pStyle w:val="ListeParagraf"/>
        <w:numPr>
          <w:ilvl w:val="0"/>
          <w:numId w:val="113"/>
        </w:numPr>
        <w:tabs>
          <w:tab w:val="clear" w:pos="567"/>
        </w:tabs>
        <w:spacing w:line="240" w:lineRule="auto"/>
        <w:ind w:left="426" w:hanging="437"/>
        <w:rPr>
          <w:sz w:val="24"/>
          <w:szCs w:val="24"/>
        </w:rPr>
      </w:pPr>
      <w:r w:rsidRPr="00D53A2B">
        <w:rPr>
          <w:sz w:val="24"/>
          <w:szCs w:val="24"/>
        </w:rPr>
        <w:t>Flanş ve vanalarda uygun contaların kullanılması</w:t>
      </w:r>
    </w:p>
    <w:p w14:paraId="6DD9AE98" w14:textId="65634BBA" w:rsidR="007500F5" w:rsidRPr="00D53A2B" w:rsidRDefault="007500F5" w:rsidP="00A202FD">
      <w:pPr>
        <w:pStyle w:val="ListeParagraf"/>
        <w:numPr>
          <w:ilvl w:val="0"/>
          <w:numId w:val="113"/>
        </w:numPr>
        <w:tabs>
          <w:tab w:val="clear" w:pos="567"/>
        </w:tabs>
        <w:spacing w:line="240" w:lineRule="auto"/>
        <w:ind w:left="426" w:hanging="437"/>
        <w:rPr>
          <w:sz w:val="24"/>
          <w:szCs w:val="24"/>
        </w:rPr>
      </w:pPr>
      <w:r w:rsidRPr="00D53A2B">
        <w:rPr>
          <w:sz w:val="24"/>
          <w:szCs w:val="24"/>
        </w:rPr>
        <w:t>Gaz sızdırmaz pompaların (örneğin manyetik pompalar) kullanılması</w:t>
      </w:r>
    </w:p>
    <w:p w14:paraId="517DE266" w14:textId="74F35272" w:rsidR="007500F5" w:rsidRPr="00D53A2B" w:rsidRDefault="0053409C" w:rsidP="00A202FD">
      <w:pPr>
        <w:pStyle w:val="ListeParagraf"/>
        <w:numPr>
          <w:ilvl w:val="0"/>
          <w:numId w:val="113"/>
        </w:numPr>
        <w:tabs>
          <w:tab w:val="clear" w:pos="567"/>
        </w:tabs>
        <w:spacing w:line="240" w:lineRule="auto"/>
        <w:ind w:left="426" w:hanging="437"/>
        <w:rPr>
          <w:sz w:val="24"/>
          <w:szCs w:val="24"/>
        </w:rPr>
      </w:pPr>
      <w:r w:rsidRPr="00D53A2B">
        <w:rPr>
          <w:sz w:val="24"/>
          <w:szCs w:val="24"/>
        </w:rPr>
        <w:lastRenderedPageBreak/>
        <w:t>Depolama tanklarındaki basınç vanalarından kaynaklanan emisyonların önlenmesi:</w:t>
      </w:r>
    </w:p>
    <w:p w14:paraId="52E4BB8C" w14:textId="0830EF30" w:rsidR="00006E61" w:rsidRPr="00D53A2B" w:rsidRDefault="0053409C" w:rsidP="00A202FD">
      <w:pPr>
        <w:pStyle w:val="ListeParagraf"/>
        <w:numPr>
          <w:ilvl w:val="0"/>
          <w:numId w:val="114"/>
        </w:numPr>
        <w:tabs>
          <w:tab w:val="clear" w:pos="567"/>
        </w:tabs>
        <w:spacing w:line="240" w:lineRule="auto"/>
        <w:ind w:left="426" w:hanging="426"/>
        <w:rPr>
          <w:sz w:val="24"/>
          <w:szCs w:val="24"/>
        </w:rPr>
      </w:pPr>
      <w:r w:rsidRPr="00D53A2B">
        <w:rPr>
          <w:sz w:val="24"/>
          <w:szCs w:val="24"/>
        </w:rPr>
        <w:t>vana çıkışını kok fırın gazı (COG) toplama ana hattına bağlamak veya</w:t>
      </w:r>
    </w:p>
    <w:p w14:paraId="67C982D6" w14:textId="0932ED58" w:rsidR="0053409C" w:rsidRPr="00D53A2B" w:rsidRDefault="0053409C" w:rsidP="00A202FD">
      <w:pPr>
        <w:pStyle w:val="ListeParagraf"/>
        <w:numPr>
          <w:ilvl w:val="0"/>
          <w:numId w:val="114"/>
        </w:numPr>
        <w:tabs>
          <w:tab w:val="clear" w:pos="567"/>
        </w:tabs>
        <w:spacing w:line="240" w:lineRule="auto"/>
        <w:ind w:left="426" w:hanging="426"/>
        <w:rPr>
          <w:sz w:val="24"/>
          <w:szCs w:val="24"/>
        </w:rPr>
      </w:pPr>
      <w:r w:rsidRPr="00D53A2B">
        <w:rPr>
          <w:sz w:val="24"/>
          <w:szCs w:val="24"/>
        </w:rPr>
        <w:t>gazların toplanması ve sonrasında yanmanın gerçekleşmesi.</w:t>
      </w:r>
    </w:p>
    <w:p w14:paraId="75A36F48" w14:textId="77777777" w:rsidR="00006E61" w:rsidRPr="00D53A2B" w:rsidRDefault="00006E61" w:rsidP="00A202FD">
      <w:pPr>
        <w:jc w:val="both"/>
      </w:pPr>
    </w:p>
    <w:p w14:paraId="7BBD0EB6" w14:textId="02C82FF3" w:rsidR="0053409C" w:rsidRPr="00D53A2B" w:rsidRDefault="0053409C" w:rsidP="00A202FD">
      <w:pPr>
        <w:jc w:val="both"/>
        <w:rPr>
          <w:b/>
          <w:bCs/>
        </w:rPr>
      </w:pPr>
      <w:r w:rsidRPr="00D53A2B">
        <w:rPr>
          <w:b/>
          <w:bCs/>
        </w:rPr>
        <w:t>Uygulanabilirlik</w:t>
      </w:r>
    </w:p>
    <w:p w14:paraId="1071B7B6" w14:textId="4C86D98E" w:rsidR="0053409C" w:rsidRPr="00D53A2B" w:rsidRDefault="0053409C" w:rsidP="00A202FD">
      <w:pPr>
        <w:jc w:val="both"/>
      </w:pPr>
      <w:r w:rsidRPr="00D53A2B">
        <w:t>Teknikler hem yeni hem de mevcut tesislere uygulanabilir. Yeni tesislerde gaz geçirmez bir tasarım elde etmek mevcut tesislere göre daha kolay olabilir.</w:t>
      </w:r>
    </w:p>
    <w:p w14:paraId="156703C7" w14:textId="77777777" w:rsidR="0053409C" w:rsidRPr="00D53A2B" w:rsidRDefault="0053409C" w:rsidP="00A202FD">
      <w:pPr>
        <w:jc w:val="both"/>
      </w:pPr>
    </w:p>
    <w:p w14:paraId="626A381D" w14:textId="417E2411" w:rsidR="0053409C" w:rsidRPr="00D53A2B" w:rsidRDefault="00F36F7F" w:rsidP="00A202FD">
      <w:pPr>
        <w:pStyle w:val="MET"/>
        <w:rPr>
          <w:szCs w:val="24"/>
        </w:rPr>
      </w:pPr>
      <w:r w:rsidRPr="00D53A2B">
        <w:rPr>
          <w:szCs w:val="24"/>
        </w:rPr>
        <w:t xml:space="preserve">MET 48: </w:t>
      </w:r>
      <w:r w:rsidRPr="00D53A2B">
        <w:rPr>
          <w:b w:val="0"/>
          <w:bCs/>
          <w:szCs w:val="24"/>
        </w:rPr>
        <w:t>Aşağıdaki tekniklerden birini kullanarak kok fırın gazının (COG) kükürt içeriği azalt</w:t>
      </w:r>
      <w:r w:rsidR="003908B2" w:rsidRPr="00D53A2B">
        <w:rPr>
          <w:b w:val="0"/>
          <w:bCs/>
          <w:szCs w:val="24"/>
        </w:rPr>
        <w:t>ılır</w:t>
      </w:r>
      <w:r w:rsidRPr="00D53A2B">
        <w:rPr>
          <w:b w:val="0"/>
          <w:bCs/>
          <w:szCs w:val="24"/>
        </w:rPr>
        <w:t>:</w:t>
      </w:r>
    </w:p>
    <w:p w14:paraId="7AD424E2" w14:textId="617A94AE" w:rsidR="0053409C" w:rsidRPr="00D53A2B" w:rsidRDefault="00F36F7F" w:rsidP="00A202FD">
      <w:pPr>
        <w:pStyle w:val="ListeParagraf"/>
        <w:numPr>
          <w:ilvl w:val="0"/>
          <w:numId w:val="115"/>
        </w:numPr>
        <w:tabs>
          <w:tab w:val="clear" w:pos="567"/>
        </w:tabs>
        <w:spacing w:line="240" w:lineRule="auto"/>
        <w:ind w:left="426" w:hanging="437"/>
        <w:rPr>
          <w:sz w:val="24"/>
          <w:szCs w:val="24"/>
        </w:rPr>
      </w:pPr>
      <w:r w:rsidRPr="00D53A2B">
        <w:rPr>
          <w:sz w:val="24"/>
          <w:szCs w:val="24"/>
        </w:rPr>
        <w:t>absorpsiyon sistemleri ile kükürt giderme</w:t>
      </w:r>
    </w:p>
    <w:p w14:paraId="268F32C8" w14:textId="31DAD0D4" w:rsidR="00F36F7F" w:rsidRPr="00D53A2B" w:rsidRDefault="00F36F7F" w:rsidP="00A202FD">
      <w:pPr>
        <w:pStyle w:val="ListeParagraf"/>
        <w:numPr>
          <w:ilvl w:val="0"/>
          <w:numId w:val="115"/>
        </w:numPr>
        <w:tabs>
          <w:tab w:val="clear" w:pos="567"/>
        </w:tabs>
        <w:spacing w:line="240" w:lineRule="auto"/>
        <w:ind w:left="426" w:hanging="437"/>
        <w:rPr>
          <w:sz w:val="24"/>
          <w:szCs w:val="24"/>
        </w:rPr>
      </w:pPr>
      <w:r w:rsidRPr="00D53A2B">
        <w:rPr>
          <w:sz w:val="24"/>
          <w:szCs w:val="24"/>
        </w:rPr>
        <w:t>ıslak oksidatif kükürt giderme</w:t>
      </w:r>
    </w:p>
    <w:p w14:paraId="59B63D69" w14:textId="77777777" w:rsidR="0053409C" w:rsidRPr="00D53A2B" w:rsidRDefault="0053409C" w:rsidP="00A202FD">
      <w:pPr>
        <w:jc w:val="both"/>
      </w:pPr>
    </w:p>
    <w:p w14:paraId="341055D8" w14:textId="56479D0C" w:rsidR="0053409C" w:rsidRPr="00D53A2B" w:rsidRDefault="00651500" w:rsidP="00A202FD">
      <w:pPr>
        <w:jc w:val="both"/>
      </w:pPr>
      <w:r w:rsidRPr="00D53A2B">
        <w:t>MET</w:t>
      </w:r>
      <w:r w:rsidR="00F36F7F" w:rsidRPr="00D53A2B">
        <w:t>ile ilişkili kalıntı hidrojen sülfür (H</w:t>
      </w:r>
      <w:r w:rsidR="00F36F7F" w:rsidRPr="00D53A2B">
        <w:rPr>
          <w:vertAlign w:val="subscript"/>
        </w:rPr>
        <w:t>2</w:t>
      </w:r>
      <w:r w:rsidR="00F36F7F" w:rsidRPr="00D53A2B">
        <w:t xml:space="preserve">S) konsantrasyonları, günlük ortalama değerler olarak belirlenerek, </w:t>
      </w:r>
      <w:r w:rsidRPr="00D53A2B">
        <w:t>MET</w:t>
      </w:r>
      <w:r w:rsidR="00F36F7F" w:rsidRPr="00D53A2B">
        <w:t>I kullanımı durumunda &lt;300-1000 mg/Nm</w:t>
      </w:r>
      <w:r w:rsidR="00F36F7F" w:rsidRPr="00D53A2B">
        <w:rPr>
          <w:vertAlign w:val="superscript"/>
        </w:rPr>
        <w:t>3</w:t>
      </w:r>
      <w:r w:rsidR="00F36F7F" w:rsidRPr="00D53A2B">
        <w:t xml:space="preserve"> (daha yüksek değerler daha yüksek ortam sıcaklığıyla, daha düşük değerler ise daha düşük ortam sıcaklığıyla ilişkilidir) ve </w:t>
      </w:r>
      <w:r w:rsidRPr="00D53A2B">
        <w:t>MET</w:t>
      </w:r>
      <w:r w:rsidR="00F36F7F" w:rsidRPr="00D53A2B">
        <w:t>II kullanımı durumunda &lt;10 mg/Nm</w:t>
      </w:r>
      <w:r w:rsidR="00F36F7F" w:rsidRPr="00D53A2B">
        <w:rPr>
          <w:vertAlign w:val="superscript"/>
        </w:rPr>
        <w:t>3</w:t>
      </w:r>
      <w:r w:rsidR="00E56504" w:rsidRPr="00D53A2B">
        <w:t>’</w:t>
      </w:r>
      <w:r w:rsidR="00F36F7F" w:rsidRPr="00D53A2B">
        <w:t>tür.</w:t>
      </w:r>
    </w:p>
    <w:p w14:paraId="0B166120" w14:textId="77777777" w:rsidR="0053409C" w:rsidRPr="00D53A2B" w:rsidRDefault="0053409C" w:rsidP="00A202FD">
      <w:pPr>
        <w:jc w:val="both"/>
      </w:pPr>
    </w:p>
    <w:p w14:paraId="3D9E2F31" w14:textId="4B212316" w:rsidR="00FE3437" w:rsidRPr="00D53A2B" w:rsidRDefault="00FE3437" w:rsidP="00A202FD">
      <w:pPr>
        <w:pStyle w:val="MET"/>
        <w:rPr>
          <w:szCs w:val="24"/>
        </w:rPr>
      </w:pPr>
      <w:r w:rsidRPr="00D53A2B">
        <w:rPr>
          <w:szCs w:val="24"/>
        </w:rPr>
        <w:t xml:space="preserve">MET 49: </w:t>
      </w:r>
      <w:r w:rsidRPr="00D53A2B">
        <w:rPr>
          <w:b w:val="0"/>
          <w:bCs/>
          <w:szCs w:val="24"/>
        </w:rPr>
        <w:t>Kok fırınında ateşleme için aşağıdaki teknikler kullan</w:t>
      </w:r>
      <w:r w:rsidR="003908B2" w:rsidRPr="00D53A2B">
        <w:rPr>
          <w:b w:val="0"/>
          <w:bCs/>
          <w:szCs w:val="24"/>
        </w:rPr>
        <w:t>ılarak</w:t>
      </w:r>
      <w:r w:rsidRPr="00D53A2B">
        <w:rPr>
          <w:b w:val="0"/>
          <w:bCs/>
          <w:szCs w:val="24"/>
        </w:rPr>
        <w:t xml:space="preserve"> emisyonları azalt</w:t>
      </w:r>
      <w:r w:rsidR="003908B2" w:rsidRPr="00D53A2B">
        <w:rPr>
          <w:b w:val="0"/>
          <w:bCs/>
          <w:szCs w:val="24"/>
        </w:rPr>
        <w:t>ılır</w:t>
      </w:r>
      <w:r w:rsidRPr="00D53A2B">
        <w:rPr>
          <w:b w:val="0"/>
          <w:bCs/>
          <w:szCs w:val="24"/>
        </w:rPr>
        <w:t>.</w:t>
      </w:r>
    </w:p>
    <w:p w14:paraId="1DD1F812" w14:textId="45444F7D" w:rsidR="00F36F7F" w:rsidRPr="00D53A2B" w:rsidRDefault="00FE3437" w:rsidP="00A202FD">
      <w:pPr>
        <w:pStyle w:val="ListeParagraf"/>
        <w:numPr>
          <w:ilvl w:val="0"/>
          <w:numId w:val="116"/>
        </w:numPr>
        <w:tabs>
          <w:tab w:val="clear" w:pos="567"/>
        </w:tabs>
        <w:spacing w:line="240" w:lineRule="auto"/>
        <w:ind w:left="426" w:hanging="437"/>
        <w:rPr>
          <w:sz w:val="24"/>
          <w:szCs w:val="24"/>
        </w:rPr>
      </w:pPr>
      <w:r w:rsidRPr="00D53A2B">
        <w:rPr>
          <w:sz w:val="24"/>
          <w:szCs w:val="24"/>
        </w:rPr>
        <w:t>Kok fırınının düzenli çalışmasıyla fırın haznesi ile ısıtma haznesi arasındaki sızıntının önlenmesi</w:t>
      </w:r>
    </w:p>
    <w:p w14:paraId="6A519203" w14:textId="43084EE5" w:rsidR="00FE3437" w:rsidRPr="00D53A2B" w:rsidRDefault="00FE3437" w:rsidP="00A202FD">
      <w:pPr>
        <w:pStyle w:val="ListeParagraf"/>
        <w:numPr>
          <w:ilvl w:val="0"/>
          <w:numId w:val="116"/>
        </w:numPr>
        <w:tabs>
          <w:tab w:val="clear" w:pos="567"/>
        </w:tabs>
        <w:spacing w:line="240" w:lineRule="auto"/>
        <w:ind w:left="426" w:hanging="437"/>
        <w:rPr>
          <w:sz w:val="24"/>
          <w:szCs w:val="24"/>
        </w:rPr>
      </w:pPr>
      <w:r w:rsidRPr="00D53A2B">
        <w:rPr>
          <w:sz w:val="24"/>
          <w:szCs w:val="24"/>
        </w:rPr>
        <w:t>Fırın haznesi ile ısıtma haznesi arasındaki sızıntının onarımı (sadece mevcut tesislerde geçerlidir)</w:t>
      </w:r>
    </w:p>
    <w:p w14:paraId="6FD92B25" w14:textId="704F98D1" w:rsidR="00FE3437" w:rsidRPr="00D53A2B" w:rsidRDefault="00FE3437" w:rsidP="00A202FD">
      <w:pPr>
        <w:pStyle w:val="ListeParagraf"/>
        <w:numPr>
          <w:ilvl w:val="0"/>
          <w:numId w:val="116"/>
        </w:numPr>
        <w:tabs>
          <w:tab w:val="clear" w:pos="567"/>
        </w:tabs>
        <w:spacing w:line="240" w:lineRule="auto"/>
        <w:ind w:left="426" w:hanging="437"/>
        <w:rPr>
          <w:sz w:val="24"/>
          <w:szCs w:val="24"/>
        </w:rPr>
      </w:pPr>
      <w:r w:rsidRPr="00D53A2B">
        <w:rPr>
          <w:sz w:val="24"/>
          <w:szCs w:val="24"/>
        </w:rPr>
        <w:t>Yeni batarya yapımında kademeli yanma ve daha iyi ısı iletkenliğine sahip daha ince tuğla ve refrakter kullanımı gibi düşük azot oksit (NO</w:t>
      </w:r>
      <w:r w:rsidRPr="00D53A2B">
        <w:rPr>
          <w:sz w:val="24"/>
          <w:szCs w:val="24"/>
          <w:vertAlign w:val="subscript"/>
        </w:rPr>
        <w:t>X</w:t>
      </w:r>
      <w:r w:rsidRPr="00D53A2B">
        <w:rPr>
          <w:sz w:val="24"/>
          <w:szCs w:val="24"/>
        </w:rPr>
        <w:t>) tekniklerinin kullanılması (sadece yeni tesisler için geçerlidir)</w:t>
      </w:r>
    </w:p>
    <w:p w14:paraId="66F7125A" w14:textId="7EEA665D" w:rsidR="00FE3437" w:rsidRPr="00D53A2B" w:rsidRDefault="00FE3437" w:rsidP="00A202FD">
      <w:pPr>
        <w:pStyle w:val="ListeParagraf"/>
        <w:numPr>
          <w:ilvl w:val="0"/>
          <w:numId w:val="116"/>
        </w:numPr>
        <w:tabs>
          <w:tab w:val="clear" w:pos="567"/>
        </w:tabs>
        <w:spacing w:line="240" w:lineRule="auto"/>
        <w:ind w:left="426" w:hanging="437"/>
        <w:rPr>
          <w:sz w:val="24"/>
          <w:szCs w:val="24"/>
        </w:rPr>
      </w:pPr>
      <w:r w:rsidRPr="00D53A2B">
        <w:rPr>
          <w:sz w:val="24"/>
          <w:szCs w:val="24"/>
        </w:rPr>
        <w:t>kükürtten arındırılmış kok fırın gazı (COG) proses gazlarının kullanılması.</w:t>
      </w:r>
    </w:p>
    <w:p w14:paraId="3201AB7E" w14:textId="77777777" w:rsidR="00F36F7F" w:rsidRPr="00D53A2B" w:rsidRDefault="00F36F7F" w:rsidP="00A202FD">
      <w:pPr>
        <w:jc w:val="both"/>
      </w:pPr>
    </w:p>
    <w:p w14:paraId="6DD0303A" w14:textId="22EF49F2" w:rsidR="00F36F7F" w:rsidRDefault="00FE3437" w:rsidP="00F17C79">
      <w:pPr>
        <w:jc w:val="both"/>
      </w:pPr>
      <w:r w:rsidRPr="00D53A2B">
        <w:t>Günlük ortalama değerler olarak belirlenen ve %5 oksijen içeriğine ilişkin MET ile ilişkili emisyon seviyeleri şunlardır:</w:t>
      </w:r>
      <w:bookmarkStart w:id="35" w:name="_Hlk210121441"/>
    </w:p>
    <w:tbl>
      <w:tblPr>
        <w:tblStyle w:val="TabloKlavuzu"/>
        <w:tblW w:w="0" w:type="auto"/>
        <w:tblLook w:val="04A0" w:firstRow="1" w:lastRow="0" w:firstColumn="1" w:lastColumn="0" w:noHBand="0" w:noVBand="1"/>
      </w:tblPr>
      <w:tblGrid>
        <w:gridCol w:w="4258"/>
        <w:gridCol w:w="4364"/>
      </w:tblGrid>
      <w:tr w:rsidR="00F17C79" w14:paraId="2FBE4124" w14:textId="77777777" w:rsidTr="000A5F0F">
        <w:tc>
          <w:tcPr>
            <w:tcW w:w="4531" w:type="dxa"/>
          </w:tcPr>
          <w:p w14:paraId="3F032F39" w14:textId="77777777" w:rsidR="00F17C79" w:rsidRDefault="00F17C79" w:rsidP="000A5F0F">
            <w:pPr>
              <w:jc w:val="both"/>
            </w:pPr>
            <w:r w:rsidRPr="00D53A2B">
              <w:t>kükürt oksitler (SO</w:t>
            </w:r>
            <w:r w:rsidRPr="00D53A2B">
              <w:rPr>
                <w:vertAlign w:val="subscript"/>
              </w:rPr>
              <w:t>X</w:t>
            </w:r>
            <w:r w:rsidRPr="00D53A2B">
              <w:t>), kükürt dioksit (SO</w:t>
            </w:r>
            <w:r w:rsidRPr="00D53A2B">
              <w:rPr>
                <w:vertAlign w:val="subscript"/>
              </w:rPr>
              <w:t>2</w:t>
            </w:r>
            <w:r w:rsidRPr="00D53A2B">
              <w:t>) olarak ifade edilir</w:t>
            </w:r>
          </w:p>
        </w:tc>
        <w:tc>
          <w:tcPr>
            <w:tcW w:w="4531" w:type="dxa"/>
          </w:tcPr>
          <w:p w14:paraId="783777FE" w14:textId="77777777" w:rsidR="00F17C79" w:rsidRPr="00473314" w:rsidRDefault="00F17C79" w:rsidP="000A5F0F">
            <w:pPr>
              <w:ind w:left="1308" w:hanging="360"/>
            </w:pPr>
            <w:r w:rsidRPr="00473314">
              <w:t>&lt;200-500 mg/Nm</w:t>
            </w:r>
            <w:r w:rsidRPr="00473314">
              <w:rPr>
                <w:vertAlign w:val="superscript"/>
              </w:rPr>
              <w:t>3</w:t>
            </w:r>
          </w:p>
          <w:p w14:paraId="030346C2" w14:textId="77777777" w:rsidR="00F17C79" w:rsidRDefault="00F17C79" w:rsidP="000A5F0F">
            <w:pPr>
              <w:jc w:val="both"/>
            </w:pPr>
          </w:p>
        </w:tc>
      </w:tr>
      <w:tr w:rsidR="00F17C79" w14:paraId="4708F247" w14:textId="77777777" w:rsidTr="000A5F0F">
        <w:tc>
          <w:tcPr>
            <w:tcW w:w="4531" w:type="dxa"/>
          </w:tcPr>
          <w:p w14:paraId="30D5D28E" w14:textId="77777777" w:rsidR="00F17C79" w:rsidRDefault="00F17C79" w:rsidP="000A5F0F">
            <w:pPr>
              <w:jc w:val="both"/>
            </w:pPr>
            <w:r w:rsidRPr="00D53A2B">
              <w:rPr>
                <w:rStyle w:val="Gvdemetni3a"/>
                <w:color w:val="000000"/>
              </w:rPr>
              <w:t>toz</w:t>
            </w:r>
          </w:p>
        </w:tc>
        <w:tc>
          <w:tcPr>
            <w:tcW w:w="4531" w:type="dxa"/>
          </w:tcPr>
          <w:p w14:paraId="15FB5F37" w14:textId="77777777" w:rsidR="00F17C79" w:rsidRPr="00473314" w:rsidRDefault="00F17C79" w:rsidP="000A5F0F">
            <w:pPr>
              <w:ind w:left="1308" w:hanging="360"/>
            </w:pPr>
            <w:r w:rsidRPr="00473314">
              <w:rPr>
                <w:rStyle w:val="Gvdemetni3a"/>
                <w:color w:val="000000"/>
              </w:rPr>
              <w:t>&lt;1-20 mg/Nm</w:t>
            </w:r>
            <w:r w:rsidRPr="00473314">
              <w:rPr>
                <w:rStyle w:val="Gvdemetni3a"/>
                <w:color w:val="000000"/>
                <w:vertAlign w:val="superscript"/>
              </w:rPr>
              <w:t>3</w:t>
            </w:r>
            <w:r w:rsidRPr="00473314">
              <w:rPr>
                <w:rStyle w:val="Gvdemetni3a"/>
                <w:color w:val="000000"/>
              </w:rPr>
              <w:t xml:space="preserve"> (</w:t>
            </w:r>
            <w:r w:rsidRPr="00473314">
              <w:rPr>
                <w:rStyle w:val="Gvdemetni3a"/>
                <w:color w:val="000000"/>
                <w:vertAlign w:val="superscript"/>
              </w:rPr>
              <w:t>1</w:t>
            </w:r>
            <w:r w:rsidRPr="00473314">
              <w:rPr>
                <w:rStyle w:val="Gvdemetni3a"/>
                <w:color w:val="000000"/>
              </w:rPr>
              <w:t>)</w:t>
            </w:r>
          </w:p>
          <w:p w14:paraId="67807B59" w14:textId="77777777" w:rsidR="00F17C79" w:rsidRDefault="00F17C79" w:rsidP="000A5F0F">
            <w:pPr>
              <w:jc w:val="both"/>
            </w:pPr>
          </w:p>
        </w:tc>
      </w:tr>
      <w:tr w:rsidR="00F17C79" w14:paraId="71FBDB2A" w14:textId="77777777" w:rsidTr="000A5F0F">
        <w:tc>
          <w:tcPr>
            <w:tcW w:w="9062" w:type="dxa"/>
            <w:gridSpan w:val="2"/>
          </w:tcPr>
          <w:p w14:paraId="3D436BAE" w14:textId="77777777" w:rsidR="00F17C79" w:rsidRPr="00473314" w:rsidRDefault="00F17C79" w:rsidP="000A5F0F">
            <w:r w:rsidRPr="00473314">
              <w:t>Azot oksitler (NO</w:t>
            </w:r>
            <w:r w:rsidRPr="00473314">
              <w:rPr>
                <w:vertAlign w:val="subscript"/>
              </w:rPr>
              <w:t>X</w:t>
            </w:r>
            <w:r w:rsidRPr="00473314">
              <w:t>), yeni veya önemli ölçüde yenilenmiş tesisler (10 yıldan az) için azot dioksit (NO</w:t>
            </w:r>
            <w:r w:rsidRPr="00473314">
              <w:rPr>
                <w:vertAlign w:val="subscript"/>
              </w:rPr>
              <w:t>2</w:t>
            </w:r>
            <w:r w:rsidRPr="00473314">
              <w:t>) &lt;350-500 mg/Nm</w:t>
            </w:r>
            <w:r w:rsidRPr="00473314">
              <w:rPr>
                <w:vertAlign w:val="superscript"/>
              </w:rPr>
              <w:t>3</w:t>
            </w:r>
            <w:r w:rsidRPr="00473314">
              <w:t xml:space="preserve"> ve iyi bakımlı akülere sahip ve düşük azot oksit (NO</w:t>
            </w:r>
            <w:r w:rsidRPr="00473314">
              <w:rPr>
                <w:vertAlign w:val="subscript"/>
              </w:rPr>
              <w:t>X</w:t>
            </w:r>
            <w:r w:rsidRPr="00473314">
              <w:t>) teknikleri uygulanmış eski tesisler için 500-650 mg/Nm</w:t>
            </w:r>
            <w:r w:rsidRPr="00473314">
              <w:rPr>
                <w:vertAlign w:val="superscript"/>
              </w:rPr>
              <w:t>3</w:t>
            </w:r>
            <w:r w:rsidRPr="00473314">
              <w:t xml:space="preserve"> olarak ifade edilir.</w:t>
            </w:r>
          </w:p>
          <w:p w14:paraId="5E86BC8A" w14:textId="77777777" w:rsidR="00F17C79" w:rsidRDefault="00F17C79" w:rsidP="000A5F0F">
            <w:pPr>
              <w:jc w:val="both"/>
            </w:pPr>
          </w:p>
        </w:tc>
      </w:tr>
      <w:tr w:rsidR="00F17C79" w14:paraId="1E3B8609" w14:textId="77777777" w:rsidTr="000A5F0F">
        <w:tc>
          <w:tcPr>
            <w:tcW w:w="9062" w:type="dxa"/>
            <w:gridSpan w:val="2"/>
          </w:tcPr>
          <w:p w14:paraId="6613BCB6" w14:textId="77777777" w:rsidR="00F17C79" w:rsidRPr="00473314" w:rsidRDefault="00F17C79" w:rsidP="000A5F0F">
            <w:pPr>
              <w:jc w:val="both"/>
              <w:rPr>
                <w:sz w:val="20"/>
                <w:szCs w:val="20"/>
              </w:rPr>
            </w:pPr>
            <w:r w:rsidRPr="00473314">
              <w:rPr>
                <w:sz w:val="20"/>
                <w:szCs w:val="20"/>
              </w:rPr>
              <w:t>(</w:t>
            </w:r>
            <w:r w:rsidRPr="00473314">
              <w:rPr>
                <w:sz w:val="20"/>
                <w:szCs w:val="20"/>
                <w:vertAlign w:val="superscript"/>
              </w:rPr>
              <w:t>1</w:t>
            </w:r>
            <w:r w:rsidRPr="00473314">
              <w:rPr>
                <w:sz w:val="20"/>
                <w:szCs w:val="20"/>
              </w:rPr>
              <w:t>) Aralığın minimum noktası, MET’in gerçek işletme koşulları altında en iyi çevresel performansı elde etmesiyle elde edilen belirli bir tesisin performansına dayanarak tanımlanmıştır.</w:t>
            </w:r>
          </w:p>
        </w:tc>
      </w:tr>
    </w:tbl>
    <w:p w14:paraId="4FF61C6F" w14:textId="77777777" w:rsidR="00F17C79" w:rsidRPr="00D53A2B" w:rsidRDefault="00F17C79" w:rsidP="00F17C79">
      <w:pPr>
        <w:jc w:val="both"/>
      </w:pPr>
    </w:p>
    <w:bookmarkEnd w:id="35"/>
    <w:p w14:paraId="23103C23" w14:textId="77777777" w:rsidR="0053409C" w:rsidRPr="00D53A2B" w:rsidRDefault="0053409C" w:rsidP="00A202FD">
      <w:pPr>
        <w:jc w:val="both"/>
      </w:pPr>
    </w:p>
    <w:p w14:paraId="14B9B519" w14:textId="54C756B7" w:rsidR="00FE3437" w:rsidRPr="00D53A2B" w:rsidRDefault="00947113" w:rsidP="00A202FD">
      <w:pPr>
        <w:pStyle w:val="MET"/>
        <w:rPr>
          <w:b w:val="0"/>
          <w:bCs/>
          <w:szCs w:val="24"/>
        </w:rPr>
      </w:pPr>
      <w:r w:rsidRPr="00D53A2B">
        <w:rPr>
          <w:szCs w:val="24"/>
        </w:rPr>
        <w:t xml:space="preserve">MET 50: </w:t>
      </w:r>
      <w:r w:rsidRPr="00D53A2B">
        <w:rPr>
          <w:b w:val="0"/>
          <w:bCs/>
          <w:szCs w:val="24"/>
        </w:rPr>
        <w:t xml:space="preserve">Kok </w:t>
      </w:r>
      <w:r w:rsidR="003908B2" w:rsidRPr="00D53A2B">
        <w:rPr>
          <w:b w:val="0"/>
          <w:bCs/>
          <w:szCs w:val="24"/>
        </w:rPr>
        <w:t>sevkiyatı</w:t>
      </w:r>
      <w:r w:rsidRPr="00D53A2B">
        <w:rPr>
          <w:b w:val="0"/>
          <w:bCs/>
          <w:szCs w:val="24"/>
        </w:rPr>
        <w:t xml:space="preserve"> için aşağıdaki teknikler</w:t>
      </w:r>
      <w:r w:rsidR="003908B2" w:rsidRPr="00D53A2B">
        <w:rPr>
          <w:b w:val="0"/>
          <w:bCs/>
          <w:szCs w:val="24"/>
        </w:rPr>
        <w:t>i</w:t>
      </w:r>
      <w:r w:rsidRPr="00D53A2B">
        <w:rPr>
          <w:b w:val="0"/>
          <w:bCs/>
          <w:szCs w:val="24"/>
        </w:rPr>
        <w:t xml:space="preserve"> kullanarak toz emisyonları</w:t>
      </w:r>
      <w:r w:rsidR="003908B2" w:rsidRPr="00D53A2B">
        <w:rPr>
          <w:b w:val="0"/>
          <w:bCs/>
          <w:szCs w:val="24"/>
        </w:rPr>
        <w:t xml:space="preserve"> azaltılı</w:t>
      </w:r>
      <w:r w:rsidRPr="00D53A2B">
        <w:rPr>
          <w:b w:val="0"/>
          <w:bCs/>
          <w:szCs w:val="24"/>
        </w:rPr>
        <w:t>r</w:t>
      </w:r>
      <w:r w:rsidR="003908B2" w:rsidRPr="00D53A2B">
        <w:rPr>
          <w:b w:val="0"/>
          <w:bCs/>
          <w:szCs w:val="24"/>
        </w:rPr>
        <w:t>:</w:t>
      </w:r>
    </w:p>
    <w:p w14:paraId="35D548EF" w14:textId="00A7FA55" w:rsidR="00FE3437" w:rsidRPr="00D53A2B" w:rsidRDefault="00947113" w:rsidP="00A202FD">
      <w:pPr>
        <w:pStyle w:val="ListeParagraf"/>
        <w:numPr>
          <w:ilvl w:val="0"/>
          <w:numId w:val="118"/>
        </w:numPr>
        <w:tabs>
          <w:tab w:val="clear" w:pos="567"/>
        </w:tabs>
        <w:spacing w:line="240" w:lineRule="auto"/>
        <w:ind w:left="426" w:hanging="437"/>
        <w:rPr>
          <w:sz w:val="24"/>
          <w:szCs w:val="24"/>
        </w:rPr>
      </w:pPr>
      <w:r w:rsidRPr="00D53A2B">
        <w:rPr>
          <w:sz w:val="24"/>
          <w:szCs w:val="24"/>
        </w:rPr>
        <w:t>bir başlıkla donatılmış entegre bir kok transfer makinesi aracılığıyla ekstraksiyon</w:t>
      </w:r>
    </w:p>
    <w:p w14:paraId="45E4F3F3" w14:textId="35E3F29C" w:rsidR="00947113" w:rsidRPr="00D53A2B" w:rsidRDefault="00947113" w:rsidP="00A202FD">
      <w:pPr>
        <w:pStyle w:val="ListeParagraf"/>
        <w:numPr>
          <w:ilvl w:val="0"/>
          <w:numId w:val="118"/>
        </w:numPr>
        <w:tabs>
          <w:tab w:val="clear" w:pos="567"/>
        </w:tabs>
        <w:spacing w:line="240" w:lineRule="auto"/>
        <w:ind w:left="426" w:hanging="437"/>
        <w:rPr>
          <w:sz w:val="24"/>
          <w:szCs w:val="24"/>
        </w:rPr>
      </w:pPr>
      <w:r w:rsidRPr="00D53A2B">
        <w:rPr>
          <w:sz w:val="24"/>
          <w:szCs w:val="24"/>
        </w:rPr>
        <w:t>torbalı filtre veya diğer azaltma sistemleriyle karasal ekstraksiyon gazı arıtımının kullanılması.</w:t>
      </w:r>
    </w:p>
    <w:p w14:paraId="644585A8" w14:textId="2C8B33B6" w:rsidR="00947113" w:rsidRPr="00D53A2B" w:rsidRDefault="00947113" w:rsidP="00A202FD">
      <w:pPr>
        <w:pStyle w:val="ListeParagraf"/>
        <w:numPr>
          <w:ilvl w:val="0"/>
          <w:numId w:val="118"/>
        </w:numPr>
        <w:tabs>
          <w:tab w:val="clear" w:pos="567"/>
        </w:tabs>
        <w:spacing w:line="240" w:lineRule="auto"/>
        <w:ind w:left="426" w:hanging="437"/>
        <w:rPr>
          <w:sz w:val="24"/>
          <w:szCs w:val="24"/>
        </w:rPr>
      </w:pPr>
      <w:r w:rsidRPr="00D53A2B">
        <w:rPr>
          <w:sz w:val="24"/>
          <w:szCs w:val="24"/>
        </w:rPr>
        <w:t>tek noktadan veya mobil söndürme arabası kullanılarak.</w:t>
      </w:r>
    </w:p>
    <w:p w14:paraId="768F6039" w14:textId="77777777" w:rsidR="00FE3437" w:rsidRPr="00D53A2B" w:rsidRDefault="00FE3437" w:rsidP="00A202FD">
      <w:pPr>
        <w:jc w:val="both"/>
      </w:pPr>
    </w:p>
    <w:p w14:paraId="32703B28" w14:textId="7BCA461E" w:rsidR="00FE3437" w:rsidRPr="00D53A2B" w:rsidRDefault="00947113" w:rsidP="00A202FD">
      <w:pPr>
        <w:jc w:val="both"/>
      </w:pPr>
      <w:r w:rsidRPr="00D53A2B">
        <w:lastRenderedPageBreak/>
        <w:t xml:space="preserve">Kok </w:t>
      </w:r>
      <w:r w:rsidR="003908B2" w:rsidRPr="00D53A2B">
        <w:t>sevkiyatı</w:t>
      </w:r>
      <w:r w:rsidRPr="00D53A2B">
        <w:t xml:space="preserve"> sonucu oluşan toz için MET ile ilişkili emisyon seviyesi, torba filtrelerde &lt;10 mg/Nm</w:t>
      </w:r>
      <w:r w:rsidRPr="00D53A2B">
        <w:rPr>
          <w:vertAlign w:val="superscript"/>
        </w:rPr>
        <w:t>3</w:t>
      </w:r>
      <w:r w:rsidRPr="00D53A2B">
        <w:t>, diğer durumlarda ise &lt;20 mg/Nm</w:t>
      </w:r>
      <w:r w:rsidRPr="00D53A2B">
        <w:rPr>
          <w:vertAlign w:val="superscript"/>
        </w:rPr>
        <w:t>3</w:t>
      </w:r>
      <w:r w:rsidRPr="00D53A2B">
        <w:t xml:space="preserve"> olup, örnekleme periyodu boyunca ortalama olarak belirlenmiştir (aralıklı ölçüm, en az yarım saat anlık numune alımı).</w:t>
      </w:r>
    </w:p>
    <w:p w14:paraId="6EF744D0" w14:textId="77777777" w:rsidR="00947113" w:rsidRPr="00D53A2B" w:rsidRDefault="00947113" w:rsidP="00A202FD">
      <w:pPr>
        <w:jc w:val="both"/>
      </w:pPr>
    </w:p>
    <w:p w14:paraId="26A52EB5" w14:textId="61B13C5C" w:rsidR="00947113" w:rsidRPr="00D53A2B" w:rsidRDefault="00947113" w:rsidP="00A202FD">
      <w:pPr>
        <w:jc w:val="both"/>
        <w:rPr>
          <w:b/>
          <w:bCs/>
        </w:rPr>
      </w:pPr>
      <w:r w:rsidRPr="00D53A2B">
        <w:rPr>
          <w:b/>
          <w:bCs/>
        </w:rPr>
        <w:t>Uygulanabilirlik</w:t>
      </w:r>
    </w:p>
    <w:p w14:paraId="02240477" w14:textId="7DC0081A" w:rsidR="00947113" w:rsidRPr="00D53A2B" w:rsidRDefault="00947113" w:rsidP="00A202FD">
      <w:pPr>
        <w:jc w:val="both"/>
      </w:pPr>
      <w:r w:rsidRPr="00D53A2B">
        <w:t>Mevcut tesislerde alan yetersizliği uygulanabilirliği sınırlayabilmektedir.</w:t>
      </w:r>
    </w:p>
    <w:p w14:paraId="40F4E30C" w14:textId="77777777" w:rsidR="00947113" w:rsidRPr="00D53A2B" w:rsidRDefault="00947113" w:rsidP="00A202FD">
      <w:pPr>
        <w:jc w:val="both"/>
      </w:pPr>
    </w:p>
    <w:p w14:paraId="37605CCE" w14:textId="40369188" w:rsidR="00FE3437" w:rsidRPr="00D53A2B" w:rsidRDefault="00947113" w:rsidP="00A202FD">
      <w:pPr>
        <w:pStyle w:val="MET"/>
        <w:rPr>
          <w:szCs w:val="24"/>
        </w:rPr>
      </w:pPr>
      <w:r w:rsidRPr="00D53A2B">
        <w:rPr>
          <w:szCs w:val="24"/>
        </w:rPr>
        <w:t xml:space="preserve">MET 51: </w:t>
      </w:r>
      <w:r w:rsidRPr="00D53A2B">
        <w:rPr>
          <w:b w:val="0"/>
          <w:bCs/>
          <w:szCs w:val="24"/>
        </w:rPr>
        <w:t>Kok söndürme için aşağıdaki tekniklerden birini kullanarak toz emisyonları azalt</w:t>
      </w:r>
      <w:r w:rsidR="003908B2" w:rsidRPr="00D53A2B">
        <w:rPr>
          <w:b w:val="0"/>
          <w:bCs/>
          <w:szCs w:val="24"/>
        </w:rPr>
        <w:t>ılır</w:t>
      </w:r>
      <w:r w:rsidRPr="00D53A2B">
        <w:rPr>
          <w:b w:val="0"/>
          <w:bCs/>
          <w:szCs w:val="24"/>
        </w:rPr>
        <w:t>:</w:t>
      </w:r>
    </w:p>
    <w:p w14:paraId="39E712C7" w14:textId="47F20902" w:rsidR="00FE3437" w:rsidRPr="00D53A2B" w:rsidRDefault="00D955DF" w:rsidP="00A202FD">
      <w:pPr>
        <w:pStyle w:val="ListeParagraf"/>
        <w:numPr>
          <w:ilvl w:val="0"/>
          <w:numId w:val="119"/>
        </w:numPr>
        <w:tabs>
          <w:tab w:val="clear" w:pos="567"/>
        </w:tabs>
        <w:spacing w:line="240" w:lineRule="auto"/>
        <w:ind w:left="426" w:hanging="437"/>
        <w:rPr>
          <w:sz w:val="24"/>
          <w:szCs w:val="24"/>
        </w:rPr>
      </w:pPr>
      <w:r w:rsidRPr="00D53A2B">
        <w:rPr>
          <w:sz w:val="24"/>
          <w:szCs w:val="24"/>
        </w:rPr>
        <w:t>Yükleme, işleme ve eleme işlemlerinden kaynaklanan tozun torba filtre vasıtasıyla uzaklaştırılması ve ölçülebilen ısının geri kazanılması ile kok kuru söndürme</w:t>
      </w:r>
      <w:r w:rsidR="003908B2" w:rsidRPr="00D53A2B">
        <w:rPr>
          <w:sz w:val="24"/>
          <w:szCs w:val="24"/>
        </w:rPr>
        <w:t xml:space="preserve"> </w:t>
      </w:r>
      <w:r w:rsidRPr="00D53A2B">
        <w:rPr>
          <w:sz w:val="24"/>
          <w:szCs w:val="24"/>
        </w:rPr>
        <w:t>yönteminin kullanılması.</w:t>
      </w:r>
    </w:p>
    <w:p w14:paraId="337D9028" w14:textId="01F03F9E" w:rsidR="00D955DF" w:rsidRPr="00D53A2B" w:rsidRDefault="00D955DF" w:rsidP="00A202FD">
      <w:pPr>
        <w:pStyle w:val="ListeParagraf"/>
        <w:numPr>
          <w:ilvl w:val="0"/>
          <w:numId w:val="119"/>
        </w:numPr>
        <w:tabs>
          <w:tab w:val="clear" w:pos="567"/>
        </w:tabs>
        <w:spacing w:line="240" w:lineRule="auto"/>
        <w:ind w:left="426" w:hanging="437"/>
        <w:rPr>
          <w:sz w:val="24"/>
          <w:szCs w:val="24"/>
        </w:rPr>
      </w:pPr>
      <w:r w:rsidRPr="00D53A2B">
        <w:rPr>
          <w:sz w:val="24"/>
          <w:szCs w:val="24"/>
        </w:rPr>
        <w:t>emisyonu en aza indirilmiş geleneksel ıslak söndürme kullanılarak</w:t>
      </w:r>
    </w:p>
    <w:p w14:paraId="3FA1FE64" w14:textId="2B506007" w:rsidR="00D955DF" w:rsidRPr="00D53A2B" w:rsidRDefault="00D955DF" w:rsidP="00A202FD">
      <w:pPr>
        <w:pStyle w:val="ListeParagraf"/>
        <w:numPr>
          <w:ilvl w:val="0"/>
          <w:numId w:val="119"/>
        </w:numPr>
        <w:tabs>
          <w:tab w:val="clear" w:pos="567"/>
        </w:tabs>
        <w:spacing w:line="240" w:lineRule="auto"/>
        <w:ind w:left="426" w:hanging="437"/>
        <w:rPr>
          <w:sz w:val="24"/>
          <w:szCs w:val="24"/>
        </w:rPr>
      </w:pPr>
      <w:r w:rsidRPr="00D53A2B">
        <w:rPr>
          <w:sz w:val="24"/>
          <w:szCs w:val="24"/>
        </w:rPr>
        <w:t>kok stabilizasyon söndürme kullanılarak.</w:t>
      </w:r>
    </w:p>
    <w:p w14:paraId="3CCE210A" w14:textId="05601882" w:rsidR="00947113" w:rsidRPr="00D53A2B" w:rsidRDefault="00D955DF" w:rsidP="00A202FD">
      <w:pPr>
        <w:jc w:val="both"/>
      </w:pPr>
      <w:r w:rsidRPr="00D53A2B">
        <w:t>Örnekleme süresi boyunca ortalama olarak belirlenen toz için MET ile ilişkili emisyon seviyeleri şunlardır:</w:t>
      </w:r>
    </w:p>
    <w:p w14:paraId="799BE81B" w14:textId="711D4877" w:rsidR="00D955DF" w:rsidRPr="00D53A2B" w:rsidRDefault="00940A24" w:rsidP="00A202FD">
      <w:pPr>
        <w:pStyle w:val="ListeParagraf"/>
        <w:numPr>
          <w:ilvl w:val="0"/>
          <w:numId w:val="120"/>
        </w:numPr>
        <w:tabs>
          <w:tab w:val="clear" w:pos="567"/>
        </w:tabs>
        <w:spacing w:line="240" w:lineRule="auto"/>
        <w:ind w:left="426" w:hanging="426"/>
        <w:rPr>
          <w:sz w:val="24"/>
          <w:szCs w:val="24"/>
        </w:rPr>
      </w:pPr>
      <w:r w:rsidRPr="00D53A2B">
        <w:rPr>
          <w:sz w:val="24"/>
          <w:szCs w:val="24"/>
        </w:rPr>
        <w:t>&lt;20 mg/Nm</w:t>
      </w:r>
      <w:r w:rsidRPr="00D53A2B">
        <w:rPr>
          <w:sz w:val="24"/>
          <w:szCs w:val="24"/>
          <w:vertAlign w:val="superscript"/>
        </w:rPr>
        <w:t>3</w:t>
      </w:r>
      <w:r w:rsidRPr="00D53A2B">
        <w:rPr>
          <w:sz w:val="24"/>
          <w:szCs w:val="24"/>
        </w:rPr>
        <w:t xml:space="preserve"> kok kuru söndürme durumunda</w:t>
      </w:r>
    </w:p>
    <w:p w14:paraId="2DBE4C63" w14:textId="78206AA7" w:rsidR="00940A24" w:rsidRPr="00D53A2B" w:rsidRDefault="00940A24" w:rsidP="00A202FD">
      <w:pPr>
        <w:pStyle w:val="ListeParagraf"/>
        <w:numPr>
          <w:ilvl w:val="0"/>
          <w:numId w:val="120"/>
        </w:numPr>
        <w:tabs>
          <w:tab w:val="clear" w:pos="567"/>
        </w:tabs>
        <w:spacing w:line="240" w:lineRule="auto"/>
        <w:ind w:left="426" w:hanging="426"/>
        <w:rPr>
          <w:sz w:val="24"/>
          <w:szCs w:val="24"/>
        </w:rPr>
      </w:pPr>
      <w:r w:rsidRPr="00D53A2B">
        <w:rPr>
          <w:sz w:val="24"/>
          <w:szCs w:val="24"/>
        </w:rPr>
        <w:t>&lt; 25 g/t kok, emisyonun en aza indirildiği geleneksel ıslak söndürme durumunda (</w:t>
      </w:r>
      <w:r w:rsidRPr="00D53A2B">
        <w:rPr>
          <w:sz w:val="24"/>
          <w:szCs w:val="24"/>
          <w:vertAlign w:val="superscript"/>
        </w:rPr>
        <w:t>1</w:t>
      </w:r>
      <w:r w:rsidRPr="00D53A2B">
        <w:rPr>
          <w:sz w:val="24"/>
          <w:szCs w:val="24"/>
        </w:rPr>
        <w:t>)</w:t>
      </w:r>
    </w:p>
    <w:p w14:paraId="1D38C0B1" w14:textId="07ABC371" w:rsidR="00947113" w:rsidRPr="00D53A2B" w:rsidRDefault="00940A24" w:rsidP="00A202FD">
      <w:pPr>
        <w:pStyle w:val="ListeParagraf"/>
        <w:numPr>
          <w:ilvl w:val="0"/>
          <w:numId w:val="120"/>
        </w:numPr>
        <w:tabs>
          <w:tab w:val="clear" w:pos="567"/>
        </w:tabs>
        <w:spacing w:line="240" w:lineRule="auto"/>
        <w:ind w:left="426" w:hanging="426"/>
        <w:rPr>
          <w:sz w:val="24"/>
          <w:szCs w:val="24"/>
        </w:rPr>
      </w:pPr>
      <w:r w:rsidRPr="00D53A2B">
        <w:rPr>
          <w:sz w:val="24"/>
          <w:szCs w:val="24"/>
        </w:rPr>
        <w:t>Kok stabilizasyon söndürmesi durumunda &lt;10 g/t kok (</w:t>
      </w:r>
      <w:r w:rsidRPr="00D53A2B">
        <w:rPr>
          <w:sz w:val="24"/>
          <w:szCs w:val="24"/>
          <w:vertAlign w:val="superscript"/>
        </w:rPr>
        <w:t>2</w:t>
      </w:r>
      <w:r w:rsidRPr="00D53A2B">
        <w:rPr>
          <w:sz w:val="24"/>
          <w:szCs w:val="24"/>
        </w:rPr>
        <w:t>).</w:t>
      </w:r>
    </w:p>
    <w:p w14:paraId="61B37E86" w14:textId="4E4CE49A" w:rsidR="00947113" w:rsidRPr="00D53A2B" w:rsidRDefault="00940A24" w:rsidP="00A202FD">
      <w:pPr>
        <w:jc w:val="both"/>
      </w:pPr>
      <w:r w:rsidRPr="00D53A2B">
        <w:t>(</w:t>
      </w:r>
      <w:r w:rsidRPr="00D53A2B">
        <w:rPr>
          <w:vertAlign w:val="superscript"/>
        </w:rPr>
        <w:t>1</w:t>
      </w:r>
      <w:r w:rsidRPr="00D53A2B">
        <w:t>) Bu seviye, izokinetik olmayan Mohrhauer yönteminin (eski VDI 2303) kullanımına dayanmaktadır</w:t>
      </w:r>
    </w:p>
    <w:p w14:paraId="7E939487" w14:textId="173257EA" w:rsidR="00C93A55" w:rsidRPr="00D53A2B" w:rsidRDefault="00940A24" w:rsidP="00A202FD">
      <w:pPr>
        <w:jc w:val="both"/>
      </w:pPr>
      <w:r w:rsidRPr="00D53A2B">
        <w:t>(</w:t>
      </w:r>
      <w:r w:rsidRPr="00D53A2B">
        <w:rPr>
          <w:vertAlign w:val="superscript"/>
        </w:rPr>
        <w:t>2</w:t>
      </w:r>
      <w:r w:rsidRPr="00D53A2B">
        <w:t>) Bu seviye, VDI 2066</w:t>
      </w:r>
      <w:r w:rsidR="00E56504" w:rsidRPr="00D53A2B">
        <w:t>’</w:t>
      </w:r>
      <w:r w:rsidRPr="00D53A2B">
        <w:t>ya göre izokinetik örnekleme yönteminin kullanımına dayanmaktadır.</w:t>
      </w:r>
    </w:p>
    <w:p w14:paraId="6D002AD1" w14:textId="77777777" w:rsidR="00940A24" w:rsidRPr="00D53A2B" w:rsidRDefault="00940A24" w:rsidP="00A202FD">
      <w:pPr>
        <w:jc w:val="both"/>
      </w:pPr>
    </w:p>
    <w:p w14:paraId="36B3E0A8" w14:textId="5B925262" w:rsidR="00A711C5" w:rsidRPr="00D53A2B" w:rsidRDefault="00A711C5" w:rsidP="00A202FD">
      <w:pPr>
        <w:jc w:val="both"/>
        <w:rPr>
          <w:b/>
          <w:bCs/>
        </w:rPr>
      </w:pPr>
      <w:r w:rsidRPr="00D53A2B">
        <w:rPr>
          <w:b/>
          <w:bCs/>
        </w:rPr>
        <w:t>MET I</w:t>
      </w:r>
      <w:r w:rsidR="00E56504" w:rsidRPr="00D53A2B">
        <w:rPr>
          <w:b/>
          <w:bCs/>
        </w:rPr>
        <w:t>’</w:t>
      </w:r>
      <w:r w:rsidRPr="00D53A2B">
        <w:rPr>
          <w:b/>
          <w:bCs/>
        </w:rPr>
        <w:t>nın tanımı</w:t>
      </w:r>
    </w:p>
    <w:p w14:paraId="7EF8E80C" w14:textId="28351E70" w:rsidR="00A711C5" w:rsidRPr="00D53A2B" w:rsidRDefault="00CE50A0" w:rsidP="00A202FD">
      <w:pPr>
        <w:jc w:val="both"/>
      </w:pPr>
      <w:r w:rsidRPr="00D53A2B">
        <w:t>Kok kuru söndürme tesislerinin sürekli çalışması için iki seçenek vardır. Bir durumda, kok kuru söndürme ünitesi iki ile dört hazneden oluşur. Bir ünite her zaman hazırda bekler. Bu nedenle ıslak söndürme gerekmez ancak kok kuru söndürme ünitesi, yüksek maliyetli kok fırını tesisine karşı fazladan kapasiteye ihtiyaç duyar. Diğer durumda, ek bir ıslak söndürme sistemi gereklidir.</w:t>
      </w:r>
    </w:p>
    <w:p w14:paraId="2EBA2779" w14:textId="77777777" w:rsidR="00A711C5" w:rsidRPr="00D53A2B" w:rsidRDefault="00A711C5" w:rsidP="00A202FD">
      <w:pPr>
        <w:jc w:val="both"/>
      </w:pPr>
    </w:p>
    <w:p w14:paraId="15C8A6C7" w14:textId="55E729E9" w:rsidR="00940A24" w:rsidRPr="00D53A2B" w:rsidRDefault="00CE50A0" w:rsidP="00A202FD">
      <w:pPr>
        <w:jc w:val="both"/>
      </w:pPr>
      <w:r w:rsidRPr="00D53A2B">
        <w:t>Islak söndürme tesisinin kuru söndürme tesisine dönüştürülmesi durumunda, mevcut ıslak söndürme sistemi bu amaçla tutulabilir. Böyle bir kok kuru söndürme ünitesinin kok fırını tesisine karşı fazla işleme kapasitesi yoktur.</w:t>
      </w:r>
    </w:p>
    <w:p w14:paraId="225883B1" w14:textId="77777777" w:rsidR="00940A24" w:rsidRPr="00D53A2B" w:rsidRDefault="00940A24" w:rsidP="00A202FD">
      <w:pPr>
        <w:jc w:val="both"/>
      </w:pPr>
    </w:p>
    <w:p w14:paraId="6C0AC30B" w14:textId="25F206E7" w:rsidR="00CE50A0" w:rsidRPr="00D53A2B" w:rsidRDefault="00CE50A0" w:rsidP="00A202FD">
      <w:pPr>
        <w:jc w:val="both"/>
        <w:rPr>
          <w:b/>
          <w:bCs/>
        </w:rPr>
      </w:pPr>
      <w:r w:rsidRPr="00D53A2B">
        <w:rPr>
          <w:b/>
          <w:bCs/>
        </w:rPr>
        <w:t>MET II</w:t>
      </w:r>
      <w:r w:rsidR="00E56504" w:rsidRPr="00D53A2B">
        <w:rPr>
          <w:b/>
          <w:bCs/>
        </w:rPr>
        <w:t>’</w:t>
      </w:r>
      <w:r w:rsidRPr="00D53A2B">
        <w:rPr>
          <w:b/>
          <w:bCs/>
        </w:rPr>
        <w:t>nin tanımı</w:t>
      </w:r>
    </w:p>
    <w:p w14:paraId="6FC2D748" w14:textId="78143157" w:rsidR="00CE50A0" w:rsidRPr="00D53A2B" w:rsidRDefault="00CE50A0" w:rsidP="00A202FD">
      <w:pPr>
        <w:jc w:val="both"/>
      </w:pPr>
      <w:r w:rsidRPr="00D53A2B">
        <w:t>Mevcut söndürme kuleleri emisyon azaltma deflektörleriyle donatılabilir. Yeterli hava akımı koşullarının sağlanması için en az 30 m</w:t>
      </w:r>
      <w:r w:rsidR="00E56504" w:rsidRPr="00D53A2B">
        <w:t>’</w:t>
      </w:r>
      <w:r w:rsidRPr="00D53A2B">
        <w:t>lik bir minimum kule yüksekliği gereklidir.</w:t>
      </w:r>
    </w:p>
    <w:p w14:paraId="33A03882" w14:textId="77777777" w:rsidR="00CE50A0" w:rsidRPr="00D53A2B" w:rsidRDefault="00CE50A0" w:rsidP="00A202FD">
      <w:pPr>
        <w:jc w:val="both"/>
      </w:pPr>
    </w:p>
    <w:p w14:paraId="76508EF9" w14:textId="0C94BC44" w:rsidR="00CE50A0" w:rsidRPr="00D53A2B" w:rsidRDefault="00CE50A0" w:rsidP="00A202FD">
      <w:pPr>
        <w:jc w:val="both"/>
        <w:rPr>
          <w:b/>
          <w:bCs/>
        </w:rPr>
      </w:pPr>
      <w:r w:rsidRPr="00D53A2B">
        <w:rPr>
          <w:b/>
          <w:bCs/>
        </w:rPr>
        <w:t>MET III</w:t>
      </w:r>
      <w:r w:rsidR="00E56504" w:rsidRPr="00D53A2B">
        <w:rPr>
          <w:b/>
          <w:bCs/>
        </w:rPr>
        <w:t>’</w:t>
      </w:r>
      <w:r w:rsidRPr="00D53A2B">
        <w:rPr>
          <w:b/>
          <w:bCs/>
        </w:rPr>
        <w:t>ün tanımı</w:t>
      </w:r>
    </w:p>
    <w:p w14:paraId="2BFC9157" w14:textId="34D1D154" w:rsidR="00CE50A0" w:rsidRPr="00D53A2B" w:rsidRDefault="00F30118" w:rsidP="00A202FD">
      <w:pPr>
        <w:jc w:val="both"/>
      </w:pPr>
      <w:r w:rsidRPr="00D53A2B">
        <w:t>Sistemin konvansiyonel söndürme için gerekenden daha büyük olması nedeniyle tesiste yer darlığı bir kısıtlama olabilir.</w:t>
      </w:r>
    </w:p>
    <w:p w14:paraId="75E38D03" w14:textId="77777777" w:rsidR="00CE50A0" w:rsidRPr="00D53A2B" w:rsidRDefault="00CE50A0" w:rsidP="00A202FD">
      <w:pPr>
        <w:jc w:val="both"/>
      </w:pPr>
    </w:p>
    <w:p w14:paraId="2E907946" w14:textId="57719AC8" w:rsidR="00CE50A0" w:rsidRPr="00D53A2B" w:rsidRDefault="00F30118" w:rsidP="00A202FD">
      <w:pPr>
        <w:pStyle w:val="MET"/>
        <w:rPr>
          <w:b w:val="0"/>
          <w:bCs/>
          <w:szCs w:val="24"/>
        </w:rPr>
      </w:pPr>
      <w:r w:rsidRPr="00D53A2B">
        <w:rPr>
          <w:szCs w:val="24"/>
        </w:rPr>
        <w:t xml:space="preserve">MET 52: </w:t>
      </w:r>
      <w:r w:rsidRPr="00D53A2B">
        <w:rPr>
          <w:b w:val="0"/>
          <w:bCs/>
          <w:szCs w:val="24"/>
        </w:rPr>
        <w:t>Kok sınıflandırması ve işlenmesi için aşağıdaki tekniklerin bir arada kullanılmasıyla toz emisyonları önle</w:t>
      </w:r>
      <w:r w:rsidR="003908B2" w:rsidRPr="00D53A2B">
        <w:rPr>
          <w:b w:val="0"/>
          <w:bCs/>
          <w:szCs w:val="24"/>
        </w:rPr>
        <w:t>nebilir</w:t>
      </w:r>
      <w:r w:rsidRPr="00D53A2B">
        <w:rPr>
          <w:b w:val="0"/>
          <w:bCs/>
          <w:szCs w:val="24"/>
        </w:rPr>
        <w:t xml:space="preserve"> veya azalt</w:t>
      </w:r>
      <w:r w:rsidR="003908B2" w:rsidRPr="00D53A2B">
        <w:rPr>
          <w:b w:val="0"/>
          <w:bCs/>
          <w:szCs w:val="24"/>
        </w:rPr>
        <w:t>ılabilir</w:t>
      </w:r>
      <w:r w:rsidRPr="00D53A2B">
        <w:rPr>
          <w:b w:val="0"/>
          <w:bCs/>
          <w:szCs w:val="24"/>
        </w:rPr>
        <w:t>:</w:t>
      </w:r>
    </w:p>
    <w:p w14:paraId="4A9E43AC" w14:textId="77777777" w:rsidR="00F30118" w:rsidRPr="00D53A2B" w:rsidRDefault="00F30118" w:rsidP="00A202FD">
      <w:pPr>
        <w:pStyle w:val="ListeParagraf"/>
        <w:numPr>
          <w:ilvl w:val="0"/>
          <w:numId w:val="121"/>
        </w:numPr>
        <w:tabs>
          <w:tab w:val="clear" w:pos="567"/>
        </w:tabs>
        <w:spacing w:line="240" w:lineRule="auto"/>
        <w:ind w:left="426" w:hanging="437"/>
        <w:rPr>
          <w:sz w:val="24"/>
          <w:szCs w:val="24"/>
        </w:rPr>
      </w:pPr>
      <w:r w:rsidRPr="00D53A2B">
        <w:rPr>
          <w:sz w:val="24"/>
          <w:szCs w:val="24"/>
        </w:rPr>
        <w:t>bina veya cihaz muhafazalarının kullanımı</w:t>
      </w:r>
    </w:p>
    <w:p w14:paraId="11D303B8" w14:textId="3570FCC8" w:rsidR="00CE50A0" w:rsidRPr="00D53A2B" w:rsidRDefault="00F30118" w:rsidP="00A202FD">
      <w:pPr>
        <w:pStyle w:val="ListeParagraf"/>
        <w:numPr>
          <w:ilvl w:val="0"/>
          <w:numId w:val="121"/>
        </w:numPr>
        <w:tabs>
          <w:tab w:val="clear" w:pos="567"/>
        </w:tabs>
        <w:spacing w:line="240" w:lineRule="auto"/>
        <w:ind w:left="426" w:hanging="437"/>
        <w:rPr>
          <w:sz w:val="24"/>
          <w:szCs w:val="24"/>
        </w:rPr>
      </w:pPr>
      <w:r w:rsidRPr="00D53A2B">
        <w:rPr>
          <w:sz w:val="24"/>
          <w:szCs w:val="24"/>
        </w:rPr>
        <w:t>verimli ekstraksiyon ve ardından kuru toz giderme.</w:t>
      </w:r>
    </w:p>
    <w:p w14:paraId="357CF65F" w14:textId="77777777" w:rsidR="00F30118" w:rsidRPr="00D53A2B" w:rsidRDefault="00F30118" w:rsidP="00A202FD">
      <w:pPr>
        <w:jc w:val="both"/>
      </w:pPr>
    </w:p>
    <w:p w14:paraId="0AAE1B29" w14:textId="5E39A163" w:rsidR="00F30118" w:rsidRPr="00D53A2B" w:rsidRDefault="00F30118" w:rsidP="00A202FD">
      <w:pPr>
        <w:jc w:val="both"/>
      </w:pPr>
      <w:r w:rsidRPr="00D53A2B">
        <w:lastRenderedPageBreak/>
        <w:t>Toz için MET ile ilişkili emisyon seviyesi &lt;10 mg/Nm</w:t>
      </w:r>
      <w:r w:rsidRPr="00D53A2B">
        <w:rPr>
          <w:vertAlign w:val="superscript"/>
        </w:rPr>
        <w:t>3</w:t>
      </w:r>
      <w:r w:rsidRPr="00D53A2B">
        <w:t xml:space="preserve"> olup, örnekleme periyodu boyunca ortalama olarak belirlenmiştir (aralıklı ölçüm, en az yarım saat boyunca anlık numuneler).</w:t>
      </w:r>
    </w:p>
    <w:p w14:paraId="5137FB91" w14:textId="77777777" w:rsidR="00F30118" w:rsidRPr="00D53A2B" w:rsidRDefault="00F30118" w:rsidP="00A202FD">
      <w:pPr>
        <w:jc w:val="both"/>
      </w:pPr>
    </w:p>
    <w:p w14:paraId="2E9D895E" w14:textId="1FF4BF82" w:rsidR="00E56ADB" w:rsidRPr="00D53A2B" w:rsidRDefault="003908B2" w:rsidP="00A202FD">
      <w:pPr>
        <w:pStyle w:val="Balk4"/>
        <w:rPr>
          <w:rFonts w:cs="Times New Roman"/>
        </w:rPr>
      </w:pPr>
      <w:r w:rsidRPr="00D53A2B">
        <w:rPr>
          <w:rFonts w:cs="Times New Roman"/>
        </w:rPr>
        <w:t xml:space="preserve">4.2. </w:t>
      </w:r>
      <w:r w:rsidR="00F30118" w:rsidRPr="00D53A2B">
        <w:rPr>
          <w:rFonts w:cs="Times New Roman"/>
        </w:rPr>
        <w:t>Su ve Atıksu</w:t>
      </w:r>
    </w:p>
    <w:p w14:paraId="7911184D" w14:textId="40D03D72" w:rsidR="00CE50A0" w:rsidRPr="00D53A2B" w:rsidRDefault="00F30118" w:rsidP="00A202FD">
      <w:pPr>
        <w:pStyle w:val="MET"/>
        <w:rPr>
          <w:szCs w:val="24"/>
        </w:rPr>
      </w:pPr>
      <w:r w:rsidRPr="00D53A2B">
        <w:rPr>
          <w:szCs w:val="24"/>
        </w:rPr>
        <w:t xml:space="preserve">MET 53: </w:t>
      </w:r>
      <w:r w:rsidRPr="00D53A2B">
        <w:rPr>
          <w:b w:val="0"/>
          <w:bCs/>
          <w:szCs w:val="24"/>
        </w:rPr>
        <w:t>Söndürme suyunu mümkün olduğunca en aza indirmek ve yeniden kullanmaktır.</w:t>
      </w:r>
    </w:p>
    <w:p w14:paraId="0E5234C6" w14:textId="77777777" w:rsidR="00F30118" w:rsidRPr="00D53A2B" w:rsidRDefault="00F30118" w:rsidP="00A202FD">
      <w:pPr>
        <w:jc w:val="both"/>
      </w:pPr>
    </w:p>
    <w:p w14:paraId="7C9594F4" w14:textId="333A45FC" w:rsidR="00F30118" w:rsidRPr="00D53A2B" w:rsidRDefault="00F30118" w:rsidP="00A202FD">
      <w:pPr>
        <w:pStyle w:val="MET"/>
        <w:rPr>
          <w:szCs w:val="24"/>
        </w:rPr>
      </w:pPr>
      <w:r w:rsidRPr="00D53A2B">
        <w:rPr>
          <w:szCs w:val="24"/>
        </w:rPr>
        <w:t xml:space="preserve">MET 54: </w:t>
      </w:r>
      <w:r w:rsidRPr="00D53A2B">
        <w:rPr>
          <w:b w:val="0"/>
          <w:bCs/>
          <w:szCs w:val="24"/>
        </w:rPr>
        <w:t>Önemli miktarda organik yük içeren proses suyunun (ham kok fırını atıksuyu, yüksek hidrokarbon içeriğine sahip atıksu vb.) söndürme suyu olarak tekrar kullanılmasını önlemektir.</w:t>
      </w:r>
    </w:p>
    <w:p w14:paraId="016C605B" w14:textId="77777777" w:rsidR="00F30118" w:rsidRPr="00D53A2B" w:rsidRDefault="00F30118" w:rsidP="00A202FD">
      <w:pPr>
        <w:jc w:val="both"/>
      </w:pPr>
    </w:p>
    <w:p w14:paraId="6CD251DF" w14:textId="50356EF2" w:rsidR="00F30118" w:rsidRPr="00D53A2B" w:rsidRDefault="00F30118" w:rsidP="00A202FD">
      <w:pPr>
        <w:pStyle w:val="MET"/>
        <w:rPr>
          <w:szCs w:val="24"/>
        </w:rPr>
      </w:pPr>
      <w:r w:rsidRPr="00D53A2B">
        <w:rPr>
          <w:szCs w:val="24"/>
        </w:rPr>
        <w:t xml:space="preserve">MET 55: </w:t>
      </w:r>
      <w:r w:rsidRPr="00D53A2B">
        <w:rPr>
          <w:b w:val="0"/>
          <w:bCs/>
          <w:szCs w:val="24"/>
        </w:rPr>
        <w:t>Koklaştırma prosesi ve kok fırını gazı (COG) temizliğinden kaynaklanan atıksuyu, atıksu arıtma tesisine deşarj etmeden önce aşağıdaki tekniklerden birini veya birkaçını kullanarak ön arıt</w:t>
      </w:r>
      <w:r w:rsidR="003908B2" w:rsidRPr="00D53A2B">
        <w:rPr>
          <w:b w:val="0"/>
          <w:bCs/>
          <w:szCs w:val="24"/>
        </w:rPr>
        <w:t>ılabilir</w:t>
      </w:r>
      <w:r w:rsidRPr="00D53A2B">
        <w:rPr>
          <w:b w:val="0"/>
          <w:bCs/>
          <w:szCs w:val="24"/>
        </w:rPr>
        <w:t>:</w:t>
      </w:r>
    </w:p>
    <w:p w14:paraId="051E8398" w14:textId="0A5FFA1F" w:rsidR="00F30118" w:rsidRPr="00D53A2B" w:rsidRDefault="00E56ADB" w:rsidP="00A202FD">
      <w:pPr>
        <w:pStyle w:val="ListeParagraf"/>
        <w:numPr>
          <w:ilvl w:val="0"/>
          <w:numId w:val="122"/>
        </w:numPr>
        <w:tabs>
          <w:tab w:val="clear" w:pos="567"/>
        </w:tabs>
        <w:spacing w:line="240" w:lineRule="auto"/>
        <w:ind w:left="426" w:hanging="437"/>
        <w:rPr>
          <w:sz w:val="24"/>
          <w:szCs w:val="24"/>
        </w:rPr>
      </w:pPr>
      <w:r w:rsidRPr="00D53A2B">
        <w:rPr>
          <w:sz w:val="24"/>
          <w:szCs w:val="24"/>
        </w:rPr>
        <w:t>flokülasyon ve sonrasında flotasyon, sedimantasyon ve filtrasyonun ayrı ayrı veya birlikte kullanılmasıyla verimli katran ve polisiklik aromatik hidrokarbonların (PAH) gideriminin sağlanması.</w:t>
      </w:r>
    </w:p>
    <w:p w14:paraId="53440F8C" w14:textId="31A933CC" w:rsidR="00E56ADB" w:rsidRPr="00D53A2B" w:rsidRDefault="00E56ADB" w:rsidP="00A202FD">
      <w:pPr>
        <w:pStyle w:val="ListeParagraf"/>
        <w:numPr>
          <w:ilvl w:val="0"/>
          <w:numId w:val="122"/>
        </w:numPr>
        <w:tabs>
          <w:tab w:val="clear" w:pos="567"/>
        </w:tabs>
        <w:spacing w:line="240" w:lineRule="auto"/>
        <w:ind w:left="426" w:hanging="437"/>
        <w:rPr>
          <w:sz w:val="24"/>
          <w:szCs w:val="24"/>
        </w:rPr>
      </w:pPr>
      <w:r w:rsidRPr="00D53A2B">
        <w:rPr>
          <w:sz w:val="24"/>
          <w:szCs w:val="24"/>
        </w:rPr>
        <w:t>alkali ve buhar kullanarak etkili amonyak sıyırma yöntemi kullanılarak.</w:t>
      </w:r>
    </w:p>
    <w:p w14:paraId="0248DD0F" w14:textId="77777777" w:rsidR="00F30118" w:rsidRPr="00D53A2B" w:rsidRDefault="00F30118" w:rsidP="00A202FD">
      <w:pPr>
        <w:jc w:val="both"/>
      </w:pPr>
    </w:p>
    <w:p w14:paraId="1F39982C" w14:textId="3E7AD3D6" w:rsidR="00F30118" w:rsidRPr="00D53A2B" w:rsidRDefault="00E56ADB" w:rsidP="00A202FD">
      <w:pPr>
        <w:pStyle w:val="MET"/>
        <w:rPr>
          <w:szCs w:val="24"/>
        </w:rPr>
      </w:pPr>
      <w:r w:rsidRPr="00D53A2B">
        <w:rPr>
          <w:szCs w:val="24"/>
        </w:rPr>
        <w:t xml:space="preserve">MET 56: </w:t>
      </w:r>
      <w:r w:rsidRPr="00D53A2B">
        <w:rPr>
          <w:b w:val="0"/>
          <w:bCs/>
          <w:szCs w:val="24"/>
        </w:rPr>
        <w:t xml:space="preserve">Koklaştırma prosesinden ve kok fırın gazı (COG) temizliğinden kaynaklanan ön arıtılmış </w:t>
      </w:r>
      <w:r w:rsidR="00651500" w:rsidRPr="00D53A2B">
        <w:rPr>
          <w:b w:val="0"/>
          <w:bCs/>
          <w:szCs w:val="24"/>
        </w:rPr>
        <w:t>atıksu</w:t>
      </w:r>
      <w:r w:rsidRPr="00D53A2B">
        <w:rPr>
          <w:b w:val="0"/>
          <w:bCs/>
          <w:szCs w:val="24"/>
        </w:rPr>
        <w:t>için, entegre denitrifikasyon/nitrifikasyon aşamaları ile biyolojik atıksu arıtımının kullanılmasıdır.</w:t>
      </w:r>
    </w:p>
    <w:p w14:paraId="67411DCC" w14:textId="77777777" w:rsidR="00602365" w:rsidRDefault="00602365" w:rsidP="00A202FD">
      <w:pPr>
        <w:jc w:val="both"/>
      </w:pPr>
    </w:p>
    <w:p w14:paraId="0FCCD209" w14:textId="38A32EA4" w:rsidR="00C93A55" w:rsidRPr="00D53A2B" w:rsidRDefault="00E56ADB" w:rsidP="00A202FD">
      <w:pPr>
        <w:jc w:val="both"/>
      </w:pPr>
      <w:r w:rsidRPr="00D53A2B">
        <w:t xml:space="preserve">Nitelikli rastgele bir numuneye veya 24 saatlik bir kompozit numuneye dayanan ve yalnızca tek kok fırını suyu arıtma tesislerini ifade eden </w:t>
      </w:r>
      <w:r w:rsidR="00651500" w:rsidRPr="00D53A2B">
        <w:t>MET</w:t>
      </w:r>
      <w:r w:rsidRPr="00D53A2B">
        <w:t>ile ilişkili emisyon seviyeleri şunlardır:</w:t>
      </w:r>
    </w:p>
    <w:p w14:paraId="0CF6329B" w14:textId="77777777" w:rsidR="00E56ADB" w:rsidRPr="00D53A2B" w:rsidRDefault="00E56ADB" w:rsidP="00A202FD">
      <w:pPr>
        <w:pStyle w:val="Gvdemetni1"/>
        <w:shd w:val="clear" w:color="auto" w:fill="auto"/>
        <w:spacing w:after="0"/>
        <w:ind w:left="567" w:firstLine="0"/>
        <w:rPr>
          <w:rStyle w:val="Gvdemetni3a"/>
          <w:color w:val="000000"/>
          <w:sz w:val="24"/>
          <w:szCs w:val="24"/>
        </w:rPr>
      </w:pPr>
    </w:p>
    <w:tbl>
      <w:tblPr>
        <w:tblStyle w:val="TabloKlavuzu"/>
        <w:tblW w:w="8926" w:type="dxa"/>
        <w:tblLook w:val="04A0" w:firstRow="1" w:lastRow="0" w:firstColumn="1" w:lastColumn="0" w:noHBand="0" w:noVBand="1"/>
      </w:tblPr>
      <w:tblGrid>
        <w:gridCol w:w="4363"/>
        <w:gridCol w:w="4563"/>
      </w:tblGrid>
      <w:tr w:rsidR="00602365" w14:paraId="4B9C8B9E" w14:textId="77777777" w:rsidTr="008A08CF">
        <w:tc>
          <w:tcPr>
            <w:tcW w:w="4363" w:type="dxa"/>
          </w:tcPr>
          <w:p w14:paraId="64D53830" w14:textId="77777777" w:rsidR="00602365" w:rsidRDefault="00602365" w:rsidP="00FA43E3">
            <w:r w:rsidRPr="00D53A2B">
              <w:rPr>
                <w:rStyle w:val="Gvdemetni3a"/>
                <w:color w:val="000000"/>
              </w:rPr>
              <w:t>kimyasal oksijen ihtiyacı (KOİ(</w:t>
            </w:r>
            <w:r w:rsidRPr="00D53A2B">
              <w:rPr>
                <w:rStyle w:val="Gvdemetni3a"/>
                <w:color w:val="000000"/>
                <w:vertAlign w:val="superscript"/>
              </w:rPr>
              <w:t>1</w:t>
            </w:r>
            <w:r w:rsidRPr="00D53A2B">
              <w:rPr>
                <w:rStyle w:val="Gvdemetni3a"/>
                <w:color w:val="000000"/>
              </w:rPr>
              <w:t>))</w:t>
            </w:r>
          </w:p>
        </w:tc>
        <w:tc>
          <w:tcPr>
            <w:tcW w:w="4563" w:type="dxa"/>
          </w:tcPr>
          <w:p w14:paraId="62D9764E" w14:textId="77777777" w:rsidR="00602365" w:rsidRDefault="00602365" w:rsidP="00FA43E3">
            <w:r w:rsidRPr="00D53A2B">
              <w:rPr>
                <w:rStyle w:val="Gvdemetni3a"/>
                <w:color w:val="000000"/>
              </w:rPr>
              <w:t>&lt;220 mg/l</w:t>
            </w:r>
          </w:p>
        </w:tc>
      </w:tr>
      <w:tr w:rsidR="00602365" w14:paraId="12B59C64" w14:textId="77777777" w:rsidTr="008A08CF">
        <w:tc>
          <w:tcPr>
            <w:tcW w:w="4363" w:type="dxa"/>
          </w:tcPr>
          <w:p w14:paraId="4FA4FAD9" w14:textId="77777777" w:rsidR="00602365" w:rsidRDefault="00602365" w:rsidP="00FA43E3">
            <w:r w:rsidRPr="00D53A2B">
              <w:rPr>
                <w:rStyle w:val="Gvdemetni3a"/>
                <w:color w:val="000000"/>
              </w:rPr>
              <w:t>5 günlük biyolojik oksijen ihtiyacı (BOİ</w:t>
            </w:r>
            <w:r w:rsidRPr="00D53A2B">
              <w:rPr>
                <w:rStyle w:val="Gvdemetni610"/>
                <w:color w:val="000000"/>
                <w:sz w:val="24"/>
                <w:szCs w:val="24"/>
                <w:vertAlign w:val="subscript"/>
              </w:rPr>
              <w:t>5</w:t>
            </w:r>
            <w:r w:rsidRPr="00D53A2B">
              <w:rPr>
                <w:rStyle w:val="Gvdemetni3a"/>
                <w:color w:val="000000"/>
              </w:rPr>
              <w:t>)</w:t>
            </w:r>
          </w:p>
        </w:tc>
        <w:tc>
          <w:tcPr>
            <w:tcW w:w="4563" w:type="dxa"/>
          </w:tcPr>
          <w:p w14:paraId="0738377E" w14:textId="77777777" w:rsidR="00602365" w:rsidRDefault="00602365" w:rsidP="00FA43E3">
            <w:r w:rsidRPr="00D53A2B">
              <w:rPr>
                <w:rStyle w:val="Gvdemetni3a"/>
                <w:color w:val="000000"/>
              </w:rPr>
              <w:t>&lt;20 mg/l</w:t>
            </w:r>
          </w:p>
        </w:tc>
      </w:tr>
      <w:tr w:rsidR="00602365" w14:paraId="0775CDB4" w14:textId="77777777" w:rsidTr="008A08CF">
        <w:tc>
          <w:tcPr>
            <w:tcW w:w="4363" w:type="dxa"/>
          </w:tcPr>
          <w:p w14:paraId="5C3D63F8" w14:textId="77777777" w:rsidR="00602365" w:rsidRDefault="00602365" w:rsidP="00FA43E3">
            <w:r w:rsidRPr="00D53A2B">
              <w:rPr>
                <w:rStyle w:val="Gvdemetni3a"/>
                <w:color w:val="000000"/>
              </w:rPr>
              <w:t>kolaylıkla salınan sülfürler (</w:t>
            </w:r>
            <w:r w:rsidRPr="00D53A2B">
              <w:rPr>
                <w:rStyle w:val="Gvdemetni3a"/>
                <w:color w:val="000000"/>
                <w:vertAlign w:val="superscript"/>
              </w:rPr>
              <w:t>2</w:t>
            </w:r>
            <w:r w:rsidRPr="00D53A2B">
              <w:rPr>
                <w:rStyle w:val="Gvdemetni3a"/>
                <w:color w:val="000000"/>
              </w:rPr>
              <w:t>)</w:t>
            </w:r>
          </w:p>
        </w:tc>
        <w:tc>
          <w:tcPr>
            <w:tcW w:w="4563" w:type="dxa"/>
          </w:tcPr>
          <w:p w14:paraId="3A311169" w14:textId="77777777" w:rsidR="00602365" w:rsidRDefault="00602365" w:rsidP="00FA43E3">
            <w:r w:rsidRPr="00D53A2B">
              <w:rPr>
                <w:rStyle w:val="Gvdemetni3a"/>
                <w:color w:val="000000"/>
              </w:rPr>
              <w:t>&lt;0.1 mg/l</w:t>
            </w:r>
          </w:p>
        </w:tc>
      </w:tr>
      <w:tr w:rsidR="00602365" w14:paraId="5923B784" w14:textId="77777777" w:rsidTr="008A08CF">
        <w:tc>
          <w:tcPr>
            <w:tcW w:w="4363" w:type="dxa"/>
          </w:tcPr>
          <w:p w14:paraId="4D611CBA" w14:textId="77777777" w:rsidR="00602365" w:rsidRDefault="00602365" w:rsidP="00FA43E3">
            <w:r w:rsidRPr="00D53A2B">
              <w:rPr>
                <w:rStyle w:val="Gvdemetni3a"/>
                <w:color w:val="000000"/>
              </w:rPr>
              <w:t>tiyosiyanat (SCN</w:t>
            </w:r>
            <w:r w:rsidRPr="00D53A2B">
              <w:rPr>
                <w:rStyle w:val="Gvdemetni3a"/>
                <w:color w:val="000000"/>
                <w:vertAlign w:val="superscript"/>
              </w:rPr>
              <w:t>-</w:t>
            </w:r>
            <w:r w:rsidRPr="00D53A2B">
              <w:rPr>
                <w:rStyle w:val="Gvdemetni3a"/>
                <w:color w:val="000000"/>
              </w:rPr>
              <w:t>)</w:t>
            </w:r>
          </w:p>
        </w:tc>
        <w:tc>
          <w:tcPr>
            <w:tcW w:w="4563" w:type="dxa"/>
          </w:tcPr>
          <w:p w14:paraId="2197D71A" w14:textId="77777777" w:rsidR="00602365" w:rsidRDefault="00602365" w:rsidP="00FA43E3">
            <w:r w:rsidRPr="00D53A2B">
              <w:rPr>
                <w:rStyle w:val="Gvdemetni3a"/>
                <w:color w:val="000000"/>
              </w:rPr>
              <w:t>&lt;4 mg/l</w:t>
            </w:r>
          </w:p>
        </w:tc>
      </w:tr>
      <w:tr w:rsidR="00602365" w14:paraId="724328F1" w14:textId="77777777" w:rsidTr="008A08CF">
        <w:tc>
          <w:tcPr>
            <w:tcW w:w="4363" w:type="dxa"/>
          </w:tcPr>
          <w:p w14:paraId="4A443033" w14:textId="77777777" w:rsidR="00602365" w:rsidRDefault="00602365" w:rsidP="00FA43E3">
            <w:r w:rsidRPr="00D53A2B">
              <w:rPr>
                <w:rStyle w:val="Gvdemetni3a"/>
                <w:color w:val="000000"/>
              </w:rPr>
              <w:t>kolaylıkla salınan siyanür (CN</w:t>
            </w:r>
            <w:r w:rsidRPr="00D53A2B">
              <w:rPr>
                <w:rStyle w:val="Gvdemetni3a"/>
                <w:color w:val="000000"/>
                <w:vertAlign w:val="superscript"/>
              </w:rPr>
              <w:t>-</w:t>
            </w:r>
            <w:r w:rsidRPr="00D53A2B">
              <w:rPr>
                <w:rStyle w:val="Gvdemetni3a"/>
                <w:color w:val="000000"/>
              </w:rPr>
              <w:t>)(</w:t>
            </w:r>
            <w:r w:rsidRPr="00D53A2B">
              <w:rPr>
                <w:rStyle w:val="Gvdemetni3a"/>
                <w:color w:val="000000"/>
                <w:vertAlign w:val="superscript"/>
              </w:rPr>
              <w:t>3</w:t>
            </w:r>
            <w:r w:rsidRPr="00D53A2B">
              <w:rPr>
                <w:rStyle w:val="Gvdemetni3a"/>
                <w:color w:val="000000"/>
              </w:rPr>
              <w:t>)</w:t>
            </w:r>
          </w:p>
        </w:tc>
        <w:tc>
          <w:tcPr>
            <w:tcW w:w="4563" w:type="dxa"/>
          </w:tcPr>
          <w:p w14:paraId="34F9E7EC" w14:textId="77777777" w:rsidR="00602365" w:rsidRDefault="00602365" w:rsidP="00FA43E3">
            <w:r w:rsidRPr="00D53A2B">
              <w:rPr>
                <w:rStyle w:val="Gvdemetni3a"/>
                <w:color w:val="000000"/>
              </w:rPr>
              <w:t>&lt;0.1 mg/l</w:t>
            </w:r>
          </w:p>
        </w:tc>
      </w:tr>
      <w:tr w:rsidR="00602365" w14:paraId="5F5C8B09" w14:textId="77777777" w:rsidTr="008A08CF">
        <w:tc>
          <w:tcPr>
            <w:tcW w:w="4363" w:type="dxa"/>
          </w:tcPr>
          <w:p w14:paraId="15868816" w14:textId="77777777" w:rsidR="00602365" w:rsidRDefault="00602365" w:rsidP="00FA43E3">
            <w:pPr>
              <w:pStyle w:val="Gvdemetni1"/>
              <w:shd w:val="clear" w:color="auto" w:fill="auto"/>
              <w:spacing w:after="0" w:line="240" w:lineRule="auto"/>
              <w:ind w:firstLine="0"/>
              <w:rPr>
                <w:rStyle w:val="Gvdemetni3a"/>
                <w:color w:val="000000"/>
                <w:sz w:val="24"/>
                <w:szCs w:val="24"/>
              </w:rPr>
            </w:pPr>
            <w:r w:rsidRPr="00D53A2B">
              <w:rPr>
                <w:rStyle w:val="Gvdemetni3a"/>
                <w:color w:val="000000"/>
                <w:sz w:val="24"/>
                <w:szCs w:val="24"/>
              </w:rPr>
              <w:t xml:space="preserve">polisiklik aromatik hidrokarbonlar (PAH) </w:t>
            </w:r>
          </w:p>
          <w:p w14:paraId="651F6212" w14:textId="77777777" w:rsidR="00602365" w:rsidRDefault="00602365" w:rsidP="00FA43E3">
            <w:pPr>
              <w:pStyle w:val="Gvdemetni1"/>
              <w:shd w:val="clear" w:color="auto" w:fill="auto"/>
              <w:spacing w:after="0" w:line="240" w:lineRule="auto"/>
              <w:ind w:left="426" w:firstLine="0"/>
              <w:rPr>
                <w:rStyle w:val="Gvdemetni3a"/>
                <w:color w:val="000000"/>
              </w:rPr>
            </w:pPr>
          </w:p>
          <w:p w14:paraId="00024195" w14:textId="77777777" w:rsidR="00602365" w:rsidRPr="00D53A2B" w:rsidRDefault="00602365" w:rsidP="00FA43E3">
            <w:pPr>
              <w:pStyle w:val="Gvdemetni1"/>
              <w:shd w:val="clear" w:color="auto" w:fill="auto"/>
              <w:spacing w:after="0" w:line="240" w:lineRule="auto"/>
              <w:ind w:firstLine="0"/>
              <w:rPr>
                <w:sz w:val="24"/>
                <w:szCs w:val="24"/>
              </w:rPr>
            </w:pPr>
            <w:r w:rsidRPr="00D53A2B">
              <w:rPr>
                <w:rStyle w:val="Gvdemetni3a"/>
                <w:color w:val="000000"/>
                <w:sz w:val="24"/>
                <w:szCs w:val="24"/>
              </w:rPr>
              <w:t>(Flüoranten, Benzo[b]Flüoranten, Benzo [k]Flüoranten, Benzo [a]piren, Indeno [1, 2, 3-cd]Piren ve Benzo [g,h,i] Perilen toplamı)</w:t>
            </w:r>
          </w:p>
          <w:p w14:paraId="719A99F6" w14:textId="77777777" w:rsidR="00602365" w:rsidRDefault="00602365" w:rsidP="00FA43E3"/>
        </w:tc>
        <w:tc>
          <w:tcPr>
            <w:tcW w:w="4563" w:type="dxa"/>
          </w:tcPr>
          <w:p w14:paraId="53117258" w14:textId="77777777" w:rsidR="00602365" w:rsidRDefault="00602365" w:rsidP="00FA43E3">
            <w:r w:rsidRPr="00D53A2B">
              <w:rPr>
                <w:rStyle w:val="Gvdemetni3a"/>
                <w:color w:val="000000"/>
              </w:rPr>
              <w:t>&lt;0.05 mg/l</w:t>
            </w:r>
          </w:p>
        </w:tc>
      </w:tr>
      <w:tr w:rsidR="00602365" w14:paraId="137B5594" w14:textId="77777777" w:rsidTr="008A08CF">
        <w:tc>
          <w:tcPr>
            <w:tcW w:w="4363" w:type="dxa"/>
          </w:tcPr>
          <w:p w14:paraId="7C4EB5C7" w14:textId="77777777" w:rsidR="00602365" w:rsidRDefault="00602365" w:rsidP="00FA43E3">
            <w:r w:rsidRPr="00D53A2B">
              <w:rPr>
                <w:rStyle w:val="Gvdemetni3a"/>
                <w:color w:val="000000"/>
              </w:rPr>
              <w:t>fenoller</w:t>
            </w:r>
          </w:p>
        </w:tc>
        <w:tc>
          <w:tcPr>
            <w:tcW w:w="4563" w:type="dxa"/>
          </w:tcPr>
          <w:p w14:paraId="72A08781" w14:textId="77777777" w:rsidR="00602365" w:rsidRDefault="00602365" w:rsidP="00FA43E3">
            <w:r w:rsidRPr="00D53A2B">
              <w:rPr>
                <w:rStyle w:val="Gvdemetni3a"/>
                <w:color w:val="000000"/>
              </w:rPr>
              <w:t>&lt;0.5 mg/l</w:t>
            </w:r>
          </w:p>
        </w:tc>
      </w:tr>
      <w:tr w:rsidR="00602365" w14:paraId="33AE717C" w14:textId="77777777" w:rsidTr="008A08CF">
        <w:tc>
          <w:tcPr>
            <w:tcW w:w="4363" w:type="dxa"/>
          </w:tcPr>
          <w:p w14:paraId="7D8ED006" w14:textId="77777777" w:rsidR="00602365" w:rsidRPr="00084BC1" w:rsidRDefault="00602365" w:rsidP="00FA43E3">
            <w:pPr>
              <w:rPr>
                <w:rStyle w:val="Gvdemetni3a"/>
                <w:color w:val="000000"/>
              </w:rPr>
            </w:pPr>
            <w:r w:rsidRPr="00084BC1">
              <w:rPr>
                <w:rStyle w:val="Gvdemetni3a"/>
                <w:color w:val="000000"/>
              </w:rPr>
              <w:t>amonyak azotu (NH4 +-N),</w:t>
            </w:r>
          </w:p>
          <w:p w14:paraId="6ACF7E66" w14:textId="77777777" w:rsidR="00602365" w:rsidRPr="00084BC1" w:rsidRDefault="00602365" w:rsidP="00FA43E3">
            <w:pPr>
              <w:rPr>
                <w:rStyle w:val="Gvdemetni3a"/>
                <w:color w:val="000000"/>
              </w:rPr>
            </w:pPr>
          </w:p>
          <w:p w14:paraId="3530F196" w14:textId="77777777" w:rsidR="00602365" w:rsidRDefault="00602365" w:rsidP="00FA43E3">
            <w:r w:rsidRPr="00084BC1">
              <w:rPr>
                <w:rStyle w:val="Gvdemetni3a"/>
                <w:color w:val="000000"/>
              </w:rPr>
              <w:t>nitrat azotu (NO3 --N) ve nitrit azotu (NO2 --N) toplamının</w:t>
            </w:r>
          </w:p>
        </w:tc>
        <w:tc>
          <w:tcPr>
            <w:tcW w:w="4563" w:type="dxa"/>
          </w:tcPr>
          <w:p w14:paraId="31B0DBF0" w14:textId="77777777" w:rsidR="00602365" w:rsidRPr="00D53A2B" w:rsidRDefault="00602365" w:rsidP="00FA43E3">
            <w:pPr>
              <w:pStyle w:val="Gvdemetni1"/>
              <w:shd w:val="clear" w:color="auto" w:fill="auto"/>
              <w:spacing w:after="28" w:line="210" w:lineRule="exact"/>
              <w:ind w:firstLine="0"/>
              <w:rPr>
                <w:sz w:val="24"/>
                <w:szCs w:val="24"/>
              </w:rPr>
            </w:pPr>
            <w:r w:rsidRPr="00D53A2B">
              <w:rPr>
                <w:rStyle w:val="Gvdemetni3a"/>
                <w:color w:val="000000"/>
                <w:sz w:val="24"/>
                <w:szCs w:val="24"/>
              </w:rPr>
              <w:t>&lt;15-50 mg/l.</w:t>
            </w:r>
          </w:p>
          <w:p w14:paraId="68F254DC" w14:textId="77777777" w:rsidR="00602365" w:rsidRDefault="00602365" w:rsidP="00FA43E3"/>
        </w:tc>
      </w:tr>
      <w:tr w:rsidR="009C2239" w14:paraId="35E0A83B" w14:textId="77777777" w:rsidTr="008A08CF">
        <w:tc>
          <w:tcPr>
            <w:tcW w:w="8926" w:type="dxa"/>
            <w:gridSpan w:val="2"/>
          </w:tcPr>
          <w:p w14:paraId="6E9791E0" w14:textId="77777777" w:rsidR="009C2239" w:rsidRPr="009077F5" w:rsidRDefault="009C2239" w:rsidP="009C2239">
            <w:pPr>
              <w:jc w:val="both"/>
              <w:rPr>
                <w:rStyle w:val="Gvdemetni3a"/>
                <w:sz w:val="20"/>
                <w:szCs w:val="20"/>
              </w:rPr>
            </w:pPr>
            <w:r w:rsidRPr="009077F5">
              <w:rPr>
                <w:rStyle w:val="Gvdemetni3a"/>
                <w:sz w:val="20"/>
                <w:szCs w:val="20"/>
              </w:rPr>
              <w:t>Amonyak-azot (NH</w:t>
            </w:r>
            <w:r w:rsidRPr="009077F5">
              <w:rPr>
                <w:rStyle w:val="Gvdemetni3a"/>
                <w:sz w:val="20"/>
                <w:szCs w:val="20"/>
                <w:vertAlign w:val="subscript"/>
              </w:rPr>
              <w:t>4</w:t>
            </w:r>
            <w:r w:rsidRPr="009077F5">
              <w:rPr>
                <w:rStyle w:val="Gvdemetni3a"/>
                <w:sz w:val="20"/>
                <w:szCs w:val="20"/>
              </w:rPr>
              <w:t>+-N), nitrat-azot (NO</w:t>
            </w:r>
            <w:r w:rsidRPr="009077F5">
              <w:rPr>
                <w:rStyle w:val="Gvdemetni3a"/>
                <w:sz w:val="20"/>
                <w:szCs w:val="20"/>
                <w:vertAlign w:val="subscript"/>
              </w:rPr>
              <w:t>3</w:t>
            </w:r>
            <w:r w:rsidRPr="009077F5">
              <w:rPr>
                <w:rStyle w:val="Gvdemetni3a"/>
                <w:sz w:val="20"/>
                <w:szCs w:val="20"/>
                <w:vertAlign w:val="superscript"/>
              </w:rPr>
              <w:t>-</w:t>
            </w:r>
            <w:r w:rsidRPr="009077F5">
              <w:rPr>
                <w:rStyle w:val="Gvdemetni3a"/>
                <w:sz w:val="20"/>
                <w:szCs w:val="20"/>
              </w:rPr>
              <w:t>-N) ve nitrit-azot (NO</w:t>
            </w:r>
            <w:r w:rsidRPr="009077F5">
              <w:rPr>
                <w:rStyle w:val="Gvdemetni3a"/>
                <w:sz w:val="20"/>
                <w:szCs w:val="20"/>
                <w:vertAlign w:val="subscript"/>
              </w:rPr>
              <w:t>2</w:t>
            </w:r>
            <w:r w:rsidRPr="009077F5">
              <w:rPr>
                <w:rStyle w:val="Gvdemetni3a"/>
                <w:sz w:val="20"/>
                <w:szCs w:val="20"/>
                <w:vertAlign w:val="superscript"/>
              </w:rPr>
              <w:t>-</w:t>
            </w:r>
            <w:r w:rsidRPr="009077F5">
              <w:rPr>
                <w:rStyle w:val="Gvdemetni3a"/>
                <w:sz w:val="20"/>
                <w:szCs w:val="20"/>
              </w:rPr>
              <w:t>-N) toplamları dikkate alındığında, &lt;35 mg/l değerleri genellikle predenitrifikasyon/nitrifikasyon ve postdenitrifikasyonlu ileri biyolojik atıksuarıtma tesislerinin uygulanmasıyla ilişkilidir.</w:t>
            </w:r>
          </w:p>
          <w:p w14:paraId="47C43B81" w14:textId="77777777" w:rsidR="009C2239" w:rsidRPr="009077F5" w:rsidRDefault="009C2239" w:rsidP="009C2239">
            <w:pPr>
              <w:jc w:val="both"/>
              <w:rPr>
                <w:rStyle w:val="Gvdemetni3a"/>
                <w:sz w:val="20"/>
                <w:szCs w:val="20"/>
              </w:rPr>
            </w:pPr>
          </w:p>
          <w:p w14:paraId="4E2BAAE4" w14:textId="77777777" w:rsidR="009C2239" w:rsidRPr="009077F5" w:rsidRDefault="009C2239" w:rsidP="009C2239">
            <w:pPr>
              <w:jc w:val="both"/>
              <w:rPr>
                <w:rStyle w:val="Gvdemetni3a"/>
                <w:sz w:val="20"/>
                <w:szCs w:val="20"/>
              </w:rPr>
            </w:pPr>
            <w:r w:rsidRPr="009077F5">
              <w:rPr>
                <w:rStyle w:val="Gvdemetni3a"/>
                <w:sz w:val="20"/>
                <w:szCs w:val="20"/>
              </w:rPr>
              <w:lastRenderedPageBreak/>
              <w:t>(</w:t>
            </w:r>
            <w:r w:rsidRPr="009077F5">
              <w:rPr>
                <w:rStyle w:val="Gvdemetni3a"/>
                <w:sz w:val="20"/>
                <w:szCs w:val="20"/>
                <w:vertAlign w:val="superscript"/>
              </w:rPr>
              <w:t>1</w:t>
            </w:r>
            <w:r w:rsidRPr="009077F5">
              <w:rPr>
                <w:rStyle w:val="Gvdemetni3a"/>
                <w:sz w:val="20"/>
                <w:szCs w:val="20"/>
              </w:rPr>
              <w:t>) Bazı durumlarda, KOİ yerine TOK ölçülür (KOİ analizinde kullanılan HgCl</w:t>
            </w:r>
            <w:r w:rsidRPr="009077F5">
              <w:rPr>
                <w:rStyle w:val="Gvdemetni3a"/>
                <w:sz w:val="20"/>
                <w:szCs w:val="20"/>
                <w:vertAlign w:val="subscript"/>
              </w:rPr>
              <w:t>2</w:t>
            </w:r>
            <w:r w:rsidRPr="009077F5">
              <w:rPr>
                <w:rStyle w:val="Gvdemetni3a"/>
                <w:sz w:val="20"/>
                <w:szCs w:val="20"/>
              </w:rPr>
              <w:t>’den kaçınmak için). KOİ ve TOK arasındaki korelasyon, her kok fırını tesisi için vaka bazında ayrıntılı olarak açıklanmalıdır. KOİ/TOK oranı yaklaşık olarak iki ile dört arasında değişebilir.</w:t>
            </w:r>
          </w:p>
          <w:p w14:paraId="7C47BD4C" w14:textId="77777777" w:rsidR="009C2239" w:rsidRPr="009077F5" w:rsidRDefault="009C2239" w:rsidP="009C2239">
            <w:pPr>
              <w:jc w:val="both"/>
              <w:rPr>
                <w:rStyle w:val="Gvdemetni3a"/>
                <w:sz w:val="20"/>
                <w:szCs w:val="20"/>
              </w:rPr>
            </w:pPr>
            <w:r w:rsidRPr="009077F5">
              <w:rPr>
                <w:rStyle w:val="Gvdemetni3a"/>
                <w:sz w:val="20"/>
                <w:szCs w:val="20"/>
              </w:rPr>
              <w:t>(</w:t>
            </w:r>
            <w:r w:rsidRPr="009077F5">
              <w:rPr>
                <w:rStyle w:val="Gvdemetni3a"/>
                <w:sz w:val="20"/>
                <w:szCs w:val="20"/>
                <w:vertAlign w:val="superscript"/>
              </w:rPr>
              <w:t>2</w:t>
            </w:r>
            <w:r w:rsidRPr="009077F5">
              <w:rPr>
                <w:rStyle w:val="Gvdemetni3a"/>
                <w:sz w:val="20"/>
                <w:szCs w:val="20"/>
              </w:rPr>
              <w:t>) Bu seviye, eşdeğer bilimsel kalitede veri sağlanmasını garanti eden DIN 38405 D 27 veya herhangi bir diğer ulusal veya uluslararası standardın kullanımına dayanmaktadır.</w:t>
            </w:r>
          </w:p>
          <w:p w14:paraId="67360FF5" w14:textId="77777777" w:rsidR="009C2239" w:rsidRPr="009077F5" w:rsidRDefault="009C2239" w:rsidP="009C2239">
            <w:pPr>
              <w:jc w:val="both"/>
              <w:rPr>
                <w:rStyle w:val="Gvdemetni3a"/>
                <w:sz w:val="20"/>
                <w:szCs w:val="20"/>
              </w:rPr>
            </w:pPr>
            <w:r w:rsidRPr="009077F5">
              <w:rPr>
                <w:rStyle w:val="Gvdemetni3a"/>
                <w:sz w:val="20"/>
                <w:szCs w:val="20"/>
              </w:rPr>
              <w:t>(</w:t>
            </w:r>
            <w:r w:rsidRPr="009077F5">
              <w:rPr>
                <w:rStyle w:val="Gvdemetni3a"/>
                <w:sz w:val="20"/>
                <w:szCs w:val="20"/>
                <w:vertAlign w:val="superscript"/>
              </w:rPr>
              <w:t>3</w:t>
            </w:r>
            <w:r w:rsidRPr="009077F5">
              <w:rPr>
                <w:rStyle w:val="Gvdemetni3a"/>
                <w:sz w:val="20"/>
                <w:szCs w:val="20"/>
              </w:rPr>
              <w:t>) Bu seviye, eşdeğer bilimsel kalitede veri sağlanmasını garanti eden DIN 38405 D 13-2 veya herhangi bir diğer ulusal veya uluslararası standardın kullanımına dayanmaktadır.</w:t>
            </w:r>
          </w:p>
          <w:p w14:paraId="200F13E1" w14:textId="77777777" w:rsidR="009C2239" w:rsidRPr="00D53A2B" w:rsidRDefault="009C2239" w:rsidP="009C2239">
            <w:pPr>
              <w:jc w:val="both"/>
              <w:rPr>
                <w:rStyle w:val="Gvdemetni3a"/>
              </w:rPr>
            </w:pPr>
          </w:p>
          <w:p w14:paraId="01FBD9D6" w14:textId="77777777" w:rsidR="009C2239" w:rsidRPr="00D53A2B" w:rsidRDefault="009C2239" w:rsidP="00FA43E3">
            <w:pPr>
              <w:pStyle w:val="Gvdemetni1"/>
              <w:shd w:val="clear" w:color="auto" w:fill="auto"/>
              <w:spacing w:after="28" w:line="210" w:lineRule="exact"/>
              <w:ind w:firstLine="0"/>
              <w:rPr>
                <w:rStyle w:val="Gvdemetni3a"/>
                <w:color w:val="000000"/>
                <w:sz w:val="24"/>
                <w:szCs w:val="24"/>
              </w:rPr>
            </w:pPr>
          </w:p>
        </w:tc>
      </w:tr>
    </w:tbl>
    <w:p w14:paraId="4C917382" w14:textId="77777777" w:rsidR="00602365" w:rsidRDefault="00602365" w:rsidP="00A202FD">
      <w:pPr>
        <w:jc w:val="both"/>
        <w:rPr>
          <w:rStyle w:val="Gvdemetni3a"/>
        </w:rPr>
      </w:pPr>
    </w:p>
    <w:p w14:paraId="22B28279" w14:textId="24CC8EE9" w:rsidR="004430CA" w:rsidRPr="00D53A2B" w:rsidRDefault="003908B2" w:rsidP="00A202FD">
      <w:pPr>
        <w:pStyle w:val="Balk4"/>
        <w:rPr>
          <w:rStyle w:val="Gvdemetni3a"/>
          <w:rFonts w:cs="Times New Roman"/>
          <w:b w:val="0"/>
          <w:bCs/>
          <w:iCs w:val="0"/>
        </w:rPr>
      </w:pPr>
      <w:r w:rsidRPr="00D53A2B">
        <w:rPr>
          <w:rStyle w:val="Gvdemetni3a"/>
          <w:rFonts w:cs="Times New Roman"/>
          <w:bCs/>
          <w:iCs w:val="0"/>
        </w:rPr>
        <w:t xml:space="preserve">4.3. </w:t>
      </w:r>
      <w:r w:rsidR="008515E5" w:rsidRPr="00D53A2B">
        <w:rPr>
          <w:rStyle w:val="Gvdemetni3a"/>
          <w:rFonts w:cs="Times New Roman"/>
          <w:bCs/>
          <w:iCs w:val="0"/>
        </w:rPr>
        <w:t>Üretim kalıntıları</w:t>
      </w:r>
    </w:p>
    <w:p w14:paraId="11278EF2" w14:textId="5CB18627" w:rsidR="004430CA" w:rsidRPr="00D53A2B" w:rsidRDefault="008515E5" w:rsidP="00A202FD">
      <w:pPr>
        <w:pStyle w:val="MET"/>
        <w:rPr>
          <w:rStyle w:val="Gvdemetni3a"/>
          <w:szCs w:val="24"/>
        </w:rPr>
      </w:pPr>
      <w:r w:rsidRPr="00D53A2B">
        <w:rPr>
          <w:rStyle w:val="Gvdemetni3a"/>
          <w:szCs w:val="24"/>
        </w:rPr>
        <w:t xml:space="preserve">MET 57: </w:t>
      </w:r>
      <w:r w:rsidRPr="00D53A2B">
        <w:rPr>
          <w:rStyle w:val="Gvdemetni3a"/>
          <w:b w:val="0"/>
          <w:bCs/>
          <w:szCs w:val="24"/>
        </w:rPr>
        <w:t>Kömür suyundan ve durgun atıklardan gelen katran gibi üretim artıklarını ve atıksu arıtma tesisinden gelen fazla aktif çamuru kok fırını tesisinin kömür beslemesine geri dönüştürmektir.</w:t>
      </w:r>
    </w:p>
    <w:p w14:paraId="5E7F867B" w14:textId="77777777" w:rsidR="004430CA" w:rsidRPr="00D53A2B" w:rsidRDefault="004430CA" w:rsidP="00A202FD">
      <w:pPr>
        <w:jc w:val="both"/>
        <w:rPr>
          <w:rStyle w:val="Gvdemetni3a"/>
          <w:b/>
          <w:spacing w:val="2"/>
          <w:lang w:eastAsia="en-US"/>
        </w:rPr>
      </w:pPr>
    </w:p>
    <w:p w14:paraId="6457CFA4" w14:textId="2BA4D898" w:rsidR="004430CA" w:rsidRPr="00D53A2B" w:rsidRDefault="003908B2" w:rsidP="00A202FD">
      <w:pPr>
        <w:pStyle w:val="Balk4"/>
        <w:rPr>
          <w:rStyle w:val="Gvdemetni3a"/>
          <w:rFonts w:cs="Times New Roman"/>
          <w:b w:val="0"/>
          <w:bCs/>
          <w:iCs w:val="0"/>
        </w:rPr>
      </w:pPr>
      <w:r w:rsidRPr="00D53A2B">
        <w:rPr>
          <w:rStyle w:val="Gvdemetni3a"/>
          <w:rFonts w:cs="Times New Roman"/>
          <w:bCs/>
          <w:iCs w:val="0"/>
        </w:rPr>
        <w:t xml:space="preserve">4.4. </w:t>
      </w:r>
      <w:r w:rsidR="008515E5" w:rsidRPr="00D53A2B">
        <w:rPr>
          <w:rStyle w:val="Gvdemetni3a"/>
          <w:rFonts w:cs="Times New Roman"/>
          <w:bCs/>
          <w:iCs w:val="0"/>
        </w:rPr>
        <w:t>Enerji</w:t>
      </w:r>
    </w:p>
    <w:p w14:paraId="4DF1235C" w14:textId="32F2F0C1" w:rsidR="008515E5" w:rsidRPr="00D53A2B" w:rsidRDefault="008515E5" w:rsidP="00A202FD">
      <w:pPr>
        <w:pStyle w:val="MET"/>
        <w:rPr>
          <w:rStyle w:val="Gvdemetni3a"/>
          <w:szCs w:val="24"/>
        </w:rPr>
      </w:pPr>
      <w:r w:rsidRPr="00D53A2B">
        <w:rPr>
          <w:rStyle w:val="Gvdemetni3a"/>
          <w:szCs w:val="24"/>
        </w:rPr>
        <w:t xml:space="preserve">MET 58: </w:t>
      </w:r>
      <w:r w:rsidRPr="00D53A2B">
        <w:rPr>
          <w:rStyle w:val="Gvdemetni3a"/>
          <w:b w:val="0"/>
          <w:bCs/>
          <w:szCs w:val="24"/>
        </w:rPr>
        <w:t>Çıkarılan kok fırın gazının (COG) yakıt veya indirgeyici madde olarak veya kimyasal üretimi için kullanılmasıdır.</w:t>
      </w:r>
    </w:p>
    <w:p w14:paraId="3DDC911E" w14:textId="77777777" w:rsidR="008515E5" w:rsidRPr="00D53A2B" w:rsidRDefault="008515E5" w:rsidP="00A202FD">
      <w:pPr>
        <w:jc w:val="both"/>
        <w:rPr>
          <w:rStyle w:val="Gvdemetni3a"/>
          <w:b/>
          <w:spacing w:val="2"/>
          <w:lang w:eastAsia="en-US"/>
        </w:rPr>
      </w:pPr>
    </w:p>
    <w:p w14:paraId="34D530EF" w14:textId="15F81B68" w:rsidR="008515E5" w:rsidRPr="00D53A2B" w:rsidRDefault="003908B2" w:rsidP="00A202FD">
      <w:pPr>
        <w:pStyle w:val="Balk2"/>
        <w:rPr>
          <w:rStyle w:val="Gvdemetni3a"/>
          <w:rFonts w:cs="Times New Roman"/>
          <w:szCs w:val="24"/>
        </w:rPr>
      </w:pPr>
      <w:r w:rsidRPr="00D53A2B">
        <w:rPr>
          <w:rStyle w:val="Gvdemetni3a"/>
          <w:rFonts w:cs="Times New Roman"/>
          <w:szCs w:val="24"/>
        </w:rPr>
        <w:t xml:space="preserve">5. </w:t>
      </w:r>
      <w:r w:rsidR="007B462F" w:rsidRPr="00D53A2B">
        <w:rPr>
          <w:rStyle w:val="Gvdemetni3a"/>
          <w:rFonts w:cs="Times New Roman"/>
          <w:szCs w:val="24"/>
        </w:rPr>
        <w:t xml:space="preserve">Yüksek Fırınlar İçin </w:t>
      </w:r>
      <w:r w:rsidRPr="00D53A2B">
        <w:rPr>
          <w:rStyle w:val="Gvdemetni3a"/>
          <w:rFonts w:cs="Times New Roman"/>
          <w:szCs w:val="24"/>
        </w:rPr>
        <w:t xml:space="preserve">MET </w:t>
      </w:r>
      <w:r w:rsidR="007B462F" w:rsidRPr="00D53A2B">
        <w:rPr>
          <w:rStyle w:val="Gvdemetni3a"/>
          <w:rFonts w:cs="Times New Roman"/>
          <w:szCs w:val="24"/>
        </w:rPr>
        <w:t>Sonuçları</w:t>
      </w:r>
    </w:p>
    <w:p w14:paraId="3C4565BE" w14:textId="42A916CA" w:rsidR="008515E5" w:rsidRPr="00D53A2B" w:rsidRDefault="00993B47" w:rsidP="00A202FD">
      <w:pPr>
        <w:pStyle w:val="MET"/>
        <w:rPr>
          <w:rStyle w:val="Gvdemetni3a"/>
          <w:b w:val="0"/>
          <w:bCs/>
          <w:szCs w:val="24"/>
        </w:rPr>
      </w:pPr>
      <w:r w:rsidRPr="00D53A2B">
        <w:rPr>
          <w:rStyle w:val="Gvdemetni3a"/>
          <w:b w:val="0"/>
          <w:bCs/>
          <w:szCs w:val="24"/>
        </w:rPr>
        <w:t xml:space="preserve">Aksi belirtilmediği takdirde, bu bölümde sunulan </w:t>
      </w:r>
      <w:r w:rsidR="003908B2" w:rsidRPr="00D53A2B">
        <w:rPr>
          <w:rStyle w:val="Gvdemetni3a"/>
          <w:b w:val="0"/>
          <w:bCs/>
          <w:szCs w:val="24"/>
        </w:rPr>
        <w:t>MET</w:t>
      </w:r>
      <w:r w:rsidRPr="00D53A2B">
        <w:rPr>
          <w:rStyle w:val="Gvdemetni3a"/>
          <w:b w:val="0"/>
          <w:bCs/>
          <w:szCs w:val="24"/>
        </w:rPr>
        <w:t xml:space="preserve"> sonuçları tüm yüksek fırınlara uygulanabilir.</w:t>
      </w:r>
    </w:p>
    <w:p w14:paraId="1F6C852E" w14:textId="77777777" w:rsidR="00C54260" w:rsidRPr="00D53A2B" w:rsidRDefault="00C54260" w:rsidP="00A202FD">
      <w:pPr>
        <w:pStyle w:val="MET"/>
        <w:rPr>
          <w:rStyle w:val="Gvdemetni3a"/>
          <w:b w:val="0"/>
          <w:bCs/>
          <w:szCs w:val="24"/>
        </w:rPr>
      </w:pPr>
    </w:p>
    <w:p w14:paraId="6B18E1F1" w14:textId="569B7D96" w:rsidR="00C54260" w:rsidRPr="00D53A2B" w:rsidRDefault="00DE2327" w:rsidP="00A202FD">
      <w:pPr>
        <w:pStyle w:val="Balk4"/>
        <w:rPr>
          <w:rStyle w:val="Gvdemetni3a"/>
          <w:rFonts w:cs="Times New Roman"/>
          <w:iCs w:val="0"/>
        </w:rPr>
      </w:pPr>
      <w:r w:rsidRPr="00D53A2B">
        <w:rPr>
          <w:rStyle w:val="Gvdemetni3a"/>
          <w:rFonts w:cs="Times New Roman"/>
          <w:iCs w:val="0"/>
        </w:rPr>
        <w:t xml:space="preserve">5.1. </w:t>
      </w:r>
      <w:r w:rsidR="00993B47" w:rsidRPr="00D53A2B">
        <w:rPr>
          <w:rStyle w:val="Gvdemetni3a"/>
          <w:rFonts w:cs="Times New Roman"/>
          <w:iCs w:val="0"/>
        </w:rPr>
        <w:t>Hava emisyonları</w:t>
      </w:r>
    </w:p>
    <w:p w14:paraId="17B609BA" w14:textId="03F69D02" w:rsidR="00C54260" w:rsidRPr="00D53A2B" w:rsidRDefault="00993B47" w:rsidP="00A202FD">
      <w:pPr>
        <w:pStyle w:val="MET"/>
        <w:rPr>
          <w:rStyle w:val="Gvdemetni3a"/>
          <w:szCs w:val="24"/>
        </w:rPr>
      </w:pPr>
      <w:r w:rsidRPr="00D53A2B">
        <w:rPr>
          <w:rStyle w:val="Gvdemetni3a"/>
          <w:szCs w:val="24"/>
        </w:rPr>
        <w:t xml:space="preserve">MET 59: </w:t>
      </w:r>
      <w:r w:rsidRPr="00D53A2B">
        <w:rPr>
          <w:rStyle w:val="Gvdemetni3a"/>
          <w:b w:val="0"/>
          <w:bCs/>
          <w:szCs w:val="24"/>
        </w:rPr>
        <w:t>Kömür enjeksiyon ünitesinin depolama bunkerlerinden yükleme sırasında yerinden çıkan hava için toz emisyonlarının yakalanması ve ardından kuru tozsuzlaştırmanın gerçekleştirilmesidir.</w:t>
      </w:r>
    </w:p>
    <w:p w14:paraId="3BF30AB5" w14:textId="77777777" w:rsidR="00C54260" w:rsidRPr="00D53A2B" w:rsidRDefault="00C54260" w:rsidP="00A202FD">
      <w:pPr>
        <w:jc w:val="both"/>
        <w:rPr>
          <w:rStyle w:val="Gvdemetni3a"/>
        </w:rPr>
      </w:pPr>
    </w:p>
    <w:p w14:paraId="45C2B2FA" w14:textId="2E24F8CB" w:rsidR="00993B47" w:rsidRPr="00D53A2B" w:rsidRDefault="00993B47" w:rsidP="00A202FD">
      <w:pPr>
        <w:jc w:val="both"/>
        <w:rPr>
          <w:rStyle w:val="Gvdemetni3a"/>
        </w:rPr>
      </w:pPr>
      <w:r w:rsidRPr="00D53A2B">
        <w:rPr>
          <w:rStyle w:val="Gvdemetni3a"/>
        </w:rPr>
        <w:t>Toz için MET ile ilişkili emisyon seviyesi &lt;20 mg/Nm</w:t>
      </w:r>
      <w:r w:rsidRPr="00D53A2B">
        <w:rPr>
          <w:rStyle w:val="Gvdemetni3a"/>
          <w:vertAlign w:val="superscript"/>
        </w:rPr>
        <w:t>3</w:t>
      </w:r>
      <w:r w:rsidRPr="00D53A2B">
        <w:rPr>
          <w:rStyle w:val="Gvdemetni3a"/>
        </w:rPr>
        <w:t xml:space="preserve"> olup, örnekleme periyodu boyunca ortalama olarak belirlenmiştir (aralıklı ölçüm, en az yarım saat boyunca anlık numuneler).</w:t>
      </w:r>
    </w:p>
    <w:p w14:paraId="45613965" w14:textId="77777777" w:rsidR="00993B47" w:rsidRPr="00D53A2B" w:rsidRDefault="00993B47" w:rsidP="00A202FD">
      <w:pPr>
        <w:jc w:val="both"/>
        <w:rPr>
          <w:rStyle w:val="Gvdemetni3a"/>
        </w:rPr>
      </w:pPr>
    </w:p>
    <w:p w14:paraId="62AB8540" w14:textId="17936FC6" w:rsidR="00993B47" w:rsidRPr="00D53A2B" w:rsidRDefault="00993B47" w:rsidP="00A202FD">
      <w:pPr>
        <w:pStyle w:val="MET"/>
        <w:rPr>
          <w:rStyle w:val="Gvdemetni3a"/>
          <w:szCs w:val="24"/>
        </w:rPr>
      </w:pPr>
      <w:r w:rsidRPr="00D53A2B">
        <w:rPr>
          <w:rStyle w:val="Gvdemetni3a"/>
          <w:szCs w:val="24"/>
        </w:rPr>
        <w:t xml:space="preserve">MET 60: </w:t>
      </w:r>
      <w:r w:rsidRPr="00D53A2B">
        <w:rPr>
          <w:rStyle w:val="Gvdemetni3a"/>
          <w:b w:val="0"/>
          <w:bCs/>
          <w:szCs w:val="24"/>
        </w:rPr>
        <w:t>Yükün hazırlanması (karıştırma, harmanlama) ve taşımaya yönelik, toz emisyonlarının en aza indirilmesi ve ilgili olduğu yerde, elektrostatik çökeltici veya torba filtre aracılığıyla daha sonra tozsuzlaştırma ile ekstraksiyonun yapılmasıdır.</w:t>
      </w:r>
    </w:p>
    <w:p w14:paraId="440FDB04" w14:textId="7D97E29D" w:rsidR="008515E5" w:rsidRPr="00D53A2B" w:rsidRDefault="00C77C3A" w:rsidP="00A202FD">
      <w:pPr>
        <w:pStyle w:val="MET"/>
        <w:rPr>
          <w:rStyle w:val="Gvdemetni3a"/>
          <w:szCs w:val="24"/>
        </w:rPr>
      </w:pPr>
      <w:r w:rsidRPr="00D53A2B">
        <w:rPr>
          <w:rStyle w:val="Gvdemetni3a"/>
          <w:szCs w:val="24"/>
        </w:rPr>
        <w:t xml:space="preserve">MET 61: </w:t>
      </w:r>
      <w:r w:rsidRPr="00D53A2B">
        <w:rPr>
          <w:rStyle w:val="Gvdemetni3a"/>
          <w:b w:val="0"/>
          <w:bCs/>
          <w:szCs w:val="24"/>
        </w:rPr>
        <w:t>Döküm holü (fırın döküm delikleri, döküm, torpido potaları, şarj noktaları, kevgirler) için aşağıdaki teknikleri kullanarak dağınık toz emisyonlarını önlemek veya azaltmaktır:</w:t>
      </w:r>
    </w:p>
    <w:p w14:paraId="0718D7F4" w14:textId="7FF15F25" w:rsidR="00993B47" w:rsidRPr="00D53A2B" w:rsidRDefault="00C77C3A" w:rsidP="00602365">
      <w:pPr>
        <w:pStyle w:val="ListeParagraf"/>
        <w:numPr>
          <w:ilvl w:val="0"/>
          <w:numId w:val="124"/>
        </w:numPr>
        <w:tabs>
          <w:tab w:val="clear" w:pos="567"/>
        </w:tabs>
        <w:spacing w:line="240" w:lineRule="auto"/>
        <w:ind w:left="426" w:hanging="437"/>
        <w:rPr>
          <w:rStyle w:val="Gvdemetni3a"/>
          <w:sz w:val="24"/>
          <w:szCs w:val="24"/>
        </w:rPr>
      </w:pPr>
      <w:r w:rsidRPr="00D53A2B">
        <w:rPr>
          <w:rStyle w:val="Gvdemetni3a"/>
          <w:sz w:val="24"/>
          <w:szCs w:val="24"/>
        </w:rPr>
        <w:t>Yollukların kaplanması</w:t>
      </w:r>
    </w:p>
    <w:p w14:paraId="50DC47F5" w14:textId="77777777" w:rsidR="00C77C3A" w:rsidRPr="00D53A2B" w:rsidRDefault="00C77C3A" w:rsidP="00602365">
      <w:pPr>
        <w:pStyle w:val="ListeParagraf"/>
        <w:numPr>
          <w:ilvl w:val="0"/>
          <w:numId w:val="124"/>
        </w:numPr>
        <w:tabs>
          <w:tab w:val="clear" w:pos="567"/>
        </w:tabs>
        <w:spacing w:line="240" w:lineRule="auto"/>
        <w:ind w:left="426" w:hanging="437"/>
        <w:rPr>
          <w:rStyle w:val="Gvdemetni3a"/>
          <w:sz w:val="24"/>
          <w:szCs w:val="24"/>
        </w:rPr>
      </w:pPr>
      <w:r w:rsidRPr="00D53A2B">
        <w:rPr>
          <w:rStyle w:val="Gvdemetni3a"/>
          <w:sz w:val="24"/>
          <w:szCs w:val="24"/>
        </w:rPr>
        <w:t>Bir elektrostatik çökeltici veya torba filtre aracılığıyla daha sonra gaz çıkışının temizlenmesiyle, dağınık toz emisyonları ve dumanlar için yakalama verimliliğinin optimize edilmesi</w:t>
      </w:r>
    </w:p>
    <w:p w14:paraId="4BA0329B" w14:textId="197DF14F" w:rsidR="00C77C3A" w:rsidRPr="00D53A2B" w:rsidRDefault="00C77C3A" w:rsidP="00602365">
      <w:pPr>
        <w:pStyle w:val="Gvdemetni1"/>
        <w:numPr>
          <w:ilvl w:val="0"/>
          <w:numId w:val="124"/>
        </w:numPr>
        <w:shd w:val="clear" w:color="auto" w:fill="auto"/>
        <w:spacing w:after="240" w:line="240" w:lineRule="auto"/>
        <w:ind w:left="426" w:hanging="437"/>
        <w:rPr>
          <w:sz w:val="24"/>
          <w:szCs w:val="24"/>
        </w:rPr>
      </w:pPr>
      <w:r w:rsidRPr="00D53A2B">
        <w:rPr>
          <w:rStyle w:val="Gvdemetni3a"/>
          <w:color w:val="000000"/>
          <w:sz w:val="24"/>
          <w:szCs w:val="24"/>
        </w:rPr>
        <w:t>Döküm emisyonları için toplama ve tozsuzlaştırma sistemi bulunmadığında ve uygun şartlarda, fırından döküm alma sırasında azot kullanarak duman giderme</w:t>
      </w:r>
    </w:p>
    <w:p w14:paraId="60D9D363" w14:textId="71573A73" w:rsidR="00993B47" w:rsidRPr="00D53A2B" w:rsidRDefault="003D16FD" w:rsidP="00A202FD">
      <w:pPr>
        <w:jc w:val="both"/>
        <w:rPr>
          <w:rStyle w:val="Gvdemetni3a"/>
        </w:rPr>
      </w:pPr>
      <w:r w:rsidRPr="00D53A2B">
        <w:rPr>
          <w:rStyle w:val="Gvdemetni3a"/>
        </w:rPr>
        <w:t>MET II kullanıldığında, toz için MET ile ilişkili emisyon seviyesi günlük ortalama değer olarak belirlenen &lt;1 – 15 mg/Nm</w:t>
      </w:r>
      <w:r w:rsidRPr="00D53A2B">
        <w:rPr>
          <w:rStyle w:val="Gvdemetni3a"/>
          <w:vertAlign w:val="superscript"/>
        </w:rPr>
        <w:t>3</w:t>
      </w:r>
      <w:r w:rsidR="00E56504" w:rsidRPr="00D53A2B">
        <w:rPr>
          <w:rStyle w:val="Gvdemetni3a"/>
        </w:rPr>
        <w:t>’</w:t>
      </w:r>
      <w:r w:rsidRPr="00D53A2B">
        <w:rPr>
          <w:rStyle w:val="Gvdemetni3a"/>
        </w:rPr>
        <w:t>tür.</w:t>
      </w:r>
    </w:p>
    <w:p w14:paraId="5C940561" w14:textId="77777777" w:rsidR="00993B47" w:rsidRPr="00D53A2B" w:rsidRDefault="00993B47" w:rsidP="00A202FD">
      <w:pPr>
        <w:jc w:val="both"/>
        <w:rPr>
          <w:rStyle w:val="Gvdemetni3a"/>
        </w:rPr>
      </w:pPr>
    </w:p>
    <w:p w14:paraId="3C607E1B" w14:textId="7E292B8E" w:rsidR="00993B47" w:rsidRPr="00D53A2B" w:rsidRDefault="003D16FD" w:rsidP="00A202FD">
      <w:pPr>
        <w:pStyle w:val="MET"/>
        <w:rPr>
          <w:rStyle w:val="Gvdemetni3a"/>
          <w:szCs w:val="24"/>
        </w:rPr>
      </w:pPr>
      <w:r w:rsidRPr="00D53A2B">
        <w:rPr>
          <w:rStyle w:val="Gvdemetni3a"/>
          <w:szCs w:val="24"/>
        </w:rPr>
        <w:lastRenderedPageBreak/>
        <w:t xml:space="preserve">MET 62: </w:t>
      </w:r>
      <w:r w:rsidRPr="00D53A2B">
        <w:rPr>
          <w:rStyle w:val="Gvdemetni3a"/>
          <w:b w:val="0"/>
          <w:bCs/>
          <w:szCs w:val="24"/>
        </w:rPr>
        <w:t>Katran içermeyen kanal astarları kullanılır.</w:t>
      </w:r>
    </w:p>
    <w:p w14:paraId="15D9B5F7" w14:textId="77777777" w:rsidR="00993B47" w:rsidRPr="00D53A2B" w:rsidRDefault="00993B47" w:rsidP="00A202FD">
      <w:pPr>
        <w:jc w:val="both"/>
        <w:rPr>
          <w:rStyle w:val="Gvdemetni3a"/>
          <w:b/>
          <w:spacing w:val="2"/>
          <w:lang w:eastAsia="en-US"/>
        </w:rPr>
      </w:pPr>
    </w:p>
    <w:p w14:paraId="4EF4ABDA" w14:textId="1D7EA143" w:rsidR="00993B47" w:rsidRPr="00D53A2B" w:rsidRDefault="00411B89" w:rsidP="00A202FD">
      <w:pPr>
        <w:pStyle w:val="MET"/>
        <w:rPr>
          <w:rStyle w:val="Gvdemetni3a"/>
          <w:szCs w:val="24"/>
        </w:rPr>
      </w:pPr>
      <w:r w:rsidRPr="00D53A2B">
        <w:rPr>
          <w:rStyle w:val="Gvdemetni3a"/>
          <w:szCs w:val="24"/>
        </w:rPr>
        <w:t xml:space="preserve">MET 63: </w:t>
      </w:r>
      <w:r w:rsidRPr="00D53A2B">
        <w:rPr>
          <w:rStyle w:val="Gvdemetni3a"/>
          <w:b w:val="0"/>
          <w:bCs/>
          <w:szCs w:val="24"/>
        </w:rPr>
        <w:t>Aşağıdaki tekniklerden birini veya birkaçını kullanarak şarj sırasında yüksek fırın gazının salınımını en aza indir</w:t>
      </w:r>
      <w:r w:rsidR="00DE2327" w:rsidRPr="00D53A2B">
        <w:rPr>
          <w:rStyle w:val="Gvdemetni3a"/>
          <w:b w:val="0"/>
          <w:bCs/>
          <w:szCs w:val="24"/>
        </w:rPr>
        <w:t>ilir</w:t>
      </w:r>
      <w:r w:rsidRPr="00D53A2B">
        <w:rPr>
          <w:rStyle w:val="Gvdemetni3a"/>
          <w:b w:val="0"/>
          <w:bCs/>
          <w:szCs w:val="24"/>
        </w:rPr>
        <w:t>.</w:t>
      </w:r>
    </w:p>
    <w:p w14:paraId="71080671" w14:textId="5F550DDF" w:rsidR="00993B47" w:rsidRPr="00D53A2B" w:rsidRDefault="00411B89" w:rsidP="00602365">
      <w:pPr>
        <w:pStyle w:val="ListeParagraf"/>
        <w:numPr>
          <w:ilvl w:val="0"/>
          <w:numId w:val="125"/>
        </w:numPr>
        <w:spacing w:line="240" w:lineRule="auto"/>
        <w:ind w:left="720"/>
        <w:rPr>
          <w:rStyle w:val="Gvdemetni3a"/>
          <w:sz w:val="24"/>
          <w:szCs w:val="24"/>
        </w:rPr>
      </w:pPr>
      <w:r w:rsidRPr="00D53A2B">
        <w:rPr>
          <w:rStyle w:val="Gvdemetni3a"/>
          <w:sz w:val="24"/>
          <w:szCs w:val="24"/>
        </w:rPr>
        <w:t>birincil ve ikincil eşitlemeli çansız tepe</w:t>
      </w:r>
    </w:p>
    <w:p w14:paraId="1701D04F" w14:textId="304667F0" w:rsidR="00411B89" w:rsidRPr="00D53A2B" w:rsidRDefault="00411B89" w:rsidP="00602365">
      <w:pPr>
        <w:pStyle w:val="ListeParagraf"/>
        <w:numPr>
          <w:ilvl w:val="0"/>
          <w:numId w:val="125"/>
        </w:numPr>
        <w:spacing w:line="240" w:lineRule="auto"/>
        <w:ind w:left="720"/>
        <w:rPr>
          <w:rStyle w:val="Gvdemetni3a"/>
          <w:sz w:val="24"/>
          <w:szCs w:val="24"/>
        </w:rPr>
      </w:pPr>
      <w:r w:rsidRPr="00D53A2B">
        <w:rPr>
          <w:rStyle w:val="Gvdemetni3a"/>
          <w:sz w:val="24"/>
          <w:szCs w:val="24"/>
        </w:rPr>
        <w:t>gaz veya havalandırma geri kazanım sistemi</w:t>
      </w:r>
    </w:p>
    <w:p w14:paraId="07AD4C18" w14:textId="73727D9C" w:rsidR="00993B47" w:rsidRPr="00D53A2B" w:rsidRDefault="00411B89" w:rsidP="00602365">
      <w:pPr>
        <w:pStyle w:val="ListeParagraf"/>
        <w:numPr>
          <w:ilvl w:val="0"/>
          <w:numId w:val="125"/>
        </w:numPr>
        <w:spacing w:line="240" w:lineRule="auto"/>
        <w:ind w:left="720"/>
        <w:rPr>
          <w:rStyle w:val="Gvdemetni3a"/>
          <w:sz w:val="24"/>
          <w:szCs w:val="24"/>
        </w:rPr>
      </w:pPr>
      <w:r w:rsidRPr="00D53A2B">
        <w:rPr>
          <w:rStyle w:val="Gvdemetni3a"/>
          <w:sz w:val="24"/>
          <w:szCs w:val="24"/>
        </w:rPr>
        <w:t>üst bunkerlere basınç vermek için yüksek fırın gazının kullanılması.</w:t>
      </w:r>
    </w:p>
    <w:p w14:paraId="34F5A558" w14:textId="77777777" w:rsidR="003D16FD" w:rsidRPr="00D53A2B" w:rsidRDefault="003D16FD" w:rsidP="00A202FD">
      <w:pPr>
        <w:jc w:val="both"/>
        <w:rPr>
          <w:rStyle w:val="Gvdemetni3a"/>
          <w:spacing w:val="2"/>
          <w:position w:val="-1"/>
          <w:lang w:val="en-US" w:eastAsia="en-US"/>
        </w:rPr>
      </w:pPr>
    </w:p>
    <w:p w14:paraId="5A143AFA" w14:textId="1A1C1512" w:rsidR="003D16FD" w:rsidRPr="00D53A2B" w:rsidRDefault="00411B89" w:rsidP="00A202FD">
      <w:pPr>
        <w:jc w:val="both"/>
        <w:rPr>
          <w:rStyle w:val="Gvdemetni3a"/>
          <w:b/>
          <w:bCs/>
        </w:rPr>
      </w:pPr>
      <w:r w:rsidRPr="00D53A2B">
        <w:rPr>
          <w:rStyle w:val="Gvdemetni3a"/>
          <w:b/>
          <w:bCs/>
        </w:rPr>
        <w:t>MET II</w:t>
      </w:r>
      <w:r w:rsidR="00E56504" w:rsidRPr="00D53A2B">
        <w:rPr>
          <w:rStyle w:val="Gvdemetni3a"/>
          <w:b/>
          <w:bCs/>
        </w:rPr>
        <w:t>’</w:t>
      </w:r>
      <w:r w:rsidRPr="00D53A2B">
        <w:rPr>
          <w:rStyle w:val="Gvdemetni3a"/>
          <w:b/>
          <w:bCs/>
        </w:rPr>
        <w:t>nin uygulanabilirliği</w:t>
      </w:r>
    </w:p>
    <w:p w14:paraId="6328FD41" w14:textId="0857F501" w:rsidR="003D16FD" w:rsidRPr="00D53A2B" w:rsidRDefault="00187D9F" w:rsidP="00A202FD">
      <w:pPr>
        <w:jc w:val="both"/>
        <w:rPr>
          <w:rStyle w:val="Gvdemetni3a"/>
        </w:rPr>
      </w:pPr>
      <w:r w:rsidRPr="00D53A2B">
        <w:rPr>
          <w:rStyle w:val="Gvdemetni3a"/>
        </w:rPr>
        <w:t>Yeni tesisler için geçerlidir. Sadece fırının çansız bir şarj sistemine sahip olduğu mevcut tesisler için geçerlidir. Yüksek fırın gazı dışındaki gazların (örneğin azot) fırın üst bunkerlerini basınçlandırmak için kullanıldığı tesisler için geçerli değildir.</w:t>
      </w:r>
    </w:p>
    <w:p w14:paraId="0840AEA8" w14:textId="77777777" w:rsidR="00993B47" w:rsidRPr="00D53A2B" w:rsidRDefault="00993B47" w:rsidP="00A202FD">
      <w:pPr>
        <w:jc w:val="both"/>
        <w:rPr>
          <w:rStyle w:val="Gvdemetni3a"/>
        </w:rPr>
      </w:pPr>
    </w:p>
    <w:p w14:paraId="01836D1E" w14:textId="0826B00F" w:rsidR="00187D9F" w:rsidRPr="00D53A2B" w:rsidRDefault="00187D9F" w:rsidP="00A202FD">
      <w:pPr>
        <w:pStyle w:val="MET"/>
        <w:rPr>
          <w:rStyle w:val="Gvdemetni3a"/>
          <w:szCs w:val="24"/>
        </w:rPr>
      </w:pPr>
      <w:r w:rsidRPr="00D53A2B">
        <w:rPr>
          <w:rStyle w:val="Gvdemetni3a"/>
          <w:szCs w:val="24"/>
        </w:rPr>
        <w:t>MET 64:</w:t>
      </w:r>
      <w:r w:rsidRPr="00D53A2B">
        <w:rPr>
          <w:szCs w:val="24"/>
        </w:rPr>
        <w:t xml:space="preserve"> </w:t>
      </w:r>
      <w:r w:rsidRPr="00D53A2B">
        <w:rPr>
          <w:rStyle w:val="Gvdemetni3a"/>
          <w:b w:val="0"/>
          <w:bCs/>
          <w:szCs w:val="24"/>
        </w:rPr>
        <w:t>Aşağıdaki tekniklerden birini veya birkaçını kullanarak yüksek fırın gazından kaynaklanan toz emisyonları azalt</w:t>
      </w:r>
      <w:r w:rsidR="00DE2327" w:rsidRPr="00D53A2B">
        <w:rPr>
          <w:rStyle w:val="Gvdemetni3a"/>
          <w:b w:val="0"/>
          <w:bCs/>
          <w:szCs w:val="24"/>
        </w:rPr>
        <w:t>ılabilir</w:t>
      </w:r>
      <w:r w:rsidRPr="00D53A2B">
        <w:rPr>
          <w:rStyle w:val="Gvdemetni3a"/>
          <w:b w:val="0"/>
          <w:bCs/>
          <w:szCs w:val="24"/>
        </w:rPr>
        <w:t>.</w:t>
      </w:r>
    </w:p>
    <w:p w14:paraId="07398185" w14:textId="4A095F66" w:rsidR="00187D9F" w:rsidRPr="00D53A2B" w:rsidRDefault="003F09E6" w:rsidP="00602365">
      <w:pPr>
        <w:pStyle w:val="ListeParagraf"/>
        <w:numPr>
          <w:ilvl w:val="0"/>
          <w:numId w:val="126"/>
        </w:numPr>
        <w:spacing w:line="240" w:lineRule="auto"/>
        <w:ind w:left="720"/>
        <w:rPr>
          <w:rStyle w:val="Gvdemetni3a"/>
          <w:sz w:val="24"/>
          <w:szCs w:val="24"/>
        </w:rPr>
      </w:pPr>
      <w:r w:rsidRPr="00D53A2B">
        <w:rPr>
          <w:rStyle w:val="Gvdemetni3a"/>
          <w:sz w:val="24"/>
          <w:szCs w:val="24"/>
        </w:rPr>
        <w:t>Aşağıdaki gibi kuru ön toz giderme cihazlarının kullanılması:</w:t>
      </w:r>
    </w:p>
    <w:p w14:paraId="2CAC9ABA" w14:textId="32A43589" w:rsidR="00187D9F" w:rsidRPr="00D53A2B" w:rsidRDefault="003F09E6" w:rsidP="00602365">
      <w:pPr>
        <w:pStyle w:val="ListeParagraf"/>
        <w:numPr>
          <w:ilvl w:val="0"/>
          <w:numId w:val="127"/>
        </w:numPr>
        <w:tabs>
          <w:tab w:val="clear" w:pos="567"/>
        </w:tabs>
        <w:spacing w:line="240" w:lineRule="auto"/>
        <w:ind w:left="993" w:hanging="426"/>
        <w:rPr>
          <w:rStyle w:val="Gvdemetni3a"/>
          <w:sz w:val="24"/>
          <w:szCs w:val="24"/>
        </w:rPr>
      </w:pPr>
      <w:r w:rsidRPr="00D53A2B">
        <w:rPr>
          <w:rStyle w:val="Gvdemetni3a"/>
          <w:sz w:val="24"/>
          <w:szCs w:val="24"/>
        </w:rPr>
        <w:t>deflektörler</w:t>
      </w:r>
    </w:p>
    <w:p w14:paraId="27651C2B" w14:textId="1BEFC9F8" w:rsidR="003F09E6" w:rsidRPr="00D53A2B" w:rsidRDefault="003F09E6" w:rsidP="00602365">
      <w:pPr>
        <w:pStyle w:val="ListeParagraf"/>
        <w:numPr>
          <w:ilvl w:val="0"/>
          <w:numId w:val="127"/>
        </w:numPr>
        <w:spacing w:line="240" w:lineRule="auto"/>
        <w:ind w:left="993" w:hanging="426"/>
        <w:rPr>
          <w:rStyle w:val="Gvdemetni3a"/>
          <w:sz w:val="24"/>
          <w:szCs w:val="24"/>
        </w:rPr>
      </w:pPr>
      <w:r w:rsidRPr="00D53A2B">
        <w:rPr>
          <w:rStyle w:val="Gvdemetni3a"/>
          <w:sz w:val="24"/>
          <w:szCs w:val="24"/>
        </w:rPr>
        <w:t>toz tutucular</w:t>
      </w:r>
    </w:p>
    <w:p w14:paraId="3B5E7893" w14:textId="4817D0D2" w:rsidR="003F09E6" w:rsidRPr="00D53A2B" w:rsidRDefault="003F09E6" w:rsidP="00602365">
      <w:pPr>
        <w:pStyle w:val="ListeParagraf"/>
        <w:numPr>
          <w:ilvl w:val="0"/>
          <w:numId w:val="127"/>
        </w:numPr>
        <w:spacing w:line="240" w:lineRule="auto"/>
        <w:ind w:left="993" w:hanging="426"/>
        <w:rPr>
          <w:rStyle w:val="Gvdemetni3a"/>
          <w:sz w:val="24"/>
          <w:szCs w:val="24"/>
        </w:rPr>
      </w:pPr>
      <w:r w:rsidRPr="00D53A2B">
        <w:rPr>
          <w:rStyle w:val="Gvdemetni3a"/>
          <w:sz w:val="24"/>
          <w:szCs w:val="24"/>
        </w:rPr>
        <w:t>siklonlar</w:t>
      </w:r>
    </w:p>
    <w:p w14:paraId="6583E446" w14:textId="4B80E36A" w:rsidR="003F09E6" w:rsidRPr="00D53A2B" w:rsidRDefault="003F09E6" w:rsidP="00602365">
      <w:pPr>
        <w:pStyle w:val="ListeParagraf"/>
        <w:numPr>
          <w:ilvl w:val="0"/>
          <w:numId w:val="127"/>
        </w:numPr>
        <w:spacing w:line="240" w:lineRule="auto"/>
        <w:ind w:left="993" w:hanging="426"/>
        <w:rPr>
          <w:rStyle w:val="Gvdemetni3a"/>
          <w:sz w:val="24"/>
          <w:szCs w:val="24"/>
        </w:rPr>
      </w:pPr>
      <w:r w:rsidRPr="00D53A2B">
        <w:rPr>
          <w:rStyle w:val="Gvdemetni3a"/>
          <w:sz w:val="24"/>
          <w:szCs w:val="24"/>
        </w:rPr>
        <w:t>elektrostatik çöktürücüler</w:t>
      </w:r>
    </w:p>
    <w:p w14:paraId="69082A2C" w14:textId="507DD0C9" w:rsidR="00187D9F" w:rsidRPr="00D53A2B" w:rsidRDefault="003F09E6" w:rsidP="00602365">
      <w:pPr>
        <w:pStyle w:val="ListeParagraf"/>
        <w:numPr>
          <w:ilvl w:val="0"/>
          <w:numId w:val="126"/>
        </w:numPr>
        <w:tabs>
          <w:tab w:val="clear" w:pos="567"/>
        </w:tabs>
        <w:spacing w:line="240" w:lineRule="auto"/>
        <w:ind w:left="567" w:hanging="567"/>
        <w:rPr>
          <w:rStyle w:val="Gvdemetni3a"/>
          <w:sz w:val="24"/>
          <w:szCs w:val="24"/>
        </w:rPr>
      </w:pPr>
      <w:r w:rsidRPr="00D53A2B">
        <w:rPr>
          <w:rStyle w:val="Gvdemetni3a"/>
          <w:sz w:val="24"/>
          <w:szCs w:val="24"/>
        </w:rPr>
        <w:t>Aşağıdaki gibi daha sonraki toz azaltımı</w:t>
      </w:r>
    </w:p>
    <w:p w14:paraId="33386A16" w14:textId="5AC1181E" w:rsidR="003F09E6" w:rsidRPr="00D53A2B" w:rsidRDefault="003F09E6" w:rsidP="00602365">
      <w:pPr>
        <w:pStyle w:val="Gvdemetni1"/>
        <w:numPr>
          <w:ilvl w:val="0"/>
          <w:numId w:val="129"/>
        </w:numPr>
        <w:shd w:val="clear" w:color="auto" w:fill="auto"/>
        <w:tabs>
          <w:tab w:val="left" w:pos="284"/>
        </w:tabs>
        <w:spacing w:after="0" w:line="240" w:lineRule="auto"/>
        <w:ind w:left="993" w:hanging="426"/>
        <w:rPr>
          <w:rStyle w:val="Gvdemetni3a"/>
          <w:color w:val="000000"/>
          <w:spacing w:val="2"/>
          <w:position w:val="-1"/>
          <w:sz w:val="24"/>
          <w:szCs w:val="24"/>
          <w:lang w:val="en-US" w:eastAsia="en-US"/>
        </w:rPr>
      </w:pPr>
      <w:r w:rsidRPr="00D53A2B">
        <w:rPr>
          <w:rStyle w:val="Gvdemetni3a"/>
          <w:color w:val="000000"/>
          <w:sz w:val="24"/>
          <w:szCs w:val="24"/>
        </w:rPr>
        <w:t>engelli tipli temizleyiciler (hurdle-type scrubbers)</w:t>
      </w:r>
    </w:p>
    <w:p w14:paraId="164A93C1" w14:textId="3E18DA78" w:rsidR="003F09E6" w:rsidRPr="00D53A2B" w:rsidRDefault="003F09E6" w:rsidP="00602365">
      <w:pPr>
        <w:pStyle w:val="Gvdemetni1"/>
        <w:numPr>
          <w:ilvl w:val="0"/>
          <w:numId w:val="129"/>
        </w:numPr>
        <w:shd w:val="clear" w:color="auto" w:fill="auto"/>
        <w:tabs>
          <w:tab w:val="left" w:pos="284"/>
        </w:tabs>
        <w:spacing w:after="0" w:line="240" w:lineRule="auto"/>
        <w:ind w:left="993" w:hanging="426"/>
        <w:rPr>
          <w:rStyle w:val="Gvdemetni3a"/>
          <w:color w:val="000000"/>
          <w:sz w:val="24"/>
          <w:szCs w:val="24"/>
        </w:rPr>
      </w:pPr>
      <w:r w:rsidRPr="00D53A2B">
        <w:rPr>
          <w:rStyle w:val="Gvdemetni3a"/>
          <w:color w:val="000000"/>
          <w:sz w:val="24"/>
          <w:szCs w:val="24"/>
        </w:rPr>
        <w:t>venturi yıkayıcılar</w:t>
      </w:r>
    </w:p>
    <w:p w14:paraId="46130AB6" w14:textId="4689DFD8" w:rsidR="003F09E6" w:rsidRPr="00D53A2B" w:rsidRDefault="003F09E6" w:rsidP="00602365">
      <w:pPr>
        <w:pStyle w:val="Gvdemetni1"/>
        <w:numPr>
          <w:ilvl w:val="0"/>
          <w:numId w:val="129"/>
        </w:numPr>
        <w:shd w:val="clear" w:color="auto" w:fill="auto"/>
        <w:tabs>
          <w:tab w:val="left" w:pos="284"/>
        </w:tabs>
        <w:spacing w:after="0" w:line="240" w:lineRule="auto"/>
        <w:ind w:left="993" w:hanging="426"/>
        <w:rPr>
          <w:rStyle w:val="Gvdemetni3a"/>
          <w:color w:val="000000"/>
          <w:sz w:val="24"/>
          <w:szCs w:val="24"/>
        </w:rPr>
      </w:pPr>
      <w:r w:rsidRPr="00D53A2B">
        <w:rPr>
          <w:rStyle w:val="Gvdemetni3a"/>
          <w:color w:val="000000"/>
          <w:sz w:val="24"/>
          <w:szCs w:val="24"/>
        </w:rPr>
        <w:t>dairesel temizleyiciler</w:t>
      </w:r>
    </w:p>
    <w:p w14:paraId="638EB96A" w14:textId="0C2DF889" w:rsidR="003F09E6" w:rsidRPr="00D53A2B" w:rsidRDefault="003F09E6" w:rsidP="00602365">
      <w:pPr>
        <w:pStyle w:val="Gvdemetni1"/>
        <w:numPr>
          <w:ilvl w:val="0"/>
          <w:numId w:val="129"/>
        </w:numPr>
        <w:shd w:val="clear" w:color="auto" w:fill="auto"/>
        <w:tabs>
          <w:tab w:val="left" w:pos="284"/>
        </w:tabs>
        <w:spacing w:after="0" w:line="240" w:lineRule="auto"/>
        <w:ind w:left="993" w:hanging="426"/>
        <w:rPr>
          <w:rStyle w:val="Gvdemetni3a"/>
          <w:color w:val="000000"/>
          <w:sz w:val="24"/>
          <w:szCs w:val="24"/>
        </w:rPr>
      </w:pPr>
      <w:r w:rsidRPr="00D53A2B">
        <w:rPr>
          <w:rStyle w:val="Gvdemetni3a"/>
          <w:color w:val="000000"/>
          <w:sz w:val="24"/>
          <w:szCs w:val="24"/>
        </w:rPr>
        <w:t>ıslak elektrostatik çöktürücüler</w:t>
      </w:r>
    </w:p>
    <w:p w14:paraId="756BF46A" w14:textId="6BD8780A" w:rsidR="003F09E6" w:rsidRPr="00D53A2B" w:rsidRDefault="003F09E6" w:rsidP="00602365">
      <w:pPr>
        <w:pStyle w:val="Gvdemetni1"/>
        <w:numPr>
          <w:ilvl w:val="0"/>
          <w:numId w:val="129"/>
        </w:numPr>
        <w:shd w:val="clear" w:color="auto" w:fill="auto"/>
        <w:tabs>
          <w:tab w:val="left" w:pos="284"/>
        </w:tabs>
        <w:spacing w:after="0" w:line="240" w:lineRule="auto"/>
        <w:ind w:left="993" w:hanging="426"/>
        <w:rPr>
          <w:sz w:val="24"/>
          <w:szCs w:val="24"/>
        </w:rPr>
      </w:pPr>
      <w:r w:rsidRPr="00D53A2B">
        <w:rPr>
          <w:rStyle w:val="Gvdemetni3a"/>
          <w:color w:val="000000"/>
          <w:sz w:val="24"/>
          <w:szCs w:val="24"/>
        </w:rPr>
        <w:t>parçalayıcılar</w:t>
      </w:r>
    </w:p>
    <w:p w14:paraId="267512FA" w14:textId="77777777" w:rsidR="00993B47" w:rsidRPr="00D53A2B" w:rsidRDefault="00993B47" w:rsidP="00A202FD">
      <w:pPr>
        <w:pStyle w:val="MET"/>
        <w:rPr>
          <w:rStyle w:val="Gvdemetni3a"/>
          <w:b w:val="0"/>
          <w:bCs/>
          <w:szCs w:val="24"/>
        </w:rPr>
      </w:pPr>
    </w:p>
    <w:p w14:paraId="146FB118" w14:textId="5270B914" w:rsidR="001B09BD" w:rsidRPr="00D53A2B" w:rsidRDefault="001B09BD" w:rsidP="00A202FD">
      <w:pPr>
        <w:pStyle w:val="MET"/>
        <w:rPr>
          <w:rStyle w:val="Gvdemetni3a"/>
          <w:b w:val="0"/>
          <w:bCs/>
          <w:szCs w:val="24"/>
        </w:rPr>
      </w:pPr>
      <w:r w:rsidRPr="00D53A2B">
        <w:rPr>
          <w:rStyle w:val="Gvdemetni3a"/>
          <w:b w:val="0"/>
          <w:bCs/>
          <w:szCs w:val="24"/>
        </w:rPr>
        <w:t xml:space="preserve">Temizlenmiş yüksek fırın gazı için, </w:t>
      </w:r>
      <w:r w:rsidR="00651500" w:rsidRPr="00D53A2B">
        <w:rPr>
          <w:rStyle w:val="Gvdemetni3a"/>
          <w:b w:val="0"/>
          <w:bCs/>
          <w:szCs w:val="24"/>
        </w:rPr>
        <w:t>MET</w:t>
      </w:r>
      <w:r w:rsidR="00F35B82">
        <w:rPr>
          <w:rStyle w:val="Gvdemetni3a"/>
          <w:b w:val="0"/>
          <w:bCs/>
          <w:szCs w:val="24"/>
        </w:rPr>
        <w:t xml:space="preserve"> </w:t>
      </w:r>
      <w:r w:rsidRPr="00D53A2B">
        <w:rPr>
          <w:rStyle w:val="Gvdemetni3a"/>
          <w:b w:val="0"/>
          <w:bCs/>
          <w:szCs w:val="24"/>
        </w:rPr>
        <w:t>ile ilişkili kalıntı toz konsantrasyonu, örnekleme periyodu boyunca ortalama olarak belirlenen &lt;10 mg/Nm</w:t>
      </w:r>
      <w:r w:rsidRPr="00D53A2B">
        <w:rPr>
          <w:rStyle w:val="Gvdemetni3a"/>
          <w:b w:val="0"/>
          <w:bCs/>
          <w:szCs w:val="24"/>
          <w:vertAlign w:val="superscript"/>
        </w:rPr>
        <w:t>3</w:t>
      </w:r>
      <w:r w:rsidR="00E56504" w:rsidRPr="00D53A2B">
        <w:rPr>
          <w:rStyle w:val="Gvdemetni3a"/>
          <w:b w:val="0"/>
          <w:bCs/>
          <w:szCs w:val="24"/>
        </w:rPr>
        <w:t>’</w:t>
      </w:r>
      <w:r w:rsidRPr="00D53A2B">
        <w:rPr>
          <w:rStyle w:val="Gvdemetni3a"/>
          <w:b w:val="0"/>
          <w:bCs/>
          <w:szCs w:val="24"/>
        </w:rPr>
        <w:t>tür (aralıklı ölçüm, en az yarım saat boyunca anlık numuneler).</w:t>
      </w:r>
    </w:p>
    <w:p w14:paraId="7D6C31A6" w14:textId="77777777" w:rsidR="00993B47" w:rsidRPr="00D53A2B" w:rsidRDefault="00993B47" w:rsidP="00A202FD">
      <w:pPr>
        <w:jc w:val="both"/>
        <w:rPr>
          <w:rStyle w:val="Gvdemetni3a"/>
        </w:rPr>
      </w:pPr>
    </w:p>
    <w:p w14:paraId="63A2DF4F" w14:textId="3CBD4D90" w:rsidR="00411B89" w:rsidRPr="00D53A2B" w:rsidRDefault="001B09BD" w:rsidP="00A202FD">
      <w:pPr>
        <w:pStyle w:val="MET"/>
        <w:rPr>
          <w:rStyle w:val="Gvdemetni10pt6"/>
          <w:b/>
          <w:bCs w:val="0"/>
          <w:sz w:val="24"/>
          <w:szCs w:val="24"/>
        </w:rPr>
      </w:pPr>
      <w:r w:rsidRPr="00D53A2B">
        <w:rPr>
          <w:rStyle w:val="Gvdemetni10pt6"/>
          <w:b/>
          <w:bCs w:val="0"/>
          <w:sz w:val="24"/>
          <w:szCs w:val="24"/>
        </w:rPr>
        <w:t xml:space="preserve">MET 65: </w:t>
      </w:r>
      <w:r w:rsidRPr="00D53A2B">
        <w:rPr>
          <w:rStyle w:val="Gvdemetni10pt6"/>
          <w:sz w:val="24"/>
          <w:szCs w:val="24"/>
        </w:rPr>
        <w:t>Yüksek fırın sobaları için, kükürtten ve tozdan arındırılmış fazla kok fırın gazı, tozdan arındırılmış yüksek fırın gazı, tozdan arındırılmış bazik oksijen fırın gazı ve doğal gazı ayrı ayrı veya birlikte kullanarak emisyonları azalt</w:t>
      </w:r>
      <w:r w:rsidR="00DE2327" w:rsidRPr="00D53A2B">
        <w:rPr>
          <w:rStyle w:val="Gvdemetni10pt6"/>
          <w:sz w:val="24"/>
          <w:szCs w:val="24"/>
        </w:rPr>
        <w:t>ılır</w:t>
      </w:r>
      <w:r w:rsidRPr="00D53A2B">
        <w:rPr>
          <w:rStyle w:val="Gvdemetni10pt6"/>
          <w:sz w:val="24"/>
          <w:szCs w:val="24"/>
        </w:rPr>
        <w:t>.</w:t>
      </w:r>
    </w:p>
    <w:p w14:paraId="761A4F15" w14:textId="77777777" w:rsidR="001B09BD" w:rsidRPr="00D53A2B" w:rsidRDefault="001B09BD" w:rsidP="00A202FD">
      <w:pPr>
        <w:jc w:val="both"/>
        <w:rPr>
          <w:rStyle w:val="Gvdemetni10pt6"/>
          <w:b w:val="0"/>
          <w:bCs w:val="0"/>
          <w:sz w:val="24"/>
          <w:szCs w:val="24"/>
        </w:rPr>
      </w:pPr>
    </w:p>
    <w:p w14:paraId="6C1345AD" w14:textId="045EFC51" w:rsidR="001B09BD" w:rsidRPr="00D53A2B" w:rsidRDefault="001B09BD" w:rsidP="00A202FD">
      <w:pPr>
        <w:jc w:val="both"/>
        <w:rPr>
          <w:rStyle w:val="Gvdemetni10pt6"/>
          <w:b w:val="0"/>
          <w:bCs w:val="0"/>
          <w:sz w:val="24"/>
          <w:szCs w:val="24"/>
        </w:rPr>
      </w:pPr>
      <w:r w:rsidRPr="00D53A2B">
        <w:rPr>
          <w:rStyle w:val="Gvdemetni10pt6"/>
          <w:b w:val="0"/>
          <w:bCs w:val="0"/>
          <w:sz w:val="24"/>
          <w:szCs w:val="24"/>
        </w:rPr>
        <w:t xml:space="preserve">%3 oksijen içeriğine bağlı günlük ortalama değerler olarak belirlenen </w:t>
      </w:r>
      <w:r w:rsidR="00651500" w:rsidRPr="00D53A2B">
        <w:rPr>
          <w:rStyle w:val="Gvdemetni10pt6"/>
          <w:b w:val="0"/>
          <w:bCs w:val="0"/>
          <w:sz w:val="24"/>
          <w:szCs w:val="24"/>
        </w:rPr>
        <w:t>MET</w:t>
      </w:r>
      <w:r w:rsidRPr="00D53A2B">
        <w:rPr>
          <w:rStyle w:val="Gvdemetni10pt6"/>
          <w:b w:val="0"/>
          <w:bCs w:val="0"/>
          <w:sz w:val="24"/>
          <w:szCs w:val="24"/>
        </w:rPr>
        <w:t>ile ilişkili emisyon seviyeleri şunlardır:</w:t>
      </w:r>
    </w:p>
    <w:p w14:paraId="4EFD2FD9" w14:textId="18762E2D" w:rsidR="001B09BD" w:rsidRPr="00D53A2B" w:rsidRDefault="001B09BD" w:rsidP="00602365">
      <w:pPr>
        <w:pStyle w:val="ListeParagraf"/>
        <w:numPr>
          <w:ilvl w:val="0"/>
          <w:numId w:val="130"/>
        </w:numPr>
        <w:spacing w:line="240" w:lineRule="auto"/>
        <w:ind w:left="357" w:hanging="357"/>
        <w:rPr>
          <w:rStyle w:val="Gvdemetni10pt6"/>
          <w:b w:val="0"/>
          <w:bCs w:val="0"/>
          <w:sz w:val="24"/>
          <w:szCs w:val="24"/>
        </w:rPr>
      </w:pPr>
      <w:r w:rsidRPr="00D53A2B">
        <w:rPr>
          <w:rStyle w:val="Gvdemetni10pt6"/>
          <w:b w:val="0"/>
          <w:bCs w:val="0"/>
          <w:sz w:val="24"/>
          <w:szCs w:val="24"/>
        </w:rPr>
        <w:t>kükürt oksitler (SO</w:t>
      </w:r>
      <w:r w:rsidRPr="00D53A2B">
        <w:rPr>
          <w:rStyle w:val="Gvdemetni10pt6"/>
          <w:b w:val="0"/>
          <w:bCs w:val="0"/>
          <w:sz w:val="24"/>
          <w:szCs w:val="24"/>
          <w:vertAlign w:val="subscript"/>
        </w:rPr>
        <w:t>x</w:t>
      </w:r>
      <w:r w:rsidRPr="00D53A2B">
        <w:rPr>
          <w:rStyle w:val="Gvdemetni10pt6"/>
          <w:b w:val="0"/>
          <w:bCs w:val="0"/>
          <w:sz w:val="24"/>
          <w:szCs w:val="24"/>
        </w:rPr>
        <w:t>) kükürt dioksit (SO</w:t>
      </w:r>
      <w:r w:rsidRPr="00D53A2B">
        <w:rPr>
          <w:rStyle w:val="Gvdemetni10pt6"/>
          <w:b w:val="0"/>
          <w:bCs w:val="0"/>
          <w:sz w:val="24"/>
          <w:szCs w:val="24"/>
          <w:vertAlign w:val="subscript"/>
        </w:rPr>
        <w:t>2</w:t>
      </w:r>
      <w:r w:rsidRPr="00D53A2B">
        <w:rPr>
          <w:rStyle w:val="Gvdemetni10pt6"/>
          <w:b w:val="0"/>
          <w:bCs w:val="0"/>
          <w:sz w:val="24"/>
          <w:szCs w:val="24"/>
        </w:rPr>
        <w:t>) olarak ifade edilir &lt;200 mg/Nm</w:t>
      </w:r>
      <w:r w:rsidRPr="00D53A2B">
        <w:rPr>
          <w:rStyle w:val="Gvdemetni10pt6"/>
          <w:b w:val="0"/>
          <w:bCs w:val="0"/>
          <w:sz w:val="24"/>
          <w:szCs w:val="24"/>
          <w:vertAlign w:val="superscript"/>
        </w:rPr>
        <w:t>3</w:t>
      </w:r>
    </w:p>
    <w:p w14:paraId="433FA950" w14:textId="77777777" w:rsidR="001B09BD" w:rsidRPr="00D53A2B" w:rsidRDefault="001B09BD" w:rsidP="00602365">
      <w:pPr>
        <w:pStyle w:val="Gvdemetni1"/>
        <w:numPr>
          <w:ilvl w:val="0"/>
          <w:numId w:val="130"/>
        </w:numPr>
        <w:shd w:val="clear" w:color="auto" w:fill="auto"/>
        <w:tabs>
          <w:tab w:val="left" w:pos="867"/>
        </w:tabs>
        <w:spacing w:after="0" w:line="240" w:lineRule="auto"/>
        <w:ind w:left="357" w:hanging="357"/>
        <w:rPr>
          <w:sz w:val="24"/>
          <w:szCs w:val="24"/>
        </w:rPr>
      </w:pPr>
      <w:r w:rsidRPr="00D53A2B">
        <w:rPr>
          <w:rStyle w:val="Gvdemetni3a"/>
          <w:color w:val="000000"/>
          <w:sz w:val="24"/>
          <w:szCs w:val="24"/>
        </w:rPr>
        <w:t>Toz &lt;10 mg/Nm</w:t>
      </w:r>
      <w:r w:rsidRPr="00D53A2B">
        <w:rPr>
          <w:rStyle w:val="Gvdemetni3a"/>
          <w:color w:val="000000"/>
          <w:sz w:val="24"/>
          <w:szCs w:val="24"/>
          <w:vertAlign w:val="superscript"/>
        </w:rPr>
        <w:t>3</w:t>
      </w:r>
    </w:p>
    <w:p w14:paraId="1CD098AF" w14:textId="0788D548" w:rsidR="001B09BD" w:rsidRPr="00D53A2B" w:rsidRDefault="001B09BD" w:rsidP="00602365">
      <w:pPr>
        <w:pStyle w:val="ListeParagraf"/>
        <w:numPr>
          <w:ilvl w:val="0"/>
          <w:numId w:val="130"/>
        </w:numPr>
        <w:spacing w:line="240" w:lineRule="auto"/>
        <w:ind w:left="357" w:hanging="357"/>
        <w:rPr>
          <w:rStyle w:val="Gvdemetni10pt6"/>
          <w:b w:val="0"/>
          <w:bCs w:val="0"/>
          <w:sz w:val="24"/>
          <w:szCs w:val="24"/>
        </w:rPr>
      </w:pPr>
      <w:r w:rsidRPr="00D53A2B">
        <w:rPr>
          <w:rStyle w:val="Gvdemetni10pt6"/>
          <w:b w:val="0"/>
          <w:bCs w:val="0"/>
          <w:sz w:val="24"/>
          <w:szCs w:val="24"/>
        </w:rPr>
        <w:t>Azot oksitler (NO</w:t>
      </w:r>
      <w:r w:rsidRPr="00D53A2B">
        <w:rPr>
          <w:rStyle w:val="Gvdemetni10pt6"/>
          <w:b w:val="0"/>
          <w:bCs w:val="0"/>
          <w:sz w:val="24"/>
          <w:szCs w:val="24"/>
          <w:vertAlign w:val="subscript"/>
        </w:rPr>
        <w:t>x</w:t>
      </w:r>
      <w:r w:rsidRPr="00D53A2B">
        <w:rPr>
          <w:rStyle w:val="Gvdemetni10pt6"/>
          <w:b w:val="0"/>
          <w:bCs w:val="0"/>
          <w:sz w:val="24"/>
          <w:szCs w:val="24"/>
        </w:rPr>
        <w:t>), azot dioksit (NO</w:t>
      </w:r>
      <w:r w:rsidRPr="00D53A2B">
        <w:rPr>
          <w:rStyle w:val="Gvdemetni10pt6"/>
          <w:b w:val="0"/>
          <w:bCs w:val="0"/>
          <w:sz w:val="24"/>
          <w:szCs w:val="24"/>
          <w:vertAlign w:val="subscript"/>
        </w:rPr>
        <w:t>2</w:t>
      </w:r>
      <w:r w:rsidRPr="00D53A2B">
        <w:rPr>
          <w:rStyle w:val="Gvdemetni10pt6"/>
          <w:b w:val="0"/>
          <w:bCs w:val="0"/>
          <w:sz w:val="24"/>
          <w:szCs w:val="24"/>
        </w:rPr>
        <w:t>) &lt; 100 mg/Nm</w:t>
      </w:r>
      <w:r w:rsidRPr="00D53A2B">
        <w:rPr>
          <w:rStyle w:val="Gvdemetni10pt6"/>
          <w:b w:val="0"/>
          <w:bCs w:val="0"/>
          <w:sz w:val="24"/>
          <w:szCs w:val="24"/>
          <w:vertAlign w:val="superscript"/>
        </w:rPr>
        <w:t>3</w:t>
      </w:r>
      <w:r w:rsidRPr="00D53A2B">
        <w:rPr>
          <w:rStyle w:val="Gvdemetni10pt6"/>
          <w:b w:val="0"/>
          <w:bCs w:val="0"/>
          <w:sz w:val="24"/>
          <w:szCs w:val="24"/>
        </w:rPr>
        <w:t xml:space="preserve"> olarak ifade edilir.</w:t>
      </w:r>
    </w:p>
    <w:p w14:paraId="0623AA9E" w14:textId="77777777" w:rsidR="001B09BD" w:rsidRPr="00D53A2B" w:rsidRDefault="001B09BD" w:rsidP="00A202FD">
      <w:pPr>
        <w:jc w:val="both"/>
        <w:rPr>
          <w:rStyle w:val="Gvdemetni10pt6"/>
          <w:b w:val="0"/>
          <w:bCs w:val="0"/>
          <w:sz w:val="24"/>
          <w:szCs w:val="24"/>
        </w:rPr>
      </w:pPr>
    </w:p>
    <w:p w14:paraId="741B2520" w14:textId="22081CD7" w:rsidR="001B09BD" w:rsidRPr="00D53A2B" w:rsidRDefault="00DE2327" w:rsidP="00A202FD">
      <w:pPr>
        <w:pStyle w:val="Balk4"/>
        <w:rPr>
          <w:rStyle w:val="Gvdemetni10pt6"/>
          <w:b/>
          <w:bCs w:val="0"/>
          <w:iCs w:val="0"/>
          <w:sz w:val="24"/>
          <w:szCs w:val="24"/>
        </w:rPr>
      </w:pPr>
      <w:r w:rsidRPr="00D53A2B">
        <w:rPr>
          <w:rStyle w:val="Gvdemetni10pt6"/>
          <w:b/>
          <w:bCs w:val="0"/>
          <w:iCs w:val="0"/>
          <w:sz w:val="24"/>
          <w:szCs w:val="24"/>
        </w:rPr>
        <w:t xml:space="preserve">5.2. </w:t>
      </w:r>
      <w:r w:rsidR="001B09BD" w:rsidRPr="00D53A2B">
        <w:rPr>
          <w:rStyle w:val="Gvdemetni10pt6"/>
          <w:b/>
          <w:bCs w:val="0"/>
          <w:iCs w:val="0"/>
          <w:sz w:val="24"/>
          <w:szCs w:val="24"/>
        </w:rPr>
        <w:t>Su ve atıksu</w:t>
      </w:r>
    </w:p>
    <w:p w14:paraId="6104FE2E" w14:textId="47AB36E9" w:rsidR="001B09BD" w:rsidRPr="00D53A2B" w:rsidRDefault="00044491" w:rsidP="00A202FD">
      <w:pPr>
        <w:pStyle w:val="MET"/>
        <w:rPr>
          <w:rStyle w:val="Gvdemetni10pt6"/>
          <w:b/>
          <w:bCs w:val="0"/>
          <w:sz w:val="24"/>
          <w:szCs w:val="24"/>
        </w:rPr>
      </w:pPr>
      <w:r w:rsidRPr="00D53A2B">
        <w:rPr>
          <w:rStyle w:val="Gvdemetni10pt6"/>
          <w:b/>
          <w:bCs w:val="0"/>
          <w:sz w:val="24"/>
          <w:szCs w:val="24"/>
        </w:rPr>
        <w:t xml:space="preserve">MET 66: </w:t>
      </w:r>
      <w:r w:rsidR="00DE2327" w:rsidRPr="00D53A2B">
        <w:rPr>
          <w:rStyle w:val="Gvdemetni10pt6"/>
          <w:sz w:val="24"/>
          <w:szCs w:val="24"/>
        </w:rPr>
        <w:t>Y</w:t>
      </w:r>
      <w:r w:rsidRPr="00D53A2B">
        <w:rPr>
          <w:rStyle w:val="Gvdemetni10pt6"/>
          <w:sz w:val="24"/>
          <w:szCs w:val="24"/>
        </w:rPr>
        <w:t>üksek fırın gazı arıtımından kaynaklanan su tüketimi ve deşarjı için, yıkama suyu mümkün olduğunca en aza indir</w:t>
      </w:r>
      <w:r w:rsidR="00DE2327" w:rsidRPr="00D53A2B">
        <w:rPr>
          <w:rStyle w:val="Gvdemetni10pt6"/>
          <w:sz w:val="24"/>
          <w:szCs w:val="24"/>
        </w:rPr>
        <w:t xml:space="preserve">ilir </w:t>
      </w:r>
      <w:r w:rsidRPr="00D53A2B">
        <w:rPr>
          <w:rStyle w:val="Gvdemetni10pt6"/>
          <w:sz w:val="24"/>
          <w:szCs w:val="24"/>
        </w:rPr>
        <w:t>ve yeniden kullan</w:t>
      </w:r>
      <w:r w:rsidR="00DE2327" w:rsidRPr="00D53A2B">
        <w:rPr>
          <w:rStyle w:val="Gvdemetni10pt6"/>
          <w:sz w:val="24"/>
          <w:szCs w:val="24"/>
        </w:rPr>
        <w:t>ılı</w:t>
      </w:r>
      <w:r w:rsidRPr="00D53A2B">
        <w:rPr>
          <w:rStyle w:val="Gvdemetni10pt6"/>
          <w:sz w:val="24"/>
          <w:szCs w:val="24"/>
        </w:rPr>
        <w:t>r (örneğin cüruf taneleme için, gerekirse çakıl yataklı filtre ile arıtıldıktan sonra).</w:t>
      </w:r>
    </w:p>
    <w:p w14:paraId="041BA6F5" w14:textId="77777777" w:rsidR="001B09BD" w:rsidRPr="00D53A2B" w:rsidRDefault="001B09BD" w:rsidP="00A202FD">
      <w:pPr>
        <w:jc w:val="both"/>
        <w:rPr>
          <w:rStyle w:val="Gvdemetni10pt6"/>
          <w:b w:val="0"/>
          <w:bCs w:val="0"/>
          <w:sz w:val="24"/>
          <w:szCs w:val="24"/>
        </w:rPr>
      </w:pPr>
    </w:p>
    <w:p w14:paraId="512E800B" w14:textId="6BB5EBB4" w:rsidR="001B09BD" w:rsidRPr="00D53A2B" w:rsidRDefault="00044491" w:rsidP="00A202FD">
      <w:pPr>
        <w:pStyle w:val="MET"/>
        <w:rPr>
          <w:rStyle w:val="Gvdemetni10pt6"/>
          <w:b/>
          <w:bCs w:val="0"/>
          <w:sz w:val="24"/>
          <w:szCs w:val="24"/>
        </w:rPr>
      </w:pPr>
      <w:r w:rsidRPr="00D53A2B">
        <w:rPr>
          <w:rStyle w:val="Gvdemetni10pt6"/>
          <w:b/>
          <w:bCs w:val="0"/>
          <w:sz w:val="24"/>
          <w:szCs w:val="24"/>
        </w:rPr>
        <w:lastRenderedPageBreak/>
        <w:t xml:space="preserve">MET 67: </w:t>
      </w:r>
      <w:r w:rsidRPr="00D53A2B">
        <w:rPr>
          <w:rStyle w:val="Gvdemetni10pt6"/>
          <w:sz w:val="24"/>
          <w:szCs w:val="24"/>
        </w:rPr>
        <w:t>Yüksek fırın gazı arıtımından kaynaklanan atıksuyun arıtılmasında, flokülasyon (koagülasyon) ve sedimantasyonun kullanılması ve gerekirse kolayca açığa çıkan siyanürün azaltılmasıdır.</w:t>
      </w:r>
    </w:p>
    <w:p w14:paraId="271CD420" w14:textId="77777777" w:rsidR="001B09BD" w:rsidRPr="00D53A2B" w:rsidRDefault="001B09BD" w:rsidP="00A202FD">
      <w:pPr>
        <w:jc w:val="both"/>
        <w:rPr>
          <w:rStyle w:val="Gvdemetni10pt6"/>
          <w:b w:val="0"/>
          <w:bCs w:val="0"/>
          <w:sz w:val="24"/>
          <w:szCs w:val="24"/>
        </w:rPr>
      </w:pPr>
    </w:p>
    <w:p w14:paraId="0450420B" w14:textId="7995574D" w:rsidR="001B09BD" w:rsidRPr="00D53A2B" w:rsidRDefault="00044491" w:rsidP="00A202FD">
      <w:pPr>
        <w:jc w:val="both"/>
        <w:rPr>
          <w:rStyle w:val="Gvdemetni10pt6"/>
          <w:b w:val="0"/>
          <w:bCs w:val="0"/>
          <w:sz w:val="24"/>
          <w:szCs w:val="24"/>
        </w:rPr>
      </w:pPr>
      <w:r w:rsidRPr="00D53A2B">
        <w:rPr>
          <w:rStyle w:val="Gvdemetni10pt6"/>
          <w:b w:val="0"/>
          <w:bCs w:val="0"/>
          <w:sz w:val="24"/>
          <w:szCs w:val="24"/>
        </w:rPr>
        <w:t xml:space="preserve">Nitelikli rastgele örnek veya 24 saatlik kompozit </w:t>
      </w:r>
      <w:r w:rsidR="008D07F8">
        <w:rPr>
          <w:rStyle w:val="Gvdemetni10pt6"/>
          <w:b w:val="0"/>
          <w:bCs w:val="0"/>
          <w:sz w:val="24"/>
          <w:szCs w:val="24"/>
        </w:rPr>
        <w:t>numune</w:t>
      </w:r>
      <w:r w:rsidRPr="00D53A2B">
        <w:rPr>
          <w:rStyle w:val="Gvdemetni10pt6"/>
          <w:b w:val="0"/>
          <w:bCs w:val="0"/>
          <w:sz w:val="24"/>
          <w:szCs w:val="24"/>
        </w:rPr>
        <w:t xml:space="preserve"> esas alınarak MET ile ilişkili emisyon seviyeleri şöyledir:</w:t>
      </w:r>
    </w:p>
    <w:p w14:paraId="06A3D53B" w14:textId="3935728D" w:rsidR="00044491" w:rsidRPr="00D53A2B" w:rsidRDefault="00044491" w:rsidP="00602365">
      <w:pPr>
        <w:pStyle w:val="ListeParagraf"/>
        <w:numPr>
          <w:ilvl w:val="0"/>
          <w:numId w:val="131"/>
        </w:numPr>
        <w:tabs>
          <w:tab w:val="clear" w:pos="567"/>
        </w:tabs>
        <w:spacing w:line="240" w:lineRule="auto"/>
        <w:ind w:left="357" w:hanging="357"/>
        <w:rPr>
          <w:rStyle w:val="Gvdemetni10pt6"/>
          <w:b w:val="0"/>
          <w:bCs w:val="0"/>
          <w:sz w:val="24"/>
          <w:szCs w:val="24"/>
        </w:rPr>
      </w:pPr>
      <w:r w:rsidRPr="00D53A2B">
        <w:rPr>
          <w:rStyle w:val="Gvdemetni10pt6"/>
          <w:b w:val="0"/>
          <w:bCs w:val="0"/>
          <w:sz w:val="24"/>
          <w:szCs w:val="24"/>
        </w:rPr>
        <w:t>askıda katı maddeler</w:t>
      </w:r>
      <w:r w:rsidRPr="00D53A2B">
        <w:rPr>
          <w:rStyle w:val="Gvdemetni10pt6"/>
          <w:b w:val="0"/>
          <w:bCs w:val="0"/>
          <w:sz w:val="24"/>
          <w:szCs w:val="24"/>
        </w:rPr>
        <w:tab/>
      </w:r>
      <w:r w:rsidRPr="00D53A2B">
        <w:rPr>
          <w:rStyle w:val="Gvdemetni10pt6"/>
          <w:b w:val="0"/>
          <w:bCs w:val="0"/>
          <w:sz w:val="24"/>
          <w:szCs w:val="24"/>
        </w:rPr>
        <w:tab/>
      </w:r>
      <w:r w:rsidRPr="00D53A2B">
        <w:rPr>
          <w:rStyle w:val="Gvdemetni10pt6"/>
          <w:b w:val="0"/>
          <w:bCs w:val="0"/>
          <w:sz w:val="24"/>
          <w:szCs w:val="24"/>
        </w:rPr>
        <w:tab/>
        <w:t>&lt;30 mg/l</w:t>
      </w:r>
    </w:p>
    <w:p w14:paraId="5637DD13" w14:textId="2D7DBAAF" w:rsidR="00044491" w:rsidRPr="00D53A2B" w:rsidRDefault="00044491" w:rsidP="00602365">
      <w:pPr>
        <w:pStyle w:val="ListeParagraf"/>
        <w:numPr>
          <w:ilvl w:val="0"/>
          <w:numId w:val="131"/>
        </w:numPr>
        <w:tabs>
          <w:tab w:val="clear" w:pos="567"/>
        </w:tabs>
        <w:spacing w:line="240" w:lineRule="auto"/>
        <w:ind w:left="357" w:hanging="357"/>
        <w:rPr>
          <w:rStyle w:val="Gvdemetni10pt6"/>
          <w:b w:val="0"/>
          <w:bCs w:val="0"/>
          <w:sz w:val="24"/>
          <w:szCs w:val="24"/>
        </w:rPr>
      </w:pPr>
      <w:r w:rsidRPr="00D53A2B">
        <w:rPr>
          <w:rStyle w:val="Gvdemetni10pt6"/>
          <w:b w:val="0"/>
          <w:bCs w:val="0"/>
          <w:sz w:val="24"/>
          <w:szCs w:val="24"/>
        </w:rPr>
        <w:t>demir</w:t>
      </w:r>
      <w:r w:rsidRPr="00D53A2B">
        <w:rPr>
          <w:rStyle w:val="Gvdemetni10pt6"/>
          <w:b w:val="0"/>
          <w:bCs w:val="0"/>
          <w:sz w:val="24"/>
          <w:szCs w:val="24"/>
        </w:rPr>
        <w:tab/>
      </w:r>
      <w:r w:rsidRPr="00D53A2B">
        <w:rPr>
          <w:rStyle w:val="Gvdemetni10pt6"/>
          <w:b w:val="0"/>
          <w:bCs w:val="0"/>
          <w:sz w:val="24"/>
          <w:szCs w:val="24"/>
        </w:rPr>
        <w:tab/>
      </w:r>
      <w:r w:rsidRPr="00D53A2B">
        <w:rPr>
          <w:rStyle w:val="Gvdemetni10pt6"/>
          <w:b w:val="0"/>
          <w:bCs w:val="0"/>
          <w:sz w:val="24"/>
          <w:szCs w:val="24"/>
        </w:rPr>
        <w:tab/>
      </w:r>
      <w:r w:rsidRPr="00D53A2B">
        <w:rPr>
          <w:rStyle w:val="Gvdemetni10pt6"/>
          <w:b w:val="0"/>
          <w:bCs w:val="0"/>
          <w:sz w:val="24"/>
          <w:szCs w:val="24"/>
        </w:rPr>
        <w:tab/>
      </w:r>
      <w:r w:rsidRPr="00D53A2B">
        <w:rPr>
          <w:rStyle w:val="Gvdemetni10pt6"/>
          <w:b w:val="0"/>
          <w:bCs w:val="0"/>
          <w:sz w:val="24"/>
          <w:szCs w:val="24"/>
        </w:rPr>
        <w:tab/>
        <w:t>&lt;5 mg/l</w:t>
      </w:r>
    </w:p>
    <w:p w14:paraId="3828F4EC" w14:textId="48934379" w:rsidR="00044491" w:rsidRPr="00D53A2B" w:rsidRDefault="00044491" w:rsidP="00602365">
      <w:pPr>
        <w:pStyle w:val="ListeParagraf"/>
        <w:numPr>
          <w:ilvl w:val="0"/>
          <w:numId w:val="131"/>
        </w:numPr>
        <w:tabs>
          <w:tab w:val="clear" w:pos="567"/>
        </w:tabs>
        <w:spacing w:line="240" w:lineRule="auto"/>
        <w:ind w:left="357" w:hanging="357"/>
        <w:rPr>
          <w:rStyle w:val="Gvdemetni10pt6"/>
          <w:b w:val="0"/>
          <w:bCs w:val="0"/>
          <w:sz w:val="24"/>
          <w:szCs w:val="24"/>
        </w:rPr>
      </w:pPr>
      <w:r w:rsidRPr="00D53A2B">
        <w:rPr>
          <w:rStyle w:val="Gvdemetni10pt6"/>
          <w:b w:val="0"/>
          <w:bCs w:val="0"/>
          <w:sz w:val="24"/>
          <w:szCs w:val="24"/>
        </w:rPr>
        <w:t>kurşun</w:t>
      </w:r>
      <w:r w:rsidRPr="00D53A2B">
        <w:rPr>
          <w:rStyle w:val="Gvdemetni10pt6"/>
          <w:b w:val="0"/>
          <w:bCs w:val="0"/>
          <w:sz w:val="24"/>
          <w:szCs w:val="24"/>
        </w:rPr>
        <w:tab/>
      </w:r>
      <w:r w:rsidRPr="00D53A2B">
        <w:rPr>
          <w:rStyle w:val="Gvdemetni10pt6"/>
          <w:b w:val="0"/>
          <w:bCs w:val="0"/>
          <w:sz w:val="24"/>
          <w:szCs w:val="24"/>
        </w:rPr>
        <w:tab/>
      </w:r>
      <w:r w:rsidRPr="00D53A2B">
        <w:rPr>
          <w:rStyle w:val="Gvdemetni10pt6"/>
          <w:b w:val="0"/>
          <w:bCs w:val="0"/>
          <w:sz w:val="24"/>
          <w:szCs w:val="24"/>
        </w:rPr>
        <w:tab/>
      </w:r>
      <w:r w:rsidRPr="00D53A2B">
        <w:rPr>
          <w:rStyle w:val="Gvdemetni10pt6"/>
          <w:b w:val="0"/>
          <w:bCs w:val="0"/>
          <w:sz w:val="24"/>
          <w:szCs w:val="24"/>
        </w:rPr>
        <w:tab/>
      </w:r>
      <w:r w:rsidRPr="00D53A2B">
        <w:rPr>
          <w:rStyle w:val="Gvdemetni10pt6"/>
          <w:b w:val="0"/>
          <w:bCs w:val="0"/>
          <w:sz w:val="24"/>
          <w:szCs w:val="24"/>
        </w:rPr>
        <w:tab/>
        <w:t>&lt;0</w:t>
      </w:r>
      <w:r w:rsidR="00DE2327" w:rsidRPr="00D53A2B">
        <w:rPr>
          <w:rStyle w:val="Gvdemetni10pt6"/>
          <w:b w:val="0"/>
          <w:bCs w:val="0"/>
          <w:sz w:val="24"/>
          <w:szCs w:val="24"/>
        </w:rPr>
        <w:t>,</w:t>
      </w:r>
      <w:r w:rsidRPr="00D53A2B">
        <w:rPr>
          <w:rStyle w:val="Gvdemetni10pt6"/>
          <w:b w:val="0"/>
          <w:bCs w:val="0"/>
          <w:sz w:val="24"/>
          <w:szCs w:val="24"/>
        </w:rPr>
        <w:t>5 mg/l</w:t>
      </w:r>
    </w:p>
    <w:p w14:paraId="1648E578" w14:textId="2D7D837E" w:rsidR="00044491" w:rsidRPr="00D53A2B" w:rsidRDefault="00044491" w:rsidP="00602365">
      <w:pPr>
        <w:pStyle w:val="ListeParagraf"/>
        <w:numPr>
          <w:ilvl w:val="0"/>
          <w:numId w:val="131"/>
        </w:numPr>
        <w:tabs>
          <w:tab w:val="clear" w:pos="567"/>
        </w:tabs>
        <w:spacing w:line="240" w:lineRule="auto"/>
        <w:ind w:left="357" w:hanging="357"/>
        <w:rPr>
          <w:rStyle w:val="Gvdemetni10pt6"/>
          <w:b w:val="0"/>
          <w:bCs w:val="0"/>
          <w:sz w:val="24"/>
          <w:szCs w:val="24"/>
        </w:rPr>
      </w:pPr>
      <w:r w:rsidRPr="00D53A2B">
        <w:rPr>
          <w:rStyle w:val="Gvdemetni10pt6"/>
          <w:b w:val="0"/>
          <w:bCs w:val="0"/>
          <w:sz w:val="24"/>
          <w:szCs w:val="24"/>
        </w:rPr>
        <w:t>çinko</w:t>
      </w:r>
      <w:r w:rsidRPr="00D53A2B">
        <w:rPr>
          <w:rStyle w:val="Gvdemetni10pt6"/>
          <w:b w:val="0"/>
          <w:bCs w:val="0"/>
          <w:sz w:val="24"/>
          <w:szCs w:val="24"/>
        </w:rPr>
        <w:tab/>
      </w:r>
      <w:r w:rsidRPr="00D53A2B">
        <w:rPr>
          <w:rStyle w:val="Gvdemetni10pt6"/>
          <w:b w:val="0"/>
          <w:bCs w:val="0"/>
          <w:sz w:val="24"/>
          <w:szCs w:val="24"/>
        </w:rPr>
        <w:tab/>
      </w:r>
      <w:r w:rsidRPr="00D53A2B">
        <w:rPr>
          <w:rStyle w:val="Gvdemetni10pt6"/>
          <w:b w:val="0"/>
          <w:bCs w:val="0"/>
          <w:sz w:val="24"/>
          <w:szCs w:val="24"/>
        </w:rPr>
        <w:tab/>
      </w:r>
      <w:r w:rsidRPr="00D53A2B">
        <w:rPr>
          <w:rStyle w:val="Gvdemetni10pt6"/>
          <w:b w:val="0"/>
          <w:bCs w:val="0"/>
          <w:sz w:val="24"/>
          <w:szCs w:val="24"/>
        </w:rPr>
        <w:tab/>
      </w:r>
      <w:r w:rsidRPr="00D53A2B">
        <w:rPr>
          <w:rStyle w:val="Gvdemetni10pt6"/>
          <w:b w:val="0"/>
          <w:bCs w:val="0"/>
          <w:sz w:val="24"/>
          <w:szCs w:val="24"/>
        </w:rPr>
        <w:tab/>
        <w:t>&lt;2 mg/l</w:t>
      </w:r>
    </w:p>
    <w:p w14:paraId="62F0A86B" w14:textId="285D979F" w:rsidR="00044491" w:rsidRPr="00D53A2B" w:rsidRDefault="00044491" w:rsidP="00602365">
      <w:pPr>
        <w:pStyle w:val="ListeParagraf"/>
        <w:numPr>
          <w:ilvl w:val="0"/>
          <w:numId w:val="131"/>
        </w:numPr>
        <w:tabs>
          <w:tab w:val="clear" w:pos="567"/>
        </w:tabs>
        <w:spacing w:line="240" w:lineRule="auto"/>
        <w:ind w:left="357" w:hanging="357"/>
        <w:rPr>
          <w:rStyle w:val="Gvdemetni10pt6"/>
          <w:b w:val="0"/>
          <w:bCs w:val="0"/>
          <w:sz w:val="24"/>
          <w:szCs w:val="24"/>
        </w:rPr>
      </w:pPr>
      <w:r w:rsidRPr="00D53A2B">
        <w:rPr>
          <w:rStyle w:val="Gvdemetni10pt6"/>
          <w:b w:val="0"/>
          <w:bCs w:val="0"/>
          <w:sz w:val="24"/>
          <w:szCs w:val="24"/>
        </w:rPr>
        <w:t>siyanür (CN</w:t>
      </w:r>
      <w:r w:rsidRPr="00D53A2B">
        <w:rPr>
          <w:rStyle w:val="Gvdemetni10pt6"/>
          <w:b w:val="0"/>
          <w:bCs w:val="0"/>
          <w:sz w:val="24"/>
          <w:szCs w:val="24"/>
          <w:vertAlign w:val="superscript"/>
        </w:rPr>
        <w:t>-</w:t>
      </w:r>
      <w:r w:rsidRPr="00D53A2B">
        <w:rPr>
          <w:rStyle w:val="Gvdemetni10pt6"/>
          <w:b w:val="0"/>
          <w:bCs w:val="0"/>
          <w:sz w:val="24"/>
          <w:szCs w:val="24"/>
        </w:rPr>
        <w:t>), kolayca açığa çıkan (</w:t>
      </w:r>
      <w:r w:rsidRPr="00D53A2B">
        <w:rPr>
          <w:rStyle w:val="Gvdemetni10pt6"/>
          <w:b w:val="0"/>
          <w:bCs w:val="0"/>
          <w:sz w:val="24"/>
          <w:szCs w:val="24"/>
          <w:vertAlign w:val="superscript"/>
        </w:rPr>
        <w:t>1</w:t>
      </w:r>
      <w:r w:rsidRPr="00D53A2B">
        <w:rPr>
          <w:rStyle w:val="Gvdemetni10pt6"/>
          <w:b w:val="0"/>
          <w:bCs w:val="0"/>
          <w:sz w:val="24"/>
          <w:szCs w:val="24"/>
        </w:rPr>
        <w:t>)</w:t>
      </w:r>
      <w:r w:rsidRPr="00D53A2B">
        <w:rPr>
          <w:rStyle w:val="Gvdemetni10pt6"/>
          <w:b w:val="0"/>
          <w:bCs w:val="0"/>
          <w:sz w:val="24"/>
          <w:szCs w:val="24"/>
        </w:rPr>
        <w:tab/>
        <w:t>&lt;0</w:t>
      </w:r>
      <w:r w:rsidR="00DE2327" w:rsidRPr="00D53A2B">
        <w:rPr>
          <w:rStyle w:val="Gvdemetni10pt6"/>
          <w:b w:val="0"/>
          <w:bCs w:val="0"/>
          <w:sz w:val="24"/>
          <w:szCs w:val="24"/>
        </w:rPr>
        <w:t>,</w:t>
      </w:r>
      <w:r w:rsidRPr="00D53A2B">
        <w:rPr>
          <w:rStyle w:val="Gvdemetni10pt6"/>
          <w:b w:val="0"/>
          <w:bCs w:val="0"/>
          <w:sz w:val="24"/>
          <w:szCs w:val="24"/>
        </w:rPr>
        <w:t>4 mg/l.</w:t>
      </w:r>
    </w:p>
    <w:p w14:paraId="5A611B48" w14:textId="4398E28B" w:rsidR="00411B89" w:rsidRPr="00D53A2B" w:rsidRDefault="00044491" w:rsidP="00A202FD">
      <w:pPr>
        <w:jc w:val="both"/>
        <w:rPr>
          <w:rStyle w:val="Gvdemetni10pt6"/>
          <w:b w:val="0"/>
          <w:bCs w:val="0"/>
          <w:sz w:val="24"/>
          <w:szCs w:val="24"/>
        </w:rPr>
      </w:pPr>
      <w:r w:rsidRPr="00D53A2B">
        <w:rPr>
          <w:rStyle w:val="Gvdemetni10pt6"/>
          <w:b w:val="0"/>
          <w:bCs w:val="0"/>
          <w:sz w:val="24"/>
          <w:szCs w:val="24"/>
        </w:rPr>
        <w:t>(</w:t>
      </w:r>
      <w:r w:rsidRPr="00D53A2B">
        <w:rPr>
          <w:rStyle w:val="Gvdemetni10pt6"/>
          <w:b w:val="0"/>
          <w:bCs w:val="0"/>
          <w:sz w:val="24"/>
          <w:szCs w:val="24"/>
          <w:vertAlign w:val="superscript"/>
        </w:rPr>
        <w:t>1</w:t>
      </w:r>
      <w:r w:rsidRPr="00D53A2B">
        <w:rPr>
          <w:rStyle w:val="Gvdemetni10pt6"/>
          <w:b w:val="0"/>
          <w:bCs w:val="0"/>
          <w:sz w:val="24"/>
          <w:szCs w:val="24"/>
        </w:rPr>
        <w:t>) Bu seviye, eşdeğer bilimsel kalitede veri sağlanmasını garanti eden DIN 38405 D 13-2 veya herhangi bir diğer ulusal veya uluslararası standardın kullanımına dayanmaktadır.</w:t>
      </w:r>
    </w:p>
    <w:p w14:paraId="62661582" w14:textId="77777777" w:rsidR="00B91E94" w:rsidRPr="00D53A2B" w:rsidRDefault="00B91E94" w:rsidP="00A202FD">
      <w:pPr>
        <w:jc w:val="both"/>
        <w:rPr>
          <w:rStyle w:val="Gvdemetni142"/>
          <w:i/>
          <w:iCs/>
        </w:rPr>
      </w:pPr>
    </w:p>
    <w:p w14:paraId="42944CFB" w14:textId="0D5A7364" w:rsidR="00044491" w:rsidRPr="00D53A2B" w:rsidRDefault="00DE2327" w:rsidP="00A202FD">
      <w:pPr>
        <w:pStyle w:val="Balk4"/>
        <w:rPr>
          <w:rStyle w:val="Gvdemetni142"/>
          <w:rFonts w:cs="Times New Roman"/>
          <w:b w:val="0"/>
          <w:bCs/>
          <w:iCs w:val="0"/>
        </w:rPr>
      </w:pPr>
      <w:r w:rsidRPr="00D53A2B">
        <w:rPr>
          <w:rStyle w:val="Gvdemetni142"/>
          <w:rFonts w:cs="Times New Roman"/>
          <w:bCs/>
          <w:iCs w:val="0"/>
        </w:rPr>
        <w:t xml:space="preserve">5.3. </w:t>
      </w:r>
      <w:r w:rsidR="00044491" w:rsidRPr="00D53A2B">
        <w:rPr>
          <w:rStyle w:val="Gvdemetni142"/>
          <w:rFonts w:cs="Times New Roman"/>
          <w:bCs/>
          <w:iCs w:val="0"/>
        </w:rPr>
        <w:t>Üretim kalıntıları</w:t>
      </w:r>
    </w:p>
    <w:p w14:paraId="091EA80D" w14:textId="069D39FA" w:rsidR="00044491" w:rsidRPr="00D53A2B" w:rsidRDefault="00044491" w:rsidP="00A202FD">
      <w:pPr>
        <w:pStyle w:val="MET"/>
        <w:rPr>
          <w:rStyle w:val="Gvdemetni142"/>
          <w:color w:val="000000"/>
          <w:szCs w:val="24"/>
        </w:rPr>
      </w:pPr>
      <w:r w:rsidRPr="00D53A2B">
        <w:rPr>
          <w:rStyle w:val="Gvdemetni142"/>
          <w:szCs w:val="24"/>
        </w:rPr>
        <w:t xml:space="preserve">MET 68: </w:t>
      </w:r>
      <w:r w:rsidRPr="00D53A2B">
        <w:rPr>
          <w:rStyle w:val="Gvdemetni142"/>
          <w:b w:val="0"/>
          <w:bCs/>
          <w:szCs w:val="24"/>
        </w:rPr>
        <w:t>Aşağıdaki tekniklerden birini veya birkaçını kullanarak yüksek fırınlardan atık oluşumu önle</w:t>
      </w:r>
      <w:r w:rsidR="00DE2327" w:rsidRPr="00D53A2B">
        <w:rPr>
          <w:rStyle w:val="Gvdemetni142"/>
          <w:b w:val="0"/>
          <w:bCs/>
          <w:szCs w:val="24"/>
        </w:rPr>
        <w:t>nir</w:t>
      </w:r>
      <w:r w:rsidRPr="00D53A2B">
        <w:rPr>
          <w:rStyle w:val="Gvdemetni142"/>
          <w:b w:val="0"/>
          <w:bCs/>
          <w:szCs w:val="24"/>
        </w:rPr>
        <w:t>:</w:t>
      </w:r>
    </w:p>
    <w:p w14:paraId="3F4FCA42" w14:textId="3DAEA442" w:rsidR="00044491" w:rsidRPr="00CC3DCB" w:rsidRDefault="00435FB1" w:rsidP="00602365">
      <w:pPr>
        <w:pStyle w:val="ListeParagraf"/>
        <w:numPr>
          <w:ilvl w:val="0"/>
          <w:numId w:val="132"/>
        </w:numPr>
        <w:tabs>
          <w:tab w:val="clear" w:pos="567"/>
        </w:tabs>
        <w:spacing w:line="240" w:lineRule="auto"/>
        <w:ind w:left="426" w:hanging="426"/>
        <w:rPr>
          <w:rStyle w:val="Gvdemetni142"/>
          <w:color w:val="000000" w:themeColor="text1"/>
          <w:sz w:val="24"/>
          <w:szCs w:val="24"/>
        </w:rPr>
      </w:pPr>
      <w:r w:rsidRPr="00CC3DCB">
        <w:rPr>
          <w:rStyle w:val="Gvdemetni142"/>
          <w:color w:val="000000" w:themeColor="text1"/>
          <w:sz w:val="24"/>
          <w:szCs w:val="24"/>
        </w:rPr>
        <w:t>Atık İşlemeyi</w:t>
      </w:r>
      <w:r w:rsidR="00044491" w:rsidRPr="00CC3DCB">
        <w:rPr>
          <w:rStyle w:val="Gvdemetni142"/>
          <w:color w:val="000000" w:themeColor="text1"/>
          <w:sz w:val="24"/>
          <w:szCs w:val="24"/>
        </w:rPr>
        <w:t xml:space="preserve"> kolaylaştırmak için uygun toplama ve depolama.</w:t>
      </w:r>
    </w:p>
    <w:p w14:paraId="1E121F62" w14:textId="6BA0D239" w:rsidR="00044491" w:rsidRPr="00CC3DCB" w:rsidRDefault="00044491" w:rsidP="00602365">
      <w:pPr>
        <w:pStyle w:val="ListeParagraf"/>
        <w:numPr>
          <w:ilvl w:val="0"/>
          <w:numId w:val="132"/>
        </w:numPr>
        <w:tabs>
          <w:tab w:val="clear" w:pos="567"/>
        </w:tabs>
        <w:spacing w:line="240" w:lineRule="auto"/>
        <w:ind w:left="426" w:hanging="426"/>
        <w:rPr>
          <w:rStyle w:val="Gvdemetni142"/>
          <w:color w:val="000000" w:themeColor="text1"/>
          <w:sz w:val="24"/>
          <w:szCs w:val="24"/>
        </w:rPr>
      </w:pPr>
      <w:r w:rsidRPr="00CC3DCB">
        <w:rPr>
          <w:rStyle w:val="Gvdemetni142"/>
          <w:color w:val="000000" w:themeColor="text1"/>
          <w:sz w:val="24"/>
          <w:szCs w:val="24"/>
        </w:rPr>
        <w:t>Yüksek fırın gaz</w:t>
      </w:r>
      <w:r w:rsidR="00DE2327" w:rsidRPr="00CC3DCB">
        <w:rPr>
          <w:rStyle w:val="Gvdemetni142"/>
          <w:color w:val="000000" w:themeColor="text1"/>
          <w:sz w:val="24"/>
          <w:szCs w:val="24"/>
        </w:rPr>
        <w:t>ı</w:t>
      </w:r>
      <w:r w:rsidRPr="00CC3DCB">
        <w:rPr>
          <w:rStyle w:val="Gvdemetni142"/>
          <w:color w:val="000000" w:themeColor="text1"/>
          <w:sz w:val="24"/>
          <w:szCs w:val="24"/>
        </w:rPr>
        <w:t xml:space="preserve"> arıtımından çıkan kaba toz ve dökümhane tozsuzlaştırmasından çıkan tozun, geri dönüştürüldüğü tesisten kaynaklanan emisyonların etkisi de dikkate alınarak yerinde geri dönüştürülmesi.</w:t>
      </w:r>
    </w:p>
    <w:p w14:paraId="3518BB3A" w14:textId="00335C06" w:rsidR="00044491" w:rsidRPr="00CC3DCB" w:rsidRDefault="00C0258B" w:rsidP="00602365">
      <w:pPr>
        <w:pStyle w:val="ListeParagraf"/>
        <w:numPr>
          <w:ilvl w:val="0"/>
          <w:numId w:val="132"/>
        </w:numPr>
        <w:tabs>
          <w:tab w:val="clear" w:pos="567"/>
        </w:tabs>
        <w:spacing w:line="240" w:lineRule="auto"/>
        <w:ind w:left="426" w:hanging="426"/>
        <w:rPr>
          <w:rStyle w:val="Gvdemetni142"/>
          <w:color w:val="000000" w:themeColor="text1"/>
          <w:sz w:val="24"/>
          <w:szCs w:val="24"/>
        </w:rPr>
      </w:pPr>
      <w:r w:rsidRPr="00CC3DCB">
        <w:rPr>
          <w:rStyle w:val="Gvdemetni142"/>
          <w:color w:val="000000" w:themeColor="text1"/>
          <w:sz w:val="24"/>
          <w:szCs w:val="24"/>
        </w:rPr>
        <w:t>Çamurun hidrosiklonajı ve iri taneli kısmın daha sonra yerinde geri dönüştürülmesi (ıslak toz giderme uygulandığında ve farklı tane boyutlarındaki çinko içeriği dağılımının makul bir ayırmaya izin verdiği durumlarda geçerlidir)</w:t>
      </w:r>
    </w:p>
    <w:p w14:paraId="2A4B385F" w14:textId="60149223" w:rsidR="00C0258B" w:rsidRPr="00CC3DCB" w:rsidRDefault="00C0258B" w:rsidP="00602365">
      <w:pPr>
        <w:pStyle w:val="ListeParagraf"/>
        <w:numPr>
          <w:ilvl w:val="0"/>
          <w:numId w:val="132"/>
        </w:numPr>
        <w:tabs>
          <w:tab w:val="clear" w:pos="567"/>
        </w:tabs>
        <w:spacing w:line="240" w:lineRule="auto"/>
        <w:ind w:left="426" w:hanging="426"/>
        <w:rPr>
          <w:rStyle w:val="Gvdemetni142"/>
          <w:color w:val="000000" w:themeColor="text1"/>
          <w:sz w:val="24"/>
          <w:szCs w:val="24"/>
        </w:rPr>
      </w:pPr>
      <w:r w:rsidRPr="00CC3DCB">
        <w:rPr>
          <w:rStyle w:val="Gvdemetni142"/>
          <w:color w:val="000000" w:themeColor="text1"/>
          <w:sz w:val="24"/>
          <w:szCs w:val="24"/>
        </w:rPr>
        <w:t>Cüruf işleme, tercihen granülasyon yoluyla (piyasa koşullarının uygun olduğu durumlarda), cürufun harici kullanımı için (örneğin çimento endüstrisinde veya yol yapımında).</w:t>
      </w:r>
    </w:p>
    <w:p w14:paraId="28720D83" w14:textId="77777777" w:rsidR="00044491" w:rsidRPr="00CC3DCB" w:rsidRDefault="00044491" w:rsidP="00A202FD">
      <w:pPr>
        <w:jc w:val="both"/>
        <w:rPr>
          <w:rStyle w:val="Gvdemetni142"/>
          <w:color w:val="000000" w:themeColor="text1"/>
        </w:rPr>
      </w:pPr>
    </w:p>
    <w:p w14:paraId="4F50E9B5" w14:textId="3DCEEFA7" w:rsidR="00044491" w:rsidRPr="00CC3DCB" w:rsidRDefault="00C0258B" w:rsidP="00A202FD">
      <w:pPr>
        <w:jc w:val="both"/>
        <w:rPr>
          <w:rStyle w:val="Gvdemetni142"/>
          <w:color w:val="000000" w:themeColor="text1"/>
        </w:rPr>
      </w:pPr>
      <w:r w:rsidRPr="00CC3DCB">
        <w:rPr>
          <w:rStyle w:val="Gvdemetni142"/>
          <w:color w:val="000000" w:themeColor="text1"/>
        </w:rPr>
        <w:t>MET, kaçınılması veya geri dönüştürülmesi mümkün olmayan yüksek fırın proses artıklarının kontrollü bir şekilde yönetilmesidir.</w:t>
      </w:r>
    </w:p>
    <w:p w14:paraId="3FFD2C78" w14:textId="77777777" w:rsidR="00044491" w:rsidRPr="00CC3DCB" w:rsidRDefault="00044491" w:rsidP="00A202FD">
      <w:pPr>
        <w:jc w:val="both"/>
        <w:rPr>
          <w:rStyle w:val="Gvdemetni142"/>
          <w:color w:val="000000" w:themeColor="text1"/>
        </w:rPr>
      </w:pPr>
    </w:p>
    <w:p w14:paraId="05BF0F27" w14:textId="5FCCCD5C" w:rsidR="00044491" w:rsidRPr="00CC3DCB" w:rsidRDefault="00C0258B" w:rsidP="00A202FD">
      <w:pPr>
        <w:pStyle w:val="MET"/>
        <w:rPr>
          <w:rStyle w:val="Gvdemetni142"/>
          <w:color w:val="000000" w:themeColor="text1"/>
          <w:szCs w:val="24"/>
        </w:rPr>
      </w:pPr>
      <w:r w:rsidRPr="00CC3DCB">
        <w:rPr>
          <w:rStyle w:val="Gvdemetni142"/>
          <w:color w:val="000000" w:themeColor="text1"/>
          <w:szCs w:val="24"/>
        </w:rPr>
        <w:t xml:space="preserve">Met 69: </w:t>
      </w:r>
      <w:r w:rsidRPr="00CC3DCB">
        <w:rPr>
          <w:rStyle w:val="Gvdemetni142"/>
          <w:b w:val="0"/>
          <w:bCs/>
          <w:color w:val="000000" w:themeColor="text1"/>
          <w:szCs w:val="24"/>
        </w:rPr>
        <w:t xml:space="preserve">Cüruf </w:t>
      </w:r>
      <w:r w:rsidR="00435FB1" w:rsidRPr="00CC3DCB">
        <w:rPr>
          <w:rStyle w:val="Gvdemetni142"/>
          <w:b w:val="0"/>
          <w:bCs/>
          <w:color w:val="000000" w:themeColor="text1"/>
          <w:szCs w:val="24"/>
        </w:rPr>
        <w:t>işleme</w:t>
      </w:r>
      <w:r w:rsidRPr="00CC3DCB">
        <w:rPr>
          <w:rStyle w:val="Gvdemetni142"/>
          <w:b w:val="0"/>
          <w:bCs/>
          <w:color w:val="000000" w:themeColor="text1"/>
          <w:szCs w:val="24"/>
        </w:rPr>
        <w:t xml:space="preserve"> emisyonlarını en aza indirmek için koku azaltımı gerektiğinde dumanı yoğunlaştırmaktır.</w:t>
      </w:r>
    </w:p>
    <w:p w14:paraId="748B46BF" w14:textId="77777777" w:rsidR="00044491" w:rsidRPr="00D53A2B" w:rsidRDefault="00044491" w:rsidP="00A202FD">
      <w:pPr>
        <w:jc w:val="both"/>
        <w:rPr>
          <w:rStyle w:val="Gvdemetni142"/>
        </w:rPr>
      </w:pPr>
    </w:p>
    <w:p w14:paraId="21E73DCB" w14:textId="51C73996" w:rsidR="00044491" w:rsidRPr="00D53A2B" w:rsidRDefault="00DE2327" w:rsidP="00A202FD">
      <w:pPr>
        <w:pStyle w:val="Balk4"/>
        <w:rPr>
          <w:rStyle w:val="Gvdemetni142"/>
          <w:rFonts w:cs="Times New Roman"/>
          <w:b w:val="0"/>
          <w:bCs/>
          <w:iCs w:val="0"/>
        </w:rPr>
      </w:pPr>
      <w:r w:rsidRPr="00D53A2B">
        <w:rPr>
          <w:rStyle w:val="Gvdemetni142"/>
          <w:rFonts w:cs="Times New Roman"/>
          <w:bCs/>
          <w:iCs w:val="0"/>
        </w:rPr>
        <w:t xml:space="preserve">5.4. </w:t>
      </w:r>
      <w:r w:rsidR="00C0258B" w:rsidRPr="00D53A2B">
        <w:rPr>
          <w:rStyle w:val="Gvdemetni142"/>
          <w:rFonts w:cs="Times New Roman"/>
          <w:bCs/>
          <w:iCs w:val="0"/>
        </w:rPr>
        <w:t>Kaynak yönetimi</w:t>
      </w:r>
    </w:p>
    <w:p w14:paraId="3BA670B9" w14:textId="0FAAC902" w:rsidR="00044491" w:rsidRPr="00D53A2B" w:rsidRDefault="00C0258B" w:rsidP="00A202FD">
      <w:pPr>
        <w:pStyle w:val="MET"/>
        <w:rPr>
          <w:rStyle w:val="Gvdemetni142"/>
          <w:szCs w:val="24"/>
        </w:rPr>
      </w:pPr>
      <w:r w:rsidRPr="00D53A2B">
        <w:rPr>
          <w:rStyle w:val="Gvdemetni142"/>
          <w:szCs w:val="24"/>
        </w:rPr>
        <w:t xml:space="preserve">MET 70: </w:t>
      </w:r>
      <w:r w:rsidRPr="00D53A2B">
        <w:rPr>
          <w:rStyle w:val="Gvdemetni142"/>
          <w:b w:val="0"/>
          <w:bCs/>
          <w:szCs w:val="24"/>
        </w:rPr>
        <w:t xml:space="preserve">Yüksek fırın kaynak yönetimi için </w:t>
      </w:r>
      <w:r w:rsidR="0031317B" w:rsidRPr="00D53A2B">
        <w:rPr>
          <w:rStyle w:val="Gvdemetni142"/>
          <w:b w:val="0"/>
          <w:bCs/>
          <w:szCs w:val="24"/>
        </w:rPr>
        <w:t>MET,</w:t>
      </w:r>
      <w:r w:rsidRPr="00D53A2B">
        <w:rPr>
          <w:rStyle w:val="Gvdemetni142"/>
          <w:b w:val="0"/>
          <w:bCs/>
          <w:szCs w:val="24"/>
        </w:rPr>
        <w:t xml:space="preserve"> toz kömür, yağ, ağır yağ, katran, yağ kalıntıları, kok fırın gazı (COG), doğal gaz ve metalik kalıntılar, kullanılmış yağlar ve emülsiyonlar, yağlı kalıntılar, yağlar ve atık plastikler gibi indirgeyici maddelerin doğrudan enjekte edilmesiyle kok tüketiminin ayrı ayrı veya kombinasyon halinde azaltılmasıdır.</w:t>
      </w:r>
    </w:p>
    <w:p w14:paraId="176DAA6A" w14:textId="77777777" w:rsidR="00C0258B" w:rsidRPr="00D53A2B" w:rsidRDefault="00C0258B" w:rsidP="00A202FD">
      <w:pPr>
        <w:jc w:val="both"/>
        <w:rPr>
          <w:rStyle w:val="Gvdemetni142"/>
          <w:b/>
          <w:spacing w:val="2"/>
          <w:lang w:eastAsia="en-US"/>
        </w:rPr>
      </w:pPr>
    </w:p>
    <w:p w14:paraId="7F42E0CC" w14:textId="1E17D5E9" w:rsidR="00C0258B" w:rsidRPr="00D53A2B" w:rsidRDefault="00C0258B" w:rsidP="00A202FD">
      <w:pPr>
        <w:jc w:val="both"/>
        <w:rPr>
          <w:rStyle w:val="Gvdemetni142"/>
          <w:b/>
          <w:bCs/>
        </w:rPr>
      </w:pPr>
      <w:r w:rsidRPr="00D53A2B">
        <w:rPr>
          <w:rStyle w:val="Gvdemetni142"/>
          <w:b/>
          <w:bCs/>
        </w:rPr>
        <w:t>Uygulanabilirlik</w:t>
      </w:r>
    </w:p>
    <w:p w14:paraId="59391E50" w14:textId="5C995630" w:rsidR="00C0258B" w:rsidRPr="00D53A2B" w:rsidRDefault="00C0258B" w:rsidP="00A202FD">
      <w:pPr>
        <w:jc w:val="both"/>
        <w:rPr>
          <w:rStyle w:val="Gvdemetni142"/>
        </w:rPr>
      </w:pPr>
      <w:r w:rsidRPr="00D53A2B">
        <w:rPr>
          <w:rStyle w:val="Gvdemetni142"/>
          <w:b/>
          <w:bCs/>
        </w:rPr>
        <w:t xml:space="preserve">Kömür </w:t>
      </w:r>
      <w:r w:rsidR="00966DDA" w:rsidRPr="00D53A2B">
        <w:rPr>
          <w:rStyle w:val="Gvdemetni142"/>
          <w:b/>
          <w:bCs/>
        </w:rPr>
        <w:t>Enjeksiyonu</w:t>
      </w:r>
      <w:r w:rsidRPr="00D53A2B">
        <w:rPr>
          <w:rStyle w:val="Gvdemetni142"/>
          <w:b/>
          <w:bCs/>
        </w:rPr>
        <w:t>:</w:t>
      </w:r>
      <w:r w:rsidRPr="00D53A2B">
        <w:rPr>
          <w:rStyle w:val="Gvdemetni142"/>
        </w:rPr>
        <w:t xml:space="preserve"> Yöntem, toz kömür </w:t>
      </w:r>
      <w:r w:rsidR="00966DDA" w:rsidRPr="00D53A2B">
        <w:rPr>
          <w:rStyle w:val="Gvdemetni3a"/>
        </w:rPr>
        <w:t>enjeksiyonu</w:t>
      </w:r>
      <w:r w:rsidRPr="00D53A2B">
        <w:rPr>
          <w:rStyle w:val="Gvdemetni142"/>
        </w:rPr>
        <w:t xml:space="preserve"> ve oksijen zenginleştirmesi ile donatılmış tüm yüksek fırınlara uygulanabilir.</w:t>
      </w:r>
    </w:p>
    <w:p w14:paraId="3FD20640" w14:textId="2AB8378A" w:rsidR="00C0258B" w:rsidRPr="00D53A2B" w:rsidRDefault="00966DDA" w:rsidP="00A202FD">
      <w:pPr>
        <w:jc w:val="both"/>
        <w:rPr>
          <w:rStyle w:val="Gvdemetni142"/>
        </w:rPr>
      </w:pPr>
      <w:r w:rsidRPr="00D53A2B">
        <w:rPr>
          <w:rStyle w:val="Gvdemetni142"/>
          <w:b/>
          <w:bCs/>
        </w:rPr>
        <w:t>Gaz enjeksiyonu:</w:t>
      </w:r>
      <w:r w:rsidRPr="00D53A2B">
        <w:rPr>
          <w:rStyle w:val="Gvdemetni142"/>
        </w:rPr>
        <w:t xml:space="preserve"> Kok fırın gazının (COG) tuyer enjeksiyonu, entegre çelik fabrikasının başka yerlerinde etkili bir şekilde kullanılabilecek gazın mevcudiyetine büyük ölçüde bağlıdır.</w:t>
      </w:r>
    </w:p>
    <w:p w14:paraId="6CD8F570" w14:textId="10C5AA2F" w:rsidR="00C0258B" w:rsidRPr="00D53A2B" w:rsidRDefault="00966DDA" w:rsidP="00A202FD">
      <w:pPr>
        <w:jc w:val="both"/>
        <w:rPr>
          <w:rStyle w:val="Gvdemetni142"/>
        </w:rPr>
      </w:pPr>
      <w:r w:rsidRPr="00D53A2B">
        <w:rPr>
          <w:rStyle w:val="Gvdemetni142"/>
          <w:b/>
          <w:bCs/>
        </w:rPr>
        <w:lastRenderedPageBreak/>
        <w:t>Plastik enjeksiyonu:</w:t>
      </w:r>
      <w:r w:rsidRPr="00D53A2B">
        <w:rPr>
          <w:rStyle w:val="Gvdemetni142"/>
        </w:rPr>
        <w:t xml:space="preserve"> Tekniğin yerel koşullara ve piyasa koşullarına büyük ölçüde bağlı olduğu unutulmamalıdır. Plastikler Cl ve Hg, Cd, Pb ve Zn gibi ağır metaller içerebilir. Kullanılan atıkların bileşimine bağlı olarak (örneğin, parçalayıcı hafif fraksiyon), BF gazındaki Hg, Cr, Cu, Ni ve Mo miktarı artabilir.</w:t>
      </w:r>
    </w:p>
    <w:p w14:paraId="4B5DAA71" w14:textId="412AB56D" w:rsidR="00C0258B" w:rsidRPr="00D53A2B" w:rsidRDefault="00966DDA" w:rsidP="00A202FD">
      <w:pPr>
        <w:jc w:val="both"/>
        <w:rPr>
          <w:rStyle w:val="Gvdemetni142"/>
        </w:rPr>
      </w:pPr>
      <w:r w:rsidRPr="00D53A2B">
        <w:rPr>
          <w:rStyle w:val="Gvdemetni142"/>
          <w:b/>
          <w:bCs/>
        </w:rPr>
        <w:t xml:space="preserve">Kullanılmış yağların, katı yağların ve emülsiyonların indirgeyici madde olarak ve katı demir artıklarının doğrudan enjeksiyonu: </w:t>
      </w:r>
      <w:r w:rsidRPr="00D53A2B">
        <w:rPr>
          <w:rStyle w:val="Gvdemetni142"/>
        </w:rPr>
        <w:t>Bu sistemin sürekli çalışması, teslimatın lojistik konseptine ve kalıntıların depolanmasına bağlıdır. Ayrıca, uygulanan taşıma teknolojisi, başarılı bir operasyon için özellikle önemlidir.</w:t>
      </w:r>
    </w:p>
    <w:p w14:paraId="068D2DDB" w14:textId="77777777" w:rsidR="00966DDA" w:rsidRPr="00D53A2B" w:rsidRDefault="00966DDA" w:rsidP="00A202FD">
      <w:pPr>
        <w:jc w:val="both"/>
        <w:rPr>
          <w:rStyle w:val="Gvdemetni142"/>
        </w:rPr>
      </w:pPr>
    </w:p>
    <w:p w14:paraId="0ACC9E18" w14:textId="609F9450" w:rsidR="00966DDA" w:rsidRPr="00D53A2B" w:rsidRDefault="00DE2327" w:rsidP="00A202FD">
      <w:pPr>
        <w:pStyle w:val="Balk4"/>
        <w:rPr>
          <w:rStyle w:val="Gvdemetni142"/>
          <w:rFonts w:cs="Times New Roman"/>
          <w:b w:val="0"/>
          <w:bCs/>
          <w:iCs w:val="0"/>
        </w:rPr>
      </w:pPr>
      <w:r w:rsidRPr="00D53A2B">
        <w:rPr>
          <w:rStyle w:val="Gvdemetni142"/>
          <w:rFonts w:cs="Times New Roman"/>
          <w:bCs/>
          <w:iCs w:val="0"/>
        </w:rPr>
        <w:t xml:space="preserve">5.5. </w:t>
      </w:r>
      <w:r w:rsidR="00966DDA" w:rsidRPr="00D53A2B">
        <w:rPr>
          <w:rStyle w:val="Gvdemetni142"/>
          <w:rFonts w:cs="Times New Roman"/>
          <w:bCs/>
          <w:iCs w:val="0"/>
        </w:rPr>
        <w:t>Enerji</w:t>
      </w:r>
    </w:p>
    <w:p w14:paraId="473189DF" w14:textId="2ABDF5A6" w:rsidR="00966DDA" w:rsidRPr="00D53A2B" w:rsidRDefault="00DA11B5" w:rsidP="00A202FD">
      <w:pPr>
        <w:pStyle w:val="MET"/>
        <w:rPr>
          <w:rStyle w:val="Gvdemetni142"/>
          <w:szCs w:val="24"/>
        </w:rPr>
      </w:pPr>
      <w:r w:rsidRPr="00D53A2B">
        <w:rPr>
          <w:rStyle w:val="Gvdemetni142"/>
          <w:szCs w:val="24"/>
        </w:rPr>
        <w:t xml:space="preserve">MET 71: </w:t>
      </w:r>
      <w:r w:rsidRPr="00D53A2B">
        <w:rPr>
          <w:rStyle w:val="Gvdemetni142"/>
          <w:b w:val="0"/>
          <w:bCs/>
          <w:szCs w:val="24"/>
        </w:rPr>
        <w:t>Salınımları en aza indirmek ve yük kayması olasılığını azaltmak için yüksek fırının sabit bir durumda düzgün ve sürekli çalışması sağla</w:t>
      </w:r>
      <w:r w:rsidR="00DD758A" w:rsidRPr="00D53A2B">
        <w:rPr>
          <w:rStyle w:val="Gvdemetni142"/>
          <w:b w:val="0"/>
          <w:bCs/>
          <w:szCs w:val="24"/>
        </w:rPr>
        <w:t>nabilir</w:t>
      </w:r>
      <w:r w:rsidRPr="00D53A2B">
        <w:rPr>
          <w:rStyle w:val="Gvdemetni142"/>
          <w:b w:val="0"/>
          <w:bCs/>
          <w:szCs w:val="24"/>
        </w:rPr>
        <w:t>.</w:t>
      </w:r>
    </w:p>
    <w:p w14:paraId="02751E66" w14:textId="77777777" w:rsidR="00966DDA" w:rsidRPr="00D53A2B" w:rsidRDefault="00966DDA" w:rsidP="00A202FD">
      <w:pPr>
        <w:jc w:val="both"/>
        <w:rPr>
          <w:rStyle w:val="Gvdemetni142"/>
          <w:b/>
          <w:spacing w:val="2"/>
          <w:lang w:eastAsia="en-US"/>
        </w:rPr>
      </w:pPr>
    </w:p>
    <w:p w14:paraId="6666D576" w14:textId="40153735" w:rsidR="00966DDA" w:rsidRPr="00D53A2B" w:rsidRDefault="00DA11B5" w:rsidP="00A202FD">
      <w:pPr>
        <w:pStyle w:val="MET"/>
        <w:rPr>
          <w:rStyle w:val="Gvdemetni142"/>
          <w:szCs w:val="24"/>
        </w:rPr>
      </w:pPr>
      <w:r w:rsidRPr="00D53A2B">
        <w:rPr>
          <w:rStyle w:val="Gvdemetni142"/>
          <w:szCs w:val="24"/>
        </w:rPr>
        <w:t xml:space="preserve">MET 72: </w:t>
      </w:r>
      <w:r w:rsidRPr="00D53A2B">
        <w:rPr>
          <w:rStyle w:val="Gvdemetni142"/>
          <w:b w:val="0"/>
          <w:bCs/>
          <w:szCs w:val="24"/>
        </w:rPr>
        <w:t>Çıkarılan yüksek fırın gazı yakıt olarak kullanıl</w:t>
      </w:r>
      <w:r w:rsidR="00DD758A" w:rsidRPr="00D53A2B">
        <w:rPr>
          <w:rStyle w:val="Gvdemetni142"/>
          <w:b w:val="0"/>
          <w:bCs/>
          <w:szCs w:val="24"/>
        </w:rPr>
        <w:t>abilir</w:t>
      </w:r>
      <w:r w:rsidRPr="00D53A2B">
        <w:rPr>
          <w:rStyle w:val="Gvdemetni142"/>
          <w:b w:val="0"/>
          <w:bCs/>
          <w:szCs w:val="24"/>
        </w:rPr>
        <w:t>.</w:t>
      </w:r>
    </w:p>
    <w:p w14:paraId="3FEE170E" w14:textId="38FFF11D" w:rsidR="00966DDA" w:rsidRPr="00D53A2B" w:rsidRDefault="00DA11B5" w:rsidP="00A202FD">
      <w:pPr>
        <w:pStyle w:val="MET"/>
        <w:rPr>
          <w:rStyle w:val="Gvdemetni142"/>
          <w:szCs w:val="24"/>
        </w:rPr>
      </w:pPr>
      <w:r w:rsidRPr="00D53A2B">
        <w:rPr>
          <w:rStyle w:val="Gvdemetni142"/>
          <w:szCs w:val="24"/>
        </w:rPr>
        <w:t xml:space="preserve">MET 73: </w:t>
      </w:r>
      <w:r w:rsidRPr="00D53A2B">
        <w:rPr>
          <w:rStyle w:val="Gvdemetni142"/>
          <w:b w:val="0"/>
          <w:bCs/>
          <w:szCs w:val="24"/>
        </w:rPr>
        <w:t>Yeterli üst gaz basıncının ve düşük alkali konsantrasyonlarının mevcut olduğu yüksek fırın üst gaz basıncının enerjisini geri kazanmaktır.</w:t>
      </w:r>
    </w:p>
    <w:p w14:paraId="09E3ED70" w14:textId="77777777" w:rsidR="00966DDA" w:rsidRPr="00D53A2B" w:rsidRDefault="00966DDA" w:rsidP="00A202FD">
      <w:pPr>
        <w:jc w:val="both"/>
        <w:rPr>
          <w:rStyle w:val="Gvdemetni142"/>
          <w:b/>
          <w:spacing w:val="2"/>
          <w:lang w:eastAsia="en-US"/>
        </w:rPr>
      </w:pPr>
    </w:p>
    <w:p w14:paraId="6B6BEA04" w14:textId="08F3D203" w:rsidR="00044491" w:rsidRPr="00D53A2B" w:rsidRDefault="00DA11B5" w:rsidP="00A202FD">
      <w:pPr>
        <w:jc w:val="both"/>
        <w:rPr>
          <w:rStyle w:val="Gvdemetni142"/>
          <w:b/>
          <w:bCs/>
        </w:rPr>
      </w:pPr>
      <w:r w:rsidRPr="00D53A2B">
        <w:rPr>
          <w:rStyle w:val="Gvdemetni142"/>
          <w:b/>
          <w:bCs/>
        </w:rPr>
        <w:t>Uygulanabilirlik</w:t>
      </w:r>
    </w:p>
    <w:p w14:paraId="554984DA" w14:textId="097E0B45" w:rsidR="00DA11B5" w:rsidRPr="00D53A2B" w:rsidRDefault="00AB1CA4" w:rsidP="00A202FD">
      <w:pPr>
        <w:jc w:val="both"/>
        <w:rPr>
          <w:rStyle w:val="Gvdemetni142"/>
        </w:rPr>
      </w:pPr>
      <w:r w:rsidRPr="00D53A2B">
        <w:rPr>
          <w:rStyle w:val="Gvdemetni142"/>
        </w:rPr>
        <w:t>Üst gaz basıncının geri kazanımı yeni tesislerde ve bazı durumlarda mevcut tesislerde daha fazla zorluk ve ek maliyetle de olsa uygulanabilir. Bu tekniğin uygulanmasının temeli, 1,5 bar göstergesinin üzerinde yeterli bir üst gaz basıncıdır.</w:t>
      </w:r>
    </w:p>
    <w:p w14:paraId="7670B534" w14:textId="77777777" w:rsidR="00DA11B5" w:rsidRPr="00D53A2B" w:rsidRDefault="00DA11B5" w:rsidP="00A202FD">
      <w:pPr>
        <w:jc w:val="both"/>
        <w:rPr>
          <w:rStyle w:val="Gvdemetni142"/>
        </w:rPr>
      </w:pPr>
    </w:p>
    <w:p w14:paraId="4749AD25" w14:textId="1B910AA2" w:rsidR="00DA11B5" w:rsidRPr="00D53A2B" w:rsidRDefault="00AB1CA4" w:rsidP="00A202FD">
      <w:pPr>
        <w:jc w:val="both"/>
        <w:rPr>
          <w:rStyle w:val="Gvdemetni142"/>
        </w:rPr>
      </w:pPr>
      <w:r w:rsidRPr="00D53A2B">
        <w:rPr>
          <w:rStyle w:val="Gvdemetni142"/>
        </w:rPr>
        <w:t>Yeni tesislerde, hem yıkama hem de enerji geri kazanımında yüksek verimlilik elde etmek amacıyla üst gaz türbini ile yüksek fırın gaz</w:t>
      </w:r>
      <w:r w:rsidR="00DD758A" w:rsidRPr="00D53A2B">
        <w:rPr>
          <w:rStyle w:val="Gvdemetni142"/>
        </w:rPr>
        <w:t>ı</w:t>
      </w:r>
      <w:r w:rsidRPr="00D53A2B">
        <w:rPr>
          <w:rStyle w:val="Gvdemetni142"/>
        </w:rPr>
        <w:t xml:space="preserve"> temizleme tesisi birbirine adapte edilebilir.</w:t>
      </w:r>
    </w:p>
    <w:p w14:paraId="1C4202BC" w14:textId="77777777" w:rsidR="00DA11B5" w:rsidRPr="00D53A2B" w:rsidRDefault="00DA11B5" w:rsidP="00A202FD">
      <w:pPr>
        <w:jc w:val="both"/>
        <w:rPr>
          <w:rStyle w:val="Gvdemetni142"/>
        </w:rPr>
      </w:pPr>
    </w:p>
    <w:p w14:paraId="726DF2B8" w14:textId="51C7153D" w:rsidR="00AF010B" w:rsidRPr="00D53A2B" w:rsidRDefault="00AF010B" w:rsidP="00A202FD">
      <w:pPr>
        <w:pStyle w:val="MET"/>
        <w:rPr>
          <w:rStyle w:val="Gvdemetni142"/>
          <w:szCs w:val="24"/>
        </w:rPr>
      </w:pPr>
      <w:r w:rsidRPr="00D53A2B">
        <w:rPr>
          <w:rStyle w:val="Gvdemetni142"/>
          <w:szCs w:val="24"/>
        </w:rPr>
        <w:t xml:space="preserve">MET 74: </w:t>
      </w:r>
      <w:r w:rsidRPr="00D53A2B">
        <w:rPr>
          <w:rStyle w:val="Gvdemetni142"/>
          <w:b w:val="0"/>
          <w:bCs/>
          <w:szCs w:val="24"/>
        </w:rPr>
        <w:t>Sıcak hava sobası atık gazını kullanarak sıcak hava sobası yakıt gazlarını veya yanma havasını önceden ısıt</w:t>
      </w:r>
      <w:r w:rsidR="00DD758A" w:rsidRPr="00D53A2B">
        <w:rPr>
          <w:rStyle w:val="Gvdemetni142"/>
          <w:b w:val="0"/>
          <w:bCs/>
          <w:szCs w:val="24"/>
        </w:rPr>
        <w:t xml:space="preserve">ılması </w:t>
      </w:r>
      <w:r w:rsidRPr="00D53A2B">
        <w:rPr>
          <w:rStyle w:val="Gvdemetni142"/>
          <w:b w:val="0"/>
          <w:bCs/>
          <w:szCs w:val="24"/>
        </w:rPr>
        <w:t>ve sıcak hava sobası yanma sürecini optimize e</w:t>
      </w:r>
      <w:r w:rsidR="00DD758A" w:rsidRPr="00D53A2B">
        <w:rPr>
          <w:rStyle w:val="Gvdemetni142"/>
          <w:b w:val="0"/>
          <w:bCs/>
          <w:szCs w:val="24"/>
        </w:rPr>
        <w:t>der</w:t>
      </w:r>
      <w:r w:rsidRPr="00D53A2B">
        <w:rPr>
          <w:rStyle w:val="Gvdemetni142"/>
          <w:b w:val="0"/>
          <w:bCs/>
          <w:szCs w:val="24"/>
        </w:rPr>
        <w:t>.</w:t>
      </w:r>
    </w:p>
    <w:p w14:paraId="0FC370BC" w14:textId="77777777" w:rsidR="00AF010B" w:rsidRPr="00D53A2B" w:rsidRDefault="00AF010B" w:rsidP="00A202FD">
      <w:pPr>
        <w:jc w:val="both"/>
        <w:rPr>
          <w:rStyle w:val="Gvdemetni142"/>
          <w:b/>
          <w:spacing w:val="2"/>
          <w:lang w:eastAsia="en-US"/>
        </w:rPr>
      </w:pPr>
    </w:p>
    <w:p w14:paraId="5D1C8259" w14:textId="4C04C650" w:rsidR="00AF010B" w:rsidRPr="00D53A2B" w:rsidRDefault="00AF010B" w:rsidP="00A202FD">
      <w:pPr>
        <w:jc w:val="both"/>
        <w:rPr>
          <w:rStyle w:val="Gvdemetni142"/>
          <w:b/>
          <w:bCs/>
        </w:rPr>
      </w:pPr>
      <w:r w:rsidRPr="00D53A2B">
        <w:rPr>
          <w:rStyle w:val="Gvdemetni142"/>
          <w:b/>
          <w:bCs/>
        </w:rPr>
        <w:t>Tanım</w:t>
      </w:r>
    </w:p>
    <w:p w14:paraId="00517AC6" w14:textId="4FEDABF0" w:rsidR="00AF010B" w:rsidRPr="00D53A2B" w:rsidRDefault="00AF010B" w:rsidP="00A202FD">
      <w:pPr>
        <w:jc w:val="both"/>
        <w:rPr>
          <w:rStyle w:val="Gvdemetni142"/>
        </w:rPr>
      </w:pPr>
      <w:r w:rsidRPr="00D53A2B">
        <w:rPr>
          <w:rStyle w:val="Gvdemetni142"/>
        </w:rPr>
        <w:t>Sıcak fırının enerji verimliliğinin optimizasyonu için aşağıdaki tekniklerden biri veya birkaçı uygulanabilir:</w:t>
      </w:r>
    </w:p>
    <w:p w14:paraId="497534BC" w14:textId="6BE9E3D0" w:rsidR="00AF010B" w:rsidRPr="00D53A2B" w:rsidRDefault="00AF010B" w:rsidP="00602365">
      <w:pPr>
        <w:pStyle w:val="ListeParagraf"/>
        <w:numPr>
          <w:ilvl w:val="0"/>
          <w:numId w:val="133"/>
        </w:numPr>
        <w:tabs>
          <w:tab w:val="clear" w:pos="567"/>
        </w:tabs>
        <w:spacing w:line="240" w:lineRule="auto"/>
        <w:ind w:left="357" w:hanging="357"/>
        <w:rPr>
          <w:rStyle w:val="Gvdemetni142"/>
          <w:sz w:val="24"/>
          <w:szCs w:val="24"/>
        </w:rPr>
      </w:pPr>
      <w:r w:rsidRPr="00D53A2B">
        <w:rPr>
          <w:rStyle w:val="Gvdemetni142"/>
          <w:sz w:val="24"/>
          <w:szCs w:val="24"/>
        </w:rPr>
        <w:t>bilgisayar destekli sıcak fırın işleminin kullanımı</w:t>
      </w:r>
    </w:p>
    <w:p w14:paraId="3074F72D" w14:textId="53E8E024" w:rsidR="00AF010B" w:rsidRPr="00D53A2B" w:rsidRDefault="00AF010B" w:rsidP="00602365">
      <w:pPr>
        <w:pStyle w:val="ListeParagraf"/>
        <w:numPr>
          <w:ilvl w:val="0"/>
          <w:numId w:val="133"/>
        </w:numPr>
        <w:tabs>
          <w:tab w:val="clear" w:pos="567"/>
        </w:tabs>
        <w:spacing w:line="240" w:lineRule="auto"/>
        <w:ind w:left="357" w:hanging="357"/>
        <w:rPr>
          <w:rStyle w:val="Gvdemetni142"/>
          <w:sz w:val="24"/>
          <w:szCs w:val="24"/>
        </w:rPr>
      </w:pPr>
      <w:r w:rsidRPr="00D53A2B">
        <w:rPr>
          <w:rStyle w:val="Gvdemetni142"/>
          <w:sz w:val="24"/>
          <w:szCs w:val="24"/>
        </w:rPr>
        <w:t>soğuk blast hattının ve atık gaz bacasının yalıtımıyla birlikte yakıt veya yanma havasının önceden ısıtılması</w:t>
      </w:r>
    </w:p>
    <w:p w14:paraId="123B52E4" w14:textId="77777777" w:rsidR="00AF010B" w:rsidRPr="00D53A2B" w:rsidRDefault="00AF010B" w:rsidP="00602365">
      <w:pPr>
        <w:pStyle w:val="ListeParagraf"/>
        <w:numPr>
          <w:ilvl w:val="0"/>
          <w:numId w:val="133"/>
        </w:numPr>
        <w:tabs>
          <w:tab w:val="clear" w:pos="567"/>
        </w:tabs>
        <w:spacing w:line="240" w:lineRule="auto"/>
        <w:ind w:left="357" w:hanging="357"/>
        <w:rPr>
          <w:rStyle w:val="Gvdemetni142"/>
          <w:sz w:val="24"/>
          <w:szCs w:val="24"/>
        </w:rPr>
      </w:pPr>
      <w:r w:rsidRPr="00D53A2B">
        <w:rPr>
          <w:rStyle w:val="Gvdemetni142"/>
          <w:sz w:val="24"/>
          <w:szCs w:val="24"/>
        </w:rPr>
        <w:t>yanmayı iyileştirmek için daha uygun brülörlerin kullanımı</w:t>
      </w:r>
    </w:p>
    <w:p w14:paraId="32D91B1C" w14:textId="32ED879A" w:rsidR="00AF010B" w:rsidRPr="00D53A2B" w:rsidRDefault="00AF010B" w:rsidP="00602365">
      <w:pPr>
        <w:pStyle w:val="ListeParagraf"/>
        <w:numPr>
          <w:ilvl w:val="0"/>
          <w:numId w:val="133"/>
        </w:numPr>
        <w:tabs>
          <w:tab w:val="clear" w:pos="567"/>
        </w:tabs>
        <w:spacing w:line="240" w:lineRule="auto"/>
        <w:ind w:left="357" w:hanging="357"/>
        <w:rPr>
          <w:rStyle w:val="Gvdemetni142"/>
          <w:sz w:val="24"/>
          <w:szCs w:val="24"/>
        </w:rPr>
      </w:pPr>
      <w:r w:rsidRPr="00D53A2B">
        <w:rPr>
          <w:rStyle w:val="Gvdemetni142"/>
          <w:sz w:val="24"/>
          <w:szCs w:val="24"/>
        </w:rPr>
        <w:t>hızlı oksijen ölçümü ve ardından yanma koşullarının uyarlanması.</w:t>
      </w:r>
    </w:p>
    <w:p w14:paraId="44856D7F" w14:textId="77777777" w:rsidR="00AF010B" w:rsidRPr="00D53A2B" w:rsidRDefault="00AF010B" w:rsidP="00A202FD">
      <w:pPr>
        <w:jc w:val="both"/>
        <w:rPr>
          <w:rStyle w:val="Gvdemetni142"/>
        </w:rPr>
      </w:pPr>
    </w:p>
    <w:p w14:paraId="54C43F55" w14:textId="10663D56" w:rsidR="00AF010B" w:rsidRPr="00D53A2B" w:rsidRDefault="00AF010B" w:rsidP="00A202FD">
      <w:pPr>
        <w:jc w:val="both"/>
        <w:rPr>
          <w:rStyle w:val="Gvdemetni142"/>
          <w:b/>
          <w:bCs/>
        </w:rPr>
      </w:pPr>
      <w:r w:rsidRPr="00D53A2B">
        <w:rPr>
          <w:rStyle w:val="Gvdemetni142"/>
          <w:b/>
          <w:bCs/>
        </w:rPr>
        <w:t>Uygulanabilirlik</w:t>
      </w:r>
    </w:p>
    <w:p w14:paraId="33C8BD11" w14:textId="3B8DC390" w:rsidR="00AF010B" w:rsidRPr="00D53A2B" w:rsidRDefault="00AF010B" w:rsidP="00A202FD">
      <w:pPr>
        <w:jc w:val="both"/>
        <w:rPr>
          <w:rStyle w:val="Gvdemetni142"/>
        </w:rPr>
      </w:pPr>
      <w:r w:rsidRPr="00D53A2B">
        <w:rPr>
          <w:rStyle w:val="Gvdemetni142"/>
        </w:rPr>
        <w:t>Yakıt ön ısıtmasının uygulanabilirliği, atık gaz sıcaklığını belirlediği için fırınların verimliliğine bağlıdır (örneğin, 250°C</w:t>
      </w:r>
      <w:r w:rsidR="00E56504" w:rsidRPr="00D53A2B">
        <w:rPr>
          <w:rStyle w:val="Gvdemetni142"/>
        </w:rPr>
        <w:t>’</w:t>
      </w:r>
      <w:r w:rsidRPr="00D53A2B">
        <w:rPr>
          <w:rStyle w:val="Gvdemetni142"/>
        </w:rPr>
        <w:t>nin altındaki atık gaz sıcaklıklarında, ısı geri kazanımı teknik veya ekonomik açıdan uygun bir seçenek olmayabilir).</w:t>
      </w:r>
    </w:p>
    <w:p w14:paraId="45950172" w14:textId="77777777" w:rsidR="00AF010B" w:rsidRPr="00D53A2B" w:rsidRDefault="00AF010B" w:rsidP="00A202FD">
      <w:pPr>
        <w:jc w:val="both"/>
        <w:rPr>
          <w:rStyle w:val="Gvdemetni142"/>
        </w:rPr>
      </w:pPr>
    </w:p>
    <w:p w14:paraId="5AE2A6C8" w14:textId="471E70F3" w:rsidR="00C57037" w:rsidRDefault="00AF010B" w:rsidP="00F35B82">
      <w:pPr>
        <w:jc w:val="both"/>
        <w:rPr>
          <w:rStyle w:val="Gvdemetni142"/>
        </w:rPr>
      </w:pPr>
      <w:r w:rsidRPr="00D53A2B">
        <w:rPr>
          <w:rStyle w:val="Gvdemetni142"/>
        </w:rPr>
        <w:t xml:space="preserve">Bilgisayar destekli kontrolün uygulanması, üç </w:t>
      </w:r>
      <w:r w:rsidR="001A71EF" w:rsidRPr="00D53A2B">
        <w:rPr>
          <w:rStyle w:val="Gvdemetni142"/>
        </w:rPr>
        <w:t>soba</w:t>
      </w:r>
      <w:r w:rsidRPr="00D53A2B">
        <w:rPr>
          <w:rStyle w:val="Gvdemetni142"/>
        </w:rPr>
        <w:t xml:space="preserve"> yüksek fırınlarda (mümkünse) faydaların maksimize edilmesi amacıyla dördüncü bir</w:t>
      </w:r>
      <w:r w:rsidR="001A71EF" w:rsidRPr="00D53A2B">
        <w:rPr>
          <w:rStyle w:val="Gvdemetni142"/>
        </w:rPr>
        <w:t xml:space="preserve"> soba</w:t>
      </w:r>
      <w:r w:rsidRPr="00D53A2B">
        <w:rPr>
          <w:rStyle w:val="Gvdemetni142"/>
        </w:rPr>
        <w:t xml:space="preserve"> inşasını gerektirebilir.</w:t>
      </w:r>
    </w:p>
    <w:p w14:paraId="75DFFFE1" w14:textId="77777777" w:rsidR="00F35B82" w:rsidRPr="00D53A2B" w:rsidRDefault="00F35B82" w:rsidP="00F35B82">
      <w:pPr>
        <w:jc w:val="both"/>
      </w:pPr>
    </w:p>
    <w:p w14:paraId="636FEADD" w14:textId="2F0A21EF" w:rsidR="00C57037" w:rsidRPr="00D53A2B" w:rsidRDefault="001A71EF" w:rsidP="00A202FD">
      <w:pPr>
        <w:pStyle w:val="Balk2"/>
        <w:rPr>
          <w:rFonts w:cs="Times New Roman"/>
          <w:szCs w:val="24"/>
        </w:rPr>
      </w:pPr>
      <w:r w:rsidRPr="00D53A2B">
        <w:rPr>
          <w:rFonts w:cs="Times New Roman"/>
          <w:szCs w:val="24"/>
        </w:rPr>
        <w:t xml:space="preserve">6. </w:t>
      </w:r>
      <w:r w:rsidR="00C57037" w:rsidRPr="00D53A2B">
        <w:rPr>
          <w:rFonts w:cs="Times New Roman"/>
          <w:szCs w:val="24"/>
        </w:rPr>
        <w:t xml:space="preserve">Bazik Oksijen Çelik Üretimi ve Dökümü İçin </w:t>
      </w:r>
      <w:r w:rsidRPr="00D53A2B">
        <w:rPr>
          <w:rFonts w:cs="Times New Roman"/>
          <w:szCs w:val="24"/>
        </w:rPr>
        <w:t>MET</w:t>
      </w:r>
      <w:r w:rsidR="00C57037" w:rsidRPr="00D53A2B">
        <w:rPr>
          <w:rFonts w:cs="Times New Roman"/>
          <w:szCs w:val="24"/>
        </w:rPr>
        <w:t xml:space="preserve"> Sonuçları</w:t>
      </w:r>
    </w:p>
    <w:p w14:paraId="23AE5F7D" w14:textId="4E99058B" w:rsidR="00C57037" w:rsidRPr="00D53A2B" w:rsidRDefault="00DA2E0D" w:rsidP="00A202FD">
      <w:pPr>
        <w:jc w:val="both"/>
        <w:rPr>
          <w:rStyle w:val="Gvdemetni3a"/>
          <w:rFonts w:eastAsiaTheme="majorEastAsia"/>
          <w:b/>
          <w:color w:val="000000" w:themeColor="text1"/>
        </w:rPr>
      </w:pPr>
      <w:r w:rsidRPr="00D53A2B">
        <w:rPr>
          <w:rStyle w:val="Gvdemetni3a"/>
        </w:rPr>
        <w:t>Aksi belirtilmediği takdirde, bu bölümde sunulan MET sonuçları tüm bazik oksijen çelik üretimi ve dökümü için uygulanabilir.</w:t>
      </w:r>
    </w:p>
    <w:p w14:paraId="6E0CD171" w14:textId="77777777" w:rsidR="00A74CB0" w:rsidRPr="00D53A2B" w:rsidRDefault="00A74CB0" w:rsidP="00A202FD">
      <w:pPr>
        <w:jc w:val="both"/>
        <w:rPr>
          <w:rStyle w:val="Gvdemetni3a"/>
        </w:rPr>
      </w:pPr>
    </w:p>
    <w:p w14:paraId="45043494" w14:textId="07E5501E" w:rsidR="00C57037" w:rsidRPr="00D53A2B" w:rsidRDefault="001A71EF" w:rsidP="00A202FD">
      <w:pPr>
        <w:pStyle w:val="Balk4"/>
        <w:rPr>
          <w:rStyle w:val="Gvdemetni3a"/>
          <w:rFonts w:cs="Times New Roman"/>
          <w:b w:val="0"/>
          <w:bCs/>
          <w:iCs w:val="0"/>
        </w:rPr>
      </w:pPr>
      <w:r w:rsidRPr="00D53A2B">
        <w:rPr>
          <w:rStyle w:val="Gvdemetni3a"/>
          <w:rFonts w:cs="Times New Roman"/>
          <w:bCs/>
          <w:iCs w:val="0"/>
        </w:rPr>
        <w:t xml:space="preserve">6.1. </w:t>
      </w:r>
      <w:r w:rsidR="00DA2E0D" w:rsidRPr="00D53A2B">
        <w:rPr>
          <w:rStyle w:val="Gvdemetni3a"/>
          <w:rFonts w:cs="Times New Roman"/>
          <w:bCs/>
          <w:iCs w:val="0"/>
        </w:rPr>
        <w:t>Hava emisyonları</w:t>
      </w:r>
    </w:p>
    <w:p w14:paraId="426FD5C5" w14:textId="3177C97A" w:rsidR="00C57037" w:rsidRPr="00D53A2B" w:rsidRDefault="00DD7861" w:rsidP="00A202FD">
      <w:pPr>
        <w:pStyle w:val="MET"/>
        <w:rPr>
          <w:rStyle w:val="Gvdemetni3a"/>
          <w:color w:val="000000"/>
          <w:szCs w:val="24"/>
        </w:rPr>
      </w:pPr>
      <w:r w:rsidRPr="00D53A2B">
        <w:rPr>
          <w:rStyle w:val="Gvdemetni3a"/>
          <w:szCs w:val="24"/>
        </w:rPr>
        <w:t xml:space="preserve">MET 75: </w:t>
      </w:r>
      <w:r w:rsidRPr="00D53A2B">
        <w:rPr>
          <w:rStyle w:val="Gvdemetni3a"/>
          <w:b w:val="0"/>
          <w:bCs/>
          <w:szCs w:val="24"/>
        </w:rPr>
        <w:t>Kontrollü yanma ile bazik oksijen fırını (BOF) gazı geri kazanımı için üfleme sırasında mümkün olduğunca BOF gazını çıkarmak ve aşağıdaki teknikleri bir arada kullanarak temiz</w:t>
      </w:r>
      <w:r w:rsidR="001A71EF" w:rsidRPr="00D53A2B">
        <w:rPr>
          <w:rStyle w:val="Gvdemetni3a"/>
          <w:b w:val="0"/>
          <w:bCs/>
          <w:szCs w:val="24"/>
        </w:rPr>
        <w:t>lenir.</w:t>
      </w:r>
    </w:p>
    <w:p w14:paraId="6ACC4EE1" w14:textId="386610EA" w:rsidR="00C57037" w:rsidRPr="00D53A2B" w:rsidRDefault="00DD7861" w:rsidP="00602365">
      <w:pPr>
        <w:pStyle w:val="ListeParagraf"/>
        <w:numPr>
          <w:ilvl w:val="0"/>
          <w:numId w:val="134"/>
        </w:numPr>
        <w:tabs>
          <w:tab w:val="clear" w:pos="567"/>
        </w:tabs>
        <w:spacing w:line="240" w:lineRule="auto"/>
        <w:ind w:left="426" w:hanging="426"/>
        <w:rPr>
          <w:rStyle w:val="Gvdemetni3a"/>
          <w:color w:val="000000"/>
          <w:sz w:val="24"/>
          <w:szCs w:val="24"/>
        </w:rPr>
      </w:pPr>
      <w:r w:rsidRPr="00D53A2B">
        <w:rPr>
          <w:rStyle w:val="Gvdemetni3a"/>
          <w:color w:val="000000"/>
          <w:sz w:val="24"/>
          <w:szCs w:val="24"/>
        </w:rPr>
        <w:t>kontrollü yanma prosesinin kullanılması</w:t>
      </w:r>
    </w:p>
    <w:p w14:paraId="7C04CF35" w14:textId="2B915981" w:rsidR="00DD7861" w:rsidRPr="00D53A2B" w:rsidRDefault="00DD7861" w:rsidP="00602365">
      <w:pPr>
        <w:pStyle w:val="ListeParagraf"/>
        <w:numPr>
          <w:ilvl w:val="0"/>
          <w:numId w:val="134"/>
        </w:numPr>
        <w:tabs>
          <w:tab w:val="clear" w:pos="567"/>
        </w:tabs>
        <w:spacing w:line="240" w:lineRule="auto"/>
        <w:ind w:left="426" w:hanging="426"/>
        <w:rPr>
          <w:rStyle w:val="Gvdemetni3a"/>
          <w:color w:val="000000"/>
          <w:sz w:val="24"/>
          <w:szCs w:val="24"/>
        </w:rPr>
      </w:pPr>
      <w:r w:rsidRPr="00D53A2B">
        <w:rPr>
          <w:rStyle w:val="Gvdemetni3a"/>
          <w:color w:val="000000"/>
          <w:sz w:val="24"/>
          <w:szCs w:val="24"/>
        </w:rPr>
        <w:t>kuru ayırma teknikleri (örneğin deflektör, siklon) veya ıslak ayırıcılar vasıtasıyla kaba tozu gidermek için ön toz giderme</w:t>
      </w:r>
    </w:p>
    <w:p w14:paraId="135FC0BA" w14:textId="24C8C15C" w:rsidR="00DD7861" w:rsidRPr="00D53A2B" w:rsidRDefault="00DD7861" w:rsidP="00602365">
      <w:pPr>
        <w:pStyle w:val="ListeParagraf"/>
        <w:numPr>
          <w:ilvl w:val="0"/>
          <w:numId w:val="134"/>
        </w:numPr>
        <w:tabs>
          <w:tab w:val="clear" w:pos="567"/>
        </w:tabs>
        <w:spacing w:line="240" w:lineRule="auto"/>
        <w:ind w:left="426" w:hanging="426"/>
        <w:rPr>
          <w:rStyle w:val="Gvdemetni3a"/>
          <w:color w:val="000000"/>
          <w:sz w:val="24"/>
          <w:szCs w:val="24"/>
        </w:rPr>
      </w:pPr>
      <w:r w:rsidRPr="00D53A2B">
        <w:rPr>
          <w:rStyle w:val="Gvdemetni3a"/>
          <w:color w:val="000000"/>
          <w:sz w:val="24"/>
          <w:szCs w:val="24"/>
        </w:rPr>
        <w:t>toz azaltma işlemleri şu şekildedir:</w:t>
      </w:r>
    </w:p>
    <w:p w14:paraId="1F2EB68D" w14:textId="7EFBB40C" w:rsidR="00DD7861" w:rsidRPr="00D53A2B" w:rsidRDefault="00DD7861" w:rsidP="00602365">
      <w:pPr>
        <w:pStyle w:val="ListeParagraf"/>
        <w:numPr>
          <w:ilvl w:val="0"/>
          <w:numId w:val="135"/>
        </w:numPr>
        <w:tabs>
          <w:tab w:val="clear" w:pos="567"/>
        </w:tabs>
        <w:spacing w:line="240" w:lineRule="auto"/>
        <w:ind w:left="851" w:hanging="426"/>
        <w:rPr>
          <w:rStyle w:val="Gvdemetni3a"/>
          <w:color w:val="000000"/>
          <w:sz w:val="24"/>
          <w:szCs w:val="24"/>
        </w:rPr>
      </w:pPr>
      <w:r w:rsidRPr="00D53A2B">
        <w:rPr>
          <w:rStyle w:val="Gvdemetni3a"/>
          <w:color w:val="000000"/>
          <w:sz w:val="24"/>
          <w:szCs w:val="24"/>
        </w:rPr>
        <w:t>yeni ve mevcut tesisler için kuru toz giderme (örn. elektrostatik çökeltici)</w:t>
      </w:r>
    </w:p>
    <w:p w14:paraId="46B3F9B9" w14:textId="7312CFB8" w:rsidR="00DD7861" w:rsidRPr="00D53A2B" w:rsidRDefault="00DD7861" w:rsidP="00602365">
      <w:pPr>
        <w:pStyle w:val="ListeParagraf"/>
        <w:numPr>
          <w:ilvl w:val="0"/>
          <w:numId w:val="135"/>
        </w:numPr>
        <w:tabs>
          <w:tab w:val="clear" w:pos="567"/>
        </w:tabs>
        <w:spacing w:line="240" w:lineRule="auto"/>
        <w:ind w:left="851" w:hanging="426"/>
        <w:rPr>
          <w:rStyle w:val="Gvdemetni3a"/>
          <w:color w:val="000000"/>
          <w:sz w:val="24"/>
          <w:szCs w:val="24"/>
        </w:rPr>
      </w:pPr>
      <w:r w:rsidRPr="00D53A2B">
        <w:rPr>
          <w:rStyle w:val="Gvdemetni3a"/>
          <w:color w:val="000000"/>
          <w:sz w:val="24"/>
          <w:szCs w:val="24"/>
        </w:rPr>
        <w:t>mevcut tesisler için ıslak toz giderme (örneğin ıslak elektrostatik çökeltici veya yıkayıcı).</w:t>
      </w:r>
    </w:p>
    <w:p w14:paraId="49E5C43B" w14:textId="77777777" w:rsidR="00C57037" w:rsidRPr="00D53A2B" w:rsidRDefault="00C57037" w:rsidP="00A202FD">
      <w:pPr>
        <w:jc w:val="both"/>
        <w:rPr>
          <w:rStyle w:val="Gvdemetni3a"/>
          <w:spacing w:val="2"/>
          <w:position w:val="-1"/>
          <w:lang w:val="en-US" w:eastAsia="en-US"/>
        </w:rPr>
      </w:pPr>
    </w:p>
    <w:p w14:paraId="0F7E8767" w14:textId="380E8D45" w:rsidR="00C57037" w:rsidRPr="00D53A2B" w:rsidRDefault="008E43BC" w:rsidP="00A202FD">
      <w:pPr>
        <w:jc w:val="both"/>
        <w:rPr>
          <w:rStyle w:val="Gvdemetni3a"/>
        </w:rPr>
      </w:pPr>
      <w:r w:rsidRPr="00D53A2B">
        <w:rPr>
          <w:rStyle w:val="Gvdemetni3a"/>
        </w:rPr>
        <w:t xml:space="preserve">BOF gazının tamponlanmasından sonra </w:t>
      </w:r>
      <w:r w:rsidR="00651500" w:rsidRPr="00D53A2B">
        <w:rPr>
          <w:rStyle w:val="Gvdemetni3a"/>
        </w:rPr>
        <w:t>MET</w:t>
      </w:r>
      <w:r w:rsidRPr="00D53A2B">
        <w:rPr>
          <w:rStyle w:val="Gvdemetni3a"/>
        </w:rPr>
        <w:t>ile ilişkili kalan toz konsantrasyonları şunlardır:</w:t>
      </w:r>
    </w:p>
    <w:p w14:paraId="4E69A01A" w14:textId="77777777" w:rsidR="00BD711B" w:rsidRPr="00D53A2B" w:rsidRDefault="00BD711B" w:rsidP="00602365">
      <w:pPr>
        <w:pStyle w:val="Gvdemetni1"/>
        <w:numPr>
          <w:ilvl w:val="0"/>
          <w:numId w:val="136"/>
        </w:numPr>
        <w:shd w:val="clear" w:color="auto" w:fill="auto"/>
        <w:spacing w:after="0" w:line="240" w:lineRule="auto"/>
        <w:ind w:left="714" w:hanging="288"/>
        <w:rPr>
          <w:sz w:val="24"/>
          <w:szCs w:val="24"/>
        </w:rPr>
      </w:pPr>
      <w:r w:rsidRPr="00D53A2B">
        <w:rPr>
          <w:rStyle w:val="Gvdemetni3a"/>
          <w:color w:val="000000"/>
          <w:sz w:val="24"/>
          <w:szCs w:val="24"/>
        </w:rPr>
        <w:t>MET III. i için 10 - 30 mg/Nm</w:t>
      </w:r>
      <w:r w:rsidRPr="00D53A2B">
        <w:rPr>
          <w:rStyle w:val="Gvdemetni3a"/>
          <w:color w:val="000000"/>
          <w:sz w:val="24"/>
          <w:szCs w:val="24"/>
          <w:vertAlign w:val="superscript"/>
        </w:rPr>
        <w:t>3</w:t>
      </w:r>
    </w:p>
    <w:p w14:paraId="452FD8EA" w14:textId="77777777" w:rsidR="00BD711B" w:rsidRPr="00D53A2B" w:rsidRDefault="00BD711B" w:rsidP="00602365">
      <w:pPr>
        <w:pStyle w:val="Gvdemetni1"/>
        <w:numPr>
          <w:ilvl w:val="0"/>
          <w:numId w:val="136"/>
        </w:numPr>
        <w:shd w:val="clear" w:color="auto" w:fill="auto"/>
        <w:spacing w:after="0" w:line="240" w:lineRule="auto"/>
        <w:ind w:left="714" w:hanging="288"/>
        <w:rPr>
          <w:rStyle w:val="Gvdemetni3a"/>
          <w:sz w:val="24"/>
          <w:szCs w:val="24"/>
        </w:rPr>
      </w:pPr>
      <w:r w:rsidRPr="00D53A2B">
        <w:rPr>
          <w:rStyle w:val="Gvdemetni3a"/>
          <w:color w:val="000000"/>
          <w:sz w:val="24"/>
          <w:szCs w:val="24"/>
        </w:rPr>
        <w:t>MET III. ii için &lt;50 mg/Nm</w:t>
      </w:r>
      <w:r w:rsidRPr="00D53A2B">
        <w:rPr>
          <w:rStyle w:val="Gvdemetni3a"/>
          <w:color w:val="000000"/>
          <w:sz w:val="24"/>
          <w:szCs w:val="24"/>
          <w:vertAlign w:val="superscript"/>
        </w:rPr>
        <w:t>3</w:t>
      </w:r>
    </w:p>
    <w:p w14:paraId="712B3CB1" w14:textId="77777777" w:rsidR="00C57037" w:rsidRPr="00D53A2B" w:rsidRDefault="00C57037" w:rsidP="00A202FD">
      <w:pPr>
        <w:pStyle w:val="ListeParagraf"/>
        <w:numPr>
          <w:ilvl w:val="0"/>
          <w:numId w:val="0"/>
        </w:numPr>
        <w:ind w:left="720"/>
        <w:rPr>
          <w:rStyle w:val="Gvdemetni3a"/>
          <w:color w:val="000000"/>
          <w:sz w:val="24"/>
          <w:szCs w:val="24"/>
        </w:rPr>
      </w:pPr>
    </w:p>
    <w:p w14:paraId="61308A16" w14:textId="5B0D5B1C" w:rsidR="00C57037" w:rsidRPr="00D53A2B" w:rsidRDefault="00BD711B" w:rsidP="00A202FD">
      <w:pPr>
        <w:pStyle w:val="MET"/>
        <w:rPr>
          <w:rStyle w:val="Gvdemetni3a"/>
          <w:color w:val="000000"/>
          <w:szCs w:val="24"/>
        </w:rPr>
      </w:pPr>
      <w:r w:rsidRPr="00D53A2B">
        <w:rPr>
          <w:rStyle w:val="Gvdemetni3a"/>
          <w:szCs w:val="24"/>
        </w:rPr>
        <w:t xml:space="preserve">MET 76: </w:t>
      </w:r>
      <w:r w:rsidRPr="00D53A2B">
        <w:rPr>
          <w:rStyle w:val="Gvdemetni3a"/>
          <w:b w:val="0"/>
          <w:bCs/>
          <w:szCs w:val="24"/>
        </w:rPr>
        <w:t>Tam yanma durumunda oksijen üfleme sırasında bazik oksijen fırını (BOF) gazı geri kazanımı için, aşağıdaki tekniklerden birini kullanarak toz emisyonları azalt</w:t>
      </w:r>
      <w:r w:rsidR="001A71EF" w:rsidRPr="00D53A2B">
        <w:rPr>
          <w:rStyle w:val="Gvdemetni3a"/>
          <w:b w:val="0"/>
          <w:bCs/>
          <w:szCs w:val="24"/>
        </w:rPr>
        <w:t>ılı</w:t>
      </w:r>
      <w:r w:rsidRPr="00D53A2B">
        <w:rPr>
          <w:rStyle w:val="Gvdemetni3a"/>
          <w:b w:val="0"/>
          <w:bCs/>
          <w:szCs w:val="24"/>
        </w:rPr>
        <w:t>r:</w:t>
      </w:r>
    </w:p>
    <w:p w14:paraId="3C8F0FFF" w14:textId="77777777" w:rsidR="00BD711B" w:rsidRPr="00D53A2B" w:rsidRDefault="00BD711B" w:rsidP="00602365">
      <w:pPr>
        <w:pStyle w:val="ListeParagraf"/>
        <w:numPr>
          <w:ilvl w:val="0"/>
          <w:numId w:val="137"/>
        </w:numPr>
        <w:spacing w:line="240" w:lineRule="auto"/>
        <w:ind w:left="720"/>
        <w:rPr>
          <w:rStyle w:val="Gvdemetni3a"/>
          <w:sz w:val="24"/>
          <w:szCs w:val="24"/>
        </w:rPr>
      </w:pPr>
      <w:r w:rsidRPr="00D53A2B">
        <w:rPr>
          <w:rStyle w:val="Gvdemetni3a"/>
          <w:sz w:val="24"/>
          <w:szCs w:val="24"/>
        </w:rPr>
        <w:t>yeni ve mevcut tesisler için kuru toz giderme (örn. ESP veya torba filtre)</w:t>
      </w:r>
    </w:p>
    <w:p w14:paraId="758B6E3D" w14:textId="7095C40D" w:rsidR="00C57037" w:rsidRPr="00D53A2B" w:rsidRDefault="00BD711B" w:rsidP="00602365">
      <w:pPr>
        <w:pStyle w:val="ListeParagraf"/>
        <w:numPr>
          <w:ilvl w:val="0"/>
          <w:numId w:val="137"/>
        </w:numPr>
        <w:spacing w:line="240" w:lineRule="auto"/>
        <w:ind w:left="720"/>
        <w:rPr>
          <w:rStyle w:val="Gvdemetni3a"/>
          <w:sz w:val="24"/>
          <w:szCs w:val="24"/>
        </w:rPr>
      </w:pPr>
      <w:r w:rsidRPr="00D53A2B">
        <w:rPr>
          <w:rStyle w:val="Gvdemetni3a"/>
          <w:sz w:val="24"/>
          <w:szCs w:val="24"/>
        </w:rPr>
        <w:t>mevcut tesisler için ıslak toz giderme (örn. ıslak ESP veya yıkayıcı).</w:t>
      </w:r>
    </w:p>
    <w:p w14:paraId="08021567" w14:textId="77777777" w:rsidR="00C57037" w:rsidRPr="00D53A2B" w:rsidRDefault="00C57037" w:rsidP="00A202FD">
      <w:pPr>
        <w:jc w:val="both"/>
        <w:rPr>
          <w:rStyle w:val="Gvdemetni3a"/>
          <w:spacing w:val="2"/>
          <w:position w:val="-1"/>
          <w:lang w:val="en-US" w:eastAsia="en-US"/>
        </w:rPr>
      </w:pPr>
    </w:p>
    <w:p w14:paraId="1D49BFE1" w14:textId="07379B60" w:rsidR="00C57037" w:rsidRPr="00D53A2B" w:rsidRDefault="00BD711B" w:rsidP="00A202FD">
      <w:pPr>
        <w:jc w:val="both"/>
        <w:rPr>
          <w:rStyle w:val="Gvdemetni3a"/>
        </w:rPr>
      </w:pPr>
      <w:r w:rsidRPr="00D53A2B">
        <w:rPr>
          <w:rStyle w:val="Gvdemetni3a"/>
        </w:rPr>
        <w:t>Toz için MET ile ilişkili emisyon seviyeleri</w:t>
      </w:r>
      <w:r w:rsidR="00F340E7">
        <w:rPr>
          <w:rStyle w:val="Gvdemetni3a"/>
        </w:rPr>
        <w:t>numune alma</w:t>
      </w:r>
      <w:r w:rsidRPr="00D53A2B">
        <w:rPr>
          <w:rStyle w:val="Gvdemetni3a"/>
        </w:rPr>
        <w:t xml:space="preserve"> periyodu boyunca (aralıklı ölçüm, en az yarım saat boyunca anlık numuneler) ortalama olarak belirlenir:</w:t>
      </w:r>
    </w:p>
    <w:p w14:paraId="6AE6D7E8" w14:textId="7593B582" w:rsidR="00BD711B" w:rsidRPr="00D53A2B" w:rsidRDefault="00BD711B" w:rsidP="00602365">
      <w:pPr>
        <w:pStyle w:val="ListeParagraf"/>
        <w:numPr>
          <w:ilvl w:val="0"/>
          <w:numId w:val="138"/>
        </w:numPr>
        <w:tabs>
          <w:tab w:val="clear" w:pos="567"/>
        </w:tabs>
        <w:spacing w:line="240" w:lineRule="auto"/>
        <w:ind w:left="709" w:hanging="283"/>
        <w:rPr>
          <w:rStyle w:val="Gvdemetni3a"/>
          <w:color w:val="000000"/>
          <w:sz w:val="24"/>
          <w:szCs w:val="24"/>
        </w:rPr>
      </w:pPr>
      <w:r w:rsidRPr="00D53A2B">
        <w:rPr>
          <w:rStyle w:val="Gvdemetni3a"/>
          <w:color w:val="000000"/>
          <w:sz w:val="24"/>
          <w:szCs w:val="24"/>
        </w:rPr>
        <w:t>MET I için 10</w:t>
      </w:r>
      <w:r w:rsidR="001A71EF" w:rsidRPr="00D53A2B">
        <w:rPr>
          <w:rStyle w:val="Gvdemetni3a"/>
          <w:color w:val="000000"/>
          <w:sz w:val="24"/>
          <w:szCs w:val="24"/>
        </w:rPr>
        <w:t>-</w:t>
      </w:r>
      <w:r w:rsidRPr="00D53A2B">
        <w:rPr>
          <w:rStyle w:val="Gvdemetni3a"/>
          <w:color w:val="000000"/>
          <w:sz w:val="24"/>
          <w:szCs w:val="24"/>
        </w:rPr>
        <w:t>30 mg/Nm</w:t>
      </w:r>
      <w:r w:rsidRPr="00D53A2B">
        <w:rPr>
          <w:rStyle w:val="Gvdemetni3a"/>
          <w:color w:val="000000"/>
          <w:sz w:val="24"/>
          <w:szCs w:val="24"/>
          <w:vertAlign w:val="superscript"/>
        </w:rPr>
        <w:t>3</w:t>
      </w:r>
    </w:p>
    <w:p w14:paraId="52FFABA8" w14:textId="113BDF06" w:rsidR="00C57037" w:rsidRPr="00D53A2B" w:rsidRDefault="00BD711B" w:rsidP="00602365">
      <w:pPr>
        <w:pStyle w:val="ListeParagraf"/>
        <w:numPr>
          <w:ilvl w:val="0"/>
          <w:numId w:val="138"/>
        </w:numPr>
        <w:tabs>
          <w:tab w:val="clear" w:pos="567"/>
        </w:tabs>
        <w:spacing w:line="240" w:lineRule="auto"/>
        <w:ind w:left="709" w:hanging="283"/>
        <w:rPr>
          <w:rStyle w:val="Gvdemetni3a"/>
          <w:color w:val="000000"/>
          <w:sz w:val="24"/>
          <w:szCs w:val="24"/>
        </w:rPr>
      </w:pPr>
      <w:r w:rsidRPr="00D53A2B">
        <w:rPr>
          <w:rStyle w:val="Gvdemetni3a"/>
          <w:color w:val="000000"/>
          <w:sz w:val="24"/>
          <w:szCs w:val="24"/>
        </w:rPr>
        <w:t>MET II için &lt;50 mg/Nm</w:t>
      </w:r>
      <w:r w:rsidRPr="00D53A2B">
        <w:rPr>
          <w:rStyle w:val="Gvdemetni3a"/>
          <w:color w:val="000000"/>
          <w:sz w:val="24"/>
          <w:szCs w:val="24"/>
          <w:vertAlign w:val="superscript"/>
        </w:rPr>
        <w:t>3</w:t>
      </w:r>
      <w:r w:rsidRPr="00D53A2B">
        <w:rPr>
          <w:rStyle w:val="Gvdemetni3a"/>
          <w:color w:val="000000"/>
          <w:sz w:val="24"/>
          <w:szCs w:val="24"/>
        </w:rPr>
        <w:t>.</w:t>
      </w:r>
    </w:p>
    <w:p w14:paraId="2026336F" w14:textId="77777777" w:rsidR="00C57037" w:rsidRPr="00D53A2B" w:rsidRDefault="00C57037" w:rsidP="00A202FD">
      <w:pPr>
        <w:jc w:val="both"/>
        <w:rPr>
          <w:rStyle w:val="Gvdemetni3a"/>
          <w:spacing w:val="2"/>
          <w:position w:val="-1"/>
          <w:lang w:val="en-US" w:eastAsia="en-US"/>
        </w:rPr>
      </w:pPr>
    </w:p>
    <w:p w14:paraId="4F21CA1E" w14:textId="7D66F1A0" w:rsidR="00C57037" w:rsidRPr="00D53A2B" w:rsidRDefault="00BD711B" w:rsidP="00A202FD">
      <w:pPr>
        <w:pStyle w:val="MET"/>
        <w:rPr>
          <w:rStyle w:val="Gvdemetni3a"/>
          <w:b w:val="0"/>
          <w:bCs/>
          <w:szCs w:val="24"/>
        </w:rPr>
      </w:pPr>
      <w:r w:rsidRPr="00D53A2B">
        <w:rPr>
          <w:rStyle w:val="Gvdemetni3a"/>
          <w:szCs w:val="24"/>
        </w:rPr>
        <w:t xml:space="preserve">MET 77: </w:t>
      </w:r>
      <w:r w:rsidRPr="00D53A2B">
        <w:rPr>
          <w:rStyle w:val="Gvdemetni3a"/>
          <w:b w:val="0"/>
          <w:bCs/>
          <w:szCs w:val="24"/>
        </w:rPr>
        <w:t xml:space="preserve">Aşağıdaki tekniklerden birini veya bunların bir kombinasyonunu kullanarak oksijen </w:t>
      </w:r>
      <w:r w:rsidR="001A71EF" w:rsidRPr="00D53A2B">
        <w:rPr>
          <w:rStyle w:val="Gvdemetni3a"/>
          <w:b w:val="0"/>
          <w:bCs/>
          <w:szCs w:val="24"/>
        </w:rPr>
        <w:t>üfleme</w:t>
      </w:r>
      <w:r w:rsidRPr="00D53A2B">
        <w:rPr>
          <w:rStyle w:val="Gvdemetni3a"/>
          <w:b w:val="0"/>
          <w:bCs/>
          <w:szCs w:val="24"/>
        </w:rPr>
        <w:t xml:space="preserve"> deliğinden kaynaklanan toz emisyonlarını en aza indir</w:t>
      </w:r>
      <w:r w:rsidR="001A71EF" w:rsidRPr="00D53A2B">
        <w:rPr>
          <w:rStyle w:val="Gvdemetni3a"/>
          <w:b w:val="0"/>
          <w:bCs/>
          <w:szCs w:val="24"/>
        </w:rPr>
        <w:t>ilir</w:t>
      </w:r>
      <w:r w:rsidRPr="00D53A2B">
        <w:rPr>
          <w:rStyle w:val="Gvdemetni3a"/>
          <w:b w:val="0"/>
          <w:bCs/>
          <w:szCs w:val="24"/>
        </w:rPr>
        <w:t>.</w:t>
      </w:r>
    </w:p>
    <w:p w14:paraId="7EE7E6FB" w14:textId="1962E09D" w:rsidR="00066478" w:rsidRPr="00D53A2B" w:rsidRDefault="00066478" w:rsidP="00602365">
      <w:pPr>
        <w:pStyle w:val="ListeParagraf"/>
        <w:numPr>
          <w:ilvl w:val="0"/>
          <w:numId w:val="139"/>
        </w:numPr>
        <w:tabs>
          <w:tab w:val="clear" w:pos="567"/>
        </w:tabs>
        <w:spacing w:line="240" w:lineRule="auto"/>
        <w:ind w:left="426" w:hanging="426"/>
        <w:rPr>
          <w:rStyle w:val="Gvdemetni3a"/>
          <w:sz w:val="24"/>
          <w:szCs w:val="24"/>
        </w:rPr>
      </w:pPr>
      <w:r w:rsidRPr="00D53A2B">
        <w:rPr>
          <w:rStyle w:val="Gvdemetni3a"/>
          <w:sz w:val="24"/>
          <w:szCs w:val="24"/>
        </w:rPr>
        <w:t>oksijen üfleme sırasında üfleme borusu deliğini kapatmak</w:t>
      </w:r>
    </w:p>
    <w:p w14:paraId="219534C1" w14:textId="64F31041" w:rsidR="00066478" w:rsidRPr="00D53A2B" w:rsidRDefault="00066478" w:rsidP="00602365">
      <w:pPr>
        <w:pStyle w:val="ListeParagraf"/>
        <w:numPr>
          <w:ilvl w:val="0"/>
          <w:numId w:val="139"/>
        </w:numPr>
        <w:tabs>
          <w:tab w:val="clear" w:pos="567"/>
        </w:tabs>
        <w:spacing w:line="240" w:lineRule="auto"/>
        <w:ind w:left="426" w:hanging="426"/>
        <w:rPr>
          <w:rStyle w:val="Gvdemetni3a"/>
          <w:sz w:val="24"/>
          <w:szCs w:val="24"/>
        </w:rPr>
      </w:pPr>
      <w:r w:rsidRPr="00D53A2B">
        <w:rPr>
          <w:rStyle w:val="Gvdemetni3a"/>
          <w:sz w:val="24"/>
          <w:szCs w:val="24"/>
        </w:rPr>
        <w:t>tozu dağıtmak için üfleme borusu deliğine inert gaz veya buhar enjeksiyonu</w:t>
      </w:r>
    </w:p>
    <w:p w14:paraId="18FF2C20" w14:textId="73140263" w:rsidR="00BD711B" w:rsidRPr="00D53A2B" w:rsidRDefault="00066478" w:rsidP="00602365">
      <w:pPr>
        <w:pStyle w:val="ListeParagraf"/>
        <w:numPr>
          <w:ilvl w:val="0"/>
          <w:numId w:val="139"/>
        </w:numPr>
        <w:tabs>
          <w:tab w:val="clear" w:pos="567"/>
        </w:tabs>
        <w:spacing w:line="240" w:lineRule="auto"/>
        <w:ind w:left="426" w:hanging="426"/>
        <w:rPr>
          <w:rStyle w:val="Gvdemetni3a"/>
          <w:sz w:val="24"/>
          <w:szCs w:val="24"/>
        </w:rPr>
      </w:pPr>
      <w:r w:rsidRPr="00D53A2B">
        <w:rPr>
          <w:rStyle w:val="Gvdemetni3a"/>
          <w:sz w:val="24"/>
          <w:szCs w:val="24"/>
        </w:rPr>
        <w:t>üfleme borusu temizleme cihazlarıyla birlikte diğer alternatif sızdırmazlık tasarımlarının kullanılması.</w:t>
      </w:r>
    </w:p>
    <w:p w14:paraId="6115A660" w14:textId="77777777" w:rsidR="00BD711B" w:rsidRPr="00D53A2B" w:rsidRDefault="00BD711B" w:rsidP="00A202FD">
      <w:pPr>
        <w:jc w:val="both"/>
        <w:rPr>
          <w:rStyle w:val="Gvdemetni3a"/>
        </w:rPr>
      </w:pPr>
    </w:p>
    <w:p w14:paraId="0FAD52B5" w14:textId="73C79230" w:rsidR="00BD711B" w:rsidRPr="00D53A2B" w:rsidRDefault="00066478" w:rsidP="00A202FD">
      <w:pPr>
        <w:pStyle w:val="MET"/>
        <w:rPr>
          <w:rStyle w:val="Gvdemetni3a"/>
          <w:szCs w:val="24"/>
        </w:rPr>
      </w:pPr>
      <w:r w:rsidRPr="00D53A2B">
        <w:rPr>
          <w:rStyle w:val="Gvdemetni3a"/>
          <w:szCs w:val="24"/>
        </w:rPr>
        <w:t xml:space="preserve">MET 78: </w:t>
      </w:r>
      <w:r w:rsidRPr="00D53A2B">
        <w:rPr>
          <w:rStyle w:val="Gvdemetni3a"/>
          <w:b w:val="0"/>
          <w:bCs/>
          <w:szCs w:val="24"/>
        </w:rPr>
        <w:t>Aşağıdaki proseslerden kaynaklanan emisyonlar dahil olmak üzere ikincil toz giderme için;</w:t>
      </w:r>
    </w:p>
    <w:p w14:paraId="53707E43" w14:textId="7CDD0999" w:rsidR="00BD711B" w:rsidRPr="00F35B82" w:rsidRDefault="00066478" w:rsidP="00F35B82">
      <w:pPr>
        <w:pStyle w:val="ListeParagraf"/>
        <w:numPr>
          <w:ilvl w:val="0"/>
          <w:numId w:val="141"/>
        </w:numPr>
        <w:tabs>
          <w:tab w:val="clear" w:pos="567"/>
        </w:tabs>
        <w:spacing w:line="240" w:lineRule="auto"/>
        <w:ind w:left="567" w:hanging="357"/>
        <w:rPr>
          <w:rStyle w:val="Gvdemetni3a"/>
          <w:sz w:val="24"/>
          <w:szCs w:val="24"/>
        </w:rPr>
      </w:pPr>
      <w:r w:rsidRPr="00F35B82">
        <w:rPr>
          <w:rStyle w:val="Gvdemetni3a"/>
          <w:sz w:val="24"/>
          <w:szCs w:val="24"/>
        </w:rPr>
        <w:t xml:space="preserve">Sıcak metalin torpido potasından (veya sıcak metal karıştırıcısından) şarj </w:t>
      </w:r>
      <w:r w:rsidR="00C3243D" w:rsidRPr="00F35B82">
        <w:rPr>
          <w:rStyle w:val="Gvdemetni3a"/>
          <w:sz w:val="24"/>
          <w:szCs w:val="24"/>
        </w:rPr>
        <w:t>potasına</w:t>
      </w:r>
      <w:r w:rsidRPr="00F35B82">
        <w:rPr>
          <w:rStyle w:val="Gvdemetni3a"/>
          <w:sz w:val="24"/>
          <w:szCs w:val="24"/>
        </w:rPr>
        <w:t xml:space="preserve"> aktarılması</w:t>
      </w:r>
    </w:p>
    <w:p w14:paraId="3DF2EB0B" w14:textId="361834C4" w:rsidR="00C3243D" w:rsidRPr="00F35B82" w:rsidRDefault="00C3243D" w:rsidP="00F35B82">
      <w:pPr>
        <w:pStyle w:val="ListeParagraf"/>
        <w:numPr>
          <w:ilvl w:val="0"/>
          <w:numId w:val="141"/>
        </w:numPr>
        <w:tabs>
          <w:tab w:val="clear" w:pos="567"/>
        </w:tabs>
        <w:spacing w:line="240" w:lineRule="auto"/>
        <w:ind w:left="567" w:hanging="357"/>
        <w:rPr>
          <w:rStyle w:val="Gvdemetni3a"/>
          <w:sz w:val="24"/>
          <w:szCs w:val="24"/>
        </w:rPr>
      </w:pPr>
      <w:r w:rsidRPr="00F35B82">
        <w:rPr>
          <w:rStyle w:val="Gvdemetni3a"/>
          <w:sz w:val="24"/>
          <w:szCs w:val="24"/>
        </w:rPr>
        <w:t>Sıcak metal ön işlemi (yani kapların ön ısıtılması, kükürt giderme, fosfor giderme, cüruf giderme, sıcak metal transfer işlemleri ve tartım)</w:t>
      </w:r>
    </w:p>
    <w:p w14:paraId="61C71A96" w14:textId="7C334F11" w:rsidR="00C3243D" w:rsidRPr="00F35B82" w:rsidRDefault="00C3243D" w:rsidP="00F35B82">
      <w:pPr>
        <w:pStyle w:val="ListeParagraf"/>
        <w:numPr>
          <w:ilvl w:val="0"/>
          <w:numId w:val="141"/>
        </w:numPr>
        <w:tabs>
          <w:tab w:val="clear" w:pos="567"/>
        </w:tabs>
        <w:spacing w:line="240" w:lineRule="auto"/>
        <w:ind w:left="567" w:hanging="357"/>
        <w:rPr>
          <w:rStyle w:val="Gvdemetni3a"/>
          <w:sz w:val="24"/>
          <w:szCs w:val="24"/>
        </w:rPr>
      </w:pPr>
      <w:r w:rsidRPr="00F35B82">
        <w:rPr>
          <w:rStyle w:val="Gvdemetni3a"/>
          <w:sz w:val="24"/>
          <w:szCs w:val="24"/>
        </w:rPr>
        <w:t>BOF ile ilgili işlemler, örneğin kapların ön ısıtılması, oksijen üfleme sırasında boşaltma, sıcak metal ve hurda yükleme, BOF</w:t>
      </w:r>
      <w:r w:rsidR="00E56504" w:rsidRPr="00F35B82">
        <w:rPr>
          <w:rStyle w:val="Gvdemetni3a"/>
          <w:sz w:val="24"/>
          <w:szCs w:val="24"/>
        </w:rPr>
        <w:t>’</w:t>
      </w:r>
      <w:r w:rsidRPr="00F35B82">
        <w:rPr>
          <w:rStyle w:val="Gvdemetni3a"/>
          <w:sz w:val="24"/>
          <w:szCs w:val="24"/>
        </w:rPr>
        <w:t>tan sıvı çelik ve cürufun alınması ve</w:t>
      </w:r>
    </w:p>
    <w:p w14:paraId="452AFCA3" w14:textId="6E51863D" w:rsidR="00C3243D" w:rsidRPr="00F35B82" w:rsidRDefault="00C3243D" w:rsidP="00F35B82">
      <w:pPr>
        <w:pStyle w:val="ListeParagraf"/>
        <w:numPr>
          <w:ilvl w:val="0"/>
          <w:numId w:val="141"/>
        </w:numPr>
        <w:tabs>
          <w:tab w:val="clear" w:pos="567"/>
        </w:tabs>
        <w:spacing w:line="240" w:lineRule="auto"/>
        <w:ind w:left="567" w:hanging="357"/>
        <w:rPr>
          <w:rStyle w:val="Gvdemetni3a"/>
          <w:sz w:val="24"/>
          <w:szCs w:val="24"/>
        </w:rPr>
      </w:pPr>
      <w:r w:rsidRPr="00F35B82">
        <w:rPr>
          <w:rStyle w:val="Gvdemetni3a"/>
          <w:sz w:val="24"/>
          <w:szCs w:val="24"/>
        </w:rPr>
        <w:t>ikincil metalurji ve sürekli döküm,</w:t>
      </w:r>
    </w:p>
    <w:p w14:paraId="4D2FB655" w14:textId="4BB4126B" w:rsidR="00C57037" w:rsidRPr="00F35B82" w:rsidRDefault="00C3243D" w:rsidP="00F35B82">
      <w:pPr>
        <w:pStyle w:val="ListeParagraf"/>
        <w:numPr>
          <w:ilvl w:val="0"/>
          <w:numId w:val="141"/>
        </w:numPr>
        <w:tabs>
          <w:tab w:val="clear" w:pos="567"/>
        </w:tabs>
        <w:spacing w:line="240" w:lineRule="auto"/>
        <w:ind w:left="567" w:hanging="357"/>
        <w:rPr>
          <w:rStyle w:val="Gvdemetni3a"/>
          <w:sz w:val="24"/>
          <w:szCs w:val="24"/>
        </w:rPr>
      </w:pPr>
      <w:r w:rsidRPr="00F35B82">
        <w:rPr>
          <w:rStyle w:val="Gvdemetni3a"/>
          <w:sz w:val="24"/>
          <w:szCs w:val="24"/>
        </w:rPr>
        <w:t>toz emisyonlarını, dağınık veya kaçak emisyonları önleme veya kontrol etmeye yönelik genel teknikler ve verimli tahliye ve ardından torba filtre veya ESP vasıtasıyla atık gaz temizleme özelliğine sahip uygun kapaklar ve ekipmanlar kullanarak, sürece entegre teknikler yoluyla en aza indir</w:t>
      </w:r>
      <w:r w:rsidR="001A71EF" w:rsidRPr="00F35B82">
        <w:rPr>
          <w:rStyle w:val="Gvdemetni3a"/>
          <w:sz w:val="24"/>
          <w:szCs w:val="24"/>
        </w:rPr>
        <w:t>ilir</w:t>
      </w:r>
      <w:r w:rsidRPr="00F35B82">
        <w:rPr>
          <w:rStyle w:val="Gvdemetni3a"/>
          <w:sz w:val="24"/>
          <w:szCs w:val="24"/>
        </w:rPr>
        <w:t>.</w:t>
      </w:r>
    </w:p>
    <w:p w14:paraId="5D7A894A" w14:textId="77777777" w:rsidR="00C57037" w:rsidRPr="00F35B82" w:rsidRDefault="00C57037" w:rsidP="00F35B82">
      <w:pPr>
        <w:pStyle w:val="ListeParagraf"/>
        <w:numPr>
          <w:ilvl w:val="0"/>
          <w:numId w:val="0"/>
        </w:numPr>
        <w:tabs>
          <w:tab w:val="clear" w:pos="567"/>
        </w:tabs>
        <w:spacing w:line="240" w:lineRule="auto"/>
        <w:ind w:left="567"/>
        <w:rPr>
          <w:rStyle w:val="Gvdemetni3a"/>
          <w:sz w:val="24"/>
          <w:szCs w:val="24"/>
        </w:rPr>
      </w:pPr>
    </w:p>
    <w:p w14:paraId="1778A1FB" w14:textId="165E8FD1" w:rsidR="00C57037" w:rsidRPr="00D53A2B" w:rsidRDefault="00C3243D" w:rsidP="00A202FD">
      <w:pPr>
        <w:jc w:val="both"/>
        <w:rPr>
          <w:rStyle w:val="Gvdemetni3a"/>
        </w:rPr>
      </w:pPr>
      <w:r w:rsidRPr="00D53A2B">
        <w:rPr>
          <w:rStyle w:val="Gvdemetni3a"/>
        </w:rPr>
        <w:t>MET ile ilişkili genel ortalama toz toplama verimliliği &gt;%90</w:t>
      </w:r>
      <w:r w:rsidR="00E56504" w:rsidRPr="00D53A2B">
        <w:rPr>
          <w:rStyle w:val="Gvdemetni3a"/>
        </w:rPr>
        <w:t>’</w:t>
      </w:r>
      <w:r w:rsidRPr="00D53A2B">
        <w:rPr>
          <w:rStyle w:val="Gvdemetni3a"/>
        </w:rPr>
        <w:t>dır</w:t>
      </w:r>
    </w:p>
    <w:p w14:paraId="4312CC3A" w14:textId="77777777" w:rsidR="00066478" w:rsidRPr="00D53A2B" w:rsidRDefault="00066478" w:rsidP="00A202FD">
      <w:pPr>
        <w:jc w:val="both"/>
        <w:rPr>
          <w:rStyle w:val="Gvdemetni3a"/>
        </w:rPr>
      </w:pPr>
    </w:p>
    <w:p w14:paraId="615BDBA5" w14:textId="15446699" w:rsidR="00066478" w:rsidRPr="00D53A2B" w:rsidRDefault="00C3243D" w:rsidP="00A202FD">
      <w:pPr>
        <w:jc w:val="both"/>
        <w:rPr>
          <w:rStyle w:val="Gvdemetni3a"/>
        </w:rPr>
      </w:pPr>
      <w:r w:rsidRPr="00D53A2B">
        <w:rPr>
          <w:rStyle w:val="Gvdemetni3a"/>
        </w:rPr>
        <w:t>Tozdan arındırılmış tüm atık gazlar için günlük ortalama değer olarak MET ile ilişkili toz emisyon seviyesi, torba filtrelerde &lt;1–15 mg/Nm</w:t>
      </w:r>
      <w:r w:rsidRPr="00D53A2B">
        <w:rPr>
          <w:rStyle w:val="Gvdemetni3a"/>
          <w:vertAlign w:val="superscript"/>
        </w:rPr>
        <w:t>3</w:t>
      </w:r>
      <w:r w:rsidRPr="00D53A2B">
        <w:rPr>
          <w:rStyle w:val="Gvdemetni3a"/>
        </w:rPr>
        <w:t>, elektrostatik çöktürücülerde ise &lt;20 mg/Nm</w:t>
      </w:r>
      <w:r w:rsidRPr="00D53A2B">
        <w:rPr>
          <w:rStyle w:val="Gvdemetni3a"/>
          <w:vertAlign w:val="superscript"/>
        </w:rPr>
        <w:t>3</w:t>
      </w:r>
      <w:r w:rsidR="00E56504" w:rsidRPr="00D53A2B">
        <w:rPr>
          <w:rStyle w:val="Gvdemetni3a"/>
        </w:rPr>
        <w:t>’</w:t>
      </w:r>
      <w:r w:rsidRPr="00D53A2B">
        <w:rPr>
          <w:rStyle w:val="Gvdemetni3a"/>
        </w:rPr>
        <w:t>tür.</w:t>
      </w:r>
    </w:p>
    <w:p w14:paraId="34A48AFB" w14:textId="77777777" w:rsidR="00066478" w:rsidRPr="00D53A2B" w:rsidRDefault="00066478" w:rsidP="00A202FD">
      <w:pPr>
        <w:jc w:val="both"/>
        <w:rPr>
          <w:rStyle w:val="Gvdemetni3a"/>
        </w:rPr>
      </w:pPr>
    </w:p>
    <w:p w14:paraId="2E4A745C" w14:textId="10835A9C" w:rsidR="00C3243D" w:rsidRPr="00D53A2B" w:rsidRDefault="00C3243D" w:rsidP="00A202FD">
      <w:pPr>
        <w:jc w:val="both"/>
        <w:rPr>
          <w:rStyle w:val="Gvdemetni3a"/>
        </w:rPr>
      </w:pPr>
      <w:r w:rsidRPr="00D53A2B">
        <w:rPr>
          <w:rStyle w:val="Gvdemetni3a"/>
        </w:rPr>
        <w:t>Sıcak metal ön işleminden ve ikincil metalurjiden kaynaklanan emisyonlar ayrı ayrı işlenirse, toz için MET ile ilişkili emisyon seviyesi, günlük ortalama değer olarak, torba filtreler için &lt;1-10 mg/Nm</w:t>
      </w:r>
      <w:r w:rsidRPr="00D53A2B">
        <w:rPr>
          <w:rStyle w:val="Gvdemetni3a"/>
          <w:vertAlign w:val="superscript"/>
        </w:rPr>
        <w:t>3</w:t>
      </w:r>
      <w:r w:rsidRPr="00D53A2B">
        <w:rPr>
          <w:rStyle w:val="Gvdemetni3a"/>
        </w:rPr>
        <w:t xml:space="preserve"> ve elektrostatik çöktürücüler için &lt;20 mg/Nm</w:t>
      </w:r>
      <w:r w:rsidRPr="00D53A2B">
        <w:rPr>
          <w:rStyle w:val="Gvdemetni3a"/>
          <w:vertAlign w:val="superscript"/>
        </w:rPr>
        <w:t>3</w:t>
      </w:r>
      <w:r w:rsidR="00E56504" w:rsidRPr="00D53A2B">
        <w:rPr>
          <w:rStyle w:val="Gvdemetni3a"/>
        </w:rPr>
        <w:t>’</w:t>
      </w:r>
      <w:r w:rsidRPr="00D53A2B">
        <w:rPr>
          <w:rStyle w:val="Gvdemetni3a"/>
        </w:rPr>
        <w:t>tür.</w:t>
      </w:r>
    </w:p>
    <w:p w14:paraId="4DB84991" w14:textId="77777777" w:rsidR="00C3243D" w:rsidRPr="00D53A2B" w:rsidRDefault="00C3243D" w:rsidP="00A202FD">
      <w:pPr>
        <w:jc w:val="both"/>
        <w:rPr>
          <w:rStyle w:val="Gvdemetni3a"/>
        </w:rPr>
      </w:pPr>
    </w:p>
    <w:p w14:paraId="76A07D45" w14:textId="429F281D" w:rsidR="00C3243D" w:rsidRPr="00D53A2B" w:rsidRDefault="00C3243D" w:rsidP="00A202FD">
      <w:pPr>
        <w:jc w:val="both"/>
        <w:rPr>
          <w:rStyle w:val="Gvdemetni3a"/>
        </w:rPr>
      </w:pPr>
      <w:r w:rsidRPr="00D53A2B">
        <w:rPr>
          <w:rStyle w:val="Gvdemetni3a"/>
          <w:b/>
          <w:bCs/>
        </w:rPr>
        <w:t>Tanım</w:t>
      </w:r>
    </w:p>
    <w:p w14:paraId="4CD82809" w14:textId="78D527A5" w:rsidR="00C3243D" w:rsidRPr="00D53A2B" w:rsidRDefault="00C3243D" w:rsidP="00A202FD">
      <w:pPr>
        <w:jc w:val="both"/>
        <w:rPr>
          <w:rStyle w:val="Gvdemetni3a"/>
        </w:rPr>
      </w:pPr>
      <w:r w:rsidRPr="00D53A2B">
        <w:rPr>
          <w:rStyle w:val="Gvdemetni3a"/>
        </w:rPr>
        <w:t>İlgili BOF prosesi ikincil kaynaklarından yayılan ve kaçak emisyonları önlemeye yönelik genel teknikler şunları içerir:</w:t>
      </w:r>
    </w:p>
    <w:p w14:paraId="5110300E" w14:textId="54B53DBF" w:rsidR="00C3243D" w:rsidRPr="00D53A2B" w:rsidRDefault="00D25162" w:rsidP="00602365">
      <w:pPr>
        <w:pStyle w:val="ListeParagraf"/>
        <w:numPr>
          <w:ilvl w:val="0"/>
          <w:numId w:val="141"/>
        </w:numPr>
        <w:tabs>
          <w:tab w:val="clear" w:pos="567"/>
        </w:tabs>
        <w:spacing w:line="240" w:lineRule="auto"/>
        <w:ind w:left="567" w:hanging="357"/>
        <w:rPr>
          <w:rStyle w:val="Gvdemetni3a"/>
          <w:sz w:val="24"/>
          <w:szCs w:val="24"/>
        </w:rPr>
      </w:pPr>
      <w:r w:rsidRPr="00D53A2B">
        <w:rPr>
          <w:rStyle w:val="Gvdemetni3a"/>
          <w:sz w:val="24"/>
          <w:szCs w:val="24"/>
        </w:rPr>
        <w:t>BOF atölyesindeki her alt işlem için toz giderme cihazlarının bağımsız olarak tutulması ve kullanılması</w:t>
      </w:r>
    </w:p>
    <w:p w14:paraId="4CE4E6C1" w14:textId="77777777" w:rsidR="00771331" w:rsidRPr="00D53A2B" w:rsidRDefault="00771331" w:rsidP="00602365">
      <w:pPr>
        <w:pStyle w:val="ListeParagraf"/>
        <w:numPr>
          <w:ilvl w:val="0"/>
          <w:numId w:val="141"/>
        </w:numPr>
        <w:tabs>
          <w:tab w:val="clear" w:pos="567"/>
        </w:tabs>
        <w:spacing w:line="240" w:lineRule="auto"/>
        <w:ind w:left="567" w:hanging="357"/>
        <w:rPr>
          <w:rStyle w:val="Gvdemetni3a"/>
          <w:sz w:val="24"/>
          <w:szCs w:val="24"/>
        </w:rPr>
      </w:pPr>
      <w:r w:rsidRPr="00D53A2B">
        <w:rPr>
          <w:rStyle w:val="Gvdemetni3a"/>
          <w:sz w:val="24"/>
          <w:szCs w:val="24"/>
        </w:rPr>
        <w:t>hava emisyonlarını önlemek için kükürt giderme tesisinin doğru yönetimi</w:t>
      </w:r>
    </w:p>
    <w:p w14:paraId="5C967B1F" w14:textId="31D04E42" w:rsidR="00771331" w:rsidRPr="00D53A2B" w:rsidRDefault="00771331" w:rsidP="00602365">
      <w:pPr>
        <w:pStyle w:val="ListeParagraf"/>
        <w:numPr>
          <w:ilvl w:val="0"/>
          <w:numId w:val="141"/>
        </w:numPr>
        <w:tabs>
          <w:tab w:val="clear" w:pos="567"/>
        </w:tabs>
        <w:spacing w:line="240" w:lineRule="auto"/>
        <w:ind w:left="567" w:hanging="357"/>
        <w:rPr>
          <w:rStyle w:val="Gvdemetni3a"/>
          <w:sz w:val="24"/>
          <w:szCs w:val="24"/>
        </w:rPr>
      </w:pPr>
      <w:r w:rsidRPr="00D53A2B">
        <w:rPr>
          <w:rStyle w:val="Gvdemetni3a"/>
          <w:sz w:val="24"/>
          <w:szCs w:val="24"/>
        </w:rPr>
        <w:t>kükürt giderme tesisinin tamamen muhafaza edilmesi</w:t>
      </w:r>
    </w:p>
    <w:p w14:paraId="69809787" w14:textId="56B5872F" w:rsidR="00771331" w:rsidRPr="00D53A2B" w:rsidRDefault="00771331" w:rsidP="00602365">
      <w:pPr>
        <w:pStyle w:val="ListeParagraf"/>
        <w:numPr>
          <w:ilvl w:val="0"/>
          <w:numId w:val="141"/>
        </w:numPr>
        <w:tabs>
          <w:tab w:val="clear" w:pos="567"/>
        </w:tabs>
        <w:spacing w:line="240" w:lineRule="auto"/>
        <w:ind w:left="567" w:hanging="357"/>
        <w:rPr>
          <w:rStyle w:val="Gvdemetni3a"/>
          <w:sz w:val="24"/>
          <w:szCs w:val="24"/>
        </w:rPr>
      </w:pPr>
      <w:r w:rsidRPr="00D53A2B">
        <w:rPr>
          <w:rStyle w:val="Gvdemetni3a"/>
          <w:sz w:val="24"/>
          <w:szCs w:val="24"/>
        </w:rPr>
        <w:t>Sıcak metal potası kullanılmadığı zamanlarda kapağının kapalı tutulması ve sıcak potaların düzenli olarak temizlenmesi</w:t>
      </w:r>
      <w:r w:rsidR="006F0551" w:rsidRPr="00D53A2B">
        <w:rPr>
          <w:rStyle w:val="Gvdemetni3a"/>
          <w:sz w:val="24"/>
          <w:szCs w:val="24"/>
        </w:rPr>
        <w:t>/</w:t>
      </w:r>
      <w:r w:rsidRPr="00D53A2B">
        <w:rPr>
          <w:rStyle w:val="Gvdemetni3a"/>
          <w:sz w:val="24"/>
          <w:szCs w:val="24"/>
        </w:rPr>
        <w:t>çıkarılması veya alternatif olarak çatı tahliye sistemi uygulanması</w:t>
      </w:r>
    </w:p>
    <w:p w14:paraId="12EB63F2" w14:textId="21DD9DB7" w:rsidR="00771331" w:rsidRPr="00D53A2B" w:rsidRDefault="00771331" w:rsidP="00602365">
      <w:pPr>
        <w:pStyle w:val="ListeParagraf"/>
        <w:numPr>
          <w:ilvl w:val="0"/>
          <w:numId w:val="141"/>
        </w:numPr>
        <w:tabs>
          <w:tab w:val="clear" w:pos="567"/>
        </w:tabs>
        <w:spacing w:line="240" w:lineRule="auto"/>
        <w:ind w:left="567" w:hanging="357"/>
        <w:rPr>
          <w:rStyle w:val="Gvdemetni3a"/>
          <w:sz w:val="24"/>
          <w:szCs w:val="24"/>
        </w:rPr>
      </w:pPr>
      <w:r w:rsidRPr="00D53A2B">
        <w:rPr>
          <w:rStyle w:val="Gvdemetni3a"/>
          <w:sz w:val="24"/>
          <w:szCs w:val="24"/>
        </w:rPr>
        <w:t>Çatı tahliye sistemi uygulanmıyorsa, sıcak metali konvertöre koyduktan sonra yaklaşık iki dakika boyunca sıcak metal potasının konvertörün önünde tutulması</w:t>
      </w:r>
    </w:p>
    <w:p w14:paraId="6DA28585" w14:textId="3807E4B4" w:rsidR="00771331" w:rsidRPr="00D53A2B" w:rsidRDefault="00771331" w:rsidP="00602365">
      <w:pPr>
        <w:pStyle w:val="ListeParagraf"/>
        <w:numPr>
          <w:ilvl w:val="0"/>
          <w:numId w:val="141"/>
        </w:numPr>
        <w:tabs>
          <w:tab w:val="clear" w:pos="567"/>
        </w:tabs>
        <w:spacing w:line="240" w:lineRule="auto"/>
        <w:ind w:left="567" w:hanging="357"/>
        <w:rPr>
          <w:rStyle w:val="Gvdemetni3a"/>
          <w:sz w:val="24"/>
          <w:szCs w:val="24"/>
        </w:rPr>
      </w:pPr>
      <w:r w:rsidRPr="00D53A2B">
        <w:rPr>
          <w:rStyle w:val="Gvdemetni3a"/>
          <w:sz w:val="24"/>
          <w:szCs w:val="24"/>
        </w:rPr>
        <w:t>Çelik üretim sürecinin bilgisayar kontrolü ve optimizasyonu, örneğin cürufun kaptan dışarı akacak kadar köpürmesinin önlenmesi veya azaltılması</w:t>
      </w:r>
    </w:p>
    <w:p w14:paraId="20ECCE01" w14:textId="5B735103" w:rsidR="00771331" w:rsidRPr="00D53A2B" w:rsidRDefault="00771331" w:rsidP="00602365">
      <w:pPr>
        <w:pStyle w:val="ListeParagraf"/>
        <w:numPr>
          <w:ilvl w:val="0"/>
          <w:numId w:val="141"/>
        </w:numPr>
        <w:tabs>
          <w:tab w:val="clear" w:pos="567"/>
        </w:tabs>
        <w:spacing w:line="240" w:lineRule="auto"/>
        <w:ind w:left="567" w:hanging="357"/>
        <w:rPr>
          <w:rStyle w:val="Gvdemetni3a"/>
          <w:sz w:val="24"/>
          <w:szCs w:val="24"/>
        </w:rPr>
      </w:pPr>
      <w:r w:rsidRPr="00D53A2B">
        <w:rPr>
          <w:rStyle w:val="Gvdemetni3a"/>
          <w:sz w:val="24"/>
          <w:szCs w:val="24"/>
        </w:rPr>
        <w:t>Eğilmeye neden olan unsurların sınırlandırılması ve eğiklik önleyici maddelerin kullanımı ile delme sırasında oluşan eğilmenin azaltılması</w:t>
      </w:r>
    </w:p>
    <w:p w14:paraId="4762941B" w14:textId="1C1E2BB3" w:rsidR="00771331" w:rsidRPr="00D53A2B" w:rsidRDefault="00771331" w:rsidP="00602365">
      <w:pPr>
        <w:pStyle w:val="ListeParagraf"/>
        <w:numPr>
          <w:ilvl w:val="0"/>
          <w:numId w:val="141"/>
        </w:numPr>
        <w:tabs>
          <w:tab w:val="clear" w:pos="567"/>
        </w:tabs>
        <w:spacing w:line="240" w:lineRule="auto"/>
        <w:ind w:left="567" w:hanging="357"/>
        <w:rPr>
          <w:rStyle w:val="Gvdemetni3a"/>
          <w:sz w:val="24"/>
          <w:szCs w:val="24"/>
        </w:rPr>
      </w:pPr>
      <w:r w:rsidRPr="00D53A2B">
        <w:rPr>
          <w:rStyle w:val="Gvdemetni3a"/>
          <w:sz w:val="24"/>
          <w:szCs w:val="24"/>
        </w:rPr>
        <w:t>Oksijen üfleme sırasında konvertörün etrafındaki odanın kapılarının kapatılması</w:t>
      </w:r>
    </w:p>
    <w:p w14:paraId="44A0999B" w14:textId="46E63AED" w:rsidR="00771331" w:rsidRPr="00D53A2B" w:rsidRDefault="00771331" w:rsidP="00602365">
      <w:pPr>
        <w:pStyle w:val="ListeParagraf"/>
        <w:numPr>
          <w:ilvl w:val="0"/>
          <w:numId w:val="141"/>
        </w:numPr>
        <w:tabs>
          <w:tab w:val="clear" w:pos="567"/>
        </w:tabs>
        <w:spacing w:line="240" w:lineRule="auto"/>
        <w:ind w:left="567" w:hanging="357"/>
        <w:rPr>
          <w:rStyle w:val="Gvdemetni3a"/>
          <w:sz w:val="24"/>
          <w:szCs w:val="24"/>
        </w:rPr>
      </w:pPr>
      <w:r w:rsidRPr="00D53A2B">
        <w:rPr>
          <w:rStyle w:val="Gvdemetni3a"/>
          <w:sz w:val="24"/>
          <w:szCs w:val="24"/>
        </w:rPr>
        <w:t>Çatının sürekli kamera ile gözlemlenerek görünür emisyonun izlenmesi</w:t>
      </w:r>
    </w:p>
    <w:p w14:paraId="15764139" w14:textId="75C58FCC" w:rsidR="00771331" w:rsidRPr="00D53A2B" w:rsidRDefault="00771331" w:rsidP="00602365">
      <w:pPr>
        <w:pStyle w:val="ListeParagraf"/>
        <w:numPr>
          <w:ilvl w:val="0"/>
          <w:numId w:val="141"/>
        </w:numPr>
        <w:tabs>
          <w:tab w:val="clear" w:pos="567"/>
        </w:tabs>
        <w:spacing w:line="240" w:lineRule="auto"/>
        <w:ind w:left="567" w:hanging="357"/>
        <w:rPr>
          <w:rStyle w:val="Gvdemetni3a"/>
          <w:sz w:val="24"/>
          <w:szCs w:val="24"/>
        </w:rPr>
      </w:pPr>
      <w:r w:rsidRPr="00D53A2B">
        <w:rPr>
          <w:rStyle w:val="Gvdemetni3a"/>
          <w:sz w:val="24"/>
          <w:szCs w:val="24"/>
        </w:rPr>
        <w:t>çatı tahliye sisteminin kullanımı</w:t>
      </w:r>
    </w:p>
    <w:p w14:paraId="113709B2" w14:textId="77777777" w:rsidR="00C3243D" w:rsidRPr="00D53A2B" w:rsidRDefault="00C3243D" w:rsidP="00A202FD">
      <w:pPr>
        <w:jc w:val="both"/>
        <w:rPr>
          <w:rStyle w:val="Gvdemetni3a"/>
        </w:rPr>
      </w:pPr>
    </w:p>
    <w:p w14:paraId="2D24EBA2" w14:textId="141492C2" w:rsidR="00C3243D" w:rsidRPr="00D53A2B" w:rsidRDefault="00771331" w:rsidP="00A202FD">
      <w:pPr>
        <w:jc w:val="both"/>
        <w:rPr>
          <w:rStyle w:val="Gvdemetni3a"/>
          <w:b/>
          <w:bCs/>
        </w:rPr>
      </w:pPr>
      <w:r w:rsidRPr="00D53A2B">
        <w:rPr>
          <w:rStyle w:val="Gvdemetni3a"/>
          <w:b/>
          <w:bCs/>
        </w:rPr>
        <w:t>Uygulanabilirlik</w:t>
      </w:r>
    </w:p>
    <w:p w14:paraId="7E562F38" w14:textId="22271EF0" w:rsidR="00C3243D" w:rsidRPr="00D53A2B" w:rsidRDefault="00771331" w:rsidP="00A202FD">
      <w:pPr>
        <w:jc w:val="both"/>
        <w:rPr>
          <w:rStyle w:val="Gvdemetni3a"/>
        </w:rPr>
      </w:pPr>
      <w:r w:rsidRPr="00D53A2B">
        <w:rPr>
          <w:rStyle w:val="Gvdemetni3a"/>
        </w:rPr>
        <w:t>Mevcut tesislerde, tesisin tasarımı uygun tahliye olanaklarını kısıtlayabilir.</w:t>
      </w:r>
    </w:p>
    <w:p w14:paraId="7E9C2FF4" w14:textId="77777777" w:rsidR="00C3243D" w:rsidRPr="00D53A2B" w:rsidRDefault="00C3243D" w:rsidP="00A202FD">
      <w:pPr>
        <w:jc w:val="both"/>
        <w:rPr>
          <w:rStyle w:val="Gvdemetni3a"/>
        </w:rPr>
      </w:pPr>
    </w:p>
    <w:p w14:paraId="31C6D787" w14:textId="4B398127" w:rsidR="00066478" w:rsidRPr="00D53A2B" w:rsidRDefault="00771331" w:rsidP="00A202FD">
      <w:pPr>
        <w:pStyle w:val="MET"/>
        <w:rPr>
          <w:rStyle w:val="Gvdemetni3a"/>
          <w:szCs w:val="24"/>
        </w:rPr>
      </w:pPr>
      <w:r w:rsidRPr="00D53A2B">
        <w:rPr>
          <w:rStyle w:val="Gvdemetni3a"/>
          <w:szCs w:val="24"/>
        </w:rPr>
        <w:t xml:space="preserve">MET 79: </w:t>
      </w:r>
      <w:r w:rsidRPr="00D53A2B">
        <w:rPr>
          <w:rStyle w:val="Gvdemetni3a"/>
          <w:b w:val="0"/>
          <w:bCs/>
          <w:szCs w:val="24"/>
        </w:rPr>
        <w:t>Tesis içi cüruf işleme için aşağıdaki tekniklerden birini veya birkaçını kullanarak toz emisyonları azalt</w:t>
      </w:r>
      <w:r w:rsidR="00890F2E" w:rsidRPr="00D53A2B">
        <w:rPr>
          <w:rStyle w:val="Gvdemetni3a"/>
          <w:b w:val="0"/>
          <w:bCs/>
          <w:szCs w:val="24"/>
        </w:rPr>
        <w:t>ılır</w:t>
      </w:r>
      <w:r w:rsidRPr="00D53A2B">
        <w:rPr>
          <w:rStyle w:val="Gvdemetni3a"/>
          <w:b w:val="0"/>
          <w:bCs/>
          <w:szCs w:val="24"/>
        </w:rPr>
        <w:t>.</w:t>
      </w:r>
    </w:p>
    <w:p w14:paraId="3F8156DD" w14:textId="77777777" w:rsidR="00771331" w:rsidRPr="00D53A2B" w:rsidRDefault="00771331" w:rsidP="00602365">
      <w:pPr>
        <w:pStyle w:val="ListeParagraf"/>
        <w:numPr>
          <w:ilvl w:val="0"/>
          <w:numId w:val="142"/>
        </w:numPr>
        <w:tabs>
          <w:tab w:val="clear" w:pos="567"/>
        </w:tabs>
        <w:spacing w:line="240" w:lineRule="auto"/>
        <w:ind w:left="567" w:hanging="567"/>
        <w:rPr>
          <w:rStyle w:val="Gvdemetni3a"/>
          <w:sz w:val="24"/>
          <w:szCs w:val="24"/>
        </w:rPr>
      </w:pPr>
      <w:r w:rsidRPr="00D53A2B">
        <w:rPr>
          <w:rStyle w:val="Gvdemetni3a"/>
          <w:sz w:val="24"/>
          <w:szCs w:val="24"/>
        </w:rPr>
        <w:t>cüruf kırıcı ve eleme cihazlarının verimli bir şekilde çıkarılması ve gerekiyorsa daha sonra atık gazın temizlenmesi</w:t>
      </w:r>
    </w:p>
    <w:p w14:paraId="014ED3BE" w14:textId="77777777" w:rsidR="00771331" w:rsidRPr="00D53A2B" w:rsidRDefault="00771331" w:rsidP="00602365">
      <w:pPr>
        <w:pStyle w:val="ListeParagraf"/>
        <w:numPr>
          <w:ilvl w:val="0"/>
          <w:numId w:val="142"/>
        </w:numPr>
        <w:tabs>
          <w:tab w:val="clear" w:pos="567"/>
        </w:tabs>
        <w:spacing w:line="240" w:lineRule="auto"/>
        <w:ind w:left="567" w:hanging="567"/>
        <w:rPr>
          <w:rStyle w:val="Gvdemetni3a"/>
          <w:sz w:val="24"/>
          <w:szCs w:val="24"/>
        </w:rPr>
      </w:pPr>
      <w:r w:rsidRPr="00D53A2B">
        <w:rPr>
          <w:rStyle w:val="Gvdemetni3a"/>
          <w:sz w:val="24"/>
          <w:szCs w:val="24"/>
        </w:rPr>
        <w:t>işlenmemiş cürufun kürekli yükleyicilerle taşınması</w:t>
      </w:r>
    </w:p>
    <w:p w14:paraId="339F98DD" w14:textId="62235A5F" w:rsidR="00771331" w:rsidRPr="00D53A2B" w:rsidRDefault="00771331" w:rsidP="00602365">
      <w:pPr>
        <w:pStyle w:val="ListeParagraf"/>
        <w:numPr>
          <w:ilvl w:val="0"/>
          <w:numId w:val="142"/>
        </w:numPr>
        <w:tabs>
          <w:tab w:val="clear" w:pos="567"/>
        </w:tabs>
        <w:spacing w:line="240" w:lineRule="auto"/>
        <w:ind w:left="567" w:hanging="567"/>
        <w:rPr>
          <w:rStyle w:val="Gvdemetni3a"/>
          <w:sz w:val="24"/>
          <w:szCs w:val="24"/>
        </w:rPr>
      </w:pPr>
      <w:r w:rsidRPr="00D53A2B">
        <w:rPr>
          <w:rStyle w:val="Gvdemetni3a"/>
          <w:sz w:val="24"/>
          <w:szCs w:val="24"/>
        </w:rPr>
        <w:t>kırık malzeme için konveyör transfer noktalarının çıkarılması veya ıslatılması</w:t>
      </w:r>
    </w:p>
    <w:p w14:paraId="0CB836B9" w14:textId="7DB9C279" w:rsidR="00771331" w:rsidRPr="00D53A2B" w:rsidRDefault="00771331" w:rsidP="00602365">
      <w:pPr>
        <w:pStyle w:val="ListeParagraf"/>
        <w:numPr>
          <w:ilvl w:val="0"/>
          <w:numId w:val="142"/>
        </w:numPr>
        <w:tabs>
          <w:tab w:val="clear" w:pos="567"/>
        </w:tabs>
        <w:spacing w:line="240" w:lineRule="auto"/>
        <w:ind w:left="567" w:hanging="567"/>
        <w:rPr>
          <w:rStyle w:val="Gvdemetni3a"/>
          <w:sz w:val="24"/>
          <w:szCs w:val="24"/>
        </w:rPr>
      </w:pPr>
      <w:r w:rsidRPr="00D53A2B">
        <w:rPr>
          <w:rStyle w:val="Gvdemetni3a"/>
          <w:sz w:val="24"/>
          <w:szCs w:val="24"/>
        </w:rPr>
        <w:t>cüruf depolama yığınlarının ıslatılması</w:t>
      </w:r>
    </w:p>
    <w:p w14:paraId="4E2C2CA1" w14:textId="63ACA66D" w:rsidR="00771331" w:rsidRPr="00D53A2B" w:rsidRDefault="00771331" w:rsidP="00602365">
      <w:pPr>
        <w:pStyle w:val="ListeParagraf"/>
        <w:numPr>
          <w:ilvl w:val="0"/>
          <w:numId w:val="142"/>
        </w:numPr>
        <w:tabs>
          <w:tab w:val="clear" w:pos="567"/>
        </w:tabs>
        <w:spacing w:line="240" w:lineRule="auto"/>
        <w:ind w:left="567" w:hanging="567"/>
        <w:rPr>
          <w:rStyle w:val="Gvdemetni3a"/>
          <w:sz w:val="24"/>
          <w:szCs w:val="24"/>
        </w:rPr>
      </w:pPr>
      <w:r w:rsidRPr="00D53A2B">
        <w:rPr>
          <w:rStyle w:val="Gvdemetni3a"/>
          <w:sz w:val="24"/>
          <w:szCs w:val="24"/>
        </w:rPr>
        <w:t>kırılmış cüruf yüklendiğinde su sisi kullanımı.</w:t>
      </w:r>
    </w:p>
    <w:p w14:paraId="2A01E8BF" w14:textId="77777777" w:rsidR="00771331" w:rsidRPr="00D53A2B" w:rsidRDefault="00771331" w:rsidP="00A202FD">
      <w:pPr>
        <w:jc w:val="both"/>
        <w:rPr>
          <w:rStyle w:val="Gvdemetni3a"/>
          <w:spacing w:val="2"/>
          <w:position w:val="-1"/>
          <w:lang w:val="en-US" w:eastAsia="en-US"/>
        </w:rPr>
      </w:pPr>
    </w:p>
    <w:p w14:paraId="189C7105" w14:textId="7C5849F7" w:rsidR="00771331" w:rsidRPr="00D53A2B" w:rsidRDefault="00452A90" w:rsidP="00A202FD">
      <w:pPr>
        <w:jc w:val="both"/>
        <w:rPr>
          <w:rStyle w:val="Gvdemetni3a"/>
        </w:rPr>
      </w:pPr>
      <w:r w:rsidRPr="00D53A2B">
        <w:rPr>
          <w:rStyle w:val="Gvdemetni3a"/>
        </w:rPr>
        <w:t xml:space="preserve">MET I kullanılması durumunda toz için MET ile ilişkili emisyon seviyesi &lt;10 – 20 mg/Nm3 olup, </w:t>
      </w:r>
      <w:bookmarkStart w:id="36" w:name="_Hlk202275354"/>
      <w:r w:rsidR="007847FF">
        <w:rPr>
          <w:rStyle w:val="Gvdemetni3a"/>
        </w:rPr>
        <w:t>numune alma</w:t>
      </w:r>
      <w:r w:rsidRPr="00D53A2B">
        <w:rPr>
          <w:rStyle w:val="Gvdemetni3a"/>
        </w:rPr>
        <w:t xml:space="preserve"> </w:t>
      </w:r>
      <w:bookmarkEnd w:id="36"/>
      <w:r w:rsidRPr="00D53A2B">
        <w:rPr>
          <w:rStyle w:val="Gvdemetni3a"/>
        </w:rPr>
        <w:t>periyodu boyunca (aralıklı ölçüm, en az yarım saat anlık numune alımı) ortalama olarak belirlenmiştir.</w:t>
      </w:r>
    </w:p>
    <w:p w14:paraId="0ED2F47B" w14:textId="77777777" w:rsidR="00771331" w:rsidRPr="00D53A2B" w:rsidRDefault="00771331" w:rsidP="00A202FD">
      <w:pPr>
        <w:jc w:val="both"/>
        <w:rPr>
          <w:rStyle w:val="Gvdemetni3a"/>
        </w:rPr>
      </w:pPr>
    </w:p>
    <w:p w14:paraId="405E9176" w14:textId="6293E520" w:rsidR="00771331" w:rsidRPr="00D53A2B" w:rsidRDefault="00890F2E" w:rsidP="00A202FD">
      <w:pPr>
        <w:pStyle w:val="Balk4"/>
        <w:rPr>
          <w:rStyle w:val="Gvdemetni3a"/>
          <w:rFonts w:cs="Times New Roman"/>
          <w:b w:val="0"/>
          <w:bCs/>
          <w:iCs w:val="0"/>
        </w:rPr>
      </w:pPr>
      <w:r w:rsidRPr="00D53A2B">
        <w:rPr>
          <w:rStyle w:val="Gvdemetni3a"/>
          <w:rFonts w:cs="Times New Roman"/>
          <w:bCs/>
          <w:iCs w:val="0"/>
        </w:rPr>
        <w:lastRenderedPageBreak/>
        <w:t xml:space="preserve">6.2. </w:t>
      </w:r>
      <w:r w:rsidR="00B57814" w:rsidRPr="00D53A2B">
        <w:rPr>
          <w:rStyle w:val="Gvdemetni3a"/>
          <w:rFonts w:cs="Times New Roman"/>
          <w:bCs/>
          <w:iCs w:val="0"/>
        </w:rPr>
        <w:t>Su ve atıksu</w:t>
      </w:r>
    </w:p>
    <w:p w14:paraId="0837CCDE" w14:textId="6BA4CFD9" w:rsidR="00771331" w:rsidRPr="00D53A2B" w:rsidRDefault="00B57814" w:rsidP="00A202FD">
      <w:pPr>
        <w:pStyle w:val="MET"/>
        <w:rPr>
          <w:rStyle w:val="Gvdemetni3a"/>
          <w:szCs w:val="24"/>
        </w:rPr>
      </w:pPr>
      <w:r w:rsidRPr="00D53A2B">
        <w:rPr>
          <w:rStyle w:val="Gvdemetni3a"/>
          <w:szCs w:val="24"/>
        </w:rPr>
        <w:t xml:space="preserve">MET 80: </w:t>
      </w:r>
      <w:r w:rsidRPr="00D53A2B">
        <w:rPr>
          <w:rStyle w:val="Gvdemetni3a"/>
          <w:b w:val="0"/>
          <w:bCs/>
          <w:szCs w:val="24"/>
        </w:rPr>
        <w:t>MET 75 ve MET 76</w:t>
      </w:r>
      <w:r w:rsidR="00E56504" w:rsidRPr="00D53A2B">
        <w:rPr>
          <w:rStyle w:val="Gvdemetni3a"/>
          <w:b w:val="0"/>
          <w:bCs/>
          <w:szCs w:val="24"/>
        </w:rPr>
        <w:t>’</w:t>
      </w:r>
      <w:r w:rsidRPr="00D53A2B">
        <w:rPr>
          <w:rStyle w:val="Gvdemetni3a"/>
          <w:b w:val="0"/>
          <w:bCs/>
          <w:szCs w:val="24"/>
        </w:rPr>
        <w:t>da belirtilen aşağıdaki tekniklerden birini kullanarak, bazik oksijen fırın (BOF) gazının birincil tozdan arındırılmasından kaynaklanan su kullanımını ve atıksu emisyonları önle</w:t>
      </w:r>
      <w:r w:rsidR="00890F2E" w:rsidRPr="00D53A2B">
        <w:rPr>
          <w:rStyle w:val="Gvdemetni3a"/>
          <w:b w:val="0"/>
          <w:bCs/>
          <w:szCs w:val="24"/>
        </w:rPr>
        <w:t>nir</w:t>
      </w:r>
      <w:r w:rsidRPr="00D53A2B">
        <w:rPr>
          <w:rStyle w:val="Gvdemetni3a"/>
          <w:b w:val="0"/>
          <w:bCs/>
          <w:szCs w:val="24"/>
        </w:rPr>
        <w:t xml:space="preserve"> veya azalt</w:t>
      </w:r>
      <w:r w:rsidR="00890F2E" w:rsidRPr="00D53A2B">
        <w:rPr>
          <w:rStyle w:val="Gvdemetni3a"/>
          <w:b w:val="0"/>
          <w:bCs/>
          <w:szCs w:val="24"/>
        </w:rPr>
        <w:t>ılı</w:t>
      </w:r>
      <w:r w:rsidRPr="00D53A2B">
        <w:rPr>
          <w:rStyle w:val="Gvdemetni3a"/>
          <w:b w:val="0"/>
          <w:bCs/>
          <w:szCs w:val="24"/>
        </w:rPr>
        <w:t>r:</w:t>
      </w:r>
    </w:p>
    <w:p w14:paraId="0C036599" w14:textId="77777777" w:rsidR="00B57814" w:rsidRPr="00D53A2B" w:rsidRDefault="00B57814" w:rsidP="00602365">
      <w:pPr>
        <w:pStyle w:val="ListeParagraf"/>
        <w:numPr>
          <w:ilvl w:val="0"/>
          <w:numId w:val="143"/>
        </w:numPr>
        <w:tabs>
          <w:tab w:val="clear" w:pos="567"/>
        </w:tabs>
        <w:spacing w:line="240" w:lineRule="auto"/>
        <w:ind w:left="357" w:hanging="357"/>
        <w:rPr>
          <w:rStyle w:val="Gvdemetni3a"/>
          <w:sz w:val="24"/>
          <w:szCs w:val="24"/>
        </w:rPr>
      </w:pPr>
      <w:r w:rsidRPr="00D53A2B">
        <w:rPr>
          <w:rStyle w:val="Gvdemetni3a"/>
          <w:sz w:val="24"/>
          <w:szCs w:val="24"/>
        </w:rPr>
        <w:t>Bazik oksijen fırını (BOF) gazının kuru tozdan arındırılması;</w:t>
      </w:r>
    </w:p>
    <w:p w14:paraId="291F28DB" w14:textId="000C1FD5" w:rsidR="00771331" w:rsidRPr="00D53A2B" w:rsidRDefault="00B57814" w:rsidP="00602365">
      <w:pPr>
        <w:pStyle w:val="ListeParagraf"/>
        <w:numPr>
          <w:ilvl w:val="0"/>
          <w:numId w:val="143"/>
        </w:numPr>
        <w:tabs>
          <w:tab w:val="clear" w:pos="567"/>
        </w:tabs>
        <w:spacing w:line="240" w:lineRule="auto"/>
        <w:ind w:left="357" w:hanging="357"/>
        <w:rPr>
          <w:rStyle w:val="Gvdemetni3a"/>
          <w:sz w:val="24"/>
          <w:szCs w:val="24"/>
        </w:rPr>
      </w:pPr>
      <w:r w:rsidRPr="00D53A2B">
        <w:rPr>
          <w:rStyle w:val="Gvdemetni3a"/>
          <w:sz w:val="24"/>
          <w:szCs w:val="24"/>
        </w:rPr>
        <w:t>Islak tozdan arındırma uygulandığında yıkama suyunun en aza indirilmesi ve mümkün olduğunca yeniden kullanılması (örneğin cüruf granülasyonu için).</w:t>
      </w:r>
    </w:p>
    <w:p w14:paraId="0A555ECF" w14:textId="77777777" w:rsidR="00B57814" w:rsidRPr="00D53A2B" w:rsidRDefault="00B57814" w:rsidP="00A202FD">
      <w:pPr>
        <w:jc w:val="both"/>
        <w:rPr>
          <w:rStyle w:val="Gvdemetni3a"/>
          <w:spacing w:val="2"/>
          <w:position w:val="-1"/>
          <w:lang w:val="en-US" w:eastAsia="en-US"/>
        </w:rPr>
      </w:pPr>
    </w:p>
    <w:p w14:paraId="3D07818C" w14:textId="1C4F2A04" w:rsidR="00B57814" w:rsidRPr="00D53A2B" w:rsidRDefault="00B57814" w:rsidP="00A202FD">
      <w:pPr>
        <w:pStyle w:val="MET"/>
        <w:rPr>
          <w:rStyle w:val="Gvdemetni3a"/>
          <w:szCs w:val="24"/>
        </w:rPr>
      </w:pPr>
      <w:r w:rsidRPr="00D53A2B">
        <w:rPr>
          <w:rStyle w:val="Gvdemetni3a"/>
          <w:szCs w:val="24"/>
        </w:rPr>
        <w:t xml:space="preserve">MET 81: </w:t>
      </w:r>
      <w:r w:rsidRPr="00D53A2B">
        <w:rPr>
          <w:rStyle w:val="Gvdemetni3a"/>
          <w:b w:val="0"/>
          <w:bCs/>
          <w:szCs w:val="24"/>
        </w:rPr>
        <w:t>Aşağıdaki teknikleri bir arada kullanarak sürekli dökümden kaynaklanan atıksu deşarjı en aza indir</w:t>
      </w:r>
      <w:r w:rsidR="00890F2E" w:rsidRPr="00D53A2B">
        <w:rPr>
          <w:rStyle w:val="Gvdemetni3a"/>
          <w:b w:val="0"/>
          <w:bCs/>
          <w:szCs w:val="24"/>
        </w:rPr>
        <w:t>ilir</w:t>
      </w:r>
      <w:r w:rsidRPr="00D53A2B">
        <w:rPr>
          <w:rStyle w:val="Gvdemetni3a"/>
          <w:b w:val="0"/>
          <w:bCs/>
          <w:szCs w:val="24"/>
        </w:rPr>
        <w:t>:</w:t>
      </w:r>
    </w:p>
    <w:p w14:paraId="5F2A65FA" w14:textId="77777777" w:rsidR="00B57814" w:rsidRPr="00D53A2B" w:rsidRDefault="00B57814" w:rsidP="00602365">
      <w:pPr>
        <w:pStyle w:val="ListeParagraf"/>
        <w:numPr>
          <w:ilvl w:val="0"/>
          <w:numId w:val="144"/>
        </w:numPr>
        <w:tabs>
          <w:tab w:val="clear" w:pos="567"/>
        </w:tabs>
        <w:spacing w:line="240" w:lineRule="auto"/>
        <w:ind w:left="567" w:hanging="567"/>
        <w:rPr>
          <w:rStyle w:val="Gvdemetni3a"/>
          <w:sz w:val="24"/>
          <w:szCs w:val="24"/>
        </w:rPr>
      </w:pPr>
      <w:r w:rsidRPr="00D53A2B">
        <w:rPr>
          <w:rStyle w:val="Gvdemetni3a"/>
          <w:sz w:val="24"/>
          <w:szCs w:val="24"/>
        </w:rPr>
        <w:t>katıların flokülasyon, sedimantasyon ve/veya filtrasyon yoluyla uzaklaştırılması</w:t>
      </w:r>
    </w:p>
    <w:p w14:paraId="78971D4E" w14:textId="6E25785B" w:rsidR="00B57814" w:rsidRPr="00D53A2B" w:rsidRDefault="00B57814" w:rsidP="00602365">
      <w:pPr>
        <w:pStyle w:val="ListeParagraf"/>
        <w:numPr>
          <w:ilvl w:val="0"/>
          <w:numId w:val="144"/>
        </w:numPr>
        <w:tabs>
          <w:tab w:val="clear" w:pos="567"/>
        </w:tabs>
        <w:spacing w:line="240" w:lineRule="auto"/>
        <w:ind w:left="567" w:hanging="567"/>
        <w:rPr>
          <w:rStyle w:val="Gvdemetni3a"/>
          <w:sz w:val="24"/>
          <w:szCs w:val="24"/>
        </w:rPr>
      </w:pPr>
      <w:r w:rsidRPr="00D53A2B">
        <w:rPr>
          <w:rStyle w:val="Gvdemetni3a"/>
          <w:sz w:val="24"/>
          <w:szCs w:val="24"/>
        </w:rPr>
        <w:t>yağların sıyırma tanklarında veya diğer etkili cihazlarda uzaklaştırılması</w:t>
      </w:r>
    </w:p>
    <w:p w14:paraId="2D44F1A5" w14:textId="41E149FD" w:rsidR="00B57814" w:rsidRPr="00D53A2B" w:rsidRDefault="00B57814" w:rsidP="00602365">
      <w:pPr>
        <w:pStyle w:val="ListeParagraf"/>
        <w:numPr>
          <w:ilvl w:val="0"/>
          <w:numId w:val="144"/>
        </w:numPr>
        <w:tabs>
          <w:tab w:val="clear" w:pos="567"/>
        </w:tabs>
        <w:spacing w:line="240" w:lineRule="auto"/>
        <w:ind w:left="567" w:hanging="567"/>
        <w:rPr>
          <w:rStyle w:val="Gvdemetni3a"/>
          <w:sz w:val="24"/>
          <w:szCs w:val="24"/>
        </w:rPr>
      </w:pPr>
      <w:r w:rsidRPr="00D53A2B">
        <w:rPr>
          <w:rStyle w:val="Gvdemetni3a"/>
          <w:sz w:val="24"/>
          <w:szCs w:val="24"/>
        </w:rPr>
        <w:t>soğutma suyunun ve vakum üretiminden gelen suyun mümkün olduğunca yeniden sirküle edilmesi.</w:t>
      </w:r>
    </w:p>
    <w:p w14:paraId="48F12A03" w14:textId="77777777" w:rsidR="00B57814" w:rsidRPr="00D53A2B" w:rsidRDefault="00B57814" w:rsidP="00A202FD">
      <w:pPr>
        <w:jc w:val="both"/>
        <w:rPr>
          <w:rStyle w:val="Gvdemetni3a"/>
        </w:rPr>
      </w:pPr>
    </w:p>
    <w:p w14:paraId="116C5DD5" w14:textId="5110ED18" w:rsidR="00B57814" w:rsidRPr="00D53A2B" w:rsidRDefault="00B57814" w:rsidP="00A202FD">
      <w:pPr>
        <w:jc w:val="both"/>
        <w:rPr>
          <w:rStyle w:val="Gvdemetni3a"/>
        </w:rPr>
      </w:pPr>
      <w:r w:rsidRPr="00D53A2B">
        <w:rPr>
          <w:rStyle w:val="Gvdemetni3a"/>
        </w:rPr>
        <w:t xml:space="preserve">Sürekli döküm makinelerinden çıkan </w:t>
      </w:r>
      <w:r w:rsidR="00651500" w:rsidRPr="00D53A2B">
        <w:rPr>
          <w:rStyle w:val="Gvdemetni3a"/>
        </w:rPr>
        <w:t>atıksu</w:t>
      </w:r>
      <w:r w:rsidR="00B313A8">
        <w:rPr>
          <w:rStyle w:val="Gvdemetni3a"/>
        </w:rPr>
        <w:t xml:space="preserve"> </w:t>
      </w:r>
      <w:r w:rsidRPr="00D53A2B">
        <w:rPr>
          <w:rStyle w:val="Gvdemetni3a"/>
        </w:rPr>
        <w:t>için, nitelikli rastgele numune veya 24 saatlik kompozit numuneye dayalı MET ile ilişkili emisyon seviyeleri şunlardır:</w:t>
      </w:r>
    </w:p>
    <w:p w14:paraId="759956DE" w14:textId="77777777" w:rsidR="00B57814" w:rsidRPr="00D53A2B" w:rsidRDefault="00B57814"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askıda katı maddeler</w:t>
      </w:r>
      <w:r w:rsidRPr="00D53A2B">
        <w:rPr>
          <w:rStyle w:val="Gvdemetni3a"/>
          <w:sz w:val="24"/>
          <w:szCs w:val="24"/>
        </w:rPr>
        <w:tab/>
        <w:t>&lt;20 mg/l</w:t>
      </w:r>
    </w:p>
    <w:p w14:paraId="16A670CC" w14:textId="0918B2CC" w:rsidR="00B57814" w:rsidRPr="00D53A2B" w:rsidRDefault="00B57814"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demir</w:t>
      </w:r>
      <w:r w:rsidRPr="00D53A2B">
        <w:rPr>
          <w:rStyle w:val="Gvdemetni3a"/>
          <w:sz w:val="24"/>
          <w:szCs w:val="24"/>
        </w:rPr>
        <w:tab/>
      </w:r>
      <w:r w:rsidRPr="00D53A2B">
        <w:rPr>
          <w:rStyle w:val="Gvdemetni3a"/>
          <w:sz w:val="24"/>
          <w:szCs w:val="24"/>
        </w:rPr>
        <w:tab/>
      </w:r>
      <w:r w:rsidRPr="00D53A2B">
        <w:rPr>
          <w:rStyle w:val="Gvdemetni3a"/>
          <w:sz w:val="24"/>
          <w:szCs w:val="24"/>
        </w:rPr>
        <w:tab/>
        <w:t>&lt;5 mg/l</w:t>
      </w:r>
    </w:p>
    <w:p w14:paraId="0A41F630" w14:textId="11D07739" w:rsidR="00B57814" w:rsidRPr="00D53A2B" w:rsidRDefault="00B57814"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çinko</w:t>
      </w:r>
      <w:r w:rsidRPr="00D53A2B">
        <w:rPr>
          <w:rStyle w:val="Gvdemetni3a"/>
          <w:sz w:val="24"/>
          <w:szCs w:val="24"/>
        </w:rPr>
        <w:tab/>
      </w:r>
      <w:r w:rsidRPr="00D53A2B">
        <w:rPr>
          <w:rStyle w:val="Gvdemetni3a"/>
          <w:sz w:val="24"/>
          <w:szCs w:val="24"/>
        </w:rPr>
        <w:tab/>
      </w:r>
      <w:r w:rsidRPr="00D53A2B">
        <w:rPr>
          <w:rStyle w:val="Gvdemetni3a"/>
          <w:sz w:val="24"/>
          <w:szCs w:val="24"/>
        </w:rPr>
        <w:tab/>
        <w:t>&lt;2 mg/l</w:t>
      </w:r>
    </w:p>
    <w:p w14:paraId="1F8E4C22" w14:textId="1B65B12B" w:rsidR="00B57814" w:rsidRPr="00D53A2B" w:rsidRDefault="00B57814"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nikel</w:t>
      </w:r>
      <w:r w:rsidRPr="00D53A2B">
        <w:rPr>
          <w:rStyle w:val="Gvdemetni3a"/>
          <w:sz w:val="24"/>
          <w:szCs w:val="24"/>
        </w:rPr>
        <w:tab/>
      </w:r>
      <w:r w:rsidRPr="00D53A2B">
        <w:rPr>
          <w:rStyle w:val="Gvdemetni3a"/>
          <w:sz w:val="24"/>
          <w:szCs w:val="24"/>
        </w:rPr>
        <w:tab/>
      </w:r>
      <w:r w:rsidRPr="00D53A2B">
        <w:rPr>
          <w:rStyle w:val="Gvdemetni3a"/>
          <w:sz w:val="24"/>
          <w:szCs w:val="24"/>
        </w:rPr>
        <w:tab/>
        <w:t>&lt;0,5 mg/l</w:t>
      </w:r>
    </w:p>
    <w:p w14:paraId="310B6CC6" w14:textId="6F5E16DD" w:rsidR="00B57814" w:rsidRPr="00D53A2B" w:rsidRDefault="00B57814"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toplam krom</w:t>
      </w:r>
      <w:r w:rsidRPr="00D53A2B">
        <w:rPr>
          <w:rStyle w:val="Gvdemetni3a"/>
          <w:sz w:val="24"/>
          <w:szCs w:val="24"/>
        </w:rPr>
        <w:tab/>
      </w:r>
      <w:r w:rsidRPr="00D53A2B">
        <w:rPr>
          <w:rStyle w:val="Gvdemetni3a"/>
          <w:sz w:val="24"/>
          <w:szCs w:val="24"/>
        </w:rPr>
        <w:tab/>
        <w:t>&lt;0,5 mg/l</w:t>
      </w:r>
    </w:p>
    <w:p w14:paraId="2C4A2616" w14:textId="272D641B" w:rsidR="00B57814" w:rsidRPr="00D53A2B" w:rsidRDefault="00B57814"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toplam hidrokarbonlar</w:t>
      </w:r>
      <w:r w:rsidRPr="00D53A2B">
        <w:rPr>
          <w:rStyle w:val="Gvdemetni3a"/>
          <w:sz w:val="24"/>
          <w:szCs w:val="24"/>
        </w:rPr>
        <w:tab/>
        <w:t>&lt;5 mg/l</w:t>
      </w:r>
    </w:p>
    <w:p w14:paraId="2F5317A7" w14:textId="77777777" w:rsidR="00B57814" w:rsidRPr="00D53A2B" w:rsidRDefault="00B57814" w:rsidP="00A202FD">
      <w:pPr>
        <w:jc w:val="both"/>
        <w:rPr>
          <w:rStyle w:val="Gvdemetni3a"/>
        </w:rPr>
      </w:pPr>
    </w:p>
    <w:p w14:paraId="6244D68C" w14:textId="6FB38D85" w:rsidR="00771331" w:rsidRPr="00D53A2B" w:rsidRDefault="00890F2E" w:rsidP="00A202FD">
      <w:pPr>
        <w:pStyle w:val="Balk4"/>
        <w:rPr>
          <w:rStyle w:val="Gvdemetni3a"/>
          <w:rFonts w:cs="Times New Roman"/>
          <w:b w:val="0"/>
          <w:bCs/>
          <w:iCs w:val="0"/>
        </w:rPr>
      </w:pPr>
      <w:r w:rsidRPr="00D53A2B">
        <w:rPr>
          <w:rStyle w:val="Gvdemetni3a"/>
          <w:rFonts w:cs="Times New Roman"/>
          <w:bCs/>
          <w:iCs w:val="0"/>
        </w:rPr>
        <w:t xml:space="preserve">6.3. </w:t>
      </w:r>
      <w:r w:rsidR="00B57814" w:rsidRPr="00D53A2B">
        <w:rPr>
          <w:rStyle w:val="Gvdemetni3a"/>
          <w:rFonts w:cs="Times New Roman"/>
          <w:bCs/>
          <w:iCs w:val="0"/>
        </w:rPr>
        <w:t xml:space="preserve">Üretim </w:t>
      </w:r>
      <w:r w:rsidR="00DA3926" w:rsidRPr="00D53A2B">
        <w:rPr>
          <w:rStyle w:val="Gvdemetni3a"/>
          <w:rFonts w:cs="Times New Roman"/>
          <w:bCs/>
          <w:iCs w:val="0"/>
        </w:rPr>
        <w:t>Kalıntıları</w:t>
      </w:r>
    </w:p>
    <w:p w14:paraId="2830F8A1" w14:textId="157CD801" w:rsidR="00B57814" w:rsidRPr="00D53A2B" w:rsidRDefault="00B57814" w:rsidP="00A202FD">
      <w:pPr>
        <w:pStyle w:val="MET"/>
        <w:rPr>
          <w:rStyle w:val="Gvdemetni3a"/>
          <w:szCs w:val="24"/>
        </w:rPr>
      </w:pPr>
      <w:r w:rsidRPr="00D53A2B">
        <w:rPr>
          <w:rStyle w:val="Gvdemetni3a"/>
          <w:szCs w:val="24"/>
        </w:rPr>
        <w:t xml:space="preserve">MET 82: </w:t>
      </w:r>
      <w:r w:rsidRPr="00D53A2B">
        <w:rPr>
          <w:rStyle w:val="Gvdemetni3a"/>
          <w:b w:val="0"/>
          <w:bCs/>
          <w:szCs w:val="24"/>
        </w:rPr>
        <w:t>Aşağıdaki tekniklerden birini veya birkaçını kullanarak atık oluşumu önle</w:t>
      </w:r>
      <w:r w:rsidR="00890F2E" w:rsidRPr="00D53A2B">
        <w:rPr>
          <w:rStyle w:val="Gvdemetni3a"/>
          <w:b w:val="0"/>
          <w:bCs/>
          <w:szCs w:val="24"/>
        </w:rPr>
        <w:t>nebil</w:t>
      </w:r>
      <w:r w:rsidRPr="00D53A2B">
        <w:rPr>
          <w:rStyle w:val="Gvdemetni3a"/>
          <w:b w:val="0"/>
          <w:bCs/>
          <w:szCs w:val="24"/>
        </w:rPr>
        <w:t>ir (</w:t>
      </w:r>
      <w:r w:rsidR="00890F2E" w:rsidRPr="00D53A2B">
        <w:rPr>
          <w:rStyle w:val="Gvdemetni3a"/>
          <w:b w:val="0"/>
          <w:bCs/>
          <w:szCs w:val="24"/>
        </w:rPr>
        <w:t>B</w:t>
      </w:r>
      <w:r w:rsidRPr="00D53A2B">
        <w:rPr>
          <w:rStyle w:val="Gvdemetni3a"/>
          <w:b w:val="0"/>
          <w:bCs/>
          <w:szCs w:val="24"/>
        </w:rPr>
        <w:t>kz. MET 8):</w:t>
      </w:r>
    </w:p>
    <w:p w14:paraId="31295DF5" w14:textId="160436A5" w:rsidR="00B57814" w:rsidRPr="00CC3DCB" w:rsidRDefault="00435FB1" w:rsidP="00602365">
      <w:pPr>
        <w:pStyle w:val="ListeParagraf"/>
        <w:numPr>
          <w:ilvl w:val="0"/>
          <w:numId w:val="146"/>
        </w:numPr>
        <w:tabs>
          <w:tab w:val="clear" w:pos="567"/>
        </w:tabs>
        <w:spacing w:line="240" w:lineRule="auto"/>
        <w:ind w:left="567" w:hanging="567"/>
        <w:rPr>
          <w:rStyle w:val="Gvdemetni3a"/>
          <w:color w:val="000000" w:themeColor="text1"/>
          <w:sz w:val="24"/>
          <w:szCs w:val="24"/>
        </w:rPr>
      </w:pPr>
      <w:r w:rsidRPr="00CC3DCB">
        <w:rPr>
          <w:rStyle w:val="Gvdemetni3a"/>
          <w:color w:val="000000" w:themeColor="text1"/>
          <w:sz w:val="24"/>
          <w:szCs w:val="24"/>
        </w:rPr>
        <w:t>Atık işlemeyi</w:t>
      </w:r>
      <w:r w:rsidR="00ED1504" w:rsidRPr="00CC3DCB">
        <w:rPr>
          <w:rStyle w:val="Gvdemetni3a"/>
          <w:color w:val="000000" w:themeColor="text1"/>
          <w:sz w:val="24"/>
          <w:szCs w:val="24"/>
        </w:rPr>
        <w:t xml:space="preserve"> kolaylaştırmak için uygun toplama ve depolama</w:t>
      </w:r>
    </w:p>
    <w:p w14:paraId="4AE4B6B9" w14:textId="6FE8D9F7" w:rsidR="00ED1504" w:rsidRPr="00CC3DCB" w:rsidRDefault="00ED1504" w:rsidP="00602365">
      <w:pPr>
        <w:pStyle w:val="ListeParagraf"/>
        <w:numPr>
          <w:ilvl w:val="0"/>
          <w:numId w:val="146"/>
        </w:numPr>
        <w:tabs>
          <w:tab w:val="clear" w:pos="567"/>
        </w:tabs>
        <w:spacing w:line="240" w:lineRule="auto"/>
        <w:ind w:left="567" w:hanging="567"/>
        <w:rPr>
          <w:rStyle w:val="Gvdemetni3a"/>
          <w:color w:val="000000" w:themeColor="text1"/>
          <w:sz w:val="24"/>
          <w:szCs w:val="24"/>
        </w:rPr>
      </w:pPr>
      <w:r w:rsidRPr="00CC3DCB">
        <w:rPr>
          <w:rStyle w:val="Gvdemetni3a"/>
          <w:color w:val="000000" w:themeColor="text1"/>
          <w:sz w:val="24"/>
          <w:szCs w:val="24"/>
        </w:rPr>
        <w:t>Bazik oksijen fırını (BOF) gazı arıtımından çıkan toz, ikincil toz gidermeden çıkan toz ve sürekli dökümden çıkan hadde tufalının, geri dönüştürüldükleri tesisten kaynaklanan emisyonların etkisi de dikkate alınarak çelik üretim süreçlerine geri dönüştürülmesi.</w:t>
      </w:r>
    </w:p>
    <w:p w14:paraId="27F9CF59" w14:textId="72AEDE63" w:rsidR="00ED1504" w:rsidRPr="00CC3DCB" w:rsidRDefault="00ED1504" w:rsidP="00602365">
      <w:pPr>
        <w:pStyle w:val="ListeParagraf"/>
        <w:numPr>
          <w:ilvl w:val="0"/>
          <w:numId w:val="146"/>
        </w:numPr>
        <w:tabs>
          <w:tab w:val="clear" w:pos="567"/>
        </w:tabs>
        <w:spacing w:line="240" w:lineRule="auto"/>
        <w:ind w:left="567" w:hanging="567"/>
        <w:rPr>
          <w:rStyle w:val="Gvdemetni3a"/>
          <w:color w:val="000000" w:themeColor="text1"/>
          <w:sz w:val="24"/>
          <w:szCs w:val="24"/>
        </w:rPr>
      </w:pPr>
      <w:r w:rsidRPr="00CC3DCB">
        <w:rPr>
          <w:rStyle w:val="Gvdemetni3a"/>
          <w:color w:val="000000" w:themeColor="text1"/>
          <w:sz w:val="24"/>
          <w:szCs w:val="24"/>
        </w:rPr>
        <w:t>BOF cürufu ve ince BOF cürufunun çeşitli uygulamalarda yerinde geri dönüştürülmesi</w:t>
      </w:r>
    </w:p>
    <w:p w14:paraId="6A651C29" w14:textId="16E4B588" w:rsidR="00ED1504" w:rsidRPr="00CC3DCB" w:rsidRDefault="00ED1504" w:rsidP="00602365">
      <w:pPr>
        <w:pStyle w:val="ListeParagraf"/>
        <w:numPr>
          <w:ilvl w:val="0"/>
          <w:numId w:val="146"/>
        </w:numPr>
        <w:tabs>
          <w:tab w:val="clear" w:pos="567"/>
        </w:tabs>
        <w:spacing w:line="240" w:lineRule="auto"/>
        <w:ind w:left="567" w:hanging="567"/>
        <w:rPr>
          <w:rStyle w:val="Gvdemetni3a"/>
          <w:color w:val="000000" w:themeColor="text1"/>
          <w:sz w:val="24"/>
          <w:szCs w:val="24"/>
        </w:rPr>
      </w:pPr>
      <w:r w:rsidRPr="00CC3DCB">
        <w:rPr>
          <w:rStyle w:val="Gvdemetni3a"/>
          <w:color w:val="000000" w:themeColor="text1"/>
          <w:sz w:val="24"/>
          <w:szCs w:val="24"/>
        </w:rPr>
        <w:t>Piyasa koşullarının cürufun harici kullanımına (örneğin malzemelerde veya inşaatta agrega olarak) izin verdiği durumlarda cüruf işleme.</w:t>
      </w:r>
    </w:p>
    <w:p w14:paraId="16C9AFD0" w14:textId="2BCAB1B7" w:rsidR="00ED1504" w:rsidRPr="00D53A2B" w:rsidRDefault="00ED1504" w:rsidP="00602365">
      <w:pPr>
        <w:pStyle w:val="ListeParagraf"/>
        <w:numPr>
          <w:ilvl w:val="0"/>
          <w:numId w:val="146"/>
        </w:numPr>
        <w:tabs>
          <w:tab w:val="clear" w:pos="567"/>
        </w:tabs>
        <w:spacing w:line="240" w:lineRule="auto"/>
        <w:ind w:left="567" w:hanging="567"/>
        <w:rPr>
          <w:rStyle w:val="Gvdemetni3a"/>
          <w:sz w:val="24"/>
          <w:szCs w:val="24"/>
        </w:rPr>
      </w:pPr>
      <w:r w:rsidRPr="00CC3DCB">
        <w:rPr>
          <w:rStyle w:val="Gvdemetni3a"/>
          <w:color w:val="000000" w:themeColor="text1"/>
          <w:sz w:val="24"/>
          <w:szCs w:val="24"/>
        </w:rPr>
        <w:t xml:space="preserve">Demir dışı metaller sektöründe </w:t>
      </w:r>
      <w:r w:rsidRPr="00D53A2B">
        <w:rPr>
          <w:rStyle w:val="Gvdemetni3a"/>
          <w:sz w:val="24"/>
          <w:szCs w:val="24"/>
        </w:rPr>
        <w:t>çinko gibi demir ve demir dışı metallerin harici geri kazanımında filtre tozları ve çamurunun kullanımı.</w:t>
      </w:r>
    </w:p>
    <w:p w14:paraId="08218BC7" w14:textId="127A5B3D" w:rsidR="00ED1504" w:rsidRPr="00D53A2B" w:rsidRDefault="00ED1504" w:rsidP="00602365">
      <w:pPr>
        <w:pStyle w:val="ListeParagraf"/>
        <w:numPr>
          <w:ilvl w:val="0"/>
          <w:numId w:val="146"/>
        </w:numPr>
        <w:tabs>
          <w:tab w:val="clear" w:pos="567"/>
        </w:tabs>
        <w:spacing w:line="240" w:lineRule="auto"/>
        <w:ind w:left="567" w:hanging="567"/>
        <w:rPr>
          <w:rStyle w:val="Gvdemetni3a"/>
          <w:sz w:val="24"/>
          <w:szCs w:val="24"/>
        </w:rPr>
      </w:pPr>
      <w:r w:rsidRPr="00D53A2B">
        <w:rPr>
          <w:rStyle w:val="Gvdemetni3a"/>
          <w:sz w:val="24"/>
          <w:szCs w:val="24"/>
        </w:rPr>
        <w:t>Tane boyutu dağılımının makul bir ayırmaya izin verdiği durumlarda, sinter/yüksek fırın veya çimento endüstrisinde kaba fraksiyonun geri dönüşümü ile birlikte çamur için bir çök</w:t>
      </w:r>
      <w:r w:rsidR="008E670B">
        <w:rPr>
          <w:rStyle w:val="Gvdemetni3a"/>
          <w:sz w:val="24"/>
          <w:szCs w:val="24"/>
        </w:rPr>
        <w:t>türme</w:t>
      </w:r>
      <w:r w:rsidRPr="00D53A2B">
        <w:rPr>
          <w:rStyle w:val="Gvdemetni3a"/>
          <w:sz w:val="24"/>
          <w:szCs w:val="24"/>
        </w:rPr>
        <w:t xml:space="preserve"> tankının kullanılması.</w:t>
      </w:r>
    </w:p>
    <w:p w14:paraId="5C5894A9" w14:textId="77777777" w:rsidR="00B57814" w:rsidRPr="00D53A2B" w:rsidRDefault="00B57814" w:rsidP="00A202FD">
      <w:pPr>
        <w:jc w:val="both"/>
        <w:rPr>
          <w:rStyle w:val="Gvdemetni3a"/>
        </w:rPr>
      </w:pPr>
    </w:p>
    <w:p w14:paraId="74C0247C" w14:textId="5EE53F23" w:rsidR="00B57814" w:rsidRPr="00D53A2B" w:rsidRDefault="00B178AD" w:rsidP="00A202FD">
      <w:pPr>
        <w:jc w:val="both"/>
        <w:rPr>
          <w:rStyle w:val="Gvdemetni3a"/>
          <w:b/>
          <w:bCs/>
        </w:rPr>
      </w:pPr>
      <w:r w:rsidRPr="00D53A2B">
        <w:rPr>
          <w:rStyle w:val="Gvdemetni3a"/>
          <w:b/>
          <w:bCs/>
        </w:rPr>
        <w:t>MET V</w:t>
      </w:r>
      <w:r w:rsidR="00E56504" w:rsidRPr="00D53A2B">
        <w:rPr>
          <w:rStyle w:val="Gvdemetni3a"/>
          <w:b/>
          <w:bCs/>
        </w:rPr>
        <w:t>’</w:t>
      </w:r>
      <w:r w:rsidRPr="00D53A2B">
        <w:rPr>
          <w:rStyle w:val="Gvdemetni3a"/>
          <w:b/>
          <w:bCs/>
        </w:rPr>
        <w:t>in uygulanabilirliği</w:t>
      </w:r>
    </w:p>
    <w:p w14:paraId="05186548" w14:textId="3754D941" w:rsidR="00B57814" w:rsidRPr="00D53A2B" w:rsidRDefault="00B178AD" w:rsidP="00A202FD">
      <w:pPr>
        <w:jc w:val="both"/>
        <w:rPr>
          <w:rStyle w:val="Gvdemetni3a"/>
        </w:rPr>
      </w:pPr>
      <w:r w:rsidRPr="00D53A2B">
        <w:rPr>
          <w:rStyle w:val="Gvdemetni3a"/>
        </w:rPr>
        <w:t>BOF gazının temizlenmesinde kuru elektrostatik çök</w:t>
      </w:r>
      <w:r w:rsidR="008E670B">
        <w:rPr>
          <w:rStyle w:val="Gvdemetni3a"/>
        </w:rPr>
        <w:t>türme</w:t>
      </w:r>
      <w:r w:rsidRPr="00D53A2B">
        <w:rPr>
          <w:rStyle w:val="Gvdemetni3a"/>
        </w:rPr>
        <w:t xml:space="preserve"> kullanıldığında, yüksek çinko içerikli peletlerin dış mekanlarda yeniden kullanılmak üzere geri kazanılmasıyla toz sıcak briketleme ve geri dönüşüm uygulanabilir. Briketleme ile çinko geri kazanımı, hidrojen oluşumu (metalik çinko ve suyun reaksiyonundan) nedeniyle çökelme tanklarında oluşan </w:t>
      </w:r>
      <w:r w:rsidRPr="00D53A2B">
        <w:rPr>
          <w:rStyle w:val="Gvdemetni3a"/>
        </w:rPr>
        <w:lastRenderedPageBreak/>
        <w:t>kararsız tortulaşma nedeniyle ıslak toz giderme sistemlerinde uygulanamaz. Bu güvenlik nedenlerinden dolayı, çamurdaki çinko içeriği %8-10 ile sınırlandırılmalıdır.</w:t>
      </w:r>
    </w:p>
    <w:p w14:paraId="4A1C8F3E" w14:textId="77777777" w:rsidR="00B57814" w:rsidRPr="00D53A2B" w:rsidRDefault="00B57814" w:rsidP="00A202FD">
      <w:pPr>
        <w:jc w:val="both"/>
        <w:rPr>
          <w:rStyle w:val="Gvdemetni3a"/>
        </w:rPr>
      </w:pPr>
    </w:p>
    <w:p w14:paraId="33717177" w14:textId="78AEDC1C" w:rsidR="00B57814" w:rsidRPr="00D53A2B" w:rsidRDefault="00B178AD" w:rsidP="00A202FD">
      <w:pPr>
        <w:jc w:val="both"/>
        <w:rPr>
          <w:rStyle w:val="Gvdemetni3a"/>
        </w:rPr>
      </w:pPr>
      <w:r w:rsidRPr="00D53A2B">
        <w:rPr>
          <w:rStyle w:val="Gvdemetni3a"/>
        </w:rPr>
        <w:t>MET, kaçınılması veya geri dönüştürülmesi mümkün olmayan bazik oksijen fırını proses artıklarını kontrollü bir şekilde yönetmektir.</w:t>
      </w:r>
    </w:p>
    <w:p w14:paraId="75DBF9A6" w14:textId="77777777" w:rsidR="00B57814" w:rsidRPr="00D53A2B" w:rsidRDefault="00B57814" w:rsidP="00A202FD">
      <w:pPr>
        <w:jc w:val="both"/>
        <w:rPr>
          <w:rStyle w:val="Gvdemetni3a"/>
        </w:rPr>
      </w:pPr>
    </w:p>
    <w:p w14:paraId="534C357F" w14:textId="556F2768" w:rsidR="00B57814" w:rsidRPr="00D53A2B" w:rsidRDefault="000615BB" w:rsidP="00A202FD">
      <w:pPr>
        <w:pStyle w:val="Balk4"/>
        <w:rPr>
          <w:rStyle w:val="Gvdemetni3a"/>
          <w:rFonts w:cs="Times New Roman"/>
          <w:b w:val="0"/>
          <w:bCs/>
          <w:iCs w:val="0"/>
        </w:rPr>
      </w:pPr>
      <w:r w:rsidRPr="00D53A2B">
        <w:rPr>
          <w:rStyle w:val="Gvdemetni3a"/>
          <w:rFonts w:cs="Times New Roman"/>
          <w:bCs/>
          <w:iCs w:val="0"/>
        </w:rPr>
        <w:t xml:space="preserve">6.4. </w:t>
      </w:r>
      <w:r w:rsidR="00B178AD" w:rsidRPr="00D53A2B">
        <w:rPr>
          <w:rStyle w:val="Gvdemetni3a"/>
          <w:rFonts w:cs="Times New Roman"/>
          <w:bCs/>
          <w:iCs w:val="0"/>
        </w:rPr>
        <w:t>Enerji</w:t>
      </w:r>
    </w:p>
    <w:p w14:paraId="55AC8D46" w14:textId="775B665B" w:rsidR="00B178AD" w:rsidRPr="00D53A2B" w:rsidRDefault="000B36B6" w:rsidP="00A202FD">
      <w:pPr>
        <w:pStyle w:val="MET"/>
        <w:rPr>
          <w:rStyle w:val="Gvdemetni3a"/>
          <w:szCs w:val="24"/>
        </w:rPr>
      </w:pPr>
      <w:r w:rsidRPr="00D53A2B">
        <w:rPr>
          <w:rStyle w:val="Gvdemetni3a"/>
          <w:szCs w:val="24"/>
        </w:rPr>
        <w:t xml:space="preserve">MET 83: </w:t>
      </w:r>
      <w:r w:rsidRPr="00D53A2B">
        <w:rPr>
          <w:rStyle w:val="Gvdemetni3a"/>
          <w:b w:val="0"/>
          <w:bCs/>
          <w:szCs w:val="24"/>
        </w:rPr>
        <w:t>BOF gazının daha sonra yakıt olarak kullanılmak üzere toplanması, temizlenmesi ve tamponlanmasıdır.</w:t>
      </w:r>
    </w:p>
    <w:p w14:paraId="45C77076" w14:textId="77777777" w:rsidR="00B178AD" w:rsidRPr="00D53A2B" w:rsidRDefault="00B178AD" w:rsidP="00A202FD">
      <w:pPr>
        <w:jc w:val="both"/>
        <w:rPr>
          <w:rStyle w:val="Gvdemetni3a"/>
          <w:b/>
          <w:spacing w:val="2"/>
          <w:lang w:eastAsia="en-US"/>
        </w:rPr>
      </w:pPr>
    </w:p>
    <w:p w14:paraId="155D01EE" w14:textId="73D23B62" w:rsidR="00B178AD" w:rsidRPr="00D53A2B" w:rsidRDefault="000B36B6" w:rsidP="00A202FD">
      <w:pPr>
        <w:jc w:val="both"/>
        <w:rPr>
          <w:rStyle w:val="Gvdemetni3a"/>
          <w:b/>
          <w:bCs/>
        </w:rPr>
      </w:pPr>
      <w:r w:rsidRPr="00D53A2B">
        <w:rPr>
          <w:rStyle w:val="Gvdemetni3a"/>
          <w:b/>
          <w:bCs/>
        </w:rPr>
        <w:t>Uygulanabilirlik</w:t>
      </w:r>
    </w:p>
    <w:p w14:paraId="679F0522" w14:textId="49EB9579" w:rsidR="000B36B6" w:rsidRPr="00D53A2B" w:rsidRDefault="000B36B6" w:rsidP="00A202FD">
      <w:pPr>
        <w:jc w:val="both"/>
        <w:rPr>
          <w:rStyle w:val="Gvdemetni3a"/>
        </w:rPr>
      </w:pPr>
      <w:r w:rsidRPr="00D53A2B">
        <w:rPr>
          <w:rStyle w:val="Gvdemetni3a"/>
        </w:rPr>
        <w:t xml:space="preserve">Bazı durumlarda, BOF gazının </w:t>
      </w:r>
      <w:r w:rsidR="00945B79" w:rsidRPr="00D53A2B">
        <w:rPr>
          <w:rStyle w:val="Gvdemetni3a"/>
        </w:rPr>
        <w:t>kontrollü</w:t>
      </w:r>
      <w:r w:rsidRPr="00D53A2B">
        <w:rPr>
          <w:rStyle w:val="Gvdemetni3a"/>
        </w:rPr>
        <w:t xml:space="preserve"> yanma ile geri kazanılması ekonomik olarak uygulanabilir olmayabilir veya uygun enerji yönetimi açısından uygulanabilir olmayabilir. Bu durumlarda, BOF gazı buhar üretimi ile yakılabilir. Yanma türü (tam veya </w:t>
      </w:r>
      <w:r w:rsidR="00945B79" w:rsidRPr="00D53A2B">
        <w:rPr>
          <w:rStyle w:val="Gvdemetni3a"/>
        </w:rPr>
        <w:t>kontrollü</w:t>
      </w:r>
      <w:r w:rsidRPr="00D53A2B">
        <w:rPr>
          <w:rStyle w:val="Gvdemetni3a"/>
        </w:rPr>
        <w:t xml:space="preserve"> yanma) yerel enerji yönetimine bağlıdır.</w:t>
      </w:r>
    </w:p>
    <w:p w14:paraId="78B43DC9" w14:textId="77777777" w:rsidR="000B36B6" w:rsidRPr="00D53A2B" w:rsidRDefault="000B36B6" w:rsidP="00A202FD">
      <w:pPr>
        <w:jc w:val="both"/>
        <w:rPr>
          <w:rStyle w:val="Gvdemetni3a"/>
        </w:rPr>
      </w:pPr>
    </w:p>
    <w:p w14:paraId="2009880E" w14:textId="15023B8E" w:rsidR="00945B79" w:rsidRPr="00D53A2B" w:rsidRDefault="00945B79" w:rsidP="00A202FD">
      <w:pPr>
        <w:pStyle w:val="MET"/>
        <w:rPr>
          <w:rStyle w:val="Gvdemetni3a"/>
          <w:szCs w:val="24"/>
        </w:rPr>
      </w:pPr>
      <w:r w:rsidRPr="00D53A2B">
        <w:rPr>
          <w:rStyle w:val="Gvdemetni3a"/>
          <w:szCs w:val="24"/>
        </w:rPr>
        <w:t xml:space="preserve">MET 84: </w:t>
      </w:r>
      <w:r w:rsidRPr="00D53A2B">
        <w:rPr>
          <w:rStyle w:val="Gvdemetni3a"/>
          <w:b w:val="0"/>
          <w:bCs/>
          <w:szCs w:val="24"/>
        </w:rPr>
        <w:t>Pota-kapak sistemlerini kullanarak enerji tüketimi</w:t>
      </w:r>
      <w:r w:rsidR="000615BB" w:rsidRPr="00D53A2B">
        <w:rPr>
          <w:rStyle w:val="Gvdemetni3a"/>
          <w:b w:val="0"/>
          <w:bCs/>
          <w:szCs w:val="24"/>
        </w:rPr>
        <w:t xml:space="preserve"> azaltılabilir</w:t>
      </w:r>
      <w:r w:rsidRPr="00D53A2B">
        <w:rPr>
          <w:rStyle w:val="Gvdemetni3a"/>
          <w:b w:val="0"/>
          <w:bCs/>
          <w:szCs w:val="24"/>
        </w:rPr>
        <w:t>.</w:t>
      </w:r>
    </w:p>
    <w:p w14:paraId="068B8F33" w14:textId="77777777" w:rsidR="00945B79" w:rsidRPr="00D53A2B" w:rsidRDefault="00945B79" w:rsidP="00A202FD">
      <w:pPr>
        <w:jc w:val="both"/>
        <w:rPr>
          <w:rStyle w:val="Gvdemetni3a"/>
        </w:rPr>
      </w:pPr>
    </w:p>
    <w:p w14:paraId="16A3D572" w14:textId="6C392610" w:rsidR="00945B79" w:rsidRPr="00D53A2B" w:rsidRDefault="00945B79" w:rsidP="00A202FD">
      <w:pPr>
        <w:jc w:val="both"/>
        <w:rPr>
          <w:rStyle w:val="Gvdemetni3a"/>
          <w:b/>
          <w:bCs/>
        </w:rPr>
      </w:pPr>
      <w:r w:rsidRPr="00D53A2B">
        <w:rPr>
          <w:rStyle w:val="Gvdemetni3a"/>
          <w:b/>
          <w:bCs/>
        </w:rPr>
        <w:t>Uygulanabilirlik</w:t>
      </w:r>
    </w:p>
    <w:p w14:paraId="51941B64" w14:textId="71820A09" w:rsidR="00EC16E7" w:rsidRPr="00D53A2B" w:rsidRDefault="00945B79" w:rsidP="00A202FD">
      <w:pPr>
        <w:jc w:val="both"/>
      </w:pPr>
      <w:r w:rsidRPr="00D53A2B">
        <w:t>Kapaklar refrakter tuğlalardan yapıldıkları için çok ağır olabilir ve bu nedenle vinçlerin kapasitesi ve tüm binanın tasarımı mevcut tesislerdeki uygulanabilirliğini kısıtlayabilir. Sistemi bir çelik tesisinin özel koşullarına uygulamak için farklı teknik tasarımlar vardır.</w:t>
      </w:r>
    </w:p>
    <w:p w14:paraId="27CD79B5" w14:textId="77777777" w:rsidR="00945B79" w:rsidRPr="00D53A2B" w:rsidRDefault="00945B79" w:rsidP="00A202FD">
      <w:pPr>
        <w:jc w:val="both"/>
      </w:pPr>
    </w:p>
    <w:p w14:paraId="1ED84AF5" w14:textId="5D90481C" w:rsidR="00945B79" w:rsidRPr="00D53A2B" w:rsidRDefault="00945B79" w:rsidP="00A202FD">
      <w:pPr>
        <w:pStyle w:val="MET"/>
        <w:rPr>
          <w:szCs w:val="24"/>
        </w:rPr>
      </w:pPr>
      <w:r w:rsidRPr="00D53A2B">
        <w:rPr>
          <w:szCs w:val="24"/>
        </w:rPr>
        <w:t xml:space="preserve">MET 85: </w:t>
      </w:r>
      <w:r w:rsidRPr="00D53A2B">
        <w:rPr>
          <w:b w:val="0"/>
          <w:bCs/>
          <w:szCs w:val="24"/>
        </w:rPr>
        <w:t>Doğrudan döküm alma prosesini üfleme sonrasında uygulayarak bu proses en iyi duruma getir</w:t>
      </w:r>
      <w:r w:rsidR="000615BB" w:rsidRPr="00D53A2B">
        <w:rPr>
          <w:b w:val="0"/>
          <w:bCs/>
          <w:szCs w:val="24"/>
        </w:rPr>
        <w:t>ilir</w:t>
      </w:r>
      <w:r w:rsidRPr="00D53A2B">
        <w:rPr>
          <w:b w:val="0"/>
          <w:bCs/>
          <w:szCs w:val="24"/>
        </w:rPr>
        <w:t xml:space="preserve"> ve enerji tüketimi</w:t>
      </w:r>
      <w:r w:rsidR="000615BB" w:rsidRPr="00D53A2B">
        <w:rPr>
          <w:b w:val="0"/>
          <w:bCs/>
          <w:szCs w:val="24"/>
        </w:rPr>
        <w:t xml:space="preserve"> azaltılır</w:t>
      </w:r>
      <w:r w:rsidRPr="00D53A2B">
        <w:rPr>
          <w:b w:val="0"/>
          <w:bCs/>
          <w:szCs w:val="24"/>
        </w:rPr>
        <w:t>.</w:t>
      </w:r>
    </w:p>
    <w:p w14:paraId="711EB363" w14:textId="77777777" w:rsidR="00945B79" w:rsidRPr="00D53A2B" w:rsidRDefault="00945B79" w:rsidP="00A202FD">
      <w:pPr>
        <w:jc w:val="both"/>
      </w:pPr>
    </w:p>
    <w:p w14:paraId="5D4D97EA" w14:textId="4E3E7C35" w:rsidR="00945B79" w:rsidRPr="00D53A2B" w:rsidRDefault="00945B79" w:rsidP="00A202FD">
      <w:pPr>
        <w:jc w:val="both"/>
        <w:rPr>
          <w:b/>
          <w:bCs/>
        </w:rPr>
      </w:pPr>
      <w:r w:rsidRPr="00D53A2B">
        <w:rPr>
          <w:b/>
          <w:bCs/>
        </w:rPr>
        <w:t>Tanım</w:t>
      </w:r>
    </w:p>
    <w:p w14:paraId="04E72D52" w14:textId="6278ABBF" w:rsidR="00945B79" w:rsidRPr="00D53A2B" w:rsidRDefault="00945B79" w:rsidP="00A202FD">
      <w:pPr>
        <w:jc w:val="both"/>
      </w:pPr>
      <w:r w:rsidRPr="00D53A2B">
        <w:t>Doğrudan delme, genellikle alınan numunelerin kimyasal analizini beklemeden delmek için sub lance veya DROP IN sensör sistemleri gibi pahalı tesisler gerektirir (doğrudan delme). Alternatif olarak, bu tür tesisler olmadan doğrudan delmeyi başarmak için yeni bir teknik geliştirilmiştir. Bu teknik çok fazla deneyim ve geliştirme çalışması gerektirir. Uygulamada, karbon doğrudan %0,04</w:t>
      </w:r>
      <w:r w:rsidR="00E56504" w:rsidRPr="00D53A2B">
        <w:t>’</w:t>
      </w:r>
      <w:r w:rsidRPr="00D53A2B">
        <w:t>e kadar üflenir ve aynı anda banyo sıcaklığı makul derecede düşük bir hedefe düşer. Delmeden önce, daha sonraki eylemler için hem sıcaklık hem de oksijen aktivitesi ölçülür.</w:t>
      </w:r>
    </w:p>
    <w:p w14:paraId="4193DEF4" w14:textId="77777777" w:rsidR="00945B79" w:rsidRPr="00D53A2B" w:rsidRDefault="00945B79" w:rsidP="00A202FD">
      <w:pPr>
        <w:jc w:val="both"/>
      </w:pPr>
    </w:p>
    <w:p w14:paraId="1AB17D29" w14:textId="08BC84B7" w:rsidR="00945B79" w:rsidRPr="00D53A2B" w:rsidRDefault="00945B79" w:rsidP="00A202FD">
      <w:pPr>
        <w:jc w:val="both"/>
        <w:rPr>
          <w:b/>
          <w:bCs/>
        </w:rPr>
      </w:pPr>
      <w:r w:rsidRPr="00D53A2B">
        <w:rPr>
          <w:b/>
          <w:bCs/>
        </w:rPr>
        <w:t>Uygulanabilirlik</w:t>
      </w:r>
    </w:p>
    <w:p w14:paraId="3ACFD443" w14:textId="07E1B526" w:rsidR="00945B79" w:rsidRPr="00D53A2B" w:rsidRDefault="00945B79" w:rsidP="00A202FD">
      <w:pPr>
        <w:jc w:val="both"/>
      </w:pPr>
      <w:r w:rsidRPr="00D53A2B">
        <w:t>Uygun bir sıcak metal analiz cihazı ve cüruf durdurma tesisleri gereklidir ve bir pota ocağının bulunması tekniğin uygulanmasını kolaylaştırır.</w:t>
      </w:r>
    </w:p>
    <w:p w14:paraId="11E24A06" w14:textId="16325B02" w:rsidR="00945B79" w:rsidRPr="00D53A2B" w:rsidRDefault="00945B79" w:rsidP="00A202FD">
      <w:pPr>
        <w:pStyle w:val="MET"/>
        <w:rPr>
          <w:szCs w:val="24"/>
        </w:rPr>
      </w:pPr>
      <w:r w:rsidRPr="00D53A2B">
        <w:rPr>
          <w:szCs w:val="24"/>
        </w:rPr>
        <w:t xml:space="preserve">MET 86: </w:t>
      </w:r>
      <w:r w:rsidRPr="00D53A2B">
        <w:rPr>
          <w:b w:val="0"/>
          <w:bCs/>
          <w:szCs w:val="24"/>
        </w:rPr>
        <w:t xml:space="preserve">Üretilen çelik kalitelerinin kalitesi ve ürün karışımının </w:t>
      </w:r>
      <w:r w:rsidR="00590CF1" w:rsidRPr="00D53A2B">
        <w:rPr>
          <w:b w:val="0"/>
          <w:bCs/>
          <w:szCs w:val="24"/>
        </w:rPr>
        <w:t>bunu doğrulaması halinde,</w:t>
      </w:r>
      <w:r w:rsidRPr="00D53A2B">
        <w:rPr>
          <w:b w:val="0"/>
          <w:bCs/>
          <w:szCs w:val="24"/>
        </w:rPr>
        <w:t xml:space="preserve"> net şekle yakın sürekli şerit dökümü kullanarak enerji tüketimi</w:t>
      </w:r>
      <w:r w:rsidR="000615BB" w:rsidRPr="00D53A2B">
        <w:rPr>
          <w:b w:val="0"/>
          <w:bCs/>
          <w:szCs w:val="24"/>
        </w:rPr>
        <w:t xml:space="preserve"> azaltılır</w:t>
      </w:r>
      <w:r w:rsidRPr="00D53A2B">
        <w:rPr>
          <w:b w:val="0"/>
          <w:bCs/>
          <w:szCs w:val="24"/>
        </w:rPr>
        <w:t>.</w:t>
      </w:r>
    </w:p>
    <w:p w14:paraId="5C2085A6" w14:textId="77777777" w:rsidR="00945B79" w:rsidRPr="00D53A2B" w:rsidRDefault="00945B79" w:rsidP="00A202FD">
      <w:pPr>
        <w:jc w:val="both"/>
      </w:pPr>
    </w:p>
    <w:p w14:paraId="2B9C4FC7" w14:textId="0C3D83F5" w:rsidR="00945B79" w:rsidRPr="00D53A2B" w:rsidRDefault="00590CF1" w:rsidP="00A202FD">
      <w:pPr>
        <w:jc w:val="both"/>
        <w:rPr>
          <w:b/>
          <w:bCs/>
        </w:rPr>
      </w:pPr>
      <w:r w:rsidRPr="00D53A2B">
        <w:rPr>
          <w:b/>
          <w:bCs/>
        </w:rPr>
        <w:t>Tanım</w:t>
      </w:r>
    </w:p>
    <w:p w14:paraId="3FF6BAAA" w14:textId="157310FF" w:rsidR="00945B79" w:rsidRPr="00D53A2B" w:rsidRDefault="00590CF1" w:rsidP="00A202FD">
      <w:pPr>
        <w:jc w:val="both"/>
      </w:pPr>
      <w:r w:rsidRPr="00D53A2B">
        <w:t>Net şekle yakın şerit döküm, çeliğin 15 mm</w:t>
      </w:r>
      <w:r w:rsidR="00E56504" w:rsidRPr="00D53A2B">
        <w:t>’</w:t>
      </w:r>
      <w:r w:rsidRPr="00D53A2B">
        <w:t>den daha az kalınlıktaki şeritlere sürekli dökülmesi anlamına gelir. Döküm işlemi, geleneksel döküm teknikleri için kullanılan ara yeniden ısıtma fırını olmadan şeritlerin doğrudan sıcak haddelenmesi, soğutulması ve sarılmasıyla birleştirilir, örneğin levhaların veya ince levhaların sürekli dökümü. Bu nedenle, şerit döküm, 2 mm</w:t>
      </w:r>
      <w:r w:rsidR="00E56504" w:rsidRPr="00D53A2B">
        <w:t>’</w:t>
      </w:r>
      <w:r w:rsidRPr="00D53A2B">
        <w:t>den daha az farklı genişlik ve kalınlıklarda yassı çelik şeritler üretmek için bir tekniği temsil eder.</w:t>
      </w:r>
    </w:p>
    <w:p w14:paraId="4B6992EA" w14:textId="77777777" w:rsidR="00945B79" w:rsidRPr="00D53A2B" w:rsidRDefault="00945B79" w:rsidP="00A202FD">
      <w:pPr>
        <w:jc w:val="both"/>
      </w:pPr>
    </w:p>
    <w:p w14:paraId="2BBD08FD" w14:textId="6D592953" w:rsidR="00945B79" w:rsidRPr="00D53A2B" w:rsidRDefault="00590CF1" w:rsidP="00A202FD">
      <w:pPr>
        <w:jc w:val="both"/>
        <w:rPr>
          <w:b/>
          <w:bCs/>
        </w:rPr>
      </w:pPr>
      <w:r w:rsidRPr="00D53A2B">
        <w:rPr>
          <w:b/>
          <w:bCs/>
        </w:rPr>
        <w:lastRenderedPageBreak/>
        <w:t>Uygulanabilirlik</w:t>
      </w:r>
    </w:p>
    <w:p w14:paraId="63FC7520" w14:textId="37C8E470" w:rsidR="00945B79" w:rsidRPr="00D53A2B" w:rsidRDefault="00590CF1" w:rsidP="00A202FD">
      <w:pPr>
        <w:jc w:val="both"/>
      </w:pPr>
      <w:r w:rsidRPr="00D53A2B">
        <w:t>Uygulanabilirlik, üretilen çelik kalitelerine (örneğin, bu işlemle ağır levhalar üretilemez) ve bireysel çelik tesisinin ürün portföyüne (ürün karışımı) bağlıdır. Mevcut tesislerde, uygulanabilirlik düzen ve mevcut alan tarafından kısıtlanabilir, örneğin, şerit döküm makinesiyle yeniden donatma yaklaşık 100 m uzunluk gerektirir.</w:t>
      </w:r>
    </w:p>
    <w:p w14:paraId="7BDFFC9A" w14:textId="77777777" w:rsidR="00590CF1" w:rsidRPr="00D53A2B" w:rsidRDefault="00590CF1" w:rsidP="00A202FD">
      <w:pPr>
        <w:jc w:val="both"/>
      </w:pPr>
    </w:p>
    <w:p w14:paraId="72966B96" w14:textId="12AB3637" w:rsidR="00590CF1" w:rsidRPr="00D53A2B" w:rsidRDefault="000615BB" w:rsidP="00A202FD">
      <w:pPr>
        <w:pStyle w:val="Balk2"/>
        <w:rPr>
          <w:rFonts w:cs="Times New Roman"/>
          <w:szCs w:val="24"/>
        </w:rPr>
      </w:pPr>
      <w:r w:rsidRPr="00D53A2B">
        <w:rPr>
          <w:rFonts w:cs="Times New Roman"/>
          <w:szCs w:val="24"/>
        </w:rPr>
        <w:t xml:space="preserve">7. </w:t>
      </w:r>
      <w:r w:rsidR="000322A7" w:rsidRPr="00D53A2B">
        <w:rPr>
          <w:rFonts w:cs="Times New Roman"/>
          <w:szCs w:val="24"/>
        </w:rPr>
        <w:t xml:space="preserve">Elektrik Ark Ocaklı Çelik Üretimi ve Dökümü İçin </w:t>
      </w:r>
      <w:r w:rsidRPr="00D53A2B">
        <w:rPr>
          <w:rFonts w:cs="Times New Roman"/>
          <w:szCs w:val="24"/>
        </w:rPr>
        <w:t>MET</w:t>
      </w:r>
      <w:r w:rsidR="000322A7" w:rsidRPr="00D53A2B">
        <w:rPr>
          <w:rFonts w:cs="Times New Roman"/>
          <w:szCs w:val="24"/>
        </w:rPr>
        <w:t xml:space="preserve"> Sonuçları</w:t>
      </w:r>
    </w:p>
    <w:p w14:paraId="12A2119F" w14:textId="552B3E84" w:rsidR="00590CF1" w:rsidRPr="00D53A2B" w:rsidRDefault="000322A7" w:rsidP="00A202FD">
      <w:pPr>
        <w:jc w:val="both"/>
      </w:pPr>
      <w:r w:rsidRPr="00D53A2B">
        <w:t xml:space="preserve">Aksi belirtilmediği takdirde, bu bölümde sunulan </w:t>
      </w:r>
      <w:r w:rsidR="00651500" w:rsidRPr="00D53A2B">
        <w:t>MET</w:t>
      </w:r>
      <w:r w:rsidRPr="00D53A2B">
        <w:t>sonuçları tüm elektrik ark ocağı çelik üretimi ve dökümüne uygulanabilir.</w:t>
      </w:r>
    </w:p>
    <w:p w14:paraId="64D98A75" w14:textId="77777777" w:rsidR="000322A7" w:rsidRPr="00D53A2B" w:rsidRDefault="000322A7" w:rsidP="00A202FD">
      <w:pPr>
        <w:jc w:val="both"/>
      </w:pPr>
    </w:p>
    <w:p w14:paraId="0E9129AB" w14:textId="47057C70" w:rsidR="000322A7" w:rsidRPr="00D53A2B" w:rsidRDefault="000615BB" w:rsidP="00A202FD">
      <w:pPr>
        <w:pStyle w:val="Balk4"/>
        <w:rPr>
          <w:rFonts w:cs="Times New Roman"/>
        </w:rPr>
      </w:pPr>
      <w:r w:rsidRPr="00D53A2B">
        <w:rPr>
          <w:rFonts w:cs="Times New Roman"/>
        </w:rPr>
        <w:t xml:space="preserve">7.1. </w:t>
      </w:r>
      <w:r w:rsidR="000322A7" w:rsidRPr="00D53A2B">
        <w:rPr>
          <w:rFonts w:cs="Times New Roman"/>
        </w:rPr>
        <w:t>Hava emisyonları</w:t>
      </w:r>
    </w:p>
    <w:p w14:paraId="2BBDC9BA" w14:textId="13CDC959" w:rsidR="000322A7" w:rsidRPr="00D53A2B" w:rsidRDefault="00326B69" w:rsidP="00A202FD">
      <w:pPr>
        <w:pStyle w:val="MET"/>
        <w:rPr>
          <w:szCs w:val="24"/>
        </w:rPr>
      </w:pPr>
      <w:r w:rsidRPr="00D53A2B">
        <w:rPr>
          <w:szCs w:val="24"/>
        </w:rPr>
        <w:t xml:space="preserve">MET 87: </w:t>
      </w:r>
      <w:r w:rsidRPr="00D53A2B">
        <w:rPr>
          <w:b w:val="0"/>
          <w:bCs/>
          <w:szCs w:val="24"/>
        </w:rPr>
        <w:t>Elektrik ark ocağı işlemi için, cıva içeren ham maddelerden ve yardımcı maddelerden mümkün olduğunca kaçınarak cıva emisyonları</w:t>
      </w:r>
      <w:r w:rsidR="000615BB" w:rsidRPr="00D53A2B">
        <w:rPr>
          <w:b w:val="0"/>
          <w:bCs/>
          <w:szCs w:val="24"/>
        </w:rPr>
        <w:t xml:space="preserve"> önleni</w:t>
      </w:r>
      <w:r w:rsidRPr="00D53A2B">
        <w:rPr>
          <w:b w:val="0"/>
          <w:bCs/>
          <w:szCs w:val="24"/>
        </w:rPr>
        <w:t>r (bkz. MET 6 ve 7).</w:t>
      </w:r>
    </w:p>
    <w:p w14:paraId="66502E58" w14:textId="77777777" w:rsidR="000322A7" w:rsidRPr="00D53A2B" w:rsidRDefault="000322A7" w:rsidP="00A202FD">
      <w:pPr>
        <w:jc w:val="both"/>
      </w:pPr>
    </w:p>
    <w:p w14:paraId="023D5214" w14:textId="58B220DD" w:rsidR="000322A7" w:rsidRPr="00D53A2B" w:rsidRDefault="00326B69" w:rsidP="00A202FD">
      <w:pPr>
        <w:pStyle w:val="MET"/>
        <w:rPr>
          <w:szCs w:val="24"/>
        </w:rPr>
      </w:pPr>
      <w:r w:rsidRPr="00D53A2B">
        <w:rPr>
          <w:szCs w:val="24"/>
        </w:rPr>
        <w:t xml:space="preserve">MET 88: </w:t>
      </w:r>
      <w:r w:rsidRPr="00D53A2B">
        <w:rPr>
          <w:b w:val="0"/>
          <w:bCs/>
          <w:szCs w:val="24"/>
        </w:rPr>
        <w:t>Elektrik ark ocağı birincil ve ikincil toz giderme (hurda ön ısıtma, yükleme, eritme, döküm alma, pota ocağı ve ikincil metalurji dahil) için, aşağıda listelenen tekniklerden birini kullanarak tüm emisyon kaynaklarının verimli bir şekilde çıkarılmasını sağlamak ve daha sonra torba filtre vasıtasıyla toz gidermeyi kullanmaktır:</w:t>
      </w:r>
    </w:p>
    <w:p w14:paraId="456BAB1D" w14:textId="799099A2" w:rsidR="000322A7" w:rsidRPr="00D53A2B" w:rsidRDefault="00326B69" w:rsidP="00602365">
      <w:pPr>
        <w:pStyle w:val="ListeParagraf"/>
        <w:numPr>
          <w:ilvl w:val="0"/>
          <w:numId w:val="147"/>
        </w:numPr>
        <w:tabs>
          <w:tab w:val="clear" w:pos="567"/>
        </w:tabs>
        <w:spacing w:line="240" w:lineRule="auto"/>
        <w:ind w:left="567" w:hanging="567"/>
        <w:rPr>
          <w:sz w:val="24"/>
          <w:szCs w:val="24"/>
        </w:rPr>
      </w:pPr>
      <w:r w:rsidRPr="00D53A2B">
        <w:rPr>
          <w:sz w:val="24"/>
          <w:szCs w:val="24"/>
        </w:rPr>
        <w:t>doğrudan gaz çıkışı (4. veya 2. delik) ve davlumbaz sistemlerinin bir kombinasyonu</w:t>
      </w:r>
    </w:p>
    <w:p w14:paraId="118D024C" w14:textId="579CF525" w:rsidR="00326B69" w:rsidRPr="00D53A2B" w:rsidRDefault="00326B69" w:rsidP="00602365">
      <w:pPr>
        <w:pStyle w:val="ListeParagraf"/>
        <w:numPr>
          <w:ilvl w:val="0"/>
          <w:numId w:val="147"/>
        </w:numPr>
        <w:tabs>
          <w:tab w:val="clear" w:pos="567"/>
        </w:tabs>
        <w:spacing w:line="240" w:lineRule="auto"/>
        <w:ind w:left="567" w:hanging="567"/>
        <w:rPr>
          <w:sz w:val="24"/>
          <w:szCs w:val="24"/>
        </w:rPr>
      </w:pPr>
      <w:r w:rsidRPr="00D53A2B">
        <w:rPr>
          <w:sz w:val="24"/>
          <w:szCs w:val="24"/>
        </w:rPr>
        <w:t>doğrudan gaz çıkışı ve brolür odacığı sistemleri</w:t>
      </w:r>
    </w:p>
    <w:p w14:paraId="2123F25E" w14:textId="44A3ADB4" w:rsidR="00326B69" w:rsidRPr="00D53A2B" w:rsidRDefault="00326B69" w:rsidP="00602365">
      <w:pPr>
        <w:pStyle w:val="ListeParagraf"/>
        <w:numPr>
          <w:ilvl w:val="0"/>
          <w:numId w:val="147"/>
        </w:numPr>
        <w:tabs>
          <w:tab w:val="clear" w:pos="567"/>
        </w:tabs>
        <w:spacing w:line="240" w:lineRule="auto"/>
        <w:ind w:left="567" w:hanging="567"/>
        <w:rPr>
          <w:sz w:val="24"/>
          <w:szCs w:val="24"/>
        </w:rPr>
      </w:pPr>
      <w:r w:rsidRPr="00D53A2B">
        <w:rPr>
          <w:sz w:val="24"/>
          <w:szCs w:val="24"/>
        </w:rPr>
        <w:t>Doğrudan gaz çıkışı ve tüm bina tahliyesi (düşük kapasiteli elektrik ark ocakları çıkarma verimliliğini elde etmek için doğrudan gaz çıkışına ihtiyaç duymayabilir).</w:t>
      </w:r>
    </w:p>
    <w:p w14:paraId="041DB315" w14:textId="77777777" w:rsidR="000322A7" w:rsidRPr="00D53A2B" w:rsidRDefault="000322A7" w:rsidP="00A202FD">
      <w:pPr>
        <w:jc w:val="both"/>
      </w:pPr>
    </w:p>
    <w:p w14:paraId="66EF89F2" w14:textId="44B04500" w:rsidR="00326B69" w:rsidRPr="00D53A2B" w:rsidRDefault="00326B69" w:rsidP="00A202FD">
      <w:pPr>
        <w:jc w:val="both"/>
      </w:pPr>
      <w:r w:rsidRPr="00D53A2B">
        <w:t>MET ile ilişkili genel ortalama toplama verimliliği &gt;%98</w:t>
      </w:r>
      <w:r w:rsidR="00E56504" w:rsidRPr="00D53A2B">
        <w:t>’</w:t>
      </w:r>
      <w:r w:rsidRPr="00D53A2B">
        <w:t>dir.</w:t>
      </w:r>
    </w:p>
    <w:p w14:paraId="2B9641DD" w14:textId="77777777" w:rsidR="00326B69" w:rsidRPr="00D53A2B" w:rsidRDefault="00326B69" w:rsidP="00A202FD">
      <w:pPr>
        <w:jc w:val="both"/>
      </w:pPr>
    </w:p>
    <w:p w14:paraId="615D50C8" w14:textId="6519F81E" w:rsidR="000322A7" w:rsidRPr="00D53A2B" w:rsidRDefault="00326B69" w:rsidP="00A202FD">
      <w:pPr>
        <w:jc w:val="both"/>
      </w:pPr>
      <w:r w:rsidRPr="00D53A2B">
        <w:t>Toz için MET ile ilişkili emisyon seviyesi, günlük ortalama değer olarak belirlenen &lt;5 mg/Nm</w:t>
      </w:r>
      <w:r w:rsidRPr="00D53A2B">
        <w:rPr>
          <w:vertAlign w:val="superscript"/>
        </w:rPr>
        <w:t>3</w:t>
      </w:r>
      <w:r w:rsidR="00E56504" w:rsidRPr="00D53A2B">
        <w:t>’</w:t>
      </w:r>
      <w:r w:rsidRPr="00D53A2B">
        <w:t>tür.</w:t>
      </w:r>
    </w:p>
    <w:p w14:paraId="34E82202" w14:textId="77777777" w:rsidR="000322A7" w:rsidRPr="00D53A2B" w:rsidRDefault="000322A7" w:rsidP="00A202FD">
      <w:pPr>
        <w:jc w:val="both"/>
      </w:pPr>
    </w:p>
    <w:p w14:paraId="57A0AE5A" w14:textId="2504AC3A" w:rsidR="00326B69" w:rsidRPr="00D53A2B" w:rsidRDefault="00A04EE1" w:rsidP="00A202FD">
      <w:pPr>
        <w:jc w:val="both"/>
      </w:pPr>
      <w:r w:rsidRPr="00D53A2B">
        <w:t>Cıva için MET ile ilişkili emisyon seviyesi &lt;0,05 mg/Nm</w:t>
      </w:r>
      <w:r w:rsidRPr="00D53A2B">
        <w:rPr>
          <w:vertAlign w:val="superscript"/>
        </w:rPr>
        <w:t>3</w:t>
      </w:r>
      <w:r w:rsidRPr="00D53A2B">
        <w:t xml:space="preserve"> olup, </w:t>
      </w:r>
      <w:r w:rsidR="007847FF">
        <w:rPr>
          <w:rStyle w:val="Gvdemetni3a"/>
        </w:rPr>
        <w:t>numune alma</w:t>
      </w:r>
      <w:r w:rsidRPr="00D53A2B">
        <w:t xml:space="preserve"> periyodu boyunca ortalama olarak belirlenmiştir (aralıklı ölçüm, en az dört saat boyunca anlık numuneler).</w:t>
      </w:r>
    </w:p>
    <w:p w14:paraId="1D90A45F" w14:textId="77777777" w:rsidR="00326B69" w:rsidRPr="00D53A2B" w:rsidRDefault="00326B69" w:rsidP="00A202FD">
      <w:pPr>
        <w:jc w:val="both"/>
      </w:pPr>
    </w:p>
    <w:p w14:paraId="5D988FBA" w14:textId="5EB0655E" w:rsidR="00A04EE1" w:rsidRPr="00D53A2B" w:rsidRDefault="00A04EE1" w:rsidP="00A202FD">
      <w:pPr>
        <w:jc w:val="both"/>
      </w:pPr>
      <w:r w:rsidRPr="001F4486">
        <w:rPr>
          <w:b/>
          <w:bCs/>
        </w:rPr>
        <w:t>MET 89:</w:t>
      </w:r>
      <w:r w:rsidRPr="00D53A2B">
        <w:t xml:space="preserve"> Elektrik ark ocağı (EAF) birincil ve ikincil toz giderme (hurda ön ısıtma, yükleme, eritme, döküm alma, pota ocağı ve ikincil metalurji dahil) için, mümkün olduğunca PCDD/F ve PCB veya bunların öncüllerini içeren ham maddelerden kaçınarak (bkz. </w:t>
      </w:r>
      <w:r w:rsidR="00651500" w:rsidRPr="00D53A2B">
        <w:t>MET</w:t>
      </w:r>
      <w:r w:rsidRPr="00D53A2B">
        <w:t>6 ve 7) ve aşağıdaki tekniklerden birini veya bir kombinasyonunu uygun bir toz giderme sistemiyle birlikte kullanarak poliklorlu dibenzodioksinler/furanlar (PCDD/F) ve poliklorlu bifeniller (PCB) emisyonlarını önlemek ve azaltmaktır:</w:t>
      </w:r>
    </w:p>
    <w:p w14:paraId="295DE965" w14:textId="77777777" w:rsidR="00A04EE1" w:rsidRPr="00D53A2B" w:rsidRDefault="00A04EE1" w:rsidP="00602365">
      <w:pPr>
        <w:pStyle w:val="Gvdemetni1"/>
        <w:numPr>
          <w:ilvl w:val="0"/>
          <w:numId w:val="148"/>
        </w:numPr>
        <w:shd w:val="clear" w:color="auto" w:fill="auto"/>
        <w:spacing w:after="0" w:line="240" w:lineRule="auto"/>
        <w:ind w:left="567" w:right="-1" w:hanging="567"/>
        <w:rPr>
          <w:sz w:val="24"/>
          <w:szCs w:val="24"/>
        </w:rPr>
      </w:pPr>
      <w:r w:rsidRPr="00D53A2B">
        <w:rPr>
          <w:rStyle w:val="Gvdemetni3a"/>
          <w:color w:val="000000"/>
          <w:sz w:val="24"/>
          <w:szCs w:val="24"/>
        </w:rPr>
        <w:t>Yakma sonrası için uygun işlemler</w:t>
      </w:r>
    </w:p>
    <w:p w14:paraId="30203861" w14:textId="365C11CB" w:rsidR="00A04EE1" w:rsidRPr="00D53A2B" w:rsidRDefault="00A04EE1" w:rsidP="00602365">
      <w:pPr>
        <w:pStyle w:val="ListeParagraf"/>
        <w:numPr>
          <w:ilvl w:val="0"/>
          <w:numId w:val="148"/>
        </w:numPr>
        <w:tabs>
          <w:tab w:val="clear" w:pos="567"/>
        </w:tabs>
        <w:spacing w:line="240" w:lineRule="auto"/>
        <w:ind w:left="567" w:hanging="567"/>
        <w:rPr>
          <w:sz w:val="24"/>
          <w:szCs w:val="24"/>
        </w:rPr>
      </w:pPr>
      <w:r w:rsidRPr="00D53A2B">
        <w:rPr>
          <w:sz w:val="24"/>
          <w:szCs w:val="24"/>
        </w:rPr>
        <w:t>uygun hızlı söndürme</w:t>
      </w:r>
    </w:p>
    <w:p w14:paraId="54236508" w14:textId="1AC56887" w:rsidR="00A04EE1" w:rsidRPr="00D53A2B" w:rsidRDefault="00A04EE1" w:rsidP="00602365">
      <w:pPr>
        <w:pStyle w:val="ListeParagraf"/>
        <w:numPr>
          <w:ilvl w:val="0"/>
          <w:numId w:val="148"/>
        </w:numPr>
        <w:tabs>
          <w:tab w:val="clear" w:pos="567"/>
        </w:tabs>
        <w:spacing w:line="240" w:lineRule="auto"/>
        <w:ind w:left="567" w:hanging="567"/>
        <w:rPr>
          <w:sz w:val="24"/>
          <w:szCs w:val="24"/>
        </w:rPr>
      </w:pPr>
      <w:r w:rsidRPr="00D53A2B">
        <w:rPr>
          <w:sz w:val="24"/>
          <w:szCs w:val="24"/>
        </w:rPr>
        <w:t>toz gidermeden önce kanala yeterli adsorpsiyon ajanlarının enjeksiyonu</w:t>
      </w:r>
    </w:p>
    <w:p w14:paraId="7277399E" w14:textId="1CCD689F" w:rsidR="00A04EE1" w:rsidRPr="00D53A2B" w:rsidRDefault="00A04EE1" w:rsidP="00A202FD">
      <w:pPr>
        <w:jc w:val="both"/>
      </w:pPr>
      <w:r w:rsidRPr="00D53A2B">
        <w:t>Poliklorlu dibenzodioksinler/furanlar (PCDD/F) için MET ile ilişkili emisyon seviyesi, sabit durum koşullarında 6-8 saatlik rastgele bir örneğe göre &lt;0,1 ng I-TEQ/Nm</w:t>
      </w:r>
      <w:r w:rsidRPr="00D53A2B">
        <w:rPr>
          <w:vertAlign w:val="superscript"/>
        </w:rPr>
        <w:t>3</w:t>
      </w:r>
      <w:r w:rsidR="00E56504" w:rsidRPr="00D53A2B">
        <w:t>’</w:t>
      </w:r>
      <w:r w:rsidRPr="00D53A2B">
        <w:t>tür. Bazı durumlarda, MET ile ilişkili emisyon seviyesi yalnızca birincil önlemlerle elde edilebilir.</w:t>
      </w:r>
    </w:p>
    <w:p w14:paraId="54290773" w14:textId="77777777" w:rsidR="00A04EE1" w:rsidRPr="00D53A2B" w:rsidRDefault="00A04EE1" w:rsidP="00A202FD">
      <w:pPr>
        <w:jc w:val="both"/>
      </w:pPr>
    </w:p>
    <w:p w14:paraId="2A1AC9B2" w14:textId="425BFBD4" w:rsidR="00A04EE1" w:rsidRPr="00D53A2B" w:rsidRDefault="00A04EE1" w:rsidP="00A202FD">
      <w:pPr>
        <w:jc w:val="both"/>
        <w:rPr>
          <w:b/>
          <w:bCs/>
        </w:rPr>
      </w:pPr>
      <w:r w:rsidRPr="00D53A2B">
        <w:rPr>
          <w:b/>
          <w:bCs/>
        </w:rPr>
        <w:t>MET I</w:t>
      </w:r>
      <w:r w:rsidR="00E56504" w:rsidRPr="00D53A2B">
        <w:rPr>
          <w:b/>
          <w:bCs/>
        </w:rPr>
        <w:t>’</w:t>
      </w:r>
      <w:r w:rsidRPr="00D53A2B">
        <w:rPr>
          <w:b/>
          <w:bCs/>
        </w:rPr>
        <w:t>in uygulanabilirliği</w:t>
      </w:r>
    </w:p>
    <w:p w14:paraId="53C05D0A" w14:textId="02620848" w:rsidR="00326B69" w:rsidRPr="00D53A2B" w:rsidRDefault="00A04EE1" w:rsidP="00A202FD">
      <w:pPr>
        <w:jc w:val="both"/>
      </w:pPr>
      <w:r w:rsidRPr="00D53A2B">
        <w:lastRenderedPageBreak/>
        <w:t>Mevcut tesislerde uygulanabilirliğin değerlendirilmesinde mevcut alan, verilen atık gaz kanal sistemi vb. gibi koşulların göz önünde bulundurulması gerekmektedir.</w:t>
      </w:r>
    </w:p>
    <w:p w14:paraId="13693BB1" w14:textId="77777777" w:rsidR="00A04EE1" w:rsidRPr="00D53A2B" w:rsidRDefault="00A04EE1" w:rsidP="00A202FD">
      <w:pPr>
        <w:jc w:val="both"/>
      </w:pPr>
    </w:p>
    <w:p w14:paraId="3D931187" w14:textId="589B03BB" w:rsidR="00A04EE1" w:rsidRPr="00D53A2B" w:rsidRDefault="00DF7965" w:rsidP="00A202FD">
      <w:pPr>
        <w:pStyle w:val="MET"/>
        <w:rPr>
          <w:szCs w:val="24"/>
        </w:rPr>
      </w:pPr>
      <w:r w:rsidRPr="00D53A2B">
        <w:rPr>
          <w:szCs w:val="24"/>
        </w:rPr>
        <w:t xml:space="preserve">MET 90: </w:t>
      </w:r>
      <w:r w:rsidRPr="00D53A2B">
        <w:rPr>
          <w:b w:val="0"/>
          <w:bCs/>
          <w:szCs w:val="24"/>
        </w:rPr>
        <w:t>Tesis içi cüruf işleme için aşağıdaki tekniklerden birini veya birkaçını kullanarak toz emisyonları</w:t>
      </w:r>
      <w:r w:rsidR="00B54DAF" w:rsidRPr="00D53A2B">
        <w:rPr>
          <w:b w:val="0"/>
          <w:bCs/>
          <w:szCs w:val="24"/>
        </w:rPr>
        <w:t xml:space="preserve"> azaltılır</w:t>
      </w:r>
      <w:r w:rsidRPr="00D53A2B">
        <w:rPr>
          <w:b w:val="0"/>
          <w:bCs/>
          <w:szCs w:val="24"/>
        </w:rPr>
        <w:t>.</w:t>
      </w:r>
    </w:p>
    <w:p w14:paraId="77EE86C4" w14:textId="285C0F53" w:rsidR="00A04EE1" w:rsidRPr="00D53A2B" w:rsidRDefault="00496080" w:rsidP="00602365">
      <w:pPr>
        <w:pStyle w:val="ListeParagraf"/>
        <w:numPr>
          <w:ilvl w:val="0"/>
          <w:numId w:val="149"/>
        </w:numPr>
        <w:tabs>
          <w:tab w:val="clear" w:pos="567"/>
        </w:tabs>
        <w:spacing w:line="240" w:lineRule="auto"/>
        <w:ind w:left="567" w:hanging="567"/>
        <w:rPr>
          <w:sz w:val="24"/>
          <w:szCs w:val="24"/>
        </w:rPr>
      </w:pPr>
      <w:r w:rsidRPr="00D53A2B">
        <w:rPr>
          <w:sz w:val="24"/>
          <w:szCs w:val="24"/>
        </w:rPr>
        <w:t>cüruf kırma ve eleme cihazlarının etkin bir şekilde çıkarılması ve varsa atık gaz temizliğinin yapılması</w:t>
      </w:r>
    </w:p>
    <w:p w14:paraId="4DF3B17F" w14:textId="0C9BCD90" w:rsidR="00DF7965" w:rsidRPr="00D53A2B" w:rsidRDefault="00496080" w:rsidP="00602365">
      <w:pPr>
        <w:pStyle w:val="ListeParagraf"/>
        <w:numPr>
          <w:ilvl w:val="0"/>
          <w:numId w:val="149"/>
        </w:numPr>
        <w:tabs>
          <w:tab w:val="clear" w:pos="567"/>
        </w:tabs>
        <w:spacing w:line="240" w:lineRule="auto"/>
        <w:ind w:left="567" w:hanging="567"/>
        <w:rPr>
          <w:sz w:val="24"/>
          <w:szCs w:val="24"/>
        </w:rPr>
      </w:pPr>
      <w:r w:rsidRPr="00D53A2B">
        <w:rPr>
          <w:sz w:val="24"/>
          <w:szCs w:val="24"/>
        </w:rPr>
        <w:t>işlenmemiş cürufun kürekli yükleyicilerle taşınması</w:t>
      </w:r>
    </w:p>
    <w:p w14:paraId="11305982" w14:textId="6AED2D0A" w:rsidR="00DF7965" w:rsidRPr="00D53A2B" w:rsidRDefault="00496080" w:rsidP="00602365">
      <w:pPr>
        <w:pStyle w:val="ListeParagraf"/>
        <w:numPr>
          <w:ilvl w:val="0"/>
          <w:numId w:val="149"/>
        </w:numPr>
        <w:tabs>
          <w:tab w:val="clear" w:pos="567"/>
        </w:tabs>
        <w:spacing w:line="240" w:lineRule="auto"/>
        <w:ind w:left="567" w:hanging="567"/>
        <w:rPr>
          <w:sz w:val="24"/>
          <w:szCs w:val="24"/>
        </w:rPr>
      </w:pPr>
      <w:r w:rsidRPr="00D53A2B">
        <w:rPr>
          <w:sz w:val="24"/>
          <w:szCs w:val="24"/>
        </w:rPr>
        <w:t>konveyör transfer noktalarında kırık malzemenin çıkarılması veya ıslatılması</w:t>
      </w:r>
    </w:p>
    <w:p w14:paraId="49B00652" w14:textId="336C8D27" w:rsidR="00DF7965" w:rsidRPr="00D53A2B" w:rsidRDefault="00496080" w:rsidP="00602365">
      <w:pPr>
        <w:pStyle w:val="ListeParagraf"/>
        <w:numPr>
          <w:ilvl w:val="0"/>
          <w:numId w:val="149"/>
        </w:numPr>
        <w:tabs>
          <w:tab w:val="clear" w:pos="567"/>
        </w:tabs>
        <w:spacing w:line="240" w:lineRule="auto"/>
        <w:ind w:left="567" w:hanging="567"/>
        <w:rPr>
          <w:sz w:val="24"/>
          <w:szCs w:val="24"/>
        </w:rPr>
      </w:pPr>
      <w:r w:rsidRPr="00D53A2B">
        <w:rPr>
          <w:sz w:val="24"/>
          <w:szCs w:val="24"/>
        </w:rPr>
        <w:t>cüruf depolama yığınlarının ıslatılması</w:t>
      </w:r>
    </w:p>
    <w:p w14:paraId="7EC7C104" w14:textId="6B41C3CE" w:rsidR="00DF7965" w:rsidRPr="00D53A2B" w:rsidRDefault="00496080" w:rsidP="00602365">
      <w:pPr>
        <w:pStyle w:val="ListeParagraf"/>
        <w:numPr>
          <w:ilvl w:val="0"/>
          <w:numId w:val="149"/>
        </w:numPr>
        <w:tabs>
          <w:tab w:val="clear" w:pos="567"/>
        </w:tabs>
        <w:spacing w:line="240" w:lineRule="auto"/>
        <w:ind w:left="567" w:hanging="567"/>
        <w:rPr>
          <w:sz w:val="24"/>
          <w:szCs w:val="24"/>
        </w:rPr>
      </w:pPr>
      <w:r w:rsidRPr="00D53A2B">
        <w:rPr>
          <w:sz w:val="24"/>
          <w:szCs w:val="24"/>
        </w:rPr>
        <w:t>kırık cüruf yüklendiğinde su sisi kullanımı</w:t>
      </w:r>
    </w:p>
    <w:p w14:paraId="7E661C41" w14:textId="77777777" w:rsidR="00A04EE1" w:rsidRPr="00D53A2B" w:rsidRDefault="00A04EE1" w:rsidP="00A202FD">
      <w:pPr>
        <w:jc w:val="both"/>
      </w:pPr>
    </w:p>
    <w:p w14:paraId="57D0632F" w14:textId="123D6566" w:rsidR="00A04EE1" w:rsidRPr="00D53A2B" w:rsidRDefault="00E42653" w:rsidP="00A202FD">
      <w:pPr>
        <w:jc w:val="both"/>
      </w:pPr>
      <w:r w:rsidRPr="00D53A2B">
        <w:t>MET I kullanılması durumunda, toz için MET ile ilişkili emisyon seviyesi &lt;10 – 20 mg/Nm</w:t>
      </w:r>
      <w:r w:rsidRPr="00D53A2B">
        <w:rPr>
          <w:vertAlign w:val="superscript"/>
        </w:rPr>
        <w:t>3</w:t>
      </w:r>
      <w:r w:rsidRPr="00D53A2B">
        <w:t xml:space="preserve"> olup, </w:t>
      </w:r>
      <w:r w:rsidR="007847FF">
        <w:rPr>
          <w:rStyle w:val="Gvdemetni3a"/>
        </w:rPr>
        <w:t>numune alma</w:t>
      </w:r>
      <w:r w:rsidRPr="00D53A2B">
        <w:t xml:space="preserve"> periyodu boyunca (aralıklı ölçüm, en az yarım saat anlık numune alımı) ortalama olarak belirlenir.</w:t>
      </w:r>
    </w:p>
    <w:p w14:paraId="122C6130" w14:textId="77777777" w:rsidR="00A04EE1" w:rsidRPr="00D53A2B" w:rsidRDefault="00A04EE1" w:rsidP="00A202FD">
      <w:pPr>
        <w:jc w:val="both"/>
      </w:pPr>
    </w:p>
    <w:p w14:paraId="6FD0B6C1" w14:textId="104B4BAB" w:rsidR="00A04EE1" w:rsidRPr="00D53A2B" w:rsidRDefault="00B54DAF" w:rsidP="00A202FD">
      <w:pPr>
        <w:pStyle w:val="Balk4"/>
        <w:rPr>
          <w:rFonts w:cs="Times New Roman"/>
        </w:rPr>
      </w:pPr>
      <w:r w:rsidRPr="00D53A2B">
        <w:rPr>
          <w:rFonts w:cs="Times New Roman"/>
        </w:rPr>
        <w:t xml:space="preserve">7.2. </w:t>
      </w:r>
      <w:r w:rsidR="00E42653" w:rsidRPr="00D53A2B">
        <w:rPr>
          <w:rFonts w:cs="Times New Roman"/>
        </w:rPr>
        <w:t>Su ve atıksu</w:t>
      </w:r>
    </w:p>
    <w:p w14:paraId="5A290A49" w14:textId="5A28CDE6" w:rsidR="00A04EE1" w:rsidRPr="00D53A2B" w:rsidRDefault="00496080" w:rsidP="00A202FD">
      <w:pPr>
        <w:pStyle w:val="MET"/>
        <w:rPr>
          <w:b w:val="0"/>
          <w:bCs/>
          <w:szCs w:val="24"/>
        </w:rPr>
      </w:pPr>
      <w:r w:rsidRPr="00D53A2B">
        <w:rPr>
          <w:szCs w:val="24"/>
        </w:rPr>
        <w:t xml:space="preserve">MET 91: </w:t>
      </w:r>
      <w:r w:rsidRPr="00D53A2B">
        <w:rPr>
          <w:b w:val="0"/>
          <w:bCs/>
          <w:szCs w:val="24"/>
        </w:rPr>
        <w:t>Tek geçişli soğutma sistemleri kullanılmadığı takdirde, fırın cihazlarının soğutulması için kapalı devre su soğutma sistemlerinin kullanılması yoluyla elektrik ark ocağı (EAF) prosesinden kaynaklanan su tüketimi mümkün olduğunca en aza indir</w:t>
      </w:r>
      <w:r w:rsidR="00B54DAF" w:rsidRPr="00D53A2B">
        <w:rPr>
          <w:b w:val="0"/>
          <w:bCs/>
          <w:szCs w:val="24"/>
        </w:rPr>
        <w:t>ilir</w:t>
      </w:r>
      <w:r w:rsidRPr="00D53A2B">
        <w:rPr>
          <w:b w:val="0"/>
          <w:bCs/>
          <w:szCs w:val="24"/>
        </w:rPr>
        <w:t>.</w:t>
      </w:r>
    </w:p>
    <w:p w14:paraId="4719DCCE" w14:textId="77777777" w:rsidR="00496080" w:rsidRPr="00D53A2B" w:rsidRDefault="00496080" w:rsidP="00A202FD">
      <w:pPr>
        <w:jc w:val="both"/>
      </w:pPr>
    </w:p>
    <w:p w14:paraId="06AAABAB" w14:textId="7A43D983" w:rsidR="00496080" w:rsidRPr="00D53A2B" w:rsidRDefault="00496080" w:rsidP="00A202FD">
      <w:pPr>
        <w:pStyle w:val="MET"/>
        <w:rPr>
          <w:szCs w:val="24"/>
        </w:rPr>
      </w:pPr>
      <w:r w:rsidRPr="00D53A2B">
        <w:rPr>
          <w:szCs w:val="24"/>
        </w:rPr>
        <w:t xml:space="preserve">MET 92: </w:t>
      </w:r>
      <w:r w:rsidRPr="00D53A2B">
        <w:rPr>
          <w:b w:val="0"/>
          <w:bCs/>
          <w:szCs w:val="24"/>
        </w:rPr>
        <w:t>Aşağıdaki tekniklerin bir arada kullanılmasıyla sürekli dökümden kaynaklanan atıksu deşarjı en aza indir</w:t>
      </w:r>
      <w:r w:rsidR="00B54DAF" w:rsidRPr="00D53A2B">
        <w:rPr>
          <w:b w:val="0"/>
          <w:bCs/>
          <w:szCs w:val="24"/>
        </w:rPr>
        <w:t>ilir</w:t>
      </w:r>
      <w:r w:rsidRPr="00D53A2B">
        <w:rPr>
          <w:b w:val="0"/>
          <w:bCs/>
          <w:szCs w:val="24"/>
        </w:rPr>
        <w:t>.</w:t>
      </w:r>
    </w:p>
    <w:p w14:paraId="7B5335B9" w14:textId="030A5765" w:rsidR="00496080" w:rsidRPr="00D53A2B" w:rsidRDefault="00496080" w:rsidP="00602365">
      <w:pPr>
        <w:pStyle w:val="ListeParagraf"/>
        <w:numPr>
          <w:ilvl w:val="0"/>
          <w:numId w:val="150"/>
        </w:numPr>
        <w:tabs>
          <w:tab w:val="clear" w:pos="567"/>
        </w:tabs>
        <w:spacing w:line="240" w:lineRule="auto"/>
        <w:ind w:left="567" w:hanging="578"/>
        <w:rPr>
          <w:sz w:val="24"/>
          <w:szCs w:val="24"/>
        </w:rPr>
      </w:pPr>
      <w:r w:rsidRPr="00D53A2B">
        <w:rPr>
          <w:sz w:val="24"/>
          <w:szCs w:val="24"/>
        </w:rPr>
        <w:t>katıların flokülasyon, sedimantasyon ve/veya filtrasyon yoluyla uzaklaştırılması</w:t>
      </w:r>
    </w:p>
    <w:p w14:paraId="7D440A64" w14:textId="7443364E" w:rsidR="00496080" w:rsidRPr="00D53A2B" w:rsidRDefault="00496080" w:rsidP="00602365">
      <w:pPr>
        <w:pStyle w:val="ListeParagraf"/>
        <w:numPr>
          <w:ilvl w:val="0"/>
          <w:numId w:val="150"/>
        </w:numPr>
        <w:tabs>
          <w:tab w:val="clear" w:pos="567"/>
        </w:tabs>
        <w:spacing w:line="240" w:lineRule="auto"/>
        <w:ind w:left="567" w:hanging="578"/>
        <w:rPr>
          <w:sz w:val="24"/>
          <w:szCs w:val="24"/>
        </w:rPr>
      </w:pPr>
      <w:r w:rsidRPr="00D53A2B">
        <w:rPr>
          <w:sz w:val="24"/>
          <w:szCs w:val="24"/>
        </w:rPr>
        <w:t>yağın, sıyırma tanklarında veya herhangi bir etkili cihazla uzaklaştırılması.</w:t>
      </w:r>
    </w:p>
    <w:p w14:paraId="4C2D6B5A" w14:textId="4DE2D822" w:rsidR="00496080" w:rsidRPr="00D53A2B" w:rsidRDefault="00496080" w:rsidP="00602365">
      <w:pPr>
        <w:pStyle w:val="ListeParagraf"/>
        <w:numPr>
          <w:ilvl w:val="0"/>
          <w:numId w:val="150"/>
        </w:numPr>
        <w:tabs>
          <w:tab w:val="clear" w:pos="567"/>
        </w:tabs>
        <w:spacing w:line="240" w:lineRule="auto"/>
        <w:ind w:left="567" w:hanging="578"/>
        <w:rPr>
          <w:sz w:val="24"/>
          <w:szCs w:val="24"/>
        </w:rPr>
      </w:pPr>
      <w:r w:rsidRPr="00D53A2B">
        <w:rPr>
          <w:sz w:val="24"/>
          <w:szCs w:val="24"/>
        </w:rPr>
        <w:t>soğutma suyu ve vakum üretiminden gelen suyun mümkün olduğunca tekrar sirküle edilmesi.</w:t>
      </w:r>
    </w:p>
    <w:p w14:paraId="507D4F35" w14:textId="77777777" w:rsidR="00496080" w:rsidRPr="00D53A2B" w:rsidRDefault="00496080" w:rsidP="00A202FD">
      <w:pPr>
        <w:jc w:val="both"/>
      </w:pPr>
    </w:p>
    <w:p w14:paraId="6032531E" w14:textId="50D6B4DC" w:rsidR="00496080" w:rsidRPr="00D53A2B" w:rsidRDefault="00496080" w:rsidP="00A202FD">
      <w:pPr>
        <w:jc w:val="both"/>
      </w:pPr>
      <w:r w:rsidRPr="00D53A2B">
        <w:t xml:space="preserve">Sürekli döküm makinelerinden çıkan </w:t>
      </w:r>
      <w:r w:rsidR="00651500" w:rsidRPr="00D53A2B">
        <w:t>atıksu</w:t>
      </w:r>
      <w:r w:rsidRPr="00D53A2B">
        <w:t>için, nitelikli rastgele bir numuneye veya 24 saatlik bir kompozit numuneye dayalı MET ile ilişkili emisyon seviyeleri şunlardır:</w:t>
      </w:r>
    </w:p>
    <w:p w14:paraId="05BA3F45" w14:textId="77777777" w:rsidR="00496080" w:rsidRPr="00D53A2B" w:rsidRDefault="00496080"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askıda katı maddeler</w:t>
      </w:r>
      <w:r w:rsidRPr="00D53A2B">
        <w:rPr>
          <w:rStyle w:val="Gvdemetni3a"/>
          <w:sz w:val="24"/>
          <w:szCs w:val="24"/>
        </w:rPr>
        <w:tab/>
        <w:t>&lt;20 mg/l</w:t>
      </w:r>
    </w:p>
    <w:p w14:paraId="5519F40F" w14:textId="77777777" w:rsidR="00496080" w:rsidRPr="00D53A2B" w:rsidRDefault="00496080"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demir</w:t>
      </w:r>
      <w:r w:rsidRPr="00D53A2B">
        <w:rPr>
          <w:rStyle w:val="Gvdemetni3a"/>
          <w:sz w:val="24"/>
          <w:szCs w:val="24"/>
        </w:rPr>
        <w:tab/>
      </w:r>
      <w:r w:rsidRPr="00D53A2B">
        <w:rPr>
          <w:rStyle w:val="Gvdemetni3a"/>
          <w:sz w:val="24"/>
          <w:szCs w:val="24"/>
        </w:rPr>
        <w:tab/>
      </w:r>
      <w:r w:rsidRPr="00D53A2B">
        <w:rPr>
          <w:rStyle w:val="Gvdemetni3a"/>
          <w:sz w:val="24"/>
          <w:szCs w:val="24"/>
        </w:rPr>
        <w:tab/>
        <w:t>&lt;5 mg/l</w:t>
      </w:r>
    </w:p>
    <w:p w14:paraId="5FB4D3EA" w14:textId="77777777" w:rsidR="00496080" w:rsidRPr="00D53A2B" w:rsidRDefault="00496080"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çinko</w:t>
      </w:r>
      <w:r w:rsidRPr="00D53A2B">
        <w:rPr>
          <w:rStyle w:val="Gvdemetni3a"/>
          <w:sz w:val="24"/>
          <w:szCs w:val="24"/>
        </w:rPr>
        <w:tab/>
      </w:r>
      <w:r w:rsidRPr="00D53A2B">
        <w:rPr>
          <w:rStyle w:val="Gvdemetni3a"/>
          <w:sz w:val="24"/>
          <w:szCs w:val="24"/>
        </w:rPr>
        <w:tab/>
      </w:r>
      <w:r w:rsidRPr="00D53A2B">
        <w:rPr>
          <w:rStyle w:val="Gvdemetni3a"/>
          <w:sz w:val="24"/>
          <w:szCs w:val="24"/>
        </w:rPr>
        <w:tab/>
        <w:t>&lt;2 mg/l</w:t>
      </w:r>
    </w:p>
    <w:p w14:paraId="3732AA80" w14:textId="77777777" w:rsidR="00496080" w:rsidRPr="00D53A2B" w:rsidRDefault="00496080"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nikel</w:t>
      </w:r>
      <w:r w:rsidRPr="00D53A2B">
        <w:rPr>
          <w:rStyle w:val="Gvdemetni3a"/>
          <w:sz w:val="24"/>
          <w:szCs w:val="24"/>
        </w:rPr>
        <w:tab/>
      </w:r>
      <w:r w:rsidRPr="00D53A2B">
        <w:rPr>
          <w:rStyle w:val="Gvdemetni3a"/>
          <w:sz w:val="24"/>
          <w:szCs w:val="24"/>
        </w:rPr>
        <w:tab/>
      </w:r>
      <w:r w:rsidRPr="00D53A2B">
        <w:rPr>
          <w:rStyle w:val="Gvdemetni3a"/>
          <w:sz w:val="24"/>
          <w:szCs w:val="24"/>
        </w:rPr>
        <w:tab/>
        <w:t>&lt;0,5 mg/l</w:t>
      </w:r>
    </w:p>
    <w:p w14:paraId="2DC3B8F5" w14:textId="77777777" w:rsidR="00496080" w:rsidRPr="00D53A2B" w:rsidRDefault="00496080"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toplam krom</w:t>
      </w:r>
      <w:r w:rsidRPr="00D53A2B">
        <w:rPr>
          <w:rStyle w:val="Gvdemetni3a"/>
          <w:sz w:val="24"/>
          <w:szCs w:val="24"/>
        </w:rPr>
        <w:tab/>
      </w:r>
      <w:r w:rsidRPr="00D53A2B">
        <w:rPr>
          <w:rStyle w:val="Gvdemetni3a"/>
          <w:sz w:val="24"/>
          <w:szCs w:val="24"/>
        </w:rPr>
        <w:tab/>
        <w:t>&lt;0,5 mg/l</w:t>
      </w:r>
    </w:p>
    <w:p w14:paraId="489B5B48" w14:textId="77777777" w:rsidR="00496080" w:rsidRPr="00D53A2B" w:rsidRDefault="00496080" w:rsidP="00602365">
      <w:pPr>
        <w:pStyle w:val="ListeParagraf"/>
        <w:numPr>
          <w:ilvl w:val="0"/>
          <w:numId w:val="145"/>
        </w:numPr>
        <w:tabs>
          <w:tab w:val="clear" w:pos="567"/>
        </w:tabs>
        <w:spacing w:line="240" w:lineRule="auto"/>
        <w:ind w:left="426" w:hanging="426"/>
        <w:rPr>
          <w:rStyle w:val="Gvdemetni3a"/>
          <w:sz w:val="24"/>
          <w:szCs w:val="24"/>
        </w:rPr>
      </w:pPr>
      <w:r w:rsidRPr="00D53A2B">
        <w:rPr>
          <w:rStyle w:val="Gvdemetni3a"/>
          <w:sz w:val="24"/>
          <w:szCs w:val="24"/>
        </w:rPr>
        <w:t>toplam hidrokarbonlar</w:t>
      </w:r>
      <w:r w:rsidRPr="00D53A2B">
        <w:rPr>
          <w:rStyle w:val="Gvdemetni3a"/>
          <w:sz w:val="24"/>
          <w:szCs w:val="24"/>
        </w:rPr>
        <w:tab/>
        <w:t>&lt;5 mg/l</w:t>
      </w:r>
    </w:p>
    <w:p w14:paraId="7B0E0D5F" w14:textId="77777777" w:rsidR="00496080" w:rsidRPr="00D53A2B" w:rsidRDefault="00496080" w:rsidP="00A202FD">
      <w:pPr>
        <w:jc w:val="both"/>
      </w:pPr>
    </w:p>
    <w:p w14:paraId="5DC069FD" w14:textId="1786FC9C" w:rsidR="00496080" w:rsidRPr="00D53A2B" w:rsidRDefault="00B54DAF" w:rsidP="00A202FD">
      <w:pPr>
        <w:pStyle w:val="Balk4"/>
        <w:rPr>
          <w:rFonts w:cs="Times New Roman"/>
        </w:rPr>
      </w:pPr>
      <w:r w:rsidRPr="00D53A2B">
        <w:rPr>
          <w:rFonts w:cs="Times New Roman"/>
        </w:rPr>
        <w:t xml:space="preserve">7.3. </w:t>
      </w:r>
      <w:r w:rsidR="00496080" w:rsidRPr="00D53A2B">
        <w:rPr>
          <w:rFonts w:cs="Times New Roman"/>
        </w:rPr>
        <w:t>Üretim atıkları</w:t>
      </w:r>
    </w:p>
    <w:p w14:paraId="09E1145C" w14:textId="50C552EA" w:rsidR="00496080" w:rsidRPr="00D53A2B" w:rsidRDefault="001538D5" w:rsidP="00A202FD">
      <w:pPr>
        <w:pStyle w:val="MET"/>
        <w:rPr>
          <w:szCs w:val="24"/>
        </w:rPr>
      </w:pPr>
      <w:r w:rsidRPr="00D53A2B">
        <w:rPr>
          <w:szCs w:val="24"/>
        </w:rPr>
        <w:t xml:space="preserve">MET 93: </w:t>
      </w:r>
      <w:r w:rsidRPr="00D53A2B">
        <w:rPr>
          <w:b w:val="0"/>
          <w:bCs/>
          <w:szCs w:val="24"/>
        </w:rPr>
        <w:t>A</w:t>
      </w:r>
      <w:r w:rsidR="00496080" w:rsidRPr="00D53A2B">
        <w:rPr>
          <w:b w:val="0"/>
          <w:bCs/>
          <w:szCs w:val="24"/>
        </w:rPr>
        <w:t>şağıdaki tekniklerden birini veya birkaçını kullanarak atık oluşumu</w:t>
      </w:r>
      <w:r w:rsidR="00B54DAF" w:rsidRPr="00D53A2B">
        <w:rPr>
          <w:b w:val="0"/>
          <w:bCs/>
          <w:szCs w:val="24"/>
        </w:rPr>
        <w:t xml:space="preserve"> önlenir</w:t>
      </w:r>
      <w:r w:rsidR="00496080" w:rsidRPr="00D53A2B">
        <w:rPr>
          <w:b w:val="0"/>
          <w:bCs/>
          <w:szCs w:val="24"/>
        </w:rPr>
        <w:t>:</w:t>
      </w:r>
    </w:p>
    <w:p w14:paraId="14B315DA" w14:textId="0BD644D8" w:rsidR="001538D5" w:rsidRPr="00CC3DCB" w:rsidRDefault="00EE7DD0" w:rsidP="00602365">
      <w:pPr>
        <w:pStyle w:val="ListeParagraf"/>
        <w:numPr>
          <w:ilvl w:val="0"/>
          <w:numId w:val="151"/>
        </w:numPr>
        <w:tabs>
          <w:tab w:val="clear" w:pos="567"/>
        </w:tabs>
        <w:spacing w:line="240" w:lineRule="auto"/>
        <w:ind w:left="567" w:hanging="567"/>
        <w:rPr>
          <w:rStyle w:val="Gvdemetni3a"/>
          <w:color w:val="000000" w:themeColor="text1"/>
          <w:sz w:val="24"/>
          <w:szCs w:val="24"/>
        </w:rPr>
      </w:pPr>
      <w:r w:rsidRPr="00CC3DCB">
        <w:rPr>
          <w:rStyle w:val="Gvdemetni3a"/>
          <w:color w:val="000000" w:themeColor="text1"/>
          <w:sz w:val="24"/>
          <w:szCs w:val="24"/>
        </w:rPr>
        <w:t>Atık işlemeyi</w:t>
      </w:r>
      <w:r w:rsidR="001538D5" w:rsidRPr="00CC3DCB">
        <w:rPr>
          <w:rStyle w:val="Gvdemetni3a"/>
          <w:color w:val="000000" w:themeColor="text1"/>
          <w:sz w:val="24"/>
          <w:szCs w:val="24"/>
        </w:rPr>
        <w:t xml:space="preserve"> kolaylaştırmak için uygun toplama ve depolama</w:t>
      </w:r>
    </w:p>
    <w:p w14:paraId="1ABBE963" w14:textId="561F9D5F" w:rsidR="00496080" w:rsidRPr="00CC3DCB" w:rsidRDefault="001538D5" w:rsidP="00602365">
      <w:pPr>
        <w:pStyle w:val="ListeParagraf"/>
        <w:numPr>
          <w:ilvl w:val="0"/>
          <w:numId w:val="151"/>
        </w:numPr>
        <w:tabs>
          <w:tab w:val="clear" w:pos="567"/>
        </w:tabs>
        <w:spacing w:line="240" w:lineRule="auto"/>
        <w:ind w:left="567" w:hanging="567"/>
        <w:rPr>
          <w:rStyle w:val="Gvdemetni3a"/>
          <w:color w:val="000000" w:themeColor="text1"/>
          <w:sz w:val="24"/>
          <w:szCs w:val="24"/>
        </w:rPr>
      </w:pPr>
      <w:r w:rsidRPr="00CC3DCB">
        <w:rPr>
          <w:rStyle w:val="Gvdemetni3a"/>
          <w:color w:val="000000" w:themeColor="text1"/>
          <w:sz w:val="24"/>
          <w:szCs w:val="24"/>
        </w:rPr>
        <w:t>Farklı proseslerden ve dahili kullanımdan kaynaklanan refrakter malzemelerin geri kazanımı ve yerinde geri dönüşümü, örneğin dolomit, magnezit ve kirecin ikamesi</w:t>
      </w:r>
    </w:p>
    <w:p w14:paraId="3C60FB2E" w14:textId="1F88DDC1" w:rsidR="001538D5" w:rsidRPr="00CC3DCB" w:rsidRDefault="001538D5" w:rsidP="00602365">
      <w:pPr>
        <w:pStyle w:val="ListeParagraf"/>
        <w:numPr>
          <w:ilvl w:val="0"/>
          <w:numId w:val="151"/>
        </w:numPr>
        <w:tabs>
          <w:tab w:val="clear" w:pos="567"/>
        </w:tabs>
        <w:spacing w:line="240" w:lineRule="auto"/>
        <w:ind w:left="567" w:hanging="567"/>
        <w:rPr>
          <w:color w:val="000000" w:themeColor="text1"/>
          <w:sz w:val="24"/>
          <w:szCs w:val="24"/>
        </w:rPr>
      </w:pPr>
      <w:r w:rsidRPr="00CC3DCB">
        <w:rPr>
          <w:color w:val="000000" w:themeColor="text1"/>
          <w:sz w:val="24"/>
          <w:szCs w:val="24"/>
        </w:rPr>
        <w:t>Demir dışı metaller sanayiinde çinko gibi demir dışı metallerin dış ortamda geri kazanımı için filtre tozlarının kullanılması, gerektiğinde filtre tozlarının elektrik ark ocağına (EAF) geri kazandırılarak zenginleştirilmesi</w:t>
      </w:r>
    </w:p>
    <w:p w14:paraId="58666FEC" w14:textId="3968F6A4" w:rsidR="001538D5" w:rsidRPr="00D53A2B" w:rsidRDefault="001538D5" w:rsidP="00602365">
      <w:pPr>
        <w:pStyle w:val="ListeParagraf"/>
        <w:numPr>
          <w:ilvl w:val="0"/>
          <w:numId w:val="151"/>
        </w:numPr>
        <w:tabs>
          <w:tab w:val="clear" w:pos="567"/>
        </w:tabs>
        <w:spacing w:line="240" w:lineRule="auto"/>
        <w:ind w:left="567" w:hanging="567"/>
        <w:rPr>
          <w:sz w:val="24"/>
          <w:szCs w:val="24"/>
        </w:rPr>
      </w:pPr>
      <w:r w:rsidRPr="00CC3DCB">
        <w:rPr>
          <w:color w:val="000000" w:themeColor="text1"/>
          <w:sz w:val="24"/>
          <w:szCs w:val="24"/>
        </w:rPr>
        <w:t xml:space="preserve">Su arıtma prosesinde </w:t>
      </w:r>
      <w:r w:rsidRPr="00D53A2B">
        <w:rPr>
          <w:sz w:val="24"/>
          <w:szCs w:val="24"/>
        </w:rPr>
        <w:t>sürekli dökümden çıkan kirecin ayrıştırılması ve daha sonra geri dönüştürülerek geri kazanılması, örneğin sinter/yüksek fırın veya çimento endüstrisinde</w:t>
      </w:r>
    </w:p>
    <w:p w14:paraId="7DA3AF61" w14:textId="7C007A83" w:rsidR="001538D5" w:rsidRPr="00D53A2B" w:rsidRDefault="001538D5" w:rsidP="00602365">
      <w:pPr>
        <w:pStyle w:val="ListeParagraf"/>
        <w:numPr>
          <w:ilvl w:val="0"/>
          <w:numId w:val="151"/>
        </w:numPr>
        <w:tabs>
          <w:tab w:val="clear" w:pos="567"/>
        </w:tabs>
        <w:spacing w:line="240" w:lineRule="auto"/>
        <w:ind w:left="567" w:hanging="567"/>
        <w:rPr>
          <w:sz w:val="24"/>
          <w:szCs w:val="24"/>
        </w:rPr>
      </w:pPr>
      <w:r w:rsidRPr="00D53A2B">
        <w:rPr>
          <w:sz w:val="24"/>
          <w:szCs w:val="24"/>
        </w:rPr>
        <w:lastRenderedPageBreak/>
        <w:t>Elektrik ark ocağı (EAF) prosesinden çıkan refrakter malzemelerin ve cürufun, piyasa koşullarının uygun olduğu durumlarda ikincil hammadde olarak harici kullanımı.</w:t>
      </w:r>
    </w:p>
    <w:p w14:paraId="19A77ADD" w14:textId="77777777" w:rsidR="00496080" w:rsidRPr="00D53A2B" w:rsidRDefault="00496080" w:rsidP="00A202FD">
      <w:pPr>
        <w:jc w:val="both"/>
      </w:pPr>
    </w:p>
    <w:p w14:paraId="7B40EB32" w14:textId="7D906558" w:rsidR="00496080" w:rsidRPr="00D53A2B" w:rsidRDefault="00AB3EF1" w:rsidP="00A202FD">
      <w:pPr>
        <w:jc w:val="both"/>
      </w:pPr>
      <w:r w:rsidRPr="00D53A2B">
        <w:t>MET</w:t>
      </w:r>
      <w:r w:rsidR="001538D5" w:rsidRPr="00D53A2B">
        <w:t>, ne önlenebilen ne de geri dönüştürülebilen EAF işlem atıklarının kontrollü bir şekilde yönetilmesidir.</w:t>
      </w:r>
    </w:p>
    <w:p w14:paraId="00EF7C8F" w14:textId="77777777" w:rsidR="00496080" w:rsidRPr="00D53A2B" w:rsidRDefault="00496080" w:rsidP="00A202FD">
      <w:pPr>
        <w:jc w:val="both"/>
      </w:pPr>
    </w:p>
    <w:p w14:paraId="0769F631" w14:textId="2805D051" w:rsidR="00A04EE1" w:rsidRPr="00D53A2B" w:rsidRDefault="001538D5" w:rsidP="00A202FD">
      <w:pPr>
        <w:jc w:val="both"/>
        <w:rPr>
          <w:b/>
          <w:bCs/>
        </w:rPr>
      </w:pPr>
      <w:r w:rsidRPr="00D53A2B">
        <w:rPr>
          <w:b/>
          <w:bCs/>
        </w:rPr>
        <w:t>Uygulanabilirlik</w:t>
      </w:r>
    </w:p>
    <w:p w14:paraId="483D32D0" w14:textId="66936162" w:rsidR="001538D5" w:rsidRPr="00D53A2B" w:rsidRDefault="00651500" w:rsidP="00A202FD">
      <w:pPr>
        <w:jc w:val="both"/>
      </w:pPr>
      <w:r w:rsidRPr="00D53A2B">
        <w:t>MET</w:t>
      </w:r>
      <w:r w:rsidR="001538D5" w:rsidRPr="00D53A2B">
        <w:t>III-V kapsamında belirtilen üretim artıklarının harici kullanımı veya geri dönüşümü, işletmecinin kontrolü dışında olabilecek üçüncü bir tarafın işbirliği ve mutabakatı ile mümkündür ve bu nedenle izin kapsamında olmayabilir.</w:t>
      </w:r>
    </w:p>
    <w:p w14:paraId="356FA3DE" w14:textId="77777777" w:rsidR="001538D5" w:rsidRPr="00D53A2B" w:rsidRDefault="001538D5" w:rsidP="00A202FD">
      <w:pPr>
        <w:jc w:val="both"/>
      </w:pPr>
    </w:p>
    <w:p w14:paraId="6BF498C6" w14:textId="3B473B24" w:rsidR="001538D5" w:rsidRPr="00D53A2B" w:rsidRDefault="00AB3EF1" w:rsidP="00A202FD">
      <w:pPr>
        <w:pStyle w:val="Balk4"/>
        <w:rPr>
          <w:rFonts w:cs="Times New Roman"/>
        </w:rPr>
      </w:pPr>
      <w:r w:rsidRPr="00D53A2B">
        <w:rPr>
          <w:rFonts w:cs="Times New Roman"/>
        </w:rPr>
        <w:t xml:space="preserve">7.4. </w:t>
      </w:r>
      <w:r w:rsidR="001538D5" w:rsidRPr="00D53A2B">
        <w:rPr>
          <w:rFonts w:cs="Times New Roman"/>
        </w:rPr>
        <w:t>Enerji</w:t>
      </w:r>
    </w:p>
    <w:p w14:paraId="09EB7151" w14:textId="4FFDDFFB" w:rsidR="001538D5" w:rsidRPr="00D53A2B" w:rsidRDefault="001538D5" w:rsidP="00A202FD">
      <w:pPr>
        <w:pStyle w:val="MET"/>
        <w:rPr>
          <w:szCs w:val="24"/>
        </w:rPr>
      </w:pPr>
      <w:r w:rsidRPr="00D53A2B">
        <w:rPr>
          <w:szCs w:val="24"/>
        </w:rPr>
        <w:t xml:space="preserve">MET 94: </w:t>
      </w:r>
      <w:r w:rsidRPr="00D53A2B">
        <w:rPr>
          <w:b w:val="0"/>
          <w:bCs/>
          <w:szCs w:val="24"/>
        </w:rPr>
        <w:t>Üretilen çelik sınıflarının kalitesi ve ürün karışımı için uygunsa, net şekle yakın sürekli şerit dökümü kullanarak enerji tüketimi</w:t>
      </w:r>
      <w:r w:rsidR="00AB3EF1" w:rsidRPr="00D53A2B">
        <w:rPr>
          <w:b w:val="0"/>
          <w:bCs/>
          <w:szCs w:val="24"/>
        </w:rPr>
        <w:t xml:space="preserve"> azaltılır</w:t>
      </w:r>
      <w:r w:rsidRPr="00D53A2B">
        <w:rPr>
          <w:b w:val="0"/>
          <w:bCs/>
          <w:szCs w:val="24"/>
        </w:rPr>
        <w:t>.</w:t>
      </w:r>
    </w:p>
    <w:p w14:paraId="0C9599DD" w14:textId="77777777" w:rsidR="001538D5" w:rsidRPr="00D53A2B" w:rsidRDefault="001538D5" w:rsidP="00A202FD">
      <w:pPr>
        <w:jc w:val="both"/>
      </w:pPr>
    </w:p>
    <w:p w14:paraId="423678E6" w14:textId="18E3BCCD" w:rsidR="001538D5" w:rsidRPr="00D53A2B" w:rsidRDefault="00AD7C18" w:rsidP="00A202FD">
      <w:pPr>
        <w:jc w:val="both"/>
        <w:rPr>
          <w:b/>
          <w:bCs/>
        </w:rPr>
      </w:pPr>
      <w:r w:rsidRPr="00D53A2B">
        <w:rPr>
          <w:b/>
          <w:bCs/>
        </w:rPr>
        <w:t>Tanım</w:t>
      </w:r>
    </w:p>
    <w:p w14:paraId="3E77A4CD" w14:textId="61860FEB" w:rsidR="001538D5" w:rsidRPr="00D53A2B" w:rsidRDefault="00AD7C18" w:rsidP="00A202FD">
      <w:pPr>
        <w:jc w:val="both"/>
      </w:pPr>
      <w:r w:rsidRPr="00D53A2B">
        <w:t>Net şekle yakın şerit dökümü, çeliğin 15 mm</w:t>
      </w:r>
      <w:r w:rsidR="00E56504" w:rsidRPr="00D53A2B">
        <w:t>’</w:t>
      </w:r>
      <w:r w:rsidRPr="00D53A2B">
        <w:t>den daha az kalınlıktaki şeritlere sürekli olarak dökümü anlamına gelir. Döküm işlemi, geleneksel döküm teknikleri için kullanılan ara yeniden ısıtma fırını olmadan şeritlerin doğrudan sıcak haddelenmesi, soğutulması ve sarılmasıyla birleştirilir, örneğin levhaların veya ince levhaların sürekli dökümü. Bu nedenle, şerit döküm, 2 mm</w:t>
      </w:r>
      <w:r w:rsidR="00E56504" w:rsidRPr="00D53A2B">
        <w:t>’</w:t>
      </w:r>
      <w:r w:rsidRPr="00D53A2B">
        <w:t>den daha az farklı genişlik ve kalınlıklarda yassı çelik şeritler üretmek için bir tekniği temsil eder.</w:t>
      </w:r>
    </w:p>
    <w:p w14:paraId="1AC8048C" w14:textId="77777777" w:rsidR="001538D5" w:rsidRPr="00D53A2B" w:rsidRDefault="001538D5" w:rsidP="00A202FD">
      <w:pPr>
        <w:jc w:val="both"/>
      </w:pPr>
    </w:p>
    <w:p w14:paraId="0524CC8B" w14:textId="42EF6823" w:rsidR="00AD7C18" w:rsidRPr="00D53A2B" w:rsidRDefault="00AD7C18" w:rsidP="00A202FD">
      <w:pPr>
        <w:jc w:val="both"/>
        <w:rPr>
          <w:b/>
          <w:bCs/>
        </w:rPr>
      </w:pPr>
      <w:r w:rsidRPr="00D53A2B">
        <w:rPr>
          <w:b/>
          <w:bCs/>
        </w:rPr>
        <w:t>Uygulanabilirlik</w:t>
      </w:r>
    </w:p>
    <w:p w14:paraId="57C80631" w14:textId="3C48DBA5" w:rsidR="00AD7C18" w:rsidRPr="00D53A2B" w:rsidRDefault="00AD7C18" w:rsidP="00A202FD">
      <w:pPr>
        <w:jc w:val="both"/>
      </w:pPr>
      <w:r w:rsidRPr="00D53A2B">
        <w:t>Uygulanabilirlik, üretilen çelik kalitelerine (örneğin, bu işlemle ağır levhalar üretilemez) ve bireysel çelik tesisinin ürün portföyüne (ürün karışımı) bağlıdır. Mevcut tesislerde, uygulanabilirlik düzen ve mevcut alan tarafından kısıtlanabilir, örneğin, şerit döküm makinesiyle yeniden donatma yaklaşık 100 m uzunluk gerektirir.</w:t>
      </w:r>
    </w:p>
    <w:p w14:paraId="025032DC" w14:textId="77777777" w:rsidR="00AD7C18" w:rsidRPr="00D53A2B" w:rsidRDefault="00AD7C18" w:rsidP="00A202FD">
      <w:pPr>
        <w:jc w:val="both"/>
      </w:pPr>
    </w:p>
    <w:p w14:paraId="2D13F9CE" w14:textId="3330C977" w:rsidR="00AD7C18" w:rsidRPr="00D53A2B" w:rsidRDefault="00AB3EF1" w:rsidP="00A202FD">
      <w:pPr>
        <w:pStyle w:val="Balk4"/>
        <w:rPr>
          <w:rFonts w:cs="Times New Roman"/>
        </w:rPr>
      </w:pPr>
      <w:r w:rsidRPr="00D53A2B">
        <w:rPr>
          <w:rFonts w:cs="Times New Roman"/>
        </w:rPr>
        <w:t xml:space="preserve">7.5. </w:t>
      </w:r>
      <w:r w:rsidR="00FA0CC9" w:rsidRPr="00D53A2B">
        <w:rPr>
          <w:rFonts w:cs="Times New Roman"/>
        </w:rPr>
        <w:t>Gürültü</w:t>
      </w:r>
    </w:p>
    <w:p w14:paraId="5D446C6A" w14:textId="5B6E5164" w:rsidR="00AD7C18" w:rsidRPr="00D53A2B" w:rsidRDefault="00FA0CC9" w:rsidP="00A202FD">
      <w:pPr>
        <w:pStyle w:val="MET"/>
        <w:rPr>
          <w:szCs w:val="24"/>
        </w:rPr>
      </w:pPr>
      <w:r w:rsidRPr="00D53A2B">
        <w:rPr>
          <w:szCs w:val="24"/>
        </w:rPr>
        <w:t xml:space="preserve">MET 95: </w:t>
      </w:r>
      <w:r w:rsidRPr="00D53A2B">
        <w:rPr>
          <w:b w:val="0"/>
          <w:bCs/>
          <w:szCs w:val="24"/>
        </w:rPr>
        <w:t>Yerel koşullara bağlı olarak ve bunlara göre (MET 18</w:t>
      </w:r>
      <w:r w:rsidR="00E56504" w:rsidRPr="00D53A2B">
        <w:rPr>
          <w:b w:val="0"/>
          <w:bCs/>
          <w:szCs w:val="24"/>
        </w:rPr>
        <w:t>’</w:t>
      </w:r>
      <w:r w:rsidRPr="00D53A2B">
        <w:rPr>
          <w:b w:val="0"/>
          <w:bCs/>
          <w:szCs w:val="24"/>
        </w:rPr>
        <w:t>de listelenen tekniklerin kullanılmasına ek olarak) aşağıdaki yapısal ve işletme tekniklerinin bir kombinasyonunu kullanarak, yüksek ses enerjileri üreten elektrik ark ocağı (EAF) tesisleri ve işlemlerinden kaynaklanan gürültü emisyonları</w:t>
      </w:r>
      <w:r w:rsidR="00AB3EF1" w:rsidRPr="00D53A2B">
        <w:rPr>
          <w:b w:val="0"/>
          <w:bCs/>
          <w:szCs w:val="24"/>
        </w:rPr>
        <w:t xml:space="preserve"> azaltılır</w:t>
      </w:r>
      <w:r w:rsidRPr="00D53A2B">
        <w:rPr>
          <w:b w:val="0"/>
          <w:bCs/>
          <w:szCs w:val="24"/>
        </w:rPr>
        <w:t>:</w:t>
      </w:r>
    </w:p>
    <w:p w14:paraId="6CA9900F" w14:textId="43F51996" w:rsidR="00AD7C18" w:rsidRPr="00D53A2B" w:rsidRDefault="00FA0CC9" w:rsidP="00602365">
      <w:pPr>
        <w:pStyle w:val="ListeParagraf"/>
        <w:numPr>
          <w:ilvl w:val="0"/>
          <w:numId w:val="152"/>
        </w:numPr>
        <w:tabs>
          <w:tab w:val="clear" w:pos="567"/>
        </w:tabs>
        <w:spacing w:line="240" w:lineRule="auto"/>
        <w:ind w:left="567" w:hanging="567"/>
        <w:rPr>
          <w:sz w:val="24"/>
          <w:szCs w:val="24"/>
        </w:rPr>
      </w:pPr>
      <w:r w:rsidRPr="00D53A2B">
        <w:rPr>
          <w:sz w:val="24"/>
          <w:szCs w:val="24"/>
        </w:rPr>
        <w:t>Elektrik ark ocağı (EAO) binası, ocağın çalışmasından kaynaklanan mekanik şoklardan kaynaklanan gürültüyü absorbe edecek şekilde inşa edilmelidir</w:t>
      </w:r>
    </w:p>
    <w:p w14:paraId="6EB72FD9" w14:textId="623C12BF" w:rsidR="00FA0CC9" w:rsidRPr="00D53A2B" w:rsidRDefault="00FA0CC9" w:rsidP="00602365">
      <w:pPr>
        <w:pStyle w:val="ListeParagraf"/>
        <w:numPr>
          <w:ilvl w:val="0"/>
          <w:numId w:val="152"/>
        </w:numPr>
        <w:tabs>
          <w:tab w:val="clear" w:pos="567"/>
        </w:tabs>
        <w:spacing w:line="240" w:lineRule="auto"/>
        <w:ind w:left="567" w:hanging="567"/>
        <w:rPr>
          <w:sz w:val="24"/>
          <w:szCs w:val="24"/>
        </w:rPr>
      </w:pPr>
      <w:r w:rsidRPr="00D53A2B">
        <w:rPr>
          <w:sz w:val="24"/>
          <w:szCs w:val="24"/>
        </w:rPr>
        <w:t>Şarj sepetlerini taşımak için mekanik şokları önlemek amacıyla vinçlerin inşa edilmesi ve kurulması</w:t>
      </w:r>
    </w:p>
    <w:p w14:paraId="095CDC13" w14:textId="4080D562" w:rsidR="00FA0CC9" w:rsidRPr="00D53A2B" w:rsidRDefault="00FA0CC9" w:rsidP="00602365">
      <w:pPr>
        <w:pStyle w:val="ListeParagraf"/>
        <w:numPr>
          <w:ilvl w:val="0"/>
          <w:numId w:val="152"/>
        </w:numPr>
        <w:tabs>
          <w:tab w:val="clear" w:pos="567"/>
        </w:tabs>
        <w:spacing w:line="240" w:lineRule="auto"/>
        <w:ind w:left="567" w:hanging="567"/>
        <w:rPr>
          <w:sz w:val="24"/>
          <w:szCs w:val="24"/>
        </w:rPr>
      </w:pPr>
      <w:r w:rsidRPr="00D53A2B">
        <w:rPr>
          <w:sz w:val="24"/>
          <w:szCs w:val="24"/>
        </w:rPr>
        <w:t>Elektrik ark ocağı (EAF) binasının havadan gelen gürültüsünü önlemek için iç duvar ve çatıların özel akustik izolasyonunun yapılması</w:t>
      </w:r>
    </w:p>
    <w:p w14:paraId="399D2E8C" w14:textId="2CE366A3" w:rsidR="00FA0CC9" w:rsidRPr="00D53A2B" w:rsidRDefault="00FA0CC9" w:rsidP="00602365">
      <w:pPr>
        <w:pStyle w:val="ListeParagraf"/>
        <w:numPr>
          <w:ilvl w:val="0"/>
          <w:numId w:val="152"/>
        </w:numPr>
        <w:tabs>
          <w:tab w:val="clear" w:pos="567"/>
        </w:tabs>
        <w:spacing w:line="240" w:lineRule="auto"/>
        <w:ind w:left="567" w:hanging="567"/>
        <w:rPr>
          <w:sz w:val="24"/>
          <w:szCs w:val="24"/>
        </w:rPr>
      </w:pPr>
      <w:r w:rsidRPr="00D53A2B">
        <w:rPr>
          <w:sz w:val="24"/>
          <w:szCs w:val="24"/>
        </w:rPr>
        <w:t xml:space="preserve">Elektrik ark ocağı (EAF) binasından kaynaklanan yapı kaynaklı gürültüyü azaltmak için fırın </w:t>
      </w:r>
      <w:r w:rsidR="00283363" w:rsidRPr="00D53A2B">
        <w:rPr>
          <w:sz w:val="24"/>
          <w:szCs w:val="24"/>
        </w:rPr>
        <w:t>ve</w:t>
      </w:r>
      <w:r w:rsidRPr="00D53A2B">
        <w:rPr>
          <w:sz w:val="24"/>
          <w:szCs w:val="24"/>
        </w:rPr>
        <w:t xml:space="preserve"> dış duvarın ayrılması</w:t>
      </w:r>
    </w:p>
    <w:p w14:paraId="15864EFA" w14:textId="543B1376" w:rsidR="000B0BF3" w:rsidRPr="00D53A2B" w:rsidRDefault="00283363" w:rsidP="008A08CF">
      <w:pPr>
        <w:pStyle w:val="ListeParagraf"/>
        <w:numPr>
          <w:ilvl w:val="0"/>
          <w:numId w:val="152"/>
        </w:numPr>
        <w:tabs>
          <w:tab w:val="clear" w:pos="567"/>
        </w:tabs>
        <w:spacing w:line="240" w:lineRule="auto"/>
        <w:ind w:left="567" w:hanging="567"/>
        <w:sectPr w:rsidR="000B0BF3" w:rsidRPr="00D53A2B" w:rsidSect="009077F5">
          <w:type w:val="nextColumn"/>
          <w:pgSz w:w="11900" w:h="16840"/>
          <w:pgMar w:top="1418" w:right="1418" w:bottom="1418" w:left="1418" w:header="0" w:footer="0" w:gutter="0"/>
          <w:cols w:space="0" w:equalWidth="0">
            <w:col w:w="8632"/>
          </w:cols>
          <w:docGrid w:linePitch="360"/>
        </w:sectPr>
      </w:pPr>
      <w:r w:rsidRPr="00D53A2B">
        <w:rPr>
          <w:sz w:val="24"/>
          <w:szCs w:val="24"/>
        </w:rPr>
        <w:t>Yüksek ses enerjisi üreten proseslerin (örneğin elektrik ark ocağı (EAF) ve dekarbürizasyon üniteleri) ana bina içerisinde bulunması.</w:t>
      </w:r>
    </w:p>
    <w:p w14:paraId="606FB175" w14:textId="062B63C8" w:rsidR="00195DEF" w:rsidRPr="00D53A2B" w:rsidRDefault="00BB47A2" w:rsidP="00B220B9">
      <w:pPr>
        <w:pStyle w:val="Balk1"/>
        <w:jc w:val="right"/>
        <w:rPr>
          <w:szCs w:val="24"/>
        </w:rPr>
      </w:pPr>
      <w:r w:rsidRPr="00D53A2B">
        <w:rPr>
          <w:szCs w:val="24"/>
        </w:rPr>
        <w:lastRenderedPageBreak/>
        <w:t>EK-3</w:t>
      </w:r>
    </w:p>
    <w:p w14:paraId="2E4A41D1" w14:textId="3EEE74A8" w:rsidR="00FA207E" w:rsidRDefault="00BB47A2" w:rsidP="00AC3EF2">
      <w:pPr>
        <w:pStyle w:val="Balk1"/>
        <w:rPr>
          <w:szCs w:val="24"/>
        </w:rPr>
      </w:pPr>
      <w:r w:rsidRPr="00D53A2B">
        <w:rPr>
          <w:szCs w:val="24"/>
        </w:rPr>
        <w:t>DEMİR</w:t>
      </w:r>
      <w:r w:rsidR="00967077" w:rsidRPr="00D53A2B">
        <w:rPr>
          <w:szCs w:val="24"/>
        </w:rPr>
        <w:t>Lİ</w:t>
      </w:r>
      <w:r w:rsidRPr="00D53A2B">
        <w:rPr>
          <w:szCs w:val="24"/>
        </w:rPr>
        <w:t xml:space="preserve"> METALLERİ İŞLENME</w:t>
      </w:r>
      <w:r w:rsidR="00B0246C" w:rsidRPr="00D53A2B">
        <w:rPr>
          <w:szCs w:val="24"/>
        </w:rPr>
        <w:t xml:space="preserve"> ENDÜSTRİSİ</w:t>
      </w:r>
      <w:r w:rsidRPr="00D53A2B">
        <w:rPr>
          <w:szCs w:val="24"/>
        </w:rPr>
        <w:t xml:space="preserve"> İÇİN MEVCUT EN İYİ TEKNİKLER (MET)</w:t>
      </w:r>
      <w:bookmarkStart w:id="37" w:name="_Hlk23364423"/>
      <w:bookmarkEnd w:id="37"/>
    </w:p>
    <w:p w14:paraId="55DCEB78" w14:textId="0CC8F4C0" w:rsidR="00653B8E" w:rsidRPr="00653B8E" w:rsidRDefault="00653B8E" w:rsidP="009077F5">
      <w:pPr>
        <w:pStyle w:val="ListeParagraf"/>
        <w:numPr>
          <w:ilvl w:val="0"/>
          <w:numId w:val="302"/>
        </w:numPr>
      </w:pPr>
      <w:r w:rsidRPr="00653B8E">
        <w:t>Bu EK Endüstriyel emisyonların Yönetimi Yönetmeliği’nin EK-1 inde yer alan aşağıdaki faaliyetleri kapsar:</w:t>
      </w:r>
    </w:p>
    <w:p w14:paraId="3FA67AE7" w14:textId="77777777" w:rsidR="00714325" w:rsidRDefault="00714325" w:rsidP="009077F5">
      <w:pPr>
        <w:jc w:val="both"/>
      </w:pPr>
    </w:p>
    <w:p w14:paraId="70C5BFDD" w14:textId="048A80E1" w:rsidR="00714325" w:rsidRDefault="00714325" w:rsidP="009077F5">
      <w:pPr>
        <w:pStyle w:val="ListeParagraf"/>
        <w:numPr>
          <w:ilvl w:val="0"/>
          <w:numId w:val="303"/>
        </w:numPr>
      </w:pPr>
      <w:r>
        <w:t>2.3: Demir içeren metallerin işlenmesi:</w:t>
      </w:r>
    </w:p>
    <w:p w14:paraId="6D5E7A38" w14:textId="7FA1278A" w:rsidR="00714325" w:rsidRDefault="00714325" w:rsidP="009077F5">
      <w:pPr>
        <w:pStyle w:val="ListeParagraf"/>
        <w:numPr>
          <w:ilvl w:val="0"/>
          <w:numId w:val="303"/>
        </w:numPr>
      </w:pPr>
      <w:r>
        <w:t>Saat başına ham çelik kapasitesi 20 tonu aşan sıcak haddehanelerin işletilmesi;</w:t>
      </w:r>
    </w:p>
    <w:p w14:paraId="5C8396C6" w14:textId="04054BA4" w:rsidR="00714325" w:rsidRDefault="00714325" w:rsidP="009077F5">
      <w:pPr>
        <w:pStyle w:val="ListeParagraf"/>
        <w:numPr>
          <w:ilvl w:val="0"/>
          <w:numId w:val="303"/>
        </w:numPr>
      </w:pPr>
      <w:r>
        <w:t xml:space="preserve">Saat başına ham çelik kapasitesi 2 tondan yüksek girdisi olan erimiş metallere koruyucu kaplama uygulaması; bu uygulamaya sıcak daldırma ile kaplama ve yığımlı galvanizleme işlemleri de dahildir. </w:t>
      </w:r>
    </w:p>
    <w:p w14:paraId="00DBBB08" w14:textId="049916B9" w:rsidR="00714325" w:rsidRDefault="00714325" w:rsidP="009077F5">
      <w:pPr>
        <w:pStyle w:val="ListeParagraf"/>
        <w:numPr>
          <w:ilvl w:val="0"/>
          <w:numId w:val="303"/>
        </w:numPr>
      </w:pPr>
      <w:r>
        <w:t xml:space="preserve">2.6:  Soğuk haddeleme, tel çekme veya yığımlı galvanizleme işlemleri yapıldığında işlem teknesi hacminin 30 m3’ü aştığı yerlerde demir içerikli metallerin elektrolitik veya kimyasal prosesler kullanılarak yüzey işlemine tabi tutulması. </w:t>
      </w:r>
    </w:p>
    <w:p w14:paraId="08A2C042" w14:textId="61372724" w:rsidR="00714325" w:rsidRDefault="00714325" w:rsidP="009077F5">
      <w:pPr>
        <w:pStyle w:val="ListeParagraf"/>
        <w:numPr>
          <w:ilvl w:val="0"/>
          <w:numId w:val="303"/>
        </w:numPr>
      </w:pPr>
      <w:r>
        <w:t xml:space="preserve">6.11: Başlıca kirlilik yüklerinin, burada bahsi geçen MET sonuçları kapsamındaki faaliyetlerden kaynaklanması şartıyla Kentsel Atıksu Arıtımı Yönetmeliği kapsamında olmayan atık suların bağımsız olarak işletilerek işlenmesi. </w:t>
      </w:r>
    </w:p>
    <w:p w14:paraId="66B646BE" w14:textId="77777777" w:rsidR="00714325" w:rsidRDefault="00714325" w:rsidP="009077F5">
      <w:pPr>
        <w:jc w:val="both"/>
      </w:pPr>
    </w:p>
    <w:p w14:paraId="0F7ED986" w14:textId="177197FF" w:rsidR="00714325" w:rsidRDefault="00F22B58" w:rsidP="009077F5">
      <w:pPr>
        <w:ind w:left="426"/>
        <w:jc w:val="both"/>
      </w:pPr>
      <w:r>
        <w:t xml:space="preserve">2- </w:t>
      </w:r>
      <w:r w:rsidR="00714325">
        <w:t>Burada belirtilen MET sonuçları ayrıca aşağıdakileri de kapsamaktadır:</w:t>
      </w:r>
    </w:p>
    <w:p w14:paraId="106BA1F4" w14:textId="0D8E464F" w:rsidR="00714325" w:rsidRDefault="00714325" w:rsidP="009077F5">
      <w:pPr>
        <w:pStyle w:val="ListeParagraf"/>
        <w:numPr>
          <w:ilvl w:val="0"/>
          <w:numId w:val="305"/>
        </w:numPr>
      </w:pPr>
      <w:r>
        <w:t>Doğrudan sıcak haddeleme ve/veya sıcak daldırmalı kaplama ile ilişkili olması durumunda soğuk haddeleme ve tel çekme.</w:t>
      </w:r>
    </w:p>
    <w:p w14:paraId="0C30D0EE" w14:textId="055536D4" w:rsidR="00714325" w:rsidRDefault="00714325" w:rsidP="009077F5">
      <w:pPr>
        <w:pStyle w:val="ListeParagraf"/>
        <w:numPr>
          <w:ilvl w:val="0"/>
          <w:numId w:val="305"/>
        </w:numPr>
      </w:pPr>
      <w:r>
        <w:t xml:space="preserve">Burada belirtilen MET sonuçları kapsamındaki faaliyetler ile doğrudan ilişkili olması durumunda asit geri kazanımı. </w:t>
      </w:r>
    </w:p>
    <w:p w14:paraId="75A08BF8" w14:textId="328AABDD" w:rsidR="00714325" w:rsidRDefault="00714325" w:rsidP="009077F5">
      <w:pPr>
        <w:pStyle w:val="ListeParagraf"/>
        <w:numPr>
          <w:ilvl w:val="0"/>
          <w:numId w:val="305"/>
        </w:numPr>
      </w:pPr>
      <w:r>
        <w:t>Atık su arıtma işleminin Kentsel Atıksu Arıtımı Yönetmeliği kapsamında olmaması ve başlıca kirlilik yüklerinin, burada belirtilen MET sonuçları kapsamındaki faaliyetlerden kaynaklanması şartıyla farklı kaynaklardan gelen atıksuların kombine bir şekilde işlenmesi.</w:t>
      </w:r>
    </w:p>
    <w:p w14:paraId="2B268D20" w14:textId="45ED0AAD" w:rsidR="00714325" w:rsidRDefault="00714325" w:rsidP="009077F5">
      <w:pPr>
        <w:pStyle w:val="ListeParagraf"/>
        <w:numPr>
          <w:ilvl w:val="0"/>
          <w:numId w:val="305"/>
        </w:numPr>
      </w:pPr>
      <w:r>
        <w:t xml:space="preserve">Yanma prosesinde yer alan gaz halindeki ürünlerin, materyal ile doğrudan temasa girmesi (doğrudan hammadde ısıtma veya doğrudan hammadde kurutma işlemlerinde olduğu gibi) veyahut da </w:t>
      </w:r>
    </w:p>
    <w:p w14:paraId="0100CAFD" w14:textId="633982A5" w:rsidR="00714325" w:rsidRDefault="00714325" w:rsidP="009077F5">
      <w:pPr>
        <w:pStyle w:val="ListeParagraf"/>
        <w:numPr>
          <w:ilvl w:val="0"/>
          <w:numId w:val="305"/>
        </w:numPr>
      </w:pPr>
      <w:r>
        <w:t>Aracı bir ısı transfer akışkanı bulunmadığında (buna galvanizleme kazanının ısınması da dahildir) veya</w:t>
      </w:r>
    </w:p>
    <w:p w14:paraId="1677EE88" w14:textId="24414B8A" w:rsidR="00714325" w:rsidRDefault="00714325" w:rsidP="009077F5">
      <w:pPr>
        <w:pStyle w:val="ListeParagraf"/>
        <w:numPr>
          <w:ilvl w:val="0"/>
          <w:numId w:val="305"/>
        </w:numPr>
      </w:pPr>
      <w:r>
        <w:t>Yığımlı tavlama söz konusu olduğunda bir gazın (ör. H2) aracı ısı transferi akışkanı işlevi görmesi durumunda</w:t>
      </w:r>
    </w:p>
    <w:p w14:paraId="120687BD" w14:textId="4EE4A3FD" w:rsidR="00714325" w:rsidRDefault="00714325" w:rsidP="009077F5">
      <w:pPr>
        <w:pStyle w:val="ListeParagraf"/>
        <w:numPr>
          <w:ilvl w:val="0"/>
          <w:numId w:val="305"/>
        </w:numPr>
      </w:pPr>
      <w:r>
        <w:t>Tek parça bir duvar aracılığıyla ışınım ve/veya iletim yoluyla ısı transferi yapılması (dolaylı ısıtma) şartıyla</w:t>
      </w:r>
    </w:p>
    <w:p w14:paraId="1F9222B5" w14:textId="71017611" w:rsidR="00714325" w:rsidRDefault="00714325" w:rsidP="009077F5">
      <w:pPr>
        <w:pStyle w:val="ListeParagraf"/>
        <w:numPr>
          <w:ilvl w:val="0"/>
          <w:numId w:val="305"/>
        </w:numPr>
      </w:pPr>
      <w:r>
        <w:t>MET sonuçları kapsamındaki faaliyetler ile doğrudan ilişkili olan yanma prosesleri.</w:t>
      </w:r>
    </w:p>
    <w:p w14:paraId="71C7D7B6" w14:textId="77777777" w:rsidR="00714325" w:rsidRDefault="00714325" w:rsidP="009077F5">
      <w:pPr>
        <w:jc w:val="both"/>
      </w:pPr>
    </w:p>
    <w:p w14:paraId="3BAD395E" w14:textId="7784483A" w:rsidR="00714325" w:rsidRDefault="00714325" w:rsidP="009077F5">
      <w:pPr>
        <w:pStyle w:val="ListeParagraf"/>
        <w:numPr>
          <w:ilvl w:val="0"/>
          <w:numId w:val="306"/>
        </w:numPr>
      </w:pPr>
      <w:r>
        <w:t>Burada belirtilen MET sonuçları aşağıdakileri kapsamamaktadır:</w:t>
      </w:r>
    </w:p>
    <w:p w14:paraId="370E00C9" w14:textId="6EBF5ECE" w:rsidR="00714325" w:rsidRDefault="00714325" w:rsidP="009077F5">
      <w:pPr>
        <w:pStyle w:val="ListeParagraf"/>
        <w:numPr>
          <w:ilvl w:val="1"/>
          <w:numId w:val="307"/>
        </w:numPr>
      </w:pPr>
      <w:r>
        <w:t>Isıl püskürtme yöntemiyle metal kaplama;</w:t>
      </w:r>
    </w:p>
    <w:p w14:paraId="2F40DD23" w14:textId="4E4F8064" w:rsidR="00714325" w:rsidRDefault="00714325" w:rsidP="009077F5">
      <w:pPr>
        <w:pStyle w:val="ListeParagraf"/>
        <w:numPr>
          <w:ilvl w:val="1"/>
          <w:numId w:val="307"/>
        </w:numPr>
      </w:pPr>
      <w:r>
        <w:t>Elektrikli ve elektriksiz kaplama; bu konular, Metal ve Plastiklerin Yüzey İşlemleri (STM) MET sonuçları kapsamında olabilir.</w:t>
      </w:r>
    </w:p>
    <w:p w14:paraId="66705171" w14:textId="77777777" w:rsidR="00714325" w:rsidRDefault="00714325" w:rsidP="009077F5">
      <w:pPr>
        <w:jc w:val="both"/>
      </w:pPr>
    </w:p>
    <w:p w14:paraId="2DE60CE0" w14:textId="6DA84DCA" w:rsidR="00714325" w:rsidRDefault="00F22B58" w:rsidP="009077F5">
      <w:pPr>
        <w:ind w:firstLine="426"/>
        <w:jc w:val="both"/>
      </w:pPr>
      <w:r>
        <w:t xml:space="preserve">4- </w:t>
      </w:r>
      <w:r w:rsidR="00714325">
        <w:t>Burada belirtilen MET sonuçları kapsamındaki faaliyetlerle ilintili olabilecek diğer MET sonuçları ve referans dokümanları ise aşağıdakileri içermektedir:</w:t>
      </w:r>
    </w:p>
    <w:p w14:paraId="6D88B7ED" w14:textId="4DEDA296" w:rsidR="00714325" w:rsidRDefault="00714325" w:rsidP="009077F5">
      <w:pPr>
        <w:pStyle w:val="ListeParagraf"/>
        <w:numPr>
          <w:ilvl w:val="0"/>
          <w:numId w:val="308"/>
        </w:numPr>
      </w:pPr>
      <w:r>
        <w:t>Demir Çelik Üretimi (DÇ);</w:t>
      </w:r>
    </w:p>
    <w:p w14:paraId="3104F509" w14:textId="5DFBC554" w:rsidR="00714325" w:rsidRDefault="00714325" w:rsidP="009077F5">
      <w:pPr>
        <w:pStyle w:val="ListeParagraf"/>
        <w:numPr>
          <w:ilvl w:val="0"/>
          <w:numId w:val="308"/>
        </w:numPr>
      </w:pPr>
      <w:r>
        <w:t>Büyük Yakma Tesisleri (LCP);</w:t>
      </w:r>
    </w:p>
    <w:p w14:paraId="26393084" w14:textId="4A20637A" w:rsidR="00714325" w:rsidRDefault="00714325" w:rsidP="009077F5">
      <w:pPr>
        <w:pStyle w:val="ListeParagraf"/>
        <w:numPr>
          <w:ilvl w:val="0"/>
          <w:numId w:val="308"/>
        </w:numPr>
      </w:pPr>
      <w:r>
        <w:t>Metal ve Plastiklerin Yüzey İşlemleri (STM);</w:t>
      </w:r>
    </w:p>
    <w:p w14:paraId="7B06EE0C" w14:textId="04FFE1FD" w:rsidR="00714325" w:rsidRDefault="00714325" w:rsidP="009077F5">
      <w:pPr>
        <w:pStyle w:val="ListeParagraf"/>
        <w:numPr>
          <w:ilvl w:val="0"/>
          <w:numId w:val="308"/>
        </w:numPr>
      </w:pPr>
      <w:r>
        <w:t>Organik Çözücülerin Kullanımı ile Yapılan Yüzey İşlemleri (STS);</w:t>
      </w:r>
    </w:p>
    <w:p w14:paraId="53E7481B" w14:textId="52054E94" w:rsidR="00714325" w:rsidRDefault="00714325" w:rsidP="009077F5">
      <w:pPr>
        <w:pStyle w:val="ListeParagraf"/>
        <w:numPr>
          <w:ilvl w:val="0"/>
          <w:numId w:val="308"/>
        </w:numPr>
      </w:pPr>
      <w:r>
        <w:t>Atık Arıtma (AA);</w:t>
      </w:r>
    </w:p>
    <w:p w14:paraId="5CFE2553" w14:textId="46C28D6C" w:rsidR="00714325" w:rsidRDefault="00F22B58" w:rsidP="009077F5">
      <w:pPr>
        <w:pStyle w:val="ListeParagraf"/>
        <w:numPr>
          <w:ilvl w:val="0"/>
          <w:numId w:val="308"/>
        </w:numPr>
      </w:pPr>
      <w:r>
        <w:lastRenderedPageBreak/>
        <w:t>EEYY</w:t>
      </w:r>
      <w:r w:rsidR="00714325">
        <w:t xml:space="preserve"> kapsamındaki Tesislerden Kaynaklanan Hava ve Su Emisyonlarının İzlenmesi (ROM);</w:t>
      </w:r>
    </w:p>
    <w:p w14:paraId="24B7A14F" w14:textId="77777777" w:rsidR="00714325" w:rsidRPr="00714325" w:rsidRDefault="00714325" w:rsidP="009077F5"/>
    <w:p w14:paraId="2BA671E3" w14:textId="26CBCEAC" w:rsidR="0071694E" w:rsidRPr="00D53A2B" w:rsidRDefault="00816D19" w:rsidP="00A202FD">
      <w:pPr>
        <w:pStyle w:val="Balk2"/>
        <w:rPr>
          <w:rFonts w:cs="Times New Roman"/>
          <w:color w:val="auto"/>
          <w:spacing w:val="2"/>
          <w:szCs w:val="24"/>
          <w:lang w:eastAsia="en-US"/>
        </w:rPr>
      </w:pPr>
      <w:r w:rsidRPr="00D53A2B">
        <w:rPr>
          <w:rFonts w:eastAsia="Calibri" w:cs="Times New Roman"/>
          <w:szCs w:val="24"/>
          <w:lang w:eastAsia="en-US"/>
        </w:rPr>
        <w:t>1.1</w:t>
      </w:r>
      <w:r w:rsidR="0043617F" w:rsidRPr="00D53A2B">
        <w:rPr>
          <w:rFonts w:eastAsia="Calibri" w:cs="Times New Roman"/>
          <w:szCs w:val="24"/>
          <w:lang w:eastAsia="en-US"/>
        </w:rPr>
        <w:t xml:space="preserve"> </w:t>
      </w:r>
      <w:r w:rsidR="0071694E" w:rsidRPr="00D53A2B">
        <w:rPr>
          <w:rFonts w:eastAsia="Calibri" w:cs="Times New Roman"/>
          <w:szCs w:val="24"/>
          <w:lang w:eastAsia="en-US"/>
        </w:rPr>
        <w:t>Demir</w:t>
      </w:r>
      <w:r w:rsidR="00967077" w:rsidRPr="00D53A2B">
        <w:rPr>
          <w:rFonts w:eastAsia="Calibri" w:cs="Times New Roman"/>
          <w:szCs w:val="24"/>
          <w:lang w:eastAsia="en-US"/>
        </w:rPr>
        <w:t>li</w:t>
      </w:r>
      <w:r w:rsidR="0071694E" w:rsidRPr="00D53A2B">
        <w:rPr>
          <w:rFonts w:eastAsia="Calibri" w:cs="Times New Roman"/>
          <w:szCs w:val="24"/>
          <w:lang w:eastAsia="en-US"/>
        </w:rPr>
        <w:t xml:space="preserve"> </w:t>
      </w:r>
      <w:r w:rsidR="00B0246C" w:rsidRPr="00D53A2B">
        <w:rPr>
          <w:rFonts w:eastAsia="Calibri" w:cs="Times New Roman"/>
          <w:szCs w:val="24"/>
          <w:lang w:eastAsia="en-US"/>
        </w:rPr>
        <w:t>Metalleri İşleme Endüstrisine Yönelik Gen</w:t>
      </w:r>
      <w:r w:rsidR="0071694E" w:rsidRPr="00D53A2B">
        <w:rPr>
          <w:rFonts w:eastAsia="Calibri" w:cs="Times New Roman"/>
          <w:szCs w:val="24"/>
          <w:lang w:eastAsia="en-US"/>
        </w:rPr>
        <w:t xml:space="preserve">el MET </w:t>
      </w:r>
    </w:p>
    <w:p w14:paraId="62C7E831" w14:textId="710523B3" w:rsidR="0071694E" w:rsidRPr="00D53A2B" w:rsidRDefault="0043617F" w:rsidP="00A202FD">
      <w:pPr>
        <w:pStyle w:val="Balk3"/>
        <w:rPr>
          <w:rFonts w:eastAsia="Calibri" w:cs="Times New Roman"/>
          <w:lang w:eastAsia="en-US"/>
        </w:rPr>
      </w:pPr>
      <w:r w:rsidRPr="00D53A2B">
        <w:rPr>
          <w:rFonts w:eastAsia="Calibri" w:cs="Times New Roman"/>
          <w:lang w:eastAsia="en-US"/>
        </w:rPr>
        <w:t>.1.</w:t>
      </w:r>
      <w:r w:rsidR="00816D19" w:rsidRPr="00D53A2B">
        <w:rPr>
          <w:rFonts w:eastAsia="Calibri" w:cs="Times New Roman"/>
          <w:lang w:eastAsia="en-US"/>
        </w:rPr>
        <w:t>1.1.</w:t>
      </w:r>
      <w:r w:rsidRPr="00D53A2B">
        <w:rPr>
          <w:rFonts w:eastAsia="Calibri" w:cs="Times New Roman"/>
          <w:lang w:eastAsia="en-US"/>
        </w:rPr>
        <w:t xml:space="preserve"> </w:t>
      </w:r>
      <w:r w:rsidR="0071694E" w:rsidRPr="00D53A2B">
        <w:rPr>
          <w:rFonts w:eastAsia="Calibri" w:cs="Times New Roman"/>
          <w:lang w:eastAsia="en-US"/>
        </w:rPr>
        <w:t>Genel çevre performansı</w:t>
      </w:r>
    </w:p>
    <w:p w14:paraId="3114D6B0" w14:textId="002E8C0F" w:rsidR="0071694E" w:rsidRPr="00D53A2B" w:rsidRDefault="0071694E" w:rsidP="00A202FD">
      <w:pPr>
        <w:pStyle w:val="MET"/>
        <w:rPr>
          <w:rFonts w:eastAsia="Calibri"/>
          <w:szCs w:val="24"/>
        </w:rPr>
      </w:pPr>
      <w:r w:rsidRPr="00D53A2B">
        <w:rPr>
          <w:rFonts w:eastAsia="Calibri"/>
          <w:szCs w:val="24"/>
        </w:rPr>
        <w:t>MET 1</w:t>
      </w:r>
      <w:r w:rsidR="00195DEF" w:rsidRPr="00D53A2B">
        <w:rPr>
          <w:rFonts w:eastAsia="Calibri"/>
          <w:szCs w:val="24"/>
        </w:rPr>
        <w:t xml:space="preserve">: </w:t>
      </w:r>
      <w:r w:rsidRPr="00D53A2B">
        <w:rPr>
          <w:rFonts w:eastAsia="Calibri"/>
          <w:b w:val="0"/>
          <w:bCs/>
          <w:szCs w:val="24"/>
        </w:rPr>
        <w:t xml:space="preserve">Genel çevre performansını iyileştirmek </w:t>
      </w:r>
      <w:r w:rsidR="00B11387" w:rsidRPr="00D53A2B">
        <w:rPr>
          <w:rFonts w:eastAsia="Calibri"/>
          <w:b w:val="0"/>
          <w:bCs/>
          <w:szCs w:val="24"/>
        </w:rPr>
        <w:t>amacıyla</w:t>
      </w:r>
      <w:r w:rsidRPr="00D53A2B">
        <w:rPr>
          <w:rFonts w:eastAsia="Calibri"/>
          <w:b w:val="0"/>
          <w:bCs/>
          <w:szCs w:val="24"/>
        </w:rPr>
        <w:t xml:space="preserve"> </w:t>
      </w:r>
      <w:r w:rsidR="00B11387" w:rsidRPr="00D53A2B">
        <w:rPr>
          <w:rFonts w:eastAsia="Calibri"/>
          <w:b w:val="0"/>
          <w:bCs/>
          <w:szCs w:val="24"/>
        </w:rPr>
        <w:t>aşağıdaki özelliklerin tümünü içeren bir çevre yönetim sistemi (ÇYS) geliştirecek ve uygulayacaktır.</w:t>
      </w:r>
    </w:p>
    <w:p w14:paraId="077CE293" w14:textId="40FF930D" w:rsidR="0071694E" w:rsidRPr="00D53A2B" w:rsidRDefault="0071694E"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Etkili bir ÇYS</w:t>
      </w:r>
      <w:r w:rsidR="00E56504" w:rsidRPr="00D53A2B">
        <w:rPr>
          <w:rFonts w:eastAsia="Calibri"/>
          <w:sz w:val="24"/>
          <w:szCs w:val="24"/>
        </w:rPr>
        <w:t>’</w:t>
      </w:r>
      <w:r w:rsidRPr="00D53A2B">
        <w:rPr>
          <w:rFonts w:eastAsia="Calibri"/>
          <w:sz w:val="24"/>
          <w:szCs w:val="24"/>
        </w:rPr>
        <w:t>nin uygulanması için üst düzey yönetim de dahil olmak üzere yönetimde kararlılık, liderlik ve hesap verebilirli</w:t>
      </w:r>
      <w:r w:rsidR="00B11387" w:rsidRPr="00D53A2B">
        <w:rPr>
          <w:rFonts w:eastAsia="Calibri"/>
          <w:sz w:val="24"/>
          <w:szCs w:val="24"/>
        </w:rPr>
        <w:t>ği</w:t>
      </w:r>
      <w:r w:rsidRPr="00D53A2B">
        <w:rPr>
          <w:rFonts w:eastAsia="Calibri"/>
          <w:sz w:val="24"/>
          <w:szCs w:val="24"/>
        </w:rPr>
        <w:t>;</w:t>
      </w:r>
    </w:p>
    <w:p w14:paraId="26AD49DB" w14:textId="77777777" w:rsidR="007B70B3" w:rsidRPr="00D53A2B" w:rsidRDefault="007B70B3"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 xml:space="preserve">Kuruluşun bağlamının belirlenmesi, ilgili tarafların ihtiyaç ve beklentilerinin belirlenmesi, tesisin çevre (veya insan sağlığı) için olası risklerle ilişkili özelliklerinin belirlenmesi ve çevreyle ilgili geçerli yasal gerekliliklerin belirlenmesini içeren bir analiz; </w:t>
      </w:r>
    </w:p>
    <w:p w14:paraId="5282F410" w14:textId="20605B53" w:rsidR="0071694E" w:rsidRPr="00D53A2B" w:rsidRDefault="0071694E"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Tesisin çevre performansının sürekli olarak iyileştirilmesini kapsayan bir çevre politikasının geliştirilmesi;</w:t>
      </w:r>
    </w:p>
    <w:p w14:paraId="2C35EC75" w14:textId="77777777" w:rsidR="007B70B3" w:rsidRPr="00D53A2B" w:rsidRDefault="007B70B3"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 xml:space="preserve">Uygulanabilir yasal gerekliliklere uyumun sağlanması da dahil olmak üzere önemli çevresel boyutlara ilişkin hedeflerin ve performans göstergelerinin belirlenmesi; </w:t>
      </w:r>
    </w:p>
    <w:p w14:paraId="1BB13024" w14:textId="77777777" w:rsidR="007B70B3" w:rsidRPr="00D53A2B" w:rsidRDefault="007B70B3"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 xml:space="preserve">Çevresel hedeflere ulaşmak ve çevresel risklerden kaçınmak için gerekli prosedür ve eylemleri (gerektiğinde düzeltici ve önleyici eylemler dahil) planlamak ve uygulamak; </w:t>
      </w:r>
    </w:p>
    <w:p w14:paraId="793985B6" w14:textId="075EA671" w:rsidR="0071694E" w:rsidRPr="00D53A2B" w:rsidRDefault="007B70B3"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Çevresel boyutlar ve hedeflerle ilgili yapı, rol ve sorumlulukların belirlenmesi ve ihtiyaç duyulan mali ve beşeri kaynakların sağlanması</w:t>
      </w:r>
      <w:r w:rsidR="0071694E" w:rsidRPr="00D53A2B">
        <w:rPr>
          <w:rFonts w:eastAsia="Calibri"/>
          <w:sz w:val="24"/>
          <w:szCs w:val="24"/>
        </w:rPr>
        <w:t>;</w:t>
      </w:r>
    </w:p>
    <w:p w14:paraId="134FA077" w14:textId="77777777" w:rsidR="007B70B3" w:rsidRPr="00D53A2B" w:rsidRDefault="007B70B3"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 xml:space="preserve">Tesisin çevresel performansını etkileyebilecek işlerde çalışan personelin gerekli yeterlilik ve bilinçlendirilmesinin sağlanması (örneğin bilgi ve eğitim sağlanması yoluyla). </w:t>
      </w:r>
    </w:p>
    <w:p w14:paraId="4FD2C0A4" w14:textId="5939A3D9" w:rsidR="0071694E" w:rsidRPr="00D53A2B" w:rsidRDefault="0071694E"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Dahili ve harici iletişim;</w:t>
      </w:r>
    </w:p>
    <w:p w14:paraId="63353788" w14:textId="29A12D29" w:rsidR="0071694E" w:rsidRPr="00D53A2B" w:rsidRDefault="0071694E"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Çalışanların iyi çevre yönetim uygulamalarına katılımlarını</w:t>
      </w:r>
      <w:r w:rsidR="007B70B3" w:rsidRPr="00D53A2B">
        <w:rPr>
          <w:rFonts w:eastAsia="Calibri"/>
          <w:sz w:val="24"/>
          <w:szCs w:val="24"/>
        </w:rPr>
        <w:t xml:space="preserve"> teşvik etmek</w:t>
      </w:r>
      <w:r w:rsidRPr="00D53A2B">
        <w:rPr>
          <w:rFonts w:eastAsia="Calibri"/>
          <w:sz w:val="24"/>
          <w:szCs w:val="24"/>
        </w:rPr>
        <w:t>;</w:t>
      </w:r>
    </w:p>
    <w:p w14:paraId="0BA04216" w14:textId="4BB870EF" w:rsidR="0071694E" w:rsidRPr="00D53A2B" w:rsidRDefault="007B70B3"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Önemli çevresel etkiye sahip faaliyetlerin kontrolü için bir yönetim kılavuzu ve yazılı prosedürler ile ilgili kayıtların oluşturulması ve sürdürülmesi</w:t>
      </w:r>
      <w:r w:rsidR="0071694E" w:rsidRPr="00D53A2B">
        <w:rPr>
          <w:rFonts w:eastAsia="Calibri"/>
          <w:sz w:val="24"/>
          <w:szCs w:val="24"/>
        </w:rPr>
        <w:t>;</w:t>
      </w:r>
    </w:p>
    <w:p w14:paraId="1E140C21" w14:textId="77777777" w:rsidR="0071694E" w:rsidRPr="00D53A2B" w:rsidRDefault="0071694E"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Etkili operasyonel planlama ve süreç kontrolü;</w:t>
      </w:r>
    </w:p>
    <w:p w14:paraId="02220211" w14:textId="77777777" w:rsidR="0071694E" w:rsidRPr="00D53A2B" w:rsidRDefault="0071694E"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Uygun bakım programlarının uygulanması;</w:t>
      </w:r>
    </w:p>
    <w:p w14:paraId="6DB602DE" w14:textId="538B0D68" w:rsidR="0071694E" w:rsidRPr="00D53A2B" w:rsidRDefault="0071694E"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 xml:space="preserve">Acil durumların olumsuz (çevresel) etkilerinin önlenmesi ve/veya </w:t>
      </w:r>
      <w:r w:rsidR="002B37CF" w:rsidRPr="00D53A2B">
        <w:rPr>
          <w:rFonts w:eastAsia="Calibri"/>
          <w:sz w:val="24"/>
          <w:szCs w:val="24"/>
        </w:rPr>
        <w:t>azaltılması</w:t>
      </w:r>
      <w:r w:rsidRPr="00D53A2B">
        <w:rPr>
          <w:rFonts w:eastAsia="Calibri"/>
          <w:sz w:val="24"/>
          <w:szCs w:val="24"/>
        </w:rPr>
        <w:t xml:space="preserve"> d</w:t>
      </w:r>
      <w:r w:rsidR="002B37CF" w:rsidRPr="00D53A2B">
        <w:rPr>
          <w:rFonts w:eastAsia="Calibri"/>
          <w:sz w:val="24"/>
          <w:szCs w:val="24"/>
        </w:rPr>
        <w:t>a</w:t>
      </w:r>
      <w:r w:rsidRPr="00D53A2B">
        <w:rPr>
          <w:rFonts w:eastAsia="Calibri"/>
          <w:sz w:val="24"/>
          <w:szCs w:val="24"/>
        </w:rPr>
        <w:t xml:space="preserve"> dahil olmak üzere acil durumlara hazırlık ve müdahale protokolleri;</w:t>
      </w:r>
    </w:p>
    <w:p w14:paraId="7A98DD6F" w14:textId="11134ADB" w:rsidR="0071694E" w:rsidRPr="00D53A2B" w:rsidRDefault="002B37CF"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(Yeni) bir tesisin veya bir parçasının (yeniden) tasarlanması sırasında, inşaat, bakım, işletme ve devre dışı bırakmayı içeren ömrü boyunca çevresel etkilerinin dikkate alınması</w:t>
      </w:r>
      <w:r w:rsidR="0071694E" w:rsidRPr="00D53A2B">
        <w:rPr>
          <w:rFonts w:eastAsia="Calibri"/>
          <w:sz w:val="24"/>
          <w:szCs w:val="24"/>
        </w:rPr>
        <w:t>;</w:t>
      </w:r>
    </w:p>
    <w:p w14:paraId="5573D38C" w14:textId="566752DB" w:rsidR="0071694E" w:rsidRPr="00D53A2B" w:rsidRDefault="0071694E"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izleme ve ölçüm programının uygula</w:t>
      </w:r>
      <w:r w:rsidR="002B37CF" w:rsidRPr="00D53A2B">
        <w:rPr>
          <w:rFonts w:eastAsia="Calibri"/>
          <w:sz w:val="24"/>
          <w:szCs w:val="24"/>
        </w:rPr>
        <w:t>nması</w:t>
      </w:r>
      <w:r w:rsidRPr="00D53A2B">
        <w:rPr>
          <w:rFonts w:eastAsia="Calibri"/>
          <w:sz w:val="24"/>
          <w:szCs w:val="24"/>
        </w:rPr>
        <w:t>; gerekirse IED tesislerinden Hava ve Su Emisyonlarının İzlenmesine ilişkin Referans Raporunda bilgi mevcuttur;</w:t>
      </w:r>
    </w:p>
    <w:p w14:paraId="5787952C" w14:textId="0F25804F" w:rsidR="0071694E" w:rsidRPr="00D53A2B" w:rsidRDefault="002B37CF"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sektörel kıyaslamanın düzenli olarak uygulanması</w:t>
      </w:r>
      <w:r w:rsidR="0071694E" w:rsidRPr="00D53A2B">
        <w:rPr>
          <w:rFonts w:eastAsia="Calibri"/>
          <w:sz w:val="24"/>
          <w:szCs w:val="24"/>
        </w:rPr>
        <w:t>;</w:t>
      </w:r>
    </w:p>
    <w:p w14:paraId="0772A7BB" w14:textId="06D3AECC" w:rsidR="0071694E" w:rsidRPr="00D53A2B" w:rsidRDefault="002B37CF"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Çevresel performansı değerlendirmek ve</w:t>
      </w:r>
      <w:r w:rsidR="00B0246C" w:rsidRPr="00D53A2B">
        <w:rPr>
          <w:rFonts w:eastAsia="Calibri"/>
          <w:sz w:val="24"/>
          <w:szCs w:val="24"/>
        </w:rPr>
        <w:t xml:space="preserve"> ÇYS</w:t>
      </w:r>
      <w:r w:rsidR="00E56504" w:rsidRPr="00D53A2B">
        <w:rPr>
          <w:rFonts w:eastAsia="Calibri"/>
          <w:sz w:val="24"/>
          <w:szCs w:val="24"/>
        </w:rPr>
        <w:t>’</w:t>
      </w:r>
      <w:r w:rsidRPr="00D53A2B">
        <w:rPr>
          <w:rFonts w:eastAsia="Calibri"/>
          <w:sz w:val="24"/>
          <w:szCs w:val="24"/>
        </w:rPr>
        <w:t>nin planlanan düzenlemelere uyup uymadığını, düzgün bir şekilde uygulanıp uygulanmadığını ve sürdürülüp sürdürülmediğini belirlemek amacıyla periyodik bağımsız (uygulanabilir olduğu ölçüde) iç denetim ve periyodik bağımsız dış denetim</w:t>
      </w:r>
      <w:r w:rsidR="0071694E" w:rsidRPr="00D53A2B">
        <w:rPr>
          <w:rFonts w:eastAsia="Calibri"/>
          <w:sz w:val="24"/>
          <w:szCs w:val="24"/>
        </w:rPr>
        <w:t>;</w:t>
      </w:r>
    </w:p>
    <w:p w14:paraId="5499763E" w14:textId="4C297438" w:rsidR="0071694E" w:rsidRPr="00D53A2B" w:rsidRDefault="0071694E"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 xml:space="preserve">Uygunsuzlukların </w:t>
      </w:r>
      <w:r w:rsidR="002B37CF" w:rsidRPr="00D53A2B">
        <w:rPr>
          <w:rFonts w:eastAsia="Calibri"/>
          <w:sz w:val="24"/>
          <w:szCs w:val="24"/>
        </w:rPr>
        <w:t>neden</w:t>
      </w:r>
      <w:r w:rsidRPr="00D53A2B">
        <w:rPr>
          <w:rFonts w:eastAsia="Calibri"/>
          <w:sz w:val="24"/>
          <w:szCs w:val="24"/>
        </w:rPr>
        <w:t xml:space="preserve">lerinin değerlendirilmesi, uygunsuzluklara cevaben düzeltici eylemlerin uygulanması, düzeltici eylemlerin etkinliğinin gözden geçirilmesi ve </w:t>
      </w:r>
      <w:r w:rsidR="002B37CF" w:rsidRPr="00D53A2B">
        <w:rPr>
          <w:rFonts w:eastAsia="Calibri"/>
          <w:sz w:val="24"/>
          <w:szCs w:val="24"/>
        </w:rPr>
        <w:t>benzer uygunsuzlukların mevcut olup olmadığının veya potansiyel olarak ortaya çıkıp çıkmayacağının belirlenmesi.</w:t>
      </w:r>
    </w:p>
    <w:p w14:paraId="1E5A030A" w14:textId="5E975A93" w:rsidR="0071694E" w:rsidRPr="00D53A2B" w:rsidRDefault="0071694E"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ÇYS</w:t>
      </w:r>
      <w:r w:rsidR="00E56504" w:rsidRPr="00D53A2B">
        <w:rPr>
          <w:rFonts w:eastAsia="Calibri"/>
          <w:sz w:val="24"/>
          <w:szCs w:val="24"/>
        </w:rPr>
        <w:t>’</w:t>
      </w:r>
      <w:r w:rsidRPr="00D53A2B">
        <w:rPr>
          <w:rFonts w:eastAsia="Calibri"/>
          <w:sz w:val="24"/>
          <w:szCs w:val="24"/>
        </w:rPr>
        <w:t xml:space="preserve">nin ve süregelen tutarlılığının, yeterliliğinin ve etkinliğinin üst düzey yönetim tarafından periyodik olarak </w:t>
      </w:r>
      <w:r w:rsidR="002B37CF" w:rsidRPr="00D53A2B">
        <w:rPr>
          <w:rFonts w:eastAsia="Calibri"/>
          <w:sz w:val="24"/>
          <w:szCs w:val="24"/>
        </w:rPr>
        <w:t>incelenmesi</w:t>
      </w:r>
      <w:r w:rsidRPr="00D53A2B">
        <w:rPr>
          <w:rFonts w:eastAsia="Calibri"/>
          <w:sz w:val="24"/>
          <w:szCs w:val="24"/>
        </w:rPr>
        <w:t xml:space="preserve">; </w:t>
      </w:r>
    </w:p>
    <w:p w14:paraId="7E335A4A" w14:textId="77777777" w:rsidR="0071694E" w:rsidRPr="00D53A2B" w:rsidRDefault="0071694E"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lastRenderedPageBreak/>
        <w:t>Daha temiz tekniklerin geliştirilmesinin takip edilmesi ve dikkate alınması.</w:t>
      </w:r>
    </w:p>
    <w:p w14:paraId="131BC9EA" w14:textId="77777777" w:rsidR="0071694E" w:rsidRPr="00D53A2B" w:rsidRDefault="0071694E" w:rsidP="00A202FD">
      <w:pPr>
        <w:jc w:val="both"/>
        <w:rPr>
          <w:rFonts w:eastAsia="Calibri"/>
          <w:lang w:eastAsia="en-US"/>
        </w:rPr>
      </w:pPr>
    </w:p>
    <w:p w14:paraId="14869C99" w14:textId="75FD6275" w:rsidR="0071694E" w:rsidRPr="00D53A2B" w:rsidRDefault="007F24F0" w:rsidP="00A202FD">
      <w:pPr>
        <w:jc w:val="both"/>
        <w:rPr>
          <w:rFonts w:eastAsia="Calibri"/>
          <w:lang w:eastAsia="en-US"/>
        </w:rPr>
      </w:pPr>
      <w:r w:rsidRPr="00D53A2B">
        <w:rPr>
          <w:rFonts w:eastAsia="Calibri"/>
        </w:rPr>
        <w:t>2).</w:t>
      </w:r>
      <w:r w:rsidR="005A259B" w:rsidRPr="00D53A2B">
        <w:rPr>
          <w:rFonts w:eastAsia="Calibri"/>
          <w:lang w:eastAsia="en-US"/>
        </w:rPr>
        <w:t>Özellikle demir içeren metalleri işleme sektörü için MET, ÇYS</w:t>
      </w:r>
      <w:r w:rsidR="00E56504" w:rsidRPr="00D53A2B">
        <w:rPr>
          <w:rFonts w:eastAsia="Calibri"/>
          <w:lang w:eastAsia="en-US"/>
        </w:rPr>
        <w:t>’</w:t>
      </w:r>
      <w:r w:rsidR="005A259B" w:rsidRPr="00D53A2B">
        <w:rPr>
          <w:rFonts w:eastAsia="Calibri"/>
          <w:lang w:eastAsia="en-US"/>
        </w:rPr>
        <w:t>ye aşağıdaki özellikleri de dahil edecektir:</w:t>
      </w:r>
    </w:p>
    <w:p w14:paraId="33DEC521" w14:textId="088F214E" w:rsidR="005A259B" w:rsidRPr="00D53A2B" w:rsidRDefault="005A259B"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 xml:space="preserve">kullanılan proses kimyasallarının ve </w:t>
      </w:r>
      <w:r w:rsidR="00651500" w:rsidRPr="00D53A2B">
        <w:rPr>
          <w:rFonts w:eastAsia="Calibri"/>
          <w:sz w:val="24"/>
          <w:szCs w:val="24"/>
        </w:rPr>
        <w:t>atıksu</w:t>
      </w:r>
      <w:r w:rsidRPr="00D53A2B">
        <w:rPr>
          <w:rFonts w:eastAsia="Calibri"/>
          <w:sz w:val="24"/>
          <w:szCs w:val="24"/>
        </w:rPr>
        <w:t xml:space="preserve">ve atık gaz akışlarının bir envanteri (bkz. MET </w:t>
      </w:r>
    </w:p>
    <w:p w14:paraId="33B2D40C" w14:textId="071B3648" w:rsidR="006205BB" w:rsidRPr="00D53A2B" w:rsidRDefault="006205BB"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Kimyasal yönetim sistemi (bkz. MET 3)</w:t>
      </w:r>
    </w:p>
    <w:p w14:paraId="64D2E362" w14:textId="236B2935" w:rsidR="006205BB" w:rsidRPr="00D53A2B" w:rsidRDefault="006205BB"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sızıntı ve dökülmelerin önlenmesi ve kontrolüne yönelik plan (bkz. MET 4 (a))</w:t>
      </w:r>
    </w:p>
    <w:p w14:paraId="08009EBC" w14:textId="3E92D2D4" w:rsidR="006205BB" w:rsidRPr="00D53A2B" w:rsidRDefault="006205BB"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OTNOC yönetim planı (bkz. MET 5)</w:t>
      </w:r>
    </w:p>
    <w:p w14:paraId="2597570C" w14:textId="000C6F57" w:rsidR="006205BB" w:rsidRPr="00D53A2B" w:rsidRDefault="006205BB"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Enerji verimliliği planı (bkz. MET 10 (a))</w:t>
      </w:r>
    </w:p>
    <w:p w14:paraId="6EE765D5" w14:textId="4850B01C" w:rsidR="006205BB" w:rsidRPr="00D53A2B" w:rsidRDefault="006205BB"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Su yönetim planı (bkz. MET 19 (a))</w:t>
      </w:r>
    </w:p>
    <w:p w14:paraId="2167CFBB" w14:textId="79B4D6D7" w:rsidR="006205BB" w:rsidRPr="00D53A2B" w:rsidRDefault="006205BB"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 xml:space="preserve"> Gürültü ve titreşim planı (bkz. MET 32)</w:t>
      </w:r>
    </w:p>
    <w:p w14:paraId="6A86E54A" w14:textId="1B6D3E79" w:rsidR="006205BB" w:rsidRPr="00D53A2B" w:rsidRDefault="006205BB" w:rsidP="00602365">
      <w:pPr>
        <w:pStyle w:val="ListeParagraf"/>
        <w:numPr>
          <w:ilvl w:val="0"/>
          <w:numId w:val="153"/>
        </w:numPr>
        <w:tabs>
          <w:tab w:val="clear" w:pos="567"/>
        </w:tabs>
        <w:spacing w:line="240" w:lineRule="auto"/>
        <w:ind w:left="567" w:hanging="567"/>
        <w:rPr>
          <w:rFonts w:eastAsia="Calibri"/>
          <w:sz w:val="24"/>
          <w:szCs w:val="24"/>
        </w:rPr>
      </w:pPr>
      <w:r w:rsidRPr="00D53A2B">
        <w:rPr>
          <w:rFonts w:eastAsia="Calibri"/>
          <w:sz w:val="24"/>
          <w:szCs w:val="24"/>
        </w:rPr>
        <w:t>Kalıntı yönetim planı (bkz. MET34 (a)).</w:t>
      </w:r>
    </w:p>
    <w:p w14:paraId="5EA891A0" w14:textId="7A50C8F0" w:rsidR="00294461" w:rsidRPr="00D53A2B" w:rsidRDefault="00294461" w:rsidP="00A202FD">
      <w:pPr>
        <w:jc w:val="both"/>
        <w:rPr>
          <w:rFonts w:eastAsia="Calibri"/>
          <w:strike/>
          <w:lang w:eastAsia="en-US"/>
        </w:rPr>
      </w:pPr>
    </w:p>
    <w:p w14:paraId="2A3F6318" w14:textId="7CF63E76" w:rsidR="006205BB" w:rsidRPr="00D53A2B" w:rsidRDefault="00294461" w:rsidP="00A202FD">
      <w:pPr>
        <w:jc w:val="both"/>
        <w:rPr>
          <w:rFonts w:eastAsia="Calibri"/>
          <w:b/>
          <w:bCs/>
          <w:lang w:eastAsia="en-US"/>
        </w:rPr>
      </w:pPr>
      <w:r w:rsidRPr="00D53A2B">
        <w:rPr>
          <w:rFonts w:eastAsia="Calibri"/>
          <w:b/>
          <w:bCs/>
          <w:lang w:eastAsia="en-US"/>
        </w:rPr>
        <w:t>Uygulanabilirlik</w:t>
      </w:r>
    </w:p>
    <w:p w14:paraId="32992A84" w14:textId="3EA33F99" w:rsidR="006205BB" w:rsidRPr="00D53A2B" w:rsidRDefault="00294461" w:rsidP="00A202FD">
      <w:pPr>
        <w:jc w:val="both"/>
        <w:rPr>
          <w:rFonts w:eastAsia="Calibri"/>
          <w:lang w:eastAsia="en-US"/>
        </w:rPr>
      </w:pPr>
      <w:r w:rsidRPr="00D53A2B">
        <w:rPr>
          <w:rFonts w:eastAsia="Calibri"/>
          <w:lang w:eastAsia="en-US"/>
        </w:rPr>
        <w:t>ÇYS</w:t>
      </w:r>
      <w:r w:rsidR="00E56504" w:rsidRPr="00D53A2B">
        <w:rPr>
          <w:rFonts w:eastAsia="Calibri"/>
          <w:lang w:eastAsia="en-US"/>
        </w:rPr>
        <w:t>’</w:t>
      </w:r>
      <w:r w:rsidRPr="00D53A2B">
        <w:rPr>
          <w:rFonts w:eastAsia="Calibri"/>
          <w:lang w:eastAsia="en-US"/>
        </w:rPr>
        <w:t>nin ayrıntı düzeyi ve resmiyet derecesi genellikle tesisin niteliği, ölçeği ve karmaşıklığı ve yaratabileceği çevresel etkilerin aralığı ile olacaktır.</w:t>
      </w:r>
    </w:p>
    <w:p w14:paraId="6F1937FB" w14:textId="77777777" w:rsidR="006205BB" w:rsidRPr="00D53A2B" w:rsidRDefault="006205BB" w:rsidP="00A202FD">
      <w:pPr>
        <w:jc w:val="both"/>
        <w:rPr>
          <w:rFonts w:eastAsia="Calibri"/>
          <w:lang w:eastAsia="en-US"/>
        </w:rPr>
      </w:pPr>
    </w:p>
    <w:p w14:paraId="5E7F1EF4" w14:textId="7D8369D0" w:rsidR="006205BB" w:rsidRPr="00D53A2B" w:rsidRDefault="00294461" w:rsidP="00A202FD">
      <w:pPr>
        <w:pStyle w:val="MET"/>
        <w:rPr>
          <w:rFonts w:eastAsia="Calibri"/>
          <w:b w:val="0"/>
          <w:bCs/>
          <w:szCs w:val="24"/>
        </w:rPr>
      </w:pPr>
      <w:r w:rsidRPr="00D53A2B">
        <w:rPr>
          <w:rFonts w:eastAsia="Calibri"/>
          <w:szCs w:val="24"/>
        </w:rPr>
        <w:t xml:space="preserve">MET 2: </w:t>
      </w:r>
      <w:r w:rsidRPr="00D53A2B">
        <w:rPr>
          <w:rFonts w:eastAsia="Calibri"/>
          <w:b w:val="0"/>
          <w:bCs/>
          <w:szCs w:val="24"/>
        </w:rPr>
        <w:t>Su ve havaya emisyonların azaltılmasını kolaylaştırmak için, ÇYS</w:t>
      </w:r>
      <w:r w:rsidR="00E56504" w:rsidRPr="00D53A2B">
        <w:rPr>
          <w:rFonts w:eastAsia="Calibri"/>
          <w:b w:val="0"/>
          <w:bCs/>
          <w:szCs w:val="24"/>
        </w:rPr>
        <w:t>’</w:t>
      </w:r>
      <w:r w:rsidRPr="00D53A2B">
        <w:rPr>
          <w:rFonts w:eastAsia="Calibri"/>
          <w:b w:val="0"/>
          <w:bCs/>
          <w:szCs w:val="24"/>
        </w:rPr>
        <w:t>nin bir parçası olarak (bkz. MET 1) kullanılan proses kimyasallarının ve atıksu ve atık gaz akımlarının bir envanterini oluşturmak, sürdürmek ve düzenli olarak gözden geçirmektir (önemli bir değişiklik meydana geldiğinde dahil) ve bu envanter aşağıdaki özelliklerin tümünü içerir:</w:t>
      </w:r>
    </w:p>
    <w:p w14:paraId="718FA97B" w14:textId="77777777" w:rsidR="00294461" w:rsidRPr="00D53A2B" w:rsidRDefault="00294461" w:rsidP="00A202FD">
      <w:pPr>
        <w:jc w:val="both"/>
        <w:rPr>
          <w:rFonts w:eastAsia="Calibri"/>
          <w:lang w:eastAsia="en-US"/>
        </w:rPr>
      </w:pPr>
    </w:p>
    <w:p w14:paraId="6DF7BA62" w14:textId="15FB09F8" w:rsidR="00294461" w:rsidRPr="00D53A2B" w:rsidRDefault="00992FE4" w:rsidP="00602365">
      <w:pPr>
        <w:pStyle w:val="ListeParagraf"/>
        <w:numPr>
          <w:ilvl w:val="0"/>
          <w:numId w:val="154"/>
        </w:numPr>
        <w:tabs>
          <w:tab w:val="clear" w:pos="567"/>
        </w:tabs>
        <w:spacing w:line="240" w:lineRule="auto"/>
        <w:ind w:left="426" w:hanging="437"/>
        <w:rPr>
          <w:rFonts w:eastAsia="Calibri"/>
          <w:sz w:val="24"/>
          <w:szCs w:val="24"/>
        </w:rPr>
      </w:pPr>
      <w:r w:rsidRPr="00D53A2B">
        <w:rPr>
          <w:rFonts w:eastAsia="Calibri"/>
          <w:sz w:val="24"/>
          <w:szCs w:val="24"/>
        </w:rPr>
        <w:t>Aşağıdakiler üretim süreçleri hakkında bilgi vermektedir</w:t>
      </w:r>
    </w:p>
    <w:p w14:paraId="0F470D59" w14:textId="5A7F330D" w:rsidR="00294461" w:rsidRPr="00D53A2B" w:rsidRDefault="00992FE4" w:rsidP="00602365">
      <w:pPr>
        <w:pStyle w:val="ListeParagraf"/>
        <w:numPr>
          <w:ilvl w:val="0"/>
          <w:numId w:val="155"/>
        </w:numPr>
        <w:tabs>
          <w:tab w:val="clear" w:pos="567"/>
        </w:tabs>
        <w:spacing w:line="240" w:lineRule="auto"/>
        <w:ind w:left="426" w:hanging="437"/>
        <w:rPr>
          <w:rFonts w:eastAsia="Calibri"/>
          <w:sz w:val="24"/>
          <w:szCs w:val="24"/>
        </w:rPr>
      </w:pPr>
      <w:r w:rsidRPr="00D53A2B">
        <w:rPr>
          <w:rFonts w:eastAsia="Calibri"/>
          <w:sz w:val="24"/>
          <w:szCs w:val="24"/>
        </w:rPr>
        <w:t>emisyonların kaynağını gösteren basitleştirilmiş proses akış şemaları</w:t>
      </w:r>
    </w:p>
    <w:p w14:paraId="3C3C2D2C" w14:textId="31629B63" w:rsidR="002B4451" w:rsidRPr="00D53A2B" w:rsidRDefault="002B4451" w:rsidP="00602365">
      <w:pPr>
        <w:pStyle w:val="ListeParagraf"/>
        <w:numPr>
          <w:ilvl w:val="0"/>
          <w:numId w:val="155"/>
        </w:numPr>
        <w:tabs>
          <w:tab w:val="clear" w:pos="567"/>
        </w:tabs>
        <w:spacing w:line="240" w:lineRule="auto"/>
        <w:ind w:left="426" w:hanging="437"/>
        <w:rPr>
          <w:rFonts w:eastAsia="Calibri"/>
          <w:sz w:val="24"/>
          <w:szCs w:val="24"/>
        </w:rPr>
      </w:pPr>
      <w:r w:rsidRPr="00D53A2B">
        <w:rPr>
          <w:rFonts w:eastAsia="Calibri"/>
          <w:sz w:val="24"/>
          <w:szCs w:val="24"/>
        </w:rPr>
        <w:t>proses entegre tekniklerin ve atıksu/atık gazın kaynağında arıtılmasının ve bunların performanslarının açıklanması</w:t>
      </w:r>
    </w:p>
    <w:p w14:paraId="38DCC871" w14:textId="45D7AA04" w:rsidR="002B4451" w:rsidRPr="00D53A2B" w:rsidRDefault="002B4451" w:rsidP="00602365">
      <w:pPr>
        <w:pStyle w:val="ListeParagraf"/>
        <w:numPr>
          <w:ilvl w:val="0"/>
          <w:numId w:val="154"/>
        </w:numPr>
        <w:tabs>
          <w:tab w:val="clear" w:pos="567"/>
        </w:tabs>
        <w:spacing w:line="240" w:lineRule="auto"/>
        <w:ind w:left="426" w:hanging="437"/>
        <w:rPr>
          <w:rFonts w:eastAsia="Calibri"/>
          <w:sz w:val="24"/>
          <w:szCs w:val="24"/>
        </w:rPr>
      </w:pPr>
      <w:r w:rsidRPr="00D53A2B">
        <w:rPr>
          <w:rFonts w:eastAsia="Calibri"/>
          <w:sz w:val="24"/>
          <w:szCs w:val="24"/>
        </w:rPr>
        <w:t>Atıksu akımlarının karakteristik özellikleri hakkında bilgi, örneğin:</w:t>
      </w:r>
    </w:p>
    <w:p w14:paraId="527EB472" w14:textId="500913B0" w:rsidR="002B4451" w:rsidRPr="00D53A2B" w:rsidRDefault="002B4451" w:rsidP="00602365">
      <w:pPr>
        <w:pStyle w:val="ListeParagraf"/>
        <w:numPr>
          <w:ilvl w:val="0"/>
          <w:numId w:val="156"/>
        </w:numPr>
        <w:tabs>
          <w:tab w:val="clear" w:pos="567"/>
        </w:tabs>
        <w:spacing w:line="240" w:lineRule="auto"/>
        <w:ind w:left="426" w:hanging="437"/>
        <w:rPr>
          <w:rFonts w:eastAsia="Calibri"/>
          <w:sz w:val="24"/>
          <w:szCs w:val="24"/>
        </w:rPr>
      </w:pPr>
      <w:r w:rsidRPr="00D53A2B">
        <w:rPr>
          <w:rFonts w:eastAsia="Calibri"/>
          <w:sz w:val="24"/>
          <w:szCs w:val="24"/>
        </w:rPr>
        <w:t>Debi, pH, sıcaklık ve iletkenliğin ortalama değerleri ve değişkenliği</w:t>
      </w:r>
    </w:p>
    <w:p w14:paraId="01E1E5A6" w14:textId="7D56283E" w:rsidR="002B4451" w:rsidRPr="00D53A2B" w:rsidRDefault="002B4451" w:rsidP="00602365">
      <w:pPr>
        <w:pStyle w:val="ListeParagraf"/>
        <w:numPr>
          <w:ilvl w:val="0"/>
          <w:numId w:val="156"/>
        </w:numPr>
        <w:tabs>
          <w:tab w:val="clear" w:pos="567"/>
        </w:tabs>
        <w:spacing w:line="240" w:lineRule="auto"/>
        <w:ind w:left="426" w:hanging="437"/>
        <w:rPr>
          <w:rFonts w:eastAsia="Calibri"/>
          <w:sz w:val="24"/>
          <w:szCs w:val="24"/>
        </w:rPr>
      </w:pPr>
      <w:r w:rsidRPr="00D53A2B">
        <w:rPr>
          <w:rFonts w:eastAsia="Calibri"/>
          <w:sz w:val="24"/>
          <w:szCs w:val="24"/>
        </w:rPr>
        <w:t>İlgili maddelerin ortalama konsantrasyonları ve kütle akış değerleri (örneğin toplam askıda katılar, TO</w:t>
      </w:r>
      <w:r w:rsidR="00B0246C" w:rsidRPr="00D53A2B">
        <w:rPr>
          <w:rFonts w:eastAsia="Calibri"/>
          <w:sz w:val="24"/>
          <w:szCs w:val="24"/>
        </w:rPr>
        <w:t>K</w:t>
      </w:r>
      <w:r w:rsidRPr="00D53A2B">
        <w:rPr>
          <w:rFonts w:eastAsia="Calibri"/>
          <w:sz w:val="24"/>
          <w:szCs w:val="24"/>
        </w:rPr>
        <w:t xml:space="preserve"> veya </w:t>
      </w:r>
      <w:r w:rsidR="00B0246C" w:rsidRPr="00D53A2B">
        <w:rPr>
          <w:rFonts w:eastAsia="Calibri"/>
          <w:sz w:val="24"/>
          <w:szCs w:val="24"/>
        </w:rPr>
        <w:t>KOİ</w:t>
      </w:r>
      <w:r w:rsidRPr="00D53A2B">
        <w:rPr>
          <w:rFonts w:eastAsia="Calibri"/>
          <w:sz w:val="24"/>
          <w:szCs w:val="24"/>
        </w:rPr>
        <w:t>, hidrokarbon yağ indeksi, fosfor, metaller, florür) ve bunların değişkenliği.</w:t>
      </w:r>
    </w:p>
    <w:p w14:paraId="7C4790CC" w14:textId="0BA71D88" w:rsidR="00910080" w:rsidRPr="00D53A2B" w:rsidRDefault="00910080" w:rsidP="00602365">
      <w:pPr>
        <w:pStyle w:val="ListeParagraf"/>
        <w:numPr>
          <w:ilvl w:val="0"/>
          <w:numId w:val="154"/>
        </w:numPr>
        <w:tabs>
          <w:tab w:val="clear" w:pos="567"/>
        </w:tabs>
        <w:spacing w:line="240" w:lineRule="auto"/>
        <w:ind w:left="426" w:hanging="437"/>
        <w:rPr>
          <w:rFonts w:eastAsia="Calibri"/>
          <w:sz w:val="24"/>
          <w:szCs w:val="24"/>
        </w:rPr>
      </w:pPr>
      <w:r w:rsidRPr="00D53A2B">
        <w:rPr>
          <w:rFonts w:eastAsia="Calibri"/>
          <w:sz w:val="24"/>
          <w:szCs w:val="24"/>
        </w:rPr>
        <w:t>Kullanılan proses kimyasallarının miktarı ve özelliklerine ilişkin bilgi:</w:t>
      </w:r>
    </w:p>
    <w:p w14:paraId="09A70ED2" w14:textId="4174B451" w:rsidR="00910080" w:rsidRPr="00D53A2B" w:rsidRDefault="00910080" w:rsidP="00602365">
      <w:pPr>
        <w:pStyle w:val="ListeParagraf"/>
        <w:numPr>
          <w:ilvl w:val="0"/>
          <w:numId w:val="157"/>
        </w:numPr>
        <w:tabs>
          <w:tab w:val="clear" w:pos="567"/>
        </w:tabs>
        <w:spacing w:line="240" w:lineRule="auto"/>
        <w:ind w:left="426" w:hanging="437"/>
        <w:rPr>
          <w:rFonts w:eastAsia="Calibri"/>
          <w:sz w:val="24"/>
          <w:szCs w:val="24"/>
        </w:rPr>
      </w:pPr>
      <w:r w:rsidRPr="00D53A2B">
        <w:rPr>
          <w:rFonts w:eastAsia="Calibri"/>
          <w:sz w:val="24"/>
          <w:szCs w:val="24"/>
        </w:rPr>
        <w:t>Çevre ve/veya insan sağlığı üzerinde olumsuz etkileri olan özellikler dahil, proses kimyasallarının karakteristik özellikleri.</w:t>
      </w:r>
    </w:p>
    <w:p w14:paraId="2856BDA0" w14:textId="5D9F8D2B" w:rsidR="00910080" w:rsidRPr="00D53A2B" w:rsidRDefault="00910080" w:rsidP="00602365">
      <w:pPr>
        <w:pStyle w:val="ListeParagraf"/>
        <w:numPr>
          <w:ilvl w:val="0"/>
          <w:numId w:val="157"/>
        </w:numPr>
        <w:tabs>
          <w:tab w:val="clear" w:pos="567"/>
        </w:tabs>
        <w:spacing w:line="240" w:lineRule="auto"/>
        <w:ind w:left="426" w:hanging="437"/>
        <w:rPr>
          <w:rFonts w:eastAsia="Calibri"/>
          <w:sz w:val="24"/>
          <w:szCs w:val="24"/>
        </w:rPr>
      </w:pPr>
      <w:r w:rsidRPr="00D53A2B">
        <w:rPr>
          <w:rFonts w:eastAsia="Calibri"/>
          <w:sz w:val="24"/>
          <w:szCs w:val="24"/>
        </w:rPr>
        <w:t>Kullanılan proses kimyasallarının miktarları ve kullanım yerleri</w:t>
      </w:r>
    </w:p>
    <w:p w14:paraId="694EF9E6" w14:textId="2B7670A0" w:rsidR="00910080" w:rsidRPr="00D53A2B" w:rsidRDefault="00910080" w:rsidP="00602365">
      <w:pPr>
        <w:pStyle w:val="ListeParagraf"/>
        <w:numPr>
          <w:ilvl w:val="0"/>
          <w:numId w:val="154"/>
        </w:numPr>
        <w:tabs>
          <w:tab w:val="clear" w:pos="567"/>
        </w:tabs>
        <w:spacing w:line="240" w:lineRule="auto"/>
        <w:ind w:left="426" w:hanging="437"/>
        <w:rPr>
          <w:rFonts w:eastAsia="Calibri"/>
          <w:sz w:val="24"/>
          <w:szCs w:val="24"/>
        </w:rPr>
      </w:pPr>
      <w:r w:rsidRPr="00D53A2B">
        <w:rPr>
          <w:rFonts w:eastAsia="Calibri"/>
          <w:sz w:val="24"/>
          <w:szCs w:val="24"/>
        </w:rPr>
        <w:t>atık gaz akımlarının özellikleri hakkında bilgi, örneğin:</w:t>
      </w:r>
    </w:p>
    <w:p w14:paraId="52F422BF" w14:textId="23346059" w:rsidR="00910080" w:rsidRPr="00D53A2B" w:rsidRDefault="00910080" w:rsidP="00602365">
      <w:pPr>
        <w:pStyle w:val="ListeParagraf"/>
        <w:numPr>
          <w:ilvl w:val="0"/>
          <w:numId w:val="158"/>
        </w:numPr>
        <w:tabs>
          <w:tab w:val="clear" w:pos="567"/>
        </w:tabs>
        <w:spacing w:line="240" w:lineRule="auto"/>
        <w:ind w:left="426" w:hanging="437"/>
        <w:rPr>
          <w:rFonts w:eastAsia="Calibri"/>
          <w:sz w:val="24"/>
          <w:szCs w:val="24"/>
        </w:rPr>
      </w:pPr>
      <w:r w:rsidRPr="00D53A2B">
        <w:rPr>
          <w:rFonts w:eastAsia="Calibri"/>
          <w:sz w:val="24"/>
          <w:szCs w:val="24"/>
        </w:rPr>
        <w:t>debi ve sıcaklığın ortalama değerleri ve değişkenliği</w:t>
      </w:r>
    </w:p>
    <w:p w14:paraId="4288BE41" w14:textId="7FC62131" w:rsidR="00910080" w:rsidRPr="00D53A2B" w:rsidRDefault="00910080" w:rsidP="00602365">
      <w:pPr>
        <w:pStyle w:val="ListeParagraf"/>
        <w:numPr>
          <w:ilvl w:val="0"/>
          <w:numId w:val="158"/>
        </w:numPr>
        <w:tabs>
          <w:tab w:val="clear" w:pos="567"/>
        </w:tabs>
        <w:spacing w:line="240" w:lineRule="auto"/>
        <w:ind w:left="426" w:hanging="437"/>
        <w:rPr>
          <w:rFonts w:eastAsia="Calibri"/>
          <w:sz w:val="24"/>
          <w:szCs w:val="24"/>
        </w:rPr>
      </w:pPr>
      <w:r w:rsidRPr="00D53A2B">
        <w:rPr>
          <w:rFonts w:eastAsia="Calibri"/>
          <w:sz w:val="24"/>
          <w:szCs w:val="24"/>
        </w:rPr>
        <w:t>İlgili maddelerin (örneğin toz, NO</w:t>
      </w:r>
      <w:r w:rsidRPr="00D53A2B">
        <w:rPr>
          <w:rFonts w:eastAsia="Calibri"/>
          <w:sz w:val="24"/>
          <w:szCs w:val="24"/>
          <w:vertAlign w:val="subscript"/>
        </w:rPr>
        <w:t>X</w:t>
      </w:r>
      <w:r w:rsidRPr="00D53A2B">
        <w:rPr>
          <w:rFonts w:eastAsia="Calibri"/>
          <w:sz w:val="24"/>
          <w:szCs w:val="24"/>
        </w:rPr>
        <w:t>, SO</w:t>
      </w:r>
      <w:r w:rsidRPr="00D53A2B">
        <w:rPr>
          <w:rFonts w:eastAsia="Calibri"/>
          <w:sz w:val="24"/>
          <w:szCs w:val="24"/>
          <w:vertAlign w:val="subscript"/>
        </w:rPr>
        <w:t>2</w:t>
      </w:r>
      <w:r w:rsidRPr="00D53A2B">
        <w:rPr>
          <w:rFonts w:eastAsia="Calibri"/>
          <w:sz w:val="24"/>
          <w:szCs w:val="24"/>
        </w:rPr>
        <w:t>, CO, metaller, asitler) ortalama konsantrasyon ve kütle akış değerleri ve bunların değişkenliği</w:t>
      </w:r>
    </w:p>
    <w:p w14:paraId="2C5CF0E8" w14:textId="6A9909B6" w:rsidR="00910080" w:rsidRPr="00D53A2B" w:rsidRDefault="00910080" w:rsidP="00602365">
      <w:pPr>
        <w:pStyle w:val="ListeParagraf"/>
        <w:numPr>
          <w:ilvl w:val="0"/>
          <w:numId w:val="158"/>
        </w:numPr>
        <w:tabs>
          <w:tab w:val="clear" w:pos="567"/>
        </w:tabs>
        <w:spacing w:line="240" w:lineRule="auto"/>
        <w:ind w:left="426" w:hanging="437"/>
        <w:rPr>
          <w:rFonts w:eastAsia="Calibri"/>
          <w:sz w:val="24"/>
          <w:szCs w:val="24"/>
        </w:rPr>
      </w:pPr>
      <w:r w:rsidRPr="00D53A2B">
        <w:rPr>
          <w:rFonts w:eastAsia="Calibri"/>
          <w:sz w:val="24"/>
          <w:szCs w:val="24"/>
        </w:rPr>
        <w:t>Atık gaz arıtma sistemini (örneğin oksijen, azot, su buharı) veya tesis güvenliğini (örneğin hidrojen) etkileyebilecek diğer maddelerin varlığı.</w:t>
      </w:r>
    </w:p>
    <w:p w14:paraId="3805DF76" w14:textId="77777777" w:rsidR="00910080" w:rsidRPr="00D53A2B" w:rsidRDefault="00910080" w:rsidP="00A202FD">
      <w:pPr>
        <w:jc w:val="both"/>
        <w:rPr>
          <w:rFonts w:eastAsia="Calibri"/>
        </w:rPr>
      </w:pPr>
    </w:p>
    <w:p w14:paraId="757386B9" w14:textId="4C45F4A6" w:rsidR="00294461" w:rsidRPr="00D53A2B" w:rsidRDefault="00910080" w:rsidP="00A202FD">
      <w:pPr>
        <w:jc w:val="both"/>
        <w:rPr>
          <w:rFonts w:eastAsia="Calibri"/>
          <w:b/>
          <w:bCs/>
          <w:lang w:eastAsia="en-US"/>
        </w:rPr>
      </w:pPr>
      <w:r w:rsidRPr="00D53A2B">
        <w:rPr>
          <w:rFonts w:eastAsia="Calibri"/>
          <w:b/>
          <w:bCs/>
          <w:lang w:eastAsia="en-US"/>
        </w:rPr>
        <w:t>Uygulanabilirlik</w:t>
      </w:r>
    </w:p>
    <w:p w14:paraId="6795C87B" w14:textId="1BCA8761" w:rsidR="002B4451" w:rsidRPr="00D53A2B" w:rsidRDefault="00910080" w:rsidP="00A202FD">
      <w:pPr>
        <w:jc w:val="both"/>
        <w:rPr>
          <w:rFonts w:eastAsia="Calibri"/>
          <w:lang w:eastAsia="en-US"/>
        </w:rPr>
      </w:pPr>
      <w:r w:rsidRPr="00D53A2B">
        <w:rPr>
          <w:rFonts w:eastAsia="Calibri"/>
          <w:lang w:eastAsia="en-US"/>
        </w:rPr>
        <w:t>Envanterin ayrıntı düzeyi genellikle tesisin niteliği, ölçeği ve karmaşıklığı ve yaratabileceği çevresel etkisiyle ilişkili olacaktır.</w:t>
      </w:r>
    </w:p>
    <w:p w14:paraId="16544ACF" w14:textId="77777777" w:rsidR="00294461" w:rsidRPr="00D53A2B" w:rsidRDefault="00294461" w:rsidP="00A202FD">
      <w:pPr>
        <w:jc w:val="both"/>
        <w:rPr>
          <w:rFonts w:eastAsia="Calibri"/>
          <w:lang w:eastAsia="en-US"/>
        </w:rPr>
      </w:pPr>
    </w:p>
    <w:p w14:paraId="00D1CF61" w14:textId="7124B71E" w:rsidR="00294461" w:rsidRPr="00D53A2B" w:rsidRDefault="006C4775" w:rsidP="00A202FD">
      <w:pPr>
        <w:pStyle w:val="MET"/>
        <w:rPr>
          <w:rFonts w:eastAsia="Calibri"/>
          <w:szCs w:val="24"/>
        </w:rPr>
      </w:pPr>
      <w:r w:rsidRPr="00D53A2B">
        <w:rPr>
          <w:rFonts w:eastAsia="Calibri"/>
          <w:szCs w:val="24"/>
        </w:rPr>
        <w:lastRenderedPageBreak/>
        <w:t>MET 3: Genel çevresel performansı iyileştirmek amacıyla, ÇYS</w:t>
      </w:r>
      <w:r w:rsidR="00E56504" w:rsidRPr="00D53A2B">
        <w:rPr>
          <w:rFonts w:eastAsia="Calibri"/>
          <w:szCs w:val="24"/>
        </w:rPr>
        <w:t>’</w:t>
      </w:r>
      <w:r w:rsidRPr="00D53A2B">
        <w:rPr>
          <w:rFonts w:eastAsia="Calibri"/>
          <w:szCs w:val="24"/>
        </w:rPr>
        <w:t xml:space="preserve">nin bir parçası (bkz. </w:t>
      </w:r>
      <w:r w:rsidR="00651500" w:rsidRPr="00D53A2B">
        <w:rPr>
          <w:rFonts w:eastAsia="Calibri"/>
          <w:szCs w:val="24"/>
        </w:rPr>
        <w:t>MET</w:t>
      </w:r>
      <w:r w:rsidRPr="00D53A2B">
        <w:rPr>
          <w:rFonts w:eastAsia="Calibri"/>
          <w:szCs w:val="24"/>
        </w:rPr>
        <w:t xml:space="preserve">1) olarak aşağıdaki özelliklerin tümünü içeren bir kimyasal yönetim sistemi </w:t>
      </w:r>
      <w:r w:rsidR="00631791" w:rsidRPr="00D53A2B">
        <w:rPr>
          <w:rFonts w:eastAsia="Calibri"/>
          <w:szCs w:val="24"/>
        </w:rPr>
        <w:t xml:space="preserve">(KYS) </w:t>
      </w:r>
      <w:r w:rsidRPr="00D53A2B">
        <w:rPr>
          <w:rFonts w:eastAsia="Calibri"/>
          <w:szCs w:val="24"/>
        </w:rPr>
        <w:t>geliştirmek ve uygulamak zorundadır.</w:t>
      </w:r>
    </w:p>
    <w:p w14:paraId="2D2431B1" w14:textId="5A5E923E" w:rsidR="006C4775" w:rsidRPr="00D53A2B" w:rsidRDefault="006C4775" w:rsidP="00602365">
      <w:pPr>
        <w:pStyle w:val="ListeParagraf"/>
        <w:numPr>
          <w:ilvl w:val="0"/>
          <w:numId w:val="159"/>
        </w:numPr>
        <w:tabs>
          <w:tab w:val="clear" w:pos="567"/>
        </w:tabs>
        <w:spacing w:line="240" w:lineRule="auto"/>
        <w:ind w:left="426" w:hanging="437"/>
        <w:rPr>
          <w:rFonts w:eastAsia="Calibri"/>
          <w:sz w:val="24"/>
          <w:szCs w:val="24"/>
        </w:rPr>
      </w:pPr>
      <w:r w:rsidRPr="00D53A2B">
        <w:rPr>
          <w:rFonts w:eastAsia="Calibri"/>
          <w:sz w:val="24"/>
          <w:szCs w:val="24"/>
        </w:rPr>
        <w:t>Daha az zararlı proses kimyasalları ve tedarikçilerini seçerek tehlikeli maddelerin kullanımını ve risklerini en aza indirmeyi ve aşırı miktarda proses kimyasalı tedarikini önlemeyi amaçlayan bir tedarik politikası da dahil olmak üzere proses kimyasallarının tüketimini ve risklerini azaltma politikası. Proses kimyasallarının seçiminde aşağıdaki hususlar dikkate alınabilir:</w:t>
      </w:r>
    </w:p>
    <w:p w14:paraId="717F80D3" w14:textId="4571B1FE" w:rsidR="006C4775" w:rsidRPr="00D53A2B" w:rsidRDefault="006C4775" w:rsidP="00602365">
      <w:pPr>
        <w:pStyle w:val="ListeParagraf"/>
        <w:numPr>
          <w:ilvl w:val="0"/>
          <w:numId w:val="160"/>
        </w:numPr>
        <w:tabs>
          <w:tab w:val="clear" w:pos="567"/>
        </w:tabs>
        <w:spacing w:line="240" w:lineRule="auto"/>
        <w:ind w:left="851" w:hanging="425"/>
        <w:rPr>
          <w:rFonts w:eastAsia="Calibri"/>
          <w:sz w:val="24"/>
          <w:szCs w:val="24"/>
        </w:rPr>
      </w:pPr>
      <w:r w:rsidRPr="00D53A2B">
        <w:rPr>
          <w:rFonts w:eastAsia="Calibri"/>
          <w:sz w:val="24"/>
          <w:szCs w:val="24"/>
        </w:rPr>
        <w:t>Ortaya çıkan emisyonların azaltılması amacıyla elimine edilebilirlikleri, ekotoksisiteleri ve çevreye salınma potansiyelleri</w:t>
      </w:r>
    </w:p>
    <w:p w14:paraId="0DBC220D" w14:textId="77F7FEB7" w:rsidR="006C4775" w:rsidRPr="00D53A2B" w:rsidRDefault="006C4775" w:rsidP="00602365">
      <w:pPr>
        <w:pStyle w:val="ListeParagraf"/>
        <w:numPr>
          <w:ilvl w:val="0"/>
          <w:numId w:val="160"/>
        </w:numPr>
        <w:tabs>
          <w:tab w:val="clear" w:pos="567"/>
        </w:tabs>
        <w:spacing w:line="240" w:lineRule="auto"/>
        <w:ind w:left="851" w:hanging="425"/>
        <w:rPr>
          <w:rFonts w:eastAsia="Calibri"/>
          <w:sz w:val="24"/>
          <w:szCs w:val="24"/>
        </w:rPr>
      </w:pPr>
      <w:r w:rsidRPr="00D53A2B">
        <w:rPr>
          <w:rFonts w:eastAsia="Calibri"/>
          <w:sz w:val="24"/>
          <w:szCs w:val="24"/>
        </w:rPr>
        <w:t>Kimyasalların tehlike beyanına, tesisteki yollarına, potansiyel salınımına ve maruz kalma düzeyine dayalı olarak proses kimyasallarıyla ilişkili risklerin karakterizasyonu</w:t>
      </w:r>
    </w:p>
    <w:p w14:paraId="3F0D0415" w14:textId="69F12D74" w:rsidR="006C4775" w:rsidRPr="00D53A2B" w:rsidRDefault="006C4775" w:rsidP="00602365">
      <w:pPr>
        <w:pStyle w:val="ListeParagraf"/>
        <w:numPr>
          <w:ilvl w:val="0"/>
          <w:numId w:val="160"/>
        </w:numPr>
        <w:tabs>
          <w:tab w:val="clear" w:pos="567"/>
        </w:tabs>
        <w:spacing w:line="240" w:lineRule="auto"/>
        <w:ind w:left="851" w:hanging="425"/>
        <w:rPr>
          <w:rFonts w:eastAsia="Calibri"/>
          <w:sz w:val="24"/>
          <w:szCs w:val="24"/>
        </w:rPr>
      </w:pPr>
      <w:r w:rsidRPr="00D53A2B">
        <w:rPr>
          <w:rFonts w:eastAsia="Calibri"/>
          <w:sz w:val="24"/>
          <w:szCs w:val="24"/>
        </w:rPr>
        <w:t>Tehlikeli maddelerin kullanımına potansiyel olarak yeni, mevcut ve daha güvenli alternatifleri belirlemek için ikame potansiyelinin düzenli (örneğin yıllık) analizi (örneğin, çevreye etkisi olmayan veya daha düşük olan diğer işlem kimyasallarının kullanımı, bkz. MET 9).</w:t>
      </w:r>
    </w:p>
    <w:p w14:paraId="3B4731BC" w14:textId="4CE60C06" w:rsidR="006C4775" w:rsidRPr="00D53A2B" w:rsidRDefault="006C4775" w:rsidP="00602365">
      <w:pPr>
        <w:pStyle w:val="ListeParagraf"/>
        <w:numPr>
          <w:ilvl w:val="0"/>
          <w:numId w:val="160"/>
        </w:numPr>
        <w:tabs>
          <w:tab w:val="clear" w:pos="567"/>
        </w:tabs>
        <w:spacing w:line="240" w:lineRule="auto"/>
        <w:ind w:left="851" w:hanging="425"/>
        <w:rPr>
          <w:rFonts w:eastAsia="Calibri"/>
          <w:sz w:val="24"/>
          <w:szCs w:val="24"/>
        </w:rPr>
      </w:pPr>
      <w:r w:rsidRPr="00D53A2B">
        <w:rPr>
          <w:rFonts w:eastAsia="Calibri"/>
          <w:sz w:val="24"/>
          <w:szCs w:val="24"/>
        </w:rPr>
        <w:t>Tehlikeli kimyasallarla ilgili düzenleyici değişikliklerin önceden izlenmesi ve geçerli yasal gerekliliklere uyumun sağlanması.</w:t>
      </w:r>
    </w:p>
    <w:p w14:paraId="272CC4CA" w14:textId="77777777" w:rsidR="006C4775" w:rsidRPr="00D53A2B" w:rsidRDefault="006C4775" w:rsidP="00A202FD">
      <w:pPr>
        <w:jc w:val="both"/>
        <w:rPr>
          <w:rFonts w:eastAsia="Calibri"/>
        </w:rPr>
      </w:pPr>
    </w:p>
    <w:p w14:paraId="137BF608" w14:textId="0C80C586" w:rsidR="006C4775" w:rsidRPr="00D53A2B" w:rsidRDefault="006C4775" w:rsidP="00A202FD">
      <w:pPr>
        <w:jc w:val="both"/>
        <w:rPr>
          <w:rFonts w:eastAsia="Calibri"/>
        </w:rPr>
      </w:pPr>
      <w:r w:rsidRPr="00D53A2B">
        <w:rPr>
          <w:rFonts w:eastAsia="Calibri"/>
        </w:rPr>
        <w:t>Proses kimyasallarının envanteri (bkz. MET 2), proses kimyasallarının seçimini desteklemek için kullanılabilir.</w:t>
      </w:r>
    </w:p>
    <w:p w14:paraId="5D7A1007" w14:textId="6E3920DA" w:rsidR="006C4775" w:rsidRPr="00D53A2B" w:rsidRDefault="006C4775" w:rsidP="00602365">
      <w:pPr>
        <w:pStyle w:val="ListeParagraf"/>
        <w:numPr>
          <w:ilvl w:val="0"/>
          <w:numId w:val="159"/>
        </w:numPr>
        <w:tabs>
          <w:tab w:val="clear" w:pos="567"/>
        </w:tabs>
        <w:spacing w:line="240" w:lineRule="auto"/>
        <w:ind w:left="426" w:hanging="426"/>
        <w:rPr>
          <w:rFonts w:eastAsia="Calibri"/>
          <w:sz w:val="24"/>
          <w:szCs w:val="24"/>
        </w:rPr>
      </w:pPr>
      <w:r w:rsidRPr="00D53A2B">
        <w:rPr>
          <w:rFonts w:eastAsia="Calibri"/>
          <w:sz w:val="24"/>
          <w:szCs w:val="24"/>
        </w:rPr>
        <w:t>Tehlikeli maddelerin kullanımını ve risklerini önlemek veya azaltmak için hedefler ve eylem planları.</w:t>
      </w:r>
    </w:p>
    <w:p w14:paraId="46E1292F" w14:textId="78670F15" w:rsidR="006C4775" w:rsidRPr="00D53A2B" w:rsidRDefault="006C4775" w:rsidP="00602365">
      <w:pPr>
        <w:pStyle w:val="ListeParagraf"/>
        <w:numPr>
          <w:ilvl w:val="0"/>
          <w:numId w:val="159"/>
        </w:numPr>
        <w:tabs>
          <w:tab w:val="clear" w:pos="567"/>
        </w:tabs>
        <w:spacing w:line="240" w:lineRule="auto"/>
        <w:ind w:left="426" w:hanging="426"/>
        <w:rPr>
          <w:rFonts w:eastAsia="Calibri"/>
          <w:sz w:val="24"/>
          <w:szCs w:val="24"/>
        </w:rPr>
      </w:pPr>
      <w:r w:rsidRPr="00D53A2B">
        <w:rPr>
          <w:rFonts w:eastAsia="Calibri"/>
          <w:sz w:val="24"/>
          <w:szCs w:val="24"/>
        </w:rPr>
        <w:t>Çevreye emisyonları önlemek veya azaltmak için proses kimyasallarının tedariki, taşınması, depolanması ve kullanımına ilişkin prosedürlerin geliştirilmesi ve uygulanması (örneğin bkz. MET 4).</w:t>
      </w:r>
    </w:p>
    <w:p w14:paraId="41775B6E" w14:textId="77777777" w:rsidR="0071694E" w:rsidRPr="00D53A2B" w:rsidRDefault="0071694E" w:rsidP="00A202FD">
      <w:pPr>
        <w:jc w:val="both"/>
        <w:rPr>
          <w:rFonts w:eastAsia="Calibri"/>
          <w:lang w:eastAsia="en-US"/>
        </w:rPr>
      </w:pPr>
    </w:p>
    <w:p w14:paraId="55A2992C" w14:textId="6F8F435D" w:rsidR="0071694E" w:rsidRPr="00D53A2B" w:rsidRDefault="006C4775" w:rsidP="00A202FD">
      <w:pPr>
        <w:numPr>
          <w:ilvl w:val="1"/>
          <w:numId w:val="20"/>
        </w:numPr>
        <w:jc w:val="both"/>
        <w:rPr>
          <w:rFonts w:eastAsia="Calibri"/>
          <w:lang w:eastAsia="en-US"/>
        </w:rPr>
      </w:pPr>
      <w:r w:rsidRPr="00D53A2B">
        <w:rPr>
          <w:rFonts w:eastAsia="Calibri"/>
          <w:b/>
          <w:bCs/>
          <w:lang w:eastAsia="en-US"/>
        </w:rPr>
        <w:t>Uygulanabilirlik</w:t>
      </w:r>
    </w:p>
    <w:p w14:paraId="65474D7C" w14:textId="033D28E2" w:rsidR="0071694E" w:rsidRPr="00D53A2B" w:rsidRDefault="00631791" w:rsidP="00A202FD">
      <w:pPr>
        <w:jc w:val="both"/>
        <w:rPr>
          <w:rFonts w:eastAsia="Calibri"/>
          <w:lang w:eastAsia="en-US"/>
        </w:rPr>
      </w:pPr>
      <w:bookmarkStart w:id="38" w:name="page732"/>
      <w:bookmarkEnd w:id="38"/>
      <w:r w:rsidRPr="00D53A2B">
        <w:rPr>
          <w:rFonts w:eastAsia="Calibri"/>
          <w:lang w:eastAsia="en-US"/>
        </w:rPr>
        <w:t>KYS</w:t>
      </w:r>
      <w:r w:rsidR="00E56504" w:rsidRPr="00D53A2B">
        <w:rPr>
          <w:rFonts w:eastAsia="Calibri"/>
          <w:lang w:eastAsia="en-US"/>
        </w:rPr>
        <w:t>’</w:t>
      </w:r>
      <w:r w:rsidRPr="00D53A2B">
        <w:rPr>
          <w:rFonts w:eastAsia="Calibri"/>
          <w:lang w:eastAsia="en-US"/>
        </w:rPr>
        <w:t xml:space="preserve">nin </w:t>
      </w:r>
      <w:r w:rsidR="006C4775" w:rsidRPr="00D53A2B">
        <w:rPr>
          <w:rFonts w:eastAsia="Calibri"/>
          <w:lang w:eastAsia="en-US"/>
        </w:rPr>
        <w:t>ayrıntı düzeyi genellikle tesisin niteliği, ölçeği ve karmaşıklığı ile ilgili olacaktır.</w:t>
      </w:r>
    </w:p>
    <w:p w14:paraId="433FDEF0" w14:textId="77777777" w:rsidR="006C4775" w:rsidRPr="00D53A2B" w:rsidRDefault="006C4775" w:rsidP="00A202FD">
      <w:pPr>
        <w:jc w:val="both"/>
        <w:rPr>
          <w:rFonts w:eastAsia="Calibri"/>
          <w:lang w:eastAsia="en-US"/>
        </w:rPr>
      </w:pPr>
    </w:p>
    <w:p w14:paraId="64368DA1" w14:textId="55F9579D" w:rsidR="0071694E" w:rsidRPr="00D53A2B" w:rsidRDefault="00950AEB" w:rsidP="00A202FD">
      <w:pPr>
        <w:pStyle w:val="MET"/>
        <w:rPr>
          <w:rFonts w:eastAsia="Calibri"/>
          <w:szCs w:val="24"/>
        </w:rPr>
      </w:pPr>
      <w:r w:rsidRPr="00D53A2B">
        <w:rPr>
          <w:rFonts w:eastAsia="Calibri"/>
          <w:szCs w:val="24"/>
        </w:rPr>
        <w:t xml:space="preserve">MET 4: </w:t>
      </w:r>
      <w:r w:rsidRPr="00D53A2B">
        <w:rPr>
          <w:rFonts w:eastAsia="Calibri"/>
          <w:b w:val="0"/>
          <w:bCs/>
          <w:szCs w:val="24"/>
        </w:rPr>
        <w:t>Toprak ve yeraltı sularına yönelik emisyonların önlenmesi veya azaltılması için aşağıda verilen tekniklerin tamamı</w:t>
      </w:r>
      <w:r w:rsidR="00631791" w:rsidRPr="00D53A2B">
        <w:rPr>
          <w:rFonts w:eastAsia="Calibri"/>
          <w:b w:val="0"/>
          <w:bCs/>
          <w:szCs w:val="24"/>
        </w:rPr>
        <w:t xml:space="preserve"> kullanılır</w:t>
      </w:r>
      <w:r w:rsidRPr="00D53A2B">
        <w:rPr>
          <w:rFonts w:eastAsia="Calibri"/>
          <w:b w:val="0"/>
          <w:bCs/>
          <w:szCs w:val="24"/>
        </w:rPr>
        <w:t>.</w:t>
      </w:r>
    </w:p>
    <w:p w14:paraId="208B8169" w14:textId="77777777" w:rsidR="0071694E" w:rsidRPr="00D53A2B" w:rsidRDefault="0071694E" w:rsidP="00A202FD">
      <w:pPr>
        <w:jc w:val="both"/>
        <w:rPr>
          <w:rFonts w:eastAsia="Calibri"/>
          <w:sz w:val="22"/>
          <w:szCs w:val="22"/>
          <w:lang w:eastAsia="en-US"/>
        </w:rPr>
      </w:pPr>
    </w:p>
    <w:tbl>
      <w:tblPr>
        <w:tblStyle w:val="TabloKlavuzu"/>
        <w:tblW w:w="8930"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01"/>
        <w:gridCol w:w="1961"/>
        <w:gridCol w:w="4733"/>
        <w:gridCol w:w="1835"/>
      </w:tblGrid>
      <w:tr w:rsidR="001D3131" w:rsidRPr="004B0D48" w14:paraId="1C28E200" w14:textId="77777777" w:rsidTr="001F4486">
        <w:tc>
          <w:tcPr>
            <w:tcW w:w="401" w:type="dxa"/>
            <w:tcBorders>
              <w:right w:val="nil"/>
            </w:tcBorders>
          </w:tcPr>
          <w:p w14:paraId="22F04B20" w14:textId="77777777" w:rsidR="0071694E" w:rsidRPr="009077F5" w:rsidRDefault="0071694E" w:rsidP="004B0D48">
            <w:pPr>
              <w:pStyle w:val="KonuBal"/>
              <w:rPr>
                <w:sz w:val="24"/>
                <w:szCs w:val="24"/>
              </w:rPr>
            </w:pPr>
          </w:p>
        </w:tc>
        <w:tc>
          <w:tcPr>
            <w:tcW w:w="1977" w:type="dxa"/>
            <w:tcBorders>
              <w:left w:val="nil"/>
            </w:tcBorders>
          </w:tcPr>
          <w:p w14:paraId="777EC404" w14:textId="77777777" w:rsidR="0071694E" w:rsidRPr="009077F5" w:rsidRDefault="0071694E" w:rsidP="004B0D48">
            <w:pPr>
              <w:pStyle w:val="KonuBal"/>
              <w:rPr>
                <w:sz w:val="24"/>
                <w:szCs w:val="24"/>
              </w:rPr>
            </w:pPr>
            <w:r w:rsidRPr="009077F5">
              <w:rPr>
                <w:sz w:val="24"/>
                <w:szCs w:val="24"/>
              </w:rPr>
              <w:t>Teknik</w:t>
            </w:r>
          </w:p>
        </w:tc>
        <w:tc>
          <w:tcPr>
            <w:tcW w:w="4859" w:type="dxa"/>
          </w:tcPr>
          <w:p w14:paraId="5532D2E6" w14:textId="77777777" w:rsidR="0071694E" w:rsidRPr="009077F5" w:rsidRDefault="0071694E" w:rsidP="004B0D48">
            <w:pPr>
              <w:pStyle w:val="KonuBal"/>
              <w:rPr>
                <w:sz w:val="24"/>
                <w:szCs w:val="24"/>
              </w:rPr>
            </w:pPr>
            <w:r w:rsidRPr="009077F5">
              <w:rPr>
                <w:sz w:val="24"/>
                <w:szCs w:val="24"/>
              </w:rPr>
              <w:t>Açıklama</w:t>
            </w:r>
          </w:p>
        </w:tc>
        <w:tc>
          <w:tcPr>
            <w:tcW w:w="1693" w:type="dxa"/>
          </w:tcPr>
          <w:p w14:paraId="19D1AEBA" w14:textId="77777777" w:rsidR="0071694E" w:rsidRPr="009077F5" w:rsidRDefault="0071694E" w:rsidP="00E73DA3">
            <w:pPr>
              <w:pStyle w:val="KonuBal"/>
              <w:rPr>
                <w:sz w:val="24"/>
                <w:szCs w:val="24"/>
              </w:rPr>
            </w:pPr>
            <w:r w:rsidRPr="009077F5">
              <w:rPr>
                <w:sz w:val="24"/>
                <w:szCs w:val="24"/>
              </w:rPr>
              <w:t>Uygulanabilirlik</w:t>
            </w:r>
          </w:p>
        </w:tc>
      </w:tr>
      <w:tr w:rsidR="00BB2B09" w:rsidRPr="004B0D48" w14:paraId="39FDCBA8" w14:textId="77777777" w:rsidTr="001F4486">
        <w:tc>
          <w:tcPr>
            <w:tcW w:w="401" w:type="dxa"/>
            <w:vAlign w:val="center"/>
          </w:tcPr>
          <w:p w14:paraId="441BE2E8" w14:textId="52876A59" w:rsidR="0071694E" w:rsidRPr="009077F5" w:rsidRDefault="0071694E" w:rsidP="004B0D48">
            <w:pPr>
              <w:pStyle w:val="KonuBal"/>
              <w:rPr>
                <w:sz w:val="24"/>
                <w:szCs w:val="24"/>
              </w:rPr>
            </w:pPr>
            <w:r w:rsidRPr="009077F5">
              <w:rPr>
                <w:sz w:val="24"/>
                <w:szCs w:val="24"/>
              </w:rPr>
              <w:t>a.</w:t>
            </w:r>
          </w:p>
        </w:tc>
        <w:tc>
          <w:tcPr>
            <w:tcW w:w="1977" w:type="dxa"/>
            <w:vAlign w:val="center"/>
          </w:tcPr>
          <w:p w14:paraId="3F5026F8" w14:textId="05C6E1AF" w:rsidR="0071694E" w:rsidRPr="009077F5" w:rsidRDefault="0071694E" w:rsidP="004B0D48">
            <w:pPr>
              <w:pStyle w:val="KonuBal"/>
              <w:rPr>
                <w:sz w:val="24"/>
                <w:szCs w:val="24"/>
              </w:rPr>
            </w:pPr>
            <w:r w:rsidRPr="009077F5">
              <w:rPr>
                <w:sz w:val="24"/>
                <w:szCs w:val="24"/>
              </w:rPr>
              <w:t>Sızıntı ve dökü</w:t>
            </w:r>
            <w:r w:rsidR="00F809A9" w:rsidRPr="009077F5">
              <w:rPr>
                <w:sz w:val="24"/>
                <w:szCs w:val="24"/>
              </w:rPr>
              <w:t>lmelerin</w:t>
            </w:r>
            <w:r w:rsidRPr="009077F5">
              <w:rPr>
                <w:sz w:val="24"/>
                <w:szCs w:val="24"/>
              </w:rPr>
              <w:t xml:space="preserve"> önlenmesi ve kontrol</w:t>
            </w:r>
            <w:r w:rsidR="00F809A9" w:rsidRPr="009077F5">
              <w:rPr>
                <w:sz w:val="24"/>
                <w:szCs w:val="24"/>
              </w:rPr>
              <w:t xml:space="preserve">ü için </w:t>
            </w:r>
            <w:r w:rsidRPr="009077F5">
              <w:rPr>
                <w:sz w:val="24"/>
                <w:szCs w:val="24"/>
              </w:rPr>
              <w:t xml:space="preserve"> bir plan</w:t>
            </w:r>
            <w:r w:rsidR="00F809A9" w:rsidRPr="009077F5">
              <w:rPr>
                <w:sz w:val="24"/>
                <w:szCs w:val="24"/>
              </w:rPr>
              <w:t>ın oluşturulması ve uygulanması</w:t>
            </w:r>
          </w:p>
        </w:tc>
        <w:tc>
          <w:tcPr>
            <w:tcW w:w="4859" w:type="dxa"/>
          </w:tcPr>
          <w:p w14:paraId="59E34D3A" w14:textId="6E4B327F" w:rsidR="00F809A9" w:rsidRPr="009077F5" w:rsidRDefault="00F809A9" w:rsidP="00A202FD">
            <w:pPr>
              <w:jc w:val="both"/>
              <w:rPr>
                <w:rFonts w:eastAsia="Calibri"/>
                <w:spacing w:val="2"/>
                <w:lang w:val="en-US" w:eastAsia="en-US"/>
              </w:rPr>
            </w:pPr>
            <w:r w:rsidRPr="009077F5">
              <w:rPr>
                <w:rFonts w:eastAsia="Calibri"/>
                <w:spacing w:val="2"/>
                <w:lang w:val="en-US" w:eastAsia="en-US"/>
              </w:rPr>
              <w:t xml:space="preserve">Sızıntı ve dökülmelerin önlenmesi ve kontrolüne yönelik bir plan, </w:t>
            </w:r>
            <w:r w:rsidR="00631791" w:rsidRPr="009077F5">
              <w:rPr>
                <w:rFonts w:eastAsia="Calibri"/>
                <w:spacing w:val="2"/>
                <w:lang w:val="en-US" w:eastAsia="en-US"/>
              </w:rPr>
              <w:t>ÇYS</w:t>
            </w:r>
            <w:r w:rsidR="00E56504" w:rsidRPr="009077F5">
              <w:rPr>
                <w:rFonts w:eastAsia="Calibri"/>
                <w:spacing w:val="2"/>
                <w:lang w:val="en-US" w:eastAsia="en-US"/>
              </w:rPr>
              <w:t>’</w:t>
            </w:r>
            <w:r w:rsidR="00631791" w:rsidRPr="009077F5">
              <w:rPr>
                <w:rFonts w:eastAsia="Calibri"/>
                <w:spacing w:val="2"/>
                <w:lang w:val="en-US" w:eastAsia="en-US"/>
              </w:rPr>
              <w:t>nin</w:t>
            </w:r>
            <w:r w:rsidRPr="009077F5">
              <w:rPr>
                <w:rFonts w:eastAsia="Calibri"/>
                <w:spacing w:val="2"/>
                <w:lang w:val="en-US" w:eastAsia="en-US"/>
              </w:rPr>
              <w:t xml:space="preserve"> bir parçasıdır (bkz. </w:t>
            </w:r>
            <w:r w:rsidR="00651500" w:rsidRPr="009077F5">
              <w:rPr>
                <w:rFonts w:eastAsia="Calibri"/>
                <w:spacing w:val="2"/>
                <w:lang w:val="en-US" w:eastAsia="en-US"/>
              </w:rPr>
              <w:t>MET</w:t>
            </w:r>
            <w:r w:rsidRPr="009077F5">
              <w:rPr>
                <w:rFonts w:eastAsia="Calibri"/>
                <w:spacing w:val="2"/>
                <w:lang w:val="en-US" w:eastAsia="en-US"/>
              </w:rPr>
              <w:t>1) ve aşağıdakileri içerir, ancak bunlarla sınırlı değildir:</w:t>
            </w:r>
          </w:p>
          <w:p w14:paraId="719A0089" w14:textId="77777777" w:rsidR="00CB2C68" w:rsidRPr="009077F5" w:rsidRDefault="0071694E" w:rsidP="004B0D48">
            <w:pPr>
              <w:pStyle w:val="KonuBal"/>
              <w:numPr>
                <w:ilvl w:val="0"/>
                <w:numId w:val="161"/>
              </w:numPr>
              <w:rPr>
                <w:sz w:val="24"/>
                <w:szCs w:val="24"/>
              </w:rPr>
            </w:pPr>
            <w:r w:rsidRPr="009077F5">
              <w:rPr>
                <w:sz w:val="24"/>
                <w:szCs w:val="24"/>
              </w:rPr>
              <w:t>Küçük ve büyük dökü</w:t>
            </w:r>
            <w:r w:rsidR="00CB2C68" w:rsidRPr="009077F5">
              <w:rPr>
                <w:sz w:val="24"/>
                <w:szCs w:val="24"/>
              </w:rPr>
              <w:t xml:space="preserve">lmelere yönelik </w:t>
            </w:r>
            <w:r w:rsidRPr="009077F5">
              <w:rPr>
                <w:sz w:val="24"/>
                <w:szCs w:val="24"/>
              </w:rPr>
              <w:t xml:space="preserve">saha olay planları; </w:t>
            </w:r>
          </w:p>
          <w:p w14:paraId="7FA8AAB3" w14:textId="6904A0CE" w:rsidR="0071694E" w:rsidRPr="009077F5" w:rsidRDefault="0071694E" w:rsidP="004B0D48">
            <w:pPr>
              <w:pStyle w:val="KonuBal"/>
              <w:numPr>
                <w:ilvl w:val="0"/>
                <w:numId w:val="161"/>
              </w:numPr>
              <w:rPr>
                <w:sz w:val="24"/>
                <w:szCs w:val="24"/>
              </w:rPr>
            </w:pPr>
            <w:r w:rsidRPr="009077F5">
              <w:rPr>
                <w:sz w:val="24"/>
                <w:szCs w:val="24"/>
              </w:rPr>
              <w:t xml:space="preserve">İlgili kişilerin görev ve sorumluluklarının belirlenmesi; </w:t>
            </w:r>
          </w:p>
          <w:p w14:paraId="0697948A" w14:textId="77777777" w:rsidR="00CB2C68" w:rsidRPr="009077F5" w:rsidRDefault="00CB2C68" w:rsidP="004B0D48">
            <w:pPr>
              <w:pStyle w:val="KonuBal"/>
              <w:numPr>
                <w:ilvl w:val="0"/>
                <w:numId w:val="161"/>
              </w:numPr>
              <w:rPr>
                <w:sz w:val="24"/>
                <w:szCs w:val="24"/>
              </w:rPr>
            </w:pPr>
            <w:r w:rsidRPr="009077F5">
              <w:rPr>
                <w:sz w:val="24"/>
                <w:szCs w:val="24"/>
              </w:rPr>
              <w:t>Personelin çevre konusunda bilinçli olmasını ve sızıntı olaylarını önlemek ve bunlarla başa çıkmak için eğitilmesini sağlamak.</w:t>
            </w:r>
          </w:p>
          <w:p w14:paraId="7A8AE629" w14:textId="3AE9708F" w:rsidR="0071694E" w:rsidRPr="009077F5" w:rsidRDefault="00CB2C68" w:rsidP="00E73DA3">
            <w:pPr>
              <w:pStyle w:val="KonuBal"/>
              <w:numPr>
                <w:ilvl w:val="0"/>
                <w:numId w:val="161"/>
              </w:numPr>
              <w:rPr>
                <w:sz w:val="24"/>
                <w:szCs w:val="24"/>
              </w:rPr>
            </w:pPr>
            <w:r w:rsidRPr="009077F5">
              <w:rPr>
                <w:sz w:val="24"/>
                <w:szCs w:val="24"/>
              </w:rPr>
              <w:t xml:space="preserve">Tehlikeli maddelerin dökülme ve/veya </w:t>
            </w:r>
            <w:r w:rsidRPr="009077F5">
              <w:rPr>
                <w:sz w:val="24"/>
                <w:szCs w:val="24"/>
              </w:rPr>
              <w:lastRenderedPageBreak/>
              <w:t>sızma riski olan alanların belirlenmesi ve riske göre sıralanması</w:t>
            </w:r>
            <w:r w:rsidR="0071694E" w:rsidRPr="009077F5">
              <w:rPr>
                <w:sz w:val="24"/>
                <w:szCs w:val="24"/>
              </w:rPr>
              <w:t xml:space="preserve">; </w:t>
            </w:r>
          </w:p>
          <w:p w14:paraId="3DAC9F3E" w14:textId="36FAB121" w:rsidR="0071694E" w:rsidRPr="009077F5" w:rsidRDefault="00CB2C68" w:rsidP="00BF4451">
            <w:pPr>
              <w:pStyle w:val="KonuBal"/>
              <w:numPr>
                <w:ilvl w:val="0"/>
                <w:numId w:val="161"/>
              </w:numPr>
              <w:rPr>
                <w:sz w:val="24"/>
                <w:szCs w:val="24"/>
              </w:rPr>
            </w:pPr>
            <w:r w:rsidRPr="009077F5">
              <w:rPr>
                <w:sz w:val="24"/>
                <w:szCs w:val="24"/>
              </w:rPr>
              <w:t>Uygun dökülme önleme ve temizleme ekipmanının belirlenmesi ve bunların düzenli olarak mevcut, iyi çalışır durumda ve bu olayların meydana gelebileceği noktaların yakınında bulunmasının sağlanması</w:t>
            </w:r>
            <w:r w:rsidR="0071694E" w:rsidRPr="009077F5">
              <w:rPr>
                <w:sz w:val="24"/>
                <w:szCs w:val="24"/>
              </w:rPr>
              <w:t xml:space="preserve">; </w:t>
            </w:r>
          </w:p>
          <w:p w14:paraId="2265DA2D" w14:textId="4CC91C84" w:rsidR="0071694E" w:rsidRPr="009077F5" w:rsidRDefault="00CB2C68" w:rsidP="00BF4451">
            <w:pPr>
              <w:pStyle w:val="KonuBal"/>
              <w:numPr>
                <w:ilvl w:val="0"/>
                <w:numId w:val="161"/>
              </w:numPr>
              <w:rPr>
                <w:sz w:val="24"/>
                <w:szCs w:val="24"/>
              </w:rPr>
            </w:pPr>
            <w:r w:rsidRPr="009077F5">
              <w:rPr>
                <w:sz w:val="24"/>
                <w:szCs w:val="24"/>
              </w:rPr>
              <w:t>Sızıntı kontrolünden kaynaklanan atıkların yönetimine ilişkin atık yönetimi yönergeleri</w:t>
            </w:r>
            <w:r w:rsidR="0071694E" w:rsidRPr="009077F5">
              <w:rPr>
                <w:sz w:val="24"/>
                <w:szCs w:val="24"/>
              </w:rPr>
              <w:t xml:space="preserve">; </w:t>
            </w:r>
          </w:p>
          <w:p w14:paraId="386FC338" w14:textId="3B039C56" w:rsidR="0071694E" w:rsidRPr="009077F5" w:rsidRDefault="00CB2C68" w:rsidP="00BF4451">
            <w:pPr>
              <w:pStyle w:val="KonuBal"/>
              <w:numPr>
                <w:ilvl w:val="0"/>
                <w:numId w:val="161"/>
              </w:numPr>
              <w:rPr>
                <w:sz w:val="24"/>
                <w:szCs w:val="24"/>
              </w:rPr>
            </w:pPr>
            <w:r w:rsidRPr="009077F5">
              <w:rPr>
                <w:sz w:val="24"/>
                <w:szCs w:val="24"/>
              </w:rPr>
              <w:t>Depolama ve taşıma alanlarının düzenli (en azından yıllık bazda) denetimleri, sızıntı tespit ekipmanının test edilmesi ve kalibrasyonu ve vanalar, rakorlar, flanşlar vb kaynaklanan sızıntıların derhal onarılması</w:t>
            </w:r>
            <w:r w:rsidR="0071694E" w:rsidRPr="009077F5">
              <w:rPr>
                <w:sz w:val="24"/>
                <w:szCs w:val="24"/>
              </w:rPr>
              <w:t xml:space="preserve">. </w:t>
            </w:r>
          </w:p>
        </w:tc>
        <w:tc>
          <w:tcPr>
            <w:tcW w:w="1693" w:type="dxa"/>
            <w:vAlign w:val="center"/>
          </w:tcPr>
          <w:p w14:paraId="012D17FC" w14:textId="0AA6E62C" w:rsidR="0071694E" w:rsidRPr="009077F5" w:rsidRDefault="00F35B82" w:rsidP="00BF4451">
            <w:pPr>
              <w:pStyle w:val="KonuBal"/>
              <w:rPr>
                <w:sz w:val="24"/>
                <w:szCs w:val="24"/>
              </w:rPr>
            </w:pPr>
            <w:r w:rsidRPr="009077F5">
              <w:rPr>
                <w:sz w:val="24"/>
                <w:szCs w:val="24"/>
              </w:rPr>
              <w:lastRenderedPageBreak/>
              <w:t>Ayrıntılı plan yapılması</w:t>
            </w:r>
            <w:r w:rsidR="001D3131" w:rsidRPr="009077F5">
              <w:rPr>
                <w:sz w:val="24"/>
                <w:szCs w:val="24"/>
              </w:rPr>
              <w:t xml:space="preserve"> genellikle tesisin niteliği, ölçeği ve karmaşıklığı ile kullanılan sıvıların türü ve miktarı ile ilişkili</w:t>
            </w:r>
            <w:r w:rsidRPr="009077F5">
              <w:rPr>
                <w:sz w:val="24"/>
                <w:szCs w:val="24"/>
              </w:rPr>
              <w:t>dir</w:t>
            </w:r>
            <w:r w:rsidR="001D3131" w:rsidRPr="009077F5">
              <w:rPr>
                <w:sz w:val="24"/>
                <w:szCs w:val="24"/>
              </w:rPr>
              <w:t>.</w:t>
            </w:r>
          </w:p>
        </w:tc>
      </w:tr>
      <w:tr w:rsidR="00BB2B09" w:rsidRPr="004B0D48" w14:paraId="284F8489" w14:textId="77777777" w:rsidTr="001F4486">
        <w:tc>
          <w:tcPr>
            <w:tcW w:w="401" w:type="dxa"/>
          </w:tcPr>
          <w:p w14:paraId="587AACD8" w14:textId="77777777" w:rsidR="0071694E" w:rsidRPr="009077F5" w:rsidRDefault="0071694E" w:rsidP="004B0D48">
            <w:pPr>
              <w:pStyle w:val="KonuBal"/>
              <w:rPr>
                <w:sz w:val="24"/>
                <w:szCs w:val="24"/>
              </w:rPr>
            </w:pPr>
            <w:r w:rsidRPr="009077F5">
              <w:rPr>
                <w:sz w:val="24"/>
                <w:szCs w:val="24"/>
              </w:rPr>
              <w:t xml:space="preserve">b. </w:t>
            </w:r>
          </w:p>
        </w:tc>
        <w:tc>
          <w:tcPr>
            <w:tcW w:w="1977" w:type="dxa"/>
          </w:tcPr>
          <w:p w14:paraId="7545C457" w14:textId="77777777" w:rsidR="0071694E" w:rsidRPr="009077F5" w:rsidRDefault="0071694E" w:rsidP="004B0D48">
            <w:pPr>
              <w:pStyle w:val="KonuBal"/>
              <w:rPr>
                <w:sz w:val="24"/>
                <w:szCs w:val="24"/>
              </w:rPr>
            </w:pPr>
            <w:r w:rsidRPr="009077F5">
              <w:rPr>
                <w:sz w:val="24"/>
                <w:szCs w:val="24"/>
              </w:rPr>
              <w:t xml:space="preserve">Yağ sızdırmaz tepsilerin ve depoların kullanılması </w:t>
            </w:r>
          </w:p>
        </w:tc>
        <w:tc>
          <w:tcPr>
            <w:tcW w:w="4859" w:type="dxa"/>
          </w:tcPr>
          <w:p w14:paraId="108A30B3" w14:textId="77777777" w:rsidR="0071694E" w:rsidRPr="009077F5" w:rsidRDefault="0071694E" w:rsidP="004B0D48">
            <w:pPr>
              <w:pStyle w:val="KonuBal"/>
              <w:rPr>
                <w:sz w:val="24"/>
                <w:szCs w:val="24"/>
              </w:rPr>
            </w:pPr>
            <w:r w:rsidRPr="009077F5">
              <w:rPr>
                <w:sz w:val="24"/>
                <w:szCs w:val="24"/>
              </w:rPr>
              <w:t xml:space="preserve">Hidrolik istasyonları ve yağ ya da gresle yağlanan ekipmanlar, yağ sızdırmaz tepsi veya depolarda bulundurulur. </w:t>
            </w:r>
          </w:p>
        </w:tc>
        <w:tc>
          <w:tcPr>
            <w:tcW w:w="1693" w:type="dxa"/>
          </w:tcPr>
          <w:p w14:paraId="207AF681" w14:textId="77777777" w:rsidR="0071694E" w:rsidRPr="009077F5" w:rsidRDefault="0071694E" w:rsidP="00E73DA3">
            <w:pPr>
              <w:pStyle w:val="KonuBal"/>
              <w:rPr>
                <w:sz w:val="24"/>
                <w:szCs w:val="24"/>
              </w:rPr>
            </w:pPr>
            <w:r w:rsidRPr="009077F5">
              <w:rPr>
                <w:sz w:val="24"/>
                <w:szCs w:val="24"/>
              </w:rPr>
              <w:t xml:space="preserve">Genel olarak uygulanabilir </w:t>
            </w:r>
          </w:p>
        </w:tc>
      </w:tr>
      <w:tr w:rsidR="00BB2B09" w:rsidRPr="004B0D48" w14:paraId="77A339D4" w14:textId="77777777" w:rsidTr="001F4486">
        <w:tc>
          <w:tcPr>
            <w:tcW w:w="401" w:type="dxa"/>
            <w:vAlign w:val="center"/>
          </w:tcPr>
          <w:p w14:paraId="1D22EAD8" w14:textId="77777777" w:rsidR="0071694E" w:rsidRPr="009077F5" w:rsidRDefault="0071694E" w:rsidP="004B0D48">
            <w:pPr>
              <w:pStyle w:val="KonuBal"/>
              <w:rPr>
                <w:sz w:val="24"/>
                <w:szCs w:val="24"/>
              </w:rPr>
            </w:pPr>
            <w:r w:rsidRPr="009077F5">
              <w:rPr>
                <w:sz w:val="24"/>
                <w:szCs w:val="24"/>
              </w:rPr>
              <w:t xml:space="preserve">c. </w:t>
            </w:r>
          </w:p>
        </w:tc>
        <w:tc>
          <w:tcPr>
            <w:tcW w:w="1977" w:type="dxa"/>
            <w:vAlign w:val="center"/>
          </w:tcPr>
          <w:p w14:paraId="7AA6D8E5" w14:textId="5D33001D" w:rsidR="0071694E" w:rsidRPr="009077F5" w:rsidRDefault="0071694E" w:rsidP="004B0D48">
            <w:pPr>
              <w:pStyle w:val="KonuBal"/>
              <w:rPr>
                <w:sz w:val="24"/>
                <w:szCs w:val="24"/>
              </w:rPr>
            </w:pPr>
            <w:r w:rsidRPr="009077F5">
              <w:rPr>
                <w:sz w:val="24"/>
                <w:szCs w:val="24"/>
              </w:rPr>
              <w:t xml:space="preserve">Asit </w:t>
            </w:r>
            <w:r w:rsidR="00BB2B09" w:rsidRPr="009077F5">
              <w:rPr>
                <w:sz w:val="24"/>
                <w:szCs w:val="24"/>
              </w:rPr>
              <w:t>dökülmelerinin</w:t>
            </w:r>
            <w:r w:rsidRPr="009077F5">
              <w:rPr>
                <w:sz w:val="24"/>
                <w:szCs w:val="24"/>
              </w:rPr>
              <w:t xml:space="preserve"> ve sızıntılarının önlenmesi ve </w:t>
            </w:r>
            <w:r w:rsidR="00BB2B09" w:rsidRPr="009077F5">
              <w:rPr>
                <w:sz w:val="24"/>
                <w:szCs w:val="24"/>
              </w:rPr>
              <w:t>yönetimi</w:t>
            </w:r>
          </w:p>
        </w:tc>
        <w:tc>
          <w:tcPr>
            <w:tcW w:w="4859" w:type="dxa"/>
          </w:tcPr>
          <w:p w14:paraId="6DDBB6BC" w14:textId="77777777" w:rsidR="0071694E" w:rsidRPr="009077F5" w:rsidRDefault="0071694E" w:rsidP="004B0D48">
            <w:pPr>
              <w:pStyle w:val="KonuBal"/>
              <w:rPr>
                <w:sz w:val="24"/>
                <w:szCs w:val="24"/>
              </w:rPr>
            </w:pPr>
            <w:r w:rsidRPr="009077F5">
              <w:rPr>
                <w:sz w:val="24"/>
                <w:szCs w:val="24"/>
              </w:rPr>
              <w:t xml:space="preserve">Yeni ve kullanılmış asitlerin depolama tanklarında, aside dayanıklı kaplamayla korunan ikincil bir sızdırmaz muhafaza bulunmakta olup bunlar olası hasarlara ve çatlaklara karşı düzenli olarak denetlenir. Asitlerin yükleme ve boşaltma alanları, olası döküntü ve sızıntıların çevrelenebileceği ve tesis içinde (bkz. MET 31) veya dışında işlenmeye gönderilebileceği bir şekilde tasarlanır. </w:t>
            </w:r>
          </w:p>
        </w:tc>
        <w:tc>
          <w:tcPr>
            <w:tcW w:w="1693" w:type="dxa"/>
            <w:vAlign w:val="center"/>
          </w:tcPr>
          <w:p w14:paraId="26787EBF" w14:textId="77777777" w:rsidR="0071694E" w:rsidRPr="009077F5" w:rsidRDefault="0071694E" w:rsidP="00E73DA3">
            <w:pPr>
              <w:pStyle w:val="KonuBal"/>
              <w:rPr>
                <w:sz w:val="24"/>
                <w:szCs w:val="24"/>
              </w:rPr>
            </w:pPr>
            <w:r w:rsidRPr="009077F5">
              <w:rPr>
                <w:sz w:val="24"/>
                <w:szCs w:val="24"/>
              </w:rPr>
              <w:t xml:space="preserve">Genel olarak uygulanabilir </w:t>
            </w:r>
          </w:p>
        </w:tc>
      </w:tr>
    </w:tbl>
    <w:p w14:paraId="03AC53BF" w14:textId="77777777" w:rsidR="00F406B6" w:rsidRPr="00D53A2B" w:rsidRDefault="00F406B6" w:rsidP="00A202FD">
      <w:pPr>
        <w:pStyle w:val="MET"/>
        <w:rPr>
          <w:rFonts w:eastAsia="Calibri"/>
          <w:sz w:val="22"/>
        </w:rPr>
      </w:pPr>
    </w:p>
    <w:p w14:paraId="60EA34C3" w14:textId="78034B04" w:rsidR="0010276B" w:rsidRPr="00D53A2B" w:rsidRDefault="0010276B" w:rsidP="00A202FD">
      <w:pPr>
        <w:pStyle w:val="MET"/>
        <w:rPr>
          <w:rFonts w:eastAsia="Calibri"/>
          <w:szCs w:val="24"/>
        </w:rPr>
      </w:pPr>
    </w:p>
    <w:p w14:paraId="7817B84E" w14:textId="099A6974" w:rsidR="00BB2B09" w:rsidRPr="00D53A2B" w:rsidRDefault="00C9237C" w:rsidP="00A202FD">
      <w:pPr>
        <w:pStyle w:val="MET"/>
        <w:rPr>
          <w:rFonts w:eastAsia="Calibri"/>
          <w:szCs w:val="24"/>
        </w:rPr>
      </w:pPr>
      <w:r w:rsidRPr="00D53A2B">
        <w:rPr>
          <w:rFonts w:eastAsia="Calibri"/>
          <w:szCs w:val="24"/>
        </w:rPr>
        <w:t>MET 5: OTNOC</w:t>
      </w:r>
      <w:r w:rsidR="00E56504" w:rsidRPr="00D53A2B">
        <w:rPr>
          <w:rFonts w:eastAsia="Calibri"/>
          <w:szCs w:val="24"/>
        </w:rPr>
        <w:t>’</w:t>
      </w:r>
      <w:r w:rsidRPr="00D53A2B">
        <w:rPr>
          <w:rFonts w:eastAsia="Calibri"/>
          <w:szCs w:val="24"/>
        </w:rPr>
        <w:t>un meydana gelme sıklığını azaltmak ve OTNOC sırasında emisyonları azaltmak için ÇYS</w:t>
      </w:r>
      <w:r w:rsidR="00E56504" w:rsidRPr="00D53A2B">
        <w:rPr>
          <w:rFonts w:eastAsia="Calibri"/>
          <w:szCs w:val="24"/>
        </w:rPr>
        <w:t>’</w:t>
      </w:r>
      <w:r w:rsidRPr="00D53A2B">
        <w:rPr>
          <w:rFonts w:eastAsia="Calibri"/>
          <w:szCs w:val="24"/>
        </w:rPr>
        <w:t>nin bir parçası olarak aşağıdaki unsurların tümünü içeren risk tabanlı bir OTNOC yönetim planı oluştur</w:t>
      </w:r>
      <w:r w:rsidR="00631791" w:rsidRPr="00D53A2B">
        <w:rPr>
          <w:rFonts w:eastAsia="Calibri"/>
          <w:szCs w:val="24"/>
        </w:rPr>
        <w:t>ulabilir</w:t>
      </w:r>
      <w:r w:rsidRPr="00D53A2B">
        <w:rPr>
          <w:rFonts w:eastAsia="Calibri"/>
          <w:szCs w:val="24"/>
        </w:rPr>
        <w:t xml:space="preserve"> ve uygula</w:t>
      </w:r>
      <w:r w:rsidR="00631791" w:rsidRPr="00D53A2B">
        <w:rPr>
          <w:rFonts w:eastAsia="Calibri"/>
          <w:szCs w:val="24"/>
        </w:rPr>
        <w:t>nabilir</w:t>
      </w:r>
      <w:r w:rsidRPr="00D53A2B">
        <w:rPr>
          <w:rFonts w:eastAsia="Calibri"/>
          <w:szCs w:val="24"/>
        </w:rPr>
        <w:t xml:space="preserve"> (bkz. MET 1).</w:t>
      </w:r>
    </w:p>
    <w:p w14:paraId="09A3556F" w14:textId="61B3D006" w:rsidR="00C9237C" w:rsidRPr="00D53A2B" w:rsidRDefault="00C9237C" w:rsidP="00602365">
      <w:pPr>
        <w:pStyle w:val="ListeParagraf"/>
        <w:numPr>
          <w:ilvl w:val="0"/>
          <w:numId w:val="162"/>
        </w:numPr>
        <w:tabs>
          <w:tab w:val="clear" w:pos="567"/>
        </w:tabs>
        <w:spacing w:line="240" w:lineRule="auto"/>
        <w:ind w:left="567" w:hanging="567"/>
        <w:rPr>
          <w:rFonts w:eastAsia="Calibri"/>
          <w:sz w:val="24"/>
          <w:szCs w:val="24"/>
        </w:rPr>
      </w:pPr>
      <w:r w:rsidRPr="00D53A2B">
        <w:rPr>
          <w:rFonts w:eastAsia="Calibri"/>
          <w:sz w:val="24"/>
          <w:szCs w:val="24"/>
        </w:rPr>
        <w:t>Potansiyel OTNOC</w:t>
      </w:r>
      <w:r w:rsidR="00E56504" w:rsidRPr="00D53A2B">
        <w:rPr>
          <w:rFonts w:eastAsia="Calibri"/>
          <w:sz w:val="24"/>
          <w:szCs w:val="24"/>
        </w:rPr>
        <w:t>’</w:t>
      </w:r>
      <w:r w:rsidRPr="00D53A2B">
        <w:rPr>
          <w:rFonts w:eastAsia="Calibri"/>
          <w:sz w:val="24"/>
          <w:szCs w:val="24"/>
        </w:rPr>
        <w:t>nin (örneğin çevrenin korunması için kritik ekipmanların arızalanması, bunların temel nedenlerinin ve potansiyel sonuçlarının belirlenmesi ve aşağıdaki periyodik değerlendirmeyi takiben belirlenen OTNOC listesinin düzenli olarak gözden geçirilmesi ve güncellenmesi.</w:t>
      </w:r>
    </w:p>
    <w:p w14:paraId="0A686C09" w14:textId="18EB6B5D" w:rsidR="00C9237C" w:rsidRPr="00D53A2B" w:rsidRDefault="00F2148C" w:rsidP="00602365">
      <w:pPr>
        <w:pStyle w:val="ListeParagraf"/>
        <w:numPr>
          <w:ilvl w:val="0"/>
          <w:numId w:val="162"/>
        </w:numPr>
        <w:tabs>
          <w:tab w:val="clear" w:pos="567"/>
        </w:tabs>
        <w:spacing w:line="240" w:lineRule="auto"/>
        <w:ind w:left="567" w:hanging="567"/>
        <w:rPr>
          <w:rFonts w:eastAsia="Calibri"/>
          <w:sz w:val="24"/>
          <w:szCs w:val="24"/>
        </w:rPr>
      </w:pPr>
      <w:r w:rsidRPr="00D53A2B">
        <w:rPr>
          <w:rFonts w:eastAsia="Calibri"/>
          <w:sz w:val="24"/>
          <w:szCs w:val="24"/>
        </w:rPr>
        <w:t>Kritik ekipmanların uygun tasarımı (örn. kumaş filtrelerin bölümlere ayrılması).</w:t>
      </w:r>
    </w:p>
    <w:p w14:paraId="1EDCD2B5" w14:textId="576A6C8E" w:rsidR="00F2148C" w:rsidRPr="00D53A2B" w:rsidRDefault="00F2148C" w:rsidP="00602365">
      <w:pPr>
        <w:pStyle w:val="ListeParagraf"/>
        <w:numPr>
          <w:ilvl w:val="0"/>
          <w:numId w:val="162"/>
        </w:numPr>
        <w:tabs>
          <w:tab w:val="clear" w:pos="567"/>
        </w:tabs>
        <w:spacing w:line="240" w:lineRule="auto"/>
        <w:ind w:left="567" w:hanging="567"/>
        <w:rPr>
          <w:rFonts w:eastAsia="Calibri"/>
          <w:sz w:val="24"/>
          <w:szCs w:val="24"/>
        </w:rPr>
      </w:pPr>
      <w:r w:rsidRPr="00D53A2B">
        <w:rPr>
          <w:rFonts w:eastAsia="Calibri"/>
          <w:sz w:val="24"/>
          <w:szCs w:val="24"/>
        </w:rPr>
        <w:t xml:space="preserve">Kritik ekipman için bir denetim ve önleyici bakım planının oluşturulması ve </w:t>
      </w:r>
      <w:r w:rsidRPr="00D53A2B">
        <w:rPr>
          <w:rFonts w:eastAsia="Calibri"/>
          <w:sz w:val="24"/>
          <w:szCs w:val="24"/>
        </w:rPr>
        <w:lastRenderedPageBreak/>
        <w:t xml:space="preserve">uygulanması (bkz. </w:t>
      </w:r>
      <w:r w:rsidR="00651500" w:rsidRPr="00D53A2B">
        <w:rPr>
          <w:rFonts w:eastAsia="Calibri"/>
          <w:sz w:val="24"/>
          <w:szCs w:val="24"/>
        </w:rPr>
        <w:t>MET</w:t>
      </w:r>
      <w:r w:rsidRPr="00D53A2B">
        <w:rPr>
          <w:rFonts w:eastAsia="Calibri"/>
          <w:sz w:val="24"/>
          <w:szCs w:val="24"/>
        </w:rPr>
        <w:t>1 xii).</w:t>
      </w:r>
    </w:p>
    <w:p w14:paraId="1E581AF5" w14:textId="126F0154" w:rsidR="00F2148C" w:rsidRPr="00D53A2B" w:rsidRDefault="00F2148C" w:rsidP="00602365">
      <w:pPr>
        <w:pStyle w:val="ListeParagraf"/>
        <w:numPr>
          <w:ilvl w:val="0"/>
          <w:numId w:val="162"/>
        </w:numPr>
        <w:tabs>
          <w:tab w:val="clear" w:pos="567"/>
        </w:tabs>
        <w:spacing w:line="240" w:lineRule="auto"/>
        <w:ind w:left="567" w:hanging="567"/>
        <w:rPr>
          <w:rFonts w:eastAsia="Calibri"/>
          <w:sz w:val="24"/>
          <w:szCs w:val="24"/>
        </w:rPr>
      </w:pPr>
      <w:r w:rsidRPr="00D53A2B">
        <w:rPr>
          <w:rFonts w:eastAsia="Calibri"/>
          <w:sz w:val="24"/>
          <w:szCs w:val="24"/>
        </w:rPr>
        <w:t>OTNOC sırasında emisyonların ve ilgili durumların izlenmesi (yani tahmin edilmesi veya mümkünse ölçülmesi) ve kaydedilmesi.</w:t>
      </w:r>
    </w:p>
    <w:p w14:paraId="62FE7EC5" w14:textId="1A49D529" w:rsidR="00F2148C" w:rsidRPr="00D53A2B" w:rsidRDefault="00F2148C" w:rsidP="00602365">
      <w:pPr>
        <w:pStyle w:val="ListeParagraf"/>
        <w:numPr>
          <w:ilvl w:val="0"/>
          <w:numId w:val="162"/>
        </w:numPr>
        <w:tabs>
          <w:tab w:val="clear" w:pos="567"/>
        </w:tabs>
        <w:spacing w:line="240" w:lineRule="auto"/>
        <w:ind w:left="567" w:hanging="567"/>
        <w:rPr>
          <w:rFonts w:eastAsia="Calibri"/>
          <w:sz w:val="24"/>
          <w:szCs w:val="24"/>
        </w:rPr>
      </w:pPr>
      <w:r w:rsidRPr="00D53A2B">
        <w:rPr>
          <w:rFonts w:eastAsia="Calibri"/>
          <w:sz w:val="24"/>
          <w:szCs w:val="24"/>
        </w:rPr>
        <w:t>OTNOC sırasında meydana gelen emisyonların periyodik olarak değerlendirilmesi (örn. olayların sıklığı, süresi, yayılan kirletici miktarı) ve gerekirse düzeltici faaliyetlerin uygulanması.</w:t>
      </w:r>
    </w:p>
    <w:p w14:paraId="63199501" w14:textId="77777777" w:rsidR="00C9237C" w:rsidRPr="00D53A2B" w:rsidRDefault="00C9237C" w:rsidP="00A202FD">
      <w:pPr>
        <w:jc w:val="both"/>
        <w:rPr>
          <w:rFonts w:eastAsia="Calibri"/>
          <w:lang w:eastAsia="en-US"/>
        </w:rPr>
      </w:pPr>
    </w:p>
    <w:p w14:paraId="72C0D78C" w14:textId="6D378475" w:rsidR="00C9237C" w:rsidRPr="00D53A2B" w:rsidRDefault="00816D19" w:rsidP="00A202FD">
      <w:pPr>
        <w:pStyle w:val="Balk3"/>
        <w:rPr>
          <w:rFonts w:eastAsia="Calibri" w:cs="Times New Roman"/>
          <w:lang w:eastAsia="en-US"/>
        </w:rPr>
      </w:pPr>
      <w:r w:rsidRPr="00D53A2B">
        <w:rPr>
          <w:rFonts w:eastAsia="Calibri" w:cs="Times New Roman"/>
          <w:lang w:eastAsia="en-US"/>
        </w:rPr>
        <w:t>1.1.</w:t>
      </w:r>
      <w:r w:rsidR="0043617F" w:rsidRPr="00D53A2B">
        <w:rPr>
          <w:rFonts w:eastAsia="Calibri" w:cs="Times New Roman"/>
          <w:lang w:eastAsia="en-US"/>
        </w:rPr>
        <w:t>2.</w:t>
      </w:r>
      <w:r w:rsidR="00F2148C" w:rsidRPr="00D53A2B">
        <w:rPr>
          <w:rFonts w:eastAsia="Calibri" w:cs="Times New Roman"/>
          <w:lang w:eastAsia="en-US"/>
        </w:rPr>
        <w:t xml:space="preserve"> İzleme</w:t>
      </w:r>
    </w:p>
    <w:p w14:paraId="3E0EB11D" w14:textId="2E7622CF" w:rsidR="00F2148C" w:rsidRPr="00D53A2B" w:rsidRDefault="00F2148C" w:rsidP="00A202FD">
      <w:pPr>
        <w:pStyle w:val="MET"/>
        <w:rPr>
          <w:rFonts w:eastAsia="Calibri"/>
          <w:szCs w:val="24"/>
        </w:rPr>
      </w:pPr>
      <w:r w:rsidRPr="00D53A2B">
        <w:rPr>
          <w:rFonts w:eastAsia="Calibri"/>
          <w:szCs w:val="24"/>
        </w:rPr>
        <w:t xml:space="preserve">MET 6: </w:t>
      </w:r>
      <w:r w:rsidRPr="00D53A2B">
        <w:rPr>
          <w:rFonts w:eastAsia="Calibri"/>
          <w:b w:val="0"/>
          <w:bCs/>
          <w:szCs w:val="24"/>
        </w:rPr>
        <w:t>Yılda en az bir defa izlenmelidir.</w:t>
      </w:r>
    </w:p>
    <w:p w14:paraId="69451F6E" w14:textId="77777777" w:rsidR="00F2148C" w:rsidRPr="00CC3DCB" w:rsidRDefault="00F2148C" w:rsidP="00602365">
      <w:pPr>
        <w:pStyle w:val="ListeParagraf"/>
        <w:numPr>
          <w:ilvl w:val="0"/>
          <w:numId w:val="163"/>
        </w:numPr>
        <w:tabs>
          <w:tab w:val="clear" w:pos="567"/>
        </w:tabs>
        <w:spacing w:line="240" w:lineRule="auto"/>
        <w:rPr>
          <w:rFonts w:eastAsia="Calibri"/>
          <w:color w:val="000000" w:themeColor="text1"/>
          <w:sz w:val="24"/>
          <w:szCs w:val="24"/>
        </w:rPr>
      </w:pPr>
      <w:r w:rsidRPr="00CC3DCB">
        <w:rPr>
          <w:rFonts w:eastAsia="Calibri"/>
          <w:color w:val="000000" w:themeColor="text1"/>
          <w:sz w:val="24"/>
          <w:szCs w:val="24"/>
        </w:rPr>
        <w:t>yıllık su, enerji ve malzeme tüketimi;</w:t>
      </w:r>
    </w:p>
    <w:p w14:paraId="1BD3BC9E" w14:textId="1300AB72" w:rsidR="00F2148C" w:rsidRPr="00CC3DCB" w:rsidRDefault="00F2148C" w:rsidP="00602365">
      <w:pPr>
        <w:pStyle w:val="ListeParagraf"/>
        <w:numPr>
          <w:ilvl w:val="0"/>
          <w:numId w:val="163"/>
        </w:numPr>
        <w:tabs>
          <w:tab w:val="clear" w:pos="567"/>
        </w:tabs>
        <w:spacing w:line="240" w:lineRule="auto"/>
        <w:rPr>
          <w:rFonts w:eastAsia="Calibri"/>
          <w:color w:val="000000" w:themeColor="text1"/>
          <w:sz w:val="24"/>
          <w:szCs w:val="24"/>
        </w:rPr>
      </w:pPr>
      <w:r w:rsidRPr="00CC3DCB">
        <w:rPr>
          <w:rFonts w:eastAsia="Calibri"/>
          <w:color w:val="000000" w:themeColor="text1"/>
          <w:sz w:val="24"/>
          <w:szCs w:val="24"/>
        </w:rPr>
        <w:t>yıllık atıksu üretimi;</w:t>
      </w:r>
    </w:p>
    <w:p w14:paraId="3A68D39D" w14:textId="5ED1336F" w:rsidR="00C9237C" w:rsidRPr="00CC3DCB" w:rsidRDefault="000631C2" w:rsidP="00602365">
      <w:pPr>
        <w:pStyle w:val="ListeParagraf"/>
        <w:numPr>
          <w:ilvl w:val="0"/>
          <w:numId w:val="163"/>
        </w:numPr>
        <w:tabs>
          <w:tab w:val="clear" w:pos="567"/>
        </w:tabs>
        <w:spacing w:line="240" w:lineRule="auto"/>
        <w:rPr>
          <w:rFonts w:eastAsia="Calibri"/>
          <w:color w:val="000000" w:themeColor="text1"/>
          <w:sz w:val="24"/>
          <w:szCs w:val="24"/>
        </w:rPr>
      </w:pPr>
      <w:r w:rsidRPr="00CC3DCB">
        <w:rPr>
          <w:rFonts w:eastAsia="Calibri"/>
          <w:color w:val="000000" w:themeColor="text1"/>
          <w:sz w:val="24"/>
          <w:szCs w:val="24"/>
        </w:rPr>
        <w:t>Oluşan</w:t>
      </w:r>
      <w:r w:rsidR="00F2148C" w:rsidRPr="00CC3DCB">
        <w:rPr>
          <w:rFonts w:eastAsia="Calibri"/>
          <w:color w:val="000000" w:themeColor="text1"/>
          <w:sz w:val="24"/>
          <w:szCs w:val="24"/>
        </w:rPr>
        <w:t xml:space="preserve"> her tür kalıntının ve bertaraf için gönderilen her tür atığın yıllık miktarı.</w:t>
      </w:r>
    </w:p>
    <w:p w14:paraId="0AFEEAF2" w14:textId="77777777" w:rsidR="00C9237C" w:rsidRPr="00CC3DCB" w:rsidRDefault="00C9237C" w:rsidP="00A202FD">
      <w:pPr>
        <w:jc w:val="both"/>
        <w:rPr>
          <w:rFonts w:eastAsia="Calibri"/>
          <w:color w:val="000000" w:themeColor="text1"/>
          <w:lang w:eastAsia="en-US"/>
        </w:rPr>
      </w:pPr>
    </w:p>
    <w:p w14:paraId="32662B3E" w14:textId="695CA7D4" w:rsidR="00BB2B09" w:rsidRPr="00CC3DCB" w:rsidRDefault="00F2148C" w:rsidP="00A202FD">
      <w:pPr>
        <w:jc w:val="both"/>
        <w:rPr>
          <w:rFonts w:eastAsia="Calibri"/>
          <w:b/>
          <w:bCs/>
          <w:color w:val="000000" w:themeColor="text1"/>
          <w:lang w:eastAsia="en-US"/>
        </w:rPr>
      </w:pPr>
      <w:r w:rsidRPr="00CC3DCB">
        <w:rPr>
          <w:rFonts w:eastAsia="Calibri"/>
          <w:b/>
          <w:bCs/>
          <w:color w:val="000000" w:themeColor="text1"/>
          <w:lang w:eastAsia="en-US"/>
        </w:rPr>
        <w:t>Tanımlama</w:t>
      </w:r>
    </w:p>
    <w:p w14:paraId="503DFAEA" w14:textId="76E8E66B" w:rsidR="00BB2B09" w:rsidRPr="00D53A2B" w:rsidRDefault="00D65A1D" w:rsidP="00A202FD">
      <w:pPr>
        <w:jc w:val="both"/>
        <w:rPr>
          <w:rFonts w:eastAsia="Calibri"/>
          <w:lang w:eastAsia="en-US"/>
        </w:rPr>
      </w:pPr>
      <w:r w:rsidRPr="00D53A2B">
        <w:rPr>
          <w:rFonts w:eastAsia="Calibri"/>
          <w:lang w:eastAsia="en-US"/>
        </w:rPr>
        <w:t>İzleme, doğrudan ölçümler, hesaplamalar veya kayıtlar, örneğin uygun sayaçlar veya faturalar kullanılarak gerçekleştirilebilir. İzleme, en uygun seviyeye (örneğin işleme veya tesis seviyesine) bölünür ve tesisteki önemli değişiklikleri dikkate alır.</w:t>
      </w:r>
    </w:p>
    <w:p w14:paraId="2D1DDFC2" w14:textId="77777777" w:rsidR="00D65A1D" w:rsidRPr="00D53A2B" w:rsidRDefault="00D65A1D" w:rsidP="00A202FD">
      <w:pPr>
        <w:jc w:val="both"/>
        <w:rPr>
          <w:rFonts w:eastAsia="Calibri"/>
          <w:lang w:eastAsia="en-US"/>
        </w:rPr>
      </w:pPr>
    </w:p>
    <w:p w14:paraId="08962019" w14:textId="7C8BEADA" w:rsidR="00D65A1D" w:rsidRPr="00D53A2B" w:rsidRDefault="00D65A1D" w:rsidP="00A202FD">
      <w:pPr>
        <w:pStyle w:val="MET"/>
        <w:rPr>
          <w:rFonts w:eastAsia="Calibri"/>
          <w:szCs w:val="24"/>
        </w:rPr>
      </w:pPr>
      <w:r w:rsidRPr="00D53A2B">
        <w:rPr>
          <w:rFonts w:eastAsia="Calibri"/>
          <w:szCs w:val="24"/>
        </w:rPr>
        <w:t xml:space="preserve">MET 7: </w:t>
      </w:r>
      <w:r w:rsidRPr="00D53A2B">
        <w:rPr>
          <w:rFonts w:eastAsia="Calibri"/>
          <w:b w:val="0"/>
          <w:bCs/>
          <w:szCs w:val="24"/>
        </w:rPr>
        <w:t>Havaya salınan emisyonları en az aşağıda verilen sıklıkta ve EN standartlarına uygun olarak izlemelidir. EN standartlarının mevcut olmaması durumunda MET, eşdeğer bilimsel kalitede veri sağlanmasını garanti altına alan ISO, ulusal veya diğer uluslararası standartları kullana</w:t>
      </w:r>
      <w:r w:rsidR="00631791" w:rsidRPr="00D53A2B">
        <w:rPr>
          <w:rFonts w:eastAsia="Calibri"/>
          <w:b w:val="0"/>
          <w:bCs/>
          <w:szCs w:val="24"/>
        </w:rPr>
        <w:t>bilir</w:t>
      </w:r>
      <w:r w:rsidRPr="00D53A2B">
        <w:rPr>
          <w:rFonts w:eastAsia="Calibri"/>
          <w:b w:val="0"/>
          <w:bCs/>
          <w:szCs w:val="24"/>
        </w:rPr>
        <w:t>.</w:t>
      </w:r>
    </w:p>
    <w:p w14:paraId="490ECD5E" w14:textId="77777777" w:rsidR="0071694E" w:rsidRPr="00D53A2B" w:rsidRDefault="0071694E" w:rsidP="00A202FD">
      <w:pPr>
        <w:jc w:val="both"/>
        <w:rPr>
          <w:rFonts w:eastAsia="Calibri"/>
          <w:lang w:eastAsia="en-US"/>
        </w:rPr>
      </w:pPr>
    </w:p>
    <w:tbl>
      <w:tblPr>
        <w:tblStyle w:val="TabloKlavuzu"/>
        <w:tblW w:w="89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85"/>
        <w:gridCol w:w="491"/>
        <w:gridCol w:w="2152"/>
        <w:gridCol w:w="1276"/>
        <w:gridCol w:w="1417"/>
        <w:gridCol w:w="1843"/>
        <w:gridCol w:w="992"/>
      </w:tblGrid>
      <w:tr w:rsidR="0071694E" w:rsidRPr="004B0D48" w14:paraId="1D6433EE" w14:textId="77777777" w:rsidTr="000F45CE">
        <w:tc>
          <w:tcPr>
            <w:tcW w:w="1276" w:type="dxa"/>
            <w:gridSpan w:val="2"/>
            <w:vAlign w:val="center"/>
          </w:tcPr>
          <w:p w14:paraId="57E9635E" w14:textId="77777777" w:rsidR="0071694E" w:rsidRPr="009077F5" w:rsidRDefault="0071694E" w:rsidP="004B0D48">
            <w:pPr>
              <w:pStyle w:val="KonuBal"/>
              <w:rPr>
                <w:sz w:val="24"/>
                <w:szCs w:val="24"/>
              </w:rPr>
            </w:pPr>
            <w:r w:rsidRPr="009077F5">
              <w:rPr>
                <w:sz w:val="24"/>
                <w:szCs w:val="24"/>
              </w:rPr>
              <w:t>Madde/</w:t>
            </w:r>
          </w:p>
          <w:p w14:paraId="2F95ED48" w14:textId="77777777" w:rsidR="0071694E" w:rsidRPr="009077F5" w:rsidRDefault="0071694E" w:rsidP="004B0D48">
            <w:pPr>
              <w:pStyle w:val="KonuBal"/>
              <w:rPr>
                <w:sz w:val="24"/>
                <w:szCs w:val="24"/>
              </w:rPr>
            </w:pPr>
            <w:r w:rsidRPr="009077F5">
              <w:rPr>
                <w:sz w:val="24"/>
                <w:szCs w:val="24"/>
              </w:rPr>
              <w:t>Parametre</w:t>
            </w:r>
          </w:p>
        </w:tc>
        <w:tc>
          <w:tcPr>
            <w:tcW w:w="2152" w:type="dxa"/>
            <w:vAlign w:val="center"/>
          </w:tcPr>
          <w:p w14:paraId="25BCBEB8" w14:textId="77777777" w:rsidR="0071694E" w:rsidRPr="009077F5" w:rsidRDefault="0071694E" w:rsidP="004B0D48">
            <w:pPr>
              <w:pStyle w:val="KonuBal"/>
              <w:rPr>
                <w:sz w:val="24"/>
                <w:szCs w:val="24"/>
              </w:rPr>
            </w:pPr>
            <w:r w:rsidRPr="009077F5">
              <w:rPr>
                <w:sz w:val="24"/>
                <w:szCs w:val="24"/>
              </w:rPr>
              <w:t>Spesifik proses(ler)</w:t>
            </w:r>
          </w:p>
        </w:tc>
        <w:tc>
          <w:tcPr>
            <w:tcW w:w="1276" w:type="dxa"/>
            <w:vAlign w:val="center"/>
          </w:tcPr>
          <w:p w14:paraId="54ED7155" w14:textId="77777777" w:rsidR="0071694E" w:rsidRPr="009077F5" w:rsidRDefault="0071694E" w:rsidP="004B0D48">
            <w:pPr>
              <w:pStyle w:val="KonuBal"/>
              <w:rPr>
                <w:sz w:val="24"/>
                <w:szCs w:val="24"/>
              </w:rPr>
            </w:pPr>
            <w:r w:rsidRPr="009077F5">
              <w:rPr>
                <w:sz w:val="24"/>
                <w:szCs w:val="24"/>
              </w:rPr>
              <w:t>Sektör</w:t>
            </w:r>
          </w:p>
        </w:tc>
        <w:tc>
          <w:tcPr>
            <w:tcW w:w="1417" w:type="dxa"/>
            <w:vAlign w:val="center"/>
          </w:tcPr>
          <w:p w14:paraId="3421B793" w14:textId="77777777" w:rsidR="0071694E" w:rsidRPr="009077F5" w:rsidRDefault="0071694E" w:rsidP="00E73DA3">
            <w:pPr>
              <w:pStyle w:val="KonuBal"/>
              <w:rPr>
                <w:sz w:val="24"/>
                <w:szCs w:val="24"/>
              </w:rPr>
            </w:pPr>
            <w:r w:rsidRPr="009077F5">
              <w:rPr>
                <w:sz w:val="24"/>
                <w:szCs w:val="24"/>
              </w:rPr>
              <w:t>Standart(lar)</w:t>
            </w:r>
          </w:p>
        </w:tc>
        <w:tc>
          <w:tcPr>
            <w:tcW w:w="1843" w:type="dxa"/>
            <w:vAlign w:val="center"/>
          </w:tcPr>
          <w:p w14:paraId="0C8C593F" w14:textId="77777777" w:rsidR="0071694E" w:rsidRPr="009077F5" w:rsidRDefault="0071694E" w:rsidP="00BF4451">
            <w:pPr>
              <w:pStyle w:val="KonuBal"/>
              <w:rPr>
                <w:sz w:val="24"/>
                <w:szCs w:val="24"/>
              </w:rPr>
            </w:pPr>
            <w:r w:rsidRPr="009077F5">
              <w:rPr>
                <w:sz w:val="24"/>
                <w:szCs w:val="24"/>
              </w:rPr>
              <w:t>Minimum izleme sıklığı (</w:t>
            </w:r>
            <w:r w:rsidRPr="009077F5">
              <w:rPr>
                <w:sz w:val="24"/>
                <w:szCs w:val="24"/>
                <w:vertAlign w:val="superscript"/>
              </w:rPr>
              <w:t>1</w:t>
            </w:r>
            <w:r w:rsidRPr="009077F5">
              <w:rPr>
                <w:sz w:val="24"/>
                <w:szCs w:val="24"/>
              </w:rPr>
              <w:t>)</w:t>
            </w:r>
          </w:p>
        </w:tc>
        <w:tc>
          <w:tcPr>
            <w:tcW w:w="992" w:type="dxa"/>
            <w:vAlign w:val="center"/>
          </w:tcPr>
          <w:p w14:paraId="7F488D5D" w14:textId="77777777" w:rsidR="0071694E" w:rsidRPr="009077F5" w:rsidRDefault="0071694E" w:rsidP="00BF4451">
            <w:pPr>
              <w:pStyle w:val="KonuBal"/>
              <w:rPr>
                <w:sz w:val="24"/>
                <w:szCs w:val="24"/>
              </w:rPr>
            </w:pPr>
            <w:r w:rsidRPr="009077F5">
              <w:rPr>
                <w:sz w:val="24"/>
                <w:szCs w:val="24"/>
              </w:rPr>
              <w:t>İzleme ile ilgili MET</w:t>
            </w:r>
          </w:p>
        </w:tc>
      </w:tr>
      <w:tr w:rsidR="0071694E" w:rsidRPr="004B0D48" w14:paraId="7952FC16" w14:textId="77777777" w:rsidTr="000F45CE">
        <w:tc>
          <w:tcPr>
            <w:tcW w:w="1276" w:type="dxa"/>
            <w:gridSpan w:val="2"/>
            <w:vMerge w:val="restart"/>
            <w:vAlign w:val="center"/>
          </w:tcPr>
          <w:p w14:paraId="2828F0C7" w14:textId="77777777" w:rsidR="0071694E" w:rsidRPr="009077F5" w:rsidRDefault="0071694E" w:rsidP="004B0D48">
            <w:pPr>
              <w:pStyle w:val="KonuBal"/>
              <w:rPr>
                <w:sz w:val="24"/>
                <w:szCs w:val="24"/>
              </w:rPr>
            </w:pPr>
            <w:r w:rsidRPr="009077F5">
              <w:rPr>
                <w:sz w:val="24"/>
                <w:szCs w:val="24"/>
              </w:rPr>
              <w:t>CO</w:t>
            </w:r>
          </w:p>
        </w:tc>
        <w:tc>
          <w:tcPr>
            <w:tcW w:w="2152" w:type="dxa"/>
            <w:vAlign w:val="center"/>
          </w:tcPr>
          <w:p w14:paraId="45A9C86D" w14:textId="77777777" w:rsidR="0071694E" w:rsidRPr="009077F5" w:rsidRDefault="0071694E" w:rsidP="004B0D48">
            <w:pPr>
              <w:pStyle w:val="KonuBal"/>
              <w:rPr>
                <w:sz w:val="24"/>
                <w:szCs w:val="24"/>
              </w:rPr>
            </w:pPr>
            <w:r w:rsidRPr="009077F5">
              <w:rPr>
                <w:sz w:val="24"/>
                <w:szCs w:val="24"/>
              </w:rPr>
              <w:t>Hammadde ısıtma (</w:t>
            </w:r>
            <w:r w:rsidRPr="009077F5">
              <w:rPr>
                <w:sz w:val="24"/>
                <w:szCs w:val="24"/>
                <w:vertAlign w:val="superscript"/>
              </w:rPr>
              <w:t>2</w:t>
            </w:r>
            <w:r w:rsidRPr="009077F5">
              <w:rPr>
                <w:sz w:val="24"/>
                <w:szCs w:val="24"/>
              </w:rPr>
              <w:t>)</w:t>
            </w:r>
          </w:p>
        </w:tc>
        <w:tc>
          <w:tcPr>
            <w:tcW w:w="1276" w:type="dxa"/>
            <w:vAlign w:val="center"/>
          </w:tcPr>
          <w:p w14:paraId="1D7AD80A" w14:textId="77777777" w:rsidR="0071694E" w:rsidRPr="009077F5" w:rsidRDefault="0071694E" w:rsidP="004B0D48">
            <w:pPr>
              <w:pStyle w:val="KonuBal"/>
              <w:rPr>
                <w:sz w:val="24"/>
                <w:szCs w:val="24"/>
              </w:rPr>
            </w:pPr>
            <w:r w:rsidRPr="009077F5">
              <w:rPr>
                <w:sz w:val="24"/>
                <w:szCs w:val="24"/>
              </w:rPr>
              <w:t>HR, CR, WD, HDC</w:t>
            </w:r>
          </w:p>
        </w:tc>
        <w:tc>
          <w:tcPr>
            <w:tcW w:w="1417" w:type="dxa"/>
            <w:vMerge w:val="restart"/>
            <w:vAlign w:val="center"/>
          </w:tcPr>
          <w:p w14:paraId="0CBEB454" w14:textId="594FEACF" w:rsidR="0071694E" w:rsidRPr="009077F5" w:rsidRDefault="00132755" w:rsidP="004B0D48">
            <w:pPr>
              <w:pStyle w:val="KonuBal"/>
              <w:rPr>
                <w:sz w:val="24"/>
                <w:szCs w:val="24"/>
              </w:rPr>
            </w:pPr>
            <w:r w:rsidRPr="009077F5">
              <w:rPr>
                <w:sz w:val="24"/>
                <w:szCs w:val="24"/>
              </w:rPr>
              <w:t xml:space="preserve">TS </w:t>
            </w:r>
            <w:r w:rsidR="0071694E" w:rsidRPr="009077F5">
              <w:rPr>
                <w:sz w:val="24"/>
                <w:szCs w:val="24"/>
              </w:rPr>
              <w:t>EN 15058 (</w:t>
            </w:r>
            <w:r w:rsidR="0071694E" w:rsidRPr="009077F5">
              <w:rPr>
                <w:sz w:val="24"/>
                <w:szCs w:val="24"/>
                <w:vertAlign w:val="superscript"/>
              </w:rPr>
              <w:t>3</w:t>
            </w:r>
            <w:r w:rsidR="0071694E" w:rsidRPr="009077F5">
              <w:rPr>
                <w:sz w:val="24"/>
                <w:szCs w:val="24"/>
              </w:rPr>
              <w:t>)</w:t>
            </w:r>
          </w:p>
        </w:tc>
        <w:tc>
          <w:tcPr>
            <w:tcW w:w="1843" w:type="dxa"/>
            <w:vAlign w:val="center"/>
          </w:tcPr>
          <w:p w14:paraId="0B18B2F1" w14:textId="77777777" w:rsidR="0071694E" w:rsidRPr="009077F5" w:rsidRDefault="0071694E" w:rsidP="00E73DA3">
            <w:pPr>
              <w:pStyle w:val="KonuBal"/>
              <w:rPr>
                <w:sz w:val="24"/>
                <w:szCs w:val="24"/>
              </w:rPr>
            </w:pPr>
            <w:r w:rsidRPr="009077F5">
              <w:rPr>
                <w:sz w:val="24"/>
                <w:szCs w:val="24"/>
              </w:rPr>
              <w:t>Yılda bir defa</w:t>
            </w:r>
          </w:p>
        </w:tc>
        <w:tc>
          <w:tcPr>
            <w:tcW w:w="992" w:type="dxa"/>
            <w:vMerge w:val="restart"/>
            <w:vAlign w:val="center"/>
          </w:tcPr>
          <w:p w14:paraId="4D957269" w14:textId="77777777" w:rsidR="0071694E" w:rsidRPr="009077F5" w:rsidRDefault="0071694E" w:rsidP="00BF4451">
            <w:pPr>
              <w:pStyle w:val="KonuBal"/>
              <w:rPr>
                <w:sz w:val="24"/>
                <w:szCs w:val="24"/>
              </w:rPr>
            </w:pPr>
            <w:r w:rsidRPr="009077F5">
              <w:rPr>
                <w:sz w:val="24"/>
                <w:szCs w:val="24"/>
              </w:rPr>
              <w:t>MET 22</w:t>
            </w:r>
          </w:p>
        </w:tc>
      </w:tr>
      <w:tr w:rsidR="0071694E" w:rsidRPr="004B0D48" w14:paraId="1CFC2E43" w14:textId="77777777" w:rsidTr="000F45CE">
        <w:tc>
          <w:tcPr>
            <w:tcW w:w="1276" w:type="dxa"/>
            <w:gridSpan w:val="2"/>
            <w:vMerge/>
          </w:tcPr>
          <w:p w14:paraId="7F9DBEF1" w14:textId="77777777" w:rsidR="0071694E" w:rsidRPr="009077F5" w:rsidRDefault="0071694E">
            <w:pPr>
              <w:pStyle w:val="KonuBal"/>
              <w:rPr>
                <w:sz w:val="24"/>
                <w:szCs w:val="24"/>
              </w:rPr>
            </w:pPr>
          </w:p>
        </w:tc>
        <w:tc>
          <w:tcPr>
            <w:tcW w:w="2152" w:type="dxa"/>
            <w:vAlign w:val="center"/>
          </w:tcPr>
          <w:p w14:paraId="61B31391" w14:textId="77777777" w:rsidR="0071694E" w:rsidRPr="009077F5" w:rsidRDefault="0071694E">
            <w:pPr>
              <w:pStyle w:val="KonuBal"/>
              <w:rPr>
                <w:sz w:val="24"/>
                <w:szCs w:val="24"/>
              </w:rPr>
            </w:pPr>
            <w:r w:rsidRPr="009077F5">
              <w:rPr>
                <w:sz w:val="24"/>
                <w:szCs w:val="24"/>
              </w:rPr>
              <w:t>Galvanizleme kazanının ısıtılması (</w:t>
            </w:r>
            <w:r w:rsidRPr="009077F5">
              <w:rPr>
                <w:sz w:val="24"/>
                <w:szCs w:val="24"/>
                <w:vertAlign w:val="superscript"/>
              </w:rPr>
              <w:t>2</w:t>
            </w:r>
            <w:r w:rsidRPr="009077F5">
              <w:rPr>
                <w:sz w:val="24"/>
                <w:szCs w:val="24"/>
              </w:rPr>
              <w:t>)</w:t>
            </w:r>
          </w:p>
        </w:tc>
        <w:tc>
          <w:tcPr>
            <w:tcW w:w="1276" w:type="dxa"/>
            <w:vAlign w:val="center"/>
          </w:tcPr>
          <w:p w14:paraId="2E0290CC" w14:textId="7758A81F" w:rsidR="0071694E" w:rsidRPr="009077F5" w:rsidRDefault="00D65A1D">
            <w:pPr>
              <w:pStyle w:val="KonuBal"/>
              <w:rPr>
                <w:sz w:val="24"/>
                <w:szCs w:val="24"/>
              </w:rPr>
            </w:pPr>
            <w:r w:rsidRPr="009077F5">
              <w:rPr>
                <w:sz w:val="24"/>
                <w:szCs w:val="24"/>
              </w:rPr>
              <w:t>Kabloların</w:t>
            </w:r>
            <w:r w:rsidR="0071694E" w:rsidRPr="009077F5">
              <w:rPr>
                <w:sz w:val="24"/>
                <w:szCs w:val="24"/>
              </w:rPr>
              <w:t xml:space="preserve"> HDC</w:t>
            </w:r>
            <w:r w:rsidR="00E56504" w:rsidRPr="009077F5">
              <w:rPr>
                <w:sz w:val="24"/>
                <w:szCs w:val="24"/>
              </w:rPr>
              <w:t>’</w:t>
            </w:r>
            <w:r w:rsidRPr="009077F5">
              <w:rPr>
                <w:sz w:val="24"/>
                <w:szCs w:val="24"/>
              </w:rPr>
              <w:t>si</w:t>
            </w:r>
            <w:r w:rsidR="0071694E" w:rsidRPr="009077F5">
              <w:rPr>
                <w:sz w:val="24"/>
                <w:szCs w:val="24"/>
              </w:rPr>
              <w:t>, BG</w:t>
            </w:r>
          </w:p>
        </w:tc>
        <w:tc>
          <w:tcPr>
            <w:tcW w:w="1417" w:type="dxa"/>
            <w:vMerge/>
            <w:vAlign w:val="center"/>
          </w:tcPr>
          <w:p w14:paraId="3379A3E6" w14:textId="77777777" w:rsidR="0071694E" w:rsidRPr="009077F5" w:rsidRDefault="0071694E">
            <w:pPr>
              <w:pStyle w:val="KonuBal"/>
              <w:rPr>
                <w:sz w:val="24"/>
                <w:szCs w:val="24"/>
              </w:rPr>
            </w:pPr>
          </w:p>
        </w:tc>
        <w:tc>
          <w:tcPr>
            <w:tcW w:w="1843" w:type="dxa"/>
            <w:vAlign w:val="center"/>
          </w:tcPr>
          <w:p w14:paraId="5C917476" w14:textId="77777777" w:rsidR="0071694E" w:rsidRPr="009077F5" w:rsidRDefault="0071694E">
            <w:pPr>
              <w:pStyle w:val="KonuBal"/>
              <w:rPr>
                <w:sz w:val="24"/>
                <w:szCs w:val="24"/>
              </w:rPr>
            </w:pPr>
            <w:r w:rsidRPr="009077F5">
              <w:rPr>
                <w:sz w:val="24"/>
                <w:szCs w:val="24"/>
              </w:rPr>
              <w:t>Yılda bir defa</w:t>
            </w:r>
          </w:p>
        </w:tc>
        <w:tc>
          <w:tcPr>
            <w:tcW w:w="992" w:type="dxa"/>
            <w:vMerge/>
            <w:vAlign w:val="center"/>
          </w:tcPr>
          <w:p w14:paraId="532DBEC3" w14:textId="77777777" w:rsidR="0071694E" w:rsidRPr="009077F5" w:rsidRDefault="0071694E">
            <w:pPr>
              <w:pStyle w:val="KonuBal"/>
              <w:rPr>
                <w:sz w:val="24"/>
                <w:szCs w:val="24"/>
              </w:rPr>
            </w:pPr>
          </w:p>
        </w:tc>
      </w:tr>
      <w:tr w:rsidR="0071694E" w:rsidRPr="004B0D48" w14:paraId="6C699FA0" w14:textId="77777777" w:rsidTr="000F45CE">
        <w:tc>
          <w:tcPr>
            <w:tcW w:w="1276" w:type="dxa"/>
            <w:gridSpan w:val="2"/>
            <w:vMerge/>
          </w:tcPr>
          <w:p w14:paraId="118777A4" w14:textId="77777777" w:rsidR="0071694E" w:rsidRPr="009077F5" w:rsidRDefault="0071694E">
            <w:pPr>
              <w:pStyle w:val="KonuBal"/>
              <w:rPr>
                <w:sz w:val="24"/>
                <w:szCs w:val="24"/>
              </w:rPr>
            </w:pPr>
          </w:p>
        </w:tc>
        <w:tc>
          <w:tcPr>
            <w:tcW w:w="2152" w:type="dxa"/>
            <w:vAlign w:val="center"/>
          </w:tcPr>
          <w:p w14:paraId="15058401" w14:textId="44FE6F26" w:rsidR="0071694E" w:rsidRPr="009077F5" w:rsidRDefault="0071694E">
            <w:pPr>
              <w:pStyle w:val="KonuBal"/>
              <w:rPr>
                <w:sz w:val="24"/>
                <w:szCs w:val="24"/>
              </w:rPr>
            </w:pPr>
            <w:r w:rsidRPr="009077F5">
              <w:rPr>
                <w:sz w:val="24"/>
                <w:szCs w:val="24"/>
              </w:rPr>
              <w:t xml:space="preserve">Püskürtmeli </w:t>
            </w:r>
            <w:r w:rsidR="00D65A1D" w:rsidRPr="009077F5">
              <w:rPr>
                <w:sz w:val="24"/>
                <w:szCs w:val="24"/>
              </w:rPr>
              <w:t>yakma</w:t>
            </w:r>
            <w:r w:rsidRPr="009077F5">
              <w:rPr>
                <w:sz w:val="24"/>
                <w:szCs w:val="24"/>
              </w:rPr>
              <w:t xml:space="preserve"> veya akışkan yatak</w:t>
            </w:r>
            <w:r w:rsidR="00D65A1D" w:rsidRPr="009077F5">
              <w:rPr>
                <w:sz w:val="24"/>
                <w:szCs w:val="24"/>
              </w:rPr>
              <w:t>lı</w:t>
            </w:r>
            <w:r w:rsidRPr="009077F5">
              <w:rPr>
                <w:sz w:val="24"/>
                <w:szCs w:val="24"/>
              </w:rPr>
              <w:t xml:space="preserve"> reaktörler kullan</w:t>
            </w:r>
            <w:r w:rsidR="00D65A1D" w:rsidRPr="009077F5">
              <w:rPr>
                <w:sz w:val="24"/>
                <w:szCs w:val="24"/>
              </w:rPr>
              <w:t>ıl</w:t>
            </w:r>
            <w:r w:rsidRPr="009077F5">
              <w:rPr>
                <w:sz w:val="24"/>
                <w:szCs w:val="24"/>
              </w:rPr>
              <w:t>arak hidro</w:t>
            </w:r>
            <w:r w:rsidR="00D65A1D" w:rsidRPr="009077F5">
              <w:rPr>
                <w:sz w:val="24"/>
                <w:szCs w:val="24"/>
              </w:rPr>
              <w:t>klor</w:t>
            </w:r>
            <w:r w:rsidRPr="009077F5">
              <w:rPr>
                <w:sz w:val="24"/>
                <w:szCs w:val="24"/>
              </w:rPr>
              <w:t>ik asit geri kazanımı</w:t>
            </w:r>
            <w:r w:rsidR="00D65A1D" w:rsidRPr="009077F5">
              <w:rPr>
                <w:sz w:val="24"/>
                <w:szCs w:val="24"/>
              </w:rPr>
              <w:t>.</w:t>
            </w:r>
          </w:p>
          <w:p w14:paraId="0461E6F5" w14:textId="77777777" w:rsidR="00D65A1D" w:rsidRPr="009077F5" w:rsidRDefault="00D65A1D" w:rsidP="00A202FD">
            <w:pPr>
              <w:jc w:val="both"/>
              <w:rPr>
                <w:rFonts w:eastAsia="Calibri"/>
                <w:lang w:val="en-US" w:eastAsia="en-US"/>
              </w:rPr>
            </w:pPr>
          </w:p>
          <w:p w14:paraId="0FA5E166" w14:textId="1B052A8A" w:rsidR="0071694E" w:rsidRPr="009077F5" w:rsidRDefault="0071694E" w:rsidP="004B0D48">
            <w:pPr>
              <w:pStyle w:val="KonuBal"/>
              <w:rPr>
                <w:sz w:val="24"/>
                <w:szCs w:val="24"/>
              </w:rPr>
            </w:pPr>
            <w:r w:rsidRPr="009077F5">
              <w:rPr>
                <w:sz w:val="24"/>
                <w:szCs w:val="24"/>
              </w:rPr>
              <w:t xml:space="preserve">Püskürtmeli </w:t>
            </w:r>
            <w:r w:rsidR="00D65A1D" w:rsidRPr="009077F5">
              <w:rPr>
                <w:sz w:val="24"/>
                <w:szCs w:val="24"/>
              </w:rPr>
              <w:t>yakma</w:t>
            </w:r>
            <w:r w:rsidRPr="009077F5">
              <w:rPr>
                <w:sz w:val="24"/>
                <w:szCs w:val="24"/>
              </w:rPr>
              <w:t xml:space="preserve"> ile karışık asit geri kazanımı</w:t>
            </w:r>
          </w:p>
        </w:tc>
        <w:tc>
          <w:tcPr>
            <w:tcW w:w="1276" w:type="dxa"/>
            <w:vAlign w:val="center"/>
          </w:tcPr>
          <w:p w14:paraId="69C4C105" w14:textId="77777777" w:rsidR="0071694E" w:rsidRPr="009077F5" w:rsidRDefault="0071694E" w:rsidP="004B0D48">
            <w:pPr>
              <w:pStyle w:val="KonuBal"/>
              <w:rPr>
                <w:sz w:val="24"/>
                <w:szCs w:val="24"/>
              </w:rPr>
            </w:pPr>
            <w:r w:rsidRPr="009077F5">
              <w:rPr>
                <w:sz w:val="24"/>
                <w:szCs w:val="24"/>
              </w:rPr>
              <w:t>HR, CR, HDC, WD</w:t>
            </w:r>
          </w:p>
        </w:tc>
        <w:tc>
          <w:tcPr>
            <w:tcW w:w="1417" w:type="dxa"/>
            <w:vMerge/>
            <w:vAlign w:val="center"/>
          </w:tcPr>
          <w:p w14:paraId="3C2DDB25" w14:textId="77777777" w:rsidR="0071694E" w:rsidRPr="009077F5" w:rsidRDefault="0071694E">
            <w:pPr>
              <w:pStyle w:val="KonuBal"/>
              <w:rPr>
                <w:sz w:val="24"/>
                <w:szCs w:val="24"/>
              </w:rPr>
            </w:pPr>
          </w:p>
        </w:tc>
        <w:tc>
          <w:tcPr>
            <w:tcW w:w="1843" w:type="dxa"/>
            <w:vAlign w:val="center"/>
          </w:tcPr>
          <w:p w14:paraId="463CFDB9" w14:textId="77777777" w:rsidR="0071694E" w:rsidRPr="009077F5" w:rsidRDefault="0071694E">
            <w:pPr>
              <w:pStyle w:val="KonuBal"/>
              <w:rPr>
                <w:sz w:val="24"/>
                <w:szCs w:val="24"/>
              </w:rPr>
            </w:pPr>
            <w:r w:rsidRPr="009077F5">
              <w:rPr>
                <w:sz w:val="24"/>
                <w:szCs w:val="24"/>
              </w:rPr>
              <w:t>Yılda bir defa</w:t>
            </w:r>
          </w:p>
        </w:tc>
        <w:tc>
          <w:tcPr>
            <w:tcW w:w="992" w:type="dxa"/>
            <w:vAlign w:val="center"/>
          </w:tcPr>
          <w:p w14:paraId="2CDE6F89" w14:textId="77777777" w:rsidR="0071694E" w:rsidRPr="009077F5" w:rsidRDefault="0071694E">
            <w:pPr>
              <w:pStyle w:val="KonuBal"/>
              <w:rPr>
                <w:sz w:val="24"/>
                <w:szCs w:val="24"/>
              </w:rPr>
            </w:pPr>
            <w:r w:rsidRPr="009077F5">
              <w:rPr>
                <w:sz w:val="24"/>
                <w:szCs w:val="24"/>
              </w:rPr>
              <w:t>MET 29</w:t>
            </w:r>
          </w:p>
        </w:tc>
      </w:tr>
      <w:tr w:rsidR="00BA25AD" w:rsidRPr="004B0D48" w14:paraId="6E4C4A9E" w14:textId="77777777" w:rsidTr="000F45CE">
        <w:tc>
          <w:tcPr>
            <w:tcW w:w="1276" w:type="dxa"/>
            <w:gridSpan w:val="2"/>
            <w:vMerge w:val="restart"/>
            <w:vAlign w:val="center"/>
          </w:tcPr>
          <w:p w14:paraId="3D1AA6AD" w14:textId="2F4264C4" w:rsidR="00BA25AD" w:rsidRPr="009077F5" w:rsidRDefault="00BA25AD" w:rsidP="004B0D48">
            <w:pPr>
              <w:pStyle w:val="KonuBal"/>
              <w:rPr>
                <w:sz w:val="24"/>
                <w:szCs w:val="24"/>
              </w:rPr>
            </w:pPr>
            <w:r w:rsidRPr="009077F5">
              <w:rPr>
                <w:sz w:val="24"/>
                <w:szCs w:val="24"/>
              </w:rPr>
              <w:t>Toz</w:t>
            </w:r>
          </w:p>
        </w:tc>
        <w:tc>
          <w:tcPr>
            <w:tcW w:w="2152" w:type="dxa"/>
            <w:vAlign w:val="center"/>
          </w:tcPr>
          <w:p w14:paraId="427910F1" w14:textId="58A9C83A" w:rsidR="00BA25AD" w:rsidRPr="009077F5" w:rsidRDefault="00BA25AD" w:rsidP="004B0D48">
            <w:pPr>
              <w:pStyle w:val="KonuBal"/>
              <w:rPr>
                <w:sz w:val="24"/>
                <w:szCs w:val="24"/>
              </w:rPr>
            </w:pPr>
            <w:r w:rsidRPr="009077F5">
              <w:rPr>
                <w:sz w:val="24"/>
                <w:szCs w:val="24"/>
              </w:rPr>
              <w:t>Hammadde ısıtması</w:t>
            </w:r>
          </w:p>
        </w:tc>
        <w:tc>
          <w:tcPr>
            <w:tcW w:w="1276" w:type="dxa"/>
            <w:vAlign w:val="center"/>
          </w:tcPr>
          <w:p w14:paraId="398BBC14" w14:textId="3B15563E" w:rsidR="00BA25AD" w:rsidRPr="009077F5" w:rsidRDefault="00BA25AD" w:rsidP="004B0D48">
            <w:pPr>
              <w:pStyle w:val="KonuBal"/>
              <w:rPr>
                <w:sz w:val="24"/>
                <w:szCs w:val="24"/>
              </w:rPr>
            </w:pPr>
            <w:r w:rsidRPr="009077F5">
              <w:rPr>
                <w:sz w:val="24"/>
                <w:szCs w:val="24"/>
              </w:rPr>
              <w:t>HR, CR, WD, HDC</w:t>
            </w:r>
          </w:p>
        </w:tc>
        <w:tc>
          <w:tcPr>
            <w:tcW w:w="1417" w:type="dxa"/>
            <w:vMerge w:val="restart"/>
            <w:vAlign w:val="center"/>
          </w:tcPr>
          <w:p w14:paraId="40BB0C87" w14:textId="3774AC77" w:rsidR="00BA25AD" w:rsidRPr="009077F5" w:rsidRDefault="00132755" w:rsidP="004B0D48">
            <w:pPr>
              <w:pStyle w:val="KonuBal"/>
              <w:rPr>
                <w:sz w:val="24"/>
                <w:szCs w:val="24"/>
              </w:rPr>
            </w:pPr>
            <w:r w:rsidRPr="009077F5">
              <w:rPr>
                <w:sz w:val="24"/>
                <w:szCs w:val="24"/>
              </w:rPr>
              <w:t xml:space="preserve">TS </w:t>
            </w:r>
            <w:r w:rsidR="00BA25AD" w:rsidRPr="009077F5">
              <w:rPr>
                <w:sz w:val="24"/>
                <w:szCs w:val="24"/>
              </w:rPr>
              <w:t>EN 13284-1 (</w:t>
            </w:r>
            <w:r w:rsidR="00BA25AD" w:rsidRPr="009077F5">
              <w:rPr>
                <w:sz w:val="24"/>
                <w:szCs w:val="24"/>
                <w:vertAlign w:val="superscript"/>
              </w:rPr>
              <w:t>3</w:t>
            </w:r>
            <w:r w:rsidR="00BA25AD" w:rsidRPr="009077F5">
              <w:rPr>
                <w:sz w:val="24"/>
                <w:szCs w:val="24"/>
              </w:rPr>
              <w:t>) (</w:t>
            </w:r>
            <w:r w:rsidR="00BA25AD" w:rsidRPr="009077F5">
              <w:rPr>
                <w:sz w:val="24"/>
                <w:szCs w:val="24"/>
                <w:vertAlign w:val="superscript"/>
              </w:rPr>
              <w:t>4</w:t>
            </w:r>
            <w:r w:rsidR="00BA25AD" w:rsidRPr="009077F5">
              <w:rPr>
                <w:sz w:val="24"/>
                <w:szCs w:val="24"/>
              </w:rPr>
              <w:t>)</w:t>
            </w:r>
          </w:p>
        </w:tc>
        <w:tc>
          <w:tcPr>
            <w:tcW w:w="1843" w:type="dxa"/>
            <w:vAlign w:val="center"/>
          </w:tcPr>
          <w:p w14:paraId="127A2AC1" w14:textId="77777777" w:rsidR="00BA25AD" w:rsidRPr="009077F5" w:rsidRDefault="00BA25AD" w:rsidP="00E73DA3">
            <w:pPr>
              <w:pStyle w:val="KonuBal"/>
              <w:rPr>
                <w:sz w:val="24"/>
                <w:szCs w:val="24"/>
              </w:rPr>
            </w:pPr>
            <w:r w:rsidRPr="009077F5">
              <w:rPr>
                <w:sz w:val="24"/>
                <w:szCs w:val="24"/>
              </w:rPr>
              <w:t>Toz kütle debisi &gt; 2 kg/saat olan tüm bacalar için sürekli</w:t>
            </w:r>
          </w:p>
          <w:p w14:paraId="19324C6D" w14:textId="77777777" w:rsidR="00BA25AD" w:rsidRPr="009077F5" w:rsidRDefault="00BA25AD" w:rsidP="00A202FD">
            <w:pPr>
              <w:jc w:val="both"/>
              <w:rPr>
                <w:rFonts w:eastAsia="Calibri"/>
                <w:lang w:val="en-US" w:eastAsia="en-US"/>
              </w:rPr>
            </w:pPr>
            <w:r w:rsidRPr="009077F5">
              <w:rPr>
                <w:rFonts w:eastAsia="Calibri"/>
                <w:lang w:val="en-US" w:eastAsia="en-US"/>
              </w:rPr>
              <w:lastRenderedPageBreak/>
              <w:t>Toz kütle debisi 0,1 kg/sa ile 2 kg/sa arasında olan tüm bacalar için her 6 ayda bir</w:t>
            </w:r>
          </w:p>
          <w:p w14:paraId="62DC78E6" w14:textId="43DC04EB" w:rsidR="00BA25AD" w:rsidRPr="009077F5" w:rsidRDefault="00BA25AD" w:rsidP="00A202FD">
            <w:pPr>
              <w:jc w:val="both"/>
              <w:rPr>
                <w:rFonts w:eastAsia="Calibri"/>
                <w:lang w:val="en-US" w:eastAsia="en-US"/>
              </w:rPr>
            </w:pPr>
            <w:r w:rsidRPr="009077F5">
              <w:rPr>
                <w:rFonts w:eastAsia="Calibri"/>
                <w:lang w:val="en-US" w:eastAsia="en-US"/>
              </w:rPr>
              <w:t>Toz kütle akışları &lt;0,1 kg/saat olan tüm bacalar için yılda bir kez.</w:t>
            </w:r>
          </w:p>
        </w:tc>
        <w:tc>
          <w:tcPr>
            <w:tcW w:w="992" w:type="dxa"/>
            <w:vAlign w:val="center"/>
          </w:tcPr>
          <w:p w14:paraId="3F16F1F0" w14:textId="2A159342" w:rsidR="00BA25AD" w:rsidRPr="009077F5" w:rsidRDefault="00BA25AD" w:rsidP="004B0D48">
            <w:pPr>
              <w:pStyle w:val="KonuBal"/>
              <w:rPr>
                <w:sz w:val="24"/>
                <w:szCs w:val="24"/>
              </w:rPr>
            </w:pPr>
            <w:r w:rsidRPr="009077F5">
              <w:rPr>
                <w:sz w:val="24"/>
                <w:szCs w:val="24"/>
              </w:rPr>
              <w:lastRenderedPageBreak/>
              <w:t>MET 20</w:t>
            </w:r>
          </w:p>
        </w:tc>
      </w:tr>
      <w:tr w:rsidR="00BA25AD" w:rsidRPr="004B0D48" w14:paraId="34FDCE5E" w14:textId="77777777" w:rsidTr="000F45CE">
        <w:tc>
          <w:tcPr>
            <w:tcW w:w="1276" w:type="dxa"/>
            <w:gridSpan w:val="2"/>
            <w:vMerge/>
          </w:tcPr>
          <w:p w14:paraId="77E3342B" w14:textId="77777777" w:rsidR="00BA25AD" w:rsidRPr="009077F5" w:rsidRDefault="00BA25AD">
            <w:pPr>
              <w:pStyle w:val="KonuBal"/>
              <w:rPr>
                <w:sz w:val="24"/>
                <w:szCs w:val="24"/>
              </w:rPr>
            </w:pPr>
          </w:p>
        </w:tc>
        <w:tc>
          <w:tcPr>
            <w:tcW w:w="2152" w:type="dxa"/>
            <w:vAlign w:val="center"/>
          </w:tcPr>
          <w:p w14:paraId="62555453" w14:textId="7BE70538" w:rsidR="00BA25AD" w:rsidRPr="009077F5" w:rsidRDefault="00BA25AD">
            <w:pPr>
              <w:pStyle w:val="KonuBal"/>
              <w:rPr>
                <w:sz w:val="24"/>
                <w:szCs w:val="24"/>
              </w:rPr>
            </w:pPr>
            <w:r w:rsidRPr="009077F5">
              <w:rPr>
                <w:sz w:val="24"/>
                <w:szCs w:val="24"/>
              </w:rPr>
              <w:t>Flakslama sonrası sıcak daldırma</w:t>
            </w:r>
          </w:p>
        </w:tc>
        <w:tc>
          <w:tcPr>
            <w:tcW w:w="1276" w:type="dxa"/>
            <w:vAlign w:val="center"/>
          </w:tcPr>
          <w:p w14:paraId="7E90D3FB" w14:textId="50E843C4" w:rsidR="00BA25AD" w:rsidRPr="009077F5" w:rsidRDefault="00BA25AD">
            <w:pPr>
              <w:pStyle w:val="KonuBal"/>
              <w:rPr>
                <w:sz w:val="24"/>
                <w:szCs w:val="24"/>
              </w:rPr>
            </w:pPr>
            <w:r w:rsidRPr="009077F5">
              <w:rPr>
                <w:sz w:val="24"/>
                <w:szCs w:val="24"/>
              </w:rPr>
              <w:t>HDC, BG</w:t>
            </w:r>
          </w:p>
        </w:tc>
        <w:tc>
          <w:tcPr>
            <w:tcW w:w="1417" w:type="dxa"/>
            <w:vMerge/>
            <w:vAlign w:val="center"/>
          </w:tcPr>
          <w:p w14:paraId="1521509A" w14:textId="77777777" w:rsidR="00BA25AD" w:rsidRPr="009077F5" w:rsidRDefault="00BA25AD">
            <w:pPr>
              <w:pStyle w:val="KonuBal"/>
              <w:rPr>
                <w:sz w:val="24"/>
                <w:szCs w:val="24"/>
              </w:rPr>
            </w:pPr>
          </w:p>
        </w:tc>
        <w:tc>
          <w:tcPr>
            <w:tcW w:w="1843" w:type="dxa"/>
            <w:vAlign w:val="center"/>
          </w:tcPr>
          <w:p w14:paraId="3A1DE6B5" w14:textId="2F32D0FB" w:rsidR="00BA25AD" w:rsidRPr="009077F5" w:rsidRDefault="00BA25AD">
            <w:pPr>
              <w:pStyle w:val="KonuBal"/>
              <w:rPr>
                <w:sz w:val="24"/>
                <w:szCs w:val="24"/>
              </w:rPr>
            </w:pPr>
            <w:r w:rsidRPr="009077F5">
              <w:rPr>
                <w:sz w:val="24"/>
                <w:szCs w:val="24"/>
              </w:rPr>
              <w:t>Yılda bir defa (</w:t>
            </w:r>
            <w:r w:rsidRPr="009077F5">
              <w:rPr>
                <w:sz w:val="24"/>
                <w:szCs w:val="24"/>
                <w:vertAlign w:val="superscript"/>
              </w:rPr>
              <w:t>5</w:t>
            </w:r>
            <w:r w:rsidRPr="009077F5">
              <w:rPr>
                <w:sz w:val="24"/>
                <w:szCs w:val="24"/>
              </w:rPr>
              <w:t>)</w:t>
            </w:r>
          </w:p>
        </w:tc>
        <w:tc>
          <w:tcPr>
            <w:tcW w:w="992" w:type="dxa"/>
            <w:vAlign w:val="center"/>
          </w:tcPr>
          <w:p w14:paraId="28288187" w14:textId="5CF71AEB" w:rsidR="00BA25AD" w:rsidRPr="009077F5" w:rsidRDefault="00BA25AD">
            <w:pPr>
              <w:pStyle w:val="KonuBal"/>
              <w:rPr>
                <w:sz w:val="24"/>
                <w:szCs w:val="24"/>
              </w:rPr>
            </w:pPr>
            <w:r w:rsidRPr="009077F5">
              <w:rPr>
                <w:sz w:val="24"/>
                <w:szCs w:val="24"/>
              </w:rPr>
              <w:t>MET 26</w:t>
            </w:r>
          </w:p>
        </w:tc>
      </w:tr>
      <w:tr w:rsidR="00BA25AD" w:rsidRPr="004B0D48" w14:paraId="5330BDA8" w14:textId="77777777" w:rsidTr="000F45CE">
        <w:tc>
          <w:tcPr>
            <w:tcW w:w="1276" w:type="dxa"/>
            <w:gridSpan w:val="2"/>
            <w:vMerge/>
          </w:tcPr>
          <w:p w14:paraId="38639565" w14:textId="77777777" w:rsidR="00BA25AD" w:rsidRPr="009077F5" w:rsidRDefault="00BA25AD">
            <w:pPr>
              <w:pStyle w:val="KonuBal"/>
              <w:rPr>
                <w:sz w:val="24"/>
                <w:szCs w:val="24"/>
              </w:rPr>
            </w:pPr>
          </w:p>
        </w:tc>
        <w:tc>
          <w:tcPr>
            <w:tcW w:w="2152" w:type="dxa"/>
            <w:vAlign w:val="center"/>
          </w:tcPr>
          <w:p w14:paraId="065550C7" w14:textId="77777777" w:rsidR="00BA25AD" w:rsidRPr="009077F5" w:rsidRDefault="00BA25AD">
            <w:pPr>
              <w:pStyle w:val="KonuBal"/>
              <w:rPr>
                <w:sz w:val="24"/>
                <w:szCs w:val="24"/>
              </w:rPr>
            </w:pPr>
            <w:r w:rsidRPr="009077F5">
              <w:rPr>
                <w:sz w:val="24"/>
                <w:szCs w:val="24"/>
              </w:rPr>
              <w:t>Püskürtmeli yakma veya akışkan yataklı reaktörler kullanılarak hidroklorik asit geri kazanımı.</w:t>
            </w:r>
          </w:p>
          <w:p w14:paraId="399527EC" w14:textId="77777777" w:rsidR="00BA25AD" w:rsidRPr="009077F5" w:rsidRDefault="00BA25AD" w:rsidP="00A202FD">
            <w:pPr>
              <w:jc w:val="both"/>
              <w:rPr>
                <w:rFonts w:eastAsia="Calibri"/>
                <w:lang w:val="en-US" w:eastAsia="en-US"/>
              </w:rPr>
            </w:pPr>
          </w:p>
          <w:p w14:paraId="5F671762" w14:textId="3C28CB3F" w:rsidR="00BA25AD" w:rsidRPr="009077F5" w:rsidRDefault="00BA25AD" w:rsidP="004B0D48">
            <w:pPr>
              <w:pStyle w:val="KonuBal"/>
              <w:rPr>
                <w:sz w:val="24"/>
                <w:szCs w:val="24"/>
              </w:rPr>
            </w:pPr>
            <w:r w:rsidRPr="009077F5">
              <w:rPr>
                <w:sz w:val="24"/>
                <w:szCs w:val="24"/>
              </w:rPr>
              <w:t>Püskürtmeli yakma veya buharlaştırma yoluyla karışık asit geri kazanımı.</w:t>
            </w:r>
          </w:p>
        </w:tc>
        <w:tc>
          <w:tcPr>
            <w:tcW w:w="1276" w:type="dxa"/>
            <w:vAlign w:val="bottom"/>
          </w:tcPr>
          <w:p w14:paraId="10F906B0" w14:textId="2D31F9A7" w:rsidR="00BA25AD" w:rsidRPr="009077F5" w:rsidRDefault="00BA25AD" w:rsidP="004B0D48">
            <w:pPr>
              <w:pStyle w:val="KonuBal"/>
              <w:rPr>
                <w:sz w:val="24"/>
                <w:szCs w:val="24"/>
              </w:rPr>
            </w:pPr>
            <w:r w:rsidRPr="009077F5">
              <w:rPr>
                <w:sz w:val="24"/>
                <w:szCs w:val="24"/>
              </w:rPr>
              <w:t>HR, CR, HDC, WD</w:t>
            </w:r>
          </w:p>
        </w:tc>
        <w:tc>
          <w:tcPr>
            <w:tcW w:w="1417" w:type="dxa"/>
            <w:vMerge/>
            <w:vAlign w:val="center"/>
          </w:tcPr>
          <w:p w14:paraId="3C82399F" w14:textId="77777777" w:rsidR="00BA25AD" w:rsidRPr="009077F5" w:rsidRDefault="00BA25AD">
            <w:pPr>
              <w:pStyle w:val="KonuBal"/>
              <w:rPr>
                <w:sz w:val="24"/>
                <w:szCs w:val="24"/>
              </w:rPr>
            </w:pPr>
          </w:p>
        </w:tc>
        <w:tc>
          <w:tcPr>
            <w:tcW w:w="1843" w:type="dxa"/>
            <w:vAlign w:val="center"/>
          </w:tcPr>
          <w:p w14:paraId="6AE95EA1" w14:textId="497AB651" w:rsidR="00BA25AD" w:rsidRPr="009077F5" w:rsidRDefault="00BA25AD">
            <w:pPr>
              <w:pStyle w:val="KonuBal"/>
              <w:rPr>
                <w:sz w:val="24"/>
                <w:szCs w:val="24"/>
              </w:rPr>
            </w:pPr>
            <w:r w:rsidRPr="009077F5">
              <w:rPr>
                <w:sz w:val="24"/>
                <w:szCs w:val="24"/>
              </w:rPr>
              <w:t>Yılda bir defa</w:t>
            </w:r>
          </w:p>
        </w:tc>
        <w:tc>
          <w:tcPr>
            <w:tcW w:w="992" w:type="dxa"/>
            <w:vAlign w:val="center"/>
          </w:tcPr>
          <w:p w14:paraId="15E02679" w14:textId="30288A8E" w:rsidR="00BA25AD" w:rsidRPr="009077F5" w:rsidRDefault="00BA25AD">
            <w:pPr>
              <w:pStyle w:val="KonuBal"/>
              <w:rPr>
                <w:sz w:val="24"/>
                <w:szCs w:val="24"/>
              </w:rPr>
            </w:pPr>
            <w:r w:rsidRPr="009077F5">
              <w:rPr>
                <w:sz w:val="24"/>
                <w:szCs w:val="24"/>
              </w:rPr>
              <w:t>MET 29</w:t>
            </w:r>
          </w:p>
        </w:tc>
      </w:tr>
      <w:tr w:rsidR="00BA25AD" w:rsidRPr="004B0D48" w14:paraId="1ED50A60" w14:textId="77777777" w:rsidTr="000F45CE">
        <w:tc>
          <w:tcPr>
            <w:tcW w:w="1276" w:type="dxa"/>
            <w:gridSpan w:val="2"/>
            <w:vMerge/>
          </w:tcPr>
          <w:p w14:paraId="53E3E201" w14:textId="77777777" w:rsidR="00BA25AD" w:rsidRPr="009077F5" w:rsidRDefault="00BA25AD">
            <w:pPr>
              <w:pStyle w:val="KonuBal"/>
              <w:rPr>
                <w:sz w:val="24"/>
                <w:szCs w:val="24"/>
              </w:rPr>
            </w:pPr>
          </w:p>
        </w:tc>
        <w:tc>
          <w:tcPr>
            <w:tcW w:w="2152" w:type="dxa"/>
            <w:vAlign w:val="center"/>
          </w:tcPr>
          <w:p w14:paraId="68621135" w14:textId="594E1062" w:rsidR="00BA25AD" w:rsidRPr="009077F5" w:rsidRDefault="00BA25AD">
            <w:pPr>
              <w:pStyle w:val="KonuBal"/>
              <w:rPr>
                <w:sz w:val="24"/>
                <w:szCs w:val="24"/>
              </w:rPr>
            </w:pPr>
            <w:r w:rsidRPr="009077F5">
              <w:rPr>
                <w:sz w:val="24"/>
                <w:szCs w:val="24"/>
              </w:rPr>
              <w:t>Mekanik işleme (</w:t>
            </w:r>
            <w:r w:rsidR="000631C2" w:rsidRPr="009077F5">
              <w:rPr>
                <w:sz w:val="24"/>
                <w:szCs w:val="24"/>
              </w:rPr>
              <w:t>kesme</w:t>
            </w:r>
            <w:r w:rsidRPr="009077F5">
              <w:rPr>
                <w:sz w:val="24"/>
                <w:szCs w:val="24"/>
              </w:rPr>
              <w:t>, kireç çözme, taşlama, kaba işleme, haddeleme, finisaj, tesviye dahil), yüzey temizleme (manuel yüzey temizleme hariç) ve kaynak yapma.</w:t>
            </w:r>
          </w:p>
        </w:tc>
        <w:tc>
          <w:tcPr>
            <w:tcW w:w="1276" w:type="dxa"/>
            <w:vAlign w:val="bottom"/>
          </w:tcPr>
          <w:p w14:paraId="153B1E16" w14:textId="2D147C01" w:rsidR="00BA25AD" w:rsidRPr="009077F5" w:rsidRDefault="00BA25AD">
            <w:pPr>
              <w:pStyle w:val="KonuBal"/>
              <w:rPr>
                <w:sz w:val="24"/>
                <w:szCs w:val="24"/>
              </w:rPr>
            </w:pPr>
            <w:r w:rsidRPr="009077F5">
              <w:rPr>
                <w:sz w:val="24"/>
                <w:szCs w:val="24"/>
              </w:rPr>
              <w:t>HR</w:t>
            </w:r>
          </w:p>
        </w:tc>
        <w:tc>
          <w:tcPr>
            <w:tcW w:w="1417" w:type="dxa"/>
            <w:vMerge/>
            <w:vAlign w:val="center"/>
          </w:tcPr>
          <w:p w14:paraId="17FDE0D3" w14:textId="77777777" w:rsidR="00BA25AD" w:rsidRPr="009077F5" w:rsidRDefault="00BA25AD">
            <w:pPr>
              <w:pStyle w:val="KonuBal"/>
              <w:rPr>
                <w:sz w:val="24"/>
                <w:szCs w:val="24"/>
              </w:rPr>
            </w:pPr>
          </w:p>
        </w:tc>
        <w:tc>
          <w:tcPr>
            <w:tcW w:w="1843" w:type="dxa"/>
            <w:vAlign w:val="center"/>
          </w:tcPr>
          <w:p w14:paraId="01A6C64A" w14:textId="4FCD4AB8" w:rsidR="00BA25AD" w:rsidRPr="009077F5" w:rsidRDefault="00BA25AD">
            <w:pPr>
              <w:pStyle w:val="KonuBal"/>
              <w:rPr>
                <w:sz w:val="24"/>
                <w:szCs w:val="24"/>
              </w:rPr>
            </w:pPr>
            <w:r w:rsidRPr="009077F5">
              <w:rPr>
                <w:sz w:val="24"/>
                <w:szCs w:val="24"/>
              </w:rPr>
              <w:t>Yılda bir defa</w:t>
            </w:r>
          </w:p>
        </w:tc>
        <w:tc>
          <w:tcPr>
            <w:tcW w:w="992" w:type="dxa"/>
            <w:vAlign w:val="center"/>
          </w:tcPr>
          <w:p w14:paraId="7611AADE" w14:textId="2A7AE784" w:rsidR="00BA25AD" w:rsidRPr="009077F5" w:rsidRDefault="00BA25AD">
            <w:pPr>
              <w:pStyle w:val="KonuBal"/>
              <w:rPr>
                <w:sz w:val="24"/>
                <w:szCs w:val="24"/>
              </w:rPr>
            </w:pPr>
            <w:r w:rsidRPr="009077F5">
              <w:rPr>
                <w:sz w:val="24"/>
                <w:szCs w:val="24"/>
              </w:rPr>
              <w:t>MET 42</w:t>
            </w:r>
          </w:p>
        </w:tc>
      </w:tr>
      <w:tr w:rsidR="00BA25AD" w:rsidRPr="004B0D48" w14:paraId="51564EEB" w14:textId="77777777" w:rsidTr="000F45CE">
        <w:tc>
          <w:tcPr>
            <w:tcW w:w="1276" w:type="dxa"/>
            <w:gridSpan w:val="2"/>
            <w:vMerge/>
          </w:tcPr>
          <w:p w14:paraId="58771937" w14:textId="77777777" w:rsidR="00BA25AD" w:rsidRPr="009077F5" w:rsidRDefault="00BA25AD">
            <w:pPr>
              <w:pStyle w:val="KonuBal"/>
              <w:rPr>
                <w:sz w:val="24"/>
                <w:szCs w:val="24"/>
              </w:rPr>
            </w:pPr>
          </w:p>
        </w:tc>
        <w:tc>
          <w:tcPr>
            <w:tcW w:w="2152" w:type="dxa"/>
            <w:vAlign w:val="center"/>
          </w:tcPr>
          <w:p w14:paraId="6C0F4B03" w14:textId="3325C53E" w:rsidR="00BA25AD" w:rsidRPr="009077F5" w:rsidRDefault="00BA25AD">
            <w:pPr>
              <w:pStyle w:val="KonuBal"/>
              <w:rPr>
                <w:sz w:val="24"/>
                <w:szCs w:val="24"/>
              </w:rPr>
            </w:pPr>
            <w:r w:rsidRPr="009077F5">
              <w:rPr>
                <w:sz w:val="24"/>
                <w:szCs w:val="24"/>
              </w:rPr>
              <w:t>Rulo açma, mekanik ön temizleme, düzeltme ve kaynaklama</w:t>
            </w:r>
          </w:p>
        </w:tc>
        <w:tc>
          <w:tcPr>
            <w:tcW w:w="1276" w:type="dxa"/>
            <w:vAlign w:val="center"/>
          </w:tcPr>
          <w:p w14:paraId="21BDB1D8" w14:textId="501A2CF6" w:rsidR="00BA25AD" w:rsidRPr="009077F5" w:rsidRDefault="00BA25AD">
            <w:pPr>
              <w:pStyle w:val="KonuBal"/>
              <w:rPr>
                <w:sz w:val="24"/>
                <w:szCs w:val="24"/>
              </w:rPr>
            </w:pPr>
            <w:r w:rsidRPr="009077F5">
              <w:rPr>
                <w:sz w:val="24"/>
                <w:szCs w:val="24"/>
              </w:rPr>
              <w:t>CR</w:t>
            </w:r>
          </w:p>
        </w:tc>
        <w:tc>
          <w:tcPr>
            <w:tcW w:w="1417" w:type="dxa"/>
            <w:vMerge/>
            <w:vAlign w:val="center"/>
          </w:tcPr>
          <w:p w14:paraId="055C79C6" w14:textId="77777777" w:rsidR="00BA25AD" w:rsidRPr="009077F5" w:rsidRDefault="00BA25AD">
            <w:pPr>
              <w:pStyle w:val="KonuBal"/>
              <w:rPr>
                <w:sz w:val="24"/>
                <w:szCs w:val="24"/>
              </w:rPr>
            </w:pPr>
          </w:p>
        </w:tc>
        <w:tc>
          <w:tcPr>
            <w:tcW w:w="1843" w:type="dxa"/>
            <w:vAlign w:val="center"/>
          </w:tcPr>
          <w:p w14:paraId="47B84D49" w14:textId="4C838EA7" w:rsidR="00BA25AD" w:rsidRPr="009077F5" w:rsidRDefault="00BA25AD">
            <w:pPr>
              <w:pStyle w:val="KonuBal"/>
              <w:rPr>
                <w:sz w:val="24"/>
                <w:szCs w:val="24"/>
              </w:rPr>
            </w:pPr>
            <w:r w:rsidRPr="009077F5">
              <w:rPr>
                <w:sz w:val="24"/>
                <w:szCs w:val="24"/>
              </w:rPr>
              <w:t>Yılda bir defa</w:t>
            </w:r>
          </w:p>
        </w:tc>
        <w:tc>
          <w:tcPr>
            <w:tcW w:w="992" w:type="dxa"/>
            <w:vAlign w:val="center"/>
          </w:tcPr>
          <w:p w14:paraId="0479D7BE" w14:textId="3052C3FF" w:rsidR="00BA25AD" w:rsidRPr="009077F5" w:rsidRDefault="00BA25AD">
            <w:pPr>
              <w:pStyle w:val="KonuBal"/>
              <w:rPr>
                <w:sz w:val="24"/>
                <w:szCs w:val="24"/>
              </w:rPr>
            </w:pPr>
            <w:r w:rsidRPr="009077F5">
              <w:rPr>
                <w:sz w:val="24"/>
                <w:szCs w:val="24"/>
              </w:rPr>
              <w:t>MET 46</w:t>
            </w:r>
          </w:p>
        </w:tc>
      </w:tr>
      <w:tr w:rsidR="00BA25AD" w:rsidRPr="004B0D48" w14:paraId="29553AA3" w14:textId="77777777" w:rsidTr="000F45CE">
        <w:tc>
          <w:tcPr>
            <w:tcW w:w="1276" w:type="dxa"/>
            <w:gridSpan w:val="2"/>
            <w:vMerge/>
          </w:tcPr>
          <w:p w14:paraId="6D274A29" w14:textId="77777777" w:rsidR="00BA25AD" w:rsidRPr="009077F5" w:rsidRDefault="00BA25AD">
            <w:pPr>
              <w:pStyle w:val="KonuBal"/>
              <w:rPr>
                <w:sz w:val="24"/>
                <w:szCs w:val="24"/>
              </w:rPr>
            </w:pPr>
          </w:p>
        </w:tc>
        <w:tc>
          <w:tcPr>
            <w:tcW w:w="2152" w:type="dxa"/>
            <w:vAlign w:val="center"/>
          </w:tcPr>
          <w:p w14:paraId="175503CE" w14:textId="57164DF5" w:rsidR="00BA25AD" w:rsidRPr="009077F5" w:rsidRDefault="00BA25AD">
            <w:pPr>
              <w:pStyle w:val="KonuBal"/>
              <w:rPr>
                <w:sz w:val="24"/>
                <w:szCs w:val="24"/>
              </w:rPr>
            </w:pPr>
            <w:r w:rsidRPr="009077F5">
              <w:rPr>
                <w:sz w:val="24"/>
                <w:szCs w:val="24"/>
              </w:rPr>
              <w:t>Kurşun banyosu</w:t>
            </w:r>
          </w:p>
        </w:tc>
        <w:tc>
          <w:tcPr>
            <w:tcW w:w="1276" w:type="dxa"/>
            <w:vMerge w:val="restart"/>
            <w:vAlign w:val="center"/>
          </w:tcPr>
          <w:p w14:paraId="337FA185" w14:textId="243CFA5F" w:rsidR="00BA25AD" w:rsidRPr="009077F5" w:rsidRDefault="00BA25AD">
            <w:pPr>
              <w:pStyle w:val="KonuBal"/>
              <w:rPr>
                <w:sz w:val="24"/>
                <w:szCs w:val="24"/>
              </w:rPr>
            </w:pPr>
            <w:r w:rsidRPr="009077F5">
              <w:rPr>
                <w:sz w:val="24"/>
                <w:szCs w:val="24"/>
              </w:rPr>
              <w:t>WD</w:t>
            </w:r>
          </w:p>
        </w:tc>
        <w:tc>
          <w:tcPr>
            <w:tcW w:w="1417" w:type="dxa"/>
            <w:vMerge/>
            <w:vAlign w:val="center"/>
          </w:tcPr>
          <w:p w14:paraId="4264412F" w14:textId="77777777" w:rsidR="00BA25AD" w:rsidRPr="009077F5" w:rsidRDefault="00BA25AD">
            <w:pPr>
              <w:pStyle w:val="KonuBal"/>
              <w:rPr>
                <w:sz w:val="24"/>
                <w:szCs w:val="24"/>
              </w:rPr>
            </w:pPr>
          </w:p>
        </w:tc>
        <w:tc>
          <w:tcPr>
            <w:tcW w:w="1843" w:type="dxa"/>
            <w:vAlign w:val="center"/>
          </w:tcPr>
          <w:p w14:paraId="1B25880F" w14:textId="3E51E56D" w:rsidR="00BA25AD" w:rsidRPr="009077F5" w:rsidRDefault="00BA25AD">
            <w:pPr>
              <w:pStyle w:val="KonuBal"/>
              <w:rPr>
                <w:sz w:val="24"/>
                <w:szCs w:val="24"/>
              </w:rPr>
            </w:pPr>
            <w:r w:rsidRPr="009077F5">
              <w:rPr>
                <w:sz w:val="24"/>
                <w:szCs w:val="24"/>
              </w:rPr>
              <w:t>Yılda bir defa</w:t>
            </w:r>
          </w:p>
        </w:tc>
        <w:tc>
          <w:tcPr>
            <w:tcW w:w="992" w:type="dxa"/>
            <w:vAlign w:val="center"/>
          </w:tcPr>
          <w:p w14:paraId="09E17514" w14:textId="1D6B48B5" w:rsidR="00BA25AD" w:rsidRPr="009077F5" w:rsidRDefault="00BA25AD">
            <w:pPr>
              <w:pStyle w:val="KonuBal"/>
              <w:rPr>
                <w:sz w:val="24"/>
                <w:szCs w:val="24"/>
              </w:rPr>
            </w:pPr>
            <w:r w:rsidRPr="009077F5">
              <w:rPr>
                <w:sz w:val="24"/>
                <w:szCs w:val="24"/>
              </w:rPr>
              <w:t>MET 51</w:t>
            </w:r>
          </w:p>
        </w:tc>
      </w:tr>
      <w:tr w:rsidR="00BA25AD" w:rsidRPr="004B0D48" w14:paraId="4D861FF7" w14:textId="77777777" w:rsidTr="000F45CE">
        <w:tc>
          <w:tcPr>
            <w:tcW w:w="1276" w:type="dxa"/>
            <w:gridSpan w:val="2"/>
            <w:vMerge/>
          </w:tcPr>
          <w:p w14:paraId="127B5A6C" w14:textId="77777777" w:rsidR="00BA25AD" w:rsidRPr="009077F5" w:rsidRDefault="00BA25AD">
            <w:pPr>
              <w:pStyle w:val="KonuBal"/>
              <w:rPr>
                <w:sz w:val="24"/>
                <w:szCs w:val="24"/>
              </w:rPr>
            </w:pPr>
          </w:p>
        </w:tc>
        <w:tc>
          <w:tcPr>
            <w:tcW w:w="2152" w:type="dxa"/>
            <w:vAlign w:val="center"/>
          </w:tcPr>
          <w:p w14:paraId="2148A9EB" w14:textId="4A712818" w:rsidR="00BA25AD" w:rsidRPr="009077F5" w:rsidRDefault="00BA25AD">
            <w:pPr>
              <w:pStyle w:val="KonuBal"/>
              <w:rPr>
                <w:sz w:val="24"/>
                <w:szCs w:val="24"/>
              </w:rPr>
            </w:pPr>
            <w:r w:rsidRPr="009077F5">
              <w:rPr>
                <w:sz w:val="24"/>
                <w:szCs w:val="24"/>
              </w:rPr>
              <w:t>Kuru çekme</w:t>
            </w:r>
          </w:p>
        </w:tc>
        <w:tc>
          <w:tcPr>
            <w:tcW w:w="1276" w:type="dxa"/>
            <w:vMerge/>
            <w:vAlign w:val="center"/>
          </w:tcPr>
          <w:p w14:paraId="7BAB5730" w14:textId="77777777" w:rsidR="00BA25AD" w:rsidRPr="009077F5" w:rsidRDefault="00BA25AD">
            <w:pPr>
              <w:pStyle w:val="KonuBal"/>
              <w:rPr>
                <w:sz w:val="24"/>
                <w:szCs w:val="24"/>
              </w:rPr>
            </w:pPr>
          </w:p>
        </w:tc>
        <w:tc>
          <w:tcPr>
            <w:tcW w:w="1417" w:type="dxa"/>
            <w:vMerge/>
            <w:vAlign w:val="center"/>
          </w:tcPr>
          <w:p w14:paraId="773CBCD4" w14:textId="77777777" w:rsidR="00BA25AD" w:rsidRPr="009077F5" w:rsidRDefault="00BA25AD">
            <w:pPr>
              <w:pStyle w:val="KonuBal"/>
              <w:rPr>
                <w:sz w:val="24"/>
                <w:szCs w:val="24"/>
              </w:rPr>
            </w:pPr>
          </w:p>
        </w:tc>
        <w:tc>
          <w:tcPr>
            <w:tcW w:w="1843" w:type="dxa"/>
            <w:vAlign w:val="center"/>
          </w:tcPr>
          <w:p w14:paraId="7024FC89" w14:textId="66DB4BC1" w:rsidR="00BA25AD" w:rsidRPr="009077F5" w:rsidRDefault="00BA25AD">
            <w:pPr>
              <w:pStyle w:val="KonuBal"/>
              <w:rPr>
                <w:sz w:val="24"/>
                <w:szCs w:val="24"/>
              </w:rPr>
            </w:pPr>
            <w:r w:rsidRPr="009077F5">
              <w:rPr>
                <w:sz w:val="24"/>
                <w:szCs w:val="24"/>
              </w:rPr>
              <w:t>Yılda bir defa</w:t>
            </w:r>
          </w:p>
        </w:tc>
        <w:tc>
          <w:tcPr>
            <w:tcW w:w="992" w:type="dxa"/>
            <w:vAlign w:val="center"/>
          </w:tcPr>
          <w:p w14:paraId="55F906C9" w14:textId="772A4349" w:rsidR="00BA25AD" w:rsidRPr="009077F5" w:rsidRDefault="00BA25AD">
            <w:pPr>
              <w:pStyle w:val="KonuBal"/>
              <w:rPr>
                <w:sz w:val="24"/>
                <w:szCs w:val="24"/>
              </w:rPr>
            </w:pPr>
            <w:r w:rsidRPr="009077F5">
              <w:rPr>
                <w:sz w:val="24"/>
                <w:szCs w:val="24"/>
              </w:rPr>
              <w:t>MET 52</w:t>
            </w:r>
          </w:p>
        </w:tc>
      </w:tr>
      <w:tr w:rsidR="007A4E37" w:rsidRPr="004B0D48" w14:paraId="613A643B" w14:textId="77777777" w:rsidTr="000F45CE">
        <w:tc>
          <w:tcPr>
            <w:tcW w:w="1276" w:type="dxa"/>
            <w:gridSpan w:val="2"/>
            <w:vMerge w:val="restart"/>
          </w:tcPr>
          <w:p w14:paraId="4C52DC45" w14:textId="52092E71" w:rsidR="007A4E37" w:rsidRPr="009077F5" w:rsidRDefault="007A4E37" w:rsidP="004B0D48">
            <w:pPr>
              <w:pStyle w:val="KonuBal"/>
              <w:rPr>
                <w:sz w:val="24"/>
                <w:szCs w:val="24"/>
              </w:rPr>
            </w:pPr>
            <w:r w:rsidRPr="009077F5">
              <w:rPr>
                <w:sz w:val="24"/>
                <w:szCs w:val="24"/>
              </w:rPr>
              <w:t>HCl</w:t>
            </w:r>
          </w:p>
        </w:tc>
        <w:tc>
          <w:tcPr>
            <w:tcW w:w="2152" w:type="dxa"/>
            <w:vAlign w:val="center"/>
          </w:tcPr>
          <w:p w14:paraId="21D9132B" w14:textId="3781192C" w:rsidR="007A4E37" w:rsidRPr="009077F5" w:rsidRDefault="007A4E37" w:rsidP="004B0D48">
            <w:pPr>
              <w:pStyle w:val="KonuBal"/>
              <w:rPr>
                <w:sz w:val="24"/>
                <w:szCs w:val="24"/>
              </w:rPr>
            </w:pPr>
            <w:r w:rsidRPr="009077F5">
              <w:rPr>
                <w:sz w:val="24"/>
                <w:szCs w:val="24"/>
              </w:rPr>
              <w:t>Hidroklorik asit ile dekapaj</w:t>
            </w:r>
          </w:p>
        </w:tc>
        <w:tc>
          <w:tcPr>
            <w:tcW w:w="1276" w:type="dxa"/>
            <w:vAlign w:val="center"/>
          </w:tcPr>
          <w:p w14:paraId="1FC129C5" w14:textId="28B806F7" w:rsidR="007A4E37" w:rsidRPr="009077F5" w:rsidRDefault="007A4E37" w:rsidP="004B0D48">
            <w:pPr>
              <w:pStyle w:val="KonuBal"/>
              <w:rPr>
                <w:sz w:val="24"/>
                <w:szCs w:val="24"/>
              </w:rPr>
            </w:pPr>
            <w:r w:rsidRPr="009077F5">
              <w:rPr>
                <w:sz w:val="24"/>
                <w:szCs w:val="24"/>
              </w:rPr>
              <w:t>HR, CR, HDC, WD</w:t>
            </w:r>
          </w:p>
        </w:tc>
        <w:tc>
          <w:tcPr>
            <w:tcW w:w="1417" w:type="dxa"/>
            <w:vMerge w:val="restart"/>
            <w:vAlign w:val="center"/>
          </w:tcPr>
          <w:p w14:paraId="506C398A" w14:textId="0440818D" w:rsidR="007A4E37" w:rsidRPr="009077F5" w:rsidRDefault="00132755" w:rsidP="004B0D48">
            <w:pPr>
              <w:pStyle w:val="KonuBal"/>
              <w:rPr>
                <w:sz w:val="24"/>
                <w:szCs w:val="24"/>
              </w:rPr>
            </w:pPr>
            <w:r w:rsidRPr="009077F5">
              <w:rPr>
                <w:sz w:val="24"/>
                <w:szCs w:val="24"/>
              </w:rPr>
              <w:t xml:space="preserve">TS </w:t>
            </w:r>
            <w:r w:rsidR="007A4E37" w:rsidRPr="009077F5">
              <w:rPr>
                <w:sz w:val="24"/>
                <w:szCs w:val="24"/>
              </w:rPr>
              <w:t>EN 1911 (</w:t>
            </w:r>
            <w:r w:rsidR="007A4E37" w:rsidRPr="009077F5">
              <w:rPr>
                <w:sz w:val="24"/>
                <w:szCs w:val="24"/>
                <w:vertAlign w:val="superscript"/>
              </w:rPr>
              <w:t>3</w:t>
            </w:r>
            <w:r w:rsidR="007A4E37" w:rsidRPr="009077F5">
              <w:rPr>
                <w:sz w:val="24"/>
                <w:szCs w:val="24"/>
              </w:rPr>
              <w:t>)</w:t>
            </w:r>
          </w:p>
        </w:tc>
        <w:tc>
          <w:tcPr>
            <w:tcW w:w="1843" w:type="dxa"/>
            <w:vAlign w:val="center"/>
          </w:tcPr>
          <w:p w14:paraId="62E84E34" w14:textId="34BF5415" w:rsidR="007A4E37" w:rsidRPr="009077F5" w:rsidRDefault="007A4E37" w:rsidP="00E73DA3">
            <w:pPr>
              <w:pStyle w:val="KonuBal"/>
              <w:rPr>
                <w:sz w:val="24"/>
                <w:szCs w:val="24"/>
              </w:rPr>
            </w:pPr>
            <w:r w:rsidRPr="009077F5">
              <w:rPr>
                <w:sz w:val="24"/>
                <w:szCs w:val="24"/>
              </w:rPr>
              <w:t>Yılda bir defa</w:t>
            </w:r>
          </w:p>
        </w:tc>
        <w:tc>
          <w:tcPr>
            <w:tcW w:w="992" w:type="dxa"/>
            <w:vAlign w:val="center"/>
          </w:tcPr>
          <w:p w14:paraId="050D1063" w14:textId="5E05738E" w:rsidR="007A4E37" w:rsidRPr="009077F5" w:rsidRDefault="007A4E37" w:rsidP="00BF4451">
            <w:pPr>
              <w:pStyle w:val="KonuBal"/>
              <w:rPr>
                <w:sz w:val="24"/>
                <w:szCs w:val="24"/>
              </w:rPr>
            </w:pPr>
            <w:r w:rsidRPr="009077F5">
              <w:rPr>
                <w:sz w:val="24"/>
                <w:szCs w:val="24"/>
              </w:rPr>
              <w:t>MET 24</w:t>
            </w:r>
          </w:p>
        </w:tc>
      </w:tr>
      <w:tr w:rsidR="007A4E37" w:rsidRPr="004B0D48" w14:paraId="246996CB" w14:textId="77777777" w:rsidTr="000F45CE">
        <w:tc>
          <w:tcPr>
            <w:tcW w:w="1276" w:type="dxa"/>
            <w:gridSpan w:val="2"/>
            <w:vMerge/>
          </w:tcPr>
          <w:p w14:paraId="5FA4A7AD" w14:textId="77777777" w:rsidR="007A4E37" w:rsidRPr="009077F5" w:rsidRDefault="007A4E37">
            <w:pPr>
              <w:pStyle w:val="KonuBal"/>
              <w:rPr>
                <w:sz w:val="24"/>
                <w:szCs w:val="24"/>
              </w:rPr>
            </w:pPr>
          </w:p>
        </w:tc>
        <w:tc>
          <w:tcPr>
            <w:tcW w:w="2152" w:type="dxa"/>
            <w:vAlign w:val="center"/>
          </w:tcPr>
          <w:p w14:paraId="4AC17F40" w14:textId="5901F93A" w:rsidR="007A4E37" w:rsidRPr="009077F5" w:rsidRDefault="007A4E37">
            <w:pPr>
              <w:pStyle w:val="KonuBal"/>
              <w:rPr>
                <w:sz w:val="24"/>
                <w:szCs w:val="24"/>
              </w:rPr>
            </w:pPr>
            <w:r w:rsidRPr="009077F5">
              <w:rPr>
                <w:sz w:val="24"/>
                <w:szCs w:val="24"/>
              </w:rPr>
              <w:t>Hidroklorik asit ile asitleme ve sıyırma</w:t>
            </w:r>
          </w:p>
        </w:tc>
        <w:tc>
          <w:tcPr>
            <w:tcW w:w="1276" w:type="dxa"/>
            <w:vAlign w:val="center"/>
          </w:tcPr>
          <w:p w14:paraId="7C3B8733" w14:textId="453C0428" w:rsidR="007A4E37" w:rsidRPr="009077F5" w:rsidRDefault="007A4E37">
            <w:pPr>
              <w:pStyle w:val="KonuBal"/>
              <w:rPr>
                <w:sz w:val="24"/>
                <w:szCs w:val="24"/>
              </w:rPr>
            </w:pPr>
            <w:r w:rsidRPr="009077F5">
              <w:rPr>
                <w:sz w:val="24"/>
                <w:szCs w:val="24"/>
              </w:rPr>
              <w:t>BG</w:t>
            </w:r>
          </w:p>
        </w:tc>
        <w:tc>
          <w:tcPr>
            <w:tcW w:w="1417" w:type="dxa"/>
            <w:vMerge/>
            <w:vAlign w:val="center"/>
          </w:tcPr>
          <w:p w14:paraId="12BE9E46" w14:textId="77777777" w:rsidR="007A4E37" w:rsidRPr="009077F5" w:rsidRDefault="007A4E37">
            <w:pPr>
              <w:pStyle w:val="KonuBal"/>
              <w:rPr>
                <w:sz w:val="24"/>
                <w:szCs w:val="24"/>
              </w:rPr>
            </w:pPr>
          </w:p>
        </w:tc>
        <w:tc>
          <w:tcPr>
            <w:tcW w:w="1843" w:type="dxa"/>
            <w:vAlign w:val="center"/>
          </w:tcPr>
          <w:p w14:paraId="35CAA8E4" w14:textId="5B3B20A1" w:rsidR="007A4E37" w:rsidRPr="009077F5" w:rsidRDefault="007A4E37">
            <w:pPr>
              <w:pStyle w:val="KonuBal"/>
              <w:rPr>
                <w:sz w:val="24"/>
                <w:szCs w:val="24"/>
              </w:rPr>
            </w:pPr>
            <w:r w:rsidRPr="009077F5">
              <w:rPr>
                <w:sz w:val="24"/>
                <w:szCs w:val="24"/>
              </w:rPr>
              <w:t>Yılda bir defa</w:t>
            </w:r>
          </w:p>
        </w:tc>
        <w:tc>
          <w:tcPr>
            <w:tcW w:w="992" w:type="dxa"/>
            <w:vAlign w:val="center"/>
          </w:tcPr>
          <w:p w14:paraId="3ABDF4EA" w14:textId="46D54776" w:rsidR="007A4E37" w:rsidRPr="009077F5" w:rsidRDefault="007A4E37">
            <w:pPr>
              <w:pStyle w:val="KonuBal"/>
              <w:rPr>
                <w:sz w:val="24"/>
                <w:szCs w:val="24"/>
              </w:rPr>
            </w:pPr>
            <w:r w:rsidRPr="009077F5">
              <w:rPr>
                <w:sz w:val="24"/>
                <w:szCs w:val="24"/>
              </w:rPr>
              <w:t>MET 62</w:t>
            </w:r>
          </w:p>
        </w:tc>
      </w:tr>
      <w:tr w:rsidR="007A4E37" w:rsidRPr="004B0D48" w14:paraId="7EF60505" w14:textId="77777777" w:rsidTr="000F45CE">
        <w:tc>
          <w:tcPr>
            <w:tcW w:w="1276" w:type="dxa"/>
            <w:gridSpan w:val="2"/>
            <w:vMerge/>
          </w:tcPr>
          <w:p w14:paraId="0EB057DE" w14:textId="77777777" w:rsidR="007A4E37" w:rsidRPr="009077F5" w:rsidRDefault="007A4E37">
            <w:pPr>
              <w:pStyle w:val="KonuBal"/>
              <w:rPr>
                <w:sz w:val="24"/>
                <w:szCs w:val="24"/>
              </w:rPr>
            </w:pPr>
          </w:p>
        </w:tc>
        <w:tc>
          <w:tcPr>
            <w:tcW w:w="2152" w:type="dxa"/>
            <w:vAlign w:val="center"/>
          </w:tcPr>
          <w:p w14:paraId="1E27AA64" w14:textId="2EFF8EC1" w:rsidR="007A4E37" w:rsidRPr="009077F5" w:rsidRDefault="007A4E37">
            <w:pPr>
              <w:pStyle w:val="KonuBal"/>
              <w:rPr>
                <w:sz w:val="24"/>
                <w:szCs w:val="24"/>
              </w:rPr>
            </w:pPr>
            <w:r w:rsidRPr="009077F5">
              <w:rPr>
                <w:sz w:val="24"/>
                <w:szCs w:val="24"/>
              </w:rPr>
              <w:t>Püskürtmeli yakma veya akışkan yataklı reaktörler kullanılarak hidroklorik asit geri kazanımı.</w:t>
            </w:r>
          </w:p>
        </w:tc>
        <w:tc>
          <w:tcPr>
            <w:tcW w:w="1276" w:type="dxa"/>
            <w:vAlign w:val="center"/>
          </w:tcPr>
          <w:p w14:paraId="72C08C23" w14:textId="4CDF8C2F" w:rsidR="007A4E37" w:rsidRPr="009077F5" w:rsidRDefault="007A4E37">
            <w:pPr>
              <w:pStyle w:val="KonuBal"/>
              <w:rPr>
                <w:sz w:val="24"/>
                <w:szCs w:val="24"/>
              </w:rPr>
            </w:pPr>
            <w:r w:rsidRPr="009077F5">
              <w:rPr>
                <w:sz w:val="24"/>
                <w:szCs w:val="24"/>
              </w:rPr>
              <w:t>HR, CR, HDC, WD</w:t>
            </w:r>
          </w:p>
        </w:tc>
        <w:tc>
          <w:tcPr>
            <w:tcW w:w="1417" w:type="dxa"/>
            <w:vMerge/>
            <w:vAlign w:val="center"/>
          </w:tcPr>
          <w:p w14:paraId="5FCD200C" w14:textId="77777777" w:rsidR="007A4E37" w:rsidRPr="009077F5" w:rsidRDefault="007A4E37">
            <w:pPr>
              <w:pStyle w:val="KonuBal"/>
              <w:rPr>
                <w:sz w:val="24"/>
                <w:szCs w:val="24"/>
              </w:rPr>
            </w:pPr>
          </w:p>
        </w:tc>
        <w:tc>
          <w:tcPr>
            <w:tcW w:w="1843" w:type="dxa"/>
            <w:vAlign w:val="center"/>
          </w:tcPr>
          <w:p w14:paraId="5B536238" w14:textId="4E21ECC3" w:rsidR="007A4E37" w:rsidRPr="009077F5" w:rsidRDefault="007A4E37">
            <w:pPr>
              <w:pStyle w:val="KonuBal"/>
              <w:rPr>
                <w:sz w:val="24"/>
                <w:szCs w:val="24"/>
              </w:rPr>
            </w:pPr>
            <w:r w:rsidRPr="009077F5">
              <w:rPr>
                <w:sz w:val="24"/>
                <w:szCs w:val="24"/>
              </w:rPr>
              <w:t>Yılda bir defa</w:t>
            </w:r>
          </w:p>
        </w:tc>
        <w:tc>
          <w:tcPr>
            <w:tcW w:w="992" w:type="dxa"/>
            <w:vAlign w:val="center"/>
          </w:tcPr>
          <w:p w14:paraId="28EBF3D5" w14:textId="76662B93" w:rsidR="007A4E37" w:rsidRPr="009077F5" w:rsidRDefault="007A4E37">
            <w:pPr>
              <w:pStyle w:val="KonuBal"/>
              <w:rPr>
                <w:sz w:val="24"/>
                <w:szCs w:val="24"/>
              </w:rPr>
            </w:pPr>
            <w:r w:rsidRPr="009077F5">
              <w:rPr>
                <w:sz w:val="24"/>
                <w:szCs w:val="24"/>
              </w:rPr>
              <w:t>MET 29</w:t>
            </w:r>
          </w:p>
        </w:tc>
      </w:tr>
      <w:tr w:rsidR="007A4E37" w:rsidRPr="004B0D48" w14:paraId="4FD217FB" w14:textId="77777777" w:rsidTr="000F45CE">
        <w:tc>
          <w:tcPr>
            <w:tcW w:w="1276" w:type="dxa"/>
            <w:gridSpan w:val="2"/>
            <w:vMerge/>
          </w:tcPr>
          <w:p w14:paraId="32DC03C2" w14:textId="77777777" w:rsidR="007A4E37" w:rsidRPr="009077F5" w:rsidRDefault="007A4E37">
            <w:pPr>
              <w:pStyle w:val="KonuBal"/>
              <w:rPr>
                <w:sz w:val="24"/>
                <w:szCs w:val="24"/>
              </w:rPr>
            </w:pPr>
          </w:p>
        </w:tc>
        <w:tc>
          <w:tcPr>
            <w:tcW w:w="2152" w:type="dxa"/>
            <w:vAlign w:val="center"/>
          </w:tcPr>
          <w:p w14:paraId="3D88F1B5" w14:textId="656C9FE5" w:rsidR="007A4E37" w:rsidRPr="009077F5" w:rsidRDefault="007A4E37">
            <w:pPr>
              <w:pStyle w:val="KonuBal"/>
              <w:rPr>
                <w:sz w:val="24"/>
                <w:szCs w:val="24"/>
              </w:rPr>
            </w:pPr>
            <w:r w:rsidRPr="009077F5">
              <w:rPr>
                <w:sz w:val="24"/>
                <w:szCs w:val="24"/>
              </w:rPr>
              <w:t>Açık dekapaj banyolarında hidroklorik asit ile dekapaj ve sıyırma.</w:t>
            </w:r>
          </w:p>
        </w:tc>
        <w:tc>
          <w:tcPr>
            <w:tcW w:w="1276" w:type="dxa"/>
            <w:vAlign w:val="center"/>
          </w:tcPr>
          <w:p w14:paraId="49AD8A7D" w14:textId="205A6476" w:rsidR="007A4E37" w:rsidRPr="009077F5" w:rsidRDefault="007A4E37">
            <w:pPr>
              <w:pStyle w:val="KonuBal"/>
              <w:rPr>
                <w:sz w:val="24"/>
                <w:szCs w:val="24"/>
              </w:rPr>
            </w:pPr>
            <w:r w:rsidRPr="009077F5">
              <w:rPr>
                <w:sz w:val="24"/>
                <w:szCs w:val="24"/>
              </w:rPr>
              <w:t>BG</w:t>
            </w:r>
          </w:p>
        </w:tc>
        <w:tc>
          <w:tcPr>
            <w:tcW w:w="1417" w:type="dxa"/>
            <w:vAlign w:val="center"/>
          </w:tcPr>
          <w:p w14:paraId="21A6C02B" w14:textId="3829D5D0" w:rsidR="007A4E37" w:rsidRPr="009077F5" w:rsidRDefault="007A4E37">
            <w:pPr>
              <w:pStyle w:val="KonuBal"/>
              <w:rPr>
                <w:sz w:val="24"/>
                <w:szCs w:val="24"/>
              </w:rPr>
            </w:pPr>
            <w:r w:rsidRPr="009077F5">
              <w:rPr>
                <w:sz w:val="24"/>
                <w:szCs w:val="24"/>
              </w:rPr>
              <w:t>EN standard mevcut değil</w:t>
            </w:r>
          </w:p>
        </w:tc>
        <w:tc>
          <w:tcPr>
            <w:tcW w:w="1843" w:type="dxa"/>
            <w:vAlign w:val="center"/>
          </w:tcPr>
          <w:p w14:paraId="1526F489" w14:textId="795FFC79" w:rsidR="007A4E37" w:rsidRPr="009077F5" w:rsidRDefault="007A4E37">
            <w:pPr>
              <w:pStyle w:val="KonuBal"/>
              <w:rPr>
                <w:sz w:val="24"/>
                <w:szCs w:val="24"/>
              </w:rPr>
            </w:pPr>
            <w:r w:rsidRPr="009077F5">
              <w:rPr>
                <w:sz w:val="24"/>
                <w:szCs w:val="24"/>
              </w:rPr>
              <w:t>Yılda bir defa (</w:t>
            </w:r>
            <w:r w:rsidRPr="009077F5">
              <w:rPr>
                <w:sz w:val="24"/>
                <w:szCs w:val="24"/>
                <w:vertAlign w:val="superscript"/>
              </w:rPr>
              <w:t>6</w:t>
            </w:r>
            <w:r w:rsidRPr="009077F5">
              <w:rPr>
                <w:sz w:val="24"/>
                <w:szCs w:val="24"/>
              </w:rPr>
              <w:t>)</w:t>
            </w:r>
          </w:p>
        </w:tc>
        <w:tc>
          <w:tcPr>
            <w:tcW w:w="992" w:type="dxa"/>
            <w:vAlign w:val="center"/>
          </w:tcPr>
          <w:p w14:paraId="127FE71E" w14:textId="57885DFB" w:rsidR="007A4E37" w:rsidRPr="009077F5" w:rsidRDefault="007A4E37">
            <w:pPr>
              <w:pStyle w:val="KonuBal"/>
              <w:rPr>
                <w:sz w:val="24"/>
                <w:szCs w:val="24"/>
              </w:rPr>
            </w:pPr>
            <w:r w:rsidRPr="009077F5">
              <w:rPr>
                <w:sz w:val="24"/>
                <w:szCs w:val="24"/>
              </w:rPr>
              <w:t>MET 62</w:t>
            </w:r>
          </w:p>
        </w:tc>
      </w:tr>
      <w:tr w:rsidR="00944103" w:rsidRPr="004B0D48" w14:paraId="7536A25F" w14:textId="77777777" w:rsidTr="000F45CE">
        <w:tc>
          <w:tcPr>
            <w:tcW w:w="1276" w:type="dxa"/>
            <w:gridSpan w:val="2"/>
            <w:vMerge w:val="restart"/>
          </w:tcPr>
          <w:p w14:paraId="30D493D2" w14:textId="541AA542" w:rsidR="00944103" w:rsidRPr="009077F5" w:rsidRDefault="00944103" w:rsidP="004B0D48">
            <w:pPr>
              <w:pStyle w:val="KonuBal"/>
              <w:rPr>
                <w:sz w:val="24"/>
                <w:szCs w:val="24"/>
              </w:rPr>
            </w:pPr>
            <w:r w:rsidRPr="009077F5">
              <w:rPr>
                <w:sz w:val="24"/>
                <w:szCs w:val="24"/>
              </w:rPr>
              <w:t>HF</w:t>
            </w:r>
          </w:p>
        </w:tc>
        <w:tc>
          <w:tcPr>
            <w:tcW w:w="2152" w:type="dxa"/>
            <w:vAlign w:val="center"/>
          </w:tcPr>
          <w:p w14:paraId="66379C5B" w14:textId="1EE95DDE" w:rsidR="00944103" w:rsidRPr="009077F5" w:rsidRDefault="00944103" w:rsidP="004B0D48">
            <w:pPr>
              <w:pStyle w:val="KonuBal"/>
              <w:rPr>
                <w:sz w:val="24"/>
                <w:szCs w:val="24"/>
              </w:rPr>
            </w:pPr>
            <w:r w:rsidRPr="009077F5">
              <w:rPr>
                <w:sz w:val="24"/>
                <w:szCs w:val="24"/>
              </w:rPr>
              <w:t>Hidroflorik asit içeren asit karışımları ile dekapaj</w:t>
            </w:r>
          </w:p>
        </w:tc>
        <w:tc>
          <w:tcPr>
            <w:tcW w:w="1276" w:type="dxa"/>
            <w:vAlign w:val="center"/>
          </w:tcPr>
          <w:p w14:paraId="7E762A51" w14:textId="4A9503B3" w:rsidR="00944103" w:rsidRPr="009077F5" w:rsidRDefault="00944103" w:rsidP="004B0D48">
            <w:pPr>
              <w:pStyle w:val="KonuBal"/>
              <w:rPr>
                <w:sz w:val="24"/>
                <w:szCs w:val="24"/>
              </w:rPr>
            </w:pPr>
            <w:r w:rsidRPr="009077F5">
              <w:rPr>
                <w:sz w:val="24"/>
                <w:szCs w:val="24"/>
              </w:rPr>
              <w:t>HR, CR, HDC</w:t>
            </w:r>
          </w:p>
        </w:tc>
        <w:tc>
          <w:tcPr>
            <w:tcW w:w="1417" w:type="dxa"/>
            <w:vMerge w:val="restart"/>
            <w:vAlign w:val="center"/>
          </w:tcPr>
          <w:p w14:paraId="16426EC6" w14:textId="5F706278" w:rsidR="00944103" w:rsidRPr="009077F5" w:rsidRDefault="00944103" w:rsidP="004B0D48">
            <w:pPr>
              <w:pStyle w:val="KonuBal"/>
              <w:rPr>
                <w:sz w:val="24"/>
                <w:szCs w:val="24"/>
              </w:rPr>
            </w:pPr>
            <w:r w:rsidRPr="009077F5">
              <w:rPr>
                <w:sz w:val="24"/>
                <w:szCs w:val="24"/>
              </w:rPr>
              <w:t>EN standardı geliştirme aşamasında (</w:t>
            </w:r>
            <w:r w:rsidRPr="009077F5">
              <w:rPr>
                <w:sz w:val="24"/>
                <w:szCs w:val="24"/>
                <w:vertAlign w:val="superscript"/>
              </w:rPr>
              <w:t>3</w:t>
            </w:r>
            <w:r w:rsidRPr="009077F5">
              <w:rPr>
                <w:sz w:val="24"/>
                <w:szCs w:val="24"/>
              </w:rPr>
              <w:t>)</w:t>
            </w:r>
          </w:p>
        </w:tc>
        <w:tc>
          <w:tcPr>
            <w:tcW w:w="1843" w:type="dxa"/>
            <w:vAlign w:val="center"/>
          </w:tcPr>
          <w:p w14:paraId="0DA05376" w14:textId="56068FE1" w:rsidR="00944103" w:rsidRPr="009077F5" w:rsidRDefault="00944103" w:rsidP="00E73DA3">
            <w:pPr>
              <w:pStyle w:val="KonuBal"/>
              <w:rPr>
                <w:sz w:val="24"/>
                <w:szCs w:val="24"/>
              </w:rPr>
            </w:pPr>
            <w:r w:rsidRPr="009077F5">
              <w:rPr>
                <w:sz w:val="24"/>
                <w:szCs w:val="24"/>
              </w:rPr>
              <w:t>Yılda bir defa</w:t>
            </w:r>
          </w:p>
        </w:tc>
        <w:tc>
          <w:tcPr>
            <w:tcW w:w="992" w:type="dxa"/>
            <w:vAlign w:val="center"/>
          </w:tcPr>
          <w:p w14:paraId="5AAE8BD0" w14:textId="71589618" w:rsidR="00944103" w:rsidRPr="009077F5" w:rsidRDefault="00944103" w:rsidP="00BF4451">
            <w:pPr>
              <w:pStyle w:val="KonuBal"/>
              <w:rPr>
                <w:sz w:val="24"/>
                <w:szCs w:val="24"/>
              </w:rPr>
            </w:pPr>
            <w:r w:rsidRPr="009077F5">
              <w:rPr>
                <w:sz w:val="24"/>
                <w:szCs w:val="24"/>
              </w:rPr>
              <w:t>MET 24</w:t>
            </w:r>
          </w:p>
        </w:tc>
      </w:tr>
      <w:tr w:rsidR="00944103" w:rsidRPr="004B0D48" w14:paraId="79D975D7" w14:textId="77777777" w:rsidTr="000F45CE">
        <w:tc>
          <w:tcPr>
            <w:tcW w:w="1276" w:type="dxa"/>
            <w:gridSpan w:val="2"/>
            <w:vMerge/>
          </w:tcPr>
          <w:p w14:paraId="560F89E9" w14:textId="77777777" w:rsidR="00944103" w:rsidRPr="009077F5" w:rsidRDefault="00944103">
            <w:pPr>
              <w:pStyle w:val="KonuBal"/>
              <w:rPr>
                <w:sz w:val="24"/>
                <w:szCs w:val="24"/>
              </w:rPr>
            </w:pPr>
          </w:p>
        </w:tc>
        <w:tc>
          <w:tcPr>
            <w:tcW w:w="2152" w:type="dxa"/>
            <w:vAlign w:val="center"/>
          </w:tcPr>
          <w:p w14:paraId="2D2A80A5" w14:textId="6269DD6B" w:rsidR="00944103" w:rsidRPr="009077F5" w:rsidRDefault="00944103">
            <w:pPr>
              <w:pStyle w:val="KonuBal"/>
              <w:rPr>
                <w:sz w:val="24"/>
                <w:szCs w:val="24"/>
              </w:rPr>
            </w:pPr>
            <w:r w:rsidRPr="009077F5">
              <w:rPr>
                <w:sz w:val="24"/>
                <w:szCs w:val="24"/>
              </w:rPr>
              <w:t>Karışık asidin sprey yakma veya buharlaştırma yoluyla geri kazanımı</w:t>
            </w:r>
          </w:p>
        </w:tc>
        <w:tc>
          <w:tcPr>
            <w:tcW w:w="1276" w:type="dxa"/>
            <w:vAlign w:val="center"/>
          </w:tcPr>
          <w:p w14:paraId="5295FAFA" w14:textId="51927BC3" w:rsidR="00944103" w:rsidRPr="009077F5" w:rsidRDefault="00944103">
            <w:pPr>
              <w:pStyle w:val="KonuBal"/>
              <w:rPr>
                <w:sz w:val="24"/>
                <w:szCs w:val="24"/>
              </w:rPr>
            </w:pPr>
            <w:r w:rsidRPr="009077F5">
              <w:rPr>
                <w:sz w:val="24"/>
                <w:szCs w:val="24"/>
              </w:rPr>
              <w:t>HR, CR</w:t>
            </w:r>
          </w:p>
        </w:tc>
        <w:tc>
          <w:tcPr>
            <w:tcW w:w="1417" w:type="dxa"/>
            <w:vMerge/>
            <w:vAlign w:val="center"/>
          </w:tcPr>
          <w:p w14:paraId="5ECA3C22" w14:textId="77777777" w:rsidR="00944103" w:rsidRPr="009077F5" w:rsidRDefault="00944103">
            <w:pPr>
              <w:pStyle w:val="KonuBal"/>
              <w:rPr>
                <w:sz w:val="24"/>
                <w:szCs w:val="24"/>
              </w:rPr>
            </w:pPr>
          </w:p>
        </w:tc>
        <w:tc>
          <w:tcPr>
            <w:tcW w:w="1843" w:type="dxa"/>
            <w:vAlign w:val="center"/>
          </w:tcPr>
          <w:p w14:paraId="0F71D319" w14:textId="54CA89F9" w:rsidR="00944103" w:rsidRPr="009077F5" w:rsidRDefault="00944103">
            <w:pPr>
              <w:pStyle w:val="KonuBal"/>
              <w:rPr>
                <w:sz w:val="24"/>
                <w:szCs w:val="24"/>
              </w:rPr>
            </w:pPr>
            <w:r w:rsidRPr="009077F5">
              <w:rPr>
                <w:sz w:val="24"/>
                <w:szCs w:val="24"/>
              </w:rPr>
              <w:t>Yılda bir defa</w:t>
            </w:r>
          </w:p>
        </w:tc>
        <w:tc>
          <w:tcPr>
            <w:tcW w:w="992" w:type="dxa"/>
            <w:vAlign w:val="center"/>
          </w:tcPr>
          <w:p w14:paraId="1CBC2B65" w14:textId="26F66DC2" w:rsidR="00944103" w:rsidRPr="009077F5" w:rsidRDefault="00944103">
            <w:pPr>
              <w:pStyle w:val="KonuBal"/>
              <w:rPr>
                <w:sz w:val="24"/>
                <w:szCs w:val="24"/>
              </w:rPr>
            </w:pPr>
            <w:r w:rsidRPr="009077F5">
              <w:rPr>
                <w:sz w:val="24"/>
                <w:szCs w:val="24"/>
              </w:rPr>
              <w:t>MET 29</w:t>
            </w:r>
          </w:p>
        </w:tc>
      </w:tr>
      <w:tr w:rsidR="00944103" w:rsidRPr="004B0D48" w14:paraId="09A847F5" w14:textId="77777777" w:rsidTr="000F45CE">
        <w:tc>
          <w:tcPr>
            <w:tcW w:w="785" w:type="dxa"/>
            <w:vMerge w:val="restart"/>
            <w:tcBorders>
              <w:right w:val="single" w:sz="4" w:space="0" w:color="auto"/>
            </w:tcBorders>
          </w:tcPr>
          <w:p w14:paraId="58626639" w14:textId="20DC8B5D" w:rsidR="00944103" w:rsidRPr="009077F5" w:rsidRDefault="00944103" w:rsidP="004B0D48">
            <w:pPr>
              <w:pStyle w:val="KonuBal"/>
              <w:rPr>
                <w:sz w:val="24"/>
                <w:szCs w:val="24"/>
              </w:rPr>
            </w:pPr>
            <w:r w:rsidRPr="009077F5">
              <w:rPr>
                <w:sz w:val="24"/>
                <w:szCs w:val="24"/>
              </w:rPr>
              <w:t>Metaller</w:t>
            </w:r>
          </w:p>
        </w:tc>
        <w:tc>
          <w:tcPr>
            <w:tcW w:w="491" w:type="dxa"/>
            <w:vMerge w:val="restart"/>
            <w:tcBorders>
              <w:left w:val="single" w:sz="4" w:space="0" w:color="auto"/>
            </w:tcBorders>
          </w:tcPr>
          <w:p w14:paraId="62B5B119" w14:textId="54A2AFA4" w:rsidR="00944103" w:rsidRPr="009077F5" w:rsidRDefault="00944103" w:rsidP="004B0D48">
            <w:pPr>
              <w:pStyle w:val="KonuBal"/>
              <w:rPr>
                <w:sz w:val="24"/>
                <w:szCs w:val="24"/>
              </w:rPr>
            </w:pPr>
            <w:r w:rsidRPr="009077F5">
              <w:rPr>
                <w:sz w:val="24"/>
                <w:szCs w:val="24"/>
              </w:rPr>
              <w:t>Ni</w:t>
            </w:r>
          </w:p>
        </w:tc>
        <w:tc>
          <w:tcPr>
            <w:tcW w:w="2152" w:type="dxa"/>
            <w:vAlign w:val="center"/>
          </w:tcPr>
          <w:p w14:paraId="51F870AC" w14:textId="17C5643B" w:rsidR="00944103" w:rsidRPr="009077F5" w:rsidRDefault="00944103" w:rsidP="004B0D48">
            <w:pPr>
              <w:pStyle w:val="KonuBal"/>
              <w:rPr>
                <w:sz w:val="24"/>
                <w:szCs w:val="24"/>
              </w:rPr>
            </w:pPr>
            <w:r w:rsidRPr="009077F5">
              <w:rPr>
                <w:sz w:val="24"/>
                <w:szCs w:val="24"/>
              </w:rPr>
              <w:t>Mekanik işleme (</w:t>
            </w:r>
            <w:r w:rsidR="000631C2" w:rsidRPr="009077F5">
              <w:rPr>
                <w:sz w:val="24"/>
                <w:szCs w:val="24"/>
              </w:rPr>
              <w:t>kesme</w:t>
            </w:r>
            <w:r w:rsidRPr="009077F5">
              <w:rPr>
                <w:sz w:val="24"/>
                <w:szCs w:val="24"/>
              </w:rPr>
              <w:t>, kireç çözme, taşlama, kaba işleme, haddeleme, finisaj, tesviye dahil), yüzey temizleme (manuel yüzey temizleme hariç) ve kaynak yapma.</w:t>
            </w:r>
          </w:p>
        </w:tc>
        <w:tc>
          <w:tcPr>
            <w:tcW w:w="1276" w:type="dxa"/>
            <w:vAlign w:val="center"/>
          </w:tcPr>
          <w:p w14:paraId="430759C4" w14:textId="5E7E95AC" w:rsidR="00944103" w:rsidRPr="009077F5" w:rsidRDefault="00944103" w:rsidP="004B0D48">
            <w:pPr>
              <w:pStyle w:val="KonuBal"/>
              <w:rPr>
                <w:sz w:val="24"/>
                <w:szCs w:val="24"/>
              </w:rPr>
            </w:pPr>
            <w:r w:rsidRPr="009077F5">
              <w:rPr>
                <w:sz w:val="24"/>
                <w:szCs w:val="24"/>
              </w:rPr>
              <w:t>HR</w:t>
            </w:r>
          </w:p>
        </w:tc>
        <w:tc>
          <w:tcPr>
            <w:tcW w:w="1417" w:type="dxa"/>
            <w:vMerge w:val="restart"/>
            <w:vAlign w:val="center"/>
          </w:tcPr>
          <w:p w14:paraId="0C0B8188" w14:textId="05071FA1" w:rsidR="00944103" w:rsidRPr="009077F5" w:rsidRDefault="00C33CBE" w:rsidP="00E73DA3">
            <w:pPr>
              <w:pStyle w:val="KonuBal"/>
              <w:rPr>
                <w:sz w:val="24"/>
                <w:szCs w:val="24"/>
              </w:rPr>
            </w:pPr>
            <w:r w:rsidRPr="009077F5">
              <w:rPr>
                <w:sz w:val="24"/>
                <w:szCs w:val="24"/>
              </w:rPr>
              <w:t xml:space="preserve">TS </w:t>
            </w:r>
            <w:r w:rsidR="0023315C" w:rsidRPr="009077F5">
              <w:rPr>
                <w:sz w:val="24"/>
                <w:szCs w:val="24"/>
              </w:rPr>
              <w:t>TS EN 14385</w:t>
            </w:r>
          </w:p>
        </w:tc>
        <w:tc>
          <w:tcPr>
            <w:tcW w:w="1843" w:type="dxa"/>
            <w:vAlign w:val="center"/>
          </w:tcPr>
          <w:p w14:paraId="30750344" w14:textId="1AEF8167" w:rsidR="00944103" w:rsidRPr="009077F5" w:rsidRDefault="00944103" w:rsidP="00BF4451">
            <w:pPr>
              <w:pStyle w:val="KonuBal"/>
              <w:rPr>
                <w:sz w:val="24"/>
                <w:szCs w:val="24"/>
              </w:rPr>
            </w:pPr>
            <w:r w:rsidRPr="009077F5">
              <w:rPr>
                <w:sz w:val="24"/>
                <w:szCs w:val="24"/>
              </w:rPr>
              <w:t>Yılda bir defa (</w:t>
            </w:r>
            <w:r w:rsidRPr="009077F5">
              <w:rPr>
                <w:sz w:val="24"/>
                <w:szCs w:val="24"/>
                <w:vertAlign w:val="superscript"/>
              </w:rPr>
              <w:t>7</w:t>
            </w:r>
            <w:r w:rsidRPr="009077F5">
              <w:rPr>
                <w:sz w:val="24"/>
                <w:szCs w:val="24"/>
              </w:rPr>
              <w:t>)</w:t>
            </w:r>
          </w:p>
        </w:tc>
        <w:tc>
          <w:tcPr>
            <w:tcW w:w="992" w:type="dxa"/>
            <w:vAlign w:val="center"/>
          </w:tcPr>
          <w:p w14:paraId="140B1EC6" w14:textId="76294CDC" w:rsidR="00944103" w:rsidRPr="009077F5" w:rsidRDefault="00944103" w:rsidP="00BF4451">
            <w:pPr>
              <w:pStyle w:val="KonuBal"/>
              <w:rPr>
                <w:sz w:val="24"/>
                <w:szCs w:val="24"/>
              </w:rPr>
            </w:pPr>
            <w:r w:rsidRPr="009077F5">
              <w:rPr>
                <w:sz w:val="24"/>
                <w:szCs w:val="24"/>
              </w:rPr>
              <w:t>MET 42</w:t>
            </w:r>
          </w:p>
        </w:tc>
      </w:tr>
      <w:tr w:rsidR="00944103" w:rsidRPr="004B0D48" w14:paraId="1576A5F3" w14:textId="77777777" w:rsidTr="000F45CE">
        <w:tc>
          <w:tcPr>
            <w:tcW w:w="785" w:type="dxa"/>
            <w:vMerge/>
            <w:tcBorders>
              <w:right w:val="single" w:sz="4" w:space="0" w:color="auto"/>
            </w:tcBorders>
          </w:tcPr>
          <w:p w14:paraId="0B59F402" w14:textId="77777777" w:rsidR="00944103" w:rsidRPr="009077F5" w:rsidRDefault="00944103">
            <w:pPr>
              <w:pStyle w:val="KonuBal"/>
              <w:rPr>
                <w:sz w:val="24"/>
                <w:szCs w:val="24"/>
              </w:rPr>
            </w:pPr>
          </w:p>
        </w:tc>
        <w:tc>
          <w:tcPr>
            <w:tcW w:w="491" w:type="dxa"/>
            <w:vMerge/>
            <w:tcBorders>
              <w:left w:val="single" w:sz="4" w:space="0" w:color="auto"/>
            </w:tcBorders>
          </w:tcPr>
          <w:p w14:paraId="2E6FE9CC" w14:textId="77777777" w:rsidR="00944103" w:rsidRPr="009077F5" w:rsidRDefault="00944103">
            <w:pPr>
              <w:pStyle w:val="KonuBal"/>
              <w:rPr>
                <w:sz w:val="24"/>
                <w:szCs w:val="24"/>
              </w:rPr>
            </w:pPr>
          </w:p>
        </w:tc>
        <w:tc>
          <w:tcPr>
            <w:tcW w:w="2152" w:type="dxa"/>
            <w:vAlign w:val="center"/>
          </w:tcPr>
          <w:p w14:paraId="14F2AC5F" w14:textId="1FBD529A" w:rsidR="00944103" w:rsidRPr="009077F5" w:rsidRDefault="00944103">
            <w:pPr>
              <w:pStyle w:val="KonuBal"/>
              <w:rPr>
                <w:sz w:val="24"/>
                <w:szCs w:val="24"/>
              </w:rPr>
            </w:pPr>
            <w:r w:rsidRPr="009077F5">
              <w:rPr>
                <w:sz w:val="24"/>
                <w:szCs w:val="24"/>
              </w:rPr>
              <w:t>Çözme, mekanik ön ölçeklendirme, tesviye ve kaynak</w:t>
            </w:r>
          </w:p>
        </w:tc>
        <w:tc>
          <w:tcPr>
            <w:tcW w:w="1276" w:type="dxa"/>
            <w:vAlign w:val="center"/>
          </w:tcPr>
          <w:p w14:paraId="3CCB8277" w14:textId="27EC55DA" w:rsidR="00944103" w:rsidRPr="009077F5" w:rsidRDefault="00944103">
            <w:pPr>
              <w:pStyle w:val="KonuBal"/>
              <w:rPr>
                <w:sz w:val="24"/>
                <w:szCs w:val="24"/>
              </w:rPr>
            </w:pPr>
            <w:r w:rsidRPr="009077F5">
              <w:rPr>
                <w:sz w:val="24"/>
                <w:szCs w:val="24"/>
              </w:rPr>
              <w:t>CR</w:t>
            </w:r>
          </w:p>
        </w:tc>
        <w:tc>
          <w:tcPr>
            <w:tcW w:w="1417" w:type="dxa"/>
            <w:vMerge/>
            <w:vAlign w:val="center"/>
          </w:tcPr>
          <w:p w14:paraId="6658F3C8" w14:textId="77777777" w:rsidR="00944103" w:rsidRPr="009077F5" w:rsidRDefault="00944103">
            <w:pPr>
              <w:pStyle w:val="KonuBal"/>
              <w:rPr>
                <w:sz w:val="24"/>
                <w:szCs w:val="24"/>
              </w:rPr>
            </w:pPr>
          </w:p>
        </w:tc>
        <w:tc>
          <w:tcPr>
            <w:tcW w:w="1843" w:type="dxa"/>
            <w:vAlign w:val="center"/>
          </w:tcPr>
          <w:p w14:paraId="7D8D36B7" w14:textId="5972DE34" w:rsidR="00944103" w:rsidRPr="009077F5" w:rsidRDefault="00944103">
            <w:pPr>
              <w:pStyle w:val="KonuBal"/>
              <w:rPr>
                <w:sz w:val="24"/>
                <w:szCs w:val="24"/>
              </w:rPr>
            </w:pPr>
            <w:r w:rsidRPr="009077F5">
              <w:rPr>
                <w:sz w:val="24"/>
                <w:szCs w:val="24"/>
              </w:rPr>
              <w:t>Yılda bir defa (</w:t>
            </w:r>
            <w:r w:rsidRPr="009077F5">
              <w:rPr>
                <w:sz w:val="24"/>
                <w:szCs w:val="24"/>
                <w:vertAlign w:val="superscript"/>
              </w:rPr>
              <w:t>7</w:t>
            </w:r>
            <w:r w:rsidRPr="009077F5">
              <w:rPr>
                <w:sz w:val="24"/>
                <w:szCs w:val="24"/>
              </w:rPr>
              <w:t>)</w:t>
            </w:r>
          </w:p>
        </w:tc>
        <w:tc>
          <w:tcPr>
            <w:tcW w:w="992" w:type="dxa"/>
            <w:vAlign w:val="center"/>
          </w:tcPr>
          <w:p w14:paraId="2D78FC5F" w14:textId="762B45D7" w:rsidR="00944103" w:rsidRPr="009077F5" w:rsidRDefault="00944103">
            <w:pPr>
              <w:pStyle w:val="KonuBal"/>
              <w:rPr>
                <w:sz w:val="24"/>
                <w:szCs w:val="24"/>
              </w:rPr>
            </w:pPr>
            <w:r w:rsidRPr="009077F5">
              <w:rPr>
                <w:sz w:val="24"/>
                <w:szCs w:val="24"/>
              </w:rPr>
              <w:t>MET 46</w:t>
            </w:r>
          </w:p>
        </w:tc>
      </w:tr>
      <w:tr w:rsidR="00944103" w:rsidRPr="004B0D48" w14:paraId="22C82FF1" w14:textId="77777777" w:rsidTr="000F45CE">
        <w:tc>
          <w:tcPr>
            <w:tcW w:w="785" w:type="dxa"/>
            <w:vMerge/>
            <w:tcBorders>
              <w:right w:val="single" w:sz="4" w:space="0" w:color="auto"/>
            </w:tcBorders>
          </w:tcPr>
          <w:p w14:paraId="61658D93" w14:textId="77777777" w:rsidR="00944103" w:rsidRPr="009077F5" w:rsidRDefault="00944103">
            <w:pPr>
              <w:pStyle w:val="KonuBal"/>
              <w:rPr>
                <w:sz w:val="24"/>
                <w:szCs w:val="24"/>
              </w:rPr>
            </w:pPr>
          </w:p>
        </w:tc>
        <w:tc>
          <w:tcPr>
            <w:tcW w:w="491" w:type="dxa"/>
            <w:vMerge w:val="restart"/>
            <w:tcBorders>
              <w:left w:val="single" w:sz="4" w:space="0" w:color="auto"/>
            </w:tcBorders>
          </w:tcPr>
          <w:p w14:paraId="0FF520EA" w14:textId="4A68C067" w:rsidR="00944103" w:rsidRPr="009077F5" w:rsidRDefault="00944103">
            <w:pPr>
              <w:pStyle w:val="KonuBal"/>
              <w:rPr>
                <w:sz w:val="24"/>
                <w:szCs w:val="24"/>
              </w:rPr>
            </w:pPr>
            <w:r w:rsidRPr="009077F5">
              <w:rPr>
                <w:sz w:val="24"/>
                <w:szCs w:val="24"/>
              </w:rPr>
              <w:t>Pb</w:t>
            </w:r>
          </w:p>
        </w:tc>
        <w:tc>
          <w:tcPr>
            <w:tcW w:w="2152" w:type="dxa"/>
            <w:vAlign w:val="center"/>
          </w:tcPr>
          <w:p w14:paraId="49FC62AF" w14:textId="6D98EBBF" w:rsidR="00944103" w:rsidRPr="009077F5" w:rsidRDefault="00944103">
            <w:pPr>
              <w:pStyle w:val="KonuBal"/>
              <w:rPr>
                <w:sz w:val="24"/>
                <w:szCs w:val="24"/>
              </w:rPr>
            </w:pPr>
            <w:r w:rsidRPr="009077F5">
              <w:rPr>
                <w:sz w:val="24"/>
                <w:szCs w:val="24"/>
              </w:rPr>
              <w:t>Mekanik işleme (</w:t>
            </w:r>
            <w:r w:rsidR="000631C2" w:rsidRPr="009077F5">
              <w:rPr>
                <w:sz w:val="24"/>
                <w:szCs w:val="24"/>
              </w:rPr>
              <w:t>kesme</w:t>
            </w:r>
            <w:r w:rsidRPr="009077F5">
              <w:rPr>
                <w:sz w:val="24"/>
                <w:szCs w:val="24"/>
              </w:rPr>
              <w:t xml:space="preserve">, kireç çözme, taşlama, kaba işleme, haddeleme, finisaj, tesviye dahil), yüzey temizleme (manuel yüzey temizleme hariç) ve </w:t>
            </w:r>
            <w:r w:rsidRPr="009077F5">
              <w:rPr>
                <w:sz w:val="24"/>
                <w:szCs w:val="24"/>
              </w:rPr>
              <w:lastRenderedPageBreak/>
              <w:t>kaynak yapma.</w:t>
            </w:r>
          </w:p>
        </w:tc>
        <w:tc>
          <w:tcPr>
            <w:tcW w:w="1276" w:type="dxa"/>
            <w:vAlign w:val="center"/>
          </w:tcPr>
          <w:p w14:paraId="7262BDD2" w14:textId="209B16C0" w:rsidR="00944103" w:rsidRPr="009077F5" w:rsidRDefault="00944103">
            <w:pPr>
              <w:pStyle w:val="KonuBal"/>
              <w:rPr>
                <w:sz w:val="24"/>
                <w:szCs w:val="24"/>
              </w:rPr>
            </w:pPr>
            <w:r w:rsidRPr="009077F5">
              <w:rPr>
                <w:sz w:val="24"/>
                <w:szCs w:val="24"/>
              </w:rPr>
              <w:lastRenderedPageBreak/>
              <w:t>HR</w:t>
            </w:r>
          </w:p>
        </w:tc>
        <w:tc>
          <w:tcPr>
            <w:tcW w:w="1417" w:type="dxa"/>
            <w:vMerge/>
            <w:vAlign w:val="center"/>
          </w:tcPr>
          <w:p w14:paraId="511910DB" w14:textId="77777777" w:rsidR="00944103" w:rsidRPr="009077F5" w:rsidRDefault="00944103">
            <w:pPr>
              <w:pStyle w:val="KonuBal"/>
              <w:rPr>
                <w:sz w:val="24"/>
                <w:szCs w:val="24"/>
              </w:rPr>
            </w:pPr>
          </w:p>
        </w:tc>
        <w:tc>
          <w:tcPr>
            <w:tcW w:w="1843" w:type="dxa"/>
            <w:vAlign w:val="center"/>
          </w:tcPr>
          <w:p w14:paraId="49A88D3B" w14:textId="6D0CD354" w:rsidR="00944103" w:rsidRPr="009077F5" w:rsidRDefault="00944103">
            <w:pPr>
              <w:pStyle w:val="KonuBal"/>
              <w:rPr>
                <w:sz w:val="24"/>
                <w:szCs w:val="24"/>
              </w:rPr>
            </w:pPr>
            <w:r w:rsidRPr="009077F5">
              <w:rPr>
                <w:sz w:val="24"/>
                <w:szCs w:val="24"/>
              </w:rPr>
              <w:t>Yılda bir defa (</w:t>
            </w:r>
            <w:r w:rsidRPr="009077F5">
              <w:rPr>
                <w:sz w:val="24"/>
                <w:szCs w:val="24"/>
                <w:vertAlign w:val="superscript"/>
              </w:rPr>
              <w:t>7</w:t>
            </w:r>
            <w:r w:rsidRPr="009077F5">
              <w:rPr>
                <w:sz w:val="24"/>
                <w:szCs w:val="24"/>
              </w:rPr>
              <w:t>)</w:t>
            </w:r>
          </w:p>
        </w:tc>
        <w:tc>
          <w:tcPr>
            <w:tcW w:w="992" w:type="dxa"/>
            <w:vAlign w:val="center"/>
          </w:tcPr>
          <w:p w14:paraId="623EEAF2" w14:textId="797FDB48" w:rsidR="00944103" w:rsidRPr="009077F5" w:rsidRDefault="00944103">
            <w:pPr>
              <w:pStyle w:val="KonuBal"/>
              <w:rPr>
                <w:sz w:val="24"/>
                <w:szCs w:val="24"/>
              </w:rPr>
            </w:pPr>
            <w:r w:rsidRPr="009077F5">
              <w:rPr>
                <w:sz w:val="24"/>
                <w:szCs w:val="24"/>
              </w:rPr>
              <w:t>MET 42</w:t>
            </w:r>
          </w:p>
        </w:tc>
      </w:tr>
      <w:tr w:rsidR="00944103" w:rsidRPr="004B0D48" w14:paraId="515FA092" w14:textId="77777777" w:rsidTr="000F45CE">
        <w:tc>
          <w:tcPr>
            <w:tcW w:w="785" w:type="dxa"/>
            <w:vMerge/>
            <w:tcBorders>
              <w:right w:val="single" w:sz="4" w:space="0" w:color="auto"/>
            </w:tcBorders>
          </w:tcPr>
          <w:p w14:paraId="6892BC0A" w14:textId="77777777" w:rsidR="00944103" w:rsidRPr="009077F5" w:rsidRDefault="00944103">
            <w:pPr>
              <w:pStyle w:val="KonuBal"/>
              <w:rPr>
                <w:sz w:val="24"/>
                <w:szCs w:val="24"/>
              </w:rPr>
            </w:pPr>
          </w:p>
        </w:tc>
        <w:tc>
          <w:tcPr>
            <w:tcW w:w="491" w:type="dxa"/>
            <w:vMerge/>
            <w:tcBorders>
              <w:left w:val="single" w:sz="4" w:space="0" w:color="auto"/>
            </w:tcBorders>
          </w:tcPr>
          <w:p w14:paraId="6044B4C1" w14:textId="77777777" w:rsidR="00944103" w:rsidRPr="009077F5" w:rsidRDefault="00944103">
            <w:pPr>
              <w:pStyle w:val="KonuBal"/>
              <w:rPr>
                <w:sz w:val="24"/>
                <w:szCs w:val="24"/>
              </w:rPr>
            </w:pPr>
          </w:p>
        </w:tc>
        <w:tc>
          <w:tcPr>
            <w:tcW w:w="2152" w:type="dxa"/>
            <w:vAlign w:val="center"/>
          </w:tcPr>
          <w:p w14:paraId="46D74A3F" w14:textId="564472F2" w:rsidR="00944103" w:rsidRPr="009077F5" w:rsidRDefault="00944103">
            <w:pPr>
              <w:pStyle w:val="KonuBal"/>
              <w:rPr>
                <w:sz w:val="24"/>
                <w:szCs w:val="24"/>
              </w:rPr>
            </w:pPr>
            <w:r w:rsidRPr="009077F5">
              <w:rPr>
                <w:sz w:val="24"/>
                <w:szCs w:val="24"/>
              </w:rPr>
              <w:t>Çözme, mekanik ön ölçeklendirme, tesviye ve kaynak</w:t>
            </w:r>
          </w:p>
        </w:tc>
        <w:tc>
          <w:tcPr>
            <w:tcW w:w="1276" w:type="dxa"/>
            <w:vAlign w:val="center"/>
          </w:tcPr>
          <w:p w14:paraId="4C482F93" w14:textId="1B8C8261" w:rsidR="00944103" w:rsidRPr="009077F5" w:rsidRDefault="00944103">
            <w:pPr>
              <w:pStyle w:val="KonuBal"/>
              <w:rPr>
                <w:sz w:val="24"/>
                <w:szCs w:val="24"/>
              </w:rPr>
            </w:pPr>
            <w:r w:rsidRPr="009077F5">
              <w:rPr>
                <w:sz w:val="24"/>
                <w:szCs w:val="24"/>
              </w:rPr>
              <w:t>CR</w:t>
            </w:r>
          </w:p>
        </w:tc>
        <w:tc>
          <w:tcPr>
            <w:tcW w:w="1417" w:type="dxa"/>
            <w:vMerge/>
            <w:vAlign w:val="center"/>
          </w:tcPr>
          <w:p w14:paraId="0855E855" w14:textId="77777777" w:rsidR="00944103" w:rsidRPr="009077F5" w:rsidRDefault="00944103">
            <w:pPr>
              <w:pStyle w:val="KonuBal"/>
              <w:rPr>
                <w:sz w:val="24"/>
                <w:szCs w:val="24"/>
              </w:rPr>
            </w:pPr>
          </w:p>
        </w:tc>
        <w:tc>
          <w:tcPr>
            <w:tcW w:w="1843" w:type="dxa"/>
            <w:vAlign w:val="center"/>
          </w:tcPr>
          <w:p w14:paraId="62BEB4C2" w14:textId="5ABCB697" w:rsidR="00944103" w:rsidRPr="009077F5" w:rsidRDefault="00944103">
            <w:pPr>
              <w:pStyle w:val="KonuBal"/>
              <w:rPr>
                <w:sz w:val="24"/>
                <w:szCs w:val="24"/>
              </w:rPr>
            </w:pPr>
            <w:r w:rsidRPr="009077F5">
              <w:rPr>
                <w:sz w:val="24"/>
                <w:szCs w:val="24"/>
              </w:rPr>
              <w:t>Yılda bir defa (</w:t>
            </w:r>
            <w:r w:rsidRPr="009077F5">
              <w:rPr>
                <w:sz w:val="24"/>
                <w:szCs w:val="24"/>
                <w:vertAlign w:val="superscript"/>
              </w:rPr>
              <w:t>7</w:t>
            </w:r>
            <w:r w:rsidRPr="009077F5">
              <w:rPr>
                <w:sz w:val="24"/>
                <w:szCs w:val="24"/>
              </w:rPr>
              <w:t>)</w:t>
            </w:r>
          </w:p>
        </w:tc>
        <w:tc>
          <w:tcPr>
            <w:tcW w:w="992" w:type="dxa"/>
            <w:vAlign w:val="center"/>
          </w:tcPr>
          <w:p w14:paraId="492952F0" w14:textId="1C7EB205" w:rsidR="00944103" w:rsidRPr="009077F5" w:rsidRDefault="00944103">
            <w:pPr>
              <w:pStyle w:val="KonuBal"/>
              <w:rPr>
                <w:sz w:val="24"/>
                <w:szCs w:val="24"/>
              </w:rPr>
            </w:pPr>
            <w:r w:rsidRPr="009077F5">
              <w:rPr>
                <w:sz w:val="24"/>
                <w:szCs w:val="24"/>
              </w:rPr>
              <w:t>MET 46</w:t>
            </w:r>
          </w:p>
        </w:tc>
      </w:tr>
      <w:tr w:rsidR="00944103" w:rsidRPr="004B0D48" w14:paraId="7EAEFF74" w14:textId="77777777" w:rsidTr="000F45CE">
        <w:tc>
          <w:tcPr>
            <w:tcW w:w="785" w:type="dxa"/>
            <w:vMerge/>
            <w:tcBorders>
              <w:right w:val="single" w:sz="4" w:space="0" w:color="auto"/>
            </w:tcBorders>
          </w:tcPr>
          <w:p w14:paraId="7913FB41" w14:textId="77777777" w:rsidR="00944103" w:rsidRPr="009077F5" w:rsidRDefault="00944103">
            <w:pPr>
              <w:pStyle w:val="KonuBal"/>
              <w:rPr>
                <w:sz w:val="24"/>
                <w:szCs w:val="24"/>
              </w:rPr>
            </w:pPr>
          </w:p>
        </w:tc>
        <w:tc>
          <w:tcPr>
            <w:tcW w:w="491" w:type="dxa"/>
            <w:vMerge/>
            <w:tcBorders>
              <w:left w:val="single" w:sz="4" w:space="0" w:color="auto"/>
            </w:tcBorders>
          </w:tcPr>
          <w:p w14:paraId="0E9ADA63" w14:textId="77777777" w:rsidR="00944103" w:rsidRPr="009077F5" w:rsidRDefault="00944103">
            <w:pPr>
              <w:pStyle w:val="KonuBal"/>
              <w:rPr>
                <w:sz w:val="24"/>
                <w:szCs w:val="24"/>
              </w:rPr>
            </w:pPr>
          </w:p>
        </w:tc>
        <w:tc>
          <w:tcPr>
            <w:tcW w:w="2152" w:type="dxa"/>
            <w:vAlign w:val="center"/>
          </w:tcPr>
          <w:p w14:paraId="65B8BF7C" w14:textId="74C5C73B" w:rsidR="00944103" w:rsidRPr="009077F5" w:rsidRDefault="00944103">
            <w:pPr>
              <w:pStyle w:val="KonuBal"/>
              <w:rPr>
                <w:sz w:val="24"/>
                <w:szCs w:val="24"/>
              </w:rPr>
            </w:pPr>
            <w:r w:rsidRPr="009077F5">
              <w:rPr>
                <w:sz w:val="24"/>
                <w:szCs w:val="24"/>
              </w:rPr>
              <w:t>Kurşun banyosu</w:t>
            </w:r>
          </w:p>
        </w:tc>
        <w:tc>
          <w:tcPr>
            <w:tcW w:w="1276" w:type="dxa"/>
            <w:vAlign w:val="center"/>
          </w:tcPr>
          <w:p w14:paraId="7B96E8BC" w14:textId="5C01BB3C" w:rsidR="00944103" w:rsidRPr="009077F5" w:rsidRDefault="00944103">
            <w:pPr>
              <w:pStyle w:val="KonuBal"/>
              <w:rPr>
                <w:sz w:val="24"/>
                <w:szCs w:val="24"/>
              </w:rPr>
            </w:pPr>
            <w:r w:rsidRPr="009077F5">
              <w:rPr>
                <w:sz w:val="24"/>
                <w:szCs w:val="24"/>
              </w:rPr>
              <w:t>WD</w:t>
            </w:r>
          </w:p>
        </w:tc>
        <w:tc>
          <w:tcPr>
            <w:tcW w:w="1417" w:type="dxa"/>
            <w:vMerge/>
            <w:vAlign w:val="center"/>
          </w:tcPr>
          <w:p w14:paraId="676B7BB1" w14:textId="77777777" w:rsidR="00944103" w:rsidRPr="009077F5" w:rsidRDefault="00944103">
            <w:pPr>
              <w:pStyle w:val="KonuBal"/>
              <w:rPr>
                <w:sz w:val="24"/>
                <w:szCs w:val="24"/>
              </w:rPr>
            </w:pPr>
          </w:p>
        </w:tc>
        <w:tc>
          <w:tcPr>
            <w:tcW w:w="1843" w:type="dxa"/>
            <w:vAlign w:val="center"/>
          </w:tcPr>
          <w:p w14:paraId="217517D5" w14:textId="7D753B93" w:rsidR="00944103" w:rsidRPr="009077F5" w:rsidRDefault="00944103">
            <w:pPr>
              <w:pStyle w:val="KonuBal"/>
              <w:rPr>
                <w:sz w:val="24"/>
                <w:szCs w:val="24"/>
              </w:rPr>
            </w:pPr>
            <w:r w:rsidRPr="009077F5">
              <w:rPr>
                <w:sz w:val="24"/>
                <w:szCs w:val="24"/>
              </w:rPr>
              <w:t>Yılda bir defa</w:t>
            </w:r>
          </w:p>
        </w:tc>
        <w:tc>
          <w:tcPr>
            <w:tcW w:w="992" w:type="dxa"/>
            <w:vAlign w:val="center"/>
          </w:tcPr>
          <w:p w14:paraId="24201AC0" w14:textId="42C033BE" w:rsidR="00944103" w:rsidRPr="009077F5" w:rsidRDefault="00944103">
            <w:pPr>
              <w:pStyle w:val="KonuBal"/>
              <w:rPr>
                <w:sz w:val="24"/>
                <w:szCs w:val="24"/>
              </w:rPr>
            </w:pPr>
            <w:r w:rsidRPr="009077F5">
              <w:rPr>
                <w:sz w:val="24"/>
                <w:szCs w:val="24"/>
              </w:rPr>
              <w:t>MET 51</w:t>
            </w:r>
          </w:p>
        </w:tc>
      </w:tr>
      <w:tr w:rsidR="00944103" w:rsidRPr="004B0D48" w14:paraId="4272D706" w14:textId="77777777" w:rsidTr="000F45CE">
        <w:tc>
          <w:tcPr>
            <w:tcW w:w="785" w:type="dxa"/>
            <w:vMerge/>
            <w:tcBorders>
              <w:right w:val="single" w:sz="4" w:space="0" w:color="auto"/>
            </w:tcBorders>
          </w:tcPr>
          <w:p w14:paraId="50F1EC06" w14:textId="77777777" w:rsidR="00944103" w:rsidRPr="009077F5" w:rsidRDefault="00944103">
            <w:pPr>
              <w:pStyle w:val="KonuBal"/>
              <w:rPr>
                <w:sz w:val="24"/>
                <w:szCs w:val="24"/>
              </w:rPr>
            </w:pPr>
          </w:p>
        </w:tc>
        <w:tc>
          <w:tcPr>
            <w:tcW w:w="491" w:type="dxa"/>
            <w:tcBorders>
              <w:left w:val="single" w:sz="4" w:space="0" w:color="auto"/>
            </w:tcBorders>
          </w:tcPr>
          <w:p w14:paraId="6BF88CA7" w14:textId="607222FF" w:rsidR="00944103" w:rsidRPr="009077F5" w:rsidRDefault="00944103">
            <w:pPr>
              <w:pStyle w:val="KonuBal"/>
              <w:rPr>
                <w:sz w:val="24"/>
                <w:szCs w:val="24"/>
              </w:rPr>
            </w:pPr>
            <w:r w:rsidRPr="009077F5">
              <w:rPr>
                <w:sz w:val="24"/>
                <w:szCs w:val="24"/>
              </w:rPr>
              <w:t>Zn</w:t>
            </w:r>
          </w:p>
        </w:tc>
        <w:tc>
          <w:tcPr>
            <w:tcW w:w="2152" w:type="dxa"/>
            <w:vAlign w:val="center"/>
          </w:tcPr>
          <w:p w14:paraId="3938C0C7" w14:textId="6FA52F3E" w:rsidR="00944103" w:rsidRPr="009077F5" w:rsidRDefault="00944103">
            <w:pPr>
              <w:pStyle w:val="KonuBal"/>
              <w:rPr>
                <w:sz w:val="24"/>
                <w:szCs w:val="24"/>
              </w:rPr>
            </w:pPr>
            <w:r w:rsidRPr="009077F5">
              <w:rPr>
                <w:sz w:val="24"/>
                <w:szCs w:val="24"/>
              </w:rPr>
              <w:t>Flakslama sonrası sıcak daldırma</w:t>
            </w:r>
          </w:p>
        </w:tc>
        <w:tc>
          <w:tcPr>
            <w:tcW w:w="1276" w:type="dxa"/>
            <w:vAlign w:val="center"/>
          </w:tcPr>
          <w:p w14:paraId="51487187" w14:textId="2DF12483" w:rsidR="00944103" w:rsidRPr="009077F5" w:rsidRDefault="00944103">
            <w:pPr>
              <w:pStyle w:val="KonuBal"/>
              <w:rPr>
                <w:sz w:val="24"/>
                <w:szCs w:val="24"/>
              </w:rPr>
            </w:pPr>
            <w:r w:rsidRPr="009077F5">
              <w:rPr>
                <w:sz w:val="24"/>
                <w:szCs w:val="24"/>
              </w:rPr>
              <w:t>HDC, BG</w:t>
            </w:r>
          </w:p>
        </w:tc>
        <w:tc>
          <w:tcPr>
            <w:tcW w:w="1417" w:type="dxa"/>
            <w:vMerge/>
            <w:vAlign w:val="center"/>
          </w:tcPr>
          <w:p w14:paraId="63381CB6" w14:textId="77777777" w:rsidR="00944103" w:rsidRPr="009077F5" w:rsidRDefault="00944103">
            <w:pPr>
              <w:pStyle w:val="KonuBal"/>
              <w:rPr>
                <w:sz w:val="24"/>
                <w:szCs w:val="24"/>
              </w:rPr>
            </w:pPr>
          </w:p>
        </w:tc>
        <w:tc>
          <w:tcPr>
            <w:tcW w:w="1843" w:type="dxa"/>
            <w:vAlign w:val="center"/>
          </w:tcPr>
          <w:p w14:paraId="7AB255B2" w14:textId="433CEBDE" w:rsidR="00944103" w:rsidRPr="009077F5" w:rsidRDefault="00944103">
            <w:pPr>
              <w:pStyle w:val="KonuBal"/>
              <w:rPr>
                <w:sz w:val="24"/>
                <w:szCs w:val="24"/>
              </w:rPr>
            </w:pPr>
            <w:r w:rsidRPr="009077F5">
              <w:rPr>
                <w:sz w:val="24"/>
                <w:szCs w:val="24"/>
              </w:rPr>
              <w:t>Yılda bir defa (</w:t>
            </w:r>
            <w:r w:rsidRPr="009077F5">
              <w:rPr>
                <w:sz w:val="24"/>
                <w:szCs w:val="24"/>
                <w:vertAlign w:val="superscript"/>
              </w:rPr>
              <w:t>5</w:t>
            </w:r>
            <w:r w:rsidRPr="009077F5">
              <w:rPr>
                <w:sz w:val="24"/>
                <w:szCs w:val="24"/>
              </w:rPr>
              <w:t>)</w:t>
            </w:r>
          </w:p>
        </w:tc>
        <w:tc>
          <w:tcPr>
            <w:tcW w:w="992" w:type="dxa"/>
            <w:vAlign w:val="center"/>
          </w:tcPr>
          <w:p w14:paraId="268E76DE" w14:textId="45B2BD54" w:rsidR="00944103" w:rsidRPr="009077F5" w:rsidRDefault="00944103">
            <w:pPr>
              <w:pStyle w:val="KonuBal"/>
              <w:rPr>
                <w:sz w:val="24"/>
                <w:szCs w:val="24"/>
              </w:rPr>
            </w:pPr>
            <w:r w:rsidRPr="009077F5">
              <w:rPr>
                <w:sz w:val="24"/>
                <w:szCs w:val="24"/>
              </w:rPr>
              <w:t>MET 26</w:t>
            </w:r>
          </w:p>
        </w:tc>
      </w:tr>
      <w:tr w:rsidR="00944103" w:rsidRPr="004B0D48" w14:paraId="1AE202DF" w14:textId="77777777" w:rsidTr="000F45CE">
        <w:tc>
          <w:tcPr>
            <w:tcW w:w="1276" w:type="dxa"/>
            <w:gridSpan w:val="2"/>
          </w:tcPr>
          <w:p w14:paraId="3A6F1620" w14:textId="2D5D776A" w:rsidR="00944103" w:rsidRPr="009077F5" w:rsidRDefault="00944103" w:rsidP="004B0D48">
            <w:pPr>
              <w:pStyle w:val="KonuBal"/>
              <w:rPr>
                <w:sz w:val="24"/>
                <w:szCs w:val="24"/>
              </w:rPr>
            </w:pPr>
            <w:r w:rsidRPr="009077F5">
              <w:rPr>
                <w:sz w:val="24"/>
                <w:szCs w:val="24"/>
              </w:rPr>
              <w:t>NH</w:t>
            </w:r>
            <w:r w:rsidRPr="009077F5">
              <w:rPr>
                <w:sz w:val="24"/>
                <w:szCs w:val="24"/>
                <w:vertAlign w:val="subscript"/>
              </w:rPr>
              <w:t>3</w:t>
            </w:r>
          </w:p>
        </w:tc>
        <w:tc>
          <w:tcPr>
            <w:tcW w:w="2152" w:type="dxa"/>
            <w:vAlign w:val="center"/>
          </w:tcPr>
          <w:p w14:paraId="52B09A19" w14:textId="6789B816" w:rsidR="00944103" w:rsidRPr="009077F5" w:rsidRDefault="00944103" w:rsidP="004B0D48">
            <w:pPr>
              <w:pStyle w:val="KonuBal"/>
              <w:rPr>
                <w:sz w:val="24"/>
                <w:szCs w:val="24"/>
              </w:rPr>
            </w:pPr>
            <w:r w:rsidRPr="009077F5">
              <w:rPr>
                <w:sz w:val="24"/>
                <w:szCs w:val="24"/>
              </w:rPr>
              <w:t>SNCR ve/veya SCR kullanıldığında</w:t>
            </w:r>
          </w:p>
        </w:tc>
        <w:tc>
          <w:tcPr>
            <w:tcW w:w="1276" w:type="dxa"/>
            <w:vAlign w:val="center"/>
          </w:tcPr>
          <w:p w14:paraId="5C148E11" w14:textId="4BA8A3CB" w:rsidR="00944103" w:rsidRPr="009077F5" w:rsidRDefault="00944103" w:rsidP="004B0D48">
            <w:pPr>
              <w:pStyle w:val="KonuBal"/>
              <w:rPr>
                <w:sz w:val="24"/>
                <w:szCs w:val="24"/>
              </w:rPr>
            </w:pPr>
            <w:r w:rsidRPr="009077F5">
              <w:rPr>
                <w:sz w:val="24"/>
                <w:szCs w:val="24"/>
              </w:rPr>
              <w:t>HR, CR, WD, HDC</w:t>
            </w:r>
          </w:p>
        </w:tc>
        <w:tc>
          <w:tcPr>
            <w:tcW w:w="1417" w:type="dxa"/>
            <w:vAlign w:val="center"/>
          </w:tcPr>
          <w:p w14:paraId="1B9B0BFA" w14:textId="31649BCD" w:rsidR="00944103" w:rsidRPr="009077F5" w:rsidRDefault="00C33CBE" w:rsidP="004B0D48">
            <w:pPr>
              <w:pStyle w:val="KonuBal"/>
              <w:rPr>
                <w:sz w:val="24"/>
                <w:szCs w:val="24"/>
              </w:rPr>
            </w:pPr>
            <w:r w:rsidRPr="009077F5">
              <w:rPr>
                <w:sz w:val="24"/>
                <w:szCs w:val="24"/>
              </w:rPr>
              <w:t xml:space="preserve">TS </w:t>
            </w:r>
            <w:r w:rsidR="00944103" w:rsidRPr="009077F5">
              <w:rPr>
                <w:sz w:val="24"/>
                <w:szCs w:val="24"/>
              </w:rPr>
              <w:t>EN ISO 21877 (</w:t>
            </w:r>
            <w:r w:rsidR="00944103" w:rsidRPr="009077F5">
              <w:rPr>
                <w:sz w:val="24"/>
                <w:szCs w:val="24"/>
                <w:vertAlign w:val="superscript"/>
              </w:rPr>
              <w:t>3</w:t>
            </w:r>
            <w:r w:rsidR="00944103" w:rsidRPr="009077F5">
              <w:rPr>
                <w:sz w:val="24"/>
                <w:szCs w:val="24"/>
              </w:rPr>
              <w:t>)</w:t>
            </w:r>
          </w:p>
        </w:tc>
        <w:tc>
          <w:tcPr>
            <w:tcW w:w="1843" w:type="dxa"/>
            <w:vAlign w:val="center"/>
          </w:tcPr>
          <w:p w14:paraId="26273B95" w14:textId="5F3A2414" w:rsidR="00944103" w:rsidRPr="009077F5" w:rsidRDefault="00944103" w:rsidP="00E73DA3">
            <w:pPr>
              <w:pStyle w:val="KonuBal"/>
              <w:rPr>
                <w:sz w:val="24"/>
                <w:szCs w:val="24"/>
              </w:rPr>
            </w:pPr>
            <w:r w:rsidRPr="009077F5">
              <w:rPr>
                <w:sz w:val="24"/>
                <w:szCs w:val="24"/>
              </w:rPr>
              <w:t>Yılda bir defa</w:t>
            </w:r>
          </w:p>
        </w:tc>
        <w:tc>
          <w:tcPr>
            <w:tcW w:w="992" w:type="dxa"/>
            <w:vAlign w:val="center"/>
          </w:tcPr>
          <w:p w14:paraId="1FA7AB29" w14:textId="77777777" w:rsidR="00944103" w:rsidRPr="009077F5" w:rsidRDefault="00944103" w:rsidP="00BF4451">
            <w:pPr>
              <w:pStyle w:val="KonuBal"/>
              <w:rPr>
                <w:sz w:val="24"/>
                <w:szCs w:val="24"/>
              </w:rPr>
            </w:pPr>
            <w:r w:rsidRPr="009077F5">
              <w:rPr>
                <w:sz w:val="24"/>
                <w:szCs w:val="24"/>
              </w:rPr>
              <w:t>MET 22</w:t>
            </w:r>
          </w:p>
          <w:p w14:paraId="099D8A67" w14:textId="77777777" w:rsidR="00944103" w:rsidRPr="009077F5" w:rsidRDefault="00944103" w:rsidP="00A202FD">
            <w:pPr>
              <w:jc w:val="both"/>
              <w:rPr>
                <w:rFonts w:eastAsia="Calibri"/>
                <w:lang w:val="en-US" w:eastAsia="en-US"/>
              </w:rPr>
            </w:pPr>
            <w:r w:rsidRPr="009077F5">
              <w:rPr>
                <w:rFonts w:eastAsia="Calibri"/>
                <w:lang w:val="en-US" w:eastAsia="en-US"/>
              </w:rPr>
              <w:t>MET 25</w:t>
            </w:r>
          </w:p>
          <w:p w14:paraId="4A257ABA" w14:textId="283C19BE" w:rsidR="00944103" w:rsidRPr="009077F5" w:rsidRDefault="00944103" w:rsidP="00A202FD">
            <w:pPr>
              <w:jc w:val="both"/>
              <w:rPr>
                <w:rFonts w:eastAsia="Calibri"/>
                <w:lang w:val="en-US" w:eastAsia="en-US"/>
              </w:rPr>
            </w:pPr>
            <w:r w:rsidRPr="009077F5">
              <w:rPr>
                <w:rFonts w:eastAsia="Calibri"/>
                <w:lang w:val="en-US" w:eastAsia="en-US"/>
              </w:rPr>
              <w:t>MET 29</w:t>
            </w:r>
          </w:p>
        </w:tc>
      </w:tr>
      <w:tr w:rsidR="00C34087" w:rsidRPr="004B0D48" w14:paraId="2BB4D080" w14:textId="77777777" w:rsidTr="000F45CE">
        <w:tc>
          <w:tcPr>
            <w:tcW w:w="1276" w:type="dxa"/>
            <w:gridSpan w:val="2"/>
            <w:vMerge w:val="restart"/>
          </w:tcPr>
          <w:p w14:paraId="272FAA80" w14:textId="609AAB2A" w:rsidR="00C34087" w:rsidRPr="009077F5" w:rsidRDefault="00C34087" w:rsidP="004B0D48">
            <w:pPr>
              <w:pStyle w:val="KonuBal"/>
              <w:rPr>
                <w:sz w:val="24"/>
                <w:szCs w:val="24"/>
              </w:rPr>
            </w:pPr>
            <w:r w:rsidRPr="009077F5">
              <w:rPr>
                <w:sz w:val="24"/>
                <w:szCs w:val="24"/>
              </w:rPr>
              <w:t>NO</w:t>
            </w:r>
            <w:r w:rsidRPr="009077F5">
              <w:rPr>
                <w:sz w:val="24"/>
                <w:szCs w:val="24"/>
                <w:vertAlign w:val="subscript"/>
              </w:rPr>
              <w:t>x</w:t>
            </w:r>
          </w:p>
        </w:tc>
        <w:tc>
          <w:tcPr>
            <w:tcW w:w="2152" w:type="dxa"/>
            <w:vAlign w:val="center"/>
          </w:tcPr>
          <w:p w14:paraId="6AACB176" w14:textId="6F783798" w:rsidR="00C34087" w:rsidRPr="009077F5" w:rsidRDefault="00C34087" w:rsidP="004B0D48">
            <w:pPr>
              <w:pStyle w:val="KonuBal"/>
              <w:rPr>
                <w:sz w:val="24"/>
                <w:szCs w:val="24"/>
              </w:rPr>
            </w:pPr>
            <w:r w:rsidRPr="009077F5">
              <w:rPr>
                <w:sz w:val="24"/>
                <w:szCs w:val="24"/>
              </w:rPr>
              <w:t>Hammadde ısıtması (</w:t>
            </w:r>
            <w:r w:rsidRPr="009077F5">
              <w:rPr>
                <w:sz w:val="24"/>
                <w:szCs w:val="24"/>
                <w:vertAlign w:val="superscript"/>
              </w:rPr>
              <w:t>2</w:t>
            </w:r>
            <w:r w:rsidRPr="009077F5">
              <w:rPr>
                <w:sz w:val="24"/>
                <w:szCs w:val="24"/>
              </w:rPr>
              <w:t>)</w:t>
            </w:r>
          </w:p>
        </w:tc>
        <w:tc>
          <w:tcPr>
            <w:tcW w:w="1276" w:type="dxa"/>
            <w:vAlign w:val="center"/>
          </w:tcPr>
          <w:p w14:paraId="7E20E836" w14:textId="77F3852C" w:rsidR="00C34087" w:rsidRPr="009077F5" w:rsidRDefault="00C34087" w:rsidP="004B0D48">
            <w:pPr>
              <w:pStyle w:val="KonuBal"/>
              <w:rPr>
                <w:sz w:val="24"/>
                <w:szCs w:val="24"/>
              </w:rPr>
            </w:pPr>
            <w:r w:rsidRPr="009077F5">
              <w:rPr>
                <w:sz w:val="24"/>
                <w:szCs w:val="24"/>
              </w:rPr>
              <w:t>HR, CR, WD, HDC</w:t>
            </w:r>
          </w:p>
        </w:tc>
        <w:tc>
          <w:tcPr>
            <w:tcW w:w="1417" w:type="dxa"/>
            <w:vMerge w:val="restart"/>
            <w:vAlign w:val="center"/>
          </w:tcPr>
          <w:p w14:paraId="4F79527B" w14:textId="7B53CE0C" w:rsidR="00C34087" w:rsidRPr="009077F5" w:rsidRDefault="00C33CBE" w:rsidP="004B0D48">
            <w:pPr>
              <w:pStyle w:val="KonuBal"/>
              <w:rPr>
                <w:sz w:val="24"/>
                <w:szCs w:val="24"/>
              </w:rPr>
            </w:pPr>
            <w:r w:rsidRPr="009077F5">
              <w:rPr>
                <w:sz w:val="24"/>
                <w:szCs w:val="24"/>
              </w:rPr>
              <w:t xml:space="preserve">TS </w:t>
            </w:r>
            <w:r w:rsidR="00C34087" w:rsidRPr="009077F5">
              <w:rPr>
                <w:sz w:val="24"/>
                <w:szCs w:val="24"/>
              </w:rPr>
              <w:t>EN 14292 (</w:t>
            </w:r>
            <w:r w:rsidR="00C34087" w:rsidRPr="009077F5">
              <w:rPr>
                <w:sz w:val="24"/>
                <w:szCs w:val="24"/>
                <w:vertAlign w:val="superscript"/>
              </w:rPr>
              <w:t>3</w:t>
            </w:r>
            <w:r w:rsidR="00C34087" w:rsidRPr="009077F5">
              <w:rPr>
                <w:sz w:val="24"/>
                <w:szCs w:val="24"/>
              </w:rPr>
              <w:t>)</w:t>
            </w:r>
          </w:p>
        </w:tc>
        <w:tc>
          <w:tcPr>
            <w:tcW w:w="1843" w:type="dxa"/>
            <w:vAlign w:val="center"/>
          </w:tcPr>
          <w:p w14:paraId="355D681E" w14:textId="338F04E5" w:rsidR="00C34087" w:rsidRPr="009077F5" w:rsidRDefault="00C34087" w:rsidP="00E73DA3">
            <w:pPr>
              <w:pStyle w:val="KonuBal"/>
              <w:rPr>
                <w:sz w:val="24"/>
                <w:szCs w:val="24"/>
              </w:rPr>
            </w:pPr>
            <w:r w:rsidRPr="009077F5">
              <w:rPr>
                <w:sz w:val="24"/>
                <w:szCs w:val="24"/>
              </w:rPr>
              <w:t>NO</w:t>
            </w:r>
            <w:r w:rsidRPr="009077F5">
              <w:rPr>
                <w:sz w:val="24"/>
                <w:szCs w:val="24"/>
                <w:vertAlign w:val="subscript"/>
              </w:rPr>
              <w:t>X</w:t>
            </w:r>
            <w:r w:rsidRPr="009077F5">
              <w:rPr>
                <w:sz w:val="24"/>
                <w:szCs w:val="24"/>
              </w:rPr>
              <w:t xml:space="preserve"> kütle akışları &gt; 15 kg/saat olan tüm bacalar için sürekli</w:t>
            </w:r>
          </w:p>
          <w:p w14:paraId="2BB52E43" w14:textId="77777777" w:rsidR="00C34087" w:rsidRPr="009077F5" w:rsidRDefault="00C34087" w:rsidP="00A202FD">
            <w:pPr>
              <w:jc w:val="both"/>
              <w:rPr>
                <w:rFonts w:eastAsia="Calibri"/>
                <w:lang w:val="en-US" w:eastAsia="en-US"/>
              </w:rPr>
            </w:pPr>
          </w:p>
          <w:p w14:paraId="093B22CC" w14:textId="77777777" w:rsidR="00C34087" w:rsidRPr="009077F5" w:rsidRDefault="00C34087" w:rsidP="00A202FD">
            <w:pPr>
              <w:jc w:val="both"/>
              <w:rPr>
                <w:rFonts w:eastAsia="Calibri"/>
                <w:lang w:val="en-US" w:eastAsia="en-US"/>
              </w:rPr>
            </w:pPr>
            <w:r w:rsidRPr="009077F5">
              <w:rPr>
                <w:rFonts w:eastAsia="Calibri"/>
                <w:lang w:val="en-US" w:eastAsia="en-US"/>
              </w:rPr>
              <w:t>NO</w:t>
            </w:r>
            <w:r w:rsidRPr="009077F5">
              <w:rPr>
                <w:rFonts w:eastAsia="Calibri"/>
                <w:vertAlign w:val="subscript"/>
                <w:lang w:val="en-US" w:eastAsia="en-US"/>
              </w:rPr>
              <w:t>X</w:t>
            </w:r>
            <w:r w:rsidRPr="009077F5">
              <w:rPr>
                <w:rFonts w:eastAsia="Calibri"/>
                <w:lang w:val="en-US" w:eastAsia="en-US"/>
              </w:rPr>
              <w:t xml:space="preserve"> kütle akışları 1 kg/sa ile 15 kg/sa arasında olan tüm bacalar için her 6 ayda bir</w:t>
            </w:r>
          </w:p>
          <w:p w14:paraId="3A0FBAF3" w14:textId="77777777" w:rsidR="00C34087" w:rsidRPr="009077F5" w:rsidRDefault="00C34087" w:rsidP="00A202FD">
            <w:pPr>
              <w:jc w:val="both"/>
              <w:rPr>
                <w:rFonts w:eastAsia="Calibri"/>
                <w:lang w:val="en-US" w:eastAsia="en-US"/>
              </w:rPr>
            </w:pPr>
          </w:p>
          <w:p w14:paraId="7C5E240D" w14:textId="5CD99067" w:rsidR="00C34087" w:rsidRPr="009077F5" w:rsidRDefault="00C34087" w:rsidP="00A202FD">
            <w:pPr>
              <w:jc w:val="both"/>
              <w:rPr>
                <w:rFonts w:eastAsia="Calibri"/>
                <w:lang w:val="en-US" w:eastAsia="en-US"/>
              </w:rPr>
            </w:pPr>
            <w:r w:rsidRPr="009077F5">
              <w:rPr>
                <w:rFonts w:eastAsia="Calibri"/>
                <w:lang w:val="en-US" w:eastAsia="en-US"/>
              </w:rPr>
              <w:t>NO</w:t>
            </w:r>
            <w:r w:rsidRPr="009077F5">
              <w:rPr>
                <w:rFonts w:eastAsia="Calibri"/>
                <w:vertAlign w:val="subscript"/>
                <w:lang w:val="en-US" w:eastAsia="en-US"/>
              </w:rPr>
              <w:t>X</w:t>
            </w:r>
            <w:r w:rsidRPr="009077F5">
              <w:rPr>
                <w:rFonts w:eastAsia="Calibri"/>
                <w:lang w:val="en-US" w:eastAsia="en-US"/>
              </w:rPr>
              <w:t xml:space="preserve"> kütle akışları &lt; 1 kg/saat olan tüm bacalar için yılda bir kez</w:t>
            </w:r>
          </w:p>
        </w:tc>
        <w:tc>
          <w:tcPr>
            <w:tcW w:w="992" w:type="dxa"/>
            <w:vAlign w:val="center"/>
          </w:tcPr>
          <w:p w14:paraId="429A1217" w14:textId="0F6837A0" w:rsidR="00C34087" w:rsidRPr="009077F5" w:rsidRDefault="00C34087" w:rsidP="004B0D48">
            <w:pPr>
              <w:pStyle w:val="KonuBal"/>
              <w:rPr>
                <w:sz w:val="24"/>
                <w:szCs w:val="24"/>
              </w:rPr>
            </w:pPr>
            <w:r w:rsidRPr="009077F5">
              <w:rPr>
                <w:sz w:val="24"/>
                <w:szCs w:val="24"/>
              </w:rPr>
              <w:t>MET 22</w:t>
            </w:r>
          </w:p>
        </w:tc>
      </w:tr>
      <w:tr w:rsidR="00C34087" w:rsidRPr="004B0D48" w14:paraId="0DBB0C58" w14:textId="77777777" w:rsidTr="000F45CE">
        <w:tc>
          <w:tcPr>
            <w:tcW w:w="1276" w:type="dxa"/>
            <w:gridSpan w:val="2"/>
            <w:vMerge/>
          </w:tcPr>
          <w:p w14:paraId="39922EE1" w14:textId="77777777" w:rsidR="00C34087" w:rsidRPr="009077F5" w:rsidRDefault="00C34087">
            <w:pPr>
              <w:pStyle w:val="KonuBal"/>
              <w:rPr>
                <w:sz w:val="24"/>
                <w:szCs w:val="24"/>
              </w:rPr>
            </w:pPr>
          </w:p>
        </w:tc>
        <w:tc>
          <w:tcPr>
            <w:tcW w:w="2152" w:type="dxa"/>
            <w:vAlign w:val="center"/>
          </w:tcPr>
          <w:p w14:paraId="381D3A77" w14:textId="16037698" w:rsidR="00C34087" w:rsidRPr="009077F5" w:rsidRDefault="00C34087">
            <w:pPr>
              <w:pStyle w:val="KonuBal"/>
              <w:rPr>
                <w:sz w:val="24"/>
                <w:szCs w:val="24"/>
              </w:rPr>
            </w:pPr>
            <w:r w:rsidRPr="009077F5">
              <w:rPr>
                <w:sz w:val="24"/>
                <w:szCs w:val="24"/>
              </w:rPr>
              <w:t>Galvanizleme kazanının ısıtılması (</w:t>
            </w:r>
            <w:r w:rsidRPr="009077F5">
              <w:rPr>
                <w:sz w:val="24"/>
                <w:szCs w:val="24"/>
                <w:vertAlign w:val="superscript"/>
              </w:rPr>
              <w:t>2</w:t>
            </w:r>
            <w:r w:rsidRPr="009077F5">
              <w:rPr>
                <w:sz w:val="24"/>
                <w:szCs w:val="24"/>
              </w:rPr>
              <w:t>)</w:t>
            </w:r>
          </w:p>
        </w:tc>
        <w:tc>
          <w:tcPr>
            <w:tcW w:w="1276" w:type="dxa"/>
            <w:vAlign w:val="center"/>
          </w:tcPr>
          <w:p w14:paraId="5458C112" w14:textId="0DEED3E6" w:rsidR="00C34087" w:rsidRPr="009077F5" w:rsidRDefault="00C34087">
            <w:pPr>
              <w:pStyle w:val="KonuBal"/>
              <w:rPr>
                <w:sz w:val="24"/>
                <w:szCs w:val="24"/>
              </w:rPr>
            </w:pPr>
            <w:r w:rsidRPr="009077F5">
              <w:rPr>
                <w:sz w:val="24"/>
                <w:szCs w:val="24"/>
              </w:rPr>
              <w:t>Kabloların HDC</w:t>
            </w:r>
            <w:r w:rsidR="00E56504" w:rsidRPr="009077F5">
              <w:rPr>
                <w:sz w:val="24"/>
                <w:szCs w:val="24"/>
              </w:rPr>
              <w:t>’</w:t>
            </w:r>
            <w:r w:rsidRPr="009077F5">
              <w:rPr>
                <w:sz w:val="24"/>
                <w:szCs w:val="24"/>
              </w:rPr>
              <w:t>si, BG</w:t>
            </w:r>
          </w:p>
        </w:tc>
        <w:tc>
          <w:tcPr>
            <w:tcW w:w="1417" w:type="dxa"/>
            <w:vMerge/>
            <w:vAlign w:val="center"/>
          </w:tcPr>
          <w:p w14:paraId="6BF3A135" w14:textId="77777777" w:rsidR="00C34087" w:rsidRPr="009077F5" w:rsidRDefault="00C34087">
            <w:pPr>
              <w:pStyle w:val="KonuBal"/>
              <w:rPr>
                <w:sz w:val="24"/>
                <w:szCs w:val="24"/>
              </w:rPr>
            </w:pPr>
          </w:p>
        </w:tc>
        <w:tc>
          <w:tcPr>
            <w:tcW w:w="1843" w:type="dxa"/>
            <w:vAlign w:val="center"/>
          </w:tcPr>
          <w:p w14:paraId="7C7C6E01" w14:textId="30D2B479" w:rsidR="00C34087" w:rsidRPr="009077F5" w:rsidRDefault="00C34087">
            <w:pPr>
              <w:pStyle w:val="KonuBal"/>
              <w:rPr>
                <w:sz w:val="24"/>
                <w:szCs w:val="24"/>
              </w:rPr>
            </w:pPr>
            <w:r w:rsidRPr="009077F5">
              <w:rPr>
                <w:sz w:val="24"/>
                <w:szCs w:val="24"/>
              </w:rPr>
              <w:t>Yılda bir defa</w:t>
            </w:r>
          </w:p>
        </w:tc>
        <w:tc>
          <w:tcPr>
            <w:tcW w:w="992" w:type="dxa"/>
            <w:vAlign w:val="center"/>
          </w:tcPr>
          <w:p w14:paraId="4C951107" w14:textId="443C5B6C" w:rsidR="00C34087" w:rsidRPr="009077F5" w:rsidRDefault="00C34087">
            <w:pPr>
              <w:pStyle w:val="KonuBal"/>
              <w:rPr>
                <w:sz w:val="24"/>
                <w:szCs w:val="24"/>
              </w:rPr>
            </w:pPr>
            <w:r w:rsidRPr="009077F5">
              <w:rPr>
                <w:sz w:val="24"/>
                <w:szCs w:val="24"/>
              </w:rPr>
              <w:t>MET 22</w:t>
            </w:r>
          </w:p>
        </w:tc>
      </w:tr>
      <w:tr w:rsidR="00C34087" w:rsidRPr="004B0D48" w14:paraId="2ED79200" w14:textId="77777777" w:rsidTr="000F45CE">
        <w:tc>
          <w:tcPr>
            <w:tcW w:w="1276" w:type="dxa"/>
            <w:gridSpan w:val="2"/>
            <w:vMerge/>
          </w:tcPr>
          <w:p w14:paraId="088283C0" w14:textId="77777777" w:rsidR="00C34087" w:rsidRPr="009077F5" w:rsidRDefault="00C34087">
            <w:pPr>
              <w:pStyle w:val="KonuBal"/>
              <w:rPr>
                <w:sz w:val="24"/>
                <w:szCs w:val="24"/>
              </w:rPr>
            </w:pPr>
          </w:p>
        </w:tc>
        <w:tc>
          <w:tcPr>
            <w:tcW w:w="2152" w:type="dxa"/>
            <w:vAlign w:val="center"/>
          </w:tcPr>
          <w:p w14:paraId="12052403" w14:textId="464DD907" w:rsidR="00C34087" w:rsidRPr="009077F5" w:rsidRDefault="00C34087">
            <w:pPr>
              <w:pStyle w:val="KonuBal"/>
              <w:rPr>
                <w:sz w:val="24"/>
                <w:szCs w:val="24"/>
              </w:rPr>
            </w:pPr>
            <w:r w:rsidRPr="009077F5">
              <w:rPr>
                <w:sz w:val="24"/>
                <w:szCs w:val="24"/>
              </w:rPr>
              <w:t>Tek başına veya diğer asitlerle birlikte nitrik asitle asitleme</w:t>
            </w:r>
          </w:p>
        </w:tc>
        <w:tc>
          <w:tcPr>
            <w:tcW w:w="1276" w:type="dxa"/>
            <w:vAlign w:val="center"/>
          </w:tcPr>
          <w:p w14:paraId="6A433099" w14:textId="1E097BEC" w:rsidR="00C34087" w:rsidRPr="009077F5" w:rsidRDefault="00C34087">
            <w:pPr>
              <w:pStyle w:val="KonuBal"/>
              <w:rPr>
                <w:sz w:val="24"/>
                <w:szCs w:val="24"/>
              </w:rPr>
            </w:pPr>
            <w:r w:rsidRPr="009077F5">
              <w:rPr>
                <w:sz w:val="24"/>
                <w:szCs w:val="24"/>
              </w:rPr>
              <w:t>HR, CR</w:t>
            </w:r>
          </w:p>
        </w:tc>
        <w:tc>
          <w:tcPr>
            <w:tcW w:w="1417" w:type="dxa"/>
            <w:vMerge/>
            <w:vAlign w:val="center"/>
          </w:tcPr>
          <w:p w14:paraId="2EAC4F8D" w14:textId="77777777" w:rsidR="00C34087" w:rsidRPr="009077F5" w:rsidRDefault="00C34087">
            <w:pPr>
              <w:pStyle w:val="KonuBal"/>
              <w:rPr>
                <w:sz w:val="24"/>
                <w:szCs w:val="24"/>
              </w:rPr>
            </w:pPr>
          </w:p>
        </w:tc>
        <w:tc>
          <w:tcPr>
            <w:tcW w:w="1843" w:type="dxa"/>
            <w:vAlign w:val="center"/>
          </w:tcPr>
          <w:p w14:paraId="23749244" w14:textId="4AABEBA0" w:rsidR="00C34087" w:rsidRPr="009077F5" w:rsidRDefault="00C34087">
            <w:pPr>
              <w:pStyle w:val="KonuBal"/>
              <w:rPr>
                <w:sz w:val="24"/>
                <w:szCs w:val="24"/>
              </w:rPr>
            </w:pPr>
            <w:r w:rsidRPr="009077F5">
              <w:rPr>
                <w:sz w:val="24"/>
                <w:szCs w:val="24"/>
              </w:rPr>
              <w:t>Yılda bir defa</w:t>
            </w:r>
          </w:p>
        </w:tc>
        <w:tc>
          <w:tcPr>
            <w:tcW w:w="992" w:type="dxa"/>
            <w:vAlign w:val="center"/>
          </w:tcPr>
          <w:p w14:paraId="4A1BFD77" w14:textId="4E5BCEEC" w:rsidR="00C34087" w:rsidRPr="009077F5" w:rsidRDefault="00C34087">
            <w:pPr>
              <w:pStyle w:val="KonuBal"/>
              <w:rPr>
                <w:sz w:val="24"/>
                <w:szCs w:val="24"/>
              </w:rPr>
            </w:pPr>
            <w:r w:rsidRPr="009077F5">
              <w:rPr>
                <w:sz w:val="24"/>
                <w:szCs w:val="24"/>
              </w:rPr>
              <w:t>MET 25</w:t>
            </w:r>
          </w:p>
        </w:tc>
      </w:tr>
      <w:tr w:rsidR="00C34087" w:rsidRPr="004B0D48" w14:paraId="0B10A68A" w14:textId="77777777" w:rsidTr="000F45CE">
        <w:tc>
          <w:tcPr>
            <w:tcW w:w="1276" w:type="dxa"/>
            <w:gridSpan w:val="2"/>
            <w:vMerge/>
          </w:tcPr>
          <w:p w14:paraId="64977E1C" w14:textId="77777777" w:rsidR="00C34087" w:rsidRPr="009077F5" w:rsidRDefault="00C34087">
            <w:pPr>
              <w:pStyle w:val="KonuBal"/>
              <w:rPr>
                <w:sz w:val="24"/>
                <w:szCs w:val="24"/>
              </w:rPr>
            </w:pPr>
          </w:p>
        </w:tc>
        <w:tc>
          <w:tcPr>
            <w:tcW w:w="2152" w:type="dxa"/>
            <w:vAlign w:val="center"/>
          </w:tcPr>
          <w:p w14:paraId="63C7CEB0" w14:textId="77777777" w:rsidR="00C34087" w:rsidRPr="009077F5" w:rsidRDefault="00C34087">
            <w:pPr>
              <w:pStyle w:val="KonuBal"/>
              <w:rPr>
                <w:sz w:val="24"/>
                <w:szCs w:val="24"/>
              </w:rPr>
            </w:pPr>
            <w:r w:rsidRPr="009077F5">
              <w:rPr>
                <w:sz w:val="24"/>
                <w:szCs w:val="24"/>
              </w:rPr>
              <w:t>Püskürtmeli yakma veya akışkan yataklı reaktörler kullanılarak hidroklorik asit geri kazanımı.</w:t>
            </w:r>
          </w:p>
          <w:p w14:paraId="5BC529B3" w14:textId="77777777" w:rsidR="00C34087" w:rsidRPr="009077F5" w:rsidRDefault="00C34087" w:rsidP="00A202FD">
            <w:pPr>
              <w:jc w:val="both"/>
              <w:rPr>
                <w:rFonts w:eastAsia="Calibri"/>
                <w:lang w:val="en-US" w:eastAsia="en-US"/>
              </w:rPr>
            </w:pPr>
          </w:p>
          <w:p w14:paraId="22CDE21F" w14:textId="35DDA0DB" w:rsidR="00C34087" w:rsidRPr="009077F5" w:rsidRDefault="00C34087" w:rsidP="00A202FD">
            <w:pPr>
              <w:jc w:val="both"/>
              <w:rPr>
                <w:rFonts w:eastAsia="Calibri"/>
                <w:lang w:val="en-US" w:eastAsia="en-US"/>
              </w:rPr>
            </w:pPr>
            <w:r w:rsidRPr="009077F5">
              <w:rPr>
                <w:rFonts w:eastAsia="Calibri"/>
              </w:rPr>
              <w:t>Karışık asidin sprey yakma veya buharlaştırma yoluyla geri kazanımı</w:t>
            </w:r>
          </w:p>
        </w:tc>
        <w:tc>
          <w:tcPr>
            <w:tcW w:w="1276" w:type="dxa"/>
            <w:vAlign w:val="center"/>
          </w:tcPr>
          <w:p w14:paraId="4F6892F5" w14:textId="44933318" w:rsidR="00C34087" w:rsidRPr="009077F5" w:rsidRDefault="00C34087" w:rsidP="004B0D48">
            <w:pPr>
              <w:pStyle w:val="KonuBal"/>
              <w:rPr>
                <w:sz w:val="24"/>
                <w:szCs w:val="24"/>
              </w:rPr>
            </w:pPr>
            <w:r w:rsidRPr="009077F5">
              <w:rPr>
                <w:sz w:val="24"/>
                <w:szCs w:val="24"/>
              </w:rPr>
              <w:lastRenderedPageBreak/>
              <w:t>HR, CR, WD, HDC</w:t>
            </w:r>
          </w:p>
        </w:tc>
        <w:tc>
          <w:tcPr>
            <w:tcW w:w="1417" w:type="dxa"/>
            <w:vMerge/>
            <w:vAlign w:val="center"/>
          </w:tcPr>
          <w:p w14:paraId="79DA96B8" w14:textId="77777777" w:rsidR="00C34087" w:rsidRPr="009077F5" w:rsidRDefault="00C34087">
            <w:pPr>
              <w:pStyle w:val="KonuBal"/>
              <w:rPr>
                <w:sz w:val="24"/>
                <w:szCs w:val="24"/>
              </w:rPr>
            </w:pPr>
          </w:p>
        </w:tc>
        <w:tc>
          <w:tcPr>
            <w:tcW w:w="1843" w:type="dxa"/>
            <w:vAlign w:val="center"/>
          </w:tcPr>
          <w:p w14:paraId="51D50941" w14:textId="12A99945" w:rsidR="00C34087" w:rsidRPr="009077F5" w:rsidRDefault="00C34087">
            <w:pPr>
              <w:pStyle w:val="KonuBal"/>
              <w:rPr>
                <w:sz w:val="24"/>
                <w:szCs w:val="24"/>
              </w:rPr>
            </w:pPr>
            <w:r w:rsidRPr="009077F5">
              <w:rPr>
                <w:sz w:val="24"/>
                <w:szCs w:val="24"/>
              </w:rPr>
              <w:t>Yılda bir defa</w:t>
            </w:r>
          </w:p>
        </w:tc>
        <w:tc>
          <w:tcPr>
            <w:tcW w:w="992" w:type="dxa"/>
            <w:vAlign w:val="center"/>
          </w:tcPr>
          <w:p w14:paraId="74D0D88E" w14:textId="62005FAE" w:rsidR="00C34087" w:rsidRPr="009077F5" w:rsidRDefault="00C34087">
            <w:pPr>
              <w:pStyle w:val="KonuBal"/>
              <w:rPr>
                <w:sz w:val="24"/>
                <w:szCs w:val="24"/>
              </w:rPr>
            </w:pPr>
            <w:r w:rsidRPr="009077F5">
              <w:rPr>
                <w:sz w:val="24"/>
                <w:szCs w:val="24"/>
              </w:rPr>
              <w:t>MET 29</w:t>
            </w:r>
          </w:p>
        </w:tc>
      </w:tr>
      <w:tr w:rsidR="00C34087" w:rsidRPr="004B0D48" w14:paraId="039AEAA2" w14:textId="77777777" w:rsidTr="000F45CE">
        <w:tc>
          <w:tcPr>
            <w:tcW w:w="1276" w:type="dxa"/>
            <w:gridSpan w:val="2"/>
            <w:vMerge w:val="restart"/>
          </w:tcPr>
          <w:p w14:paraId="530627AA" w14:textId="7ECBA94F" w:rsidR="00C34087" w:rsidRPr="009077F5" w:rsidRDefault="00C34087" w:rsidP="004B0D48">
            <w:pPr>
              <w:pStyle w:val="KonuBal"/>
              <w:rPr>
                <w:sz w:val="24"/>
                <w:szCs w:val="24"/>
              </w:rPr>
            </w:pPr>
            <w:r w:rsidRPr="009077F5">
              <w:rPr>
                <w:sz w:val="24"/>
                <w:szCs w:val="24"/>
              </w:rPr>
              <w:t>SO</w:t>
            </w:r>
            <w:r w:rsidRPr="009077F5">
              <w:rPr>
                <w:sz w:val="24"/>
                <w:szCs w:val="24"/>
                <w:vertAlign w:val="subscript"/>
              </w:rPr>
              <w:t>2</w:t>
            </w:r>
          </w:p>
        </w:tc>
        <w:tc>
          <w:tcPr>
            <w:tcW w:w="2152" w:type="dxa"/>
            <w:vAlign w:val="center"/>
          </w:tcPr>
          <w:p w14:paraId="2E2C76A8" w14:textId="3A4CEBFE" w:rsidR="00C34087" w:rsidRPr="009077F5" w:rsidRDefault="00C34087" w:rsidP="004B0D48">
            <w:pPr>
              <w:pStyle w:val="KonuBal"/>
              <w:rPr>
                <w:sz w:val="24"/>
                <w:szCs w:val="24"/>
              </w:rPr>
            </w:pPr>
            <w:r w:rsidRPr="009077F5">
              <w:rPr>
                <w:sz w:val="24"/>
                <w:szCs w:val="24"/>
              </w:rPr>
              <w:t>Hammadde ısıtması (</w:t>
            </w:r>
            <w:r w:rsidRPr="009077F5">
              <w:rPr>
                <w:sz w:val="24"/>
                <w:szCs w:val="24"/>
                <w:vertAlign w:val="superscript"/>
              </w:rPr>
              <w:t>8</w:t>
            </w:r>
            <w:r w:rsidRPr="009077F5">
              <w:rPr>
                <w:sz w:val="24"/>
                <w:szCs w:val="24"/>
              </w:rPr>
              <w:t>)</w:t>
            </w:r>
          </w:p>
        </w:tc>
        <w:tc>
          <w:tcPr>
            <w:tcW w:w="1276" w:type="dxa"/>
            <w:vAlign w:val="center"/>
          </w:tcPr>
          <w:p w14:paraId="7AD0E9F6" w14:textId="2936C197" w:rsidR="00C34087" w:rsidRPr="009077F5" w:rsidRDefault="00C34087" w:rsidP="004B0D48">
            <w:pPr>
              <w:pStyle w:val="KonuBal"/>
              <w:rPr>
                <w:sz w:val="24"/>
                <w:szCs w:val="24"/>
              </w:rPr>
            </w:pPr>
            <w:r w:rsidRPr="009077F5">
              <w:rPr>
                <w:sz w:val="24"/>
                <w:szCs w:val="24"/>
              </w:rPr>
              <w:t>HR, CR, WD, HDC</w:t>
            </w:r>
            <w:r w:rsidR="00E56504" w:rsidRPr="009077F5">
              <w:rPr>
                <w:sz w:val="24"/>
                <w:szCs w:val="24"/>
              </w:rPr>
              <w:t>’</w:t>
            </w:r>
            <w:r w:rsidRPr="009077F5">
              <w:rPr>
                <w:sz w:val="24"/>
                <w:szCs w:val="24"/>
              </w:rPr>
              <w:t>de levhaların kaplanması</w:t>
            </w:r>
          </w:p>
        </w:tc>
        <w:tc>
          <w:tcPr>
            <w:tcW w:w="1417" w:type="dxa"/>
            <w:vMerge w:val="restart"/>
            <w:vAlign w:val="center"/>
          </w:tcPr>
          <w:p w14:paraId="3BAC87E4" w14:textId="74A78076" w:rsidR="00C34087" w:rsidRPr="009077F5" w:rsidRDefault="00C33CBE" w:rsidP="004B0D48">
            <w:pPr>
              <w:pStyle w:val="KonuBal"/>
              <w:rPr>
                <w:sz w:val="24"/>
                <w:szCs w:val="24"/>
              </w:rPr>
            </w:pPr>
            <w:r w:rsidRPr="009077F5">
              <w:rPr>
                <w:sz w:val="24"/>
                <w:szCs w:val="24"/>
              </w:rPr>
              <w:t xml:space="preserve">TS </w:t>
            </w:r>
            <w:r w:rsidR="00C34087" w:rsidRPr="009077F5">
              <w:rPr>
                <w:sz w:val="24"/>
                <w:szCs w:val="24"/>
              </w:rPr>
              <w:t>EN 14791 (</w:t>
            </w:r>
            <w:r w:rsidR="00C34087" w:rsidRPr="009077F5">
              <w:rPr>
                <w:sz w:val="24"/>
                <w:szCs w:val="24"/>
                <w:vertAlign w:val="superscript"/>
              </w:rPr>
              <w:t>3</w:t>
            </w:r>
            <w:r w:rsidR="00C34087" w:rsidRPr="009077F5">
              <w:rPr>
                <w:sz w:val="24"/>
                <w:szCs w:val="24"/>
              </w:rPr>
              <w:t>)</w:t>
            </w:r>
          </w:p>
        </w:tc>
        <w:tc>
          <w:tcPr>
            <w:tcW w:w="1843" w:type="dxa"/>
            <w:vAlign w:val="center"/>
          </w:tcPr>
          <w:p w14:paraId="1D782B1A" w14:textId="77777777" w:rsidR="00C34087" w:rsidRPr="009077F5" w:rsidRDefault="00C34087" w:rsidP="00E73DA3">
            <w:pPr>
              <w:pStyle w:val="KonuBal"/>
              <w:rPr>
                <w:sz w:val="24"/>
                <w:szCs w:val="24"/>
              </w:rPr>
            </w:pPr>
            <w:r w:rsidRPr="009077F5">
              <w:rPr>
                <w:sz w:val="24"/>
                <w:szCs w:val="24"/>
              </w:rPr>
              <w:t>SO2 kütle akışları &gt; 10 kg/saat olan tüm bacalar için sürekli</w:t>
            </w:r>
          </w:p>
          <w:p w14:paraId="5A1085AD" w14:textId="77777777" w:rsidR="00C34087" w:rsidRPr="009077F5" w:rsidRDefault="00C34087" w:rsidP="00A202FD">
            <w:pPr>
              <w:jc w:val="both"/>
              <w:rPr>
                <w:rFonts w:eastAsia="Calibri"/>
                <w:lang w:val="en-US" w:eastAsia="en-US"/>
              </w:rPr>
            </w:pPr>
          </w:p>
          <w:p w14:paraId="5A736A28" w14:textId="6CC48996" w:rsidR="00C34087" w:rsidRPr="009077F5" w:rsidRDefault="00081B8E" w:rsidP="00A202FD">
            <w:pPr>
              <w:jc w:val="both"/>
              <w:rPr>
                <w:rFonts w:eastAsia="Calibri"/>
                <w:lang w:val="en-US" w:eastAsia="en-US"/>
              </w:rPr>
            </w:pPr>
            <w:r w:rsidRPr="009077F5">
              <w:rPr>
                <w:rFonts w:eastAsia="Calibri"/>
                <w:lang w:val="en-US" w:eastAsia="en-US"/>
              </w:rPr>
              <w:t>SO</w:t>
            </w:r>
            <w:r w:rsidRPr="009077F5">
              <w:rPr>
                <w:rFonts w:eastAsia="Calibri"/>
                <w:vertAlign w:val="subscript"/>
                <w:lang w:val="en-US" w:eastAsia="en-US"/>
              </w:rPr>
              <w:t>2</w:t>
            </w:r>
            <w:r w:rsidRPr="009077F5">
              <w:rPr>
                <w:rFonts w:eastAsia="Calibri"/>
                <w:lang w:val="en-US" w:eastAsia="en-US"/>
              </w:rPr>
              <w:t xml:space="preserve"> </w:t>
            </w:r>
            <w:r w:rsidR="00C34087" w:rsidRPr="009077F5">
              <w:rPr>
                <w:rFonts w:eastAsia="Calibri"/>
                <w:lang w:val="en-US" w:eastAsia="en-US"/>
              </w:rPr>
              <w:t>kütle akışları 1 kg/sa ile 10 kg/sa arasında olan tüm bacalar için 6 ayda bir</w:t>
            </w:r>
          </w:p>
          <w:p w14:paraId="0FD1FE6F" w14:textId="77777777" w:rsidR="00C34087" w:rsidRPr="009077F5" w:rsidRDefault="00C34087" w:rsidP="00A202FD">
            <w:pPr>
              <w:jc w:val="both"/>
              <w:rPr>
                <w:rFonts w:eastAsia="Calibri"/>
                <w:lang w:val="en-US" w:eastAsia="en-US"/>
              </w:rPr>
            </w:pPr>
          </w:p>
          <w:p w14:paraId="64E603AD" w14:textId="030CCD31" w:rsidR="00C34087" w:rsidRPr="009077F5" w:rsidRDefault="00081B8E" w:rsidP="00A202FD">
            <w:pPr>
              <w:jc w:val="both"/>
              <w:rPr>
                <w:rFonts w:eastAsia="Calibri"/>
                <w:lang w:val="en-US" w:eastAsia="en-US"/>
              </w:rPr>
            </w:pPr>
            <w:r w:rsidRPr="009077F5">
              <w:rPr>
                <w:rFonts w:eastAsia="Calibri"/>
                <w:lang w:val="en-US" w:eastAsia="en-US"/>
              </w:rPr>
              <w:t>SO</w:t>
            </w:r>
            <w:r w:rsidRPr="009077F5">
              <w:rPr>
                <w:rFonts w:eastAsia="Calibri"/>
                <w:vertAlign w:val="subscript"/>
                <w:lang w:val="en-US" w:eastAsia="en-US"/>
              </w:rPr>
              <w:t>2</w:t>
            </w:r>
            <w:r w:rsidR="00C34087" w:rsidRPr="009077F5">
              <w:rPr>
                <w:rFonts w:eastAsia="Calibri"/>
                <w:lang w:val="en-US" w:eastAsia="en-US"/>
              </w:rPr>
              <w:t xml:space="preserve"> kütle akışları &lt; 1 kg/saat olan tüm bacalar için yılda bir kez</w:t>
            </w:r>
          </w:p>
        </w:tc>
        <w:tc>
          <w:tcPr>
            <w:tcW w:w="992" w:type="dxa"/>
            <w:vAlign w:val="center"/>
          </w:tcPr>
          <w:p w14:paraId="6727F97C" w14:textId="430F422B" w:rsidR="00C34087" w:rsidRPr="009077F5" w:rsidRDefault="00C34087" w:rsidP="004B0D48">
            <w:pPr>
              <w:pStyle w:val="KonuBal"/>
              <w:rPr>
                <w:sz w:val="24"/>
                <w:szCs w:val="24"/>
              </w:rPr>
            </w:pPr>
            <w:r w:rsidRPr="009077F5">
              <w:rPr>
                <w:sz w:val="24"/>
                <w:szCs w:val="24"/>
              </w:rPr>
              <w:t>MET 21</w:t>
            </w:r>
          </w:p>
        </w:tc>
      </w:tr>
      <w:tr w:rsidR="00C34087" w:rsidRPr="004B0D48" w14:paraId="2546F6A7" w14:textId="77777777" w:rsidTr="000F45CE">
        <w:tc>
          <w:tcPr>
            <w:tcW w:w="1276" w:type="dxa"/>
            <w:gridSpan w:val="2"/>
            <w:vMerge/>
          </w:tcPr>
          <w:p w14:paraId="21FAB72F" w14:textId="77777777" w:rsidR="00C34087" w:rsidRPr="009077F5" w:rsidRDefault="00C34087">
            <w:pPr>
              <w:pStyle w:val="KonuBal"/>
              <w:rPr>
                <w:sz w:val="24"/>
                <w:szCs w:val="24"/>
              </w:rPr>
            </w:pPr>
          </w:p>
        </w:tc>
        <w:tc>
          <w:tcPr>
            <w:tcW w:w="2152" w:type="dxa"/>
            <w:vAlign w:val="center"/>
          </w:tcPr>
          <w:p w14:paraId="2A5247F0" w14:textId="0EA7D3E3" w:rsidR="00C34087" w:rsidRPr="009077F5" w:rsidRDefault="00C34087">
            <w:pPr>
              <w:pStyle w:val="KonuBal"/>
              <w:rPr>
                <w:sz w:val="24"/>
                <w:szCs w:val="24"/>
              </w:rPr>
            </w:pPr>
            <w:r w:rsidRPr="009077F5">
              <w:rPr>
                <w:sz w:val="24"/>
                <w:szCs w:val="24"/>
              </w:rPr>
              <w:t>Püskürtmeli yakma veya akışkan yataklı reaktörler kullanılarak hidroklorik asit geri kazanımı.</w:t>
            </w:r>
          </w:p>
        </w:tc>
        <w:tc>
          <w:tcPr>
            <w:tcW w:w="1276" w:type="dxa"/>
            <w:vAlign w:val="center"/>
          </w:tcPr>
          <w:p w14:paraId="319E8F11" w14:textId="4B310B9E" w:rsidR="00C34087" w:rsidRPr="009077F5" w:rsidRDefault="00C34087">
            <w:pPr>
              <w:pStyle w:val="KonuBal"/>
              <w:rPr>
                <w:sz w:val="24"/>
                <w:szCs w:val="24"/>
              </w:rPr>
            </w:pPr>
            <w:r w:rsidRPr="009077F5">
              <w:rPr>
                <w:sz w:val="24"/>
                <w:szCs w:val="24"/>
              </w:rPr>
              <w:t>HR, CR, HDC, WD</w:t>
            </w:r>
          </w:p>
        </w:tc>
        <w:tc>
          <w:tcPr>
            <w:tcW w:w="1417" w:type="dxa"/>
            <w:vMerge/>
            <w:vAlign w:val="center"/>
          </w:tcPr>
          <w:p w14:paraId="2AE34097" w14:textId="77777777" w:rsidR="00C34087" w:rsidRPr="009077F5" w:rsidRDefault="00C34087">
            <w:pPr>
              <w:pStyle w:val="KonuBal"/>
              <w:rPr>
                <w:sz w:val="24"/>
                <w:szCs w:val="24"/>
              </w:rPr>
            </w:pPr>
          </w:p>
        </w:tc>
        <w:tc>
          <w:tcPr>
            <w:tcW w:w="1843" w:type="dxa"/>
            <w:vAlign w:val="center"/>
          </w:tcPr>
          <w:p w14:paraId="6B31AA48" w14:textId="5250A1CE" w:rsidR="00C34087" w:rsidRPr="009077F5" w:rsidRDefault="00C34087">
            <w:pPr>
              <w:pStyle w:val="KonuBal"/>
              <w:rPr>
                <w:sz w:val="24"/>
                <w:szCs w:val="24"/>
              </w:rPr>
            </w:pPr>
            <w:r w:rsidRPr="009077F5">
              <w:rPr>
                <w:sz w:val="24"/>
                <w:szCs w:val="24"/>
              </w:rPr>
              <w:t>Yılda bir defa (</w:t>
            </w:r>
            <w:r w:rsidRPr="009077F5">
              <w:rPr>
                <w:sz w:val="24"/>
                <w:szCs w:val="24"/>
                <w:vertAlign w:val="superscript"/>
              </w:rPr>
              <w:t>5</w:t>
            </w:r>
            <w:r w:rsidRPr="009077F5">
              <w:rPr>
                <w:sz w:val="24"/>
                <w:szCs w:val="24"/>
              </w:rPr>
              <w:t>)</w:t>
            </w:r>
          </w:p>
        </w:tc>
        <w:tc>
          <w:tcPr>
            <w:tcW w:w="992" w:type="dxa"/>
            <w:vAlign w:val="center"/>
          </w:tcPr>
          <w:p w14:paraId="6B5E8CA8" w14:textId="2D19E792" w:rsidR="00C34087" w:rsidRPr="009077F5" w:rsidRDefault="00C34087">
            <w:pPr>
              <w:pStyle w:val="KonuBal"/>
              <w:rPr>
                <w:sz w:val="24"/>
                <w:szCs w:val="24"/>
              </w:rPr>
            </w:pPr>
            <w:r w:rsidRPr="009077F5">
              <w:rPr>
                <w:sz w:val="24"/>
                <w:szCs w:val="24"/>
              </w:rPr>
              <w:t>MET 29</w:t>
            </w:r>
          </w:p>
        </w:tc>
      </w:tr>
      <w:tr w:rsidR="00C34087" w:rsidRPr="004B0D48" w14:paraId="4A95CEA0" w14:textId="77777777" w:rsidTr="000F45CE">
        <w:tc>
          <w:tcPr>
            <w:tcW w:w="1276" w:type="dxa"/>
            <w:gridSpan w:val="2"/>
            <w:vMerge w:val="restart"/>
          </w:tcPr>
          <w:p w14:paraId="49E29B4D" w14:textId="1A8D7A55" w:rsidR="00C34087" w:rsidRPr="009077F5" w:rsidRDefault="00C34087" w:rsidP="004B0D48">
            <w:pPr>
              <w:pStyle w:val="KonuBal"/>
              <w:rPr>
                <w:sz w:val="24"/>
                <w:szCs w:val="24"/>
              </w:rPr>
            </w:pPr>
            <w:r w:rsidRPr="009077F5">
              <w:rPr>
                <w:sz w:val="24"/>
                <w:szCs w:val="24"/>
              </w:rPr>
              <w:t>SO</w:t>
            </w:r>
            <w:r w:rsidRPr="009077F5">
              <w:rPr>
                <w:sz w:val="24"/>
                <w:szCs w:val="24"/>
                <w:vertAlign w:val="subscript"/>
              </w:rPr>
              <w:t>x</w:t>
            </w:r>
          </w:p>
        </w:tc>
        <w:tc>
          <w:tcPr>
            <w:tcW w:w="2152" w:type="dxa"/>
            <w:vMerge w:val="restart"/>
            <w:vAlign w:val="center"/>
          </w:tcPr>
          <w:p w14:paraId="156CA45A" w14:textId="132ADD63" w:rsidR="00C34087" w:rsidRPr="009077F5" w:rsidRDefault="00C34087" w:rsidP="004B0D48">
            <w:pPr>
              <w:pStyle w:val="KonuBal"/>
              <w:rPr>
                <w:sz w:val="24"/>
                <w:szCs w:val="24"/>
              </w:rPr>
            </w:pPr>
            <w:r w:rsidRPr="009077F5">
              <w:rPr>
                <w:sz w:val="24"/>
                <w:szCs w:val="24"/>
              </w:rPr>
              <w:t>Sülfürik asit ile dekapaj</w:t>
            </w:r>
          </w:p>
        </w:tc>
        <w:tc>
          <w:tcPr>
            <w:tcW w:w="1276" w:type="dxa"/>
            <w:vAlign w:val="center"/>
          </w:tcPr>
          <w:p w14:paraId="03E9E033" w14:textId="2AD367F0" w:rsidR="00C34087" w:rsidRPr="009077F5" w:rsidRDefault="00C34087" w:rsidP="004B0D48">
            <w:pPr>
              <w:pStyle w:val="KonuBal"/>
              <w:rPr>
                <w:sz w:val="24"/>
                <w:szCs w:val="24"/>
              </w:rPr>
            </w:pPr>
            <w:r w:rsidRPr="009077F5">
              <w:rPr>
                <w:sz w:val="24"/>
                <w:szCs w:val="24"/>
              </w:rPr>
              <w:t>HR, CR, HDC, WD</w:t>
            </w:r>
          </w:p>
        </w:tc>
        <w:tc>
          <w:tcPr>
            <w:tcW w:w="1417" w:type="dxa"/>
            <w:vMerge/>
            <w:vAlign w:val="center"/>
          </w:tcPr>
          <w:p w14:paraId="3E4AAD4A" w14:textId="77777777" w:rsidR="00C34087" w:rsidRPr="009077F5" w:rsidRDefault="00C34087">
            <w:pPr>
              <w:pStyle w:val="KonuBal"/>
              <w:rPr>
                <w:sz w:val="24"/>
                <w:szCs w:val="24"/>
              </w:rPr>
            </w:pPr>
          </w:p>
        </w:tc>
        <w:tc>
          <w:tcPr>
            <w:tcW w:w="1843" w:type="dxa"/>
            <w:vMerge w:val="restart"/>
            <w:vAlign w:val="center"/>
          </w:tcPr>
          <w:p w14:paraId="51E6C287" w14:textId="5DD2F60C" w:rsidR="00C34087" w:rsidRPr="009077F5" w:rsidRDefault="00C34087">
            <w:pPr>
              <w:pStyle w:val="KonuBal"/>
              <w:rPr>
                <w:sz w:val="24"/>
                <w:szCs w:val="24"/>
              </w:rPr>
            </w:pPr>
            <w:r w:rsidRPr="009077F5">
              <w:rPr>
                <w:sz w:val="24"/>
                <w:szCs w:val="24"/>
              </w:rPr>
              <w:t>Yılda bir defa</w:t>
            </w:r>
          </w:p>
        </w:tc>
        <w:tc>
          <w:tcPr>
            <w:tcW w:w="992" w:type="dxa"/>
            <w:vMerge w:val="restart"/>
            <w:vAlign w:val="center"/>
          </w:tcPr>
          <w:p w14:paraId="1CC19C4C" w14:textId="5C1A1F34" w:rsidR="00C34087" w:rsidRPr="009077F5" w:rsidRDefault="00C34087">
            <w:pPr>
              <w:pStyle w:val="KonuBal"/>
              <w:rPr>
                <w:sz w:val="24"/>
                <w:szCs w:val="24"/>
              </w:rPr>
            </w:pPr>
            <w:r w:rsidRPr="009077F5">
              <w:rPr>
                <w:sz w:val="24"/>
                <w:szCs w:val="24"/>
              </w:rPr>
              <w:t>MET 24</w:t>
            </w:r>
          </w:p>
        </w:tc>
      </w:tr>
      <w:tr w:rsidR="00C34087" w:rsidRPr="004B0D48" w14:paraId="1633E7C1" w14:textId="77777777" w:rsidTr="000F45CE">
        <w:tc>
          <w:tcPr>
            <w:tcW w:w="1276" w:type="dxa"/>
            <w:gridSpan w:val="2"/>
            <w:vMerge/>
          </w:tcPr>
          <w:p w14:paraId="020E6BBB" w14:textId="77777777" w:rsidR="00C34087" w:rsidRPr="009077F5" w:rsidRDefault="00C34087">
            <w:pPr>
              <w:pStyle w:val="KonuBal"/>
              <w:rPr>
                <w:sz w:val="24"/>
                <w:szCs w:val="24"/>
              </w:rPr>
            </w:pPr>
          </w:p>
        </w:tc>
        <w:tc>
          <w:tcPr>
            <w:tcW w:w="2152" w:type="dxa"/>
            <w:vMerge/>
            <w:vAlign w:val="center"/>
          </w:tcPr>
          <w:p w14:paraId="7E47835A" w14:textId="77777777" w:rsidR="00C34087" w:rsidRPr="009077F5" w:rsidRDefault="00C34087">
            <w:pPr>
              <w:pStyle w:val="KonuBal"/>
              <w:rPr>
                <w:sz w:val="24"/>
                <w:szCs w:val="24"/>
              </w:rPr>
            </w:pPr>
          </w:p>
        </w:tc>
        <w:tc>
          <w:tcPr>
            <w:tcW w:w="1276" w:type="dxa"/>
            <w:vAlign w:val="center"/>
          </w:tcPr>
          <w:p w14:paraId="18870A29" w14:textId="24018583" w:rsidR="00C34087" w:rsidRPr="009077F5" w:rsidRDefault="00C34087">
            <w:pPr>
              <w:pStyle w:val="KonuBal"/>
              <w:rPr>
                <w:sz w:val="24"/>
                <w:szCs w:val="24"/>
              </w:rPr>
            </w:pPr>
            <w:r w:rsidRPr="009077F5">
              <w:rPr>
                <w:sz w:val="24"/>
                <w:szCs w:val="24"/>
              </w:rPr>
              <w:t>BG</w:t>
            </w:r>
          </w:p>
        </w:tc>
        <w:tc>
          <w:tcPr>
            <w:tcW w:w="1417" w:type="dxa"/>
            <w:vMerge/>
            <w:vAlign w:val="center"/>
          </w:tcPr>
          <w:p w14:paraId="0F9D980C" w14:textId="77777777" w:rsidR="00C34087" w:rsidRPr="009077F5" w:rsidRDefault="00C34087">
            <w:pPr>
              <w:pStyle w:val="KonuBal"/>
              <w:rPr>
                <w:sz w:val="24"/>
                <w:szCs w:val="24"/>
              </w:rPr>
            </w:pPr>
          </w:p>
        </w:tc>
        <w:tc>
          <w:tcPr>
            <w:tcW w:w="1843" w:type="dxa"/>
            <w:vMerge/>
            <w:vAlign w:val="center"/>
          </w:tcPr>
          <w:p w14:paraId="2BDEACF9" w14:textId="77777777" w:rsidR="00C34087" w:rsidRPr="009077F5" w:rsidRDefault="00C34087">
            <w:pPr>
              <w:pStyle w:val="KonuBal"/>
              <w:rPr>
                <w:sz w:val="24"/>
                <w:szCs w:val="24"/>
              </w:rPr>
            </w:pPr>
          </w:p>
        </w:tc>
        <w:tc>
          <w:tcPr>
            <w:tcW w:w="992" w:type="dxa"/>
            <w:vMerge/>
            <w:vAlign w:val="center"/>
          </w:tcPr>
          <w:p w14:paraId="189E912B" w14:textId="77777777" w:rsidR="00C34087" w:rsidRPr="009077F5" w:rsidRDefault="00C34087">
            <w:pPr>
              <w:pStyle w:val="KonuBal"/>
              <w:rPr>
                <w:sz w:val="24"/>
                <w:szCs w:val="24"/>
              </w:rPr>
            </w:pPr>
          </w:p>
        </w:tc>
      </w:tr>
      <w:tr w:rsidR="00C34087" w:rsidRPr="004B0D48" w14:paraId="37CADE1D" w14:textId="77777777" w:rsidTr="000F45CE">
        <w:tc>
          <w:tcPr>
            <w:tcW w:w="1276" w:type="dxa"/>
            <w:gridSpan w:val="2"/>
            <w:vMerge w:val="restart"/>
            <w:shd w:val="clear" w:color="auto" w:fill="auto"/>
          </w:tcPr>
          <w:p w14:paraId="65B32476" w14:textId="3817246A" w:rsidR="00C34087" w:rsidRPr="009077F5" w:rsidRDefault="00C34087" w:rsidP="004B0D48">
            <w:pPr>
              <w:pStyle w:val="KonuBal"/>
              <w:rPr>
                <w:sz w:val="24"/>
                <w:szCs w:val="24"/>
              </w:rPr>
            </w:pPr>
            <w:r w:rsidRPr="009077F5">
              <w:rPr>
                <w:sz w:val="24"/>
                <w:szCs w:val="24"/>
              </w:rPr>
              <w:t>TVOC</w:t>
            </w:r>
          </w:p>
        </w:tc>
        <w:tc>
          <w:tcPr>
            <w:tcW w:w="2152" w:type="dxa"/>
            <w:vAlign w:val="center"/>
          </w:tcPr>
          <w:p w14:paraId="248AA699" w14:textId="653DC526" w:rsidR="00C34087" w:rsidRPr="009077F5" w:rsidRDefault="00C34087" w:rsidP="004B0D48">
            <w:pPr>
              <w:pStyle w:val="KonuBal"/>
              <w:rPr>
                <w:sz w:val="24"/>
                <w:szCs w:val="24"/>
              </w:rPr>
            </w:pPr>
            <w:r w:rsidRPr="009077F5">
              <w:rPr>
                <w:sz w:val="24"/>
                <w:szCs w:val="24"/>
              </w:rPr>
              <w:t>Yağ giderme</w:t>
            </w:r>
          </w:p>
        </w:tc>
        <w:tc>
          <w:tcPr>
            <w:tcW w:w="1276" w:type="dxa"/>
            <w:vAlign w:val="center"/>
          </w:tcPr>
          <w:p w14:paraId="76260C5A" w14:textId="065CEF92" w:rsidR="00C34087" w:rsidRPr="009077F5" w:rsidRDefault="00C34087" w:rsidP="004B0D48">
            <w:pPr>
              <w:pStyle w:val="KonuBal"/>
              <w:rPr>
                <w:sz w:val="24"/>
                <w:szCs w:val="24"/>
              </w:rPr>
            </w:pPr>
            <w:r w:rsidRPr="009077F5">
              <w:rPr>
                <w:sz w:val="24"/>
                <w:szCs w:val="24"/>
              </w:rPr>
              <w:t>CR, HDC</w:t>
            </w:r>
          </w:p>
        </w:tc>
        <w:tc>
          <w:tcPr>
            <w:tcW w:w="1417" w:type="dxa"/>
            <w:vMerge w:val="restart"/>
            <w:vAlign w:val="center"/>
          </w:tcPr>
          <w:p w14:paraId="2CB4D18E" w14:textId="00D5AF2C" w:rsidR="00C34087" w:rsidRPr="009077F5" w:rsidRDefault="00C33CBE" w:rsidP="004B0D48">
            <w:pPr>
              <w:pStyle w:val="KonuBal"/>
              <w:rPr>
                <w:sz w:val="24"/>
                <w:szCs w:val="24"/>
              </w:rPr>
            </w:pPr>
            <w:r w:rsidRPr="009077F5">
              <w:rPr>
                <w:sz w:val="24"/>
                <w:szCs w:val="24"/>
              </w:rPr>
              <w:t xml:space="preserve">TS </w:t>
            </w:r>
            <w:r w:rsidR="00C34087" w:rsidRPr="009077F5">
              <w:rPr>
                <w:sz w:val="24"/>
                <w:szCs w:val="24"/>
              </w:rPr>
              <w:t>EN 12619 (</w:t>
            </w:r>
            <w:r w:rsidR="00C34087" w:rsidRPr="009077F5">
              <w:rPr>
                <w:sz w:val="24"/>
                <w:szCs w:val="24"/>
                <w:vertAlign w:val="superscript"/>
              </w:rPr>
              <w:t>3</w:t>
            </w:r>
            <w:r w:rsidR="00C34087" w:rsidRPr="009077F5">
              <w:rPr>
                <w:sz w:val="24"/>
                <w:szCs w:val="24"/>
              </w:rPr>
              <w:t>)</w:t>
            </w:r>
          </w:p>
        </w:tc>
        <w:tc>
          <w:tcPr>
            <w:tcW w:w="1843" w:type="dxa"/>
            <w:vAlign w:val="center"/>
          </w:tcPr>
          <w:p w14:paraId="2FD80DFA" w14:textId="01B3572C" w:rsidR="00C34087" w:rsidRPr="009077F5" w:rsidRDefault="00C34087" w:rsidP="00E73DA3">
            <w:pPr>
              <w:pStyle w:val="KonuBal"/>
              <w:rPr>
                <w:sz w:val="24"/>
                <w:szCs w:val="24"/>
              </w:rPr>
            </w:pPr>
            <w:r w:rsidRPr="009077F5">
              <w:rPr>
                <w:sz w:val="24"/>
                <w:szCs w:val="24"/>
              </w:rPr>
              <w:t>Yılda bir defa (</w:t>
            </w:r>
            <w:r w:rsidRPr="009077F5">
              <w:rPr>
                <w:sz w:val="24"/>
                <w:szCs w:val="24"/>
                <w:vertAlign w:val="superscript"/>
              </w:rPr>
              <w:t>5</w:t>
            </w:r>
            <w:r w:rsidRPr="009077F5">
              <w:rPr>
                <w:sz w:val="24"/>
                <w:szCs w:val="24"/>
              </w:rPr>
              <w:t>)</w:t>
            </w:r>
          </w:p>
        </w:tc>
        <w:tc>
          <w:tcPr>
            <w:tcW w:w="992" w:type="dxa"/>
            <w:vAlign w:val="center"/>
          </w:tcPr>
          <w:p w14:paraId="0E9CFE0C" w14:textId="06F78876" w:rsidR="00C34087" w:rsidRPr="009077F5" w:rsidRDefault="00C34087" w:rsidP="00BF4451">
            <w:pPr>
              <w:pStyle w:val="KonuBal"/>
              <w:rPr>
                <w:sz w:val="24"/>
                <w:szCs w:val="24"/>
              </w:rPr>
            </w:pPr>
            <w:r w:rsidRPr="009077F5">
              <w:rPr>
                <w:sz w:val="24"/>
                <w:szCs w:val="24"/>
              </w:rPr>
              <w:t>MET 23</w:t>
            </w:r>
          </w:p>
        </w:tc>
      </w:tr>
      <w:tr w:rsidR="00C34087" w:rsidRPr="004B0D48" w14:paraId="59C9BA0A" w14:textId="77777777" w:rsidTr="000F45CE">
        <w:tc>
          <w:tcPr>
            <w:tcW w:w="1276" w:type="dxa"/>
            <w:gridSpan w:val="2"/>
            <w:vMerge/>
            <w:shd w:val="clear" w:color="auto" w:fill="auto"/>
          </w:tcPr>
          <w:p w14:paraId="20CAAB6F" w14:textId="77777777" w:rsidR="00C34087" w:rsidRPr="009077F5" w:rsidRDefault="00C34087">
            <w:pPr>
              <w:pStyle w:val="KonuBal"/>
              <w:rPr>
                <w:sz w:val="24"/>
                <w:szCs w:val="24"/>
              </w:rPr>
            </w:pPr>
          </w:p>
        </w:tc>
        <w:tc>
          <w:tcPr>
            <w:tcW w:w="2152" w:type="dxa"/>
            <w:vAlign w:val="center"/>
          </w:tcPr>
          <w:p w14:paraId="1A1F7567" w14:textId="33D0DB35" w:rsidR="00C34087" w:rsidRPr="009077F5" w:rsidRDefault="00C34087">
            <w:pPr>
              <w:pStyle w:val="KonuBal"/>
              <w:rPr>
                <w:sz w:val="24"/>
                <w:szCs w:val="24"/>
              </w:rPr>
            </w:pPr>
            <w:r w:rsidRPr="009077F5">
              <w:rPr>
                <w:sz w:val="24"/>
                <w:szCs w:val="24"/>
              </w:rPr>
              <w:t>Haddeleme, yaş temperleme ve son işlem</w:t>
            </w:r>
          </w:p>
        </w:tc>
        <w:tc>
          <w:tcPr>
            <w:tcW w:w="1276" w:type="dxa"/>
            <w:vAlign w:val="center"/>
          </w:tcPr>
          <w:p w14:paraId="43E7AD1C" w14:textId="1ACA033F" w:rsidR="00C34087" w:rsidRPr="009077F5" w:rsidRDefault="00C34087">
            <w:pPr>
              <w:pStyle w:val="KonuBal"/>
              <w:rPr>
                <w:sz w:val="24"/>
                <w:szCs w:val="24"/>
              </w:rPr>
            </w:pPr>
            <w:r w:rsidRPr="009077F5">
              <w:rPr>
                <w:sz w:val="24"/>
                <w:szCs w:val="24"/>
              </w:rPr>
              <w:t>CR</w:t>
            </w:r>
          </w:p>
        </w:tc>
        <w:tc>
          <w:tcPr>
            <w:tcW w:w="1417" w:type="dxa"/>
            <w:vMerge/>
            <w:vAlign w:val="center"/>
          </w:tcPr>
          <w:p w14:paraId="29E8E9F5" w14:textId="77777777" w:rsidR="00C34087" w:rsidRPr="009077F5" w:rsidRDefault="00C34087">
            <w:pPr>
              <w:pStyle w:val="KonuBal"/>
              <w:rPr>
                <w:sz w:val="24"/>
                <w:szCs w:val="24"/>
              </w:rPr>
            </w:pPr>
          </w:p>
        </w:tc>
        <w:tc>
          <w:tcPr>
            <w:tcW w:w="1843" w:type="dxa"/>
            <w:vAlign w:val="center"/>
          </w:tcPr>
          <w:p w14:paraId="67642D39" w14:textId="2D9636F3" w:rsidR="00C34087" w:rsidRPr="009077F5" w:rsidRDefault="00C34087">
            <w:pPr>
              <w:pStyle w:val="KonuBal"/>
              <w:rPr>
                <w:sz w:val="24"/>
                <w:szCs w:val="24"/>
              </w:rPr>
            </w:pPr>
            <w:r w:rsidRPr="009077F5">
              <w:rPr>
                <w:sz w:val="24"/>
                <w:szCs w:val="24"/>
              </w:rPr>
              <w:t>Yılda bir defa (</w:t>
            </w:r>
            <w:r w:rsidRPr="009077F5">
              <w:rPr>
                <w:sz w:val="24"/>
                <w:szCs w:val="24"/>
                <w:vertAlign w:val="superscript"/>
              </w:rPr>
              <w:t>5</w:t>
            </w:r>
            <w:r w:rsidRPr="009077F5">
              <w:rPr>
                <w:sz w:val="24"/>
                <w:szCs w:val="24"/>
              </w:rPr>
              <w:t>)</w:t>
            </w:r>
          </w:p>
        </w:tc>
        <w:tc>
          <w:tcPr>
            <w:tcW w:w="992" w:type="dxa"/>
            <w:vAlign w:val="center"/>
          </w:tcPr>
          <w:p w14:paraId="0927E004" w14:textId="7326F0C8" w:rsidR="00C34087" w:rsidRPr="009077F5" w:rsidRDefault="00C34087">
            <w:pPr>
              <w:pStyle w:val="KonuBal"/>
              <w:rPr>
                <w:sz w:val="24"/>
                <w:szCs w:val="24"/>
              </w:rPr>
            </w:pPr>
            <w:r w:rsidRPr="009077F5">
              <w:rPr>
                <w:sz w:val="24"/>
                <w:szCs w:val="24"/>
              </w:rPr>
              <w:t>MET 48</w:t>
            </w:r>
          </w:p>
        </w:tc>
      </w:tr>
      <w:tr w:rsidR="00C34087" w:rsidRPr="004B0D48" w14:paraId="1A9C3AA0" w14:textId="77777777" w:rsidTr="000F45CE">
        <w:tc>
          <w:tcPr>
            <w:tcW w:w="1276" w:type="dxa"/>
            <w:gridSpan w:val="2"/>
            <w:vMerge/>
            <w:shd w:val="clear" w:color="auto" w:fill="auto"/>
          </w:tcPr>
          <w:p w14:paraId="5892E458" w14:textId="77777777" w:rsidR="00C34087" w:rsidRPr="009077F5" w:rsidRDefault="00C34087">
            <w:pPr>
              <w:pStyle w:val="KonuBal"/>
              <w:rPr>
                <w:sz w:val="24"/>
                <w:szCs w:val="24"/>
              </w:rPr>
            </w:pPr>
          </w:p>
        </w:tc>
        <w:tc>
          <w:tcPr>
            <w:tcW w:w="2152" w:type="dxa"/>
            <w:vAlign w:val="center"/>
          </w:tcPr>
          <w:p w14:paraId="164ED69E" w14:textId="714C8A12" w:rsidR="00C34087" w:rsidRPr="009077F5" w:rsidRDefault="00C34087">
            <w:pPr>
              <w:pStyle w:val="KonuBal"/>
              <w:rPr>
                <w:sz w:val="24"/>
                <w:szCs w:val="24"/>
              </w:rPr>
            </w:pPr>
            <w:r w:rsidRPr="009077F5">
              <w:rPr>
                <w:sz w:val="24"/>
                <w:szCs w:val="24"/>
              </w:rPr>
              <w:t>Kurşun banyosu</w:t>
            </w:r>
          </w:p>
        </w:tc>
        <w:tc>
          <w:tcPr>
            <w:tcW w:w="1276" w:type="dxa"/>
            <w:vAlign w:val="center"/>
          </w:tcPr>
          <w:p w14:paraId="698C2C49" w14:textId="2687A27E" w:rsidR="00C34087" w:rsidRPr="009077F5" w:rsidRDefault="00C34087">
            <w:pPr>
              <w:pStyle w:val="KonuBal"/>
              <w:rPr>
                <w:sz w:val="24"/>
                <w:szCs w:val="24"/>
              </w:rPr>
            </w:pPr>
            <w:r w:rsidRPr="009077F5">
              <w:rPr>
                <w:sz w:val="24"/>
                <w:szCs w:val="24"/>
              </w:rPr>
              <w:t>WD</w:t>
            </w:r>
          </w:p>
        </w:tc>
        <w:tc>
          <w:tcPr>
            <w:tcW w:w="1417" w:type="dxa"/>
            <w:vMerge/>
            <w:vAlign w:val="center"/>
          </w:tcPr>
          <w:p w14:paraId="418BD1E6" w14:textId="77777777" w:rsidR="00C34087" w:rsidRPr="009077F5" w:rsidRDefault="00C34087">
            <w:pPr>
              <w:pStyle w:val="KonuBal"/>
              <w:rPr>
                <w:sz w:val="24"/>
                <w:szCs w:val="24"/>
              </w:rPr>
            </w:pPr>
          </w:p>
        </w:tc>
        <w:tc>
          <w:tcPr>
            <w:tcW w:w="1843" w:type="dxa"/>
            <w:vAlign w:val="center"/>
          </w:tcPr>
          <w:p w14:paraId="2C00352E" w14:textId="76C6D394" w:rsidR="00C34087" w:rsidRPr="009077F5" w:rsidRDefault="00C34087">
            <w:pPr>
              <w:pStyle w:val="KonuBal"/>
              <w:rPr>
                <w:sz w:val="24"/>
                <w:szCs w:val="24"/>
              </w:rPr>
            </w:pPr>
            <w:r w:rsidRPr="009077F5">
              <w:rPr>
                <w:sz w:val="24"/>
                <w:szCs w:val="24"/>
              </w:rPr>
              <w:t>Yılda bir defa (</w:t>
            </w:r>
            <w:r w:rsidRPr="009077F5">
              <w:rPr>
                <w:sz w:val="24"/>
                <w:szCs w:val="24"/>
                <w:vertAlign w:val="superscript"/>
              </w:rPr>
              <w:t>5</w:t>
            </w:r>
            <w:r w:rsidRPr="009077F5">
              <w:rPr>
                <w:sz w:val="24"/>
                <w:szCs w:val="24"/>
              </w:rPr>
              <w:t>)</w:t>
            </w:r>
          </w:p>
        </w:tc>
        <w:tc>
          <w:tcPr>
            <w:tcW w:w="992" w:type="dxa"/>
            <w:vAlign w:val="center"/>
          </w:tcPr>
          <w:p w14:paraId="1F04EA46" w14:textId="37F024AA" w:rsidR="00C34087" w:rsidRPr="009077F5" w:rsidRDefault="00C34087">
            <w:pPr>
              <w:pStyle w:val="KonuBal"/>
              <w:rPr>
                <w:sz w:val="24"/>
                <w:szCs w:val="24"/>
              </w:rPr>
            </w:pPr>
            <w:r w:rsidRPr="009077F5">
              <w:rPr>
                <w:sz w:val="24"/>
                <w:szCs w:val="24"/>
              </w:rPr>
              <w:t>-</w:t>
            </w:r>
          </w:p>
        </w:tc>
      </w:tr>
      <w:tr w:rsidR="00C34087" w:rsidRPr="004B0D48" w14:paraId="221D7B1A" w14:textId="77777777" w:rsidTr="000F45CE">
        <w:tc>
          <w:tcPr>
            <w:tcW w:w="1276" w:type="dxa"/>
            <w:gridSpan w:val="2"/>
            <w:vMerge/>
            <w:shd w:val="clear" w:color="auto" w:fill="auto"/>
          </w:tcPr>
          <w:p w14:paraId="0F169577" w14:textId="77777777" w:rsidR="00C34087" w:rsidRPr="009077F5" w:rsidRDefault="00C34087">
            <w:pPr>
              <w:pStyle w:val="KonuBal"/>
              <w:rPr>
                <w:sz w:val="24"/>
                <w:szCs w:val="24"/>
              </w:rPr>
            </w:pPr>
          </w:p>
        </w:tc>
        <w:tc>
          <w:tcPr>
            <w:tcW w:w="2152" w:type="dxa"/>
            <w:vAlign w:val="center"/>
          </w:tcPr>
          <w:p w14:paraId="7070A8CE" w14:textId="0E074DD8" w:rsidR="00C34087" w:rsidRPr="009077F5" w:rsidRDefault="00C34087">
            <w:pPr>
              <w:pStyle w:val="KonuBal"/>
              <w:rPr>
                <w:sz w:val="24"/>
                <w:szCs w:val="24"/>
              </w:rPr>
            </w:pPr>
            <w:r w:rsidRPr="009077F5">
              <w:rPr>
                <w:sz w:val="24"/>
                <w:szCs w:val="24"/>
              </w:rPr>
              <w:t>Yağ söndürme banyoları</w:t>
            </w:r>
          </w:p>
        </w:tc>
        <w:tc>
          <w:tcPr>
            <w:tcW w:w="1276" w:type="dxa"/>
            <w:vAlign w:val="center"/>
          </w:tcPr>
          <w:p w14:paraId="2D08D7FB" w14:textId="68FEE250" w:rsidR="00C34087" w:rsidRPr="009077F5" w:rsidRDefault="00C34087">
            <w:pPr>
              <w:pStyle w:val="KonuBal"/>
              <w:rPr>
                <w:sz w:val="24"/>
                <w:szCs w:val="24"/>
              </w:rPr>
            </w:pPr>
            <w:r w:rsidRPr="009077F5">
              <w:rPr>
                <w:sz w:val="24"/>
                <w:szCs w:val="24"/>
              </w:rPr>
              <w:t>WD</w:t>
            </w:r>
          </w:p>
        </w:tc>
        <w:tc>
          <w:tcPr>
            <w:tcW w:w="1417" w:type="dxa"/>
            <w:vMerge/>
            <w:vAlign w:val="center"/>
          </w:tcPr>
          <w:p w14:paraId="47527673" w14:textId="77777777" w:rsidR="00C34087" w:rsidRPr="009077F5" w:rsidRDefault="00C34087">
            <w:pPr>
              <w:pStyle w:val="KonuBal"/>
              <w:rPr>
                <w:sz w:val="24"/>
                <w:szCs w:val="24"/>
              </w:rPr>
            </w:pPr>
          </w:p>
        </w:tc>
        <w:tc>
          <w:tcPr>
            <w:tcW w:w="1843" w:type="dxa"/>
            <w:vAlign w:val="center"/>
          </w:tcPr>
          <w:p w14:paraId="4196F172" w14:textId="44AFC3A9" w:rsidR="00C34087" w:rsidRPr="009077F5" w:rsidRDefault="00C34087">
            <w:pPr>
              <w:pStyle w:val="KonuBal"/>
              <w:rPr>
                <w:sz w:val="24"/>
                <w:szCs w:val="24"/>
              </w:rPr>
            </w:pPr>
            <w:r w:rsidRPr="009077F5">
              <w:rPr>
                <w:sz w:val="24"/>
                <w:szCs w:val="24"/>
              </w:rPr>
              <w:t>Yılda bir defa (</w:t>
            </w:r>
            <w:r w:rsidRPr="009077F5">
              <w:rPr>
                <w:sz w:val="24"/>
                <w:szCs w:val="24"/>
                <w:vertAlign w:val="superscript"/>
              </w:rPr>
              <w:t>5</w:t>
            </w:r>
            <w:r w:rsidRPr="009077F5">
              <w:rPr>
                <w:sz w:val="24"/>
                <w:szCs w:val="24"/>
              </w:rPr>
              <w:t>)</w:t>
            </w:r>
          </w:p>
        </w:tc>
        <w:tc>
          <w:tcPr>
            <w:tcW w:w="992" w:type="dxa"/>
            <w:vAlign w:val="center"/>
          </w:tcPr>
          <w:p w14:paraId="56B969D2" w14:textId="29A1FFFD" w:rsidR="00C34087" w:rsidRPr="009077F5" w:rsidRDefault="00C34087">
            <w:pPr>
              <w:pStyle w:val="KonuBal"/>
              <w:rPr>
                <w:sz w:val="24"/>
                <w:szCs w:val="24"/>
              </w:rPr>
            </w:pPr>
            <w:r w:rsidRPr="009077F5">
              <w:rPr>
                <w:sz w:val="24"/>
                <w:szCs w:val="24"/>
              </w:rPr>
              <w:t>MET 53</w:t>
            </w:r>
          </w:p>
        </w:tc>
      </w:tr>
      <w:tr w:rsidR="00C34087" w:rsidRPr="004B0D48" w14:paraId="6543BD94" w14:textId="77777777" w:rsidTr="000F45CE">
        <w:tc>
          <w:tcPr>
            <w:tcW w:w="8956" w:type="dxa"/>
            <w:gridSpan w:val="7"/>
          </w:tcPr>
          <w:p w14:paraId="59161F02" w14:textId="77777777" w:rsidR="00C34087" w:rsidRPr="00A26EE8" w:rsidRDefault="00C34087" w:rsidP="009077F5">
            <w:pPr>
              <w:pStyle w:val="ListeParagraf"/>
              <w:numPr>
                <w:ilvl w:val="0"/>
                <w:numId w:val="164"/>
              </w:numPr>
              <w:spacing w:line="240" w:lineRule="auto"/>
              <w:ind w:left="482" w:hanging="425"/>
            </w:pPr>
            <w:r w:rsidRPr="009077F5">
              <w:rPr>
                <w:sz w:val="20"/>
                <w:szCs w:val="20"/>
              </w:rPr>
              <w:t>Mümkün olduğu ölçüde, ölçümler normal çalışma koşulları altında beklenen en yüksek emisyon durumunda gerçekleştirilir.</w:t>
            </w:r>
          </w:p>
          <w:p w14:paraId="028E077F" w14:textId="77777777" w:rsidR="00C34087" w:rsidRPr="004B0D48" w:rsidRDefault="00C34087" w:rsidP="00602365">
            <w:pPr>
              <w:pStyle w:val="ListeParagraf"/>
              <w:numPr>
                <w:ilvl w:val="0"/>
                <w:numId w:val="164"/>
              </w:numPr>
              <w:spacing w:line="240" w:lineRule="auto"/>
              <w:ind w:left="482" w:hanging="425"/>
              <w:rPr>
                <w:sz w:val="20"/>
                <w:szCs w:val="20"/>
              </w:rPr>
            </w:pPr>
            <w:r w:rsidRPr="004B0D48">
              <w:rPr>
                <w:sz w:val="20"/>
                <w:szCs w:val="20"/>
              </w:rPr>
              <w:t>İzleme sadece elektrik kullanıldığında geçerli değildir.</w:t>
            </w:r>
          </w:p>
          <w:p w14:paraId="03E69EEC" w14:textId="20A885C1" w:rsidR="00C34087" w:rsidRPr="00CB4CD4" w:rsidRDefault="00C34087" w:rsidP="00602365">
            <w:pPr>
              <w:pStyle w:val="ListeParagraf"/>
              <w:numPr>
                <w:ilvl w:val="0"/>
                <w:numId w:val="164"/>
              </w:numPr>
              <w:spacing w:line="240" w:lineRule="auto"/>
              <w:ind w:left="482" w:hanging="425"/>
              <w:rPr>
                <w:sz w:val="20"/>
                <w:szCs w:val="20"/>
              </w:rPr>
            </w:pPr>
            <w:r w:rsidRPr="004B0D48">
              <w:rPr>
                <w:sz w:val="20"/>
                <w:szCs w:val="20"/>
              </w:rPr>
              <w:t xml:space="preserve">Ölçümler sürekli ise, genel EN standartları geçerlidir: </w:t>
            </w:r>
            <w:r w:rsidR="00C33CBE" w:rsidRPr="004B0D48">
              <w:rPr>
                <w:sz w:val="20"/>
                <w:szCs w:val="20"/>
              </w:rPr>
              <w:t>TS EN 15267-1</w:t>
            </w:r>
            <w:r w:rsidRPr="004B0D48">
              <w:rPr>
                <w:sz w:val="20"/>
                <w:szCs w:val="20"/>
              </w:rPr>
              <w:t xml:space="preserve">, </w:t>
            </w:r>
            <w:r w:rsidR="00C33CBE" w:rsidRPr="004B0D48">
              <w:rPr>
                <w:sz w:val="20"/>
                <w:szCs w:val="20"/>
              </w:rPr>
              <w:t xml:space="preserve">TS </w:t>
            </w:r>
            <w:r w:rsidRPr="00800D11">
              <w:rPr>
                <w:sz w:val="20"/>
                <w:szCs w:val="20"/>
              </w:rPr>
              <w:t xml:space="preserve">EN 15267-2, </w:t>
            </w:r>
            <w:r w:rsidR="00C33CBE" w:rsidRPr="00E73DA3">
              <w:rPr>
                <w:sz w:val="20"/>
                <w:szCs w:val="20"/>
              </w:rPr>
              <w:t xml:space="preserve">TS </w:t>
            </w:r>
            <w:r w:rsidRPr="00BF4451">
              <w:rPr>
                <w:sz w:val="20"/>
                <w:szCs w:val="20"/>
              </w:rPr>
              <w:t xml:space="preserve">EN 15267-3 ve </w:t>
            </w:r>
            <w:r w:rsidR="00C33CBE" w:rsidRPr="00BF4451">
              <w:rPr>
                <w:sz w:val="20"/>
                <w:szCs w:val="20"/>
              </w:rPr>
              <w:t xml:space="preserve">TS </w:t>
            </w:r>
            <w:r w:rsidRPr="00BF4451">
              <w:rPr>
                <w:sz w:val="20"/>
                <w:szCs w:val="20"/>
              </w:rPr>
              <w:t>EN 14181.</w:t>
            </w:r>
          </w:p>
          <w:p w14:paraId="42459D17" w14:textId="1122A6F2" w:rsidR="00C34087" w:rsidRPr="004B0D48" w:rsidRDefault="00C34087" w:rsidP="00602365">
            <w:pPr>
              <w:pStyle w:val="ListeParagraf"/>
              <w:numPr>
                <w:ilvl w:val="0"/>
                <w:numId w:val="164"/>
              </w:numPr>
              <w:spacing w:line="240" w:lineRule="auto"/>
              <w:ind w:left="482" w:hanging="425"/>
              <w:rPr>
                <w:sz w:val="20"/>
                <w:szCs w:val="20"/>
              </w:rPr>
            </w:pPr>
            <w:r w:rsidRPr="004B0D48">
              <w:rPr>
                <w:sz w:val="20"/>
                <w:szCs w:val="20"/>
              </w:rPr>
              <w:t xml:space="preserve">Ölçümler sürekli ise </w:t>
            </w:r>
            <w:r w:rsidR="007237E2" w:rsidRPr="004B0D48">
              <w:rPr>
                <w:sz w:val="20"/>
                <w:szCs w:val="20"/>
              </w:rPr>
              <w:t>TS EN 13284-2</w:t>
            </w:r>
            <w:r w:rsidRPr="004B0D48">
              <w:rPr>
                <w:sz w:val="20"/>
                <w:szCs w:val="20"/>
              </w:rPr>
              <w:t xml:space="preserve"> de geçerlidir.</w:t>
            </w:r>
          </w:p>
          <w:p w14:paraId="47540038" w14:textId="77777777" w:rsidR="00C34087" w:rsidRPr="004B0D48" w:rsidRDefault="00C34087" w:rsidP="00602365">
            <w:pPr>
              <w:pStyle w:val="ListeParagraf"/>
              <w:numPr>
                <w:ilvl w:val="0"/>
                <w:numId w:val="164"/>
              </w:numPr>
              <w:spacing w:line="240" w:lineRule="auto"/>
              <w:ind w:left="482" w:hanging="425"/>
              <w:rPr>
                <w:sz w:val="20"/>
                <w:szCs w:val="20"/>
              </w:rPr>
            </w:pPr>
            <w:r w:rsidRPr="004B0D48">
              <w:rPr>
                <w:sz w:val="20"/>
                <w:szCs w:val="20"/>
              </w:rPr>
              <w:t xml:space="preserve">Emisyon seviyelerinin yeterince stabil olduğu kanıtlanırsa, daha düşük bir izleme sıklığı </w:t>
            </w:r>
            <w:r w:rsidRPr="004B0D48">
              <w:rPr>
                <w:sz w:val="20"/>
                <w:szCs w:val="20"/>
              </w:rPr>
              <w:lastRenderedPageBreak/>
              <w:t>benimsenebilir, ancak her durumda en az 3 yılda bir.</w:t>
            </w:r>
          </w:p>
          <w:p w14:paraId="119A56BF" w14:textId="015C87F4" w:rsidR="00C34087" w:rsidRPr="004B0D48" w:rsidRDefault="00651500" w:rsidP="00602365">
            <w:pPr>
              <w:pStyle w:val="ListeParagraf"/>
              <w:numPr>
                <w:ilvl w:val="0"/>
                <w:numId w:val="164"/>
              </w:numPr>
              <w:spacing w:line="240" w:lineRule="auto"/>
              <w:ind w:left="482" w:hanging="425"/>
              <w:rPr>
                <w:sz w:val="20"/>
                <w:szCs w:val="20"/>
              </w:rPr>
            </w:pPr>
            <w:r w:rsidRPr="004B0D48">
              <w:rPr>
                <w:sz w:val="20"/>
                <w:szCs w:val="20"/>
              </w:rPr>
              <w:t>MET</w:t>
            </w:r>
            <w:r w:rsidR="00C34087" w:rsidRPr="004B0D48">
              <w:rPr>
                <w:sz w:val="20"/>
                <w:szCs w:val="20"/>
              </w:rPr>
              <w:t>62</w:t>
            </w:r>
            <w:r w:rsidR="00E56504" w:rsidRPr="004B0D48">
              <w:rPr>
                <w:sz w:val="20"/>
                <w:szCs w:val="20"/>
              </w:rPr>
              <w:t>’</w:t>
            </w:r>
            <w:r w:rsidR="00C34087" w:rsidRPr="004B0D48">
              <w:rPr>
                <w:sz w:val="20"/>
                <w:szCs w:val="20"/>
              </w:rPr>
              <w:t>nin (a) veya (b) tekniklerinin uygulanabilir olmaması durumunda, dekapaj banyosunun üzerindeki gaz fazında HCl konsantrasyonunun ölçümü yılda en az bir kez yapılır.</w:t>
            </w:r>
          </w:p>
          <w:p w14:paraId="3DCE629B" w14:textId="671ADB2A" w:rsidR="00C34087" w:rsidRPr="004B0D48" w:rsidRDefault="00C34087" w:rsidP="00602365">
            <w:pPr>
              <w:pStyle w:val="ListeParagraf"/>
              <w:numPr>
                <w:ilvl w:val="0"/>
                <w:numId w:val="164"/>
              </w:numPr>
              <w:spacing w:line="240" w:lineRule="auto"/>
              <w:ind w:left="482" w:hanging="425"/>
              <w:rPr>
                <w:sz w:val="20"/>
                <w:szCs w:val="20"/>
              </w:rPr>
            </w:pPr>
            <w:r w:rsidRPr="004B0D48">
              <w:rPr>
                <w:sz w:val="20"/>
                <w:szCs w:val="20"/>
              </w:rPr>
              <w:t>İzleme yalnızca ilgili maddenin MET 2</w:t>
            </w:r>
            <w:r w:rsidR="00E56504" w:rsidRPr="004B0D48">
              <w:rPr>
                <w:sz w:val="20"/>
                <w:szCs w:val="20"/>
              </w:rPr>
              <w:t>’</w:t>
            </w:r>
            <w:r w:rsidRPr="004B0D48">
              <w:rPr>
                <w:sz w:val="20"/>
                <w:szCs w:val="20"/>
              </w:rPr>
              <w:t>de verilen envantere dayalı olarak atık gaz akışında ilgili olduğu tespit edildiğinde uygulanır.</w:t>
            </w:r>
          </w:p>
          <w:p w14:paraId="16B628B1" w14:textId="0A308852" w:rsidR="00C34087" w:rsidRPr="009077F5" w:rsidRDefault="00C34087" w:rsidP="00602365">
            <w:pPr>
              <w:pStyle w:val="ListeParagraf"/>
              <w:numPr>
                <w:ilvl w:val="0"/>
                <w:numId w:val="164"/>
              </w:numPr>
              <w:spacing w:line="240" w:lineRule="auto"/>
              <w:ind w:left="482" w:hanging="425"/>
              <w:rPr>
                <w:sz w:val="24"/>
                <w:szCs w:val="24"/>
              </w:rPr>
            </w:pPr>
            <w:r w:rsidRPr="004B0D48">
              <w:rPr>
                <w:sz w:val="20"/>
                <w:szCs w:val="20"/>
              </w:rPr>
              <w:t>Yakıt olarak sadece doğal gaz kullanıldığında veya sadece elektrik kullanıldığında izleme uygulanmamaktadır.</w:t>
            </w:r>
          </w:p>
        </w:tc>
      </w:tr>
    </w:tbl>
    <w:p w14:paraId="2B1DBA8E" w14:textId="77777777" w:rsidR="0071694E" w:rsidRPr="00D53A2B" w:rsidRDefault="0071694E" w:rsidP="00A202FD">
      <w:pPr>
        <w:jc w:val="both"/>
        <w:rPr>
          <w:rFonts w:eastAsia="Calibri"/>
          <w:lang w:eastAsia="en-US"/>
        </w:rPr>
      </w:pPr>
    </w:p>
    <w:p w14:paraId="2E8AB620" w14:textId="005EB658" w:rsidR="0071694E" w:rsidRPr="00D53A2B" w:rsidRDefault="00E470A4" w:rsidP="00A202FD">
      <w:pPr>
        <w:pStyle w:val="MET"/>
        <w:rPr>
          <w:rFonts w:eastAsia="Calibri"/>
          <w:szCs w:val="24"/>
        </w:rPr>
      </w:pPr>
      <w:r w:rsidRPr="00D53A2B">
        <w:rPr>
          <w:rFonts w:eastAsia="Calibri"/>
          <w:szCs w:val="24"/>
        </w:rPr>
        <w:t xml:space="preserve">MET 8: </w:t>
      </w:r>
      <w:r w:rsidRPr="00D53A2B">
        <w:rPr>
          <w:rFonts w:eastAsia="Calibri"/>
          <w:b w:val="0"/>
          <w:bCs/>
          <w:szCs w:val="24"/>
        </w:rPr>
        <w:t>Suya salınan emisyonlar en azından aşağıda verilen sıklıkta ve EN standartlarına uygun olarak izlemelidir. EN standartlarının mevcut olmaması halinde MET, eşdeğer bilimsel kalitede verilerin sağlanmasını temin eden ISO, ulusal veya diğer uluslararası standartları kullan</w:t>
      </w:r>
      <w:r w:rsidR="00BD3576" w:rsidRPr="00D53A2B">
        <w:rPr>
          <w:rFonts w:eastAsia="Calibri"/>
          <w:b w:val="0"/>
          <w:bCs/>
          <w:szCs w:val="24"/>
        </w:rPr>
        <w:t>ılır</w:t>
      </w:r>
      <w:r w:rsidRPr="00D53A2B">
        <w:rPr>
          <w:rFonts w:eastAsia="Calibri"/>
          <w:b w:val="0"/>
          <w:bCs/>
          <w:szCs w:val="24"/>
        </w:rPr>
        <w:t>.</w:t>
      </w:r>
    </w:p>
    <w:p w14:paraId="133E330C" w14:textId="77777777" w:rsidR="0071694E" w:rsidRPr="00D53A2B" w:rsidRDefault="0071694E" w:rsidP="00A202FD">
      <w:pPr>
        <w:jc w:val="both"/>
        <w:rPr>
          <w:rFonts w:eastAsia="Calibri"/>
          <w:lang w:eastAsia="en-US"/>
        </w:rPr>
      </w:pPr>
      <w:bookmarkStart w:id="39" w:name="page738"/>
      <w:bookmarkEnd w:id="39"/>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4"/>
        <w:gridCol w:w="1417"/>
        <w:gridCol w:w="1559"/>
        <w:gridCol w:w="1701"/>
        <w:gridCol w:w="1843"/>
        <w:gridCol w:w="992"/>
      </w:tblGrid>
      <w:tr w:rsidR="00F72785" w:rsidRPr="004B0D48" w14:paraId="795F3628" w14:textId="77777777" w:rsidTr="000F45CE">
        <w:trPr>
          <w:trHeight w:val="1100"/>
        </w:trPr>
        <w:tc>
          <w:tcPr>
            <w:tcW w:w="3261" w:type="dxa"/>
            <w:gridSpan w:val="2"/>
            <w:shd w:val="clear" w:color="auto" w:fill="auto"/>
            <w:vAlign w:val="center"/>
          </w:tcPr>
          <w:p w14:paraId="54390436" w14:textId="77777777" w:rsidR="0071694E" w:rsidRPr="009077F5" w:rsidRDefault="0071694E" w:rsidP="004B0D48">
            <w:pPr>
              <w:pStyle w:val="KonuBal"/>
              <w:rPr>
                <w:sz w:val="24"/>
                <w:szCs w:val="24"/>
              </w:rPr>
            </w:pPr>
            <w:r w:rsidRPr="009077F5">
              <w:rPr>
                <w:sz w:val="24"/>
                <w:szCs w:val="24"/>
              </w:rPr>
              <w:t>Madde/Parametre</w:t>
            </w:r>
          </w:p>
        </w:tc>
        <w:tc>
          <w:tcPr>
            <w:tcW w:w="1559" w:type="dxa"/>
            <w:shd w:val="clear" w:color="auto" w:fill="auto"/>
            <w:vAlign w:val="center"/>
          </w:tcPr>
          <w:p w14:paraId="2A6375F1" w14:textId="77777777" w:rsidR="0071694E" w:rsidRPr="009077F5" w:rsidRDefault="0071694E" w:rsidP="004B0D48">
            <w:pPr>
              <w:pStyle w:val="KonuBal"/>
              <w:rPr>
                <w:sz w:val="24"/>
                <w:szCs w:val="24"/>
              </w:rPr>
            </w:pPr>
            <w:r w:rsidRPr="009077F5">
              <w:rPr>
                <w:sz w:val="24"/>
                <w:szCs w:val="24"/>
              </w:rPr>
              <w:t>Spesifik proses(ler)</w:t>
            </w:r>
          </w:p>
        </w:tc>
        <w:tc>
          <w:tcPr>
            <w:tcW w:w="1701" w:type="dxa"/>
            <w:shd w:val="clear" w:color="auto" w:fill="auto"/>
            <w:vAlign w:val="center"/>
          </w:tcPr>
          <w:p w14:paraId="44B06EB9" w14:textId="77777777" w:rsidR="0071694E" w:rsidRPr="009077F5" w:rsidRDefault="0071694E" w:rsidP="004B0D48">
            <w:pPr>
              <w:pStyle w:val="KonuBal"/>
              <w:rPr>
                <w:sz w:val="24"/>
                <w:szCs w:val="24"/>
              </w:rPr>
            </w:pPr>
            <w:r w:rsidRPr="009077F5">
              <w:rPr>
                <w:sz w:val="24"/>
                <w:szCs w:val="24"/>
              </w:rPr>
              <w:t>Standart(lar)</w:t>
            </w:r>
          </w:p>
        </w:tc>
        <w:tc>
          <w:tcPr>
            <w:tcW w:w="1843" w:type="dxa"/>
            <w:shd w:val="clear" w:color="auto" w:fill="auto"/>
            <w:vAlign w:val="center"/>
          </w:tcPr>
          <w:p w14:paraId="7C4A4DBC" w14:textId="319FF573" w:rsidR="0071694E" w:rsidRPr="009077F5" w:rsidRDefault="0071694E" w:rsidP="004B0D48">
            <w:pPr>
              <w:pStyle w:val="KonuBal"/>
              <w:rPr>
                <w:sz w:val="24"/>
                <w:szCs w:val="24"/>
              </w:rPr>
            </w:pPr>
            <w:r w:rsidRPr="009077F5">
              <w:rPr>
                <w:sz w:val="24"/>
                <w:szCs w:val="24"/>
              </w:rPr>
              <w:t>Minimum</w:t>
            </w:r>
            <w:r w:rsidR="00E470A4" w:rsidRPr="009077F5">
              <w:rPr>
                <w:sz w:val="24"/>
                <w:szCs w:val="24"/>
              </w:rPr>
              <w:t xml:space="preserve"> </w:t>
            </w:r>
            <w:r w:rsidRPr="009077F5">
              <w:rPr>
                <w:sz w:val="24"/>
                <w:szCs w:val="24"/>
              </w:rPr>
              <w:t>izleme</w:t>
            </w:r>
            <w:r w:rsidR="00E470A4" w:rsidRPr="009077F5">
              <w:rPr>
                <w:sz w:val="24"/>
                <w:szCs w:val="24"/>
              </w:rPr>
              <w:t xml:space="preserve"> </w:t>
            </w:r>
            <w:r w:rsidRPr="009077F5">
              <w:rPr>
                <w:sz w:val="24"/>
                <w:szCs w:val="24"/>
              </w:rPr>
              <w:t>sıklığı</w:t>
            </w:r>
            <w:r w:rsidR="00E470A4" w:rsidRPr="009077F5">
              <w:rPr>
                <w:sz w:val="24"/>
                <w:szCs w:val="24"/>
              </w:rPr>
              <w:t xml:space="preserve"> </w:t>
            </w:r>
            <w:r w:rsidRPr="009077F5">
              <w:rPr>
                <w:sz w:val="24"/>
                <w:szCs w:val="24"/>
              </w:rPr>
              <w:t>(</w:t>
            </w:r>
            <w:r w:rsidRPr="009077F5">
              <w:rPr>
                <w:sz w:val="24"/>
                <w:szCs w:val="24"/>
                <w:vertAlign w:val="superscript"/>
              </w:rPr>
              <w:t>1</w:t>
            </w:r>
            <w:r w:rsidRPr="009077F5">
              <w:rPr>
                <w:sz w:val="24"/>
                <w:szCs w:val="24"/>
              </w:rPr>
              <w:t>)</w:t>
            </w:r>
          </w:p>
        </w:tc>
        <w:tc>
          <w:tcPr>
            <w:tcW w:w="992" w:type="dxa"/>
            <w:shd w:val="clear" w:color="auto" w:fill="auto"/>
            <w:vAlign w:val="center"/>
          </w:tcPr>
          <w:p w14:paraId="499522A7" w14:textId="77777777" w:rsidR="0071694E" w:rsidRPr="009077F5" w:rsidRDefault="0071694E" w:rsidP="004B0D48">
            <w:pPr>
              <w:pStyle w:val="KonuBal"/>
              <w:rPr>
                <w:sz w:val="24"/>
                <w:szCs w:val="24"/>
              </w:rPr>
            </w:pPr>
            <w:r w:rsidRPr="009077F5">
              <w:rPr>
                <w:sz w:val="24"/>
                <w:szCs w:val="24"/>
              </w:rPr>
              <w:t>İzleme ile ilgili MET</w:t>
            </w:r>
          </w:p>
        </w:tc>
      </w:tr>
      <w:tr w:rsidR="00F72785" w:rsidRPr="004B0D48" w14:paraId="007FD5FD" w14:textId="77777777" w:rsidTr="000F45CE">
        <w:trPr>
          <w:trHeight w:val="195"/>
        </w:trPr>
        <w:tc>
          <w:tcPr>
            <w:tcW w:w="3261" w:type="dxa"/>
            <w:gridSpan w:val="2"/>
            <w:shd w:val="clear" w:color="auto" w:fill="auto"/>
            <w:vAlign w:val="bottom"/>
          </w:tcPr>
          <w:p w14:paraId="54ADA666" w14:textId="6097F9EB" w:rsidR="00322889" w:rsidRPr="009077F5" w:rsidRDefault="00322889" w:rsidP="004B0D48">
            <w:pPr>
              <w:pStyle w:val="KonuBal"/>
              <w:rPr>
                <w:sz w:val="24"/>
                <w:szCs w:val="24"/>
              </w:rPr>
            </w:pPr>
            <w:r w:rsidRPr="009077F5">
              <w:rPr>
                <w:sz w:val="24"/>
                <w:szCs w:val="24"/>
              </w:rPr>
              <w:t>Toplam askıda katı maddeler (TAKM) (</w:t>
            </w:r>
            <w:r w:rsidRPr="009077F5">
              <w:rPr>
                <w:sz w:val="24"/>
                <w:szCs w:val="24"/>
                <w:vertAlign w:val="superscript"/>
              </w:rPr>
              <w:t>2</w:t>
            </w:r>
            <w:r w:rsidRPr="009077F5">
              <w:rPr>
                <w:sz w:val="24"/>
                <w:szCs w:val="24"/>
              </w:rPr>
              <w:t>)</w:t>
            </w:r>
          </w:p>
        </w:tc>
        <w:tc>
          <w:tcPr>
            <w:tcW w:w="1559" w:type="dxa"/>
            <w:shd w:val="clear" w:color="auto" w:fill="auto"/>
            <w:vAlign w:val="bottom"/>
          </w:tcPr>
          <w:p w14:paraId="24D5794A" w14:textId="77777777" w:rsidR="00322889" w:rsidRPr="009077F5" w:rsidRDefault="00322889" w:rsidP="004B0D48">
            <w:pPr>
              <w:pStyle w:val="KonuBal"/>
              <w:rPr>
                <w:sz w:val="24"/>
                <w:szCs w:val="24"/>
              </w:rPr>
            </w:pPr>
            <w:r w:rsidRPr="009077F5">
              <w:rPr>
                <w:sz w:val="24"/>
                <w:szCs w:val="24"/>
              </w:rPr>
              <w:t xml:space="preserve">Tüm prosesler </w:t>
            </w:r>
          </w:p>
        </w:tc>
        <w:tc>
          <w:tcPr>
            <w:tcW w:w="1701" w:type="dxa"/>
            <w:shd w:val="clear" w:color="auto" w:fill="auto"/>
            <w:vAlign w:val="bottom"/>
          </w:tcPr>
          <w:p w14:paraId="2C9AC461" w14:textId="412BFC9A" w:rsidR="00322889" w:rsidRPr="009077F5" w:rsidRDefault="007237E2" w:rsidP="004B0D48">
            <w:pPr>
              <w:pStyle w:val="KonuBal"/>
              <w:rPr>
                <w:sz w:val="24"/>
                <w:szCs w:val="24"/>
              </w:rPr>
            </w:pPr>
            <w:r w:rsidRPr="009077F5">
              <w:rPr>
                <w:sz w:val="24"/>
                <w:szCs w:val="24"/>
              </w:rPr>
              <w:t>TS EN 872</w:t>
            </w:r>
          </w:p>
        </w:tc>
        <w:tc>
          <w:tcPr>
            <w:tcW w:w="1843" w:type="dxa"/>
            <w:shd w:val="clear" w:color="auto" w:fill="auto"/>
            <w:vAlign w:val="bottom"/>
          </w:tcPr>
          <w:p w14:paraId="486C956E" w14:textId="06380C41" w:rsidR="00322889" w:rsidRPr="009077F5" w:rsidRDefault="00322889" w:rsidP="004B0D48">
            <w:pPr>
              <w:pStyle w:val="KonuBal"/>
              <w:rPr>
                <w:sz w:val="24"/>
                <w:szCs w:val="24"/>
              </w:rPr>
            </w:pPr>
            <w:r w:rsidRPr="009077F5">
              <w:rPr>
                <w:sz w:val="24"/>
                <w:szCs w:val="24"/>
              </w:rPr>
              <w:t>Haftada bir kez (</w:t>
            </w:r>
            <w:r w:rsidRPr="009077F5">
              <w:rPr>
                <w:sz w:val="24"/>
                <w:szCs w:val="24"/>
                <w:vertAlign w:val="superscript"/>
              </w:rPr>
              <w:t>3</w:t>
            </w:r>
            <w:r w:rsidRPr="009077F5">
              <w:rPr>
                <w:sz w:val="24"/>
                <w:szCs w:val="24"/>
              </w:rPr>
              <w:t>)</w:t>
            </w:r>
          </w:p>
        </w:tc>
        <w:tc>
          <w:tcPr>
            <w:tcW w:w="992" w:type="dxa"/>
            <w:vMerge w:val="restart"/>
            <w:shd w:val="clear" w:color="auto" w:fill="auto"/>
            <w:vAlign w:val="center"/>
          </w:tcPr>
          <w:p w14:paraId="08AD6EC9" w14:textId="1F5E8C69" w:rsidR="00322889" w:rsidRPr="009077F5" w:rsidRDefault="00322889" w:rsidP="004B0D48">
            <w:pPr>
              <w:pStyle w:val="KonuBal"/>
              <w:rPr>
                <w:sz w:val="24"/>
                <w:szCs w:val="24"/>
              </w:rPr>
            </w:pPr>
            <w:r w:rsidRPr="009077F5">
              <w:rPr>
                <w:sz w:val="24"/>
                <w:szCs w:val="24"/>
              </w:rPr>
              <w:t>MET 31</w:t>
            </w:r>
          </w:p>
        </w:tc>
      </w:tr>
      <w:tr w:rsidR="00F72785" w:rsidRPr="004B0D48" w14:paraId="6C62D779" w14:textId="77777777" w:rsidTr="000F45CE">
        <w:trPr>
          <w:trHeight w:val="153"/>
        </w:trPr>
        <w:tc>
          <w:tcPr>
            <w:tcW w:w="3261" w:type="dxa"/>
            <w:gridSpan w:val="2"/>
            <w:shd w:val="clear" w:color="auto" w:fill="auto"/>
            <w:vAlign w:val="bottom"/>
          </w:tcPr>
          <w:p w14:paraId="4340EA88" w14:textId="2B850ECD" w:rsidR="00322889" w:rsidRPr="009077F5" w:rsidRDefault="00322889" w:rsidP="004B0D48">
            <w:pPr>
              <w:pStyle w:val="KonuBal"/>
              <w:rPr>
                <w:sz w:val="24"/>
                <w:szCs w:val="24"/>
              </w:rPr>
            </w:pPr>
            <w:r w:rsidRPr="009077F5">
              <w:rPr>
                <w:sz w:val="24"/>
                <w:szCs w:val="24"/>
              </w:rPr>
              <w:t>Toplam organik karbon (TOK) (</w:t>
            </w:r>
            <w:r w:rsidRPr="009077F5">
              <w:rPr>
                <w:sz w:val="24"/>
                <w:szCs w:val="24"/>
                <w:vertAlign w:val="superscript"/>
              </w:rPr>
              <w:t>2</w:t>
            </w:r>
            <w:r w:rsidRPr="009077F5">
              <w:rPr>
                <w:sz w:val="24"/>
                <w:szCs w:val="24"/>
              </w:rPr>
              <w:t>) (</w:t>
            </w:r>
            <w:r w:rsidRPr="009077F5">
              <w:rPr>
                <w:sz w:val="24"/>
                <w:szCs w:val="24"/>
                <w:vertAlign w:val="superscript"/>
              </w:rPr>
              <w:t>4</w:t>
            </w:r>
            <w:r w:rsidRPr="009077F5">
              <w:rPr>
                <w:sz w:val="24"/>
                <w:szCs w:val="24"/>
              </w:rPr>
              <w:t>)</w:t>
            </w:r>
          </w:p>
        </w:tc>
        <w:tc>
          <w:tcPr>
            <w:tcW w:w="1559" w:type="dxa"/>
            <w:shd w:val="clear" w:color="auto" w:fill="auto"/>
            <w:vAlign w:val="bottom"/>
          </w:tcPr>
          <w:p w14:paraId="2C722FE9" w14:textId="0D3C2EF4" w:rsidR="00322889" w:rsidRPr="009077F5" w:rsidRDefault="00322889" w:rsidP="004B0D48">
            <w:pPr>
              <w:pStyle w:val="KonuBal"/>
              <w:rPr>
                <w:sz w:val="24"/>
                <w:szCs w:val="24"/>
              </w:rPr>
            </w:pPr>
            <w:r w:rsidRPr="009077F5">
              <w:rPr>
                <w:sz w:val="24"/>
                <w:szCs w:val="24"/>
              </w:rPr>
              <w:t>Tüm prosesler</w:t>
            </w:r>
          </w:p>
        </w:tc>
        <w:tc>
          <w:tcPr>
            <w:tcW w:w="1701" w:type="dxa"/>
            <w:shd w:val="clear" w:color="auto" w:fill="auto"/>
            <w:vAlign w:val="bottom"/>
          </w:tcPr>
          <w:p w14:paraId="33A4CE0B" w14:textId="23520F02" w:rsidR="00322889" w:rsidRPr="009077F5" w:rsidRDefault="007237E2" w:rsidP="004B0D48">
            <w:pPr>
              <w:pStyle w:val="KonuBal"/>
              <w:rPr>
                <w:sz w:val="24"/>
                <w:szCs w:val="24"/>
              </w:rPr>
            </w:pPr>
            <w:r w:rsidRPr="009077F5">
              <w:rPr>
                <w:sz w:val="24"/>
                <w:szCs w:val="24"/>
              </w:rPr>
              <w:t xml:space="preserve">TS 8195 </w:t>
            </w:r>
            <w:r w:rsidR="00322889" w:rsidRPr="009077F5">
              <w:rPr>
                <w:sz w:val="24"/>
                <w:szCs w:val="24"/>
              </w:rPr>
              <w:t>EN 1484</w:t>
            </w:r>
          </w:p>
        </w:tc>
        <w:tc>
          <w:tcPr>
            <w:tcW w:w="1843" w:type="dxa"/>
            <w:vMerge w:val="restart"/>
            <w:shd w:val="clear" w:color="auto" w:fill="auto"/>
            <w:vAlign w:val="center"/>
          </w:tcPr>
          <w:p w14:paraId="54815203" w14:textId="2D597019" w:rsidR="00322889" w:rsidRPr="009077F5" w:rsidRDefault="00322889" w:rsidP="004B0D48">
            <w:pPr>
              <w:pStyle w:val="KonuBal"/>
              <w:rPr>
                <w:sz w:val="24"/>
                <w:szCs w:val="24"/>
              </w:rPr>
            </w:pPr>
            <w:r w:rsidRPr="009077F5">
              <w:rPr>
                <w:sz w:val="24"/>
                <w:szCs w:val="24"/>
              </w:rPr>
              <w:t>Ayda bir kez</w:t>
            </w:r>
          </w:p>
        </w:tc>
        <w:tc>
          <w:tcPr>
            <w:tcW w:w="992" w:type="dxa"/>
            <w:vMerge/>
            <w:shd w:val="clear" w:color="auto" w:fill="auto"/>
            <w:vAlign w:val="bottom"/>
          </w:tcPr>
          <w:p w14:paraId="00342B04" w14:textId="77777777" w:rsidR="00322889" w:rsidRPr="009077F5" w:rsidRDefault="00322889">
            <w:pPr>
              <w:pStyle w:val="KonuBal"/>
              <w:rPr>
                <w:sz w:val="24"/>
                <w:szCs w:val="24"/>
              </w:rPr>
            </w:pPr>
          </w:p>
        </w:tc>
      </w:tr>
      <w:tr w:rsidR="00F72785" w:rsidRPr="004B0D48" w14:paraId="366AED55" w14:textId="77777777" w:rsidTr="000F45CE">
        <w:trPr>
          <w:trHeight w:val="196"/>
        </w:trPr>
        <w:tc>
          <w:tcPr>
            <w:tcW w:w="3261" w:type="dxa"/>
            <w:gridSpan w:val="2"/>
            <w:shd w:val="clear" w:color="auto" w:fill="auto"/>
            <w:vAlign w:val="bottom"/>
          </w:tcPr>
          <w:p w14:paraId="36A6A3FB" w14:textId="7650DA2F" w:rsidR="00322889" w:rsidRPr="009077F5" w:rsidRDefault="00322889" w:rsidP="004B0D48">
            <w:pPr>
              <w:pStyle w:val="KonuBal"/>
              <w:rPr>
                <w:sz w:val="24"/>
                <w:szCs w:val="24"/>
              </w:rPr>
            </w:pPr>
            <w:r w:rsidRPr="009077F5">
              <w:rPr>
                <w:sz w:val="24"/>
                <w:szCs w:val="24"/>
              </w:rPr>
              <w:t>Kimyasal oksijen ihtiyacı (KOİ) (</w:t>
            </w:r>
            <w:r w:rsidRPr="009077F5">
              <w:rPr>
                <w:sz w:val="24"/>
                <w:szCs w:val="24"/>
                <w:vertAlign w:val="superscript"/>
              </w:rPr>
              <w:t>2</w:t>
            </w:r>
            <w:r w:rsidRPr="009077F5">
              <w:rPr>
                <w:sz w:val="24"/>
                <w:szCs w:val="24"/>
              </w:rPr>
              <w:t>) (</w:t>
            </w:r>
            <w:r w:rsidRPr="009077F5">
              <w:rPr>
                <w:sz w:val="24"/>
                <w:szCs w:val="24"/>
                <w:vertAlign w:val="superscript"/>
              </w:rPr>
              <w:t>4</w:t>
            </w:r>
            <w:r w:rsidRPr="009077F5">
              <w:rPr>
                <w:sz w:val="24"/>
                <w:szCs w:val="24"/>
              </w:rPr>
              <w:t>)</w:t>
            </w:r>
          </w:p>
        </w:tc>
        <w:tc>
          <w:tcPr>
            <w:tcW w:w="1559" w:type="dxa"/>
            <w:shd w:val="clear" w:color="auto" w:fill="auto"/>
            <w:vAlign w:val="bottom"/>
          </w:tcPr>
          <w:p w14:paraId="31ED9227" w14:textId="0F32D0E8" w:rsidR="00322889" w:rsidRPr="009077F5" w:rsidRDefault="00322889" w:rsidP="004B0D48">
            <w:pPr>
              <w:pStyle w:val="KonuBal"/>
              <w:rPr>
                <w:sz w:val="24"/>
                <w:szCs w:val="24"/>
              </w:rPr>
            </w:pPr>
            <w:r w:rsidRPr="009077F5">
              <w:rPr>
                <w:sz w:val="24"/>
                <w:szCs w:val="24"/>
              </w:rPr>
              <w:t>Tüm prosesler</w:t>
            </w:r>
          </w:p>
        </w:tc>
        <w:tc>
          <w:tcPr>
            <w:tcW w:w="1701" w:type="dxa"/>
            <w:shd w:val="clear" w:color="auto" w:fill="auto"/>
            <w:vAlign w:val="bottom"/>
          </w:tcPr>
          <w:p w14:paraId="020C9DF7" w14:textId="50C16573" w:rsidR="00322889" w:rsidRPr="009077F5" w:rsidRDefault="00322889" w:rsidP="004B0D48">
            <w:pPr>
              <w:pStyle w:val="KonuBal"/>
              <w:rPr>
                <w:sz w:val="24"/>
                <w:szCs w:val="24"/>
              </w:rPr>
            </w:pPr>
            <w:r w:rsidRPr="009077F5">
              <w:rPr>
                <w:sz w:val="24"/>
                <w:szCs w:val="24"/>
              </w:rPr>
              <w:t>EN standardı mevcut değil</w:t>
            </w:r>
          </w:p>
        </w:tc>
        <w:tc>
          <w:tcPr>
            <w:tcW w:w="1843" w:type="dxa"/>
            <w:vMerge/>
            <w:shd w:val="clear" w:color="auto" w:fill="auto"/>
            <w:vAlign w:val="bottom"/>
          </w:tcPr>
          <w:p w14:paraId="3914BE42" w14:textId="77777777" w:rsidR="00322889" w:rsidRPr="009077F5" w:rsidRDefault="00322889">
            <w:pPr>
              <w:pStyle w:val="KonuBal"/>
              <w:rPr>
                <w:sz w:val="24"/>
                <w:szCs w:val="24"/>
              </w:rPr>
            </w:pPr>
          </w:p>
        </w:tc>
        <w:tc>
          <w:tcPr>
            <w:tcW w:w="992" w:type="dxa"/>
            <w:vMerge/>
            <w:shd w:val="clear" w:color="auto" w:fill="auto"/>
            <w:vAlign w:val="bottom"/>
          </w:tcPr>
          <w:p w14:paraId="6BD3C64A" w14:textId="77777777" w:rsidR="00322889" w:rsidRPr="009077F5" w:rsidRDefault="00322889">
            <w:pPr>
              <w:pStyle w:val="KonuBal"/>
              <w:rPr>
                <w:sz w:val="24"/>
                <w:szCs w:val="24"/>
              </w:rPr>
            </w:pPr>
          </w:p>
        </w:tc>
      </w:tr>
      <w:tr w:rsidR="00F72785" w:rsidRPr="004B0D48" w14:paraId="44F1133F" w14:textId="77777777" w:rsidTr="000F45CE">
        <w:trPr>
          <w:trHeight w:val="153"/>
        </w:trPr>
        <w:tc>
          <w:tcPr>
            <w:tcW w:w="3261" w:type="dxa"/>
            <w:gridSpan w:val="2"/>
            <w:shd w:val="clear" w:color="auto" w:fill="auto"/>
            <w:vAlign w:val="bottom"/>
          </w:tcPr>
          <w:p w14:paraId="3F1FB7D0" w14:textId="030E81EF" w:rsidR="00322889" w:rsidRPr="009077F5" w:rsidRDefault="00322889" w:rsidP="004B0D48">
            <w:pPr>
              <w:pStyle w:val="KonuBal"/>
              <w:rPr>
                <w:sz w:val="24"/>
                <w:szCs w:val="24"/>
              </w:rPr>
            </w:pPr>
            <w:r w:rsidRPr="009077F5">
              <w:rPr>
                <w:sz w:val="24"/>
                <w:szCs w:val="24"/>
              </w:rPr>
              <w:t>Hidrokarbon yağ endeksi</w:t>
            </w:r>
            <w:r w:rsidR="0001612C" w:rsidRPr="009077F5">
              <w:rPr>
                <w:sz w:val="24"/>
                <w:szCs w:val="24"/>
              </w:rPr>
              <w:t xml:space="preserve"> </w:t>
            </w:r>
            <w:r w:rsidRPr="009077F5">
              <w:rPr>
                <w:sz w:val="24"/>
                <w:szCs w:val="24"/>
              </w:rPr>
              <w:t>(HYI) (</w:t>
            </w:r>
            <w:r w:rsidRPr="009077F5">
              <w:rPr>
                <w:sz w:val="24"/>
                <w:szCs w:val="24"/>
                <w:vertAlign w:val="superscript"/>
              </w:rPr>
              <w:t>5</w:t>
            </w:r>
            <w:r w:rsidRPr="009077F5">
              <w:rPr>
                <w:sz w:val="24"/>
                <w:szCs w:val="24"/>
              </w:rPr>
              <w:t>)</w:t>
            </w:r>
          </w:p>
        </w:tc>
        <w:tc>
          <w:tcPr>
            <w:tcW w:w="1559" w:type="dxa"/>
            <w:shd w:val="clear" w:color="auto" w:fill="auto"/>
            <w:vAlign w:val="bottom"/>
          </w:tcPr>
          <w:p w14:paraId="3EDB698C" w14:textId="3462B7C0" w:rsidR="00322889" w:rsidRPr="009077F5" w:rsidRDefault="00322889" w:rsidP="004B0D48">
            <w:pPr>
              <w:pStyle w:val="KonuBal"/>
              <w:rPr>
                <w:sz w:val="24"/>
                <w:szCs w:val="24"/>
              </w:rPr>
            </w:pPr>
            <w:r w:rsidRPr="009077F5">
              <w:rPr>
                <w:sz w:val="24"/>
                <w:szCs w:val="24"/>
              </w:rPr>
              <w:t>Tüm prosesler</w:t>
            </w:r>
          </w:p>
        </w:tc>
        <w:tc>
          <w:tcPr>
            <w:tcW w:w="1701" w:type="dxa"/>
            <w:shd w:val="clear" w:color="auto" w:fill="auto"/>
            <w:vAlign w:val="bottom"/>
          </w:tcPr>
          <w:p w14:paraId="026D088A" w14:textId="2758B763" w:rsidR="00322889" w:rsidRPr="009077F5" w:rsidRDefault="007237E2" w:rsidP="004B0D48">
            <w:pPr>
              <w:pStyle w:val="KonuBal"/>
              <w:rPr>
                <w:sz w:val="24"/>
                <w:szCs w:val="24"/>
              </w:rPr>
            </w:pPr>
            <w:r w:rsidRPr="009077F5">
              <w:rPr>
                <w:sz w:val="24"/>
                <w:szCs w:val="24"/>
              </w:rPr>
              <w:t xml:space="preserve">TS </w:t>
            </w:r>
            <w:r w:rsidR="00322889" w:rsidRPr="009077F5">
              <w:rPr>
                <w:sz w:val="24"/>
                <w:szCs w:val="24"/>
              </w:rPr>
              <w:t>EN ISO 9377-2</w:t>
            </w:r>
          </w:p>
        </w:tc>
        <w:tc>
          <w:tcPr>
            <w:tcW w:w="1843" w:type="dxa"/>
            <w:shd w:val="clear" w:color="auto" w:fill="auto"/>
            <w:vAlign w:val="center"/>
          </w:tcPr>
          <w:p w14:paraId="2BED4018" w14:textId="5471F90C" w:rsidR="00322889" w:rsidRPr="009077F5" w:rsidRDefault="00322889" w:rsidP="004B0D48">
            <w:pPr>
              <w:pStyle w:val="KonuBal"/>
              <w:rPr>
                <w:sz w:val="24"/>
                <w:szCs w:val="24"/>
              </w:rPr>
            </w:pPr>
            <w:r w:rsidRPr="009077F5">
              <w:rPr>
                <w:sz w:val="24"/>
                <w:szCs w:val="24"/>
              </w:rPr>
              <w:t>Ayda bir kez</w:t>
            </w:r>
          </w:p>
        </w:tc>
        <w:tc>
          <w:tcPr>
            <w:tcW w:w="992" w:type="dxa"/>
            <w:vMerge/>
            <w:shd w:val="clear" w:color="auto" w:fill="auto"/>
            <w:vAlign w:val="bottom"/>
          </w:tcPr>
          <w:p w14:paraId="47C0A7C5" w14:textId="77777777" w:rsidR="00322889" w:rsidRPr="009077F5" w:rsidRDefault="00322889">
            <w:pPr>
              <w:pStyle w:val="KonuBal"/>
              <w:rPr>
                <w:sz w:val="24"/>
                <w:szCs w:val="24"/>
              </w:rPr>
            </w:pPr>
          </w:p>
        </w:tc>
      </w:tr>
      <w:tr w:rsidR="00F72785" w:rsidRPr="004B0D48" w14:paraId="46BC2E92" w14:textId="77777777" w:rsidTr="000F45CE">
        <w:trPr>
          <w:trHeight w:val="90"/>
        </w:trPr>
        <w:tc>
          <w:tcPr>
            <w:tcW w:w="1844" w:type="dxa"/>
            <w:vMerge w:val="restart"/>
            <w:shd w:val="clear" w:color="auto" w:fill="auto"/>
            <w:vAlign w:val="center"/>
          </w:tcPr>
          <w:p w14:paraId="1EAF8148" w14:textId="77777777" w:rsidR="0001612C" w:rsidRPr="009077F5" w:rsidRDefault="00322889" w:rsidP="004B0D48">
            <w:pPr>
              <w:pStyle w:val="KonuBal"/>
              <w:rPr>
                <w:sz w:val="24"/>
                <w:szCs w:val="24"/>
              </w:rPr>
            </w:pPr>
            <w:r w:rsidRPr="009077F5">
              <w:rPr>
                <w:sz w:val="24"/>
                <w:szCs w:val="24"/>
              </w:rPr>
              <w:t>Metaller/</w:t>
            </w:r>
          </w:p>
          <w:p w14:paraId="6F7C3A31" w14:textId="6555912E" w:rsidR="00322889" w:rsidRPr="009077F5" w:rsidRDefault="00322889" w:rsidP="004B0D48">
            <w:pPr>
              <w:pStyle w:val="KonuBal"/>
              <w:rPr>
                <w:sz w:val="24"/>
                <w:szCs w:val="24"/>
              </w:rPr>
            </w:pPr>
            <w:r w:rsidRPr="009077F5">
              <w:rPr>
                <w:sz w:val="24"/>
                <w:szCs w:val="24"/>
              </w:rPr>
              <w:t>metalsiler (</w:t>
            </w:r>
            <w:r w:rsidRPr="009077F5">
              <w:rPr>
                <w:sz w:val="24"/>
                <w:szCs w:val="24"/>
                <w:vertAlign w:val="superscript"/>
              </w:rPr>
              <w:t>5</w:t>
            </w:r>
            <w:r w:rsidRPr="009077F5">
              <w:rPr>
                <w:sz w:val="24"/>
                <w:szCs w:val="24"/>
              </w:rPr>
              <w:t>)</w:t>
            </w:r>
          </w:p>
        </w:tc>
        <w:tc>
          <w:tcPr>
            <w:tcW w:w="1417" w:type="dxa"/>
            <w:shd w:val="clear" w:color="auto" w:fill="auto"/>
            <w:vAlign w:val="bottom"/>
          </w:tcPr>
          <w:p w14:paraId="41250B0B" w14:textId="018C2E20" w:rsidR="00322889" w:rsidRPr="009077F5" w:rsidRDefault="00322889" w:rsidP="004B0D48">
            <w:pPr>
              <w:pStyle w:val="KonuBal"/>
              <w:rPr>
                <w:sz w:val="24"/>
                <w:szCs w:val="24"/>
              </w:rPr>
            </w:pPr>
            <w:r w:rsidRPr="009077F5">
              <w:rPr>
                <w:sz w:val="24"/>
                <w:szCs w:val="24"/>
              </w:rPr>
              <w:t>Bor</w:t>
            </w:r>
          </w:p>
        </w:tc>
        <w:tc>
          <w:tcPr>
            <w:tcW w:w="1559" w:type="dxa"/>
            <w:shd w:val="clear" w:color="auto" w:fill="auto"/>
            <w:vAlign w:val="bottom"/>
          </w:tcPr>
          <w:p w14:paraId="0BD14FA2" w14:textId="567BEB91" w:rsidR="00322889" w:rsidRPr="009077F5" w:rsidRDefault="00322889" w:rsidP="004B0D48">
            <w:pPr>
              <w:pStyle w:val="KonuBal"/>
              <w:rPr>
                <w:sz w:val="24"/>
                <w:szCs w:val="24"/>
              </w:rPr>
            </w:pPr>
            <w:r w:rsidRPr="009077F5">
              <w:rPr>
                <w:sz w:val="24"/>
                <w:szCs w:val="24"/>
              </w:rPr>
              <w:t>Boraksın kullanıldığı prosesler</w:t>
            </w:r>
          </w:p>
        </w:tc>
        <w:tc>
          <w:tcPr>
            <w:tcW w:w="1701" w:type="dxa"/>
            <w:shd w:val="clear" w:color="auto" w:fill="auto"/>
            <w:vAlign w:val="bottom"/>
          </w:tcPr>
          <w:p w14:paraId="77E8A7A1" w14:textId="745747D5" w:rsidR="00322889" w:rsidRPr="009077F5" w:rsidRDefault="00322889" w:rsidP="004B0D48">
            <w:pPr>
              <w:pStyle w:val="KonuBal"/>
              <w:rPr>
                <w:sz w:val="24"/>
                <w:szCs w:val="24"/>
              </w:rPr>
            </w:pPr>
            <w:r w:rsidRPr="009077F5">
              <w:rPr>
                <w:sz w:val="24"/>
                <w:szCs w:val="24"/>
              </w:rPr>
              <w:t xml:space="preserve">Çeşitli EN standartları mevcut (örn. </w:t>
            </w:r>
            <w:r w:rsidR="007237E2" w:rsidRPr="009077F5">
              <w:rPr>
                <w:sz w:val="24"/>
                <w:szCs w:val="24"/>
              </w:rPr>
              <w:t>TS EN ISO 11885</w:t>
            </w:r>
            <w:r w:rsidRPr="009077F5">
              <w:rPr>
                <w:sz w:val="24"/>
                <w:szCs w:val="24"/>
              </w:rPr>
              <w:t xml:space="preserve">, </w:t>
            </w:r>
            <w:r w:rsidR="007237E2" w:rsidRPr="009077F5">
              <w:rPr>
                <w:sz w:val="24"/>
                <w:szCs w:val="24"/>
              </w:rPr>
              <w:t>TS EN ISO 17294-2</w:t>
            </w:r>
            <w:r w:rsidRPr="009077F5">
              <w:rPr>
                <w:sz w:val="24"/>
                <w:szCs w:val="24"/>
              </w:rPr>
              <w:t>)</w:t>
            </w:r>
          </w:p>
        </w:tc>
        <w:tc>
          <w:tcPr>
            <w:tcW w:w="1843" w:type="dxa"/>
            <w:shd w:val="clear" w:color="auto" w:fill="auto"/>
            <w:vAlign w:val="bottom"/>
          </w:tcPr>
          <w:p w14:paraId="3373CB04" w14:textId="0489256A" w:rsidR="00322889" w:rsidRPr="009077F5" w:rsidRDefault="00322889" w:rsidP="00E73DA3">
            <w:pPr>
              <w:pStyle w:val="KonuBal"/>
              <w:rPr>
                <w:sz w:val="24"/>
                <w:szCs w:val="24"/>
              </w:rPr>
            </w:pPr>
            <w:r w:rsidRPr="009077F5">
              <w:rPr>
                <w:sz w:val="24"/>
                <w:szCs w:val="24"/>
              </w:rPr>
              <w:t>Ayda bir kez</w:t>
            </w:r>
          </w:p>
        </w:tc>
        <w:tc>
          <w:tcPr>
            <w:tcW w:w="992" w:type="dxa"/>
            <w:vMerge/>
            <w:shd w:val="clear" w:color="auto" w:fill="auto"/>
            <w:vAlign w:val="bottom"/>
          </w:tcPr>
          <w:p w14:paraId="7C403848" w14:textId="77777777" w:rsidR="00322889" w:rsidRPr="009077F5" w:rsidRDefault="00322889">
            <w:pPr>
              <w:pStyle w:val="KonuBal"/>
              <w:rPr>
                <w:sz w:val="24"/>
                <w:szCs w:val="24"/>
              </w:rPr>
            </w:pPr>
          </w:p>
        </w:tc>
      </w:tr>
      <w:tr w:rsidR="00F72785" w:rsidRPr="004B0D48" w14:paraId="4754DAF0" w14:textId="77777777" w:rsidTr="000F45CE">
        <w:trPr>
          <w:trHeight w:val="90"/>
        </w:trPr>
        <w:tc>
          <w:tcPr>
            <w:tcW w:w="1844" w:type="dxa"/>
            <w:vMerge/>
            <w:shd w:val="clear" w:color="auto" w:fill="auto"/>
            <w:vAlign w:val="bottom"/>
          </w:tcPr>
          <w:p w14:paraId="7C865510" w14:textId="77777777" w:rsidR="00322889" w:rsidRPr="009077F5" w:rsidRDefault="00322889">
            <w:pPr>
              <w:pStyle w:val="KonuBal"/>
              <w:rPr>
                <w:sz w:val="24"/>
                <w:szCs w:val="24"/>
              </w:rPr>
            </w:pPr>
          </w:p>
        </w:tc>
        <w:tc>
          <w:tcPr>
            <w:tcW w:w="1417" w:type="dxa"/>
            <w:shd w:val="clear" w:color="auto" w:fill="auto"/>
            <w:vAlign w:val="bottom"/>
          </w:tcPr>
          <w:p w14:paraId="02C4E9BB" w14:textId="165B06B8" w:rsidR="00322889" w:rsidRPr="009077F5" w:rsidRDefault="00322889">
            <w:pPr>
              <w:pStyle w:val="KonuBal"/>
              <w:rPr>
                <w:sz w:val="24"/>
                <w:szCs w:val="24"/>
              </w:rPr>
            </w:pPr>
            <w:r w:rsidRPr="009077F5">
              <w:rPr>
                <w:sz w:val="24"/>
                <w:szCs w:val="24"/>
              </w:rPr>
              <w:t>Kadmiyum</w:t>
            </w:r>
          </w:p>
        </w:tc>
        <w:tc>
          <w:tcPr>
            <w:tcW w:w="1559" w:type="dxa"/>
            <w:shd w:val="clear" w:color="auto" w:fill="auto"/>
            <w:vAlign w:val="bottom"/>
          </w:tcPr>
          <w:p w14:paraId="487A3721" w14:textId="057E9D8A" w:rsidR="00322889" w:rsidRPr="009077F5" w:rsidRDefault="00322889">
            <w:pPr>
              <w:pStyle w:val="KonuBal"/>
              <w:rPr>
                <w:sz w:val="24"/>
                <w:szCs w:val="24"/>
              </w:rPr>
            </w:pPr>
            <w:r w:rsidRPr="009077F5">
              <w:rPr>
                <w:sz w:val="24"/>
                <w:szCs w:val="24"/>
              </w:rPr>
              <w:t>Tüm prosesler (</w:t>
            </w:r>
            <w:r w:rsidRPr="009077F5">
              <w:rPr>
                <w:sz w:val="24"/>
                <w:szCs w:val="24"/>
                <w:vertAlign w:val="superscript"/>
              </w:rPr>
              <w:t>6</w:t>
            </w:r>
            <w:r w:rsidRPr="009077F5">
              <w:rPr>
                <w:sz w:val="24"/>
                <w:szCs w:val="24"/>
              </w:rPr>
              <w:t>)</w:t>
            </w:r>
          </w:p>
        </w:tc>
        <w:tc>
          <w:tcPr>
            <w:tcW w:w="1701" w:type="dxa"/>
            <w:vMerge w:val="restart"/>
            <w:shd w:val="clear" w:color="auto" w:fill="auto"/>
            <w:vAlign w:val="center"/>
          </w:tcPr>
          <w:p w14:paraId="13A1D19F" w14:textId="2357E151" w:rsidR="00322889" w:rsidRPr="009077F5" w:rsidRDefault="00322889">
            <w:pPr>
              <w:pStyle w:val="KonuBal"/>
              <w:rPr>
                <w:sz w:val="24"/>
                <w:szCs w:val="24"/>
              </w:rPr>
            </w:pPr>
            <w:r w:rsidRPr="009077F5">
              <w:rPr>
                <w:sz w:val="24"/>
                <w:szCs w:val="24"/>
              </w:rPr>
              <w:t xml:space="preserve">Çeşitli EN standartları mevcut(örn. </w:t>
            </w:r>
            <w:r w:rsidR="007237E2" w:rsidRPr="009077F5">
              <w:rPr>
                <w:sz w:val="24"/>
                <w:szCs w:val="24"/>
              </w:rPr>
              <w:t>TS EN ISO 11885</w:t>
            </w:r>
            <w:r w:rsidRPr="009077F5">
              <w:rPr>
                <w:sz w:val="24"/>
                <w:szCs w:val="24"/>
              </w:rPr>
              <w:t xml:space="preserve">, </w:t>
            </w:r>
            <w:r w:rsidR="007237E2" w:rsidRPr="009077F5">
              <w:rPr>
                <w:sz w:val="24"/>
                <w:szCs w:val="24"/>
              </w:rPr>
              <w:t xml:space="preserve">TS </w:t>
            </w:r>
            <w:r w:rsidRPr="009077F5">
              <w:rPr>
                <w:sz w:val="24"/>
                <w:szCs w:val="24"/>
              </w:rPr>
              <w:t>EN ISO</w:t>
            </w:r>
            <w:r w:rsidR="007237E2" w:rsidRPr="009077F5">
              <w:rPr>
                <w:sz w:val="24"/>
                <w:szCs w:val="24"/>
              </w:rPr>
              <w:t xml:space="preserve"> </w:t>
            </w:r>
            <w:r w:rsidRPr="009077F5">
              <w:rPr>
                <w:sz w:val="24"/>
                <w:szCs w:val="24"/>
              </w:rPr>
              <w:t xml:space="preserve">15586, </w:t>
            </w:r>
            <w:r w:rsidR="007237E2" w:rsidRPr="009077F5">
              <w:rPr>
                <w:sz w:val="24"/>
                <w:szCs w:val="24"/>
              </w:rPr>
              <w:t xml:space="preserve">TS </w:t>
            </w:r>
            <w:r w:rsidRPr="009077F5">
              <w:rPr>
                <w:sz w:val="24"/>
                <w:szCs w:val="24"/>
              </w:rPr>
              <w:t>EN ISO</w:t>
            </w:r>
            <w:r w:rsidR="007237E2" w:rsidRPr="009077F5">
              <w:rPr>
                <w:sz w:val="24"/>
                <w:szCs w:val="24"/>
              </w:rPr>
              <w:t xml:space="preserve"> </w:t>
            </w:r>
            <w:r w:rsidRPr="009077F5">
              <w:rPr>
                <w:sz w:val="24"/>
                <w:szCs w:val="24"/>
              </w:rPr>
              <w:t>17294-2)</w:t>
            </w:r>
          </w:p>
        </w:tc>
        <w:tc>
          <w:tcPr>
            <w:tcW w:w="1843" w:type="dxa"/>
            <w:vMerge w:val="restart"/>
            <w:shd w:val="clear" w:color="auto" w:fill="auto"/>
            <w:vAlign w:val="bottom"/>
          </w:tcPr>
          <w:p w14:paraId="41F37211" w14:textId="62F1199A" w:rsidR="00322889" w:rsidRPr="009077F5" w:rsidRDefault="00322889">
            <w:pPr>
              <w:pStyle w:val="KonuBal"/>
              <w:rPr>
                <w:sz w:val="24"/>
                <w:szCs w:val="24"/>
              </w:rPr>
            </w:pPr>
            <w:r w:rsidRPr="009077F5">
              <w:rPr>
                <w:sz w:val="24"/>
                <w:szCs w:val="24"/>
              </w:rPr>
              <w:t>Ayda bir kez</w:t>
            </w:r>
          </w:p>
        </w:tc>
        <w:tc>
          <w:tcPr>
            <w:tcW w:w="992" w:type="dxa"/>
            <w:vMerge/>
            <w:shd w:val="clear" w:color="auto" w:fill="auto"/>
            <w:vAlign w:val="bottom"/>
          </w:tcPr>
          <w:p w14:paraId="336BBD95" w14:textId="77777777" w:rsidR="00322889" w:rsidRPr="009077F5" w:rsidRDefault="00322889">
            <w:pPr>
              <w:pStyle w:val="KonuBal"/>
              <w:rPr>
                <w:sz w:val="24"/>
                <w:szCs w:val="24"/>
              </w:rPr>
            </w:pPr>
          </w:p>
        </w:tc>
      </w:tr>
      <w:tr w:rsidR="00F72785" w:rsidRPr="004B0D48" w14:paraId="17F825EC" w14:textId="77777777" w:rsidTr="000F45CE">
        <w:trPr>
          <w:trHeight w:val="90"/>
        </w:trPr>
        <w:tc>
          <w:tcPr>
            <w:tcW w:w="1844" w:type="dxa"/>
            <w:vMerge/>
            <w:shd w:val="clear" w:color="auto" w:fill="auto"/>
            <w:vAlign w:val="bottom"/>
          </w:tcPr>
          <w:p w14:paraId="5BE94EB9" w14:textId="77777777" w:rsidR="00322889" w:rsidRPr="009077F5" w:rsidRDefault="00322889">
            <w:pPr>
              <w:pStyle w:val="KonuBal"/>
              <w:rPr>
                <w:sz w:val="24"/>
                <w:szCs w:val="24"/>
              </w:rPr>
            </w:pPr>
          </w:p>
        </w:tc>
        <w:tc>
          <w:tcPr>
            <w:tcW w:w="1417" w:type="dxa"/>
            <w:shd w:val="clear" w:color="auto" w:fill="auto"/>
            <w:vAlign w:val="bottom"/>
          </w:tcPr>
          <w:p w14:paraId="014F955E" w14:textId="266B136F" w:rsidR="00322889" w:rsidRPr="009077F5" w:rsidRDefault="00322889">
            <w:pPr>
              <w:pStyle w:val="KonuBal"/>
              <w:rPr>
                <w:sz w:val="24"/>
                <w:szCs w:val="24"/>
              </w:rPr>
            </w:pPr>
            <w:r w:rsidRPr="009077F5">
              <w:rPr>
                <w:sz w:val="24"/>
                <w:szCs w:val="24"/>
              </w:rPr>
              <w:t>Krom</w:t>
            </w:r>
          </w:p>
        </w:tc>
        <w:tc>
          <w:tcPr>
            <w:tcW w:w="1559" w:type="dxa"/>
            <w:shd w:val="clear" w:color="auto" w:fill="auto"/>
            <w:vAlign w:val="bottom"/>
          </w:tcPr>
          <w:p w14:paraId="207E048C" w14:textId="5B85C5CB" w:rsidR="00322889" w:rsidRPr="009077F5" w:rsidRDefault="00322889">
            <w:pPr>
              <w:pStyle w:val="KonuBal"/>
              <w:rPr>
                <w:sz w:val="24"/>
                <w:szCs w:val="24"/>
              </w:rPr>
            </w:pPr>
            <w:r w:rsidRPr="009077F5">
              <w:rPr>
                <w:sz w:val="24"/>
                <w:szCs w:val="24"/>
              </w:rPr>
              <w:t>Tüm prosesler (</w:t>
            </w:r>
            <w:r w:rsidRPr="009077F5">
              <w:rPr>
                <w:sz w:val="24"/>
                <w:szCs w:val="24"/>
                <w:vertAlign w:val="superscript"/>
              </w:rPr>
              <w:t>6</w:t>
            </w:r>
            <w:r w:rsidRPr="009077F5">
              <w:rPr>
                <w:sz w:val="24"/>
                <w:szCs w:val="24"/>
              </w:rPr>
              <w:t>)</w:t>
            </w:r>
          </w:p>
        </w:tc>
        <w:tc>
          <w:tcPr>
            <w:tcW w:w="1701" w:type="dxa"/>
            <w:vMerge/>
            <w:shd w:val="clear" w:color="auto" w:fill="auto"/>
            <w:vAlign w:val="bottom"/>
          </w:tcPr>
          <w:p w14:paraId="1D813392" w14:textId="77777777" w:rsidR="00322889" w:rsidRPr="009077F5" w:rsidRDefault="00322889">
            <w:pPr>
              <w:pStyle w:val="KonuBal"/>
              <w:rPr>
                <w:sz w:val="24"/>
                <w:szCs w:val="24"/>
              </w:rPr>
            </w:pPr>
          </w:p>
        </w:tc>
        <w:tc>
          <w:tcPr>
            <w:tcW w:w="1843" w:type="dxa"/>
            <w:vMerge/>
            <w:shd w:val="clear" w:color="auto" w:fill="auto"/>
            <w:vAlign w:val="bottom"/>
          </w:tcPr>
          <w:p w14:paraId="00A4312C" w14:textId="77777777" w:rsidR="00322889" w:rsidRPr="009077F5" w:rsidRDefault="00322889">
            <w:pPr>
              <w:pStyle w:val="KonuBal"/>
              <w:rPr>
                <w:sz w:val="24"/>
                <w:szCs w:val="24"/>
              </w:rPr>
            </w:pPr>
          </w:p>
        </w:tc>
        <w:tc>
          <w:tcPr>
            <w:tcW w:w="992" w:type="dxa"/>
            <w:vMerge/>
            <w:shd w:val="clear" w:color="auto" w:fill="auto"/>
            <w:vAlign w:val="bottom"/>
          </w:tcPr>
          <w:p w14:paraId="35FF2340" w14:textId="77777777" w:rsidR="00322889" w:rsidRPr="009077F5" w:rsidRDefault="00322889">
            <w:pPr>
              <w:pStyle w:val="KonuBal"/>
              <w:rPr>
                <w:sz w:val="24"/>
                <w:szCs w:val="24"/>
              </w:rPr>
            </w:pPr>
          </w:p>
        </w:tc>
      </w:tr>
      <w:tr w:rsidR="00F72785" w:rsidRPr="004B0D48" w14:paraId="1F58DADA" w14:textId="77777777" w:rsidTr="000F45CE">
        <w:trPr>
          <w:trHeight w:val="90"/>
        </w:trPr>
        <w:tc>
          <w:tcPr>
            <w:tcW w:w="1844" w:type="dxa"/>
            <w:vMerge/>
            <w:shd w:val="clear" w:color="auto" w:fill="auto"/>
            <w:vAlign w:val="bottom"/>
          </w:tcPr>
          <w:p w14:paraId="25D37B3E" w14:textId="77777777" w:rsidR="00322889" w:rsidRPr="009077F5" w:rsidRDefault="00322889">
            <w:pPr>
              <w:pStyle w:val="KonuBal"/>
              <w:rPr>
                <w:sz w:val="24"/>
                <w:szCs w:val="24"/>
              </w:rPr>
            </w:pPr>
          </w:p>
        </w:tc>
        <w:tc>
          <w:tcPr>
            <w:tcW w:w="1417" w:type="dxa"/>
            <w:shd w:val="clear" w:color="auto" w:fill="auto"/>
            <w:vAlign w:val="bottom"/>
          </w:tcPr>
          <w:p w14:paraId="52BACA48" w14:textId="7EE059B3" w:rsidR="00322889" w:rsidRPr="009077F5" w:rsidRDefault="00322889">
            <w:pPr>
              <w:pStyle w:val="KonuBal"/>
              <w:rPr>
                <w:sz w:val="24"/>
                <w:szCs w:val="24"/>
              </w:rPr>
            </w:pPr>
            <w:r w:rsidRPr="009077F5">
              <w:rPr>
                <w:sz w:val="24"/>
                <w:szCs w:val="24"/>
              </w:rPr>
              <w:t>Demir</w:t>
            </w:r>
          </w:p>
        </w:tc>
        <w:tc>
          <w:tcPr>
            <w:tcW w:w="1559" w:type="dxa"/>
            <w:shd w:val="clear" w:color="auto" w:fill="auto"/>
            <w:vAlign w:val="bottom"/>
          </w:tcPr>
          <w:p w14:paraId="3D2BCF51" w14:textId="749EC598" w:rsidR="00322889" w:rsidRPr="009077F5" w:rsidRDefault="00322889">
            <w:pPr>
              <w:pStyle w:val="KonuBal"/>
              <w:rPr>
                <w:sz w:val="24"/>
                <w:szCs w:val="24"/>
              </w:rPr>
            </w:pPr>
            <w:r w:rsidRPr="009077F5">
              <w:rPr>
                <w:sz w:val="24"/>
                <w:szCs w:val="24"/>
              </w:rPr>
              <w:t>Tüm prosesler</w:t>
            </w:r>
          </w:p>
        </w:tc>
        <w:tc>
          <w:tcPr>
            <w:tcW w:w="1701" w:type="dxa"/>
            <w:vMerge/>
            <w:shd w:val="clear" w:color="auto" w:fill="auto"/>
            <w:vAlign w:val="bottom"/>
          </w:tcPr>
          <w:p w14:paraId="54BD2F71" w14:textId="77777777" w:rsidR="00322889" w:rsidRPr="009077F5" w:rsidRDefault="00322889">
            <w:pPr>
              <w:pStyle w:val="KonuBal"/>
              <w:rPr>
                <w:sz w:val="24"/>
                <w:szCs w:val="24"/>
              </w:rPr>
            </w:pPr>
          </w:p>
        </w:tc>
        <w:tc>
          <w:tcPr>
            <w:tcW w:w="1843" w:type="dxa"/>
            <w:vMerge/>
            <w:shd w:val="clear" w:color="auto" w:fill="auto"/>
            <w:vAlign w:val="bottom"/>
          </w:tcPr>
          <w:p w14:paraId="78D1D3CB" w14:textId="77777777" w:rsidR="00322889" w:rsidRPr="009077F5" w:rsidRDefault="00322889">
            <w:pPr>
              <w:pStyle w:val="KonuBal"/>
              <w:rPr>
                <w:sz w:val="24"/>
                <w:szCs w:val="24"/>
              </w:rPr>
            </w:pPr>
          </w:p>
        </w:tc>
        <w:tc>
          <w:tcPr>
            <w:tcW w:w="992" w:type="dxa"/>
            <w:vMerge/>
            <w:shd w:val="clear" w:color="auto" w:fill="auto"/>
            <w:vAlign w:val="bottom"/>
          </w:tcPr>
          <w:p w14:paraId="24B71978" w14:textId="77777777" w:rsidR="00322889" w:rsidRPr="009077F5" w:rsidRDefault="00322889">
            <w:pPr>
              <w:pStyle w:val="KonuBal"/>
              <w:rPr>
                <w:sz w:val="24"/>
                <w:szCs w:val="24"/>
              </w:rPr>
            </w:pPr>
          </w:p>
        </w:tc>
      </w:tr>
      <w:tr w:rsidR="00F72785" w:rsidRPr="004B0D48" w14:paraId="593BF067" w14:textId="77777777" w:rsidTr="000F45CE">
        <w:trPr>
          <w:trHeight w:val="90"/>
        </w:trPr>
        <w:tc>
          <w:tcPr>
            <w:tcW w:w="1844" w:type="dxa"/>
            <w:vMerge/>
            <w:shd w:val="clear" w:color="auto" w:fill="auto"/>
            <w:vAlign w:val="bottom"/>
          </w:tcPr>
          <w:p w14:paraId="38CAFCF6" w14:textId="77777777" w:rsidR="00322889" w:rsidRPr="009077F5" w:rsidRDefault="00322889">
            <w:pPr>
              <w:pStyle w:val="KonuBal"/>
              <w:rPr>
                <w:sz w:val="24"/>
                <w:szCs w:val="24"/>
              </w:rPr>
            </w:pPr>
          </w:p>
        </w:tc>
        <w:tc>
          <w:tcPr>
            <w:tcW w:w="1417" w:type="dxa"/>
            <w:shd w:val="clear" w:color="auto" w:fill="auto"/>
            <w:vAlign w:val="bottom"/>
          </w:tcPr>
          <w:p w14:paraId="740194F9" w14:textId="04B5A414" w:rsidR="00322889" w:rsidRPr="009077F5" w:rsidRDefault="00322889">
            <w:pPr>
              <w:pStyle w:val="KonuBal"/>
              <w:rPr>
                <w:sz w:val="24"/>
                <w:szCs w:val="24"/>
              </w:rPr>
            </w:pPr>
            <w:r w:rsidRPr="009077F5">
              <w:rPr>
                <w:sz w:val="24"/>
                <w:szCs w:val="24"/>
              </w:rPr>
              <w:t>Nikel</w:t>
            </w:r>
          </w:p>
        </w:tc>
        <w:tc>
          <w:tcPr>
            <w:tcW w:w="1559" w:type="dxa"/>
            <w:shd w:val="clear" w:color="auto" w:fill="auto"/>
            <w:vAlign w:val="bottom"/>
          </w:tcPr>
          <w:p w14:paraId="5E572981" w14:textId="035ABE96" w:rsidR="00322889" w:rsidRPr="009077F5" w:rsidRDefault="00322889">
            <w:pPr>
              <w:pStyle w:val="KonuBal"/>
              <w:rPr>
                <w:sz w:val="24"/>
                <w:szCs w:val="24"/>
              </w:rPr>
            </w:pPr>
            <w:r w:rsidRPr="009077F5">
              <w:rPr>
                <w:sz w:val="24"/>
                <w:szCs w:val="24"/>
              </w:rPr>
              <w:t>Tüm prosesler (</w:t>
            </w:r>
            <w:r w:rsidRPr="009077F5">
              <w:rPr>
                <w:sz w:val="24"/>
                <w:szCs w:val="24"/>
                <w:vertAlign w:val="superscript"/>
              </w:rPr>
              <w:t>6</w:t>
            </w:r>
            <w:r w:rsidRPr="009077F5">
              <w:rPr>
                <w:sz w:val="24"/>
                <w:szCs w:val="24"/>
              </w:rPr>
              <w:t>)</w:t>
            </w:r>
          </w:p>
        </w:tc>
        <w:tc>
          <w:tcPr>
            <w:tcW w:w="1701" w:type="dxa"/>
            <w:vMerge/>
            <w:shd w:val="clear" w:color="auto" w:fill="auto"/>
            <w:vAlign w:val="bottom"/>
          </w:tcPr>
          <w:p w14:paraId="50E02649" w14:textId="77777777" w:rsidR="00322889" w:rsidRPr="009077F5" w:rsidRDefault="00322889">
            <w:pPr>
              <w:pStyle w:val="KonuBal"/>
              <w:rPr>
                <w:sz w:val="24"/>
                <w:szCs w:val="24"/>
              </w:rPr>
            </w:pPr>
          </w:p>
        </w:tc>
        <w:tc>
          <w:tcPr>
            <w:tcW w:w="1843" w:type="dxa"/>
            <w:vMerge/>
            <w:shd w:val="clear" w:color="auto" w:fill="auto"/>
            <w:vAlign w:val="bottom"/>
          </w:tcPr>
          <w:p w14:paraId="422991FD" w14:textId="77777777" w:rsidR="00322889" w:rsidRPr="009077F5" w:rsidRDefault="00322889">
            <w:pPr>
              <w:pStyle w:val="KonuBal"/>
              <w:rPr>
                <w:sz w:val="24"/>
                <w:szCs w:val="24"/>
              </w:rPr>
            </w:pPr>
          </w:p>
        </w:tc>
        <w:tc>
          <w:tcPr>
            <w:tcW w:w="992" w:type="dxa"/>
            <w:vMerge/>
            <w:shd w:val="clear" w:color="auto" w:fill="auto"/>
            <w:vAlign w:val="bottom"/>
          </w:tcPr>
          <w:p w14:paraId="4FD27E16" w14:textId="77777777" w:rsidR="00322889" w:rsidRPr="009077F5" w:rsidRDefault="00322889">
            <w:pPr>
              <w:pStyle w:val="KonuBal"/>
              <w:rPr>
                <w:sz w:val="24"/>
                <w:szCs w:val="24"/>
              </w:rPr>
            </w:pPr>
          </w:p>
        </w:tc>
      </w:tr>
      <w:tr w:rsidR="00F72785" w:rsidRPr="004B0D48" w14:paraId="2E7D89E0" w14:textId="77777777" w:rsidTr="000F45CE">
        <w:trPr>
          <w:trHeight w:val="90"/>
        </w:trPr>
        <w:tc>
          <w:tcPr>
            <w:tcW w:w="1844" w:type="dxa"/>
            <w:vMerge/>
            <w:shd w:val="clear" w:color="auto" w:fill="auto"/>
            <w:vAlign w:val="bottom"/>
          </w:tcPr>
          <w:p w14:paraId="6B827429" w14:textId="77777777" w:rsidR="00322889" w:rsidRPr="009077F5" w:rsidRDefault="00322889">
            <w:pPr>
              <w:pStyle w:val="KonuBal"/>
              <w:rPr>
                <w:sz w:val="24"/>
                <w:szCs w:val="24"/>
              </w:rPr>
            </w:pPr>
          </w:p>
        </w:tc>
        <w:tc>
          <w:tcPr>
            <w:tcW w:w="1417" w:type="dxa"/>
            <w:shd w:val="clear" w:color="auto" w:fill="auto"/>
            <w:vAlign w:val="bottom"/>
          </w:tcPr>
          <w:p w14:paraId="40259837" w14:textId="64F7BC1A" w:rsidR="00322889" w:rsidRPr="009077F5" w:rsidRDefault="00322889">
            <w:pPr>
              <w:pStyle w:val="KonuBal"/>
              <w:rPr>
                <w:sz w:val="24"/>
                <w:szCs w:val="24"/>
              </w:rPr>
            </w:pPr>
            <w:r w:rsidRPr="009077F5">
              <w:rPr>
                <w:sz w:val="24"/>
                <w:szCs w:val="24"/>
              </w:rPr>
              <w:t>Kurşun</w:t>
            </w:r>
          </w:p>
        </w:tc>
        <w:tc>
          <w:tcPr>
            <w:tcW w:w="1559" w:type="dxa"/>
            <w:shd w:val="clear" w:color="auto" w:fill="auto"/>
            <w:vAlign w:val="bottom"/>
          </w:tcPr>
          <w:p w14:paraId="06AF3372" w14:textId="4B4E2BCD" w:rsidR="00322889" w:rsidRPr="009077F5" w:rsidRDefault="00322889">
            <w:pPr>
              <w:pStyle w:val="KonuBal"/>
              <w:rPr>
                <w:sz w:val="24"/>
                <w:szCs w:val="24"/>
              </w:rPr>
            </w:pPr>
            <w:r w:rsidRPr="009077F5">
              <w:rPr>
                <w:sz w:val="24"/>
                <w:szCs w:val="24"/>
              </w:rPr>
              <w:t>Tüm prosesler (</w:t>
            </w:r>
            <w:r w:rsidRPr="009077F5">
              <w:rPr>
                <w:sz w:val="24"/>
                <w:szCs w:val="24"/>
                <w:vertAlign w:val="superscript"/>
              </w:rPr>
              <w:t>6</w:t>
            </w:r>
            <w:r w:rsidRPr="009077F5">
              <w:rPr>
                <w:sz w:val="24"/>
                <w:szCs w:val="24"/>
              </w:rPr>
              <w:t>)</w:t>
            </w:r>
          </w:p>
        </w:tc>
        <w:tc>
          <w:tcPr>
            <w:tcW w:w="1701" w:type="dxa"/>
            <w:vMerge/>
            <w:shd w:val="clear" w:color="auto" w:fill="auto"/>
            <w:vAlign w:val="bottom"/>
          </w:tcPr>
          <w:p w14:paraId="0A555B48" w14:textId="77777777" w:rsidR="00322889" w:rsidRPr="009077F5" w:rsidRDefault="00322889">
            <w:pPr>
              <w:pStyle w:val="KonuBal"/>
              <w:rPr>
                <w:sz w:val="24"/>
                <w:szCs w:val="24"/>
              </w:rPr>
            </w:pPr>
          </w:p>
        </w:tc>
        <w:tc>
          <w:tcPr>
            <w:tcW w:w="1843" w:type="dxa"/>
            <w:vMerge/>
            <w:shd w:val="clear" w:color="auto" w:fill="auto"/>
            <w:vAlign w:val="bottom"/>
          </w:tcPr>
          <w:p w14:paraId="079B9BD9" w14:textId="77777777" w:rsidR="00322889" w:rsidRPr="009077F5" w:rsidRDefault="00322889">
            <w:pPr>
              <w:pStyle w:val="KonuBal"/>
              <w:rPr>
                <w:sz w:val="24"/>
                <w:szCs w:val="24"/>
              </w:rPr>
            </w:pPr>
          </w:p>
        </w:tc>
        <w:tc>
          <w:tcPr>
            <w:tcW w:w="992" w:type="dxa"/>
            <w:vMerge/>
            <w:shd w:val="clear" w:color="auto" w:fill="auto"/>
            <w:vAlign w:val="bottom"/>
          </w:tcPr>
          <w:p w14:paraId="77B67A44" w14:textId="77777777" w:rsidR="00322889" w:rsidRPr="009077F5" w:rsidRDefault="00322889">
            <w:pPr>
              <w:pStyle w:val="KonuBal"/>
              <w:rPr>
                <w:sz w:val="24"/>
                <w:szCs w:val="24"/>
              </w:rPr>
            </w:pPr>
          </w:p>
        </w:tc>
      </w:tr>
      <w:tr w:rsidR="00F72785" w:rsidRPr="004B0D48" w14:paraId="61F54163" w14:textId="77777777" w:rsidTr="000F45CE">
        <w:trPr>
          <w:trHeight w:val="90"/>
        </w:trPr>
        <w:tc>
          <w:tcPr>
            <w:tcW w:w="1844" w:type="dxa"/>
            <w:vMerge/>
            <w:shd w:val="clear" w:color="auto" w:fill="auto"/>
            <w:vAlign w:val="bottom"/>
          </w:tcPr>
          <w:p w14:paraId="49831F44" w14:textId="77777777" w:rsidR="00322889" w:rsidRPr="009077F5" w:rsidRDefault="00322889">
            <w:pPr>
              <w:pStyle w:val="KonuBal"/>
              <w:rPr>
                <w:sz w:val="24"/>
                <w:szCs w:val="24"/>
              </w:rPr>
            </w:pPr>
          </w:p>
        </w:tc>
        <w:tc>
          <w:tcPr>
            <w:tcW w:w="1417" w:type="dxa"/>
            <w:shd w:val="clear" w:color="auto" w:fill="auto"/>
            <w:vAlign w:val="bottom"/>
          </w:tcPr>
          <w:p w14:paraId="7CA6E9EA" w14:textId="13C03DBA" w:rsidR="00322889" w:rsidRPr="009077F5" w:rsidRDefault="00322889">
            <w:pPr>
              <w:pStyle w:val="KonuBal"/>
              <w:rPr>
                <w:sz w:val="24"/>
                <w:szCs w:val="24"/>
              </w:rPr>
            </w:pPr>
            <w:r w:rsidRPr="009077F5">
              <w:rPr>
                <w:sz w:val="24"/>
                <w:szCs w:val="24"/>
              </w:rPr>
              <w:t>Kalay</w:t>
            </w:r>
          </w:p>
        </w:tc>
        <w:tc>
          <w:tcPr>
            <w:tcW w:w="1559" w:type="dxa"/>
            <w:shd w:val="clear" w:color="auto" w:fill="auto"/>
            <w:vAlign w:val="bottom"/>
          </w:tcPr>
          <w:p w14:paraId="46535449" w14:textId="75FC774A" w:rsidR="00322889" w:rsidRPr="009077F5" w:rsidRDefault="00322889">
            <w:pPr>
              <w:pStyle w:val="KonuBal"/>
              <w:rPr>
                <w:sz w:val="24"/>
                <w:szCs w:val="24"/>
              </w:rPr>
            </w:pPr>
            <w:r w:rsidRPr="009077F5">
              <w:rPr>
                <w:sz w:val="24"/>
                <w:szCs w:val="24"/>
              </w:rPr>
              <w:t>Kalay kullanılarak sıcak daldırma kaplama</w:t>
            </w:r>
          </w:p>
        </w:tc>
        <w:tc>
          <w:tcPr>
            <w:tcW w:w="1701" w:type="dxa"/>
            <w:vMerge/>
            <w:shd w:val="clear" w:color="auto" w:fill="auto"/>
            <w:vAlign w:val="bottom"/>
          </w:tcPr>
          <w:p w14:paraId="05D55388" w14:textId="77777777" w:rsidR="00322889" w:rsidRPr="009077F5" w:rsidRDefault="00322889">
            <w:pPr>
              <w:pStyle w:val="KonuBal"/>
              <w:rPr>
                <w:sz w:val="24"/>
                <w:szCs w:val="24"/>
              </w:rPr>
            </w:pPr>
          </w:p>
        </w:tc>
        <w:tc>
          <w:tcPr>
            <w:tcW w:w="1843" w:type="dxa"/>
            <w:vMerge/>
            <w:shd w:val="clear" w:color="auto" w:fill="auto"/>
            <w:vAlign w:val="bottom"/>
          </w:tcPr>
          <w:p w14:paraId="63F2482B" w14:textId="77777777" w:rsidR="00322889" w:rsidRPr="009077F5" w:rsidRDefault="00322889">
            <w:pPr>
              <w:pStyle w:val="KonuBal"/>
              <w:rPr>
                <w:sz w:val="24"/>
                <w:szCs w:val="24"/>
              </w:rPr>
            </w:pPr>
          </w:p>
        </w:tc>
        <w:tc>
          <w:tcPr>
            <w:tcW w:w="992" w:type="dxa"/>
            <w:vMerge/>
            <w:shd w:val="clear" w:color="auto" w:fill="auto"/>
            <w:vAlign w:val="bottom"/>
          </w:tcPr>
          <w:p w14:paraId="60C78990" w14:textId="77777777" w:rsidR="00322889" w:rsidRPr="009077F5" w:rsidRDefault="00322889">
            <w:pPr>
              <w:pStyle w:val="KonuBal"/>
              <w:rPr>
                <w:sz w:val="24"/>
                <w:szCs w:val="24"/>
              </w:rPr>
            </w:pPr>
          </w:p>
        </w:tc>
      </w:tr>
      <w:tr w:rsidR="00F72785" w:rsidRPr="004B0D48" w14:paraId="76FE5466" w14:textId="77777777" w:rsidTr="000F45CE">
        <w:trPr>
          <w:trHeight w:val="90"/>
        </w:trPr>
        <w:tc>
          <w:tcPr>
            <w:tcW w:w="1844" w:type="dxa"/>
            <w:vMerge/>
            <w:shd w:val="clear" w:color="auto" w:fill="auto"/>
            <w:vAlign w:val="bottom"/>
          </w:tcPr>
          <w:p w14:paraId="18DA5845" w14:textId="77777777" w:rsidR="00322889" w:rsidRPr="009077F5" w:rsidRDefault="00322889">
            <w:pPr>
              <w:pStyle w:val="KonuBal"/>
              <w:rPr>
                <w:sz w:val="24"/>
                <w:szCs w:val="24"/>
              </w:rPr>
            </w:pPr>
          </w:p>
        </w:tc>
        <w:tc>
          <w:tcPr>
            <w:tcW w:w="1417" w:type="dxa"/>
            <w:shd w:val="clear" w:color="auto" w:fill="auto"/>
            <w:vAlign w:val="bottom"/>
          </w:tcPr>
          <w:p w14:paraId="41744DFC" w14:textId="442E96E1" w:rsidR="00322889" w:rsidRPr="009077F5" w:rsidRDefault="00322889">
            <w:pPr>
              <w:pStyle w:val="KonuBal"/>
              <w:rPr>
                <w:sz w:val="24"/>
                <w:szCs w:val="24"/>
              </w:rPr>
            </w:pPr>
            <w:r w:rsidRPr="009077F5">
              <w:rPr>
                <w:sz w:val="24"/>
                <w:szCs w:val="24"/>
              </w:rPr>
              <w:t>Çinko</w:t>
            </w:r>
          </w:p>
        </w:tc>
        <w:tc>
          <w:tcPr>
            <w:tcW w:w="1559" w:type="dxa"/>
            <w:shd w:val="clear" w:color="auto" w:fill="auto"/>
            <w:vAlign w:val="bottom"/>
          </w:tcPr>
          <w:p w14:paraId="0B7918B9" w14:textId="5CA65C82" w:rsidR="00322889" w:rsidRPr="009077F5" w:rsidRDefault="00322889">
            <w:pPr>
              <w:pStyle w:val="KonuBal"/>
              <w:rPr>
                <w:sz w:val="24"/>
                <w:szCs w:val="24"/>
              </w:rPr>
            </w:pPr>
            <w:r w:rsidRPr="009077F5">
              <w:rPr>
                <w:sz w:val="24"/>
                <w:szCs w:val="24"/>
              </w:rPr>
              <w:t>Tüm prosesler (</w:t>
            </w:r>
            <w:r w:rsidRPr="009077F5">
              <w:rPr>
                <w:sz w:val="24"/>
                <w:szCs w:val="24"/>
                <w:vertAlign w:val="superscript"/>
              </w:rPr>
              <w:t>6</w:t>
            </w:r>
            <w:r w:rsidRPr="009077F5">
              <w:rPr>
                <w:sz w:val="24"/>
                <w:szCs w:val="24"/>
              </w:rPr>
              <w:t>)</w:t>
            </w:r>
          </w:p>
        </w:tc>
        <w:tc>
          <w:tcPr>
            <w:tcW w:w="1701" w:type="dxa"/>
            <w:vMerge/>
            <w:shd w:val="clear" w:color="auto" w:fill="auto"/>
            <w:vAlign w:val="bottom"/>
          </w:tcPr>
          <w:p w14:paraId="3FB639E3" w14:textId="77777777" w:rsidR="00322889" w:rsidRPr="009077F5" w:rsidRDefault="00322889">
            <w:pPr>
              <w:pStyle w:val="KonuBal"/>
              <w:rPr>
                <w:sz w:val="24"/>
                <w:szCs w:val="24"/>
              </w:rPr>
            </w:pPr>
          </w:p>
        </w:tc>
        <w:tc>
          <w:tcPr>
            <w:tcW w:w="1843" w:type="dxa"/>
            <w:vMerge/>
            <w:shd w:val="clear" w:color="auto" w:fill="auto"/>
            <w:vAlign w:val="bottom"/>
          </w:tcPr>
          <w:p w14:paraId="4CD79AA5" w14:textId="77777777" w:rsidR="00322889" w:rsidRPr="009077F5" w:rsidRDefault="00322889">
            <w:pPr>
              <w:pStyle w:val="KonuBal"/>
              <w:rPr>
                <w:sz w:val="24"/>
                <w:szCs w:val="24"/>
              </w:rPr>
            </w:pPr>
          </w:p>
        </w:tc>
        <w:tc>
          <w:tcPr>
            <w:tcW w:w="992" w:type="dxa"/>
            <w:vMerge/>
            <w:shd w:val="clear" w:color="auto" w:fill="auto"/>
            <w:vAlign w:val="bottom"/>
          </w:tcPr>
          <w:p w14:paraId="06549C56" w14:textId="77777777" w:rsidR="00322889" w:rsidRPr="009077F5" w:rsidRDefault="00322889">
            <w:pPr>
              <w:pStyle w:val="KonuBal"/>
              <w:rPr>
                <w:sz w:val="24"/>
                <w:szCs w:val="24"/>
              </w:rPr>
            </w:pPr>
          </w:p>
        </w:tc>
      </w:tr>
      <w:tr w:rsidR="00F72785" w:rsidRPr="004B0D48" w14:paraId="324A57C7" w14:textId="77777777" w:rsidTr="000F45CE">
        <w:trPr>
          <w:trHeight w:val="90"/>
        </w:trPr>
        <w:tc>
          <w:tcPr>
            <w:tcW w:w="1844" w:type="dxa"/>
            <w:vMerge/>
            <w:shd w:val="clear" w:color="auto" w:fill="auto"/>
            <w:vAlign w:val="bottom"/>
          </w:tcPr>
          <w:p w14:paraId="15F8BFFF" w14:textId="77777777" w:rsidR="00322889" w:rsidRPr="009077F5" w:rsidRDefault="00322889">
            <w:pPr>
              <w:pStyle w:val="KonuBal"/>
              <w:rPr>
                <w:sz w:val="24"/>
                <w:szCs w:val="24"/>
              </w:rPr>
            </w:pPr>
          </w:p>
        </w:tc>
        <w:tc>
          <w:tcPr>
            <w:tcW w:w="1417" w:type="dxa"/>
            <w:shd w:val="clear" w:color="auto" w:fill="auto"/>
            <w:vAlign w:val="bottom"/>
          </w:tcPr>
          <w:p w14:paraId="7CC0C71C" w14:textId="4BFD544B" w:rsidR="00322889" w:rsidRPr="009077F5" w:rsidRDefault="00322889">
            <w:pPr>
              <w:pStyle w:val="KonuBal"/>
              <w:rPr>
                <w:sz w:val="24"/>
                <w:szCs w:val="24"/>
              </w:rPr>
            </w:pPr>
            <w:r w:rsidRPr="009077F5">
              <w:rPr>
                <w:sz w:val="24"/>
                <w:szCs w:val="24"/>
              </w:rPr>
              <w:t>Cıva</w:t>
            </w:r>
          </w:p>
        </w:tc>
        <w:tc>
          <w:tcPr>
            <w:tcW w:w="1559" w:type="dxa"/>
            <w:shd w:val="clear" w:color="auto" w:fill="auto"/>
            <w:vAlign w:val="bottom"/>
          </w:tcPr>
          <w:p w14:paraId="02EA65B1" w14:textId="7537D957" w:rsidR="00322889" w:rsidRPr="009077F5" w:rsidRDefault="00322889">
            <w:pPr>
              <w:pStyle w:val="KonuBal"/>
              <w:rPr>
                <w:sz w:val="24"/>
                <w:szCs w:val="24"/>
              </w:rPr>
            </w:pPr>
            <w:r w:rsidRPr="009077F5">
              <w:rPr>
                <w:sz w:val="24"/>
                <w:szCs w:val="24"/>
              </w:rPr>
              <w:t>Tüm prosesler (</w:t>
            </w:r>
            <w:r w:rsidRPr="009077F5">
              <w:rPr>
                <w:sz w:val="24"/>
                <w:szCs w:val="24"/>
                <w:vertAlign w:val="superscript"/>
              </w:rPr>
              <w:t>6</w:t>
            </w:r>
            <w:r w:rsidRPr="009077F5">
              <w:rPr>
                <w:sz w:val="24"/>
                <w:szCs w:val="24"/>
              </w:rPr>
              <w:t>)</w:t>
            </w:r>
          </w:p>
        </w:tc>
        <w:tc>
          <w:tcPr>
            <w:tcW w:w="1701" w:type="dxa"/>
            <w:shd w:val="clear" w:color="auto" w:fill="auto"/>
            <w:vAlign w:val="bottom"/>
          </w:tcPr>
          <w:p w14:paraId="754BF8C9" w14:textId="5506E938" w:rsidR="00322889" w:rsidRPr="009077F5" w:rsidRDefault="00322889">
            <w:pPr>
              <w:pStyle w:val="KonuBal"/>
              <w:rPr>
                <w:sz w:val="24"/>
                <w:szCs w:val="24"/>
              </w:rPr>
            </w:pPr>
            <w:r w:rsidRPr="009077F5">
              <w:rPr>
                <w:sz w:val="24"/>
                <w:szCs w:val="24"/>
              </w:rPr>
              <w:t xml:space="preserve">Çeşitli EN standartları mevcut (örn. </w:t>
            </w:r>
            <w:r w:rsidR="007237E2" w:rsidRPr="009077F5">
              <w:rPr>
                <w:sz w:val="24"/>
                <w:szCs w:val="24"/>
              </w:rPr>
              <w:t xml:space="preserve">TS </w:t>
            </w:r>
            <w:r w:rsidR="0023315C" w:rsidRPr="009077F5">
              <w:rPr>
                <w:sz w:val="24"/>
                <w:szCs w:val="24"/>
              </w:rPr>
              <w:t>TS EN ISO 12846</w:t>
            </w:r>
            <w:r w:rsidRPr="009077F5">
              <w:rPr>
                <w:sz w:val="24"/>
                <w:szCs w:val="24"/>
              </w:rPr>
              <w:t xml:space="preserve">, </w:t>
            </w:r>
            <w:r w:rsidR="00964686" w:rsidRPr="009077F5">
              <w:rPr>
                <w:sz w:val="24"/>
                <w:szCs w:val="24"/>
              </w:rPr>
              <w:t xml:space="preserve">TS </w:t>
            </w:r>
            <w:r w:rsidR="0023315C" w:rsidRPr="009077F5">
              <w:rPr>
                <w:sz w:val="24"/>
                <w:szCs w:val="24"/>
              </w:rPr>
              <w:t>TS EN ISO 17852</w:t>
            </w:r>
            <w:r w:rsidRPr="009077F5">
              <w:rPr>
                <w:sz w:val="24"/>
                <w:szCs w:val="24"/>
              </w:rPr>
              <w:t>)</w:t>
            </w:r>
          </w:p>
        </w:tc>
        <w:tc>
          <w:tcPr>
            <w:tcW w:w="1843" w:type="dxa"/>
            <w:vMerge/>
            <w:shd w:val="clear" w:color="auto" w:fill="auto"/>
            <w:vAlign w:val="bottom"/>
          </w:tcPr>
          <w:p w14:paraId="7E942DC8" w14:textId="77777777" w:rsidR="00322889" w:rsidRPr="009077F5" w:rsidRDefault="00322889">
            <w:pPr>
              <w:pStyle w:val="KonuBal"/>
              <w:rPr>
                <w:sz w:val="24"/>
                <w:szCs w:val="24"/>
              </w:rPr>
            </w:pPr>
          </w:p>
        </w:tc>
        <w:tc>
          <w:tcPr>
            <w:tcW w:w="992" w:type="dxa"/>
            <w:vMerge/>
            <w:shd w:val="clear" w:color="auto" w:fill="auto"/>
            <w:vAlign w:val="bottom"/>
          </w:tcPr>
          <w:p w14:paraId="15AD3EAE" w14:textId="77777777" w:rsidR="00322889" w:rsidRPr="009077F5" w:rsidRDefault="00322889">
            <w:pPr>
              <w:pStyle w:val="KonuBal"/>
              <w:rPr>
                <w:sz w:val="24"/>
                <w:szCs w:val="24"/>
              </w:rPr>
            </w:pPr>
          </w:p>
        </w:tc>
      </w:tr>
      <w:tr w:rsidR="00F72785" w:rsidRPr="004B0D48" w14:paraId="32D29C4B" w14:textId="77777777" w:rsidTr="000F45CE">
        <w:trPr>
          <w:trHeight w:val="90"/>
        </w:trPr>
        <w:tc>
          <w:tcPr>
            <w:tcW w:w="1844" w:type="dxa"/>
            <w:vMerge/>
            <w:shd w:val="clear" w:color="auto" w:fill="auto"/>
            <w:vAlign w:val="bottom"/>
          </w:tcPr>
          <w:p w14:paraId="69163A78" w14:textId="77777777" w:rsidR="00322889" w:rsidRPr="009077F5" w:rsidRDefault="00322889">
            <w:pPr>
              <w:pStyle w:val="KonuBal"/>
              <w:rPr>
                <w:sz w:val="24"/>
                <w:szCs w:val="24"/>
              </w:rPr>
            </w:pPr>
          </w:p>
        </w:tc>
        <w:tc>
          <w:tcPr>
            <w:tcW w:w="1417" w:type="dxa"/>
            <w:shd w:val="clear" w:color="auto" w:fill="auto"/>
            <w:vAlign w:val="bottom"/>
          </w:tcPr>
          <w:p w14:paraId="4E691818" w14:textId="42C2D1BF" w:rsidR="00322889" w:rsidRPr="009077F5" w:rsidRDefault="00322889">
            <w:pPr>
              <w:pStyle w:val="KonuBal"/>
              <w:rPr>
                <w:sz w:val="24"/>
                <w:szCs w:val="24"/>
              </w:rPr>
            </w:pPr>
            <w:r w:rsidRPr="009077F5">
              <w:rPr>
                <w:sz w:val="24"/>
                <w:szCs w:val="24"/>
              </w:rPr>
              <w:t>Altı değerlikli krom</w:t>
            </w:r>
          </w:p>
        </w:tc>
        <w:tc>
          <w:tcPr>
            <w:tcW w:w="1559" w:type="dxa"/>
            <w:shd w:val="clear" w:color="auto" w:fill="auto"/>
            <w:vAlign w:val="bottom"/>
          </w:tcPr>
          <w:p w14:paraId="14CDEAE2" w14:textId="77BAFD72" w:rsidR="00322889" w:rsidRPr="009077F5" w:rsidRDefault="00322889">
            <w:pPr>
              <w:pStyle w:val="KonuBal"/>
              <w:rPr>
                <w:sz w:val="24"/>
                <w:szCs w:val="24"/>
              </w:rPr>
            </w:pPr>
            <w:r w:rsidRPr="009077F5">
              <w:rPr>
                <w:sz w:val="24"/>
                <w:szCs w:val="24"/>
              </w:rPr>
              <w:t>Yüksek alaşımlı çeliklerin asitlenmesi veya altı değerlikli krom bileşikleri ile pasivasyonu</w:t>
            </w:r>
          </w:p>
        </w:tc>
        <w:tc>
          <w:tcPr>
            <w:tcW w:w="1701" w:type="dxa"/>
            <w:shd w:val="clear" w:color="auto" w:fill="auto"/>
            <w:vAlign w:val="center"/>
          </w:tcPr>
          <w:p w14:paraId="3AB8990C" w14:textId="2D5C4969" w:rsidR="00322889" w:rsidRPr="009077F5" w:rsidRDefault="00322889">
            <w:pPr>
              <w:pStyle w:val="KonuBal"/>
              <w:rPr>
                <w:sz w:val="24"/>
                <w:szCs w:val="24"/>
              </w:rPr>
            </w:pPr>
            <w:r w:rsidRPr="009077F5">
              <w:rPr>
                <w:sz w:val="24"/>
                <w:szCs w:val="24"/>
              </w:rPr>
              <w:t xml:space="preserve">Çeşitli EN standartları mevcut (örn. </w:t>
            </w:r>
            <w:r w:rsidR="002C7E2E" w:rsidRPr="009077F5">
              <w:rPr>
                <w:sz w:val="24"/>
                <w:szCs w:val="24"/>
              </w:rPr>
              <w:t xml:space="preserve">TS </w:t>
            </w:r>
            <w:r w:rsidRPr="009077F5">
              <w:rPr>
                <w:sz w:val="24"/>
                <w:szCs w:val="24"/>
              </w:rPr>
              <w:t>EN</w:t>
            </w:r>
            <w:r w:rsidR="001C5B03" w:rsidRPr="009077F5">
              <w:rPr>
                <w:sz w:val="24"/>
                <w:szCs w:val="24"/>
              </w:rPr>
              <w:t xml:space="preserve"> TS </w:t>
            </w:r>
            <w:r w:rsidRPr="009077F5">
              <w:rPr>
                <w:sz w:val="24"/>
                <w:szCs w:val="24"/>
              </w:rPr>
              <w:t xml:space="preserve">ISO 10304-3, </w:t>
            </w:r>
            <w:r w:rsidR="001C5B03" w:rsidRPr="009077F5">
              <w:rPr>
                <w:sz w:val="24"/>
                <w:szCs w:val="24"/>
              </w:rPr>
              <w:t xml:space="preserve">TS </w:t>
            </w:r>
            <w:r w:rsidRPr="009077F5">
              <w:rPr>
                <w:sz w:val="24"/>
                <w:szCs w:val="24"/>
              </w:rPr>
              <w:t>EN</w:t>
            </w:r>
            <w:r w:rsidR="001C5B03" w:rsidRPr="009077F5">
              <w:rPr>
                <w:sz w:val="24"/>
                <w:szCs w:val="24"/>
              </w:rPr>
              <w:t xml:space="preserve"> </w:t>
            </w:r>
            <w:r w:rsidRPr="009077F5">
              <w:rPr>
                <w:sz w:val="24"/>
                <w:szCs w:val="24"/>
              </w:rPr>
              <w:t>ISO 23913)</w:t>
            </w:r>
          </w:p>
        </w:tc>
        <w:tc>
          <w:tcPr>
            <w:tcW w:w="1843" w:type="dxa"/>
            <w:vMerge/>
            <w:shd w:val="clear" w:color="auto" w:fill="auto"/>
            <w:vAlign w:val="bottom"/>
          </w:tcPr>
          <w:p w14:paraId="56D43CFF" w14:textId="77777777" w:rsidR="00322889" w:rsidRPr="009077F5" w:rsidRDefault="00322889">
            <w:pPr>
              <w:pStyle w:val="KonuBal"/>
              <w:rPr>
                <w:sz w:val="24"/>
                <w:szCs w:val="24"/>
              </w:rPr>
            </w:pPr>
          </w:p>
        </w:tc>
        <w:tc>
          <w:tcPr>
            <w:tcW w:w="992" w:type="dxa"/>
            <w:vMerge/>
            <w:shd w:val="clear" w:color="auto" w:fill="auto"/>
            <w:vAlign w:val="bottom"/>
          </w:tcPr>
          <w:p w14:paraId="2734E219" w14:textId="77777777" w:rsidR="00322889" w:rsidRPr="009077F5" w:rsidRDefault="00322889">
            <w:pPr>
              <w:pStyle w:val="KonuBal"/>
              <w:rPr>
                <w:sz w:val="24"/>
                <w:szCs w:val="24"/>
              </w:rPr>
            </w:pPr>
          </w:p>
        </w:tc>
      </w:tr>
      <w:tr w:rsidR="00F72785" w:rsidRPr="004B0D48" w14:paraId="7F160A3E" w14:textId="77777777" w:rsidTr="000F45CE">
        <w:trPr>
          <w:trHeight w:val="304"/>
        </w:trPr>
        <w:tc>
          <w:tcPr>
            <w:tcW w:w="3261" w:type="dxa"/>
            <w:gridSpan w:val="2"/>
            <w:shd w:val="clear" w:color="auto" w:fill="auto"/>
            <w:vAlign w:val="center"/>
          </w:tcPr>
          <w:p w14:paraId="1761E3DD" w14:textId="39C7CE4B" w:rsidR="00322889" w:rsidRPr="009077F5" w:rsidRDefault="00322889" w:rsidP="004B0D48">
            <w:pPr>
              <w:pStyle w:val="KonuBal"/>
              <w:rPr>
                <w:sz w:val="24"/>
                <w:szCs w:val="24"/>
              </w:rPr>
            </w:pPr>
            <w:r w:rsidRPr="009077F5">
              <w:rPr>
                <w:sz w:val="24"/>
                <w:szCs w:val="24"/>
              </w:rPr>
              <w:t>Toplam fosfor (Toplam P) (</w:t>
            </w:r>
            <w:r w:rsidRPr="009077F5">
              <w:rPr>
                <w:sz w:val="24"/>
                <w:szCs w:val="24"/>
                <w:vertAlign w:val="superscript"/>
              </w:rPr>
              <w:t>2</w:t>
            </w:r>
            <w:r w:rsidRPr="009077F5">
              <w:rPr>
                <w:sz w:val="24"/>
                <w:szCs w:val="24"/>
              </w:rPr>
              <w:t>)</w:t>
            </w:r>
          </w:p>
        </w:tc>
        <w:tc>
          <w:tcPr>
            <w:tcW w:w="1559" w:type="dxa"/>
            <w:shd w:val="clear" w:color="auto" w:fill="auto"/>
            <w:vAlign w:val="center"/>
          </w:tcPr>
          <w:p w14:paraId="216F45FE" w14:textId="77777777" w:rsidR="00322889" w:rsidRPr="009077F5" w:rsidRDefault="00322889" w:rsidP="004B0D48">
            <w:pPr>
              <w:pStyle w:val="KonuBal"/>
              <w:rPr>
                <w:sz w:val="24"/>
                <w:szCs w:val="24"/>
              </w:rPr>
            </w:pPr>
            <w:r w:rsidRPr="009077F5">
              <w:rPr>
                <w:sz w:val="24"/>
                <w:szCs w:val="24"/>
              </w:rPr>
              <w:t>Fosfatlama</w:t>
            </w:r>
          </w:p>
        </w:tc>
        <w:tc>
          <w:tcPr>
            <w:tcW w:w="1701" w:type="dxa"/>
            <w:shd w:val="clear" w:color="auto" w:fill="auto"/>
            <w:vAlign w:val="center"/>
          </w:tcPr>
          <w:p w14:paraId="44DCD74C" w14:textId="2FD48EFE" w:rsidR="00322889" w:rsidRPr="009077F5" w:rsidRDefault="00322889" w:rsidP="004B0D48">
            <w:pPr>
              <w:pStyle w:val="KonuBal"/>
              <w:rPr>
                <w:sz w:val="24"/>
                <w:szCs w:val="24"/>
              </w:rPr>
            </w:pPr>
            <w:r w:rsidRPr="009077F5">
              <w:rPr>
                <w:sz w:val="24"/>
                <w:szCs w:val="24"/>
              </w:rPr>
              <w:t xml:space="preserve">Çeşitli EN standartları mevcut (ör. </w:t>
            </w:r>
            <w:r w:rsidR="001C5B03" w:rsidRPr="009077F5">
              <w:rPr>
                <w:sz w:val="24"/>
                <w:szCs w:val="24"/>
              </w:rPr>
              <w:t xml:space="preserve">TS </w:t>
            </w:r>
            <w:r w:rsidRPr="009077F5">
              <w:rPr>
                <w:sz w:val="24"/>
                <w:szCs w:val="24"/>
              </w:rPr>
              <w:t xml:space="preserve">EN ISO 6878, </w:t>
            </w:r>
            <w:r w:rsidR="007237E2" w:rsidRPr="009077F5">
              <w:rPr>
                <w:sz w:val="24"/>
                <w:szCs w:val="24"/>
              </w:rPr>
              <w:t>TS EN ISO 11885</w:t>
            </w:r>
            <w:r w:rsidRPr="009077F5">
              <w:rPr>
                <w:sz w:val="24"/>
                <w:szCs w:val="24"/>
              </w:rPr>
              <w:t xml:space="preserve">, </w:t>
            </w:r>
            <w:r w:rsidR="001C5B03" w:rsidRPr="009077F5">
              <w:rPr>
                <w:sz w:val="24"/>
                <w:szCs w:val="24"/>
              </w:rPr>
              <w:t xml:space="preserve">TS </w:t>
            </w:r>
            <w:r w:rsidRPr="009077F5">
              <w:rPr>
                <w:sz w:val="24"/>
                <w:szCs w:val="24"/>
              </w:rPr>
              <w:t xml:space="preserve">EN ISO 15681-1 ve -2) </w:t>
            </w:r>
          </w:p>
        </w:tc>
        <w:tc>
          <w:tcPr>
            <w:tcW w:w="1843" w:type="dxa"/>
            <w:shd w:val="clear" w:color="auto" w:fill="auto"/>
            <w:vAlign w:val="center"/>
          </w:tcPr>
          <w:p w14:paraId="673C5706" w14:textId="199BD173" w:rsidR="00322889" w:rsidRPr="009077F5" w:rsidRDefault="00322889" w:rsidP="004B0D48">
            <w:pPr>
              <w:pStyle w:val="KonuBal"/>
              <w:rPr>
                <w:sz w:val="24"/>
                <w:szCs w:val="24"/>
              </w:rPr>
            </w:pPr>
            <w:r w:rsidRPr="009077F5">
              <w:rPr>
                <w:sz w:val="24"/>
                <w:szCs w:val="24"/>
              </w:rPr>
              <w:t>Ayda bir kez</w:t>
            </w:r>
          </w:p>
        </w:tc>
        <w:tc>
          <w:tcPr>
            <w:tcW w:w="992" w:type="dxa"/>
            <w:vMerge/>
            <w:shd w:val="clear" w:color="auto" w:fill="auto"/>
            <w:vAlign w:val="bottom"/>
          </w:tcPr>
          <w:p w14:paraId="10E367E9" w14:textId="77777777" w:rsidR="00322889" w:rsidRPr="009077F5" w:rsidRDefault="00322889">
            <w:pPr>
              <w:pStyle w:val="KonuBal"/>
              <w:rPr>
                <w:sz w:val="24"/>
                <w:szCs w:val="24"/>
              </w:rPr>
            </w:pPr>
          </w:p>
        </w:tc>
      </w:tr>
      <w:tr w:rsidR="00F72785" w:rsidRPr="004B0D48" w14:paraId="24C0F9AF" w14:textId="77777777" w:rsidTr="000F45CE">
        <w:trPr>
          <w:trHeight w:val="195"/>
        </w:trPr>
        <w:tc>
          <w:tcPr>
            <w:tcW w:w="3261" w:type="dxa"/>
            <w:gridSpan w:val="2"/>
            <w:shd w:val="clear" w:color="auto" w:fill="auto"/>
            <w:vAlign w:val="center"/>
          </w:tcPr>
          <w:p w14:paraId="1651E4AF" w14:textId="77777777" w:rsidR="00322889" w:rsidRPr="009077F5" w:rsidRDefault="00322889" w:rsidP="004B0D48">
            <w:pPr>
              <w:pStyle w:val="KonuBal"/>
              <w:rPr>
                <w:sz w:val="24"/>
                <w:szCs w:val="24"/>
              </w:rPr>
            </w:pPr>
            <w:r w:rsidRPr="009077F5">
              <w:rPr>
                <w:sz w:val="24"/>
                <w:szCs w:val="24"/>
              </w:rPr>
              <w:t>Florür (F</w:t>
            </w:r>
            <w:r w:rsidRPr="009077F5">
              <w:rPr>
                <w:sz w:val="24"/>
                <w:szCs w:val="24"/>
                <w:vertAlign w:val="superscript"/>
              </w:rPr>
              <w:t>-</w:t>
            </w:r>
            <w:r w:rsidRPr="009077F5">
              <w:rPr>
                <w:sz w:val="24"/>
                <w:szCs w:val="24"/>
              </w:rPr>
              <w:t>) (</w:t>
            </w:r>
            <w:r w:rsidRPr="009077F5">
              <w:rPr>
                <w:sz w:val="24"/>
                <w:szCs w:val="24"/>
                <w:vertAlign w:val="superscript"/>
              </w:rPr>
              <w:t>5</w:t>
            </w:r>
            <w:r w:rsidRPr="009077F5">
              <w:rPr>
                <w:sz w:val="24"/>
                <w:szCs w:val="24"/>
              </w:rPr>
              <w:t>)</w:t>
            </w:r>
          </w:p>
        </w:tc>
        <w:tc>
          <w:tcPr>
            <w:tcW w:w="1559" w:type="dxa"/>
            <w:shd w:val="clear" w:color="auto" w:fill="auto"/>
            <w:vAlign w:val="bottom"/>
          </w:tcPr>
          <w:p w14:paraId="5EBED56E" w14:textId="0305801F" w:rsidR="00322889" w:rsidRPr="009077F5" w:rsidRDefault="00322889" w:rsidP="004B0D48">
            <w:pPr>
              <w:pStyle w:val="KonuBal"/>
              <w:rPr>
                <w:sz w:val="24"/>
                <w:szCs w:val="24"/>
              </w:rPr>
            </w:pPr>
            <w:r w:rsidRPr="009077F5">
              <w:rPr>
                <w:sz w:val="24"/>
                <w:szCs w:val="24"/>
              </w:rPr>
              <w:t>Hidroflorik asit içeren asit karışımları ile dekapaj</w:t>
            </w:r>
          </w:p>
        </w:tc>
        <w:tc>
          <w:tcPr>
            <w:tcW w:w="1701" w:type="dxa"/>
            <w:shd w:val="clear" w:color="auto" w:fill="auto"/>
            <w:vAlign w:val="center"/>
          </w:tcPr>
          <w:p w14:paraId="5A0EBE37" w14:textId="1FA35FD7" w:rsidR="00322889" w:rsidRPr="009077F5" w:rsidRDefault="001C5B03" w:rsidP="004B0D48">
            <w:pPr>
              <w:pStyle w:val="KonuBal"/>
              <w:rPr>
                <w:sz w:val="24"/>
                <w:szCs w:val="24"/>
              </w:rPr>
            </w:pPr>
            <w:r w:rsidRPr="009077F5">
              <w:rPr>
                <w:sz w:val="24"/>
                <w:szCs w:val="24"/>
              </w:rPr>
              <w:t xml:space="preserve">TS </w:t>
            </w:r>
            <w:r w:rsidR="00322889" w:rsidRPr="009077F5">
              <w:rPr>
                <w:sz w:val="24"/>
                <w:szCs w:val="24"/>
              </w:rPr>
              <w:t>EN ISO 10304-1</w:t>
            </w:r>
          </w:p>
        </w:tc>
        <w:tc>
          <w:tcPr>
            <w:tcW w:w="1843" w:type="dxa"/>
            <w:shd w:val="clear" w:color="auto" w:fill="auto"/>
            <w:vAlign w:val="center"/>
          </w:tcPr>
          <w:p w14:paraId="02A43B58" w14:textId="11891337" w:rsidR="00322889" w:rsidRPr="009077F5" w:rsidRDefault="00322889" w:rsidP="004B0D48">
            <w:pPr>
              <w:pStyle w:val="KonuBal"/>
              <w:rPr>
                <w:sz w:val="24"/>
                <w:szCs w:val="24"/>
              </w:rPr>
            </w:pPr>
            <w:r w:rsidRPr="009077F5">
              <w:rPr>
                <w:sz w:val="24"/>
                <w:szCs w:val="24"/>
              </w:rPr>
              <w:t>Ayda bir kez</w:t>
            </w:r>
          </w:p>
        </w:tc>
        <w:tc>
          <w:tcPr>
            <w:tcW w:w="992" w:type="dxa"/>
            <w:vMerge/>
            <w:shd w:val="clear" w:color="auto" w:fill="auto"/>
            <w:vAlign w:val="bottom"/>
          </w:tcPr>
          <w:p w14:paraId="71856001" w14:textId="77777777" w:rsidR="00322889" w:rsidRPr="009077F5" w:rsidRDefault="00322889">
            <w:pPr>
              <w:pStyle w:val="KonuBal"/>
              <w:rPr>
                <w:sz w:val="24"/>
                <w:szCs w:val="24"/>
              </w:rPr>
            </w:pPr>
          </w:p>
        </w:tc>
      </w:tr>
      <w:tr w:rsidR="00F72785" w:rsidRPr="004B0D48" w14:paraId="383A99E4" w14:textId="77777777" w:rsidTr="000F45CE">
        <w:trPr>
          <w:trHeight w:val="375"/>
        </w:trPr>
        <w:tc>
          <w:tcPr>
            <w:tcW w:w="9356" w:type="dxa"/>
            <w:gridSpan w:val="6"/>
            <w:shd w:val="clear" w:color="auto" w:fill="auto"/>
            <w:vAlign w:val="center"/>
          </w:tcPr>
          <w:p w14:paraId="03F76E7B" w14:textId="77777777" w:rsidR="00322889" w:rsidRPr="004B0D48" w:rsidRDefault="00322889" w:rsidP="00A202FD">
            <w:pPr>
              <w:jc w:val="both"/>
              <w:rPr>
                <w:rFonts w:eastAsia="Calibri"/>
                <w:sz w:val="20"/>
                <w:szCs w:val="20"/>
                <w:lang w:eastAsia="en-US"/>
              </w:rPr>
            </w:pPr>
            <w:r w:rsidRPr="009077F5">
              <w:rPr>
                <w:rFonts w:eastAsia="Calibri"/>
                <w:sz w:val="20"/>
                <w:szCs w:val="20"/>
                <w:lang w:eastAsia="en-US"/>
              </w:rPr>
              <w:t>(</w:t>
            </w:r>
            <w:r w:rsidRPr="009077F5">
              <w:rPr>
                <w:rFonts w:eastAsia="Calibri"/>
                <w:sz w:val="20"/>
                <w:szCs w:val="20"/>
                <w:vertAlign w:val="superscript"/>
                <w:lang w:eastAsia="en-US"/>
              </w:rPr>
              <w:t>1</w:t>
            </w:r>
            <w:r w:rsidRPr="004B0D48">
              <w:rPr>
                <w:rFonts w:eastAsia="Calibri"/>
                <w:sz w:val="20"/>
                <w:szCs w:val="20"/>
                <w:lang w:eastAsia="en-US"/>
              </w:rPr>
              <w:t xml:space="preserve">) Minimum izleme sıklığından daha az sıklıkla kesikli deşarj olması durumunda, izleme kesikli deşarj başına bir kez gerçekleştirilir. </w:t>
            </w:r>
          </w:p>
          <w:p w14:paraId="761F10D4" w14:textId="136A6386" w:rsidR="00322889" w:rsidRPr="00CB4CD4" w:rsidRDefault="00322889" w:rsidP="00A202FD">
            <w:pPr>
              <w:jc w:val="both"/>
              <w:rPr>
                <w:rFonts w:eastAsia="Calibri"/>
                <w:sz w:val="20"/>
                <w:szCs w:val="20"/>
                <w:lang w:eastAsia="en-US"/>
              </w:rPr>
            </w:pPr>
            <w:r w:rsidRPr="00E73DA3">
              <w:rPr>
                <w:rFonts w:eastAsia="Calibri"/>
                <w:sz w:val="20"/>
                <w:szCs w:val="20"/>
                <w:lang w:eastAsia="en-US"/>
              </w:rPr>
              <w:t>(</w:t>
            </w:r>
            <w:r w:rsidRPr="00BF4451">
              <w:rPr>
                <w:rFonts w:eastAsia="Calibri"/>
                <w:sz w:val="20"/>
                <w:szCs w:val="20"/>
                <w:vertAlign w:val="superscript"/>
                <w:lang w:eastAsia="en-US"/>
              </w:rPr>
              <w:t>2</w:t>
            </w:r>
            <w:r w:rsidRPr="00BF4451">
              <w:rPr>
                <w:rFonts w:eastAsia="Calibri"/>
                <w:sz w:val="20"/>
                <w:szCs w:val="20"/>
                <w:lang w:eastAsia="en-US"/>
              </w:rPr>
              <w:t xml:space="preserve">) İzleme sadece alıcı su </w:t>
            </w:r>
            <w:r w:rsidR="008D07F8" w:rsidRPr="00BF4451">
              <w:rPr>
                <w:rFonts w:eastAsia="Calibri"/>
                <w:sz w:val="20"/>
                <w:szCs w:val="20"/>
                <w:lang w:eastAsia="en-US"/>
              </w:rPr>
              <w:t>ortamına</w:t>
            </w:r>
            <w:r w:rsidRPr="00BF4451">
              <w:rPr>
                <w:rFonts w:eastAsia="Calibri"/>
                <w:sz w:val="20"/>
                <w:szCs w:val="20"/>
                <w:lang w:eastAsia="en-US"/>
              </w:rPr>
              <w:t xml:space="preserve"> doğrudan deşarj durumunda geçerlidir.</w:t>
            </w:r>
          </w:p>
          <w:p w14:paraId="20D58689" w14:textId="6AB565E9" w:rsidR="00322889" w:rsidRPr="004B0D48" w:rsidRDefault="00322889" w:rsidP="00A202FD">
            <w:pPr>
              <w:jc w:val="both"/>
              <w:rPr>
                <w:rFonts w:eastAsia="Calibri"/>
                <w:sz w:val="20"/>
                <w:szCs w:val="20"/>
                <w:lang w:eastAsia="en-US"/>
              </w:rPr>
            </w:pPr>
            <w:r w:rsidRPr="004B0D48">
              <w:rPr>
                <w:rFonts w:eastAsia="Calibri"/>
                <w:sz w:val="20"/>
                <w:szCs w:val="20"/>
                <w:lang w:eastAsia="en-US"/>
              </w:rPr>
              <w:t>(</w:t>
            </w:r>
            <w:r w:rsidRPr="004B0D48">
              <w:rPr>
                <w:rFonts w:eastAsia="Calibri"/>
                <w:sz w:val="20"/>
                <w:szCs w:val="20"/>
                <w:vertAlign w:val="superscript"/>
                <w:lang w:eastAsia="en-US"/>
              </w:rPr>
              <w:t>3</w:t>
            </w:r>
            <w:r w:rsidRPr="004B0D48">
              <w:rPr>
                <w:rFonts w:eastAsia="Calibri"/>
                <w:sz w:val="20"/>
                <w:szCs w:val="20"/>
                <w:lang w:eastAsia="en-US"/>
              </w:rPr>
              <w:t>) Emisyon seviyelerinin yeterince stabil olduğu kanıtlanırsa izleme sıklıkları ayda bire indirilebilir.</w:t>
            </w:r>
          </w:p>
          <w:p w14:paraId="3037722A" w14:textId="77777777" w:rsidR="00322889" w:rsidRPr="004B0D48" w:rsidRDefault="00322889" w:rsidP="00A202FD">
            <w:pPr>
              <w:jc w:val="both"/>
              <w:rPr>
                <w:rFonts w:eastAsia="Calibri"/>
                <w:sz w:val="20"/>
                <w:szCs w:val="20"/>
                <w:lang w:eastAsia="en-US"/>
              </w:rPr>
            </w:pPr>
            <w:r w:rsidRPr="004B0D48">
              <w:rPr>
                <w:rFonts w:eastAsia="Calibri"/>
                <w:sz w:val="20"/>
                <w:szCs w:val="20"/>
                <w:lang w:eastAsia="en-US"/>
              </w:rPr>
              <w:t>(</w:t>
            </w:r>
            <w:r w:rsidRPr="004B0D48">
              <w:rPr>
                <w:rFonts w:eastAsia="Calibri"/>
                <w:sz w:val="20"/>
                <w:szCs w:val="20"/>
                <w:vertAlign w:val="superscript"/>
                <w:lang w:eastAsia="en-US"/>
              </w:rPr>
              <w:t>4</w:t>
            </w:r>
            <w:r w:rsidRPr="004B0D48">
              <w:rPr>
                <w:rFonts w:eastAsia="Calibri"/>
                <w:sz w:val="20"/>
                <w:szCs w:val="20"/>
                <w:lang w:eastAsia="en-US"/>
              </w:rPr>
              <w:t xml:space="preserve">) KOİ ya da TOK izlenir. TOK izleme, çok toksik bileşiklerin kullanımına dayanmadığı için tercih edilen seçenektir. </w:t>
            </w:r>
          </w:p>
          <w:p w14:paraId="4B92DB25" w14:textId="3913BB1E" w:rsidR="00322889" w:rsidRPr="004B0D48" w:rsidRDefault="00322889" w:rsidP="00A202FD">
            <w:pPr>
              <w:jc w:val="both"/>
              <w:rPr>
                <w:rFonts w:eastAsia="Calibri"/>
                <w:sz w:val="20"/>
                <w:szCs w:val="20"/>
                <w:lang w:eastAsia="en-US"/>
              </w:rPr>
            </w:pPr>
            <w:r w:rsidRPr="009077F5">
              <w:rPr>
                <w:rFonts w:eastAsia="Calibri"/>
                <w:sz w:val="20"/>
                <w:szCs w:val="20"/>
                <w:lang w:eastAsia="en-US"/>
              </w:rPr>
              <w:t>(</w:t>
            </w:r>
            <w:r w:rsidRPr="009077F5">
              <w:rPr>
                <w:rFonts w:eastAsia="Calibri"/>
                <w:sz w:val="20"/>
                <w:szCs w:val="20"/>
                <w:vertAlign w:val="superscript"/>
                <w:lang w:eastAsia="en-US"/>
              </w:rPr>
              <w:t>5</w:t>
            </w:r>
            <w:r w:rsidRPr="009077F5">
              <w:rPr>
                <w:rFonts w:eastAsia="Calibri"/>
                <w:sz w:val="20"/>
                <w:szCs w:val="20"/>
                <w:lang w:eastAsia="en-US"/>
              </w:rPr>
              <w:t xml:space="preserve">) </w:t>
            </w:r>
            <w:r w:rsidR="0001612C" w:rsidRPr="004B0D48">
              <w:rPr>
                <w:rFonts w:eastAsia="Calibri"/>
                <w:sz w:val="20"/>
                <w:szCs w:val="20"/>
                <w:lang w:eastAsia="en-US"/>
              </w:rPr>
              <w:t xml:space="preserve">Alıcı bir su kütlesine doğrudan deşarj yapılması durumunda, mansaptaki </w:t>
            </w:r>
            <w:r w:rsidR="00651500" w:rsidRPr="004B0D48">
              <w:rPr>
                <w:rFonts w:eastAsia="Calibri"/>
                <w:sz w:val="20"/>
                <w:szCs w:val="20"/>
                <w:lang w:eastAsia="en-US"/>
              </w:rPr>
              <w:t>atıksu</w:t>
            </w:r>
            <w:r w:rsidR="0001612C" w:rsidRPr="004B0D48">
              <w:rPr>
                <w:rFonts w:eastAsia="Calibri"/>
                <w:sz w:val="20"/>
                <w:szCs w:val="20"/>
                <w:lang w:eastAsia="en-US"/>
              </w:rPr>
              <w:t>arıtma tesisinin ilgili kirleticileri gidermek için uygun şekilde tasarlanmış ve donatılmış olması halinde izleme sıklığı 3 ayda bire düşürülebilir.</w:t>
            </w:r>
          </w:p>
          <w:p w14:paraId="35988BDE" w14:textId="77086093" w:rsidR="00322889" w:rsidRPr="009077F5" w:rsidRDefault="00322889" w:rsidP="00A202FD">
            <w:pPr>
              <w:jc w:val="both"/>
              <w:rPr>
                <w:rFonts w:eastAsia="Calibri"/>
                <w:lang w:eastAsia="en-US"/>
              </w:rPr>
            </w:pPr>
            <w:r w:rsidRPr="00E73DA3">
              <w:rPr>
                <w:rFonts w:eastAsia="Calibri"/>
                <w:sz w:val="20"/>
                <w:szCs w:val="20"/>
                <w:lang w:eastAsia="en-US"/>
              </w:rPr>
              <w:t>(</w:t>
            </w:r>
            <w:r w:rsidRPr="00BF4451">
              <w:rPr>
                <w:rFonts w:eastAsia="Calibri"/>
                <w:sz w:val="20"/>
                <w:szCs w:val="20"/>
                <w:vertAlign w:val="superscript"/>
                <w:lang w:eastAsia="en-US"/>
              </w:rPr>
              <w:t>6</w:t>
            </w:r>
            <w:r w:rsidRPr="00BF4451">
              <w:rPr>
                <w:rFonts w:eastAsia="Calibri"/>
                <w:sz w:val="20"/>
                <w:szCs w:val="20"/>
                <w:lang w:eastAsia="en-US"/>
              </w:rPr>
              <w:t xml:space="preserve">) </w:t>
            </w:r>
            <w:r w:rsidR="0001612C" w:rsidRPr="00BF4451">
              <w:rPr>
                <w:rFonts w:eastAsia="Calibri"/>
                <w:sz w:val="20"/>
                <w:szCs w:val="20"/>
                <w:lang w:eastAsia="en-US"/>
              </w:rPr>
              <w:t xml:space="preserve">İzleme yalnızca </w:t>
            </w:r>
            <w:r w:rsidR="00BD3576" w:rsidRPr="00BF4451">
              <w:rPr>
                <w:rFonts w:eastAsia="Calibri"/>
                <w:sz w:val="20"/>
                <w:szCs w:val="20"/>
                <w:lang w:eastAsia="en-US"/>
              </w:rPr>
              <w:t>MET</w:t>
            </w:r>
            <w:r w:rsidR="0001612C" w:rsidRPr="00CB4CD4">
              <w:rPr>
                <w:rFonts w:eastAsia="Calibri"/>
                <w:sz w:val="20"/>
                <w:szCs w:val="20"/>
                <w:lang w:eastAsia="en-US"/>
              </w:rPr>
              <w:t xml:space="preserve"> 2</w:t>
            </w:r>
            <w:r w:rsidR="00E56504" w:rsidRPr="004B0D48">
              <w:rPr>
                <w:rFonts w:eastAsia="Calibri"/>
                <w:sz w:val="20"/>
                <w:szCs w:val="20"/>
                <w:lang w:eastAsia="en-US"/>
              </w:rPr>
              <w:t>’</w:t>
            </w:r>
            <w:r w:rsidR="0001612C" w:rsidRPr="004B0D48">
              <w:rPr>
                <w:rFonts w:eastAsia="Calibri"/>
                <w:sz w:val="20"/>
                <w:szCs w:val="20"/>
                <w:lang w:eastAsia="en-US"/>
              </w:rPr>
              <w:t xml:space="preserve">de belirtilen envantere dayalı olarak madde/parametrenin </w:t>
            </w:r>
            <w:r w:rsidR="00651500" w:rsidRPr="004B0D48">
              <w:rPr>
                <w:rFonts w:eastAsia="Calibri"/>
                <w:sz w:val="20"/>
                <w:szCs w:val="20"/>
                <w:lang w:eastAsia="en-US"/>
              </w:rPr>
              <w:t>atıksu</w:t>
            </w:r>
            <w:r w:rsidR="0001612C" w:rsidRPr="004B0D48">
              <w:rPr>
                <w:rFonts w:eastAsia="Calibri"/>
                <w:sz w:val="20"/>
                <w:szCs w:val="20"/>
                <w:lang w:eastAsia="en-US"/>
              </w:rPr>
              <w:t>akışında ilgili olduğu tespit edildiğinde uygulanır.</w:t>
            </w:r>
          </w:p>
        </w:tc>
      </w:tr>
    </w:tbl>
    <w:p w14:paraId="49CD60E8" w14:textId="0169F35A" w:rsidR="0071694E" w:rsidRPr="00D53A2B" w:rsidRDefault="0071694E" w:rsidP="00A202FD">
      <w:pPr>
        <w:jc w:val="both"/>
        <w:rPr>
          <w:rFonts w:eastAsia="Calibri"/>
          <w:lang w:eastAsia="en-US"/>
        </w:rPr>
      </w:pPr>
    </w:p>
    <w:p w14:paraId="3ECCDE9D" w14:textId="05E17538" w:rsidR="0071694E" w:rsidRPr="00D53A2B" w:rsidRDefault="00816D19" w:rsidP="00A202FD">
      <w:pPr>
        <w:pStyle w:val="Balk3"/>
        <w:rPr>
          <w:rFonts w:eastAsia="Calibri" w:cs="Times New Roman"/>
          <w:lang w:eastAsia="en-US"/>
        </w:rPr>
      </w:pPr>
      <w:r w:rsidRPr="00D53A2B">
        <w:rPr>
          <w:rFonts w:eastAsia="Calibri" w:cs="Times New Roman"/>
          <w:lang w:eastAsia="en-US"/>
        </w:rPr>
        <w:t>1.1</w:t>
      </w:r>
      <w:r w:rsidR="0043617F" w:rsidRPr="00D53A2B">
        <w:rPr>
          <w:rFonts w:eastAsia="Calibri" w:cs="Times New Roman"/>
          <w:lang w:eastAsia="en-US"/>
        </w:rPr>
        <w:t>.3.</w:t>
      </w:r>
      <w:r w:rsidR="00BD3576" w:rsidRPr="00D53A2B">
        <w:rPr>
          <w:rFonts w:eastAsia="Calibri" w:cs="Times New Roman"/>
          <w:lang w:eastAsia="en-US"/>
        </w:rPr>
        <w:t xml:space="preserve"> </w:t>
      </w:r>
      <w:r w:rsidR="0071694E" w:rsidRPr="00D53A2B">
        <w:rPr>
          <w:rFonts w:eastAsia="Calibri" w:cs="Times New Roman"/>
          <w:lang w:eastAsia="en-US"/>
        </w:rPr>
        <w:t>Tehlikeli maddeler</w:t>
      </w:r>
    </w:p>
    <w:p w14:paraId="69DAAB30" w14:textId="69FCE62F" w:rsidR="0001612C" w:rsidRPr="00D53A2B" w:rsidRDefault="0001612C" w:rsidP="00A202FD">
      <w:pPr>
        <w:pStyle w:val="MET"/>
        <w:rPr>
          <w:rFonts w:eastAsia="Calibri"/>
          <w:szCs w:val="24"/>
        </w:rPr>
      </w:pPr>
      <w:r w:rsidRPr="00D53A2B">
        <w:rPr>
          <w:rFonts w:eastAsia="Calibri"/>
          <w:szCs w:val="24"/>
        </w:rPr>
        <w:t xml:space="preserve">MET 9: </w:t>
      </w:r>
      <w:r w:rsidRPr="00D53A2B">
        <w:rPr>
          <w:rFonts w:eastAsia="Calibri"/>
          <w:b w:val="0"/>
          <w:bCs/>
          <w:szCs w:val="24"/>
        </w:rPr>
        <w:t>Pasivasyonda altı değerlikli krom bileşiklerinin kullanımından kaçınmak için, diğer metal içeren çözeltileri (örneğin manganez, çinko, titanyum florür, fosfatlar ve/veya molibdat içeren) veya organik polimer çözeltileri (örneğin poliüretanlar veya polyesterler içeren) kullan</w:t>
      </w:r>
      <w:r w:rsidR="008573DD" w:rsidRPr="00D53A2B">
        <w:rPr>
          <w:rFonts w:eastAsia="Calibri"/>
          <w:b w:val="0"/>
          <w:bCs/>
          <w:szCs w:val="24"/>
        </w:rPr>
        <w:t>ılır</w:t>
      </w:r>
      <w:r w:rsidRPr="00D53A2B">
        <w:rPr>
          <w:rFonts w:eastAsia="Calibri"/>
          <w:b w:val="0"/>
          <w:bCs/>
          <w:szCs w:val="24"/>
        </w:rPr>
        <w:t>.</w:t>
      </w:r>
    </w:p>
    <w:p w14:paraId="120F7C7F" w14:textId="77777777" w:rsidR="0001612C" w:rsidRPr="00D53A2B" w:rsidRDefault="0001612C" w:rsidP="00A202FD">
      <w:pPr>
        <w:jc w:val="both"/>
        <w:rPr>
          <w:rFonts w:eastAsia="Calibri"/>
          <w:lang w:eastAsia="en-US"/>
        </w:rPr>
      </w:pPr>
    </w:p>
    <w:p w14:paraId="0881C132" w14:textId="72967395" w:rsidR="0001612C" w:rsidRPr="00D53A2B" w:rsidRDefault="0001612C" w:rsidP="00A202FD">
      <w:pPr>
        <w:jc w:val="both"/>
        <w:rPr>
          <w:rFonts w:eastAsia="Calibri"/>
          <w:b/>
          <w:bCs/>
          <w:lang w:eastAsia="en-US"/>
        </w:rPr>
      </w:pPr>
      <w:r w:rsidRPr="00D53A2B">
        <w:rPr>
          <w:rFonts w:eastAsia="Calibri"/>
          <w:b/>
          <w:bCs/>
          <w:lang w:eastAsia="en-US"/>
        </w:rPr>
        <w:t>Uygulanabilirlik</w:t>
      </w:r>
    </w:p>
    <w:p w14:paraId="4C276373" w14:textId="7E363291" w:rsidR="0001612C" w:rsidRPr="00D53A2B" w:rsidRDefault="0001612C" w:rsidP="00A202FD">
      <w:pPr>
        <w:jc w:val="both"/>
        <w:rPr>
          <w:rFonts w:eastAsia="Calibri"/>
          <w:lang w:eastAsia="en-US"/>
        </w:rPr>
      </w:pPr>
      <w:r w:rsidRPr="00D53A2B">
        <w:rPr>
          <w:rFonts w:eastAsia="Calibri"/>
          <w:lang w:eastAsia="en-US"/>
        </w:rPr>
        <w:t>Uygulanabilirlik ürün özelliklerine bağlı olarak kısıtlanabilir (örn. yüzey kalitesi, boyanabilirlik, kaynaklanabilirlik, şekillendirilebilirlik, korozyon direnci).</w:t>
      </w:r>
    </w:p>
    <w:p w14:paraId="4BBE928C" w14:textId="77777777" w:rsidR="0071694E" w:rsidRPr="00D53A2B" w:rsidRDefault="0071694E" w:rsidP="00A202FD">
      <w:pPr>
        <w:jc w:val="both"/>
        <w:rPr>
          <w:rFonts w:eastAsia="Calibri"/>
          <w:lang w:eastAsia="en-US"/>
        </w:rPr>
      </w:pPr>
    </w:p>
    <w:p w14:paraId="79106D18" w14:textId="51BEB2AF" w:rsidR="0001612C" w:rsidRPr="00D53A2B" w:rsidRDefault="00816D19" w:rsidP="009077F5">
      <w:pPr>
        <w:pStyle w:val="Balk3"/>
        <w:rPr>
          <w:rFonts w:eastAsia="Calibri"/>
        </w:rPr>
      </w:pPr>
      <w:r w:rsidRPr="00D53A2B">
        <w:rPr>
          <w:rFonts w:eastAsia="Calibri" w:cs="Times New Roman"/>
          <w:lang w:eastAsia="en-US"/>
        </w:rPr>
        <w:lastRenderedPageBreak/>
        <w:t>1.1</w:t>
      </w:r>
      <w:r w:rsidR="0071694E" w:rsidRPr="00D53A2B">
        <w:rPr>
          <w:rFonts w:eastAsia="Calibri" w:cs="Times New Roman"/>
          <w:lang w:eastAsia="en-US"/>
        </w:rPr>
        <w:t>.4</w:t>
      </w:r>
      <w:r w:rsidR="0071694E" w:rsidRPr="00D53A2B">
        <w:rPr>
          <w:rFonts w:eastAsia="Calibri" w:cs="Times New Roman"/>
          <w:lang w:eastAsia="en-US"/>
        </w:rPr>
        <w:tab/>
        <w:t>Enerji verimliliği</w:t>
      </w:r>
    </w:p>
    <w:p w14:paraId="440A453A" w14:textId="6B0B50A3" w:rsidR="0071694E" w:rsidRDefault="0001612C" w:rsidP="00A202FD">
      <w:pPr>
        <w:pStyle w:val="MET"/>
        <w:rPr>
          <w:rFonts w:eastAsia="Calibri"/>
          <w:b w:val="0"/>
          <w:bCs/>
          <w:szCs w:val="24"/>
        </w:rPr>
      </w:pPr>
      <w:r w:rsidRPr="00D53A2B">
        <w:rPr>
          <w:rFonts w:eastAsia="Calibri"/>
          <w:szCs w:val="24"/>
        </w:rPr>
        <w:t xml:space="preserve">MET 10: </w:t>
      </w:r>
      <w:r w:rsidRPr="00D53A2B">
        <w:rPr>
          <w:rFonts w:eastAsia="Calibri"/>
          <w:b w:val="0"/>
          <w:bCs/>
          <w:szCs w:val="24"/>
        </w:rPr>
        <w:t>Tesisin genel enerji verimliliğini artırmak için aşağıda verilen tekniklerin her ikisini de kullan</w:t>
      </w:r>
      <w:r w:rsidR="0043617F" w:rsidRPr="00D53A2B">
        <w:rPr>
          <w:rFonts w:eastAsia="Calibri"/>
          <w:b w:val="0"/>
          <w:bCs/>
          <w:szCs w:val="24"/>
        </w:rPr>
        <w:t>ılır</w:t>
      </w:r>
      <w:r w:rsidRPr="00D53A2B">
        <w:rPr>
          <w:rFonts w:eastAsia="Calibri"/>
          <w:b w:val="0"/>
          <w:bCs/>
          <w:szCs w:val="24"/>
        </w:rPr>
        <w:t>.</w:t>
      </w:r>
    </w:p>
    <w:p w14:paraId="2C21667E" w14:textId="77777777" w:rsidR="004B0D48" w:rsidRPr="00D53A2B" w:rsidRDefault="004B0D48" w:rsidP="00A202FD">
      <w:pPr>
        <w:pStyle w:val="MET"/>
        <w:rPr>
          <w:rFonts w:eastAsia="Calibri"/>
          <w:szCs w:val="24"/>
        </w:rPr>
      </w:pPr>
    </w:p>
    <w:tbl>
      <w:tblPr>
        <w:tblW w:w="9214" w:type="dxa"/>
        <w:tblInd w:w="132" w:type="dxa"/>
        <w:tblLayout w:type="fixed"/>
        <w:tblCellMar>
          <w:left w:w="0" w:type="dxa"/>
          <w:right w:w="0" w:type="dxa"/>
        </w:tblCellMar>
        <w:tblLook w:val="0000" w:firstRow="0" w:lastRow="0" w:firstColumn="0" w:lastColumn="0" w:noHBand="0" w:noVBand="0"/>
      </w:tblPr>
      <w:tblGrid>
        <w:gridCol w:w="284"/>
        <w:gridCol w:w="1134"/>
        <w:gridCol w:w="5244"/>
        <w:gridCol w:w="2552"/>
      </w:tblGrid>
      <w:tr w:rsidR="0071694E" w:rsidRPr="004B0D48" w14:paraId="13C3B950" w14:textId="77777777" w:rsidTr="0043617F">
        <w:trPr>
          <w:trHeight w:val="240"/>
        </w:trPr>
        <w:tc>
          <w:tcPr>
            <w:tcW w:w="1418"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90EA593" w14:textId="77777777" w:rsidR="0071694E" w:rsidRPr="009077F5" w:rsidRDefault="0071694E" w:rsidP="004B0D48">
            <w:pPr>
              <w:pStyle w:val="KonuBal"/>
              <w:rPr>
                <w:sz w:val="24"/>
                <w:szCs w:val="24"/>
              </w:rPr>
            </w:pPr>
            <w:r w:rsidRPr="009077F5">
              <w:rPr>
                <w:sz w:val="24"/>
                <w:szCs w:val="24"/>
              </w:rPr>
              <w:t>Teknik</w:t>
            </w:r>
          </w:p>
        </w:tc>
        <w:tc>
          <w:tcPr>
            <w:tcW w:w="5244" w:type="dxa"/>
            <w:tcBorders>
              <w:top w:val="single" w:sz="8" w:space="0" w:color="auto"/>
              <w:bottom w:val="single" w:sz="8" w:space="0" w:color="auto"/>
              <w:right w:val="single" w:sz="8" w:space="0" w:color="auto"/>
            </w:tcBorders>
            <w:shd w:val="clear" w:color="auto" w:fill="auto"/>
            <w:vAlign w:val="center"/>
          </w:tcPr>
          <w:p w14:paraId="21F2DAA3" w14:textId="77777777" w:rsidR="0071694E" w:rsidRPr="009077F5" w:rsidRDefault="0071694E" w:rsidP="004B0D48">
            <w:pPr>
              <w:pStyle w:val="KonuBal"/>
              <w:rPr>
                <w:sz w:val="24"/>
                <w:szCs w:val="24"/>
              </w:rPr>
            </w:pPr>
            <w:r w:rsidRPr="009077F5">
              <w:rPr>
                <w:sz w:val="24"/>
                <w:szCs w:val="24"/>
              </w:rPr>
              <w:t>Açıklama</w:t>
            </w:r>
          </w:p>
        </w:tc>
        <w:tc>
          <w:tcPr>
            <w:tcW w:w="2552" w:type="dxa"/>
            <w:tcBorders>
              <w:top w:val="single" w:sz="8" w:space="0" w:color="auto"/>
              <w:bottom w:val="single" w:sz="8" w:space="0" w:color="auto"/>
              <w:right w:val="single" w:sz="8" w:space="0" w:color="auto"/>
            </w:tcBorders>
            <w:shd w:val="clear" w:color="auto" w:fill="auto"/>
            <w:vAlign w:val="center"/>
          </w:tcPr>
          <w:p w14:paraId="7CBA57B5" w14:textId="77777777" w:rsidR="0071694E" w:rsidRPr="009077F5" w:rsidRDefault="0071694E" w:rsidP="004B0D48">
            <w:pPr>
              <w:pStyle w:val="KonuBal"/>
              <w:rPr>
                <w:sz w:val="24"/>
                <w:szCs w:val="24"/>
              </w:rPr>
            </w:pPr>
            <w:r w:rsidRPr="009077F5">
              <w:rPr>
                <w:sz w:val="24"/>
                <w:szCs w:val="24"/>
              </w:rPr>
              <w:t>Uygulanabilirlik</w:t>
            </w:r>
          </w:p>
        </w:tc>
      </w:tr>
      <w:tr w:rsidR="0071694E" w:rsidRPr="004B0D48" w14:paraId="5F22FDE0" w14:textId="77777777" w:rsidTr="0043617F">
        <w:trPr>
          <w:trHeight w:val="3206"/>
        </w:trPr>
        <w:tc>
          <w:tcPr>
            <w:tcW w:w="284" w:type="dxa"/>
            <w:tcBorders>
              <w:left w:val="single" w:sz="8" w:space="0" w:color="auto"/>
              <w:bottom w:val="single" w:sz="6" w:space="0" w:color="auto"/>
              <w:right w:val="single" w:sz="8" w:space="0" w:color="auto"/>
            </w:tcBorders>
            <w:shd w:val="clear" w:color="auto" w:fill="auto"/>
            <w:vAlign w:val="center"/>
          </w:tcPr>
          <w:p w14:paraId="56A8DD98" w14:textId="77777777" w:rsidR="0071694E" w:rsidRPr="009077F5" w:rsidRDefault="0071694E" w:rsidP="004B0D48">
            <w:pPr>
              <w:pStyle w:val="KonuBal"/>
              <w:rPr>
                <w:sz w:val="24"/>
                <w:szCs w:val="24"/>
              </w:rPr>
            </w:pPr>
            <w:r w:rsidRPr="009077F5">
              <w:rPr>
                <w:sz w:val="24"/>
                <w:szCs w:val="24"/>
              </w:rPr>
              <w:t>a.</w:t>
            </w:r>
          </w:p>
        </w:tc>
        <w:tc>
          <w:tcPr>
            <w:tcW w:w="1134" w:type="dxa"/>
            <w:tcBorders>
              <w:bottom w:val="single" w:sz="6" w:space="0" w:color="auto"/>
              <w:right w:val="single" w:sz="8" w:space="0" w:color="auto"/>
            </w:tcBorders>
            <w:shd w:val="clear" w:color="auto" w:fill="auto"/>
            <w:vAlign w:val="center"/>
          </w:tcPr>
          <w:p w14:paraId="5CB5CFD0" w14:textId="18C19163" w:rsidR="0071694E" w:rsidRPr="009077F5" w:rsidRDefault="0071694E" w:rsidP="004B0D48">
            <w:pPr>
              <w:pStyle w:val="KonuBal"/>
              <w:rPr>
                <w:sz w:val="24"/>
                <w:szCs w:val="24"/>
              </w:rPr>
            </w:pPr>
            <w:r w:rsidRPr="009077F5">
              <w:rPr>
                <w:sz w:val="24"/>
                <w:szCs w:val="24"/>
              </w:rPr>
              <w:t xml:space="preserve">Enerji verimliliği planı ve enerji </w:t>
            </w:r>
            <w:r w:rsidR="0001612C" w:rsidRPr="009077F5">
              <w:rPr>
                <w:sz w:val="24"/>
                <w:szCs w:val="24"/>
              </w:rPr>
              <w:t>etütleri</w:t>
            </w:r>
          </w:p>
        </w:tc>
        <w:tc>
          <w:tcPr>
            <w:tcW w:w="5244" w:type="dxa"/>
            <w:tcBorders>
              <w:left w:val="single" w:sz="8" w:space="0" w:color="auto"/>
              <w:bottom w:val="single" w:sz="6" w:space="0" w:color="auto"/>
              <w:right w:val="single" w:sz="8" w:space="0" w:color="auto"/>
            </w:tcBorders>
            <w:shd w:val="clear" w:color="auto" w:fill="auto"/>
            <w:vAlign w:val="bottom"/>
          </w:tcPr>
          <w:p w14:paraId="4890A833" w14:textId="599F227F" w:rsidR="0001612C" w:rsidRPr="009077F5" w:rsidRDefault="0001612C" w:rsidP="004B0D48">
            <w:pPr>
              <w:pStyle w:val="KonuBal"/>
              <w:rPr>
                <w:sz w:val="24"/>
                <w:szCs w:val="24"/>
              </w:rPr>
            </w:pPr>
            <w:r w:rsidRPr="009077F5">
              <w:rPr>
                <w:sz w:val="24"/>
                <w:szCs w:val="24"/>
              </w:rPr>
              <w:t xml:space="preserve">Enerji verimliliği planı </w:t>
            </w:r>
            <w:r w:rsidR="005F0E3A" w:rsidRPr="009077F5">
              <w:rPr>
                <w:sz w:val="24"/>
                <w:szCs w:val="24"/>
              </w:rPr>
              <w:t>ÇYS</w:t>
            </w:r>
            <w:r w:rsidR="00E56504" w:rsidRPr="009077F5">
              <w:rPr>
                <w:sz w:val="24"/>
                <w:szCs w:val="24"/>
              </w:rPr>
              <w:t>’</w:t>
            </w:r>
            <w:r w:rsidRPr="009077F5">
              <w:rPr>
                <w:sz w:val="24"/>
                <w:szCs w:val="24"/>
              </w:rPr>
              <w:t>nin bir parçasıdır (bkz. MET 1) ve faaliyetin/süreçlerin spesifik enerji tüketiminin tanımlanmasını ve izlenmesini (bkz. MET 6), yıllık bazda temel performans göstergelerinin belirlenmesini (örn. MJ/t ürün) ve periyodik iyileştirme hedeflerinin ve ilgili eylemlerin planlanmasını gerektirir.</w:t>
            </w:r>
          </w:p>
          <w:p w14:paraId="0A282900" w14:textId="77777777" w:rsidR="0001612C" w:rsidRPr="009077F5" w:rsidRDefault="0001612C" w:rsidP="004B0D48">
            <w:pPr>
              <w:pStyle w:val="KonuBal"/>
              <w:rPr>
                <w:sz w:val="24"/>
                <w:szCs w:val="24"/>
              </w:rPr>
            </w:pPr>
            <w:r w:rsidRPr="009077F5">
              <w:rPr>
                <w:sz w:val="24"/>
                <w:szCs w:val="24"/>
              </w:rPr>
              <w:t>Enerji yönetim planının hedeflerine ulaşıldığından emin olmak için yılda en az bir kez enerji etütleri gerçekleştirilir.</w:t>
            </w:r>
          </w:p>
          <w:p w14:paraId="33BE19AE" w14:textId="756E11EC" w:rsidR="0071694E" w:rsidRPr="009077F5" w:rsidRDefault="0001612C" w:rsidP="00E73DA3">
            <w:pPr>
              <w:pStyle w:val="KonuBal"/>
              <w:rPr>
                <w:sz w:val="24"/>
                <w:szCs w:val="24"/>
              </w:rPr>
            </w:pPr>
            <w:r w:rsidRPr="009077F5">
              <w:rPr>
                <w:sz w:val="24"/>
                <w:szCs w:val="24"/>
              </w:rPr>
              <w:t>Enerji verimliliği planı ve enerji etütleri, daha büyük bir tesisin (örneğin demir çelik üretimi için) genel enerji verimliliği planına entegre edilebilir.</w:t>
            </w:r>
          </w:p>
        </w:tc>
        <w:tc>
          <w:tcPr>
            <w:tcW w:w="2552" w:type="dxa"/>
            <w:vMerge w:val="restart"/>
            <w:tcBorders>
              <w:right w:val="single" w:sz="8" w:space="0" w:color="auto"/>
            </w:tcBorders>
            <w:shd w:val="clear" w:color="auto" w:fill="auto"/>
            <w:vAlign w:val="center"/>
          </w:tcPr>
          <w:p w14:paraId="1EEC025A" w14:textId="1EF34AE3" w:rsidR="0071694E" w:rsidRPr="009077F5" w:rsidRDefault="0001612C" w:rsidP="00BF4451">
            <w:pPr>
              <w:pStyle w:val="KonuBal"/>
              <w:rPr>
                <w:sz w:val="24"/>
                <w:szCs w:val="24"/>
              </w:rPr>
            </w:pPr>
            <w:r w:rsidRPr="009077F5">
              <w:rPr>
                <w:sz w:val="24"/>
                <w:szCs w:val="24"/>
              </w:rPr>
              <w:t>Enerji verimliliği planının, enerji etütlerinin ve enerji dengesi kayıtlarının ayrıntı düzeyi genellikle tesisin niteliği, ölçeği ve karmaşıklığı ve kullanılan enerji kaynaklarının türleri ile ilgili olacaktır.</w:t>
            </w:r>
          </w:p>
        </w:tc>
      </w:tr>
      <w:tr w:rsidR="00F72785" w:rsidRPr="004B0D48" w14:paraId="7D205540" w14:textId="77777777" w:rsidTr="004B0D48">
        <w:trPr>
          <w:trHeight w:val="411"/>
        </w:trPr>
        <w:tc>
          <w:tcPr>
            <w:tcW w:w="284" w:type="dxa"/>
            <w:tcBorders>
              <w:top w:val="single" w:sz="6" w:space="0" w:color="auto"/>
              <w:left w:val="single" w:sz="8" w:space="0" w:color="auto"/>
              <w:bottom w:val="single" w:sz="4" w:space="0" w:color="auto"/>
              <w:right w:val="single" w:sz="8" w:space="0" w:color="auto"/>
            </w:tcBorders>
            <w:shd w:val="clear" w:color="auto" w:fill="auto"/>
            <w:vAlign w:val="center"/>
          </w:tcPr>
          <w:p w14:paraId="5C7269A4" w14:textId="77777777" w:rsidR="0071694E" w:rsidRPr="009077F5" w:rsidRDefault="0071694E" w:rsidP="004B0D48">
            <w:pPr>
              <w:pStyle w:val="KonuBal"/>
              <w:rPr>
                <w:sz w:val="24"/>
                <w:szCs w:val="24"/>
              </w:rPr>
            </w:pPr>
            <w:r w:rsidRPr="009077F5">
              <w:rPr>
                <w:sz w:val="24"/>
                <w:szCs w:val="24"/>
              </w:rPr>
              <w:t>b.</w:t>
            </w:r>
          </w:p>
        </w:tc>
        <w:tc>
          <w:tcPr>
            <w:tcW w:w="1134" w:type="dxa"/>
            <w:tcBorders>
              <w:top w:val="single" w:sz="6" w:space="0" w:color="auto"/>
              <w:bottom w:val="single" w:sz="6" w:space="0" w:color="auto"/>
              <w:right w:val="single" w:sz="8" w:space="0" w:color="auto"/>
            </w:tcBorders>
            <w:shd w:val="clear" w:color="auto" w:fill="auto"/>
            <w:vAlign w:val="center"/>
          </w:tcPr>
          <w:p w14:paraId="49307B34" w14:textId="4AD1DD74" w:rsidR="0071694E" w:rsidRPr="009077F5" w:rsidRDefault="0071694E" w:rsidP="004B0D48">
            <w:pPr>
              <w:pStyle w:val="KonuBal"/>
              <w:rPr>
                <w:sz w:val="24"/>
                <w:szCs w:val="24"/>
              </w:rPr>
            </w:pPr>
            <w:r w:rsidRPr="009077F5">
              <w:rPr>
                <w:sz w:val="24"/>
                <w:szCs w:val="24"/>
              </w:rPr>
              <w:t>Enerji denge</w:t>
            </w:r>
            <w:r w:rsidR="0001612C" w:rsidRPr="009077F5">
              <w:rPr>
                <w:sz w:val="24"/>
                <w:szCs w:val="24"/>
              </w:rPr>
              <w:t xml:space="preserve"> </w:t>
            </w:r>
            <w:r w:rsidRPr="009077F5">
              <w:rPr>
                <w:sz w:val="24"/>
                <w:szCs w:val="24"/>
              </w:rPr>
              <w:t xml:space="preserve">kaydı </w:t>
            </w:r>
          </w:p>
        </w:tc>
        <w:tc>
          <w:tcPr>
            <w:tcW w:w="5244" w:type="dxa"/>
            <w:tcBorders>
              <w:top w:val="single" w:sz="6" w:space="0" w:color="auto"/>
              <w:left w:val="single" w:sz="8" w:space="0" w:color="auto"/>
              <w:bottom w:val="single" w:sz="6" w:space="0" w:color="auto"/>
              <w:right w:val="single" w:sz="6" w:space="0" w:color="auto"/>
            </w:tcBorders>
            <w:shd w:val="clear" w:color="auto" w:fill="auto"/>
            <w:vAlign w:val="bottom"/>
          </w:tcPr>
          <w:p w14:paraId="14B673D5" w14:textId="77777777" w:rsidR="0001612C" w:rsidRPr="009077F5" w:rsidRDefault="0001612C" w:rsidP="004B0D48">
            <w:pPr>
              <w:pStyle w:val="KonuBal"/>
              <w:rPr>
                <w:sz w:val="24"/>
                <w:szCs w:val="24"/>
              </w:rPr>
            </w:pPr>
            <w:r w:rsidRPr="009077F5">
              <w:rPr>
                <w:sz w:val="24"/>
                <w:szCs w:val="24"/>
              </w:rPr>
              <w:t>Enerji tüketiminin ve üretiminin (enerji ihracatı dahil) enerji kaynağı türüne göre (örneğin elektrik, doğal gaz, demir-çelik proses gazları, yenilenebilir enerji, ithal edilen ısı ve/veya soğutma) bir dökümünü sağlayan bir enerji dengesi kaydının yıllık bazda hazırlanması. Buna aşağıdakiler dahildir:</w:t>
            </w:r>
          </w:p>
          <w:p w14:paraId="6D2FEBDB" w14:textId="77777777" w:rsidR="00BD5A7A" w:rsidRPr="009077F5" w:rsidRDefault="0001612C" w:rsidP="004B0D48">
            <w:pPr>
              <w:pStyle w:val="KonuBal"/>
              <w:numPr>
                <w:ilvl w:val="0"/>
                <w:numId w:val="143"/>
              </w:numPr>
              <w:rPr>
                <w:sz w:val="24"/>
                <w:szCs w:val="24"/>
              </w:rPr>
            </w:pPr>
            <w:r w:rsidRPr="009077F5">
              <w:rPr>
                <w:sz w:val="24"/>
                <w:szCs w:val="24"/>
              </w:rPr>
              <w:t>süreçlerin enerji sınırını tanımlar;</w:t>
            </w:r>
          </w:p>
          <w:p w14:paraId="68C66EA9" w14:textId="77777777" w:rsidR="00BD5A7A" w:rsidRPr="009077F5" w:rsidRDefault="00BD5A7A" w:rsidP="004B0D48">
            <w:pPr>
              <w:pStyle w:val="KonuBal"/>
              <w:numPr>
                <w:ilvl w:val="0"/>
                <w:numId w:val="143"/>
              </w:numPr>
              <w:rPr>
                <w:sz w:val="24"/>
                <w:szCs w:val="24"/>
              </w:rPr>
            </w:pPr>
            <w:r w:rsidRPr="009077F5">
              <w:rPr>
                <w:sz w:val="24"/>
                <w:szCs w:val="24"/>
              </w:rPr>
              <w:t>d</w:t>
            </w:r>
            <w:r w:rsidR="0071694E" w:rsidRPr="009077F5">
              <w:rPr>
                <w:sz w:val="24"/>
                <w:szCs w:val="24"/>
              </w:rPr>
              <w:t>ağıtılan enerji açısından enerji tüketimi</w:t>
            </w:r>
            <w:r w:rsidRPr="009077F5">
              <w:rPr>
                <w:sz w:val="24"/>
                <w:szCs w:val="24"/>
              </w:rPr>
              <w:t xml:space="preserve"> hakkında bilgi</w:t>
            </w:r>
            <w:r w:rsidR="0071694E" w:rsidRPr="009077F5">
              <w:rPr>
                <w:sz w:val="24"/>
                <w:szCs w:val="24"/>
              </w:rPr>
              <w:t>;</w:t>
            </w:r>
          </w:p>
          <w:p w14:paraId="4185CF6A" w14:textId="77777777" w:rsidR="00BD5A7A" w:rsidRPr="009077F5" w:rsidRDefault="00BD5A7A" w:rsidP="00E73DA3">
            <w:pPr>
              <w:pStyle w:val="KonuBal"/>
              <w:numPr>
                <w:ilvl w:val="0"/>
                <w:numId w:val="143"/>
              </w:numPr>
              <w:rPr>
                <w:sz w:val="24"/>
                <w:szCs w:val="24"/>
              </w:rPr>
            </w:pPr>
            <w:r w:rsidRPr="009077F5">
              <w:rPr>
                <w:sz w:val="24"/>
                <w:szCs w:val="24"/>
              </w:rPr>
              <w:t>tesisten dışarıya aktarılan enerji hakkında bilgi</w:t>
            </w:r>
            <w:r w:rsidR="0071694E" w:rsidRPr="009077F5">
              <w:rPr>
                <w:sz w:val="24"/>
                <w:szCs w:val="24"/>
              </w:rPr>
              <w:t>;</w:t>
            </w:r>
          </w:p>
          <w:p w14:paraId="42E50D51" w14:textId="1464D5EF" w:rsidR="00BD5A7A" w:rsidRPr="009077F5" w:rsidRDefault="00BD5A7A" w:rsidP="00BF4451">
            <w:pPr>
              <w:pStyle w:val="KonuBal"/>
              <w:numPr>
                <w:ilvl w:val="0"/>
                <w:numId w:val="143"/>
              </w:numPr>
              <w:rPr>
                <w:sz w:val="24"/>
                <w:szCs w:val="24"/>
              </w:rPr>
            </w:pPr>
            <w:r w:rsidRPr="009077F5">
              <w:rPr>
                <w:sz w:val="24"/>
                <w:szCs w:val="24"/>
              </w:rPr>
              <w:t>prosesler boyunca enerjinin nasıl kullanıldığını gösteren enerji akış bilgileri (örneğin Sankey diyagramları veya enerji dengeleri).</w:t>
            </w:r>
          </w:p>
        </w:tc>
        <w:tc>
          <w:tcPr>
            <w:tcW w:w="2552" w:type="dxa"/>
            <w:vMerge/>
            <w:tcBorders>
              <w:left w:val="single" w:sz="6" w:space="0" w:color="auto"/>
              <w:bottom w:val="single" w:sz="6" w:space="0" w:color="auto"/>
              <w:right w:val="single" w:sz="8" w:space="0" w:color="auto"/>
            </w:tcBorders>
            <w:shd w:val="clear" w:color="auto" w:fill="auto"/>
            <w:vAlign w:val="bottom"/>
          </w:tcPr>
          <w:p w14:paraId="683CBCB5" w14:textId="77777777" w:rsidR="0071694E" w:rsidRPr="009077F5" w:rsidRDefault="0071694E">
            <w:pPr>
              <w:pStyle w:val="KonuBal"/>
              <w:rPr>
                <w:sz w:val="24"/>
                <w:szCs w:val="24"/>
              </w:rPr>
            </w:pPr>
          </w:p>
        </w:tc>
      </w:tr>
    </w:tbl>
    <w:p w14:paraId="7481830D" w14:textId="77777777" w:rsidR="0071694E" w:rsidRPr="00D53A2B" w:rsidRDefault="0071694E" w:rsidP="00A202FD">
      <w:pPr>
        <w:jc w:val="both"/>
        <w:rPr>
          <w:rFonts w:eastAsia="Calibri"/>
          <w:lang w:eastAsia="en-US"/>
        </w:rPr>
      </w:pPr>
    </w:p>
    <w:p w14:paraId="7C8973E9" w14:textId="237CC863" w:rsidR="0001612C" w:rsidRPr="00D53A2B" w:rsidRDefault="00BD5A7A" w:rsidP="00A202FD">
      <w:pPr>
        <w:pStyle w:val="MET"/>
        <w:rPr>
          <w:rFonts w:eastAsia="Calibri"/>
          <w:b w:val="0"/>
          <w:bCs/>
          <w:szCs w:val="24"/>
        </w:rPr>
      </w:pPr>
      <w:r w:rsidRPr="00D53A2B">
        <w:rPr>
          <w:rFonts w:eastAsia="Calibri"/>
          <w:szCs w:val="24"/>
        </w:rPr>
        <w:t xml:space="preserve">MET 11: </w:t>
      </w:r>
      <w:r w:rsidRPr="00D53A2B">
        <w:rPr>
          <w:rFonts w:eastAsia="Calibri"/>
          <w:b w:val="0"/>
          <w:bCs/>
          <w:szCs w:val="24"/>
        </w:rPr>
        <w:t>Isıtmada (hammaddenin ısıtılması ve kurutulmasının yanı sıra banyoların ve galvaniz kazanlarının ısıtılması dahil) enerji verimliliğini artırmak için aşağıda verilen tekniklerin uygun bir kombinasyonunu kullan</w:t>
      </w:r>
      <w:r w:rsidR="00E357AF" w:rsidRPr="00D53A2B">
        <w:rPr>
          <w:rFonts w:eastAsia="Calibri"/>
          <w:b w:val="0"/>
          <w:bCs/>
          <w:szCs w:val="24"/>
        </w:rPr>
        <w:t>abilir</w:t>
      </w:r>
      <w:r w:rsidRPr="00D53A2B">
        <w:rPr>
          <w:rFonts w:eastAsia="Calibri"/>
          <w:b w:val="0"/>
          <w:bCs/>
          <w:szCs w:val="24"/>
        </w:rPr>
        <w:t>.</w:t>
      </w:r>
    </w:p>
    <w:p w14:paraId="54E88329" w14:textId="76AB63F5" w:rsidR="0071694E" w:rsidRPr="00D53A2B" w:rsidRDefault="0071694E" w:rsidP="00A202FD">
      <w:pPr>
        <w:jc w:val="both"/>
        <w:rPr>
          <w:rFonts w:eastAsia="Calibri"/>
          <w:lang w:eastAsia="en-US"/>
        </w:rPr>
      </w:pPr>
    </w:p>
    <w:tbl>
      <w:tblPr>
        <w:tblStyle w:val="TabloKlavuzu"/>
        <w:tblW w:w="9214" w:type="dxa"/>
        <w:tblInd w:w="137" w:type="dxa"/>
        <w:tblLayout w:type="fixed"/>
        <w:tblLook w:val="04A0" w:firstRow="1" w:lastRow="0" w:firstColumn="1" w:lastColumn="0" w:noHBand="0" w:noVBand="1"/>
      </w:tblPr>
      <w:tblGrid>
        <w:gridCol w:w="567"/>
        <w:gridCol w:w="1701"/>
        <w:gridCol w:w="3827"/>
        <w:gridCol w:w="3119"/>
      </w:tblGrid>
      <w:tr w:rsidR="0071694E" w:rsidRPr="004B0D48" w14:paraId="299957A6" w14:textId="77777777" w:rsidTr="00E357AF">
        <w:tc>
          <w:tcPr>
            <w:tcW w:w="2268" w:type="dxa"/>
            <w:gridSpan w:val="2"/>
          </w:tcPr>
          <w:p w14:paraId="76FC8F96" w14:textId="77777777" w:rsidR="0071694E" w:rsidRPr="009077F5" w:rsidRDefault="0071694E" w:rsidP="004B0D48">
            <w:pPr>
              <w:pStyle w:val="KonuBal"/>
              <w:rPr>
                <w:sz w:val="24"/>
                <w:szCs w:val="24"/>
              </w:rPr>
            </w:pPr>
            <w:r w:rsidRPr="009077F5">
              <w:rPr>
                <w:sz w:val="24"/>
                <w:szCs w:val="24"/>
              </w:rPr>
              <w:t>Teknik</w:t>
            </w:r>
          </w:p>
        </w:tc>
        <w:tc>
          <w:tcPr>
            <w:tcW w:w="3827" w:type="dxa"/>
          </w:tcPr>
          <w:p w14:paraId="521D6993" w14:textId="77777777" w:rsidR="0071694E" w:rsidRPr="009077F5" w:rsidRDefault="0071694E" w:rsidP="004B0D48">
            <w:pPr>
              <w:pStyle w:val="KonuBal"/>
              <w:rPr>
                <w:sz w:val="24"/>
                <w:szCs w:val="24"/>
              </w:rPr>
            </w:pPr>
            <w:r w:rsidRPr="009077F5">
              <w:rPr>
                <w:sz w:val="24"/>
                <w:szCs w:val="24"/>
              </w:rPr>
              <w:t>Açıklama</w:t>
            </w:r>
          </w:p>
        </w:tc>
        <w:tc>
          <w:tcPr>
            <w:tcW w:w="3119" w:type="dxa"/>
          </w:tcPr>
          <w:p w14:paraId="4D67FE73" w14:textId="77777777" w:rsidR="0071694E" w:rsidRPr="009077F5" w:rsidRDefault="0071694E" w:rsidP="004B0D48">
            <w:pPr>
              <w:pStyle w:val="KonuBal"/>
              <w:rPr>
                <w:sz w:val="24"/>
                <w:szCs w:val="24"/>
              </w:rPr>
            </w:pPr>
            <w:r w:rsidRPr="009077F5">
              <w:rPr>
                <w:sz w:val="24"/>
                <w:szCs w:val="24"/>
              </w:rPr>
              <w:t>Uygulanabilirlik</w:t>
            </w:r>
          </w:p>
        </w:tc>
      </w:tr>
      <w:tr w:rsidR="0071694E" w:rsidRPr="004B0D48" w14:paraId="542F35B9" w14:textId="77777777" w:rsidTr="00BD5A7A">
        <w:tc>
          <w:tcPr>
            <w:tcW w:w="9214" w:type="dxa"/>
            <w:gridSpan w:val="4"/>
          </w:tcPr>
          <w:p w14:paraId="7AC434EC" w14:textId="69F64368" w:rsidR="0071694E" w:rsidRPr="009077F5" w:rsidRDefault="00BD5A7A" w:rsidP="004B0D48">
            <w:pPr>
              <w:pStyle w:val="KonuBal"/>
              <w:rPr>
                <w:sz w:val="24"/>
                <w:szCs w:val="24"/>
              </w:rPr>
            </w:pPr>
            <w:r w:rsidRPr="009077F5">
              <w:rPr>
                <w:sz w:val="24"/>
                <w:szCs w:val="24"/>
              </w:rPr>
              <w:t>Tasarım ve işletme</w:t>
            </w:r>
          </w:p>
        </w:tc>
      </w:tr>
      <w:tr w:rsidR="0071694E" w:rsidRPr="004B0D48" w14:paraId="7A130C59" w14:textId="77777777" w:rsidTr="00E357AF">
        <w:tc>
          <w:tcPr>
            <w:tcW w:w="567" w:type="dxa"/>
            <w:vAlign w:val="center"/>
          </w:tcPr>
          <w:p w14:paraId="5C079290" w14:textId="77777777" w:rsidR="0071694E" w:rsidRPr="009077F5" w:rsidRDefault="0071694E" w:rsidP="004B0D48">
            <w:pPr>
              <w:pStyle w:val="KonuBal"/>
              <w:rPr>
                <w:sz w:val="24"/>
                <w:szCs w:val="24"/>
              </w:rPr>
            </w:pPr>
            <w:r w:rsidRPr="009077F5">
              <w:rPr>
                <w:sz w:val="24"/>
                <w:szCs w:val="24"/>
              </w:rPr>
              <w:t>a.</w:t>
            </w:r>
          </w:p>
        </w:tc>
        <w:tc>
          <w:tcPr>
            <w:tcW w:w="1701" w:type="dxa"/>
            <w:vAlign w:val="center"/>
          </w:tcPr>
          <w:p w14:paraId="298E8651" w14:textId="56602D4B" w:rsidR="0071694E" w:rsidRPr="009077F5" w:rsidRDefault="0071694E" w:rsidP="004B0D48">
            <w:pPr>
              <w:pStyle w:val="KonuBal"/>
              <w:rPr>
                <w:sz w:val="24"/>
                <w:szCs w:val="24"/>
              </w:rPr>
            </w:pPr>
            <w:r w:rsidRPr="009077F5">
              <w:rPr>
                <w:sz w:val="24"/>
                <w:szCs w:val="24"/>
              </w:rPr>
              <w:t>Hammadde ısıtma</w:t>
            </w:r>
            <w:r w:rsidR="00BD5A7A" w:rsidRPr="009077F5">
              <w:rPr>
                <w:sz w:val="24"/>
                <w:szCs w:val="24"/>
              </w:rPr>
              <w:t>sı</w:t>
            </w:r>
            <w:r w:rsidRPr="009077F5">
              <w:rPr>
                <w:sz w:val="24"/>
                <w:szCs w:val="24"/>
              </w:rPr>
              <w:t xml:space="preserve"> için optimum fırın </w:t>
            </w:r>
            <w:r w:rsidRPr="009077F5">
              <w:rPr>
                <w:sz w:val="24"/>
                <w:szCs w:val="24"/>
              </w:rPr>
              <w:lastRenderedPageBreak/>
              <w:t>tasarımı</w:t>
            </w:r>
          </w:p>
        </w:tc>
        <w:tc>
          <w:tcPr>
            <w:tcW w:w="3827" w:type="dxa"/>
            <w:vAlign w:val="center"/>
          </w:tcPr>
          <w:p w14:paraId="716137B1" w14:textId="1790CADD" w:rsidR="00BD5A7A" w:rsidRPr="009077F5" w:rsidRDefault="00BD5A7A" w:rsidP="004B0D48">
            <w:pPr>
              <w:pStyle w:val="KonuBal"/>
              <w:rPr>
                <w:sz w:val="24"/>
                <w:szCs w:val="24"/>
              </w:rPr>
            </w:pPr>
            <w:r w:rsidRPr="009077F5">
              <w:rPr>
                <w:sz w:val="24"/>
                <w:szCs w:val="24"/>
              </w:rPr>
              <w:lastRenderedPageBreak/>
              <w:t>Aşağıdaki gibi teknikleri içerir:</w:t>
            </w:r>
          </w:p>
          <w:p w14:paraId="25E1A034" w14:textId="77777777" w:rsidR="00BD5A7A" w:rsidRPr="009077F5" w:rsidRDefault="00BD5A7A" w:rsidP="004B0D48">
            <w:pPr>
              <w:pStyle w:val="KonuBal"/>
              <w:numPr>
                <w:ilvl w:val="0"/>
                <w:numId w:val="143"/>
              </w:numPr>
              <w:rPr>
                <w:sz w:val="24"/>
                <w:szCs w:val="24"/>
              </w:rPr>
            </w:pPr>
            <w:r w:rsidRPr="009077F5">
              <w:rPr>
                <w:sz w:val="24"/>
                <w:szCs w:val="24"/>
              </w:rPr>
              <w:t xml:space="preserve">Temel fırın özelliklerinin optimizasyonu (örneğin, </w:t>
            </w:r>
            <w:r w:rsidRPr="009077F5">
              <w:rPr>
                <w:sz w:val="24"/>
                <w:szCs w:val="24"/>
              </w:rPr>
              <w:lastRenderedPageBreak/>
              <w:t>brülör sayısı ve tipi, hava sızdırmazlığı ve uygun refrakter malzemeler kullanılarak fırın yalıtımı);</w:t>
            </w:r>
          </w:p>
          <w:p w14:paraId="1D439BFD" w14:textId="77777777" w:rsidR="00BD5A7A" w:rsidRPr="009077F5" w:rsidRDefault="00BD5A7A" w:rsidP="004B0D48">
            <w:pPr>
              <w:pStyle w:val="KonuBal"/>
              <w:numPr>
                <w:ilvl w:val="0"/>
                <w:numId w:val="143"/>
              </w:numPr>
              <w:rPr>
                <w:sz w:val="24"/>
                <w:szCs w:val="24"/>
              </w:rPr>
            </w:pPr>
            <w:r w:rsidRPr="009077F5">
              <w:rPr>
                <w:sz w:val="24"/>
                <w:szCs w:val="24"/>
              </w:rPr>
              <w:t>Fırın kapı açıklıklarından kaynaklanan ısı kayıplarının en aza indirilmesi, örneğin sürekli yeniden ısıtma fırınlarında bir yerine birkaç kaldırılabilir segment kullanılması;</w:t>
            </w:r>
          </w:p>
          <w:p w14:paraId="051B185B" w14:textId="604DCB12" w:rsidR="0071694E" w:rsidRPr="009077F5" w:rsidRDefault="00D01143" w:rsidP="00E73DA3">
            <w:pPr>
              <w:pStyle w:val="KonuBal"/>
              <w:numPr>
                <w:ilvl w:val="0"/>
                <w:numId w:val="143"/>
              </w:numPr>
              <w:rPr>
                <w:sz w:val="24"/>
                <w:szCs w:val="24"/>
              </w:rPr>
            </w:pPr>
            <w:r w:rsidRPr="009077F5">
              <w:rPr>
                <w:sz w:val="24"/>
                <w:szCs w:val="24"/>
              </w:rPr>
              <w:t>Fırın içindeki besleme stoğu destek yapılarının (örn. kirişler, kızaklar) sayısının en aza indirilmesi ve sürekli yeniden ısıtma fırınlarında destek yapılarının suyla soğutulmasından kaynaklanan ısı kayıplarını azaltmak için uygun yalıtımın kullanılması.</w:t>
            </w:r>
          </w:p>
        </w:tc>
        <w:tc>
          <w:tcPr>
            <w:tcW w:w="3119" w:type="dxa"/>
            <w:vAlign w:val="center"/>
          </w:tcPr>
          <w:p w14:paraId="4937BB23" w14:textId="189F3AD1" w:rsidR="0071694E" w:rsidRPr="009077F5" w:rsidRDefault="00D01143" w:rsidP="00BF4451">
            <w:pPr>
              <w:pStyle w:val="KonuBal"/>
              <w:rPr>
                <w:sz w:val="24"/>
                <w:szCs w:val="24"/>
              </w:rPr>
            </w:pPr>
            <w:r w:rsidRPr="009077F5">
              <w:rPr>
                <w:sz w:val="24"/>
                <w:szCs w:val="24"/>
              </w:rPr>
              <w:lastRenderedPageBreak/>
              <w:t>Yalnızca yeni tesisler ve büyük tesis yükseltmeleri için geçerlidir.</w:t>
            </w:r>
          </w:p>
        </w:tc>
      </w:tr>
      <w:tr w:rsidR="0071694E" w:rsidRPr="004B0D48" w14:paraId="570A0DD9" w14:textId="77777777" w:rsidTr="00E357AF">
        <w:tc>
          <w:tcPr>
            <w:tcW w:w="567" w:type="dxa"/>
            <w:vAlign w:val="center"/>
          </w:tcPr>
          <w:p w14:paraId="47CD9BFB" w14:textId="77777777" w:rsidR="0071694E" w:rsidRPr="009077F5" w:rsidRDefault="0071694E" w:rsidP="004B0D48">
            <w:pPr>
              <w:pStyle w:val="KonuBal"/>
              <w:rPr>
                <w:sz w:val="24"/>
                <w:szCs w:val="24"/>
              </w:rPr>
            </w:pPr>
            <w:r w:rsidRPr="009077F5">
              <w:rPr>
                <w:sz w:val="24"/>
                <w:szCs w:val="24"/>
              </w:rPr>
              <w:t>b.</w:t>
            </w:r>
          </w:p>
        </w:tc>
        <w:tc>
          <w:tcPr>
            <w:tcW w:w="1701" w:type="dxa"/>
            <w:vAlign w:val="center"/>
          </w:tcPr>
          <w:p w14:paraId="4B971E17" w14:textId="6502C13D" w:rsidR="0071694E" w:rsidRPr="009077F5" w:rsidRDefault="00D01143" w:rsidP="004B0D48">
            <w:pPr>
              <w:pStyle w:val="KonuBal"/>
              <w:rPr>
                <w:sz w:val="24"/>
                <w:szCs w:val="24"/>
              </w:rPr>
            </w:pPr>
            <w:r w:rsidRPr="009077F5">
              <w:rPr>
                <w:sz w:val="24"/>
                <w:szCs w:val="24"/>
              </w:rPr>
              <w:t xml:space="preserve">Optimum </w:t>
            </w:r>
            <w:r w:rsidR="0071694E" w:rsidRPr="009077F5">
              <w:rPr>
                <w:sz w:val="24"/>
                <w:szCs w:val="24"/>
              </w:rPr>
              <w:t>galvanizleme kazanı tasarımı</w:t>
            </w:r>
          </w:p>
        </w:tc>
        <w:tc>
          <w:tcPr>
            <w:tcW w:w="3827" w:type="dxa"/>
            <w:vAlign w:val="center"/>
          </w:tcPr>
          <w:p w14:paraId="4AA24EBE" w14:textId="77777777" w:rsidR="00D01143" w:rsidRPr="009077F5" w:rsidRDefault="00D01143" w:rsidP="004B0D48">
            <w:pPr>
              <w:pStyle w:val="KonuBal"/>
              <w:rPr>
                <w:sz w:val="24"/>
                <w:szCs w:val="24"/>
              </w:rPr>
            </w:pPr>
            <w:r w:rsidRPr="009077F5">
              <w:rPr>
                <w:sz w:val="24"/>
                <w:szCs w:val="24"/>
              </w:rPr>
              <w:t>Aşağıdaki gibi teknikleri içerir:</w:t>
            </w:r>
          </w:p>
          <w:p w14:paraId="53B4292F" w14:textId="77777777" w:rsidR="00D01143" w:rsidRPr="009077F5" w:rsidRDefault="00D01143" w:rsidP="004B0D48">
            <w:pPr>
              <w:pStyle w:val="KonuBal"/>
              <w:numPr>
                <w:ilvl w:val="0"/>
                <w:numId w:val="143"/>
              </w:numPr>
              <w:rPr>
                <w:sz w:val="24"/>
                <w:szCs w:val="24"/>
              </w:rPr>
            </w:pPr>
            <w:r w:rsidRPr="009077F5">
              <w:rPr>
                <w:sz w:val="24"/>
                <w:szCs w:val="24"/>
              </w:rPr>
              <w:t>Galvaniz kazanı duvarlarının eşit şekilde ısıtılması (örneğin yüksek hızlı brülörler veya radyant tasarım kullanılarak);</w:t>
            </w:r>
          </w:p>
          <w:p w14:paraId="168C5EF3" w14:textId="38A61FB4" w:rsidR="0071694E" w:rsidRPr="009077F5" w:rsidRDefault="00D01143" w:rsidP="004B0D48">
            <w:pPr>
              <w:pStyle w:val="KonuBal"/>
              <w:numPr>
                <w:ilvl w:val="0"/>
                <w:numId w:val="143"/>
              </w:numPr>
              <w:rPr>
                <w:sz w:val="24"/>
                <w:szCs w:val="24"/>
              </w:rPr>
            </w:pPr>
            <w:r w:rsidRPr="009077F5">
              <w:rPr>
                <w:sz w:val="24"/>
                <w:szCs w:val="24"/>
              </w:rPr>
              <w:t>Yalıtımlı dış/iç duvarlar (örn. seramik kaplama) kullanılarak fırından ısı kayıplarının en aza indirilmesi.</w:t>
            </w:r>
          </w:p>
        </w:tc>
        <w:tc>
          <w:tcPr>
            <w:tcW w:w="3119" w:type="dxa"/>
            <w:vAlign w:val="center"/>
          </w:tcPr>
          <w:p w14:paraId="3E978D07" w14:textId="6D6AAE8D" w:rsidR="0071694E" w:rsidRPr="009077F5" w:rsidRDefault="00D01143" w:rsidP="00E73DA3">
            <w:pPr>
              <w:pStyle w:val="KonuBal"/>
              <w:rPr>
                <w:sz w:val="24"/>
                <w:szCs w:val="24"/>
              </w:rPr>
            </w:pPr>
            <w:r w:rsidRPr="009077F5">
              <w:rPr>
                <w:sz w:val="24"/>
                <w:szCs w:val="24"/>
              </w:rPr>
              <w:t>Yalnızca yeni tesisler ve büyük tesis yükseltmeleri için geçerlidir.</w:t>
            </w:r>
          </w:p>
        </w:tc>
      </w:tr>
      <w:tr w:rsidR="0071694E" w:rsidRPr="004B0D48" w14:paraId="641FF9E7" w14:textId="77777777" w:rsidTr="00E357AF">
        <w:tc>
          <w:tcPr>
            <w:tcW w:w="567" w:type="dxa"/>
            <w:vAlign w:val="center"/>
          </w:tcPr>
          <w:p w14:paraId="37C22289" w14:textId="77777777" w:rsidR="0071694E" w:rsidRPr="009077F5" w:rsidRDefault="0071694E" w:rsidP="004B0D48">
            <w:pPr>
              <w:pStyle w:val="KonuBal"/>
              <w:rPr>
                <w:sz w:val="24"/>
                <w:szCs w:val="24"/>
              </w:rPr>
            </w:pPr>
            <w:r w:rsidRPr="009077F5">
              <w:rPr>
                <w:sz w:val="24"/>
                <w:szCs w:val="24"/>
              </w:rPr>
              <w:t>c.</w:t>
            </w:r>
          </w:p>
        </w:tc>
        <w:tc>
          <w:tcPr>
            <w:tcW w:w="1701" w:type="dxa"/>
            <w:vAlign w:val="center"/>
          </w:tcPr>
          <w:p w14:paraId="63E91911" w14:textId="7BD88CE9" w:rsidR="0071694E" w:rsidRPr="009077F5" w:rsidRDefault="00D01143" w:rsidP="004B0D48">
            <w:pPr>
              <w:pStyle w:val="KonuBal"/>
              <w:rPr>
                <w:sz w:val="24"/>
                <w:szCs w:val="24"/>
              </w:rPr>
            </w:pPr>
            <w:r w:rsidRPr="009077F5">
              <w:rPr>
                <w:sz w:val="24"/>
                <w:szCs w:val="24"/>
              </w:rPr>
              <w:t>Optimum galvanizleme kazanı işletimi</w:t>
            </w:r>
          </w:p>
        </w:tc>
        <w:tc>
          <w:tcPr>
            <w:tcW w:w="3827" w:type="dxa"/>
            <w:vAlign w:val="center"/>
          </w:tcPr>
          <w:p w14:paraId="51F9A57D" w14:textId="77777777" w:rsidR="00D01143" w:rsidRPr="009077F5" w:rsidRDefault="00D01143" w:rsidP="004B0D48">
            <w:pPr>
              <w:pStyle w:val="KonuBal"/>
              <w:rPr>
                <w:sz w:val="24"/>
                <w:szCs w:val="24"/>
              </w:rPr>
            </w:pPr>
            <w:r w:rsidRPr="009077F5">
              <w:rPr>
                <w:sz w:val="24"/>
                <w:szCs w:val="24"/>
              </w:rPr>
              <w:t>Aşağıdaki gibi teknikleri içerir:</w:t>
            </w:r>
          </w:p>
          <w:p w14:paraId="69E9D29F" w14:textId="0F8716DE" w:rsidR="0071694E" w:rsidRPr="009077F5" w:rsidRDefault="00D01143" w:rsidP="004B0D48">
            <w:pPr>
              <w:pStyle w:val="KonuBal"/>
              <w:rPr>
                <w:sz w:val="24"/>
                <w:szCs w:val="24"/>
              </w:rPr>
            </w:pPr>
            <w:r w:rsidRPr="009077F5">
              <w:rPr>
                <w:sz w:val="24"/>
                <w:szCs w:val="24"/>
              </w:rPr>
              <w:t>Tellerin sıcak daldırma kaplamasında veya toplu galvanizlemede galvaniz kazanından ısı kayıplarının en aza indirilmesi, örneğin boşta kalma sürelerinde yalıtımlı kapaklar kullanılarak.</w:t>
            </w:r>
          </w:p>
        </w:tc>
        <w:tc>
          <w:tcPr>
            <w:tcW w:w="3119" w:type="dxa"/>
            <w:vAlign w:val="center"/>
          </w:tcPr>
          <w:p w14:paraId="4A4214AC" w14:textId="77777777" w:rsidR="0071694E" w:rsidRPr="009077F5" w:rsidRDefault="0071694E" w:rsidP="004B0D48">
            <w:pPr>
              <w:pStyle w:val="KonuBal"/>
              <w:rPr>
                <w:sz w:val="24"/>
                <w:szCs w:val="24"/>
              </w:rPr>
            </w:pPr>
            <w:r w:rsidRPr="009077F5">
              <w:rPr>
                <w:sz w:val="24"/>
                <w:szCs w:val="24"/>
              </w:rPr>
              <w:t>Genel olarak uygulanabilir.</w:t>
            </w:r>
          </w:p>
        </w:tc>
      </w:tr>
      <w:tr w:rsidR="0071694E" w:rsidRPr="004B0D48" w14:paraId="31048EFA" w14:textId="77777777" w:rsidTr="00E357AF">
        <w:tc>
          <w:tcPr>
            <w:tcW w:w="567" w:type="dxa"/>
            <w:vAlign w:val="center"/>
          </w:tcPr>
          <w:p w14:paraId="39C2F094" w14:textId="77777777" w:rsidR="0071694E" w:rsidRPr="009077F5" w:rsidRDefault="0071694E" w:rsidP="004B0D48">
            <w:pPr>
              <w:pStyle w:val="KonuBal"/>
              <w:rPr>
                <w:sz w:val="24"/>
                <w:szCs w:val="24"/>
              </w:rPr>
            </w:pPr>
            <w:r w:rsidRPr="009077F5">
              <w:rPr>
                <w:sz w:val="24"/>
                <w:szCs w:val="24"/>
              </w:rPr>
              <w:t>d.</w:t>
            </w:r>
          </w:p>
        </w:tc>
        <w:tc>
          <w:tcPr>
            <w:tcW w:w="1701" w:type="dxa"/>
            <w:vAlign w:val="center"/>
          </w:tcPr>
          <w:p w14:paraId="0694398E" w14:textId="78931B57" w:rsidR="0071694E" w:rsidRPr="009077F5" w:rsidRDefault="0071694E" w:rsidP="004B0D48">
            <w:pPr>
              <w:pStyle w:val="KonuBal"/>
              <w:rPr>
                <w:sz w:val="24"/>
                <w:szCs w:val="24"/>
              </w:rPr>
            </w:pPr>
            <w:r w:rsidRPr="009077F5">
              <w:rPr>
                <w:sz w:val="24"/>
                <w:szCs w:val="24"/>
              </w:rPr>
              <w:t>Yanma</w:t>
            </w:r>
            <w:r w:rsidR="00D01143" w:rsidRPr="009077F5">
              <w:rPr>
                <w:sz w:val="24"/>
                <w:szCs w:val="24"/>
              </w:rPr>
              <w:t xml:space="preserve"> optimizasyonu</w:t>
            </w:r>
          </w:p>
        </w:tc>
        <w:tc>
          <w:tcPr>
            <w:tcW w:w="3827" w:type="dxa"/>
            <w:vAlign w:val="center"/>
          </w:tcPr>
          <w:p w14:paraId="7F70C39D" w14:textId="6D7D9ACA" w:rsidR="0071694E" w:rsidRPr="009077F5" w:rsidRDefault="00D01143" w:rsidP="004B0D48">
            <w:pPr>
              <w:pStyle w:val="KonuBal"/>
              <w:rPr>
                <w:sz w:val="24"/>
                <w:szCs w:val="24"/>
              </w:rPr>
            </w:pPr>
            <w:r w:rsidRPr="009077F5">
              <w:rPr>
                <w:sz w:val="24"/>
                <w:szCs w:val="24"/>
              </w:rPr>
              <w:t xml:space="preserve">Bkz. Bölüm </w:t>
            </w:r>
            <w:r w:rsidR="00B31B5F" w:rsidRPr="009077F5">
              <w:rPr>
                <w:sz w:val="24"/>
                <w:szCs w:val="24"/>
              </w:rPr>
              <w:t>1</w:t>
            </w:r>
            <w:r w:rsidRPr="009077F5">
              <w:rPr>
                <w:sz w:val="24"/>
                <w:szCs w:val="24"/>
              </w:rPr>
              <w:t>.11.1</w:t>
            </w:r>
          </w:p>
        </w:tc>
        <w:tc>
          <w:tcPr>
            <w:tcW w:w="3119" w:type="dxa"/>
            <w:vAlign w:val="center"/>
          </w:tcPr>
          <w:p w14:paraId="240D65BB" w14:textId="77777777" w:rsidR="0071694E" w:rsidRPr="009077F5" w:rsidRDefault="0071694E" w:rsidP="004B0D48">
            <w:pPr>
              <w:pStyle w:val="KonuBal"/>
              <w:rPr>
                <w:sz w:val="24"/>
                <w:szCs w:val="24"/>
              </w:rPr>
            </w:pPr>
            <w:r w:rsidRPr="009077F5">
              <w:rPr>
                <w:sz w:val="24"/>
                <w:szCs w:val="24"/>
              </w:rPr>
              <w:t>Genel olarak uygulanabilir</w:t>
            </w:r>
          </w:p>
        </w:tc>
      </w:tr>
      <w:tr w:rsidR="0071694E" w:rsidRPr="004B0D48" w14:paraId="1FD207E0" w14:textId="77777777" w:rsidTr="00E357AF">
        <w:trPr>
          <w:trHeight w:val="625"/>
        </w:trPr>
        <w:tc>
          <w:tcPr>
            <w:tcW w:w="567" w:type="dxa"/>
            <w:vAlign w:val="center"/>
          </w:tcPr>
          <w:p w14:paraId="16EDD0B5" w14:textId="77777777" w:rsidR="0071694E" w:rsidRPr="009077F5" w:rsidRDefault="0071694E" w:rsidP="004B0D48">
            <w:pPr>
              <w:pStyle w:val="KonuBal"/>
              <w:rPr>
                <w:sz w:val="24"/>
                <w:szCs w:val="24"/>
              </w:rPr>
            </w:pPr>
            <w:r w:rsidRPr="009077F5">
              <w:rPr>
                <w:sz w:val="24"/>
                <w:szCs w:val="24"/>
              </w:rPr>
              <w:t>e.</w:t>
            </w:r>
          </w:p>
        </w:tc>
        <w:tc>
          <w:tcPr>
            <w:tcW w:w="1701" w:type="dxa"/>
            <w:vAlign w:val="center"/>
          </w:tcPr>
          <w:p w14:paraId="28693A9A" w14:textId="639C625C" w:rsidR="0071694E" w:rsidRPr="009077F5" w:rsidRDefault="0071694E" w:rsidP="004B0D48">
            <w:pPr>
              <w:pStyle w:val="KonuBal"/>
              <w:rPr>
                <w:sz w:val="24"/>
                <w:szCs w:val="24"/>
              </w:rPr>
            </w:pPr>
            <w:r w:rsidRPr="009077F5">
              <w:rPr>
                <w:sz w:val="24"/>
                <w:szCs w:val="24"/>
              </w:rPr>
              <w:t xml:space="preserve">Fırın otomasyonu ve </w:t>
            </w:r>
            <w:r w:rsidRPr="009077F5">
              <w:rPr>
                <w:sz w:val="24"/>
                <w:szCs w:val="24"/>
              </w:rPr>
              <w:lastRenderedPageBreak/>
              <w:t>kontrolü</w:t>
            </w:r>
          </w:p>
        </w:tc>
        <w:tc>
          <w:tcPr>
            <w:tcW w:w="3827" w:type="dxa"/>
            <w:vAlign w:val="center"/>
          </w:tcPr>
          <w:p w14:paraId="67F9F97D" w14:textId="06A828C1" w:rsidR="0071694E" w:rsidRPr="009077F5" w:rsidRDefault="00D01143" w:rsidP="004B0D48">
            <w:pPr>
              <w:pStyle w:val="KonuBal"/>
              <w:rPr>
                <w:sz w:val="24"/>
                <w:szCs w:val="24"/>
              </w:rPr>
            </w:pPr>
            <w:r w:rsidRPr="009077F5">
              <w:rPr>
                <w:sz w:val="24"/>
                <w:szCs w:val="24"/>
              </w:rPr>
              <w:lastRenderedPageBreak/>
              <w:t>Bkz. Bölüm</w:t>
            </w:r>
            <w:r w:rsidR="00B31B5F" w:rsidRPr="009077F5">
              <w:rPr>
                <w:sz w:val="24"/>
                <w:szCs w:val="24"/>
              </w:rPr>
              <w:t>1</w:t>
            </w:r>
            <w:r w:rsidRPr="009077F5">
              <w:rPr>
                <w:sz w:val="24"/>
                <w:szCs w:val="24"/>
              </w:rPr>
              <w:t>.11.1</w:t>
            </w:r>
          </w:p>
        </w:tc>
        <w:tc>
          <w:tcPr>
            <w:tcW w:w="3119" w:type="dxa"/>
            <w:vAlign w:val="center"/>
          </w:tcPr>
          <w:p w14:paraId="7BE51E8D" w14:textId="77777777" w:rsidR="0071694E" w:rsidRPr="009077F5" w:rsidRDefault="0071694E" w:rsidP="004B0D48">
            <w:pPr>
              <w:pStyle w:val="KonuBal"/>
              <w:rPr>
                <w:sz w:val="24"/>
                <w:szCs w:val="24"/>
              </w:rPr>
            </w:pPr>
            <w:r w:rsidRPr="009077F5">
              <w:rPr>
                <w:sz w:val="24"/>
                <w:szCs w:val="24"/>
              </w:rPr>
              <w:t>Genel olarak uygulanabilir.</w:t>
            </w:r>
          </w:p>
        </w:tc>
      </w:tr>
      <w:tr w:rsidR="0071694E" w:rsidRPr="004B0D48" w14:paraId="4C878EB0" w14:textId="77777777" w:rsidTr="00E357AF">
        <w:tc>
          <w:tcPr>
            <w:tcW w:w="567" w:type="dxa"/>
            <w:vAlign w:val="center"/>
          </w:tcPr>
          <w:p w14:paraId="5784F191" w14:textId="77777777" w:rsidR="0071694E" w:rsidRPr="009077F5" w:rsidRDefault="0071694E" w:rsidP="004B0D48">
            <w:pPr>
              <w:pStyle w:val="KonuBal"/>
              <w:rPr>
                <w:sz w:val="24"/>
                <w:szCs w:val="24"/>
              </w:rPr>
            </w:pPr>
            <w:r w:rsidRPr="009077F5">
              <w:rPr>
                <w:sz w:val="24"/>
                <w:szCs w:val="24"/>
              </w:rPr>
              <w:t>f.</w:t>
            </w:r>
          </w:p>
        </w:tc>
        <w:tc>
          <w:tcPr>
            <w:tcW w:w="1701" w:type="dxa"/>
            <w:vAlign w:val="center"/>
          </w:tcPr>
          <w:p w14:paraId="223435AC" w14:textId="77777777" w:rsidR="0071694E" w:rsidRPr="009077F5" w:rsidRDefault="0071694E" w:rsidP="004B0D48">
            <w:pPr>
              <w:pStyle w:val="KonuBal"/>
              <w:rPr>
                <w:sz w:val="24"/>
                <w:szCs w:val="24"/>
              </w:rPr>
            </w:pPr>
            <w:r w:rsidRPr="009077F5">
              <w:rPr>
                <w:sz w:val="24"/>
                <w:szCs w:val="24"/>
              </w:rPr>
              <w:t>Proses gazı yönetim sistemi</w:t>
            </w:r>
          </w:p>
        </w:tc>
        <w:tc>
          <w:tcPr>
            <w:tcW w:w="3827" w:type="dxa"/>
            <w:vAlign w:val="center"/>
          </w:tcPr>
          <w:p w14:paraId="05FB22F7" w14:textId="7C3020D8" w:rsidR="00BC5347" w:rsidRPr="009077F5" w:rsidRDefault="00BC5347" w:rsidP="004B0D48">
            <w:pPr>
              <w:pStyle w:val="KonuBal"/>
              <w:rPr>
                <w:sz w:val="24"/>
                <w:szCs w:val="24"/>
              </w:rPr>
            </w:pPr>
            <w:r w:rsidRPr="009077F5">
              <w:rPr>
                <w:sz w:val="24"/>
                <w:szCs w:val="24"/>
              </w:rPr>
              <w:t xml:space="preserve">Bkz. Bölüm </w:t>
            </w:r>
            <w:r w:rsidR="00B31B5F" w:rsidRPr="009077F5">
              <w:rPr>
                <w:sz w:val="24"/>
                <w:szCs w:val="24"/>
              </w:rPr>
              <w:t>1</w:t>
            </w:r>
            <w:r w:rsidRPr="009077F5">
              <w:rPr>
                <w:sz w:val="24"/>
                <w:szCs w:val="24"/>
              </w:rPr>
              <w:t>.11.1</w:t>
            </w:r>
          </w:p>
          <w:p w14:paraId="025D49BA" w14:textId="1CA7FFD9" w:rsidR="0071694E" w:rsidRPr="009077F5" w:rsidRDefault="00BC5347" w:rsidP="004B0D48">
            <w:pPr>
              <w:pStyle w:val="KonuBal"/>
              <w:rPr>
                <w:sz w:val="24"/>
                <w:szCs w:val="24"/>
              </w:rPr>
            </w:pPr>
            <w:r w:rsidRPr="009077F5">
              <w:rPr>
                <w:sz w:val="24"/>
                <w:szCs w:val="24"/>
              </w:rPr>
              <w:t>Demir ve çelik proses gazlarının ve/veya ferrokrom üretiminden kaynaklanan CO bakımından zengin gazın kalorifik değeri kullanılır.</w:t>
            </w:r>
          </w:p>
        </w:tc>
        <w:tc>
          <w:tcPr>
            <w:tcW w:w="3119" w:type="dxa"/>
            <w:vAlign w:val="center"/>
          </w:tcPr>
          <w:p w14:paraId="2F683A0B" w14:textId="19EA33D5" w:rsidR="0071694E" w:rsidRPr="009077F5" w:rsidRDefault="00BC5347" w:rsidP="004B0D48">
            <w:pPr>
              <w:pStyle w:val="KonuBal"/>
              <w:rPr>
                <w:sz w:val="24"/>
                <w:szCs w:val="24"/>
              </w:rPr>
            </w:pPr>
            <w:r w:rsidRPr="009077F5">
              <w:rPr>
                <w:sz w:val="24"/>
                <w:szCs w:val="24"/>
              </w:rPr>
              <w:t>Sadece demir ve çelik proses gazları ve/veya ferrokrom üretiminden kaynaklanan CO bakımından zengin gaz mevcut olduğunda uygulanabilir.</w:t>
            </w:r>
          </w:p>
        </w:tc>
      </w:tr>
      <w:tr w:rsidR="0071694E" w:rsidRPr="004B0D48" w14:paraId="66577F87" w14:textId="77777777" w:rsidTr="00E357AF">
        <w:tc>
          <w:tcPr>
            <w:tcW w:w="567" w:type="dxa"/>
            <w:vAlign w:val="center"/>
          </w:tcPr>
          <w:p w14:paraId="0779D5D9" w14:textId="77777777" w:rsidR="0071694E" w:rsidRPr="009077F5" w:rsidRDefault="0071694E" w:rsidP="004B0D48">
            <w:pPr>
              <w:pStyle w:val="KonuBal"/>
              <w:rPr>
                <w:sz w:val="24"/>
                <w:szCs w:val="24"/>
              </w:rPr>
            </w:pPr>
            <w:r w:rsidRPr="009077F5">
              <w:rPr>
                <w:sz w:val="24"/>
                <w:szCs w:val="24"/>
              </w:rPr>
              <w:t>g.</w:t>
            </w:r>
          </w:p>
        </w:tc>
        <w:tc>
          <w:tcPr>
            <w:tcW w:w="1701" w:type="dxa"/>
            <w:vAlign w:val="center"/>
          </w:tcPr>
          <w:p w14:paraId="6F9F1C43" w14:textId="3C976B20" w:rsidR="0071694E" w:rsidRPr="009077F5" w:rsidRDefault="0071694E" w:rsidP="004B0D48">
            <w:pPr>
              <w:pStyle w:val="KonuBal"/>
              <w:rPr>
                <w:sz w:val="24"/>
                <w:szCs w:val="24"/>
              </w:rPr>
            </w:pPr>
            <w:r w:rsidRPr="009077F5">
              <w:rPr>
                <w:sz w:val="24"/>
                <w:szCs w:val="24"/>
              </w:rPr>
              <w:t>%100 hidrojenle yığ</w:t>
            </w:r>
            <w:r w:rsidR="00BC5347" w:rsidRPr="009077F5">
              <w:rPr>
                <w:sz w:val="24"/>
                <w:szCs w:val="24"/>
              </w:rPr>
              <w:t>ın</w:t>
            </w:r>
            <w:r w:rsidRPr="009077F5">
              <w:rPr>
                <w:sz w:val="24"/>
                <w:szCs w:val="24"/>
              </w:rPr>
              <w:t xml:space="preserve"> tavlama</w:t>
            </w:r>
          </w:p>
        </w:tc>
        <w:tc>
          <w:tcPr>
            <w:tcW w:w="3827" w:type="dxa"/>
            <w:vAlign w:val="center"/>
          </w:tcPr>
          <w:p w14:paraId="460C22E9" w14:textId="7112606D" w:rsidR="0071694E" w:rsidRPr="009077F5" w:rsidRDefault="000631C2" w:rsidP="004B0D48">
            <w:pPr>
              <w:pStyle w:val="KonuBal"/>
              <w:rPr>
                <w:sz w:val="24"/>
                <w:szCs w:val="24"/>
              </w:rPr>
            </w:pPr>
            <w:r w:rsidRPr="009077F5">
              <w:rPr>
                <w:sz w:val="24"/>
                <w:szCs w:val="24"/>
              </w:rPr>
              <w:t>Yığın</w:t>
            </w:r>
            <w:r w:rsidR="0071694E" w:rsidRPr="009077F5">
              <w:rPr>
                <w:sz w:val="24"/>
                <w:szCs w:val="24"/>
              </w:rPr>
              <w:t xml:space="preserve"> tavlama işlemi, ısı iletimi yüksek koruyucu bir gaz olarak %100 hidrojenin kullanıldığı fırınlarda gerçekleştirilir</w:t>
            </w:r>
          </w:p>
        </w:tc>
        <w:tc>
          <w:tcPr>
            <w:tcW w:w="3119" w:type="dxa"/>
            <w:vAlign w:val="center"/>
          </w:tcPr>
          <w:p w14:paraId="5AA42620" w14:textId="16FC7597" w:rsidR="0071694E" w:rsidRPr="009077F5" w:rsidRDefault="00C54580" w:rsidP="004B0D48">
            <w:pPr>
              <w:pStyle w:val="KonuBal"/>
              <w:rPr>
                <w:sz w:val="24"/>
                <w:szCs w:val="24"/>
              </w:rPr>
            </w:pPr>
            <w:r w:rsidRPr="009077F5">
              <w:rPr>
                <w:sz w:val="24"/>
                <w:szCs w:val="24"/>
              </w:rPr>
              <w:t>Yalnızca yeni tesisler ve büyük tesis yükseltmeleri için geçerlidir.</w:t>
            </w:r>
          </w:p>
        </w:tc>
      </w:tr>
      <w:tr w:rsidR="0071694E" w:rsidRPr="004B0D48" w14:paraId="710DD7BB" w14:textId="77777777" w:rsidTr="00E357AF">
        <w:tc>
          <w:tcPr>
            <w:tcW w:w="567" w:type="dxa"/>
            <w:vAlign w:val="center"/>
          </w:tcPr>
          <w:p w14:paraId="45C43915" w14:textId="77777777" w:rsidR="0071694E" w:rsidRPr="009077F5" w:rsidRDefault="0071694E" w:rsidP="004B0D48">
            <w:pPr>
              <w:pStyle w:val="KonuBal"/>
              <w:rPr>
                <w:sz w:val="24"/>
                <w:szCs w:val="24"/>
              </w:rPr>
            </w:pPr>
            <w:r w:rsidRPr="009077F5">
              <w:rPr>
                <w:sz w:val="24"/>
                <w:szCs w:val="24"/>
              </w:rPr>
              <w:t>h.</w:t>
            </w:r>
          </w:p>
        </w:tc>
        <w:tc>
          <w:tcPr>
            <w:tcW w:w="1701" w:type="dxa"/>
            <w:vAlign w:val="center"/>
          </w:tcPr>
          <w:p w14:paraId="13CEA8B5" w14:textId="70811E38" w:rsidR="0071694E" w:rsidRPr="009077F5" w:rsidRDefault="0071694E" w:rsidP="004B0D48">
            <w:pPr>
              <w:pStyle w:val="KonuBal"/>
              <w:rPr>
                <w:sz w:val="24"/>
                <w:szCs w:val="24"/>
              </w:rPr>
            </w:pPr>
            <w:r w:rsidRPr="009077F5">
              <w:rPr>
                <w:sz w:val="24"/>
                <w:szCs w:val="24"/>
              </w:rPr>
              <w:t>Oksijenli yakıt yanma</w:t>
            </w:r>
          </w:p>
        </w:tc>
        <w:tc>
          <w:tcPr>
            <w:tcW w:w="3827" w:type="dxa"/>
            <w:vAlign w:val="center"/>
          </w:tcPr>
          <w:p w14:paraId="7A2AE591" w14:textId="5D68E92A" w:rsidR="0071694E" w:rsidRPr="009077F5" w:rsidRDefault="00BC5347" w:rsidP="004B0D48">
            <w:pPr>
              <w:pStyle w:val="KonuBal"/>
              <w:rPr>
                <w:sz w:val="24"/>
                <w:szCs w:val="24"/>
              </w:rPr>
            </w:pPr>
            <w:r w:rsidRPr="009077F5">
              <w:rPr>
                <w:sz w:val="24"/>
                <w:szCs w:val="24"/>
              </w:rPr>
              <w:t>Bkz. Bölüm</w:t>
            </w:r>
            <w:r w:rsidR="00B31B5F" w:rsidRPr="009077F5">
              <w:rPr>
                <w:sz w:val="24"/>
                <w:szCs w:val="24"/>
              </w:rPr>
              <w:t>1</w:t>
            </w:r>
            <w:r w:rsidRPr="009077F5">
              <w:rPr>
                <w:sz w:val="24"/>
                <w:szCs w:val="24"/>
              </w:rPr>
              <w:t>.11.1</w:t>
            </w:r>
          </w:p>
        </w:tc>
        <w:tc>
          <w:tcPr>
            <w:tcW w:w="3119" w:type="dxa"/>
            <w:vAlign w:val="center"/>
          </w:tcPr>
          <w:p w14:paraId="37AF4372" w14:textId="77777777" w:rsidR="0071694E" w:rsidRPr="009077F5" w:rsidRDefault="00C54580" w:rsidP="004B0D48">
            <w:pPr>
              <w:pStyle w:val="KonuBal"/>
              <w:rPr>
                <w:sz w:val="24"/>
                <w:szCs w:val="24"/>
              </w:rPr>
            </w:pPr>
            <w:r w:rsidRPr="009077F5">
              <w:rPr>
                <w:sz w:val="24"/>
                <w:szCs w:val="24"/>
              </w:rPr>
              <w:t>Yüksek alaşımlı çelik işleyen fırınlar için uygulanabilirlik sınırlı olabilir.</w:t>
            </w:r>
          </w:p>
          <w:p w14:paraId="7A213D74" w14:textId="77777777" w:rsidR="00C54580" w:rsidRPr="009077F5" w:rsidRDefault="00C54580" w:rsidP="00A202FD">
            <w:pPr>
              <w:jc w:val="both"/>
              <w:rPr>
                <w:rFonts w:eastAsia="Calibri"/>
                <w:lang w:val="en-US" w:eastAsia="en-US"/>
              </w:rPr>
            </w:pPr>
            <w:r w:rsidRPr="009077F5">
              <w:rPr>
                <w:rFonts w:eastAsia="Calibri"/>
                <w:lang w:val="en-US" w:eastAsia="en-US"/>
              </w:rPr>
              <w:t>Mevcut tesislere uygulanabilirlik, fırın tasarımı ve minimum atık gaz akışı ihtiyacı ile kısıtlanabilir.</w:t>
            </w:r>
          </w:p>
          <w:p w14:paraId="0F4F521D" w14:textId="600F6675" w:rsidR="00C54580" w:rsidRPr="009077F5" w:rsidRDefault="00C54580" w:rsidP="00A202FD">
            <w:pPr>
              <w:jc w:val="both"/>
              <w:rPr>
                <w:rFonts w:eastAsia="Calibri"/>
                <w:lang w:val="en-US" w:eastAsia="en-US"/>
              </w:rPr>
            </w:pPr>
            <w:r w:rsidRPr="009077F5">
              <w:rPr>
                <w:rFonts w:eastAsia="Calibri"/>
                <w:lang w:val="en-US" w:eastAsia="en-US"/>
              </w:rPr>
              <w:t>Radyant tüp brülörleri ile donatılmış fırınlar için geçerli değildir.</w:t>
            </w:r>
          </w:p>
        </w:tc>
      </w:tr>
      <w:tr w:rsidR="00C54580" w:rsidRPr="004B0D48" w14:paraId="7D783F4D" w14:textId="77777777" w:rsidTr="00E357AF">
        <w:tc>
          <w:tcPr>
            <w:tcW w:w="567" w:type="dxa"/>
            <w:vAlign w:val="center"/>
          </w:tcPr>
          <w:p w14:paraId="6E034EF5" w14:textId="318E065D" w:rsidR="00C54580" w:rsidRPr="009077F5" w:rsidRDefault="00C54580" w:rsidP="004B0D48">
            <w:pPr>
              <w:pStyle w:val="KonuBal"/>
              <w:rPr>
                <w:sz w:val="24"/>
                <w:szCs w:val="24"/>
              </w:rPr>
            </w:pPr>
            <w:r w:rsidRPr="009077F5">
              <w:rPr>
                <w:sz w:val="24"/>
                <w:szCs w:val="24"/>
              </w:rPr>
              <w:t>i.</w:t>
            </w:r>
          </w:p>
        </w:tc>
        <w:tc>
          <w:tcPr>
            <w:tcW w:w="1701" w:type="dxa"/>
            <w:vAlign w:val="center"/>
          </w:tcPr>
          <w:p w14:paraId="0FF90737" w14:textId="26CE2521" w:rsidR="00C54580" w:rsidRPr="009077F5" w:rsidRDefault="00C54580" w:rsidP="004B0D48">
            <w:pPr>
              <w:pStyle w:val="KonuBal"/>
              <w:rPr>
                <w:sz w:val="24"/>
                <w:szCs w:val="24"/>
              </w:rPr>
            </w:pPr>
            <w:r w:rsidRPr="009077F5">
              <w:rPr>
                <w:sz w:val="24"/>
                <w:szCs w:val="24"/>
              </w:rPr>
              <w:t>Alevsiz yanma</w:t>
            </w:r>
          </w:p>
        </w:tc>
        <w:tc>
          <w:tcPr>
            <w:tcW w:w="3827" w:type="dxa"/>
            <w:vAlign w:val="center"/>
          </w:tcPr>
          <w:p w14:paraId="5F968658" w14:textId="1CC5E346" w:rsidR="00C54580" w:rsidRPr="009077F5" w:rsidRDefault="000E4830" w:rsidP="004B0D48">
            <w:pPr>
              <w:pStyle w:val="KonuBal"/>
              <w:rPr>
                <w:sz w:val="24"/>
                <w:szCs w:val="24"/>
              </w:rPr>
            </w:pPr>
            <w:r w:rsidRPr="009077F5">
              <w:rPr>
                <w:sz w:val="24"/>
                <w:szCs w:val="24"/>
              </w:rPr>
              <w:t xml:space="preserve">Bkz. Bölüm </w:t>
            </w:r>
            <w:r w:rsidR="00B31B5F" w:rsidRPr="009077F5">
              <w:rPr>
                <w:sz w:val="24"/>
                <w:szCs w:val="24"/>
              </w:rPr>
              <w:t>1</w:t>
            </w:r>
            <w:r w:rsidRPr="009077F5">
              <w:rPr>
                <w:sz w:val="24"/>
                <w:szCs w:val="24"/>
              </w:rPr>
              <w:t>.11.1</w:t>
            </w:r>
          </w:p>
        </w:tc>
        <w:tc>
          <w:tcPr>
            <w:tcW w:w="3119" w:type="dxa"/>
            <w:vAlign w:val="center"/>
          </w:tcPr>
          <w:p w14:paraId="0433C6CC" w14:textId="77777777" w:rsidR="00C54580" w:rsidRPr="009077F5" w:rsidRDefault="00C54580" w:rsidP="004B0D48">
            <w:pPr>
              <w:pStyle w:val="KonuBal"/>
              <w:rPr>
                <w:sz w:val="24"/>
                <w:szCs w:val="24"/>
              </w:rPr>
            </w:pPr>
            <w:r w:rsidRPr="009077F5">
              <w:rPr>
                <w:sz w:val="24"/>
                <w:szCs w:val="24"/>
              </w:rPr>
              <w:t>Mevcut tesislere uygulanabilirlik, fırın tasarımı (yani fırın hacmi, brülörler için alan, brülörler arasındaki mesafe) ve refrakter astarın değiştirilmesi ihtiyacı ile sınırlı olabilir.</w:t>
            </w:r>
          </w:p>
          <w:p w14:paraId="06BBB2DE" w14:textId="77777777" w:rsidR="00C54580" w:rsidRPr="009077F5" w:rsidRDefault="00C54580" w:rsidP="00A202FD">
            <w:pPr>
              <w:jc w:val="both"/>
              <w:rPr>
                <w:lang w:val="en-US" w:eastAsia="en-US"/>
              </w:rPr>
            </w:pPr>
            <w:r w:rsidRPr="009077F5">
              <w:rPr>
                <w:lang w:val="en-US" w:eastAsia="en-US"/>
              </w:rPr>
              <w:t>Uygulanabilirlik, sıcaklık veya sıcaklık profilinin yakın kontrolünün gerekli olduğu prosesler için sınırlı olabilir (örn. yeniden kristalleştirme).</w:t>
            </w:r>
          </w:p>
          <w:p w14:paraId="2CACD51B" w14:textId="51E2AEB3" w:rsidR="00C54580" w:rsidRPr="009077F5" w:rsidRDefault="00C54580" w:rsidP="00A202FD">
            <w:pPr>
              <w:jc w:val="both"/>
              <w:rPr>
                <w:lang w:val="en-US" w:eastAsia="en-US"/>
              </w:rPr>
            </w:pPr>
            <w:r w:rsidRPr="009077F5">
              <w:rPr>
                <w:lang w:val="en-US" w:eastAsia="en-US"/>
              </w:rPr>
              <w:t>Alevsiz yanma için gerekli olan otomatik tutuşma sıcaklığından daha düşük bir sıcaklıkta çalışan fırınlar veya radyant tüp brülörleri ile donatılmış fırınlar için geçerli değildir.</w:t>
            </w:r>
          </w:p>
        </w:tc>
      </w:tr>
      <w:tr w:rsidR="00C54580" w:rsidRPr="004B0D48" w14:paraId="16854426" w14:textId="77777777" w:rsidTr="00E357AF">
        <w:tc>
          <w:tcPr>
            <w:tcW w:w="567" w:type="dxa"/>
            <w:vAlign w:val="center"/>
          </w:tcPr>
          <w:p w14:paraId="4D45A7DB" w14:textId="26C6D36B" w:rsidR="00C54580" w:rsidRPr="009077F5" w:rsidRDefault="00C54580" w:rsidP="004B0D48">
            <w:pPr>
              <w:pStyle w:val="KonuBal"/>
              <w:rPr>
                <w:sz w:val="24"/>
                <w:szCs w:val="24"/>
              </w:rPr>
            </w:pPr>
            <w:r w:rsidRPr="009077F5">
              <w:rPr>
                <w:sz w:val="24"/>
                <w:szCs w:val="24"/>
              </w:rPr>
              <w:t>j.</w:t>
            </w:r>
          </w:p>
        </w:tc>
        <w:tc>
          <w:tcPr>
            <w:tcW w:w="1701" w:type="dxa"/>
            <w:vAlign w:val="center"/>
          </w:tcPr>
          <w:p w14:paraId="04454DB6" w14:textId="39E0EDC6" w:rsidR="00C54580" w:rsidRPr="009077F5" w:rsidRDefault="000E4830" w:rsidP="004B0D48">
            <w:pPr>
              <w:pStyle w:val="KonuBal"/>
              <w:rPr>
                <w:sz w:val="24"/>
                <w:szCs w:val="24"/>
              </w:rPr>
            </w:pPr>
            <w:r w:rsidRPr="009077F5">
              <w:rPr>
                <w:sz w:val="24"/>
                <w:szCs w:val="24"/>
              </w:rPr>
              <w:t>Darbe ateşlemeli brülör</w:t>
            </w:r>
          </w:p>
        </w:tc>
        <w:tc>
          <w:tcPr>
            <w:tcW w:w="3827" w:type="dxa"/>
            <w:vAlign w:val="center"/>
          </w:tcPr>
          <w:p w14:paraId="71C2E7BA" w14:textId="1D0BC033" w:rsidR="00C54580" w:rsidRPr="009077F5" w:rsidRDefault="000E4830" w:rsidP="004B0D48">
            <w:pPr>
              <w:pStyle w:val="KonuBal"/>
              <w:rPr>
                <w:sz w:val="24"/>
                <w:szCs w:val="24"/>
              </w:rPr>
            </w:pPr>
            <w:r w:rsidRPr="009077F5">
              <w:rPr>
                <w:sz w:val="24"/>
                <w:szCs w:val="24"/>
              </w:rPr>
              <w:t xml:space="preserve">Fırına ısı girişi, yanma havası ve yakıt akışlarını ayarlamak yerine brülörlerin ateşleme süresi veya münferit brülörlerin sıralı olarak </w:t>
            </w:r>
            <w:r w:rsidRPr="009077F5">
              <w:rPr>
                <w:sz w:val="24"/>
                <w:szCs w:val="24"/>
              </w:rPr>
              <w:lastRenderedPageBreak/>
              <w:t>başlatılmasıyla kontrol edilir.</w:t>
            </w:r>
          </w:p>
        </w:tc>
        <w:tc>
          <w:tcPr>
            <w:tcW w:w="3119" w:type="dxa"/>
            <w:vAlign w:val="center"/>
          </w:tcPr>
          <w:p w14:paraId="5D40B5A4" w14:textId="384BDDE9" w:rsidR="00C54580" w:rsidRPr="009077F5" w:rsidRDefault="000E4830" w:rsidP="004B0D48">
            <w:pPr>
              <w:pStyle w:val="KonuBal"/>
              <w:rPr>
                <w:sz w:val="24"/>
                <w:szCs w:val="24"/>
              </w:rPr>
            </w:pPr>
            <w:r w:rsidRPr="009077F5">
              <w:rPr>
                <w:sz w:val="24"/>
                <w:szCs w:val="24"/>
              </w:rPr>
              <w:lastRenderedPageBreak/>
              <w:t>Yalnızca yeni tesisler ve büyük tesis yükseltmeleri için geçerlidir.</w:t>
            </w:r>
          </w:p>
        </w:tc>
      </w:tr>
      <w:tr w:rsidR="000E4830" w:rsidRPr="004B0D48" w14:paraId="1258AE9B" w14:textId="77777777" w:rsidTr="00A202FD">
        <w:tc>
          <w:tcPr>
            <w:tcW w:w="9214" w:type="dxa"/>
            <w:gridSpan w:val="4"/>
            <w:vAlign w:val="center"/>
          </w:tcPr>
          <w:p w14:paraId="35A83DD4" w14:textId="51C640B0" w:rsidR="000E4830" w:rsidRPr="009077F5" w:rsidRDefault="000E4830" w:rsidP="004B0D48">
            <w:pPr>
              <w:pStyle w:val="KonuBal"/>
              <w:rPr>
                <w:sz w:val="24"/>
                <w:szCs w:val="24"/>
              </w:rPr>
            </w:pPr>
            <w:r w:rsidRPr="009077F5">
              <w:rPr>
                <w:sz w:val="24"/>
                <w:szCs w:val="24"/>
              </w:rPr>
              <w:t>Baca gazlarından ısı geri kazanımı</w:t>
            </w:r>
          </w:p>
        </w:tc>
      </w:tr>
      <w:tr w:rsidR="00C54580" w:rsidRPr="004B0D48" w14:paraId="565ACC6B" w14:textId="77777777" w:rsidTr="00E357AF">
        <w:tc>
          <w:tcPr>
            <w:tcW w:w="567" w:type="dxa"/>
            <w:vAlign w:val="center"/>
          </w:tcPr>
          <w:p w14:paraId="2F8DD249" w14:textId="670A3457" w:rsidR="00C54580" w:rsidRPr="009077F5" w:rsidRDefault="000E4830" w:rsidP="004B0D48">
            <w:pPr>
              <w:pStyle w:val="KonuBal"/>
              <w:rPr>
                <w:sz w:val="24"/>
                <w:szCs w:val="24"/>
              </w:rPr>
            </w:pPr>
            <w:r w:rsidRPr="009077F5">
              <w:rPr>
                <w:sz w:val="24"/>
                <w:szCs w:val="24"/>
              </w:rPr>
              <w:t>k</w:t>
            </w:r>
            <w:r w:rsidR="00C54580" w:rsidRPr="009077F5">
              <w:rPr>
                <w:sz w:val="24"/>
                <w:szCs w:val="24"/>
              </w:rPr>
              <w:t>.</w:t>
            </w:r>
          </w:p>
        </w:tc>
        <w:tc>
          <w:tcPr>
            <w:tcW w:w="1701" w:type="dxa"/>
            <w:vAlign w:val="center"/>
          </w:tcPr>
          <w:p w14:paraId="6EC900E0" w14:textId="03572531" w:rsidR="00C54580" w:rsidRPr="009077F5" w:rsidRDefault="000E4830" w:rsidP="004B0D48">
            <w:pPr>
              <w:pStyle w:val="KonuBal"/>
              <w:rPr>
                <w:sz w:val="24"/>
                <w:szCs w:val="24"/>
              </w:rPr>
            </w:pPr>
            <w:r w:rsidRPr="009077F5">
              <w:rPr>
                <w:sz w:val="24"/>
                <w:szCs w:val="24"/>
              </w:rPr>
              <w:t>Hammadde ön ısıtması</w:t>
            </w:r>
          </w:p>
        </w:tc>
        <w:tc>
          <w:tcPr>
            <w:tcW w:w="3827" w:type="dxa"/>
            <w:vAlign w:val="center"/>
          </w:tcPr>
          <w:p w14:paraId="303380B8" w14:textId="6A2D9CB5" w:rsidR="00C54580" w:rsidRPr="009077F5" w:rsidRDefault="000E4830" w:rsidP="004B0D48">
            <w:pPr>
              <w:pStyle w:val="KonuBal"/>
              <w:rPr>
                <w:sz w:val="24"/>
                <w:szCs w:val="24"/>
              </w:rPr>
            </w:pPr>
            <w:r w:rsidRPr="009077F5">
              <w:rPr>
                <w:sz w:val="24"/>
                <w:szCs w:val="24"/>
              </w:rPr>
              <w:t>Hammadde, sıcak baca gazlarının doğrudan üzerine püskürtülmesiyle ön ısıtmaya tabi tutulur.</w:t>
            </w:r>
          </w:p>
        </w:tc>
        <w:tc>
          <w:tcPr>
            <w:tcW w:w="3119" w:type="dxa"/>
            <w:vAlign w:val="center"/>
          </w:tcPr>
          <w:p w14:paraId="42DDE9B0" w14:textId="3548B73C" w:rsidR="00C54580" w:rsidRPr="009077F5" w:rsidRDefault="000E4830" w:rsidP="004B0D48">
            <w:pPr>
              <w:pStyle w:val="KonuBal"/>
              <w:rPr>
                <w:sz w:val="24"/>
                <w:szCs w:val="24"/>
              </w:rPr>
            </w:pPr>
            <w:r w:rsidRPr="009077F5">
              <w:rPr>
                <w:sz w:val="24"/>
                <w:szCs w:val="24"/>
              </w:rPr>
              <w:t>Sadece sürekli yeniden ısıtma fırınları için geçerlidir. Radyant tüp brülörleri ile donatılmış fırınlar için geçerli değildir.</w:t>
            </w:r>
          </w:p>
        </w:tc>
      </w:tr>
      <w:tr w:rsidR="000E4830" w:rsidRPr="004B0D48" w14:paraId="56E47B21" w14:textId="77777777" w:rsidTr="00E357AF">
        <w:tc>
          <w:tcPr>
            <w:tcW w:w="567" w:type="dxa"/>
            <w:vAlign w:val="center"/>
          </w:tcPr>
          <w:p w14:paraId="5CF5A390" w14:textId="6F540D8F" w:rsidR="000E4830" w:rsidRPr="009077F5" w:rsidRDefault="000E4830" w:rsidP="004B0D48">
            <w:pPr>
              <w:pStyle w:val="KonuBal"/>
              <w:rPr>
                <w:sz w:val="24"/>
                <w:szCs w:val="24"/>
              </w:rPr>
            </w:pPr>
            <w:r w:rsidRPr="009077F5">
              <w:rPr>
                <w:sz w:val="24"/>
                <w:szCs w:val="24"/>
              </w:rPr>
              <w:t>l.</w:t>
            </w:r>
          </w:p>
        </w:tc>
        <w:tc>
          <w:tcPr>
            <w:tcW w:w="1701" w:type="dxa"/>
            <w:vAlign w:val="center"/>
          </w:tcPr>
          <w:p w14:paraId="5690A454" w14:textId="6A3D3CFD" w:rsidR="000E4830" w:rsidRPr="009077F5" w:rsidRDefault="000E4830" w:rsidP="00A202FD">
            <w:pPr>
              <w:jc w:val="both"/>
              <w:rPr>
                <w:rFonts w:eastAsia="Calibri"/>
                <w:lang w:eastAsia="en-US"/>
              </w:rPr>
            </w:pPr>
            <w:r w:rsidRPr="009077F5">
              <w:rPr>
                <w:rFonts w:eastAsia="Calibri"/>
                <w:lang w:eastAsia="en-US"/>
              </w:rPr>
              <w:t>İş parçalarının kurutulması</w:t>
            </w:r>
          </w:p>
        </w:tc>
        <w:tc>
          <w:tcPr>
            <w:tcW w:w="3827" w:type="dxa"/>
            <w:vAlign w:val="center"/>
          </w:tcPr>
          <w:p w14:paraId="05FCFC44" w14:textId="7F37AE72" w:rsidR="000E4830" w:rsidRPr="009077F5" w:rsidRDefault="000E4830" w:rsidP="004B0D48">
            <w:pPr>
              <w:pStyle w:val="KonuBal"/>
              <w:rPr>
                <w:sz w:val="24"/>
                <w:szCs w:val="24"/>
              </w:rPr>
            </w:pPr>
            <w:r w:rsidRPr="009077F5">
              <w:rPr>
                <w:sz w:val="24"/>
                <w:szCs w:val="24"/>
              </w:rPr>
              <w:t>Kesikli galvanizlemede, baca gazlarından gelen ısı iş parçalarını kurutmak için kullanılır.</w:t>
            </w:r>
          </w:p>
        </w:tc>
        <w:tc>
          <w:tcPr>
            <w:tcW w:w="3119" w:type="dxa"/>
            <w:vAlign w:val="center"/>
          </w:tcPr>
          <w:p w14:paraId="556676B2" w14:textId="14895E3F" w:rsidR="000E4830" w:rsidRPr="009077F5" w:rsidRDefault="000E4830" w:rsidP="004B0D48">
            <w:pPr>
              <w:pStyle w:val="KonuBal"/>
              <w:rPr>
                <w:sz w:val="24"/>
                <w:szCs w:val="24"/>
              </w:rPr>
            </w:pPr>
            <w:r w:rsidRPr="009077F5">
              <w:rPr>
                <w:sz w:val="24"/>
                <w:szCs w:val="24"/>
              </w:rPr>
              <w:t>Genel olarak uygulanabilir.</w:t>
            </w:r>
          </w:p>
        </w:tc>
      </w:tr>
      <w:tr w:rsidR="000E4830" w:rsidRPr="004B0D48" w14:paraId="5A0DB2E8" w14:textId="77777777" w:rsidTr="00E357AF">
        <w:tc>
          <w:tcPr>
            <w:tcW w:w="567" w:type="dxa"/>
            <w:vAlign w:val="center"/>
          </w:tcPr>
          <w:p w14:paraId="50B3DD81" w14:textId="2EF65CAA" w:rsidR="000E4830" w:rsidRPr="009077F5" w:rsidRDefault="000E4830" w:rsidP="004B0D48">
            <w:pPr>
              <w:pStyle w:val="KonuBal"/>
              <w:rPr>
                <w:sz w:val="24"/>
                <w:szCs w:val="24"/>
              </w:rPr>
            </w:pPr>
            <w:r w:rsidRPr="009077F5">
              <w:rPr>
                <w:sz w:val="24"/>
                <w:szCs w:val="24"/>
              </w:rPr>
              <w:t>m.</w:t>
            </w:r>
          </w:p>
        </w:tc>
        <w:tc>
          <w:tcPr>
            <w:tcW w:w="1701" w:type="dxa"/>
            <w:vAlign w:val="center"/>
          </w:tcPr>
          <w:p w14:paraId="1F457216" w14:textId="6D24A245" w:rsidR="000E4830" w:rsidRPr="009077F5" w:rsidRDefault="000E4830" w:rsidP="00A202FD">
            <w:pPr>
              <w:jc w:val="both"/>
              <w:rPr>
                <w:rFonts w:eastAsia="Calibri"/>
                <w:lang w:eastAsia="en-US"/>
              </w:rPr>
            </w:pPr>
            <w:r w:rsidRPr="009077F5">
              <w:rPr>
                <w:rFonts w:eastAsia="Calibri"/>
                <w:lang w:eastAsia="en-US"/>
              </w:rPr>
              <w:t>Yanma havasının ön ısıtması</w:t>
            </w:r>
          </w:p>
        </w:tc>
        <w:tc>
          <w:tcPr>
            <w:tcW w:w="3827" w:type="dxa"/>
            <w:vAlign w:val="center"/>
          </w:tcPr>
          <w:p w14:paraId="65BEBC6C" w14:textId="6EACC74C" w:rsidR="000E4830" w:rsidRPr="009077F5" w:rsidRDefault="000E4830" w:rsidP="004B0D48">
            <w:pPr>
              <w:pStyle w:val="KonuBal"/>
              <w:rPr>
                <w:sz w:val="24"/>
                <w:szCs w:val="24"/>
              </w:rPr>
            </w:pPr>
            <w:r w:rsidRPr="009077F5">
              <w:rPr>
                <w:sz w:val="24"/>
                <w:szCs w:val="24"/>
              </w:rPr>
              <w:t xml:space="preserve">Bkz. Bölüm </w:t>
            </w:r>
            <w:r w:rsidR="00B31B5F" w:rsidRPr="009077F5">
              <w:rPr>
                <w:sz w:val="24"/>
                <w:szCs w:val="24"/>
              </w:rPr>
              <w:t>1</w:t>
            </w:r>
            <w:r w:rsidRPr="009077F5">
              <w:rPr>
                <w:sz w:val="24"/>
                <w:szCs w:val="24"/>
              </w:rPr>
              <w:t>.11.1</w:t>
            </w:r>
          </w:p>
          <w:p w14:paraId="46366FC3" w14:textId="4D32CF94" w:rsidR="000E4830" w:rsidRPr="009077F5" w:rsidRDefault="00FE2CFE" w:rsidP="00A202FD">
            <w:pPr>
              <w:jc w:val="both"/>
              <w:rPr>
                <w:lang w:val="en-US" w:eastAsia="en-US"/>
              </w:rPr>
            </w:pPr>
            <w:r w:rsidRPr="009077F5">
              <w:rPr>
                <w:lang w:val="en-US" w:eastAsia="en-US"/>
              </w:rPr>
              <w:t>Bu, örneğin rejeneratif veya reküperatif brülörler kullanılarak sağlanabilir. Baca gazından ısı geri kazanımını en üst düzeye çıkarmak ve NO</w:t>
            </w:r>
            <w:r w:rsidRPr="009077F5">
              <w:rPr>
                <w:vertAlign w:val="subscript"/>
                <w:lang w:val="en-US" w:eastAsia="en-US"/>
              </w:rPr>
              <w:t>X</w:t>
            </w:r>
            <w:r w:rsidRPr="009077F5">
              <w:rPr>
                <w:lang w:val="en-US" w:eastAsia="en-US"/>
              </w:rPr>
              <w:t xml:space="preserve"> emisyonlarını en aza indirmek arasında bir denge sağlanmalıdır.</w:t>
            </w:r>
          </w:p>
        </w:tc>
        <w:tc>
          <w:tcPr>
            <w:tcW w:w="3119" w:type="dxa"/>
            <w:vAlign w:val="center"/>
          </w:tcPr>
          <w:p w14:paraId="316A6767" w14:textId="2949CD12" w:rsidR="000E4830" w:rsidRPr="009077F5" w:rsidRDefault="00FE2CFE" w:rsidP="004B0D48">
            <w:pPr>
              <w:pStyle w:val="KonuBal"/>
              <w:rPr>
                <w:sz w:val="24"/>
                <w:szCs w:val="24"/>
              </w:rPr>
            </w:pPr>
            <w:r w:rsidRPr="009077F5">
              <w:rPr>
                <w:sz w:val="24"/>
                <w:szCs w:val="24"/>
              </w:rPr>
              <w:t>Mevcut tesislere uygulanabilirlik, rejeneratif brülörlerin kurulumu için yer olmaması nedeniyle kısıtlanabilir.</w:t>
            </w:r>
          </w:p>
        </w:tc>
      </w:tr>
      <w:tr w:rsidR="00FE2CFE" w:rsidRPr="004B0D48" w14:paraId="303466EA" w14:textId="77777777" w:rsidTr="00E357AF">
        <w:tc>
          <w:tcPr>
            <w:tcW w:w="567" w:type="dxa"/>
            <w:vAlign w:val="center"/>
          </w:tcPr>
          <w:p w14:paraId="2BB1848D" w14:textId="55BEE1D4" w:rsidR="00FE2CFE" w:rsidRPr="009077F5" w:rsidRDefault="00FE2CFE" w:rsidP="004B0D48">
            <w:pPr>
              <w:pStyle w:val="KonuBal"/>
              <w:rPr>
                <w:sz w:val="24"/>
                <w:szCs w:val="24"/>
              </w:rPr>
            </w:pPr>
            <w:r w:rsidRPr="009077F5">
              <w:rPr>
                <w:sz w:val="24"/>
                <w:szCs w:val="24"/>
              </w:rPr>
              <w:t>n.</w:t>
            </w:r>
          </w:p>
        </w:tc>
        <w:tc>
          <w:tcPr>
            <w:tcW w:w="1701" w:type="dxa"/>
            <w:vAlign w:val="center"/>
          </w:tcPr>
          <w:p w14:paraId="5436EF10" w14:textId="6A7F0AE1" w:rsidR="00FE2CFE" w:rsidRPr="009077F5" w:rsidRDefault="00FE2CFE" w:rsidP="00A202FD">
            <w:pPr>
              <w:jc w:val="both"/>
              <w:rPr>
                <w:rFonts w:eastAsia="Calibri"/>
                <w:lang w:eastAsia="en-US"/>
              </w:rPr>
            </w:pPr>
            <w:r w:rsidRPr="009077F5">
              <w:rPr>
                <w:rFonts w:eastAsia="Calibri"/>
                <w:lang w:eastAsia="en-US"/>
              </w:rPr>
              <w:t>Atık ısı geri kazanım kazanı</w:t>
            </w:r>
          </w:p>
        </w:tc>
        <w:tc>
          <w:tcPr>
            <w:tcW w:w="3827" w:type="dxa"/>
            <w:vAlign w:val="center"/>
          </w:tcPr>
          <w:p w14:paraId="5A7E0A7C" w14:textId="6729A646" w:rsidR="00FE2CFE" w:rsidRPr="009077F5" w:rsidRDefault="00FE2CFE" w:rsidP="004B0D48">
            <w:pPr>
              <w:pStyle w:val="KonuBal"/>
              <w:rPr>
                <w:sz w:val="24"/>
                <w:szCs w:val="24"/>
              </w:rPr>
            </w:pPr>
            <w:r w:rsidRPr="009077F5">
              <w:rPr>
                <w:sz w:val="24"/>
                <w:szCs w:val="24"/>
              </w:rPr>
              <w:t>Sıcak baca gazlarından elde edilen ısı, diğer proseslerde (örneğin asitleme ve flakslama banyolarını ısıtmak için), bölgesel ısıtmada veya elektrik üretiminde kullanılan buhar veya sıcak su üretmek için kullanılır.</w:t>
            </w:r>
          </w:p>
        </w:tc>
        <w:tc>
          <w:tcPr>
            <w:tcW w:w="3119" w:type="dxa"/>
            <w:vAlign w:val="center"/>
          </w:tcPr>
          <w:p w14:paraId="30651070" w14:textId="60E502F1" w:rsidR="00FE2CFE" w:rsidRPr="009077F5" w:rsidRDefault="00FE2CFE" w:rsidP="004B0D48">
            <w:pPr>
              <w:pStyle w:val="KonuBal"/>
              <w:rPr>
                <w:sz w:val="24"/>
                <w:szCs w:val="24"/>
              </w:rPr>
            </w:pPr>
            <w:r w:rsidRPr="009077F5">
              <w:rPr>
                <w:sz w:val="24"/>
                <w:szCs w:val="24"/>
              </w:rPr>
              <w:t>Mevcut tesislere uygulanabilirlik, alan eksikliği ve/veya uygun buhar veya sıcak su talebi nedeniyle kısıtlanabilir.</w:t>
            </w:r>
          </w:p>
        </w:tc>
      </w:tr>
    </w:tbl>
    <w:p w14:paraId="49BC0AE8" w14:textId="77777777" w:rsidR="00C54580" w:rsidRPr="00D53A2B" w:rsidRDefault="00C54580" w:rsidP="00A202FD">
      <w:pPr>
        <w:jc w:val="both"/>
        <w:rPr>
          <w:rFonts w:eastAsia="Calibri"/>
          <w:sz w:val="22"/>
          <w:szCs w:val="22"/>
          <w:lang w:eastAsia="en-US"/>
        </w:rPr>
      </w:pPr>
    </w:p>
    <w:p w14:paraId="3C9822C2" w14:textId="4276B91A" w:rsidR="00C54580" w:rsidRPr="00D53A2B" w:rsidRDefault="00FE2CFE" w:rsidP="00A202FD">
      <w:pPr>
        <w:jc w:val="both"/>
        <w:rPr>
          <w:rFonts w:eastAsia="Calibri"/>
          <w:sz w:val="22"/>
          <w:szCs w:val="22"/>
          <w:lang w:eastAsia="en-US"/>
        </w:rPr>
      </w:pPr>
      <w:r w:rsidRPr="00D53A2B">
        <w:rPr>
          <w:rFonts w:eastAsia="Calibri"/>
          <w:sz w:val="22"/>
          <w:szCs w:val="22"/>
          <w:lang w:eastAsia="en-US"/>
        </w:rPr>
        <w:t>Enerji verimliliğini artırmak için sektöre özgü diğer teknikler, bu MET sonuçlarının 9.6.1, 9.7.1 ve 9.8.1 Bölümlerinde verilmiştir.</w:t>
      </w:r>
    </w:p>
    <w:p w14:paraId="29C57C93" w14:textId="77777777" w:rsidR="00C54580" w:rsidRPr="00D53A2B" w:rsidRDefault="00C54580" w:rsidP="00A202FD">
      <w:pPr>
        <w:jc w:val="both"/>
        <w:rPr>
          <w:rFonts w:eastAsia="Calibri"/>
          <w:sz w:val="22"/>
          <w:szCs w:val="22"/>
          <w:lang w:eastAsia="en-US"/>
        </w:rPr>
      </w:pPr>
    </w:p>
    <w:p w14:paraId="4DAA1C50" w14:textId="7566AAC3" w:rsidR="005F0E3A" w:rsidRPr="00D53A2B" w:rsidRDefault="003B5C0B" w:rsidP="00A202FD">
      <w:pPr>
        <w:jc w:val="both"/>
        <w:rPr>
          <w:rFonts w:eastAsia="Calibri"/>
          <w:sz w:val="22"/>
          <w:szCs w:val="22"/>
          <w:lang w:eastAsia="en-US"/>
        </w:rPr>
      </w:pPr>
      <w:r w:rsidRPr="00D53A2B">
        <w:rPr>
          <w:rFonts w:eastAsia="Calibri"/>
          <w:sz w:val="22"/>
          <w:szCs w:val="22"/>
          <w:lang w:eastAsia="en-US"/>
        </w:rPr>
        <w:t xml:space="preserve">Tablo </w:t>
      </w:r>
      <w:r w:rsidR="00B31B5F" w:rsidRPr="00D53A2B">
        <w:rPr>
          <w:rFonts w:eastAsia="Calibri"/>
          <w:sz w:val="22"/>
          <w:szCs w:val="22"/>
          <w:lang w:eastAsia="en-US"/>
        </w:rPr>
        <w:t>1</w:t>
      </w:r>
      <w:r w:rsidRPr="00D53A2B">
        <w:rPr>
          <w:rFonts w:eastAsia="Calibri"/>
          <w:sz w:val="22"/>
          <w:szCs w:val="22"/>
          <w:lang w:eastAsia="en-US"/>
        </w:rPr>
        <w:t>.1</w:t>
      </w:r>
    </w:p>
    <w:p w14:paraId="007A1ABD" w14:textId="120CF80A" w:rsidR="00C54580" w:rsidRPr="00D53A2B" w:rsidRDefault="003B5C0B" w:rsidP="00A202FD">
      <w:pPr>
        <w:jc w:val="both"/>
        <w:rPr>
          <w:rFonts w:eastAsia="Calibri"/>
          <w:sz w:val="22"/>
          <w:szCs w:val="22"/>
          <w:lang w:eastAsia="en-US"/>
        </w:rPr>
      </w:pPr>
      <w:r w:rsidRPr="00D53A2B">
        <w:rPr>
          <w:rFonts w:eastAsia="Calibri"/>
          <w:sz w:val="22"/>
          <w:szCs w:val="22"/>
          <w:lang w:eastAsia="en-US"/>
        </w:rPr>
        <w:t>Sıcak haddelemede hammadde ısıtmasına yönelik spesifik enerji tüketimi için MET-ilişkili çevresel performans seviyeleri (MET-İÇPS)</w:t>
      </w:r>
    </w:p>
    <w:tbl>
      <w:tblPr>
        <w:tblStyle w:val="TabloKlavuzu"/>
        <w:tblW w:w="8930" w:type="dxa"/>
        <w:tblInd w:w="279" w:type="dxa"/>
        <w:tblLook w:val="04A0" w:firstRow="1" w:lastRow="0" w:firstColumn="1" w:lastColumn="0" w:noHBand="0" w:noVBand="1"/>
      </w:tblPr>
      <w:tblGrid>
        <w:gridCol w:w="4449"/>
        <w:gridCol w:w="986"/>
        <w:gridCol w:w="3495"/>
      </w:tblGrid>
      <w:tr w:rsidR="003B5C0B" w:rsidRPr="00D53A2B" w14:paraId="077D4214" w14:textId="77777777" w:rsidTr="00065723">
        <w:tc>
          <w:tcPr>
            <w:tcW w:w="4449" w:type="dxa"/>
          </w:tcPr>
          <w:p w14:paraId="02AA5A31" w14:textId="77777777" w:rsidR="003B5C0B" w:rsidRPr="009077F5" w:rsidRDefault="003B5C0B" w:rsidP="004B0D48">
            <w:pPr>
              <w:pStyle w:val="KonuBal"/>
              <w:rPr>
                <w:sz w:val="24"/>
                <w:szCs w:val="24"/>
              </w:rPr>
            </w:pPr>
            <w:r w:rsidRPr="009077F5">
              <w:rPr>
                <w:sz w:val="24"/>
                <w:szCs w:val="24"/>
              </w:rPr>
              <w:t>Spesifik proses(ler)</w:t>
            </w:r>
          </w:p>
          <w:p w14:paraId="533351EC" w14:textId="23846709" w:rsidR="003B5C0B" w:rsidRPr="009077F5" w:rsidRDefault="003B5C0B" w:rsidP="00A202FD">
            <w:pPr>
              <w:ind w:left="169"/>
              <w:jc w:val="both"/>
              <w:rPr>
                <w:rFonts w:eastAsia="Calibri"/>
                <w:i/>
                <w:iCs/>
                <w:lang w:val="en-US" w:eastAsia="en-US"/>
              </w:rPr>
            </w:pPr>
            <w:r w:rsidRPr="009077F5">
              <w:rPr>
                <w:rFonts w:eastAsia="Calibri"/>
                <w:i/>
                <w:iCs/>
                <w:lang w:val="en-US" w:eastAsia="en-US"/>
              </w:rPr>
              <w:t>Haddeleme işleminin sonunda çelik ürünler</w:t>
            </w:r>
          </w:p>
        </w:tc>
        <w:tc>
          <w:tcPr>
            <w:tcW w:w="986" w:type="dxa"/>
          </w:tcPr>
          <w:p w14:paraId="72DAB5F4" w14:textId="49BA6AD6" w:rsidR="003B5C0B" w:rsidRPr="009077F5" w:rsidRDefault="003B5C0B" w:rsidP="004B0D48">
            <w:pPr>
              <w:pStyle w:val="KonuBal"/>
              <w:rPr>
                <w:sz w:val="24"/>
                <w:szCs w:val="24"/>
              </w:rPr>
            </w:pPr>
            <w:r w:rsidRPr="009077F5">
              <w:rPr>
                <w:sz w:val="24"/>
                <w:szCs w:val="24"/>
              </w:rPr>
              <w:t>Birim</w:t>
            </w:r>
          </w:p>
        </w:tc>
        <w:tc>
          <w:tcPr>
            <w:tcW w:w="3495" w:type="dxa"/>
          </w:tcPr>
          <w:p w14:paraId="4B834F12" w14:textId="781ECC28" w:rsidR="003B5C0B" w:rsidRPr="009077F5" w:rsidRDefault="003B5C0B" w:rsidP="004B0D48">
            <w:pPr>
              <w:pStyle w:val="KonuBal"/>
              <w:rPr>
                <w:sz w:val="24"/>
                <w:szCs w:val="24"/>
              </w:rPr>
            </w:pPr>
            <w:r w:rsidRPr="009077F5">
              <w:rPr>
                <w:sz w:val="24"/>
                <w:szCs w:val="24"/>
              </w:rPr>
              <w:t>MET-İÇPS (Yıllık ortalama)</w:t>
            </w:r>
          </w:p>
        </w:tc>
      </w:tr>
      <w:tr w:rsidR="003B5C0B" w:rsidRPr="00D53A2B" w14:paraId="45563D0B" w14:textId="77777777" w:rsidTr="00065723">
        <w:tc>
          <w:tcPr>
            <w:tcW w:w="8930" w:type="dxa"/>
            <w:gridSpan w:val="3"/>
          </w:tcPr>
          <w:p w14:paraId="14D187DF" w14:textId="7E5DB99F" w:rsidR="003B5C0B" w:rsidRPr="009077F5" w:rsidRDefault="003B5C0B" w:rsidP="004B0D48">
            <w:pPr>
              <w:pStyle w:val="KonuBal"/>
              <w:rPr>
                <w:sz w:val="24"/>
                <w:szCs w:val="24"/>
              </w:rPr>
            </w:pPr>
            <w:r w:rsidRPr="009077F5">
              <w:rPr>
                <w:sz w:val="24"/>
                <w:szCs w:val="24"/>
              </w:rPr>
              <w:t>Hammaddenin yeniden ısıtılması</w:t>
            </w:r>
          </w:p>
        </w:tc>
      </w:tr>
      <w:tr w:rsidR="009837A8" w:rsidRPr="00D53A2B" w14:paraId="4E790C0E" w14:textId="77777777" w:rsidTr="00065723">
        <w:tc>
          <w:tcPr>
            <w:tcW w:w="4449" w:type="dxa"/>
          </w:tcPr>
          <w:p w14:paraId="1870B055" w14:textId="7C577F8E" w:rsidR="009837A8" w:rsidRPr="009077F5" w:rsidRDefault="009837A8" w:rsidP="004B0D48">
            <w:pPr>
              <w:pStyle w:val="KonuBal"/>
              <w:rPr>
                <w:sz w:val="24"/>
                <w:szCs w:val="24"/>
              </w:rPr>
            </w:pPr>
            <w:r w:rsidRPr="009077F5">
              <w:rPr>
                <w:sz w:val="24"/>
                <w:szCs w:val="24"/>
              </w:rPr>
              <w:t>Sıcak haddelenmiş rulolar (şeritler)</w:t>
            </w:r>
          </w:p>
        </w:tc>
        <w:tc>
          <w:tcPr>
            <w:tcW w:w="986" w:type="dxa"/>
          </w:tcPr>
          <w:p w14:paraId="36295E7B" w14:textId="6D1D06A5" w:rsidR="009837A8" w:rsidRPr="009077F5" w:rsidRDefault="009837A8" w:rsidP="004B0D48">
            <w:pPr>
              <w:pStyle w:val="KonuBal"/>
              <w:rPr>
                <w:sz w:val="24"/>
                <w:szCs w:val="24"/>
              </w:rPr>
            </w:pPr>
            <w:r w:rsidRPr="009077F5">
              <w:rPr>
                <w:sz w:val="24"/>
                <w:szCs w:val="24"/>
              </w:rPr>
              <w:t>MJ/t</w:t>
            </w:r>
          </w:p>
        </w:tc>
        <w:tc>
          <w:tcPr>
            <w:tcW w:w="3495" w:type="dxa"/>
            <w:vAlign w:val="bottom"/>
          </w:tcPr>
          <w:p w14:paraId="6C1A77F6" w14:textId="42712ED8" w:rsidR="009837A8" w:rsidRPr="009077F5" w:rsidRDefault="009837A8" w:rsidP="004B0D48">
            <w:pPr>
              <w:pStyle w:val="KonuBal"/>
              <w:rPr>
                <w:sz w:val="24"/>
                <w:szCs w:val="24"/>
              </w:rPr>
            </w:pPr>
            <w:r w:rsidRPr="009077F5">
              <w:rPr>
                <w:sz w:val="24"/>
                <w:szCs w:val="24"/>
              </w:rPr>
              <w:t>1 200-1 500 (</w:t>
            </w:r>
            <w:r w:rsidRPr="009077F5">
              <w:rPr>
                <w:sz w:val="24"/>
                <w:szCs w:val="24"/>
                <w:vertAlign w:val="superscript"/>
              </w:rPr>
              <w:t>1</w:t>
            </w:r>
            <w:r w:rsidRPr="009077F5">
              <w:rPr>
                <w:sz w:val="24"/>
                <w:szCs w:val="24"/>
              </w:rPr>
              <w:t>)</w:t>
            </w:r>
          </w:p>
        </w:tc>
      </w:tr>
      <w:tr w:rsidR="009837A8" w:rsidRPr="00D53A2B" w14:paraId="22679D46" w14:textId="77777777" w:rsidTr="00065723">
        <w:tc>
          <w:tcPr>
            <w:tcW w:w="4449" w:type="dxa"/>
          </w:tcPr>
          <w:p w14:paraId="14D06050" w14:textId="0E0D5FE5" w:rsidR="009837A8" w:rsidRPr="009077F5" w:rsidRDefault="009837A8" w:rsidP="004B0D48">
            <w:pPr>
              <w:pStyle w:val="KonuBal"/>
              <w:rPr>
                <w:sz w:val="24"/>
                <w:szCs w:val="24"/>
              </w:rPr>
            </w:pPr>
            <w:r w:rsidRPr="009077F5">
              <w:rPr>
                <w:sz w:val="24"/>
                <w:szCs w:val="24"/>
              </w:rPr>
              <w:t>Ağır plakalar</w:t>
            </w:r>
          </w:p>
        </w:tc>
        <w:tc>
          <w:tcPr>
            <w:tcW w:w="986" w:type="dxa"/>
          </w:tcPr>
          <w:p w14:paraId="190B8DC5" w14:textId="0D94E36D" w:rsidR="009837A8" w:rsidRPr="009077F5" w:rsidRDefault="009837A8" w:rsidP="004B0D48">
            <w:pPr>
              <w:pStyle w:val="KonuBal"/>
              <w:rPr>
                <w:sz w:val="24"/>
                <w:szCs w:val="24"/>
              </w:rPr>
            </w:pPr>
            <w:r w:rsidRPr="009077F5">
              <w:rPr>
                <w:sz w:val="24"/>
                <w:szCs w:val="24"/>
              </w:rPr>
              <w:t>MJ/t</w:t>
            </w:r>
          </w:p>
        </w:tc>
        <w:tc>
          <w:tcPr>
            <w:tcW w:w="3495" w:type="dxa"/>
            <w:vAlign w:val="bottom"/>
          </w:tcPr>
          <w:p w14:paraId="6B4A7496" w14:textId="0B1EFA00" w:rsidR="009837A8" w:rsidRPr="009077F5" w:rsidRDefault="009837A8" w:rsidP="004B0D48">
            <w:pPr>
              <w:pStyle w:val="KonuBal"/>
              <w:rPr>
                <w:sz w:val="24"/>
                <w:szCs w:val="24"/>
              </w:rPr>
            </w:pPr>
            <w:r w:rsidRPr="009077F5">
              <w:rPr>
                <w:sz w:val="24"/>
                <w:szCs w:val="24"/>
              </w:rPr>
              <w:t>1 400-2 000 (</w:t>
            </w:r>
            <w:r w:rsidRPr="009077F5">
              <w:rPr>
                <w:sz w:val="24"/>
                <w:szCs w:val="24"/>
                <w:vertAlign w:val="superscript"/>
              </w:rPr>
              <w:t>2</w:t>
            </w:r>
            <w:r w:rsidRPr="009077F5">
              <w:rPr>
                <w:sz w:val="24"/>
                <w:szCs w:val="24"/>
              </w:rPr>
              <w:t>)</w:t>
            </w:r>
          </w:p>
        </w:tc>
      </w:tr>
      <w:tr w:rsidR="009837A8" w:rsidRPr="00D53A2B" w14:paraId="491C3FC0" w14:textId="77777777" w:rsidTr="00065723">
        <w:tc>
          <w:tcPr>
            <w:tcW w:w="4449" w:type="dxa"/>
          </w:tcPr>
          <w:p w14:paraId="7C0946CA" w14:textId="5574802D" w:rsidR="009837A8" w:rsidRPr="009077F5" w:rsidRDefault="009837A8" w:rsidP="004B0D48">
            <w:pPr>
              <w:pStyle w:val="KonuBal"/>
              <w:rPr>
                <w:sz w:val="24"/>
                <w:szCs w:val="24"/>
              </w:rPr>
            </w:pPr>
            <w:r w:rsidRPr="009077F5">
              <w:rPr>
                <w:sz w:val="24"/>
                <w:szCs w:val="24"/>
              </w:rPr>
              <w:t>Barlar, çubuklar</w:t>
            </w:r>
          </w:p>
        </w:tc>
        <w:tc>
          <w:tcPr>
            <w:tcW w:w="986" w:type="dxa"/>
          </w:tcPr>
          <w:p w14:paraId="0AEDB4B6" w14:textId="23E58D43" w:rsidR="009837A8" w:rsidRPr="009077F5" w:rsidRDefault="009837A8" w:rsidP="004B0D48">
            <w:pPr>
              <w:pStyle w:val="KonuBal"/>
              <w:rPr>
                <w:sz w:val="24"/>
                <w:szCs w:val="24"/>
              </w:rPr>
            </w:pPr>
            <w:r w:rsidRPr="009077F5">
              <w:rPr>
                <w:sz w:val="24"/>
                <w:szCs w:val="24"/>
              </w:rPr>
              <w:t>MJ/t</w:t>
            </w:r>
          </w:p>
        </w:tc>
        <w:tc>
          <w:tcPr>
            <w:tcW w:w="3495" w:type="dxa"/>
            <w:vAlign w:val="bottom"/>
          </w:tcPr>
          <w:p w14:paraId="5C3A715F" w14:textId="3E698A32" w:rsidR="009837A8" w:rsidRPr="009077F5" w:rsidRDefault="009837A8" w:rsidP="004B0D48">
            <w:pPr>
              <w:pStyle w:val="KonuBal"/>
              <w:rPr>
                <w:sz w:val="24"/>
                <w:szCs w:val="24"/>
              </w:rPr>
            </w:pPr>
            <w:r w:rsidRPr="009077F5">
              <w:rPr>
                <w:sz w:val="24"/>
                <w:szCs w:val="24"/>
              </w:rPr>
              <w:t>600-1 900 (</w:t>
            </w:r>
            <w:r w:rsidRPr="009077F5">
              <w:rPr>
                <w:sz w:val="24"/>
                <w:szCs w:val="24"/>
                <w:vertAlign w:val="superscript"/>
              </w:rPr>
              <w:t>2</w:t>
            </w:r>
            <w:r w:rsidRPr="009077F5">
              <w:rPr>
                <w:sz w:val="24"/>
                <w:szCs w:val="24"/>
              </w:rPr>
              <w:t>)</w:t>
            </w:r>
          </w:p>
        </w:tc>
      </w:tr>
      <w:tr w:rsidR="009837A8" w:rsidRPr="00D53A2B" w14:paraId="7AE53A05" w14:textId="77777777" w:rsidTr="00065723">
        <w:tc>
          <w:tcPr>
            <w:tcW w:w="4449" w:type="dxa"/>
          </w:tcPr>
          <w:p w14:paraId="5BC6745A" w14:textId="7D67ED61" w:rsidR="009837A8" w:rsidRPr="009077F5" w:rsidRDefault="009837A8" w:rsidP="004B0D48">
            <w:pPr>
              <w:pStyle w:val="KonuBal"/>
              <w:rPr>
                <w:sz w:val="24"/>
                <w:szCs w:val="24"/>
              </w:rPr>
            </w:pPr>
            <w:r w:rsidRPr="009077F5">
              <w:rPr>
                <w:sz w:val="24"/>
                <w:szCs w:val="24"/>
              </w:rPr>
              <w:t>Kirişler, biyetler, raylar, masuralar</w:t>
            </w:r>
          </w:p>
        </w:tc>
        <w:tc>
          <w:tcPr>
            <w:tcW w:w="986" w:type="dxa"/>
          </w:tcPr>
          <w:p w14:paraId="676A8519" w14:textId="386913D0" w:rsidR="009837A8" w:rsidRPr="009077F5" w:rsidRDefault="009837A8" w:rsidP="004B0D48">
            <w:pPr>
              <w:pStyle w:val="KonuBal"/>
              <w:rPr>
                <w:sz w:val="24"/>
                <w:szCs w:val="24"/>
              </w:rPr>
            </w:pPr>
            <w:r w:rsidRPr="009077F5">
              <w:rPr>
                <w:sz w:val="24"/>
                <w:szCs w:val="24"/>
              </w:rPr>
              <w:t>MJ/t</w:t>
            </w:r>
          </w:p>
        </w:tc>
        <w:tc>
          <w:tcPr>
            <w:tcW w:w="3495" w:type="dxa"/>
            <w:vAlign w:val="bottom"/>
          </w:tcPr>
          <w:p w14:paraId="7C80F934" w14:textId="71E782D8" w:rsidR="009837A8" w:rsidRPr="009077F5" w:rsidRDefault="009837A8" w:rsidP="004B0D48">
            <w:pPr>
              <w:pStyle w:val="KonuBal"/>
              <w:rPr>
                <w:sz w:val="24"/>
                <w:szCs w:val="24"/>
              </w:rPr>
            </w:pPr>
            <w:r w:rsidRPr="009077F5">
              <w:rPr>
                <w:sz w:val="24"/>
                <w:szCs w:val="24"/>
              </w:rPr>
              <w:t>1 400-2 200</w:t>
            </w:r>
          </w:p>
        </w:tc>
      </w:tr>
      <w:tr w:rsidR="009837A8" w:rsidRPr="00D53A2B" w14:paraId="756148FD" w14:textId="77777777" w:rsidTr="00065723">
        <w:tc>
          <w:tcPr>
            <w:tcW w:w="8930" w:type="dxa"/>
            <w:gridSpan w:val="3"/>
          </w:tcPr>
          <w:p w14:paraId="327609C3" w14:textId="25D4CB5D" w:rsidR="009837A8" w:rsidRPr="009077F5" w:rsidRDefault="009837A8" w:rsidP="004B0D48">
            <w:pPr>
              <w:pStyle w:val="KonuBal"/>
              <w:rPr>
                <w:sz w:val="24"/>
                <w:szCs w:val="24"/>
              </w:rPr>
            </w:pPr>
            <w:r w:rsidRPr="009077F5">
              <w:rPr>
                <w:sz w:val="24"/>
                <w:szCs w:val="24"/>
              </w:rPr>
              <w:t>Hammadde ara ısıtma</w:t>
            </w:r>
          </w:p>
        </w:tc>
      </w:tr>
      <w:tr w:rsidR="009837A8" w:rsidRPr="00D53A2B" w14:paraId="52C73190" w14:textId="77777777" w:rsidTr="00065723">
        <w:tc>
          <w:tcPr>
            <w:tcW w:w="4449" w:type="dxa"/>
          </w:tcPr>
          <w:p w14:paraId="053BD537" w14:textId="1B6260DA" w:rsidR="009837A8" w:rsidRPr="009077F5" w:rsidRDefault="009837A8" w:rsidP="004B0D48">
            <w:pPr>
              <w:pStyle w:val="KonuBal"/>
              <w:rPr>
                <w:iCs/>
                <w:sz w:val="24"/>
                <w:szCs w:val="24"/>
              </w:rPr>
            </w:pPr>
            <w:r w:rsidRPr="009077F5">
              <w:rPr>
                <w:sz w:val="24"/>
                <w:szCs w:val="24"/>
              </w:rPr>
              <w:t>Barlar, çubuklar, masuralar</w:t>
            </w:r>
          </w:p>
        </w:tc>
        <w:tc>
          <w:tcPr>
            <w:tcW w:w="986" w:type="dxa"/>
          </w:tcPr>
          <w:p w14:paraId="636F4FD5" w14:textId="2F992DA6" w:rsidR="009837A8" w:rsidRPr="009077F5" w:rsidRDefault="009837A8" w:rsidP="004B0D48">
            <w:pPr>
              <w:pStyle w:val="KonuBal"/>
              <w:rPr>
                <w:sz w:val="24"/>
                <w:szCs w:val="24"/>
              </w:rPr>
            </w:pPr>
            <w:r w:rsidRPr="009077F5">
              <w:rPr>
                <w:sz w:val="24"/>
                <w:szCs w:val="24"/>
              </w:rPr>
              <w:t>MJ/t</w:t>
            </w:r>
          </w:p>
        </w:tc>
        <w:tc>
          <w:tcPr>
            <w:tcW w:w="3495" w:type="dxa"/>
            <w:vAlign w:val="bottom"/>
          </w:tcPr>
          <w:p w14:paraId="405688B4" w14:textId="71624590" w:rsidR="009837A8" w:rsidRPr="009077F5" w:rsidRDefault="009837A8" w:rsidP="004B0D48">
            <w:pPr>
              <w:pStyle w:val="KonuBal"/>
              <w:rPr>
                <w:sz w:val="24"/>
                <w:szCs w:val="24"/>
              </w:rPr>
            </w:pPr>
            <w:r w:rsidRPr="009077F5">
              <w:rPr>
                <w:sz w:val="24"/>
                <w:szCs w:val="24"/>
              </w:rPr>
              <w:t>100-900</w:t>
            </w:r>
          </w:p>
        </w:tc>
      </w:tr>
      <w:tr w:rsidR="009837A8" w:rsidRPr="00D53A2B" w14:paraId="3C14B201" w14:textId="77777777" w:rsidTr="00065723">
        <w:tc>
          <w:tcPr>
            <w:tcW w:w="8930" w:type="dxa"/>
            <w:gridSpan w:val="3"/>
          </w:tcPr>
          <w:p w14:paraId="56F97BF1" w14:textId="4A212FEE" w:rsidR="009837A8" w:rsidRPr="009077F5" w:rsidRDefault="009837A8" w:rsidP="004B0D48">
            <w:pPr>
              <w:pStyle w:val="KonuBal"/>
              <w:rPr>
                <w:sz w:val="24"/>
                <w:szCs w:val="24"/>
              </w:rPr>
            </w:pPr>
            <w:r w:rsidRPr="009077F5">
              <w:rPr>
                <w:sz w:val="24"/>
                <w:szCs w:val="24"/>
              </w:rPr>
              <w:t>Hammadde son ısıtma</w:t>
            </w:r>
          </w:p>
        </w:tc>
      </w:tr>
      <w:tr w:rsidR="009837A8" w:rsidRPr="00D53A2B" w14:paraId="2D6C5A8F" w14:textId="77777777" w:rsidTr="00065723">
        <w:tc>
          <w:tcPr>
            <w:tcW w:w="4449" w:type="dxa"/>
          </w:tcPr>
          <w:p w14:paraId="4381DED7" w14:textId="58F5D497" w:rsidR="009837A8" w:rsidRPr="009077F5" w:rsidRDefault="009837A8" w:rsidP="004B0D48">
            <w:pPr>
              <w:pStyle w:val="KonuBal"/>
              <w:rPr>
                <w:b/>
                <w:bCs/>
                <w:sz w:val="24"/>
                <w:szCs w:val="24"/>
              </w:rPr>
            </w:pPr>
            <w:r w:rsidRPr="009077F5">
              <w:rPr>
                <w:sz w:val="24"/>
                <w:szCs w:val="24"/>
              </w:rPr>
              <w:t>Ağır plakalar</w:t>
            </w:r>
          </w:p>
        </w:tc>
        <w:tc>
          <w:tcPr>
            <w:tcW w:w="986" w:type="dxa"/>
          </w:tcPr>
          <w:p w14:paraId="684EBCF6" w14:textId="51F89CFF" w:rsidR="009837A8" w:rsidRPr="009077F5" w:rsidRDefault="009837A8" w:rsidP="004B0D48">
            <w:pPr>
              <w:pStyle w:val="KonuBal"/>
              <w:rPr>
                <w:sz w:val="24"/>
                <w:szCs w:val="24"/>
              </w:rPr>
            </w:pPr>
            <w:r w:rsidRPr="009077F5">
              <w:rPr>
                <w:sz w:val="24"/>
                <w:szCs w:val="24"/>
              </w:rPr>
              <w:t>MJ/t</w:t>
            </w:r>
          </w:p>
        </w:tc>
        <w:tc>
          <w:tcPr>
            <w:tcW w:w="3495" w:type="dxa"/>
            <w:vAlign w:val="bottom"/>
          </w:tcPr>
          <w:p w14:paraId="2FB427EC" w14:textId="0A949D27" w:rsidR="009837A8" w:rsidRPr="009077F5" w:rsidRDefault="009837A8" w:rsidP="004B0D48">
            <w:pPr>
              <w:pStyle w:val="KonuBal"/>
              <w:rPr>
                <w:sz w:val="24"/>
                <w:szCs w:val="24"/>
              </w:rPr>
            </w:pPr>
            <w:r w:rsidRPr="009077F5">
              <w:rPr>
                <w:sz w:val="24"/>
                <w:szCs w:val="24"/>
              </w:rPr>
              <w:t>1 000-2 000</w:t>
            </w:r>
          </w:p>
        </w:tc>
      </w:tr>
      <w:tr w:rsidR="009837A8" w:rsidRPr="00D53A2B" w14:paraId="0C1A40BE" w14:textId="77777777" w:rsidTr="00065723">
        <w:tc>
          <w:tcPr>
            <w:tcW w:w="4449" w:type="dxa"/>
          </w:tcPr>
          <w:p w14:paraId="6B1C2B34" w14:textId="76315567" w:rsidR="009837A8" w:rsidRPr="009077F5" w:rsidRDefault="009837A8" w:rsidP="004B0D48">
            <w:pPr>
              <w:pStyle w:val="KonuBal"/>
              <w:rPr>
                <w:b/>
                <w:bCs/>
                <w:sz w:val="24"/>
                <w:szCs w:val="24"/>
              </w:rPr>
            </w:pPr>
            <w:r w:rsidRPr="009077F5">
              <w:rPr>
                <w:sz w:val="24"/>
                <w:szCs w:val="24"/>
              </w:rPr>
              <w:t>Barlar, çubuklar</w:t>
            </w:r>
          </w:p>
        </w:tc>
        <w:tc>
          <w:tcPr>
            <w:tcW w:w="986" w:type="dxa"/>
          </w:tcPr>
          <w:p w14:paraId="32B26274" w14:textId="49ABD487" w:rsidR="009837A8" w:rsidRPr="009077F5" w:rsidRDefault="009837A8" w:rsidP="004B0D48">
            <w:pPr>
              <w:pStyle w:val="KonuBal"/>
              <w:rPr>
                <w:sz w:val="24"/>
                <w:szCs w:val="24"/>
              </w:rPr>
            </w:pPr>
            <w:r w:rsidRPr="009077F5">
              <w:rPr>
                <w:sz w:val="24"/>
                <w:szCs w:val="24"/>
              </w:rPr>
              <w:t>MJ/t</w:t>
            </w:r>
          </w:p>
        </w:tc>
        <w:tc>
          <w:tcPr>
            <w:tcW w:w="3495" w:type="dxa"/>
            <w:vAlign w:val="bottom"/>
          </w:tcPr>
          <w:p w14:paraId="0077B9A9" w14:textId="05C1D2B9" w:rsidR="009837A8" w:rsidRPr="009077F5" w:rsidRDefault="009837A8" w:rsidP="004B0D48">
            <w:pPr>
              <w:pStyle w:val="KonuBal"/>
              <w:rPr>
                <w:sz w:val="24"/>
                <w:szCs w:val="24"/>
              </w:rPr>
            </w:pPr>
            <w:r w:rsidRPr="009077F5">
              <w:rPr>
                <w:sz w:val="24"/>
                <w:szCs w:val="24"/>
              </w:rPr>
              <w:t>1 400-3 000 (</w:t>
            </w:r>
            <w:r w:rsidRPr="009077F5">
              <w:rPr>
                <w:sz w:val="24"/>
                <w:szCs w:val="24"/>
                <w:vertAlign w:val="superscript"/>
              </w:rPr>
              <w:t>3</w:t>
            </w:r>
            <w:r w:rsidRPr="009077F5">
              <w:rPr>
                <w:sz w:val="24"/>
                <w:szCs w:val="24"/>
              </w:rPr>
              <w:t>)</w:t>
            </w:r>
          </w:p>
        </w:tc>
      </w:tr>
      <w:tr w:rsidR="009837A8" w:rsidRPr="004B0D48" w14:paraId="5B028DF1" w14:textId="77777777" w:rsidTr="00065723">
        <w:tc>
          <w:tcPr>
            <w:tcW w:w="8930" w:type="dxa"/>
            <w:gridSpan w:val="3"/>
          </w:tcPr>
          <w:p w14:paraId="6EFEC5FD" w14:textId="44783B72" w:rsidR="009837A8" w:rsidRPr="004B0D48" w:rsidRDefault="009837A8" w:rsidP="004B0D48">
            <w:pPr>
              <w:pStyle w:val="KonuBal"/>
            </w:pPr>
            <w:r w:rsidRPr="004B0D48">
              <w:t>(</w:t>
            </w:r>
            <w:r w:rsidRPr="004B0D48">
              <w:rPr>
                <w:vertAlign w:val="superscript"/>
              </w:rPr>
              <w:t>1</w:t>
            </w:r>
            <w:r w:rsidRPr="004B0D48">
              <w:t xml:space="preserve">) Yüksek alaşımlı çelik (örneğin östenitik paslanmaz çelik) söz konusu olduğunda, </w:t>
            </w:r>
            <w:r w:rsidR="00DB0482" w:rsidRPr="004B0D48">
              <w:t>MET-İÇPS</w:t>
            </w:r>
            <w:r w:rsidRPr="004B0D48">
              <w:t xml:space="preserve"> aralığının üst sınırı daha yüksek olabilir ve 2 200 MJ/t</w:t>
            </w:r>
            <w:r w:rsidR="00E56504" w:rsidRPr="004B0D48">
              <w:t>’</w:t>
            </w:r>
            <w:r w:rsidRPr="004B0D48">
              <w:t>ye kadar çıkabilir.</w:t>
            </w:r>
          </w:p>
          <w:p w14:paraId="6AA70889" w14:textId="704EE1D4" w:rsidR="009837A8" w:rsidRPr="004B0D48" w:rsidRDefault="009837A8" w:rsidP="004B0D48">
            <w:pPr>
              <w:pStyle w:val="KonuBal"/>
            </w:pPr>
            <w:r w:rsidRPr="00E73DA3">
              <w:t>(</w:t>
            </w:r>
            <w:r w:rsidRPr="00BF4451">
              <w:rPr>
                <w:vertAlign w:val="superscript"/>
              </w:rPr>
              <w:t>2</w:t>
            </w:r>
            <w:r w:rsidRPr="00BF4451">
              <w:t xml:space="preserve">) Yüksek alaşımlı çelik (örneğin östenitik paslanmaz çelik) söz konusu olduğunda, </w:t>
            </w:r>
            <w:r w:rsidR="00DB0482" w:rsidRPr="00BF4451">
              <w:t xml:space="preserve">MET-İÇPS </w:t>
            </w:r>
            <w:r w:rsidRPr="00BF4451">
              <w:t xml:space="preserve">aralığının </w:t>
            </w:r>
            <w:r w:rsidRPr="00BF4451">
              <w:lastRenderedPageBreak/>
              <w:t>üst sınırı daha yüksek olabilir ve 2 800 MJ/t</w:t>
            </w:r>
            <w:r w:rsidR="00E56504" w:rsidRPr="00CB4CD4">
              <w:t>’</w:t>
            </w:r>
            <w:r w:rsidRPr="004B0D48">
              <w:t>ye kadar çıkabilir.</w:t>
            </w:r>
          </w:p>
          <w:p w14:paraId="01595445" w14:textId="653B7733" w:rsidR="009837A8" w:rsidRPr="004B0D48" w:rsidRDefault="009837A8" w:rsidP="00E73DA3">
            <w:pPr>
              <w:pStyle w:val="KonuBal"/>
            </w:pPr>
            <w:r w:rsidRPr="004B0D48">
              <w:t>(</w:t>
            </w:r>
            <w:r w:rsidRPr="004B0D48">
              <w:rPr>
                <w:vertAlign w:val="superscript"/>
              </w:rPr>
              <w:t>3</w:t>
            </w:r>
            <w:r w:rsidRPr="004B0D48">
              <w:t xml:space="preserve">) Yüksek alaşımlı çelik (örneğin östenitik paslanmaz çelik) söz konusu olduğunda, </w:t>
            </w:r>
            <w:r w:rsidR="00DB0482" w:rsidRPr="004B0D48">
              <w:t xml:space="preserve">MET-İÇPS </w:t>
            </w:r>
            <w:r w:rsidRPr="004B0D48">
              <w:t>aralığının üst sınırı daha yüksek olabilir ve 4 000 MJ/t</w:t>
            </w:r>
            <w:r w:rsidR="00E56504" w:rsidRPr="004B0D48">
              <w:t>’</w:t>
            </w:r>
            <w:r w:rsidRPr="004B0D48">
              <w:t>ye kadar çıkabilir.</w:t>
            </w:r>
          </w:p>
        </w:tc>
      </w:tr>
    </w:tbl>
    <w:p w14:paraId="6A6811E3" w14:textId="77777777" w:rsidR="0071694E" w:rsidRPr="00D53A2B" w:rsidRDefault="0071694E" w:rsidP="00A202FD">
      <w:pPr>
        <w:jc w:val="both"/>
        <w:rPr>
          <w:rFonts w:eastAsia="Calibri"/>
          <w:sz w:val="22"/>
          <w:szCs w:val="22"/>
          <w:lang w:eastAsia="en-US"/>
        </w:rPr>
      </w:pPr>
    </w:p>
    <w:p w14:paraId="5064A1C8" w14:textId="7EB1FA4A" w:rsidR="005F0E3A" w:rsidRPr="00D53A2B" w:rsidRDefault="002A209E" w:rsidP="00A202FD">
      <w:pPr>
        <w:jc w:val="both"/>
        <w:rPr>
          <w:rFonts w:eastAsia="Calibri"/>
          <w:sz w:val="22"/>
          <w:szCs w:val="22"/>
          <w:lang w:eastAsia="en-US"/>
        </w:rPr>
      </w:pPr>
      <w:r w:rsidRPr="00D53A2B">
        <w:rPr>
          <w:rFonts w:eastAsia="Calibri"/>
          <w:sz w:val="22"/>
          <w:szCs w:val="22"/>
          <w:lang w:eastAsia="en-US"/>
        </w:rPr>
        <w:t>Tablo</w:t>
      </w:r>
      <w:r w:rsidR="00B31B5F" w:rsidRPr="00D53A2B">
        <w:rPr>
          <w:rFonts w:eastAsia="Calibri"/>
          <w:sz w:val="22"/>
          <w:szCs w:val="22"/>
          <w:lang w:eastAsia="en-US"/>
        </w:rPr>
        <w:t>1</w:t>
      </w:r>
      <w:r w:rsidRPr="00D53A2B">
        <w:rPr>
          <w:rFonts w:eastAsia="Calibri"/>
          <w:sz w:val="22"/>
          <w:szCs w:val="22"/>
          <w:lang w:eastAsia="en-US"/>
        </w:rPr>
        <w:t>.2</w:t>
      </w:r>
    </w:p>
    <w:p w14:paraId="047ADA54" w14:textId="3F9F636D" w:rsidR="0071694E" w:rsidRPr="00D53A2B" w:rsidRDefault="002A209E" w:rsidP="00A202FD">
      <w:pPr>
        <w:jc w:val="both"/>
        <w:rPr>
          <w:rFonts w:eastAsia="Calibri"/>
          <w:sz w:val="22"/>
          <w:szCs w:val="22"/>
          <w:lang w:eastAsia="en-US"/>
        </w:rPr>
      </w:pPr>
      <w:r w:rsidRPr="00D53A2B">
        <w:rPr>
          <w:rFonts w:eastAsia="Calibri"/>
          <w:sz w:val="22"/>
          <w:szCs w:val="22"/>
          <w:lang w:eastAsia="en-US"/>
        </w:rPr>
        <w:t>Soğuk haddelemeden sonra tavlamada spesifik enerji tüketimi için MET-ilişkili çevresel performans seviyeleri (MET-İÇPS)</w:t>
      </w:r>
    </w:p>
    <w:tbl>
      <w:tblPr>
        <w:tblStyle w:val="TabloKlavuzu"/>
        <w:tblW w:w="8930" w:type="dxa"/>
        <w:tblInd w:w="279" w:type="dxa"/>
        <w:tblLook w:val="04A0" w:firstRow="1" w:lastRow="0" w:firstColumn="1" w:lastColumn="0" w:noHBand="0" w:noVBand="1"/>
      </w:tblPr>
      <w:tblGrid>
        <w:gridCol w:w="4447"/>
        <w:gridCol w:w="986"/>
        <w:gridCol w:w="3497"/>
      </w:tblGrid>
      <w:tr w:rsidR="002A209E" w:rsidRPr="00D53A2B" w14:paraId="7A4259A7" w14:textId="77777777" w:rsidTr="00065723">
        <w:tc>
          <w:tcPr>
            <w:tcW w:w="4447" w:type="dxa"/>
          </w:tcPr>
          <w:p w14:paraId="6DB2046F" w14:textId="6D38C4FD" w:rsidR="002A209E" w:rsidRPr="009077F5" w:rsidRDefault="002A209E" w:rsidP="004B0D48">
            <w:pPr>
              <w:pStyle w:val="KonuBal"/>
              <w:rPr>
                <w:sz w:val="24"/>
                <w:szCs w:val="24"/>
              </w:rPr>
            </w:pPr>
            <w:r w:rsidRPr="009077F5">
              <w:rPr>
                <w:sz w:val="24"/>
                <w:szCs w:val="24"/>
              </w:rPr>
              <w:t>Spesifik proses(ler)</w:t>
            </w:r>
          </w:p>
        </w:tc>
        <w:tc>
          <w:tcPr>
            <w:tcW w:w="986" w:type="dxa"/>
          </w:tcPr>
          <w:p w14:paraId="616113C1" w14:textId="77777777" w:rsidR="002A209E" w:rsidRPr="009077F5" w:rsidRDefault="002A209E" w:rsidP="004B0D48">
            <w:pPr>
              <w:pStyle w:val="KonuBal"/>
              <w:rPr>
                <w:sz w:val="24"/>
                <w:szCs w:val="24"/>
              </w:rPr>
            </w:pPr>
            <w:r w:rsidRPr="009077F5">
              <w:rPr>
                <w:sz w:val="24"/>
                <w:szCs w:val="24"/>
              </w:rPr>
              <w:t>Birim</w:t>
            </w:r>
          </w:p>
        </w:tc>
        <w:tc>
          <w:tcPr>
            <w:tcW w:w="3497" w:type="dxa"/>
          </w:tcPr>
          <w:p w14:paraId="643FAFA6" w14:textId="77777777" w:rsidR="002A209E" w:rsidRPr="009077F5" w:rsidRDefault="002A209E" w:rsidP="004B0D48">
            <w:pPr>
              <w:pStyle w:val="KonuBal"/>
              <w:rPr>
                <w:sz w:val="24"/>
                <w:szCs w:val="24"/>
              </w:rPr>
            </w:pPr>
            <w:r w:rsidRPr="009077F5">
              <w:rPr>
                <w:sz w:val="24"/>
                <w:szCs w:val="24"/>
              </w:rPr>
              <w:t>MET-İÇPS (Yıllık ortalama)</w:t>
            </w:r>
          </w:p>
        </w:tc>
      </w:tr>
      <w:tr w:rsidR="002A209E" w:rsidRPr="00D53A2B" w14:paraId="5C60B1E4" w14:textId="77777777" w:rsidTr="00065723">
        <w:tc>
          <w:tcPr>
            <w:tcW w:w="4447" w:type="dxa"/>
          </w:tcPr>
          <w:p w14:paraId="7E07D70D" w14:textId="35D05228" w:rsidR="002A209E" w:rsidRPr="009077F5" w:rsidRDefault="006A4B07" w:rsidP="004B0D48">
            <w:pPr>
              <w:pStyle w:val="KonuBal"/>
              <w:rPr>
                <w:sz w:val="24"/>
                <w:szCs w:val="24"/>
              </w:rPr>
            </w:pPr>
            <w:r w:rsidRPr="009077F5">
              <w:rPr>
                <w:sz w:val="24"/>
                <w:szCs w:val="24"/>
              </w:rPr>
              <w:t>Soğuk haddeleme sonrası tavlama (kesikli ve sürekli)</w:t>
            </w:r>
          </w:p>
        </w:tc>
        <w:tc>
          <w:tcPr>
            <w:tcW w:w="986" w:type="dxa"/>
          </w:tcPr>
          <w:p w14:paraId="0DD2156C" w14:textId="77777777" w:rsidR="002A209E" w:rsidRPr="009077F5" w:rsidRDefault="002A209E" w:rsidP="004B0D48">
            <w:pPr>
              <w:pStyle w:val="KonuBal"/>
              <w:rPr>
                <w:sz w:val="24"/>
                <w:szCs w:val="24"/>
              </w:rPr>
            </w:pPr>
            <w:r w:rsidRPr="009077F5">
              <w:rPr>
                <w:sz w:val="24"/>
                <w:szCs w:val="24"/>
              </w:rPr>
              <w:t>MJ/t</w:t>
            </w:r>
          </w:p>
        </w:tc>
        <w:tc>
          <w:tcPr>
            <w:tcW w:w="3497" w:type="dxa"/>
            <w:vAlign w:val="bottom"/>
          </w:tcPr>
          <w:p w14:paraId="4F8C81E9" w14:textId="1003DB18" w:rsidR="002A209E" w:rsidRPr="009077F5" w:rsidRDefault="006A4B07" w:rsidP="004B0D48">
            <w:pPr>
              <w:pStyle w:val="KonuBal"/>
              <w:rPr>
                <w:sz w:val="24"/>
                <w:szCs w:val="24"/>
              </w:rPr>
            </w:pPr>
            <w:r w:rsidRPr="009077F5">
              <w:rPr>
                <w:sz w:val="24"/>
                <w:szCs w:val="24"/>
              </w:rPr>
              <w:t>6</w:t>
            </w:r>
            <w:r w:rsidR="002A209E" w:rsidRPr="009077F5">
              <w:rPr>
                <w:sz w:val="24"/>
                <w:szCs w:val="24"/>
              </w:rPr>
              <w:t xml:space="preserve">00-1 </w:t>
            </w:r>
            <w:r w:rsidRPr="009077F5">
              <w:rPr>
                <w:sz w:val="24"/>
                <w:szCs w:val="24"/>
              </w:rPr>
              <w:t>2</w:t>
            </w:r>
            <w:r w:rsidR="002A209E" w:rsidRPr="009077F5">
              <w:rPr>
                <w:sz w:val="24"/>
                <w:szCs w:val="24"/>
              </w:rPr>
              <w:t>00 (</w:t>
            </w:r>
            <w:r w:rsidR="002A209E" w:rsidRPr="009077F5">
              <w:rPr>
                <w:sz w:val="24"/>
                <w:szCs w:val="24"/>
                <w:vertAlign w:val="superscript"/>
              </w:rPr>
              <w:t>1</w:t>
            </w:r>
            <w:r w:rsidR="002A209E" w:rsidRPr="009077F5">
              <w:rPr>
                <w:sz w:val="24"/>
                <w:szCs w:val="24"/>
              </w:rPr>
              <w:t>)</w:t>
            </w:r>
            <w:r w:rsidRPr="009077F5">
              <w:rPr>
                <w:sz w:val="24"/>
                <w:szCs w:val="24"/>
              </w:rPr>
              <w:t xml:space="preserve"> (</w:t>
            </w:r>
            <w:r w:rsidRPr="009077F5">
              <w:rPr>
                <w:sz w:val="24"/>
                <w:szCs w:val="24"/>
                <w:vertAlign w:val="superscript"/>
              </w:rPr>
              <w:t>2</w:t>
            </w:r>
            <w:r w:rsidRPr="009077F5">
              <w:rPr>
                <w:sz w:val="24"/>
                <w:szCs w:val="24"/>
              </w:rPr>
              <w:t>)</w:t>
            </w:r>
          </w:p>
        </w:tc>
      </w:tr>
      <w:tr w:rsidR="002A209E" w:rsidRPr="00D53A2B" w14:paraId="5AAA1E5C" w14:textId="77777777" w:rsidTr="00065723">
        <w:tc>
          <w:tcPr>
            <w:tcW w:w="8930" w:type="dxa"/>
            <w:gridSpan w:val="3"/>
          </w:tcPr>
          <w:p w14:paraId="241FCADA" w14:textId="3FC6D550" w:rsidR="002A209E" w:rsidRPr="004B0D48" w:rsidRDefault="002A209E" w:rsidP="004B0D48">
            <w:pPr>
              <w:pStyle w:val="KonuBal"/>
            </w:pPr>
            <w:r w:rsidRPr="004B0D48">
              <w:t>(</w:t>
            </w:r>
            <w:r w:rsidRPr="004B0D48">
              <w:rPr>
                <w:vertAlign w:val="superscript"/>
              </w:rPr>
              <w:t>1</w:t>
            </w:r>
            <w:r w:rsidRPr="004B0D48">
              <w:t xml:space="preserve">) </w:t>
            </w:r>
            <w:r w:rsidR="006A4B07" w:rsidRPr="004B0D48">
              <w:t>Kesikli tavlama için MET-İÇPS aralığının alt ucu MET 11 (g) kullanılarak elde edilebilir.</w:t>
            </w:r>
          </w:p>
          <w:p w14:paraId="4384D9F3" w14:textId="2AE29942" w:rsidR="002A209E" w:rsidRPr="00D53A2B" w:rsidRDefault="002A209E" w:rsidP="004B0D48">
            <w:pPr>
              <w:pStyle w:val="KonuBal"/>
            </w:pPr>
            <w:r w:rsidRPr="004B0D48">
              <w:t>(</w:t>
            </w:r>
            <w:r w:rsidRPr="004B0D48">
              <w:rPr>
                <w:vertAlign w:val="superscript"/>
              </w:rPr>
              <w:t>2</w:t>
            </w:r>
            <w:r w:rsidRPr="004B0D48">
              <w:t xml:space="preserve">) </w:t>
            </w:r>
            <w:r w:rsidR="006A4B07" w:rsidRPr="004B0D48">
              <w:t>MET-İÇPS, 800°C</w:t>
            </w:r>
            <w:r w:rsidR="00E56504" w:rsidRPr="004B0D48">
              <w:t>’</w:t>
            </w:r>
            <w:r w:rsidR="006A4B07" w:rsidRPr="00800D11">
              <w:t>nin üzerinde tavlama sıcaklığı gerektiren sürekli tavlama hatları için daha yüksek olabilir.</w:t>
            </w:r>
          </w:p>
        </w:tc>
      </w:tr>
    </w:tbl>
    <w:p w14:paraId="7682CD71" w14:textId="77777777" w:rsidR="00DB0482" w:rsidRPr="00D53A2B" w:rsidRDefault="00DB0482" w:rsidP="00A202FD">
      <w:pPr>
        <w:jc w:val="both"/>
        <w:rPr>
          <w:rFonts w:eastAsia="Calibri"/>
          <w:lang w:eastAsia="en-US"/>
        </w:rPr>
      </w:pPr>
    </w:p>
    <w:p w14:paraId="24E01689" w14:textId="0CDBE80A" w:rsidR="005F0E3A" w:rsidRPr="00D53A2B" w:rsidRDefault="00460954" w:rsidP="00A202FD">
      <w:pPr>
        <w:jc w:val="both"/>
        <w:rPr>
          <w:rFonts w:eastAsia="Calibri"/>
          <w:lang w:eastAsia="en-US"/>
        </w:rPr>
      </w:pPr>
      <w:r w:rsidRPr="00D53A2B">
        <w:rPr>
          <w:rFonts w:eastAsia="Calibri"/>
          <w:lang w:eastAsia="en-US"/>
        </w:rPr>
        <w:t xml:space="preserve">Tablo </w:t>
      </w:r>
      <w:r w:rsidR="00B31B5F" w:rsidRPr="00D53A2B">
        <w:rPr>
          <w:rFonts w:eastAsia="Calibri"/>
          <w:lang w:eastAsia="en-US"/>
        </w:rPr>
        <w:t>1</w:t>
      </w:r>
      <w:r w:rsidRPr="00D53A2B">
        <w:rPr>
          <w:rFonts w:eastAsia="Calibri"/>
          <w:lang w:eastAsia="en-US"/>
        </w:rPr>
        <w:t>.3</w:t>
      </w:r>
    </w:p>
    <w:p w14:paraId="7D2E3441" w14:textId="43CD56C4" w:rsidR="002A209E" w:rsidRPr="00D53A2B" w:rsidRDefault="00460954" w:rsidP="00A202FD">
      <w:pPr>
        <w:jc w:val="both"/>
        <w:rPr>
          <w:rFonts w:eastAsia="Calibri"/>
          <w:lang w:eastAsia="en-US"/>
        </w:rPr>
      </w:pPr>
      <w:r w:rsidRPr="00D53A2B">
        <w:rPr>
          <w:rFonts w:eastAsia="Calibri"/>
          <w:lang w:eastAsia="en-US"/>
        </w:rPr>
        <w:t>Sıcak daldırma kaplamadan önce hammadde ısıtmasının spesifik enerji tüketimi için MET-ilişkili çevresel performans seviyeleri (MET-İÇPS)</w:t>
      </w:r>
    </w:p>
    <w:tbl>
      <w:tblPr>
        <w:tblStyle w:val="TabloKlavuzu"/>
        <w:tblW w:w="8930" w:type="dxa"/>
        <w:tblInd w:w="279" w:type="dxa"/>
        <w:tblLook w:val="04A0" w:firstRow="1" w:lastRow="0" w:firstColumn="1" w:lastColumn="0" w:noHBand="0" w:noVBand="1"/>
      </w:tblPr>
      <w:tblGrid>
        <w:gridCol w:w="4448"/>
        <w:gridCol w:w="986"/>
        <w:gridCol w:w="3496"/>
      </w:tblGrid>
      <w:tr w:rsidR="00460954" w:rsidRPr="00D53A2B" w14:paraId="062DD9EA" w14:textId="77777777" w:rsidTr="00065723">
        <w:tc>
          <w:tcPr>
            <w:tcW w:w="4448" w:type="dxa"/>
          </w:tcPr>
          <w:p w14:paraId="08776F00" w14:textId="77777777" w:rsidR="00460954" w:rsidRPr="009077F5" w:rsidRDefault="00460954" w:rsidP="004B0D48">
            <w:pPr>
              <w:pStyle w:val="KonuBal"/>
              <w:rPr>
                <w:sz w:val="24"/>
                <w:szCs w:val="24"/>
              </w:rPr>
            </w:pPr>
            <w:r w:rsidRPr="009077F5">
              <w:rPr>
                <w:sz w:val="24"/>
                <w:szCs w:val="24"/>
              </w:rPr>
              <w:t>Spesifik proses(ler)</w:t>
            </w:r>
          </w:p>
        </w:tc>
        <w:tc>
          <w:tcPr>
            <w:tcW w:w="986" w:type="dxa"/>
          </w:tcPr>
          <w:p w14:paraId="68EA02E1" w14:textId="77777777" w:rsidR="00460954" w:rsidRPr="009077F5" w:rsidRDefault="00460954" w:rsidP="004B0D48">
            <w:pPr>
              <w:pStyle w:val="KonuBal"/>
              <w:rPr>
                <w:sz w:val="24"/>
                <w:szCs w:val="24"/>
              </w:rPr>
            </w:pPr>
            <w:r w:rsidRPr="009077F5">
              <w:rPr>
                <w:sz w:val="24"/>
                <w:szCs w:val="24"/>
              </w:rPr>
              <w:t>Birim</w:t>
            </w:r>
          </w:p>
        </w:tc>
        <w:tc>
          <w:tcPr>
            <w:tcW w:w="3496" w:type="dxa"/>
          </w:tcPr>
          <w:p w14:paraId="747D4E32" w14:textId="77777777" w:rsidR="00460954" w:rsidRPr="009077F5" w:rsidRDefault="00460954" w:rsidP="004B0D48">
            <w:pPr>
              <w:pStyle w:val="KonuBal"/>
              <w:rPr>
                <w:sz w:val="24"/>
                <w:szCs w:val="24"/>
              </w:rPr>
            </w:pPr>
            <w:r w:rsidRPr="009077F5">
              <w:rPr>
                <w:sz w:val="24"/>
                <w:szCs w:val="24"/>
              </w:rPr>
              <w:t>MET-İÇPS (Yıllık ortalama)</w:t>
            </w:r>
          </w:p>
        </w:tc>
      </w:tr>
      <w:tr w:rsidR="00460954" w:rsidRPr="00D53A2B" w14:paraId="14BB12F4" w14:textId="77777777" w:rsidTr="00065723">
        <w:tc>
          <w:tcPr>
            <w:tcW w:w="4448" w:type="dxa"/>
          </w:tcPr>
          <w:p w14:paraId="280DA254" w14:textId="5FD92483" w:rsidR="00460954" w:rsidRPr="009077F5" w:rsidRDefault="00460954" w:rsidP="004B0D48">
            <w:pPr>
              <w:pStyle w:val="KonuBal"/>
              <w:rPr>
                <w:sz w:val="24"/>
                <w:szCs w:val="24"/>
              </w:rPr>
            </w:pPr>
            <w:r w:rsidRPr="009077F5">
              <w:rPr>
                <w:sz w:val="24"/>
                <w:szCs w:val="24"/>
              </w:rPr>
              <w:t>Sıcak daldırma kaplamadan önce hammadde ısıtması</w:t>
            </w:r>
          </w:p>
        </w:tc>
        <w:tc>
          <w:tcPr>
            <w:tcW w:w="986" w:type="dxa"/>
          </w:tcPr>
          <w:p w14:paraId="2E192C76" w14:textId="77777777" w:rsidR="00460954" w:rsidRPr="009077F5" w:rsidRDefault="00460954" w:rsidP="004B0D48">
            <w:pPr>
              <w:pStyle w:val="KonuBal"/>
              <w:rPr>
                <w:sz w:val="24"/>
                <w:szCs w:val="24"/>
              </w:rPr>
            </w:pPr>
            <w:r w:rsidRPr="009077F5">
              <w:rPr>
                <w:sz w:val="24"/>
                <w:szCs w:val="24"/>
              </w:rPr>
              <w:t>MJ/t</w:t>
            </w:r>
          </w:p>
        </w:tc>
        <w:tc>
          <w:tcPr>
            <w:tcW w:w="3496" w:type="dxa"/>
            <w:vAlign w:val="bottom"/>
          </w:tcPr>
          <w:p w14:paraId="16CB6A56" w14:textId="1AEE4F72" w:rsidR="00460954" w:rsidRPr="009077F5" w:rsidRDefault="00460954" w:rsidP="004B0D48">
            <w:pPr>
              <w:pStyle w:val="KonuBal"/>
              <w:rPr>
                <w:sz w:val="24"/>
                <w:szCs w:val="24"/>
              </w:rPr>
            </w:pPr>
            <w:r w:rsidRPr="009077F5">
              <w:rPr>
                <w:sz w:val="24"/>
                <w:szCs w:val="24"/>
              </w:rPr>
              <w:t>700-1 000 (</w:t>
            </w:r>
            <w:r w:rsidRPr="009077F5">
              <w:rPr>
                <w:sz w:val="24"/>
                <w:szCs w:val="24"/>
                <w:vertAlign w:val="superscript"/>
              </w:rPr>
              <w:t>1</w:t>
            </w:r>
            <w:r w:rsidRPr="009077F5">
              <w:rPr>
                <w:sz w:val="24"/>
                <w:szCs w:val="24"/>
              </w:rPr>
              <w:t>)</w:t>
            </w:r>
          </w:p>
        </w:tc>
      </w:tr>
      <w:tr w:rsidR="00460954" w:rsidRPr="00D53A2B" w14:paraId="6AD85794" w14:textId="77777777" w:rsidTr="00065723">
        <w:tc>
          <w:tcPr>
            <w:tcW w:w="8930" w:type="dxa"/>
            <w:gridSpan w:val="3"/>
          </w:tcPr>
          <w:p w14:paraId="1C14F3C4" w14:textId="6D2E7232" w:rsidR="00460954" w:rsidRPr="004B0D48" w:rsidRDefault="00460954" w:rsidP="004B0D48">
            <w:pPr>
              <w:pStyle w:val="KonuBal"/>
            </w:pPr>
            <w:r w:rsidRPr="004B0D48">
              <w:t>(</w:t>
            </w:r>
            <w:r w:rsidRPr="004B0D48">
              <w:rPr>
                <w:vertAlign w:val="superscript"/>
              </w:rPr>
              <w:t>1</w:t>
            </w:r>
            <w:r w:rsidRPr="004B0D48">
              <w:t>) MET-İÇPS, 800°C</w:t>
            </w:r>
            <w:r w:rsidR="00E56504" w:rsidRPr="004B0D48">
              <w:t>’</w:t>
            </w:r>
            <w:r w:rsidRPr="004B0D48">
              <w:t>nin üzerinde tavlama sıcaklığı gerektiren sürekli tavlama hatları için daha yüksek olabilir.</w:t>
            </w:r>
          </w:p>
        </w:tc>
      </w:tr>
    </w:tbl>
    <w:p w14:paraId="099ACBEC" w14:textId="77777777" w:rsidR="00847A59" w:rsidRPr="00D53A2B" w:rsidRDefault="00847A59" w:rsidP="00A202FD">
      <w:pPr>
        <w:jc w:val="both"/>
        <w:rPr>
          <w:rFonts w:eastAsia="Calibri"/>
          <w:lang w:eastAsia="en-US"/>
        </w:rPr>
      </w:pPr>
    </w:p>
    <w:p w14:paraId="6FD3DB83" w14:textId="6B61848C" w:rsidR="005F0E3A" w:rsidRPr="00D53A2B" w:rsidRDefault="00847A59" w:rsidP="00A202FD">
      <w:pPr>
        <w:jc w:val="both"/>
        <w:rPr>
          <w:rFonts w:eastAsia="Calibri"/>
          <w:lang w:eastAsia="en-US"/>
        </w:rPr>
      </w:pPr>
      <w:r w:rsidRPr="00D53A2B">
        <w:rPr>
          <w:rFonts w:eastAsia="Calibri"/>
          <w:lang w:eastAsia="en-US"/>
        </w:rPr>
        <w:t xml:space="preserve">Tablo </w:t>
      </w:r>
      <w:r w:rsidR="00B31B5F" w:rsidRPr="00D53A2B">
        <w:rPr>
          <w:rFonts w:eastAsia="Calibri"/>
          <w:lang w:eastAsia="en-US"/>
        </w:rPr>
        <w:t>1</w:t>
      </w:r>
      <w:r w:rsidRPr="00D53A2B">
        <w:rPr>
          <w:rFonts w:eastAsia="Calibri"/>
          <w:lang w:eastAsia="en-US"/>
        </w:rPr>
        <w:t>.4</w:t>
      </w:r>
    </w:p>
    <w:p w14:paraId="78168787" w14:textId="2D993178" w:rsidR="0071694E" w:rsidRPr="00D53A2B" w:rsidRDefault="00847A59" w:rsidP="00A202FD">
      <w:pPr>
        <w:jc w:val="both"/>
        <w:rPr>
          <w:rFonts w:eastAsia="Calibri"/>
          <w:lang w:eastAsia="en-US"/>
        </w:rPr>
      </w:pPr>
      <w:r w:rsidRPr="00D53A2B">
        <w:rPr>
          <w:rFonts w:eastAsia="Calibri"/>
          <w:lang w:eastAsia="en-US"/>
        </w:rPr>
        <w:t>Kesikli galvanizlemede spesifik enerji tüketimi için MET-ilişkili çevresel performans seviyeleri (MET-İÇPS)</w:t>
      </w:r>
    </w:p>
    <w:tbl>
      <w:tblPr>
        <w:tblStyle w:val="TabloKlavuzu"/>
        <w:tblW w:w="8930" w:type="dxa"/>
        <w:tblInd w:w="279" w:type="dxa"/>
        <w:tblLook w:val="04A0" w:firstRow="1" w:lastRow="0" w:firstColumn="1" w:lastColumn="0" w:noHBand="0" w:noVBand="1"/>
      </w:tblPr>
      <w:tblGrid>
        <w:gridCol w:w="4450"/>
        <w:gridCol w:w="985"/>
        <w:gridCol w:w="3495"/>
      </w:tblGrid>
      <w:tr w:rsidR="00847A59" w:rsidRPr="00D53A2B" w14:paraId="6DFACFC6" w14:textId="77777777" w:rsidTr="00065723">
        <w:tc>
          <w:tcPr>
            <w:tcW w:w="4450" w:type="dxa"/>
          </w:tcPr>
          <w:p w14:paraId="48C6987F" w14:textId="77777777" w:rsidR="00847A59" w:rsidRPr="00D53A2B" w:rsidRDefault="00847A59" w:rsidP="004B0D48">
            <w:pPr>
              <w:pStyle w:val="KonuBal"/>
            </w:pPr>
            <w:r w:rsidRPr="00D53A2B">
              <w:t>Spesifik proses(ler)</w:t>
            </w:r>
          </w:p>
        </w:tc>
        <w:tc>
          <w:tcPr>
            <w:tcW w:w="985" w:type="dxa"/>
          </w:tcPr>
          <w:p w14:paraId="05D52119" w14:textId="77777777" w:rsidR="00847A59" w:rsidRPr="00D53A2B" w:rsidRDefault="00847A59" w:rsidP="004B0D48">
            <w:pPr>
              <w:pStyle w:val="KonuBal"/>
            </w:pPr>
            <w:r w:rsidRPr="00D53A2B">
              <w:t>Birim</w:t>
            </w:r>
          </w:p>
        </w:tc>
        <w:tc>
          <w:tcPr>
            <w:tcW w:w="3495" w:type="dxa"/>
          </w:tcPr>
          <w:p w14:paraId="5C637134" w14:textId="77777777" w:rsidR="00847A59" w:rsidRPr="00D53A2B" w:rsidRDefault="00847A59" w:rsidP="00E73DA3">
            <w:pPr>
              <w:pStyle w:val="KonuBal"/>
            </w:pPr>
            <w:r w:rsidRPr="00D53A2B">
              <w:t>MET-İÇPS (Yıllık ortalama)</w:t>
            </w:r>
          </w:p>
        </w:tc>
      </w:tr>
      <w:tr w:rsidR="00847A59" w:rsidRPr="00D53A2B" w14:paraId="34996A3A" w14:textId="77777777" w:rsidTr="00065723">
        <w:tc>
          <w:tcPr>
            <w:tcW w:w="4450" w:type="dxa"/>
          </w:tcPr>
          <w:p w14:paraId="4A01D0BF" w14:textId="430845B1" w:rsidR="00847A59" w:rsidRPr="00D53A2B" w:rsidRDefault="00847A59" w:rsidP="004B0D48">
            <w:pPr>
              <w:pStyle w:val="KonuBal"/>
            </w:pPr>
            <w:r w:rsidRPr="00D53A2B">
              <w:t>Kesikli galvanizleme</w:t>
            </w:r>
          </w:p>
        </w:tc>
        <w:tc>
          <w:tcPr>
            <w:tcW w:w="985" w:type="dxa"/>
          </w:tcPr>
          <w:p w14:paraId="42B205EE" w14:textId="0C5EF873" w:rsidR="00847A59" w:rsidRPr="00D53A2B" w:rsidRDefault="00847A59" w:rsidP="004B0D48">
            <w:pPr>
              <w:pStyle w:val="KonuBal"/>
            </w:pPr>
            <w:r w:rsidRPr="00D53A2B">
              <w:t>kWh/t</w:t>
            </w:r>
          </w:p>
        </w:tc>
        <w:tc>
          <w:tcPr>
            <w:tcW w:w="3495" w:type="dxa"/>
            <w:vAlign w:val="bottom"/>
          </w:tcPr>
          <w:p w14:paraId="429A4D6F" w14:textId="61841077" w:rsidR="00847A59" w:rsidRPr="00D53A2B" w:rsidRDefault="00847A59" w:rsidP="00E73DA3">
            <w:pPr>
              <w:pStyle w:val="KonuBal"/>
            </w:pPr>
            <w:r w:rsidRPr="00D53A2B">
              <w:t>300-800 (</w:t>
            </w:r>
            <w:r w:rsidRPr="00D53A2B">
              <w:rPr>
                <w:vertAlign w:val="superscript"/>
              </w:rPr>
              <w:t>1</w:t>
            </w:r>
            <w:r w:rsidRPr="00D53A2B">
              <w:t>) (</w:t>
            </w:r>
            <w:r w:rsidRPr="00D53A2B">
              <w:rPr>
                <w:vertAlign w:val="superscript"/>
              </w:rPr>
              <w:t>2</w:t>
            </w:r>
            <w:r w:rsidRPr="00D53A2B">
              <w:t>) (</w:t>
            </w:r>
            <w:r w:rsidRPr="00D53A2B">
              <w:rPr>
                <w:vertAlign w:val="superscript"/>
              </w:rPr>
              <w:t>3</w:t>
            </w:r>
            <w:r w:rsidRPr="00D53A2B">
              <w:t>)</w:t>
            </w:r>
          </w:p>
        </w:tc>
      </w:tr>
      <w:tr w:rsidR="00847A59" w:rsidRPr="00D53A2B" w14:paraId="45FF28D0" w14:textId="77777777" w:rsidTr="00065723">
        <w:tc>
          <w:tcPr>
            <w:tcW w:w="8930" w:type="dxa"/>
            <w:gridSpan w:val="3"/>
          </w:tcPr>
          <w:p w14:paraId="59E7A72A" w14:textId="0A5E7874" w:rsidR="00847A59" w:rsidRPr="004B0D48" w:rsidRDefault="00847A59" w:rsidP="004B0D48">
            <w:pPr>
              <w:pStyle w:val="KonuBal"/>
            </w:pPr>
            <w:r w:rsidRPr="004B0D48">
              <w:t>(</w:t>
            </w:r>
            <w:r w:rsidRPr="004B0D48">
              <w:rPr>
                <w:vertAlign w:val="superscript"/>
              </w:rPr>
              <w:t>1</w:t>
            </w:r>
            <w:r w:rsidRPr="004B0D48">
              <w:t>) MET-İÇPS aralığının yüksek değeri, fazla çinkoyu uzaklaştırmak için santrifüj kullanıldığında ve/veya galvaniz banyosu sıcaklığı 500 °C</w:t>
            </w:r>
            <w:r w:rsidR="00E56504" w:rsidRPr="004B0D48">
              <w:t>’</w:t>
            </w:r>
            <w:r w:rsidRPr="004B0D48">
              <w:t>den yüksek olduğunda daha yüksek olabilir.</w:t>
            </w:r>
          </w:p>
          <w:p w14:paraId="0565090A" w14:textId="6668FD0C" w:rsidR="00847A59" w:rsidRPr="009077F5" w:rsidRDefault="00847A59" w:rsidP="00A202FD">
            <w:pPr>
              <w:jc w:val="both"/>
              <w:rPr>
                <w:sz w:val="20"/>
                <w:szCs w:val="20"/>
                <w:lang w:val="en-US" w:eastAsia="en-US"/>
              </w:rPr>
            </w:pPr>
            <w:r w:rsidRPr="009077F5">
              <w:rPr>
                <w:sz w:val="20"/>
                <w:szCs w:val="20"/>
                <w:lang w:val="en-US" w:eastAsia="en-US"/>
              </w:rPr>
              <w:t xml:space="preserve">(2) </w:t>
            </w:r>
            <w:r w:rsidRPr="009077F5">
              <w:rPr>
                <w:rFonts w:eastAsia="Calibri"/>
                <w:sz w:val="20"/>
                <w:szCs w:val="20"/>
                <w:lang w:eastAsia="en-US"/>
              </w:rPr>
              <w:t>MET-İÇPS</w:t>
            </w:r>
            <w:r w:rsidRPr="009077F5">
              <w:rPr>
                <w:sz w:val="20"/>
                <w:szCs w:val="20"/>
                <w:lang w:val="en-US" w:eastAsia="en-US"/>
              </w:rPr>
              <w:t xml:space="preserve"> </w:t>
            </w:r>
            <w:r w:rsidR="00E56504" w:rsidRPr="009077F5">
              <w:rPr>
                <w:sz w:val="20"/>
                <w:szCs w:val="20"/>
                <w:lang w:val="en-US" w:eastAsia="en-US"/>
              </w:rPr>
              <w:t>‘</w:t>
            </w:r>
            <w:r w:rsidRPr="009077F5">
              <w:rPr>
                <w:sz w:val="20"/>
                <w:szCs w:val="20"/>
                <w:lang w:val="en-US" w:eastAsia="en-US"/>
              </w:rPr>
              <w:t>nin üst sınırı daha yüksek olabilir ve 150 t/m3 kazan hacminin altında yıllık ortalama üretim verimiyle çalışan kesikli galvanizleme tesisleri için 1 200 kWh/t</w:t>
            </w:r>
            <w:r w:rsidR="00E56504" w:rsidRPr="009077F5">
              <w:rPr>
                <w:sz w:val="20"/>
                <w:szCs w:val="20"/>
                <w:lang w:val="en-US" w:eastAsia="en-US"/>
              </w:rPr>
              <w:t>’</w:t>
            </w:r>
            <w:r w:rsidRPr="009077F5">
              <w:rPr>
                <w:sz w:val="20"/>
                <w:szCs w:val="20"/>
                <w:lang w:val="en-US" w:eastAsia="en-US"/>
              </w:rPr>
              <w:t>ye kadar çıkabilir.</w:t>
            </w:r>
          </w:p>
          <w:p w14:paraId="7C8CF0CF" w14:textId="4F02527E" w:rsidR="00847A59" w:rsidRPr="009077F5" w:rsidRDefault="00847A59" w:rsidP="00A202FD">
            <w:pPr>
              <w:jc w:val="both"/>
              <w:rPr>
                <w:sz w:val="20"/>
                <w:szCs w:val="20"/>
                <w:lang w:val="en-US" w:eastAsia="en-US"/>
              </w:rPr>
            </w:pPr>
            <w:r w:rsidRPr="009077F5">
              <w:rPr>
                <w:sz w:val="20"/>
                <w:szCs w:val="20"/>
                <w:lang w:val="en-US" w:eastAsia="en-US"/>
              </w:rPr>
              <w:t xml:space="preserve">(3) Ağırlıklı olarak ince ürünler (örn. &lt; 1,5 mm) üreten kesikli galvanizleme tesisleri söz konusu olduğunda, </w:t>
            </w:r>
            <w:r w:rsidRPr="009077F5">
              <w:rPr>
                <w:rFonts w:eastAsia="Calibri"/>
                <w:sz w:val="20"/>
                <w:szCs w:val="20"/>
                <w:lang w:eastAsia="en-US"/>
              </w:rPr>
              <w:t>MET-İÇPS</w:t>
            </w:r>
            <w:r w:rsidRPr="009077F5">
              <w:rPr>
                <w:sz w:val="20"/>
                <w:szCs w:val="20"/>
                <w:lang w:val="en-US" w:eastAsia="en-US"/>
              </w:rPr>
              <w:t xml:space="preserve"> aralığının üst sınırı daha yüksek olabilir ve 1 000 kWh/t</w:t>
            </w:r>
            <w:r w:rsidR="00E56504" w:rsidRPr="009077F5">
              <w:rPr>
                <w:sz w:val="20"/>
                <w:szCs w:val="20"/>
                <w:lang w:val="en-US" w:eastAsia="en-US"/>
              </w:rPr>
              <w:t>’</w:t>
            </w:r>
            <w:r w:rsidRPr="009077F5">
              <w:rPr>
                <w:sz w:val="20"/>
                <w:szCs w:val="20"/>
                <w:lang w:val="en-US" w:eastAsia="en-US"/>
              </w:rPr>
              <w:t>ye kadar çıkabilir.</w:t>
            </w:r>
          </w:p>
        </w:tc>
      </w:tr>
    </w:tbl>
    <w:p w14:paraId="135A3D08" w14:textId="6E6CD521" w:rsidR="0071694E" w:rsidRPr="00D53A2B" w:rsidRDefault="0071694E" w:rsidP="00A202FD">
      <w:pPr>
        <w:jc w:val="both"/>
        <w:rPr>
          <w:rFonts w:eastAsia="Calibri"/>
          <w:lang w:eastAsia="en-US"/>
        </w:rPr>
      </w:pPr>
    </w:p>
    <w:p w14:paraId="60393332" w14:textId="1BF1655E" w:rsidR="00160A6B" w:rsidRPr="00D53A2B" w:rsidRDefault="00847A59" w:rsidP="00A202FD">
      <w:pPr>
        <w:jc w:val="both"/>
        <w:rPr>
          <w:rFonts w:eastAsia="Calibri"/>
          <w:lang w:eastAsia="en-US"/>
        </w:rPr>
      </w:pPr>
      <w:r w:rsidRPr="00D53A2B">
        <w:rPr>
          <w:rFonts w:eastAsia="Calibri"/>
          <w:lang w:eastAsia="en-US"/>
        </w:rPr>
        <w:t>İlgili izleme MET 6</w:t>
      </w:r>
      <w:r w:rsidR="00E56504" w:rsidRPr="00D53A2B">
        <w:rPr>
          <w:rFonts w:eastAsia="Calibri"/>
          <w:lang w:eastAsia="en-US"/>
        </w:rPr>
        <w:t>’</w:t>
      </w:r>
      <w:r w:rsidRPr="00D53A2B">
        <w:rPr>
          <w:rFonts w:eastAsia="Calibri"/>
          <w:lang w:eastAsia="en-US"/>
        </w:rPr>
        <w:t>da verilmiştir.</w:t>
      </w:r>
    </w:p>
    <w:p w14:paraId="4C5E6C08" w14:textId="77777777" w:rsidR="00160A6B" w:rsidRPr="00D53A2B" w:rsidRDefault="00160A6B" w:rsidP="00A202FD">
      <w:pPr>
        <w:jc w:val="both"/>
        <w:rPr>
          <w:rFonts w:eastAsia="Calibri"/>
          <w:lang w:eastAsia="en-US"/>
        </w:rPr>
      </w:pPr>
    </w:p>
    <w:p w14:paraId="4729E101" w14:textId="1726E28D" w:rsidR="00847A59" w:rsidRPr="00D53A2B" w:rsidRDefault="00816D19" w:rsidP="00A202FD">
      <w:pPr>
        <w:pStyle w:val="Balk3"/>
        <w:rPr>
          <w:rFonts w:eastAsia="Calibri" w:cs="Times New Roman"/>
          <w:lang w:eastAsia="en-US"/>
        </w:rPr>
      </w:pPr>
      <w:r w:rsidRPr="00D53A2B">
        <w:rPr>
          <w:rFonts w:eastAsia="Calibri" w:cs="Times New Roman"/>
          <w:lang w:eastAsia="en-US"/>
        </w:rPr>
        <w:t>1.1</w:t>
      </w:r>
      <w:r w:rsidR="00847A59" w:rsidRPr="00D53A2B">
        <w:rPr>
          <w:rFonts w:eastAsia="Calibri" w:cs="Times New Roman"/>
          <w:lang w:eastAsia="en-US"/>
        </w:rPr>
        <w:t>.5. Malzeme verimliliği</w:t>
      </w:r>
    </w:p>
    <w:p w14:paraId="189963E5" w14:textId="69D6D07D" w:rsidR="00847A59" w:rsidRPr="00D53A2B" w:rsidRDefault="00847A59" w:rsidP="00A202FD">
      <w:pPr>
        <w:pStyle w:val="MET"/>
        <w:rPr>
          <w:rFonts w:eastAsia="Calibri"/>
          <w:szCs w:val="24"/>
        </w:rPr>
      </w:pPr>
      <w:r w:rsidRPr="00D53A2B">
        <w:rPr>
          <w:rFonts w:eastAsia="Calibri"/>
          <w:szCs w:val="24"/>
        </w:rPr>
        <w:t xml:space="preserve">MET 12: </w:t>
      </w:r>
      <w:r w:rsidRPr="00D53A2B">
        <w:rPr>
          <w:rFonts w:eastAsia="Calibri"/>
          <w:b w:val="0"/>
          <w:bCs/>
          <w:szCs w:val="24"/>
        </w:rPr>
        <w:t>Yağ gidermede malzeme verimliliğini artırmak ve kullanılmış yağ giderme çözeltisi oluşumunu azaltmak için aşağıda verilen tekniklerin bir kombinasyonunu kullan</w:t>
      </w:r>
      <w:r w:rsidR="00DB0482" w:rsidRPr="00D53A2B">
        <w:rPr>
          <w:rFonts w:eastAsia="Calibri"/>
          <w:b w:val="0"/>
          <w:bCs/>
          <w:szCs w:val="24"/>
        </w:rPr>
        <w:t>ılır</w:t>
      </w:r>
      <w:r w:rsidRPr="00D53A2B">
        <w:rPr>
          <w:rFonts w:eastAsia="Calibri"/>
          <w:b w:val="0"/>
          <w:bCs/>
          <w:szCs w:val="24"/>
        </w:rPr>
        <w:t>.</w:t>
      </w:r>
    </w:p>
    <w:p w14:paraId="63FC2266" w14:textId="77777777" w:rsidR="00847A59" w:rsidRPr="00D53A2B" w:rsidRDefault="00847A59" w:rsidP="00A202FD">
      <w:pPr>
        <w:jc w:val="both"/>
        <w:rPr>
          <w:rFonts w:eastAsia="Calibri"/>
          <w:lang w:eastAsia="en-US"/>
        </w:rPr>
      </w:pPr>
    </w:p>
    <w:tbl>
      <w:tblPr>
        <w:tblStyle w:val="TabloKlavuzu"/>
        <w:tblW w:w="9072" w:type="dxa"/>
        <w:tblInd w:w="137" w:type="dxa"/>
        <w:tblLayout w:type="fixed"/>
        <w:tblLook w:val="04A0" w:firstRow="1" w:lastRow="0" w:firstColumn="1" w:lastColumn="0" w:noHBand="0" w:noVBand="1"/>
      </w:tblPr>
      <w:tblGrid>
        <w:gridCol w:w="567"/>
        <w:gridCol w:w="1843"/>
        <w:gridCol w:w="4252"/>
        <w:gridCol w:w="2410"/>
      </w:tblGrid>
      <w:tr w:rsidR="00A34ACB" w:rsidRPr="00D53A2B" w14:paraId="27B09445" w14:textId="77777777" w:rsidTr="00065723">
        <w:tc>
          <w:tcPr>
            <w:tcW w:w="2410" w:type="dxa"/>
            <w:gridSpan w:val="2"/>
          </w:tcPr>
          <w:p w14:paraId="50A38FA8" w14:textId="77777777" w:rsidR="00CD6F66" w:rsidRPr="00D53A2B" w:rsidRDefault="00CD6F66" w:rsidP="004B0D48">
            <w:pPr>
              <w:pStyle w:val="KonuBal"/>
            </w:pPr>
            <w:r w:rsidRPr="00D53A2B">
              <w:t>Teknik</w:t>
            </w:r>
          </w:p>
        </w:tc>
        <w:tc>
          <w:tcPr>
            <w:tcW w:w="4252" w:type="dxa"/>
          </w:tcPr>
          <w:p w14:paraId="2DCB0B7B" w14:textId="77777777" w:rsidR="00CD6F66" w:rsidRPr="00D53A2B" w:rsidRDefault="00CD6F66" w:rsidP="004B0D48">
            <w:pPr>
              <w:pStyle w:val="KonuBal"/>
            </w:pPr>
            <w:r w:rsidRPr="00D53A2B">
              <w:t>Açıklama</w:t>
            </w:r>
          </w:p>
        </w:tc>
        <w:tc>
          <w:tcPr>
            <w:tcW w:w="2410" w:type="dxa"/>
          </w:tcPr>
          <w:p w14:paraId="6184334A" w14:textId="77777777" w:rsidR="00CD6F66" w:rsidRPr="00D53A2B" w:rsidRDefault="00CD6F66" w:rsidP="00E73DA3">
            <w:pPr>
              <w:pStyle w:val="KonuBal"/>
            </w:pPr>
            <w:r w:rsidRPr="00D53A2B">
              <w:t>Uygulanabilirlik</w:t>
            </w:r>
          </w:p>
        </w:tc>
      </w:tr>
      <w:tr w:rsidR="00CD6F66" w:rsidRPr="00D53A2B" w14:paraId="5698BA78" w14:textId="77777777" w:rsidTr="00065723">
        <w:tc>
          <w:tcPr>
            <w:tcW w:w="9072" w:type="dxa"/>
            <w:gridSpan w:val="4"/>
          </w:tcPr>
          <w:p w14:paraId="3C34F49B" w14:textId="37139760" w:rsidR="00CD6F66" w:rsidRPr="00D53A2B" w:rsidRDefault="00CD6F66" w:rsidP="004B0D48">
            <w:pPr>
              <w:pStyle w:val="KonuBal"/>
            </w:pPr>
            <w:r w:rsidRPr="00D53A2B">
              <w:t>Yağ giderme ihtiyacını önleme veya azaltma</w:t>
            </w:r>
          </w:p>
        </w:tc>
      </w:tr>
      <w:tr w:rsidR="00CD6F66" w:rsidRPr="00D53A2B" w14:paraId="51EC780E" w14:textId="77777777" w:rsidTr="00065723">
        <w:tc>
          <w:tcPr>
            <w:tcW w:w="567" w:type="dxa"/>
            <w:vAlign w:val="center"/>
          </w:tcPr>
          <w:p w14:paraId="3C367778" w14:textId="77777777" w:rsidR="00CD6F66" w:rsidRPr="00D53A2B" w:rsidRDefault="00CD6F66" w:rsidP="004B0D48">
            <w:pPr>
              <w:pStyle w:val="KonuBal"/>
            </w:pPr>
            <w:r w:rsidRPr="00D53A2B">
              <w:t>a.</w:t>
            </w:r>
          </w:p>
        </w:tc>
        <w:tc>
          <w:tcPr>
            <w:tcW w:w="1843" w:type="dxa"/>
            <w:vAlign w:val="center"/>
          </w:tcPr>
          <w:p w14:paraId="10920353" w14:textId="4A1F22E2" w:rsidR="00CD6F66" w:rsidRPr="00D53A2B" w:rsidRDefault="00CD6F66" w:rsidP="004B0D48">
            <w:pPr>
              <w:pStyle w:val="KonuBal"/>
            </w:pPr>
            <w:r w:rsidRPr="00D53A2B">
              <w:t>Düşük yağ ve gres kirliliğine sahip hammadde kullanımı</w:t>
            </w:r>
          </w:p>
        </w:tc>
        <w:tc>
          <w:tcPr>
            <w:tcW w:w="4252" w:type="dxa"/>
            <w:vAlign w:val="center"/>
          </w:tcPr>
          <w:p w14:paraId="119D28BF" w14:textId="10C6D8C0" w:rsidR="00CD6F66" w:rsidRPr="00D53A2B" w:rsidRDefault="00CD6F66" w:rsidP="00E73DA3">
            <w:pPr>
              <w:pStyle w:val="KonuBal"/>
            </w:pPr>
            <w:r w:rsidRPr="00D53A2B">
              <w:t>Düşük yağ ve gres kirliliğine sahip hammadde kullanımı, yağ giderme solüsyonunun kullanım ömrünü uzatır.</w:t>
            </w:r>
          </w:p>
        </w:tc>
        <w:tc>
          <w:tcPr>
            <w:tcW w:w="2410" w:type="dxa"/>
            <w:vAlign w:val="center"/>
          </w:tcPr>
          <w:p w14:paraId="5530F323" w14:textId="72BA4342" w:rsidR="00CD6F66" w:rsidRPr="00D53A2B" w:rsidRDefault="00CD6F66" w:rsidP="00BF4451">
            <w:pPr>
              <w:pStyle w:val="KonuBal"/>
            </w:pPr>
            <w:r w:rsidRPr="00D53A2B">
              <w:t>Hammadde kalitesi etkilenemiyorsa uygulanabilirlik sınırlı olabilir.</w:t>
            </w:r>
          </w:p>
        </w:tc>
      </w:tr>
      <w:tr w:rsidR="00CD6F66" w:rsidRPr="00D53A2B" w14:paraId="69D6B7E8" w14:textId="77777777" w:rsidTr="00065723">
        <w:tc>
          <w:tcPr>
            <w:tcW w:w="567" w:type="dxa"/>
            <w:vAlign w:val="center"/>
          </w:tcPr>
          <w:p w14:paraId="77C691F7" w14:textId="77777777" w:rsidR="00CD6F66" w:rsidRPr="00D53A2B" w:rsidRDefault="00CD6F66" w:rsidP="004B0D48">
            <w:pPr>
              <w:pStyle w:val="KonuBal"/>
            </w:pPr>
            <w:r w:rsidRPr="00D53A2B">
              <w:t>b.</w:t>
            </w:r>
          </w:p>
        </w:tc>
        <w:tc>
          <w:tcPr>
            <w:tcW w:w="1843" w:type="dxa"/>
            <w:vAlign w:val="center"/>
          </w:tcPr>
          <w:p w14:paraId="17DAAB9E" w14:textId="40127433" w:rsidR="00CD6F66" w:rsidRPr="00D53A2B" w:rsidRDefault="00CD6F66" w:rsidP="004B0D48">
            <w:pPr>
              <w:pStyle w:val="KonuBal"/>
            </w:pPr>
            <w:r w:rsidRPr="00D53A2B">
              <w:t xml:space="preserve">Levhaların sıcak daldırma ile </w:t>
            </w:r>
            <w:r w:rsidRPr="00D53A2B">
              <w:lastRenderedPageBreak/>
              <w:t>kaplanması durumunda doğrudan alevli fırın kullanımı</w:t>
            </w:r>
          </w:p>
        </w:tc>
        <w:tc>
          <w:tcPr>
            <w:tcW w:w="4252" w:type="dxa"/>
            <w:vAlign w:val="center"/>
          </w:tcPr>
          <w:p w14:paraId="468029DF" w14:textId="24AB67FD" w:rsidR="00CD6F66" w:rsidRPr="00D53A2B" w:rsidRDefault="00CD6F66" w:rsidP="00E73DA3">
            <w:pPr>
              <w:pStyle w:val="KonuBal"/>
            </w:pPr>
            <w:r w:rsidRPr="00D53A2B">
              <w:lastRenderedPageBreak/>
              <w:t xml:space="preserve">Levha yüzeyindeki yağ doğrudan alevli bir fırında yakılır. Bazı yüksek kaliteli ürünlerde </w:t>
            </w:r>
            <w:r w:rsidRPr="00D53A2B">
              <w:lastRenderedPageBreak/>
              <w:t>veya yüksek kalıntı yağ seviyesine sahip saclarda fırından önce yağdan arındırma gerekebilir.</w:t>
            </w:r>
          </w:p>
        </w:tc>
        <w:tc>
          <w:tcPr>
            <w:tcW w:w="2410" w:type="dxa"/>
            <w:vAlign w:val="center"/>
          </w:tcPr>
          <w:p w14:paraId="3DD32F9F" w14:textId="50D2BD65" w:rsidR="00CD6F66" w:rsidRPr="00D53A2B" w:rsidRDefault="00CD6F66" w:rsidP="00BF4451">
            <w:pPr>
              <w:pStyle w:val="KonuBal"/>
            </w:pPr>
            <w:r w:rsidRPr="00D53A2B">
              <w:lastRenderedPageBreak/>
              <w:t xml:space="preserve">Çok yüksek düzeyde yüzey temizliği ve çinko </w:t>
            </w:r>
            <w:r w:rsidRPr="00D53A2B">
              <w:lastRenderedPageBreak/>
              <w:t>yapışması gerekiyorsa uygulanabilirlik sınırlı olabilir.</w:t>
            </w:r>
          </w:p>
        </w:tc>
      </w:tr>
      <w:tr w:rsidR="00CD6F66" w:rsidRPr="00D53A2B" w14:paraId="3A96483A" w14:textId="77777777" w:rsidTr="00065723">
        <w:tc>
          <w:tcPr>
            <w:tcW w:w="9072" w:type="dxa"/>
            <w:gridSpan w:val="4"/>
            <w:vAlign w:val="center"/>
          </w:tcPr>
          <w:p w14:paraId="3CAC571A" w14:textId="14C88BF4" w:rsidR="00CD6F66" w:rsidRPr="00D53A2B" w:rsidRDefault="00CD6F66" w:rsidP="004B0D48">
            <w:pPr>
              <w:pStyle w:val="KonuBal"/>
            </w:pPr>
            <w:r w:rsidRPr="00D53A2B">
              <w:t>Yağ giderme optimizasyonu</w:t>
            </w:r>
          </w:p>
        </w:tc>
      </w:tr>
      <w:tr w:rsidR="00CD6F66" w:rsidRPr="00D53A2B" w14:paraId="43342A22" w14:textId="77777777" w:rsidTr="00065723">
        <w:tc>
          <w:tcPr>
            <w:tcW w:w="567" w:type="dxa"/>
            <w:vAlign w:val="center"/>
          </w:tcPr>
          <w:p w14:paraId="325DB35C" w14:textId="469DDBC8" w:rsidR="00CD6F66" w:rsidRPr="00D53A2B" w:rsidRDefault="00CD6F66" w:rsidP="004B0D48">
            <w:pPr>
              <w:pStyle w:val="KonuBal"/>
            </w:pPr>
            <w:r w:rsidRPr="00D53A2B">
              <w:t>c.</w:t>
            </w:r>
          </w:p>
        </w:tc>
        <w:tc>
          <w:tcPr>
            <w:tcW w:w="1843" w:type="dxa"/>
            <w:vAlign w:val="center"/>
          </w:tcPr>
          <w:p w14:paraId="4FB6A58A" w14:textId="3448DA37" w:rsidR="00CD6F66" w:rsidRPr="00D53A2B" w:rsidRDefault="00CD6F66" w:rsidP="004B0D48">
            <w:pPr>
              <w:pStyle w:val="KonuBal"/>
            </w:pPr>
            <w:r w:rsidRPr="00D53A2B">
              <w:t>Yağ giderme verimliliğini artırmak için genel teknikler</w:t>
            </w:r>
          </w:p>
        </w:tc>
        <w:tc>
          <w:tcPr>
            <w:tcW w:w="4252" w:type="dxa"/>
            <w:vAlign w:val="center"/>
          </w:tcPr>
          <w:p w14:paraId="53D27CDC" w14:textId="77777777" w:rsidR="00CD6F66" w:rsidRPr="00D53A2B" w:rsidRDefault="00CD6F66" w:rsidP="00E73DA3">
            <w:pPr>
              <w:pStyle w:val="KonuBal"/>
            </w:pPr>
            <w:r w:rsidRPr="00D53A2B">
              <w:t>Aşağıdaki gibi teknikleri içerir:</w:t>
            </w:r>
          </w:p>
          <w:p w14:paraId="273FEC19" w14:textId="77777777" w:rsidR="00CD6F66" w:rsidRPr="00D53A2B" w:rsidRDefault="00CD6F66" w:rsidP="00602365">
            <w:pPr>
              <w:pStyle w:val="ListeParagraf"/>
              <w:numPr>
                <w:ilvl w:val="0"/>
                <w:numId w:val="143"/>
              </w:numPr>
              <w:tabs>
                <w:tab w:val="clear" w:pos="567"/>
              </w:tabs>
              <w:ind w:left="315" w:hanging="284"/>
            </w:pPr>
            <w:r w:rsidRPr="00D53A2B">
              <w:t>Yağ giderme çözeltisindeki yağ giderme maddelerinin sıcaklığının ve konsantrasyonunun izlenmesi ve optimize edilmesi;</w:t>
            </w:r>
          </w:p>
          <w:p w14:paraId="2CF98629" w14:textId="2041842B" w:rsidR="00CD6F66" w:rsidRPr="00D53A2B" w:rsidRDefault="00CD6F66" w:rsidP="00602365">
            <w:pPr>
              <w:pStyle w:val="ListeParagraf"/>
              <w:numPr>
                <w:ilvl w:val="0"/>
                <w:numId w:val="143"/>
              </w:numPr>
              <w:tabs>
                <w:tab w:val="clear" w:pos="567"/>
              </w:tabs>
              <w:ind w:left="315" w:hanging="284"/>
            </w:pPr>
            <w:r w:rsidRPr="00D53A2B">
              <w:t>Yağ giderme çözeltisinin hammadde üzerindeki etkisinin artırılması (örneğin hammaddeyi hareket ettirerek, yağ giderme çözeltisini çalkalayarak veya yağ giderilecek yüzeyde çözeltinin kavitasyonunu oluşturmak için ultrason kullanarak).</w:t>
            </w:r>
          </w:p>
        </w:tc>
        <w:tc>
          <w:tcPr>
            <w:tcW w:w="2410" w:type="dxa"/>
            <w:vAlign w:val="center"/>
          </w:tcPr>
          <w:p w14:paraId="7B9CA35D" w14:textId="3A4C4FCD" w:rsidR="00CD6F66" w:rsidRPr="00D53A2B" w:rsidRDefault="00CD6F66" w:rsidP="004B0D48">
            <w:pPr>
              <w:pStyle w:val="KonuBal"/>
            </w:pPr>
            <w:r w:rsidRPr="00D53A2B">
              <w:t>Genel olarak uygulanabilir.</w:t>
            </w:r>
          </w:p>
        </w:tc>
      </w:tr>
      <w:tr w:rsidR="00CD6F66" w:rsidRPr="00D53A2B" w14:paraId="05A3AAAC" w14:textId="77777777" w:rsidTr="00065723">
        <w:tc>
          <w:tcPr>
            <w:tcW w:w="567" w:type="dxa"/>
            <w:vAlign w:val="center"/>
          </w:tcPr>
          <w:p w14:paraId="4341443A" w14:textId="7D1E1385" w:rsidR="00CD6F66" w:rsidRPr="00D53A2B" w:rsidRDefault="00CD6F66" w:rsidP="004B0D48">
            <w:pPr>
              <w:pStyle w:val="KonuBal"/>
            </w:pPr>
            <w:r w:rsidRPr="00D53A2B">
              <w:t>d.</w:t>
            </w:r>
          </w:p>
        </w:tc>
        <w:tc>
          <w:tcPr>
            <w:tcW w:w="1843" w:type="dxa"/>
            <w:vAlign w:val="center"/>
          </w:tcPr>
          <w:p w14:paraId="39E331CC" w14:textId="3E0AE388" w:rsidR="00CD6F66" w:rsidRPr="00D53A2B" w:rsidRDefault="00CD6F66" w:rsidP="00A202FD">
            <w:pPr>
              <w:jc w:val="both"/>
              <w:rPr>
                <w:rFonts w:eastAsia="Calibri"/>
                <w:sz w:val="22"/>
                <w:szCs w:val="22"/>
                <w:lang w:eastAsia="en-US"/>
              </w:rPr>
            </w:pPr>
            <w:r w:rsidRPr="00D53A2B">
              <w:rPr>
                <w:rFonts w:eastAsia="Calibri"/>
                <w:sz w:val="22"/>
                <w:szCs w:val="22"/>
                <w:lang w:eastAsia="en-US"/>
              </w:rPr>
              <w:t>Yağ giderme çözeltisinin sürüklenmesinin en aza indirilmesi</w:t>
            </w:r>
          </w:p>
        </w:tc>
        <w:tc>
          <w:tcPr>
            <w:tcW w:w="4252" w:type="dxa"/>
            <w:vAlign w:val="center"/>
          </w:tcPr>
          <w:p w14:paraId="07FAE6FB" w14:textId="77777777" w:rsidR="00CD6F66" w:rsidRPr="00D53A2B" w:rsidRDefault="00CD6F66" w:rsidP="004B0D48">
            <w:pPr>
              <w:pStyle w:val="KonuBal"/>
            </w:pPr>
            <w:r w:rsidRPr="00D53A2B">
              <w:t>Aşağıdaki gibi teknikleri içerir:</w:t>
            </w:r>
          </w:p>
          <w:p w14:paraId="3F7BE2DB" w14:textId="7DA3EA64" w:rsidR="00CD6F66" w:rsidRPr="00D53A2B" w:rsidRDefault="00CD6F66" w:rsidP="00602365">
            <w:pPr>
              <w:pStyle w:val="ListeParagraf"/>
              <w:numPr>
                <w:ilvl w:val="0"/>
                <w:numId w:val="143"/>
              </w:numPr>
              <w:tabs>
                <w:tab w:val="clear" w:pos="567"/>
              </w:tabs>
              <w:ind w:left="315" w:hanging="284"/>
            </w:pPr>
            <w:r w:rsidRPr="00D53A2B">
              <w:t>Sıkma ruloları kullanarak, örneğin şeridin sürekli yağdan arındırılması durumunda;</w:t>
            </w:r>
          </w:p>
          <w:p w14:paraId="5BFA38F2" w14:textId="7DAB8794" w:rsidR="00CD6F66" w:rsidRPr="00D53A2B" w:rsidRDefault="00CD6F66" w:rsidP="00602365">
            <w:pPr>
              <w:pStyle w:val="ListeParagraf"/>
              <w:numPr>
                <w:ilvl w:val="0"/>
                <w:numId w:val="143"/>
              </w:numPr>
              <w:tabs>
                <w:tab w:val="clear" w:pos="567"/>
              </w:tabs>
              <w:ind w:left="315" w:hanging="284"/>
            </w:pPr>
            <w:r w:rsidRPr="00D53A2B">
              <w:t>Örneğin iş parçalarının yavaşça kaldırılmasıyla yeterli bir damlama süresine izin verilmesi.</w:t>
            </w:r>
          </w:p>
        </w:tc>
        <w:tc>
          <w:tcPr>
            <w:tcW w:w="2410" w:type="dxa"/>
            <w:vAlign w:val="center"/>
          </w:tcPr>
          <w:p w14:paraId="296793F3" w14:textId="77777777" w:rsidR="00CD6F66" w:rsidRPr="00D53A2B" w:rsidRDefault="00CD6F66" w:rsidP="004B0D48">
            <w:pPr>
              <w:pStyle w:val="KonuBal"/>
            </w:pPr>
            <w:r w:rsidRPr="00D53A2B">
              <w:t>Genel olarak uygulanabilir.</w:t>
            </w:r>
          </w:p>
        </w:tc>
      </w:tr>
      <w:tr w:rsidR="00CD6F66" w:rsidRPr="00D53A2B" w14:paraId="233CED74" w14:textId="77777777" w:rsidTr="00065723">
        <w:tc>
          <w:tcPr>
            <w:tcW w:w="567" w:type="dxa"/>
            <w:vAlign w:val="center"/>
          </w:tcPr>
          <w:p w14:paraId="72D73058" w14:textId="35C8E1CF" w:rsidR="00CD6F66" w:rsidRPr="00D53A2B" w:rsidRDefault="00CD6F66" w:rsidP="004B0D48">
            <w:pPr>
              <w:pStyle w:val="KonuBal"/>
            </w:pPr>
            <w:r w:rsidRPr="00D53A2B">
              <w:t>e.</w:t>
            </w:r>
          </w:p>
        </w:tc>
        <w:tc>
          <w:tcPr>
            <w:tcW w:w="1843" w:type="dxa"/>
            <w:vAlign w:val="center"/>
          </w:tcPr>
          <w:p w14:paraId="44669216" w14:textId="4B2F4FF1" w:rsidR="00CD6F66" w:rsidRPr="00D53A2B" w:rsidRDefault="00CD6F66" w:rsidP="00A202FD">
            <w:pPr>
              <w:jc w:val="both"/>
              <w:rPr>
                <w:rFonts w:eastAsia="Calibri"/>
                <w:sz w:val="22"/>
                <w:szCs w:val="22"/>
                <w:lang w:eastAsia="en-US"/>
              </w:rPr>
            </w:pPr>
            <w:r w:rsidRPr="00D53A2B">
              <w:rPr>
                <w:rFonts w:eastAsia="Calibri"/>
                <w:sz w:val="22"/>
                <w:szCs w:val="22"/>
                <w:lang w:eastAsia="en-US"/>
              </w:rPr>
              <w:t>Ters kademeli yağ giderme</w:t>
            </w:r>
          </w:p>
        </w:tc>
        <w:tc>
          <w:tcPr>
            <w:tcW w:w="4252" w:type="dxa"/>
            <w:vAlign w:val="center"/>
          </w:tcPr>
          <w:p w14:paraId="2FC9E7D9" w14:textId="41CD0ADF" w:rsidR="00CD6F66" w:rsidRPr="00D53A2B" w:rsidRDefault="00CD6F66" w:rsidP="00A202FD">
            <w:pPr>
              <w:jc w:val="both"/>
              <w:rPr>
                <w:sz w:val="22"/>
                <w:szCs w:val="22"/>
                <w:lang w:val="en-US" w:eastAsia="en-US"/>
              </w:rPr>
            </w:pPr>
            <w:r w:rsidRPr="00D53A2B">
              <w:rPr>
                <w:rFonts w:eastAsia="Calibri"/>
                <w:spacing w:val="2"/>
                <w:sz w:val="22"/>
                <w:szCs w:val="22"/>
                <w:lang w:val="en-US" w:eastAsia="en-US"/>
              </w:rPr>
              <w:t>Yağ giderme işlemi, hammaddenin en kirli yağ giderme banyosundan en temizine doğru hareket ettirildiği seri halindeki iki veya daha fazla banyoda gerçekleştirilir.</w:t>
            </w:r>
          </w:p>
        </w:tc>
        <w:tc>
          <w:tcPr>
            <w:tcW w:w="2410" w:type="dxa"/>
            <w:vAlign w:val="center"/>
          </w:tcPr>
          <w:p w14:paraId="6FD0403A" w14:textId="0973C71D" w:rsidR="00CD6F66" w:rsidRPr="00D53A2B" w:rsidRDefault="00CD6F66" w:rsidP="004B0D48">
            <w:pPr>
              <w:pStyle w:val="KonuBal"/>
            </w:pPr>
            <w:r w:rsidRPr="00D53A2B">
              <w:t>Genel olarak uygulanabilir.</w:t>
            </w:r>
          </w:p>
        </w:tc>
      </w:tr>
      <w:tr w:rsidR="00CD6F66" w:rsidRPr="00D53A2B" w14:paraId="5AAC6484" w14:textId="77777777" w:rsidTr="00065723">
        <w:tc>
          <w:tcPr>
            <w:tcW w:w="9072" w:type="dxa"/>
            <w:gridSpan w:val="4"/>
            <w:vAlign w:val="center"/>
          </w:tcPr>
          <w:p w14:paraId="7F682DA7" w14:textId="07F55A6A" w:rsidR="00CD6F66" w:rsidRPr="00D53A2B" w:rsidRDefault="00CD6F66" w:rsidP="004B0D48">
            <w:pPr>
              <w:pStyle w:val="KonuBal"/>
            </w:pPr>
            <w:r w:rsidRPr="00D53A2B">
              <w:t>Yağ alma banyolarının kullanım ömrünün uzatılması</w:t>
            </w:r>
          </w:p>
        </w:tc>
      </w:tr>
      <w:tr w:rsidR="00CD6F66" w:rsidRPr="00D53A2B" w14:paraId="71B83A5C" w14:textId="77777777" w:rsidTr="00065723">
        <w:tc>
          <w:tcPr>
            <w:tcW w:w="567" w:type="dxa"/>
            <w:vAlign w:val="center"/>
          </w:tcPr>
          <w:p w14:paraId="736E42B2" w14:textId="3DCAE912" w:rsidR="00CD6F66" w:rsidRPr="00D53A2B" w:rsidRDefault="00CD6F66" w:rsidP="004B0D48">
            <w:pPr>
              <w:pStyle w:val="KonuBal"/>
            </w:pPr>
            <w:r w:rsidRPr="00D53A2B">
              <w:t>f.</w:t>
            </w:r>
          </w:p>
        </w:tc>
        <w:tc>
          <w:tcPr>
            <w:tcW w:w="1843" w:type="dxa"/>
            <w:vAlign w:val="center"/>
          </w:tcPr>
          <w:p w14:paraId="68019269" w14:textId="63D6718D" w:rsidR="00CD6F66" w:rsidRPr="00D53A2B" w:rsidRDefault="00CD6F66" w:rsidP="00A202FD">
            <w:pPr>
              <w:jc w:val="both"/>
              <w:rPr>
                <w:rFonts w:eastAsia="Calibri"/>
                <w:sz w:val="22"/>
                <w:szCs w:val="22"/>
                <w:lang w:eastAsia="en-US"/>
              </w:rPr>
            </w:pPr>
            <w:r w:rsidRPr="00D53A2B">
              <w:rPr>
                <w:rFonts w:eastAsia="Calibri"/>
                <w:sz w:val="22"/>
                <w:szCs w:val="22"/>
                <w:lang w:eastAsia="en-US"/>
              </w:rPr>
              <w:t>Yağ giderme solüsyonunun temizlenmesi ve yeniden kullanımı</w:t>
            </w:r>
          </w:p>
        </w:tc>
        <w:tc>
          <w:tcPr>
            <w:tcW w:w="4252" w:type="dxa"/>
            <w:vAlign w:val="center"/>
          </w:tcPr>
          <w:p w14:paraId="1F5AA7C7" w14:textId="1D016407" w:rsidR="00CD6F66" w:rsidRPr="00D53A2B" w:rsidRDefault="00CD6F66" w:rsidP="004B0D48">
            <w:pPr>
              <w:pStyle w:val="KonuBal"/>
            </w:pPr>
            <w:r w:rsidRPr="00D53A2B">
              <w:t>Yağ giderme solüsyonunu yeniden kullanım için temizlemek amacıyla manyetik ayırma, yağ ayırma (örn. sıyırıcılar, boşaltma havuzları, savaklar), mikro veya ultrafiltrasyon veya biyolojik arıtma kullanılır.</w:t>
            </w:r>
          </w:p>
        </w:tc>
        <w:tc>
          <w:tcPr>
            <w:tcW w:w="2410" w:type="dxa"/>
            <w:vAlign w:val="center"/>
          </w:tcPr>
          <w:p w14:paraId="73E34AC4" w14:textId="5455AE23" w:rsidR="00CD6F66" w:rsidRPr="00D53A2B" w:rsidRDefault="00CD6F66" w:rsidP="004B0D48">
            <w:pPr>
              <w:pStyle w:val="KonuBal"/>
            </w:pPr>
            <w:r w:rsidRPr="00D53A2B">
              <w:t>Genel olarak uygulanabilir.</w:t>
            </w:r>
          </w:p>
        </w:tc>
      </w:tr>
    </w:tbl>
    <w:p w14:paraId="29CB5D97" w14:textId="77777777" w:rsidR="00847A59" w:rsidRPr="00D53A2B" w:rsidRDefault="00847A59" w:rsidP="00A202FD">
      <w:pPr>
        <w:jc w:val="both"/>
        <w:rPr>
          <w:rFonts w:eastAsia="Calibri"/>
          <w:lang w:eastAsia="en-US"/>
        </w:rPr>
      </w:pPr>
    </w:p>
    <w:p w14:paraId="12D4F154" w14:textId="439C5728" w:rsidR="00847A59" w:rsidRPr="00D53A2B" w:rsidRDefault="004C15D5" w:rsidP="00A202FD">
      <w:pPr>
        <w:pStyle w:val="MET"/>
        <w:rPr>
          <w:rFonts w:eastAsia="Calibri"/>
          <w:szCs w:val="24"/>
        </w:rPr>
      </w:pPr>
      <w:r w:rsidRPr="00D53A2B">
        <w:rPr>
          <w:rFonts w:eastAsia="Calibri"/>
          <w:szCs w:val="24"/>
        </w:rPr>
        <w:t xml:space="preserve">MET 13: </w:t>
      </w:r>
      <w:r w:rsidR="00A34ACB" w:rsidRPr="00D53A2B">
        <w:rPr>
          <w:rFonts w:eastAsia="Calibri"/>
          <w:b w:val="0"/>
          <w:bCs/>
          <w:szCs w:val="24"/>
        </w:rPr>
        <w:t>Asitlemede malzeme verimliliğini artırmak ve dekapaj asidi ısıtıldığında kullanılmış dekapaj asidi oluşumunu azaltmak için, aşağıda verilen tekniklerden biri</w:t>
      </w:r>
      <w:r w:rsidR="00DB0482" w:rsidRPr="00D53A2B">
        <w:rPr>
          <w:rFonts w:eastAsia="Calibri"/>
          <w:b w:val="0"/>
          <w:bCs/>
          <w:szCs w:val="24"/>
        </w:rPr>
        <w:t xml:space="preserve"> kullanılabilir</w:t>
      </w:r>
      <w:r w:rsidR="00A34ACB" w:rsidRPr="00D53A2B">
        <w:rPr>
          <w:rFonts w:eastAsia="Calibri"/>
          <w:b w:val="0"/>
          <w:bCs/>
          <w:szCs w:val="24"/>
        </w:rPr>
        <w:t xml:space="preserve"> ve doğrudan buhar enjeksiyonu kullan</w:t>
      </w:r>
      <w:r w:rsidR="00DB0482" w:rsidRPr="00D53A2B">
        <w:rPr>
          <w:rFonts w:eastAsia="Calibri"/>
          <w:b w:val="0"/>
          <w:bCs/>
          <w:szCs w:val="24"/>
        </w:rPr>
        <w:t>ılabilir</w:t>
      </w:r>
      <w:r w:rsidR="00A34ACB" w:rsidRPr="00D53A2B">
        <w:rPr>
          <w:rFonts w:eastAsia="Calibri"/>
          <w:b w:val="0"/>
          <w:bCs/>
          <w:szCs w:val="24"/>
        </w:rPr>
        <w:t>.</w:t>
      </w:r>
    </w:p>
    <w:p w14:paraId="09BA83D0" w14:textId="77777777" w:rsidR="00847A59" w:rsidRPr="00D53A2B" w:rsidRDefault="00847A59" w:rsidP="00A202FD">
      <w:pPr>
        <w:jc w:val="both"/>
        <w:rPr>
          <w:rFonts w:eastAsia="Calibri"/>
          <w:lang w:eastAsia="en-US"/>
        </w:rPr>
      </w:pPr>
    </w:p>
    <w:tbl>
      <w:tblPr>
        <w:tblStyle w:val="TabloKlavuzu"/>
        <w:tblW w:w="9209" w:type="dxa"/>
        <w:tblLook w:val="04A0" w:firstRow="1" w:lastRow="0" w:firstColumn="1" w:lastColumn="0" w:noHBand="0" w:noVBand="1"/>
      </w:tblPr>
      <w:tblGrid>
        <w:gridCol w:w="544"/>
        <w:gridCol w:w="2932"/>
        <w:gridCol w:w="5733"/>
      </w:tblGrid>
      <w:tr w:rsidR="00805B1E" w:rsidRPr="00D53A2B" w14:paraId="425E8EA4" w14:textId="77777777" w:rsidTr="00065723">
        <w:tc>
          <w:tcPr>
            <w:tcW w:w="3476" w:type="dxa"/>
            <w:gridSpan w:val="2"/>
          </w:tcPr>
          <w:p w14:paraId="185132A0" w14:textId="34C1A769" w:rsidR="00805B1E" w:rsidRPr="00D53A2B" w:rsidRDefault="00805B1E" w:rsidP="00A202FD">
            <w:pPr>
              <w:jc w:val="both"/>
              <w:rPr>
                <w:rFonts w:eastAsia="Calibri"/>
                <w:sz w:val="22"/>
                <w:szCs w:val="22"/>
                <w:lang w:eastAsia="en-US"/>
              </w:rPr>
            </w:pPr>
            <w:r w:rsidRPr="00D53A2B">
              <w:rPr>
                <w:rFonts w:eastAsia="Calibri"/>
                <w:b/>
                <w:bCs/>
                <w:sz w:val="22"/>
                <w:szCs w:val="22"/>
                <w:lang w:eastAsia="en-US"/>
              </w:rPr>
              <w:t>Teknik</w:t>
            </w:r>
          </w:p>
        </w:tc>
        <w:tc>
          <w:tcPr>
            <w:tcW w:w="5733" w:type="dxa"/>
          </w:tcPr>
          <w:p w14:paraId="7E0FE203" w14:textId="14829E00" w:rsidR="00805B1E" w:rsidRPr="00D53A2B" w:rsidRDefault="00805B1E" w:rsidP="00A202FD">
            <w:pPr>
              <w:jc w:val="both"/>
              <w:rPr>
                <w:rFonts w:eastAsia="Calibri"/>
                <w:b/>
                <w:bCs/>
                <w:sz w:val="22"/>
                <w:szCs w:val="22"/>
                <w:lang w:eastAsia="en-US"/>
              </w:rPr>
            </w:pPr>
            <w:r w:rsidRPr="00D53A2B">
              <w:rPr>
                <w:rFonts w:eastAsia="Calibri"/>
                <w:b/>
                <w:bCs/>
                <w:sz w:val="22"/>
                <w:szCs w:val="22"/>
                <w:lang w:eastAsia="en-US"/>
              </w:rPr>
              <w:t>Açıklama</w:t>
            </w:r>
          </w:p>
        </w:tc>
      </w:tr>
      <w:tr w:rsidR="00805B1E" w:rsidRPr="00D53A2B" w14:paraId="2BDA4AC6" w14:textId="77777777" w:rsidTr="00065723">
        <w:tc>
          <w:tcPr>
            <w:tcW w:w="544" w:type="dxa"/>
          </w:tcPr>
          <w:p w14:paraId="409305AA" w14:textId="794D830D" w:rsidR="00805B1E" w:rsidRPr="00D53A2B" w:rsidRDefault="00805B1E" w:rsidP="00A202FD">
            <w:pPr>
              <w:jc w:val="both"/>
              <w:rPr>
                <w:rFonts w:eastAsia="Calibri"/>
                <w:sz w:val="22"/>
                <w:szCs w:val="22"/>
                <w:lang w:eastAsia="en-US"/>
              </w:rPr>
            </w:pPr>
            <w:r w:rsidRPr="00D53A2B">
              <w:rPr>
                <w:rFonts w:eastAsia="Calibri"/>
                <w:sz w:val="22"/>
                <w:szCs w:val="22"/>
                <w:lang w:eastAsia="en-US"/>
              </w:rPr>
              <w:t>a.</w:t>
            </w:r>
          </w:p>
        </w:tc>
        <w:tc>
          <w:tcPr>
            <w:tcW w:w="2932" w:type="dxa"/>
          </w:tcPr>
          <w:p w14:paraId="634D2DA9" w14:textId="5E76666F" w:rsidR="00805B1E" w:rsidRPr="00D53A2B" w:rsidRDefault="00805B1E" w:rsidP="00A202FD">
            <w:pPr>
              <w:jc w:val="both"/>
              <w:rPr>
                <w:rFonts w:eastAsia="Calibri"/>
                <w:sz w:val="22"/>
                <w:szCs w:val="22"/>
                <w:lang w:eastAsia="en-US"/>
              </w:rPr>
            </w:pPr>
            <w:r w:rsidRPr="00D53A2B">
              <w:rPr>
                <w:rFonts w:eastAsia="Calibri"/>
                <w:sz w:val="22"/>
                <w:szCs w:val="22"/>
                <w:lang w:eastAsia="en-US"/>
              </w:rPr>
              <w:t>Isı eşanjörleri ile asit ısıtma</w:t>
            </w:r>
          </w:p>
        </w:tc>
        <w:tc>
          <w:tcPr>
            <w:tcW w:w="5733" w:type="dxa"/>
          </w:tcPr>
          <w:p w14:paraId="22DDA39C" w14:textId="1D869A31" w:rsidR="00805B1E" w:rsidRPr="00D53A2B" w:rsidRDefault="00805B1E" w:rsidP="00A202FD">
            <w:pPr>
              <w:jc w:val="both"/>
              <w:rPr>
                <w:rFonts w:eastAsia="Calibri"/>
                <w:sz w:val="22"/>
                <w:szCs w:val="22"/>
                <w:lang w:eastAsia="en-US"/>
              </w:rPr>
            </w:pPr>
            <w:r w:rsidRPr="00D53A2B">
              <w:rPr>
                <w:rFonts w:eastAsia="Calibri"/>
                <w:sz w:val="22"/>
                <w:szCs w:val="22"/>
                <w:lang w:eastAsia="en-US"/>
              </w:rPr>
              <w:t>Korozyona dayanıklı ısı eşanjörleri, örneğin buharla dolaylı ısıtma için dekapaj asidine daldırılır.</w:t>
            </w:r>
          </w:p>
        </w:tc>
      </w:tr>
      <w:tr w:rsidR="00805B1E" w:rsidRPr="00D53A2B" w14:paraId="2863BDE1" w14:textId="77777777" w:rsidTr="00065723">
        <w:tc>
          <w:tcPr>
            <w:tcW w:w="544" w:type="dxa"/>
          </w:tcPr>
          <w:p w14:paraId="7073631F" w14:textId="58C48162" w:rsidR="00805B1E" w:rsidRPr="00D53A2B" w:rsidRDefault="00805B1E" w:rsidP="00A202FD">
            <w:pPr>
              <w:jc w:val="both"/>
              <w:rPr>
                <w:rFonts w:eastAsia="Calibri"/>
                <w:sz w:val="22"/>
                <w:szCs w:val="22"/>
                <w:lang w:eastAsia="en-US"/>
              </w:rPr>
            </w:pPr>
            <w:r w:rsidRPr="00D53A2B">
              <w:rPr>
                <w:rFonts w:eastAsia="Calibri"/>
                <w:sz w:val="22"/>
                <w:szCs w:val="22"/>
                <w:lang w:eastAsia="en-US"/>
              </w:rPr>
              <w:t>b.</w:t>
            </w:r>
          </w:p>
        </w:tc>
        <w:tc>
          <w:tcPr>
            <w:tcW w:w="2932" w:type="dxa"/>
          </w:tcPr>
          <w:p w14:paraId="15AE8A42" w14:textId="21B30A62" w:rsidR="00805B1E" w:rsidRPr="00D53A2B" w:rsidRDefault="00805B1E" w:rsidP="00A202FD">
            <w:pPr>
              <w:jc w:val="both"/>
              <w:rPr>
                <w:rFonts w:eastAsia="Calibri"/>
                <w:sz w:val="22"/>
                <w:szCs w:val="22"/>
                <w:lang w:eastAsia="en-US"/>
              </w:rPr>
            </w:pPr>
            <w:r w:rsidRPr="00D53A2B">
              <w:rPr>
                <w:rFonts w:eastAsia="Calibri"/>
                <w:sz w:val="22"/>
                <w:szCs w:val="22"/>
                <w:lang w:eastAsia="en-US"/>
              </w:rPr>
              <w:t>Daldırılmış yanma ile asit ısıtma</w:t>
            </w:r>
          </w:p>
        </w:tc>
        <w:tc>
          <w:tcPr>
            <w:tcW w:w="5733" w:type="dxa"/>
          </w:tcPr>
          <w:p w14:paraId="63FAD254" w14:textId="2A50BD50" w:rsidR="00805B1E" w:rsidRPr="00D53A2B" w:rsidRDefault="00805B1E" w:rsidP="00A202FD">
            <w:pPr>
              <w:jc w:val="both"/>
              <w:rPr>
                <w:rFonts w:eastAsia="Calibri"/>
                <w:sz w:val="22"/>
                <w:szCs w:val="22"/>
                <w:lang w:eastAsia="en-US"/>
              </w:rPr>
            </w:pPr>
            <w:r w:rsidRPr="00D53A2B">
              <w:rPr>
                <w:rFonts w:eastAsia="Calibri"/>
                <w:sz w:val="22"/>
                <w:szCs w:val="22"/>
                <w:lang w:eastAsia="en-US"/>
              </w:rPr>
              <w:t>Yanma gazları dekapaj asidinden geçerek doğrudan ısı transferi yoluyla enerjiyi serbest bırakır.</w:t>
            </w:r>
          </w:p>
        </w:tc>
      </w:tr>
    </w:tbl>
    <w:p w14:paraId="0FF8528B" w14:textId="77777777" w:rsidR="00847A59" w:rsidRPr="00D53A2B" w:rsidRDefault="00847A59" w:rsidP="00A202FD">
      <w:pPr>
        <w:jc w:val="both"/>
        <w:rPr>
          <w:rFonts w:eastAsia="Calibri"/>
          <w:lang w:eastAsia="en-US"/>
        </w:rPr>
      </w:pPr>
    </w:p>
    <w:p w14:paraId="415627A9" w14:textId="0FABCA32" w:rsidR="0071694E" w:rsidRPr="00D53A2B" w:rsidRDefault="00805B1E" w:rsidP="00A202FD">
      <w:pPr>
        <w:pStyle w:val="MET"/>
        <w:rPr>
          <w:rFonts w:eastAsia="Calibri"/>
          <w:szCs w:val="24"/>
        </w:rPr>
      </w:pPr>
      <w:r w:rsidRPr="00D53A2B">
        <w:rPr>
          <w:rFonts w:eastAsia="Calibri"/>
          <w:szCs w:val="24"/>
        </w:rPr>
        <w:t xml:space="preserve">MET 14: </w:t>
      </w:r>
      <w:r w:rsidRPr="00D53A2B">
        <w:rPr>
          <w:rFonts w:eastAsia="Calibri"/>
          <w:b w:val="0"/>
          <w:bCs/>
          <w:szCs w:val="24"/>
        </w:rPr>
        <w:t>Asitlemede malzeme verimliliğini artırmak ve kullanılmış dekapaj asidi oluşumunu azaltmak için, aşağıda verilen tekniklerin uygun bir kombinasyonunu kullanmaktır.</w:t>
      </w:r>
    </w:p>
    <w:p w14:paraId="68C790B7" w14:textId="77777777"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567"/>
        <w:gridCol w:w="1843"/>
        <w:gridCol w:w="4252"/>
        <w:gridCol w:w="2268"/>
      </w:tblGrid>
      <w:tr w:rsidR="00180174" w:rsidRPr="00D53A2B" w14:paraId="4231EBDD" w14:textId="77777777" w:rsidTr="00065723">
        <w:tc>
          <w:tcPr>
            <w:tcW w:w="2410" w:type="dxa"/>
            <w:gridSpan w:val="2"/>
          </w:tcPr>
          <w:p w14:paraId="070D776E" w14:textId="77777777" w:rsidR="00180174" w:rsidRPr="00D53A2B" w:rsidRDefault="00180174" w:rsidP="004B0D48">
            <w:pPr>
              <w:pStyle w:val="KonuBal"/>
            </w:pPr>
            <w:r w:rsidRPr="00D53A2B">
              <w:t>Teknik</w:t>
            </w:r>
          </w:p>
        </w:tc>
        <w:tc>
          <w:tcPr>
            <w:tcW w:w="4252" w:type="dxa"/>
          </w:tcPr>
          <w:p w14:paraId="2AAB760D" w14:textId="77777777" w:rsidR="00180174" w:rsidRPr="00D53A2B" w:rsidRDefault="00180174" w:rsidP="004B0D48">
            <w:pPr>
              <w:pStyle w:val="KonuBal"/>
            </w:pPr>
            <w:r w:rsidRPr="00D53A2B">
              <w:t>Açıklama</w:t>
            </w:r>
          </w:p>
        </w:tc>
        <w:tc>
          <w:tcPr>
            <w:tcW w:w="2268" w:type="dxa"/>
          </w:tcPr>
          <w:p w14:paraId="0EDCA851" w14:textId="77777777" w:rsidR="00180174" w:rsidRPr="00D53A2B" w:rsidRDefault="00180174" w:rsidP="00E73DA3">
            <w:pPr>
              <w:pStyle w:val="KonuBal"/>
            </w:pPr>
            <w:r w:rsidRPr="00D53A2B">
              <w:t>Uygulanabilirlik</w:t>
            </w:r>
          </w:p>
        </w:tc>
      </w:tr>
      <w:tr w:rsidR="00180174" w:rsidRPr="00D53A2B" w14:paraId="777BAA54" w14:textId="77777777" w:rsidTr="00065723">
        <w:tc>
          <w:tcPr>
            <w:tcW w:w="8930" w:type="dxa"/>
            <w:gridSpan w:val="4"/>
          </w:tcPr>
          <w:p w14:paraId="10325F38" w14:textId="09121FBE" w:rsidR="00180174" w:rsidRPr="00D53A2B" w:rsidRDefault="00180174" w:rsidP="004B0D48">
            <w:pPr>
              <w:pStyle w:val="KonuBal"/>
            </w:pPr>
            <w:r w:rsidRPr="00D53A2B">
              <w:t>Dekapaj  ihtiyacını önleme veya azaltma</w:t>
            </w:r>
          </w:p>
        </w:tc>
      </w:tr>
      <w:tr w:rsidR="00180174" w:rsidRPr="00D53A2B" w14:paraId="5B34EB41" w14:textId="77777777" w:rsidTr="00065723">
        <w:tc>
          <w:tcPr>
            <w:tcW w:w="567" w:type="dxa"/>
            <w:vAlign w:val="center"/>
          </w:tcPr>
          <w:p w14:paraId="5E424130" w14:textId="77777777" w:rsidR="00180174" w:rsidRPr="00D53A2B" w:rsidRDefault="00180174" w:rsidP="004B0D48">
            <w:pPr>
              <w:pStyle w:val="KonuBal"/>
            </w:pPr>
            <w:r w:rsidRPr="00D53A2B">
              <w:t>a.</w:t>
            </w:r>
          </w:p>
        </w:tc>
        <w:tc>
          <w:tcPr>
            <w:tcW w:w="1843" w:type="dxa"/>
            <w:vAlign w:val="center"/>
          </w:tcPr>
          <w:p w14:paraId="2ECBC533" w14:textId="22636540" w:rsidR="00180174" w:rsidRPr="00D53A2B" w:rsidRDefault="00180174" w:rsidP="004B0D48">
            <w:pPr>
              <w:pStyle w:val="KonuBal"/>
            </w:pPr>
            <w:r w:rsidRPr="00D53A2B">
              <w:t xml:space="preserve">Çelik </w:t>
            </w:r>
            <w:r w:rsidRPr="00D53A2B">
              <w:lastRenderedPageBreak/>
              <w:t>korozyonunun en aza indirilmesi</w:t>
            </w:r>
          </w:p>
        </w:tc>
        <w:tc>
          <w:tcPr>
            <w:tcW w:w="4252" w:type="dxa"/>
            <w:vAlign w:val="center"/>
          </w:tcPr>
          <w:p w14:paraId="0B4366FA" w14:textId="77777777" w:rsidR="00180174" w:rsidRPr="00D53A2B" w:rsidRDefault="00180174" w:rsidP="00E73DA3">
            <w:pPr>
              <w:pStyle w:val="KonuBal"/>
            </w:pPr>
            <w:r w:rsidRPr="00D53A2B">
              <w:lastRenderedPageBreak/>
              <w:t>Aşağıdaki gibi teknikleri içerir:</w:t>
            </w:r>
          </w:p>
          <w:p w14:paraId="6F7700EB" w14:textId="77777777" w:rsidR="00180174" w:rsidRPr="00D53A2B" w:rsidRDefault="00180174" w:rsidP="00602365">
            <w:pPr>
              <w:pStyle w:val="ListeParagraf"/>
              <w:numPr>
                <w:ilvl w:val="0"/>
                <w:numId w:val="143"/>
              </w:numPr>
              <w:tabs>
                <w:tab w:val="clear" w:pos="567"/>
              </w:tabs>
              <w:spacing w:line="240" w:lineRule="auto"/>
              <w:ind w:left="315" w:hanging="284"/>
              <w:rPr>
                <w:sz w:val="24"/>
                <w:szCs w:val="24"/>
              </w:rPr>
            </w:pPr>
            <w:r w:rsidRPr="00D53A2B">
              <w:rPr>
                <w:sz w:val="24"/>
                <w:szCs w:val="24"/>
              </w:rPr>
              <w:lastRenderedPageBreak/>
              <w:t>Sıcak haddelenmiş çeliğin ürün özelliklerine bağlı olarak mümkün olduğunca hızlı soğutulması</w:t>
            </w:r>
          </w:p>
          <w:p w14:paraId="28F938CB" w14:textId="77777777" w:rsidR="00180174" w:rsidRPr="00D53A2B" w:rsidRDefault="00180174" w:rsidP="00602365">
            <w:pPr>
              <w:pStyle w:val="ListeParagraf"/>
              <w:numPr>
                <w:ilvl w:val="0"/>
                <w:numId w:val="143"/>
              </w:numPr>
              <w:tabs>
                <w:tab w:val="clear" w:pos="567"/>
              </w:tabs>
              <w:spacing w:line="240" w:lineRule="auto"/>
              <w:ind w:left="315" w:hanging="284"/>
              <w:rPr>
                <w:rFonts w:eastAsia="Calibri"/>
                <w:sz w:val="24"/>
                <w:szCs w:val="24"/>
              </w:rPr>
            </w:pPr>
            <w:r w:rsidRPr="00D53A2B">
              <w:rPr>
                <w:rFonts w:eastAsia="Calibri"/>
                <w:sz w:val="24"/>
                <w:szCs w:val="24"/>
              </w:rPr>
              <w:t>hammaddenin üstü kapalı alanlarda depolanması</w:t>
            </w:r>
          </w:p>
          <w:p w14:paraId="5A590B8B" w14:textId="291245CB" w:rsidR="00180174" w:rsidRPr="00D53A2B" w:rsidRDefault="00180174" w:rsidP="00602365">
            <w:pPr>
              <w:pStyle w:val="ListeParagraf"/>
              <w:numPr>
                <w:ilvl w:val="0"/>
                <w:numId w:val="143"/>
              </w:numPr>
              <w:tabs>
                <w:tab w:val="clear" w:pos="567"/>
              </w:tabs>
              <w:spacing w:line="240" w:lineRule="auto"/>
              <w:ind w:left="315" w:hanging="284"/>
              <w:rPr>
                <w:rFonts w:eastAsia="Calibri"/>
                <w:sz w:val="24"/>
                <w:szCs w:val="24"/>
              </w:rPr>
            </w:pPr>
            <w:r w:rsidRPr="00D53A2B">
              <w:rPr>
                <w:rFonts w:eastAsia="Calibri"/>
                <w:sz w:val="24"/>
                <w:szCs w:val="24"/>
              </w:rPr>
              <w:t>hammaddenin depolama süresinin sınırlandırılması.</w:t>
            </w:r>
          </w:p>
        </w:tc>
        <w:tc>
          <w:tcPr>
            <w:tcW w:w="2268" w:type="dxa"/>
            <w:vAlign w:val="center"/>
          </w:tcPr>
          <w:p w14:paraId="251CC16B" w14:textId="4617ADB5" w:rsidR="00180174" w:rsidRPr="00D53A2B" w:rsidRDefault="00180174" w:rsidP="004B0D48">
            <w:pPr>
              <w:pStyle w:val="KonuBal"/>
            </w:pPr>
            <w:r w:rsidRPr="00D53A2B">
              <w:lastRenderedPageBreak/>
              <w:t xml:space="preserve">Genel olarak </w:t>
            </w:r>
            <w:r w:rsidRPr="00D53A2B">
              <w:lastRenderedPageBreak/>
              <w:t>uygulanabilir.</w:t>
            </w:r>
          </w:p>
        </w:tc>
      </w:tr>
      <w:tr w:rsidR="00180174" w:rsidRPr="00D53A2B" w14:paraId="07DCFF0B" w14:textId="77777777" w:rsidTr="00065723">
        <w:tc>
          <w:tcPr>
            <w:tcW w:w="567" w:type="dxa"/>
            <w:vAlign w:val="center"/>
          </w:tcPr>
          <w:p w14:paraId="1831FE19" w14:textId="77777777" w:rsidR="00180174" w:rsidRPr="00D53A2B" w:rsidRDefault="00180174" w:rsidP="004B0D48">
            <w:pPr>
              <w:pStyle w:val="KonuBal"/>
            </w:pPr>
            <w:r w:rsidRPr="00D53A2B">
              <w:lastRenderedPageBreak/>
              <w:t>b.</w:t>
            </w:r>
          </w:p>
        </w:tc>
        <w:tc>
          <w:tcPr>
            <w:tcW w:w="1843" w:type="dxa"/>
            <w:vAlign w:val="center"/>
          </w:tcPr>
          <w:p w14:paraId="50EDC49F" w14:textId="62D59F05" w:rsidR="00180174" w:rsidRPr="00D53A2B" w:rsidRDefault="00180174" w:rsidP="004B0D48">
            <w:pPr>
              <w:pStyle w:val="KonuBal"/>
            </w:pPr>
            <w:r w:rsidRPr="00D53A2B">
              <w:t>Mekanik (ön) kireç çözme</w:t>
            </w:r>
          </w:p>
        </w:tc>
        <w:tc>
          <w:tcPr>
            <w:tcW w:w="4252" w:type="dxa"/>
            <w:vAlign w:val="center"/>
          </w:tcPr>
          <w:p w14:paraId="6219C2D5" w14:textId="77777777" w:rsidR="00180174" w:rsidRPr="00D53A2B" w:rsidRDefault="00180174" w:rsidP="00E73DA3">
            <w:pPr>
              <w:pStyle w:val="KonuBal"/>
            </w:pPr>
            <w:r w:rsidRPr="00D53A2B">
              <w:t>Aşağıdaki gibi teknikleri içerir:</w:t>
            </w:r>
          </w:p>
          <w:p w14:paraId="11545DF1" w14:textId="24D28F68" w:rsidR="00180174" w:rsidRPr="00D53A2B" w:rsidRDefault="00180174" w:rsidP="00602365">
            <w:pPr>
              <w:pStyle w:val="ListeParagraf"/>
              <w:numPr>
                <w:ilvl w:val="0"/>
                <w:numId w:val="143"/>
              </w:numPr>
              <w:tabs>
                <w:tab w:val="clear" w:pos="567"/>
              </w:tabs>
              <w:spacing w:line="240" w:lineRule="auto"/>
              <w:ind w:left="315" w:hanging="284"/>
              <w:rPr>
                <w:sz w:val="24"/>
                <w:szCs w:val="24"/>
              </w:rPr>
            </w:pPr>
            <w:r w:rsidRPr="00D53A2B">
              <w:rPr>
                <w:sz w:val="24"/>
                <w:szCs w:val="24"/>
              </w:rPr>
              <w:t>bilya püskürtme</w:t>
            </w:r>
          </w:p>
          <w:p w14:paraId="6ACBF8D3" w14:textId="2542A5EA" w:rsidR="00180174" w:rsidRPr="00D53A2B" w:rsidRDefault="00180174" w:rsidP="00602365">
            <w:pPr>
              <w:pStyle w:val="ListeParagraf"/>
              <w:numPr>
                <w:ilvl w:val="0"/>
                <w:numId w:val="143"/>
              </w:numPr>
              <w:tabs>
                <w:tab w:val="clear" w:pos="567"/>
              </w:tabs>
              <w:spacing w:line="240" w:lineRule="auto"/>
              <w:ind w:left="315" w:hanging="284"/>
              <w:rPr>
                <w:sz w:val="24"/>
                <w:szCs w:val="24"/>
              </w:rPr>
            </w:pPr>
            <w:r w:rsidRPr="00D53A2B">
              <w:rPr>
                <w:sz w:val="24"/>
                <w:szCs w:val="24"/>
              </w:rPr>
              <w:t>bükme</w:t>
            </w:r>
          </w:p>
          <w:p w14:paraId="39A78D25" w14:textId="4E423342" w:rsidR="00180174" w:rsidRPr="00D53A2B" w:rsidRDefault="00180174" w:rsidP="00602365">
            <w:pPr>
              <w:pStyle w:val="ListeParagraf"/>
              <w:numPr>
                <w:ilvl w:val="0"/>
                <w:numId w:val="143"/>
              </w:numPr>
              <w:tabs>
                <w:tab w:val="clear" w:pos="567"/>
              </w:tabs>
              <w:spacing w:line="240" w:lineRule="auto"/>
              <w:ind w:left="315" w:hanging="284"/>
              <w:rPr>
                <w:sz w:val="24"/>
                <w:szCs w:val="24"/>
              </w:rPr>
            </w:pPr>
            <w:r w:rsidRPr="00D53A2B">
              <w:rPr>
                <w:sz w:val="24"/>
                <w:szCs w:val="24"/>
              </w:rPr>
              <w:t>zımparalama</w:t>
            </w:r>
          </w:p>
          <w:p w14:paraId="32EA2ECB" w14:textId="73BE0CDD" w:rsidR="00180174" w:rsidRPr="00D53A2B" w:rsidRDefault="00180174" w:rsidP="00602365">
            <w:pPr>
              <w:pStyle w:val="ListeParagraf"/>
              <w:numPr>
                <w:ilvl w:val="0"/>
                <w:numId w:val="143"/>
              </w:numPr>
              <w:tabs>
                <w:tab w:val="clear" w:pos="567"/>
              </w:tabs>
              <w:spacing w:line="240" w:lineRule="auto"/>
              <w:ind w:left="315" w:hanging="284"/>
              <w:rPr>
                <w:sz w:val="24"/>
                <w:szCs w:val="24"/>
              </w:rPr>
            </w:pPr>
            <w:r w:rsidRPr="00D53A2B">
              <w:rPr>
                <w:sz w:val="24"/>
                <w:szCs w:val="24"/>
              </w:rPr>
              <w:t>fırçalama</w:t>
            </w:r>
          </w:p>
          <w:p w14:paraId="4C9CE2CD" w14:textId="4FCCB32F" w:rsidR="00180174" w:rsidRPr="00D53A2B" w:rsidRDefault="00186946" w:rsidP="00602365">
            <w:pPr>
              <w:pStyle w:val="ListeParagraf"/>
              <w:numPr>
                <w:ilvl w:val="0"/>
                <w:numId w:val="143"/>
              </w:numPr>
              <w:tabs>
                <w:tab w:val="clear" w:pos="567"/>
              </w:tabs>
              <w:spacing w:line="240" w:lineRule="auto"/>
              <w:ind w:left="315" w:hanging="284"/>
              <w:rPr>
                <w:sz w:val="24"/>
                <w:szCs w:val="24"/>
              </w:rPr>
            </w:pPr>
            <w:r w:rsidRPr="00D53A2B">
              <w:rPr>
                <w:sz w:val="24"/>
                <w:szCs w:val="24"/>
              </w:rPr>
              <w:t>gererek düzeltme</w:t>
            </w:r>
          </w:p>
        </w:tc>
        <w:tc>
          <w:tcPr>
            <w:tcW w:w="2268" w:type="dxa"/>
            <w:vAlign w:val="center"/>
          </w:tcPr>
          <w:p w14:paraId="39B5A08C" w14:textId="70061C40" w:rsidR="00180174" w:rsidRPr="00D53A2B" w:rsidRDefault="00186946" w:rsidP="004B0D48">
            <w:pPr>
              <w:pStyle w:val="KonuBal"/>
            </w:pPr>
            <w:r w:rsidRPr="00D53A2B">
              <w:t>Mevcut tesislere uygulanabilirlik, alan yetersizliği nedeniyle kısıtlanabilir. Uygulanabilirlik, ürün özellikleri nedeniyle kısıtlanabilir.</w:t>
            </w:r>
          </w:p>
        </w:tc>
      </w:tr>
      <w:tr w:rsidR="00180174" w:rsidRPr="00D53A2B" w14:paraId="19734495" w14:textId="77777777" w:rsidTr="00065723">
        <w:tc>
          <w:tcPr>
            <w:tcW w:w="567" w:type="dxa"/>
            <w:vAlign w:val="center"/>
          </w:tcPr>
          <w:p w14:paraId="7FD23D71" w14:textId="24B15371" w:rsidR="00180174" w:rsidRPr="00D53A2B" w:rsidRDefault="00186946" w:rsidP="004B0D48">
            <w:pPr>
              <w:pStyle w:val="KonuBal"/>
            </w:pPr>
            <w:r w:rsidRPr="00D53A2B">
              <w:t>c.</w:t>
            </w:r>
          </w:p>
        </w:tc>
        <w:tc>
          <w:tcPr>
            <w:tcW w:w="1843" w:type="dxa"/>
            <w:vAlign w:val="center"/>
          </w:tcPr>
          <w:p w14:paraId="3F8C0200" w14:textId="23312C73" w:rsidR="00180174" w:rsidRPr="00D53A2B" w:rsidRDefault="00186946" w:rsidP="004B0D48">
            <w:pPr>
              <w:pStyle w:val="KonuBal"/>
            </w:pPr>
            <w:r w:rsidRPr="00D53A2B">
              <w:t>Yüksek alaşımlı çeliğin elektrolitik ön dekapajı</w:t>
            </w:r>
          </w:p>
        </w:tc>
        <w:tc>
          <w:tcPr>
            <w:tcW w:w="4252" w:type="dxa"/>
            <w:vAlign w:val="center"/>
          </w:tcPr>
          <w:p w14:paraId="79358DD7" w14:textId="37801A09" w:rsidR="00180174" w:rsidRPr="00D53A2B" w:rsidRDefault="00186946" w:rsidP="00E73DA3">
            <w:pPr>
              <w:pStyle w:val="KonuBal"/>
            </w:pPr>
            <w:r w:rsidRPr="00D53A2B">
              <w:t>Yüksek alaşımlı çeliğin karışık asitle dekapajından önce, yüzey oksit tufalinin giderilmesini hızlandırmak ve iyileştirmek amacıyla sulu sodyum sülfat (Na</w:t>
            </w:r>
            <w:r w:rsidRPr="00D53A2B">
              <w:rPr>
                <w:vertAlign w:val="subscript"/>
              </w:rPr>
              <w:t>2</w:t>
            </w:r>
            <w:r w:rsidRPr="00D53A2B">
              <w:t>SO</w:t>
            </w:r>
            <w:r w:rsidRPr="00D53A2B">
              <w:rPr>
                <w:vertAlign w:val="subscript"/>
              </w:rPr>
              <w:t>4</w:t>
            </w:r>
            <w:r w:rsidRPr="00D53A2B">
              <w:t>) çözeltisinin kullanılması. Altı değerlikli krom içeren atıksu MET 31 (f) tekniği kullanılarak arıtılır.</w:t>
            </w:r>
          </w:p>
        </w:tc>
        <w:tc>
          <w:tcPr>
            <w:tcW w:w="2268" w:type="dxa"/>
            <w:vAlign w:val="center"/>
          </w:tcPr>
          <w:p w14:paraId="168F7B20" w14:textId="092D2E8E" w:rsidR="00180174" w:rsidRPr="00D53A2B" w:rsidRDefault="00186946" w:rsidP="00BF4451">
            <w:pPr>
              <w:pStyle w:val="KonuBal"/>
            </w:pPr>
            <w:r w:rsidRPr="00D53A2B">
              <w:t>Sadece soğuk haddeleme için geçerlidir. Mevcut tesislere uygulanabilirlik, alan yetersizliği nedeniyle kısıtlanabilir.</w:t>
            </w:r>
          </w:p>
        </w:tc>
      </w:tr>
      <w:tr w:rsidR="00180174" w:rsidRPr="00D53A2B" w14:paraId="257AE955" w14:textId="77777777" w:rsidTr="00065723">
        <w:tc>
          <w:tcPr>
            <w:tcW w:w="8930" w:type="dxa"/>
            <w:gridSpan w:val="4"/>
            <w:vAlign w:val="center"/>
          </w:tcPr>
          <w:p w14:paraId="4430F6DA" w14:textId="1D72A27D" w:rsidR="00180174" w:rsidRPr="00D53A2B" w:rsidRDefault="00186946" w:rsidP="004B0D48">
            <w:pPr>
              <w:pStyle w:val="KonuBal"/>
            </w:pPr>
            <w:r w:rsidRPr="00D53A2B">
              <w:t>Dekapaj</w:t>
            </w:r>
            <w:r w:rsidR="00180174" w:rsidRPr="00D53A2B">
              <w:t xml:space="preserve"> optimizasyonu</w:t>
            </w:r>
          </w:p>
        </w:tc>
      </w:tr>
      <w:tr w:rsidR="00180174" w:rsidRPr="00D53A2B" w14:paraId="765A290D" w14:textId="77777777" w:rsidTr="00065723">
        <w:tc>
          <w:tcPr>
            <w:tcW w:w="567" w:type="dxa"/>
            <w:vAlign w:val="center"/>
          </w:tcPr>
          <w:p w14:paraId="77561713" w14:textId="3EC849AE" w:rsidR="00180174" w:rsidRPr="00D53A2B" w:rsidRDefault="00186946" w:rsidP="004B0D48">
            <w:pPr>
              <w:pStyle w:val="KonuBal"/>
            </w:pPr>
            <w:r w:rsidRPr="00D53A2B">
              <w:t>d</w:t>
            </w:r>
            <w:r w:rsidR="00180174" w:rsidRPr="00D53A2B">
              <w:t>.</w:t>
            </w:r>
          </w:p>
        </w:tc>
        <w:tc>
          <w:tcPr>
            <w:tcW w:w="1843" w:type="dxa"/>
            <w:vAlign w:val="center"/>
          </w:tcPr>
          <w:p w14:paraId="3CC032C2" w14:textId="6F6B69F1" w:rsidR="00180174" w:rsidRPr="00D53A2B" w:rsidRDefault="00186946" w:rsidP="004B0D48">
            <w:pPr>
              <w:pStyle w:val="KonuBal"/>
            </w:pPr>
            <w:r w:rsidRPr="00D53A2B">
              <w:t>Alkali yağ giderme sonrası durulama</w:t>
            </w:r>
          </w:p>
        </w:tc>
        <w:tc>
          <w:tcPr>
            <w:tcW w:w="4252" w:type="dxa"/>
            <w:vAlign w:val="center"/>
          </w:tcPr>
          <w:p w14:paraId="17CD1E5F" w14:textId="241DB50A" w:rsidR="00180174" w:rsidRPr="00D53A2B" w:rsidRDefault="00186946" w:rsidP="00E73DA3">
            <w:pPr>
              <w:pStyle w:val="KonuBal"/>
            </w:pPr>
            <w:r w:rsidRPr="00D53A2B">
              <w:t>Alkali yağ giderme çözeltisinin asitleme banyosuna taşınması, yağ giderme işleminden sonra hammaddenin durulanmasıyla azaltılır.</w:t>
            </w:r>
          </w:p>
        </w:tc>
        <w:tc>
          <w:tcPr>
            <w:tcW w:w="2268" w:type="dxa"/>
            <w:vAlign w:val="center"/>
          </w:tcPr>
          <w:p w14:paraId="3312E14E" w14:textId="2DD4A651" w:rsidR="00180174" w:rsidRPr="00D53A2B" w:rsidRDefault="00186946" w:rsidP="00BF4451">
            <w:pPr>
              <w:pStyle w:val="KonuBal"/>
            </w:pPr>
            <w:r w:rsidRPr="00D53A2B">
              <w:t>Mevcut tesislerde uygulanabilirlik, alan darlığı nedeniyle kısıtlanabilir.</w:t>
            </w:r>
          </w:p>
        </w:tc>
      </w:tr>
      <w:tr w:rsidR="00180174" w:rsidRPr="00D53A2B" w14:paraId="5ED23361" w14:textId="77777777" w:rsidTr="00065723">
        <w:tc>
          <w:tcPr>
            <w:tcW w:w="567" w:type="dxa"/>
            <w:vAlign w:val="center"/>
          </w:tcPr>
          <w:p w14:paraId="7BE5CF01" w14:textId="7843DAAA" w:rsidR="00180174" w:rsidRPr="00D53A2B" w:rsidRDefault="00186946" w:rsidP="004B0D48">
            <w:pPr>
              <w:pStyle w:val="KonuBal"/>
            </w:pPr>
            <w:r w:rsidRPr="00D53A2B">
              <w:t>e</w:t>
            </w:r>
            <w:r w:rsidR="00180174" w:rsidRPr="00D53A2B">
              <w:t>.</w:t>
            </w:r>
          </w:p>
        </w:tc>
        <w:tc>
          <w:tcPr>
            <w:tcW w:w="1843" w:type="dxa"/>
            <w:vAlign w:val="center"/>
          </w:tcPr>
          <w:p w14:paraId="3A436029" w14:textId="47EF9F30" w:rsidR="00180174" w:rsidRPr="00D53A2B" w:rsidRDefault="00186946" w:rsidP="00A202FD">
            <w:pPr>
              <w:jc w:val="both"/>
              <w:rPr>
                <w:rFonts w:eastAsia="Calibri"/>
                <w:lang w:eastAsia="en-US"/>
              </w:rPr>
            </w:pPr>
            <w:r w:rsidRPr="00D53A2B">
              <w:rPr>
                <w:rFonts w:eastAsia="Calibri"/>
                <w:lang w:eastAsia="en-US"/>
              </w:rPr>
              <w:t>Dekapaj verimliliğini arttırmak için genel teknikler</w:t>
            </w:r>
          </w:p>
        </w:tc>
        <w:tc>
          <w:tcPr>
            <w:tcW w:w="4252" w:type="dxa"/>
            <w:vAlign w:val="center"/>
          </w:tcPr>
          <w:p w14:paraId="45CCD60B" w14:textId="77777777" w:rsidR="00180174" w:rsidRPr="00D53A2B" w:rsidRDefault="00180174" w:rsidP="004B0D48">
            <w:pPr>
              <w:pStyle w:val="KonuBal"/>
            </w:pPr>
            <w:r w:rsidRPr="00D53A2B">
              <w:t>Aşağıdaki gibi teknikleri içerir:</w:t>
            </w:r>
          </w:p>
          <w:p w14:paraId="5E3C32F8" w14:textId="0474F5C1" w:rsidR="00180174" w:rsidRPr="00D53A2B" w:rsidRDefault="00186946" w:rsidP="00602365">
            <w:pPr>
              <w:pStyle w:val="ListeParagraf"/>
              <w:numPr>
                <w:ilvl w:val="0"/>
                <w:numId w:val="143"/>
              </w:numPr>
              <w:tabs>
                <w:tab w:val="clear" w:pos="567"/>
              </w:tabs>
              <w:spacing w:line="240" w:lineRule="auto"/>
              <w:ind w:left="315" w:hanging="284"/>
              <w:rPr>
                <w:sz w:val="24"/>
                <w:szCs w:val="24"/>
              </w:rPr>
            </w:pPr>
            <w:r w:rsidRPr="00D53A2B">
              <w:rPr>
                <w:sz w:val="24"/>
                <w:szCs w:val="24"/>
              </w:rPr>
              <w:t>Asit emisyonlarını en aza indirirken asitleme oranlarını en üst düzeye çıkarmak için dekapaj sıcaklığının optimizasyonu</w:t>
            </w:r>
            <w:r w:rsidR="00180174" w:rsidRPr="00D53A2B">
              <w:rPr>
                <w:sz w:val="24"/>
                <w:szCs w:val="24"/>
              </w:rPr>
              <w:t>;</w:t>
            </w:r>
          </w:p>
          <w:p w14:paraId="0CC0B312" w14:textId="1A1BE9E5" w:rsidR="00186946" w:rsidRPr="00D53A2B" w:rsidRDefault="00186946" w:rsidP="00602365">
            <w:pPr>
              <w:pStyle w:val="ListeParagraf"/>
              <w:numPr>
                <w:ilvl w:val="0"/>
                <w:numId w:val="143"/>
              </w:numPr>
              <w:tabs>
                <w:tab w:val="clear" w:pos="567"/>
              </w:tabs>
              <w:spacing w:line="240" w:lineRule="auto"/>
              <w:ind w:left="315" w:hanging="284"/>
              <w:rPr>
                <w:sz w:val="24"/>
                <w:szCs w:val="24"/>
              </w:rPr>
            </w:pPr>
            <w:r w:rsidRPr="00D53A2B">
              <w:rPr>
                <w:sz w:val="24"/>
                <w:szCs w:val="24"/>
              </w:rPr>
              <w:t>Dekapaj banyosu bileşiminin optimizasyonu (örn. asit ve demir konsantrasyonları);</w:t>
            </w:r>
          </w:p>
          <w:p w14:paraId="23A3AAC8" w14:textId="77777777" w:rsidR="00180174" w:rsidRPr="00D53A2B" w:rsidRDefault="00186946" w:rsidP="00602365">
            <w:pPr>
              <w:pStyle w:val="ListeParagraf"/>
              <w:numPr>
                <w:ilvl w:val="0"/>
                <w:numId w:val="143"/>
              </w:numPr>
              <w:tabs>
                <w:tab w:val="clear" w:pos="567"/>
              </w:tabs>
              <w:spacing w:line="240" w:lineRule="auto"/>
              <w:ind w:left="315" w:hanging="284"/>
              <w:rPr>
                <w:sz w:val="24"/>
                <w:szCs w:val="24"/>
              </w:rPr>
            </w:pPr>
            <w:r w:rsidRPr="00D53A2B">
              <w:rPr>
                <w:sz w:val="24"/>
                <w:szCs w:val="24"/>
              </w:rPr>
              <w:t>Aşırı dekapajdan kaçınmak için dekapaj süresinin optimizasyonu;</w:t>
            </w:r>
          </w:p>
          <w:p w14:paraId="467C3F2B" w14:textId="6368DE54" w:rsidR="00186946" w:rsidRPr="00D53A2B" w:rsidRDefault="00186946" w:rsidP="00602365">
            <w:pPr>
              <w:pStyle w:val="ListeParagraf"/>
              <w:numPr>
                <w:ilvl w:val="0"/>
                <w:numId w:val="143"/>
              </w:numPr>
              <w:tabs>
                <w:tab w:val="clear" w:pos="567"/>
              </w:tabs>
              <w:spacing w:line="240" w:lineRule="auto"/>
              <w:ind w:left="315" w:hanging="284"/>
              <w:rPr>
                <w:sz w:val="24"/>
                <w:szCs w:val="24"/>
              </w:rPr>
            </w:pPr>
            <w:r w:rsidRPr="00D53A2B">
              <w:rPr>
                <w:sz w:val="24"/>
                <w:szCs w:val="24"/>
              </w:rPr>
              <w:t>Dekapaj banyosunu sık sık taze asitle takviye ederek bileşiminde ciddi değişikliklerden kaçınmak.</w:t>
            </w:r>
          </w:p>
        </w:tc>
        <w:tc>
          <w:tcPr>
            <w:tcW w:w="2268" w:type="dxa"/>
            <w:vAlign w:val="center"/>
          </w:tcPr>
          <w:p w14:paraId="27901DC1" w14:textId="77777777" w:rsidR="00180174" w:rsidRPr="00D53A2B" w:rsidRDefault="00180174" w:rsidP="004B0D48">
            <w:pPr>
              <w:pStyle w:val="KonuBal"/>
            </w:pPr>
            <w:r w:rsidRPr="00D53A2B">
              <w:t>Genel olarak uygulanabilir.</w:t>
            </w:r>
          </w:p>
        </w:tc>
      </w:tr>
      <w:tr w:rsidR="00180174" w:rsidRPr="00D53A2B" w14:paraId="22E20F54" w14:textId="77777777" w:rsidTr="00065723">
        <w:tc>
          <w:tcPr>
            <w:tcW w:w="567" w:type="dxa"/>
            <w:vAlign w:val="center"/>
          </w:tcPr>
          <w:p w14:paraId="4109E7E8" w14:textId="590B8680" w:rsidR="00180174" w:rsidRPr="00D53A2B" w:rsidRDefault="00186946" w:rsidP="004B0D48">
            <w:pPr>
              <w:pStyle w:val="KonuBal"/>
            </w:pPr>
            <w:r w:rsidRPr="00D53A2B">
              <w:t>f</w:t>
            </w:r>
            <w:r w:rsidR="00180174" w:rsidRPr="00D53A2B">
              <w:t>.</w:t>
            </w:r>
          </w:p>
        </w:tc>
        <w:tc>
          <w:tcPr>
            <w:tcW w:w="1843" w:type="dxa"/>
            <w:vAlign w:val="center"/>
          </w:tcPr>
          <w:p w14:paraId="341276B0" w14:textId="1380DD42" w:rsidR="00180174" w:rsidRPr="00D53A2B" w:rsidRDefault="00186946" w:rsidP="00A202FD">
            <w:pPr>
              <w:jc w:val="both"/>
              <w:rPr>
                <w:rFonts w:eastAsia="Calibri"/>
                <w:lang w:eastAsia="en-US"/>
              </w:rPr>
            </w:pPr>
            <w:r w:rsidRPr="00D53A2B">
              <w:rPr>
                <w:rFonts w:eastAsia="Calibri"/>
                <w:lang w:eastAsia="en-US"/>
              </w:rPr>
              <w:t>Dekapaj banyosunun temizlenmesi ve serbest asidin yeniden kullanımı</w:t>
            </w:r>
          </w:p>
        </w:tc>
        <w:tc>
          <w:tcPr>
            <w:tcW w:w="4252" w:type="dxa"/>
            <w:vAlign w:val="center"/>
          </w:tcPr>
          <w:p w14:paraId="43601BBF" w14:textId="11B89A0D" w:rsidR="00180174" w:rsidRPr="00D53A2B" w:rsidRDefault="00845041" w:rsidP="00A202FD">
            <w:pPr>
              <w:jc w:val="both"/>
              <w:rPr>
                <w:lang w:val="en-US" w:eastAsia="en-US"/>
              </w:rPr>
            </w:pPr>
            <w:r w:rsidRPr="00D53A2B">
              <w:rPr>
                <w:rFonts w:eastAsia="Calibri"/>
                <w:spacing w:val="2"/>
                <w:lang w:val="en-US" w:eastAsia="en-US"/>
              </w:rPr>
              <w:t>Dekapaj asidinden partikülleri uzaklaştırmak için örneğin filtrasyonlu bir temizleme devresi kullanılır ve ardından serbest asit, örneğin reçineler kullanılarak iyon değişimi yoluyla geri kazanılır.</w:t>
            </w:r>
          </w:p>
        </w:tc>
        <w:tc>
          <w:tcPr>
            <w:tcW w:w="2268" w:type="dxa"/>
            <w:vAlign w:val="center"/>
          </w:tcPr>
          <w:p w14:paraId="5915581C" w14:textId="73B42934" w:rsidR="00180174" w:rsidRPr="00D53A2B" w:rsidRDefault="00845041" w:rsidP="004B0D48">
            <w:pPr>
              <w:pStyle w:val="KonuBal"/>
            </w:pPr>
            <w:r w:rsidRPr="00D53A2B">
              <w:t>Kademeli asitleme (veya benzeri) kullanılıyorsa uygulanamaz, çünkü bu çok düşük seviyelerde serbest asitle sonuçlanır.</w:t>
            </w:r>
          </w:p>
        </w:tc>
      </w:tr>
      <w:tr w:rsidR="00180174" w:rsidRPr="00D53A2B" w14:paraId="150341D3" w14:textId="77777777" w:rsidTr="00065723">
        <w:tc>
          <w:tcPr>
            <w:tcW w:w="567" w:type="dxa"/>
            <w:vAlign w:val="center"/>
          </w:tcPr>
          <w:p w14:paraId="7C35F646" w14:textId="5A0A13CB" w:rsidR="00180174" w:rsidRPr="00D53A2B" w:rsidRDefault="00845041" w:rsidP="004B0D48">
            <w:pPr>
              <w:pStyle w:val="KonuBal"/>
            </w:pPr>
            <w:r w:rsidRPr="00D53A2B">
              <w:t>g</w:t>
            </w:r>
            <w:r w:rsidR="00180174" w:rsidRPr="00D53A2B">
              <w:t>.</w:t>
            </w:r>
          </w:p>
        </w:tc>
        <w:tc>
          <w:tcPr>
            <w:tcW w:w="1843" w:type="dxa"/>
            <w:vAlign w:val="center"/>
          </w:tcPr>
          <w:p w14:paraId="3D35D2DE" w14:textId="6BD12E37" w:rsidR="00180174" w:rsidRPr="00D53A2B" w:rsidRDefault="00845041" w:rsidP="00A202FD">
            <w:pPr>
              <w:jc w:val="both"/>
              <w:rPr>
                <w:rFonts w:eastAsia="Calibri"/>
                <w:lang w:eastAsia="en-US"/>
              </w:rPr>
            </w:pPr>
            <w:r w:rsidRPr="00D53A2B">
              <w:rPr>
                <w:rFonts w:eastAsia="Calibri"/>
                <w:lang w:eastAsia="en-US"/>
              </w:rPr>
              <w:t>Ters kademeli dekapaj</w:t>
            </w:r>
          </w:p>
        </w:tc>
        <w:tc>
          <w:tcPr>
            <w:tcW w:w="4252" w:type="dxa"/>
            <w:vAlign w:val="center"/>
          </w:tcPr>
          <w:p w14:paraId="54E756CE" w14:textId="2E15A0CA" w:rsidR="00180174" w:rsidRPr="00D53A2B" w:rsidRDefault="00845041" w:rsidP="004B0D48">
            <w:pPr>
              <w:pStyle w:val="KonuBal"/>
            </w:pPr>
            <w:r w:rsidRPr="00D53A2B">
              <w:t>Dekapaj işlemi, hammaddenin asit konsantrasyonu en düşük olan banyodan en yüksek olana doğru hareket ettirildiği seri halindeki iki veya daha fazla banyoda gerçekleştirilir.</w:t>
            </w:r>
          </w:p>
        </w:tc>
        <w:tc>
          <w:tcPr>
            <w:tcW w:w="2268" w:type="dxa"/>
            <w:vAlign w:val="center"/>
          </w:tcPr>
          <w:p w14:paraId="49F9F39A" w14:textId="6796261E" w:rsidR="00180174" w:rsidRPr="00D53A2B" w:rsidRDefault="00845041" w:rsidP="004B0D48">
            <w:pPr>
              <w:pStyle w:val="KonuBal"/>
            </w:pPr>
            <w:r w:rsidRPr="00D53A2B">
              <w:t>Mevcut tesislere uygulanabilirlik, alan yetersizliği nedeniyle kısıtlanabilir.</w:t>
            </w:r>
          </w:p>
        </w:tc>
      </w:tr>
      <w:tr w:rsidR="00845041" w:rsidRPr="00D53A2B" w14:paraId="788124CE" w14:textId="77777777" w:rsidTr="00065723">
        <w:tc>
          <w:tcPr>
            <w:tcW w:w="567" w:type="dxa"/>
            <w:vAlign w:val="center"/>
          </w:tcPr>
          <w:p w14:paraId="7B9FEE46" w14:textId="4DACFCD5" w:rsidR="00845041" w:rsidRPr="00D53A2B" w:rsidRDefault="00845041" w:rsidP="004B0D48">
            <w:pPr>
              <w:pStyle w:val="KonuBal"/>
            </w:pPr>
            <w:r w:rsidRPr="00D53A2B">
              <w:lastRenderedPageBreak/>
              <w:t>h.</w:t>
            </w:r>
          </w:p>
        </w:tc>
        <w:tc>
          <w:tcPr>
            <w:tcW w:w="1843" w:type="dxa"/>
            <w:vAlign w:val="center"/>
          </w:tcPr>
          <w:p w14:paraId="4184FAC0" w14:textId="42234DF3" w:rsidR="00845041" w:rsidRPr="00D53A2B" w:rsidRDefault="00845041" w:rsidP="00A202FD">
            <w:pPr>
              <w:jc w:val="both"/>
              <w:rPr>
                <w:rFonts w:eastAsia="Calibri"/>
                <w:lang w:eastAsia="en-US"/>
              </w:rPr>
            </w:pPr>
            <w:r w:rsidRPr="00D53A2B">
              <w:rPr>
                <w:rFonts w:eastAsia="Calibri"/>
                <w:lang w:eastAsia="en-US"/>
              </w:rPr>
              <w:t>Dekapaj asidinin sürüklenmesinin en aza indirilmesi</w:t>
            </w:r>
          </w:p>
        </w:tc>
        <w:tc>
          <w:tcPr>
            <w:tcW w:w="4252" w:type="dxa"/>
            <w:vAlign w:val="center"/>
          </w:tcPr>
          <w:p w14:paraId="7DA391CF" w14:textId="77777777" w:rsidR="00845041" w:rsidRPr="00D53A2B" w:rsidRDefault="00845041" w:rsidP="004B0D48">
            <w:pPr>
              <w:pStyle w:val="KonuBal"/>
            </w:pPr>
            <w:r w:rsidRPr="00D53A2B">
              <w:t>Aşağıdaki gibi teknikleri içerir:</w:t>
            </w:r>
          </w:p>
          <w:p w14:paraId="3C749EA0" w14:textId="77777777" w:rsidR="00845041" w:rsidRPr="00D53A2B" w:rsidRDefault="00845041" w:rsidP="004B0D48">
            <w:pPr>
              <w:pStyle w:val="KonuBal"/>
              <w:numPr>
                <w:ilvl w:val="0"/>
                <w:numId w:val="143"/>
              </w:numPr>
            </w:pPr>
            <w:r w:rsidRPr="00D53A2B">
              <w:t>Sıkma ruloları kullanarak, örneğin şeritlerin sürekli asitlenmesi durumunda;</w:t>
            </w:r>
          </w:p>
          <w:p w14:paraId="35683376" w14:textId="7C80C1D4" w:rsidR="00845041" w:rsidRPr="00D53A2B" w:rsidRDefault="00845041" w:rsidP="00602365">
            <w:pPr>
              <w:pStyle w:val="ListeParagraf"/>
              <w:numPr>
                <w:ilvl w:val="0"/>
                <w:numId w:val="165"/>
              </w:numPr>
              <w:tabs>
                <w:tab w:val="clear" w:pos="567"/>
              </w:tabs>
              <w:ind w:left="310" w:hanging="310"/>
              <w:rPr>
                <w:sz w:val="24"/>
                <w:szCs w:val="24"/>
              </w:rPr>
            </w:pPr>
            <w:r w:rsidRPr="00D53A2B">
              <w:rPr>
                <w:sz w:val="24"/>
                <w:szCs w:val="24"/>
              </w:rPr>
              <w:t>örneğin iş parçalarının yavaşça kaldırılmasıyla yeterli bir damlama süresinin sağlanması</w:t>
            </w:r>
          </w:p>
          <w:p w14:paraId="25947364" w14:textId="1A126F59" w:rsidR="00845041" w:rsidRPr="00D53A2B" w:rsidRDefault="00845041" w:rsidP="00602365">
            <w:pPr>
              <w:pStyle w:val="ListeParagraf"/>
              <w:numPr>
                <w:ilvl w:val="0"/>
                <w:numId w:val="165"/>
              </w:numPr>
              <w:tabs>
                <w:tab w:val="clear" w:pos="567"/>
              </w:tabs>
              <w:ind w:left="310" w:hanging="310"/>
              <w:rPr>
                <w:sz w:val="24"/>
                <w:szCs w:val="24"/>
              </w:rPr>
            </w:pPr>
            <w:r w:rsidRPr="00D53A2B">
              <w:rPr>
                <w:sz w:val="24"/>
                <w:szCs w:val="24"/>
              </w:rPr>
              <w:t>titreşimli tel çubuk bobinleri kullanarak</w:t>
            </w:r>
          </w:p>
        </w:tc>
        <w:tc>
          <w:tcPr>
            <w:tcW w:w="2268" w:type="dxa"/>
            <w:vAlign w:val="center"/>
          </w:tcPr>
          <w:p w14:paraId="4B1B7C6C" w14:textId="0E3DF873" w:rsidR="00845041" w:rsidRPr="00D53A2B" w:rsidRDefault="00845041" w:rsidP="004B0D48">
            <w:pPr>
              <w:pStyle w:val="KonuBal"/>
            </w:pPr>
            <w:r w:rsidRPr="00D53A2B">
              <w:t>Genel olarak uygulanabilir.</w:t>
            </w:r>
          </w:p>
        </w:tc>
      </w:tr>
      <w:tr w:rsidR="00845041" w:rsidRPr="00D53A2B" w14:paraId="4E821307" w14:textId="77777777" w:rsidTr="00065723">
        <w:tc>
          <w:tcPr>
            <w:tcW w:w="567" w:type="dxa"/>
            <w:vAlign w:val="center"/>
          </w:tcPr>
          <w:p w14:paraId="1550A23C" w14:textId="58EF94B6" w:rsidR="00845041" w:rsidRPr="00D53A2B" w:rsidRDefault="00845041" w:rsidP="004B0D48">
            <w:pPr>
              <w:pStyle w:val="KonuBal"/>
            </w:pPr>
            <w:r w:rsidRPr="00D53A2B">
              <w:t>i.</w:t>
            </w:r>
          </w:p>
        </w:tc>
        <w:tc>
          <w:tcPr>
            <w:tcW w:w="1843" w:type="dxa"/>
            <w:vAlign w:val="center"/>
          </w:tcPr>
          <w:p w14:paraId="516CA293" w14:textId="5646EEF5" w:rsidR="00845041" w:rsidRPr="00D53A2B" w:rsidRDefault="00845041" w:rsidP="00A202FD">
            <w:pPr>
              <w:jc w:val="both"/>
              <w:rPr>
                <w:rFonts w:eastAsia="Calibri"/>
                <w:lang w:eastAsia="en-US"/>
              </w:rPr>
            </w:pPr>
            <w:r w:rsidRPr="00D53A2B">
              <w:rPr>
                <w:rFonts w:eastAsia="Calibri"/>
                <w:lang w:eastAsia="en-US"/>
              </w:rPr>
              <w:t>Türbülanslı dekapaj</w:t>
            </w:r>
          </w:p>
        </w:tc>
        <w:tc>
          <w:tcPr>
            <w:tcW w:w="4252" w:type="dxa"/>
            <w:vAlign w:val="center"/>
          </w:tcPr>
          <w:p w14:paraId="2994F85D" w14:textId="77777777" w:rsidR="00845041" w:rsidRPr="00D53A2B" w:rsidRDefault="00845041" w:rsidP="004B0D48">
            <w:pPr>
              <w:pStyle w:val="KonuBal"/>
            </w:pPr>
            <w:r w:rsidRPr="00D53A2B">
              <w:t>Aşağıdaki gibi teknikleri içerir:</w:t>
            </w:r>
          </w:p>
          <w:p w14:paraId="6FAA6B1F" w14:textId="77DC8117" w:rsidR="00845041" w:rsidRPr="00D53A2B" w:rsidRDefault="00845041" w:rsidP="004B0D48">
            <w:pPr>
              <w:pStyle w:val="KonuBal"/>
              <w:numPr>
                <w:ilvl w:val="0"/>
                <w:numId w:val="143"/>
              </w:numPr>
            </w:pPr>
            <w:r w:rsidRPr="00D53A2B">
              <w:t>dekapaj asidinin nozullar aracılığıyla yüksek basınçta enjekte edilmesi;</w:t>
            </w:r>
          </w:p>
          <w:p w14:paraId="4FA5C5E1" w14:textId="562F4A51" w:rsidR="00845041" w:rsidRPr="00D53A2B" w:rsidRDefault="00845041" w:rsidP="00602365">
            <w:pPr>
              <w:pStyle w:val="ListeParagraf"/>
              <w:numPr>
                <w:ilvl w:val="0"/>
                <w:numId w:val="165"/>
              </w:numPr>
              <w:tabs>
                <w:tab w:val="clear" w:pos="567"/>
              </w:tabs>
              <w:ind w:left="310" w:hanging="310"/>
              <w:rPr>
                <w:sz w:val="24"/>
                <w:szCs w:val="24"/>
              </w:rPr>
            </w:pPr>
            <w:r w:rsidRPr="00D53A2B">
              <w:rPr>
                <w:sz w:val="24"/>
                <w:szCs w:val="24"/>
              </w:rPr>
              <w:t>dekapaj asidinin daldırılmış bir türbin kullanılarak çalkalanması.</w:t>
            </w:r>
          </w:p>
        </w:tc>
        <w:tc>
          <w:tcPr>
            <w:tcW w:w="2268" w:type="dxa"/>
            <w:vAlign w:val="center"/>
          </w:tcPr>
          <w:p w14:paraId="25A538D5" w14:textId="5DD73855" w:rsidR="00845041" w:rsidRPr="00D53A2B" w:rsidRDefault="00845041" w:rsidP="004B0D48">
            <w:pPr>
              <w:pStyle w:val="KonuBal"/>
            </w:pPr>
            <w:r w:rsidRPr="00D53A2B">
              <w:t>Mevcut tesislere uygulanabilirlik, alan yetersizliği nedeniyle kısıtlanabilir.</w:t>
            </w:r>
          </w:p>
        </w:tc>
      </w:tr>
      <w:tr w:rsidR="00845041" w:rsidRPr="00D53A2B" w14:paraId="080DABB1" w14:textId="77777777" w:rsidTr="00065723">
        <w:tc>
          <w:tcPr>
            <w:tcW w:w="567" w:type="dxa"/>
            <w:vAlign w:val="center"/>
          </w:tcPr>
          <w:p w14:paraId="5E796C44" w14:textId="4A98536E" w:rsidR="00845041" w:rsidRPr="00D53A2B" w:rsidRDefault="00845041" w:rsidP="004B0D48">
            <w:pPr>
              <w:pStyle w:val="KonuBal"/>
            </w:pPr>
            <w:r w:rsidRPr="00D53A2B">
              <w:t>j.</w:t>
            </w:r>
          </w:p>
        </w:tc>
        <w:tc>
          <w:tcPr>
            <w:tcW w:w="1843" w:type="dxa"/>
            <w:vAlign w:val="center"/>
          </w:tcPr>
          <w:p w14:paraId="733B4950" w14:textId="45AC6084" w:rsidR="00845041" w:rsidRPr="00D53A2B" w:rsidRDefault="00845041" w:rsidP="00A202FD">
            <w:pPr>
              <w:jc w:val="both"/>
              <w:rPr>
                <w:rFonts w:eastAsia="Calibri"/>
                <w:lang w:eastAsia="en-US"/>
              </w:rPr>
            </w:pPr>
            <w:r w:rsidRPr="00D53A2B">
              <w:rPr>
                <w:rFonts w:eastAsia="Calibri"/>
                <w:lang w:eastAsia="en-US"/>
              </w:rPr>
              <w:t>Dekapaj inhibitörlerinin kullanımı</w:t>
            </w:r>
          </w:p>
        </w:tc>
        <w:tc>
          <w:tcPr>
            <w:tcW w:w="4252" w:type="dxa"/>
            <w:vAlign w:val="center"/>
          </w:tcPr>
          <w:p w14:paraId="44786F62" w14:textId="576773A8" w:rsidR="00845041" w:rsidRPr="00D53A2B" w:rsidRDefault="00845041" w:rsidP="004B0D48">
            <w:pPr>
              <w:pStyle w:val="KonuBal"/>
            </w:pPr>
            <w:r w:rsidRPr="00D53A2B">
              <w:t>Dekapaj inhibitörleri, hammaddenin metalik olarak temiz parçalarını aşırı dekapajdan korumak için dekapaj asidine eklenir.</w:t>
            </w:r>
          </w:p>
        </w:tc>
        <w:tc>
          <w:tcPr>
            <w:tcW w:w="2268" w:type="dxa"/>
            <w:vAlign w:val="center"/>
          </w:tcPr>
          <w:p w14:paraId="5B55DD0A" w14:textId="0706D523" w:rsidR="00845041" w:rsidRPr="00D53A2B" w:rsidRDefault="00845041" w:rsidP="004B0D48">
            <w:pPr>
              <w:pStyle w:val="KonuBal"/>
            </w:pPr>
            <w:r w:rsidRPr="00D53A2B">
              <w:t>Yüksek alaşımlı çelik için geçerli değildir. Uygulanabilirlik, ürün özelliklerine bağlı olarak kısıtlanabilir.</w:t>
            </w:r>
          </w:p>
        </w:tc>
      </w:tr>
      <w:tr w:rsidR="00845041" w:rsidRPr="00D53A2B" w14:paraId="4B72BB61" w14:textId="77777777" w:rsidTr="00065723">
        <w:tc>
          <w:tcPr>
            <w:tcW w:w="567" w:type="dxa"/>
            <w:vAlign w:val="center"/>
          </w:tcPr>
          <w:p w14:paraId="31FE4AEE" w14:textId="7D00821A" w:rsidR="00845041" w:rsidRPr="00D53A2B" w:rsidRDefault="00845041" w:rsidP="004B0D48">
            <w:pPr>
              <w:pStyle w:val="KonuBal"/>
            </w:pPr>
            <w:r w:rsidRPr="00D53A2B">
              <w:t>k.</w:t>
            </w:r>
          </w:p>
        </w:tc>
        <w:tc>
          <w:tcPr>
            <w:tcW w:w="1843" w:type="dxa"/>
            <w:vAlign w:val="center"/>
          </w:tcPr>
          <w:p w14:paraId="038D5D8A" w14:textId="403CC3BE" w:rsidR="00845041" w:rsidRPr="00D53A2B" w:rsidRDefault="00845041" w:rsidP="00A202FD">
            <w:pPr>
              <w:jc w:val="both"/>
              <w:rPr>
                <w:rFonts w:eastAsia="Calibri"/>
                <w:lang w:eastAsia="en-US"/>
              </w:rPr>
            </w:pPr>
            <w:r w:rsidRPr="00D53A2B">
              <w:rPr>
                <w:rFonts w:eastAsia="Calibri"/>
                <w:lang w:eastAsia="en-US"/>
              </w:rPr>
              <w:t>Hidroklorik asit dekapajında aktif dekapaj</w:t>
            </w:r>
          </w:p>
        </w:tc>
        <w:tc>
          <w:tcPr>
            <w:tcW w:w="4252" w:type="dxa"/>
            <w:vAlign w:val="center"/>
          </w:tcPr>
          <w:p w14:paraId="614A18C6" w14:textId="6B787A51" w:rsidR="00845041" w:rsidRPr="00D53A2B" w:rsidRDefault="00AD46DE" w:rsidP="004B0D48">
            <w:pPr>
              <w:pStyle w:val="KonuBal"/>
            </w:pPr>
            <w:r w:rsidRPr="00D53A2B">
              <w:t>Asitleme işlemi düşük hidroklorik asit konsantrasyonu (ağırlıkça %4-6 civarında) ve yüksek demir konsantrasyonu (120-180 g/l civarında) ile 20-25°C sıcaklıklarda gerçekleştirilir.</w:t>
            </w:r>
          </w:p>
        </w:tc>
        <w:tc>
          <w:tcPr>
            <w:tcW w:w="2268" w:type="dxa"/>
            <w:vAlign w:val="center"/>
          </w:tcPr>
          <w:p w14:paraId="72A5531F" w14:textId="608D14F4" w:rsidR="00845041" w:rsidRPr="00D53A2B" w:rsidRDefault="00AD46DE" w:rsidP="004B0D48">
            <w:pPr>
              <w:pStyle w:val="KonuBal"/>
            </w:pPr>
            <w:r w:rsidRPr="00D53A2B">
              <w:t>Genel olarak uygulanabilir.</w:t>
            </w:r>
          </w:p>
        </w:tc>
      </w:tr>
    </w:tbl>
    <w:p w14:paraId="7A1B53D8" w14:textId="77777777" w:rsidR="0071694E" w:rsidRPr="00D53A2B" w:rsidRDefault="0071694E" w:rsidP="00A202FD">
      <w:pPr>
        <w:jc w:val="both"/>
        <w:rPr>
          <w:rFonts w:eastAsia="Calibri"/>
          <w:lang w:eastAsia="en-US"/>
        </w:rPr>
      </w:pPr>
    </w:p>
    <w:p w14:paraId="3F8E63D3" w14:textId="49CE0015" w:rsidR="005F0E3A" w:rsidRPr="00D53A2B" w:rsidRDefault="008B3CE6" w:rsidP="00A202FD">
      <w:pPr>
        <w:jc w:val="both"/>
        <w:rPr>
          <w:rFonts w:eastAsia="Calibri"/>
          <w:lang w:eastAsia="en-US"/>
        </w:rPr>
      </w:pPr>
      <w:r w:rsidRPr="00D53A2B">
        <w:rPr>
          <w:rFonts w:eastAsia="Calibri"/>
          <w:lang w:eastAsia="en-US"/>
        </w:rPr>
        <w:t>Tablo</w:t>
      </w:r>
      <w:r w:rsidR="00B31B5F" w:rsidRPr="00D53A2B">
        <w:rPr>
          <w:rFonts w:eastAsia="Calibri"/>
          <w:lang w:eastAsia="en-US"/>
        </w:rPr>
        <w:t>1</w:t>
      </w:r>
      <w:r w:rsidRPr="00D53A2B">
        <w:rPr>
          <w:rFonts w:eastAsia="Calibri"/>
          <w:lang w:eastAsia="en-US"/>
        </w:rPr>
        <w:t>.5</w:t>
      </w:r>
    </w:p>
    <w:p w14:paraId="21148DF1" w14:textId="54986EF7" w:rsidR="008B3CE6" w:rsidRPr="00D53A2B" w:rsidRDefault="008B3CE6" w:rsidP="00A202FD">
      <w:pPr>
        <w:jc w:val="both"/>
        <w:rPr>
          <w:rFonts w:eastAsia="Calibri"/>
          <w:lang w:eastAsia="en-US"/>
        </w:rPr>
      </w:pPr>
      <w:r w:rsidRPr="00D53A2B">
        <w:rPr>
          <w:rFonts w:eastAsia="Calibri"/>
          <w:lang w:eastAsia="en-US"/>
        </w:rPr>
        <w:t>Kesikli galvanizlemede spesifik dekapaj asidi tüketimi için MET-ilişkili çevresel performans seviyeleri (MET-İÇPS)</w:t>
      </w:r>
    </w:p>
    <w:tbl>
      <w:tblPr>
        <w:tblStyle w:val="TabloKlavuzu"/>
        <w:tblW w:w="8788" w:type="dxa"/>
        <w:tblInd w:w="279" w:type="dxa"/>
        <w:tblLook w:val="04A0" w:firstRow="1" w:lastRow="0" w:firstColumn="1" w:lastColumn="0" w:noHBand="0" w:noVBand="1"/>
      </w:tblPr>
      <w:tblGrid>
        <w:gridCol w:w="4450"/>
        <w:gridCol w:w="984"/>
        <w:gridCol w:w="3354"/>
      </w:tblGrid>
      <w:tr w:rsidR="008B3CE6" w:rsidRPr="00D53A2B" w14:paraId="1361E83A" w14:textId="77777777" w:rsidTr="00065723">
        <w:tc>
          <w:tcPr>
            <w:tcW w:w="4450" w:type="dxa"/>
          </w:tcPr>
          <w:p w14:paraId="74701D33" w14:textId="0523D78A" w:rsidR="008B3CE6" w:rsidRPr="00D53A2B" w:rsidRDefault="008B3CE6" w:rsidP="004B0D48">
            <w:pPr>
              <w:pStyle w:val="KonuBal"/>
            </w:pPr>
            <w:r w:rsidRPr="00D53A2B">
              <w:t xml:space="preserve">Dekapaj </w:t>
            </w:r>
            <w:r w:rsidR="00CC3DCB">
              <w:t>aside</w:t>
            </w:r>
          </w:p>
        </w:tc>
        <w:tc>
          <w:tcPr>
            <w:tcW w:w="984" w:type="dxa"/>
          </w:tcPr>
          <w:p w14:paraId="0C1D2D49" w14:textId="77777777" w:rsidR="008B3CE6" w:rsidRPr="00D53A2B" w:rsidRDefault="008B3CE6" w:rsidP="004B0D48">
            <w:pPr>
              <w:pStyle w:val="KonuBal"/>
            </w:pPr>
            <w:r w:rsidRPr="00D53A2B">
              <w:t>Birim</w:t>
            </w:r>
          </w:p>
        </w:tc>
        <w:tc>
          <w:tcPr>
            <w:tcW w:w="3354" w:type="dxa"/>
          </w:tcPr>
          <w:p w14:paraId="565EF175" w14:textId="2439FD18" w:rsidR="008B3CE6" w:rsidRPr="00D53A2B" w:rsidRDefault="008B3CE6" w:rsidP="00E73DA3">
            <w:pPr>
              <w:pStyle w:val="KonuBal"/>
            </w:pPr>
            <w:r w:rsidRPr="00D53A2B">
              <w:t>MET-İÇPS (3 yıllık ortalama)</w:t>
            </w:r>
          </w:p>
        </w:tc>
      </w:tr>
      <w:tr w:rsidR="008B3CE6" w:rsidRPr="00D53A2B" w14:paraId="3BE5317D" w14:textId="77777777" w:rsidTr="00065723">
        <w:tc>
          <w:tcPr>
            <w:tcW w:w="4450" w:type="dxa"/>
          </w:tcPr>
          <w:p w14:paraId="2E16C0EE" w14:textId="6CEE500A" w:rsidR="008B3CE6" w:rsidRPr="00D53A2B" w:rsidRDefault="008B3CE6" w:rsidP="004B0D48">
            <w:pPr>
              <w:pStyle w:val="KonuBal"/>
            </w:pPr>
            <w:r w:rsidRPr="00D53A2B">
              <w:t>Hidroklorik asit, %28 wt</w:t>
            </w:r>
          </w:p>
        </w:tc>
        <w:tc>
          <w:tcPr>
            <w:tcW w:w="984" w:type="dxa"/>
          </w:tcPr>
          <w:p w14:paraId="39F4255B" w14:textId="7EC2BD1F" w:rsidR="008B3CE6" w:rsidRPr="00D53A2B" w:rsidRDefault="008B3CE6" w:rsidP="004B0D48">
            <w:pPr>
              <w:pStyle w:val="KonuBal"/>
            </w:pPr>
            <w:r w:rsidRPr="00D53A2B">
              <w:t>kg/t</w:t>
            </w:r>
          </w:p>
        </w:tc>
        <w:tc>
          <w:tcPr>
            <w:tcW w:w="3354" w:type="dxa"/>
            <w:vAlign w:val="bottom"/>
          </w:tcPr>
          <w:p w14:paraId="6649E50E" w14:textId="1BA5C2F8" w:rsidR="008B3CE6" w:rsidRPr="00D53A2B" w:rsidRDefault="008B3CE6" w:rsidP="00E73DA3">
            <w:pPr>
              <w:pStyle w:val="KonuBal"/>
            </w:pPr>
            <w:r w:rsidRPr="00D53A2B">
              <w:t>13-30 (</w:t>
            </w:r>
            <w:r w:rsidRPr="00D53A2B">
              <w:rPr>
                <w:vertAlign w:val="superscript"/>
              </w:rPr>
              <w:t>1</w:t>
            </w:r>
            <w:r w:rsidRPr="00D53A2B">
              <w:t>)</w:t>
            </w:r>
          </w:p>
        </w:tc>
      </w:tr>
      <w:tr w:rsidR="008B3CE6" w:rsidRPr="00D53A2B" w14:paraId="1303CBEF" w14:textId="77777777" w:rsidTr="00065723">
        <w:tc>
          <w:tcPr>
            <w:tcW w:w="8788" w:type="dxa"/>
            <w:gridSpan w:val="3"/>
          </w:tcPr>
          <w:p w14:paraId="6EDF992A" w14:textId="756C88A4" w:rsidR="008B3CE6" w:rsidRPr="00D53A2B" w:rsidRDefault="008B3CE6" w:rsidP="004B0D48">
            <w:pPr>
              <w:pStyle w:val="KonuBal"/>
            </w:pPr>
            <w:r w:rsidRPr="00D53A2B">
              <w:t>(</w:t>
            </w:r>
            <w:r w:rsidRPr="00D53A2B">
              <w:rPr>
                <w:vertAlign w:val="superscript"/>
              </w:rPr>
              <w:t>1</w:t>
            </w:r>
            <w:r w:rsidRPr="00D53A2B">
              <w:t>) MET-İÇPS aralığının üst sınırı daha yüksek olabilir ve esas olarak yüksek spesifik yüzey alanına sahip iş parçalarını galvanizlerken (örn. ince ürünler &lt; 1,5 mm, duvar kalınlığı &lt; 3 mm olan borular) veya regalvanizasyon yapıldığında 50 kg/t</w:t>
            </w:r>
            <w:r w:rsidR="00E56504" w:rsidRPr="00D53A2B">
              <w:t>’</w:t>
            </w:r>
            <w:r w:rsidRPr="00D53A2B">
              <w:t>a kadar çıkabilir.</w:t>
            </w:r>
          </w:p>
        </w:tc>
      </w:tr>
    </w:tbl>
    <w:p w14:paraId="17444F97" w14:textId="77777777" w:rsidR="008B3CE6" w:rsidRPr="00D53A2B" w:rsidRDefault="008B3CE6" w:rsidP="00A202FD">
      <w:pPr>
        <w:jc w:val="both"/>
        <w:rPr>
          <w:rFonts w:eastAsia="Calibri"/>
          <w:lang w:eastAsia="en-US"/>
        </w:rPr>
      </w:pPr>
    </w:p>
    <w:p w14:paraId="5CCBB1FA" w14:textId="55536410" w:rsidR="008B3CE6" w:rsidRPr="00D53A2B" w:rsidRDefault="008B3CE6" w:rsidP="00A202FD">
      <w:pPr>
        <w:jc w:val="both"/>
        <w:rPr>
          <w:rFonts w:eastAsia="Calibri"/>
          <w:lang w:eastAsia="en-US"/>
        </w:rPr>
      </w:pPr>
      <w:r w:rsidRPr="00D53A2B">
        <w:rPr>
          <w:rFonts w:eastAsia="Calibri"/>
          <w:lang w:eastAsia="en-US"/>
        </w:rPr>
        <w:t>İlgili izleme MET 6</w:t>
      </w:r>
      <w:r w:rsidR="00E56504" w:rsidRPr="00D53A2B">
        <w:rPr>
          <w:rFonts w:eastAsia="Calibri"/>
          <w:lang w:eastAsia="en-US"/>
        </w:rPr>
        <w:t>’</w:t>
      </w:r>
      <w:r w:rsidRPr="00D53A2B">
        <w:rPr>
          <w:rFonts w:eastAsia="Calibri"/>
          <w:lang w:eastAsia="en-US"/>
        </w:rPr>
        <w:t>da verilmiştir.</w:t>
      </w:r>
    </w:p>
    <w:p w14:paraId="564E14FF" w14:textId="77777777" w:rsidR="00A53F77" w:rsidRPr="00D53A2B" w:rsidRDefault="00A53F77" w:rsidP="00A202FD">
      <w:pPr>
        <w:jc w:val="both"/>
        <w:rPr>
          <w:rFonts w:eastAsia="Calibri"/>
          <w:lang w:eastAsia="en-US"/>
        </w:rPr>
      </w:pPr>
    </w:p>
    <w:p w14:paraId="2566E4A6" w14:textId="10C4A614" w:rsidR="008B3CE6" w:rsidRPr="00D53A2B" w:rsidRDefault="008B3CE6" w:rsidP="00A202FD">
      <w:pPr>
        <w:pStyle w:val="MET"/>
        <w:rPr>
          <w:rFonts w:eastAsia="Calibri"/>
          <w:szCs w:val="24"/>
        </w:rPr>
      </w:pPr>
      <w:r w:rsidRPr="00D53A2B">
        <w:rPr>
          <w:rFonts w:eastAsia="Calibri"/>
          <w:szCs w:val="24"/>
        </w:rPr>
        <w:t xml:space="preserve">MET 15: </w:t>
      </w:r>
      <w:r w:rsidR="00281813" w:rsidRPr="00D53A2B">
        <w:rPr>
          <w:rFonts w:eastAsia="Calibri"/>
          <w:szCs w:val="24"/>
        </w:rPr>
        <w:t>Eritkenlemede malzeme verimliliğini artırmak ve bertaraf için gönderilen kullanılmış eritkenletme çözeltisi miktarını azaltmak için, aşağıda verilen (a), (b) ve (c) tekniklerinin tümünü (d) tekniği ile birlikte veya (e) tekniği ile birlikte kullanır.</w:t>
      </w:r>
    </w:p>
    <w:p w14:paraId="34DE3D74" w14:textId="476A001B"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567"/>
        <w:gridCol w:w="1701"/>
        <w:gridCol w:w="4111"/>
        <w:gridCol w:w="2551"/>
      </w:tblGrid>
      <w:tr w:rsidR="00281813" w:rsidRPr="00800D11" w14:paraId="3C94E1E2" w14:textId="77777777" w:rsidTr="00281813">
        <w:tc>
          <w:tcPr>
            <w:tcW w:w="2268" w:type="dxa"/>
            <w:gridSpan w:val="2"/>
          </w:tcPr>
          <w:p w14:paraId="1676F3F3" w14:textId="77777777" w:rsidR="00281813" w:rsidRPr="009077F5" w:rsidRDefault="00281813" w:rsidP="004B0D48">
            <w:pPr>
              <w:pStyle w:val="KonuBal"/>
              <w:rPr>
                <w:sz w:val="24"/>
                <w:szCs w:val="24"/>
              </w:rPr>
            </w:pPr>
            <w:r w:rsidRPr="009077F5">
              <w:rPr>
                <w:sz w:val="24"/>
                <w:szCs w:val="24"/>
              </w:rPr>
              <w:t>Teknik</w:t>
            </w:r>
          </w:p>
        </w:tc>
        <w:tc>
          <w:tcPr>
            <w:tcW w:w="4111" w:type="dxa"/>
          </w:tcPr>
          <w:p w14:paraId="6C796F64" w14:textId="77777777" w:rsidR="00281813" w:rsidRPr="009077F5" w:rsidRDefault="00281813" w:rsidP="004B0D48">
            <w:pPr>
              <w:pStyle w:val="KonuBal"/>
              <w:rPr>
                <w:sz w:val="24"/>
                <w:szCs w:val="24"/>
              </w:rPr>
            </w:pPr>
            <w:r w:rsidRPr="009077F5">
              <w:rPr>
                <w:sz w:val="24"/>
                <w:szCs w:val="24"/>
              </w:rPr>
              <w:t>Açıklama</w:t>
            </w:r>
          </w:p>
        </w:tc>
        <w:tc>
          <w:tcPr>
            <w:tcW w:w="2551" w:type="dxa"/>
          </w:tcPr>
          <w:p w14:paraId="09B33F6D" w14:textId="77777777" w:rsidR="00281813" w:rsidRPr="009077F5" w:rsidRDefault="00281813" w:rsidP="00800D11">
            <w:pPr>
              <w:pStyle w:val="KonuBal"/>
              <w:rPr>
                <w:sz w:val="24"/>
                <w:szCs w:val="24"/>
              </w:rPr>
            </w:pPr>
            <w:r w:rsidRPr="009077F5">
              <w:rPr>
                <w:sz w:val="24"/>
                <w:szCs w:val="24"/>
              </w:rPr>
              <w:t>Uygulanabilirlik</w:t>
            </w:r>
          </w:p>
        </w:tc>
      </w:tr>
      <w:tr w:rsidR="00281813" w:rsidRPr="00800D11" w14:paraId="7B2D8A6B" w14:textId="77777777" w:rsidTr="00281813">
        <w:tc>
          <w:tcPr>
            <w:tcW w:w="567" w:type="dxa"/>
            <w:vAlign w:val="center"/>
          </w:tcPr>
          <w:p w14:paraId="14A31466" w14:textId="77777777" w:rsidR="00281813" w:rsidRPr="009077F5" w:rsidRDefault="00281813" w:rsidP="004B0D48">
            <w:pPr>
              <w:pStyle w:val="KonuBal"/>
              <w:rPr>
                <w:sz w:val="24"/>
                <w:szCs w:val="24"/>
              </w:rPr>
            </w:pPr>
            <w:r w:rsidRPr="009077F5">
              <w:rPr>
                <w:sz w:val="24"/>
                <w:szCs w:val="24"/>
              </w:rPr>
              <w:t>a.</w:t>
            </w:r>
          </w:p>
        </w:tc>
        <w:tc>
          <w:tcPr>
            <w:tcW w:w="1701" w:type="dxa"/>
            <w:vAlign w:val="center"/>
          </w:tcPr>
          <w:p w14:paraId="4F524507" w14:textId="5C3E7098" w:rsidR="00281813" w:rsidRPr="009077F5" w:rsidRDefault="00281813" w:rsidP="004B0D48">
            <w:pPr>
              <w:pStyle w:val="KonuBal"/>
              <w:rPr>
                <w:sz w:val="24"/>
                <w:szCs w:val="24"/>
              </w:rPr>
            </w:pPr>
            <w:r w:rsidRPr="009077F5">
              <w:rPr>
                <w:sz w:val="24"/>
                <w:szCs w:val="24"/>
              </w:rPr>
              <w:t>Dekapaj sonrası iş parçalarının durulanması</w:t>
            </w:r>
          </w:p>
        </w:tc>
        <w:tc>
          <w:tcPr>
            <w:tcW w:w="4111" w:type="dxa"/>
            <w:vAlign w:val="center"/>
          </w:tcPr>
          <w:p w14:paraId="222EEB52" w14:textId="1D92D106" w:rsidR="00281813" w:rsidRPr="009077F5" w:rsidRDefault="00281813" w:rsidP="00800D11">
            <w:pPr>
              <w:pStyle w:val="KonuBal"/>
              <w:rPr>
                <w:sz w:val="24"/>
                <w:szCs w:val="24"/>
              </w:rPr>
            </w:pPr>
            <w:r w:rsidRPr="009077F5">
              <w:rPr>
                <w:sz w:val="24"/>
                <w:szCs w:val="24"/>
              </w:rPr>
              <w:t>Kesikli galvanizlemede, dekapajdan sonra iş parçalarının durulanmasıyla eritken çözeltisine demir taşınması azaltılır.</w:t>
            </w:r>
          </w:p>
        </w:tc>
        <w:tc>
          <w:tcPr>
            <w:tcW w:w="2551" w:type="dxa"/>
            <w:vAlign w:val="center"/>
          </w:tcPr>
          <w:p w14:paraId="7D067117" w14:textId="071DD67D" w:rsidR="00281813" w:rsidRPr="009077F5" w:rsidRDefault="00281813" w:rsidP="00E73DA3">
            <w:pPr>
              <w:pStyle w:val="KonuBal"/>
              <w:rPr>
                <w:sz w:val="24"/>
                <w:szCs w:val="24"/>
              </w:rPr>
            </w:pPr>
            <w:r w:rsidRPr="009077F5">
              <w:rPr>
                <w:sz w:val="24"/>
                <w:szCs w:val="24"/>
              </w:rPr>
              <w:t>Mevcut tesislere uygulanabilirlik, alan yetersizliği nedeniyle kısıtlanabilir.</w:t>
            </w:r>
          </w:p>
        </w:tc>
      </w:tr>
      <w:tr w:rsidR="00281813" w:rsidRPr="00800D11" w14:paraId="5792461A" w14:textId="77777777" w:rsidTr="00281813">
        <w:tc>
          <w:tcPr>
            <w:tcW w:w="567" w:type="dxa"/>
            <w:vAlign w:val="center"/>
          </w:tcPr>
          <w:p w14:paraId="1D242FDF" w14:textId="77777777" w:rsidR="00281813" w:rsidRPr="009077F5" w:rsidRDefault="00281813" w:rsidP="004B0D48">
            <w:pPr>
              <w:pStyle w:val="KonuBal"/>
              <w:rPr>
                <w:sz w:val="24"/>
                <w:szCs w:val="24"/>
              </w:rPr>
            </w:pPr>
            <w:r w:rsidRPr="009077F5">
              <w:rPr>
                <w:sz w:val="24"/>
                <w:szCs w:val="24"/>
              </w:rPr>
              <w:t>b.</w:t>
            </w:r>
          </w:p>
        </w:tc>
        <w:tc>
          <w:tcPr>
            <w:tcW w:w="1701" w:type="dxa"/>
            <w:vAlign w:val="center"/>
          </w:tcPr>
          <w:p w14:paraId="104D4160" w14:textId="2B0AA259" w:rsidR="00281813" w:rsidRPr="009077F5" w:rsidRDefault="00281813" w:rsidP="004B0D48">
            <w:pPr>
              <w:pStyle w:val="KonuBal"/>
              <w:rPr>
                <w:sz w:val="24"/>
                <w:szCs w:val="24"/>
              </w:rPr>
            </w:pPr>
            <w:r w:rsidRPr="009077F5">
              <w:rPr>
                <w:sz w:val="24"/>
                <w:szCs w:val="24"/>
              </w:rPr>
              <w:t>Optimize edilmiş eritkenleme işlemi</w:t>
            </w:r>
          </w:p>
        </w:tc>
        <w:tc>
          <w:tcPr>
            <w:tcW w:w="4111" w:type="dxa"/>
            <w:vAlign w:val="center"/>
          </w:tcPr>
          <w:p w14:paraId="7ED1BEA9" w14:textId="6FFEF963" w:rsidR="00281813" w:rsidRPr="009077F5" w:rsidRDefault="00281813" w:rsidP="00800D11">
            <w:pPr>
              <w:pStyle w:val="KonuBal"/>
              <w:rPr>
                <w:sz w:val="24"/>
                <w:szCs w:val="24"/>
              </w:rPr>
            </w:pPr>
            <w:r w:rsidRPr="009077F5">
              <w:rPr>
                <w:sz w:val="24"/>
                <w:szCs w:val="24"/>
              </w:rPr>
              <w:t>Eritken çözeltisinin kimyasal bileşimi sık sık izlenir ve ayarlanır. Kullanılan eritken madde miktarı, ürün özelliklerine ulaşmak için gereken minimum seviyeye indirilir.</w:t>
            </w:r>
          </w:p>
        </w:tc>
        <w:tc>
          <w:tcPr>
            <w:tcW w:w="2551" w:type="dxa"/>
            <w:vAlign w:val="center"/>
          </w:tcPr>
          <w:p w14:paraId="4F8C61D7" w14:textId="2E5887B8" w:rsidR="00281813" w:rsidRPr="009077F5" w:rsidRDefault="00281813" w:rsidP="00E73DA3">
            <w:pPr>
              <w:pStyle w:val="KonuBal"/>
              <w:rPr>
                <w:sz w:val="24"/>
                <w:szCs w:val="24"/>
              </w:rPr>
            </w:pPr>
            <w:r w:rsidRPr="009077F5">
              <w:rPr>
                <w:sz w:val="24"/>
                <w:szCs w:val="24"/>
              </w:rPr>
              <w:t>Genel olarak uygulanabilir.</w:t>
            </w:r>
          </w:p>
        </w:tc>
      </w:tr>
      <w:tr w:rsidR="00281813" w:rsidRPr="00800D11" w14:paraId="440450BE" w14:textId="77777777" w:rsidTr="00281813">
        <w:tc>
          <w:tcPr>
            <w:tcW w:w="567" w:type="dxa"/>
            <w:vAlign w:val="center"/>
          </w:tcPr>
          <w:p w14:paraId="3DFEDE67" w14:textId="77777777" w:rsidR="00281813" w:rsidRPr="009077F5" w:rsidRDefault="00281813" w:rsidP="004B0D48">
            <w:pPr>
              <w:pStyle w:val="KonuBal"/>
              <w:rPr>
                <w:sz w:val="24"/>
                <w:szCs w:val="24"/>
              </w:rPr>
            </w:pPr>
            <w:r w:rsidRPr="009077F5">
              <w:rPr>
                <w:sz w:val="24"/>
                <w:szCs w:val="24"/>
              </w:rPr>
              <w:lastRenderedPageBreak/>
              <w:t>c.</w:t>
            </w:r>
          </w:p>
        </w:tc>
        <w:tc>
          <w:tcPr>
            <w:tcW w:w="1701" w:type="dxa"/>
            <w:vAlign w:val="center"/>
          </w:tcPr>
          <w:p w14:paraId="75A6DAB9" w14:textId="6DA90EFA" w:rsidR="00281813" w:rsidRPr="009077F5" w:rsidRDefault="004B56C9" w:rsidP="004B0D48">
            <w:pPr>
              <w:pStyle w:val="KonuBal"/>
              <w:rPr>
                <w:sz w:val="24"/>
                <w:szCs w:val="24"/>
              </w:rPr>
            </w:pPr>
            <w:r w:rsidRPr="009077F5">
              <w:rPr>
                <w:sz w:val="24"/>
                <w:szCs w:val="24"/>
              </w:rPr>
              <w:t>Eritken çözeltisinin sürüklenmesinin en aza indirilmesi</w:t>
            </w:r>
          </w:p>
        </w:tc>
        <w:tc>
          <w:tcPr>
            <w:tcW w:w="4111" w:type="dxa"/>
            <w:vAlign w:val="center"/>
          </w:tcPr>
          <w:p w14:paraId="5113A055" w14:textId="60934425" w:rsidR="00281813" w:rsidRPr="009077F5" w:rsidRDefault="004B56C9" w:rsidP="00A202FD">
            <w:pPr>
              <w:pStyle w:val="ListeParagraf"/>
              <w:numPr>
                <w:ilvl w:val="0"/>
                <w:numId w:val="0"/>
              </w:numPr>
              <w:tabs>
                <w:tab w:val="clear" w:pos="567"/>
              </w:tabs>
              <w:rPr>
                <w:sz w:val="24"/>
                <w:szCs w:val="24"/>
              </w:rPr>
            </w:pPr>
            <w:r w:rsidRPr="009077F5">
              <w:rPr>
                <w:rFonts w:eastAsia="Calibri"/>
                <w:position w:val="0"/>
                <w:sz w:val="24"/>
                <w:szCs w:val="24"/>
              </w:rPr>
              <w:t>Eritken çözeltinin sürüklenmesi, damlaması için yeterli zaman tanınarak en aza indirilir.</w:t>
            </w:r>
          </w:p>
        </w:tc>
        <w:tc>
          <w:tcPr>
            <w:tcW w:w="2551" w:type="dxa"/>
            <w:vAlign w:val="center"/>
          </w:tcPr>
          <w:p w14:paraId="78FAAE79" w14:textId="77777777" w:rsidR="00281813" w:rsidRPr="009077F5" w:rsidRDefault="00281813" w:rsidP="004B0D48">
            <w:pPr>
              <w:pStyle w:val="KonuBal"/>
              <w:rPr>
                <w:sz w:val="24"/>
                <w:szCs w:val="24"/>
              </w:rPr>
            </w:pPr>
            <w:r w:rsidRPr="009077F5">
              <w:rPr>
                <w:sz w:val="24"/>
                <w:szCs w:val="24"/>
              </w:rPr>
              <w:t>Genel olarak uygulanabilir.</w:t>
            </w:r>
          </w:p>
        </w:tc>
      </w:tr>
      <w:tr w:rsidR="00281813" w:rsidRPr="00800D11" w14:paraId="7131DF1E" w14:textId="77777777" w:rsidTr="00281813">
        <w:tc>
          <w:tcPr>
            <w:tcW w:w="567" w:type="dxa"/>
            <w:vAlign w:val="center"/>
          </w:tcPr>
          <w:p w14:paraId="749A5B5E" w14:textId="77777777" w:rsidR="00281813" w:rsidRPr="009077F5" w:rsidRDefault="00281813" w:rsidP="004B0D48">
            <w:pPr>
              <w:pStyle w:val="KonuBal"/>
              <w:rPr>
                <w:sz w:val="24"/>
                <w:szCs w:val="24"/>
              </w:rPr>
            </w:pPr>
            <w:r w:rsidRPr="009077F5">
              <w:rPr>
                <w:sz w:val="24"/>
                <w:szCs w:val="24"/>
              </w:rPr>
              <w:t>d.</w:t>
            </w:r>
          </w:p>
        </w:tc>
        <w:tc>
          <w:tcPr>
            <w:tcW w:w="1701" w:type="dxa"/>
            <w:vAlign w:val="center"/>
          </w:tcPr>
          <w:p w14:paraId="60B016E3" w14:textId="2BCE3BC5" w:rsidR="00281813" w:rsidRPr="009077F5" w:rsidRDefault="004B56C9" w:rsidP="00A202FD">
            <w:pPr>
              <w:jc w:val="both"/>
              <w:rPr>
                <w:rFonts w:eastAsia="Calibri"/>
                <w:lang w:eastAsia="en-US"/>
              </w:rPr>
            </w:pPr>
            <w:r w:rsidRPr="009077F5">
              <w:rPr>
                <w:rFonts w:eastAsia="Calibri"/>
                <w:lang w:eastAsia="en-US"/>
              </w:rPr>
              <w:t>Demir giderimi ve eritken çözeltisinin yeniden kullanımı</w:t>
            </w:r>
          </w:p>
        </w:tc>
        <w:tc>
          <w:tcPr>
            <w:tcW w:w="4111" w:type="dxa"/>
            <w:vAlign w:val="center"/>
          </w:tcPr>
          <w:p w14:paraId="5E6AF87A" w14:textId="2387084B" w:rsidR="00281813" w:rsidRPr="009077F5" w:rsidRDefault="004B56C9" w:rsidP="004B0D48">
            <w:pPr>
              <w:pStyle w:val="KonuBal"/>
              <w:rPr>
                <w:sz w:val="24"/>
                <w:szCs w:val="24"/>
              </w:rPr>
            </w:pPr>
            <w:r w:rsidRPr="009077F5">
              <w:rPr>
                <w:sz w:val="24"/>
                <w:szCs w:val="24"/>
              </w:rPr>
              <w:t>Demir, aşağıdaki tekniklerden biri ile eritken çözeltisinden uzaklaştırılır</w:t>
            </w:r>
            <w:r w:rsidR="00281813" w:rsidRPr="009077F5">
              <w:rPr>
                <w:sz w:val="24"/>
                <w:szCs w:val="24"/>
              </w:rPr>
              <w:t>:</w:t>
            </w:r>
          </w:p>
          <w:p w14:paraId="48CB3D62" w14:textId="6C0DC765" w:rsidR="00281813" w:rsidRPr="009077F5" w:rsidRDefault="004B56C9" w:rsidP="00602365">
            <w:pPr>
              <w:pStyle w:val="ListeParagraf"/>
              <w:numPr>
                <w:ilvl w:val="0"/>
                <w:numId w:val="143"/>
              </w:numPr>
              <w:tabs>
                <w:tab w:val="clear" w:pos="567"/>
              </w:tabs>
              <w:ind w:left="315" w:hanging="284"/>
              <w:rPr>
                <w:sz w:val="24"/>
                <w:szCs w:val="24"/>
              </w:rPr>
            </w:pPr>
            <w:r w:rsidRPr="009077F5">
              <w:rPr>
                <w:sz w:val="24"/>
                <w:szCs w:val="24"/>
              </w:rPr>
              <w:t>Elektrolitik oksidasyon</w:t>
            </w:r>
            <w:r w:rsidR="00281813" w:rsidRPr="009077F5">
              <w:rPr>
                <w:sz w:val="24"/>
                <w:szCs w:val="24"/>
              </w:rPr>
              <w:t>;</w:t>
            </w:r>
          </w:p>
          <w:p w14:paraId="3F29BCDB" w14:textId="77777777" w:rsidR="008B307F" w:rsidRPr="009077F5" w:rsidRDefault="008B307F" w:rsidP="00602365">
            <w:pPr>
              <w:pStyle w:val="ListeParagraf"/>
              <w:numPr>
                <w:ilvl w:val="0"/>
                <w:numId w:val="143"/>
              </w:numPr>
              <w:tabs>
                <w:tab w:val="clear" w:pos="567"/>
              </w:tabs>
              <w:ind w:left="315" w:hanging="284"/>
              <w:rPr>
                <w:sz w:val="24"/>
                <w:szCs w:val="24"/>
              </w:rPr>
            </w:pPr>
            <w:r w:rsidRPr="009077F5">
              <w:rPr>
                <w:sz w:val="24"/>
                <w:szCs w:val="24"/>
              </w:rPr>
              <w:t>hava veya H</w:t>
            </w:r>
            <w:r w:rsidRPr="009077F5">
              <w:rPr>
                <w:sz w:val="24"/>
                <w:szCs w:val="24"/>
                <w:vertAlign w:val="subscript"/>
              </w:rPr>
              <w:t>2</w:t>
            </w:r>
            <w:r w:rsidRPr="009077F5">
              <w:rPr>
                <w:sz w:val="24"/>
                <w:szCs w:val="24"/>
              </w:rPr>
              <w:t>O</w:t>
            </w:r>
            <w:r w:rsidRPr="009077F5">
              <w:rPr>
                <w:sz w:val="24"/>
                <w:szCs w:val="24"/>
                <w:vertAlign w:val="subscript"/>
              </w:rPr>
              <w:t>2</w:t>
            </w:r>
            <w:r w:rsidRPr="009077F5">
              <w:rPr>
                <w:sz w:val="24"/>
                <w:szCs w:val="24"/>
              </w:rPr>
              <w:t xml:space="preserve"> kullanarak oksidasyon</w:t>
            </w:r>
          </w:p>
          <w:p w14:paraId="46A84DDA" w14:textId="77777777" w:rsidR="00281813" w:rsidRPr="009077F5" w:rsidRDefault="008B307F" w:rsidP="00602365">
            <w:pPr>
              <w:pStyle w:val="ListeParagraf"/>
              <w:numPr>
                <w:ilvl w:val="0"/>
                <w:numId w:val="143"/>
              </w:numPr>
              <w:tabs>
                <w:tab w:val="clear" w:pos="567"/>
              </w:tabs>
              <w:ind w:left="315" w:hanging="284"/>
              <w:rPr>
                <w:sz w:val="24"/>
                <w:szCs w:val="24"/>
              </w:rPr>
            </w:pPr>
            <w:r w:rsidRPr="009077F5">
              <w:rPr>
                <w:sz w:val="24"/>
                <w:szCs w:val="24"/>
              </w:rPr>
              <w:t>iyon değişimi</w:t>
            </w:r>
          </w:p>
          <w:p w14:paraId="37FEA302" w14:textId="216258F8" w:rsidR="008B307F" w:rsidRPr="009077F5" w:rsidRDefault="008B307F" w:rsidP="00A202FD">
            <w:pPr>
              <w:ind w:left="31"/>
              <w:jc w:val="both"/>
            </w:pPr>
            <w:r w:rsidRPr="009077F5">
              <w:t>Demir giderildikten sonra eritken çözeltisi yeniden kullanılır</w:t>
            </w:r>
          </w:p>
        </w:tc>
        <w:tc>
          <w:tcPr>
            <w:tcW w:w="2551" w:type="dxa"/>
            <w:vAlign w:val="center"/>
          </w:tcPr>
          <w:p w14:paraId="3EC0455D" w14:textId="1A192E07" w:rsidR="00281813" w:rsidRPr="009077F5" w:rsidRDefault="008B307F" w:rsidP="004B0D48">
            <w:pPr>
              <w:pStyle w:val="KonuBal"/>
              <w:rPr>
                <w:sz w:val="24"/>
                <w:szCs w:val="24"/>
              </w:rPr>
            </w:pPr>
            <w:r w:rsidRPr="009077F5">
              <w:rPr>
                <w:sz w:val="24"/>
                <w:szCs w:val="24"/>
              </w:rPr>
              <w:t>Mevcut yığın galvanizleme tesislerine uygulanabilirlik, alan yetersizliği nedeniyle kısıtlanabilir.</w:t>
            </w:r>
          </w:p>
        </w:tc>
      </w:tr>
      <w:tr w:rsidR="00281813" w:rsidRPr="00800D11" w14:paraId="7C6129FE" w14:textId="77777777" w:rsidTr="00281813">
        <w:tc>
          <w:tcPr>
            <w:tcW w:w="567" w:type="dxa"/>
            <w:vAlign w:val="center"/>
          </w:tcPr>
          <w:p w14:paraId="2149760A" w14:textId="77777777" w:rsidR="00281813" w:rsidRPr="009077F5" w:rsidRDefault="00281813" w:rsidP="004B0D48">
            <w:pPr>
              <w:pStyle w:val="KonuBal"/>
              <w:rPr>
                <w:sz w:val="24"/>
                <w:szCs w:val="24"/>
              </w:rPr>
            </w:pPr>
            <w:r w:rsidRPr="009077F5">
              <w:rPr>
                <w:sz w:val="24"/>
                <w:szCs w:val="24"/>
              </w:rPr>
              <w:t>e.</w:t>
            </w:r>
          </w:p>
        </w:tc>
        <w:tc>
          <w:tcPr>
            <w:tcW w:w="1701" w:type="dxa"/>
            <w:vAlign w:val="center"/>
          </w:tcPr>
          <w:p w14:paraId="1A422617" w14:textId="537E81EB" w:rsidR="00281813" w:rsidRPr="009077F5" w:rsidRDefault="008B307F" w:rsidP="00A202FD">
            <w:pPr>
              <w:jc w:val="both"/>
              <w:rPr>
                <w:rFonts w:eastAsia="Calibri"/>
                <w:lang w:eastAsia="en-US"/>
              </w:rPr>
            </w:pPr>
            <w:r w:rsidRPr="009077F5">
              <w:rPr>
                <w:rFonts w:eastAsia="Calibri"/>
                <w:lang w:eastAsia="en-US"/>
              </w:rPr>
              <w:t>Eritken maddelerin üretimi için kullanılmış eritken çözeltisinden tuzların geri kazanımı.</w:t>
            </w:r>
          </w:p>
        </w:tc>
        <w:tc>
          <w:tcPr>
            <w:tcW w:w="4111" w:type="dxa"/>
            <w:vAlign w:val="center"/>
          </w:tcPr>
          <w:p w14:paraId="76BC0CA1" w14:textId="3B5E70AA" w:rsidR="00281813" w:rsidRPr="009077F5" w:rsidRDefault="008B307F" w:rsidP="00A202FD">
            <w:pPr>
              <w:jc w:val="both"/>
              <w:rPr>
                <w:lang w:val="en-US" w:eastAsia="en-US"/>
              </w:rPr>
            </w:pPr>
            <w:r w:rsidRPr="009077F5">
              <w:rPr>
                <w:rFonts w:eastAsia="Calibri"/>
                <w:spacing w:val="2"/>
                <w:lang w:val="en-US" w:eastAsia="en-US"/>
              </w:rPr>
              <w:t>Kullanılmış eritken çözeltisi, eritken maddeleri üretmek için içerdiği tuzları geri kazanmak için kullanılır. Bu işlem sahada veya saha dışında gerçekleştirilebilir.</w:t>
            </w:r>
          </w:p>
        </w:tc>
        <w:tc>
          <w:tcPr>
            <w:tcW w:w="2551" w:type="dxa"/>
            <w:vAlign w:val="center"/>
          </w:tcPr>
          <w:p w14:paraId="273D793F" w14:textId="28A85A75" w:rsidR="00281813" w:rsidRPr="009077F5" w:rsidRDefault="008B307F" w:rsidP="004B0D48">
            <w:pPr>
              <w:pStyle w:val="KonuBal"/>
              <w:rPr>
                <w:sz w:val="24"/>
                <w:szCs w:val="24"/>
              </w:rPr>
            </w:pPr>
            <w:r w:rsidRPr="009077F5">
              <w:rPr>
                <w:sz w:val="24"/>
                <w:szCs w:val="24"/>
              </w:rPr>
              <w:t>Uygulanabilirlik, bir pazarın mevcudiyetine bağlı olarak kısıtlanabilir.</w:t>
            </w:r>
          </w:p>
        </w:tc>
      </w:tr>
    </w:tbl>
    <w:p w14:paraId="4CE84C8D" w14:textId="77777777" w:rsidR="0071694E" w:rsidRPr="00D53A2B" w:rsidRDefault="0071694E" w:rsidP="00A202FD">
      <w:pPr>
        <w:jc w:val="both"/>
        <w:rPr>
          <w:rFonts w:eastAsia="Calibri"/>
          <w:lang w:eastAsia="en-US"/>
        </w:rPr>
      </w:pPr>
    </w:p>
    <w:p w14:paraId="1B734C98" w14:textId="7A597FAF" w:rsidR="0071694E" w:rsidRPr="00D53A2B" w:rsidRDefault="00B70854" w:rsidP="00A202FD">
      <w:pPr>
        <w:pStyle w:val="MET"/>
        <w:rPr>
          <w:rFonts w:eastAsia="Calibri"/>
          <w:szCs w:val="24"/>
        </w:rPr>
      </w:pPr>
      <w:r w:rsidRPr="00D53A2B">
        <w:rPr>
          <w:rFonts w:eastAsia="Calibri"/>
          <w:szCs w:val="24"/>
        </w:rPr>
        <w:t xml:space="preserve">MET 16: Tellerin kaplanmasında ve yığın galvanizlemede sıcak daldırmanın malzeme verimliliğini artırmak ve atık oluşumunu azaltmak için </w:t>
      </w:r>
      <w:r w:rsidR="00651500" w:rsidRPr="00D53A2B">
        <w:rPr>
          <w:rFonts w:eastAsia="Calibri"/>
          <w:szCs w:val="24"/>
        </w:rPr>
        <w:t>MET</w:t>
      </w:r>
      <w:r w:rsidRPr="00D53A2B">
        <w:rPr>
          <w:rFonts w:eastAsia="Calibri"/>
          <w:szCs w:val="24"/>
        </w:rPr>
        <w:t>aşağıda verilen tekniklerin tümünü kullanmaktır.</w:t>
      </w:r>
    </w:p>
    <w:p w14:paraId="1295CD52" w14:textId="77777777" w:rsidR="00B70854" w:rsidRPr="00D53A2B" w:rsidRDefault="00B70854"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2268"/>
        <w:gridCol w:w="6237"/>
      </w:tblGrid>
      <w:tr w:rsidR="00B70854" w:rsidRPr="004B0D48" w14:paraId="00A56209" w14:textId="77777777" w:rsidTr="00B70854">
        <w:tc>
          <w:tcPr>
            <w:tcW w:w="2693" w:type="dxa"/>
            <w:gridSpan w:val="2"/>
          </w:tcPr>
          <w:p w14:paraId="076EC27E" w14:textId="77777777" w:rsidR="00B70854" w:rsidRPr="009077F5" w:rsidRDefault="00B70854" w:rsidP="004B0D48">
            <w:pPr>
              <w:pStyle w:val="KonuBal"/>
              <w:rPr>
                <w:sz w:val="24"/>
                <w:szCs w:val="24"/>
              </w:rPr>
            </w:pPr>
            <w:r w:rsidRPr="009077F5">
              <w:rPr>
                <w:sz w:val="24"/>
                <w:szCs w:val="24"/>
              </w:rPr>
              <w:t>Teknik</w:t>
            </w:r>
          </w:p>
        </w:tc>
        <w:tc>
          <w:tcPr>
            <w:tcW w:w="6237" w:type="dxa"/>
          </w:tcPr>
          <w:p w14:paraId="3F2814CB" w14:textId="77777777" w:rsidR="00B70854" w:rsidRPr="009077F5" w:rsidRDefault="00B70854" w:rsidP="004B0D48">
            <w:pPr>
              <w:pStyle w:val="KonuBal"/>
              <w:rPr>
                <w:sz w:val="24"/>
                <w:szCs w:val="24"/>
              </w:rPr>
            </w:pPr>
            <w:r w:rsidRPr="009077F5">
              <w:rPr>
                <w:sz w:val="24"/>
                <w:szCs w:val="24"/>
              </w:rPr>
              <w:t>Açıklama</w:t>
            </w:r>
          </w:p>
        </w:tc>
      </w:tr>
      <w:tr w:rsidR="00B70854" w:rsidRPr="004B0D48" w14:paraId="662C4A9B" w14:textId="77777777" w:rsidTr="00B70854">
        <w:tc>
          <w:tcPr>
            <w:tcW w:w="425" w:type="dxa"/>
            <w:vAlign w:val="center"/>
          </w:tcPr>
          <w:p w14:paraId="63AEB6EE" w14:textId="77777777" w:rsidR="00B70854" w:rsidRPr="009077F5" w:rsidRDefault="00B70854" w:rsidP="004B0D48">
            <w:pPr>
              <w:pStyle w:val="KonuBal"/>
              <w:rPr>
                <w:sz w:val="24"/>
                <w:szCs w:val="24"/>
              </w:rPr>
            </w:pPr>
            <w:r w:rsidRPr="009077F5">
              <w:rPr>
                <w:sz w:val="24"/>
                <w:szCs w:val="24"/>
              </w:rPr>
              <w:t>a.</w:t>
            </w:r>
          </w:p>
        </w:tc>
        <w:tc>
          <w:tcPr>
            <w:tcW w:w="2268" w:type="dxa"/>
            <w:vAlign w:val="center"/>
          </w:tcPr>
          <w:p w14:paraId="40ACA320" w14:textId="56D78E5C" w:rsidR="00B70854" w:rsidRPr="009077F5" w:rsidRDefault="00B70854" w:rsidP="004B0D48">
            <w:pPr>
              <w:pStyle w:val="KonuBal"/>
              <w:rPr>
                <w:sz w:val="24"/>
                <w:szCs w:val="24"/>
              </w:rPr>
            </w:pPr>
            <w:r w:rsidRPr="009077F5">
              <w:rPr>
                <w:sz w:val="24"/>
                <w:szCs w:val="24"/>
              </w:rPr>
              <w:t>Dip cüruf oluşumunun azaltılması</w:t>
            </w:r>
          </w:p>
        </w:tc>
        <w:tc>
          <w:tcPr>
            <w:tcW w:w="6237" w:type="dxa"/>
            <w:vAlign w:val="center"/>
          </w:tcPr>
          <w:p w14:paraId="39FADFB0" w14:textId="59620B10" w:rsidR="00B70854" w:rsidRPr="009077F5" w:rsidRDefault="00B70854" w:rsidP="004B0D48">
            <w:pPr>
              <w:pStyle w:val="KonuBal"/>
              <w:rPr>
                <w:sz w:val="24"/>
                <w:szCs w:val="24"/>
              </w:rPr>
            </w:pPr>
            <w:r w:rsidRPr="009077F5">
              <w:rPr>
                <w:sz w:val="24"/>
                <w:szCs w:val="24"/>
              </w:rPr>
              <w:t>Dip cürufu oluşumu, örneğin asitleme sonrası yeterli durulama, demirin eritken çözeltisinden uzaklaştırılması (bkz. MET 15 (d)), hafif asitleme etkisi olan eritken maddelerin kullanılması ve galvaniz kazanında lokal aşırı ısınmanın önlenmesi ile azaltılır.</w:t>
            </w:r>
          </w:p>
        </w:tc>
      </w:tr>
      <w:tr w:rsidR="00B70854" w:rsidRPr="004B0D48" w14:paraId="6BB1E7CE" w14:textId="77777777" w:rsidTr="00B70854">
        <w:tc>
          <w:tcPr>
            <w:tcW w:w="425" w:type="dxa"/>
            <w:vAlign w:val="center"/>
          </w:tcPr>
          <w:p w14:paraId="4C36FAA5" w14:textId="77777777" w:rsidR="00B70854" w:rsidRPr="009077F5" w:rsidRDefault="00B70854" w:rsidP="004B0D48">
            <w:pPr>
              <w:pStyle w:val="KonuBal"/>
              <w:rPr>
                <w:sz w:val="24"/>
                <w:szCs w:val="24"/>
              </w:rPr>
            </w:pPr>
            <w:r w:rsidRPr="009077F5">
              <w:rPr>
                <w:sz w:val="24"/>
                <w:szCs w:val="24"/>
              </w:rPr>
              <w:t>b.</w:t>
            </w:r>
          </w:p>
        </w:tc>
        <w:tc>
          <w:tcPr>
            <w:tcW w:w="2268" w:type="dxa"/>
            <w:vAlign w:val="center"/>
          </w:tcPr>
          <w:p w14:paraId="743A59B7" w14:textId="32B20816" w:rsidR="00B70854" w:rsidRPr="009077F5" w:rsidRDefault="00B70854" w:rsidP="004B0D48">
            <w:pPr>
              <w:pStyle w:val="KonuBal"/>
              <w:rPr>
                <w:sz w:val="24"/>
                <w:szCs w:val="24"/>
              </w:rPr>
            </w:pPr>
            <w:r w:rsidRPr="009077F5">
              <w:rPr>
                <w:sz w:val="24"/>
                <w:szCs w:val="24"/>
              </w:rPr>
              <w:t>Yığın galvanizlemede çinko sıçramalarının önlenmesi, toplanması ve yeniden kullanımı</w:t>
            </w:r>
          </w:p>
        </w:tc>
        <w:tc>
          <w:tcPr>
            <w:tcW w:w="6237" w:type="dxa"/>
            <w:vAlign w:val="center"/>
          </w:tcPr>
          <w:p w14:paraId="7D90B025" w14:textId="2F6C4A18" w:rsidR="00B70854" w:rsidRPr="009077F5" w:rsidRDefault="00B70854" w:rsidP="004B0D48">
            <w:pPr>
              <w:pStyle w:val="KonuBal"/>
              <w:rPr>
                <w:sz w:val="24"/>
                <w:szCs w:val="24"/>
              </w:rPr>
            </w:pPr>
            <w:r w:rsidRPr="009077F5">
              <w:rPr>
                <w:sz w:val="24"/>
                <w:szCs w:val="24"/>
              </w:rPr>
              <w:t xml:space="preserve">Galvaniz kazanından çinko sıçraması oluĢumu, eritken çözeltinin taşınmasını en aza indirerek azaltılır (bkz. </w:t>
            </w:r>
            <w:r w:rsidR="00651500" w:rsidRPr="009077F5">
              <w:rPr>
                <w:sz w:val="24"/>
                <w:szCs w:val="24"/>
              </w:rPr>
              <w:t>MET</w:t>
            </w:r>
            <w:r w:rsidRPr="009077F5">
              <w:rPr>
                <w:sz w:val="24"/>
                <w:szCs w:val="24"/>
              </w:rPr>
              <w:t>26 (b)). Kazandan çıkan çinko sıçramaları toplanır ve yeniden kullanılır. Sıçramaların kontaminasyonunu azaltmak için kazanı çevreleyen alan temiz tutulur.</w:t>
            </w:r>
          </w:p>
        </w:tc>
      </w:tr>
      <w:tr w:rsidR="00B70854" w:rsidRPr="004B0D48" w14:paraId="583C04D1" w14:textId="77777777" w:rsidTr="00B70854">
        <w:tc>
          <w:tcPr>
            <w:tcW w:w="425" w:type="dxa"/>
            <w:vAlign w:val="center"/>
          </w:tcPr>
          <w:p w14:paraId="2316B656" w14:textId="77777777" w:rsidR="00B70854" w:rsidRPr="009077F5" w:rsidRDefault="00B70854" w:rsidP="004B0D48">
            <w:pPr>
              <w:pStyle w:val="KonuBal"/>
              <w:rPr>
                <w:sz w:val="24"/>
                <w:szCs w:val="24"/>
              </w:rPr>
            </w:pPr>
            <w:r w:rsidRPr="009077F5">
              <w:rPr>
                <w:sz w:val="24"/>
                <w:szCs w:val="24"/>
              </w:rPr>
              <w:t>c.</w:t>
            </w:r>
          </w:p>
        </w:tc>
        <w:tc>
          <w:tcPr>
            <w:tcW w:w="2268" w:type="dxa"/>
            <w:vAlign w:val="center"/>
          </w:tcPr>
          <w:p w14:paraId="395DB551" w14:textId="78035CB4" w:rsidR="00B70854" w:rsidRPr="009077F5" w:rsidRDefault="00B70854" w:rsidP="004B0D48">
            <w:pPr>
              <w:pStyle w:val="KonuBal"/>
              <w:rPr>
                <w:sz w:val="24"/>
                <w:szCs w:val="24"/>
              </w:rPr>
            </w:pPr>
            <w:r w:rsidRPr="009077F5">
              <w:rPr>
                <w:sz w:val="24"/>
                <w:szCs w:val="24"/>
              </w:rPr>
              <w:t>Çinko külü oluşumunun azaltılması</w:t>
            </w:r>
          </w:p>
        </w:tc>
        <w:tc>
          <w:tcPr>
            <w:tcW w:w="6237" w:type="dxa"/>
            <w:vAlign w:val="center"/>
          </w:tcPr>
          <w:p w14:paraId="63B2A2E6" w14:textId="77777777" w:rsidR="00B70854" w:rsidRPr="009077F5" w:rsidRDefault="00B70854" w:rsidP="00A202FD">
            <w:pPr>
              <w:pStyle w:val="ListeParagraf"/>
              <w:numPr>
                <w:ilvl w:val="0"/>
                <w:numId w:val="0"/>
              </w:numPr>
              <w:tabs>
                <w:tab w:val="clear" w:pos="567"/>
              </w:tabs>
              <w:rPr>
                <w:rFonts w:eastAsia="Calibri"/>
                <w:position w:val="0"/>
                <w:sz w:val="24"/>
                <w:szCs w:val="24"/>
              </w:rPr>
            </w:pPr>
            <w:r w:rsidRPr="009077F5">
              <w:rPr>
                <w:rFonts w:eastAsia="Calibri"/>
                <w:position w:val="0"/>
                <w:sz w:val="24"/>
                <w:szCs w:val="24"/>
              </w:rPr>
              <w:t>Çinko külü oluşumu, yani banyo yüzeyinde çinko oksidasyonu, örneğin şu şekilde azaltılır:</w:t>
            </w:r>
          </w:p>
          <w:p w14:paraId="72FFDBB2" w14:textId="77777777" w:rsidR="00B70854" w:rsidRPr="009077F5" w:rsidRDefault="00B70854" w:rsidP="00602365">
            <w:pPr>
              <w:pStyle w:val="ListeParagraf"/>
              <w:numPr>
                <w:ilvl w:val="0"/>
                <w:numId w:val="166"/>
              </w:numPr>
              <w:tabs>
                <w:tab w:val="clear" w:pos="567"/>
              </w:tabs>
              <w:ind w:left="315" w:hanging="284"/>
              <w:rPr>
                <w:sz w:val="24"/>
                <w:szCs w:val="24"/>
              </w:rPr>
            </w:pPr>
            <w:r w:rsidRPr="009077F5">
              <w:rPr>
                <w:sz w:val="24"/>
                <w:szCs w:val="24"/>
              </w:rPr>
              <w:t>Daldırma işleminden önce işlenen parçalarının/tellerin yeterince kurutulması</w:t>
            </w:r>
          </w:p>
          <w:p w14:paraId="5F2B37A4" w14:textId="77777777" w:rsidR="00805064" w:rsidRPr="009077F5" w:rsidRDefault="00805064" w:rsidP="00602365">
            <w:pPr>
              <w:pStyle w:val="ListeParagraf"/>
              <w:numPr>
                <w:ilvl w:val="0"/>
                <w:numId w:val="166"/>
              </w:numPr>
              <w:tabs>
                <w:tab w:val="clear" w:pos="567"/>
              </w:tabs>
              <w:ind w:left="315" w:hanging="284"/>
              <w:rPr>
                <w:sz w:val="24"/>
                <w:szCs w:val="24"/>
              </w:rPr>
            </w:pPr>
            <w:r w:rsidRPr="009077F5">
              <w:rPr>
                <w:sz w:val="24"/>
                <w:szCs w:val="24"/>
              </w:rPr>
              <w:t>Sıyırma işlemi de dahil olmak üzere üretim sırasında banyonun gereksiz yere bozulmasının önlenmesi</w:t>
            </w:r>
          </w:p>
          <w:p w14:paraId="5B01C77B" w14:textId="1F594BFA" w:rsidR="00805064" w:rsidRPr="009077F5" w:rsidRDefault="00805064" w:rsidP="00602365">
            <w:pPr>
              <w:pStyle w:val="ListeParagraf"/>
              <w:numPr>
                <w:ilvl w:val="0"/>
                <w:numId w:val="166"/>
              </w:numPr>
              <w:tabs>
                <w:tab w:val="clear" w:pos="567"/>
              </w:tabs>
              <w:ind w:left="315" w:hanging="284"/>
              <w:rPr>
                <w:sz w:val="24"/>
                <w:szCs w:val="24"/>
              </w:rPr>
            </w:pPr>
            <w:r w:rsidRPr="009077F5">
              <w:rPr>
                <w:sz w:val="24"/>
                <w:szCs w:val="24"/>
              </w:rPr>
              <w:t>Tellerin sürekli sıcak daldırılmasında, yüzer bir refrakter örtü kullanarak hava ile temas eden banyo yüzeyini azaltması.</w:t>
            </w:r>
          </w:p>
        </w:tc>
      </w:tr>
    </w:tbl>
    <w:p w14:paraId="4FB21234" w14:textId="77777777" w:rsidR="00B70854" w:rsidRPr="00D53A2B" w:rsidRDefault="00B70854" w:rsidP="00A202FD">
      <w:pPr>
        <w:jc w:val="both"/>
        <w:rPr>
          <w:rFonts w:eastAsia="Calibri"/>
          <w:lang w:eastAsia="en-US"/>
        </w:rPr>
      </w:pPr>
    </w:p>
    <w:p w14:paraId="6E6C89A3" w14:textId="58664A2D" w:rsidR="00FC173C" w:rsidRPr="00D53A2B" w:rsidRDefault="00FC173C" w:rsidP="00A202FD">
      <w:pPr>
        <w:pStyle w:val="MET"/>
        <w:rPr>
          <w:rFonts w:eastAsia="Calibri"/>
          <w:szCs w:val="24"/>
        </w:rPr>
      </w:pPr>
      <w:r w:rsidRPr="00D53A2B">
        <w:rPr>
          <w:rFonts w:eastAsia="Calibri"/>
          <w:szCs w:val="24"/>
        </w:rPr>
        <w:t xml:space="preserve">MET 17: </w:t>
      </w:r>
      <w:r w:rsidRPr="00D53A2B">
        <w:rPr>
          <w:rFonts w:eastAsia="Calibri"/>
          <w:b w:val="0"/>
          <w:bCs/>
          <w:szCs w:val="24"/>
        </w:rPr>
        <w:t>Malzeme verimliliğini artırmak ve fosfatlama ve pasivasyondan kaynaklanan bertaraf için gönderilen atık miktarını azaltmak için, (a) tekniğini ve aşağıda verilen (b) veya (c) tekniklerinden birini kullan</w:t>
      </w:r>
      <w:r w:rsidR="00910067" w:rsidRPr="00D53A2B">
        <w:rPr>
          <w:rFonts w:eastAsia="Calibri"/>
          <w:b w:val="0"/>
          <w:bCs/>
          <w:szCs w:val="24"/>
        </w:rPr>
        <w:t>ılabilir</w:t>
      </w:r>
      <w:r w:rsidRPr="00D53A2B">
        <w:rPr>
          <w:rFonts w:eastAsia="Calibri"/>
          <w:b w:val="0"/>
          <w:bCs/>
          <w:szCs w:val="24"/>
        </w:rPr>
        <w:t>.</w:t>
      </w:r>
    </w:p>
    <w:p w14:paraId="112905A8" w14:textId="77777777" w:rsidR="00FC173C" w:rsidRPr="00D53A2B" w:rsidRDefault="00FC173C"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2835"/>
        <w:gridCol w:w="5670"/>
      </w:tblGrid>
      <w:tr w:rsidR="00FC173C" w:rsidRPr="004B0D48" w14:paraId="3C040CDA" w14:textId="77777777" w:rsidTr="003F0CD0">
        <w:tc>
          <w:tcPr>
            <w:tcW w:w="3260" w:type="dxa"/>
            <w:gridSpan w:val="2"/>
          </w:tcPr>
          <w:p w14:paraId="618A2178" w14:textId="77777777" w:rsidR="00FC173C" w:rsidRPr="009077F5" w:rsidRDefault="00FC173C" w:rsidP="004B0D48">
            <w:pPr>
              <w:pStyle w:val="KonuBal"/>
              <w:rPr>
                <w:sz w:val="24"/>
                <w:szCs w:val="24"/>
              </w:rPr>
            </w:pPr>
            <w:r w:rsidRPr="009077F5">
              <w:rPr>
                <w:sz w:val="24"/>
                <w:szCs w:val="24"/>
              </w:rPr>
              <w:t>Teknik</w:t>
            </w:r>
          </w:p>
        </w:tc>
        <w:tc>
          <w:tcPr>
            <w:tcW w:w="5670" w:type="dxa"/>
          </w:tcPr>
          <w:p w14:paraId="0B32EEE9" w14:textId="77777777" w:rsidR="00FC173C" w:rsidRPr="009077F5" w:rsidRDefault="00FC173C" w:rsidP="004B0D48">
            <w:pPr>
              <w:pStyle w:val="KonuBal"/>
              <w:rPr>
                <w:sz w:val="24"/>
                <w:szCs w:val="24"/>
              </w:rPr>
            </w:pPr>
            <w:r w:rsidRPr="009077F5">
              <w:rPr>
                <w:sz w:val="24"/>
                <w:szCs w:val="24"/>
              </w:rPr>
              <w:t>Açıklama</w:t>
            </w:r>
          </w:p>
        </w:tc>
      </w:tr>
      <w:tr w:rsidR="003F0CD0" w:rsidRPr="004B0D48" w14:paraId="0A81F42C" w14:textId="77777777" w:rsidTr="00A202FD">
        <w:tc>
          <w:tcPr>
            <w:tcW w:w="8930" w:type="dxa"/>
            <w:gridSpan w:val="3"/>
          </w:tcPr>
          <w:p w14:paraId="0F033E84" w14:textId="34BC98AC" w:rsidR="003F0CD0" w:rsidRPr="009077F5" w:rsidRDefault="003F0CD0" w:rsidP="004B0D48">
            <w:pPr>
              <w:pStyle w:val="KonuBal"/>
              <w:rPr>
                <w:sz w:val="24"/>
                <w:szCs w:val="24"/>
              </w:rPr>
            </w:pPr>
            <w:r w:rsidRPr="009077F5">
              <w:rPr>
                <w:sz w:val="24"/>
                <w:szCs w:val="24"/>
              </w:rPr>
              <w:t>Uygulama banyolarının ömrünün uzatılması</w:t>
            </w:r>
          </w:p>
        </w:tc>
      </w:tr>
      <w:tr w:rsidR="00FC173C" w:rsidRPr="004B0D48" w14:paraId="3C2FB138" w14:textId="77777777" w:rsidTr="003F0CD0">
        <w:tc>
          <w:tcPr>
            <w:tcW w:w="425" w:type="dxa"/>
            <w:vAlign w:val="center"/>
          </w:tcPr>
          <w:p w14:paraId="026DE77B" w14:textId="77777777" w:rsidR="00FC173C" w:rsidRPr="009077F5" w:rsidRDefault="00FC173C" w:rsidP="004B0D48">
            <w:pPr>
              <w:pStyle w:val="KonuBal"/>
              <w:rPr>
                <w:sz w:val="24"/>
                <w:szCs w:val="24"/>
              </w:rPr>
            </w:pPr>
            <w:r w:rsidRPr="009077F5">
              <w:rPr>
                <w:sz w:val="24"/>
                <w:szCs w:val="24"/>
              </w:rPr>
              <w:t>a.</w:t>
            </w:r>
          </w:p>
        </w:tc>
        <w:tc>
          <w:tcPr>
            <w:tcW w:w="2835" w:type="dxa"/>
            <w:vAlign w:val="center"/>
          </w:tcPr>
          <w:p w14:paraId="4D561CD2" w14:textId="532041E7" w:rsidR="00FC173C" w:rsidRPr="009077F5" w:rsidRDefault="003F0CD0" w:rsidP="004B0D48">
            <w:pPr>
              <w:pStyle w:val="KonuBal"/>
              <w:rPr>
                <w:sz w:val="24"/>
                <w:szCs w:val="24"/>
              </w:rPr>
            </w:pPr>
            <w:r w:rsidRPr="009077F5">
              <w:rPr>
                <w:sz w:val="24"/>
                <w:szCs w:val="24"/>
              </w:rPr>
              <w:t>Fosfatlama veya pasivasyon solüsyonunun temizlenmesi ve yeniden kullanımı</w:t>
            </w:r>
          </w:p>
        </w:tc>
        <w:tc>
          <w:tcPr>
            <w:tcW w:w="5670" w:type="dxa"/>
            <w:vAlign w:val="center"/>
          </w:tcPr>
          <w:p w14:paraId="7B9C7489" w14:textId="05C80FC8" w:rsidR="00FC173C" w:rsidRPr="009077F5" w:rsidRDefault="003F0CD0" w:rsidP="004B0D48">
            <w:pPr>
              <w:pStyle w:val="KonuBal"/>
              <w:rPr>
                <w:sz w:val="24"/>
                <w:szCs w:val="24"/>
              </w:rPr>
            </w:pPr>
            <w:r w:rsidRPr="009077F5">
              <w:rPr>
                <w:sz w:val="24"/>
                <w:szCs w:val="24"/>
              </w:rPr>
              <w:t>Fosfatlama veya pasivasyon solüsyonunun tekrar kullanıma hazır hale getirilmesi için örneğin filtrasyonlu bir temizleme devresi kullanılır.</w:t>
            </w:r>
          </w:p>
        </w:tc>
      </w:tr>
      <w:tr w:rsidR="003F0CD0" w:rsidRPr="004B0D48" w14:paraId="3A7269FB" w14:textId="77777777" w:rsidTr="00A202FD">
        <w:tc>
          <w:tcPr>
            <w:tcW w:w="8930" w:type="dxa"/>
            <w:gridSpan w:val="3"/>
            <w:vAlign w:val="center"/>
          </w:tcPr>
          <w:p w14:paraId="78E31390" w14:textId="43F5C1DA" w:rsidR="003F0CD0" w:rsidRPr="009077F5" w:rsidRDefault="003F0CD0" w:rsidP="004B0D48">
            <w:pPr>
              <w:pStyle w:val="KonuBal"/>
              <w:rPr>
                <w:sz w:val="24"/>
                <w:szCs w:val="24"/>
              </w:rPr>
            </w:pPr>
            <w:r w:rsidRPr="009077F5">
              <w:rPr>
                <w:sz w:val="24"/>
                <w:szCs w:val="24"/>
              </w:rPr>
              <w:t>Uygulama optimizasyonu</w:t>
            </w:r>
          </w:p>
        </w:tc>
      </w:tr>
      <w:tr w:rsidR="00FC173C" w:rsidRPr="004B0D48" w14:paraId="18581805" w14:textId="77777777" w:rsidTr="003F0CD0">
        <w:tc>
          <w:tcPr>
            <w:tcW w:w="425" w:type="dxa"/>
            <w:vAlign w:val="center"/>
          </w:tcPr>
          <w:p w14:paraId="0CAE7828" w14:textId="77777777" w:rsidR="00FC173C" w:rsidRPr="009077F5" w:rsidRDefault="00FC173C" w:rsidP="004B0D48">
            <w:pPr>
              <w:pStyle w:val="KonuBal"/>
              <w:rPr>
                <w:sz w:val="24"/>
                <w:szCs w:val="24"/>
              </w:rPr>
            </w:pPr>
            <w:r w:rsidRPr="009077F5">
              <w:rPr>
                <w:sz w:val="24"/>
                <w:szCs w:val="24"/>
              </w:rPr>
              <w:t>b.</w:t>
            </w:r>
          </w:p>
        </w:tc>
        <w:tc>
          <w:tcPr>
            <w:tcW w:w="2835" w:type="dxa"/>
            <w:vAlign w:val="center"/>
          </w:tcPr>
          <w:p w14:paraId="1C443C99" w14:textId="55C0E340" w:rsidR="00FC173C" w:rsidRPr="009077F5" w:rsidRDefault="003F0CD0" w:rsidP="004B0D48">
            <w:pPr>
              <w:pStyle w:val="KonuBal"/>
              <w:rPr>
                <w:sz w:val="24"/>
                <w:szCs w:val="24"/>
              </w:rPr>
            </w:pPr>
            <w:r w:rsidRPr="009077F5">
              <w:rPr>
                <w:sz w:val="24"/>
                <w:szCs w:val="24"/>
              </w:rPr>
              <w:t>Şeritler için rulo kaplama makinelerinin kullanımı</w:t>
            </w:r>
          </w:p>
        </w:tc>
        <w:tc>
          <w:tcPr>
            <w:tcW w:w="5670" w:type="dxa"/>
            <w:vAlign w:val="center"/>
          </w:tcPr>
          <w:p w14:paraId="00D5778D" w14:textId="32477C12" w:rsidR="00FC173C" w:rsidRPr="009077F5" w:rsidRDefault="003F0CD0" w:rsidP="004B0D48">
            <w:pPr>
              <w:pStyle w:val="KonuBal"/>
              <w:rPr>
                <w:sz w:val="24"/>
                <w:szCs w:val="24"/>
              </w:rPr>
            </w:pPr>
            <w:r w:rsidRPr="009077F5">
              <w:rPr>
                <w:sz w:val="24"/>
                <w:szCs w:val="24"/>
              </w:rPr>
              <w:t>Rulo kaplayıcılar, şeritlerin yüzeyine bir pasivasyon veya fosfat içeren bir katman uygulamak için kullanılır. Bu, katman kalınlığının daha iyi kontrol edilmesini ve böylece kimyasal tüketiminin azaltılmasını sağlar.</w:t>
            </w:r>
          </w:p>
        </w:tc>
      </w:tr>
      <w:tr w:rsidR="00FC173C" w:rsidRPr="004B0D48" w14:paraId="449144FF" w14:textId="77777777" w:rsidTr="003F0CD0">
        <w:tc>
          <w:tcPr>
            <w:tcW w:w="425" w:type="dxa"/>
            <w:vAlign w:val="center"/>
          </w:tcPr>
          <w:p w14:paraId="069E2959" w14:textId="77777777" w:rsidR="00FC173C" w:rsidRPr="009077F5" w:rsidRDefault="00FC173C" w:rsidP="004B0D48">
            <w:pPr>
              <w:pStyle w:val="KonuBal"/>
              <w:rPr>
                <w:sz w:val="24"/>
                <w:szCs w:val="24"/>
              </w:rPr>
            </w:pPr>
            <w:r w:rsidRPr="009077F5">
              <w:rPr>
                <w:sz w:val="24"/>
                <w:szCs w:val="24"/>
              </w:rPr>
              <w:t>c.</w:t>
            </w:r>
          </w:p>
        </w:tc>
        <w:tc>
          <w:tcPr>
            <w:tcW w:w="2835" w:type="dxa"/>
            <w:vAlign w:val="center"/>
          </w:tcPr>
          <w:p w14:paraId="7CA4FCC7" w14:textId="002CBD3E" w:rsidR="00FC173C" w:rsidRPr="009077F5" w:rsidRDefault="003F0CD0" w:rsidP="004B0D48">
            <w:pPr>
              <w:pStyle w:val="KonuBal"/>
              <w:rPr>
                <w:sz w:val="24"/>
                <w:szCs w:val="24"/>
              </w:rPr>
            </w:pPr>
            <w:r w:rsidRPr="009077F5">
              <w:rPr>
                <w:sz w:val="24"/>
                <w:szCs w:val="24"/>
              </w:rPr>
              <w:t>Kimyasal çözeltinin sürüklenmesinin en aza indirilmesi</w:t>
            </w:r>
          </w:p>
        </w:tc>
        <w:tc>
          <w:tcPr>
            <w:tcW w:w="5670" w:type="dxa"/>
            <w:vAlign w:val="center"/>
          </w:tcPr>
          <w:p w14:paraId="620713D9" w14:textId="34750B80" w:rsidR="00FC173C" w:rsidRPr="009077F5" w:rsidRDefault="003F0CD0" w:rsidP="00A202FD">
            <w:pPr>
              <w:pStyle w:val="ListeParagraf"/>
              <w:numPr>
                <w:ilvl w:val="0"/>
                <w:numId w:val="0"/>
              </w:numPr>
              <w:tabs>
                <w:tab w:val="clear" w:pos="567"/>
              </w:tabs>
              <w:rPr>
                <w:rFonts w:eastAsia="Calibri"/>
                <w:position w:val="0"/>
                <w:sz w:val="24"/>
                <w:szCs w:val="24"/>
              </w:rPr>
            </w:pPr>
            <w:r w:rsidRPr="009077F5">
              <w:rPr>
                <w:rFonts w:eastAsia="Calibri"/>
                <w:position w:val="0"/>
                <w:sz w:val="24"/>
                <w:szCs w:val="24"/>
              </w:rPr>
              <w:t>Kimyasal çözeltinin sürüklenmesi, örneğin şeritleri sıkma silindirlerinden geçirerek veya iş parçaları için yeterli damlama süresi tanıyarak en aza indirilir.</w:t>
            </w:r>
          </w:p>
        </w:tc>
      </w:tr>
    </w:tbl>
    <w:p w14:paraId="1433B7F6" w14:textId="77777777" w:rsidR="00FC173C" w:rsidRPr="00D53A2B" w:rsidRDefault="00FC173C" w:rsidP="00A202FD">
      <w:pPr>
        <w:jc w:val="both"/>
        <w:rPr>
          <w:rFonts w:eastAsia="Calibri"/>
          <w:lang w:eastAsia="en-US"/>
        </w:rPr>
      </w:pPr>
    </w:p>
    <w:p w14:paraId="6D71D60D" w14:textId="19953953" w:rsidR="00FC173C" w:rsidRPr="00D53A2B" w:rsidRDefault="006B6FC1" w:rsidP="00A202FD">
      <w:pPr>
        <w:pStyle w:val="MET"/>
        <w:rPr>
          <w:rFonts w:eastAsia="Calibri"/>
          <w:szCs w:val="24"/>
        </w:rPr>
      </w:pPr>
      <w:r w:rsidRPr="00D53A2B">
        <w:rPr>
          <w:rFonts w:eastAsia="Calibri"/>
          <w:szCs w:val="24"/>
        </w:rPr>
        <w:t xml:space="preserve">MET 18: </w:t>
      </w:r>
      <w:r w:rsidRPr="00D53A2B">
        <w:rPr>
          <w:rFonts w:eastAsia="Calibri"/>
          <w:b w:val="0"/>
          <w:bCs/>
          <w:szCs w:val="24"/>
        </w:rPr>
        <w:t>Bertaraf için gönderilen kullanılmış dekapaj asidi miktarını azaltmak için, kullanılmış dekapaj asitlerinin (yani hidroklorik asit, sülfürik asit ve karışık asit) geri kazanılmasıdır. Kullanılmış dekapaj asitlerinin nötralizasyonu veya emülsiyon ayrıştırma için kullanılması MET değildir.</w:t>
      </w:r>
    </w:p>
    <w:p w14:paraId="4603FE3B" w14:textId="77777777" w:rsidR="00FC173C" w:rsidRPr="00D53A2B" w:rsidRDefault="00FC173C" w:rsidP="00A202FD">
      <w:pPr>
        <w:jc w:val="both"/>
        <w:rPr>
          <w:rFonts w:eastAsia="Calibri"/>
          <w:lang w:eastAsia="en-US"/>
        </w:rPr>
      </w:pPr>
    </w:p>
    <w:p w14:paraId="3D0F4B9A" w14:textId="418C2CDB" w:rsidR="006B6FC1" w:rsidRPr="00D53A2B" w:rsidRDefault="006B6FC1" w:rsidP="00A202FD">
      <w:pPr>
        <w:jc w:val="both"/>
        <w:rPr>
          <w:rFonts w:eastAsia="Calibri"/>
          <w:b/>
          <w:bCs/>
          <w:lang w:eastAsia="en-US"/>
        </w:rPr>
      </w:pPr>
      <w:r w:rsidRPr="00D53A2B">
        <w:rPr>
          <w:rFonts w:eastAsia="Calibri"/>
          <w:b/>
          <w:bCs/>
          <w:lang w:eastAsia="en-US"/>
        </w:rPr>
        <w:t>Tanımlama</w:t>
      </w:r>
    </w:p>
    <w:p w14:paraId="792CEDD6" w14:textId="0ED425D2" w:rsidR="006B6FC1" w:rsidRPr="00D53A2B" w:rsidRDefault="006B6FC1" w:rsidP="00A202FD">
      <w:pPr>
        <w:jc w:val="both"/>
        <w:rPr>
          <w:rFonts w:eastAsia="Calibri"/>
          <w:lang w:eastAsia="en-US"/>
        </w:rPr>
      </w:pPr>
      <w:r w:rsidRPr="00D53A2B">
        <w:rPr>
          <w:rFonts w:eastAsia="Calibri"/>
          <w:lang w:eastAsia="en-US"/>
        </w:rPr>
        <w:t>Kullanılmış dekapaj asidini sahada veya saha dışında geri kazanma teknikleri şunları içerir:</w:t>
      </w:r>
    </w:p>
    <w:p w14:paraId="66DEA3DB" w14:textId="42E13EB5" w:rsidR="006B6FC1" w:rsidRPr="00D53A2B" w:rsidRDefault="006B6FC1" w:rsidP="00602365">
      <w:pPr>
        <w:pStyle w:val="ListeParagraf"/>
        <w:numPr>
          <w:ilvl w:val="0"/>
          <w:numId w:val="167"/>
        </w:numPr>
        <w:tabs>
          <w:tab w:val="clear" w:pos="567"/>
        </w:tabs>
        <w:spacing w:line="240" w:lineRule="auto"/>
        <w:ind w:left="426" w:hanging="426"/>
        <w:rPr>
          <w:rFonts w:eastAsia="Calibri"/>
          <w:sz w:val="24"/>
          <w:szCs w:val="24"/>
        </w:rPr>
      </w:pPr>
      <w:r w:rsidRPr="00D53A2B">
        <w:rPr>
          <w:rFonts w:eastAsia="Calibri"/>
          <w:sz w:val="24"/>
          <w:szCs w:val="24"/>
        </w:rPr>
        <w:t>hidroklorik asit geri kazanımı için sprey kavurma veya akışkan yataklı reaktörlerin kullanılması</w:t>
      </w:r>
    </w:p>
    <w:p w14:paraId="74A3D9E4" w14:textId="16B1540F" w:rsidR="006B6FC1" w:rsidRPr="00D53A2B" w:rsidRDefault="006B6FC1" w:rsidP="00602365">
      <w:pPr>
        <w:pStyle w:val="ListeParagraf"/>
        <w:numPr>
          <w:ilvl w:val="0"/>
          <w:numId w:val="167"/>
        </w:numPr>
        <w:tabs>
          <w:tab w:val="clear" w:pos="567"/>
        </w:tabs>
        <w:spacing w:line="240" w:lineRule="auto"/>
        <w:ind w:left="426" w:hanging="426"/>
        <w:rPr>
          <w:rFonts w:eastAsia="Calibri"/>
          <w:sz w:val="24"/>
          <w:szCs w:val="24"/>
        </w:rPr>
      </w:pPr>
      <w:r w:rsidRPr="00D53A2B">
        <w:rPr>
          <w:rFonts w:eastAsia="Calibri"/>
          <w:sz w:val="24"/>
          <w:szCs w:val="24"/>
        </w:rPr>
        <w:t>sülfüri̇k asi̇di̇n geri̇ kazanimi i̇çi̇n ferri̇k sülfatin kri̇stalleşti̇ri̇lmesi̇</w:t>
      </w:r>
    </w:p>
    <w:p w14:paraId="10982A76" w14:textId="787D53C0" w:rsidR="006B6FC1" w:rsidRPr="00D53A2B" w:rsidRDefault="006B6FC1" w:rsidP="00602365">
      <w:pPr>
        <w:pStyle w:val="ListeParagraf"/>
        <w:numPr>
          <w:ilvl w:val="0"/>
          <w:numId w:val="167"/>
        </w:numPr>
        <w:tabs>
          <w:tab w:val="clear" w:pos="567"/>
        </w:tabs>
        <w:spacing w:line="240" w:lineRule="auto"/>
        <w:ind w:left="426" w:hanging="426"/>
        <w:rPr>
          <w:rFonts w:eastAsia="Calibri"/>
          <w:sz w:val="24"/>
          <w:szCs w:val="24"/>
        </w:rPr>
      </w:pPr>
      <w:r w:rsidRPr="00D53A2B">
        <w:rPr>
          <w:rFonts w:eastAsia="Calibri"/>
          <w:sz w:val="24"/>
          <w:szCs w:val="24"/>
        </w:rPr>
        <w:t>Karışık asidin geri kazanımı için sprey kavurma, buharlaştırma, iyon değişimi veya difüzyon diyalizi;</w:t>
      </w:r>
    </w:p>
    <w:p w14:paraId="3A1840A9" w14:textId="37BEAAED" w:rsidR="006B6FC1" w:rsidRPr="00D53A2B" w:rsidRDefault="006B6FC1" w:rsidP="00602365">
      <w:pPr>
        <w:pStyle w:val="ListeParagraf"/>
        <w:numPr>
          <w:ilvl w:val="0"/>
          <w:numId w:val="167"/>
        </w:numPr>
        <w:tabs>
          <w:tab w:val="clear" w:pos="567"/>
        </w:tabs>
        <w:spacing w:line="240" w:lineRule="auto"/>
        <w:ind w:left="426" w:hanging="426"/>
        <w:rPr>
          <w:rFonts w:eastAsia="Calibri"/>
          <w:sz w:val="24"/>
          <w:szCs w:val="24"/>
        </w:rPr>
      </w:pPr>
      <w:r w:rsidRPr="00D53A2B">
        <w:rPr>
          <w:rFonts w:eastAsia="Calibri"/>
          <w:sz w:val="24"/>
          <w:szCs w:val="24"/>
        </w:rPr>
        <w:t>kullanılmış dekapaj asidinin ikincil hammadde olarak kullanılması (örneğin demir klorür veya pigment üretimi için).</w:t>
      </w:r>
    </w:p>
    <w:p w14:paraId="4A3EDB26" w14:textId="77777777" w:rsidR="006B6FC1" w:rsidRPr="00D53A2B" w:rsidRDefault="006B6FC1" w:rsidP="00A202FD">
      <w:pPr>
        <w:jc w:val="both"/>
        <w:rPr>
          <w:rFonts w:eastAsia="Calibri"/>
          <w:lang w:eastAsia="en-US"/>
        </w:rPr>
      </w:pPr>
    </w:p>
    <w:p w14:paraId="4C97FA91" w14:textId="4943041E" w:rsidR="006B6FC1" w:rsidRPr="00D53A2B" w:rsidRDefault="006B6FC1" w:rsidP="00A202FD">
      <w:pPr>
        <w:jc w:val="both"/>
        <w:rPr>
          <w:rFonts w:eastAsia="Calibri"/>
          <w:b/>
          <w:bCs/>
          <w:lang w:eastAsia="en-US"/>
        </w:rPr>
      </w:pPr>
      <w:r w:rsidRPr="00D53A2B">
        <w:rPr>
          <w:rFonts w:eastAsia="Calibri"/>
          <w:b/>
          <w:bCs/>
          <w:lang w:eastAsia="en-US"/>
        </w:rPr>
        <w:t>Uygulanabilirlik</w:t>
      </w:r>
    </w:p>
    <w:p w14:paraId="74D88FC5" w14:textId="40C3722D" w:rsidR="006B6FC1" w:rsidRPr="00D53A2B" w:rsidRDefault="006B6FC1" w:rsidP="00A202FD">
      <w:pPr>
        <w:jc w:val="both"/>
        <w:rPr>
          <w:rFonts w:eastAsia="Calibri"/>
          <w:lang w:eastAsia="en-US"/>
        </w:rPr>
      </w:pPr>
      <w:r w:rsidRPr="00D53A2B">
        <w:rPr>
          <w:rFonts w:eastAsia="Calibri"/>
          <w:lang w:eastAsia="en-US"/>
        </w:rPr>
        <w:t>Kesikli galvanizlemede, kullanılmış dekapaj asidinin ikincil hammadde olarak kullanımı piyasada bulunmaması nedeniyle kısıtlanıyorsa, kullanılmış dekapaj asidinin nötralizasyonu istisnai olarak gerçekleşebilir.</w:t>
      </w:r>
    </w:p>
    <w:p w14:paraId="18917F5A" w14:textId="77777777" w:rsidR="006B6FC1" w:rsidRPr="00D53A2B" w:rsidRDefault="006B6FC1" w:rsidP="00A202FD">
      <w:pPr>
        <w:jc w:val="both"/>
        <w:rPr>
          <w:rFonts w:eastAsia="Calibri"/>
          <w:lang w:eastAsia="en-US"/>
        </w:rPr>
      </w:pPr>
    </w:p>
    <w:p w14:paraId="4F881032" w14:textId="27EA70E8" w:rsidR="006B6FC1" w:rsidRPr="00D53A2B" w:rsidRDefault="006B6FC1" w:rsidP="00A202FD">
      <w:pPr>
        <w:jc w:val="both"/>
        <w:rPr>
          <w:rFonts w:eastAsia="Calibri"/>
          <w:lang w:eastAsia="en-US"/>
        </w:rPr>
      </w:pPr>
      <w:r w:rsidRPr="00D53A2B">
        <w:rPr>
          <w:rFonts w:eastAsia="Calibri"/>
          <w:lang w:eastAsia="en-US"/>
        </w:rPr>
        <w:t xml:space="preserve">Malzeme verimliliğini artırmak için sektöre özgü diğer teknikler, bu MET sonuçlarının </w:t>
      </w:r>
      <w:r w:rsidR="00B31B5F" w:rsidRPr="00D53A2B">
        <w:rPr>
          <w:rFonts w:eastAsia="Calibri"/>
          <w:lang w:eastAsia="en-US"/>
        </w:rPr>
        <w:t>1</w:t>
      </w:r>
      <w:r w:rsidRPr="00D53A2B">
        <w:rPr>
          <w:rFonts w:eastAsia="Calibri"/>
          <w:lang w:eastAsia="en-US"/>
        </w:rPr>
        <w:t xml:space="preserve">.6.2, </w:t>
      </w:r>
      <w:r w:rsidR="00B31B5F" w:rsidRPr="00D53A2B">
        <w:rPr>
          <w:rFonts w:eastAsia="Calibri"/>
          <w:lang w:eastAsia="en-US"/>
        </w:rPr>
        <w:t>1</w:t>
      </w:r>
      <w:r w:rsidRPr="00D53A2B">
        <w:rPr>
          <w:rFonts w:eastAsia="Calibri"/>
          <w:lang w:eastAsia="en-US"/>
        </w:rPr>
        <w:t xml:space="preserve">.7.2, </w:t>
      </w:r>
      <w:r w:rsidR="00B31B5F" w:rsidRPr="00D53A2B">
        <w:rPr>
          <w:rFonts w:eastAsia="Calibri"/>
          <w:lang w:eastAsia="en-US"/>
        </w:rPr>
        <w:t>1</w:t>
      </w:r>
      <w:r w:rsidRPr="00D53A2B">
        <w:rPr>
          <w:rFonts w:eastAsia="Calibri"/>
          <w:lang w:eastAsia="en-US"/>
        </w:rPr>
        <w:t xml:space="preserve">.8.2, </w:t>
      </w:r>
      <w:r w:rsidR="00B31B5F" w:rsidRPr="00D53A2B">
        <w:rPr>
          <w:rFonts w:eastAsia="Calibri"/>
          <w:lang w:eastAsia="en-US"/>
        </w:rPr>
        <w:t>1</w:t>
      </w:r>
      <w:r w:rsidRPr="00D53A2B">
        <w:rPr>
          <w:rFonts w:eastAsia="Calibri"/>
          <w:lang w:eastAsia="en-US"/>
        </w:rPr>
        <w:t xml:space="preserve">.9.1 ve </w:t>
      </w:r>
      <w:r w:rsidR="00B31B5F" w:rsidRPr="00D53A2B">
        <w:rPr>
          <w:rFonts w:eastAsia="Calibri"/>
          <w:lang w:eastAsia="en-US"/>
        </w:rPr>
        <w:t>1</w:t>
      </w:r>
      <w:r w:rsidRPr="00D53A2B">
        <w:rPr>
          <w:rFonts w:eastAsia="Calibri"/>
          <w:lang w:eastAsia="en-US"/>
        </w:rPr>
        <w:t>.10.1 Bölümlerinde verilmiştir.</w:t>
      </w:r>
    </w:p>
    <w:p w14:paraId="409A4D3A" w14:textId="77777777" w:rsidR="0071694E" w:rsidRPr="00D53A2B" w:rsidRDefault="0071694E" w:rsidP="00A202FD">
      <w:pPr>
        <w:jc w:val="both"/>
        <w:rPr>
          <w:rFonts w:eastAsia="Calibri"/>
          <w:lang w:eastAsia="en-US"/>
        </w:rPr>
      </w:pPr>
    </w:p>
    <w:p w14:paraId="38CF523A" w14:textId="67FA3BC3" w:rsidR="0071694E" w:rsidRPr="00D53A2B" w:rsidRDefault="00816D19" w:rsidP="00A202FD">
      <w:pPr>
        <w:pStyle w:val="Balk3"/>
        <w:rPr>
          <w:rFonts w:eastAsia="Calibri" w:cs="Times New Roman"/>
          <w:lang w:eastAsia="en-US"/>
        </w:rPr>
      </w:pPr>
      <w:r w:rsidRPr="00D53A2B">
        <w:rPr>
          <w:rFonts w:eastAsia="Calibri" w:cs="Times New Roman"/>
          <w:lang w:eastAsia="en-US"/>
        </w:rPr>
        <w:lastRenderedPageBreak/>
        <w:t>1.1</w:t>
      </w:r>
      <w:r w:rsidR="0071694E" w:rsidRPr="00D53A2B">
        <w:rPr>
          <w:rFonts w:eastAsia="Calibri" w:cs="Times New Roman"/>
          <w:lang w:eastAsia="en-US"/>
        </w:rPr>
        <w:t>.6</w:t>
      </w:r>
      <w:r w:rsidR="000B0D82" w:rsidRPr="00D53A2B">
        <w:rPr>
          <w:rFonts w:eastAsia="Calibri" w:cs="Times New Roman"/>
          <w:lang w:eastAsia="en-US"/>
        </w:rPr>
        <w:t xml:space="preserve">. </w:t>
      </w:r>
      <w:r w:rsidR="0071694E" w:rsidRPr="00D53A2B">
        <w:rPr>
          <w:rFonts w:eastAsia="Calibri" w:cs="Times New Roman"/>
          <w:lang w:eastAsia="en-US"/>
        </w:rPr>
        <w:t>Su kullanımı ve atıksu oluşumu</w:t>
      </w:r>
    </w:p>
    <w:p w14:paraId="6F70914E" w14:textId="24AFAD87" w:rsidR="00D45143" w:rsidRPr="00D53A2B" w:rsidRDefault="00D45143" w:rsidP="00A202FD">
      <w:pPr>
        <w:pStyle w:val="MET"/>
        <w:rPr>
          <w:rFonts w:eastAsia="Calibri"/>
          <w:szCs w:val="24"/>
        </w:rPr>
      </w:pPr>
      <w:r w:rsidRPr="00D53A2B">
        <w:rPr>
          <w:rFonts w:eastAsia="Calibri"/>
          <w:szCs w:val="24"/>
        </w:rPr>
        <w:t xml:space="preserve">MET 19: </w:t>
      </w:r>
      <w:r w:rsidRPr="00D53A2B">
        <w:rPr>
          <w:rFonts w:eastAsia="Calibri"/>
          <w:b w:val="0"/>
          <w:bCs/>
          <w:szCs w:val="24"/>
        </w:rPr>
        <w:t xml:space="preserve">Su tüketimini optimize etmek, suyun geri </w:t>
      </w:r>
      <w:r w:rsidR="004C4454">
        <w:rPr>
          <w:rFonts w:eastAsia="Calibri"/>
          <w:b w:val="0"/>
          <w:bCs/>
          <w:szCs w:val="24"/>
        </w:rPr>
        <w:t>kazanılabilirliğini</w:t>
      </w:r>
      <w:r w:rsidRPr="00D53A2B">
        <w:rPr>
          <w:rFonts w:eastAsia="Calibri"/>
          <w:b w:val="0"/>
          <w:bCs/>
          <w:szCs w:val="24"/>
        </w:rPr>
        <w:t xml:space="preserve"> artırmak ve üretilen </w:t>
      </w:r>
      <w:r w:rsidR="00651500" w:rsidRPr="00D53A2B">
        <w:rPr>
          <w:rFonts w:eastAsia="Calibri"/>
          <w:b w:val="0"/>
          <w:bCs/>
          <w:szCs w:val="24"/>
        </w:rPr>
        <w:t>atıksu</w:t>
      </w:r>
      <w:r w:rsidR="004C4454">
        <w:rPr>
          <w:rFonts w:eastAsia="Calibri"/>
          <w:b w:val="0"/>
          <w:bCs/>
          <w:szCs w:val="24"/>
        </w:rPr>
        <w:t xml:space="preserve"> miktarını </w:t>
      </w:r>
      <w:r w:rsidRPr="00D53A2B">
        <w:rPr>
          <w:rFonts w:eastAsia="Calibri"/>
          <w:b w:val="0"/>
          <w:bCs/>
          <w:szCs w:val="24"/>
        </w:rPr>
        <w:t>azaltmak için, hem (a) ve (b) tekniklerini hem de aşağıda verilen (c) ila (h) tekniklerinin uygun bir kombinasyonu</w:t>
      </w:r>
      <w:r w:rsidR="00910067" w:rsidRPr="00D53A2B">
        <w:rPr>
          <w:rFonts w:eastAsia="Calibri"/>
          <w:b w:val="0"/>
          <w:bCs/>
          <w:szCs w:val="24"/>
        </w:rPr>
        <w:t xml:space="preserve"> kullanılabilir</w:t>
      </w:r>
      <w:r w:rsidRPr="00D53A2B">
        <w:rPr>
          <w:rFonts w:eastAsia="Calibri"/>
          <w:b w:val="0"/>
          <w:bCs/>
          <w:szCs w:val="24"/>
        </w:rPr>
        <w:t>.</w:t>
      </w:r>
    </w:p>
    <w:p w14:paraId="672C82EE" w14:textId="77777777" w:rsidR="00D45143" w:rsidRPr="00D53A2B" w:rsidRDefault="00D45143"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1701"/>
        <w:gridCol w:w="4395"/>
        <w:gridCol w:w="2409"/>
      </w:tblGrid>
      <w:tr w:rsidR="00D45143" w:rsidRPr="004B0D48" w14:paraId="1B3D8001" w14:textId="77777777" w:rsidTr="00F55B00">
        <w:tc>
          <w:tcPr>
            <w:tcW w:w="2126" w:type="dxa"/>
            <w:gridSpan w:val="2"/>
          </w:tcPr>
          <w:p w14:paraId="4071127D" w14:textId="77777777" w:rsidR="00D45143" w:rsidRPr="009077F5" w:rsidRDefault="00D45143" w:rsidP="004B0D48">
            <w:pPr>
              <w:pStyle w:val="KonuBal"/>
              <w:rPr>
                <w:sz w:val="24"/>
                <w:szCs w:val="24"/>
              </w:rPr>
            </w:pPr>
            <w:r w:rsidRPr="009077F5">
              <w:rPr>
                <w:sz w:val="24"/>
                <w:szCs w:val="24"/>
              </w:rPr>
              <w:t>Teknik</w:t>
            </w:r>
          </w:p>
        </w:tc>
        <w:tc>
          <w:tcPr>
            <w:tcW w:w="4395" w:type="dxa"/>
          </w:tcPr>
          <w:p w14:paraId="4CDF2372" w14:textId="77777777" w:rsidR="00D45143" w:rsidRPr="009077F5" w:rsidRDefault="00D45143" w:rsidP="004B0D48">
            <w:pPr>
              <w:pStyle w:val="KonuBal"/>
              <w:rPr>
                <w:sz w:val="24"/>
                <w:szCs w:val="24"/>
              </w:rPr>
            </w:pPr>
            <w:r w:rsidRPr="009077F5">
              <w:rPr>
                <w:sz w:val="24"/>
                <w:szCs w:val="24"/>
              </w:rPr>
              <w:t>Açıklama</w:t>
            </w:r>
          </w:p>
        </w:tc>
        <w:tc>
          <w:tcPr>
            <w:tcW w:w="2409" w:type="dxa"/>
          </w:tcPr>
          <w:p w14:paraId="275FA4AE" w14:textId="77777777" w:rsidR="00D45143" w:rsidRPr="009077F5" w:rsidRDefault="00D45143" w:rsidP="004B0D48">
            <w:pPr>
              <w:pStyle w:val="KonuBal"/>
              <w:rPr>
                <w:sz w:val="24"/>
                <w:szCs w:val="24"/>
              </w:rPr>
            </w:pPr>
            <w:r w:rsidRPr="009077F5">
              <w:rPr>
                <w:sz w:val="24"/>
                <w:szCs w:val="24"/>
              </w:rPr>
              <w:t>Uygulanabilirlik</w:t>
            </w:r>
          </w:p>
        </w:tc>
      </w:tr>
      <w:tr w:rsidR="00D45143" w:rsidRPr="004B0D48" w14:paraId="4E505159" w14:textId="77777777" w:rsidTr="00F55B00">
        <w:tc>
          <w:tcPr>
            <w:tcW w:w="425" w:type="dxa"/>
            <w:vAlign w:val="center"/>
          </w:tcPr>
          <w:p w14:paraId="21646335" w14:textId="77777777" w:rsidR="00D45143" w:rsidRPr="009077F5" w:rsidRDefault="00D45143" w:rsidP="004B0D48">
            <w:pPr>
              <w:pStyle w:val="KonuBal"/>
              <w:rPr>
                <w:sz w:val="24"/>
                <w:szCs w:val="24"/>
              </w:rPr>
            </w:pPr>
            <w:r w:rsidRPr="009077F5">
              <w:rPr>
                <w:sz w:val="24"/>
                <w:szCs w:val="24"/>
              </w:rPr>
              <w:t>a.</w:t>
            </w:r>
          </w:p>
        </w:tc>
        <w:tc>
          <w:tcPr>
            <w:tcW w:w="1701" w:type="dxa"/>
            <w:vAlign w:val="center"/>
          </w:tcPr>
          <w:p w14:paraId="233EAE9D" w14:textId="7E980719" w:rsidR="00D45143" w:rsidRPr="009077F5" w:rsidRDefault="00D45143" w:rsidP="004B0D48">
            <w:pPr>
              <w:pStyle w:val="KonuBal"/>
              <w:rPr>
                <w:sz w:val="24"/>
                <w:szCs w:val="24"/>
              </w:rPr>
            </w:pPr>
            <w:r w:rsidRPr="009077F5">
              <w:rPr>
                <w:sz w:val="24"/>
                <w:szCs w:val="24"/>
              </w:rPr>
              <w:t>Su yönetim planı ve su denetimleri</w:t>
            </w:r>
          </w:p>
        </w:tc>
        <w:tc>
          <w:tcPr>
            <w:tcW w:w="4395" w:type="dxa"/>
            <w:vAlign w:val="center"/>
          </w:tcPr>
          <w:p w14:paraId="5F7AD102" w14:textId="0D252DF0" w:rsidR="00D45143" w:rsidRPr="009077F5" w:rsidRDefault="00D45143" w:rsidP="004B0D48">
            <w:pPr>
              <w:pStyle w:val="KonuBal"/>
              <w:rPr>
                <w:sz w:val="24"/>
                <w:szCs w:val="24"/>
              </w:rPr>
            </w:pPr>
            <w:r w:rsidRPr="009077F5">
              <w:rPr>
                <w:sz w:val="24"/>
                <w:szCs w:val="24"/>
              </w:rPr>
              <w:t xml:space="preserve">Su yönetim planı ve su denetimleri </w:t>
            </w:r>
            <w:r w:rsidR="005F0E3A" w:rsidRPr="009077F5">
              <w:rPr>
                <w:sz w:val="24"/>
                <w:szCs w:val="24"/>
              </w:rPr>
              <w:t>ÇYS</w:t>
            </w:r>
            <w:r w:rsidR="00E56504" w:rsidRPr="009077F5">
              <w:rPr>
                <w:sz w:val="24"/>
                <w:szCs w:val="24"/>
              </w:rPr>
              <w:t>’</w:t>
            </w:r>
            <w:r w:rsidRPr="009077F5">
              <w:rPr>
                <w:sz w:val="24"/>
                <w:szCs w:val="24"/>
              </w:rPr>
              <w:t xml:space="preserve">nin bir parçasıdır (bkz. </w:t>
            </w:r>
            <w:r w:rsidR="00651500" w:rsidRPr="009077F5">
              <w:rPr>
                <w:sz w:val="24"/>
                <w:szCs w:val="24"/>
              </w:rPr>
              <w:t>MET</w:t>
            </w:r>
            <w:r w:rsidRPr="009077F5">
              <w:rPr>
                <w:sz w:val="24"/>
                <w:szCs w:val="24"/>
              </w:rPr>
              <w:t>1) ve şunları içerir:</w:t>
            </w:r>
          </w:p>
          <w:p w14:paraId="05B12B9F" w14:textId="4AD8182D" w:rsidR="00D45143" w:rsidRPr="009077F5" w:rsidRDefault="00D45143" w:rsidP="00602365">
            <w:pPr>
              <w:pStyle w:val="ListeParagraf"/>
              <w:numPr>
                <w:ilvl w:val="0"/>
                <w:numId w:val="143"/>
              </w:numPr>
              <w:tabs>
                <w:tab w:val="clear" w:pos="567"/>
              </w:tabs>
              <w:spacing w:line="276" w:lineRule="auto"/>
              <w:ind w:left="315" w:hanging="284"/>
              <w:rPr>
                <w:sz w:val="24"/>
                <w:szCs w:val="24"/>
              </w:rPr>
            </w:pPr>
            <w:r w:rsidRPr="009077F5">
              <w:rPr>
                <w:sz w:val="24"/>
                <w:szCs w:val="24"/>
              </w:rPr>
              <w:t>akış diyagramları ve tesisin su kütle dengesi;</w:t>
            </w:r>
          </w:p>
          <w:p w14:paraId="1EA213A3" w14:textId="77777777" w:rsidR="00D45143" w:rsidRPr="009077F5" w:rsidRDefault="00D45143" w:rsidP="00602365">
            <w:pPr>
              <w:pStyle w:val="ListeParagraf"/>
              <w:numPr>
                <w:ilvl w:val="0"/>
                <w:numId w:val="143"/>
              </w:numPr>
              <w:tabs>
                <w:tab w:val="clear" w:pos="567"/>
              </w:tabs>
              <w:spacing w:line="276" w:lineRule="auto"/>
              <w:ind w:left="315" w:hanging="284"/>
              <w:rPr>
                <w:sz w:val="24"/>
                <w:szCs w:val="24"/>
              </w:rPr>
            </w:pPr>
            <w:r w:rsidRPr="009077F5">
              <w:rPr>
                <w:sz w:val="24"/>
                <w:szCs w:val="24"/>
              </w:rPr>
              <w:t>su verimliliği hedeflerinin oluşturulması;</w:t>
            </w:r>
          </w:p>
          <w:p w14:paraId="3DC8BDA0" w14:textId="69CB8919" w:rsidR="00D45143" w:rsidRPr="009077F5" w:rsidRDefault="00F55B00" w:rsidP="00602365">
            <w:pPr>
              <w:pStyle w:val="ListeParagraf"/>
              <w:numPr>
                <w:ilvl w:val="0"/>
                <w:numId w:val="143"/>
              </w:numPr>
              <w:tabs>
                <w:tab w:val="clear" w:pos="567"/>
              </w:tabs>
              <w:spacing w:line="276" w:lineRule="auto"/>
              <w:ind w:left="315" w:hanging="284"/>
              <w:rPr>
                <w:sz w:val="24"/>
                <w:szCs w:val="24"/>
              </w:rPr>
            </w:pPr>
            <w:r w:rsidRPr="009077F5">
              <w:rPr>
                <w:sz w:val="24"/>
                <w:szCs w:val="24"/>
              </w:rPr>
              <w:t>su optimizasyon tekniklerinin uygulanması (örneğin su kullanımının kontrolü, su geri dönüşümü, sızıntıların tespiti ve onarımı).</w:t>
            </w:r>
          </w:p>
          <w:p w14:paraId="633CF332" w14:textId="77777777" w:rsidR="00D45143" w:rsidRPr="009077F5" w:rsidRDefault="00F55B00" w:rsidP="004B0D48">
            <w:pPr>
              <w:pStyle w:val="KonuBal"/>
              <w:rPr>
                <w:sz w:val="24"/>
                <w:szCs w:val="24"/>
              </w:rPr>
            </w:pPr>
            <w:r w:rsidRPr="009077F5">
              <w:rPr>
                <w:sz w:val="24"/>
                <w:szCs w:val="24"/>
              </w:rPr>
              <w:t>Su yönetim planının hedeflerine ulaşıldığından emin olmak için her yıl en az bir kez su denetimleri gerçekleştirilir.</w:t>
            </w:r>
          </w:p>
          <w:p w14:paraId="36BD8604" w14:textId="7370983D" w:rsidR="00F55B00" w:rsidRPr="009077F5" w:rsidRDefault="00F55B00" w:rsidP="00A202FD">
            <w:pPr>
              <w:jc w:val="both"/>
              <w:rPr>
                <w:lang w:val="en-US" w:eastAsia="en-US"/>
              </w:rPr>
            </w:pPr>
            <w:r w:rsidRPr="009077F5">
              <w:rPr>
                <w:lang w:val="en-US" w:eastAsia="en-US"/>
              </w:rPr>
              <w:t>Su yönetim planı ve su denetimleri, daha büyük bir tesisin (örneğin demir çelik üretimi için) genel su yönetim planına entegre edilebilir.</w:t>
            </w:r>
          </w:p>
        </w:tc>
        <w:tc>
          <w:tcPr>
            <w:tcW w:w="2409" w:type="dxa"/>
            <w:vAlign w:val="center"/>
          </w:tcPr>
          <w:p w14:paraId="1FCB1E26" w14:textId="5BF78164" w:rsidR="00D45143" w:rsidRPr="009077F5" w:rsidRDefault="00F55B00" w:rsidP="004B0D48">
            <w:pPr>
              <w:pStyle w:val="KonuBal"/>
              <w:rPr>
                <w:sz w:val="24"/>
                <w:szCs w:val="24"/>
              </w:rPr>
            </w:pPr>
            <w:r w:rsidRPr="009077F5">
              <w:rPr>
                <w:sz w:val="24"/>
                <w:szCs w:val="24"/>
              </w:rPr>
              <w:t>Su yönetim planının ve su denetimlerinin ayrıntı düzeyi genellikle tesisin niteliği, ölçeği ve karmaşıklığı ile ilgili olacaktır.</w:t>
            </w:r>
          </w:p>
        </w:tc>
      </w:tr>
      <w:tr w:rsidR="00D45143" w:rsidRPr="004B0D48" w14:paraId="0CD285DE" w14:textId="77777777" w:rsidTr="00F55B00">
        <w:tc>
          <w:tcPr>
            <w:tcW w:w="425" w:type="dxa"/>
            <w:vAlign w:val="center"/>
          </w:tcPr>
          <w:p w14:paraId="7A4DB059" w14:textId="77777777" w:rsidR="00D45143" w:rsidRPr="009077F5" w:rsidRDefault="00D45143" w:rsidP="004B0D48">
            <w:pPr>
              <w:pStyle w:val="KonuBal"/>
              <w:rPr>
                <w:sz w:val="24"/>
                <w:szCs w:val="24"/>
              </w:rPr>
            </w:pPr>
            <w:r w:rsidRPr="009077F5">
              <w:rPr>
                <w:sz w:val="24"/>
                <w:szCs w:val="24"/>
              </w:rPr>
              <w:t>b.</w:t>
            </w:r>
          </w:p>
        </w:tc>
        <w:tc>
          <w:tcPr>
            <w:tcW w:w="1701" w:type="dxa"/>
            <w:vAlign w:val="center"/>
          </w:tcPr>
          <w:p w14:paraId="1173518D" w14:textId="347477E2" w:rsidR="00D45143" w:rsidRPr="009077F5" w:rsidRDefault="00F55B00" w:rsidP="004B0D48">
            <w:pPr>
              <w:pStyle w:val="KonuBal"/>
              <w:rPr>
                <w:sz w:val="24"/>
                <w:szCs w:val="24"/>
              </w:rPr>
            </w:pPr>
            <w:r w:rsidRPr="009077F5">
              <w:rPr>
                <w:sz w:val="24"/>
                <w:szCs w:val="24"/>
              </w:rPr>
              <w:t>Su akışlarının ayrıştırılması</w:t>
            </w:r>
          </w:p>
        </w:tc>
        <w:tc>
          <w:tcPr>
            <w:tcW w:w="4395" w:type="dxa"/>
            <w:vAlign w:val="center"/>
          </w:tcPr>
          <w:p w14:paraId="100C5495" w14:textId="2EEFF07E" w:rsidR="00D45143" w:rsidRPr="009077F5" w:rsidRDefault="00F55B00" w:rsidP="004B0D48">
            <w:pPr>
              <w:pStyle w:val="KonuBal"/>
              <w:rPr>
                <w:sz w:val="24"/>
                <w:szCs w:val="24"/>
              </w:rPr>
            </w:pPr>
            <w:r w:rsidRPr="009077F5">
              <w:rPr>
                <w:sz w:val="24"/>
                <w:szCs w:val="24"/>
              </w:rPr>
              <w:t xml:space="preserve">Her su akışı (örneğin yüzey akış suyu, proses suyu, alkali veya asidik atıksu, kullanılmış yağ giderme çözeltisi) kirletici içeriğine ve gerekli arıtma tekniklerine bağlı olarak ayrı ayrı toplanır. Arıtılmadan geri dönüştürülebilen </w:t>
            </w:r>
            <w:r w:rsidR="00651500" w:rsidRPr="009077F5">
              <w:rPr>
                <w:sz w:val="24"/>
                <w:szCs w:val="24"/>
              </w:rPr>
              <w:t>atıksu</w:t>
            </w:r>
            <w:r w:rsidRPr="009077F5">
              <w:rPr>
                <w:sz w:val="24"/>
                <w:szCs w:val="24"/>
              </w:rPr>
              <w:t xml:space="preserve">akışları, arıtma gerektiren </w:t>
            </w:r>
            <w:r w:rsidR="00651500" w:rsidRPr="009077F5">
              <w:rPr>
                <w:sz w:val="24"/>
                <w:szCs w:val="24"/>
              </w:rPr>
              <w:t>atıksu</w:t>
            </w:r>
            <w:r w:rsidRPr="009077F5">
              <w:rPr>
                <w:sz w:val="24"/>
                <w:szCs w:val="24"/>
              </w:rPr>
              <w:t>akışlarından ayrılır.</w:t>
            </w:r>
          </w:p>
        </w:tc>
        <w:tc>
          <w:tcPr>
            <w:tcW w:w="2409" w:type="dxa"/>
            <w:vAlign w:val="center"/>
          </w:tcPr>
          <w:p w14:paraId="4415A11C" w14:textId="28307520" w:rsidR="00D45143" w:rsidRPr="009077F5" w:rsidRDefault="00F55B00" w:rsidP="004B0D48">
            <w:pPr>
              <w:pStyle w:val="KonuBal"/>
              <w:rPr>
                <w:sz w:val="24"/>
                <w:szCs w:val="24"/>
              </w:rPr>
            </w:pPr>
            <w:r w:rsidRPr="009077F5">
              <w:rPr>
                <w:sz w:val="24"/>
                <w:szCs w:val="24"/>
              </w:rPr>
              <w:t>Mevcut tesislere uygulanabilirlik, su toplama sisteminin düzeni ile sınırlı olabilir.</w:t>
            </w:r>
          </w:p>
        </w:tc>
      </w:tr>
      <w:tr w:rsidR="00D45143" w:rsidRPr="004B0D48" w14:paraId="5B2606B6" w14:textId="77777777" w:rsidTr="00F55B00">
        <w:tc>
          <w:tcPr>
            <w:tcW w:w="425" w:type="dxa"/>
            <w:vAlign w:val="center"/>
          </w:tcPr>
          <w:p w14:paraId="03664F33" w14:textId="77777777" w:rsidR="00D45143" w:rsidRPr="009077F5" w:rsidRDefault="00D45143" w:rsidP="004B0D48">
            <w:pPr>
              <w:pStyle w:val="KonuBal"/>
              <w:rPr>
                <w:sz w:val="24"/>
                <w:szCs w:val="24"/>
              </w:rPr>
            </w:pPr>
            <w:r w:rsidRPr="009077F5">
              <w:rPr>
                <w:sz w:val="24"/>
                <w:szCs w:val="24"/>
              </w:rPr>
              <w:t>c.</w:t>
            </w:r>
          </w:p>
        </w:tc>
        <w:tc>
          <w:tcPr>
            <w:tcW w:w="1701" w:type="dxa"/>
            <w:vAlign w:val="center"/>
          </w:tcPr>
          <w:p w14:paraId="06F8F7D3" w14:textId="0E99B4B4" w:rsidR="00D45143" w:rsidRPr="009077F5" w:rsidRDefault="00F55B00" w:rsidP="004B0D48">
            <w:pPr>
              <w:pStyle w:val="KonuBal"/>
              <w:rPr>
                <w:sz w:val="24"/>
                <w:szCs w:val="24"/>
              </w:rPr>
            </w:pPr>
            <w:r w:rsidRPr="009077F5">
              <w:rPr>
                <w:sz w:val="24"/>
                <w:szCs w:val="24"/>
              </w:rPr>
              <w:t>Proses suyunda hidrokarbon kontaminasyonunun en aza indirilmesi</w:t>
            </w:r>
          </w:p>
        </w:tc>
        <w:tc>
          <w:tcPr>
            <w:tcW w:w="4395" w:type="dxa"/>
            <w:vAlign w:val="center"/>
          </w:tcPr>
          <w:p w14:paraId="06276629" w14:textId="77777777" w:rsidR="00F55B00" w:rsidRPr="009077F5" w:rsidRDefault="00F55B00" w:rsidP="004B0D48">
            <w:pPr>
              <w:pStyle w:val="KonuBal"/>
              <w:rPr>
                <w:sz w:val="24"/>
                <w:szCs w:val="24"/>
              </w:rPr>
            </w:pPr>
            <w:r w:rsidRPr="009077F5">
              <w:rPr>
                <w:sz w:val="24"/>
                <w:szCs w:val="24"/>
              </w:rPr>
              <w:t>Proses suyunun yağ ve yağlayıcı kayıpları ile kirlenmesi aşağıdaki gibi teknikler kullanılarak en aza indirilir:</w:t>
            </w:r>
          </w:p>
          <w:p w14:paraId="5A2EF568" w14:textId="77777777" w:rsidR="00F55B00" w:rsidRPr="009077F5" w:rsidRDefault="00F55B00" w:rsidP="004B0D48">
            <w:pPr>
              <w:pStyle w:val="KonuBal"/>
              <w:numPr>
                <w:ilvl w:val="0"/>
                <w:numId w:val="168"/>
              </w:numPr>
              <w:rPr>
                <w:sz w:val="24"/>
                <w:szCs w:val="24"/>
              </w:rPr>
            </w:pPr>
            <w:r w:rsidRPr="009077F5">
              <w:rPr>
                <w:sz w:val="24"/>
                <w:szCs w:val="24"/>
              </w:rPr>
              <w:t>çalışma merdaneleri için yağ geçirmez rulmanlar ve rulman contaları;</w:t>
            </w:r>
          </w:p>
          <w:p w14:paraId="0A308BA3" w14:textId="77777777" w:rsidR="00F55B00" w:rsidRPr="009077F5" w:rsidRDefault="00F55B00" w:rsidP="00E73DA3">
            <w:pPr>
              <w:pStyle w:val="KonuBal"/>
              <w:numPr>
                <w:ilvl w:val="0"/>
                <w:numId w:val="168"/>
              </w:numPr>
              <w:rPr>
                <w:sz w:val="24"/>
                <w:szCs w:val="24"/>
              </w:rPr>
            </w:pPr>
            <w:r w:rsidRPr="009077F5">
              <w:rPr>
                <w:sz w:val="24"/>
                <w:szCs w:val="24"/>
              </w:rPr>
              <w:t>sızıntı göstergeleri;</w:t>
            </w:r>
          </w:p>
          <w:p w14:paraId="18481825" w14:textId="202A19E8" w:rsidR="00D45143" w:rsidRPr="009077F5" w:rsidRDefault="00F55B00" w:rsidP="00BF4451">
            <w:pPr>
              <w:pStyle w:val="KonuBal"/>
              <w:numPr>
                <w:ilvl w:val="0"/>
                <w:numId w:val="168"/>
              </w:numPr>
              <w:rPr>
                <w:sz w:val="24"/>
                <w:szCs w:val="24"/>
              </w:rPr>
            </w:pPr>
            <w:r w:rsidRPr="009077F5">
              <w:rPr>
                <w:sz w:val="24"/>
                <w:szCs w:val="24"/>
              </w:rPr>
              <w:t>pompa contalarının, boruların ve çalışma merdanelerinin düzenli kontrolleri ve önleyici bakımları.</w:t>
            </w:r>
          </w:p>
        </w:tc>
        <w:tc>
          <w:tcPr>
            <w:tcW w:w="2409" w:type="dxa"/>
            <w:vAlign w:val="center"/>
          </w:tcPr>
          <w:p w14:paraId="20D309A7" w14:textId="77777777" w:rsidR="00D45143" w:rsidRPr="009077F5" w:rsidRDefault="00D45143" w:rsidP="00BF4451">
            <w:pPr>
              <w:pStyle w:val="KonuBal"/>
              <w:rPr>
                <w:sz w:val="24"/>
                <w:szCs w:val="24"/>
              </w:rPr>
            </w:pPr>
            <w:r w:rsidRPr="009077F5">
              <w:rPr>
                <w:sz w:val="24"/>
                <w:szCs w:val="24"/>
              </w:rPr>
              <w:t>Genel olarak uygulanabilir.</w:t>
            </w:r>
          </w:p>
        </w:tc>
      </w:tr>
      <w:tr w:rsidR="00D45143" w:rsidRPr="004B0D48" w14:paraId="74388DC1" w14:textId="77777777" w:rsidTr="00F55B00">
        <w:tc>
          <w:tcPr>
            <w:tcW w:w="425" w:type="dxa"/>
            <w:vAlign w:val="center"/>
          </w:tcPr>
          <w:p w14:paraId="5CDC530D" w14:textId="77777777" w:rsidR="00D45143" w:rsidRPr="009077F5" w:rsidRDefault="00D45143" w:rsidP="004B0D48">
            <w:pPr>
              <w:pStyle w:val="KonuBal"/>
              <w:rPr>
                <w:sz w:val="24"/>
                <w:szCs w:val="24"/>
              </w:rPr>
            </w:pPr>
            <w:r w:rsidRPr="009077F5">
              <w:rPr>
                <w:sz w:val="24"/>
                <w:szCs w:val="24"/>
              </w:rPr>
              <w:t>d.</w:t>
            </w:r>
          </w:p>
        </w:tc>
        <w:tc>
          <w:tcPr>
            <w:tcW w:w="1701" w:type="dxa"/>
            <w:vAlign w:val="center"/>
          </w:tcPr>
          <w:p w14:paraId="0B6AF8E3" w14:textId="7516FDE8" w:rsidR="00D45143" w:rsidRPr="009077F5" w:rsidRDefault="00F55B00" w:rsidP="00A202FD">
            <w:pPr>
              <w:jc w:val="both"/>
              <w:rPr>
                <w:rFonts w:eastAsia="Calibri"/>
                <w:lang w:eastAsia="en-US"/>
              </w:rPr>
            </w:pPr>
            <w:r w:rsidRPr="009077F5">
              <w:rPr>
                <w:rFonts w:eastAsia="Calibri"/>
                <w:lang w:eastAsia="en-US"/>
              </w:rPr>
              <w:t xml:space="preserve">Suyun yeniden kullanılması </w:t>
            </w:r>
            <w:r w:rsidRPr="009077F5">
              <w:rPr>
                <w:rFonts w:eastAsia="Calibri"/>
                <w:lang w:eastAsia="en-US"/>
              </w:rPr>
              <w:lastRenderedPageBreak/>
              <w:t xml:space="preserve">ve/veya geri </w:t>
            </w:r>
            <w:r w:rsidR="004C4454" w:rsidRPr="009077F5">
              <w:rPr>
                <w:rFonts w:eastAsia="Calibri"/>
                <w:lang w:eastAsia="en-US"/>
              </w:rPr>
              <w:t>kazanımı</w:t>
            </w:r>
          </w:p>
        </w:tc>
        <w:tc>
          <w:tcPr>
            <w:tcW w:w="4395" w:type="dxa"/>
            <w:vAlign w:val="center"/>
          </w:tcPr>
          <w:p w14:paraId="2A79BFAD" w14:textId="2AA0D33D" w:rsidR="00D45143" w:rsidRPr="009077F5" w:rsidRDefault="00F55B00" w:rsidP="00A202FD">
            <w:pPr>
              <w:ind w:left="31"/>
              <w:jc w:val="both"/>
            </w:pPr>
            <w:r w:rsidRPr="009077F5">
              <w:rPr>
                <w:rFonts w:eastAsia="Calibri"/>
                <w:spacing w:val="2"/>
                <w:lang w:val="en-US" w:eastAsia="en-US"/>
              </w:rPr>
              <w:lastRenderedPageBreak/>
              <w:t xml:space="preserve">Su akışları (örneğin proses suyu, sulu fırçalama veya su verme banyolarından çıkan atıklar) arıtıldıktan sonra gerekirse </w:t>
            </w:r>
            <w:r w:rsidRPr="009077F5">
              <w:rPr>
                <w:rFonts w:eastAsia="Calibri"/>
                <w:spacing w:val="2"/>
                <w:lang w:val="en-US" w:eastAsia="en-US"/>
              </w:rPr>
              <w:lastRenderedPageBreak/>
              <w:t>kapalı veya yarı kapalı devrelerde yeniden kullanılır ve/veya geri dönüştürülür (bkz. MET 30 ve MET 31).</w:t>
            </w:r>
          </w:p>
        </w:tc>
        <w:tc>
          <w:tcPr>
            <w:tcW w:w="2409" w:type="dxa"/>
            <w:vAlign w:val="center"/>
          </w:tcPr>
          <w:p w14:paraId="1BBB1C47" w14:textId="441DA82F" w:rsidR="00D45143" w:rsidRPr="009077F5" w:rsidRDefault="00777DD6" w:rsidP="004B0D48">
            <w:pPr>
              <w:pStyle w:val="KonuBal"/>
              <w:rPr>
                <w:sz w:val="24"/>
                <w:szCs w:val="24"/>
              </w:rPr>
            </w:pPr>
            <w:r w:rsidRPr="009077F5">
              <w:rPr>
                <w:sz w:val="24"/>
                <w:szCs w:val="24"/>
              </w:rPr>
              <w:lastRenderedPageBreak/>
              <w:t xml:space="preserve">Suyun yeniden kullanım ve/veya geri dönüşüm derecesi, </w:t>
            </w:r>
            <w:r w:rsidRPr="009077F5">
              <w:rPr>
                <w:sz w:val="24"/>
                <w:szCs w:val="24"/>
              </w:rPr>
              <w:lastRenderedPageBreak/>
              <w:t>tesisin su dengesi, kirlilik içeriği ve/veya su akışlarının özellikleri ile sınırlıdır.</w:t>
            </w:r>
          </w:p>
        </w:tc>
      </w:tr>
      <w:tr w:rsidR="00D45143" w:rsidRPr="004B0D48" w14:paraId="527F5F44" w14:textId="77777777" w:rsidTr="00777DD6">
        <w:trPr>
          <w:trHeight w:val="1118"/>
        </w:trPr>
        <w:tc>
          <w:tcPr>
            <w:tcW w:w="425" w:type="dxa"/>
            <w:vAlign w:val="center"/>
          </w:tcPr>
          <w:p w14:paraId="38A32DA2" w14:textId="77777777" w:rsidR="00D45143" w:rsidRPr="009077F5" w:rsidRDefault="00D45143" w:rsidP="004B0D48">
            <w:pPr>
              <w:pStyle w:val="KonuBal"/>
              <w:rPr>
                <w:sz w:val="24"/>
                <w:szCs w:val="24"/>
              </w:rPr>
            </w:pPr>
            <w:r w:rsidRPr="009077F5">
              <w:rPr>
                <w:sz w:val="24"/>
                <w:szCs w:val="24"/>
              </w:rPr>
              <w:lastRenderedPageBreak/>
              <w:t>e.</w:t>
            </w:r>
          </w:p>
        </w:tc>
        <w:tc>
          <w:tcPr>
            <w:tcW w:w="1701" w:type="dxa"/>
            <w:vAlign w:val="center"/>
          </w:tcPr>
          <w:p w14:paraId="671A77E4" w14:textId="15D33D1B" w:rsidR="00D45143" w:rsidRPr="009077F5" w:rsidRDefault="00777DD6" w:rsidP="00A202FD">
            <w:pPr>
              <w:jc w:val="both"/>
              <w:rPr>
                <w:rFonts w:eastAsia="Calibri"/>
                <w:lang w:eastAsia="en-US"/>
              </w:rPr>
            </w:pPr>
            <w:r w:rsidRPr="009077F5">
              <w:rPr>
                <w:rFonts w:eastAsia="Calibri"/>
                <w:lang w:eastAsia="en-US"/>
              </w:rPr>
              <w:t>Ters basamaklı durulama</w:t>
            </w:r>
          </w:p>
        </w:tc>
        <w:tc>
          <w:tcPr>
            <w:tcW w:w="4395" w:type="dxa"/>
            <w:vAlign w:val="center"/>
          </w:tcPr>
          <w:p w14:paraId="7D765013" w14:textId="16AC4694" w:rsidR="00D45143" w:rsidRPr="009077F5" w:rsidRDefault="00777DD6" w:rsidP="00A202FD">
            <w:pPr>
              <w:jc w:val="both"/>
              <w:rPr>
                <w:lang w:val="en-US" w:eastAsia="en-US"/>
              </w:rPr>
            </w:pPr>
            <w:r w:rsidRPr="009077F5">
              <w:rPr>
                <w:rFonts w:eastAsia="Calibri"/>
                <w:spacing w:val="2"/>
                <w:lang w:val="en-US" w:eastAsia="en-US"/>
              </w:rPr>
              <w:t>Durulama işlemi, hammaddenin en kirli durulama banyosundan en temizine doğru hareket ettirildiği seri halindeki iki veya daha fazla banyoda gerçekleştirilir.</w:t>
            </w:r>
          </w:p>
        </w:tc>
        <w:tc>
          <w:tcPr>
            <w:tcW w:w="2409" w:type="dxa"/>
            <w:vAlign w:val="center"/>
          </w:tcPr>
          <w:p w14:paraId="3EEAD879" w14:textId="2EDFDEB5" w:rsidR="00D45143" w:rsidRPr="009077F5" w:rsidRDefault="00777DD6" w:rsidP="004B0D48">
            <w:pPr>
              <w:pStyle w:val="KonuBal"/>
              <w:rPr>
                <w:sz w:val="24"/>
                <w:szCs w:val="24"/>
              </w:rPr>
            </w:pPr>
            <w:r w:rsidRPr="009077F5">
              <w:rPr>
                <w:sz w:val="24"/>
                <w:szCs w:val="24"/>
              </w:rPr>
              <w:t>Mevcut tesislere uygulanabilirlik, alan yetersizliği nedeniyle kısıtlanabilir.</w:t>
            </w:r>
          </w:p>
        </w:tc>
      </w:tr>
      <w:tr w:rsidR="00777DD6" w:rsidRPr="004B0D48" w14:paraId="04728759" w14:textId="77777777" w:rsidTr="00777DD6">
        <w:trPr>
          <w:trHeight w:val="1118"/>
        </w:trPr>
        <w:tc>
          <w:tcPr>
            <w:tcW w:w="425" w:type="dxa"/>
            <w:vAlign w:val="center"/>
          </w:tcPr>
          <w:p w14:paraId="151172D6" w14:textId="0C8DA923" w:rsidR="00777DD6" w:rsidRPr="009077F5" w:rsidRDefault="00777DD6" w:rsidP="004B0D48">
            <w:pPr>
              <w:pStyle w:val="KonuBal"/>
              <w:rPr>
                <w:sz w:val="24"/>
                <w:szCs w:val="24"/>
              </w:rPr>
            </w:pPr>
            <w:r w:rsidRPr="009077F5">
              <w:rPr>
                <w:sz w:val="24"/>
                <w:szCs w:val="24"/>
              </w:rPr>
              <w:t>f.</w:t>
            </w:r>
          </w:p>
        </w:tc>
        <w:tc>
          <w:tcPr>
            <w:tcW w:w="1701" w:type="dxa"/>
            <w:vAlign w:val="center"/>
          </w:tcPr>
          <w:p w14:paraId="62308903" w14:textId="77777777" w:rsidR="00777DD6" w:rsidRPr="009077F5" w:rsidRDefault="00777DD6" w:rsidP="00A202FD">
            <w:pPr>
              <w:jc w:val="both"/>
              <w:rPr>
                <w:rFonts w:eastAsia="Calibri"/>
                <w:lang w:eastAsia="en-US"/>
              </w:rPr>
            </w:pPr>
            <w:r w:rsidRPr="009077F5">
              <w:rPr>
                <w:rFonts w:eastAsia="Calibri"/>
                <w:lang w:eastAsia="en-US"/>
              </w:rPr>
              <w:t>Durulama suyunun geri dönüştürülmesi veya yeniden kullanılması</w:t>
            </w:r>
          </w:p>
          <w:p w14:paraId="596F40D3" w14:textId="77777777" w:rsidR="00777DD6" w:rsidRPr="009077F5" w:rsidRDefault="00777DD6" w:rsidP="00A202FD">
            <w:pPr>
              <w:jc w:val="both"/>
              <w:rPr>
                <w:rFonts w:eastAsia="Calibri"/>
                <w:lang w:eastAsia="en-US"/>
              </w:rPr>
            </w:pPr>
          </w:p>
        </w:tc>
        <w:tc>
          <w:tcPr>
            <w:tcW w:w="4395" w:type="dxa"/>
            <w:vAlign w:val="center"/>
          </w:tcPr>
          <w:p w14:paraId="1C16CAA0" w14:textId="227844FE" w:rsidR="00777DD6" w:rsidRPr="009077F5" w:rsidRDefault="00777DD6" w:rsidP="00A202FD">
            <w:pPr>
              <w:jc w:val="both"/>
              <w:rPr>
                <w:rFonts w:eastAsia="Calibri"/>
                <w:spacing w:val="2"/>
                <w:lang w:val="en-US" w:eastAsia="en-US"/>
              </w:rPr>
            </w:pPr>
            <w:r w:rsidRPr="009077F5">
              <w:rPr>
                <w:rFonts w:eastAsia="Calibri"/>
                <w:spacing w:val="2"/>
                <w:lang w:val="en-US" w:eastAsia="en-US"/>
              </w:rPr>
              <w:t>Dekapaj veya yağ alma işleminden sonra durulamadan gelen su, arıtmadan sonra gerekirse önceki proses banyolarına tamamlama suyu, durulama suyu olarak veya asit konsantrasyonu yeterince yüksekse asit geri kazanımı için geri dönüştürülür/yeniden kullanılır.</w:t>
            </w:r>
          </w:p>
        </w:tc>
        <w:tc>
          <w:tcPr>
            <w:tcW w:w="2409" w:type="dxa"/>
            <w:vAlign w:val="center"/>
          </w:tcPr>
          <w:p w14:paraId="31682C26" w14:textId="53CAD73A" w:rsidR="00777DD6" w:rsidRPr="009077F5" w:rsidRDefault="00777DD6" w:rsidP="004B0D48">
            <w:pPr>
              <w:pStyle w:val="KonuBal"/>
              <w:rPr>
                <w:sz w:val="24"/>
                <w:szCs w:val="24"/>
              </w:rPr>
            </w:pPr>
            <w:r w:rsidRPr="009077F5">
              <w:rPr>
                <w:sz w:val="24"/>
                <w:szCs w:val="24"/>
              </w:rPr>
              <w:t>Genel olarak uygulanabilir.</w:t>
            </w:r>
          </w:p>
        </w:tc>
      </w:tr>
      <w:tr w:rsidR="008C6878" w:rsidRPr="004B0D48" w14:paraId="1CF1DC00" w14:textId="77777777" w:rsidTr="00777DD6">
        <w:trPr>
          <w:trHeight w:val="1118"/>
        </w:trPr>
        <w:tc>
          <w:tcPr>
            <w:tcW w:w="425" w:type="dxa"/>
            <w:vAlign w:val="center"/>
          </w:tcPr>
          <w:p w14:paraId="699FCDB3" w14:textId="3EA59CBC" w:rsidR="008C6878" w:rsidRPr="009077F5" w:rsidRDefault="008C6878" w:rsidP="004B0D48">
            <w:pPr>
              <w:pStyle w:val="KonuBal"/>
              <w:rPr>
                <w:sz w:val="24"/>
                <w:szCs w:val="24"/>
              </w:rPr>
            </w:pPr>
            <w:r w:rsidRPr="009077F5">
              <w:rPr>
                <w:sz w:val="24"/>
                <w:szCs w:val="24"/>
              </w:rPr>
              <w:t>g.</w:t>
            </w:r>
          </w:p>
        </w:tc>
        <w:tc>
          <w:tcPr>
            <w:tcW w:w="1701" w:type="dxa"/>
            <w:vAlign w:val="center"/>
          </w:tcPr>
          <w:p w14:paraId="32A32CE9" w14:textId="1B483F20" w:rsidR="008C6878" w:rsidRPr="009077F5" w:rsidRDefault="008C6878" w:rsidP="00A202FD">
            <w:pPr>
              <w:jc w:val="both"/>
              <w:rPr>
                <w:rFonts w:eastAsia="Calibri"/>
                <w:lang w:eastAsia="en-US"/>
              </w:rPr>
            </w:pPr>
            <w:r w:rsidRPr="009077F5">
              <w:rPr>
                <w:rFonts w:eastAsia="Calibri"/>
                <w:lang w:eastAsia="en-US"/>
              </w:rPr>
              <w:t>Sıcak haddelemede yağ ve tufal içeren proses suyunun arıtılması ve yeniden kullanımı</w:t>
            </w:r>
          </w:p>
        </w:tc>
        <w:tc>
          <w:tcPr>
            <w:tcW w:w="4395" w:type="dxa"/>
            <w:vAlign w:val="center"/>
          </w:tcPr>
          <w:p w14:paraId="38FEBB2A" w14:textId="45E9EF35" w:rsidR="008C6878" w:rsidRPr="009077F5" w:rsidRDefault="008C6878" w:rsidP="00A202FD">
            <w:pPr>
              <w:jc w:val="both"/>
              <w:rPr>
                <w:rFonts w:eastAsia="Calibri"/>
                <w:spacing w:val="2"/>
                <w:lang w:val="en-US" w:eastAsia="en-US"/>
              </w:rPr>
            </w:pPr>
            <w:r w:rsidRPr="009077F5">
              <w:rPr>
                <w:rFonts w:eastAsia="Calibri"/>
                <w:spacing w:val="2"/>
                <w:lang w:val="en-US" w:eastAsia="en-US"/>
              </w:rPr>
              <w:t>Sıcak haddehanelerden gelen yağ ve tufal içeren atıksu, yağı ve tufalı ayırmak için tufal çukurları, çökeltme tankları, siklonlar ve filtreleme gibi farklı temizleme adımları kullanılarak ayrı ayrı arıtılır. Arıtılan suyun büyük bir kısmı proseste yeniden kullanılır.</w:t>
            </w:r>
          </w:p>
        </w:tc>
        <w:tc>
          <w:tcPr>
            <w:tcW w:w="2409" w:type="dxa"/>
            <w:vAlign w:val="center"/>
          </w:tcPr>
          <w:p w14:paraId="1F5F0FE7" w14:textId="7223C379" w:rsidR="008C6878" w:rsidRPr="009077F5" w:rsidRDefault="008C6878" w:rsidP="004B0D48">
            <w:pPr>
              <w:pStyle w:val="KonuBal"/>
              <w:rPr>
                <w:sz w:val="24"/>
                <w:szCs w:val="24"/>
              </w:rPr>
            </w:pPr>
            <w:r w:rsidRPr="009077F5">
              <w:rPr>
                <w:sz w:val="24"/>
                <w:szCs w:val="24"/>
              </w:rPr>
              <w:t>Genel olarak uygulanabilir.</w:t>
            </w:r>
          </w:p>
        </w:tc>
      </w:tr>
      <w:tr w:rsidR="008C6878" w:rsidRPr="004B0D48" w14:paraId="188A46A2" w14:textId="77777777" w:rsidTr="00777DD6">
        <w:trPr>
          <w:trHeight w:val="1118"/>
        </w:trPr>
        <w:tc>
          <w:tcPr>
            <w:tcW w:w="425" w:type="dxa"/>
            <w:vAlign w:val="center"/>
          </w:tcPr>
          <w:p w14:paraId="04380982" w14:textId="0D5B3CB8" w:rsidR="008C6878" w:rsidRPr="009077F5" w:rsidRDefault="008C6878" w:rsidP="004B0D48">
            <w:pPr>
              <w:pStyle w:val="KonuBal"/>
              <w:rPr>
                <w:sz w:val="24"/>
                <w:szCs w:val="24"/>
              </w:rPr>
            </w:pPr>
            <w:r w:rsidRPr="009077F5">
              <w:rPr>
                <w:sz w:val="24"/>
                <w:szCs w:val="24"/>
              </w:rPr>
              <w:t>h.</w:t>
            </w:r>
          </w:p>
        </w:tc>
        <w:tc>
          <w:tcPr>
            <w:tcW w:w="1701" w:type="dxa"/>
            <w:vAlign w:val="center"/>
          </w:tcPr>
          <w:p w14:paraId="74D176D9" w14:textId="5C383E39" w:rsidR="008C6878" w:rsidRPr="009077F5" w:rsidRDefault="008C6878" w:rsidP="00A202FD">
            <w:pPr>
              <w:jc w:val="both"/>
              <w:rPr>
                <w:rFonts w:eastAsia="Calibri"/>
                <w:lang w:eastAsia="en-US"/>
              </w:rPr>
            </w:pPr>
            <w:r w:rsidRPr="009077F5">
              <w:rPr>
                <w:rFonts w:eastAsia="Calibri"/>
                <w:lang w:eastAsia="en-US"/>
              </w:rPr>
              <w:t>Sıcak haddelemede sensörler tarafından tetiklenen su spreyi tufal giderme işlemi</w:t>
            </w:r>
          </w:p>
        </w:tc>
        <w:tc>
          <w:tcPr>
            <w:tcW w:w="4395" w:type="dxa"/>
            <w:vAlign w:val="center"/>
          </w:tcPr>
          <w:p w14:paraId="22C94CA2" w14:textId="48F01CCB" w:rsidR="008C6878" w:rsidRPr="009077F5" w:rsidRDefault="008C6878" w:rsidP="00A202FD">
            <w:pPr>
              <w:jc w:val="both"/>
              <w:rPr>
                <w:rFonts w:eastAsia="Calibri"/>
                <w:spacing w:val="2"/>
                <w:lang w:val="en-US" w:eastAsia="en-US"/>
              </w:rPr>
            </w:pPr>
            <w:r w:rsidRPr="009077F5">
              <w:rPr>
                <w:rFonts w:eastAsia="Calibri"/>
                <w:spacing w:val="2"/>
                <w:lang w:val="en-US" w:eastAsia="en-US"/>
              </w:rPr>
              <w:t>Sensörler ve otomasyon, hammaddenin konumunu izlemek ve su spreylerinden geçen tufal çözücü suyun hacmini ayarlamak için kullanılır.</w:t>
            </w:r>
          </w:p>
        </w:tc>
        <w:tc>
          <w:tcPr>
            <w:tcW w:w="2409" w:type="dxa"/>
            <w:vAlign w:val="center"/>
          </w:tcPr>
          <w:p w14:paraId="1F8DA89D" w14:textId="10380791" w:rsidR="008C6878" w:rsidRPr="009077F5" w:rsidRDefault="008C6878" w:rsidP="004B0D48">
            <w:pPr>
              <w:pStyle w:val="KonuBal"/>
              <w:rPr>
                <w:sz w:val="24"/>
                <w:szCs w:val="24"/>
              </w:rPr>
            </w:pPr>
            <w:r w:rsidRPr="009077F5">
              <w:rPr>
                <w:sz w:val="24"/>
                <w:szCs w:val="24"/>
              </w:rPr>
              <w:t>Genel olarak uygulanabilir.</w:t>
            </w:r>
          </w:p>
        </w:tc>
      </w:tr>
    </w:tbl>
    <w:p w14:paraId="0C8CB284" w14:textId="77777777" w:rsidR="00D45143" w:rsidRPr="00D53A2B" w:rsidRDefault="00D45143" w:rsidP="00A202FD">
      <w:pPr>
        <w:jc w:val="both"/>
        <w:rPr>
          <w:rFonts w:eastAsia="Calibri"/>
          <w:sz w:val="22"/>
          <w:szCs w:val="22"/>
          <w:lang w:eastAsia="en-US"/>
        </w:rPr>
      </w:pPr>
    </w:p>
    <w:p w14:paraId="5602E2CC" w14:textId="05D38C9F" w:rsidR="005F0E3A" w:rsidRPr="00D53A2B" w:rsidRDefault="008C6878" w:rsidP="00A202FD">
      <w:pPr>
        <w:jc w:val="both"/>
        <w:rPr>
          <w:rFonts w:eastAsia="Calibri"/>
          <w:sz w:val="22"/>
          <w:szCs w:val="22"/>
          <w:lang w:eastAsia="en-US"/>
        </w:rPr>
      </w:pPr>
      <w:r w:rsidRPr="00D53A2B">
        <w:rPr>
          <w:rFonts w:eastAsia="Calibri"/>
          <w:sz w:val="22"/>
          <w:szCs w:val="22"/>
          <w:lang w:eastAsia="en-US"/>
        </w:rPr>
        <w:t xml:space="preserve">Tablo </w:t>
      </w:r>
      <w:r w:rsidR="00B31B5F" w:rsidRPr="00D53A2B">
        <w:rPr>
          <w:rFonts w:eastAsia="Calibri"/>
          <w:sz w:val="22"/>
          <w:szCs w:val="22"/>
          <w:lang w:eastAsia="en-US"/>
        </w:rPr>
        <w:t>1</w:t>
      </w:r>
      <w:r w:rsidRPr="00D53A2B">
        <w:rPr>
          <w:rFonts w:eastAsia="Calibri"/>
          <w:sz w:val="22"/>
          <w:szCs w:val="22"/>
          <w:lang w:eastAsia="en-US"/>
        </w:rPr>
        <w:t>.6</w:t>
      </w:r>
    </w:p>
    <w:p w14:paraId="0C17710A" w14:textId="3BF650FA" w:rsidR="0071694E" w:rsidRDefault="008C6878" w:rsidP="00A202FD">
      <w:pPr>
        <w:jc w:val="both"/>
        <w:rPr>
          <w:rFonts w:eastAsia="Calibri"/>
          <w:sz w:val="22"/>
          <w:szCs w:val="22"/>
          <w:lang w:eastAsia="en-US"/>
        </w:rPr>
      </w:pPr>
      <w:r w:rsidRPr="00D53A2B">
        <w:rPr>
          <w:rFonts w:eastAsia="Calibri"/>
          <w:sz w:val="22"/>
          <w:szCs w:val="22"/>
          <w:lang w:eastAsia="en-US"/>
        </w:rPr>
        <w:t>Belirli su tüketimi için MET-ilişkili çevresel performans seviyeleri (MET-İÇPS)</w:t>
      </w:r>
    </w:p>
    <w:p w14:paraId="738D5904" w14:textId="77777777" w:rsidR="004B0D48" w:rsidRPr="00D53A2B" w:rsidRDefault="004B0D48" w:rsidP="00A202FD">
      <w:pPr>
        <w:jc w:val="both"/>
        <w:rPr>
          <w:rFonts w:eastAsia="Calibri"/>
          <w:sz w:val="22"/>
          <w:szCs w:val="22"/>
          <w:lang w:eastAsia="en-US"/>
        </w:rPr>
      </w:pPr>
    </w:p>
    <w:tbl>
      <w:tblPr>
        <w:tblW w:w="8637" w:type="dxa"/>
        <w:jc w:val="center"/>
        <w:tblLayout w:type="fixed"/>
        <w:tblCellMar>
          <w:left w:w="0" w:type="dxa"/>
          <w:right w:w="0" w:type="dxa"/>
        </w:tblCellMar>
        <w:tblLook w:val="0000" w:firstRow="0" w:lastRow="0" w:firstColumn="0" w:lastColumn="0" w:noHBand="0" w:noVBand="0"/>
      </w:tblPr>
      <w:tblGrid>
        <w:gridCol w:w="4242"/>
        <w:gridCol w:w="851"/>
        <w:gridCol w:w="3544"/>
      </w:tblGrid>
      <w:tr w:rsidR="0071694E" w:rsidRPr="004B0D48" w14:paraId="7AA9DE51" w14:textId="77777777" w:rsidTr="00065723">
        <w:trPr>
          <w:trHeight w:val="214"/>
          <w:jc w:val="center"/>
        </w:trPr>
        <w:tc>
          <w:tcPr>
            <w:tcW w:w="4242" w:type="dxa"/>
            <w:tcBorders>
              <w:top w:val="single" w:sz="8" w:space="0" w:color="auto"/>
              <w:left w:val="single" w:sz="8" w:space="0" w:color="auto"/>
              <w:bottom w:val="single" w:sz="4" w:space="0" w:color="auto"/>
              <w:right w:val="single" w:sz="8" w:space="0" w:color="auto"/>
            </w:tcBorders>
            <w:shd w:val="clear" w:color="auto" w:fill="auto"/>
            <w:vAlign w:val="bottom"/>
          </w:tcPr>
          <w:p w14:paraId="7A584101" w14:textId="77777777" w:rsidR="0071694E" w:rsidRPr="009077F5" w:rsidRDefault="0071694E" w:rsidP="004B0D48">
            <w:pPr>
              <w:pStyle w:val="KonuBal"/>
              <w:rPr>
                <w:sz w:val="24"/>
                <w:szCs w:val="24"/>
              </w:rPr>
            </w:pPr>
            <w:r w:rsidRPr="009077F5">
              <w:rPr>
                <w:sz w:val="24"/>
                <w:szCs w:val="24"/>
              </w:rPr>
              <w:t>Sektör</w:t>
            </w:r>
          </w:p>
        </w:tc>
        <w:tc>
          <w:tcPr>
            <w:tcW w:w="851" w:type="dxa"/>
            <w:tcBorders>
              <w:top w:val="single" w:sz="8" w:space="0" w:color="auto"/>
              <w:bottom w:val="single" w:sz="4" w:space="0" w:color="auto"/>
              <w:right w:val="single" w:sz="8" w:space="0" w:color="auto"/>
            </w:tcBorders>
            <w:shd w:val="clear" w:color="auto" w:fill="auto"/>
            <w:vAlign w:val="bottom"/>
          </w:tcPr>
          <w:p w14:paraId="26C2C24B" w14:textId="77777777" w:rsidR="0071694E" w:rsidRPr="009077F5" w:rsidRDefault="0071694E" w:rsidP="004B0D48">
            <w:pPr>
              <w:pStyle w:val="KonuBal"/>
              <w:rPr>
                <w:sz w:val="24"/>
                <w:szCs w:val="24"/>
              </w:rPr>
            </w:pPr>
            <w:r w:rsidRPr="009077F5">
              <w:rPr>
                <w:sz w:val="24"/>
                <w:szCs w:val="24"/>
              </w:rPr>
              <w:t>Birim</w:t>
            </w:r>
          </w:p>
        </w:tc>
        <w:tc>
          <w:tcPr>
            <w:tcW w:w="3544" w:type="dxa"/>
            <w:tcBorders>
              <w:top w:val="single" w:sz="8" w:space="0" w:color="auto"/>
              <w:bottom w:val="single" w:sz="4" w:space="0" w:color="auto"/>
              <w:right w:val="single" w:sz="8" w:space="0" w:color="auto"/>
            </w:tcBorders>
            <w:shd w:val="clear" w:color="auto" w:fill="auto"/>
            <w:vAlign w:val="bottom"/>
          </w:tcPr>
          <w:p w14:paraId="18A485B3" w14:textId="46B327AB" w:rsidR="0071694E" w:rsidRPr="009077F5" w:rsidRDefault="0071694E" w:rsidP="004B0D48">
            <w:pPr>
              <w:pStyle w:val="KonuBal"/>
              <w:rPr>
                <w:sz w:val="24"/>
                <w:szCs w:val="24"/>
              </w:rPr>
            </w:pPr>
            <w:r w:rsidRPr="009077F5">
              <w:rPr>
                <w:sz w:val="24"/>
                <w:szCs w:val="24"/>
              </w:rPr>
              <w:t>MET-İÇPS</w:t>
            </w:r>
            <w:r w:rsidR="0023315C" w:rsidRPr="009077F5">
              <w:rPr>
                <w:sz w:val="24"/>
                <w:szCs w:val="24"/>
              </w:rPr>
              <w:t xml:space="preserve"> </w:t>
            </w:r>
            <w:r w:rsidR="008C6878" w:rsidRPr="009077F5">
              <w:rPr>
                <w:sz w:val="24"/>
                <w:szCs w:val="24"/>
              </w:rPr>
              <w:t>(Yıllık ortalama)</w:t>
            </w:r>
          </w:p>
        </w:tc>
      </w:tr>
      <w:tr w:rsidR="0071694E" w:rsidRPr="004B0D48" w14:paraId="2C5A2906" w14:textId="77777777" w:rsidTr="00065723">
        <w:trPr>
          <w:trHeight w:val="304"/>
          <w:jc w:val="center"/>
        </w:trPr>
        <w:tc>
          <w:tcPr>
            <w:tcW w:w="4242" w:type="dxa"/>
            <w:tcBorders>
              <w:top w:val="single" w:sz="4" w:space="0" w:color="auto"/>
              <w:left w:val="single" w:sz="8" w:space="0" w:color="auto"/>
              <w:bottom w:val="single" w:sz="8" w:space="0" w:color="auto"/>
              <w:right w:val="single" w:sz="8" w:space="0" w:color="auto"/>
            </w:tcBorders>
            <w:shd w:val="clear" w:color="auto" w:fill="auto"/>
            <w:vAlign w:val="bottom"/>
          </w:tcPr>
          <w:p w14:paraId="117D82DA" w14:textId="77777777" w:rsidR="0071694E" w:rsidRPr="009077F5" w:rsidRDefault="0071694E" w:rsidP="004B0D48">
            <w:pPr>
              <w:pStyle w:val="KonuBal"/>
              <w:rPr>
                <w:sz w:val="24"/>
                <w:szCs w:val="24"/>
              </w:rPr>
            </w:pPr>
            <w:r w:rsidRPr="009077F5">
              <w:rPr>
                <w:sz w:val="24"/>
                <w:szCs w:val="24"/>
              </w:rPr>
              <w:t>Sıcak haddeleme</w:t>
            </w:r>
          </w:p>
        </w:tc>
        <w:tc>
          <w:tcPr>
            <w:tcW w:w="851" w:type="dxa"/>
            <w:tcBorders>
              <w:top w:val="single" w:sz="4" w:space="0" w:color="auto"/>
              <w:bottom w:val="single" w:sz="8" w:space="0" w:color="auto"/>
              <w:right w:val="single" w:sz="8" w:space="0" w:color="auto"/>
            </w:tcBorders>
            <w:shd w:val="clear" w:color="auto" w:fill="auto"/>
            <w:vAlign w:val="bottom"/>
          </w:tcPr>
          <w:p w14:paraId="1711AB1B" w14:textId="77777777" w:rsidR="0071694E" w:rsidRPr="009077F5" w:rsidRDefault="0071694E" w:rsidP="004B0D48">
            <w:pPr>
              <w:pStyle w:val="KonuBal"/>
              <w:rPr>
                <w:sz w:val="24"/>
                <w:szCs w:val="24"/>
              </w:rPr>
            </w:pPr>
            <w:r w:rsidRPr="009077F5">
              <w:rPr>
                <w:sz w:val="24"/>
                <w:szCs w:val="24"/>
              </w:rPr>
              <w:t>m</w:t>
            </w:r>
            <w:r w:rsidRPr="009077F5">
              <w:rPr>
                <w:sz w:val="24"/>
                <w:szCs w:val="24"/>
                <w:vertAlign w:val="superscript"/>
              </w:rPr>
              <w:t>3</w:t>
            </w:r>
            <w:r w:rsidRPr="009077F5">
              <w:rPr>
                <w:sz w:val="24"/>
                <w:szCs w:val="24"/>
              </w:rPr>
              <w:t>/t</w:t>
            </w:r>
          </w:p>
        </w:tc>
        <w:tc>
          <w:tcPr>
            <w:tcW w:w="3544" w:type="dxa"/>
            <w:tcBorders>
              <w:top w:val="single" w:sz="4" w:space="0" w:color="auto"/>
              <w:bottom w:val="single" w:sz="8" w:space="0" w:color="auto"/>
              <w:right w:val="single" w:sz="8" w:space="0" w:color="auto"/>
            </w:tcBorders>
            <w:shd w:val="clear" w:color="auto" w:fill="auto"/>
            <w:vAlign w:val="bottom"/>
          </w:tcPr>
          <w:p w14:paraId="1BDDF058" w14:textId="0775A35C" w:rsidR="0071694E" w:rsidRPr="009077F5" w:rsidRDefault="0071694E" w:rsidP="004B0D48">
            <w:pPr>
              <w:pStyle w:val="KonuBal"/>
              <w:rPr>
                <w:sz w:val="24"/>
                <w:szCs w:val="24"/>
              </w:rPr>
            </w:pPr>
            <w:r w:rsidRPr="009077F5">
              <w:rPr>
                <w:sz w:val="24"/>
                <w:szCs w:val="24"/>
              </w:rPr>
              <w:t>0</w:t>
            </w:r>
            <w:r w:rsidR="008C6878" w:rsidRPr="009077F5">
              <w:rPr>
                <w:sz w:val="24"/>
                <w:szCs w:val="24"/>
              </w:rPr>
              <w:t>,</w:t>
            </w:r>
            <w:r w:rsidRPr="009077F5">
              <w:rPr>
                <w:sz w:val="24"/>
                <w:szCs w:val="24"/>
              </w:rPr>
              <w:t>5–5</w:t>
            </w:r>
          </w:p>
        </w:tc>
      </w:tr>
      <w:tr w:rsidR="0071694E" w:rsidRPr="004B0D48" w14:paraId="5FE3570A" w14:textId="77777777" w:rsidTr="00065723">
        <w:trPr>
          <w:trHeight w:val="220"/>
          <w:jc w:val="center"/>
        </w:trPr>
        <w:tc>
          <w:tcPr>
            <w:tcW w:w="4242" w:type="dxa"/>
            <w:tcBorders>
              <w:left w:val="single" w:sz="8" w:space="0" w:color="auto"/>
              <w:bottom w:val="single" w:sz="8" w:space="0" w:color="auto"/>
              <w:right w:val="single" w:sz="8" w:space="0" w:color="auto"/>
            </w:tcBorders>
            <w:shd w:val="clear" w:color="auto" w:fill="auto"/>
            <w:vAlign w:val="bottom"/>
          </w:tcPr>
          <w:p w14:paraId="19E4A8D8" w14:textId="77777777" w:rsidR="0071694E" w:rsidRPr="009077F5" w:rsidRDefault="0071694E" w:rsidP="004B0D48">
            <w:pPr>
              <w:pStyle w:val="KonuBal"/>
              <w:rPr>
                <w:sz w:val="24"/>
                <w:szCs w:val="24"/>
              </w:rPr>
            </w:pPr>
            <w:r w:rsidRPr="009077F5">
              <w:rPr>
                <w:sz w:val="24"/>
                <w:szCs w:val="24"/>
              </w:rPr>
              <w:t>Soğuk haddeleme</w:t>
            </w:r>
          </w:p>
        </w:tc>
        <w:tc>
          <w:tcPr>
            <w:tcW w:w="851" w:type="dxa"/>
            <w:tcBorders>
              <w:bottom w:val="single" w:sz="8" w:space="0" w:color="auto"/>
              <w:right w:val="single" w:sz="8" w:space="0" w:color="auto"/>
            </w:tcBorders>
            <w:shd w:val="clear" w:color="auto" w:fill="auto"/>
            <w:vAlign w:val="bottom"/>
          </w:tcPr>
          <w:p w14:paraId="742E1BE4" w14:textId="77777777" w:rsidR="0071694E" w:rsidRPr="009077F5" w:rsidRDefault="0071694E" w:rsidP="004B0D48">
            <w:pPr>
              <w:pStyle w:val="KonuBal"/>
              <w:rPr>
                <w:sz w:val="24"/>
                <w:szCs w:val="24"/>
              </w:rPr>
            </w:pPr>
            <w:r w:rsidRPr="009077F5">
              <w:rPr>
                <w:sz w:val="24"/>
                <w:szCs w:val="24"/>
              </w:rPr>
              <w:t>m</w:t>
            </w:r>
            <w:r w:rsidRPr="009077F5">
              <w:rPr>
                <w:sz w:val="24"/>
                <w:szCs w:val="24"/>
                <w:vertAlign w:val="superscript"/>
              </w:rPr>
              <w:t>3</w:t>
            </w:r>
            <w:r w:rsidRPr="009077F5">
              <w:rPr>
                <w:sz w:val="24"/>
                <w:szCs w:val="24"/>
              </w:rPr>
              <w:t>/t</w:t>
            </w:r>
          </w:p>
        </w:tc>
        <w:tc>
          <w:tcPr>
            <w:tcW w:w="3544" w:type="dxa"/>
            <w:tcBorders>
              <w:bottom w:val="single" w:sz="8" w:space="0" w:color="auto"/>
              <w:right w:val="single" w:sz="8" w:space="0" w:color="auto"/>
            </w:tcBorders>
            <w:shd w:val="clear" w:color="auto" w:fill="auto"/>
            <w:vAlign w:val="bottom"/>
          </w:tcPr>
          <w:p w14:paraId="27F0E73A" w14:textId="33C4F1E9" w:rsidR="0071694E" w:rsidRPr="009077F5" w:rsidRDefault="0071694E" w:rsidP="004B0D48">
            <w:pPr>
              <w:pStyle w:val="KonuBal"/>
              <w:rPr>
                <w:sz w:val="24"/>
                <w:szCs w:val="24"/>
              </w:rPr>
            </w:pPr>
            <w:r w:rsidRPr="009077F5">
              <w:rPr>
                <w:sz w:val="24"/>
                <w:szCs w:val="24"/>
              </w:rPr>
              <w:t>0</w:t>
            </w:r>
            <w:r w:rsidR="008C6878" w:rsidRPr="009077F5">
              <w:rPr>
                <w:sz w:val="24"/>
                <w:szCs w:val="24"/>
              </w:rPr>
              <w:t>,</w:t>
            </w:r>
            <w:r w:rsidRPr="009077F5">
              <w:rPr>
                <w:sz w:val="24"/>
                <w:szCs w:val="24"/>
              </w:rPr>
              <w:t>5–10</w:t>
            </w:r>
          </w:p>
        </w:tc>
      </w:tr>
      <w:tr w:rsidR="0071694E" w:rsidRPr="004B0D48" w14:paraId="4C3DB4E5" w14:textId="77777777" w:rsidTr="00065723">
        <w:trPr>
          <w:trHeight w:val="220"/>
          <w:jc w:val="center"/>
        </w:trPr>
        <w:tc>
          <w:tcPr>
            <w:tcW w:w="4242" w:type="dxa"/>
            <w:tcBorders>
              <w:left w:val="single" w:sz="8" w:space="0" w:color="auto"/>
              <w:bottom w:val="single" w:sz="8" w:space="0" w:color="auto"/>
              <w:right w:val="single" w:sz="8" w:space="0" w:color="auto"/>
            </w:tcBorders>
            <w:shd w:val="clear" w:color="auto" w:fill="auto"/>
            <w:vAlign w:val="bottom"/>
          </w:tcPr>
          <w:p w14:paraId="2F8EF29A" w14:textId="77777777" w:rsidR="0071694E" w:rsidRPr="009077F5" w:rsidRDefault="0071694E" w:rsidP="004B0D48">
            <w:pPr>
              <w:pStyle w:val="KonuBal"/>
              <w:rPr>
                <w:sz w:val="24"/>
                <w:szCs w:val="24"/>
              </w:rPr>
            </w:pPr>
            <w:r w:rsidRPr="009077F5">
              <w:rPr>
                <w:sz w:val="24"/>
                <w:szCs w:val="24"/>
              </w:rPr>
              <w:t>Tel çekme</w:t>
            </w:r>
          </w:p>
        </w:tc>
        <w:tc>
          <w:tcPr>
            <w:tcW w:w="851" w:type="dxa"/>
            <w:tcBorders>
              <w:bottom w:val="single" w:sz="8" w:space="0" w:color="auto"/>
              <w:right w:val="single" w:sz="8" w:space="0" w:color="auto"/>
            </w:tcBorders>
            <w:shd w:val="clear" w:color="auto" w:fill="auto"/>
            <w:vAlign w:val="bottom"/>
          </w:tcPr>
          <w:p w14:paraId="19FDBADD" w14:textId="77777777" w:rsidR="0071694E" w:rsidRPr="009077F5" w:rsidRDefault="0071694E" w:rsidP="004B0D48">
            <w:pPr>
              <w:pStyle w:val="KonuBal"/>
              <w:rPr>
                <w:sz w:val="24"/>
                <w:szCs w:val="24"/>
              </w:rPr>
            </w:pPr>
            <w:r w:rsidRPr="009077F5">
              <w:rPr>
                <w:sz w:val="24"/>
                <w:szCs w:val="24"/>
              </w:rPr>
              <w:t>m</w:t>
            </w:r>
            <w:r w:rsidRPr="009077F5">
              <w:rPr>
                <w:sz w:val="24"/>
                <w:szCs w:val="24"/>
                <w:vertAlign w:val="superscript"/>
              </w:rPr>
              <w:t>3</w:t>
            </w:r>
            <w:r w:rsidRPr="009077F5">
              <w:rPr>
                <w:sz w:val="24"/>
                <w:szCs w:val="24"/>
              </w:rPr>
              <w:t>/t</w:t>
            </w:r>
          </w:p>
        </w:tc>
        <w:tc>
          <w:tcPr>
            <w:tcW w:w="3544" w:type="dxa"/>
            <w:tcBorders>
              <w:bottom w:val="single" w:sz="8" w:space="0" w:color="auto"/>
              <w:right w:val="single" w:sz="8" w:space="0" w:color="auto"/>
            </w:tcBorders>
            <w:shd w:val="clear" w:color="auto" w:fill="auto"/>
            <w:vAlign w:val="bottom"/>
          </w:tcPr>
          <w:p w14:paraId="35F67D9D" w14:textId="69965C74" w:rsidR="0071694E" w:rsidRPr="009077F5" w:rsidRDefault="0071694E" w:rsidP="004B0D48">
            <w:pPr>
              <w:pStyle w:val="KonuBal"/>
              <w:rPr>
                <w:sz w:val="24"/>
                <w:szCs w:val="24"/>
              </w:rPr>
            </w:pPr>
            <w:r w:rsidRPr="009077F5">
              <w:rPr>
                <w:sz w:val="24"/>
                <w:szCs w:val="24"/>
              </w:rPr>
              <w:t>0</w:t>
            </w:r>
            <w:r w:rsidR="008C6878" w:rsidRPr="009077F5">
              <w:rPr>
                <w:sz w:val="24"/>
                <w:szCs w:val="24"/>
              </w:rPr>
              <w:t>,</w:t>
            </w:r>
            <w:r w:rsidRPr="009077F5">
              <w:rPr>
                <w:sz w:val="24"/>
                <w:szCs w:val="24"/>
              </w:rPr>
              <w:t>5–5</w:t>
            </w:r>
          </w:p>
        </w:tc>
      </w:tr>
      <w:tr w:rsidR="0071694E" w:rsidRPr="004B0D48" w14:paraId="27168F20" w14:textId="77777777" w:rsidTr="00065723">
        <w:trPr>
          <w:trHeight w:val="220"/>
          <w:jc w:val="center"/>
        </w:trPr>
        <w:tc>
          <w:tcPr>
            <w:tcW w:w="4242" w:type="dxa"/>
            <w:tcBorders>
              <w:left w:val="single" w:sz="8" w:space="0" w:color="auto"/>
              <w:bottom w:val="single" w:sz="8" w:space="0" w:color="auto"/>
              <w:right w:val="single" w:sz="8" w:space="0" w:color="auto"/>
            </w:tcBorders>
            <w:shd w:val="clear" w:color="auto" w:fill="auto"/>
            <w:vAlign w:val="bottom"/>
          </w:tcPr>
          <w:p w14:paraId="76518C41" w14:textId="77777777" w:rsidR="0071694E" w:rsidRPr="009077F5" w:rsidRDefault="0071694E" w:rsidP="004B0D48">
            <w:pPr>
              <w:pStyle w:val="KonuBal"/>
              <w:rPr>
                <w:sz w:val="24"/>
                <w:szCs w:val="24"/>
              </w:rPr>
            </w:pPr>
            <w:r w:rsidRPr="009077F5">
              <w:rPr>
                <w:sz w:val="24"/>
                <w:szCs w:val="24"/>
              </w:rPr>
              <w:t>Sıcak daldırmalı kaplama</w:t>
            </w:r>
          </w:p>
        </w:tc>
        <w:tc>
          <w:tcPr>
            <w:tcW w:w="851" w:type="dxa"/>
            <w:tcBorders>
              <w:bottom w:val="single" w:sz="8" w:space="0" w:color="auto"/>
              <w:right w:val="single" w:sz="8" w:space="0" w:color="auto"/>
            </w:tcBorders>
            <w:shd w:val="clear" w:color="auto" w:fill="auto"/>
            <w:vAlign w:val="bottom"/>
          </w:tcPr>
          <w:p w14:paraId="317E9C5D" w14:textId="77777777" w:rsidR="0071694E" w:rsidRPr="009077F5" w:rsidRDefault="0071694E" w:rsidP="004B0D48">
            <w:pPr>
              <w:pStyle w:val="KonuBal"/>
              <w:rPr>
                <w:sz w:val="24"/>
                <w:szCs w:val="24"/>
              </w:rPr>
            </w:pPr>
            <w:r w:rsidRPr="009077F5">
              <w:rPr>
                <w:sz w:val="24"/>
                <w:szCs w:val="24"/>
              </w:rPr>
              <w:t>m</w:t>
            </w:r>
            <w:r w:rsidRPr="009077F5">
              <w:rPr>
                <w:sz w:val="24"/>
                <w:szCs w:val="24"/>
                <w:vertAlign w:val="superscript"/>
              </w:rPr>
              <w:t>3</w:t>
            </w:r>
            <w:r w:rsidRPr="009077F5">
              <w:rPr>
                <w:sz w:val="24"/>
                <w:szCs w:val="24"/>
              </w:rPr>
              <w:t>/t</w:t>
            </w:r>
          </w:p>
        </w:tc>
        <w:tc>
          <w:tcPr>
            <w:tcW w:w="3544" w:type="dxa"/>
            <w:tcBorders>
              <w:bottom w:val="single" w:sz="8" w:space="0" w:color="auto"/>
              <w:right w:val="single" w:sz="8" w:space="0" w:color="auto"/>
            </w:tcBorders>
            <w:shd w:val="clear" w:color="auto" w:fill="auto"/>
            <w:vAlign w:val="bottom"/>
          </w:tcPr>
          <w:p w14:paraId="61417446" w14:textId="03AA0328" w:rsidR="0071694E" w:rsidRPr="009077F5" w:rsidRDefault="0071694E" w:rsidP="004B0D48">
            <w:pPr>
              <w:pStyle w:val="KonuBal"/>
              <w:rPr>
                <w:sz w:val="24"/>
                <w:szCs w:val="24"/>
              </w:rPr>
            </w:pPr>
            <w:r w:rsidRPr="009077F5">
              <w:rPr>
                <w:sz w:val="24"/>
                <w:szCs w:val="24"/>
              </w:rPr>
              <w:t>0</w:t>
            </w:r>
            <w:r w:rsidR="008C6878" w:rsidRPr="009077F5">
              <w:rPr>
                <w:sz w:val="24"/>
                <w:szCs w:val="24"/>
              </w:rPr>
              <w:t>,</w:t>
            </w:r>
            <w:r w:rsidRPr="009077F5">
              <w:rPr>
                <w:sz w:val="24"/>
                <w:szCs w:val="24"/>
              </w:rPr>
              <w:t>5–5</w:t>
            </w:r>
          </w:p>
        </w:tc>
      </w:tr>
    </w:tbl>
    <w:p w14:paraId="277D9578" w14:textId="77777777" w:rsidR="0071694E" w:rsidRPr="00D53A2B" w:rsidRDefault="0071694E" w:rsidP="00A202FD">
      <w:pPr>
        <w:jc w:val="both"/>
        <w:rPr>
          <w:rFonts w:eastAsia="Calibri"/>
          <w:sz w:val="22"/>
          <w:szCs w:val="22"/>
          <w:lang w:eastAsia="en-US"/>
        </w:rPr>
      </w:pPr>
    </w:p>
    <w:p w14:paraId="62E301DE" w14:textId="26911BCD" w:rsidR="008C6878" w:rsidRPr="00D53A2B" w:rsidRDefault="008C6878" w:rsidP="00A202FD">
      <w:pPr>
        <w:jc w:val="both"/>
        <w:rPr>
          <w:rFonts w:eastAsia="Calibri"/>
          <w:lang w:eastAsia="en-US"/>
        </w:rPr>
      </w:pPr>
      <w:r w:rsidRPr="00D53A2B">
        <w:rPr>
          <w:rFonts w:eastAsia="Calibri"/>
          <w:lang w:eastAsia="en-US"/>
        </w:rPr>
        <w:t>İlgili izleme MET 6</w:t>
      </w:r>
      <w:r w:rsidR="00E56504" w:rsidRPr="00D53A2B">
        <w:rPr>
          <w:rFonts w:eastAsia="Calibri"/>
          <w:lang w:eastAsia="en-US"/>
        </w:rPr>
        <w:t>’</w:t>
      </w:r>
      <w:r w:rsidRPr="00D53A2B">
        <w:rPr>
          <w:rFonts w:eastAsia="Calibri"/>
          <w:lang w:eastAsia="en-US"/>
        </w:rPr>
        <w:t>da verilmiştir.</w:t>
      </w:r>
    </w:p>
    <w:p w14:paraId="152E654F" w14:textId="77777777" w:rsidR="00C24A6B" w:rsidRPr="00D53A2B" w:rsidRDefault="00C24A6B" w:rsidP="00A202FD">
      <w:pPr>
        <w:jc w:val="both"/>
        <w:rPr>
          <w:rFonts w:eastAsia="Calibri"/>
          <w:lang w:eastAsia="en-US"/>
        </w:rPr>
      </w:pPr>
    </w:p>
    <w:p w14:paraId="30810AFE" w14:textId="1FC66F01" w:rsidR="0071694E" w:rsidRPr="00D53A2B" w:rsidRDefault="00816D19" w:rsidP="00A202FD">
      <w:pPr>
        <w:pStyle w:val="Balk3"/>
        <w:rPr>
          <w:rFonts w:eastAsia="Calibri" w:cs="Times New Roman"/>
          <w:lang w:eastAsia="en-US"/>
        </w:rPr>
      </w:pPr>
      <w:r w:rsidRPr="00D53A2B">
        <w:rPr>
          <w:rFonts w:eastAsia="Calibri" w:cs="Times New Roman"/>
          <w:lang w:eastAsia="en-US"/>
        </w:rPr>
        <w:lastRenderedPageBreak/>
        <w:t>1.1</w:t>
      </w:r>
      <w:r w:rsidR="0071694E" w:rsidRPr="00D53A2B">
        <w:rPr>
          <w:rFonts w:eastAsia="Calibri" w:cs="Times New Roman"/>
          <w:lang w:eastAsia="en-US"/>
        </w:rPr>
        <w:t>.</w:t>
      </w:r>
      <w:r w:rsidR="00D457D0" w:rsidRPr="00D53A2B">
        <w:rPr>
          <w:rFonts w:eastAsia="Calibri" w:cs="Times New Roman"/>
          <w:lang w:eastAsia="en-US"/>
        </w:rPr>
        <w:t xml:space="preserve">7. </w:t>
      </w:r>
      <w:r w:rsidR="0071694E" w:rsidRPr="00D53A2B">
        <w:rPr>
          <w:rFonts w:eastAsia="Calibri" w:cs="Times New Roman"/>
          <w:lang w:eastAsia="en-US"/>
        </w:rPr>
        <w:t xml:space="preserve">Hava emisyonları </w:t>
      </w:r>
    </w:p>
    <w:p w14:paraId="618F758F" w14:textId="1A9D3888" w:rsidR="0071694E" w:rsidRPr="00D53A2B" w:rsidRDefault="00816D19" w:rsidP="00A202FD">
      <w:pPr>
        <w:pStyle w:val="Balk4"/>
        <w:rPr>
          <w:rFonts w:eastAsia="Calibri" w:cs="Times New Roman"/>
          <w:lang w:eastAsia="en-US"/>
        </w:rPr>
      </w:pPr>
      <w:r w:rsidRPr="00D53A2B">
        <w:rPr>
          <w:rFonts w:eastAsia="Calibri" w:cs="Times New Roman"/>
          <w:lang w:eastAsia="en-US"/>
        </w:rPr>
        <w:t>1.1</w:t>
      </w:r>
      <w:r w:rsidR="0071694E" w:rsidRPr="00D53A2B">
        <w:rPr>
          <w:rFonts w:eastAsia="Calibri" w:cs="Times New Roman"/>
          <w:lang w:eastAsia="en-US"/>
        </w:rPr>
        <w:t>.7.1</w:t>
      </w:r>
      <w:r w:rsidR="00D457D0" w:rsidRPr="00D53A2B">
        <w:rPr>
          <w:rFonts w:eastAsia="Calibri" w:cs="Times New Roman"/>
          <w:lang w:eastAsia="en-US"/>
        </w:rPr>
        <w:t xml:space="preserve">. </w:t>
      </w:r>
      <w:r w:rsidR="0071694E" w:rsidRPr="00D53A2B">
        <w:rPr>
          <w:rFonts w:eastAsia="Calibri" w:cs="Times New Roman"/>
          <w:lang w:eastAsia="en-US"/>
        </w:rPr>
        <w:t>Isınma kaynaklı hava emisyonları</w:t>
      </w:r>
    </w:p>
    <w:p w14:paraId="457B656D" w14:textId="3E88A8C1" w:rsidR="00D457D0" w:rsidRPr="00D53A2B" w:rsidRDefault="00C24A6B" w:rsidP="00A202FD">
      <w:pPr>
        <w:pStyle w:val="MET"/>
        <w:rPr>
          <w:rFonts w:eastAsia="Calibri"/>
          <w:szCs w:val="24"/>
        </w:rPr>
      </w:pPr>
      <w:r w:rsidRPr="00D53A2B">
        <w:rPr>
          <w:rFonts w:eastAsia="Calibri"/>
          <w:szCs w:val="24"/>
        </w:rPr>
        <w:t xml:space="preserve">MET 20: </w:t>
      </w:r>
      <w:r w:rsidRPr="00D53A2B">
        <w:rPr>
          <w:rFonts w:eastAsia="Calibri"/>
          <w:b w:val="0"/>
          <w:bCs/>
          <w:szCs w:val="24"/>
        </w:rPr>
        <w:t>Isıtmadan kaynaklanan havaya toz emisyonlarını önlemek veya azaltmak için</w:t>
      </w:r>
      <w:r w:rsidR="0031317B" w:rsidRPr="00D53A2B">
        <w:rPr>
          <w:rFonts w:eastAsia="Calibri"/>
          <w:b w:val="0"/>
          <w:bCs/>
          <w:szCs w:val="24"/>
        </w:rPr>
        <w:t xml:space="preserve"> MET</w:t>
      </w:r>
      <w:r w:rsidRPr="00D53A2B">
        <w:rPr>
          <w:rFonts w:eastAsia="Calibri"/>
          <w:b w:val="0"/>
          <w:bCs/>
          <w:szCs w:val="24"/>
        </w:rPr>
        <w:t>, fosil içermeyen enerji kaynaklarından üretilen elektriği veya aşağıda verilen (b) tekniği ile birlikte (a) tekniği kullanılır.</w:t>
      </w:r>
    </w:p>
    <w:p w14:paraId="5A9E5322" w14:textId="77777777" w:rsidR="0071694E" w:rsidRPr="00D53A2B" w:rsidRDefault="0071694E" w:rsidP="00A202FD">
      <w:pPr>
        <w:jc w:val="both"/>
        <w:rPr>
          <w:rFonts w:eastAsia="Calibri"/>
          <w:lang w:eastAsia="en-US"/>
        </w:rPr>
      </w:pPr>
    </w:p>
    <w:tbl>
      <w:tblPr>
        <w:tblW w:w="8794"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4"/>
        <w:gridCol w:w="1559"/>
        <w:gridCol w:w="5528"/>
        <w:gridCol w:w="1423"/>
      </w:tblGrid>
      <w:tr w:rsidR="00C24A6B" w:rsidRPr="00800D11" w14:paraId="72F68BBC" w14:textId="77777777" w:rsidTr="00065723">
        <w:trPr>
          <w:trHeight w:val="240"/>
        </w:trPr>
        <w:tc>
          <w:tcPr>
            <w:tcW w:w="1843" w:type="dxa"/>
            <w:gridSpan w:val="2"/>
            <w:shd w:val="clear" w:color="auto" w:fill="auto"/>
            <w:vAlign w:val="bottom"/>
          </w:tcPr>
          <w:p w14:paraId="129F4D04" w14:textId="77777777" w:rsidR="00C24A6B" w:rsidRPr="009077F5" w:rsidRDefault="00C24A6B" w:rsidP="004B0D48">
            <w:pPr>
              <w:pStyle w:val="KonuBal"/>
              <w:rPr>
                <w:sz w:val="24"/>
                <w:szCs w:val="24"/>
              </w:rPr>
            </w:pPr>
            <w:r w:rsidRPr="009077F5">
              <w:rPr>
                <w:sz w:val="24"/>
                <w:szCs w:val="24"/>
              </w:rPr>
              <w:t>Teknik</w:t>
            </w:r>
          </w:p>
        </w:tc>
        <w:tc>
          <w:tcPr>
            <w:tcW w:w="5528" w:type="dxa"/>
            <w:shd w:val="clear" w:color="auto" w:fill="auto"/>
            <w:vAlign w:val="bottom"/>
          </w:tcPr>
          <w:p w14:paraId="19054CEF" w14:textId="77777777" w:rsidR="00C24A6B" w:rsidRPr="009077F5" w:rsidRDefault="00C24A6B" w:rsidP="004B0D48">
            <w:pPr>
              <w:pStyle w:val="KonuBal"/>
              <w:rPr>
                <w:sz w:val="24"/>
                <w:szCs w:val="24"/>
              </w:rPr>
            </w:pPr>
            <w:r w:rsidRPr="009077F5">
              <w:rPr>
                <w:sz w:val="24"/>
                <w:szCs w:val="24"/>
              </w:rPr>
              <w:t>Açıklama</w:t>
            </w:r>
          </w:p>
        </w:tc>
        <w:tc>
          <w:tcPr>
            <w:tcW w:w="1423" w:type="dxa"/>
            <w:shd w:val="clear" w:color="auto" w:fill="auto"/>
            <w:vAlign w:val="bottom"/>
          </w:tcPr>
          <w:p w14:paraId="7B652983" w14:textId="77777777" w:rsidR="00C24A6B" w:rsidRPr="009077F5" w:rsidRDefault="00C24A6B" w:rsidP="00800D11">
            <w:pPr>
              <w:pStyle w:val="KonuBal"/>
              <w:rPr>
                <w:sz w:val="24"/>
                <w:szCs w:val="24"/>
              </w:rPr>
            </w:pPr>
            <w:r w:rsidRPr="009077F5">
              <w:rPr>
                <w:sz w:val="24"/>
                <w:szCs w:val="24"/>
              </w:rPr>
              <w:t>Uygulanabilirlik</w:t>
            </w:r>
          </w:p>
        </w:tc>
      </w:tr>
      <w:tr w:rsidR="00C24A6B" w:rsidRPr="00800D11" w14:paraId="0C8F16BF" w14:textId="77777777" w:rsidTr="00065723">
        <w:trPr>
          <w:trHeight w:val="1129"/>
        </w:trPr>
        <w:tc>
          <w:tcPr>
            <w:tcW w:w="284" w:type="dxa"/>
            <w:shd w:val="clear" w:color="auto" w:fill="auto"/>
            <w:vAlign w:val="center"/>
          </w:tcPr>
          <w:p w14:paraId="775BA2F4" w14:textId="77777777" w:rsidR="00C24A6B" w:rsidRPr="009077F5" w:rsidRDefault="00C24A6B" w:rsidP="004B0D48">
            <w:pPr>
              <w:pStyle w:val="KonuBal"/>
              <w:rPr>
                <w:sz w:val="24"/>
                <w:szCs w:val="24"/>
              </w:rPr>
            </w:pPr>
            <w:r w:rsidRPr="009077F5">
              <w:rPr>
                <w:sz w:val="24"/>
                <w:szCs w:val="24"/>
              </w:rPr>
              <w:t>a.</w:t>
            </w:r>
          </w:p>
        </w:tc>
        <w:tc>
          <w:tcPr>
            <w:tcW w:w="1559" w:type="dxa"/>
            <w:shd w:val="clear" w:color="auto" w:fill="auto"/>
            <w:vAlign w:val="center"/>
          </w:tcPr>
          <w:p w14:paraId="13936CC9" w14:textId="4E7EB952" w:rsidR="00C24A6B" w:rsidRPr="009077F5" w:rsidRDefault="00C24A6B" w:rsidP="004B0D48">
            <w:pPr>
              <w:pStyle w:val="KonuBal"/>
              <w:rPr>
                <w:sz w:val="24"/>
                <w:szCs w:val="24"/>
              </w:rPr>
            </w:pPr>
            <w:r w:rsidRPr="009077F5">
              <w:rPr>
                <w:sz w:val="24"/>
                <w:szCs w:val="24"/>
              </w:rPr>
              <w:t xml:space="preserve">Düşük toz ve kül içeriğine sahip yakıtların kullanılması </w:t>
            </w:r>
          </w:p>
        </w:tc>
        <w:tc>
          <w:tcPr>
            <w:tcW w:w="5528" w:type="dxa"/>
            <w:shd w:val="clear" w:color="auto" w:fill="auto"/>
            <w:vAlign w:val="center"/>
          </w:tcPr>
          <w:p w14:paraId="19C127C0" w14:textId="348B66ED" w:rsidR="00C24A6B" w:rsidRPr="009077F5" w:rsidRDefault="00C24A6B" w:rsidP="00800D11">
            <w:pPr>
              <w:pStyle w:val="KonuBal"/>
              <w:rPr>
                <w:sz w:val="24"/>
                <w:szCs w:val="24"/>
              </w:rPr>
            </w:pPr>
            <w:r w:rsidRPr="009077F5">
              <w:rPr>
                <w:sz w:val="24"/>
                <w:szCs w:val="24"/>
              </w:rPr>
              <w:t>Düşük toz ve kül içeriğine sahip yakıtlar arasında örneğin doğal gaz, sıvılaştırılmış petrol gazı, tozdan arındırılmış yüksek fırın gazı ve tozdan arındırılmış bazik oksijen fırın gazı yer almaktadır.</w:t>
            </w:r>
          </w:p>
        </w:tc>
        <w:tc>
          <w:tcPr>
            <w:tcW w:w="1423" w:type="dxa"/>
            <w:shd w:val="clear" w:color="auto" w:fill="auto"/>
            <w:vAlign w:val="center"/>
          </w:tcPr>
          <w:p w14:paraId="221EA43A" w14:textId="386557FC" w:rsidR="00C24A6B" w:rsidRPr="009077F5" w:rsidRDefault="00C24A6B" w:rsidP="00E73DA3">
            <w:pPr>
              <w:pStyle w:val="KonuBal"/>
              <w:rPr>
                <w:sz w:val="24"/>
                <w:szCs w:val="24"/>
              </w:rPr>
            </w:pPr>
            <w:r w:rsidRPr="009077F5">
              <w:rPr>
                <w:sz w:val="24"/>
                <w:szCs w:val="24"/>
              </w:rPr>
              <w:t>Genel olarak uygulanabilir</w:t>
            </w:r>
          </w:p>
        </w:tc>
      </w:tr>
      <w:tr w:rsidR="0071694E" w:rsidRPr="00800D11" w14:paraId="647B9E88" w14:textId="77777777" w:rsidTr="00065723">
        <w:trPr>
          <w:trHeight w:val="194"/>
        </w:trPr>
        <w:tc>
          <w:tcPr>
            <w:tcW w:w="284" w:type="dxa"/>
            <w:vMerge w:val="restart"/>
            <w:shd w:val="clear" w:color="auto" w:fill="auto"/>
            <w:vAlign w:val="center"/>
          </w:tcPr>
          <w:p w14:paraId="43AF5AA7" w14:textId="77777777" w:rsidR="0071694E" w:rsidRPr="009077F5" w:rsidRDefault="0071694E" w:rsidP="004B0D48">
            <w:pPr>
              <w:pStyle w:val="KonuBal"/>
              <w:rPr>
                <w:sz w:val="24"/>
                <w:szCs w:val="24"/>
              </w:rPr>
            </w:pPr>
            <w:r w:rsidRPr="009077F5">
              <w:rPr>
                <w:sz w:val="24"/>
                <w:szCs w:val="24"/>
              </w:rPr>
              <w:t>b.</w:t>
            </w:r>
          </w:p>
        </w:tc>
        <w:tc>
          <w:tcPr>
            <w:tcW w:w="1559" w:type="dxa"/>
            <w:vMerge w:val="restart"/>
            <w:shd w:val="clear" w:color="auto" w:fill="auto"/>
            <w:vAlign w:val="center"/>
          </w:tcPr>
          <w:p w14:paraId="393594AE" w14:textId="0BCA3499" w:rsidR="0071694E" w:rsidRPr="009077F5" w:rsidRDefault="0071694E" w:rsidP="004B0D48">
            <w:pPr>
              <w:pStyle w:val="KonuBal"/>
              <w:rPr>
                <w:sz w:val="24"/>
                <w:szCs w:val="24"/>
              </w:rPr>
            </w:pPr>
            <w:r w:rsidRPr="009077F5">
              <w:rPr>
                <w:sz w:val="24"/>
                <w:szCs w:val="24"/>
              </w:rPr>
              <w:t xml:space="preserve">Toz </w:t>
            </w:r>
            <w:r w:rsidR="00C24A6B" w:rsidRPr="009077F5">
              <w:rPr>
                <w:sz w:val="24"/>
                <w:szCs w:val="24"/>
              </w:rPr>
              <w:t>sürüklenmesinin</w:t>
            </w:r>
            <w:r w:rsidRPr="009077F5">
              <w:rPr>
                <w:sz w:val="24"/>
                <w:szCs w:val="24"/>
              </w:rPr>
              <w:t xml:space="preserve"> sınırlandırılması</w:t>
            </w:r>
          </w:p>
        </w:tc>
        <w:tc>
          <w:tcPr>
            <w:tcW w:w="5528" w:type="dxa"/>
            <w:shd w:val="clear" w:color="auto" w:fill="auto"/>
            <w:vAlign w:val="center"/>
          </w:tcPr>
          <w:p w14:paraId="5795B326" w14:textId="46DA6C2B" w:rsidR="0071694E" w:rsidRPr="009077F5" w:rsidRDefault="0071694E" w:rsidP="00800D11">
            <w:pPr>
              <w:pStyle w:val="KonuBal"/>
              <w:rPr>
                <w:sz w:val="24"/>
                <w:szCs w:val="24"/>
              </w:rPr>
            </w:pPr>
            <w:r w:rsidRPr="009077F5">
              <w:rPr>
                <w:sz w:val="24"/>
                <w:szCs w:val="24"/>
              </w:rPr>
              <w:t>Toz</w:t>
            </w:r>
            <w:r w:rsidR="00C24A6B" w:rsidRPr="009077F5">
              <w:rPr>
                <w:sz w:val="24"/>
                <w:szCs w:val="24"/>
              </w:rPr>
              <w:t>un sürüklenmesi</w:t>
            </w:r>
            <w:r w:rsidRPr="009077F5">
              <w:rPr>
                <w:sz w:val="24"/>
                <w:szCs w:val="24"/>
              </w:rPr>
              <w:t xml:space="preserve"> aşağıdaki örneklerle sınırlandırılabilir:</w:t>
            </w:r>
          </w:p>
        </w:tc>
        <w:tc>
          <w:tcPr>
            <w:tcW w:w="1423" w:type="dxa"/>
            <w:vMerge w:val="restart"/>
            <w:shd w:val="clear" w:color="auto" w:fill="auto"/>
            <w:vAlign w:val="center"/>
          </w:tcPr>
          <w:p w14:paraId="0779BE06" w14:textId="0B6EED51" w:rsidR="0071694E" w:rsidRPr="009077F5" w:rsidRDefault="00C24A6B" w:rsidP="00E73DA3">
            <w:pPr>
              <w:pStyle w:val="KonuBal"/>
              <w:rPr>
                <w:sz w:val="24"/>
                <w:szCs w:val="24"/>
              </w:rPr>
            </w:pPr>
            <w:r w:rsidRPr="009077F5">
              <w:rPr>
                <w:sz w:val="24"/>
                <w:szCs w:val="24"/>
              </w:rPr>
              <w:t>Alevlerin hammadde ile doğrudan temasının önlenmesi, doğrudan alevli fırınlar için geçerli değildir.</w:t>
            </w:r>
          </w:p>
        </w:tc>
      </w:tr>
      <w:tr w:rsidR="0071694E" w:rsidRPr="00800D11" w14:paraId="71E6B33D" w14:textId="77777777" w:rsidTr="00065723">
        <w:trPr>
          <w:trHeight w:val="2150"/>
        </w:trPr>
        <w:tc>
          <w:tcPr>
            <w:tcW w:w="284" w:type="dxa"/>
            <w:vMerge/>
            <w:shd w:val="clear" w:color="auto" w:fill="auto"/>
            <w:vAlign w:val="bottom"/>
          </w:tcPr>
          <w:p w14:paraId="757DA3A4" w14:textId="77777777" w:rsidR="0071694E" w:rsidRPr="009077F5" w:rsidRDefault="0071694E">
            <w:pPr>
              <w:pStyle w:val="KonuBal"/>
              <w:rPr>
                <w:sz w:val="24"/>
                <w:szCs w:val="24"/>
              </w:rPr>
            </w:pPr>
          </w:p>
        </w:tc>
        <w:tc>
          <w:tcPr>
            <w:tcW w:w="1559" w:type="dxa"/>
            <w:vMerge/>
            <w:shd w:val="clear" w:color="auto" w:fill="auto"/>
            <w:vAlign w:val="bottom"/>
          </w:tcPr>
          <w:p w14:paraId="6FFBBB6B" w14:textId="77777777" w:rsidR="0071694E" w:rsidRPr="009077F5" w:rsidRDefault="0071694E">
            <w:pPr>
              <w:pStyle w:val="KonuBal"/>
              <w:rPr>
                <w:sz w:val="24"/>
                <w:szCs w:val="24"/>
              </w:rPr>
            </w:pPr>
          </w:p>
        </w:tc>
        <w:tc>
          <w:tcPr>
            <w:tcW w:w="5528" w:type="dxa"/>
            <w:shd w:val="clear" w:color="auto" w:fill="auto"/>
            <w:vAlign w:val="center"/>
          </w:tcPr>
          <w:p w14:paraId="2751E6FE" w14:textId="207501D2" w:rsidR="0071694E" w:rsidRPr="009077F5" w:rsidRDefault="0071694E">
            <w:pPr>
              <w:pStyle w:val="KonuBal"/>
              <w:rPr>
                <w:sz w:val="24"/>
                <w:szCs w:val="24"/>
              </w:rPr>
            </w:pPr>
            <w:r w:rsidRPr="009077F5">
              <w:rPr>
                <w:sz w:val="24"/>
                <w:szCs w:val="24"/>
              </w:rPr>
              <w:t xml:space="preserve">- </w:t>
            </w:r>
            <w:r w:rsidR="00C24A6B" w:rsidRPr="009077F5">
              <w:rPr>
                <w:sz w:val="24"/>
                <w:szCs w:val="24"/>
              </w:rPr>
              <w:t>mümkün olduğunca temiz hammadde kullanılması veya hammaddenin fırına beslenmeden önce gevşek kireç ve tozdan temizlenmesi</w:t>
            </w:r>
            <w:r w:rsidRPr="009077F5">
              <w:rPr>
                <w:sz w:val="24"/>
                <w:szCs w:val="24"/>
              </w:rPr>
              <w:t>;</w:t>
            </w:r>
          </w:p>
          <w:p w14:paraId="0C176024" w14:textId="734F61B0" w:rsidR="0071694E" w:rsidRPr="009077F5" w:rsidRDefault="0071694E">
            <w:pPr>
              <w:pStyle w:val="KonuBal"/>
              <w:rPr>
                <w:sz w:val="24"/>
                <w:szCs w:val="24"/>
              </w:rPr>
            </w:pPr>
            <w:r w:rsidRPr="009077F5">
              <w:rPr>
                <w:sz w:val="24"/>
                <w:szCs w:val="24"/>
              </w:rPr>
              <w:t xml:space="preserve">- </w:t>
            </w:r>
            <w:r w:rsidR="00C24A6B" w:rsidRPr="009077F5">
              <w:rPr>
                <w:sz w:val="24"/>
                <w:szCs w:val="24"/>
              </w:rPr>
              <w:t>refrakter astar hasarından kaynaklanan toz oluşumunun en aza indirilmesi, örneğin alevlerin refrakter astar ile doğrudan temasının önlenmesi, refrakter astar üzerinde seramik kaplamaların kullanılması;</w:t>
            </w:r>
          </w:p>
          <w:p w14:paraId="7E8DE7A1" w14:textId="55B2E3B0" w:rsidR="0071694E" w:rsidRPr="009077F5" w:rsidRDefault="0071694E">
            <w:pPr>
              <w:pStyle w:val="KonuBal"/>
              <w:rPr>
                <w:sz w:val="24"/>
                <w:szCs w:val="24"/>
              </w:rPr>
            </w:pPr>
            <w:r w:rsidRPr="009077F5">
              <w:rPr>
                <w:sz w:val="24"/>
                <w:szCs w:val="24"/>
              </w:rPr>
              <w:t>- alevlerin hammadde ile doğrudan temasın</w:t>
            </w:r>
            <w:r w:rsidR="00C24A6B" w:rsidRPr="009077F5">
              <w:rPr>
                <w:sz w:val="24"/>
                <w:szCs w:val="24"/>
              </w:rPr>
              <w:t>d</w:t>
            </w:r>
            <w:r w:rsidRPr="009077F5">
              <w:rPr>
                <w:sz w:val="24"/>
                <w:szCs w:val="24"/>
              </w:rPr>
              <w:t>a</w:t>
            </w:r>
            <w:r w:rsidR="00C24A6B" w:rsidRPr="009077F5">
              <w:rPr>
                <w:sz w:val="24"/>
                <w:szCs w:val="24"/>
              </w:rPr>
              <w:t>n kaçınılması</w:t>
            </w:r>
            <w:r w:rsidRPr="009077F5">
              <w:rPr>
                <w:sz w:val="24"/>
                <w:szCs w:val="24"/>
              </w:rPr>
              <w:t>.</w:t>
            </w:r>
          </w:p>
        </w:tc>
        <w:tc>
          <w:tcPr>
            <w:tcW w:w="1423" w:type="dxa"/>
            <w:vMerge/>
            <w:shd w:val="clear" w:color="auto" w:fill="auto"/>
            <w:vAlign w:val="center"/>
          </w:tcPr>
          <w:p w14:paraId="24FBFB5C" w14:textId="77777777" w:rsidR="0071694E" w:rsidRPr="009077F5" w:rsidRDefault="0071694E">
            <w:pPr>
              <w:pStyle w:val="KonuBal"/>
              <w:rPr>
                <w:sz w:val="24"/>
                <w:szCs w:val="24"/>
              </w:rPr>
            </w:pPr>
          </w:p>
        </w:tc>
      </w:tr>
    </w:tbl>
    <w:p w14:paraId="7622A1A1" w14:textId="2DD69588" w:rsidR="0071694E" w:rsidRPr="00D53A2B" w:rsidRDefault="0071694E" w:rsidP="00A202FD">
      <w:pPr>
        <w:jc w:val="both"/>
        <w:rPr>
          <w:rFonts w:eastAsia="Calibri"/>
          <w:lang w:eastAsia="en-US"/>
        </w:rPr>
      </w:pPr>
    </w:p>
    <w:p w14:paraId="7E6DDFB4" w14:textId="1C8E719B" w:rsidR="0031317B" w:rsidRPr="00D53A2B" w:rsidRDefault="00C24A6B" w:rsidP="00A202FD">
      <w:pPr>
        <w:jc w:val="both"/>
        <w:rPr>
          <w:rFonts w:eastAsia="Calibri"/>
          <w:lang w:eastAsia="en-US"/>
        </w:rPr>
      </w:pPr>
      <w:r w:rsidRPr="00D53A2B">
        <w:rPr>
          <w:rFonts w:eastAsia="Calibri"/>
          <w:lang w:eastAsia="en-US"/>
        </w:rPr>
        <w:t xml:space="preserve">Tablo </w:t>
      </w:r>
      <w:r w:rsidR="00B31B5F" w:rsidRPr="00D53A2B">
        <w:rPr>
          <w:rFonts w:eastAsia="Calibri"/>
          <w:lang w:eastAsia="en-US"/>
        </w:rPr>
        <w:t>1</w:t>
      </w:r>
      <w:r w:rsidRPr="00D53A2B">
        <w:rPr>
          <w:rFonts w:eastAsia="Calibri"/>
          <w:lang w:eastAsia="en-US"/>
        </w:rPr>
        <w:t>.7</w:t>
      </w:r>
    </w:p>
    <w:p w14:paraId="60C8D513" w14:textId="0ED01BCE" w:rsidR="0071694E" w:rsidRPr="00D53A2B" w:rsidRDefault="00C24A6B" w:rsidP="00A202FD">
      <w:pPr>
        <w:jc w:val="both"/>
        <w:rPr>
          <w:rFonts w:eastAsia="Calibri"/>
          <w:lang w:eastAsia="en-US"/>
        </w:rPr>
      </w:pPr>
      <w:r w:rsidRPr="00D53A2B">
        <w:rPr>
          <w:rFonts w:eastAsia="Calibri"/>
          <w:lang w:eastAsia="en-US"/>
        </w:rPr>
        <w:t>Hammadde ısıtmasından kaynaklanan havaya kanalize toz emisyonları için MET-ilişkili çevresel seviyeleri (MET-İ</w:t>
      </w:r>
      <w:r w:rsidR="00B42D82" w:rsidRPr="00D53A2B">
        <w:rPr>
          <w:rFonts w:eastAsia="Calibri"/>
          <w:lang w:eastAsia="en-US"/>
        </w:rPr>
        <w:t>E</w:t>
      </w:r>
      <w:r w:rsidRPr="00D53A2B">
        <w:rPr>
          <w:rFonts w:eastAsia="Calibri"/>
          <w:lang w:eastAsia="en-US"/>
        </w:rPr>
        <w:t>S)</w:t>
      </w:r>
    </w:p>
    <w:p w14:paraId="60C77910" w14:textId="77777777" w:rsidR="00C15CF2" w:rsidRPr="00D53A2B" w:rsidRDefault="00C15CF2" w:rsidP="00A202FD">
      <w:pPr>
        <w:jc w:val="both"/>
        <w:rPr>
          <w:rFonts w:eastAsia="Calibri"/>
          <w:sz w:val="22"/>
          <w:szCs w:val="22"/>
          <w:lang w:eastAsia="en-US"/>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6"/>
        <w:gridCol w:w="2551"/>
        <w:gridCol w:w="1134"/>
        <w:gridCol w:w="3828"/>
      </w:tblGrid>
      <w:tr w:rsidR="0071694E" w:rsidRPr="00800D11" w14:paraId="6F5606AA" w14:textId="77777777" w:rsidTr="00065723">
        <w:trPr>
          <w:trHeight w:val="230"/>
        </w:trPr>
        <w:tc>
          <w:tcPr>
            <w:tcW w:w="1276" w:type="dxa"/>
            <w:shd w:val="clear" w:color="auto" w:fill="auto"/>
            <w:vAlign w:val="bottom"/>
          </w:tcPr>
          <w:p w14:paraId="5779A562" w14:textId="77777777" w:rsidR="0071694E" w:rsidRPr="009077F5" w:rsidRDefault="0071694E" w:rsidP="004B0D48">
            <w:pPr>
              <w:pStyle w:val="KonuBal"/>
              <w:rPr>
                <w:sz w:val="24"/>
                <w:szCs w:val="24"/>
              </w:rPr>
            </w:pPr>
            <w:r w:rsidRPr="009077F5">
              <w:rPr>
                <w:sz w:val="24"/>
                <w:szCs w:val="24"/>
              </w:rPr>
              <w:t>Parametre</w:t>
            </w:r>
          </w:p>
        </w:tc>
        <w:tc>
          <w:tcPr>
            <w:tcW w:w="2551" w:type="dxa"/>
            <w:shd w:val="clear" w:color="auto" w:fill="auto"/>
            <w:vAlign w:val="bottom"/>
          </w:tcPr>
          <w:p w14:paraId="70CA91AA" w14:textId="77777777" w:rsidR="0071694E" w:rsidRPr="009077F5" w:rsidRDefault="0071694E" w:rsidP="004B0D48">
            <w:pPr>
              <w:pStyle w:val="KonuBal"/>
              <w:rPr>
                <w:sz w:val="24"/>
                <w:szCs w:val="24"/>
              </w:rPr>
            </w:pPr>
            <w:r w:rsidRPr="009077F5">
              <w:rPr>
                <w:sz w:val="24"/>
                <w:szCs w:val="24"/>
              </w:rPr>
              <w:t>Sektör</w:t>
            </w:r>
          </w:p>
        </w:tc>
        <w:tc>
          <w:tcPr>
            <w:tcW w:w="1134" w:type="dxa"/>
            <w:shd w:val="clear" w:color="auto" w:fill="auto"/>
            <w:vAlign w:val="bottom"/>
          </w:tcPr>
          <w:p w14:paraId="26432AA2" w14:textId="77777777" w:rsidR="0071694E" w:rsidRPr="009077F5" w:rsidRDefault="0071694E" w:rsidP="00800D11">
            <w:pPr>
              <w:pStyle w:val="KonuBal"/>
              <w:rPr>
                <w:sz w:val="24"/>
                <w:szCs w:val="24"/>
              </w:rPr>
            </w:pPr>
            <w:r w:rsidRPr="009077F5">
              <w:rPr>
                <w:sz w:val="24"/>
                <w:szCs w:val="24"/>
              </w:rPr>
              <w:t>Birim</w:t>
            </w:r>
          </w:p>
        </w:tc>
        <w:tc>
          <w:tcPr>
            <w:tcW w:w="3828" w:type="dxa"/>
            <w:shd w:val="clear" w:color="auto" w:fill="auto"/>
            <w:vAlign w:val="bottom"/>
          </w:tcPr>
          <w:p w14:paraId="1BF006B2" w14:textId="77777777" w:rsidR="00B42D82" w:rsidRPr="009077F5" w:rsidRDefault="00B42D82" w:rsidP="00E73DA3">
            <w:pPr>
              <w:pStyle w:val="KonuBal"/>
              <w:rPr>
                <w:sz w:val="24"/>
                <w:szCs w:val="24"/>
              </w:rPr>
            </w:pPr>
            <w:r w:rsidRPr="009077F5">
              <w:rPr>
                <w:sz w:val="24"/>
                <w:szCs w:val="24"/>
              </w:rPr>
              <w:t>MET-İES (</w:t>
            </w:r>
            <w:r w:rsidRPr="009077F5">
              <w:rPr>
                <w:sz w:val="24"/>
                <w:szCs w:val="24"/>
                <w:vertAlign w:val="superscript"/>
              </w:rPr>
              <w:t>1</w:t>
            </w:r>
            <w:r w:rsidRPr="009077F5">
              <w:rPr>
                <w:sz w:val="24"/>
                <w:szCs w:val="24"/>
              </w:rPr>
              <w:t>)</w:t>
            </w:r>
          </w:p>
          <w:p w14:paraId="79C756B3" w14:textId="623DA943" w:rsidR="0071694E" w:rsidRPr="009077F5" w:rsidRDefault="00B42D82" w:rsidP="00BF4451">
            <w:pPr>
              <w:pStyle w:val="KonuBal"/>
              <w:rPr>
                <w:sz w:val="24"/>
                <w:szCs w:val="24"/>
              </w:rPr>
            </w:pPr>
            <w:r w:rsidRPr="009077F5">
              <w:rPr>
                <w:sz w:val="24"/>
                <w:szCs w:val="24"/>
              </w:rPr>
              <w:t>(Günlük ortalama veya numune alma süresi boyunca ortalama)</w:t>
            </w:r>
          </w:p>
        </w:tc>
      </w:tr>
      <w:tr w:rsidR="00B42D82" w:rsidRPr="00800D11" w14:paraId="6A1FECEB" w14:textId="77777777" w:rsidTr="00065723">
        <w:trPr>
          <w:trHeight w:val="220"/>
        </w:trPr>
        <w:tc>
          <w:tcPr>
            <w:tcW w:w="1276" w:type="dxa"/>
            <w:vMerge w:val="restart"/>
            <w:shd w:val="clear" w:color="auto" w:fill="auto"/>
            <w:vAlign w:val="center"/>
          </w:tcPr>
          <w:p w14:paraId="3DE12E69" w14:textId="557AF967" w:rsidR="00B42D82" w:rsidRPr="009077F5" w:rsidRDefault="00B42D82" w:rsidP="004B0D48">
            <w:pPr>
              <w:pStyle w:val="KonuBal"/>
              <w:rPr>
                <w:sz w:val="24"/>
                <w:szCs w:val="24"/>
              </w:rPr>
            </w:pPr>
            <w:r w:rsidRPr="009077F5">
              <w:rPr>
                <w:sz w:val="24"/>
                <w:szCs w:val="24"/>
              </w:rPr>
              <w:t>Toz</w:t>
            </w:r>
          </w:p>
        </w:tc>
        <w:tc>
          <w:tcPr>
            <w:tcW w:w="2551" w:type="dxa"/>
            <w:shd w:val="clear" w:color="auto" w:fill="auto"/>
            <w:vAlign w:val="bottom"/>
          </w:tcPr>
          <w:p w14:paraId="02BE514F" w14:textId="77777777" w:rsidR="00B42D82" w:rsidRPr="009077F5" w:rsidRDefault="00B42D82" w:rsidP="004B0D48">
            <w:pPr>
              <w:pStyle w:val="KonuBal"/>
              <w:rPr>
                <w:sz w:val="24"/>
                <w:szCs w:val="24"/>
              </w:rPr>
            </w:pPr>
            <w:r w:rsidRPr="009077F5">
              <w:rPr>
                <w:sz w:val="24"/>
                <w:szCs w:val="24"/>
              </w:rPr>
              <w:t>Sıcak haddeleme</w:t>
            </w:r>
          </w:p>
        </w:tc>
        <w:tc>
          <w:tcPr>
            <w:tcW w:w="1134" w:type="dxa"/>
            <w:vMerge w:val="restart"/>
            <w:shd w:val="clear" w:color="auto" w:fill="auto"/>
            <w:vAlign w:val="center"/>
          </w:tcPr>
          <w:p w14:paraId="5A41EB09" w14:textId="26A4AD38" w:rsidR="00B42D82" w:rsidRPr="009077F5" w:rsidRDefault="00B42D82" w:rsidP="00800D11">
            <w:pPr>
              <w:pStyle w:val="KonuBal"/>
              <w:rPr>
                <w:sz w:val="24"/>
                <w:szCs w:val="24"/>
              </w:rPr>
            </w:pPr>
            <w:r w:rsidRPr="009077F5">
              <w:rPr>
                <w:sz w:val="24"/>
                <w:szCs w:val="24"/>
              </w:rPr>
              <w:t>mg/Nm</w:t>
            </w:r>
            <w:r w:rsidRPr="009077F5">
              <w:rPr>
                <w:sz w:val="24"/>
                <w:szCs w:val="24"/>
                <w:vertAlign w:val="superscript"/>
              </w:rPr>
              <w:t>3</w:t>
            </w:r>
          </w:p>
        </w:tc>
        <w:tc>
          <w:tcPr>
            <w:tcW w:w="3828" w:type="dxa"/>
            <w:shd w:val="clear" w:color="auto" w:fill="auto"/>
            <w:vAlign w:val="bottom"/>
          </w:tcPr>
          <w:p w14:paraId="2DE29FF9" w14:textId="77777777" w:rsidR="00B42D82" w:rsidRPr="009077F5" w:rsidRDefault="00B42D82" w:rsidP="00E73DA3">
            <w:pPr>
              <w:pStyle w:val="KonuBal"/>
              <w:rPr>
                <w:sz w:val="24"/>
                <w:szCs w:val="24"/>
              </w:rPr>
            </w:pPr>
            <w:r w:rsidRPr="009077F5">
              <w:rPr>
                <w:sz w:val="24"/>
                <w:szCs w:val="24"/>
              </w:rPr>
              <w:t>&lt; 2–10</w:t>
            </w:r>
          </w:p>
        </w:tc>
      </w:tr>
      <w:tr w:rsidR="00B42D82" w:rsidRPr="00800D11" w14:paraId="3AD725FB" w14:textId="77777777" w:rsidTr="00065723">
        <w:trPr>
          <w:trHeight w:val="220"/>
        </w:trPr>
        <w:tc>
          <w:tcPr>
            <w:tcW w:w="1276" w:type="dxa"/>
            <w:vMerge/>
            <w:shd w:val="clear" w:color="auto" w:fill="auto"/>
            <w:vAlign w:val="bottom"/>
          </w:tcPr>
          <w:p w14:paraId="65D0EEED" w14:textId="0D0248C2" w:rsidR="00B42D82" w:rsidRPr="009077F5" w:rsidRDefault="00B42D82">
            <w:pPr>
              <w:pStyle w:val="KonuBal"/>
              <w:rPr>
                <w:sz w:val="24"/>
                <w:szCs w:val="24"/>
              </w:rPr>
            </w:pPr>
          </w:p>
        </w:tc>
        <w:tc>
          <w:tcPr>
            <w:tcW w:w="2551" w:type="dxa"/>
            <w:shd w:val="clear" w:color="auto" w:fill="auto"/>
            <w:vAlign w:val="bottom"/>
          </w:tcPr>
          <w:p w14:paraId="1B6AE818" w14:textId="77777777" w:rsidR="00B42D82" w:rsidRPr="009077F5" w:rsidRDefault="00B42D82">
            <w:pPr>
              <w:pStyle w:val="KonuBal"/>
              <w:rPr>
                <w:sz w:val="24"/>
                <w:szCs w:val="24"/>
              </w:rPr>
            </w:pPr>
            <w:r w:rsidRPr="009077F5">
              <w:rPr>
                <w:sz w:val="24"/>
                <w:szCs w:val="24"/>
              </w:rPr>
              <w:t>Soğuk haddeleme</w:t>
            </w:r>
          </w:p>
        </w:tc>
        <w:tc>
          <w:tcPr>
            <w:tcW w:w="1134" w:type="dxa"/>
            <w:vMerge/>
            <w:shd w:val="clear" w:color="auto" w:fill="auto"/>
            <w:vAlign w:val="bottom"/>
          </w:tcPr>
          <w:p w14:paraId="6F56AD11" w14:textId="62991AC4" w:rsidR="00B42D82" w:rsidRPr="009077F5" w:rsidRDefault="00B42D82">
            <w:pPr>
              <w:pStyle w:val="KonuBal"/>
              <w:rPr>
                <w:sz w:val="24"/>
                <w:szCs w:val="24"/>
                <w:vertAlign w:val="superscript"/>
              </w:rPr>
            </w:pPr>
          </w:p>
        </w:tc>
        <w:tc>
          <w:tcPr>
            <w:tcW w:w="3828" w:type="dxa"/>
            <w:shd w:val="clear" w:color="auto" w:fill="auto"/>
            <w:vAlign w:val="bottom"/>
          </w:tcPr>
          <w:p w14:paraId="6B3A68E6" w14:textId="77777777" w:rsidR="00B42D82" w:rsidRPr="009077F5" w:rsidRDefault="00B42D82">
            <w:pPr>
              <w:pStyle w:val="KonuBal"/>
              <w:rPr>
                <w:sz w:val="24"/>
                <w:szCs w:val="24"/>
              </w:rPr>
            </w:pPr>
            <w:r w:rsidRPr="009077F5">
              <w:rPr>
                <w:sz w:val="24"/>
                <w:szCs w:val="24"/>
              </w:rPr>
              <w:t>&lt; 2–10</w:t>
            </w:r>
          </w:p>
        </w:tc>
      </w:tr>
      <w:tr w:rsidR="00B42D82" w:rsidRPr="00800D11" w14:paraId="1B1436F2" w14:textId="77777777" w:rsidTr="00065723">
        <w:trPr>
          <w:trHeight w:val="276"/>
        </w:trPr>
        <w:tc>
          <w:tcPr>
            <w:tcW w:w="1276" w:type="dxa"/>
            <w:vMerge/>
            <w:shd w:val="clear" w:color="auto" w:fill="auto"/>
            <w:vAlign w:val="bottom"/>
          </w:tcPr>
          <w:p w14:paraId="6AD8F3B6" w14:textId="77777777" w:rsidR="00B42D82" w:rsidRPr="009077F5" w:rsidRDefault="00B42D82">
            <w:pPr>
              <w:pStyle w:val="KonuBal"/>
              <w:rPr>
                <w:sz w:val="24"/>
                <w:szCs w:val="24"/>
              </w:rPr>
            </w:pPr>
          </w:p>
        </w:tc>
        <w:tc>
          <w:tcPr>
            <w:tcW w:w="2551" w:type="dxa"/>
            <w:shd w:val="clear" w:color="auto" w:fill="auto"/>
            <w:vAlign w:val="bottom"/>
          </w:tcPr>
          <w:p w14:paraId="200A6BAE" w14:textId="77777777" w:rsidR="00B42D82" w:rsidRPr="009077F5" w:rsidRDefault="00B42D82">
            <w:pPr>
              <w:pStyle w:val="KonuBal"/>
              <w:rPr>
                <w:sz w:val="24"/>
                <w:szCs w:val="24"/>
              </w:rPr>
            </w:pPr>
            <w:r w:rsidRPr="009077F5">
              <w:rPr>
                <w:sz w:val="24"/>
                <w:szCs w:val="24"/>
              </w:rPr>
              <w:t>Tel çekme</w:t>
            </w:r>
          </w:p>
        </w:tc>
        <w:tc>
          <w:tcPr>
            <w:tcW w:w="1134" w:type="dxa"/>
            <w:vMerge/>
            <w:shd w:val="clear" w:color="auto" w:fill="auto"/>
            <w:vAlign w:val="bottom"/>
          </w:tcPr>
          <w:p w14:paraId="4AD1AEAE" w14:textId="77777777" w:rsidR="00B42D82" w:rsidRPr="009077F5" w:rsidRDefault="00B42D82">
            <w:pPr>
              <w:pStyle w:val="KonuBal"/>
              <w:rPr>
                <w:sz w:val="24"/>
                <w:szCs w:val="24"/>
              </w:rPr>
            </w:pPr>
          </w:p>
        </w:tc>
        <w:tc>
          <w:tcPr>
            <w:tcW w:w="3828" w:type="dxa"/>
            <w:shd w:val="clear" w:color="auto" w:fill="auto"/>
            <w:vAlign w:val="bottom"/>
          </w:tcPr>
          <w:p w14:paraId="69271317" w14:textId="77777777" w:rsidR="00B42D82" w:rsidRPr="009077F5" w:rsidRDefault="00B42D82">
            <w:pPr>
              <w:pStyle w:val="KonuBal"/>
              <w:rPr>
                <w:sz w:val="24"/>
                <w:szCs w:val="24"/>
              </w:rPr>
            </w:pPr>
            <w:r w:rsidRPr="009077F5">
              <w:rPr>
                <w:sz w:val="24"/>
                <w:szCs w:val="24"/>
              </w:rPr>
              <w:t>&lt; 2–10</w:t>
            </w:r>
          </w:p>
        </w:tc>
      </w:tr>
      <w:tr w:rsidR="00B42D82" w:rsidRPr="00800D11" w14:paraId="54E38D81" w14:textId="77777777" w:rsidTr="00065723">
        <w:trPr>
          <w:trHeight w:val="51"/>
        </w:trPr>
        <w:tc>
          <w:tcPr>
            <w:tcW w:w="1276" w:type="dxa"/>
            <w:vMerge/>
            <w:shd w:val="clear" w:color="auto" w:fill="auto"/>
            <w:vAlign w:val="bottom"/>
          </w:tcPr>
          <w:p w14:paraId="718C905E" w14:textId="77777777" w:rsidR="00B42D82" w:rsidRPr="009077F5" w:rsidRDefault="00B42D82">
            <w:pPr>
              <w:pStyle w:val="KonuBal"/>
              <w:rPr>
                <w:sz w:val="24"/>
                <w:szCs w:val="24"/>
              </w:rPr>
            </w:pPr>
          </w:p>
        </w:tc>
        <w:tc>
          <w:tcPr>
            <w:tcW w:w="2551" w:type="dxa"/>
            <w:shd w:val="clear" w:color="auto" w:fill="auto"/>
            <w:vAlign w:val="bottom"/>
          </w:tcPr>
          <w:p w14:paraId="388B57AA" w14:textId="605391A9" w:rsidR="00B42D82" w:rsidRPr="009077F5" w:rsidRDefault="00B42D82">
            <w:pPr>
              <w:pStyle w:val="KonuBal"/>
              <w:rPr>
                <w:sz w:val="24"/>
                <w:szCs w:val="24"/>
              </w:rPr>
            </w:pPr>
            <w:r w:rsidRPr="009077F5">
              <w:rPr>
                <w:sz w:val="24"/>
                <w:szCs w:val="24"/>
              </w:rPr>
              <w:t>Sıcak daldırmalı kaplama</w:t>
            </w:r>
          </w:p>
        </w:tc>
        <w:tc>
          <w:tcPr>
            <w:tcW w:w="1134" w:type="dxa"/>
            <w:vMerge/>
            <w:shd w:val="clear" w:color="auto" w:fill="auto"/>
            <w:vAlign w:val="bottom"/>
          </w:tcPr>
          <w:p w14:paraId="54AEF5CA" w14:textId="77777777" w:rsidR="00B42D82" w:rsidRPr="009077F5" w:rsidRDefault="00B42D82">
            <w:pPr>
              <w:pStyle w:val="KonuBal"/>
              <w:rPr>
                <w:sz w:val="24"/>
                <w:szCs w:val="24"/>
              </w:rPr>
            </w:pPr>
          </w:p>
        </w:tc>
        <w:tc>
          <w:tcPr>
            <w:tcW w:w="3828" w:type="dxa"/>
            <w:shd w:val="clear" w:color="auto" w:fill="auto"/>
            <w:vAlign w:val="bottom"/>
          </w:tcPr>
          <w:p w14:paraId="571828D6" w14:textId="6DDA3A95" w:rsidR="00B42D82" w:rsidRPr="009077F5" w:rsidRDefault="00B42D82">
            <w:pPr>
              <w:pStyle w:val="KonuBal"/>
              <w:rPr>
                <w:sz w:val="24"/>
                <w:szCs w:val="24"/>
              </w:rPr>
            </w:pPr>
            <w:r w:rsidRPr="009077F5">
              <w:rPr>
                <w:sz w:val="24"/>
                <w:szCs w:val="24"/>
              </w:rPr>
              <w:t>&lt; 2–10</w:t>
            </w:r>
          </w:p>
        </w:tc>
      </w:tr>
      <w:tr w:rsidR="00B42D82" w:rsidRPr="00800D11" w14:paraId="61F7C32E" w14:textId="77777777" w:rsidTr="00065723">
        <w:trPr>
          <w:trHeight w:val="197"/>
        </w:trPr>
        <w:tc>
          <w:tcPr>
            <w:tcW w:w="8789" w:type="dxa"/>
            <w:gridSpan w:val="4"/>
            <w:shd w:val="clear" w:color="auto" w:fill="auto"/>
            <w:vAlign w:val="bottom"/>
          </w:tcPr>
          <w:p w14:paraId="1BF35B06" w14:textId="5FB54417" w:rsidR="00B42D82" w:rsidRPr="00800D11" w:rsidRDefault="00B42D82" w:rsidP="004B0D48">
            <w:pPr>
              <w:pStyle w:val="KonuBal"/>
            </w:pPr>
            <w:r w:rsidRPr="00800D11">
              <w:t>(</w:t>
            </w:r>
            <w:r w:rsidRPr="00800D11">
              <w:rPr>
                <w:vertAlign w:val="superscript"/>
              </w:rPr>
              <w:t>1</w:t>
            </w:r>
            <w:r w:rsidRPr="00800D11">
              <w:t xml:space="preserve">) MET-İES, toz kütle akımı 100 g/sa altında olduğunda uygulanmaz. </w:t>
            </w:r>
          </w:p>
        </w:tc>
      </w:tr>
    </w:tbl>
    <w:p w14:paraId="790798EB" w14:textId="77777777" w:rsidR="0071694E" w:rsidRPr="009077F5" w:rsidRDefault="0071694E" w:rsidP="00A202FD">
      <w:pPr>
        <w:jc w:val="both"/>
        <w:rPr>
          <w:rFonts w:eastAsia="Calibri"/>
          <w:sz w:val="20"/>
          <w:szCs w:val="20"/>
          <w:lang w:eastAsia="en-US"/>
        </w:rPr>
      </w:pPr>
    </w:p>
    <w:p w14:paraId="2CF2B86E" w14:textId="79D8CC65" w:rsidR="00B42D82" w:rsidRPr="00D53A2B" w:rsidRDefault="00B42D82"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 xml:space="preserve">de verilmiştir. </w:t>
      </w:r>
    </w:p>
    <w:p w14:paraId="11EA9985" w14:textId="77777777" w:rsidR="00B42D82" w:rsidRPr="00D53A2B" w:rsidRDefault="00B42D82" w:rsidP="00A202FD">
      <w:pPr>
        <w:jc w:val="both"/>
        <w:rPr>
          <w:rFonts w:eastAsia="Calibri"/>
          <w:lang w:eastAsia="en-US"/>
        </w:rPr>
      </w:pPr>
    </w:p>
    <w:p w14:paraId="3C5FF566" w14:textId="4C317819" w:rsidR="00B42D82" w:rsidRPr="00D53A2B" w:rsidRDefault="00B74B68" w:rsidP="00A202FD">
      <w:pPr>
        <w:pStyle w:val="MET"/>
        <w:rPr>
          <w:rFonts w:eastAsia="Calibri"/>
          <w:szCs w:val="24"/>
        </w:rPr>
      </w:pPr>
      <w:r w:rsidRPr="00D53A2B">
        <w:rPr>
          <w:rFonts w:eastAsia="Calibri"/>
          <w:szCs w:val="24"/>
        </w:rPr>
        <w:t xml:space="preserve">MET 21: </w:t>
      </w:r>
      <w:r w:rsidRPr="00D53A2B">
        <w:rPr>
          <w:rFonts w:eastAsia="Calibri"/>
          <w:b w:val="0"/>
          <w:bCs/>
          <w:szCs w:val="24"/>
        </w:rPr>
        <w:t>Isıtmadan kaynaklanan SO</w:t>
      </w:r>
      <w:r w:rsidRPr="00D53A2B">
        <w:rPr>
          <w:rFonts w:eastAsia="Calibri"/>
          <w:b w:val="0"/>
          <w:bCs/>
          <w:szCs w:val="24"/>
          <w:vertAlign w:val="subscript"/>
        </w:rPr>
        <w:t>2</w:t>
      </w:r>
      <w:r w:rsidRPr="00D53A2B">
        <w:rPr>
          <w:rFonts w:eastAsia="Calibri"/>
          <w:b w:val="0"/>
          <w:bCs/>
          <w:szCs w:val="24"/>
        </w:rPr>
        <w:t xml:space="preserve"> emisyonlarını önlemek veya azaltmak için, fosil içermeyen enerji kaynaklarından üretilen elektrik veya düşük sülfür içeriğine sahip bir yakıt veya yakıt kombinasyonu kullan</w:t>
      </w:r>
      <w:r w:rsidR="00353C23" w:rsidRPr="00D53A2B">
        <w:rPr>
          <w:rFonts w:eastAsia="Calibri"/>
          <w:b w:val="0"/>
          <w:bCs/>
          <w:szCs w:val="24"/>
        </w:rPr>
        <w:t>ılı</w:t>
      </w:r>
      <w:r w:rsidRPr="00D53A2B">
        <w:rPr>
          <w:rFonts w:eastAsia="Calibri"/>
          <w:b w:val="0"/>
          <w:bCs/>
          <w:szCs w:val="24"/>
        </w:rPr>
        <w:t>r.</w:t>
      </w:r>
    </w:p>
    <w:p w14:paraId="2842012E" w14:textId="77777777" w:rsidR="00B42D82" w:rsidRPr="00D53A2B" w:rsidRDefault="00B42D82" w:rsidP="00A202FD">
      <w:pPr>
        <w:jc w:val="both"/>
        <w:rPr>
          <w:rFonts w:eastAsia="Calibri"/>
          <w:lang w:eastAsia="en-US"/>
        </w:rPr>
      </w:pPr>
    </w:p>
    <w:p w14:paraId="7306996E" w14:textId="0A099134" w:rsidR="00B42D82" w:rsidRPr="00D53A2B" w:rsidRDefault="00B74B68" w:rsidP="00A202FD">
      <w:pPr>
        <w:jc w:val="both"/>
        <w:rPr>
          <w:rFonts w:eastAsia="Calibri"/>
          <w:b/>
          <w:bCs/>
          <w:lang w:eastAsia="en-US"/>
        </w:rPr>
      </w:pPr>
      <w:r w:rsidRPr="00D53A2B">
        <w:rPr>
          <w:rFonts w:eastAsia="Calibri"/>
          <w:b/>
          <w:bCs/>
          <w:lang w:eastAsia="en-US"/>
        </w:rPr>
        <w:t>Tanımlama</w:t>
      </w:r>
    </w:p>
    <w:p w14:paraId="28ADE887" w14:textId="59887BF2" w:rsidR="00B42D82" w:rsidRPr="00D53A2B" w:rsidRDefault="00B74B68" w:rsidP="00A202FD">
      <w:pPr>
        <w:jc w:val="both"/>
        <w:rPr>
          <w:rFonts w:eastAsia="Calibri"/>
          <w:lang w:eastAsia="en-US"/>
        </w:rPr>
      </w:pPr>
      <w:r w:rsidRPr="00D53A2B">
        <w:rPr>
          <w:rFonts w:eastAsia="Calibri"/>
          <w:lang w:eastAsia="en-US"/>
        </w:rPr>
        <w:lastRenderedPageBreak/>
        <w:t>Düşük sülfür içerikli yakıtlar arasında örneğin doğal gaz, sıvılaştırılmış petrol gazı, yüksek fırın gazı, bazik oksijen fırın gazı ve ferrokrom üretiminden kaynaklanan CO bakımından zengin gaz yer almaktadır.</w:t>
      </w:r>
    </w:p>
    <w:p w14:paraId="493DDB75" w14:textId="77777777" w:rsidR="00B42D82" w:rsidRPr="00D53A2B" w:rsidRDefault="00B42D82" w:rsidP="00A202FD">
      <w:pPr>
        <w:jc w:val="both"/>
        <w:rPr>
          <w:rFonts w:eastAsia="Calibri"/>
          <w:lang w:eastAsia="en-US"/>
        </w:rPr>
      </w:pPr>
    </w:p>
    <w:p w14:paraId="3936C116" w14:textId="1FA903A1" w:rsidR="005F0E3A" w:rsidRPr="00D53A2B" w:rsidRDefault="00B74B68" w:rsidP="00A202FD">
      <w:pPr>
        <w:jc w:val="both"/>
        <w:rPr>
          <w:rFonts w:eastAsia="Calibri"/>
          <w:lang w:eastAsia="en-US"/>
        </w:rPr>
      </w:pPr>
      <w:r w:rsidRPr="00D53A2B">
        <w:rPr>
          <w:rFonts w:eastAsia="Calibri"/>
          <w:lang w:eastAsia="en-US"/>
        </w:rPr>
        <w:t xml:space="preserve">Tablo </w:t>
      </w:r>
      <w:r w:rsidR="00B31B5F" w:rsidRPr="00D53A2B">
        <w:rPr>
          <w:rFonts w:eastAsia="Calibri"/>
          <w:lang w:eastAsia="en-US"/>
        </w:rPr>
        <w:t>1</w:t>
      </w:r>
      <w:r w:rsidRPr="00D53A2B">
        <w:rPr>
          <w:rFonts w:eastAsia="Calibri"/>
          <w:lang w:eastAsia="en-US"/>
        </w:rPr>
        <w:t>.8</w:t>
      </w:r>
    </w:p>
    <w:p w14:paraId="5D8BE227" w14:textId="0887F271" w:rsidR="00B42D82" w:rsidRPr="00D53A2B" w:rsidRDefault="00B74B68" w:rsidP="00A202FD">
      <w:pPr>
        <w:jc w:val="both"/>
        <w:rPr>
          <w:rFonts w:eastAsia="Calibri"/>
          <w:lang w:eastAsia="en-US"/>
        </w:rPr>
      </w:pPr>
      <w:r w:rsidRPr="00D53A2B">
        <w:rPr>
          <w:rFonts w:eastAsia="Calibri"/>
          <w:lang w:eastAsia="en-US"/>
        </w:rPr>
        <w:t>Hammadde ısıtmasından kaynaklanan havaya kanalize SO</w:t>
      </w:r>
      <w:r w:rsidRPr="00D53A2B">
        <w:rPr>
          <w:rFonts w:eastAsia="Calibri"/>
          <w:vertAlign w:val="subscript"/>
          <w:lang w:eastAsia="en-US"/>
        </w:rPr>
        <w:t>2</w:t>
      </w:r>
      <w:r w:rsidRPr="00D53A2B">
        <w:rPr>
          <w:rFonts w:eastAsia="Calibri"/>
          <w:lang w:eastAsia="en-US"/>
        </w:rPr>
        <w:t xml:space="preserve"> emisyonları için MET-ilişkili çevresel seviyeleri (MET-İES)</w:t>
      </w:r>
    </w:p>
    <w:p w14:paraId="626CA0FB" w14:textId="77777777" w:rsidR="00C15CF2" w:rsidRPr="00D53A2B" w:rsidRDefault="00C15CF2" w:rsidP="00A202FD">
      <w:pPr>
        <w:jc w:val="both"/>
        <w:rPr>
          <w:rFonts w:eastAsia="Calibri"/>
          <w:lang w:eastAsia="en-US"/>
        </w:rPr>
      </w:pPr>
    </w:p>
    <w:tbl>
      <w:tblPr>
        <w:tblStyle w:val="TabloKlavuzu"/>
        <w:tblW w:w="0" w:type="auto"/>
        <w:tblInd w:w="137" w:type="dxa"/>
        <w:tblLook w:val="04A0" w:firstRow="1" w:lastRow="0" w:firstColumn="1" w:lastColumn="0" w:noHBand="0" w:noVBand="1"/>
      </w:tblPr>
      <w:tblGrid>
        <w:gridCol w:w="1266"/>
        <w:gridCol w:w="3227"/>
        <w:gridCol w:w="1121"/>
        <w:gridCol w:w="3026"/>
      </w:tblGrid>
      <w:tr w:rsidR="00B74B68" w:rsidRPr="00D53A2B" w14:paraId="3AF00DA9" w14:textId="77777777" w:rsidTr="00B74B68">
        <w:tc>
          <w:tcPr>
            <w:tcW w:w="1276" w:type="dxa"/>
          </w:tcPr>
          <w:p w14:paraId="4AFDFC41" w14:textId="45036B37" w:rsidR="00B74B68" w:rsidRPr="009077F5" w:rsidRDefault="00B74B68" w:rsidP="004B0D48">
            <w:pPr>
              <w:pStyle w:val="KonuBal"/>
              <w:rPr>
                <w:sz w:val="24"/>
                <w:szCs w:val="24"/>
              </w:rPr>
            </w:pPr>
            <w:r w:rsidRPr="009077F5">
              <w:rPr>
                <w:sz w:val="24"/>
                <w:szCs w:val="24"/>
              </w:rPr>
              <w:t>Parametre</w:t>
            </w:r>
          </w:p>
        </w:tc>
        <w:tc>
          <w:tcPr>
            <w:tcW w:w="3544" w:type="dxa"/>
          </w:tcPr>
          <w:p w14:paraId="0CC31DD6" w14:textId="7F0E70AC" w:rsidR="00B74B68" w:rsidRPr="009077F5" w:rsidRDefault="00B74B68" w:rsidP="004B0D48">
            <w:pPr>
              <w:pStyle w:val="KonuBal"/>
              <w:rPr>
                <w:sz w:val="24"/>
                <w:szCs w:val="24"/>
              </w:rPr>
            </w:pPr>
            <w:r w:rsidRPr="009077F5">
              <w:rPr>
                <w:sz w:val="24"/>
                <w:szCs w:val="24"/>
              </w:rPr>
              <w:t>Sektör</w:t>
            </w:r>
          </w:p>
        </w:tc>
        <w:tc>
          <w:tcPr>
            <w:tcW w:w="1134" w:type="dxa"/>
          </w:tcPr>
          <w:p w14:paraId="345C5483" w14:textId="21A7F193" w:rsidR="00B74B68" w:rsidRPr="009077F5" w:rsidRDefault="00B74B68" w:rsidP="00800D11">
            <w:pPr>
              <w:pStyle w:val="KonuBal"/>
              <w:rPr>
                <w:sz w:val="24"/>
                <w:szCs w:val="24"/>
              </w:rPr>
            </w:pPr>
            <w:r w:rsidRPr="009077F5">
              <w:rPr>
                <w:sz w:val="24"/>
                <w:szCs w:val="24"/>
              </w:rPr>
              <w:t>Birim</w:t>
            </w:r>
          </w:p>
        </w:tc>
        <w:tc>
          <w:tcPr>
            <w:tcW w:w="3339" w:type="dxa"/>
          </w:tcPr>
          <w:p w14:paraId="55230127" w14:textId="5916AA49" w:rsidR="00B74B68" w:rsidRPr="009077F5" w:rsidRDefault="00B74B68" w:rsidP="00E73DA3">
            <w:pPr>
              <w:pStyle w:val="KonuBal"/>
              <w:rPr>
                <w:sz w:val="24"/>
                <w:szCs w:val="24"/>
              </w:rPr>
            </w:pPr>
            <w:r w:rsidRPr="009077F5">
              <w:rPr>
                <w:sz w:val="24"/>
                <w:szCs w:val="24"/>
              </w:rPr>
              <w:t>MET-İES (Günlük ortalama veya numune alma süresi boyunca ortalama)</w:t>
            </w:r>
          </w:p>
        </w:tc>
      </w:tr>
      <w:tr w:rsidR="00B74B68" w:rsidRPr="00D53A2B" w14:paraId="56CA9D8A" w14:textId="77777777" w:rsidTr="00B74B68">
        <w:tc>
          <w:tcPr>
            <w:tcW w:w="1276" w:type="dxa"/>
            <w:vMerge w:val="restart"/>
          </w:tcPr>
          <w:p w14:paraId="2648D3BA" w14:textId="4B1E752E" w:rsidR="00B74B68" w:rsidRPr="009077F5" w:rsidRDefault="00B74B68" w:rsidP="004B0D48">
            <w:pPr>
              <w:pStyle w:val="KonuBal"/>
              <w:rPr>
                <w:sz w:val="24"/>
                <w:szCs w:val="24"/>
              </w:rPr>
            </w:pPr>
            <w:r w:rsidRPr="009077F5">
              <w:rPr>
                <w:sz w:val="24"/>
                <w:szCs w:val="24"/>
              </w:rPr>
              <w:t>SO</w:t>
            </w:r>
            <w:r w:rsidRPr="009077F5">
              <w:rPr>
                <w:sz w:val="24"/>
                <w:szCs w:val="24"/>
                <w:vertAlign w:val="subscript"/>
              </w:rPr>
              <w:t>2</w:t>
            </w:r>
          </w:p>
        </w:tc>
        <w:tc>
          <w:tcPr>
            <w:tcW w:w="3544" w:type="dxa"/>
            <w:vAlign w:val="bottom"/>
          </w:tcPr>
          <w:p w14:paraId="52EF5D69" w14:textId="3CB6D7A4" w:rsidR="00B74B68" w:rsidRPr="009077F5" w:rsidRDefault="00B74B68" w:rsidP="004B0D48">
            <w:pPr>
              <w:pStyle w:val="KonuBal"/>
              <w:rPr>
                <w:sz w:val="24"/>
                <w:szCs w:val="24"/>
              </w:rPr>
            </w:pPr>
            <w:r w:rsidRPr="009077F5">
              <w:rPr>
                <w:sz w:val="24"/>
                <w:szCs w:val="24"/>
              </w:rPr>
              <w:t xml:space="preserve">Sıcak haddeleme </w:t>
            </w:r>
          </w:p>
        </w:tc>
        <w:tc>
          <w:tcPr>
            <w:tcW w:w="1134" w:type="dxa"/>
            <w:vMerge w:val="restart"/>
          </w:tcPr>
          <w:p w14:paraId="43DF72FD" w14:textId="541439B2" w:rsidR="00B74B68" w:rsidRPr="009077F5" w:rsidRDefault="00B74B68" w:rsidP="00800D11">
            <w:pPr>
              <w:pStyle w:val="KonuBal"/>
              <w:rPr>
                <w:sz w:val="24"/>
                <w:szCs w:val="24"/>
              </w:rPr>
            </w:pPr>
            <w:r w:rsidRPr="009077F5">
              <w:rPr>
                <w:sz w:val="24"/>
                <w:szCs w:val="24"/>
              </w:rPr>
              <w:t>mg/Nm</w:t>
            </w:r>
            <w:r w:rsidRPr="009077F5">
              <w:rPr>
                <w:sz w:val="24"/>
                <w:szCs w:val="24"/>
                <w:vertAlign w:val="superscript"/>
              </w:rPr>
              <w:t>3</w:t>
            </w:r>
          </w:p>
        </w:tc>
        <w:tc>
          <w:tcPr>
            <w:tcW w:w="3339" w:type="dxa"/>
          </w:tcPr>
          <w:p w14:paraId="6E4B38B0" w14:textId="4A95F4DC" w:rsidR="00B74B68" w:rsidRPr="009077F5" w:rsidRDefault="00B74B68" w:rsidP="00E73DA3">
            <w:pPr>
              <w:pStyle w:val="KonuBal"/>
              <w:rPr>
                <w:sz w:val="24"/>
                <w:szCs w:val="24"/>
              </w:rPr>
            </w:pPr>
            <w:r w:rsidRPr="009077F5">
              <w:rPr>
                <w:sz w:val="24"/>
                <w:szCs w:val="24"/>
              </w:rPr>
              <w:t>50-200 (</w:t>
            </w:r>
            <w:r w:rsidRPr="009077F5">
              <w:rPr>
                <w:sz w:val="24"/>
                <w:szCs w:val="24"/>
                <w:vertAlign w:val="superscript"/>
              </w:rPr>
              <w:t>1</w:t>
            </w:r>
            <w:r w:rsidRPr="009077F5">
              <w:rPr>
                <w:sz w:val="24"/>
                <w:szCs w:val="24"/>
              </w:rPr>
              <w:t>) (</w:t>
            </w:r>
            <w:r w:rsidRPr="009077F5">
              <w:rPr>
                <w:sz w:val="24"/>
                <w:szCs w:val="24"/>
                <w:vertAlign w:val="superscript"/>
              </w:rPr>
              <w:t>2</w:t>
            </w:r>
            <w:r w:rsidRPr="009077F5">
              <w:rPr>
                <w:sz w:val="24"/>
                <w:szCs w:val="24"/>
              </w:rPr>
              <w:t>)</w:t>
            </w:r>
          </w:p>
        </w:tc>
      </w:tr>
      <w:tr w:rsidR="00B74B68" w:rsidRPr="00D53A2B" w14:paraId="7CEC168B" w14:textId="77777777" w:rsidTr="00B74B68">
        <w:tc>
          <w:tcPr>
            <w:tcW w:w="1276" w:type="dxa"/>
            <w:vMerge/>
          </w:tcPr>
          <w:p w14:paraId="360A9CA9" w14:textId="77777777" w:rsidR="00B74B68" w:rsidRPr="009077F5" w:rsidRDefault="00B74B68">
            <w:pPr>
              <w:pStyle w:val="KonuBal"/>
              <w:rPr>
                <w:sz w:val="24"/>
                <w:szCs w:val="24"/>
              </w:rPr>
            </w:pPr>
          </w:p>
        </w:tc>
        <w:tc>
          <w:tcPr>
            <w:tcW w:w="3544" w:type="dxa"/>
          </w:tcPr>
          <w:p w14:paraId="5028DDF4" w14:textId="13984BCD" w:rsidR="00B74B68" w:rsidRPr="009077F5" w:rsidRDefault="00B74B68">
            <w:pPr>
              <w:pStyle w:val="KonuBal"/>
              <w:rPr>
                <w:sz w:val="24"/>
                <w:szCs w:val="24"/>
              </w:rPr>
            </w:pPr>
            <w:r w:rsidRPr="009077F5">
              <w:rPr>
                <w:sz w:val="24"/>
                <w:szCs w:val="24"/>
              </w:rPr>
              <w:t>Soğuk haddeleme, tel çekme, sıcak daldırmalı sac kaplama</w:t>
            </w:r>
          </w:p>
        </w:tc>
        <w:tc>
          <w:tcPr>
            <w:tcW w:w="1134" w:type="dxa"/>
            <w:vMerge/>
          </w:tcPr>
          <w:p w14:paraId="4AD7BC52" w14:textId="77777777" w:rsidR="00B74B68" w:rsidRPr="009077F5" w:rsidRDefault="00B74B68">
            <w:pPr>
              <w:pStyle w:val="KonuBal"/>
              <w:rPr>
                <w:sz w:val="24"/>
                <w:szCs w:val="24"/>
              </w:rPr>
            </w:pPr>
          </w:p>
        </w:tc>
        <w:tc>
          <w:tcPr>
            <w:tcW w:w="3339" w:type="dxa"/>
          </w:tcPr>
          <w:p w14:paraId="51607818" w14:textId="5AC05971" w:rsidR="00B74B68" w:rsidRPr="009077F5" w:rsidRDefault="00B74B68">
            <w:pPr>
              <w:pStyle w:val="KonuBal"/>
              <w:rPr>
                <w:sz w:val="24"/>
                <w:szCs w:val="24"/>
              </w:rPr>
            </w:pPr>
            <w:r w:rsidRPr="009077F5">
              <w:rPr>
                <w:sz w:val="24"/>
                <w:szCs w:val="24"/>
              </w:rPr>
              <w:t>20-100 (</w:t>
            </w:r>
            <w:r w:rsidRPr="009077F5">
              <w:rPr>
                <w:sz w:val="24"/>
                <w:szCs w:val="24"/>
                <w:vertAlign w:val="superscript"/>
              </w:rPr>
              <w:t>1</w:t>
            </w:r>
            <w:r w:rsidRPr="009077F5">
              <w:rPr>
                <w:sz w:val="24"/>
                <w:szCs w:val="24"/>
              </w:rPr>
              <w:t>)</w:t>
            </w:r>
          </w:p>
        </w:tc>
      </w:tr>
      <w:tr w:rsidR="00B74B68" w:rsidRPr="00D53A2B" w14:paraId="1E5730D4" w14:textId="77777777" w:rsidTr="00A202FD">
        <w:tc>
          <w:tcPr>
            <w:tcW w:w="9293" w:type="dxa"/>
            <w:gridSpan w:val="4"/>
          </w:tcPr>
          <w:p w14:paraId="5DDB4C1F" w14:textId="27A06971" w:rsidR="00B74B68" w:rsidRPr="00D53A2B" w:rsidRDefault="00B74B68" w:rsidP="004B0D48">
            <w:pPr>
              <w:pStyle w:val="KonuBal"/>
            </w:pPr>
            <w:r w:rsidRPr="00D53A2B">
              <w:t>(1) MET-İES % 100 doğal gaz veya % 100 elektrikli ısıtma kullanan tesisler için geçerli değildir.</w:t>
            </w:r>
          </w:p>
          <w:p w14:paraId="17BBE544" w14:textId="7E2C88BC" w:rsidR="00B74B68" w:rsidRPr="00D53A2B" w:rsidRDefault="00B74B68" w:rsidP="004B0D48">
            <w:pPr>
              <w:pStyle w:val="KonuBal"/>
            </w:pPr>
            <w:r w:rsidRPr="00D53A2B">
              <w:t>(2) MET-İES aralığının üst sınırı daha yüksek olabilir ve yüksek oranda kok fırını gazı kullanıldığında (enerji girdisinin &gt; %50</w:t>
            </w:r>
            <w:r w:rsidR="00E56504" w:rsidRPr="00D53A2B">
              <w:t>’</w:t>
            </w:r>
            <w:r w:rsidRPr="00D53A2B">
              <w:t>si) 300 mg/Nm</w:t>
            </w:r>
            <w:r w:rsidRPr="00D53A2B">
              <w:rPr>
                <w:vertAlign w:val="superscript"/>
              </w:rPr>
              <w:t>3</w:t>
            </w:r>
            <w:r w:rsidR="00E56504" w:rsidRPr="00D53A2B">
              <w:t>’</w:t>
            </w:r>
            <w:r w:rsidRPr="00D53A2B">
              <w:t>e kadar çıkabilir.</w:t>
            </w:r>
          </w:p>
        </w:tc>
      </w:tr>
    </w:tbl>
    <w:p w14:paraId="0F370BCA" w14:textId="77777777" w:rsidR="00B42D82" w:rsidRPr="00D53A2B" w:rsidRDefault="00B42D82" w:rsidP="00A202FD">
      <w:pPr>
        <w:jc w:val="both"/>
        <w:rPr>
          <w:rFonts w:eastAsia="Calibri"/>
          <w:lang w:eastAsia="en-US"/>
        </w:rPr>
      </w:pPr>
    </w:p>
    <w:p w14:paraId="32924B9C" w14:textId="7DB9D2BA" w:rsidR="00B74B68" w:rsidRPr="00D53A2B" w:rsidRDefault="00B74B68"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 xml:space="preserve">de verilmiştir. </w:t>
      </w:r>
    </w:p>
    <w:p w14:paraId="7C3AFE90" w14:textId="77777777" w:rsidR="00353C23" w:rsidRPr="00D53A2B" w:rsidRDefault="00353C23" w:rsidP="00A202FD">
      <w:pPr>
        <w:jc w:val="both"/>
        <w:rPr>
          <w:rFonts w:eastAsia="Calibri"/>
          <w:lang w:eastAsia="en-US"/>
        </w:rPr>
      </w:pPr>
    </w:p>
    <w:p w14:paraId="24132E8E" w14:textId="75D3257A" w:rsidR="00B42D82" w:rsidRPr="00D53A2B" w:rsidRDefault="00693BEE" w:rsidP="00A202FD">
      <w:pPr>
        <w:pStyle w:val="MET"/>
        <w:rPr>
          <w:rFonts w:eastAsia="Calibri"/>
          <w:szCs w:val="24"/>
        </w:rPr>
      </w:pPr>
      <w:r w:rsidRPr="00D53A2B">
        <w:rPr>
          <w:rFonts w:eastAsia="Calibri"/>
          <w:szCs w:val="24"/>
        </w:rPr>
        <w:t xml:space="preserve">MET 22: </w:t>
      </w:r>
      <w:r w:rsidRPr="00D53A2B">
        <w:rPr>
          <w:rFonts w:eastAsia="Calibri"/>
          <w:b w:val="0"/>
          <w:bCs/>
          <w:szCs w:val="24"/>
        </w:rPr>
        <w:t>SNCR ve/veya SCR kullanımından kaynaklanan CO emisyonlarını ve NH</w:t>
      </w:r>
      <w:r w:rsidRPr="00D53A2B">
        <w:rPr>
          <w:rFonts w:eastAsia="Calibri"/>
          <w:b w:val="0"/>
          <w:bCs/>
          <w:szCs w:val="24"/>
          <w:vertAlign w:val="subscript"/>
        </w:rPr>
        <w:t>3</w:t>
      </w:r>
      <w:r w:rsidRPr="00D53A2B">
        <w:rPr>
          <w:rFonts w:eastAsia="Calibri"/>
          <w:b w:val="0"/>
          <w:bCs/>
          <w:szCs w:val="24"/>
        </w:rPr>
        <w:t xml:space="preserve"> emisyonlarını sınırlandırırken ısıtmadan kaynaklanan NO</w:t>
      </w:r>
      <w:r w:rsidRPr="00D53A2B">
        <w:rPr>
          <w:rFonts w:eastAsia="Calibri"/>
          <w:b w:val="0"/>
          <w:bCs/>
          <w:szCs w:val="24"/>
          <w:vertAlign w:val="subscript"/>
        </w:rPr>
        <w:t>X</w:t>
      </w:r>
      <w:r w:rsidRPr="00D53A2B">
        <w:rPr>
          <w:rFonts w:eastAsia="Calibri"/>
          <w:b w:val="0"/>
          <w:bCs/>
          <w:szCs w:val="24"/>
        </w:rPr>
        <w:t xml:space="preserve"> emisyonlarını önlemek veya azaltmak için fosil içermeyen enerji kaynaklarından üretilen elektriği veya aşağıda verilen tekniklerin uygun bir kombinasyonu kullan</w:t>
      </w:r>
      <w:r w:rsidR="00353C23" w:rsidRPr="00D53A2B">
        <w:rPr>
          <w:rFonts w:eastAsia="Calibri"/>
          <w:b w:val="0"/>
          <w:bCs/>
          <w:szCs w:val="24"/>
        </w:rPr>
        <w:t>ılır</w:t>
      </w:r>
      <w:r w:rsidRPr="00D53A2B">
        <w:rPr>
          <w:rFonts w:eastAsia="Calibri"/>
          <w:b w:val="0"/>
          <w:bCs/>
          <w:szCs w:val="24"/>
        </w:rPr>
        <w:t>.</w:t>
      </w:r>
    </w:p>
    <w:p w14:paraId="24C72505" w14:textId="77777777" w:rsidR="00B74B68" w:rsidRPr="00D53A2B" w:rsidRDefault="00B74B68"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567"/>
        <w:gridCol w:w="1985"/>
        <w:gridCol w:w="3402"/>
        <w:gridCol w:w="2976"/>
      </w:tblGrid>
      <w:tr w:rsidR="00693BEE" w:rsidRPr="00800D11" w14:paraId="04C3D9A5" w14:textId="77777777" w:rsidTr="00065723">
        <w:tc>
          <w:tcPr>
            <w:tcW w:w="2552" w:type="dxa"/>
            <w:gridSpan w:val="2"/>
          </w:tcPr>
          <w:p w14:paraId="664F46A5" w14:textId="77777777" w:rsidR="00693BEE" w:rsidRPr="009077F5" w:rsidRDefault="00693BEE" w:rsidP="004B0D48">
            <w:pPr>
              <w:pStyle w:val="KonuBal"/>
              <w:rPr>
                <w:sz w:val="24"/>
                <w:szCs w:val="24"/>
              </w:rPr>
            </w:pPr>
            <w:r w:rsidRPr="009077F5">
              <w:rPr>
                <w:sz w:val="24"/>
                <w:szCs w:val="24"/>
              </w:rPr>
              <w:t>Teknik</w:t>
            </w:r>
          </w:p>
        </w:tc>
        <w:tc>
          <w:tcPr>
            <w:tcW w:w="3402" w:type="dxa"/>
          </w:tcPr>
          <w:p w14:paraId="0A5620CE" w14:textId="77777777" w:rsidR="00693BEE" w:rsidRPr="009077F5" w:rsidRDefault="00693BEE" w:rsidP="004B0D48">
            <w:pPr>
              <w:pStyle w:val="KonuBal"/>
              <w:rPr>
                <w:sz w:val="24"/>
                <w:szCs w:val="24"/>
              </w:rPr>
            </w:pPr>
            <w:r w:rsidRPr="009077F5">
              <w:rPr>
                <w:sz w:val="24"/>
                <w:szCs w:val="24"/>
              </w:rPr>
              <w:t>Açıklama</w:t>
            </w:r>
          </w:p>
        </w:tc>
        <w:tc>
          <w:tcPr>
            <w:tcW w:w="2976" w:type="dxa"/>
          </w:tcPr>
          <w:p w14:paraId="253531CA" w14:textId="77777777" w:rsidR="00693BEE" w:rsidRPr="009077F5" w:rsidRDefault="00693BEE" w:rsidP="00800D11">
            <w:pPr>
              <w:pStyle w:val="KonuBal"/>
              <w:rPr>
                <w:sz w:val="24"/>
                <w:szCs w:val="24"/>
              </w:rPr>
            </w:pPr>
            <w:r w:rsidRPr="009077F5">
              <w:rPr>
                <w:sz w:val="24"/>
                <w:szCs w:val="24"/>
              </w:rPr>
              <w:t>Uygulanabilirlik</w:t>
            </w:r>
          </w:p>
        </w:tc>
      </w:tr>
      <w:tr w:rsidR="00693BEE" w:rsidRPr="00800D11" w14:paraId="405F85BE" w14:textId="77777777" w:rsidTr="00065723">
        <w:tc>
          <w:tcPr>
            <w:tcW w:w="8930" w:type="dxa"/>
            <w:gridSpan w:val="4"/>
          </w:tcPr>
          <w:p w14:paraId="68813873" w14:textId="0A1B2D9F" w:rsidR="00693BEE" w:rsidRPr="009077F5" w:rsidRDefault="00693BEE" w:rsidP="004B0D48">
            <w:pPr>
              <w:pStyle w:val="KonuBal"/>
              <w:rPr>
                <w:sz w:val="24"/>
                <w:szCs w:val="24"/>
              </w:rPr>
            </w:pPr>
            <w:r w:rsidRPr="009077F5">
              <w:rPr>
                <w:sz w:val="24"/>
                <w:szCs w:val="24"/>
              </w:rPr>
              <w:t>Emisyon oluşumunun azaltılması</w:t>
            </w:r>
          </w:p>
        </w:tc>
      </w:tr>
      <w:tr w:rsidR="00693BEE" w:rsidRPr="00800D11" w14:paraId="51530FB1" w14:textId="77777777" w:rsidTr="00065723">
        <w:tc>
          <w:tcPr>
            <w:tcW w:w="567" w:type="dxa"/>
            <w:vAlign w:val="center"/>
          </w:tcPr>
          <w:p w14:paraId="2B9AAE6E" w14:textId="77777777" w:rsidR="00693BEE" w:rsidRPr="009077F5" w:rsidRDefault="00693BEE" w:rsidP="004B0D48">
            <w:pPr>
              <w:pStyle w:val="KonuBal"/>
              <w:rPr>
                <w:sz w:val="24"/>
                <w:szCs w:val="24"/>
              </w:rPr>
            </w:pPr>
            <w:r w:rsidRPr="009077F5">
              <w:rPr>
                <w:sz w:val="24"/>
                <w:szCs w:val="24"/>
              </w:rPr>
              <w:t>a.</w:t>
            </w:r>
          </w:p>
        </w:tc>
        <w:tc>
          <w:tcPr>
            <w:tcW w:w="1985" w:type="dxa"/>
            <w:vAlign w:val="center"/>
          </w:tcPr>
          <w:p w14:paraId="682274B8" w14:textId="1677D0E0" w:rsidR="00693BEE" w:rsidRPr="009077F5" w:rsidRDefault="00693BEE" w:rsidP="004B0D48">
            <w:pPr>
              <w:pStyle w:val="KonuBal"/>
              <w:rPr>
                <w:sz w:val="24"/>
                <w:szCs w:val="24"/>
              </w:rPr>
            </w:pPr>
            <w:r w:rsidRPr="009077F5">
              <w:rPr>
                <w:sz w:val="24"/>
                <w:szCs w:val="24"/>
              </w:rPr>
              <w:t>Düşük NO</w:t>
            </w:r>
            <w:r w:rsidRPr="009077F5">
              <w:rPr>
                <w:sz w:val="24"/>
                <w:szCs w:val="24"/>
                <w:vertAlign w:val="subscript"/>
              </w:rPr>
              <w:t>X</w:t>
            </w:r>
            <w:r w:rsidRPr="009077F5">
              <w:rPr>
                <w:sz w:val="24"/>
                <w:szCs w:val="24"/>
              </w:rPr>
              <w:t xml:space="preserve"> oluşum potansiyeline sahip bir yakıt veya yakıt kombinasyonunun kullanılması</w:t>
            </w:r>
          </w:p>
        </w:tc>
        <w:tc>
          <w:tcPr>
            <w:tcW w:w="3402" w:type="dxa"/>
            <w:vAlign w:val="center"/>
          </w:tcPr>
          <w:p w14:paraId="2964CE6A" w14:textId="31C54DAD" w:rsidR="00693BEE" w:rsidRPr="009077F5" w:rsidRDefault="00693BEE" w:rsidP="00800D11">
            <w:pPr>
              <w:pStyle w:val="KonuBal"/>
              <w:rPr>
                <w:sz w:val="24"/>
                <w:szCs w:val="24"/>
              </w:rPr>
            </w:pPr>
            <w:r w:rsidRPr="009077F5">
              <w:rPr>
                <w:sz w:val="24"/>
                <w:szCs w:val="24"/>
              </w:rPr>
              <w:t>Doğal gaz, sıvılaştırılmış petrol gazı, yüksek fırın gazı ve bazik oksijen fırın gazı gibi düşük NOX oluşum potansiyeline sahip yakıtlar.</w:t>
            </w:r>
          </w:p>
        </w:tc>
        <w:tc>
          <w:tcPr>
            <w:tcW w:w="2976" w:type="dxa"/>
            <w:vAlign w:val="center"/>
          </w:tcPr>
          <w:p w14:paraId="1B4F6E9C" w14:textId="77777777" w:rsidR="00693BEE" w:rsidRPr="009077F5" w:rsidRDefault="00693BEE" w:rsidP="00800D11">
            <w:pPr>
              <w:pStyle w:val="KonuBal"/>
              <w:rPr>
                <w:sz w:val="24"/>
                <w:szCs w:val="24"/>
              </w:rPr>
            </w:pPr>
            <w:r w:rsidRPr="009077F5">
              <w:rPr>
                <w:sz w:val="24"/>
                <w:szCs w:val="24"/>
              </w:rPr>
              <w:t>Genel olarak uygulanabilir.</w:t>
            </w:r>
          </w:p>
        </w:tc>
      </w:tr>
      <w:tr w:rsidR="00693BEE" w:rsidRPr="00800D11" w14:paraId="5ACBEDCC" w14:textId="77777777" w:rsidTr="00065723">
        <w:tc>
          <w:tcPr>
            <w:tcW w:w="567" w:type="dxa"/>
            <w:vAlign w:val="center"/>
          </w:tcPr>
          <w:p w14:paraId="7A8DDBE7" w14:textId="77777777" w:rsidR="00693BEE" w:rsidRPr="009077F5" w:rsidRDefault="00693BEE" w:rsidP="004B0D48">
            <w:pPr>
              <w:pStyle w:val="KonuBal"/>
              <w:rPr>
                <w:sz w:val="24"/>
                <w:szCs w:val="24"/>
              </w:rPr>
            </w:pPr>
            <w:r w:rsidRPr="009077F5">
              <w:rPr>
                <w:sz w:val="24"/>
                <w:szCs w:val="24"/>
              </w:rPr>
              <w:t>b.</w:t>
            </w:r>
          </w:p>
        </w:tc>
        <w:tc>
          <w:tcPr>
            <w:tcW w:w="1985" w:type="dxa"/>
            <w:vAlign w:val="center"/>
          </w:tcPr>
          <w:p w14:paraId="2F3A2E9F" w14:textId="071B3D8B" w:rsidR="00693BEE" w:rsidRPr="009077F5" w:rsidRDefault="00693BEE" w:rsidP="004B0D48">
            <w:pPr>
              <w:pStyle w:val="KonuBal"/>
              <w:rPr>
                <w:sz w:val="24"/>
                <w:szCs w:val="24"/>
              </w:rPr>
            </w:pPr>
            <w:r w:rsidRPr="009077F5">
              <w:rPr>
                <w:sz w:val="24"/>
                <w:szCs w:val="24"/>
              </w:rPr>
              <w:t>Fırın otomasyonu ve kontrolü</w:t>
            </w:r>
          </w:p>
        </w:tc>
        <w:tc>
          <w:tcPr>
            <w:tcW w:w="3402" w:type="dxa"/>
            <w:vAlign w:val="center"/>
          </w:tcPr>
          <w:p w14:paraId="184AE645" w14:textId="31FCF36F" w:rsidR="00693BEE" w:rsidRPr="009077F5" w:rsidRDefault="00693BEE" w:rsidP="00A202FD">
            <w:pPr>
              <w:pStyle w:val="ListeParagraf"/>
              <w:numPr>
                <w:ilvl w:val="0"/>
                <w:numId w:val="0"/>
              </w:numPr>
              <w:tabs>
                <w:tab w:val="clear" w:pos="567"/>
              </w:tabs>
              <w:spacing w:line="240" w:lineRule="auto"/>
              <w:ind w:left="27"/>
              <w:rPr>
                <w:sz w:val="24"/>
                <w:szCs w:val="24"/>
              </w:rPr>
            </w:pPr>
            <w:r w:rsidRPr="009077F5">
              <w:rPr>
                <w:rFonts w:eastAsia="Calibri"/>
                <w:position w:val="0"/>
                <w:sz w:val="24"/>
                <w:szCs w:val="24"/>
              </w:rPr>
              <w:t xml:space="preserve">Bölüm </w:t>
            </w:r>
            <w:r w:rsidR="00B31B5F" w:rsidRPr="009077F5">
              <w:rPr>
                <w:rFonts w:eastAsia="Calibri"/>
                <w:position w:val="0"/>
                <w:sz w:val="24"/>
                <w:szCs w:val="24"/>
              </w:rPr>
              <w:t>1</w:t>
            </w:r>
            <w:r w:rsidRPr="009077F5">
              <w:rPr>
                <w:rFonts w:eastAsia="Calibri"/>
                <w:position w:val="0"/>
                <w:sz w:val="24"/>
                <w:szCs w:val="24"/>
              </w:rPr>
              <w:t>.11.2</w:t>
            </w:r>
            <w:r w:rsidR="00E56504" w:rsidRPr="009077F5">
              <w:rPr>
                <w:rFonts w:eastAsia="Calibri"/>
                <w:position w:val="0"/>
                <w:sz w:val="24"/>
                <w:szCs w:val="24"/>
              </w:rPr>
              <w:t>’</w:t>
            </w:r>
            <w:r w:rsidRPr="009077F5">
              <w:rPr>
                <w:rFonts w:eastAsia="Calibri"/>
                <w:position w:val="0"/>
                <w:sz w:val="24"/>
                <w:szCs w:val="24"/>
              </w:rPr>
              <w:t>ye bakınız.</w:t>
            </w:r>
          </w:p>
        </w:tc>
        <w:tc>
          <w:tcPr>
            <w:tcW w:w="2976" w:type="dxa"/>
            <w:vAlign w:val="center"/>
          </w:tcPr>
          <w:p w14:paraId="0C70B492" w14:textId="28F443AE" w:rsidR="00693BEE" w:rsidRPr="009077F5" w:rsidRDefault="00693BEE" w:rsidP="004B0D48">
            <w:pPr>
              <w:pStyle w:val="KonuBal"/>
              <w:rPr>
                <w:sz w:val="24"/>
                <w:szCs w:val="24"/>
              </w:rPr>
            </w:pPr>
            <w:r w:rsidRPr="009077F5">
              <w:rPr>
                <w:sz w:val="24"/>
                <w:szCs w:val="24"/>
              </w:rPr>
              <w:t>Genel olarak uygulanabilir.</w:t>
            </w:r>
          </w:p>
        </w:tc>
      </w:tr>
      <w:tr w:rsidR="00693BEE" w:rsidRPr="00800D11" w14:paraId="334A9796" w14:textId="77777777" w:rsidTr="00065723">
        <w:tc>
          <w:tcPr>
            <w:tcW w:w="567" w:type="dxa"/>
            <w:vAlign w:val="center"/>
          </w:tcPr>
          <w:p w14:paraId="5C6EA41E" w14:textId="77777777" w:rsidR="00693BEE" w:rsidRPr="009077F5" w:rsidRDefault="00693BEE" w:rsidP="004B0D48">
            <w:pPr>
              <w:pStyle w:val="KonuBal"/>
              <w:rPr>
                <w:sz w:val="24"/>
                <w:szCs w:val="24"/>
              </w:rPr>
            </w:pPr>
            <w:r w:rsidRPr="009077F5">
              <w:rPr>
                <w:sz w:val="24"/>
                <w:szCs w:val="24"/>
              </w:rPr>
              <w:t>c.</w:t>
            </w:r>
          </w:p>
        </w:tc>
        <w:tc>
          <w:tcPr>
            <w:tcW w:w="1985" w:type="dxa"/>
            <w:vAlign w:val="center"/>
          </w:tcPr>
          <w:p w14:paraId="1B9AFA27" w14:textId="546B52CB" w:rsidR="00693BEE" w:rsidRPr="009077F5" w:rsidRDefault="00693BEE" w:rsidP="004B0D48">
            <w:pPr>
              <w:pStyle w:val="KonuBal"/>
              <w:rPr>
                <w:sz w:val="24"/>
                <w:szCs w:val="24"/>
              </w:rPr>
            </w:pPr>
            <w:r w:rsidRPr="009077F5">
              <w:rPr>
                <w:sz w:val="24"/>
                <w:szCs w:val="24"/>
              </w:rPr>
              <w:t>Yanma optimizasyonu</w:t>
            </w:r>
          </w:p>
        </w:tc>
        <w:tc>
          <w:tcPr>
            <w:tcW w:w="3402" w:type="dxa"/>
            <w:vAlign w:val="center"/>
          </w:tcPr>
          <w:p w14:paraId="619569E8" w14:textId="5013A8CA" w:rsidR="00693BEE" w:rsidRPr="009077F5" w:rsidRDefault="00693BEE" w:rsidP="00800D11">
            <w:pPr>
              <w:pStyle w:val="KonuBal"/>
              <w:rPr>
                <w:sz w:val="24"/>
                <w:szCs w:val="24"/>
              </w:rPr>
            </w:pPr>
            <w:r w:rsidRPr="009077F5">
              <w:rPr>
                <w:sz w:val="24"/>
                <w:szCs w:val="24"/>
              </w:rPr>
              <w:t xml:space="preserve">Bölüm </w:t>
            </w:r>
            <w:r w:rsidR="00B31B5F" w:rsidRPr="009077F5">
              <w:rPr>
                <w:sz w:val="24"/>
                <w:szCs w:val="24"/>
              </w:rPr>
              <w:t>1</w:t>
            </w:r>
            <w:r w:rsidRPr="009077F5">
              <w:rPr>
                <w:sz w:val="24"/>
                <w:szCs w:val="24"/>
              </w:rPr>
              <w:t>.11.2</w:t>
            </w:r>
            <w:r w:rsidR="00E56504" w:rsidRPr="009077F5">
              <w:rPr>
                <w:sz w:val="24"/>
                <w:szCs w:val="24"/>
              </w:rPr>
              <w:t>’</w:t>
            </w:r>
            <w:r w:rsidRPr="009077F5">
              <w:rPr>
                <w:sz w:val="24"/>
                <w:szCs w:val="24"/>
              </w:rPr>
              <w:t>ye bakınız.</w:t>
            </w:r>
          </w:p>
          <w:p w14:paraId="237B692F" w14:textId="64EEFA5F" w:rsidR="00693BEE" w:rsidRPr="009077F5" w:rsidRDefault="00693BEE" w:rsidP="00A202FD">
            <w:pPr>
              <w:jc w:val="both"/>
              <w:rPr>
                <w:lang w:val="en-US" w:eastAsia="en-US"/>
              </w:rPr>
            </w:pPr>
            <w:r w:rsidRPr="009077F5">
              <w:rPr>
                <w:lang w:val="en-US" w:eastAsia="en-US"/>
              </w:rPr>
              <w:t>Genellikle diğer tekniklerle birlikte kullanılır.</w:t>
            </w:r>
          </w:p>
        </w:tc>
        <w:tc>
          <w:tcPr>
            <w:tcW w:w="2976" w:type="dxa"/>
            <w:vAlign w:val="center"/>
          </w:tcPr>
          <w:p w14:paraId="507F00B2" w14:textId="083A9D40" w:rsidR="00693BEE" w:rsidRPr="009077F5" w:rsidRDefault="00693BEE" w:rsidP="004B0D48">
            <w:pPr>
              <w:pStyle w:val="KonuBal"/>
              <w:rPr>
                <w:sz w:val="24"/>
                <w:szCs w:val="24"/>
              </w:rPr>
            </w:pPr>
            <w:r w:rsidRPr="009077F5">
              <w:rPr>
                <w:sz w:val="24"/>
                <w:szCs w:val="24"/>
              </w:rPr>
              <w:t>Genel olarak uygulanabilir.</w:t>
            </w:r>
          </w:p>
        </w:tc>
      </w:tr>
      <w:tr w:rsidR="00693BEE" w:rsidRPr="00800D11" w14:paraId="52050774" w14:textId="77777777" w:rsidTr="00065723">
        <w:tc>
          <w:tcPr>
            <w:tcW w:w="567" w:type="dxa"/>
            <w:vAlign w:val="center"/>
          </w:tcPr>
          <w:p w14:paraId="68011259" w14:textId="77777777" w:rsidR="00693BEE" w:rsidRPr="009077F5" w:rsidRDefault="00693BEE" w:rsidP="004B0D48">
            <w:pPr>
              <w:pStyle w:val="KonuBal"/>
              <w:rPr>
                <w:sz w:val="24"/>
                <w:szCs w:val="24"/>
              </w:rPr>
            </w:pPr>
            <w:r w:rsidRPr="009077F5">
              <w:rPr>
                <w:sz w:val="24"/>
                <w:szCs w:val="24"/>
              </w:rPr>
              <w:t>d.</w:t>
            </w:r>
          </w:p>
        </w:tc>
        <w:tc>
          <w:tcPr>
            <w:tcW w:w="1985" w:type="dxa"/>
            <w:vAlign w:val="center"/>
          </w:tcPr>
          <w:p w14:paraId="0C29D526" w14:textId="6F48A368" w:rsidR="00693BEE" w:rsidRPr="009077F5" w:rsidRDefault="00693BEE" w:rsidP="004B0D48">
            <w:pPr>
              <w:pStyle w:val="KonuBal"/>
              <w:rPr>
                <w:sz w:val="24"/>
                <w:szCs w:val="24"/>
              </w:rPr>
            </w:pPr>
            <w:r w:rsidRPr="009077F5">
              <w:rPr>
                <w:sz w:val="24"/>
                <w:szCs w:val="24"/>
              </w:rPr>
              <w:t>Düşük NOx</w:t>
            </w:r>
            <w:r w:rsidR="00E56504" w:rsidRPr="009077F5">
              <w:rPr>
                <w:sz w:val="24"/>
                <w:szCs w:val="24"/>
              </w:rPr>
              <w:t>’</w:t>
            </w:r>
            <w:r w:rsidRPr="009077F5">
              <w:rPr>
                <w:sz w:val="24"/>
                <w:szCs w:val="24"/>
              </w:rPr>
              <w:t>li brülörler</w:t>
            </w:r>
          </w:p>
        </w:tc>
        <w:tc>
          <w:tcPr>
            <w:tcW w:w="3402" w:type="dxa"/>
            <w:vAlign w:val="center"/>
          </w:tcPr>
          <w:p w14:paraId="3BE2CD19" w14:textId="1D3F2174" w:rsidR="00693BEE" w:rsidRPr="009077F5" w:rsidRDefault="00693BEE" w:rsidP="00800D11">
            <w:pPr>
              <w:pStyle w:val="KonuBal"/>
              <w:rPr>
                <w:sz w:val="24"/>
                <w:szCs w:val="24"/>
              </w:rPr>
            </w:pPr>
            <w:r w:rsidRPr="009077F5">
              <w:rPr>
                <w:sz w:val="24"/>
                <w:szCs w:val="24"/>
              </w:rPr>
              <w:t>Bölüm</w:t>
            </w:r>
            <w:r w:rsidR="00B31B5F" w:rsidRPr="009077F5">
              <w:rPr>
                <w:sz w:val="24"/>
                <w:szCs w:val="24"/>
              </w:rPr>
              <w:t>1</w:t>
            </w:r>
            <w:r w:rsidRPr="009077F5">
              <w:rPr>
                <w:sz w:val="24"/>
                <w:szCs w:val="24"/>
              </w:rPr>
              <w:t>.11.2</w:t>
            </w:r>
            <w:r w:rsidR="00E56504" w:rsidRPr="009077F5">
              <w:rPr>
                <w:sz w:val="24"/>
                <w:szCs w:val="24"/>
              </w:rPr>
              <w:t>’</w:t>
            </w:r>
            <w:r w:rsidRPr="009077F5">
              <w:rPr>
                <w:sz w:val="24"/>
                <w:szCs w:val="24"/>
              </w:rPr>
              <w:t>ye bakınız.</w:t>
            </w:r>
          </w:p>
        </w:tc>
        <w:tc>
          <w:tcPr>
            <w:tcW w:w="2976" w:type="dxa"/>
            <w:vAlign w:val="center"/>
          </w:tcPr>
          <w:p w14:paraId="06E31E10" w14:textId="74FF111F" w:rsidR="00693BEE" w:rsidRPr="009077F5" w:rsidRDefault="00693BEE" w:rsidP="00800D11">
            <w:pPr>
              <w:pStyle w:val="KonuBal"/>
              <w:rPr>
                <w:sz w:val="24"/>
                <w:szCs w:val="24"/>
              </w:rPr>
            </w:pPr>
            <w:r w:rsidRPr="009077F5">
              <w:rPr>
                <w:sz w:val="24"/>
                <w:szCs w:val="24"/>
              </w:rPr>
              <w:t>Uygulanabilirlik, mevcut tesislerde tasarım ve/veya operasyonel kısıtlamalarla sınırlandırılabilir.</w:t>
            </w:r>
          </w:p>
        </w:tc>
      </w:tr>
      <w:tr w:rsidR="00693BEE" w:rsidRPr="00800D11" w14:paraId="6066FBA0" w14:textId="77777777" w:rsidTr="00065723">
        <w:tc>
          <w:tcPr>
            <w:tcW w:w="567" w:type="dxa"/>
            <w:vAlign w:val="center"/>
          </w:tcPr>
          <w:p w14:paraId="25FBDD76" w14:textId="77777777" w:rsidR="00693BEE" w:rsidRPr="009077F5" w:rsidRDefault="00693BEE" w:rsidP="004B0D48">
            <w:pPr>
              <w:pStyle w:val="KonuBal"/>
              <w:rPr>
                <w:sz w:val="24"/>
                <w:szCs w:val="24"/>
              </w:rPr>
            </w:pPr>
            <w:r w:rsidRPr="009077F5">
              <w:rPr>
                <w:sz w:val="24"/>
                <w:szCs w:val="24"/>
              </w:rPr>
              <w:t>e.</w:t>
            </w:r>
          </w:p>
        </w:tc>
        <w:tc>
          <w:tcPr>
            <w:tcW w:w="1985" w:type="dxa"/>
            <w:vAlign w:val="center"/>
          </w:tcPr>
          <w:p w14:paraId="4A6BB60F" w14:textId="20339D87" w:rsidR="00693BEE" w:rsidRPr="009077F5" w:rsidRDefault="00693BEE" w:rsidP="00A202FD">
            <w:pPr>
              <w:jc w:val="both"/>
              <w:rPr>
                <w:rFonts w:eastAsia="Calibri"/>
                <w:lang w:eastAsia="en-US"/>
              </w:rPr>
            </w:pPr>
            <w:r w:rsidRPr="009077F5">
              <w:rPr>
                <w:rFonts w:eastAsia="Calibri"/>
                <w:lang w:eastAsia="en-US"/>
              </w:rPr>
              <w:t>Baca gazı resirkülasyonu</w:t>
            </w:r>
          </w:p>
        </w:tc>
        <w:tc>
          <w:tcPr>
            <w:tcW w:w="3402" w:type="dxa"/>
            <w:vAlign w:val="center"/>
          </w:tcPr>
          <w:p w14:paraId="13CD9519" w14:textId="26127663" w:rsidR="00693BEE" w:rsidRPr="009077F5" w:rsidRDefault="00693BEE" w:rsidP="004B0D48">
            <w:pPr>
              <w:pStyle w:val="KonuBal"/>
              <w:rPr>
                <w:sz w:val="24"/>
                <w:szCs w:val="24"/>
              </w:rPr>
            </w:pPr>
            <w:r w:rsidRPr="009077F5">
              <w:rPr>
                <w:sz w:val="24"/>
                <w:szCs w:val="24"/>
              </w:rPr>
              <w:t xml:space="preserve">Sıcaklığın düşürülmesi ve azot oksidasyonu için O2 içeriğinin sınırlandırılması, böylece NOX </w:t>
            </w:r>
            <w:r w:rsidRPr="009077F5">
              <w:rPr>
                <w:sz w:val="24"/>
                <w:szCs w:val="24"/>
              </w:rPr>
              <w:lastRenderedPageBreak/>
              <w:t>üretiminin sınırlandırılması gibi ikili etki ile taze yanma havasının bir kısmının yerini almak üzere baca gazının bir kısmının yanma odasına devridaimi (harici). Oksijen içeriğini ve dolayısıyla alevin sıcaklığını azaltmak için fırından alevin içine baca gazı beslemesi anlamına gelir.</w:t>
            </w:r>
          </w:p>
        </w:tc>
        <w:tc>
          <w:tcPr>
            <w:tcW w:w="2976" w:type="dxa"/>
            <w:vAlign w:val="center"/>
          </w:tcPr>
          <w:p w14:paraId="50DD99ED" w14:textId="26F28678" w:rsidR="00693BEE" w:rsidRPr="009077F5" w:rsidRDefault="00693BEE" w:rsidP="004B0D48">
            <w:pPr>
              <w:pStyle w:val="KonuBal"/>
              <w:rPr>
                <w:sz w:val="24"/>
                <w:szCs w:val="24"/>
              </w:rPr>
            </w:pPr>
            <w:r w:rsidRPr="009077F5">
              <w:rPr>
                <w:sz w:val="24"/>
                <w:szCs w:val="24"/>
              </w:rPr>
              <w:lastRenderedPageBreak/>
              <w:t xml:space="preserve">Mevcut tesislere uygulanabilirlik, alan yetersizliği nedeniyle </w:t>
            </w:r>
            <w:r w:rsidRPr="009077F5">
              <w:rPr>
                <w:sz w:val="24"/>
                <w:szCs w:val="24"/>
              </w:rPr>
              <w:lastRenderedPageBreak/>
              <w:t>kısıtlanabilir.</w:t>
            </w:r>
          </w:p>
        </w:tc>
      </w:tr>
      <w:tr w:rsidR="00693BEE" w:rsidRPr="00800D11" w14:paraId="14896E58" w14:textId="77777777" w:rsidTr="00065723">
        <w:tc>
          <w:tcPr>
            <w:tcW w:w="567" w:type="dxa"/>
            <w:vAlign w:val="center"/>
          </w:tcPr>
          <w:p w14:paraId="69D023DB" w14:textId="77777777" w:rsidR="00693BEE" w:rsidRPr="009077F5" w:rsidRDefault="00693BEE" w:rsidP="004B0D48">
            <w:pPr>
              <w:pStyle w:val="KonuBal"/>
              <w:rPr>
                <w:sz w:val="24"/>
                <w:szCs w:val="24"/>
              </w:rPr>
            </w:pPr>
            <w:r w:rsidRPr="009077F5">
              <w:rPr>
                <w:sz w:val="24"/>
                <w:szCs w:val="24"/>
              </w:rPr>
              <w:lastRenderedPageBreak/>
              <w:t>f.</w:t>
            </w:r>
          </w:p>
        </w:tc>
        <w:tc>
          <w:tcPr>
            <w:tcW w:w="1985" w:type="dxa"/>
            <w:vAlign w:val="center"/>
          </w:tcPr>
          <w:p w14:paraId="70FC76A0" w14:textId="3704218A" w:rsidR="00693BEE" w:rsidRPr="009077F5" w:rsidRDefault="00F85325" w:rsidP="00A202FD">
            <w:pPr>
              <w:jc w:val="both"/>
              <w:rPr>
                <w:rFonts w:eastAsia="Calibri"/>
                <w:lang w:eastAsia="en-US"/>
              </w:rPr>
            </w:pPr>
            <w:r w:rsidRPr="009077F5">
              <w:rPr>
                <w:rFonts w:eastAsia="Calibri"/>
                <w:lang w:eastAsia="en-US"/>
              </w:rPr>
              <w:t>Hava ön ısıtma sıcaklığının sınırlandırılması</w:t>
            </w:r>
          </w:p>
        </w:tc>
        <w:tc>
          <w:tcPr>
            <w:tcW w:w="3402" w:type="dxa"/>
            <w:vAlign w:val="center"/>
          </w:tcPr>
          <w:p w14:paraId="205FD1D0" w14:textId="1DBE8691" w:rsidR="00693BEE" w:rsidRPr="009077F5" w:rsidRDefault="00F85325" w:rsidP="00A202FD">
            <w:pPr>
              <w:jc w:val="both"/>
              <w:rPr>
                <w:lang w:val="en-US" w:eastAsia="en-US"/>
              </w:rPr>
            </w:pPr>
            <w:r w:rsidRPr="009077F5">
              <w:rPr>
                <w:rFonts w:eastAsia="Calibri"/>
                <w:spacing w:val="2"/>
                <w:lang w:val="en-US" w:eastAsia="en-US"/>
              </w:rPr>
              <w:t>Hava ön ısıtma sıcaklığının sınırlandırılması NO</w:t>
            </w:r>
            <w:r w:rsidRPr="009077F5">
              <w:rPr>
                <w:rFonts w:eastAsia="Calibri"/>
                <w:spacing w:val="2"/>
                <w:vertAlign w:val="subscript"/>
                <w:lang w:val="en-US" w:eastAsia="en-US"/>
              </w:rPr>
              <w:t>X</w:t>
            </w:r>
            <w:r w:rsidRPr="009077F5">
              <w:rPr>
                <w:rFonts w:eastAsia="Calibri"/>
                <w:spacing w:val="2"/>
                <w:lang w:val="en-US" w:eastAsia="en-US"/>
              </w:rPr>
              <w:t xml:space="preserve"> emisyonlarının konsantrasyonunun azalmasına yol açar. Baca gazından ısı geri kazanımını en üst düzeye çıkarmak ve NO</w:t>
            </w:r>
            <w:r w:rsidRPr="009077F5">
              <w:rPr>
                <w:rFonts w:eastAsia="Calibri"/>
                <w:spacing w:val="2"/>
                <w:vertAlign w:val="subscript"/>
                <w:lang w:val="en-US" w:eastAsia="en-US"/>
              </w:rPr>
              <w:t>X</w:t>
            </w:r>
            <w:r w:rsidRPr="009077F5">
              <w:rPr>
                <w:rFonts w:eastAsia="Calibri"/>
                <w:spacing w:val="2"/>
                <w:lang w:val="en-US" w:eastAsia="en-US"/>
              </w:rPr>
              <w:t xml:space="preserve"> emisyonlarını en aza indirmek arasında bir denge sağlanmalıdır.</w:t>
            </w:r>
          </w:p>
        </w:tc>
        <w:tc>
          <w:tcPr>
            <w:tcW w:w="2976" w:type="dxa"/>
            <w:vAlign w:val="center"/>
          </w:tcPr>
          <w:p w14:paraId="1700CB71" w14:textId="69D78ADB" w:rsidR="00693BEE" w:rsidRPr="009077F5" w:rsidRDefault="00F85325" w:rsidP="004B0D48">
            <w:pPr>
              <w:pStyle w:val="KonuBal"/>
              <w:rPr>
                <w:sz w:val="24"/>
                <w:szCs w:val="24"/>
              </w:rPr>
            </w:pPr>
            <w:r w:rsidRPr="009077F5">
              <w:rPr>
                <w:sz w:val="24"/>
                <w:szCs w:val="24"/>
              </w:rPr>
              <w:t>Radyant tüp brülörleri ile donatılmış fırınlar için geçerli olmayabilir.</w:t>
            </w:r>
          </w:p>
        </w:tc>
      </w:tr>
      <w:tr w:rsidR="00693BEE" w:rsidRPr="00800D11" w14:paraId="313DF3EF" w14:textId="77777777" w:rsidTr="00065723">
        <w:tc>
          <w:tcPr>
            <w:tcW w:w="567" w:type="dxa"/>
            <w:vAlign w:val="center"/>
          </w:tcPr>
          <w:p w14:paraId="775AD399" w14:textId="77777777" w:rsidR="00693BEE" w:rsidRPr="009077F5" w:rsidRDefault="00693BEE" w:rsidP="004B0D48">
            <w:pPr>
              <w:pStyle w:val="KonuBal"/>
              <w:rPr>
                <w:sz w:val="24"/>
                <w:szCs w:val="24"/>
              </w:rPr>
            </w:pPr>
            <w:r w:rsidRPr="009077F5">
              <w:rPr>
                <w:sz w:val="24"/>
                <w:szCs w:val="24"/>
              </w:rPr>
              <w:t>g.</w:t>
            </w:r>
          </w:p>
        </w:tc>
        <w:tc>
          <w:tcPr>
            <w:tcW w:w="1985" w:type="dxa"/>
            <w:vAlign w:val="center"/>
          </w:tcPr>
          <w:p w14:paraId="7274862C" w14:textId="549B1C92" w:rsidR="00693BEE" w:rsidRPr="009077F5" w:rsidRDefault="00F85325" w:rsidP="00A202FD">
            <w:pPr>
              <w:jc w:val="both"/>
              <w:rPr>
                <w:rFonts w:eastAsia="Calibri"/>
                <w:lang w:eastAsia="en-US"/>
              </w:rPr>
            </w:pPr>
            <w:r w:rsidRPr="009077F5">
              <w:rPr>
                <w:rFonts w:eastAsia="Calibri"/>
                <w:lang w:eastAsia="en-US"/>
              </w:rPr>
              <w:t>Alevsiz yanma</w:t>
            </w:r>
          </w:p>
        </w:tc>
        <w:tc>
          <w:tcPr>
            <w:tcW w:w="3402" w:type="dxa"/>
            <w:vAlign w:val="center"/>
          </w:tcPr>
          <w:p w14:paraId="7B4C2DE8" w14:textId="19F33157" w:rsidR="00693BEE" w:rsidRPr="009077F5" w:rsidRDefault="00F85325" w:rsidP="004B0D48">
            <w:pPr>
              <w:pStyle w:val="KonuBal"/>
              <w:rPr>
                <w:sz w:val="24"/>
                <w:szCs w:val="24"/>
              </w:rPr>
            </w:pPr>
            <w:r w:rsidRPr="009077F5">
              <w:rPr>
                <w:sz w:val="24"/>
                <w:szCs w:val="24"/>
              </w:rPr>
              <w:t xml:space="preserve">Bölüm </w:t>
            </w:r>
            <w:r w:rsidR="00B31B5F" w:rsidRPr="009077F5">
              <w:rPr>
                <w:sz w:val="24"/>
                <w:szCs w:val="24"/>
              </w:rPr>
              <w:t>1</w:t>
            </w:r>
            <w:r w:rsidRPr="009077F5">
              <w:rPr>
                <w:sz w:val="24"/>
                <w:szCs w:val="24"/>
              </w:rPr>
              <w:t>.11.2</w:t>
            </w:r>
            <w:r w:rsidR="00E56504" w:rsidRPr="009077F5">
              <w:rPr>
                <w:sz w:val="24"/>
                <w:szCs w:val="24"/>
              </w:rPr>
              <w:t>’</w:t>
            </w:r>
            <w:r w:rsidRPr="009077F5">
              <w:rPr>
                <w:sz w:val="24"/>
                <w:szCs w:val="24"/>
              </w:rPr>
              <w:t>ye bakınız.</w:t>
            </w:r>
          </w:p>
        </w:tc>
        <w:tc>
          <w:tcPr>
            <w:tcW w:w="2976" w:type="dxa"/>
            <w:vAlign w:val="center"/>
          </w:tcPr>
          <w:p w14:paraId="348A1B16" w14:textId="48CE8C20" w:rsidR="00693BEE" w:rsidRPr="009077F5" w:rsidRDefault="00F85325" w:rsidP="004B0D48">
            <w:pPr>
              <w:pStyle w:val="KonuBal"/>
              <w:rPr>
                <w:sz w:val="24"/>
                <w:szCs w:val="24"/>
              </w:rPr>
            </w:pPr>
            <w:r w:rsidRPr="009077F5">
              <w:rPr>
                <w:sz w:val="24"/>
                <w:szCs w:val="24"/>
              </w:rPr>
              <w:t>Mevcut tesislere uygulanabilirlik, fırın tasarımı (yani fırın hacmi, brülörler için alan, brülörler arasındaki mesafe) ve refrakter astarın değiştirilmesi ihtiyacı ile sınırlı olabilir. Sıcaklık veya sıcaklık profilinin yakından kontrol edilmesinin gerekli olduğu prosesler için uygulanabilirlik sınırlı olabilir (örneğin yeniden kristalleştirme). Alevsiz yanma için gerekli olan otomatik ateşleme sıcaklığından daha düşük bir sıcaklıkta çalışan fırınlara veya radyant tüp brülörleri ile donatılmış fırınlara uygulanamaz.</w:t>
            </w:r>
          </w:p>
        </w:tc>
      </w:tr>
      <w:tr w:rsidR="00693BEE" w:rsidRPr="00800D11" w14:paraId="4DD484BD" w14:textId="77777777" w:rsidTr="00065723">
        <w:tc>
          <w:tcPr>
            <w:tcW w:w="567" w:type="dxa"/>
            <w:vAlign w:val="center"/>
          </w:tcPr>
          <w:p w14:paraId="30C3E29B" w14:textId="77777777" w:rsidR="00693BEE" w:rsidRPr="009077F5" w:rsidRDefault="00693BEE" w:rsidP="004B0D48">
            <w:pPr>
              <w:pStyle w:val="KonuBal"/>
              <w:rPr>
                <w:sz w:val="24"/>
                <w:szCs w:val="24"/>
              </w:rPr>
            </w:pPr>
            <w:r w:rsidRPr="009077F5">
              <w:rPr>
                <w:sz w:val="24"/>
                <w:szCs w:val="24"/>
              </w:rPr>
              <w:t>h.</w:t>
            </w:r>
          </w:p>
        </w:tc>
        <w:tc>
          <w:tcPr>
            <w:tcW w:w="1985" w:type="dxa"/>
            <w:vAlign w:val="center"/>
          </w:tcPr>
          <w:p w14:paraId="65D9126C" w14:textId="4E1B2E68" w:rsidR="00693BEE" w:rsidRPr="009077F5" w:rsidRDefault="00F85325" w:rsidP="00A202FD">
            <w:pPr>
              <w:jc w:val="both"/>
              <w:rPr>
                <w:rFonts w:eastAsia="Calibri"/>
                <w:lang w:eastAsia="en-US"/>
              </w:rPr>
            </w:pPr>
            <w:r w:rsidRPr="009077F5">
              <w:rPr>
                <w:rFonts w:eastAsia="Calibri"/>
                <w:lang w:eastAsia="en-US"/>
              </w:rPr>
              <w:t>Oksi-yakıt yanması</w:t>
            </w:r>
          </w:p>
        </w:tc>
        <w:tc>
          <w:tcPr>
            <w:tcW w:w="3402" w:type="dxa"/>
            <w:vAlign w:val="center"/>
          </w:tcPr>
          <w:p w14:paraId="7B7CFF57" w14:textId="21B8940D" w:rsidR="00693BEE" w:rsidRPr="009077F5" w:rsidRDefault="00F85325" w:rsidP="004B0D48">
            <w:pPr>
              <w:pStyle w:val="KonuBal"/>
              <w:rPr>
                <w:sz w:val="24"/>
                <w:szCs w:val="24"/>
              </w:rPr>
            </w:pPr>
            <w:r w:rsidRPr="009077F5">
              <w:rPr>
                <w:sz w:val="24"/>
                <w:szCs w:val="24"/>
              </w:rPr>
              <w:t>Bölüm</w:t>
            </w:r>
            <w:r w:rsidR="00B31B5F" w:rsidRPr="009077F5">
              <w:rPr>
                <w:sz w:val="24"/>
                <w:szCs w:val="24"/>
              </w:rPr>
              <w:t>1</w:t>
            </w:r>
            <w:r w:rsidRPr="009077F5">
              <w:rPr>
                <w:sz w:val="24"/>
                <w:szCs w:val="24"/>
              </w:rPr>
              <w:t>.11.2</w:t>
            </w:r>
            <w:r w:rsidR="00E56504" w:rsidRPr="009077F5">
              <w:rPr>
                <w:sz w:val="24"/>
                <w:szCs w:val="24"/>
              </w:rPr>
              <w:t>’</w:t>
            </w:r>
            <w:r w:rsidRPr="009077F5">
              <w:rPr>
                <w:sz w:val="24"/>
                <w:szCs w:val="24"/>
              </w:rPr>
              <w:t>ye bakınız.</w:t>
            </w:r>
          </w:p>
        </w:tc>
        <w:tc>
          <w:tcPr>
            <w:tcW w:w="2976" w:type="dxa"/>
            <w:vAlign w:val="center"/>
          </w:tcPr>
          <w:p w14:paraId="718C638C" w14:textId="77777777" w:rsidR="00F85325" w:rsidRPr="009077F5" w:rsidRDefault="00F85325" w:rsidP="004B0D48">
            <w:pPr>
              <w:pStyle w:val="KonuBal"/>
              <w:rPr>
                <w:sz w:val="24"/>
                <w:szCs w:val="24"/>
              </w:rPr>
            </w:pPr>
            <w:r w:rsidRPr="009077F5">
              <w:rPr>
                <w:sz w:val="24"/>
                <w:szCs w:val="24"/>
              </w:rPr>
              <w:t>Yüksek alaşımlı çelik işleyen fırınlar için uygulanabilirlik sınırlı olabilir.</w:t>
            </w:r>
          </w:p>
          <w:p w14:paraId="31D3E061" w14:textId="77777777" w:rsidR="00F85325" w:rsidRPr="009077F5" w:rsidRDefault="00F85325" w:rsidP="00800D11">
            <w:pPr>
              <w:pStyle w:val="KonuBal"/>
              <w:rPr>
                <w:sz w:val="24"/>
                <w:szCs w:val="24"/>
              </w:rPr>
            </w:pPr>
            <w:r w:rsidRPr="009077F5">
              <w:rPr>
                <w:sz w:val="24"/>
                <w:szCs w:val="24"/>
              </w:rPr>
              <w:t xml:space="preserve">Mevcut tesislere </w:t>
            </w:r>
            <w:r w:rsidRPr="009077F5">
              <w:rPr>
                <w:sz w:val="24"/>
                <w:szCs w:val="24"/>
              </w:rPr>
              <w:lastRenderedPageBreak/>
              <w:t>uygulanabilirlik, fırın tasarımı ve minimum atık gaz akışı ihtiyacı ile kısıtlanabilir.</w:t>
            </w:r>
          </w:p>
          <w:p w14:paraId="055CA28C" w14:textId="2853C015" w:rsidR="00693BEE" w:rsidRPr="009077F5" w:rsidRDefault="00F85325" w:rsidP="00800D11">
            <w:pPr>
              <w:pStyle w:val="KonuBal"/>
              <w:rPr>
                <w:sz w:val="24"/>
                <w:szCs w:val="24"/>
              </w:rPr>
            </w:pPr>
            <w:r w:rsidRPr="009077F5">
              <w:rPr>
                <w:sz w:val="24"/>
                <w:szCs w:val="24"/>
              </w:rPr>
              <w:t>Radyant tüp brülörleri ile donatılmış fırınlar için geçerli değildir.</w:t>
            </w:r>
          </w:p>
        </w:tc>
      </w:tr>
      <w:tr w:rsidR="00E741E2" w:rsidRPr="00800D11" w14:paraId="591F8534" w14:textId="77777777" w:rsidTr="00065723">
        <w:tc>
          <w:tcPr>
            <w:tcW w:w="8930" w:type="dxa"/>
            <w:gridSpan w:val="4"/>
            <w:vAlign w:val="center"/>
          </w:tcPr>
          <w:p w14:paraId="47A32717" w14:textId="39BACAD2" w:rsidR="00E741E2" w:rsidRPr="009077F5" w:rsidRDefault="00E741E2" w:rsidP="004B0D48">
            <w:pPr>
              <w:pStyle w:val="KonuBal"/>
              <w:rPr>
                <w:sz w:val="24"/>
                <w:szCs w:val="24"/>
              </w:rPr>
            </w:pPr>
            <w:r w:rsidRPr="009077F5">
              <w:rPr>
                <w:sz w:val="24"/>
                <w:szCs w:val="24"/>
              </w:rPr>
              <w:lastRenderedPageBreak/>
              <w:t>Atık gaz arıtma</w:t>
            </w:r>
          </w:p>
        </w:tc>
      </w:tr>
      <w:tr w:rsidR="00693BEE" w:rsidRPr="00800D11" w14:paraId="37225185" w14:textId="77777777" w:rsidTr="00065723">
        <w:tc>
          <w:tcPr>
            <w:tcW w:w="567" w:type="dxa"/>
            <w:vAlign w:val="center"/>
          </w:tcPr>
          <w:p w14:paraId="6CF5231F" w14:textId="77777777" w:rsidR="00693BEE" w:rsidRPr="009077F5" w:rsidRDefault="00693BEE" w:rsidP="004B0D48">
            <w:pPr>
              <w:pStyle w:val="KonuBal"/>
              <w:rPr>
                <w:sz w:val="24"/>
                <w:szCs w:val="24"/>
              </w:rPr>
            </w:pPr>
            <w:r w:rsidRPr="009077F5">
              <w:rPr>
                <w:sz w:val="24"/>
                <w:szCs w:val="24"/>
              </w:rPr>
              <w:t>i.</w:t>
            </w:r>
          </w:p>
        </w:tc>
        <w:tc>
          <w:tcPr>
            <w:tcW w:w="1985" w:type="dxa"/>
            <w:vAlign w:val="center"/>
          </w:tcPr>
          <w:p w14:paraId="13513BA6" w14:textId="1B413041" w:rsidR="00693BEE" w:rsidRPr="009077F5" w:rsidRDefault="00E741E2" w:rsidP="00A202FD">
            <w:pPr>
              <w:jc w:val="both"/>
              <w:rPr>
                <w:rFonts w:eastAsia="Calibri"/>
                <w:lang w:eastAsia="en-US"/>
              </w:rPr>
            </w:pPr>
            <w:r w:rsidRPr="009077F5">
              <w:rPr>
                <w:rFonts w:eastAsia="Calibri"/>
                <w:lang w:eastAsia="en-US"/>
              </w:rPr>
              <w:t xml:space="preserve">Seçici katalitik indirgeme </w:t>
            </w:r>
          </w:p>
        </w:tc>
        <w:tc>
          <w:tcPr>
            <w:tcW w:w="3402" w:type="dxa"/>
            <w:vAlign w:val="center"/>
          </w:tcPr>
          <w:p w14:paraId="5ACB3301" w14:textId="4114681A" w:rsidR="00693BEE" w:rsidRPr="009077F5" w:rsidRDefault="00E741E2" w:rsidP="00A202FD">
            <w:pPr>
              <w:pStyle w:val="ListeParagraf"/>
              <w:numPr>
                <w:ilvl w:val="0"/>
                <w:numId w:val="0"/>
              </w:numPr>
              <w:tabs>
                <w:tab w:val="clear" w:pos="567"/>
              </w:tabs>
              <w:ind w:left="37"/>
              <w:rPr>
                <w:sz w:val="24"/>
                <w:szCs w:val="24"/>
              </w:rPr>
            </w:pPr>
            <w:r w:rsidRPr="009077F5">
              <w:rPr>
                <w:rFonts w:eastAsia="Calibri"/>
                <w:position w:val="0"/>
                <w:sz w:val="24"/>
                <w:szCs w:val="24"/>
              </w:rPr>
              <w:t xml:space="preserve">Bölüm </w:t>
            </w:r>
            <w:r w:rsidR="00B31B5F" w:rsidRPr="009077F5">
              <w:rPr>
                <w:rFonts w:eastAsia="Calibri"/>
                <w:position w:val="0"/>
                <w:sz w:val="24"/>
                <w:szCs w:val="24"/>
              </w:rPr>
              <w:t>1</w:t>
            </w:r>
            <w:r w:rsidRPr="009077F5">
              <w:rPr>
                <w:rFonts w:eastAsia="Calibri"/>
                <w:position w:val="0"/>
                <w:sz w:val="24"/>
                <w:szCs w:val="24"/>
              </w:rPr>
              <w:t>.11.2</w:t>
            </w:r>
            <w:r w:rsidR="00E56504" w:rsidRPr="009077F5">
              <w:rPr>
                <w:rFonts w:eastAsia="Calibri"/>
                <w:position w:val="0"/>
                <w:sz w:val="24"/>
                <w:szCs w:val="24"/>
              </w:rPr>
              <w:t>’</w:t>
            </w:r>
            <w:r w:rsidRPr="009077F5">
              <w:rPr>
                <w:rFonts w:eastAsia="Calibri"/>
                <w:position w:val="0"/>
                <w:sz w:val="24"/>
                <w:szCs w:val="24"/>
              </w:rPr>
              <w:t>ye bakınız.</w:t>
            </w:r>
          </w:p>
        </w:tc>
        <w:tc>
          <w:tcPr>
            <w:tcW w:w="2976" w:type="dxa"/>
            <w:vAlign w:val="center"/>
          </w:tcPr>
          <w:p w14:paraId="0F4B8AA6" w14:textId="77777777" w:rsidR="00E741E2" w:rsidRPr="009077F5" w:rsidRDefault="00E741E2" w:rsidP="004B0D48">
            <w:pPr>
              <w:pStyle w:val="KonuBal"/>
              <w:rPr>
                <w:sz w:val="24"/>
                <w:szCs w:val="24"/>
              </w:rPr>
            </w:pPr>
            <w:r w:rsidRPr="009077F5">
              <w:rPr>
                <w:sz w:val="24"/>
                <w:szCs w:val="24"/>
              </w:rPr>
              <w:t>Mevcut tesislere uygulanabilirlik, alan yetersizliği nedeniyle kısıtlanabilir.</w:t>
            </w:r>
          </w:p>
          <w:p w14:paraId="4070816F" w14:textId="6012B481" w:rsidR="00693BEE" w:rsidRPr="009077F5" w:rsidRDefault="00E741E2" w:rsidP="004B0D48">
            <w:pPr>
              <w:pStyle w:val="KonuBal"/>
              <w:rPr>
                <w:sz w:val="24"/>
                <w:szCs w:val="24"/>
              </w:rPr>
            </w:pPr>
            <w:r w:rsidRPr="009077F5">
              <w:rPr>
                <w:sz w:val="24"/>
                <w:szCs w:val="24"/>
              </w:rPr>
              <w:t>Tavlama döngüsü sırasında değişen sıcaklıklar nedeniyle toplu tavlamada uygulanabilirlik kısıtlanabilir.</w:t>
            </w:r>
          </w:p>
        </w:tc>
      </w:tr>
      <w:tr w:rsidR="00693BEE" w:rsidRPr="00800D11" w14:paraId="0D70B06F" w14:textId="77777777" w:rsidTr="00065723">
        <w:tc>
          <w:tcPr>
            <w:tcW w:w="567" w:type="dxa"/>
            <w:vAlign w:val="center"/>
          </w:tcPr>
          <w:p w14:paraId="3A9E3F1F" w14:textId="77777777" w:rsidR="00693BEE" w:rsidRPr="009077F5" w:rsidRDefault="00693BEE" w:rsidP="004B0D48">
            <w:pPr>
              <w:pStyle w:val="KonuBal"/>
              <w:rPr>
                <w:sz w:val="24"/>
                <w:szCs w:val="24"/>
              </w:rPr>
            </w:pPr>
            <w:r w:rsidRPr="009077F5">
              <w:rPr>
                <w:sz w:val="24"/>
                <w:szCs w:val="24"/>
              </w:rPr>
              <w:t>j.</w:t>
            </w:r>
          </w:p>
        </w:tc>
        <w:tc>
          <w:tcPr>
            <w:tcW w:w="1985" w:type="dxa"/>
            <w:vAlign w:val="center"/>
          </w:tcPr>
          <w:p w14:paraId="63E86000" w14:textId="6A02D994" w:rsidR="00693BEE" w:rsidRPr="009077F5" w:rsidRDefault="00E741E2" w:rsidP="00A202FD">
            <w:pPr>
              <w:jc w:val="both"/>
              <w:rPr>
                <w:rFonts w:eastAsia="Calibri"/>
                <w:lang w:eastAsia="en-US"/>
              </w:rPr>
            </w:pPr>
            <w:r w:rsidRPr="009077F5">
              <w:rPr>
                <w:rFonts w:eastAsia="Calibri"/>
                <w:lang w:eastAsia="en-US"/>
              </w:rPr>
              <w:t>Seçici</w:t>
            </w:r>
            <w:r w:rsidR="00353C23" w:rsidRPr="009077F5">
              <w:rPr>
                <w:rFonts w:eastAsia="Calibri"/>
                <w:lang w:eastAsia="en-US"/>
              </w:rPr>
              <w:t xml:space="preserve"> olmayan</w:t>
            </w:r>
            <w:r w:rsidRPr="009077F5">
              <w:rPr>
                <w:rFonts w:eastAsia="Calibri"/>
                <w:lang w:eastAsia="en-US"/>
              </w:rPr>
              <w:t xml:space="preserve"> katalitik indirgeme </w:t>
            </w:r>
          </w:p>
        </w:tc>
        <w:tc>
          <w:tcPr>
            <w:tcW w:w="3402" w:type="dxa"/>
            <w:vAlign w:val="center"/>
          </w:tcPr>
          <w:p w14:paraId="64B7D4BD" w14:textId="46EA7BD2" w:rsidR="00693BEE" w:rsidRPr="009077F5" w:rsidRDefault="00E741E2" w:rsidP="004B0D48">
            <w:pPr>
              <w:pStyle w:val="KonuBal"/>
              <w:rPr>
                <w:sz w:val="24"/>
                <w:szCs w:val="24"/>
              </w:rPr>
            </w:pPr>
            <w:r w:rsidRPr="009077F5">
              <w:rPr>
                <w:sz w:val="24"/>
                <w:szCs w:val="24"/>
              </w:rPr>
              <w:t xml:space="preserve">Bölüm </w:t>
            </w:r>
            <w:r w:rsidR="00B31B5F" w:rsidRPr="009077F5">
              <w:rPr>
                <w:sz w:val="24"/>
                <w:szCs w:val="24"/>
              </w:rPr>
              <w:t>1</w:t>
            </w:r>
            <w:r w:rsidRPr="009077F5">
              <w:rPr>
                <w:sz w:val="24"/>
                <w:szCs w:val="24"/>
              </w:rPr>
              <w:t>.11.2</w:t>
            </w:r>
            <w:r w:rsidR="00E56504" w:rsidRPr="009077F5">
              <w:rPr>
                <w:sz w:val="24"/>
                <w:szCs w:val="24"/>
              </w:rPr>
              <w:t>’</w:t>
            </w:r>
            <w:r w:rsidRPr="009077F5">
              <w:rPr>
                <w:sz w:val="24"/>
                <w:szCs w:val="24"/>
              </w:rPr>
              <w:t>ye bakınız.</w:t>
            </w:r>
          </w:p>
        </w:tc>
        <w:tc>
          <w:tcPr>
            <w:tcW w:w="2976" w:type="dxa"/>
            <w:vAlign w:val="center"/>
          </w:tcPr>
          <w:p w14:paraId="71D2F212" w14:textId="77777777" w:rsidR="00E741E2" w:rsidRPr="009077F5" w:rsidRDefault="00E741E2" w:rsidP="004B0D48">
            <w:pPr>
              <w:pStyle w:val="KonuBal"/>
              <w:rPr>
                <w:sz w:val="24"/>
                <w:szCs w:val="24"/>
              </w:rPr>
            </w:pPr>
            <w:r w:rsidRPr="009077F5">
              <w:rPr>
                <w:sz w:val="24"/>
                <w:szCs w:val="24"/>
              </w:rPr>
              <w:t>Mevcut tesislere uygulanabilirlik, optimum sıcaklık penceresi ve reaksiyon için gereken bekleme süresi ile kısıtlanabilir.</w:t>
            </w:r>
          </w:p>
          <w:p w14:paraId="7B693059" w14:textId="449D92A0" w:rsidR="00693BEE" w:rsidRPr="009077F5" w:rsidRDefault="00E741E2" w:rsidP="00800D11">
            <w:pPr>
              <w:pStyle w:val="KonuBal"/>
              <w:rPr>
                <w:sz w:val="24"/>
                <w:szCs w:val="24"/>
              </w:rPr>
            </w:pPr>
            <w:r w:rsidRPr="009077F5">
              <w:rPr>
                <w:sz w:val="24"/>
                <w:szCs w:val="24"/>
              </w:rPr>
              <w:t>Tavlama döngüsü sırasında değişen sıcaklıklar nedeniyle kesikli tavlamada uygulanabilirlik kısıtlanabilir.</w:t>
            </w:r>
          </w:p>
        </w:tc>
      </w:tr>
      <w:tr w:rsidR="00E741E2" w:rsidRPr="00800D11" w14:paraId="6CD7446F" w14:textId="77777777" w:rsidTr="00065723">
        <w:tc>
          <w:tcPr>
            <w:tcW w:w="567" w:type="dxa"/>
            <w:vAlign w:val="center"/>
          </w:tcPr>
          <w:p w14:paraId="372D4D98" w14:textId="77777777" w:rsidR="00E741E2" w:rsidRPr="009077F5" w:rsidRDefault="00E741E2" w:rsidP="004B0D48">
            <w:pPr>
              <w:pStyle w:val="KonuBal"/>
              <w:rPr>
                <w:sz w:val="24"/>
                <w:szCs w:val="24"/>
              </w:rPr>
            </w:pPr>
            <w:r w:rsidRPr="009077F5">
              <w:rPr>
                <w:sz w:val="24"/>
                <w:szCs w:val="24"/>
              </w:rPr>
              <w:t>k.</w:t>
            </w:r>
          </w:p>
        </w:tc>
        <w:tc>
          <w:tcPr>
            <w:tcW w:w="1985" w:type="dxa"/>
            <w:vAlign w:val="center"/>
          </w:tcPr>
          <w:p w14:paraId="60068DB1" w14:textId="5705E4BE" w:rsidR="00E741E2" w:rsidRPr="009077F5" w:rsidRDefault="00E741E2" w:rsidP="00A202FD">
            <w:pPr>
              <w:jc w:val="both"/>
              <w:rPr>
                <w:rFonts w:eastAsia="Calibri"/>
                <w:lang w:eastAsia="en-US"/>
              </w:rPr>
            </w:pPr>
            <w:r w:rsidRPr="009077F5">
              <w:rPr>
                <w:rFonts w:eastAsia="Calibri"/>
                <w:lang w:eastAsia="en-US"/>
              </w:rPr>
              <w:t>SNCR/SCR tasarım ve işletiminin optimizasyonu</w:t>
            </w:r>
          </w:p>
        </w:tc>
        <w:tc>
          <w:tcPr>
            <w:tcW w:w="3402" w:type="dxa"/>
            <w:vAlign w:val="center"/>
          </w:tcPr>
          <w:p w14:paraId="7676B875" w14:textId="2C9D00FB" w:rsidR="00E741E2" w:rsidRPr="009077F5" w:rsidRDefault="00E741E2" w:rsidP="004B0D48">
            <w:pPr>
              <w:pStyle w:val="KonuBal"/>
              <w:rPr>
                <w:sz w:val="24"/>
                <w:szCs w:val="24"/>
              </w:rPr>
            </w:pPr>
            <w:r w:rsidRPr="009077F5">
              <w:rPr>
                <w:sz w:val="24"/>
                <w:szCs w:val="24"/>
              </w:rPr>
              <w:t xml:space="preserve">Bölüm </w:t>
            </w:r>
            <w:r w:rsidR="00B31B5F" w:rsidRPr="009077F5">
              <w:rPr>
                <w:sz w:val="24"/>
                <w:szCs w:val="24"/>
              </w:rPr>
              <w:t>1</w:t>
            </w:r>
            <w:r w:rsidRPr="009077F5">
              <w:rPr>
                <w:sz w:val="24"/>
                <w:szCs w:val="24"/>
              </w:rPr>
              <w:t>.11.2</w:t>
            </w:r>
            <w:r w:rsidR="00E56504" w:rsidRPr="009077F5">
              <w:rPr>
                <w:sz w:val="24"/>
                <w:szCs w:val="24"/>
              </w:rPr>
              <w:t>’</w:t>
            </w:r>
            <w:r w:rsidRPr="009077F5">
              <w:rPr>
                <w:sz w:val="24"/>
                <w:szCs w:val="24"/>
              </w:rPr>
              <w:t>ye bakınız.</w:t>
            </w:r>
          </w:p>
        </w:tc>
        <w:tc>
          <w:tcPr>
            <w:tcW w:w="2976" w:type="dxa"/>
            <w:vAlign w:val="center"/>
          </w:tcPr>
          <w:p w14:paraId="438F55B1" w14:textId="16350238" w:rsidR="00E741E2" w:rsidRPr="009077F5" w:rsidRDefault="00E741E2" w:rsidP="004B0D48">
            <w:pPr>
              <w:pStyle w:val="KonuBal"/>
              <w:rPr>
                <w:sz w:val="24"/>
                <w:szCs w:val="24"/>
              </w:rPr>
            </w:pPr>
            <w:r w:rsidRPr="009077F5">
              <w:rPr>
                <w:sz w:val="24"/>
                <w:szCs w:val="24"/>
              </w:rPr>
              <w:t>Sadece NO</w:t>
            </w:r>
            <w:r w:rsidRPr="009077F5">
              <w:rPr>
                <w:sz w:val="24"/>
                <w:szCs w:val="24"/>
                <w:vertAlign w:val="subscript"/>
              </w:rPr>
              <w:t>X</w:t>
            </w:r>
            <w:r w:rsidRPr="009077F5">
              <w:rPr>
                <w:sz w:val="24"/>
                <w:szCs w:val="24"/>
              </w:rPr>
              <w:t xml:space="preserve"> emisyonlarının azaltılması için SNCR/SCR kullanıldığında geçerlidir.</w:t>
            </w:r>
          </w:p>
        </w:tc>
      </w:tr>
    </w:tbl>
    <w:p w14:paraId="73E732CE" w14:textId="77777777" w:rsidR="00B74B68" w:rsidRPr="00D53A2B" w:rsidRDefault="00B74B68" w:rsidP="00A202FD">
      <w:pPr>
        <w:jc w:val="both"/>
        <w:rPr>
          <w:rFonts w:eastAsia="Calibri"/>
          <w:lang w:eastAsia="en-US"/>
        </w:rPr>
      </w:pPr>
    </w:p>
    <w:p w14:paraId="545E613B" w14:textId="1E3B60EC" w:rsidR="005F0E3A" w:rsidRPr="00D53A2B" w:rsidRDefault="001F342F" w:rsidP="00A202FD">
      <w:pPr>
        <w:jc w:val="both"/>
        <w:rPr>
          <w:rFonts w:eastAsia="Calibri"/>
          <w:lang w:eastAsia="en-US"/>
        </w:rPr>
      </w:pPr>
      <w:r w:rsidRPr="00D53A2B">
        <w:rPr>
          <w:rFonts w:eastAsia="Calibri"/>
          <w:lang w:eastAsia="en-US"/>
        </w:rPr>
        <w:t xml:space="preserve">Tablo </w:t>
      </w:r>
      <w:r w:rsidR="00B31B5F" w:rsidRPr="00D53A2B">
        <w:rPr>
          <w:rFonts w:eastAsia="Calibri"/>
          <w:lang w:eastAsia="en-US"/>
        </w:rPr>
        <w:t>1</w:t>
      </w:r>
      <w:r w:rsidRPr="00D53A2B">
        <w:rPr>
          <w:rFonts w:eastAsia="Calibri"/>
          <w:lang w:eastAsia="en-US"/>
        </w:rPr>
        <w:t>.9</w:t>
      </w:r>
    </w:p>
    <w:p w14:paraId="7BB0D491" w14:textId="535DE671" w:rsidR="00B74B68" w:rsidRPr="00D53A2B" w:rsidRDefault="001F342F" w:rsidP="00A202FD">
      <w:pPr>
        <w:jc w:val="both"/>
        <w:rPr>
          <w:rFonts w:eastAsia="Calibri"/>
          <w:lang w:eastAsia="en-US"/>
        </w:rPr>
      </w:pPr>
      <w:r w:rsidRPr="00D53A2B">
        <w:rPr>
          <w:rFonts w:eastAsia="Calibri"/>
          <w:lang w:eastAsia="en-US"/>
        </w:rPr>
        <w:t>Havaya kanalize NO</w:t>
      </w:r>
      <w:r w:rsidRPr="00D53A2B">
        <w:rPr>
          <w:rFonts w:eastAsia="Calibri"/>
          <w:vertAlign w:val="subscript"/>
          <w:lang w:eastAsia="en-US"/>
        </w:rPr>
        <w:t>X</w:t>
      </w:r>
      <w:r w:rsidRPr="00D53A2B">
        <w:rPr>
          <w:rFonts w:eastAsia="Calibri"/>
          <w:lang w:eastAsia="en-US"/>
        </w:rPr>
        <w:t xml:space="preserve"> emisyonları için MET-ilişkili emisyon seviyeleri (MET-İES)ve sıcak haddelemede hammadde ısıtmasından kaynaklanan havaya kanalize CO emisyonları için gösterge emisyon seviyeleri.</w:t>
      </w:r>
    </w:p>
    <w:p w14:paraId="72D70586" w14:textId="77777777" w:rsidR="00B74B68" w:rsidRPr="00D53A2B" w:rsidRDefault="00B74B68"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1207"/>
        <w:gridCol w:w="1602"/>
        <w:gridCol w:w="1677"/>
        <w:gridCol w:w="1042"/>
        <w:gridCol w:w="1701"/>
        <w:gridCol w:w="1701"/>
      </w:tblGrid>
      <w:tr w:rsidR="001F342F" w:rsidRPr="00D53A2B" w14:paraId="06DC1713" w14:textId="77777777" w:rsidTr="00065723">
        <w:tc>
          <w:tcPr>
            <w:tcW w:w="1207" w:type="dxa"/>
          </w:tcPr>
          <w:p w14:paraId="5AAEC4BD" w14:textId="7B54AC6D" w:rsidR="001F342F" w:rsidRPr="009077F5" w:rsidRDefault="001F342F" w:rsidP="004B0D48">
            <w:pPr>
              <w:pStyle w:val="KonuBal"/>
              <w:rPr>
                <w:sz w:val="24"/>
                <w:szCs w:val="24"/>
              </w:rPr>
            </w:pPr>
            <w:r w:rsidRPr="009077F5">
              <w:rPr>
                <w:sz w:val="24"/>
                <w:szCs w:val="24"/>
              </w:rPr>
              <w:t>Parametre</w:t>
            </w:r>
          </w:p>
        </w:tc>
        <w:tc>
          <w:tcPr>
            <w:tcW w:w="1602" w:type="dxa"/>
          </w:tcPr>
          <w:p w14:paraId="7DBE6272" w14:textId="67B3DE8A" w:rsidR="001F342F" w:rsidRPr="009077F5" w:rsidRDefault="001F342F" w:rsidP="004B0D48">
            <w:pPr>
              <w:pStyle w:val="KonuBal"/>
              <w:rPr>
                <w:sz w:val="24"/>
                <w:szCs w:val="24"/>
              </w:rPr>
            </w:pPr>
            <w:r w:rsidRPr="009077F5">
              <w:rPr>
                <w:sz w:val="24"/>
                <w:szCs w:val="24"/>
              </w:rPr>
              <w:t>Yakıt türü</w:t>
            </w:r>
          </w:p>
        </w:tc>
        <w:tc>
          <w:tcPr>
            <w:tcW w:w="1677" w:type="dxa"/>
          </w:tcPr>
          <w:p w14:paraId="0BD39CD0" w14:textId="64B2F7D5" w:rsidR="001F342F" w:rsidRPr="009077F5" w:rsidRDefault="001F342F" w:rsidP="00800D11">
            <w:pPr>
              <w:pStyle w:val="KonuBal"/>
              <w:rPr>
                <w:sz w:val="24"/>
                <w:szCs w:val="24"/>
              </w:rPr>
            </w:pPr>
            <w:r w:rsidRPr="009077F5">
              <w:rPr>
                <w:sz w:val="24"/>
                <w:szCs w:val="24"/>
              </w:rPr>
              <w:t>Spesifik proses</w:t>
            </w:r>
          </w:p>
        </w:tc>
        <w:tc>
          <w:tcPr>
            <w:tcW w:w="1042" w:type="dxa"/>
          </w:tcPr>
          <w:p w14:paraId="50339288" w14:textId="3F0AE660" w:rsidR="001F342F" w:rsidRPr="009077F5" w:rsidRDefault="001F342F" w:rsidP="00800D11">
            <w:pPr>
              <w:pStyle w:val="KonuBal"/>
              <w:rPr>
                <w:sz w:val="24"/>
                <w:szCs w:val="24"/>
              </w:rPr>
            </w:pPr>
            <w:r w:rsidRPr="009077F5">
              <w:rPr>
                <w:sz w:val="24"/>
                <w:szCs w:val="24"/>
              </w:rPr>
              <w:t>Birim</w:t>
            </w:r>
          </w:p>
        </w:tc>
        <w:tc>
          <w:tcPr>
            <w:tcW w:w="1701" w:type="dxa"/>
          </w:tcPr>
          <w:p w14:paraId="6589435F" w14:textId="44A9FFCF" w:rsidR="001F342F" w:rsidRPr="009077F5" w:rsidRDefault="001F342F" w:rsidP="00E73DA3">
            <w:pPr>
              <w:pStyle w:val="KonuBal"/>
              <w:rPr>
                <w:sz w:val="24"/>
                <w:szCs w:val="24"/>
              </w:rPr>
            </w:pPr>
            <w:r w:rsidRPr="009077F5">
              <w:rPr>
                <w:sz w:val="24"/>
                <w:szCs w:val="24"/>
              </w:rPr>
              <w:t>MET-İES (Günlük ortalama veya numune alma dönemi boyunca ortalama)</w:t>
            </w:r>
          </w:p>
        </w:tc>
        <w:tc>
          <w:tcPr>
            <w:tcW w:w="1701" w:type="dxa"/>
          </w:tcPr>
          <w:p w14:paraId="5DEA76CA" w14:textId="4BC77487" w:rsidR="001F342F" w:rsidRPr="009077F5" w:rsidRDefault="001F342F" w:rsidP="00BF4451">
            <w:pPr>
              <w:pStyle w:val="KonuBal"/>
              <w:rPr>
                <w:sz w:val="24"/>
                <w:szCs w:val="24"/>
              </w:rPr>
            </w:pPr>
            <w:r w:rsidRPr="009077F5">
              <w:rPr>
                <w:sz w:val="24"/>
                <w:szCs w:val="24"/>
              </w:rPr>
              <w:t xml:space="preserve">Gösterge emisyon seviyesi (İEL) Günlük ortalama veya numune alma dönemi </w:t>
            </w:r>
            <w:r w:rsidRPr="009077F5">
              <w:rPr>
                <w:sz w:val="24"/>
                <w:szCs w:val="24"/>
              </w:rPr>
              <w:lastRenderedPageBreak/>
              <w:t>boyunca ortalama)</w:t>
            </w:r>
          </w:p>
        </w:tc>
      </w:tr>
      <w:tr w:rsidR="00C2531B" w:rsidRPr="00D53A2B" w14:paraId="32C094B4" w14:textId="77777777" w:rsidTr="00065723">
        <w:tc>
          <w:tcPr>
            <w:tcW w:w="1207" w:type="dxa"/>
            <w:vMerge w:val="restart"/>
          </w:tcPr>
          <w:p w14:paraId="446DF8C3" w14:textId="05876EE7" w:rsidR="00C2531B" w:rsidRPr="009077F5" w:rsidRDefault="00C2531B" w:rsidP="004B0D48">
            <w:pPr>
              <w:pStyle w:val="KonuBal"/>
              <w:rPr>
                <w:sz w:val="24"/>
                <w:szCs w:val="24"/>
              </w:rPr>
            </w:pPr>
            <w:r w:rsidRPr="009077F5">
              <w:rPr>
                <w:sz w:val="24"/>
                <w:szCs w:val="24"/>
              </w:rPr>
              <w:lastRenderedPageBreak/>
              <w:t>NO</w:t>
            </w:r>
            <w:r w:rsidRPr="009077F5">
              <w:rPr>
                <w:sz w:val="24"/>
                <w:szCs w:val="24"/>
                <w:vertAlign w:val="subscript"/>
              </w:rPr>
              <w:t>x</w:t>
            </w:r>
          </w:p>
        </w:tc>
        <w:tc>
          <w:tcPr>
            <w:tcW w:w="1602" w:type="dxa"/>
            <w:vMerge w:val="restart"/>
            <w:vAlign w:val="center"/>
          </w:tcPr>
          <w:p w14:paraId="49ED27E8" w14:textId="1620791B" w:rsidR="00C2531B" w:rsidRPr="009077F5" w:rsidRDefault="00C2531B" w:rsidP="004B0D48">
            <w:pPr>
              <w:pStyle w:val="KonuBal"/>
              <w:rPr>
                <w:sz w:val="24"/>
                <w:szCs w:val="24"/>
              </w:rPr>
            </w:pPr>
            <w:r w:rsidRPr="009077F5">
              <w:rPr>
                <w:sz w:val="24"/>
                <w:szCs w:val="24"/>
              </w:rPr>
              <w:t>%100 doğal gaz</w:t>
            </w:r>
          </w:p>
        </w:tc>
        <w:tc>
          <w:tcPr>
            <w:tcW w:w="1677" w:type="dxa"/>
          </w:tcPr>
          <w:p w14:paraId="2A20CBAB" w14:textId="3B7CFFC4" w:rsidR="00C2531B" w:rsidRPr="009077F5" w:rsidRDefault="00C2531B" w:rsidP="00800D11">
            <w:pPr>
              <w:pStyle w:val="KonuBal"/>
              <w:rPr>
                <w:sz w:val="24"/>
                <w:szCs w:val="24"/>
              </w:rPr>
            </w:pPr>
            <w:r w:rsidRPr="009077F5">
              <w:rPr>
                <w:sz w:val="24"/>
                <w:szCs w:val="24"/>
              </w:rPr>
              <w:t>Yeniden ısıtma</w:t>
            </w:r>
          </w:p>
        </w:tc>
        <w:tc>
          <w:tcPr>
            <w:tcW w:w="1042" w:type="dxa"/>
          </w:tcPr>
          <w:p w14:paraId="47323789" w14:textId="4EB5E0C6" w:rsidR="00C2531B" w:rsidRPr="009077F5" w:rsidRDefault="00C2531B" w:rsidP="00800D11">
            <w:pPr>
              <w:pStyle w:val="KonuBal"/>
              <w:rPr>
                <w:sz w:val="24"/>
                <w:szCs w:val="24"/>
              </w:rPr>
            </w:pPr>
            <w:r w:rsidRPr="009077F5">
              <w:rPr>
                <w:sz w:val="24"/>
                <w:szCs w:val="24"/>
              </w:rPr>
              <w:t>mg/Nm</w:t>
            </w:r>
            <w:r w:rsidRPr="009077F5">
              <w:rPr>
                <w:sz w:val="24"/>
                <w:szCs w:val="24"/>
                <w:vertAlign w:val="superscript"/>
              </w:rPr>
              <w:t>3</w:t>
            </w:r>
          </w:p>
        </w:tc>
        <w:tc>
          <w:tcPr>
            <w:tcW w:w="1701" w:type="dxa"/>
            <w:vAlign w:val="bottom"/>
          </w:tcPr>
          <w:p w14:paraId="412317F6" w14:textId="77777777" w:rsidR="00C2531B" w:rsidRPr="009077F5" w:rsidRDefault="00C2531B" w:rsidP="00E73DA3">
            <w:pPr>
              <w:pStyle w:val="KonuBal"/>
              <w:rPr>
                <w:sz w:val="24"/>
                <w:szCs w:val="24"/>
              </w:rPr>
            </w:pPr>
            <w:r w:rsidRPr="009077F5">
              <w:rPr>
                <w:sz w:val="24"/>
                <w:szCs w:val="24"/>
              </w:rPr>
              <w:t>Yeni tesisler: 80-200</w:t>
            </w:r>
          </w:p>
          <w:p w14:paraId="6C89697E" w14:textId="7A5B138D" w:rsidR="00C2531B" w:rsidRPr="009077F5" w:rsidRDefault="00C2531B" w:rsidP="00A202FD">
            <w:pPr>
              <w:jc w:val="both"/>
              <w:rPr>
                <w:rFonts w:eastAsia="Calibri"/>
                <w:lang w:val="en-US" w:eastAsia="en-US"/>
              </w:rPr>
            </w:pPr>
            <w:r w:rsidRPr="009077F5">
              <w:rPr>
                <w:rFonts w:eastAsia="Calibri"/>
                <w:spacing w:val="2"/>
                <w:lang w:val="en-US" w:eastAsia="en-US"/>
              </w:rPr>
              <w:t>Mevcut tesisler: 100-350</w:t>
            </w:r>
          </w:p>
        </w:tc>
        <w:tc>
          <w:tcPr>
            <w:tcW w:w="1701" w:type="dxa"/>
            <w:vMerge w:val="restart"/>
          </w:tcPr>
          <w:p w14:paraId="6EA10819" w14:textId="3B99F336" w:rsidR="00C2531B" w:rsidRPr="009077F5" w:rsidRDefault="00C2531B" w:rsidP="004B0D48">
            <w:pPr>
              <w:pStyle w:val="KonuBal"/>
              <w:rPr>
                <w:sz w:val="24"/>
                <w:szCs w:val="24"/>
              </w:rPr>
            </w:pPr>
            <w:r w:rsidRPr="009077F5">
              <w:rPr>
                <w:sz w:val="24"/>
                <w:szCs w:val="24"/>
              </w:rPr>
              <w:t>Gösterge seviyesi yok</w:t>
            </w:r>
          </w:p>
        </w:tc>
      </w:tr>
      <w:tr w:rsidR="00C2531B" w:rsidRPr="00D53A2B" w14:paraId="10C2A8C6" w14:textId="77777777" w:rsidTr="00065723">
        <w:tc>
          <w:tcPr>
            <w:tcW w:w="1207" w:type="dxa"/>
            <w:vMerge/>
          </w:tcPr>
          <w:p w14:paraId="21158D57" w14:textId="77777777" w:rsidR="00C2531B" w:rsidRPr="009077F5" w:rsidRDefault="00C2531B">
            <w:pPr>
              <w:pStyle w:val="KonuBal"/>
              <w:rPr>
                <w:sz w:val="24"/>
                <w:szCs w:val="24"/>
              </w:rPr>
            </w:pPr>
          </w:p>
        </w:tc>
        <w:tc>
          <w:tcPr>
            <w:tcW w:w="1602" w:type="dxa"/>
            <w:vMerge/>
          </w:tcPr>
          <w:p w14:paraId="52DC152D" w14:textId="77777777" w:rsidR="00C2531B" w:rsidRPr="009077F5" w:rsidRDefault="00C2531B">
            <w:pPr>
              <w:pStyle w:val="KonuBal"/>
              <w:rPr>
                <w:sz w:val="24"/>
                <w:szCs w:val="24"/>
              </w:rPr>
            </w:pPr>
          </w:p>
        </w:tc>
        <w:tc>
          <w:tcPr>
            <w:tcW w:w="1677" w:type="dxa"/>
          </w:tcPr>
          <w:p w14:paraId="60253FA1" w14:textId="7A44C9F6" w:rsidR="00C2531B" w:rsidRPr="009077F5" w:rsidRDefault="00C2531B">
            <w:pPr>
              <w:pStyle w:val="KonuBal"/>
              <w:rPr>
                <w:sz w:val="24"/>
                <w:szCs w:val="24"/>
              </w:rPr>
            </w:pPr>
            <w:r w:rsidRPr="009077F5">
              <w:rPr>
                <w:sz w:val="24"/>
                <w:szCs w:val="24"/>
              </w:rPr>
              <w:t>Ara ısıtma</w:t>
            </w:r>
          </w:p>
        </w:tc>
        <w:tc>
          <w:tcPr>
            <w:tcW w:w="1042" w:type="dxa"/>
          </w:tcPr>
          <w:p w14:paraId="1006ECFE" w14:textId="232320DD" w:rsidR="00C2531B" w:rsidRPr="009077F5" w:rsidRDefault="00C2531B">
            <w:pPr>
              <w:pStyle w:val="KonuBal"/>
              <w:rPr>
                <w:sz w:val="24"/>
                <w:szCs w:val="24"/>
              </w:rPr>
            </w:pPr>
            <w:r w:rsidRPr="009077F5">
              <w:rPr>
                <w:sz w:val="24"/>
                <w:szCs w:val="24"/>
              </w:rPr>
              <w:t>mg/Nm</w:t>
            </w:r>
            <w:r w:rsidRPr="009077F5">
              <w:rPr>
                <w:sz w:val="24"/>
                <w:szCs w:val="24"/>
                <w:vertAlign w:val="superscript"/>
              </w:rPr>
              <w:t>3</w:t>
            </w:r>
          </w:p>
        </w:tc>
        <w:tc>
          <w:tcPr>
            <w:tcW w:w="1701" w:type="dxa"/>
            <w:vAlign w:val="bottom"/>
          </w:tcPr>
          <w:p w14:paraId="74BE7628" w14:textId="192F031B" w:rsidR="00C2531B" w:rsidRPr="009077F5" w:rsidRDefault="00C2531B">
            <w:pPr>
              <w:pStyle w:val="KonuBal"/>
              <w:rPr>
                <w:sz w:val="24"/>
                <w:szCs w:val="24"/>
              </w:rPr>
            </w:pPr>
            <w:r w:rsidRPr="009077F5">
              <w:rPr>
                <w:sz w:val="24"/>
                <w:szCs w:val="24"/>
              </w:rPr>
              <w:t>100-250</w:t>
            </w:r>
          </w:p>
        </w:tc>
        <w:tc>
          <w:tcPr>
            <w:tcW w:w="1701" w:type="dxa"/>
            <w:vMerge/>
          </w:tcPr>
          <w:p w14:paraId="49C7CAFA" w14:textId="77777777" w:rsidR="00C2531B" w:rsidRPr="009077F5" w:rsidRDefault="00C2531B">
            <w:pPr>
              <w:pStyle w:val="KonuBal"/>
              <w:rPr>
                <w:sz w:val="24"/>
                <w:szCs w:val="24"/>
              </w:rPr>
            </w:pPr>
          </w:p>
        </w:tc>
      </w:tr>
      <w:tr w:rsidR="00C2531B" w:rsidRPr="00D53A2B" w14:paraId="0075D26C" w14:textId="77777777" w:rsidTr="00065723">
        <w:tc>
          <w:tcPr>
            <w:tcW w:w="1207" w:type="dxa"/>
            <w:vMerge/>
          </w:tcPr>
          <w:p w14:paraId="16D16024" w14:textId="77777777" w:rsidR="00C2531B" w:rsidRPr="009077F5" w:rsidRDefault="00C2531B">
            <w:pPr>
              <w:pStyle w:val="KonuBal"/>
              <w:rPr>
                <w:sz w:val="24"/>
                <w:szCs w:val="24"/>
              </w:rPr>
            </w:pPr>
          </w:p>
        </w:tc>
        <w:tc>
          <w:tcPr>
            <w:tcW w:w="1602" w:type="dxa"/>
            <w:vMerge/>
          </w:tcPr>
          <w:p w14:paraId="7961FEFF" w14:textId="77777777" w:rsidR="00C2531B" w:rsidRPr="009077F5" w:rsidRDefault="00C2531B">
            <w:pPr>
              <w:pStyle w:val="KonuBal"/>
              <w:rPr>
                <w:sz w:val="24"/>
                <w:szCs w:val="24"/>
              </w:rPr>
            </w:pPr>
          </w:p>
        </w:tc>
        <w:tc>
          <w:tcPr>
            <w:tcW w:w="1677" w:type="dxa"/>
          </w:tcPr>
          <w:p w14:paraId="3F806623" w14:textId="00558263" w:rsidR="00C2531B" w:rsidRPr="009077F5" w:rsidRDefault="00C2531B">
            <w:pPr>
              <w:pStyle w:val="KonuBal"/>
              <w:rPr>
                <w:sz w:val="24"/>
                <w:szCs w:val="24"/>
              </w:rPr>
            </w:pPr>
            <w:r w:rsidRPr="009077F5">
              <w:rPr>
                <w:sz w:val="24"/>
                <w:szCs w:val="24"/>
              </w:rPr>
              <w:t>Sonradan ısıtma</w:t>
            </w:r>
          </w:p>
        </w:tc>
        <w:tc>
          <w:tcPr>
            <w:tcW w:w="1042" w:type="dxa"/>
          </w:tcPr>
          <w:p w14:paraId="3BDB1CF7" w14:textId="15B0858B" w:rsidR="00C2531B" w:rsidRPr="009077F5" w:rsidRDefault="00C2531B">
            <w:pPr>
              <w:pStyle w:val="KonuBal"/>
              <w:rPr>
                <w:sz w:val="24"/>
                <w:szCs w:val="24"/>
              </w:rPr>
            </w:pPr>
            <w:r w:rsidRPr="009077F5">
              <w:rPr>
                <w:sz w:val="24"/>
                <w:szCs w:val="24"/>
              </w:rPr>
              <w:t>mg/Nm</w:t>
            </w:r>
            <w:r w:rsidRPr="009077F5">
              <w:rPr>
                <w:sz w:val="24"/>
                <w:szCs w:val="24"/>
                <w:vertAlign w:val="superscript"/>
              </w:rPr>
              <w:t>3</w:t>
            </w:r>
          </w:p>
        </w:tc>
        <w:tc>
          <w:tcPr>
            <w:tcW w:w="1701" w:type="dxa"/>
            <w:vAlign w:val="bottom"/>
          </w:tcPr>
          <w:p w14:paraId="5FF2F7CF" w14:textId="77B23E1B" w:rsidR="00C2531B" w:rsidRPr="009077F5" w:rsidRDefault="00C2531B">
            <w:pPr>
              <w:pStyle w:val="KonuBal"/>
              <w:rPr>
                <w:sz w:val="24"/>
                <w:szCs w:val="24"/>
              </w:rPr>
            </w:pPr>
            <w:r w:rsidRPr="009077F5">
              <w:rPr>
                <w:sz w:val="24"/>
                <w:szCs w:val="24"/>
              </w:rPr>
              <w:t>100-200</w:t>
            </w:r>
          </w:p>
        </w:tc>
        <w:tc>
          <w:tcPr>
            <w:tcW w:w="1701" w:type="dxa"/>
            <w:vMerge/>
          </w:tcPr>
          <w:p w14:paraId="0719B65D" w14:textId="77777777" w:rsidR="00C2531B" w:rsidRPr="009077F5" w:rsidRDefault="00C2531B">
            <w:pPr>
              <w:pStyle w:val="KonuBal"/>
              <w:rPr>
                <w:sz w:val="24"/>
                <w:szCs w:val="24"/>
              </w:rPr>
            </w:pPr>
          </w:p>
        </w:tc>
      </w:tr>
      <w:tr w:rsidR="00C2531B" w:rsidRPr="00D53A2B" w14:paraId="31E31BC0" w14:textId="77777777" w:rsidTr="00065723">
        <w:tc>
          <w:tcPr>
            <w:tcW w:w="1207" w:type="dxa"/>
            <w:vMerge/>
          </w:tcPr>
          <w:p w14:paraId="43163B65" w14:textId="77777777" w:rsidR="00C2531B" w:rsidRPr="009077F5" w:rsidRDefault="00C2531B">
            <w:pPr>
              <w:pStyle w:val="KonuBal"/>
              <w:rPr>
                <w:sz w:val="24"/>
                <w:szCs w:val="24"/>
              </w:rPr>
            </w:pPr>
          </w:p>
        </w:tc>
        <w:tc>
          <w:tcPr>
            <w:tcW w:w="1602" w:type="dxa"/>
          </w:tcPr>
          <w:p w14:paraId="46F17A71" w14:textId="44C7EF3E" w:rsidR="00C2531B" w:rsidRPr="009077F5" w:rsidRDefault="00C2531B">
            <w:pPr>
              <w:pStyle w:val="KonuBal"/>
              <w:rPr>
                <w:sz w:val="24"/>
                <w:szCs w:val="24"/>
              </w:rPr>
            </w:pPr>
            <w:r w:rsidRPr="009077F5">
              <w:rPr>
                <w:sz w:val="24"/>
                <w:szCs w:val="24"/>
              </w:rPr>
              <w:t>Diğer yakıtlar</w:t>
            </w:r>
          </w:p>
        </w:tc>
        <w:tc>
          <w:tcPr>
            <w:tcW w:w="1677" w:type="dxa"/>
          </w:tcPr>
          <w:p w14:paraId="38F323CF" w14:textId="6C0201BE" w:rsidR="00C2531B" w:rsidRPr="009077F5" w:rsidRDefault="00C2531B">
            <w:pPr>
              <w:pStyle w:val="KonuBal"/>
              <w:rPr>
                <w:sz w:val="24"/>
                <w:szCs w:val="24"/>
              </w:rPr>
            </w:pPr>
            <w:r w:rsidRPr="009077F5">
              <w:rPr>
                <w:sz w:val="24"/>
                <w:szCs w:val="24"/>
              </w:rPr>
              <w:t>Yeniden ısıtma, ara ısıtma, sonradan ısıtma</w:t>
            </w:r>
          </w:p>
        </w:tc>
        <w:tc>
          <w:tcPr>
            <w:tcW w:w="1042" w:type="dxa"/>
          </w:tcPr>
          <w:p w14:paraId="62B17F1C" w14:textId="173E3820" w:rsidR="00C2531B" w:rsidRPr="009077F5" w:rsidRDefault="00C2531B">
            <w:pPr>
              <w:pStyle w:val="KonuBal"/>
              <w:rPr>
                <w:sz w:val="24"/>
                <w:szCs w:val="24"/>
              </w:rPr>
            </w:pPr>
            <w:r w:rsidRPr="009077F5">
              <w:rPr>
                <w:sz w:val="24"/>
                <w:szCs w:val="24"/>
              </w:rPr>
              <w:t>mg/Nm</w:t>
            </w:r>
            <w:r w:rsidRPr="009077F5">
              <w:rPr>
                <w:sz w:val="24"/>
                <w:szCs w:val="24"/>
                <w:vertAlign w:val="superscript"/>
              </w:rPr>
              <w:t>3</w:t>
            </w:r>
          </w:p>
        </w:tc>
        <w:tc>
          <w:tcPr>
            <w:tcW w:w="1701" w:type="dxa"/>
          </w:tcPr>
          <w:p w14:paraId="4E6636E1" w14:textId="6391A09B" w:rsidR="00C2531B" w:rsidRPr="009077F5" w:rsidRDefault="00C2531B">
            <w:pPr>
              <w:pStyle w:val="KonuBal"/>
              <w:rPr>
                <w:sz w:val="24"/>
                <w:szCs w:val="24"/>
              </w:rPr>
            </w:pPr>
            <w:r w:rsidRPr="009077F5">
              <w:rPr>
                <w:sz w:val="24"/>
                <w:szCs w:val="24"/>
              </w:rPr>
              <w:t>100-350 (</w:t>
            </w:r>
            <w:r w:rsidRPr="009077F5">
              <w:rPr>
                <w:sz w:val="24"/>
                <w:szCs w:val="24"/>
                <w:vertAlign w:val="superscript"/>
              </w:rPr>
              <w:t>1</w:t>
            </w:r>
            <w:r w:rsidRPr="009077F5">
              <w:rPr>
                <w:sz w:val="24"/>
                <w:szCs w:val="24"/>
              </w:rPr>
              <w:t>)</w:t>
            </w:r>
          </w:p>
        </w:tc>
        <w:tc>
          <w:tcPr>
            <w:tcW w:w="1701" w:type="dxa"/>
            <w:vMerge/>
          </w:tcPr>
          <w:p w14:paraId="42542A2F" w14:textId="77777777" w:rsidR="00C2531B" w:rsidRPr="009077F5" w:rsidRDefault="00C2531B">
            <w:pPr>
              <w:pStyle w:val="KonuBal"/>
              <w:rPr>
                <w:sz w:val="24"/>
                <w:szCs w:val="24"/>
              </w:rPr>
            </w:pPr>
          </w:p>
        </w:tc>
      </w:tr>
      <w:tr w:rsidR="00104731" w:rsidRPr="00D53A2B" w14:paraId="27F2C256" w14:textId="77777777" w:rsidTr="00065723">
        <w:tc>
          <w:tcPr>
            <w:tcW w:w="1207" w:type="dxa"/>
            <w:vMerge w:val="restart"/>
          </w:tcPr>
          <w:p w14:paraId="6AF0D950" w14:textId="7B649865" w:rsidR="00104731" w:rsidRPr="009077F5" w:rsidRDefault="00104731" w:rsidP="004B0D48">
            <w:pPr>
              <w:pStyle w:val="KonuBal"/>
              <w:rPr>
                <w:sz w:val="24"/>
                <w:szCs w:val="24"/>
              </w:rPr>
            </w:pPr>
            <w:r w:rsidRPr="009077F5">
              <w:rPr>
                <w:sz w:val="24"/>
                <w:szCs w:val="24"/>
              </w:rPr>
              <w:t>CO</w:t>
            </w:r>
          </w:p>
        </w:tc>
        <w:tc>
          <w:tcPr>
            <w:tcW w:w="1602" w:type="dxa"/>
            <w:vMerge w:val="restart"/>
            <w:vAlign w:val="center"/>
          </w:tcPr>
          <w:p w14:paraId="34CDD4AA" w14:textId="6DAF7DF2" w:rsidR="00104731" w:rsidRPr="009077F5" w:rsidRDefault="00104731" w:rsidP="004B0D48">
            <w:pPr>
              <w:pStyle w:val="KonuBal"/>
              <w:rPr>
                <w:sz w:val="24"/>
                <w:szCs w:val="24"/>
              </w:rPr>
            </w:pPr>
            <w:r w:rsidRPr="009077F5">
              <w:rPr>
                <w:sz w:val="24"/>
                <w:szCs w:val="24"/>
              </w:rPr>
              <w:t>%100 doğal gaz</w:t>
            </w:r>
          </w:p>
        </w:tc>
        <w:tc>
          <w:tcPr>
            <w:tcW w:w="1677" w:type="dxa"/>
          </w:tcPr>
          <w:p w14:paraId="5764484F" w14:textId="21033A9B" w:rsidR="00104731" w:rsidRPr="009077F5" w:rsidRDefault="00104731" w:rsidP="00800D11">
            <w:pPr>
              <w:pStyle w:val="KonuBal"/>
              <w:rPr>
                <w:sz w:val="24"/>
                <w:szCs w:val="24"/>
              </w:rPr>
            </w:pPr>
            <w:r w:rsidRPr="009077F5">
              <w:rPr>
                <w:sz w:val="24"/>
                <w:szCs w:val="24"/>
              </w:rPr>
              <w:t>Yeniden ısıtma</w:t>
            </w:r>
          </w:p>
        </w:tc>
        <w:tc>
          <w:tcPr>
            <w:tcW w:w="1042" w:type="dxa"/>
          </w:tcPr>
          <w:p w14:paraId="3D36F4A3" w14:textId="054FF30B" w:rsidR="00104731" w:rsidRPr="009077F5" w:rsidRDefault="00104731" w:rsidP="00800D11">
            <w:pPr>
              <w:pStyle w:val="KonuBal"/>
              <w:rPr>
                <w:sz w:val="24"/>
                <w:szCs w:val="24"/>
              </w:rPr>
            </w:pPr>
            <w:r w:rsidRPr="009077F5">
              <w:rPr>
                <w:sz w:val="24"/>
                <w:szCs w:val="24"/>
              </w:rPr>
              <w:t>mg/Nm</w:t>
            </w:r>
            <w:r w:rsidRPr="009077F5">
              <w:rPr>
                <w:sz w:val="24"/>
                <w:szCs w:val="24"/>
                <w:vertAlign w:val="superscript"/>
              </w:rPr>
              <w:t>3</w:t>
            </w:r>
          </w:p>
        </w:tc>
        <w:tc>
          <w:tcPr>
            <w:tcW w:w="1701" w:type="dxa"/>
            <w:vMerge w:val="restart"/>
          </w:tcPr>
          <w:p w14:paraId="0053E750" w14:textId="0B0D6B39" w:rsidR="00104731" w:rsidRPr="009077F5" w:rsidRDefault="00104731" w:rsidP="00E73DA3">
            <w:pPr>
              <w:pStyle w:val="KonuBal"/>
              <w:rPr>
                <w:sz w:val="24"/>
                <w:szCs w:val="24"/>
              </w:rPr>
            </w:pPr>
            <w:r w:rsidRPr="009077F5">
              <w:rPr>
                <w:sz w:val="24"/>
                <w:szCs w:val="24"/>
              </w:rPr>
              <w:t>MET-İES yok</w:t>
            </w:r>
          </w:p>
        </w:tc>
        <w:tc>
          <w:tcPr>
            <w:tcW w:w="1701" w:type="dxa"/>
          </w:tcPr>
          <w:p w14:paraId="2DDD903A" w14:textId="5ADCBC27" w:rsidR="00104731" w:rsidRPr="009077F5" w:rsidRDefault="00104731" w:rsidP="00BF4451">
            <w:pPr>
              <w:pStyle w:val="KonuBal"/>
              <w:rPr>
                <w:sz w:val="24"/>
                <w:szCs w:val="24"/>
              </w:rPr>
            </w:pPr>
            <w:r w:rsidRPr="009077F5">
              <w:rPr>
                <w:sz w:val="24"/>
                <w:szCs w:val="24"/>
              </w:rPr>
              <w:t>10-50</w:t>
            </w:r>
          </w:p>
        </w:tc>
      </w:tr>
      <w:tr w:rsidR="00104731" w:rsidRPr="00D53A2B" w14:paraId="61159CEE" w14:textId="77777777" w:rsidTr="00065723">
        <w:tc>
          <w:tcPr>
            <w:tcW w:w="1207" w:type="dxa"/>
            <w:vMerge/>
          </w:tcPr>
          <w:p w14:paraId="232CEC34" w14:textId="77777777" w:rsidR="00104731" w:rsidRPr="009077F5" w:rsidRDefault="00104731">
            <w:pPr>
              <w:pStyle w:val="KonuBal"/>
              <w:rPr>
                <w:sz w:val="24"/>
                <w:szCs w:val="24"/>
              </w:rPr>
            </w:pPr>
          </w:p>
        </w:tc>
        <w:tc>
          <w:tcPr>
            <w:tcW w:w="1602" w:type="dxa"/>
            <w:vMerge/>
            <w:vAlign w:val="center"/>
          </w:tcPr>
          <w:p w14:paraId="0D6E44DC" w14:textId="77777777" w:rsidR="00104731" w:rsidRPr="009077F5" w:rsidRDefault="00104731">
            <w:pPr>
              <w:pStyle w:val="KonuBal"/>
              <w:rPr>
                <w:sz w:val="24"/>
                <w:szCs w:val="24"/>
              </w:rPr>
            </w:pPr>
          </w:p>
        </w:tc>
        <w:tc>
          <w:tcPr>
            <w:tcW w:w="1677" w:type="dxa"/>
          </w:tcPr>
          <w:p w14:paraId="5A5467B7" w14:textId="13EBFF30" w:rsidR="00104731" w:rsidRPr="009077F5" w:rsidRDefault="00104731">
            <w:pPr>
              <w:pStyle w:val="KonuBal"/>
              <w:rPr>
                <w:sz w:val="24"/>
                <w:szCs w:val="24"/>
              </w:rPr>
            </w:pPr>
            <w:r w:rsidRPr="009077F5">
              <w:rPr>
                <w:sz w:val="24"/>
                <w:szCs w:val="24"/>
              </w:rPr>
              <w:t>Ara ısıtma</w:t>
            </w:r>
          </w:p>
        </w:tc>
        <w:tc>
          <w:tcPr>
            <w:tcW w:w="1042" w:type="dxa"/>
          </w:tcPr>
          <w:p w14:paraId="731BAF5E" w14:textId="672BAF28" w:rsidR="00104731" w:rsidRPr="009077F5" w:rsidRDefault="00104731">
            <w:pPr>
              <w:pStyle w:val="KonuBal"/>
              <w:rPr>
                <w:sz w:val="24"/>
                <w:szCs w:val="24"/>
              </w:rPr>
            </w:pPr>
            <w:r w:rsidRPr="009077F5">
              <w:rPr>
                <w:sz w:val="24"/>
                <w:szCs w:val="24"/>
              </w:rPr>
              <w:t>mg/Nm</w:t>
            </w:r>
            <w:r w:rsidRPr="009077F5">
              <w:rPr>
                <w:sz w:val="24"/>
                <w:szCs w:val="24"/>
                <w:vertAlign w:val="superscript"/>
              </w:rPr>
              <w:t>3</w:t>
            </w:r>
          </w:p>
        </w:tc>
        <w:tc>
          <w:tcPr>
            <w:tcW w:w="1701" w:type="dxa"/>
            <w:vMerge/>
          </w:tcPr>
          <w:p w14:paraId="0823ABD4" w14:textId="77777777" w:rsidR="00104731" w:rsidRPr="009077F5" w:rsidRDefault="00104731">
            <w:pPr>
              <w:pStyle w:val="KonuBal"/>
              <w:rPr>
                <w:sz w:val="24"/>
                <w:szCs w:val="24"/>
              </w:rPr>
            </w:pPr>
          </w:p>
        </w:tc>
        <w:tc>
          <w:tcPr>
            <w:tcW w:w="1701" w:type="dxa"/>
          </w:tcPr>
          <w:p w14:paraId="5B838F19" w14:textId="72C59D2A" w:rsidR="00104731" w:rsidRPr="009077F5" w:rsidRDefault="00104731">
            <w:pPr>
              <w:pStyle w:val="KonuBal"/>
              <w:rPr>
                <w:sz w:val="24"/>
                <w:szCs w:val="24"/>
              </w:rPr>
            </w:pPr>
            <w:r w:rsidRPr="009077F5">
              <w:rPr>
                <w:sz w:val="24"/>
                <w:szCs w:val="24"/>
              </w:rPr>
              <w:t>10-100</w:t>
            </w:r>
          </w:p>
        </w:tc>
      </w:tr>
      <w:tr w:rsidR="00104731" w:rsidRPr="00D53A2B" w14:paraId="0C20063B" w14:textId="77777777" w:rsidTr="00065723">
        <w:tc>
          <w:tcPr>
            <w:tcW w:w="1207" w:type="dxa"/>
            <w:vMerge/>
          </w:tcPr>
          <w:p w14:paraId="47C8E850" w14:textId="77777777" w:rsidR="00104731" w:rsidRPr="009077F5" w:rsidRDefault="00104731">
            <w:pPr>
              <w:pStyle w:val="KonuBal"/>
              <w:rPr>
                <w:sz w:val="24"/>
                <w:szCs w:val="24"/>
              </w:rPr>
            </w:pPr>
          </w:p>
        </w:tc>
        <w:tc>
          <w:tcPr>
            <w:tcW w:w="1602" w:type="dxa"/>
            <w:vMerge/>
            <w:vAlign w:val="center"/>
          </w:tcPr>
          <w:p w14:paraId="01852041" w14:textId="77777777" w:rsidR="00104731" w:rsidRPr="009077F5" w:rsidRDefault="00104731">
            <w:pPr>
              <w:pStyle w:val="KonuBal"/>
              <w:rPr>
                <w:sz w:val="24"/>
                <w:szCs w:val="24"/>
              </w:rPr>
            </w:pPr>
          </w:p>
        </w:tc>
        <w:tc>
          <w:tcPr>
            <w:tcW w:w="1677" w:type="dxa"/>
          </w:tcPr>
          <w:p w14:paraId="6B331342" w14:textId="5FA994B9" w:rsidR="00104731" w:rsidRPr="009077F5" w:rsidRDefault="00104731">
            <w:pPr>
              <w:pStyle w:val="KonuBal"/>
              <w:rPr>
                <w:sz w:val="24"/>
                <w:szCs w:val="24"/>
              </w:rPr>
            </w:pPr>
            <w:r w:rsidRPr="009077F5">
              <w:rPr>
                <w:sz w:val="24"/>
                <w:szCs w:val="24"/>
              </w:rPr>
              <w:t>Sonradan ısıtma</w:t>
            </w:r>
          </w:p>
        </w:tc>
        <w:tc>
          <w:tcPr>
            <w:tcW w:w="1042" w:type="dxa"/>
          </w:tcPr>
          <w:p w14:paraId="2176CD48" w14:textId="11EB7A49" w:rsidR="00104731" w:rsidRPr="009077F5" w:rsidRDefault="00104731">
            <w:pPr>
              <w:pStyle w:val="KonuBal"/>
              <w:rPr>
                <w:sz w:val="24"/>
                <w:szCs w:val="24"/>
              </w:rPr>
            </w:pPr>
            <w:r w:rsidRPr="009077F5">
              <w:rPr>
                <w:sz w:val="24"/>
                <w:szCs w:val="24"/>
              </w:rPr>
              <w:t>mg/Nm</w:t>
            </w:r>
            <w:r w:rsidRPr="009077F5">
              <w:rPr>
                <w:sz w:val="24"/>
                <w:szCs w:val="24"/>
                <w:vertAlign w:val="superscript"/>
              </w:rPr>
              <w:t>3</w:t>
            </w:r>
          </w:p>
        </w:tc>
        <w:tc>
          <w:tcPr>
            <w:tcW w:w="1701" w:type="dxa"/>
            <w:vMerge/>
          </w:tcPr>
          <w:p w14:paraId="65ADFD60" w14:textId="77777777" w:rsidR="00104731" w:rsidRPr="009077F5" w:rsidRDefault="00104731">
            <w:pPr>
              <w:pStyle w:val="KonuBal"/>
              <w:rPr>
                <w:sz w:val="24"/>
                <w:szCs w:val="24"/>
              </w:rPr>
            </w:pPr>
          </w:p>
        </w:tc>
        <w:tc>
          <w:tcPr>
            <w:tcW w:w="1701" w:type="dxa"/>
          </w:tcPr>
          <w:p w14:paraId="5EDE2AE2" w14:textId="52C030F8" w:rsidR="00104731" w:rsidRPr="009077F5" w:rsidRDefault="00104731">
            <w:pPr>
              <w:pStyle w:val="KonuBal"/>
              <w:rPr>
                <w:sz w:val="24"/>
                <w:szCs w:val="24"/>
              </w:rPr>
            </w:pPr>
            <w:r w:rsidRPr="009077F5">
              <w:rPr>
                <w:sz w:val="24"/>
                <w:szCs w:val="24"/>
              </w:rPr>
              <w:t>10-100</w:t>
            </w:r>
          </w:p>
        </w:tc>
      </w:tr>
      <w:tr w:rsidR="00104731" w:rsidRPr="00D53A2B" w14:paraId="0EB2F1A5" w14:textId="77777777" w:rsidTr="00065723">
        <w:tc>
          <w:tcPr>
            <w:tcW w:w="1207" w:type="dxa"/>
            <w:vMerge/>
          </w:tcPr>
          <w:p w14:paraId="4C851E53" w14:textId="77777777" w:rsidR="00104731" w:rsidRPr="009077F5" w:rsidRDefault="00104731">
            <w:pPr>
              <w:pStyle w:val="KonuBal"/>
              <w:rPr>
                <w:sz w:val="24"/>
                <w:szCs w:val="24"/>
              </w:rPr>
            </w:pPr>
          </w:p>
        </w:tc>
        <w:tc>
          <w:tcPr>
            <w:tcW w:w="1602" w:type="dxa"/>
            <w:vAlign w:val="center"/>
          </w:tcPr>
          <w:p w14:paraId="29E93DEE" w14:textId="233C4000" w:rsidR="00104731" w:rsidRPr="009077F5" w:rsidRDefault="00104731">
            <w:pPr>
              <w:pStyle w:val="KonuBal"/>
              <w:rPr>
                <w:sz w:val="24"/>
                <w:szCs w:val="24"/>
              </w:rPr>
            </w:pPr>
            <w:r w:rsidRPr="009077F5">
              <w:rPr>
                <w:sz w:val="24"/>
                <w:szCs w:val="24"/>
              </w:rPr>
              <w:t>Diğer yakıtlar</w:t>
            </w:r>
          </w:p>
        </w:tc>
        <w:tc>
          <w:tcPr>
            <w:tcW w:w="1677" w:type="dxa"/>
          </w:tcPr>
          <w:p w14:paraId="73F99CE3" w14:textId="59A53D6B" w:rsidR="00104731" w:rsidRPr="009077F5" w:rsidRDefault="00104731">
            <w:pPr>
              <w:pStyle w:val="KonuBal"/>
              <w:rPr>
                <w:sz w:val="24"/>
                <w:szCs w:val="24"/>
              </w:rPr>
            </w:pPr>
            <w:r w:rsidRPr="009077F5">
              <w:rPr>
                <w:sz w:val="24"/>
                <w:szCs w:val="24"/>
              </w:rPr>
              <w:t>Yeniden ısıtma, ara ısıtma, sonradan ısıtma</w:t>
            </w:r>
          </w:p>
        </w:tc>
        <w:tc>
          <w:tcPr>
            <w:tcW w:w="1042" w:type="dxa"/>
          </w:tcPr>
          <w:p w14:paraId="4A04B0F7" w14:textId="0DFF01F5" w:rsidR="00104731" w:rsidRPr="009077F5" w:rsidRDefault="00104731">
            <w:pPr>
              <w:pStyle w:val="KonuBal"/>
              <w:rPr>
                <w:sz w:val="24"/>
                <w:szCs w:val="24"/>
              </w:rPr>
            </w:pPr>
            <w:r w:rsidRPr="009077F5">
              <w:rPr>
                <w:sz w:val="24"/>
                <w:szCs w:val="24"/>
              </w:rPr>
              <w:t>mg/Nm</w:t>
            </w:r>
            <w:r w:rsidRPr="009077F5">
              <w:rPr>
                <w:sz w:val="24"/>
                <w:szCs w:val="24"/>
                <w:vertAlign w:val="superscript"/>
              </w:rPr>
              <w:t>3</w:t>
            </w:r>
          </w:p>
        </w:tc>
        <w:tc>
          <w:tcPr>
            <w:tcW w:w="1701" w:type="dxa"/>
            <w:vMerge/>
          </w:tcPr>
          <w:p w14:paraId="3105E15A" w14:textId="77777777" w:rsidR="00104731" w:rsidRPr="009077F5" w:rsidRDefault="00104731">
            <w:pPr>
              <w:pStyle w:val="KonuBal"/>
              <w:rPr>
                <w:sz w:val="24"/>
                <w:szCs w:val="24"/>
              </w:rPr>
            </w:pPr>
          </w:p>
        </w:tc>
        <w:tc>
          <w:tcPr>
            <w:tcW w:w="1701" w:type="dxa"/>
          </w:tcPr>
          <w:p w14:paraId="49A30992" w14:textId="58C49ED1" w:rsidR="00104731" w:rsidRPr="009077F5" w:rsidRDefault="00104731">
            <w:pPr>
              <w:pStyle w:val="KonuBal"/>
              <w:rPr>
                <w:sz w:val="24"/>
                <w:szCs w:val="24"/>
              </w:rPr>
            </w:pPr>
            <w:r w:rsidRPr="009077F5">
              <w:rPr>
                <w:sz w:val="24"/>
                <w:szCs w:val="24"/>
              </w:rPr>
              <w:t>10-50</w:t>
            </w:r>
          </w:p>
        </w:tc>
      </w:tr>
      <w:tr w:rsidR="00104731" w:rsidRPr="00D53A2B" w14:paraId="541E40E8" w14:textId="77777777" w:rsidTr="00065723">
        <w:tc>
          <w:tcPr>
            <w:tcW w:w="8930" w:type="dxa"/>
            <w:gridSpan w:val="6"/>
          </w:tcPr>
          <w:p w14:paraId="1586169D" w14:textId="4121099C" w:rsidR="00104731" w:rsidRPr="00D53A2B" w:rsidRDefault="00104731" w:rsidP="004B0D48">
            <w:pPr>
              <w:pStyle w:val="KonuBal"/>
            </w:pPr>
            <w:r w:rsidRPr="00D53A2B">
              <w:t>(</w:t>
            </w:r>
            <w:r w:rsidRPr="00D53A2B">
              <w:rPr>
                <w:vertAlign w:val="superscript"/>
              </w:rPr>
              <w:t>1</w:t>
            </w:r>
            <w:r w:rsidRPr="00D53A2B">
              <w:t>) Yüksek oranda kok fırını gazı veya ferrokrom üretiminden kaynaklanan CO bakımından zengin gaz kullanıldığında (enerji girdisinin &gt; %50</w:t>
            </w:r>
            <w:r w:rsidR="00E56504" w:rsidRPr="00D53A2B">
              <w:t>’</w:t>
            </w:r>
            <w:r w:rsidRPr="00D53A2B">
              <w:t xml:space="preserve">si) </w:t>
            </w:r>
            <w:r w:rsidR="00353C23" w:rsidRPr="00D53A2B">
              <w:t>MET-İES</w:t>
            </w:r>
            <w:r w:rsidRPr="00D53A2B">
              <w:t xml:space="preserve"> aralığının üst sınırı daha yüksek olabilir ve 550 mg/Nm3 </w:t>
            </w:r>
            <w:r w:rsidR="00E56504" w:rsidRPr="00D53A2B">
              <w:t>‘</w:t>
            </w:r>
            <w:r w:rsidRPr="00D53A2B">
              <w:t>e kadar çıkabilir.</w:t>
            </w:r>
          </w:p>
        </w:tc>
      </w:tr>
    </w:tbl>
    <w:p w14:paraId="7FFD2B78" w14:textId="77777777" w:rsidR="00B74B68" w:rsidRPr="00D53A2B" w:rsidRDefault="00B74B68" w:rsidP="00A202FD">
      <w:pPr>
        <w:jc w:val="both"/>
        <w:rPr>
          <w:rFonts w:eastAsia="Calibri"/>
          <w:sz w:val="22"/>
          <w:szCs w:val="22"/>
          <w:lang w:eastAsia="en-US"/>
        </w:rPr>
      </w:pPr>
    </w:p>
    <w:p w14:paraId="0CD83EFE" w14:textId="77777777" w:rsidR="00104731" w:rsidRPr="00D53A2B" w:rsidRDefault="00104731" w:rsidP="00A202FD">
      <w:pPr>
        <w:jc w:val="both"/>
        <w:rPr>
          <w:rFonts w:eastAsia="Calibri"/>
          <w:sz w:val="22"/>
          <w:szCs w:val="22"/>
          <w:lang w:eastAsia="en-US"/>
        </w:rPr>
      </w:pPr>
    </w:p>
    <w:p w14:paraId="150E2C80" w14:textId="6701F900" w:rsidR="00421AB1" w:rsidRPr="00D53A2B" w:rsidRDefault="00104731" w:rsidP="00A202FD">
      <w:pPr>
        <w:jc w:val="both"/>
        <w:rPr>
          <w:rFonts w:eastAsia="Calibri"/>
          <w:lang w:eastAsia="en-US"/>
        </w:rPr>
      </w:pPr>
      <w:r w:rsidRPr="00D53A2B">
        <w:rPr>
          <w:rFonts w:eastAsia="Calibri"/>
          <w:lang w:eastAsia="en-US"/>
        </w:rPr>
        <w:t xml:space="preserve">Tablo </w:t>
      </w:r>
      <w:r w:rsidR="00B31B5F" w:rsidRPr="00D53A2B">
        <w:rPr>
          <w:rFonts w:eastAsia="Calibri"/>
          <w:lang w:eastAsia="en-US"/>
        </w:rPr>
        <w:t>1</w:t>
      </w:r>
      <w:r w:rsidRPr="00D53A2B">
        <w:rPr>
          <w:rFonts w:eastAsia="Calibri"/>
          <w:lang w:eastAsia="en-US"/>
        </w:rPr>
        <w:t>.10</w:t>
      </w:r>
    </w:p>
    <w:p w14:paraId="00EA95A5" w14:textId="5C9904DB" w:rsidR="00104731" w:rsidRPr="00D53A2B" w:rsidRDefault="00104731" w:rsidP="00A202FD">
      <w:pPr>
        <w:jc w:val="both"/>
        <w:rPr>
          <w:rFonts w:eastAsia="Calibri"/>
          <w:lang w:eastAsia="en-US"/>
        </w:rPr>
      </w:pPr>
      <w:r w:rsidRPr="00D53A2B">
        <w:rPr>
          <w:rFonts w:eastAsia="Calibri"/>
          <w:lang w:eastAsia="en-US"/>
        </w:rPr>
        <w:t>Havaya salınan NO</w:t>
      </w:r>
      <w:r w:rsidRPr="00D53A2B">
        <w:rPr>
          <w:rFonts w:eastAsia="Calibri"/>
          <w:vertAlign w:val="subscript"/>
          <w:lang w:eastAsia="en-US"/>
        </w:rPr>
        <w:t>X</w:t>
      </w:r>
      <w:r w:rsidRPr="00D53A2B">
        <w:rPr>
          <w:rFonts w:eastAsia="Calibri"/>
          <w:lang w:eastAsia="en-US"/>
        </w:rPr>
        <w:t xml:space="preserve"> emisyonları için MET-ilişkili emisyon seviyeleri ve soğuk haddelemede hammadde ısıtmasından kaynaklanan havaya salınan CO emisyonları için gösterge emisyon seviyeleri.</w:t>
      </w:r>
    </w:p>
    <w:p w14:paraId="755C3F17" w14:textId="77777777" w:rsidR="00C15CF2" w:rsidRPr="00D53A2B" w:rsidRDefault="00C15CF2"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1207"/>
        <w:gridCol w:w="1674"/>
        <w:gridCol w:w="1042"/>
        <w:gridCol w:w="2216"/>
        <w:gridCol w:w="2791"/>
      </w:tblGrid>
      <w:tr w:rsidR="00104731" w:rsidRPr="00D53A2B" w14:paraId="39D9327B" w14:textId="77777777" w:rsidTr="00065723">
        <w:tc>
          <w:tcPr>
            <w:tcW w:w="1207" w:type="dxa"/>
          </w:tcPr>
          <w:p w14:paraId="1CA8D15D" w14:textId="77777777" w:rsidR="00104731" w:rsidRPr="009077F5" w:rsidRDefault="00104731" w:rsidP="004B0D48">
            <w:pPr>
              <w:pStyle w:val="KonuBal"/>
              <w:rPr>
                <w:sz w:val="24"/>
                <w:szCs w:val="24"/>
              </w:rPr>
            </w:pPr>
            <w:r w:rsidRPr="009077F5">
              <w:rPr>
                <w:sz w:val="24"/>
                <w:szCs w:val="24"/>
              </w:rPr>
              <w:t>Parametre</w:t>
            </w:r>
          </w:p>
        </w:tc>
        <w:tc>
          <w:tcPr>
            <w:tcW w:w="1674" w:type="dxa"/>
          </w:tcPr>
          <w:p w14:paraId="13748D6B" w14:textId="77777777" w:rsidR="00104731" w:rsidRPr="009077F5" w:rsidRDefault="00104731" w:rsidP="004B0D48">
            <w:pPr>
              <w:pStyle w:val="KonuBal"/>
              <w:rPr>
                <w:sz w:val="24"/>
                <w:szCs w:val="24"/>
              </w:rPr>
            </w:pPr>
            <w:r w:rsidRPr="009077F5">
              <w:rPr>
                <w:sz w:val="24"/>
                <w:szCs w:val="24"/>
              </w:rPr>
              <w:t>Yakıt türü</w:t>
            </w:r>
          </w:p>
        </w:tc>
        <w:tc>
          <w:tcPr>
            <w:tcW w:w="1042" w:type="dxa"/>
          </w:tcPr>
          <w:p w14:paraId="3D6490A2" w14:textId="77777777" w:rsidR="00104731" w:rsidRPr="009077F5" w:rsidRDefault="00104731" w:rsidP="00800D11">
            <w:pPr>
              <w:pStyle w:val="KonuBal"/>
              <w:rPr>
                <w:sz w:val="24"/>
                <w:szCs w:val="24"/>
              </w:rPr>
            </w:pPr>
            <w:r w:rsidRPr="009077F5">
              <w:rPr>
                <w:sz w:val="24"/>
                <w:szCs w:val="24"/>
              </w:rPr>
              <w:t>Birim</w:t>
            </w:r>
          </w:p>
        </w:tc>
        <w:tc>
          <w:tcPr>
            <w:tcW w:w="2216" w:type="dxa"/>
          </w:tcPr>
          <w:p w14:paraId="560D7D47" w14:textId="77777777" w:rsidR="00104731" w:rsidRPr="009077F5" w:rsidRDefault="00104731" w:rsidP="00E73DA3">
            <w:pPr>
              <w:pStyle w:val="KonuBal"/>
              <w:rPr>
                <w:sz w:val="24"/>
                <w:szCs w:val="24"/>
              </w:rPr>
            </w:pPr>
            <w:r w:rsidRPr="009077F5">
              <w:rPr>
                <w:sz w:val="24"/>
                <w:szCs w:val="24"/>
              </w:rPr>
              <w:t>MET-İES (Günlük ortalama veya numune alma dönemi boyunca ortalama)</w:t>
            </w:r>
          </w:p>
        </w:tc>
        <w:tc>
          <w:tcPr>
            <w:tcW w:w="2791" w:type="dxa"/>
          </w:tcPr>
          <w:p w14:paraId="5E8BF23F" w14:textId="77777777" w:rsidR="00104731" w:rsidRPr="009077F5" w:rsidRDefault="00104731" w:rsidP="00BF4451">
            <w:pPr>
              <w:pStyle w:val="KonuBal"/>
              <w:rPr>
                <w:sz w:val="24"/>
                <w:szCs w:val="24"/>
              </w:rPr>
            </w:pPr>
            <w:r w:rsidRPr="009077F5">
              <w:rPr>
                <w:sz w:val="24"/>
                <w:szCs w:val="24"/>
              </w:rPr>
              <w:t>Gösterge emisyon seviyesi (İEL) Günlük ortalama veya numune alma dönemi boyunca ortalama)</w:t>
            </w:r>
          </w:p>
        </w:tc>
      </w:tr>
      <w:tr w:rsidR="00104731" w:rsidRPr="00D53A2B" w14:paraId="173556AD" w14:textId="77777777" w:rsidTr="00065723">
        <w:tc>
          <w:tcPr>
            <w:tcW w:w="1207" w:type="dxa"/>
            <w:vMerge w:val="restart"/>
          </w:tcPr>
          <w:p w14:paraId="5C72591F" w14:textId="77777777" w:rsidR="00104731" w:rsidRPr="009077F5" w:rsidRDefault="00104731" w:rsidP="004B0D48">
            <w:pPr>
              <w:pStyle w:val="KonuBal"/>
              <w:rPr>
                <w:sz w:val="24"/>
                <w:szCs w:val="24"/>
              </w:rPr>
            </w:pPr>
            <w:r w:rsidRPr="009077F5">
              <w:rPr>
                <w:sz w:val="24"/>
                <w:szCs w:val="24"/>
              </w:rPr>
              <w:t>NO</w:t>
            </w:r>
            <w:r w:rsidRPr="009077F5">
              <w:rPr>
                <w:sz w:val="24"/>
                <w:szCs w:val="24"/>
                <w:vertAlign w:val="subscript"/>
              </w:rPr>
              <w:t>x</w:t>
            </w:r>
          </w:p>
        </w:tc>
        <w:tc>
          <w:tcPr>
            <w:tcW w:w="1674" w:type="dxa"/>
            <w:vAlign w:val="center"/>
          </w:tcPr>
          <w:p w14:paraId="29D1DC32" w14:textId="77777777" w:rsidR="00104731" w:rsidRPr="009077F5" w:rsidRDefault="00104731" w:rsidP="004B0D48">
            <w:pPr>
              <w:pStyle w:val="KonuBal"/>
              <w:rPr>
                <w:sz w:val="24"/>
                <w:szCs w:val="24"/>
              </w:rPr>
            </w:pPr>
            <w:r w:rsidRPr="009077F5">
              <w:rPr>
                <w:sz w:val="24"/>
                <w:szCs w:val="24"/>
              </w:rPr>
              <w:t>%100 doğal gaz</w:t>
            </w:r>
          </w:p>
        </w:tc>
        <w:tc>
          <w:tcPr>
            <w:tcW w:w="1042" w:type="dxa"/>
          </w:tcPr>
          <w:p w14:paraId="5C45F37A" w14:textId="77777777" w:rsidR="00104731" w:rsidRPr="009077F5" w:rsidRDefault="00104731" w:rsidP="00800D11">
            <w:pPr>
              <w:pStyle w:val="KonuBal"/>
              <w:rPr>
                <w:sz w:val="24"/>
                <w:szCs w:val="24"/>
              </w:rPr>
            </w:pPr>
            <w:r w:rsidRPr="009077F5">
              <w:rPr>
                <w:sz w:val="24"/>
                <w:szCs w:val="24"/>
              </w:rPr>
              <w:t>mg/Nm</w:t>
            </w:r>
            <w:r w:rsidRPr="009077F5">
              <w:rPr>
                <w:sz w:val="24"/>
                <w:szCs w:val="24"/>
                <w:vertAlign w:val="superscript"/>
              </w:rPr>
              <w:t>3</w:t>
            </w:r>
          </w:p>
        </w:tc>
        <w:tc>
          <w:tcPr>
            <w:tcW w:w="2216" w:type="dxa"/>
            <w:vAlign w:val="bottom"/>
          </w:tcPr>
          <w:p w14:paraId="7D16A9A5" w14:textId="492F4A12" w:rsidR="00104731" w:rsidRPr="009077F5" w:rsidRDefault="00104731" w:rsidP="00E73DA3">
            <w:pPr>
              <w:pStyle w:val="KonuBal"/>
              <w:rPr>
                <w:sz w:val="24"/>
                <w:szCs w:val="24"/>
              </w:rPr>
            </w:pPr>
            <w:r w:rsidRPr="009077F5">
              <w:rPr>
                <w:sz w:val="24"/>
                <w:szCs w:val="24"/>
              </w:rPr>
              <w:t>100-250 (</w:t>
            </w:r>
            <w:r w:rsidRPr="009077F5">
              <w:rPr>
                <w:sz w:val="24"/>
                <w:szCs w:val="24"/>
                <w:vertAlign w:val="superscript"/>
              </w:rPr>
              <w:t>1</w:t>
            </w:r>
            <w:r w:rsidRPr="009077F5">
              <w:rPr>
                <w:sz w:val="24"/>
                <w:szCs w:val="24"/>
              </w:rPr>
              <w:t>)</w:t>
            </w:r>
          </w:p>
        </w:tc>
        <w:tc>
          <w:tcPr>
            <w:tcW w:w="2791" w:type="dxa"/>
            <w:vMerge w:val="restart"/>
          </w:tcPr>
          <w:p w14:paraId="69770CDD" w14:textId="77777777" w:rsidR="00104731" w:rsidRPr="009077F5" w:rsidRDefault="00104731" w:rsidP="00BF4451">
            <w:pPr>
              <w:pStyle w:val="KonuBal"/>
              <w:rPr>
                <w:sz w:val="24"/>
                <w:szCs w:val="24"/>
              </w:rPr>
            </w:pPr>
            <w:r w:rsidRPr="009077F5">
              <w:rPr>
                <w:sz w:val="24"/>
                <w:szCs w:val="24"/>
              </w:rPr>
              <w:t>Gösterge seviyesi yok</w:t>
            </w:r>
          </w:p>
        </w:tc>
      </w:tr>
      <w:tr w:rsidR="00104731" w:rsidRPr="00D53A2B" w14:paraId="256D4E43" w14:textId="77777777" w:rsidTr="00065723">
        <w:tc>
          <w:tcPr>
            <w:tcW w:w="1207" w:type="dxa"/>
            <w:vMerge/>
          </w:tcPr>
          <w:p w14:paraId="47B7A940" w14:textId="77777777" w:rsidR="00104731" w:rsidRPr="009077F5" w:rsidRDefault="00104731">
            <w:pPr>
              <w:pStyle w:val="KonuBal"/>
              <w:rPr>
                <w:sz w:val="24"/>
                <w:szCs w:val="24"/>
              </w:rPr>
            </w:pPr>
          </w:p>
        </w:tc>
        <w:tc>
          <w:tcPr>
            <w:tcW w:w="1674" w:type="dxa"/>
          </w:tcPr>
          <w:p w14:paraId="6BE4CD78" w14:textId="77777777" w:rsidR="00104731" w:rsidRPr="009077F5" w:rsidRDefault="00104731">
            <w:pPr>
              <w:pStyle w:val="KonuBal"/>
              <w:rPr>
                <w:sz w:val="24"/>
                <w:szCs w:val="24"/>
              </w:rPr>
            </w:pPr>
            <w:r w:rsidRPr="009077F5">
              <w:rPr>
                <w:sz w:val="24"/>
                <w:szCs w:val="24"/>
              </w:rPr>
              <w:t>Diğer yakıtlar</w:t>
            </w:r>
          </w:p>
        </w:tc>
        <w:tc>
          <w:tcPr>
            <w:tcW w:w="1042" w:type="dxa"/>
          </w:tcPr>
          <w:p w14:paraId="23170E95" w14:textId="77777777" w:rsidR="00104731" w:rsidRPr="009077F5" w:rsidRDefault="00104731">
            <w:pPr>
              <w:pStyle w:val="KonuBal"/>
              <w:rPr>
                <w:sz w:val="24"/>
                <w:szCs w:val="24"/>
              </w:rPr>
            </w:pPr>
            <w:r w:rsidRPr="009077F5">
              <w:rPr>
                <w:sz w:val="24"/>
                <w:szCs w:val="24"/>
              </w:rPr>
              <w:t>mg/Nm</w:t>
            </w:r>
            <w:r w:rsidRPr="009077F5">
              <w:rPr>
                <w:sz w:val="24"/>
                <w:szCs w:val="24"/>
                <w:vertAlign w:val="superscript"/>
              </w:rPr>
              <w:t>3</w:t>
            </w:r>
          </w:p>
        </w:tc>
        <w:tc>
          <w:tcPr>
            <w:tcW w:w="2216" w:type="dxa"/>
          </w:tcPr>
          <w:p w14:paraId="46973A9A" w14:textId="28ACF07A" w:rsidR="00104731" w:rsidRPr="009077F5" w:rsidRDefault="00104731">
            <w:pPr>
              <w:pStyle w:val="KonuBal"/>
              <w:rPr>
                <w:sz w:val="24"/>
                <w:szCs w:val="24"/>
              </w:rPr>
            </w:pPr>
            <w:r w:rsidRPr="009077F5">
              <w:rPr>
                <w:sz w:val="24"/>
                <w:szCs w:val="24"/>
              </w:rPr>
              <w:t>100-300 (</w:t>
            </w:r>
            <w:r w:rsidRPr="009077F5">
              <w:rPr>
                <w:sz w:val="24"/>
                <w:szCs w:val="24"/>
                <w:vertAlign w:val="superscript"/>
              </w:rPr>
              <w:t>1</w:t>
            </w:r>
            <w:r w:rsidRPr="009077F5">
              <w:rPr>
                <w:sz w:val="24"/>
                <w:szCs w:val="24"/>
              </w:rPr>
              <w:t>)</w:t>
            </w:r>
          </w:p>
        </w:tc>
        <w:tc>
          <w:tcPr>
            <w:tcW w:w="2791" w:type="dxa"/>
            <w:vMerge/>
          </w:tcPr>
          <w:p w14:paraId="32B002EF" w14:textId="77777777" w:rsidR="00104731" w:rsidRPr="009077F5" w:rsidRDefault="00104731">
            <w:pPr>
              <w:pStyle w:val="KonuBal"/>
              <w:rPr>
                <w:sz w:val="24"/>
                <w:szCs w:val="24"/>
              </w:rPr>
            </w:pPr>
          </w:p>
        </w:tc>
      </w:tr>
      <w:tr w:rsidR="00104731" w:rsidRPr="00D53A2B" w14:paraId="1EEC9C15" w14:textId="77777777" w:rsidTr="00065723">
        <w:tc>
          <w:tcPr>
            <w:tcW w:w="1207" w:type="dxa"/>
            <w:vMerge w:val="restart"/>
          </w:tcPr>
          <w:p w14:paraId="6D602618" w14:textId="77777777" w:rsidR="00104731" w:rsidRPr="009077F5" w:rsidRDefault="00104731" w:rsidP="004B0D48">
            <w:pPr>
              <w:pStyle w:val="KonuBal"/>
              <w:rPr>
                <w:sz w:val="24"/>
                <w:szCs w:val="24"/>
              </w:rPr>
            </w:pPr>
            <w:r w:rsidRPr="009077F5">
              <w:rPr>
                <w:sz w:val="24"/>
                <w:szCs w:val="24"/>
              </w:rPr>
              <w:t>CO</w:t>
            </w:r>
          </w:p>
        </w:tc>
        <w:tc>
          <w:tcPr>
            <w:tcW w:w="1674" w:type="dxa"/>
            <w:vAlign w:val="center"/>
          </w:tcPr>
          <w:p w14:paraId="1CA26B0B" w14:textId="77777777" w:rsidR="00104731" w:rsidRPr="009077F5" w:rsidRDefault="00104731" w:rsidP="004B0D48">
            <w:pPr>
              <w:pStyle w:val="KonuBal"/>
              <w:rPr>
                <w:sz w:val="24"/>
                <w:szCs w:val="24"/>
              </w:rPr>
            </w:pPr>
            <w:r w:rsidRPr="009077F5">
              <w:rPr>
                <w:sz w:val="24"/>
                <w:szCs w:val="24"/>
              </w:rPr>
              <w:t>%100 doğal gaz</w:t>
            </w:r>
          </w:p>
        </w:tc>
        <w:tc>
          <w:tcPr>
            <w:tcW w:w="1042" w:type="dxa"/>
          </w:tcPr>
          <w:p w14:paraId="4E8E17E6" w14:textId="77777777" w:rsidR="00104731" w:rsidRPr="009077F5" w:rsidRDefault="00104731" w:rsidP="00800D11">
            <w:pPr>
              <w:pStyle w:val="KonuBal"/>
              <w:rPr>
                <w:sz w:val="24"/>
                <w:szCs w:val="24"/>
              </w:rPr>
            </w:pPr>
            <w:r w:rsidRPr="009077F5">
              <w:rPr>
                <w:sz w:val="24"/>
                <w:szCs w:val="24"/>
              </w:rPr>
              <w:t>mg/Nm</w:t>
            </w:r>
            <w:r w:rsidRPr="009077F5">
              <w:rPr>
                <w:sz w:val="24"/>
                <w:szCs w:val="24"/>
                <w:vertAlign w:val="superscript"/>
              </w:rPr>
              <w:t>3</w:t>
            </w:r>
          </w:p>
        </w:tc>
        <w:tc>
          <w:tcPr>
            <w:tcW w:w="2216" w:type="dxa"/>
          </w:tcPr>
          <w:p w14:paraId="3C37AD25" w14:textId="77777777" w:rsidR="00104731" w:rsidRPr="009077F5" w:rsidRDefault="00104731" w:rsidP="00E73DA3">
            <w:pPr>
              <w:pStyle w:val="KonuBal"/>
              <w:rPr>
                <w:sz w:val="24"/>
                <w:szCs w:val="24"/>
              </w:rPr>
            </w:pPr>
            <w:r w:rsidRPr="009077F5">
              <w:rPr>
                <w:sz w:val="24"/>
                <w:szCs w:val="24"/>
              </w:rPr>
              <w:t>MET-İES yok</w:t>
            </w:r>
          </w:p>
        </w:tc>
        <w:tc>
          <w:tcPr>
            <w:tcW w:w="2791" w:type="dxa"/>
          </w:tcPr>
          <w:p w14:paraId="3EFA2F12" w14:textId="77777777" w:rsidR="00104731" w:rsidRPr="009077F5" w:rsidRDefault="00104731" w:rsidP="00BF4451">
            <w:pPr>
              <w:pStyle w:val="KonuBal"/>
              <w:rPr>
                <w:sz w:val="24"/>
                <w:szCs w:val="24"/>
              </w:rPr>
            </w:pPr>
            <w:r w:rsidRPr="009077F5">
              <w:rPr>
                <w:sz w:val="24"/>
                <w:szCs w:val="24"/>
              </w:rPr>
              <w:t>10-50</w:t>
            </w:r>
          </w:p>
        </w:tc>
      </w:tr>
      <w:tr w:rsidR="00104731" w:rsidRPr="00D53A2B" w14:paraId="6F6BACA5" w14:textId="77777777" w:rsidTr="00065723">
        <w:tc>
          <w:tcPr>
            <w:tcW w:w="1207" w:type="dxa"/>
            <w:vMerge/>
          </w:tcPr>
          <w:p w14:paraId="4743F49C" w14:textId="77777777" w:rsidR="00104731" w:rsidRPr="009077F5" w:rsidRDefault="00104731">
            <w:pPr>
              <w:pStyle w:val="KonuBal"/>
              <w:rPr>
                <w:sz w:val="24"/>
                <w:szCs w:val="24"/>
              </w:rPr>
            </w:pPr>
          </w:p>
        </w:tc>
        <w:tc>
          <w:tcPr>
            <w:tcW w:w="1674" w:type="dxa"/>
            <w:vAlign w:val="center"/>
          </w:tcPr>
          <w:p w14:paraId="150BDE84" w14:textId="1001F1C0" w:rsidR="00104731" w:rsidRPr="009077F5" w:rsidRDefault="00104731">
            <w:pPr>
              <w:pStyle w:val="KonuBal"/>
              <w:rPr>
                <w:sz w:val="24"/>
                <w:szCs w:val="24"/>
              </w:rPr>
            </w:pPr>
            <w:r w:rsidRPr="009077F5">
              <w:rPr>
                <w:sz w:val="24"/>
                <w:szCs w:val="24"/>
              </w:rPr>
              <w:t>Diğer yakıtlar</w:t>
            </w:r>
          </w:p>
        </w:tc>
        <w:tc>
          <w:tcPr>
            <w:tcW w:w="1042" w:type="dxa"/>
          </w:tcPr>
          <w:p w14:paraId="03641944" w14:textId="27A70E40" w:rsidR="00104731" w:rsidRPr="009077F5" w:rsidRDefault="00104731">
            <w:pPr>
              <w:pStyle w:val="KonuBal"/>
              <w:rPr>
                <w:sz w:val="24"/>
                <w:szCs w:val="24"/>
              </w:rPr>
            </w:pPr>
            <w:r w:rsidRPr="009077F5">
              <w:rPr>
                <w:sz w:val="24"/>
                <w:szCs w:val="24"/>
              </w:rPr>
              <w:t>mg/Nm</w:t>
            </w:r>
            <w:r w:rsidRPr="009077F5">
              <w:rPr>
                <w:sz w:val="24"/>
                <w:szCs w:val="24"/>
                <w:vertAlign w:val="superscript"/>
              </w:rPr>
              <w:t>3</w:t>
            </w:r>
          </w:p>
        </w:tc>
        <w:tc>
          <w:tcPr>
            <w:tcW w:w="2216" w:type="dxa"/>
          </w:tcPr>
          <w:p w14:paraId="3229F8BB" w14:textId="0D70D7A6" w:rsidR="00104731" w:rsidRPr="009077F5" w:rsidRDefault="00104731">
            <w:pPr>
              <w:pStyle w:val="KonuBal"/>
              <w:rPr>
                <w:sz w:val="24"/>
                <w:szCs w:val="24"/>
              </w:rPr>
            </w:pPr>
            <w:r w:rsidRPr="009077F5">
              <w:rPr>
                <w:sz w:val="24"/>
                <w:szCs w:val="24"/>
              </w:rPr>
              <w:t>MET-İES yok</w:t>
            </w:r>
          </w:p>
        </w:tc>
        <w:tc>
          <w:tcPr>
            <w:tcW w:w="2791" w:type="dxa"/>
          </w:tcPr>
          <w:p w14:paraId="0F37EC29" w14:textId="4FAE880E" w:rsidR="00104731" w:rsidRPr="009077F5" w:rsidRDefault="00104731">
            <w:pPr>
              <w:pStyle w:val="KonuBal"/>
              <w:rPr>
                <w:sz w:val="24"/>
                <w:szCs w:val="24"/>
              </w:rPr>
            </w:pPr>
            <w:r w:rsidRPr="009077F5">
              <w:rPr>
                <w:sz w:val="24"/>
                <w:szCs w:val="24"/>
              </w:rPr>
              <w:t>10-100</w:t>
            </w:r>
          </w:p>
        </w:tc>
      </w:tr>
      <w:tr w:rsidR="00104731" w:rsidRPr="00D53A2B" w14:paraId="4F1518EA" w14:textId="77777777" w:rsidTr="00065723">
        <w:tc>
          <w:tcPr>
            <w:tcW w:w="8930" w:type="dxa"/>
            <w:gridSpan w:val="5"/>
          </w:tcPr>
          <w:p w14:paraId="7959033C" w14:textId="12DCD466" w:rsidR="00104731" w:rsidRPr="00D53A2B" w:rsidRDefault="00104731" w:rsidP="004B0D48">
            <w:pPr>
              <w:pStyle w:val="KonuBal"/>
            </w:pPr>
            <w:r w:rsidRPr="00D53A2B">
              <w:t>(</w:t>
            </w:r>
            <w:r w:rsidRPr="00D53A2B">
              <w:rPr>
                <w:vertAlign w:val="superscript"/>
              </w:rPr>
              <w:t>1</w:t>
            </w:r>
            <w:r w:rsidRPr="00D53A2B">
              <w:t xml:space="preserve">) Sürekli tavlamada </w:t>
            </w:r>
            <w:r w:rsidR="00651500" w:rsidRPr="00D53A2B">
              <w:t>MET-İES</w:t>
            </w:r>
            <w:r w:rsidRPr="00D53A2B">
              <w:t xml:space="preserve"> aralığının üst sınırı daha yüksek ve 300 mg/Nm</w:t>
            </w:r>
            <w:r w:rsidRPr="00D53A2B">
              <w:rPr>
                <w:vertAlign w:val="superscript"/>
              </w:rPr>
              <w:t>3</w:t>
            </w:r>
            <w:r w:rsidR="00E56504" w:rsidRPr="00D53A2B">
              <w:t>’</w:t>
            </w:r>
            <w:r w:rsidRPr="00D53A2B">
              <w:t>e kadar olabilir.</w:t>
            </w:r>
          </w:p>
          <w:p w14:paraId="6C713BEE" w14:textId="1C5F5015" w:rsidR="00104731" w:rsidRPr="00D53A2B" w:rsidRDefault="00104731" w:rsidP="004B0D48">
            <w:pPr>
              <w:pStyle w:val="KonuBal"/>
            </w:pPr>
            <w:r w:rsidRPr="00D53A2B">
              <w:t>(</w:t>
            </w:r>
            <w:r w:rsidRPr="00D53A2B">
              <w:rPr>
                <w:vertAlign w:val="superscript"/>
              </w:rPr>
              <w:t>2</w:t>
            </w:r>
            <w:r w:rsidRPr="00D53A2B">
              <w:t>) Yüksek oranda kok fırını gazı veya ferrokrom üretiminden gelen CO bakımından zengin gaz kullanıldığında (enerji girdisinin &gt; %50</w:t>
            </w:r>
            <w:r w:rsidR="00E56504" w:rsidRPr="00D53A2B">
              <w:t>’</w:t>
            </w:r>
            <w:r w:rsidRPr="00D53A2B">
              <w:t xml:space="preserve">si) </w:t>
            </w:r>
            <w:r w:rsidR="00651500" w:rsidRPr="00D53A2B">
              <w:t>MET-İES</w:t>
            </w:r>
            <w:r w:rsidRPr="00D53A2B">
              <w:t xml:space="preserve"> aralığının üst sınırı daha yüksek ve 550 mg/Nm3</w:t>
            </w:r>
            <w:r w:rsidR="00E56504" w:rsidRPr="00D53A2B">
              <w:t>’</w:t>
            </w:r>
            <w:r w:rsidRPr="00D53A2B">
              <w:t>e kadar olabilir.</w:t>
            </w:r>
          </w:p>
        </w:tc>
      </w:tr>
    </w:tbl>
    <w:p w14:paraId="18B494D1" w14:textId="77777777" w:rsidR="00104731" w:rsidRPr="00D53A2B" w:rsidRDefault="00104731" w:rsidP="00A202FD">
      <w:pPr>
        <w:jc w:val="both"/>
        <w:rPr>
          <w:rFonts w:eastAsia="Calibri"/>
          <w:lang w:eastAsia="en-US"/>
        </w:rPr>
      </w:pPr>
    </w:p>
    <w:p w14:paraId="095933A0" w14:textId="51BA68D7" w:rsidR="00421AB1" w:rsidRPr="00D53A2B" w:rsidRDefault="00EC1310" w:rsidP="00A202FD">
      <w:pPr>
        <w:jc w:val="both"/>
        <w:rPr>
          <w:rFonts w:eastAsia="Calibri"/>
          <w:lang w:eastAsia="en-US"/>
        </w:rPr>
      </w:pPr>
      <w:r w:rsidRPr="00D53A2B">
        <w:rPr>
          <w:rFonts w:eastAsia="Calibri"/>
          <w:lang w:eastAsia="en-US"/>
        </w:rPr>
        <w:t xml:space="preserve">Tablo </w:t>
      </w:r>
      <w:r w:rsidR="00B31B5F" w:rsidRPr="00D53A2B">
        <w:rPr>
          <w:rFonts w:eastAsia="Calibri"/>
          <w:lang w:eastAsia="en-US"/>
        </w:rPr>
        <w:t>1</w:t>
      </w:r>
      <w:r w:rsidRPr="00D53A2B">
        <w:rPr>
          <w:rFonts w:eastAsia="Calibri"/>
          <w:lang w:eastAsia="en-US"/>
        </w:rPr>
        <w:t>.11</w:t>
      </w:r>
    </w:p>
    <w:p w14:paraId="417CB12D" w14:textId="7A9335F3" w:rsidR="00104731" w:rsidRPr="00D53A2B" w:rsidRDefault="00EC1310" w:rsidP="00A202FD">
      <w:pPr>
        <w:jc w:val="both"/>
        <w:rPr>
          <w:rFonts w:eastAsia="Calibri"/>
          <w:lang w:eastAsia="en-US"/>
        </w:rPr>
      </w:pPr>
      <w:r w:rsidRPr="00D53A2B">
        <w:rPr>
          <w:rFonts w:eastAsia="Calibri"/>
          <w:lang w:eastAsia="en-US"/>
        </w:rPr>
        <w:t>Havaya salınan NO</w:t>
      </w:r>
      <w:r w:rsidRPr="00D53A2B">
        <w:rPr>
          <w:rFonts w:eastAsia="Calibri"/>
          <w:vertAlign w:val="subscript"/>
          <w:lang w:eastAsia="en-US"/>
        </w:rPr>
        <w:t>X</w:t>
      </w:r>
      <w:r w:rsidRPr="00D53A2B">
        <w:rPr>
          <w:rFonts w:eastAsia="Calibri"/>
          <w:lang w:eastAsia="en-US"/>
        </w:rPr>
        <w:t xml:space="preserve"> emisyonları için MET-ilişkili emisyon seviyeleri (MET-İES) ve tel çekme işleminde hammadde ısıtmasından kaynaklanan havaya salınan CO emisyonları için gösterge emisyon seviyesi</w:t>
      </w:r>
    </w:p>
    <w:p w14:paraId="7C89A21C" w14:textId="77777777" w:rsidR="00C15CF2" w:rsidRPr="00D53A2B" w:rsidRDefault="00C15CF2"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1207"/>
        <w:gridCol w:w="1042"/>
        <w:gridCol w:w="3495"/>
        <w:gridCol w:w="3186"/>
      </w:tblGrid>
      <w:tr w:rsidR="00EC1310" w:rsidRPr="00800D11" w14:paraId="1BA1CBDB" w14:textId="77777777" w:rsidTr="00065723">
        <w:tc>
          <w:tcPr>
            <w:tcW w:w="1207" w:type="dxa"/>
          </w:tcPr>
          <w:p w14:paraId="204CE404" w14:textId="77777777" w:rsidR="00EC1310" w:rsidRPr="009077F5" w:rsidRDefault="00EC1310" w:rsidP="004B0D48">
            <w:pPr>
              <w:pStyle w:val="KonuBal"/>
              <w:rPr>
                <w:sz w:val="24"/>
                <w:szCs w:val="24"/>
              </w:rPr>
            </w:pPr>
            <w:r w:rsidRPr="009077F5">
              <w:rPr>
                <w:sz w:val="24"/>
                <w:szCs w:val="24"/>
              </w:rPr>
              <w:t>Parametre</w:t>
            </w:r>
          </w:p>
        </w:tc>
        <w:tc>
          <w:tcPr>
            <w:tcW w:w="1042" w:type="dxa"/>
          </w:tcPr>
          <w:p w14:paraId="29418B1F" w14:textId="77777777" w:rsidR="00EC1310" w:rsidRPr="009077F5" w:rsidRDefault="00EC1310" w:rsidP="004B0D48">
            <w:pPr>
              <w:pStyle w:val="KonuBal"/>
              <w:rPr>
                <w:sz w:val="24"/>
                <w:szCs w:val="24"/>
              </w:rPr>
            </w:pPr>
            <w:r w:rsidRPr="009077F5">
              <w:rPr>
                <w:sz w:val="24"/>
                <w:szCs w:val="24"/>
              </w:rPr>
              <w:t>Birim</w:t>
            </w:r>
          </w:p>
        </w:tc>
        <w:tc>
          <w:tcPr>
            <w:tcW w:w="3495" w:type="dxa"/>
          </w:tcPr>
          <w:p w14:paraId="5282E24D" w14:textId="77777777" w:rsidR="00EC1310" w:rsidRPr="009077F5" w:rsidRDefault="00EC1310" w:rsidP="00800D11">
            <w:pPr>
              <w:pStyle w:val="KonuBal"/>
              <w:rPr>
                <w:sz w:val="24"/>
                <w:szCs w:val="24"/>
              </w:rPr>
            </w:pPr>
            <w:r w:rsidRPr="009077F5">
              <w:rPr>
                <w:sz w:val="24"/>
                <w:szCs w:val="24"/>
              </w:rPr>
              <w:t>MET-İES (Günlük ortalama veya numune alma dönemi boyunca ortalama)</w:t>
            </w:r>
          </w:p>
        </w:tc>
        <w:tc>
          <w:tcPr>
            <w:tcW w:w="3186" w:type="dxa"/>
          </w:tcPr>
          <w:p w14:paraId="02308D1A" w14:textId="2A0541A6" w:rsidR="00EC1310" w:rsidRPr="009077F5" w:rsidRDefault="00EC1310" w:rsidP="00E73DA3">
            <w:pPr>
              <w:pStyle w:val="KonuBal"/>
              <w:rPr>
                <w:sz w:val="24"/>
                <w:szCs w:val="24"/>
              </w:rPr>
            </w:pPr>
            <w:r w:rsidRPr="009077F5">
              <w:rPr>
                <w:sz w:val="24"/>
                <w:szCs w:val="24"/>
              </w:rPr>
              <w:t>Gösterge emisyon seviyesi (İEL) (numune alma dönemi boyunca ortalama)</w:t>
            </w:r>
          </w:p>
        </w:tc>
      </w:tr>
      <w:tr w:rsidR="00EC1310" w:rsidRPr="00800D11" w14:paraId="7A1DC20F" w14:textId="77777777" w:rsidTr="00065723">
        <w:tc>
          <w:tcPr>
            <w:tcW w:w="1207" w:type="dxa"/>
          </w:tcPr>
          <w:p w14:paraId="291646E3" w14:textId="77777777" w:rsidR="00EC1310" w:rsidRPr="009077F5" w:rsidRDefault="00EC1310" w:rsidP="004B0D48">
            <w:pPr>
              <w:pStyle w:val="KonuBal"/>
              <w:rPr>
                <w:sz w:val="24"/>
                <w:szCs w:val="24"/>
              </w:rPr>
            </w:pPr>
            <w:r w:rsidRPr="009077F5">
              <w:rPr>
                <w:sz w:val="24"/>
                <w:szCs w:val="24"/>
              </w:rPr>
              <w:t>NO</w:t>
            </w:r>
            <w:r w:rsidRPr="009077F5">
              <w:rPr>
                <w:sz w:val="24"/>
                <w:szCs w:val="24"/>
                <w:vertAlign w:val="subscript"/>
              </w:rPr>
              <w:t>x</w:t>
            </w:r>
          </w:p>
        </w:tc>
        <w:tc>
          <w:tcPr>
            <w:tcW w:w="1042" w:type="dxa"/>
          </w:tcPr>
          <w:p w14:paraId="5A27CD15" w14:textId="77777777" w:rsidR="00EC1310" w:rsidRPr="009077F5" w:rsidRDefault="00EC1310" w:rsidP="004B0D48">
            <w:pPr>
              <w:pStyle w:val="KonuBal"/>
              <w:rPr>
                <w:sz w:val="24"/>
                <w:szCs w:val="24"/>
              </w:rPr>
            </w:pPr>
            <w:r w:rsidRPr="009077F5">
              <w:rPr>
                <w:sz w:val="24"/>
                <w:szCs w:val="24"/>
              </w:rPr>
              <w:t>mg/Nm</w:t>
            </w:r>
            <w:r w:rsidRPr="009077F5">
              <w:rPr>
                <w:sz w:val="24"/>
                <w:szCs w:val="24"/>
                <w:vertAlign w:val="superscript"/>
              </w:rPr>
              <w:t>3</w:t>
            </w:r>
          </w:p>
        </w:tc>
        <w:tc>
          <w:tcPr>
            <w:tcW w:w="3495" w:type="dxa"/>
            <w:vAlign w:val="bottom"/>
          </w:tcPr>
          <w:p w14:paraId="43F37BEA" w14:textId="6DD69B9B" w:rsidR="00EC1310" w:rsidRPr="009077F5" w:rsidRDefault="00EC1310" w:rsidP="00800D11">
            <w:pPr>
              <w:pStyle w:val="KonuBal"/>
              <w:rPr>
                <w:sz w:val="24"/>
                <w:szCs w:val="24"/>
              </w:rPr>
            </w:pPr>
            <w:r w:rsidRPr="009077F5">
              <w:rPr>
                <w:sz w:val="24"/>
                <w:szCs w:val="24"/>
              </w:rPr>
              <w:t>100-250</w:t>
            </w:r>
          </w:p>
        </w:tc>
        <w:tc>
          <w:tcPr>
            <w:tcW w:w="3186" w:type="dxa"/>
          </w:tcPr>
          <w:p w14:paraId="6EE59F50" w14:textId="77777777" w:rsidR="00EC1310" w:rsidRPr="009077F5" w:rsidRDefault="00EC1310" w:rsidP="00E73DA3">
            <w:pPr>
              <w:pStyle w:val="KonuBal"/>
              <w:rPr>
                <w:sz w:val="24"/>
                <w:szCs w:val="24"/>
              </w:rPr>
            </w:pPr>
            <w:r w:rsidRPr="009077F5">
              <w:rPr>
                <w:sz w:val="24"/>
                <w:szCs w:val="24"/>
              </w:rPr>
              <w:t>Gösterge seviyesi yok</w:t>
            </w:r>
          </w:p>
        </w:tc>
      </w:tr>
      <w:tr w:rsidR="00EC1310" w:rsidRPr="00800D11" w14:paraId="1B6D1A9C" w14:textId="77777777" w:rsidTr="00065723">
        <w:tc>
          <w:tcPr>
            <w:tcW w:w="1207" w:type="dxa"/>
          </w:tcPr>
          <w:p w14:paraId="5FA92833" w14:textId="77777777" w:rsidR="00EC1310" w:rsidRPr="009077F5" w:rsidRDefault="00EC1310" w:rsidP="004B0D48">
            <w:pPr>
              <w:pStyle w:val="KonuBal"/>
              <w:rPr>
                <w:sz w:val="24"/>
                <w:szCs w:val="24"/>
              </w:rPr>
            </w:pPr>
            <w:r w:rsidRPr="009077F5">
              <w:rPr>
                <w:sz w:val="24"/>
                <w:szCs w:val="24"/>
              </w:rPr>
              <w:t>CO</w:t>
            </w:r>
          </w:p>
        </w:tc>
        <w:tc>
          <w:tcPr>
            <w:tcW w:w="1042" w:type="dxa"/>
          </w:tcPr>
          <w:p w14:paraId="52C15402" w14:textId="77777777" w:rsidR="00EC1310" w:rsidRPr="009077F5" w:rsidRDefault="00EC1310" w:rsidP="004B0D48">
            <w:pPr>
              <w:pStyle w:val="KonuBal"/>
              <w:rPr>
                <w:sz w:val="24"/>
                <w:szCs w:val="24"/>
              </w:rPr>
            </w:pPr>
            <w:r w:rsidRPr="009077F5">
              <w:rPr>
                <w:sz w:val="24"/>
                <w:szCs w:val="24"/>
              </w:rPr>
              <w:t>mg/Nm</w:t>
            </w:r>
            <w:r w:rsidRPr="009077F5">
              <w:rPr>
                <w:sz w:val="24"/>
                <w:szCs w:val="24"/>
                <w:vertAlign w:val="superscript"/>
              </w:rPr>
              <w:t>3</w:t>
            </w:r>
          </w:p>
        </w:tc>
        <w:tc>
          <w:tcPr>
            <w:tcW w:w="3495" w:type="dxa"/>
          </w:tcPr>
          <w:p w14:paraId="5DC0BD25" w14:textId="77777777" w:rsidR="00EC1310" w:rsidRPr="009077F5" w:rsidRDefault="00EC1310" w:rsidP="00800D11">
            <w:pPr>
              <w:pStyle w:val="KonuBal"/>
              <w:rPr>
                <w:sz w:val="24"/>
                <w:szCs w:val="24"/>
              </w:rPr>
            </w:pPr>
            <w:r w:rsidRPr="009077F5">
              <w:rPr>
                <w:sz w:val="24"/>
                <w:szCs w:val="24"/>
              </w:rPr>
              <w:t>MET-İES yok</w:t>
            </w:r>
          </w:p>
        </w:tc>
        <w:tc>
          <w:tcPr>
            <w:tcW w:w="3186" w:type="dxa"/>
          </w:tcPr>
          <w:p w14:paraId="46252E46" w14:textId="77777777" w:rsidR="00EC1310" w:rsidRPr="009077F5" w:rsidRDefault="00EC1310" w:rsidP="00E73DA3">
            <w:pPr>
              <w:pStyle w:val="KonuBal"/>
              <w:rPr>
                <w:sz w:val="24"/>
                <w:szCs w:val="24"/>
              </w:rPr>
            </w:pPr>
            <w:r w:rsidRPr="009077F5">
              <w:rPr>
                <w:sz w:val="24"/>
                <w:szCs w:val="24"/>
              </w:rPr>
              <w:t>10-50</w:t>
            </w:r>
          </w:p>
        </w:tc>
      </w:tr>
    </w:tbl>
    <w:p w14:paraId="6732BAF4" w14:textId="77777777" w:rsidR="00EB5E64" w:rsidRPr="00D53A2B" w:rsidRDefault="00EB5E64" w:rsidP="00A202FD">
      <w:pPr>
        <w:jc w:val="both"/>
        <w:rPr>
          <w:rFonts w:eastAsia="Calibri"/>
          <w:lang w:eastAsia="en-US"/>
        </w:rPr>
      </w:pPr>
    </w:p>
    <w:p w14:paraId="748D0A0C" w14:textId="7754D2E6" w:rsidR="00421AB1" w:rsidRPr="00D53A2B" w:rsidRDefault="00EC1310" w:rsidP="00A202FD">
      <w:pPr>
        <w:jc w:val="both"/>
        <w:rPr>
          <w:rFonts w:eastAsia="Calibri"/>
          <w:lang w:eastAsia="en-US"/>
        </w:rPr>
      </w:pPr>
      <w:r w:rsidRPr="00D53A2B">
        <w:rPr>
          <w:rFonts w:eastAsia="Calibri"/>
          <w:lang w:eastAsia="en-US"/>
        </w:rPr>
        <w:t xml:space="preserve">Tablo </w:t>
      </w:r>
      <w:r w:rsidR="00B31B5F" w:rsidRPr="00D53A2B">
        <w:rPr>
          <w:rFonts w:eastAsia="Calibri"/>
          <w:lang w:eastAsia="en-US"/>
        </w:rPr>
        <w:t>1</w:t>
      </w:r>
      <w:r w:rsidRPr="00D53A2B">
        <w:rPr>
          <w:rFonts w:eastAsia="Calibri"/>
          <w:lang w:eastAsia="en-US"/>
        </w:rPr>
        <w:t>.12</w:t>
      </w:r>
    </w:p>
    <w:p w14:paraId="2C352329" w14:textId="471D0FAC" w:rsidR="00104731" w:rsidRPr="00D53A2B" w:rsidRDefault="00EC1310" w:rsidP="00A202FD">
      <w:pPr>
        <w:jc w:val="both"/>
        <w:rPr>
          <w:rFonts w:eastAsia="Calibri"/>
          <w:lang w:eastAsia="en-US"/>
        </w:rPr>
      </w:pPr>
      <w:r w:rsidRPr="00D53A2B">
        <w:rPr>
          <w:rFonts w:eastAsia="Calibri"/>
          <w:lang w:eastAsia="en-US"/>
        </w:rPr>
        <w:t>Havaya salınan NO</w:t>
      </w:r>
      <w:r w:rsidRPr="00D53A2B">
        <w:rPr>
          <w:rFonts w:eastAsia="Calibri"/>
          <w:vertAlign w:val="subscript"/>
          <w:lang w:eastAsia="en-US"/>
        </w:rPr>
        <w:t>X</w:t>
      </w:r>
      <w:r w:rsidRPr="00D53A2B">
        <w:rPr>
          <w:rFonts w:eastAsia="Calibri"/>
          <w:lang w:eastAsia="en-US"/>
        </w:rPr>
        <w:t xml:space="preserve"> emisyonları için MET-ilişkili emisyon seviyeleri (MET-İES</w:t>
      </w:r>
      <w:r w:rsidR="00EB5E64" w:rsidRPr="00D53A2B">
        <w:rPr>
          <w:rFonts w:eastAsia="Calibri"/>
          <w:lang w:eastAsia="en-US"/>
        </w:rPr>
        <w:t>)</w:t>
      </w:r>
      <w:r w:rsidRPr="00D53A2B">
        <w:rPr>
          <w:rFonts w:eastAsia="Calibri"/>
          <w:lang w:eastAsia="en-US"/>
        </w:rPr>
        <w:t xml:space="preserve"> ve sıcak daldırma kaplamada hammadde ısıtmasından kaynaklanan havaya salınan CO emisyonları için gösterge emisyon seviyesi.</w:t>
      </w:r>
    </w:p>
    <w:p w14:paraId="40EF0AEF" w14:textId="77777777" w:rsidR="00C15CF2" w:rsidRPr="00D53A2B" w:rsidRDefault="00C15CF2"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1207"/>
        <w:gridCol w:w="1042"/>
        <w:gridCol w:w="3357"/>
        <w:gridCol w:w="3324"/>
      </w:tblGrid>
      <w:tr w:rsidR="00F16B6C" w:rsidRPr="00D53A2B" w14:paraId="07F75DE3" w14:textId="77777777" w:rsidTr="00065723">
        <w:tc>
          <w:tcPr>
            <w:tcW w:w="1207" w:type="dxa"/>
          </w:tcPr>
          <w:p w14:paraId="31D097FA" w14:textId="77777777" w:rsidR="00F16B6C" w:rsidRPr="009077F5" w:rsidRDefault="00F16B6C" w:rsidP="004B0D48">
            <w:pPr>
              <w:pStyle w:val="KonuBal"/>
              <w:rPr>
                <w:sz w:val="24"/>
                <w:szCs w:val="24"/>
              </w:rPr>
            </w:pPr>
            <w:r w:rsidRPr="009077F5">
              <w:rPr>
                <w:sz w:val="24"/>
                <w:szCs w:val="24"/>
              </w:rPr>
              <w:t>Parametre</w:t>
            </w:r>
          </w:p>
        </w:tc>
        <w:tc>
          <w:tcPr>
            <w:tcW w:w="1042" w:type="dxa"/>
          </w:tcPr>
          <w:p w14:paraId="2A6325BE" w14:textId="77777777" w:rsidR="00F16B6C" w:rsidRPr="009077F5" w:rsidRDefault="00F16B6C" w:rsidP="004B0D48">
            <w:pPr>
              <w:pStyle w:val="KonuBal"/>
              <w:rPr>
                <w:sz w:val="24"/>
                <w:szCs w:val="24"/>
              </w:rPr>
            </w:pPr>
            <w:r w:rsidRPr="009077F5">
              <w:rPr>
                <w:sz w:val="24"/>
                <w:szCs w:val="24"/>
              </w:rPr>
              <w:t>Birim</w:t>
            </w:r>
          </w:p>
        </w:tc>
        <w:tc>
          <w:tcPr>
            <w:tcW w:w="3357" w:type="dxa"/>
          </w:tcPr>
          <w:p w14:paraId="38ABAE49" w14:textId="77777777" w:rsidR="00F16B6C" w:rsidRPr="009077F5" w:rsidRDefault="00F16B6C" w:rsidP="0050094F">
            <w:pPr>
              <w:pStyle w:val="KonuBal"/>
              <w:rPr>
                <w:sz w:val="24"/>
                <w:szCs w:val="24"/>
              </w:rPr>
            </w:pPr>
            <w:r w:rsidRPr="009077F5">
              <w:rPr>
                <w:sz w:val="24"/>
                <w:szCs w:val="24"/>
              </w:rPr>
              <w:t>MET-İES (Günlük ortalama veya numune alma dönemi boyunca ortalama)</w:t>
            </w:r>
          </w:p>
        </w:tc>
        <w:tc>
          <w:tcPr>
            <w:tcW w:w="3324" w:type="dxa"/>
          </w:tcPr>
          <w:p w14:paraId="2D49EC34" w14:textId="151C05EA" w:rsidR="00F16B6C" w:rsidRPr="009077F5" w:rsidRDefault="00F16B6C" w:rsidP="00E73DA3">
            <w:pPr>
              <w:pStyle w:val="KonuBal"/>
              <w:rPr>
                <w:sz w:val="24"/>
                <w:szCs w:val="24"/>
              </w:rPr>
            </w:pPr>
            <w:r w:rsidRPr="009077F5">
              <w:rPr>
                <w:sz w:val="24"/>
                <w:szCs w:val="24"/>
              </w:rPr>
              <w:t>Gösterge emisyon seviyesi (İEL) (</w:t>
            </w:r>
            <w:r w:rsidR="00146874" w:rsidRPr="009077F5">
              <w:rPr>
                <w:sz w:val="24"/>
                <w:szCs w:val="24"/>
              </w:rPr>
              <w:t>Günlük ortalama veya numune alma dönemi boyunca ortalama</w:t>
            </w:r>
            <w:r w:rsidRPr="009077F5">
              <w:rPr>
                <w:sz w:val="24"/>
                <w:szCs w:val="24"/>
              </w:rPr>
              <w:t>)</w:t>
            </w:r>
          </w:p>
        </w:tc>
      </w:tr>
      <w:tr w:rsidR="00F16B6C" w:rsidRPr="00D53A2B" w14:paraId="6355E7AE" w14:textId="77777777" w:rsidTr="00065723">
        <w:tc>
          <w:tcPr>
            <w:tcW w:w="1207" w:type="dxa"/>
          </w:tcPr>
          <w:p w14:paraId="37D97C85" w14:textId="77777777" w:rsidR="00F16B6C" w:rsidRPr="009077F5" w:rsidRDefault="00F16B6C" w:rsidP="004B0D48">
            <w:pPr>
              <w:pStyle w:val="KonuBal"/>
              <w:rPr>
                <w:sz w:val="24"/>
                <w:szCs w:val="24"/>
              </w:rPr>
            </w:pPr>
            <w:r w:rsidRPr="009077F5">
              <w:rPr>
                <w:sz w:val="24"/>
                <w:szCs w:val="24"/>
              </w:rPr>
              <w:t>NO</w:t>
            </w:r>
            <w:r w:rsidRPr="009077F5">
              <w:rPr>
                <w:sz w:val="24"/>
                <w:szCs w:val="24"/>
                <w:vertAlign w:val="subscript"/>
              </w:rPr>
              <w:t>x</w:t>
            </w:r>
          </w:p>
        </w:tc>
        <w:tc>
          <w:tcPr>
            <w:tcW w:w="1042" w:type="dxa"/>
          </w:tcPr>
          <w:p w14:paraId="2D8AD6DB" w14:textId="77777777" w:rsidR="00F16B6C" w:rsidRPr="009077F5" w:rsidRDefault="00F16B6C" w:rsidP="004B0D48">
            <w:pPr>
              <w:pStyle w:val="KonuBal"/>
              <w:rPr>
                <w:sz w:val="24"/>
                <w:szCs w:val="24"/>
              </w:rPr>
            </w:pPr>
            <w:r w:rsidRPr="009077F5">
              <w:rPr>
                <w:sz w:val="24"/>
                <w:szCs w:val="24"/>
              </w:rPr>
              <w:t>mg/Nm</w:t>
            </w:r>
            <w:r w:rsidRPr="009077F5">
              <w:rPr>
                <w:sz w:val="24"/>
                <w:szCs w:val="24"/>
                <w:vertAlign w:val="superscript"/>
              </w:rPr>
              <w:t>3</w:t>
            </w:r>
          </w:p>
        </w:tc>
        <w:tc>
          <w:tcPr>
            <w:tcW w:w="3357" w:type="dxa"/>
            <w:vAlign w:val="bottom"/>
          </w:tcPr>
          <w:p w14:paraId="42614F8C" w14:textId="4DB8B4E6" w:rsidR="00F16B6C" w:rsidRPr="009077F5" w:rsidRDefault="00F16B6C" w:rsidP="0050094F">
            <w:pPr>
              <w:pStyle w:val="KonuBal"/>
              <w:rPr>
                <w:sz w:val="24"/>
                <w:szCs w:val="24"/>
              </w:rPr>
            </w:pPr>
            <w:r w:rsidRPr="009077F5">
              <w:rPr>
                <w:sz w:val="24"/>
                <w:szCs w:val="24"/>
              </w:rPr>
              <w:t>100-300 (</w:t>
            </w:r>
            <w:r w:rsidRPr="009077F5">
              <w:rPr>
                <w:sz w:val="24"/>
                <w:szCs w:val="24"/>
                <w:vertAlign w:val="superscript"/>
              </w:rPr>
              <w:t>1</w:t>
            </w:r>
            <w:r w:rsidRPr="009077F5">
              <w:rPr>
                <w:sz w:val="24"/>
                <w:szCs w:val="24"/>
              </w:rPr>
              <w:t>)</w:t>
            </w:r>
          </w:p>
        </w:tc>
        <w:tc>
          <w:tcPr>
            <w:tcW w:w="3324" w:type="dxa"/>
          </w:tcPr>
          <w:p w14:paraId="2A358C58" w14:textId="77777777" w:rsidR="00F16B6C" w:rsidRPr="009077F5" w:rsidRDefault="00F16B6C" w:rsidP="00E73DA3">
            <w:pPr>
              <w:pStyle w:val="KonuBal"/>
              <w:rPr>
                <w:sz w:val="24"/>
                <w:szCs w:val="24"/>
              </w:rPr>
            </w:pPr>
            <w:r w:rsidRPr="009077F5">
              <w:rPr>
                <w:sz w:val="24"/>
                <w:szCs w:val="24"/>
              </w:rPr>
              <w:t>Gösterge seviyesi yok</w:t>
            </w:r>
          </w:p>
        </w:tc>
      </w:tr>
      <w:tr w:rsidR="00F16B6C" w:rsidRPr="00D53A2B" w14:paraId="18E11616" w14:textId="77777777" w:rsidTr="00065723">
        <w:tc>
          <w:tcPr>
            <w:tcW w:w="1207" w:type="dxa"/>
          </w:tcPr>
          <w:p w14:paraId="71A5E4A3" w14:textId="77777777" w:rsidR="00F16B6C" w:rsidRPr="009077F5" w:rsidRDefault="00F16B6C" w:rsidP="004B0D48">
            <w:pPr>
              <w:pStyle w:val="KonuBal"/>
              <w:rPr>
                <w:sz w:val="24"/>
                <w:szCs w:val="24"/>
              </w:rPr>
            </w:pPr>
            <w:r w:rsidRPr="009077F5">
              <w:rPr>
                <w:sz w:val="24"/>
                <w:szCs w:val="24"/>
              </w:rPr>
              <w:t>CO</w:t>
            </w:r>
          </w:p>
        </w:tc>
        <w:tc>
          <w:tcPr>
            <w:tcW w:w="1042" w:type="dxa"/>
          </w:tcPr>
          <w:p w14:paraId="044126AC" w14:textId="77777777" w:rsidR="00F16B6C" w:rsidRPr="009077F5" w:rsidRDefault="00F16B6C" w:rsidP="004B0D48">
            <w:pPr>
              <w:pStyle w:val="KonuBal"/>
              <w:rPr>
                <w:sz w:val="24"/>
                <w:szCs w:val="24"/>
              </w:rPr>
            </w:pPr>
            <w:r w:rsidRPr="009077F5">
              <w:rPr>
                <w:sz w:val="24"/>
                <w:szCs w:val="24"/>
              </w:rPr>
              <w:t>mg/Nm</w:t>
            </w:r>
            <w:r w:rsidRPr="009077F5">
              <w:rPr>
                <w:sz w:val="24"/>
                <w:szCs w:val="24"/>
                <w:vertAlign w:val="superscript"/>
              </w:rPr>
              <w:t>3</w:t>
            </w:r>
          </w:p>
        </w:tc>
        <w:tc>
          <w:tcPr>
            <w:tcW w:w="3357" w:type="dxa"/>
          </w:tcPr>
          <w:p w14:paraId="527545DC" w14:textId="77777777" w:rsidR="00F16B6C" w:rsidRPr="009077F5" w:rsidRDefault="00F16B6C" w:rsidP="0050094F">
            <w:pPr>
              <w:pStyle w:val="KonuBal"/>
              <w:rPr>
                <w:sz w:val="24"/>
                <w:szCs w:val="24"/>
              </w:rPr>
            </w:pPr>
            <w:r w:rsidRPr="009077F5">
              <w:rPr>
                <w:sz w:val="24"/>
                <w:szCs w:val="24"/>
              </w:rPr>
              <w:t>MET-İES yok</w:t>
            </w:r>
          </w:p>
        </w:tc>
        <w:tc>
          <w:tcPr>
            <w:tcW w:w="3324" w:type="dxa"/>
          </w:tcPr>
          <w:p w14:paraId="7805FDA8" w14:textId="3942530E" w:rsidR="00F16B6C" w:rsidRPr="009077F5" w:rsidRDefault="00F16B6C" w:rsidP="00E73DA3">
            <w:pPr>
              <w:pStyle w:val="KonuBal"/>
              <w:rPr>
                <w:sz w:val="24"/>
                <w:szCs w:val="24"/>
              </w:rPr>
            </w:pPr>
            <w:r w:rsidRPr="009077F5">
              <w:rPr>
                <w:sz w:val="24"/>
                <w:szCs w:val="24"/>
              </w:rPr>
              <w:t>10-100</w:t>
            </w:r>
          </w:p>
        </w:tc>
      </w:tr>
      <w:tr w:rsidR="00F16B6C" w:rsidRPr="00D53A2B" w14:paraId="1571B5BD" w14:textId="77777777" w:rsidTr="00065723">
        <w:tc>
          <w:tcPr>
            <w:tcW w:w="8930" w:type="dxa"/>
            <w:gridSpan w:val="4"/>
          </w:tcPr>
          <w:p w14:paraId="3B99C6F0" w14:textId="497844DF" w:rsidR="00F16B6C" w:rsidRPr="00D53A2B" w:rsidRDefault="00F16B6C" w:rsidP="004B0D48">
            <w:pPr>
              <w:pStyle w:val="KonuBal"/>
            </w:pPr>
            <w:r w:rsidRPr="00D53A2B">
              <w:t>(</w:t>
            </w:r>
            <w:r w:rsidRPr="00D53A2B">
              <w:rPr>
                <w:vertAlign w:val="superscript"/>
              </w:rPr>
              <w:t>1</w:t>
            </w:r>
            <w:r w:rsidRPr="00D53A2B">
              <w:t>) Yüksek oranda kok fırını gazı veya ferrokrom üretiminden kaynaklanan CO bakımından zengin gaz kullanıldığında (enerji girdisinin &gt; %50</w:t>
            </w:r>
            <w:r w:rsidR="00E56504" w:rsidRPr="00D53A2B">
              <w:t>’</w:t>
            </w:r>
            <w:r w:rsidRPr="00D53A2B">
              <w:t xml:space="preserve">si) </w:t>
            </w:r>
            <w:r w:rsidR="00651500" w:rsidRPr="00D53A2B">
              <w:t>MET-İES</w:t>
            </w:r>
            <w:r w:rsidRPr="00D53A2B">
              <w:t xml:space="preserve"> aralığının üst sınırı daha yüksek olabilir ve 550 mg/Nm3 </w:t>
            </w:r>
            <w:r w:rsidR="00E56504" w:rsidRPr="00D53A2B">
              <w:t>‘</w:t>
            </w:r>
            <w:r w:rsidRPr="00D53A2B">
              <w:t>e kadar çıkabilir.</w:t>
            </w:r>
          </w:p>
        </w:tc>
      </w:tr>
    </w:tbl>
    <w:p w14:paraId="4DBD9CB7" w14:textId="77777777" w:rsidR="00104731" w:rsidRPr="00D53A2B" w:rsidRDefault="00104731" w:rsidP="00A202FD">
      <w:pPr>
        <w:jc w:val="both"/>
        <w:rPr>
          <w:rFonts w:eastAsia="Calibri"/>
          <w:lang w:eastAsia="en-US"/>
        </w:rPr>
      </w:pPr>
    </w:p>
    <w:p w14:paraId="15C70F89" w14:textId="0C2BB6BF" w:rsidR="00421AB1" w:rsidRPr="00D53A2B" w:rsidRDefault="00F16B6C" w:rsidP="00A202FD">
      <w:pPr>
        <w:jc w:val="both"/>
        <w:rPr>
          <w:rFonts w:eastAsia="Calibri"/>
          <w:lang w:eastAsia="en-US"/>
        </w:rPr>
      </w:pPr>
      <w:r w:rsidRPr="00D53A2B">
        <w:rPr>
          <w:rFonts w:eastAsia="Calibri"/>
          <w:lang w:eastAsia="en-US"/>
        </w:rPr>
        <w:t xml:space="preserve">Tablo </w:t>
      </w:r>
      <w:r w:rsidR="00B31B5F" w:rsidRPr="00D53A2B">
        <w:rPr>
          <w:rFonts w:eastAsia="Calibri"/>
          <w:lang w:eastAsia="en-US"/>
        </w:rPr>
        <w:t>1</w:t>
      </w:r>
      <w:r w:rsidRPr="00D53A2B">
        <w:rPr>
          <w:rFonts w:eastAsia="Calibri"/>
          <w:lang w:eastAsia="en-US"/>
        </w:rPr>
        <w:t>.13</w:t>
      </w:r>
    </w:p>
    <w:p w14:paraId="6191E74F" w14:textId="73FB96F4" w:rsidR="00104731" w:rsidRPr="00D53A2B" w:rsidRDefault="00F16B6C" w:rsidP="00A202FD">
      <w:pPr>
        <w:jc w:val="both"/>
        <w:rPr>
          <w:rFonts w:eastAsia="Calibri"/>
          <w:lang w:eastAsia="en-US"/>
        </w:rPr>
      </w:pPr>
      <w:r w:rsidRPr="00D53A2B">
        <w:rPr>
          <w:rFonts w:eastAsia="Calibri"/>
          <w:lang w:eastAsia="en-US"/>
        </w:rPr>
        <w:t>Havaya salınan NO</w:t>
      </w:r>
      <w:r w:rsidRPr="00D53A2B">
        <w:rPr>
          <w:rFonts w:eastAsia="Calibri"/>
          <w:vertAlign w:val="subscript"/>
          <w:lang w:eastAsia="en-US"/>
        </w:rPr>
        <w:t>X</w:t>
      </w:r>
      <w:r w:rsidRPr="00D53A2B">
        <w:rPr>
          <w:rFonts w:eastAsia="Calibri"/>
          <w:lang w:eastAsia="en-US"/>
        </w:rPr>
        <w:t xml:space="preserve"> emisyonları için MET-ilişkili emisyon seviyeleri (MET-İES) ve yığın galvanizlemede galvaniz kazanının ısıtılmasından kaynaklanan havaya salınan CO emisyonları için gösterge emisyon seviyesi.</w:t>
      </w:r>
    </w:p>
    <w:p w14:paraId="15DB1032" w14:textId="77777777" w:rsidR="00C15CF2" w:rsidRPr="00D53A2B" w:rsidRDefault="00C15CF2" w:rsidP="00A202FD">
      <w:pPr>
        <w:jc w:val="both"/>
        <w:rPr>
          <w:rFonts w:eastAsia="Calibri"/>
          <w:lang w:eastAsia="en-US"/>
        </w:rPr>
      </w:pPr>
    </w:p>
    <w:tbl>
      <w:tblPr>
        <w:tblStyle w:val="TabloKlavuzu"/>
        <w:tblW w:w="8789" w:type="dxa"/>
        <w:tblInd w:w="137" w:type="dxa"/>
        <w:tblLook w:val="04A0" w:firstRow="1" w:lastRow="0" w:firstColumn="1" w:lastColumn="0" w:noHBand="0" w:noVBand="1"/>
      </w:tblPr>
      <w:tblGrid>
        <w:gridCol w:w="1207"/>
        <w:gridCol w:w="1042"/>
        <w:gridCol w:w="3357"/>
        <w:gridCol w:w="3183"/>
      </w:tblGrid>
      <w:tr w:rsidR="00146874" w:rsidRPr="0050094F" w14:paraId="35D63BF4" w14:textId="77777777" w:rsidTr="00065723">
        <w:tc>
          <w:tcPr>
            <w:tcW w:w="1207" w:type="dxa"/>
          </w:tcPr>
          <w:p w14:paraId="53DF68C6" w14:textId="77777777" w:rsidR="00146874" w:rsidRPr="009077F5" w:rsidRDefault="00146874" w:rsidP="004B0D48">
            <w:pPr>
              <w:pStyle w:val="KonuBal"/>
              <w:rPr>
                <w:sz w:val="24"/>
                <w:szCs w:val="24"/>
              </w:rPr>
            </w:pPr>
            <w:r w:rsidRPr="009077F5">
              <w:rPr>
                <w:sz w:val="24"/>
                <w:szCs w:val="24"/>
              </w:rPr>
              <w:t>Parametre</w:t>
            </w:r>
          </w:p>
        </w:tc>
        <w:tc>
          <w:tcPr>
            <w:tcW w:w="1042" w:type="dxa"/>
          </w:tcPr>
          <w:p w14:paraId="3CC360CD" w14:textId="77777777" w:rsidR="00146874" w:rsidRPr="009077F5" w:rsidRDefault="00146874" w:rsidP="004B0D48">
            <w:pPr>
              <w:pStyle w:val="KonuBal"/>
              <w:rPr>
                <w:sz w:val="24"/>
                <w:szCs w:val="24"/>
              </w:rPr>
            </w:pPr>
            <w:r w:rsidRPr="009077F5">
              <w:rPr>
                <w:sz w:val="24"/>
                <w:szCs w:val="24"/>
              </w:rPr>
              <w:t>Birim</w:t>
            </w:r>
          </w:p>
        </w:tc>
        <w:tc>
          <w:tcPr>
            <w:tcW w:w="3357" w:type="dxa"/>
          </w:tcPr>
          <w:p w14:paraId="2E656F64" w14:textId="77777777" w:rsidR="00146874" w:rsidRPr="009077F5" w:rsidRDefault="00146874" w:rsidP="0050094F">
            <w:pPr>
              <w:pStyle w:val="KonuBal"/>
              <w:rPr>
                <w:sz w:val="24"/>
                <w:szCs w:val="24"/>
              </w:rPr>
            </w:pPr>
            <w:r w:rsidRPr="009077F5">
              <w:rPr>
                <w:sz w:val="24"/>
                <w:szCs w:val="24"/>
              </w:rPr>
              <w:t>MET-İES (Günlük ortalama veya numune alma dönemi boyunca ortalama)</w:t>
            </w:r>
          </w:p>
        </w:tc>
        <w:tc>
          <w:tcPr>
            <w:tcW w:w="3183" w:type="dxa"/>
          </w:tcPr>
          <w:p w14:paraId="046F1DC8" w14:textId="4A8C4CDB" w:rsidR="00146874" w:rsidRPr="009077F5" w:rsidRDefault="00146874" w:rsidP="00E73DA3">
            <w:pPr>
              <w:pStyle w:val="KonuBal"/>
              <w:rPr>
                <w:sz w:val="24"/>
                <w:szCs w:val="24"/>
              </w:rPr>
            </w:pPr>
            <w:r w:rsidRPr="009077F5">
              <w:rPr>
                <w:sz w:val="24"/>
                <w:szCs w:val="24"/>
              </w:rPr>
              <w:t>Gösterge emisyon seviyesi (İEL) (Günlük ortalama veya numune alma dönemi boyunca ortalama)</w:t>
            </w:r>
          </w:p>
        </w:tc>
      </w:tr>
      <w:tr w:rsidR="00146874" w:rsidRPr="0050094F" w14:paraId="7F25E5F7" w14:textId="77777777" w:rsidTr="00065723">
        <w:tc>
          <w:tcPr>
            <w:tcW w:w="1207" w:type="dxa"/>
          </w:tcPr>
          <w:p w14:paraId="76C6BF40" w14:textId="77777777" w:rsidR="00146874" w:rsidRPr="009077F5" w:rsidRDefault="00146874" w:rsidP="004B0D48">
            <w:pPr>
              <w:pStyle w:val="KonuBal"/>
              <w:rPr>
                <w:sz w:val="24"/>
                <w:szCs w:val="24"/>
              </w:rPr>
            </w:pPr>
            <w:r w:rsidRPr="009077F5">
              <w:rPr>
                <w:sz w:val="24"/>
                <w:szCs w:val="24"/>
              </w:rPr>
              <w:t>NO</w:t>
            </w:r>
            <w:r w:rsidRPr="009077F5">
              <w:rPr>
                <w:sz w:val="24"/>
                <w:szCs w:val="24"/>
                <w:vertAlign w:val="subscript"/>
              </w:rPr>
              <w:t>x</w:t>
            </w:r>
          </w:p>
        </w:tc>
        <w:tc>
          <w:tcPr>
            <w:tcW w:w="1042" w:type="dxa"/>
          </w:tcPr>
          <w:p w14:paraId="41A4029F" w14:textId="77777777" w:rsidR="00146874" w:rsidRPr="009077F5" w:rsidRDefault="00146874" w:rsidP="004B0D48">
            <w:pPr>
              <w:pStyle w:val="KonuBal"/>
              <w:rPr>
                <w:sz w:val="24"/>
                <w:szCs w:val="24"/>
              </w:rPr>
            </w:pPr>
            <w:r w:rsidRPr="009077F5">
              <w:rPr>
                <w:sz w:val="24"/>
                <w:szCs w:val="24"/>
              </w:rPr>
              <w:t>mg/Nm</w:t>
            </w:r>
            <w:r w:rsidRPr="009077F5">
              <w:rPr>
                <w:sz w:val="24"/>
                <w:szCs w:val="24"/>
                <w:vertAlign w:val="superscript"/>
              </w:rPr>
              <w:t>3</w:t>
            </w:r>
          </w:p>
        </w:tc>
        <w:tc>
          <w:tcPr>
            <w:tcW w:w="3357" w:type="dxa"/>
            <w:vAlign w:val="bottom"/>
          </w:tcPr>
          <w:p w14:paraId="4C0557B7" w14:textId="1E61337F" w:rsidR="00146874" w:rsidRPr="009077F5" w:rsidRDefault="00146874" w:rsidP="0050094F">
            <w:pPr>
              <w:pStyle w:val="KonuBal"/>
              <w:rPr>
                <w:sz w:val="24"/>
                <w:szCs w:val="24"/>
              </w:rPr>
            </w:pPr>
            <w:r w:rsidRPr="009077F5">
              <w:rPr>
                <w:sz w:val="24"/>
                <w:szCs w:val="24"/>
              </w:rPr>
              <w:t>70-300</w:t>
            </w:r>
          </w:p>
        </w:tc>
        <w:tc>
          <w:tcPr>
            <w:tcW w:w="3183" w:type="dxa"/>
          </w:tcPr>
          <w:p w14:paraId="0402EC0A" w14:textId="77777777" w:rsidR="00146874" w:rsidRPr="009077F5" w:rsidRDefault="00146874" w:rsidP="00E73DA3">
            <w:pPr>
              <w:pStyle w:val="KonuBal"/>
              <w:rPr>
                <w:sz w:val="24"/>
                <w:szCs w:val="24"/>
              </w:rPr>
            </w:pPr>
            <w:r w:rsidRPr="009077F5">
              <w:rPr>
                <w:sz w:val="24"/>
                <w:szCs w:val="24"/>
              </w:rPr>
              <w:t>Gösterge seviyesi yok</w:t>
            </w:r>
          </w:p>
        </w:tc>
      </w:tr>
      <w:tr w:rsidR="00146874" w:rsidRPr="0050094F" w14:paraId="7DA5693A" w14:textId="77777777" w:rsidTr="00065723">
        <w:tc>
          <w:tcPr>
            <w:tcW w:w="1207" w:type="dxa"/>
          </w:tcPr>
          <w:p w14:paraId="6BF4269E" w14:textId="77777777" w:rsidR="00146874" w:rsidRPr="009077F5" w:rsidRDefault="00146874" w:rsidP="004B0D48">
            <w:pPr>
              <w:pStyle w:val="KonuBal"/>
              <w:rPr>
                <w:sz w:val="24"/>
                <w:szCs w:val="24"/>
              </w:rPr>
            </w:pPr>
            <w:r w:rsidRPr="009077F5">
              <w:rPr>
                <w:sz w:val="24"/>
                <w:szCs w:val="24"/>
              </w:rPr>
              <w:t>CO</w:t>
            </w:r>
          </w:p>
        </w:tc>
        <w:tc>
          <w:tcPr>
            <w:tcW w:w="1042" w:type="dxa"/>
          </w:tcPr>
          <w:p w14:paraId="107A7F33" w14:textId="77777777" w:rsidR="00146874" w:rsidRPr="009077F5" w:rsidRDefault="00146874" w:rsidP="004B0D48">
            <w:pPr>
              <w:pStyle w:val="KonuBal"/>
              <w:rPr>
                <w:sz w:val="24"/>
                <w:szCs w:val="24"/>
              </w:rPr>
            </w:pPr>
            <w:r w:rsidRPr="009077F5">
              <w:rPr>
                <w:sz w:val="24"/>
                <w:szCs w:val="24"/>
              </w:rPr>
              <w:t>mg/Nm</w:t>
            </w:r>
            <w:r w:rsidRPr="009077F5">
              <w:rPr>
                <w:sz w:val="24"/>
                <w:szCs w:val="24"/>
                <w:vertAlign w:val="superscript"/>
              </w:rPr>
              <w:t>3</w:t>
            </w:r>
          </w:p>
        </w:tc>
        <w:tc>
          <w:tcPr>
            <w:tcW w:w="3357" w:type="dxa"/>
          </w:tcPr>
          <w:p w14:paraId="466E8E7C" w14:textId="77777777" w:rsidR="00146874" w:rsidRPr="009077F5" w:rsidRDefault="00146874" w:rsidP="0050094F">
            <w:pPr>
              <w:pStyle w:val="KonuBal"/>
              <w:rPr>
                <w:sz w:val="24"/>
                <w:szCs w:val="24"/>
              </w:rPr>
            </w:pPr>
            <w:r w:rsidRPr="009077F5">
              <w:rPr>
                <w:sz w:val="24"/>
                <w:szCs w:val="24"/>
              </w:rPr>
              <w:t>MET-İES yok</w:t>
            </w:r>
          </w:p>
        </w:tc>
        <w:tc>
          <w:tcPr>
            <w:tcW w:w="3183" w:type="dxa"/>
          </w:tcPr>
          <w:p w14:paraId="1A5D056A" w14:textId="369D33FC" w:rsidR="00146874" w:rsidRPr="009077F5" w:rsidRDefault="00146874" w:rsidP="00E73DA3">
            <w:pPr>
              <w:pStyle w:val="KonuBal"/>
              <w:rPr>
                <w:sz w:val="24"/>
                <w:szCs w:val="24"/>
              </w:rPr>
            </w:pPr>
            <w:r w:rsidRPr="009077F5">
              <w:rPr>
                <w:sz w:val="24"/>
                <w:szCs w:val="24"/>
              </w:rPr>
              <w:t>10-100</w:t>
            </w:r>
          </w:p>
        </w:tc>
      </w:tr>
    </w:tbl>
    <w:p w14:paraId="4D971DA9" w14:textId="77777777" w:rsidR="00104731" w:rsidRPr="00D53A2B" w:rsidRDefault="00104731" w:rsidP="00A202FD">
      <w:pPr>
        <w:jc w:val="both"/>
        <w:rPr>
          <w:rFonts w:eastAsia="Calibri"/>
          <w:lang w:eastAsia="en-US"/>
        </w:rPr>
      </w:pPr>
    </w:p>
    <w:p w14:paraId="42A82259" w14:textId="0D1A875D" w:rsidR="00104731" w:rsidRPr="00D53A2B" w:rsidRDefault="00146874"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2A639C36" w14:textId="77777777" w:rsidR="00104731" w:rsidRPr="00D53A2B" w:rsidRDefault="00104731" w:rsidP="00A202FD">
      <w:pPr>
        <w:jc w:val="both"/>
        <w:rPr>
          <w:rFonts w:eastAsia="Calibri"/>
          <w:lang w:eastAsia="en-US"/>
        </w:rPr>
      </w:pPr>
    </w:p>
    <w:p w14:paraId="42603481" w14:textId="040E742A" w:rsidR="00104731" w:rsidRPr="00D53A2B" w:rsidRDefault="00816D19" w:rsidP="00A202FD">
      <w:pPr>
        <w:pStyle w:val="Balk4"/>
        <w:rPr>
          <w:rFonts w:eastAsia="Calibri" w:cs="Times New Roman"/>
          <w:lang w:eastAsia="en-US"/>
        </w:rPr>
      </w:pPr>
      <w:r w:rsidRPr="00D53A2B">
        <w:rPr>
          <w:rFonts w:eastAsia="Calibri" w:cs="Times New Roman"/>
          <w:lang w:eastAsia="en-US"/>
        </w:rPr>
        <w:lastRenderedPageBreak/>
        <w:t>1.1</w:t>
      </w:r>
      <w:r w:rsidR="0071095D" w:rsidRPr="00D53A2B">
        <w:rPr>
          <w:rFonts w:eastAsia="Calibri" w:cs="Times New Roman"/>
          <w:lang w:eastAsia="en-US"/>
        </w:rPr>
        <w:t>.7.2. Yağ giderme işleminden kaynaklanan hava emisyonları</w:t>
      </w:r>
    </w:p>
    <w:p w14:paraId="4A9DAD9F" w14:textId="14B224F0" w:rsidR="00F50872" w:rsidRPr="00D53A2B" w:rsidRDefault="00F50872" w:rsidP="00A202FD">
      <w:pPr>
        <w:pStyle w:val="MET"/>
        <w:rPr>
          <w:rFonts w:eastAsia="Calibri"/>
          <w:szCs w:val="24"/>
        </w:rPr>
      </w:pPr>
      <w:r w:rsidRPr="00D53A2B">
        <w:rPr>
          <w:rFonts w:eastAsia="Calibri"/>
          <w:szCs w:val="24"/>
        </w:rPr>
        <w:t xml:space="preserve">MET 23: </w:t>
      </w:r>
      <w:r w:rsidRPr="00D53A2B">
        <w:rPr>
          <w:rFonts w:eastAsia="Calibri"/>
          <w:b w:val="0"/>
          <w:bCs/>
          <w:szCs w:val="24"/>
        </w:rPr>
        <w:t>Soğuk haddeleme ve sacların sıcak daldırma kaplamasında yağ giderme işleminden kaynaklanan yağ buharı, asitler ve/veya alkalilerin havaya emisyonlarını azaltmak için emisyonları (a) tekniğini kullanarak toplamak ve atık gazı aşağıda verilen (b) ve/veya (c) tekniğini kullanarak arıt</w:t>
      </w:r>
      <w:r w:rsidR="00AF71A7" w:rsidRPr="00D53A2B">
        <w:rPr>
          <w:rFonts w:eastAsia="Calibri"/>
          <w:b w:val="0"/>
          <w:bCs/>
          <w:szCs w:val="24"/>
        </w:rPr>
        <w:t>ılır</w:t>
      </w:r>
      <w:r w:rsidRPr="00D53A2B">
        <w:rPr>
          <w:rFonts w:eastAsia="Calibri"/>
          <w:b w:val="0"/>
          <w:bCs/>
          <w:szCs w:val="24"/>
        </w:rPr>
        <w:t>.</w:t>
      </w:r>
    </w:p>
    <w:p w14:paraId="7DBE302E" w14:textId="77777777" w:rsidR="00F50872" w:rsidRPr="00D53A2B" w:rsidRDefault="00F50872" w:rsidP="00A202FD">
      <w:pPr>
        <w:jc w:val="both"/>
        <w:rPr>
          <w:rFonts w:eastAsia="Calibri"/>
          <w:sz w:val="22"/>
          <w:szCs w:val="22"/>
          <w:lang w:eastAsia="en-US"/>
        </w:rPr>
      </w:pPr>
    </w:p>
    <w:tbl>
      <w:tblPr>
        <w:tblStyle w:val="TabloKlavuzu"/>
        <w:tblW w:w="8930" w:type="dxa"/>
        <w:tblInd w:w="137" w:type="dxa"/>
        <w:tblLayout w:type="fixed"/>
        <w:tblLook w:val="04A0" w:firstRow="1" w:lastRow="0" w:firstColumn="1" w:lastColumn="0" w:noHBand="0" w:noVBand="1"/>
      </w:tblPr>
      <w:tblGrid>
        <w:gridCol w:w="425"/>
        <w:gridCol w:w="2835"/>
        <w:gridCol w:w="5670"/>
      </w:tblGrid>
      <w:tr w:rsidR="00F50872" w:rsidRPr="0050094F" w14:paraId="08E55F3C" w14:textId="77777777" w:rsidTr="00A202FD">
        <w:tc>
          <w:tcPr>
            <w:tcW w:w="3260" w:type="dxa"/>
            <w:gridSpan w:val="2"/>
          </w:tcPr>
          <w:p w14:paraId="156412FA" w14:textId="77777777" w:rsidR="00F50872" w:rsidRPr="009077F5" w:rsidRDefault="00F50872" w:rsidP="004B0D48">
            <w:pPr>
              <w:pStyle w:val="KonuBal"/>
              <w:rPr>
                <w:sz w:val="24"/>
                <w:szCs w:val="24"/>
              </w:rPr>
            </w:pPr>
            <w:r w:rsidRPr="009077F5">
              <w:rPr>
                <w:sz w:val="24"/>
                <w:szCs w:val="24"/>
              </w:rPr>
              <w:t>Teknik</w:t>
            </w:r>
          </w:p>
        </w:tc>
        <w:tc>
          <w:tcPr>
            <w:tcW w:w="5670" w:type="dxa"/>
          </w:tcPr>
          <w:p w14:paraId="3B38B0DA" w14:textId="77777777" w:rsidR="00F50872" w:rsidRPr="009077F5" w:rsidRDefault="00F50872" w:rsidP="004B0D48">
            <w:pPr>
              <w:pStyle w:val="KonuBal"/>
              <w:rPr>
                <w:sz w:val="24"/>
                <w:szCs w:val="24"/>
              </w:rPr>
            </w:pPr>
            <w:r w:rsidRPr="009077F5">
              <w:rPr>
                <w:sz w:val="24"/>
                <w:szCs w:val="24"/>
              </w:rPr>
              <w:t>Açıklama</w:t>
            </w:r>
          </w:p>
        </w:tc>
      </w:tr>
      <w:tr w:rsidR="00F50872" w:rsidRPr="0050094F" w14:paraId="5E11B7C1" w14:textId="77777777" w:rsidTr="00A202FD">
        <w:tc>
          <w:tcPr>
            <w:tcW w:w="8930" w:type="dxa"/>
            <w:gridSpan w:val="3"/>
          </w:tcPr>
          <w:p w14:paraId="62833193" w14:textId="43571E8B" w:rsidR="00F50872" w:rsidRPr="009077F5" w:rsidRDefault="00F50872" w:rsidP="004B0D48">
            <w:pPr>
              <w:pStyle w:val="KonuBal"/>
              <w:rPr>
                <w:sz w:val="24"/>
                <w:szCs w:val="24"/>
              </w:rPr>
            </w:pPr>
            <w:r w:rsidRPr="009077F5">
              <w:rPr>
                <w:sz w:val="24"/>
                <w:szCs w:val="24"/>
              </w:rPr>
              <w:t>Emisyonların toplanması</w:t>
            </w:r>
          </w:p>
        </w:tc>
      </w:tr>
      <w:tr w:rsidR="00F50872" w:rsidRPr="0050094F" w14:paraId="0A69592E" w14:textId="77777777" w:rsidTr="00A202FD">
        <w:tc>
          <w:tcPr>
            <w:tcW w:w="425" w:type="dxa"/>
            <w:vAlign w:val="center"/>
          </w:tcPr>
          <w:p w14:paraId="68C361C5" w14:textId="77777777" w:rsidR="00F50872" w:rsidRPr="009077F5" w:rsidRDefault="00F50872" w:rsidP="004B0D48">
            <w:pPr>
              <w:pStyle w:val="KonuBal"/>
              <w:rPr>
                <w:sz w:val="24"/>
                <w:szCs w:val="24"/>
              </w:rPr>
            </w:pPr>
            <w:r w:rsidRPr="009077F5">
              <w:rPr>
                <w:sz w:val="24"/>
                <w:szCs w:val="24"/>
              </w:rPr>
              <w:t>a.</w:t>
            </w:r>
          </w:p>
        </w:tc>
        <w:tc>
          <w:tcPr>
            <w:tcW w:w="2835" w:type="dxa"/>
            <w:vAlign w:val="center"/>
          </w:tcPr>
          <w:p w14:paraId="2A8AA9AB" w14:textId="0CE6B6D1" w:rsidR="00F50872" w:rsidRPr="009077F5" w:rsidRDefault="00F50872" w:rsidP="004B0D48">
            <w:pPr>
              <w:pStyle w:val="KonuBal"/>
              <w:rPr>
                <w:sz w:val="24"/>
                <w:szCs w:val="24"/>
              </w:rPr>
            </w:pPr>
            <w:r w:rsidRPr="009077F5">
              <w:rPr>
                <w:sz w:val="24"/>
                <w:szCs w:val="24"/>
              </w:rPr>
              <w:t>Sürekli yağ alma durumunda hava tahliyesi ile birlikte kapalı yağ alma tankları</w:t>
            </w:r>
          </w:p>
        </w:tc>
        <w:tc>
          <w:tcPr>
            <w:tcW w:w="5670" w:type="dxa"/>
            <w:vAlign w:val="center"/>
          </w:tcPr>
          <w:p w14:paraId="249BDC90" w14:textId="5CF3F637" w:rsidR="00F50872" w:rsidRPr="009077F5" w:rsidRDefault="00F50872" w:rsidP="0050094F">
            <w:pPr>
              <w:pStyle w:val="KonuBal"/>
              <w:rPr>
                <w:sz w:val="24"/>
                <w:szCs w:val="24"/>
              </w:rPr>
            </w:pPr>
            <w:r w:rsidRPr="009077F5">
              <w:rPr>
                <w:sz w:val="24"/>
                <w:szCs w:val="24"/>
              </w:rPr>
              <w:t>Yağ alma işlemi kapalı tanklarda gerçekleştirilir ve hava çıkarılır.</w:t>
            </w:r>
          </w:p>
        </w:tc>
      </w:tr>
      <w:tr w:rsidR="00F50872" w:rsidRPr="0050094F" w14:paraId="36A0BFEB" w14:textId="77777777" w:rsidTr="00A202FD">
        <w:tc>
          <w:tcPr>
            <w:tcW w:w="8930" w:type="dxa"/>
            <w:gridSpan w:val="3"/>
            <w:vAlign w:val="center"/>
          </w:tcPr>
          <w:p w14:paraId="068EFD86" w14:textId="21E01D16" w:rsidR="00F50872" w:rsidRPr="009077F5" w:rsidRDefault="00F50872" w:rsidP="004B0D48">
            <w:pPr>
              <w:pStyle w:val="KonuBal"/>
              <w:rPr>
                <w:sz w:val="24"/>
                <w:szCs w:val="24"/>
              </w:rPr>
            </w:pPr>
            <w:r w:rsidRPr="009077F5">
              <w:rPr>
                <w:sz w:val="24"/>
                <w:szCs w:val="24"/>
              </w:rPr>
              <w:t>Atık gaz arıtımı</w:t>
            </w:r>
          </w:p>
        </w:tc>
      </w:tr>
      <w:tr w:rsidR="00F50872" w:rsidRPr="0050094F" w14:paraId="7391C40B" w14:textId="77777777" w:rsidTr="00A202FD">
        <w:tc>
          <w:tcPr>
            <w:tcW w:w="425" w:type="dxa"/>
            <w:vAlign w:val="center"/>
          </w:tcPr>
          <w:p w14:paraId="4FEF63BA" w14:textId="77777777" w:rsidR="00F50872" w:rsidRPr="009077F5" w:rsidRDefault="00F50872" w:rsidP="004B0D48">
            <w:pPr>
              <w:pStyle w:val="KonuBal"/>
              <w:rPr>
                <w:sz w:val="24"/>
                <w:szCs w:val="24"/>
              </w:rPr>
            </w:pPr>
            <w:r w:rsidRPr="009077F5">
              <w:rPr>
                <w:sz w:val="24"/>
                <w:szCs w:val="24"/>
              </w:rPr>
              <w:t>b.</w:t>
            </w:r>
          </w:p>
        </w:tc>
        <w:tc>
          <w:tcPr>
            <w:tcW w:w="2835" w:type="dxa"/>
            <w:vAlign w:val="center"/>
          </w:tcPr>
          <w:p w14:paraId="2DD1A9BE" w14:textId="1D44345F" w:rsidR="00F50872" w:rsidRPr="009077F5" w:rsidRDefault="00A41596" w:rsidP="004B0D48">
            <w:pPr>
              <w:pStyle w:val="KonuBal"/>
              <w:rPr>
                <w:sz w:val="24"/>
                <w:szCs w:val="24"/>
              </w:rPr>
            </w:pPr>
            <w:r w:rsidRPr="009077F5">
              <w:rPr>
                <w:sz w:val="24"/>
                <w:szCs w:val="24"/>
              </w:rPr>
              <w:t>Yaş yıkayıcı</w:t>
            </w:r>
          </w:p>
        </w:tc>
        <w:tc>
          <w:tcPr>
            <w:tcW w:w="5670" w:type="dxa"/>
            <w:vAlign w:val="center"/>
          </w:tcPr>
          <w:p w14:paraId="5F69A953" w14:textId="02779ADE" w:rsidR="00F50872" w:rsidRPr="009077F5" w:rsidRDefault="00F50872" w:rsidP="0050094F">
            <w:pPr>
              <w:pStyle w:val="KonuBal"/>
              <w:rPr>
                <w:sz w:val="24"/>
                <w:szCs w:val="24"/>
              </w:rPr>
            </w:pPr>
            <w:r w:rsidRPr="009077F5">
              <w:rPr>
                <w:sz w:val="24"/>
                <w:szCs w:val="24"/>
              </w:rPr>
              <w:t>Bölüm 9.11.2</w:t>
            </w:r>
            <w:r w:rsidR="00E56504" w:rsidRPr="009077F5">
              <w:rPr>
                <w:sz w:val="24"/>
                <w:szCs w:val="24"/>
              </w:rPr>
              <w:t>’</w:t>
            </w:r>
            <w:r w:rsidRPr="009077F5">
              <w:rPr>
                <w:sz w:val="24"/>
                <w:szCs w:val="24"/>
              </w:rPr>
              <w:t>ye bakınız.</w:t>
            </w:r>
          </w:p>
        </w:tc>
      </w:tr>
      <w:tr w:rsidR="00F50872" w:rsidRPr="0050094F" w14:paraId="7B3F2EA4" w14:textId="77777777" w:rsidTr="00A202FD">
        <w:tc>
          <w:tcPr>
            <w:tcW w:w="425" w:type="dxa"/>
            <w:vAlign w:val="center"/>
          </w:tcPr>
          <w:p w14:paraId="3A1AD39B" w14:textId="77777777" w:rsidR="00F50872" w:rsidRPr="009077F5" w:rsidRDefault="00F50872" w:rsidP="004B0D48">
            <w:pPr>
              <w:pStyle w:val="KonuBal"/>
              <w:rPr>
                <w:sz w:val="24"/>
                <w:szCs w:val="24"/>
              </w:rPr>
            </w:pPr>
            <w:r w:rsidRPr="009077F5">
              <w:rPr>
                <w:sz w:val="24"/>
                <w:szCs w:val="24"/>
              </w:rPr>
              <w:t>c.</w:t>
            </w:r>
          </w:p>
        </w:tc>
        <w:tc>
          <w:tcPr>
            <w:tcW w:w="2835" w:type="dxa"/>
            <w:vAlign w:val="center"/>
          </w:tcPr>
          <w:p w14:paraId="3234B3A8" w14:textId="0D2715A2" w:rsidR="00F50872" w:rsidRPr="009077F5" w:rsidRDefault="00F50872" w:rsidP="004B0D48">
            <w:pPr>
              <w:pStyle w:val="KonuBal"/>
              <w:rPr>
                <w:sz w:val="24"/>
                <w:szCs w:val="24"/>
              </w:rPr>
            </w:pPr>
            <w:r w:rsidRPr="009077F5">
              <w:rPr>
                <w:sz w:val="24"/>
                <w:szCs w:val="24"/>
              </w:rPr>
              <w:t>Buğu çözücü (demister)</w:t>
            </w:r>
          </w:p>
        </w:tc>
        <w:tc>
          <w:tcPr>
            <w:tcW w:w="5670" w:type="dxa"/>
            <w:vAlign w:val="center"/>
          </w:tcPr>
          <w:p w14:paraId="2ADCFF69" w14:textId="6ECD0F34" w:rsidR="00F50872" w:rsidRPr="0050094F" w:rsidRDefault="00F50872" w:rsidP="00A202FD">
            <w:pPr>
              <w:pStyle w:val="ListeParagraf"/>
              <w:numPr>
                <w:ilvl w:val="0"/>
                <w:numId w:val="0"/>
              </w:numPr>
              <w:tabs>
                <w:tab w:val="clear" w:pos="567"/>
              </w:tabs>
              <w:rPr>
                <w:rFonts w:eastAsia="Calibri"/>
                <w:position w:val="0"/>
                <w:sz w:val="24"/>
                <w:szCs w:val="24"/>
              </w:rPr>
            </w:pPr>
            <w:r w:rsidRPr="0050094F">
              <w:rPr>
                <w:rFonts w:eastAsia="Calibri"/>
                <w:position w:val="0"/>
                <w:sz w:val="24"/>
                <w:szCs w:val="24"/>
              </w:rPr>
              <w:t>Bölüm 9.11.2</w:t>
            </w:r>
            <w:r w:rsidR="00E56504" w:rsidRPr="0050094F">
              <w:rPr>
                <w:rFonts w:eastAsia="Calibri"/>
                <w:position w:val="0"/>
                <w:sz w:val="24"/>
                <w:szCs w:val="24"/>
              </w:rPr>
              <w:t>’</w:t>
            </w:r>
            <w:r w:rsidRPr="0050094F">
              <w:rPr>
                <w:rFonts w:eastAsia="Calibri"/>
                <w:position w:val="0"/>
                <w:sz w:val="24"/>
                <w:szCs w:val="24"/>
              </w:rPr>
              <w:t>ye bakınız.</w:t>
            </w:r>
          </w:p>
        </w:tc>
      </w:tr>
    </w:tbl>
    <w:p w14:paraId="5676043D" w14:textId="77777777" w:rsidR="00F50872" w:rsidRPr="00D53A2B" w:rsidRDefault="00F50872" w:rsidP="00A202FD">
      <w:pPr>
        <w:jc w:val="both"/>
        <w:rPr>
          <w:rFonts w:eastAsia="Calibri"/>
          <w:lang w:eastAsia="en-US"/>
        </w:rPr>
      </w:pPr>
    </w:p>
    <w:p w14:paraId="0E370384" w14:textId="1AAEBDA9" w:rsidR="00F50872" w:rsidRPr="00D53A2B" w:rsidRDefault="00F50872"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3929AFD5" w14:textId="77777777" w:rsidR="00F50872" w:rsidRPr="00D53A2B" w:rsidRDefault="00F50872" w:rsidP="00A202FD">
      <w:pPr>
        <w:jc w:val="both"/>
        <w:rPr>
          <w:rFonts w:eastAsia="Calibri"/>
          <w:lang w:eastAsia="en-US"/>
        </w:rPr>
      </w:pPr>
    </w:p>
    <w:p w14:paraId="4CAB2B16" w14:textId="398B1A44" w:rsidR="00F50872" w:rsidRPr="00D53A2B" w:rsidRDefault="00816D19" w:rsidP="00A202FD">
      <w:pPr>
        <w:pStyle w:val="Balk4"/>
        <w:rPr>
          <w:rFonts w:eastAsia="Calibri" w:cs="Times New Roman"/>
          <w:lang w:eastAsia="en-US"/>
        </w:rPr>
      </w:pPr>
      <w:r w:rsidRPr="00D53A2B">
        <w:rPr>
          <w:rFonts w:eastAsia="Calibri" w:cs="Times New Roman"/>
          <w:lang w:eastAsia="en-US"/>
        </w:rPr>
        <w:t>1.1</w:t>
      </w:r>
      <w:r w:rsidR="00F50872" w:rsidRPr="00D53A2B">
        <w:rPr>
          <w:rFonts w:eastAsia="Calibri" w:cs="Times New Roman"/>
          <w:lang w:eastAsia="en-US"/>
        </w:rPr>
        <w:t>.7.3. Dekapajdan kaynaklanan hava emisyonları</w:t>
      </w:r>
    </w:p>
    <w:p w14:paraId="7EF34B49" w14:textId="48B5B128" w:rsidR="00F50872" w:rsidRPr="00D53A2B" w:rsidRDefault="00F50872" w:rsidP="00A202FD">
      <w:pPr>
        <w:pStyle w:val="MET"/>
        <w:rPr>
          <w:rFonts w:eastAsia="Calibri"/>
          <w:szCs w:val="24"/>
        </w:rPr>
      </w:pPr>
      <w:r w:rsidRPr="00D53A2B">
        <w:rPr>
          <w:rFonts w:eastAsia="Calibri"/>
          <w:szCs w:val="24"/>
        </w:rPr>
        <w:t xml:space="preserve">MET 24: </w:t>
      </w:r>
      <w:r w:rsidRPr="00D53A2B">
        <w:rPr>
          <w:rFonts w:eastAsia="Calibri"/>
          <w:b w:val="0"/>
          <w:bCs/>
          <w:szCs w:val="24"/>
        </w:rPr>
        <w:t>Sıcak haddeleme, soğuk haddeleme, sıcak daldırma kaplama ve tel çekmede asitleme işleminden kaynaklanan toz, asit (HCl, HF, H</w:t>
      </w:r>
      <w:r w:rsidRPr="00D53A2B">
        <w:rPr>
          <w:rFonts w:eastAsia="Calibri"/>
          <w:b w:val="0"/>
          <w:bCs/>
          <w:szCs w:val="24"/>
          <w:vertAlign w:val="subscript"/>
        </w:rPr>
        <w:t>2</w:t>
      </w:r>
      <w:r w:rsidRPr="00D53A2B">
        <w:rPr>
          <w:rFonts w:eastAsia="Calibri"/>
          <w:b w:val="0"/>
          <w:bCs/>
          <w:szCs w:val="24"/>
        </w:rPr>
        <w:t>SO</w:t>
      </w:r>
      <w:r w:rsidRPr="00D53A2B">
        <w:rPr>
          <w:rFonts w:eastAsia="Calibri"/>
          <w:b w:val="0"/>
          <w:bCs/>
          <w:szCs w:val="24"/>
          <w:vertAlign w:val="subscript"/>
        </w:rPr>
        <w:t>4</w:t>
      </w:r>
      <w:r w:rsidRPr="00D53A2B">
        <w:rPr>
          <w:rFonts w:eastAsia="Calibri"/>
          <w:b w:val="0"/>
          <w:bCs/>
          <w:szCs w:val="24"/>
        </w:rPr>
        <w:t>) ve SO</w:t>
      </w:r>
      <w:r w:rsidRPr="00D53A2B">
        <w:rPr>
          <w:rFonts w:eastAsia="Calibri"/>
          <w:b w:val="0"/>
          <w:bCs/>
          <w:szCs w:val="24"/>
          <w:vertAlign w:val="subscript"/>
        </w:rPr>
        <w:t>x</w:t>
      </w:r>
      <w:r w:rsidRPr="00D53A2B">
        <w:rPr>
          <w:rFonts w:eastAsia="Calibri"/>
          <w:b w:val="0"/>
          <w:bCs/>
          <w:szCs w:val="24"/>
        </w:rPr>
        <w:t xml:space="preserve"> emisyonlarını azaltmak için aşağıda verilen teknik (c) ile birlikte teknik (a) veya teknik (b) kullan</w:t>
      </w:r>
      <w:r w:rsidR="00A41596" w:rsidRPr="00D53A2B">
        <w:rPr>
          <w:rFonts w:eastAsia="Calibri"/>
          <w:b w:val="0"/>
          <w:bCs/>
          <w:szCs w:val="24"/>
        </w:rPr>
        <w:t>ılır</w:t>
      </w:r>
      <w:r w:rsidRPr="00D53A2B">
        <w:rPr>
          <w:rFonts w:eastAsia="Calibri"/>
          <w:b w:val="0"/>
          <w:bCs/>
          <w:szCs w:val="24"/>
        </w:rPr>
        <w:t>.</w:t>
      </w:r>
    </w:p>
    <w:p w14:paraId="3EB1F70B" w14:textId="77777777" w:rsidR="00F50872" w:rsidRPr="00D53A2B" w:rsidRDefault="00F50872" w:rsidP="00A202FD">
      <w:pPr>
        <w:jc w:val="both"/>
        <w:rPr>
          <w:rFonts w:eastAsia="Calibri"/>
        </w:rPr>
      </w:pPr>
    </w:p>
    <w:tbl>
      <w:tblPr>
        <w:tblStyle w:val="TabloKlavuzu"/>
        <w:tblW w:w="8930" w:type="dxa"/>
        <w:tblInd w:w="137" w:type="dxa"/>
        <w:tblLayout w:type="fixed"/>
        <w:tblLook w:val="04A0" w:firstRow="1" w:lastRow="0" w:firstColumn="1" w:lastColumn="0" w:noHBand="0" w:noVBand="1"/>
      </w:tblPr>
      <w:tblGrid>
        <w:gridCol w:w="425"/>
        <w:gridCol w:w="3119"/>
        <w:gridCol w:w="5386"/>
      </w:tblGrid>
      <w:tr w:rsidR="00F50872" w:rsidRPr="0050094F" w14:paraId="57CDF561" w14:textId="77777777" w:rsidTr="009077F5">
        <w:tc>
          <w:tcPr>
            <w:tcW w:w="3544" w:type="dxa"/>
            <w:gridSpan w:val="2"/>
          </w:tcPr>
          <w:p w14:paraId="24E00799" w14:textId="77777777" w:rsidR="00F50872" w:rsidRPr="009077F5" w:rsidRDefault="00F50872" w:rsidP="004B0D48">
            <w:pPr>
              <w:pStyle w:val="KonuBal"/>
              <w:rPr>
                <w:sz w:val="24"/>
                <w:szCs w:val="24"/>
              </w:rPr>
            </w:pPr>
            <w:r w:rsidRPr="009077F5">
              <w:rPr>
                <w:sz w:val="24"/>
                <w:szCs w:val="24"/>
              </w:rPr>
              <w:t>Teknik</w:t>
            </w:r>
          </w:p>
        </w:tc>
        <w:tc>
          <w:tcPr>
            <w:tcW w:w="5386" w:type="dxa"/>
          </w:tcPr>
          <w:p w14:paraId="41904C5A" w14:textId="77777777" w:rsidR="00F50872" w:rsidRPr="009077F5" w:rsidRDefault="00F50872" w:rsidP="004B0D48">
            <w:pPr>
              <w:pStyle w:val="KonuBal"/>
              <w:rPr>
                <w:sz w:val="24"/>
                <w:szCs w:val="24"/>
              </w:rPr>
            </w:pPr>
            <w:r w:rsidRPr="009077F5">
              <w:rPr>
                <w:sz w:val="24"/>
                <w:szCs w:val="24"/>
              </w:rPr>
              <w:t>Açıklama</w:t>
            </w:r>
          </w:p>
        </w:tc>
      </w:tr>
      <w:tr w:rsidR="00F50872" w:rsidRPr="0050094F" w14:paraId="5241D749" w14:textId="77777777" w:rsidTr="00A202FD">
        <w:tc>
          <w:tcPr>
            <w:tcW w:w="8930" w:type="dxa"/>
            <w:gridSpan w:val="3"/>
          </w:tcPr>
          <w:p w14:paraId="134B7E88" w14:textId="77777777" w:rsidR="00F50872" w:rsidRPr="009077F5" w:rsidRDefault="00F50872" w:rsidP="004B0D48">
            <w:pPr>
              <w:pStyle w:val="KonuBal"/>
              <w:rPr>
                <w:sz w:val="24"/>
                <w:szCs w:val="24"/>
              </w:rPr>
            </w:pPr>
            <w:r w:rsidRPr="009077F5">
              <w:rPr>
                <w:sz w:val="24"/>
                <w:szCs w:val="24"/>
              </w:rPr>
              <w:t>Emisyonların toplanması</w:t>
            </w:r>
          </w:p>
        </w:tc>
      </w:tr>
      <w:tr w:rsidR="00F50872" w:rsidRPr="0050094F" w14:paraId="06408D7F" w14:textId="77777777" w:rsidTr="009077F5">
        <w:tc>
          <w:tcPr>
            <w:tcW w:w="425" w:type="dxa"/>
            <w:vAlign w:val="center"/>
          </w:tcPr>
          <w:p w14:paraId="42ECE7FB" w14:textId="77777777" w:rsidR="00F50872" w:rsidRPr="009077F5" w:rsidRDefault="00F50872" w:rsidP="004B0D48">
            <w:pPr>
              <w:pStyle w:val="KonuBal"/>
              <w:rPr>
                <w:sz w:val="24"/>
                <w:szCs w:val="24"/>
              </w:rPr>
            </w:pPr>
            <w:r w:rsidRPr="009077F5">
              <w:rPr>
                <w:sz w:val="24"/>
                <w:szCs w:val="24"/>
              </w:rPr>
              <w:t>a.</w:t>
            </w:r>
          </w:p>
        </w:tc>
        <w:tc>
          <w:tcPr>
            <w:tcW w:w="3119" w:type="dxa"/>
            <w:vAlign w:val="center"/>
          </w:tcPr>
          <w:p w14:paraId="158C6792" w14:textId="3A75AD0C" w:rsidR="00F50872" w:rsidRPr="009077F5" w:rsidRDefault="00F50872" w:rsidP="004B0D48">
            <w:pPr>
              <w:pStyle w:val="KonuBal"/>
              <w:rPr>
                <w:sz w:val="24"/>
                <w:szCs w:val="24"/>
              </w:rPr>
            </w:pPr>
            <w:r w:rsidRPr="009077F5">
              <w:rPr>
                <w:sz w:val="24"/>
                <w:szCs w:val="24"/>
              </w:rPr>
              <w:t>Duman ekstraksiyonu ile birlikte kapalı tanklarda sürekli dekapaj</w:t>
            </w:r>
          </w:p>
        </w:tc>
        <w:tc>
          <w:tcPr>
            <w:tcW w:w="5386" w:type="dxa"/>
            <w:vAlign w:val="center"/>
          </w:tcPr>
          <w:p w14:paraId="466E0848" w14:textId="60C41FDB" w:rsidR="00F50872" w:rsidRPr="009077F5" w:rsidRDefault="00F50872" w:rsidP="0050094F">
            <w:pPr>
              <w:pStyle w:val="KonuBal"/>
              <w:rPr>
                <w:sz w:val="24"/>
                <w:szCs w:val="24"/>
              </w:rPr>
            </w:pPr>
            <w:r w:rsidRPr="009077F5">
              <w:rPr>
                <w:sz w:val="24"/>
                <w:szCs w:val="24"/>
              </w:rPr>
              <w:t>Sürekli dekapaj, çelik şerit veya tel için sınırlı giriş ve çıkış açıklıkları olan kapalı tanklarda gerçekleştirilir. Dekapaj tanklarından çıkan dumanlar ekstrakte edilir.</w:t>
            </w:r>
          </w:p>
        </w:tc>
      </w:tr>
      <w:tr w:rsidR="00F50872" w:rsidRPr="0050094F" w14:paraId="73382E5A" w14:textId="77777777" w:rsidTr="009077F5">
        <w:tc>
          <w:tcPr>
            <w:tcW w:w="425" w:type="dxa"/>
            <w:vAlign w:val="center"/>
          </w:tcPr>
          <w:p w14:paraId="3A0DD129" w14:textId="21AADCF2" w:rsidR="00F50872" w:rsidRPr="009077F5" w:rsidRDefault="00F50872" w:rsidP="004B0D48">
            <w:pPr>
              <w:pStyle w:val="KonuBal"/>
              <w:rPr>
                <w:sz w:val="24"/>
                <w:szCs w:val="24"/>
              </w:rPr>
            </w:pPr>
            <w:r w:rsidRPr="009077F5">
              <w:rPr>
                <w:sz w:val="24"/>
                <w:szCs w:val="24"/>
              </w:rPr>
              <w:t>b.</w:t>
            </w:r>
          </w:p>
        </w:tc>
        <w:tc>
          <w:tcPr>
            <w:tcW w:w="3119" w:type="dxa"/>
            <w:vAlign w:val="center"/>
          </w:tcPr>
          <w:p w14:paraId="3F1DE18B" w14:textId="66BCD1DB" w:rsidR="00F50872" w:rsidRPr="009077F5" w:rsidRDefault="00F50872" w:rsidP="004B0D48">
            <w:pPr>
              <w:pStyle w:val="KonuBal"/>
              <w:rPr>
                <w:sz w:val="24"/>
                <w:szCs w:val="24"/>
              </w:rPr>
            </w:pPr>
            <w:r w:rsidRPr="009077F5">
              <w:rPr>
                <w:sz w:val="24"/>
                <w:szCs w:val="24"/>
              </w:rPr>
              <w:t>Kapaklı tanklarda veya duman emme ile birlikte kapalı davlumbazlarda toplu dekapaj.</w:t>
            </w:r>
          </w:p>
        </w:tc>
        <w:tc>
          <w:tcPr>
            <w:tcW w:w="5386" w:type="dxa"/>
            <w:vAlign w:val="center"/>
          </w:tcPr>
          <w:p w14:paraId="78626E8E" w14:textId="2F260F62" w:rsidR="00F50872" w:rsidRPr="009077F5" w:rsidRDefault="00F50872" w:rsidP="0050094F">
            <w:pPr>
              <w:pStyle w:val="KonuBal"/>
              <w:rPr>
                <w:sz w:val="24"/>
                <w:szCs w:val="24"/>
              </w:rPr>
            </w:pPr>
            <w:r w:rsidRPr="009077F5">
              <w:rPr>
                <w:sz w:val="24"/>
                <w:szCs w:val="24"/>
              </w:rPr>
              <w:t>Toplu dekapaj, filmaşin bobinlerinin şarj edilmesine izin vermek için açılabilen kapaklarla veya kapalı davlumbazlarla donatılmış tanklarda gerçekleştirilir. Dekapaj tanklarından çıkan dumanlar ekstrakte edilir.</w:t>
            </w:r>
          </w:p>
        </w:tc>
      </w:tr>
      <w:tr w:rsidR="00F50872" w:rsidRPr="0050094F" w14:paraId="719F00E6" w14:textId="77777777" w:rsidTr="00A202FD">
        <w:tc>
          <w:tcPr>
            <w:tcW w:w="8930" w:type="dxa"/>
            <w:gridSpan w:val="3"/>
            <w:vAlign w:val="center"/>
          </w:tcPr>
          <w:p w14:paraId="758104B8" w14:textId="77777777" w:rsidR="00F50872" w:rsidRPr="009077F5" w:rsidRDefault="00F50872" w:rsidP="004B0D48">
            <w:pPr>
              <w:pStyle w:val="KonuBal"/>
              <w:rPr>
                <w:sz w:val="24"/>
                <w:szCs w:val="24"/>
              </w:rPr>
            </w:pPr>
            <w:r w:rsidRPr="009077F5">
              <w:rPr>
                <w:sz w:val="24"/>
                <w:szCs w:val="24"/>
              </w:rPr>
              <w:t>Atık gaz arıtımı</w:t>
            </w:r>
          </w:p>
        </w:tc>
      </w:tr>
      <w:tr w:rsidR="00F50872" w:rsidRPr="0050094F" w14:paraId="388F8134" w14:textId="77777777" w:rsidTr="009077F5">
        <w:tc>
          <w:tcPr>
            <w:tcW w:w="425" w:type="dxa"/>
            <w:vAlign w:val="center"/>
          </w:tcPr>
          <w:p w14:paraId="7BF273B5" w14:textId="4B0C6C43" w:rsidR="00F50872" w:rsidRPr="009077F5" w:rsidRDefault="00F50872" w:rsidP="004B0D48">
            <w:pPr>
              <w:pStyle w:val="KonuBal"/>
              <w:rPr>
                <w:sz w:val="24"/>
                <w:szCs w:val="24"/>
              </w:rPr>
            </w:pPr>
            <w:r w:rsidRPr="009077F5">
              <w:rPr>
                <w:sz w:val="24"/>
                <w:szCs w:val="24"/>
              </w:rPr>
              <w:t>c.</w:t>
            </w:r>
          </w:p>
        </w:tc>
        <w:tc>
          <w:tcPr>
            <w:tcW w:w="3119" w:type="dxa"/>
            <w:vAlign w:val="center"/>
          </w:tcPr>
          <w:p w14:paraId="1F4DE636" w14:textId="29CA5ADD" w:rsidR="00F50872" w:rsidRPr="009077F5" w:rsidRDefault="00F50872" w:rsidP="004B0D48">
            <w:pPr>
              <w:pStyle w:val="KonuBal"/>
              <w:rPr>
                <w:sz w:val="24"/>
                <w:szCs w:val="24"/>
              </w:rPr>
            </w:pPr>
            <w:r w:rsidRPr="009077F5">
              <w:rPr>
                <w:sz w:val="24"/>
                <w:szCs w:val="24"/>
              </w:rPr>
              <w:t xml:space="preserve">Buğu çözücü sonrası yaş </w:t>
            </w:r>
            <w:r w:rsidR="00A41596" w:rsidRPr="009077F5">
              <w:rPr>
                <w:sz w:val="24"/>
                <w:szCs w:val="24"/>
              </w:rPr>
              <w:t>yıkama</w:t>
            </w:r>
          </w:p>
        </w:tc>
        <w:tc>
          <w:tcPr>
            <w:tcW w:w="5386" w:type="dxa"/>
            <w:vAlign w:val="center"/>
          </w:tcPr>
          <w:p w14:paraId="0A85580C" w14:textId="287B8696" w:rsidR="00F50872" w:rsidRPr="009077F5" w:rsidRDefault="00F50872" w:rsidP="0050094F">
            <w:pPr>
              <w:pStyle w:val="KonuBal"/>
              <w:rPr>
                <w:sz w:val="24"/>
                <w:szCs w:val="24"/>
              </w:rPr>
            </w:pPr>
            <w:r w:rsidRPr="009077F5">
              <w:rPr>
                <w:sz w:val="24"/>
                <w:szCs w:val="24"/>
              </w:rPr>
              <w:t xml:space="preserve">Bölüm </w:t>
            </w:r>
            <w:r w:rsidR="00B31B5F" w:rsidRPr="009077F5">
              <w:rPr>
                <w:sz w:val="24"/>
                <w:szCs w:val="24"/>
              </w:rPr>
              <w:t>1</w:t>
            </w:r>
            <w:r w:rsidRPr="009077F5">
              <w:rPr>
                <w:sz w:val="24"/>
                <w:szCs w:val="24"/>
              </w:rPr>
              <w:t>.11.2</w:t>
            </w:r>
            <w:r w:rsidR="00E56504" w:rsidRPr="009077F5">
              <w:rPr>
                <w:sz w:val="24"/>
                <w:szCs w:val="24"/>
              </w:rPr>
              <w:t>’</w:t>
            </w:r>
            <w:r w:rsidRPr="009077F5">
              <w:rPr>
                <w:sz w:val="24"/>
                <w:szCs w:val="24"/>
              </w:rPr>
              <w:t>ye bakınız.</w:t>
            </w:r>
          </w:p>
        </w:tc>
      </w:tr>
    </w:tbl>
    <w:p w14:paraId="7C6F54C4" w14:textId="77777777" w:rsidR="00F50872" w:rsidRPr="00D53A2B" w:rsidRDefault="00F50872" w:rsidP="00A202FD">
      <w:pPr>
        <w:jc w:val="both"/>
        <w:rPr>
          <w:rFonts w:eastAsia="Calibri"/>
        </w:rPr>
      </w:pPr>
    </w:p>
    <w:p w14:paraId="5E73AD0C" w14:textId="25E6E0D7" w:rsidR="00421AB1" w:rsidRPr="00D53A2B" w:rsidRDefault="009F72A8" w:rsidP="00A202FD">
      <w:pPr>
        <w:jc w:val="both"/>
        <w:rPr>
          <w:rFonts w:eastAsia="Calibri"/>
        </w:rPr>
      </w:pPr>
      <w:r w:rsidRPr="00D53A2B">
        <w:rPr>
          <w:rFonts w:eastAsia="Calibri"/>
        </w:rPr>
        <w:t xml:space="preserve">Tablo </w:t>
      </w:r>
      <w:r w:rsidR="00B31B5F" w:rsidRPr="00D53A2B">
        <w:rPr>
          <w:rFonts w:eastAsia="Calibri"/>
        </w:rPr>
        <w:t>1</w:t>
      </w:r>
      <w:r w:rsidRPr="00D53A2B">
        <w:rPr>
          <w:rFonts w:eastAsia="Calibri"/>
        </w:rPr>
        <w:t>.14</w:t>
      </w:r>
    </w:p>
    <w:p w14:paraId="2C362CBC" w14:textId="49C8B267" w:rsidR="00F50872" w:rsidRPr="00D53A2B" w:rsidRDefault="009F72A8" w:rsidP="00A202FD">
      <w:pPr>
        <w:jc w:val="both"/>
        <w:rPr>
          <w:rFonts w:eastAsia="Calibri"/>
          <w:lang w:eastAsia="en-US"/>
        </w:rPr>
      </w:pPr>
      <w:r w:rsidRPr="00D53A2B">
        <w:rPr>
          <w:rFonts w:eastAsia="Calibri"/>
        </w:rPr>
        <w:t>Sıcak haddeleme, soğuk haddeleme ve sıcak daldırma kaplamada asitleme işleminden kaynaklanan HCl, HF ve SOX</w:t>
      </w:r>
      <w:r w:rsidR="00E56504" w:rsidRPr="00D53A2B">
        <w:rPr>
          <w:rFonts w:eastAsia="Calibri"/>
        </w:rPr>
        <w:t>’</w:t>
      </w:r>
      <w:r w:rsidRPr="00D53A2B">
        <w:rPr>
          <w:rFonts w:eastAsia="Calibri"/>
        </w:rPr>
        <w:t xml:space="preserve">un havaya kanalize emisyonları için </w:t>
      </w:r>
      <w:r w:rsidRPr="00D53A2B">
        <w:rPr>
          <w:rFonts w:eastAsia="Calibri"/>
          <w:lang w:eastAsia="en-US"/>
        </w:rPr>
        <w:t>MET-ilişkili emisyon seviyeleri (MET-İES)</w:t>
      </w:r>
    </w:p>
    <w:p w14:paraId="3370E5C5" w14:textId="77777777" w:rsidR="00C15CF2" w:rsidRPr="00D53A2B" w:rsidRDefault="00C15CF2" w:rsidP="00A202FD">
      <w:pPr>
        <w:jc w:val="both"/>
        <w:rPr>
          <w:rFonts w:eastAsia="Calibri"/>
        </w:rPr>
      </w:pPr>
    </w:p>
    <w:tbl>
      <w:tblPr>
        <w:tblStyle w:val="TabloKlavuzu"/>
        <w:tblW w:w="8930" w:type="dxa"/>
        <w:tblInd w:w="137" w:type="dxa"/>
        <w:tblLook w:val="04A0" w:firstRow="1" w:lastRow="0" w:firstColumn="1" w:lastColumn="0" w:noHBand="0" w:noVBand="1"/>
      </w:tblPr>
      <w:tblGrid>
        <w:gridCol w:w="1418"/>
        <w:gridCol w:w="1417"/>
        <w:gridCol w:w="6095"/>
      </w:tblGrid>
      <w:tr w:rsidR="009F72A8" w:rsidRPr="00D53A2B" w14:paraId="69463E85" w14:textId="77777777" w:rsidTr="009F72A8">
        <w:tc>
          <w:tcPr>
            <w:tcW w:w="1418" w:type="dxa"/>
          </w:tcPr>
          <w:p w14:paraId="1C1511B4" w14:textId="77777777" w:rsidR="009F72A8" w:rsidRPr="009077F5" w:rsidRDefault="009F72A8" w:rsidP="004B0D48">
            <w:pPr>
              <w:pStyle w:val="KonuBal"/>
              <w:rPr>
                <w:sz w:val="24"/>
                <w:szCs w:val="24"/>
              </w:rPr>
            </w:pPr>
            <w:r w:rsidRPr="009077F5">
              <w:rPr>
                <w:sz w:val="24"/>
                <w:szCs w:val="24"/>
              </w:rPr>
              <w:t>Parametre</w:t>
            </w:r>
          </w:p>
        </w:tc>
        <w:tc>
          <w:tcPr>
            <w:tcW w:w="1417" w:type="dxa"/>
          </w:tcPr>
          <w:p w14:paraId="6F54E075" w14:textId="77777777" w:rsidR="009F72A8" w:rsidRPr="009077F5" w:rsidRDefault="009F72A8" w:rsidP="004B0D48">
            <w:pPr>
              <w:pStyle w:val="KonuBal"/>
              <w:rPr>
                <w:sz w:val="24"/>
                <w:szCs w:val="24"/>
              </w:rPr>
            </w:pPr>
            <w:r w:rsidRPr="009077F5">
              <w:rPr>
                <w:sz w:val="24"/>
                <w:szCs w:val="24"/>
              </w:rPr>
              <w:t>Birim</w:t>
            </w:r>
          </w:p>
        </w:tc>
        <w:tc>
          <w:tcPr>
            <w:tcW w:w="6095" w:type="dxa"/>
          </w:tcPr>
          <w:p w14:paraId="1B883DE2" w14:textId="77777777" w:rsidR="009F72A8" w:rsidRPr="009077F5" w:rsidRDefault="009F72A8" w:rsidP="00A202FD">
            <w:pPr>
              <w:jc w:val="both"/>
              <w:rPr>
                <w:rFonts w:eastAsia="Calibri"/>
                <w:lang w:eastAsia="en-US"/>
              </w:rPr>
            </w:pPr>
            <w:r w:rsidRPr="009077F5">
              <w:rPr>
                <w:rFonts w:eastAsia="Calibri"/>
                <w:lang w:eastAsia="en-US"/>
              </w:rPr>
              <w:t xml:space="preserve">MET-İES </w:t>
            </w:r>
          </w:p>
          <w:p w14:paraId="2F22E8B5" w14:textId="54BABE19" w:rsidR="009F72A8" w:rsidRPr="009077F5" w:rsidRDefault="009F72A8" w:rsidP="004B0D48">
            <w:pPr>
              <w:pStyle w:val="KonuBal"/>
              <w:rPr>
                <w:sz w:val="24"/>
                <w:szCs w:val="24"/>
              </w:rPr>
            </w:pPr>
            <w:r w:rsidRPr="009077F5">
              <w:rPr>
                <w:sz w:val="24"/>
                <w:szCs w:val="24"/>
              </w:rPr>
              <w:lastRenderedPageBreak/>
              <w:t>(Günlük ortalama veya numune alma süresi boyunca ortalama)</w:t>
            </w:r>
          </w:p>
        </w:tc>
      </w:tr>
      <w:tr w:rsidR="009F72A8" w:rsidRPr="00D53A2B" w14:paraId="008197B7" w14:textId="77777777" w:rsidTr="009F72A8">
        <w:tc>
          <w:tcPr>
            <w:tcW w:w="1418" w:type="dxa"/>
          </w:tcPr>
          <w:p w14:paraId="46D95B31" w14:textId="096F1499" w:rsidR="009F72A8" w:rsidRPr="009077F5" w:rsidRDefault="009F72A8" w:rsidP="004B0D48">
            <w:pPr>
              <w:pStyle w:val="KonuBal"/>
              <w:rPr>
                <w:sz w:val="24"/>
                <w:szCs w:val="24"/>
              </w:rPr>
            </w:pPr>
            <w:r w:rsidRPr="009077F5">
              <w:rPr>
                <w:sz w:val="24"/>
                <w:szCs w:val="24"/>
              </w:rPr>
              <w:lastRenderedPageBreak/>
              <w:t>HCl</w:t>
            </w:r>
          </w:p>
        </w:tc>
        <w:tc>
          <w:tcPr>
            <w:tcW w:w="1417" w:type="dxa"/>
          </w:tcPr>
          <w:p w14:paraId="1B8C4FB4" w14:textId="77777777" w:rsidR="009F72A8" w:rsidRPr="009077F5" w:rsidRDefault="009F72A8"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065185AB" w14:textId="6624439D" w:rsidR="009F72A8" w:rsidRPr="009077F5" w:rsidRDefault="009F72A8" w:rsidP="0050094F">
            <w:pPr>
              <w:pStyle w:val="KonuBal"/>
              <w:rPr>
                <w:sz w:val="24"/>
                <w:szCs w:val="24"/>
              </w:rPr>
            </w:pPr>
            <w:r w:rsidRPr="009077F5">
              <w:rPr>
                <w:sz w:val="24"/>
                <w:szCs w:val="24"/>
              </w:rPr>
              <w:t>&lt; 2-10 (</w:t>
            </w:r>
            <w:r w:rsidRPr="009077F5">
              <w:rPr>
                <w:sz w:val="24"/>
                <w:szCs w:val="24"/>
                <w:vertAlign w:val="superscript"/>
              </w:rPr>
              <w:t>1</w:t>
            </w:r>
            <w:r w:rsidRPr="009077F5">
              <w:rPr>
                <w:sz w:val="24"/>
                <w:szCs w:val="24"/>
              </w:rPr>
              <w:t>)</w:t>
            </w:r>
          </w:p>
        </w:tc>
      </w:tr>
      <w:tr w:rsidR="009F72A8" w:rsidRPr="00D53A2B" w14:paraId="36DE4C67" w14:textId="77777777" w:rsidTr="009F72A8">
        <w:tc>
          <w:tcPr>
            <w:tcW w:w="1418" w:type="dxa"/>
          </w:tcPr>
          <w:p w14:paraId="06A5E980" w14:textId="78018BAC" w:rsidR="009F72A8" w:rsidRPr="009077F5" w:rsidRDefault="009F72A8" w:rsidP="004B0D48">
            <w:pPr>
              <w:pStyle w:val="KonuBal"/>
              <w:rPr>
                <w:sz w:val="24"/>
                <w:szCs w:val="24"/>
              </w:rPr>
            </w:pPr>
            <w:r w:rsidRPr="009077F5">
              <w:rPr>
                <w:sz w:val="24"/>
                <w:szCs w:val="24"/>
              </w:rPr>
              <w:t>HF</w:t>
            </w:r>
          </w:p>
        </w:tc>
        <w:tc>
          <w:tcPr>
            <w:tcW w:w="1417" w:type="dxa"/>
          </w:tcPr>
          <w:p w14:paraId="25FB98D0" w14:textId="77777777" w:rsidR="009F72A8" w:rsidRPr="009077F5" w:rsidRDefault="009F72A8"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78AD9948" w14:textId="57F5CB90" w:rsidR="009F72A8" w:rsidRPr="009077F5" w:rsidRDefault="009F72A8" w:rsidP="0050094F">
            <w:pPr>
              <w:pStyle w:val="KonuBal"/>
              <w:rPr>
                <w:sz w:val="24"/>
                <w:szCs w:val="24"/>
              </w:rPr>
            </w:pPr>
            <w:r w:rsidRPr="009077F5">
              <w:rPr>
                <w:sz w:val="24"/>
                <w:szCs w:val="24"/>
              </w:rPr>
              <w:t>&lt;1(</w:t>
            </w:r>
            <w:r w:rsidRPr="009077F5">
              <w:rPr>
                <w:sz w:val="24"/>
                <w:szCs w:val="24"/>
                <w:vertAlign w:val="superscript"/>
              </w:rPr>
              <w:t>2</w:t>
            </w:r>
            <w:r w:rsidRPr="009077F5">
              <w:rPr>
                <w:sz w:val="24"/>
                <w:szCs w:val="24"/>
              </w:rPr>
              <w:t>)</w:t>
            </w:r>
          </w:p>
        </w:tc>
      </w:tr>
      <w:tr w:rsidR="009F72A8" w:rsidRPr="00D53A2B" w14:paraId="20267F3B" w14:textId="77777777" w:rsidTr="009F72A8">
        <w:tc>
          <w:tcPr>
            <w:tcW w:w="1418" w:type="dxa"/>
          </w:tcPr>
          <w:p w14:paraId="48B6D4DC" w14:textId="794A8318" w:rsidR="009F72A8" w:rsidRPr="009077F5" w:rsidRDefault="009F72A8" w:rsidP="004B0D48">
            <w:pPr>
              <w:pStyle w:val="KonuBal"/>
              <w:rPr>
                <w:sz w:val="24"/>
                <w:szCs w:val="24"/>
              </w:rPr>
            </w:pPr>
            <w:r w:rsidRPr="009077F5">
              <w:rPr>
                <w:sz w:val="24"/>
                <w:szCs w:val="24"/>
              </w:rPr>
              <w:t>SO</w:t>
            </w:r>
            <w:r w:rsidRPr="009077F5">
              <w:rPr>
                <w:sz w:val="24"/>
                <w:szCs w:val="24"/>
                <w:vertAlign w:val="subscript"/>
              </w:rPr>
              <w:t>x</w:t>
            </w:r>
          </w:p>
        </w:tc>
        <w:tc>
          <w:tcPr>
            <w:tcW w:w="1417" w:type="dxa"/>
          </w:tcPr>
          <w:p w14:paraId="2910D22B" w14:textId="621EE122" w:rsidR="009F72A8" w:rsidRPr="009077F5" w:rsidRDefault="009F72A8"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055B71B9" w14:textId="0B8F3998" w:rsidR="009F72A8" w:rsidRPr="009077F5" w:rsidRDefault="009F72A8" w:rsidP="0050094F">
            <w:pPr>
              <w:pStyle w:val="KonuBal"/>
              <w:rPr>
                <w:sz w:val="24"/>
                <w:szCs w:val="24"/>
              </w:rPr>
            </w:pPr>
            <w:r w:rsidRPr="009077F5">
              <w:rPr>
                <w:sz w:val="24"/>
                <w:szCs w:val="24"/>
              </w:rPr>
              <w:t>&lt; 1-6 (</w:t>
            </w:r>
            <w:r w:rsidRPr="009077F5">
              <w:rPr>
                <w:sz w:val="24"/>
                <w:szCs w:val="24"/>
                <w:vertAlign w:val="superscript"/>
              </w:rPr>
              <w:t>3</w:t>
            </w:r>
            <w:r w:rsidRPr="009077F5">
              <w:rPr>
                <w:sz w:val="24"/>
                <w:szCs w:val="24"/>
              </w:rPr>
              <w:t>)</w:t>
            </w:r>
          </w:p>
        </w:tc>
      </w:tr>
      <w:tr w:rsidR="009F72A8" w:rsidRPr="00D53A2B" w14:paraId="5EF3597E" w14:textId="77777777" w:rsidTr="00A202FD">
        <w:tc>
          <w:tcPr>
            <w:tcW w:w="8930" w:type="dxa"/>
            <w:gridSpan w:val="3"/>
          </w:tcPr>
          <w:p w14:paraId="2A66CD46" w14:textId="524DFB13" w:rsidR="009F72A8" w:rsidRPr="00D53A2B" w:rsidRDefault="009F72A8" w:rsidP="004B0D48">
            <w:pPr>
              <w:pStyle w:val="KonuBal"/>
            </w:pPr>
            <w:r w:rsidRPr="00D53A2B">
              <w:t>(</w:t>
            </w:r>
            <w:r w:rsidRPr="00D53A2B">
              <w:rPr>
                <w:vertAlign w:val="superscript"/>
              </w:rPr>
              <w:t>1</w:t>
            </w:r>
            <w:r w:rsidRPr="00D53A2B">
              <w:t>) Bu MET-İES sadece hidroklorik asitle asitleme için geçerlidir.</w:t>
            </w:r>
          </w:p>
          <w:p w14:paraId="44DDB991" w14:textId="70B5BD30" w:rsidR="009F72A8" w:rsidRPr="00D53A2B" w:rsidRDefault="009F72A8" w:rsidP="004B0D48">
            <w:pPr>
              <w:pStyle w:val="KonuBal"/>
            </w:pPr>
            <w:r w:rsidRPr="00D53A2B">
              <w:t>(</w:t>
            </w:r>
            <w:r w:rsidRPr="00D53A2B">
              <w:rPr>
                <w:vertAlign w:val="superscript"/>
              </w:rPr>
              <w:t>2</w:t>
            </w:r>
            <w:r w:rsidRPr="00D53A2B">
              <w:t>) Bu MET-İES sadece hidroflorik asit içeren asit karışımları ile asitleme için geçerlidir.</w:t>
            </w:r>
          </w:p>
          <w:p w14:paraId="693CDCE6" w14:textId="3CDF3337" w:rsidR="009F72A8" w:rsidRPr="00D53A2B" w:rsidRDefault="009F72A8" w:rsidP="00E73DA3">
            <w:pPr>
              <w:pStyle w:val="KonuBal"/>
            </w:pPr>
            <w:r w:rsidRPr="00D53A2B">
              <w:t>(</w:t>
            </w:r>
            <w:r w:rsidRPr="00D53A2B">
              <w:rPr>
                <w:vertAlign w:val="superscript"/>
              </w:rPr>
              <w:t>3</w:t>
            </w:r>
            <w:r w:rsidRPr="00D53A2B">
              <w:t>) Bu MET-İES sadece sülfürik asit ile asitleme için geçerlidir.</w:t>
            </w:r>
          </w:p>
        </w:tc>
      </w:tr>
    </w:tbl>
    <w:p w14:paraId="16CB2272" w14:textId="77777777" w:rsidR="00F50872" w:rsidRPr="00D53A2B" w:rsidRDefault="00F50872" w:rsidP="00A202FD">
      <w:pPr>
        <w:jc w:val="both"/>
        <w:rPr>
          <w:rFonts w:eastAsia="Calibri"/>
        </w:rPr>
      </w:pPr>
    </w:p>
    <w:p w14:paraId="0CF822FC" w14:textId="254C625D" w:rsidR="00421AB1" w:rsidRPr="00D53A2B" w:rsidRDefault="00B325F4" w:rsidP="00A202FD">
      <w:pPr>
        <w:jc w:val="both"/>
        <w:rPr>
          <w:rFonts w:eastAsia="Calibri"/>
        </w:rPr>
      </w:pPr>
      <w:r w:rsidRPr="00D53A2B">
        <w:rPr>
          <w:rFonts w:eastAsia="Calibri"/>
        </w:rPr>
        <w:t xml:space="preserve">Tablo </w:t>
      </w:r>
      <w:r w:rsidR="009C486F" w:rsidRPr="00D53A2B">
        <w:rPr>
          <w:rFonts w:eastAsia="Calibri"/>
        </w:rPr>
        <w:t>1</w:t>
      </w:r>
      <w:r w:rsidRPr="00D53A2B">
        <w:rPr>
          <w:rFonts w:eastAsia="Calibri"/>
        </w:rPr>
        <w:t>.15</w:t>
      </w:r>
    </w:p>
    <w:p w14:paraId="1ABAB770" w14:textId="208695F3" w:rsidR="00F50872" w:rsidRPr="00D53A2B" w:rsidRDefault="00B325F4" w:rsidP="00A202FD">
      <w:pPr>
        <w:jc w:val="both"/>
        <w:rPr>
          <w:rFonts w:eastAsia="Calibri"/>
          <w:lang w:eastAsia="en-US"/>
        </w:rPr>
      </w:pPr>
      <w:r w:rsidRPr="00D53A2B">
        <w:rPr>
          <w:rFonts w:eastAsia="Calibri"/>
        </w:rPr>
        <w:t xml:space="preserve">Tel çekme işleminde hidroklorik asit veya sülfürik asit ile asitleme işleminden kaynaklanan havaya kanalize HCl ve SOX emisyonları için </w:t>
      </w:r>
      <w:r w:rsidRPr="00D53A2B">
        <w:rPr>
          <w:rFonts w:eastAsia="Calibri"/>
          <w:lang w:eastAsia="en-US"/>
        </w:rPr>
        <w:t>MET-ilişkili emisyon seviyeleri (MET-İES</w:t>
      </w:r>
      <w:r w:rsidR="00A41596" w:rsidRPr="00D53A2B">
        <w:rPr>
          <w:rFonts w:eastAsia="Calibri"/>
          <w:lang w:eastAsia="en-US"/>
        </w:rPr>
        <w:t>)</w:t>
      </w:r>
    </w:p>
    <w:p w14:paraId="66334DE3" w14:textId="77777777" w:rsidR="00C15CF2" w:rsidRPr="00D53A2B" w:rsidRDefault="00C15CF2" w:rsidP="00A202FD">
      <w:pPr>
        <w:jc w:val="both"/>
        <w:rPr>
          <w:rFonts w:eastAsia="Calibri"/>
        </w:rPr>
      </w:pPr>
    </w:p>
    <w:tbl>
      <w:tblPr>
        <w:tblStyle w:val="TabloKlavuzu"/>
        <w:tblW w:w="8930" w:type="dxa"/>
        <w:tblInd w:w="137" w:type="dxa"/>
        <w:tblLook w:val="04A0" w:firstRow="1" w:lastRow="0" w:firstColumn="1" w:lastColumn="0" w:noHBand="0" w:noVBand="1"/>
      </w:tblPr>
      <w:tblGrid>
        <w:gridCol w:w="1418"/>
        <w:gridCol w:w="1417"/>
        <w:gridCol w:w="6095"/>
      </w:tblGrid>
      <w:tr w:rsidR="00B325F4" w:rsidRPr="00D53A2B" w14:paraId="5A5000CE" w14:textId="77777777" w:rsidTr="00A202FD">
        <w:tc>
          <w:tcPr>
            <w:tcW w:w="1418" w:type="dxa"/>
          </w:tcPr>
          <w:p w14:paraId="05FE4087" w14:textId="77777777" w:rsidR="00B325F4" w:rsidRPr="009077F5" w:rsidRDefault="00B325F4" w:rsidP="004B0D48">
            <w:pPr>
              <w:pStyle w:val="KonuBal"/>
              <w:rPr>
                <w:sz w:val="24"/>
                <w:szCs w:val="24"/>
              </w:rPr>
            </w:pPr>
            <w:r w:rsidRPr="009077F5">
              <w:rPr>
                <w:sz w:val="24"/>
                <w:szCs w:val="24"/>
              </w:rPr>
              <w:t>Parametre</w:t>
            </w:r>
          </w:p>
        </w:tc>
        <w:tc>
          <w:tcPr>
            <w:tcW w:w="1417" w:type="dxa"/>
          </w:tcPr>
          <w:p w14:paraId="05FE1E7D" w14:textId="77777777" w:rsidR="00B325F4" w:rsidRPr="009077F5" w:rsidRDefault="00B325F4" w:rsidP="004B0D48">
            <w:pPr>
              <w:pStyle w:val="KonuBal"/>
              <w:rPr>
                <w:sz w:val="24"/>
                <w:szCs w:val="24"/>
              </w:rPr>
            </w:pPr>
            <w:r w:rsidRPr="009077F5">
              <w:rPr>
                <w:sz w:val="24"/>
                <w:szCs w:val="24"/>
              </w:rPr>
              <w:t>Birim</w:t>
            </w:r>
          </w:p>
        </w:tc>
        <w:tc>
          <w:tcPr>
            <w:tcW w:w="6095" w:type="dxa"/>
          </w:tcPr>
          <w:p w14:paraId="00E451AB" w14:textId="77777777" w:rsidR="00B325F4" w:rsidRPr="009077F5" w:rsidRDefault="00B325F4" w:rsidP="00A202FD">
            <w:pPr>
              <w:jc w:val="both"/>
              <w:rPr>
                <w:rFonts w:eastAsia="Calibri"/>
                <w:lang w:eastAsia="en-US"/>
              </w:rPr>
            </w:pPr>
            <w:r w:rsidRPr="009077F5">
              <w:rPr>
                <w:rFonts w:eastAsia="Calibri"/>
                <w:lang w:eastAsia="en-US"/>
              </w:rPr>
              <w:t xml:space="preserve">MET-İES </w:t>
            </w:r>
          </w:p>
          <w:p w14:paraId="521DBFB2" w14:textId="77777777" w:rsidR="00B325F4" w:rsidRPr="009077F5" w:rsidRDefault="00B325F4" w:rsidP="004B0D48">
            <w:pPr>
              <w:pStyle w:val="KonuBal"/>
              <w:rPr>
                <w:sz w:val="24"/>
                <w:szCs w:val="24"/>
              </w:rPr>
            </w:pPr>
            <w:r w:rsidRPr="009077F5">
              <w:rPr>
                <w:sz w:val="24"/>
                <w:szCs w:val="24"/>
              </w:rPr>
              <w:t>(Günlük ortalama veya numune alma süresi boyunca ortalama)</w:t>
            </w:r>
          </w:p>
        </w:tc>
      </w:tr>
      <w:tr w:rsidR="00B325F4" w:rsidRPr="00D53A2B" w14:paraId="11266ACC" w14:textId="77777777" w:rsidTr="00A202FD">
        <w:tc>
          <w:tcPr>
            <w:tcW w:w="1418" w:type="dxa"/>
          </w:tcPr>
          <w:p w14:paraId="4A3BCEC7" w14:textId="77777777" w:rsidR="00B325F4" w:rsidRPr="009077F5" w:rsidRDefault="00B325F4" w:rsidP="004B0D48">
            <w:pPr>
              <w:pStyle w:val="KonuBal"/>
              <w:rPr>
                <w:sz w:val="24"/>
                <w:szCs w:val="24"/>
              </w:rPr>
            </w:pPr>
            <w:r w:rsidRPr="009077F5">
              <w:rPr>
                <w:sz w:val="24"/>
                <w:szCs w:val="24"/>
              </w:rPr>
              <w:t>HCl</w:t>
            </w:r>
          </w:p>
        </w:tc>
        <w:tc>
          <w:tcPr>
            <w:tcW w:w="1417" w:type="dxa"/>
          </w:tcPr>
          <w:p w14:paraId="7378905E" w14:textId="77777777" w:rsidR="00B325F4" w:rsidRPr="009077F5" w:rsidRDefault="00B325F4"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73474B73" w14:textId="77777777" w:rsidR="00B325F4" w:rsidRPr="009077F5" w:rsidRDefault="00B325F4" w:rsidP="0050094F">
            <w:pPr>
              <w:pStyle w:val="KonuBal"/>
              <w:rPr>
                <w:sz w:val="24"/>
                <w:szCs w:val="24"/>
              </w:rPr>
            </w:pPr>
            <w:r w:rsidRPr="009077F5">
              <w:rPr>
                <w:sz w:val="24"/>
                <w:szCs w:val="24"/>
              </w:rPr>
              <w:t>&lt; 2-10 (</w:t>
            </w:r>
            <w:r w:rsidRPr="009077F5">
              <w:rPr>
                <w:sz w:val="24"/>
                <w:szCs w:val="24"/>
                <w:vertAlign w:val="superscript"/>
              </w:rPr>
              <w:t>1</w:t>
            </w:r>
            <w:r w:rsidRPr="009077F5">
              <w:rPr>
                <w:sz w:val="24"/>
                <w:szCs w:val="24"/>
              </w:rPr>
              <w:t>)</w:t>
            </w:r>
          </w:p>
        </w:tc>
      </w:tr>
      <w:tr w:rsidR="00B325F4" w:rsidRPr="00D53A2B" w14:paraId="5063A94E" w14:textId="77777777" w:rsidTr="00A202FD">
        <w:tc>
          <w:tcPr>
            <w:tcW w:w="1418" w:type="dxa"/>
          </w:tcPr>
          <w:p w14:paraId="423E86F5" w14:textId="77777777" w:rsidR="00B325F4" w:rsidRPr="009077F5" w:rsidRDefault="00B325F4" w:rsidP="004B0D48">
            <w:pPr>
              <w:pStyle w:val="KonuBal"/>
              <w:rPr>
                <w:sz w:val="24"/>
                <w:szCs w:val="24"/>
              </w:rPr>
            </w:pPr>
            <w:r w:rsidRPr="009077F5">
              <w:rPr>
                <w:sz w:val="24"/>
                <w:szCs w:val="24"/>
              </w:rPr>
              <w:t>SO</w:t>
            </w:r>
            <w:r w:rsidRPr="009077F5">
              <w:rPr>
                <w:sz w:val="24"/>
                <w:szCs w:val="24"/>
                <w:vertAlign w:val="subscript"/>
              </w:rPr>
              <w:t>x</w:t>
            </w:r>
          </w:p>
        </w:tc>
        <w:tc>
          <w:tcPr>
            <w:tcW w:w="1417" w:type="dxa"/>
          </w:tcPr>
          <w:p w14:paraId="73CC334D" w14:textId="77777777" w:rsidR="00B325F4" w:rsidRPr="009077F5" w:rsidRDefault="00B325F4"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7BD90A0E" w14:textId="297C3B69" w:rsidR="00B325F4" w:rsidRPr="009077F5" w:rsidRDefault="00B325F4" w:rsidP="0050094F">
            <w:pPr>
              <w:pStyle w:val="KonuBal"/>
              <w:rPr>
                <w:sz w:val="24"/>
                <w:szCs w:val="24"/>
              </w:rPr>
            </w:pPr>
            <w:r w:rsidRPr="009077F5">
              <w:rPr>
                <w:sz w:val="24"/>
                <w:szCs w:val="24"/>
              </w:rPr>
              <w:t>&lt; 1-6 (</w:t>
            </w:r>
            <w:r w:rsidRPr="009077F5">
              <w:rPr>
                <w:sz w:val="24"/>
                <w:szCs w:val="24"/>
                <w:vertAlign w:val="superscript"/>
              </w:rPr>
              <w:t>2</w:t>
            </w:r>
            <w:r w:rsidRPr="009077F5">
              <w:rPr>
                <w:sz w:val="24"/>
                <w:szCs w:val="24"/>
              </w:rPr>
              <w:t>)</w:t>
            </w:r>
          </w:p>
        </w:tc>
      </w:tr>
      <w:tr w:rsidR="00B325F4" w:rsidRPr="00D53A2B" w14:paraId="2CDD63C2" w14:textId="77777777" w:rsidTr="00A202FD">
        <w:tc>
          <w:tcPr>
            <w:tcW w:w="8930" w:type="dxa"/>
            <w:gridSpan w:val="3"/>
          </w:tcPr>
          <w:p w14:paraId="1A62F6AC" w14:textId="77777777" w:rsidR="00B325F4" w:rsidRPr="00D53A2B" w:rsidRDefault="00B325F4" w:rsidP="004B0D48">
            <w:pPr>
              <w:pStyle w:val="KonuBal"/>
            </w:pPr>
            <w:r w:rsidRPr="00D53A2B">
              <w:t>(</w:t>
            </w:r>
            <w:r w:rsidRPr="00D53A2B">
              <w:rPr>
                <w:vertAlign w:val="superscript"/>
              </w:rPr>
              <w:t>1</w:t>
            </w:r>
            <w:r w:rsidRPr="00D53A2B">
              <w:t>) Bu MET-İES sadece hidroklorik asitle asitleme için geçerlidir.</w:t>
            </w:r>
          </w:p>
          <w:p w14:paraId="7F2AED45" w14:textId="3820904F" w:rsidR="00B325F4" w:rsidRPr="00D53A2B" w:rsidRDefault="00B325F4" w:rsidP="004B0D48">
            <w:pPr>
              <w:pStyle w:val="KonuBal"/>
            </w:pPr>
            <w:r w:rsidRPr="00D53A2B">
              <w:t>(</w:t>
            </w:r>
            <w:r w:rsidRPr="00D53A2B">
              <w:rPr>
                <w:vertAlign w:val="superscript"/>
              </w:rPr>
              <w:t>2</w:t>
            </w:r>
            <w:r w:rsidRPr="00D53A2B">
              <w:t>) Bu MET-İES sadece sülfürik asit ile asitleme için geçerlidir.</w:t>
            </w:r>
          </w:p>
        </w:tc>
      </w:tr>
    </w:tbl>
    <w:p w14:paraId="39C98AC3" w14:textId="77777777" w:rsidR="0071694E" w:rsidRPr="00D53A2B" w:rsidRDefault="0071694E" w:rsidP="00A202FD">
      <w:pPr>
        <w:jc w:val="both"/>
        <w:rPr>
          <w:rFonts w:eastAsia="Calibri"/>
          <w:lang w:eastAsia="en-US"/>
        </w:rPr>
      </w:pPr>
    </w:p>
    <w:p w14:paraId="7DFAB530" w14:textId="5EC5875F" w:rsidR="00B325F4" w:rsidRPr="00D53A2B" w:rsidRDefault="00B325F4"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2EE5C021" w14:textId="77777777" w:rsidR="0071694E" w:rsidRPr="00D53A2B" w:rsidRDefault="0071694E" w:rsidP="00A202FD">
      <w:pPr>
        <w:jc w:val="both"/>
        <w:rPr>
          <w:rFonts w:eastAsia="Calibri"/>
          <w:lang w:eastAsia="en-US"/>
        </w:rPr>
      </w:pPr>
    </w:p>
    <w:p w14:paraId="4CC73000" w14:textId="371A104C" w:rsidR="00B325F4" w:rsidRPr="00D53A2B" w:rsidRDefault="00882BD7" w:rsidP="00A202FD">
      <w:pPr>
        <w:pStyle w:val="MET"/>
        <w:rPr>
          <w:rFonts w:eastAsia="Calibri"/>
          <w:b w:val="0"/>
          <w:bCs/>
          <w:szCs w:val="24"/>
        </w:rPr>
      </w:pPr>
      <w:r w:rsidRPr="00D53A2B">
        <w:rPr>
          <w:rFonts w:eastAsia="Calibri"/>
          <w:szCs w:val="24"/>
        </w:rPr>
        <w:t xml:space="preserve">MET 25: </w:t>
      </w:r>
      <w:r w:rsidRPr="00D53A2B">
        <w:rPr>
          <w:rFonts w:eastAsia="Calibri"/>
          <w:b w:val="0"/>
          <w:bCs/>
          <w:szCs w:val="24"/>
        </w:rPr>
        <w:t>Sıcak haddeleme ve soğuk haddelemede nitrik asitle asitlemeden (tek başına veya diğer asitlerle birlikte) kaynaklanan havaya NO</w:t>
      </w:r>
      <w:r w:rsidRPr="00D53A2B">
        <w:rPr>
          <w:rFonts w:eastAsia="Calibri"/>
          <w:b w:val="0"/>
          <w:bCs/>
          <w:szCs w:val="24"/>
          <w:vertAlign w:val="subscript"/>
        </w:rPr>
        <w:t>X</w:t>
      </w:r>
      <w:r w:rsidRPr="00D53A2B">
        <w:rPr>
          <w:rFonts w:eastAsia="Calibri"/>
          <w:b w:val="0"/>
          <w:bCs/>
          <w:szCs w:val="24"/>
        </w:rPr>
        <w:t xml:space="preserve"> emisyonlarını ve SCR kullanımından kaynaklanan NH</w:t>
      </w:r>
      <w:r w:rsidRPr="00D53A2B">
        <w:rPr>
          <w:rFonts w:eastAsia="Calibri"/>
          <w:b w:val="0"/>
          <w:bCs/>
          <w:szCs w:val="24"/>
          <w:vertAlign w:val="subscript"/>
        </w:rPr>
        <w:t>3</w:t>
      </w:r>
      <w:r w:rsidRPr="00D53A2B">
        <w:rPr>
          <w:rFonts w:eastAsia="Calibri"/>
          <w:b w:val="0"/>
          <w:bCs/>
          <w:szCs w:val="24"/>
        </w:rPr>
        <w:t xml:space="preserve"> emisyonlarını azaltmak için aşağıda verilen tekniklerden birini veya bir kombinasyonu kullan</w:t>
      </w:r>
      <w:r w:rsidR="00A41596" w:rsidRPr="00D53A2B">
        <w:rPr>
          <w:rFonts w:eastAsia="Calibri"/>
          <w:b w:val="0"/>
          <w:bCs/>
          <w:szCs w:val="24"/>
        </w:rPr>
        <w:t>ılır</w:t>
      </w:r>
      <w:r w:rsidRPr="00D53A2B">
        <w:rPr>
          <w:rFonts w:eastAsia="Calibri"/>
          <w:b w:val="0"/>
          <w:bCs/>
          <w:szCs w:val="24"/>
        </w:rPr>
        <w:t>.</w:t>
      </w:r>
    </w:p>
    <w:p w14:paraId="7AA5E473" w14:textId="77777777" w:rsidR="00A41596" w:rsidRPr="00D53A2B" w:rsidRDefault="00A41596" w:rsidP="00A202FD">
      <w:pPr>
        <w:pStyle w:val="MET"/>
        <w:rPr>
          <w:rFonts w:eastAsia="Calibri"/>
          <w:szCs w:val="24"/>
        </w:rPr>
      </w:pPr>
    </w:p>
    <w:tbl>
      <w:tblPr>
        <w:tblStyle w:val="TabloKlavuzu"/>
        <w:tblW w:w="8930" w:type="dxa"/>
        <w:tblInd w:w="137" w:type="dxa"/>
        <w:tblLayout w:type="fixed"/>
        <w:tblLook w:val="04A0" w:firstRow="1" w:lastRow="0" w:firstColumn="1" w:lastColumn="0" w:noHBand="0" w:noVBand="1"/>
      </w:tblPr>
      <w:tblGrid>
        <w:gridCol w:w="567"/>
        <w:gridCol w:w="2126"/>
        <w:gridCol w:w="4111"/>
        <w:gridCol w:w="2126"/>
      </w:tblGrid>
      <w:tr w:rsidR="00882BD7" w:rsidRPr="0050094F" w14:paraId="7EB500EA" w14:textId="77777777" w:rsidTr="00065723">
        <w:tc>
          <w:tcPr>
            <w:tcW w:w="2693" w:type="dxa"/>
            <w:gridSpan w:val="2"/>
          </w:tcPr>
          <w:p w14:paraId="3050E713" w14:textId="77777777" w:rsidR="00882BD7" w:rsidRPr="009077F5" w:rsidRDefault="00882BD7" w:rsidP="004B0D48">
            <w:pPr>
              <w:pStyle w:val="KonuBal"/>
              <w:rPr>
                <w:sz w:val="24"/>
                <w:szCs w:val="24"/>
              </w:rPr>
            </w:pPr>
            <w:r w:rsidRPr="009077F5">
              <w:rPr>
                <w:sz w:val="24"/>
                <w:szCs w:val="24"/>
              </w:rPr>
              <w:t>Teknik</w:t>
            </w:r>
          </w:p>
        </w:tc>
        <w:tc>
          <w:tcPr>
            <w:tcW w:w="4111" w:type="dxa"/>
          </w:tcPr>
          <w:p w14:paraId="2ABD852B" w14:textId="77777777" w:rsidR="00882BD7" w:rsidRPr="009077F5" w:rsidRDefault="00882BD7" w:rsidP="004B0D48">
            <w:pPr>
              <w:pStyle w:val="KonuBal"/>
              <w:rPr>
                <w:sz w:val="24"/>
                <w:szCs w:val="24"/>
              </w:rPr>
            </w:pPr>
            <w:r w:rsidRPr="009077F5">
              <w:rPr>
                <w:sz w:val="24"/>
                <w:szCs w:val="24"/>
              </w:rPr>
              <w:t>Açıklama</w:t>
            </w:r>
          </w:p>
        </w:tc>
        <w:tc>
          <w:tcPr>
            <w:tcW w:w="2126" w:type="dxa"/>
          </w:tcPr>
          <w:p w14:paraId="43AA7E1D" w14:textId="77777777" w:rsidR="00882BD7" w:rsidRPr="009077F5" w:rsidRDefault="00882BD7" w:rsidP="0050094F">
            <w:pPr>
              <w:pStyle w:val="KonuBal"/>
              <w:rPr>
                <w:sz w:val="24"/>
                <w:szCs w:val="24"/>
              </w:rPr>
            </w:pPr>
            <w:r w:rsidRPr="009077F5">
              <w:rPr>
                <w:sz w:val="24"/>
                <w:szCs w:val="24"/>
              </w:rPr>
              <w:t>Uygulanabilirlik</w:t>
            </w:r>
          </w:p>
        </w:tc>
      </w:tr>
      <w:tr w:rsidR="00882BD7" w:rsidRPr="0050094F" w14:paraId="384597C9" w14:textId="77777777" w:rsidTr="00065723">
        <w:tc>
          <w:tcPr>
            <w:tcW w:w="8930" w:type="dxa"/>
            <w:gridSpan w:val="4"/>
          </w:tcPr>
          <w:p w14:paraId="00F0FDCF" w14:textId="77777777" w:rsidR="00882BD7" w:rsidRPr="009077F5" w:rsidRDefault="00882BD7" w:rsidP="004B0D48">
            <w:pPr>
              <w:pStyle w:val="KonuBal"/>
              <w:rPr>
                <w:sz w:val="24"/>
                <w:szCs w:val="24"/>
              </w:rPr>
            </w:pPr>
            <w:r w:rsidRPr="009077F5">
              <w:rPr>
                <w:sz w:val="24"/>
                <w:szCs w:val="24"/>
              </w:rPr>
              <w:t>Emisyon oluşumunun azaltılması</w:t>
            </w:r>
          </w:p>
        </w:tc>
      </w:tr>
      <w:tr w:rsidR="00882BD7" w:rsidRPr="0050094F" w14:paraId="0D051D8B" w14:textId="77777777" w:rsidTr="00065723">
        <w:tc>
          <w:tcPr>
            <w:tcW w:w="567" w:type="dxa"/>
            <w:vAlign w:val="center"/>
          </w:tcPr>
          <w:p w14:paraId="60DCCC97" w14:textId="77777777" w:rsidR="00882BD7" w:rsidRPr="009077F5" w:rsidRDefault="00882BD7" w:rsidP="004B0D48">
            <w:pPr>
              <w:pStyle w:val="KonuBal"/>
              <w:rPr>
                <w:sz w:val="24"/>
                <w:szCs w:val="24"/>
              </w:rPr>
            </w:pPr>
            <w:r w:rsidRPr="009077F5">
              <w:rPr>
                <w:sz w:val="24"/>
                <w:szCs w:val="24"/>
              </w:rPr>
              <w:t>a.</w:t>
            </w:r>
          </w:p>
        </w:tc>
        <w:tc>
          <w:tcPr>
            <w:tcW w:w="2126" w:type="dxa"/>
            <w:vAlign w:val="center"/>
          </w:tcPr>
          <w:p w14:paraId="11A1A89B" w14:textId="01036421" w:rsidR="00882BD7" w:rsidRPr="009077F5" w:rsidRDefault="00882BD7" w:rsidP="004B0D48">
            <w:pPr>
              <w:pStyle w:val="KonuBal"/>
              <w:rPr>
                <w:sz w:val="24"/>
                <w:szCs w:val="24"/>
              </w:rPr>
            </w:pPr>
            <w:r w:rsidRPr="009077F5">
              <w:rPr>
                <w:sz w:val="24"/>
                <w:szCs w:val="24"/>
              </w:rPr>
              <w:t>Yüksek alaşımlı çeliklerin nitrik asit içermeyen asitle dekapajı</w:t>
            </w:r>
          </w:p>
        </w:tc>
        <w:tc>
          <w:tcPr>
            <w:tcW w:w="4111" w:type="dxa"/>
            <w:vAlign w:val="center"/>
          </w:tcPr>
          <w:p w14:paraId="01CDFD6E" w14:textId="3C4C6DDC" w:rsidR="00882BD7" w:rsidRPr="009077F5" w:rsidRDefault="00A83A5A" w:rsidP="0050094F">
            <w:pPr>
              <w:pStyle w:val="KonuBal"/>
              <w:rPr>
                <w:sz w:val="24"/>
                <w:szCs w:val="24"/>
              </w:rPr>
            </w:pPr>
            <w:r w:rsidRPr="009077F5">
              <w:rPr>
                <w:sz w:val="24"/>
                <w:szCs w:val="24"/>
              </w:rPr>
              <w:t>Yüksek alaşımlı çeliklerin dekapajı, nitrik asidin kuvvetli bir oksitleyici madde (örneğin hidrojen peroksit) ile tamamen değiştirilmesiyle gerçekleştirilir.</w:t>
            </w:r>
          </w:p>
        </w:tc>
        <w:tc>
          <w:tcPr>
            <w:tcW w:w="2126" w:type="dxa"/>
            <w:vAlign w:val="center"/>
          </w:tcPr>
          <w:p w14:paraId="56802480" w14:textId="23E2E7BC" w:rsidR="00882BD7" w:rsidRPr="009077F5" w:rsidRDefault="00A83A5A" w:rsidP="00E73DA3">
            <w:pPr>
              <w:pStyle w:val="KonuBal"/>
              <w:rPr>
                <w:sz w:val="24"/>
                <w:szCs w:val="24"/>
              </w:rPr>
            </w:pPr>
            <w:r w:rsidRPr="009077F5">
              <w:rPr>
                <w:sz w:val="24"/>
                <w:szCs w:val="24"/>
              </w:rPr>
              <w:t>Sadece yeni tesisler ve büyük tesis yenilemeleri için geçerlidir.</w:t>
            </w:r>
          </w:p>
        </w:tc>
      </w:tr>
      <w:tr w:rsidR="00882BD7" w:rsidRPr="0050094F" w14:paraId="7F4F8A7B" w14:textId="77777777" w:rsidTr="00065723">
        <w:tc>
          <w:tcPr>
            <w:tcW w:w="567" w:type="dxa"/>
            <w:vAlign w:val="center"/>
          </w:tcPr>
          <w:p w14:paraId="184B1C37" w14:textId="77777777" w:rsidR="00882BD7" w:rsidRPr="009077F5" w:rsidRDefault="00882BD7" w:rsidP="004B0D48">
            <w:pPr>
              <w:pStyle w:val="KonuBal"/>
              <w:rPr>
                <w:sz w:val="24"/>
                <w:szCs w:val="24"/>
              </w:rPr>
            </w:pPr>
            <w:r w:rsidRPr="009077F5">
              <w:rPr>
                <w:sz w:val="24"/>
                <w:szCs w:val="24"/>
              </w:rPr>
              <w:t>b.</w:t>
            </w:r>
          </w:p>
        </w:tc>
        <w:tc>
          <w:tcPr>
            <w:tcW w:w="2126" w:type="dxa"/>
            <w:vAlign w:val="center"/>
          </w:tcPr>
          <w:p w14:paraId="14861EBC" w14:textId="6B2F8C64" w:rsidR="00882BD7" w:rsidRPr="009077F5" w:rsidRDefault="00A83A5A" w:rsidP="004B0D48">
            <w:pPr>
              <w:pStyle w:val="KonuBal"/>
              <w:rPr>
                <w:sz w:val="24"/>
                <w:szCs w:val="24"/>
              </w:rPr>
            </w:pPr>
            <w:r w:rsidRPr="009077F5">
              <w:rPr>
                <w:sz w:val="24"/>
                <w:szCs w:val="24"/>
              </w:rPr>
              <w:t>Dekapaj asidine hidrojen peroksit veya üre eklenmesi</w:t>
            </w:r>
          </w:p>
        </w:tc>
        <w:tc>
          <w:tcPr>
            <w:tcW w:w="4111" w:type="dxa"/>
            <w:vAlign w:val="center"/>
          </w:tcPr>
          <w:p w14:paraId="7855C0F9" w14:textId="6480A4BF" w:rsidR="00882BD7" w:rsidRPr="009077F5" w:rsidRDefault="00A83A5A" w:rsidP="00A202FD">
            <w:pPr>
              <w:pStyle w:val="ListeParagraf"/>
              <w:numPr>
                <w:ilvl w:val="0"/>
                <w:numId w:val="0"/>
              </w:numPr>
              <w:tabs>
                <w:tab w:val="clear" w:pos="567"/>
              </w:tabs>
              <w:spacing w:line="240" w:lineRule="auto"/>
              <w:ind w:left="27"/>
              <w:rPr>
                <w:sz w:val="24"/>
                <w:szCs w:val="24"/>
              </w:rPr>
            </w:pPr>
            <w:r w:rsidRPr="009077F5">
              <w:rPr>
                <w:rFonts w:eastAsia="Calibri"/>
                <w:position w:val="0"/>
                <w:sz w:val="24"/>
                <w:szCs w:val="24"/>
              </w:rPr>
              <w:t>NOX emisyonlarını azaltmak için dekapaj asidine doğrudan hidrojen peroksit veya üre eklenir</w:t>
            </w:r>
          </w:p>
        </w:tc>
        <w:tc>
          <w:tcPr>
            <w:tcW w:w="2126" w:type="dxa"/>
            <w:vAlign w:val="center"/>
          </w:tcPr>
          <w:p w14:paraId="0CD916E2" w14:textId="77777777" w:rsidR="00882BD7" w:rsidRPr="009077F5" w:rsidRDefault="00882BD7" w:rsidP="004B0D48">
            <w:pPr>
              <w:pStyle w:val="KonuBal"/>
              <w:rPr>
                <w:sz w:val="24"/>
                <w:szCs w:val="24"/>
              </w:rPr>
            </w:pPr>
            <w:r w:rsidRPr="009077F5">
              <w:rPr>
                <w:sz w:val="24"/>
                <w:szCs w:val="24"/>
              </w:rPr>
              <w:t>Genel olarak uygulanabilir.</w:t>
            </w:r>
          </w:p>
        </w:tc>
      </w:tr>
      <w:tr w:rsidR="00A83A5A" w:rsidRPr="0050094F" w14:paraId="5AD4C5C7" w14:textId="77777777" w:rsidTr="00065723">
        <w:tc>
          <w:tcPr>
            <w:tcW w:w="8930" w:type="dxa"/>
            <w:gridSpan w:val="4"/>
            <w:vAlign w:val="center"/>
          </w:tcPr>
          <w:p w14:paraId="3B26CEB5" w14:textId="1057D7B8" w:rsidR="00A83A5A" w:rsidRPr="009077F5" w:rsidRDefault="00A83A5A" w:rsidP="004B0D48">
            <w:pPr>
              <w:pStyle w:val="KonuBal"/>
              <w:rPr>
                <w:sz w:val="24"/>
                <w:szCs w:val="24"/>
              </w:rPr>
            </w:pPr>
            <w:r w:rsidRPr="009077F5">
              <w:rPr>
                <w:sz w:val="24"/>
                <w:szCs w:val="24"/>
              </w:rPr>
              <w:t>Emisyonların toplanması</w:t>
            </w:r>
          </w:p>
        </w:tc>
      </w:tr>
      <w:tr w:rsidR="00882BD7" w:rsidRPr="0050094F" w14:paraId="22E2F1F0" w14:textId="77777777" w:rsidTr="00065723">
        <w:tc>
          <w:tcPr>
            <w:tcW w:w="567" w:type="dxa"/>
            <w:vAlign w:val="center"/>
          </w:tcPr>
          <w:p w14:paraId="29807B3C" w14:textId="77777777" w:rsidR="00882BD7" w:rsidRPr="009077F5" w:rsidRDefault="00882BD7" w:rsidP="004B0D48">
            <w:pPr>
              <w:pStyle w:val="KonuBal"/>
              <w:rPr>
                <w:sz w:val="24"/>
                <w:szCs w:val="24"/>
              </w:rPr>
            </w:pPr>
            <w:r w:rsidRPr="009077F5">
              <w:rPr>
                <w:sz w:val="24"/>
                <w:szCs w:val="24"/>
              </w:rPr>
              <w:t>c.</w:t>
            </w:r>
          </w:p>
        </w:tc>
        <w:tc>
          <w:tcPr>
            <w:tcW w:w="2126" w:type="dxa"/>
            <w:vAlign w:val="center"/>
          </w:tcPr>
          <w:p w14:paraId="41046BA9" w14:textId="2984B0A8" w:rsidR="00882BD7" w:rsidRPr="009077F5" w:rsidRDefault="00A83A5A" w:rsidP="004B0D48">
            <w:pPr>
              <w:pStyle w:val="KonuBal"/>
              <w:rPr>
                <w:sz w:val="24"/>
                <w:szCs w:val="24"/>
              </w:rPr>
            </w:pPr>
            <w:r w:rsidRPr="009077F5">
              <w:rPr>
                <w:sz w:val="24"/>
                <w:szCs w:val="24"/>
              </w:rPr>
              <w:t>Duman ekstraksiyonu ile birlikte kapalı tanklarda sürekli asitleme</w:t>
            </w:r>
          </w:p>
        </w:tc>
        <w:tc>
          <w:tcPr>
            <w:tcW w:w="4111" w:type="dxa"/>
            <w:vAlign w:val="center"/>
          </w:tcPr>
          <w:p w14:paraId="4960B137" w14:textId="3F738386" w:rsidR="00882BD7" w:rsidRPr="009077F5" w:rsidRDefault="00A83A5A" w:rsidP="00A202FD">
            <w:pPr>
              <w:jc w:val="both"/>
              <w:rPr>
                <w:lang w:val="en-US" w:eastAsia="en-US"/>
              </w:rPr>
            </w:pPr>
            <w:r w:rsidRPr="009077F5">
              <w:rPr>
                <w:rFonts w:eastAsia="Calibri"/>
                <w:spacing w:val="2"/>
                <w:lang w:val="en-US" w:eastAsia="en-US"/>
              </w:rPr>
              <w:t>Sürekli dekapaj, çelik şerit veya tel için sınırlı giriş ve çıkış açıklıkları olan kapalı tanklarda gerçekleştirilir. Dekapaj banyosundan çıkan dumanlar ekstrakte edilir.</w:t>
            </w:r>
          </w:p>
        </w:tc>
        <w:tc>
          <w:tcPr>
            <w:tcW w:w="2126" w:type="dxa"/>
            <w:vAlign w:val="center"/>
          </w:tcPr>
          <w:p w14:paraId="1D7B6BCA" w14:textId="77777777" w:rsidR="00882BD7" w:rsidRPr="009077F5" w:rsidRDefault="00882BD7" w:rsidP="004B0D48">
            <w:pPr>
              <w:pStyle w:val="KonuBal"/>
              <w:rPr>
                <w:sz w:val="24"/>
                <w:szCs w:val="24"/>
              </w:rPr>
            </w:pPr>
            <w:r w:rsidRPr="009077F5">
              <w:rPr>
                <w:sz w:val="24"/>
                <w:szCs w:val="24"/>
              </w:rPr>
              <w:t>Genel olarak uygulanabilir.</w:t>
            </w:r>
          </w:p>
        </w:tc>
      </w:tr>
      <w:tr w:rsidR="00882BD7" w:rsidRPr="0050094F" w14:paraId="2CB798F5" w14:textId="77777777" w:rsidTr="00065723">
        <w:tc>
          <w:tcPr>
            <w:tcW w:w="567" w:type="dxa"/>
            <w:vAlign w:val="center"/>
          </w:tcPr>
          <w:p w14:paraId="77683796" w14:textId="77777777" w:rsidR="00882BD7" w:rsidRPr="009077F5" w:rsidRDefault="00882BD7" w:rsidP="004B0D48">
            <w:pPr>
              <w:pStyle w:val="KonuBal"/>
              <w:rPr>
                <w:sz w:val="24"/>
                <w:szCs w:val="24"/>
              </w:rPr>
            </w:pPr>
            <w:r w:rsidRPr="009077F5">
              <w:rPr>
                <w:sz w:val="24"/>
                <w:szCs w:val="24"/>
              </w:rPr>
              <w:t>d.</w:t>
            </w:r>
          </w:p>
        </w:tc>
        <w:tc>
          <w:tcPr>
            <w:tcW w:w="2126" w:type="dxa"/>
            <w:vAlign w:val="center"/>
          </w:tcPr>
          <w:p w14:paraId="7429668E" w14:textId="1577D77F" w:rsidR="00882BD7" w:rsidRPr="009077F5" w:rsidRDefault="00A83A5A" w:rsidP="004B0D48">
            <w:pPr>
              <w:pStyle w:val="KonuBal"/>
              <w:rPr>
                <w:sz w:val="24"/>
                <w:szCs w:val="24"/>
              </w:rPr>
            </w:pPr>
            <w:r w:rsidRPr="009077F5">
              <w:rPr>
                <w:sz w:val="24"/>
                <w:szCs w:val="24"/>
              </w:rPr>
              <w:t xml:space="preserve">Kapaklı tanklarda </w:t>
            </w:r>
            <w:r w:rsidRPr="009077F5">
              <w:rPr>
                <w:sz w:val="24"/>
                <w:szCs w:val="24"/>
              </w:rPr>
              <w:lastRenderedPageBreak/>
              <w:t>veya duman emme ile birlikte kapalı davlumbazlarda toplu dekapaj</w:t>
            </w:r>
          </w:p>
        </w:tc>
        <w:tc>
          <w:tcPr>
            <w:tcW w:w="4111" w:type="dxa"/>
            <w:vAlign w:val="center"/>
          </w:tcPr>
          <w:p w14:paraId="73505988" w14:textId="1198813E" w:rsidR="00882BD7" w:rsidRPr="009077F5" w:rsidRDefault="00A83A5A" w:rsidP="0050094F">
            <w:pPr>
              <w:pStyle w:val="KonuBal"/>
              <w:rPr>
                <w:sz w:val="24"/>
                <w:szCs w:val="24"/>
              </w:rPr>
            </w:pPr>
            <w:r w:rsidRPr="009077F5">
              <w:rPr>
                <w:sz w:val="24"/>
                <w:szCs w:val="24"/>
              </w:rPr>
              <w:lastRenderedPageBreak/>
              <w:t xml:space="preserve">Toplu asitleme, filmaşin bobinlerinin </w:t>
            </w:r>
            <w:r w:rsidRPr="009077F5">
              <w:rPr>
                <w:sz w:val="24"/>
                <w:szCs w:val="24"/>
              </w:rPr>
              <w:lastRenderedPageBreak/>
              <w:t>şarj edilmesine izin vermek için açılabilen kapaklarla veya kapalı davlumbazlarla donatılmış tanklarda gerçekleştirilir. Dekapaj tanklarından çıkan dumanlar ekstrakte edilir.</w:t>
            </w:r>
          </w:p>
        </w:tc>
        <w:tc>
          <w:tcPr>
            <w:tcW w:w="2126" w:type="dxa"/>
            <w:vAlign w:val="center"/>
          </w:tcPr>
          <w:p w14:paraId="6C87B1A9" w14:textId="5C821C84" w:rsidR="00882BD7" w:rsidRPr="009077F5" w:rsidRDefault="00A83A5A" w:rsidP="00E73DA3">
            <w:pPr>
              <w:pStyle w:val="KonuBal"/>
              <w:rPr>
                <w:sz w:val="24"/>
                <w:szCs w:val="24"/>
              </w:rPr>
            </w:pPr>
            <w:r w:rsidRPr="009077F5">
              <w:rPr>
                <w:sz w:val="24"/>
                <w:szCs w:val="24"/>
              </w:rPr>
              <w:lastRenderedPageBreak/>
              <w:t xml:space="preserve">Genel olarak </w:t>
            </w:r>
            <w:r w:rsidRPr="009077F5">
              <w:rPr>
                <w:sz w:val="24"/>
                <w:szCs w:val="24"/>
              </w:rPr>
              <w:lastRenderedPageBreak/>
              <w:t>uygulanabilir.</w:t>
            </w:r>
          </w:p>
        </w:tc>
      </w:tr>
      <w:tr w:rsidR="00BB47E1" w:rsidRPr="0050094F" w14:paraId="154C3394" w14:textId="77777777" w:rsidTr="00065723">
        <w:tc>
          <w:tcPr>
            <w:tcW w:w="8930" w:type="dxa"/>
            <w:gridSpan w:val="4"/>
            <w:vAlign w:val="center"/>
          </w:tcPr>
          <w:p w14:paraId="2E588752" w14:textId="21932CD4" w:rsidR="00BB47E1" w:rsidRPr="009077F5" w:rsidRDefault="00BB47E1" w:rsidP="004B0D48">
            <w:pPr>
              <w:pStyle w:val="KonuBal"/>
              <w:rPr>
                <w:sz w:val="24"/>
                <w:szCs w:val="24"/>
              </w:rPr>
            </w:pPr>
            <w:r w:rsidRPr="009077F5">
              <w:rPr>
                <w:sz w:val="24"/>
                <w:szCs w:val="24"/>
              </w:rPr>
              <w:lastRenderedPageBreak/>
              <w:t>Atık gaz arıtımı</w:t>
            </w:r>
          </w:p>
        </w:tc>
      </w:tr>
      <w:tr w:rsidR="00882BD7" w:rsidRPr="0050094F" w14:paraId="4C2C2D90" w14:textId="77777777" w:rsidTr="00065723">
        <w:tc>
          <w:tcPr>
            <w:tcW w:w="567" w:type="dxa"/>
            <w:vAlign w:val="center"/>
          </w:tcPr>
          <w:p w14:paraId="1A73AC86" w14:textId="77777777" w:rsidR="00882BD7" w:rsidRPr="009077F5" w:rsidRDefault="00882BD7" w:rsidP="004B0D48">
            <w:pPr>
              <w:pStyle w:val="KonuBal"/>
              <w:rPr>
                <w:sz w:val="24"/>
                <w:szCs w:val="24"/>
              </w:rPr>
            </w:pPr>
            <w:r w:rsidRPr="009077F5">
              <w:rPr>
                <w:sz w:val="24"/>
                <w:szCs w:val="24"/>
              </w:rPr>
              <w:t>e.</w:t>
            </w:r>
          </w:p>
        </w:tc>
        <w:tc>
          <w:tcPr>
            <w:tcW w:w="2126" w:type="dxa"/>
            <w:vAlign w:val="center"/>
          </w:tcPr>
          <w:p w14:paraId="62AE4906" w14:textId="27565C27" w:rsidR="00882BD7" w:rsidRPr="009077F5" w:rsidRDefault="00BB47E1" w:rsidP="00A202FD">
            <w:pPr>
              <w:jc w:val="both"/>
              <w:rPr>
                <w:rFonts w:eastAsia="Calibri"/>
                <w:lang w:eastAsia="en-US"/>
              </w:rPr>
            </w:pPr>
            <w:r w:rsidRPr="009077F5">
              <w:rPr>
                <w:rFonts w:eastAsia="Calibri"/>
                <w:lang w:eastAsia="en-US"/>
              </w:rPr>
              <w:t xml:space="preserve">Oksitleyici bir madde (örn. hidrojen peroksit) ilavesiyle </w:t>
            </w:r>
            <w:r w:rsidR="00A41596" w:rsidRPr="009077F5">
              <w:rPr>
                <w:rFonts w:eastAsia="Calibri"/>
                <w:lang w:eastAsia="en-US"/>
              </w:rPr>
              <w:t>yaş yıkayıcı</w:t>
            </w:r>
          </w:p>
        </w:tc>
        <w:tc>
          <w:tcPr>
            <w:tcW w:w="4111" w:type="dxa"/>
            <w:vAlign w:val="center"/>
          </w:tcPr>
          <w:p w14:paraId="515C0B1E" w14:textId="7E663D7B" w:rsidR="00BB47E1" w:rsidRPr="009077F5" w:rsidRDefault="00BB47E1" w:rsidP="004B0D48">
            <w:pPr>
              <w:pStyle w:val="KonuBal"/>
              <w:rPr>
                <w:sz w:val="24"/>
                <w:szCs w:val="24"/>
              </w:rPr>
            </w:pPr>
            <w:r w:rsidRPr="009077F5">
              <w:rPr>
                <w:sz w:val="24"/>
                <w:szCs w:val="24"/>
              </w:rPr>
              <w:t xml:space="preserve">Bölüm </w:t>
            </w:r>
            <w:r w:rsidR="00B97162" w:rsidRPr="009077F5">
              <w:rPr>
                <w:sz w:val="24"/>
                <w:szCs w:val="24"/>
              </w:rPr>
              <w:t>1</w:t>
            </w:r>
            <w:r w:rsidRPr="009077F5">
              <w:rPr>
                <w:sz w:val="24"/>
                <w:szCs w:val="24"/>
              </w:rPr>
              <w:t>.11.2</w:t>
            </w:r>
            <w:r w:rsidR="00E56504" w:rsidRPr="009077F5">
              <w:rPr>
                <w:sz w:val="24"/>
                <w:szCs w:val="24"/>
              </w:rPr>
              <w:t>’</w:t>
            </w:r>
            <w:r w:rsidRPr="009077F5">
              <w:rPr>
                <w:sz w:val="24"/>
                <w:szCs w:val="24"/>
              </w:rPr>
              <w:t>ye bakınız.</w:t>
            </w:r>
          </w:p>
          <w:p w14:paraId="53345BCC" w14:textId="0D8CAE97" w:rsidR="00882BD7" w:rsidRPr="009077F5" w:rsidRDefault="00BB47E1" w:rsidP="004B0D48">
            <w:pPr>
              <w:pStyle w:val="KonuBal"/>
              <w:rPr>
                <w:sz w:val="24"/>
                <w:szCs w:val="24"/>
              </w:rPr>
            </w:pPr>
            <w:r w:rsidRPr="009077F5">
              <w:rPr>
                <w:sz w:val="24"/>
                <w:szCs w:val="24"/>
              </w:rPr>
              <w:t>NOX emisyonlarını azaltmak için yıkama çözeltisine bir oksitleyici madde (örneğin hidrojen peroksit) eklenir. Hidrojen peroksit kullanıldığında, oluşan nitrik asit dekapaj tanklarına geri dönüştürülebilir.</w:t>
            </w:r>
          </w:p>
        </w:tc>
        <w:tc>
          <w:tcPr>
            <w:tcW w:w="2126" w:type="dxa"/>
            <w:vAlign w:val="center"/>
          </w:tcPr>
          <w:p w14:paraId="1AB27B2D" w14:textId="36ABEC59" w:rsidR="00882BD7" w:rsidRPr="009077F5" w:rsidRDefault="00BB47E1" w:rsidP="0050094F">
            <w:pPr>
              <w:pStyle w:val="KonuBal"/>
              <w:rPr>
                <w:sz w:val="24"/>
                <w:szCs w:val="24"/>
              </w:rPr>
            </w:pPr>
            <w:r w:rsidRPr="009077F5">
              <w:rPr>
                <w:sz w:val="24"/>
                <w:szCs w:val="24"/>
              </w:rPr>
              <w:t>Genel olarak uygulanabilir.</w:t>
            </w:r>
          </w:p>
        </w:tc>
      </w:tr>
      <w:tr w:rsidR="00882BD7" w:rsidRPr="0050094F" w14:paraId="40A3BA84" w14:textId="77777777" w:rsidTr="00065723">
        <w:tc>
          <w:tcPr>
            <w:tcW w:w="567" w:type="dxa"/>
            <w:vAlign w:val="center"/>
          </w:tcPr>
          <w:p w14:paraId="55DCBA56" w14:textId="77777777" w:rsidR="00882BD7" w:rsidRPr="009077F5" w:rsidRDefault="00882BD7" w:rsidP="004B0D48">
            <w:pPr>
              <w:pStyle w:val="KonuBal"/>
              <w:rPr>
                <w:sz w:val="24"/>
                <w:szCs w:val="24"/>
              </w:rPr>
            </w:pPr>
            <w:r w:rsidRPr="009077F5">
              <w:rPr>
                <w:sz w:val="24"/>
                <w:szCs w:val="24"/>
              </w:rPr>
              <w:t>f.</w:t>
            </w:r>
          </w:p>
        </w:tc>
        <w:tc>
          <w:tcPr>
            <w:tcW w:w="2126" w:type="dxa"/>
            <w:vAlign w:val="center"/>
          </w:tcPr>
          <w:p w14:paraId="0FE56AF5" w14:textId="7709C11F" w:rsidR="00882BD7" w:rsidRPr="009077F5" w:rsidRDefault="00BB47E1" w:rsidP="00A202FD">
            <w:pPr>
              <w:jc w:val="both"/>
              <w:rPr>
                <w:rFonts w:eastAsia="Calibri"/>
                <w:lang w:eastAsia="en-US"/>
              </w:rPr>
            </w:pPr>
            <w:r w:rsidRPr="009077F5">
              <w:rPr>
                <w:rFonts w:eastAsia="Calibri"/>
                <w:lang w:eastAsia="en-US"/>
              </w:rPr>
              <w:t>Seçici katalitik indirgeme (SCR)</w:t>
            </w:r>
          </w:p>
        </w:tc>
        <w:tc>
          <w:tcPr>
            <w:tcW w:w="4111" w:type="dxa"/>
            <w:vAlign w:val="center"/>
          </w:tcPr>
          <w:p w14:paraId="6F44FA30" w14:textId="3351A4A0" w:rsidR="00882BD7" w:rsidRPr="009077F5" w:rsidRDefault="00BB47E1" w:rsidP="00A202FD">
            <w:pPr>
              <w:jc w:val="both"/>
              <w:rPr>
                <w:lang w:val="en-US" w:eastAsia="en-US"/>
              </w:rPr>
            </w:pPr>
            <w:r w:rsidRPr="009077F5">
              <w:rPr>
                <w:rFonts w:eastAsia="Calibri"/>
              </w:rPr>
              <w:t xml:space="preserve">Bölüm </w:t>
            </w:r>
            <w:r w:rsidR="00B97162" w:rsidRPr="009077F5">
              <w:rPr>
                <w:rFonts w:eastAsia="Calibri"/>
              </w:rPr>
              <w:t>1</w:t>
            </w:r>
            <w:r w:rsidRPr="009077F5">
              <w:rPr>
                <w:rFonts w:eastAsia="Calibri"/>
              </w:rPr>
              <w:t>.11.2</w:t>
            </w:r>
            <w:r w:rsidR="00E56504" w:rsidRPr="009077F5">
              <w:rPr>
                <w:rFonts w:eastAsia="Calibri"/>
              </w:rPr>
              <w:t>’</w:t>
            </w:r>
            <w:r w:rsidRPr="009077F5">
              <w:rPr>
                <w:rFonts w:eastAsia="Calibri"/>
              </w:rPr>
              <w:t>ye bakınız.</w:t>
            </w:r>
          </w:p>
        </w:tc>
        <w:tc>
          <w:tcPr>
            <w:tcW w:w="2126" w:type="dxa"/>
            <w:vAlign w:val="center"/>
          </w:tcPr>
          <w:p w14:paraId="443F04B0" w14:textId="0E17A5EA" w:rsidR="00882BD7" w:rsidRPr="009077F5" w:rsidRDefault="00BB47E1" w:rsidP="004B0D48">
            <w:pPr>
              <w:pStyle w:val="KonuBal"/>
              <w:rPr>
                <w:sz w:val="24"/>
                <w:szCs w:val="24"/>
              </w:rPr>
            </w:pPr>
            <w:r w:rsidRPr="009077F5">
              <w:rPr>
                <w:sz w:val="24"/>
                <w:szCs w:val="24"/>
              </w:rPr>
              <w:t>Mevcut tesislere uygulanabilirlik, alan yetersizliği nedeniyle kısıtlanabilir.</w:t>
            </w:r>
          </w:p>
        </w:tc>
      </w:tr>
      <w:tr w:rsidR="00882BD7" w:rsidRPr="0050094F" w14:paraId="20AC6855" w14:textId="77777777" w:rsidTr="00065723">
        <w:tc>
          <w:tcPr>
            <w:tcW w:w="567" w:type="dxa"/>
            <w:vAlign w:val="center"/>
          </w:tcPr>
          <w:p w14:paraId="643726FA" w14:textId="77777777" w:rsidR="00882BD7" w:rsidRPr="009077F5" w:rsidRDefault="00882BD7" w:rsidP="004B0D48">
            <w:pPr>
              <w:pStyle w:val="KonuBal"/>
              <w:rPr>
                <w:sz w:val="24"/>
                <w:szCs w:val="24"/>
              </w:rPr>
            </w:pPr>
            <w:r w:rsidRPr="009077F5">
              <w:rPr>
                <w:sz w:val="24"/>
                <w:szCs w:val="24"/>
              </w:rPr>
              <w:t>g.</w:t>
            </w:r>
          </w:p>
        </w:tc>
        <w:tc>
          <w:tcPr>
            <w:tcW w:w="2126" w:type="dxa"/>
            <w:vAlign w:val="center"/>
          </w:tcPr>
          <w:p w14:paraId="32DF3A89" w14:textId="0BCFADF6" w:rsidR="00882BD7" w:rsidRPr="009077F5" w:rsidRDefault="00BB47E1" w:rsidP="00A202FD">
            <w:pPr>
              <w:jc w:val="both"/>
              <w:rPr>
                <w:rFonts w:eastAsia="Calibri"/>
                <w:lang w:eastAsia="en-US"/>
              </w:rPr>
            </w:pPr>
            <w:r w:rsidRPr="009077F5">
              <w:rPr>
                <w:rFonts w:eastAsia="Calibri"/>
                <w:lang w:eastAsia="en-US"/>
              </w:rPr>
              <w:t>SCR tasarımının ve çalışmasının optimizasyonu</w:t>
            </w:r>
          </w:p>
        </w:tc>
        <w:tc>
          <w:tcPr>
            <w:tcW w:w="4111" w:type="dxa"/>
            <w:vAlign w:val="center"/>
          </w:tcPr>
          <w:p w14:paraId="38D55AF5" w14:textId="5E255B3A" w:rsidR="00882BD7" w:rsidRPr="009077F5" w:rsidRDefault="00882BD7" w:rsidP="004B0D48">
            <w:pPr>
              <w:pStyle w:val="KonuBal"/>
              <w:rPr>
                <w:sz w:val="24"/>
                <w:szCs w:val="24"/>
              </w:rPr>
            </w:pPr>
            <w:r w:rsidRPr="009077F5">
              <w:rPr>
                <w:sz w:val="24"/>
                <w:szCs w:val="24"/>
              </w:rPr>
              <w:t xml:space="preserve">Bölüm </w:t>
            </w:r>
            <w:r w:rsidR="00B97162" w:rsidRPr="009077F5">
              <w:rPr>
                <w:sz w:val="24"/>
                <w:szCs w:val="24"/>
              </w:rPr>
              <w:t>1</w:t>
            </w:r>
            <w:r w:rsidRPr="009077F5">
              <w:rPr>
                <w:sz w:val="24"/>
                <w:szCs w:val="24"/>
              </w:rPr>
              <w:t>.11.2</w:t>
            </w:r>
            <w:r w:rsidR="00E56504" w:rsidRPr="009077F5">
              <w:rPr>
                <w:sz w:val="24"/>
                <w:szCs w:val="24"/>
              </w:rPr>
              <w:t>’</w:t>
            </w:r>
            <w:r w:rsidRPr="009077F5">
              <w:rPr>
                <w:sz w:val="24"/>
                <w:szCs w:val="24"/>
              </w:rPr>
              <w:t>ye bakınız.</w:t>
            </w:r>
          </w:p>
        </w:tc>
        <w:tc>
          <w:tcPr>
            <w:tcW w:w="2126" w:type="dxa"/>
            <w:vAlign w:val="center"/>
          </w:tcPr>
          <w:p w14:paraId="6C0F43E4" w14:textId="098BA6BE" w:rsidR="00882BD7" w:rsidRPr="009077F5" w:rsidRDefault="00BB47E1" w:rsidP="004B0D48">
            <w:pPr>
              <w:pStyle w:val="KonuBal"/>
              <w:rPr>
                <w:sz w:val="24"/>
                <w:szCs w:val="24"/>
              </w:rPr>
            </w:pPr>
            <w:r w:rsidRPr="009077F5">
              <w:rPr>
                <w:sz w:val="24"/>
                <w:szCs w:val="24"/>
              </w:rPr>
              <w:t>Sadece NOX emisyonlarının azaltılması için SCR kullanıldığında geçerlidir.</w:t>
            </w:r>
          </w:p>
        </w:tc>
      </w:tr>
    </w:tbl>
    <w:p w14:paraId="1FF147DE" w14:textId="77777777" w:rsidR="009F72A8" w:rsidRPr="00D53A2B" w:rsidRDefault="009F72A8" w:rsidP="00A202FD">
      <w:pPr>
        <w:jc w:val="both"/>
        <w:rPr>
          <w:rFonts w:eastAsia="Calibri"/>
          <w:lang w:eastAsia="en-US"/>
        </w:rPr>
      </w:pPr>
    </w:p>
    <w:p w14:paraId="2F83091D" w14:textId="5A299663" w:rsidR="00421AB1" w:rsidRPr="00D53A2B" w:rsidRDefault="00BB47E1" w:rsidP="00A202FD">
      <w:pPr>
        <w:pStyle w:val="MET"/>
        <w:rPr>
          <w:rFonts w:eastAsia="Calibri"/>
          <w:b w:val="0"/>
          <w:bCs/>
          <w:szCs w:val="24"/>
        </w:rPr>
      </w:pPr>
      <w:r w:rsidRPr="00D53A2B">
        <w:rPr>
          <w:rFonts w:eastAsia="Calibri"/>
          <w:b w:val="0"/>
          <w:bCs/>
          <w:szCs w:val="24"/>
        </w:rPr>
        <w:t>Tablo</w:t>
      </w:r>
      <w:r w:rsidR="00B97162" w:rsidRPr="00D53A2B">
        <w:rPr>
          <w:rFonts w:eastAsia="Calibri"/>
          <w:b w:val="0"/>
          <w:bCs/>
          <w:szCs w:val="24"/>
        </w:rPr>
        <w:t>1</w:t>
      </w:r>
      <w:r w:rsidRPr="00D53A2B">
        <w:rPr>
          <w:rFonts w:eastAsia="Calibri"/>
          <w:b w:val="0"/>
          <w:bCs/>
          <w:szCs w:val="24"/>
        </w:rPr>
        <w:t>.16</w:t>
      </w:r>
    </w:p>
    <w:p w14:paraId="0BD3AEFA" w14:textId="32FEECFB" w:rsidR="0071694E" w:rsidRPr="00D53A2B" w:rsidRDefault="00BB47E1" w:rsidP="00A202FD">
      <w:pPr>
        <w:pStyle w:val="MET"/>
        <w:rPr>
          <w:rFonts w:eastAsia="Calibri"/>
          <w:b w:val="0"/>
          <w:bCs/>
          <w:szCs w:val="24"/>
        </w:rPr>
      </w:pPr>
      <w:r w:rsidRPr="00D53A2B">
        <w:rPr>
          <w:rFonts w:eastAsia="Calibri"/>
          <w:b w:val="0"/>
          <w:bCs/>
          <w:szCs w:val="24"/>
        </w:rPr>
        <w:t>Sıcak haddeleme ve soğuk haddelemede nitrik asitle dekapajdan (tek başına veya diğer asitlerle birlikte) kaynaklanan havaya salınan NOX emisyonları için MET-ilişkili emisyon seviyeleri (MET-İES</w:t>
      </w:r>
      <w:r w:rsidR="00A41596" w:rsidRPr="00D53A2B">
        <w:rPr>
          <w:rFonts w:eastAsia="Calibri"/>
          <w:b w:val="0"/>
          <w:bCs/>
          <w:szCs w:val="24"/>
        </w:rPr>
        <w:t>)</w:t>
      </w:r>
    </w:p>
    <w:p w14:paraId="78D61D71" w14:textId="77777777" w:rsidR="00C15CF2" w:rsidRPr="00D53A2B" w:rsidRDefault="00C15CF2" w:rsidP="00A202FD">
      <w:pPr>
        <w:pStyle w:val="MET"/>
        <w:rPr>
          <w:rFonts w:eastAsia="Calibri"/>
          <w:b w:val="0"/>
          <w:bCs/>
          <w:szCs w:val="24"/>
        </w:rPr>
      </w:pPr>
    </w:p>
    <w:tbl>
      <w:tblPr>
        <w:tblStyle w:val="TabloKlavuzu"/>
        <w:tblW w:w="8930" w:type="dxa"/>
        <w:tblInd w:w="137" w:type="dxa"/>
        <w:tblLook w:val="04A0" w:firstRow="1" w:lastRow="0" w:firstColumn="1" w:lastColumn="0" w:noHBand="0" w:noVBand="1"/>
      </w:tblPr>
      <w:tblGrid>
        <w:gridCol w:w="1418"/>
        <w:gridCol w:w="1417"/>
        <w:gridCol w:w="6095"/>
      </w:tblGrid>
      <w:tr w:rsidR="00BB47E1" w:rsidRPr="0050094F" w14:paraId="0DD0FA5B" w14:textId="77777777" w:rsidTr="00A202FD">
        <w:tc>
          <w:tcPr>
            <w:tcW w:w="1418" w:type="dxa"/>
          </w:tcPr>
          <w:p w14:paraId="55C77562" w14:textId="77777777" w:rsidR="00BB47E1" w:rsidRPr="009077F5" w:rsidRDefault="00BB47E1" w:rsidP="004B0D48">
            <w:pPr>
              <w:pStyle w:val="KonuBal"/>
              <w:rPr>
                <w:sz w:val="24"/>
                <w:szCs w:val="24"/>
              </w:rPr>
            </w:pPr>
            <w:r w:rsidRPr="009077F5">
              <w:rPr>
                <w:sz w:val="24"/>
                <w:szCs w:val="24"/>
              </w:rPr>
              <w:t>Parametre</w:t>
            </w:r>
          </w:p>
        </w:tc>
        <w:tc>
          <w:tcPr>
            <w:tcW w:w="1417" w:type="dxa"/>
          </w:tcPr>
          <w:p w14:paraId="5FEF172D" w14:textId="77777777" w:rsidR="00BB47E1" w:rsidRPr="009077F5" w:rsidRDefault="00BB47E1" w:rsidP="004B0D48">
            <w:pPr>
              <w:pStyle w:val="KonuBal"/>
              <w:rPr>
                <w:sz w:val="24"/>
                <w:szCs w:val="24"/>
              </w:rPr>
            </w:pPr>
            <w:r w:rsidRPr="009077F5">
              <w:rPr>
                <w:sz w:val="24"/>
                <w:szCs w:val="24"/>
              </w:rPr>
              <w:t>Birim</w:t>
            </w:r>
          </w:p>
        </w:tc>
        <w:tc>
          <w:tcPr>
            <w:tcW w:w="6095" w:type="dxa"/>
          </w:tcPr>
          <w:p w14:paraId="72590CBC" w14:textId="77777777" w:rsidR="00BB47E1" w:rsidRPr="009077F5" w:rsidRDefault="00BB47E1" w:rsidP="00A202FD">
            <w:pPr>
              <w:jc w:val="both"/>
              <w:rPr>
                <w:rFonts w:eastAsia="Calibri"/>
                <w:lang w:eastAsia="en-US"/>
              </w:rPr>
            </w:pPr>
            <w:r w:rsidRPr="009077F5">
              <w:rPr>
                <w:rFonts w:eastAsia="Calibri"/>
                <w:lang w:eastAsia="en-US"/>
              </w:rPr>
              <w:t xml:space="preserve">MET-İES </w:t>
            </w:r>
          </w:p>
          <w:p w14:paraId="5D4A7E02" w14:textId="77777777" w:rsidR="00BB47E1" w:rsidRPr="009077F5" w:rsidRDefault="00BB47E1" w:rsidP="004B0D48">
            <w:pPr>
              <w:pStyle w:val="KonuBal"/>
              <w:rPr>
                <w:sz w:val="24"/>
                <w:szCs w:val="24"/>
              </w:rPr>
            </w:pPr>
            <w:r w:rsidRPr="009077F5">
              <w:rPr>
                <w:sz w:val="24"/>
                <w:szCs w:val="24"/>
              </w:rPr>
              <w:t>(Günlük ortalama veya numune alma süresi boyunca ortalama)</w:t>
            </w:r>
          </w:p>
        </w:tc>
      </w:tr>
      <w:tr w:rsidR="00BB47E1" w:rsidRPr="0050094F" w14:paraId="39845E9F" w14:textId="77777777" w:rsidTr="00A202FD">
        <w:tc>
          <w:tcPr>
            <w:tcW w:w="1418" w:type="dxa"/>
          </w:tcPr>
          <w:p w14:paraId="3A8F8A1B" w14:textId="798318A0" w:rsidR="00BB47E1" w:rsidRPr="009077F5" w:rsidRDefault="00BB47E1" w:rsidP="004B0D48">
            <w:pPr>
              <w:pStyle w:val="KonuBal"/>
              <w:rPr>
                <w:sz w:val="24"/>
                <w:szCs w:val="24"/>
              </w:rPr>
            </w:pPr>
            <w:r w:rsidRPr="009077F5">
              <w:rPr>
                <w:sz w:val="24"/>
                <w:szCs w:val="24"/>
              </w:rPr>
              <w:t>NO</w:t>
            </w:r>
            <w:r w:rsidRPr="009077F5">
              <w:rPr>
                <w:sz w:val="24"/>
                <w:szCs w:val="24"/>
                <w:vertAlign w:val="subscript"/>
              </w:rPr>
              <w:t>x</w:t>
            </w:r>
          </w:p>
        </w:tc>
        <w:tc>
          <w:tcPr>
            <w:tcW w:w="1417" w:type="dxa"/>
          </w:tcPr>
          <w:p w14:paraId="2FB1EEB3" w14:textId="77777777" w:rsidR="00BB47E1" w:rsidRPr="009077F5" w:rsidRDefault="00BB47E1"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581F080A" w14:textId="21B4BAF1" w:rsidR="00BB47E1" w:rsidRPr="009077F5" w:rsidRDefault="00BB47E1" w:rsidP="0050094F">
            <w:pPr>
              <w:pStyle w:val="KonuBal"/>
              <w:rPr>
                <w:sz w:val="24"/>
                <w:szCs w:val="24"/>
              </w:rPr>
            </w:pPr>
            <w:r w:rsidRPr="009077F5">
              <w:rPr>
                <w:sz w:val="24"/>
                <w:szCs w:val="24"/>
              </w:rPr>
              <w:t>100-200</w:t>
            </w:r>
          </w:p>
        </w:tc>
      </w:tr>
    </w:tbl>
    <w:p w14:paraId="5522A0DA" w14:textId="0C4F7E8F" w:rsidR="0071694E" w:rsidRPr="00D53A2B" w:rsidRDefault="0071694E" w:rsidP="00A202FD">
      <w:pPr>
        <w:jc w:val="both"/>
        <w:rPr>
          <w:rFonts w:eastAsia="Calibri"/>
          <w:lang w:eastAsia="en-US"/>
        </w:rPr>
      </w:pPr>
    </w:p>
    <w:p w14:paraId="6A6017A7" w14:textId="3315D103" w:rsidR="00BB47E1" w:rsidRPr="00D53A2B" w:rsidRDefault="00BB47E1"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67A0974C" w14:textId="77777777" w:rsidR="00BB47E1" w:rsidRPr="00D53A2B" w:rsidRDefault="00BB47E1" w:rsidP="00A202FD">
      <w:pPr>
        <w:jc w:val="both"/>
        <w:rPr>
          <w:rFonts w:eastAsia="Calibri"/>
          <w:lang w:eastAsia="en-US"/>
        </w:rPr>
      </w:pPr>
    </w:p>
    <w:p w14:paraId="248E22CB" w14:textId="087B3766" w:rsidR="00BB47E1" w:rsidRPr="00D53A2B" w:rsidRDefault="00816D19" w:rsidP="00A202FD">
      <w:pPr>
        <w:pStyle w:val="Balk4"/>
        <w:rPr>
          <w:rFonts w:eastAsia="Calibri" w:cs="Times New Roman"/>
          <w:lang w:eastAsia="en-US"/>
        </w:rPr>
      </w:pPr>
      <w:r w:rsidRPr="00D53A2B">
        <w:rPr>
          <w:rFonts w:eastAsia="Calibri" w:cs="Times New Roman"/>
          <w:lang w:eastAsia="en-US"/>
        </w:rPr>
        <w:t>1.1</w:t>
      </w:r>
      <w:r w:rsidR="00B62781" w:rsidRPr="00D53A2B">
        <w:rPr>
          <w:rFonts w:eastAsia="Calibri" w:cs="Times New Roman"/>
          <w:lang w:eastAsia="en-US"/>
        </w:rPr>
        <w:t>.7.4. Sıcak daldırma işleminden kaynaklanan hava emisyonları</w:t>
      </w:r>
    </w:p>
    <w:p w14:paraId="62318430" w14:textId="7C03D342" w:rsidR="00BB47E1" w:rsidRPr="00D53A2B" w:rsidRDefault="00B62781" w:rsidP="00A202FD">
      <w:pPr>
        <w:pStyle w:val="MET"/>
        <w:rPr>
          <w:rFonts w:eastAsia="Calibri"/>
          <w:b w:val="0"/>
          <w:bCs/>
          <w:szCs w:val="24"/>
        </w:rPr>
      </w:pPr>
      <w:r w:rsidRPr="00D53A2B">
        <w:rPr>
          <w:rFonts w:eastAsia="Calibri"/>
          <w:szCs w:val="24"/>
        </w:rPr>
        <w:t xml:space="preserve">MET 26: </w:t>
      </w:r>
      <w:r w:rsidRPr="00D53A2B">
        <w:rPr>
          <w:rFonts w:eastAsia="Calibri"/>
          <w:b w:val="0"/>
          <w:bCs/>
          <w:szCs w:val="24"/>
        </w:rPr>
        <w:t>Tellerin sıcak daldırma kaplamasında ve kesikli galvanizlemede flakslama sonrası sıcak daldırmadan kaynaklanan toz ve çinkonun havaya emisyonlarını azaltmak için (b) tekniğini veya (a) ve (b) tekniklerini kullanarak emisyon oluşumunu azaltmak, (c) tekniğini veya (d) tekniğini kullanarak emisyonları toplamak ve aşağıda verilen (e) tekniğini kullanarak atık gazlar arıt</w:t>
      </w:r>
      <w:r w:rsidR="00A41596" w:rsidRPr="00D53A2B">
        <w:rPr>
          <w:rFonts w:eastAsia="Calibri"/>
          <w:b w:val="0"/>
          <w:bCs/>
          <w:szCs w:val="24"/>
        </w:rPr>
        <w:t>ılır</w:t>
      </w:r>
      <w:r w:rsidRPr="00D53A2B">
        <w:rPr>
          <w:rFonts w:eastAsia="Calibri"/>
          <w:b w:val="0"/>
          <w:bCs/>
          <w:szCs w:val="24"/>
        </w:rPr>
        <w:t>.</w:t>
      </w:r>
    </w:p>
    <w:p w14:paraId="39CC9478" w14:textId="77777777" w:rsidR="00C15CF2" w:rsidRPr="00D53A2B" w:rsidRDefault="00C15CF2" w:rsidP="00A202FD">
      <w:pPr>
        <w:pStyle w:val="MET"/>
        <w:rPr>
          <w:rFonts w:eastAsia="Calibri"/>
          <w:szCs w:val="24"/>
        </w:rPr>
      </w:pPr>
    </w:p>
    <w:tbl>
      <w:tblPr>
        <w:tblStyle w:val="TabloKlavuzu"/>
        <w:tblW w:w="8930" w:type="dxa"/>
        <w:tblInd w:w="137" w:type="dxa"/>
        <w:tblLayout w:type="fixed"/>
        <w:tblLook w:val="04A0" w:firstRow="1" w:lastRow="0" w:firstColumn="1" w:lastColumn="0" w:noHBand="0" w:noVBand="1"/>
      </w:tblPr>
      <w:tblGrid>
        <w:gridCol w:w="567"/>
        <w:gridCol w:w="1985"/>
        <w:gridCol w:w="3402"/>
        <w:gridCol w:w="2976"/>
      </w:tblGrid>
      <w:tr w:rsidR="00867687" w:rsidRPr="0050094F" w14:paraId="78F07845" w14:textId="77777777" w:rsidTr="00065723">
        <w:tc>
          <w:tcPr>
            <w:tcW w:w="2552" w:type="dxa"/>
            <w:gridSpan w:val="2"/>
          </w:tcPr>
          <w:p w14:paraId="7957F99E" w14:textId="77777777" w:rsidR="00867687" w:rsidRPr="009077F5" w:rsidRDefault="00867687" w:rsidP="004B0D48">
            <w:pPr>
              <w:pStyle w:val="KonuBal"/>
              <w:rPr>
                <w:sz w:val="24"/>
                <w:szCs w:val="24"/>
              </w:rPr>
            </w:pPr>
            <w:r w:rsidRPr="009077F5">
              <w:rPr>
                <w:sz w:val="24"/>
                <w:szCs w:val="24"/>
              </w:rPr>
              <w:lastRenderedPageBreak/>
              <w:t>Teknik</w:t>
            </w:r>
          </w:p>
        </w:tc>
        <w:tc>
          <w:tcPr>
            <w:tcW w:w="3402" w:type="dxa"/>
          </w:tcPr>
          <w:p w14:paraId="3F100D9F" w14:textId="77777777" w:rsidR="00867687" w:rsidRPr="009077F5" w:rsidRDefault="00867687" w:rsidP="004B0D48">
            <w:pPr>
              <w:pStyle w:val="KonuBal"/>
              <w:rPr>
                <w:sz w:val="24"/>
                <w:szCs w:val="24"/>
              </w:rPr>
            </w:pPr>
            <w:r w:rsidRPr="009077F5">
              <w:rPr>
                <w:sz w:val="24"/>
                <w:szCs w:val="24"/>
              </w:rPr>
              <w:t>Açıklama</w:t>
            </w:r>
          </w:p>
        </w:tc>
        <w:tc>
          <w:tcPr>
            <w:tcW w:w="2976" w:type="dxa"/>
          </w:tcPr>
          <w:p w14:paraId="65E763E7" w14:textId="77777777" w:rsidR="00867687" w:rsidRPr="009077F5" w:rsidRDefault="00867687" w:rsidP="0050094F">
            <w:pPr>
              <w:pStyle w:val="KonuBal"/>
              <w:rPr>
                <w:sz w:val="24"/>
                <w:szCs w:val="24"/>
              </w:rPr>
            </w:pPr>
            <w:r w:rsidRPr="009077F5">
              <w:rPr>
                <w:sz w:val="24"/>
                <w:szCs w:val="24"/>
              </w:rPr>
              <w:t>Uygulanabilirlik</w:t>
            </w:r>
          </w:p>
        </w:tc>
      </w:tr>
      <w:tr w:rsidR="00867687" w:rsidRPr="0050094F" w14:paraId="6E0D4561" w14:textId="77777777" w:rsidTr="00065723">
        <w:tc>
          <w:tcPr>
            <w:tcW w:w="8930" w:type="dxa"/>
            <w:gridSpan w:val="4"/>
          </w:tcPr>
          <w:p w14:paraId="3C42E9B9" w14:textId="77777777" w:rsidR="00867687" w:rsidRPr="009077F5" w:rsidRDefault="00867687" w:rsidP="004B0D48">
            <w:pPr>
              <w:pStyle w:val="KonuBal"/>
              <w:rPr>
                <w:sz w:val="24"/>
                <w:szCs w:val="24"/>
              </w:rPr>
            </w:pPr>
            <w:r w:rsidRPr="009077F5">
              <w:rPr>
                <w:sz w:val="24"/>
                <w:szCs w:val="24"/>
              </w:rPr>
              <w:t>Emisyon oluşumunun azaltılması</w:t>
            </w:r>
          </w:p>
        </w:tc>
      </w:tr>
      <w:tr w:rsidR="00867687" w:rsidRPr="0050094F" w14:paraId="70042D75" w14:textId="77777777" w:rsidTr="00065723">
        <w:tc>
          <w:tcPr>
            <w:tcW w:w="567" w:type="dxa"/>
            <w:vAlign w:val="center"/>
          </w:tcPr>
          <w:p w14:paraId="0E2B9F04" w14:textId="77777777" w:rsidR="00867687" w:rsidRPr="009077F5" w:rsidRDefault="00867687" w:rsidP="004B0D48">
            <w:pPr>
              <w:pStyle w:val="KonuBal"/>
              <w:rPr>
                <w:sz w:val="24"/>
                <w:szCs w:val="24"/>
              </w:rPr>
            </w:pPr>
            <w:r w:rsidRPr="009077F5">
              <w:rPr>
                <w:sz w:val="24"/>
                <w:szCs w:val="24"/>
              </w:rPr>
              <w:t>a.</w:t>
            </w:r>
          </w:p>
        </w:tc>
        <w:tc>
          <w:tcPr>
            <w:tcW w:w="1985" w:type="dxa"/>
            <w:vAlign w:val="center"/>
          </w:tcPr>
          <w:p w14:paraId="3A800AD6" w14:textId="657DF97F" w:rsidR="00867687" w:rsidRPr="009077F5" w:rsidRDefault="00867687" w:rsidP="004B0D48">
            <w:pPr>
              <w:pStyle w:val="KonuBal"/>
              <w:rPr>
                <w:sz w:val="24"/>
                <w:szCs w:val="24"/>
              </w:rPr>
            </w:pPr>
            <w:r w:rsidRPr="009077F5">
              <w:rPr>
                <w:sz w:val="24"/>
                <w:szCs w:val="24"/>
              </w:rPr>
              <w:t>Düşük duman akışı</w:t>
            </w:r>
          </w:p>
        </w:tc>
        <w:tc>
          <w:tcPr>
            <w:tcW w:w="3402" w:type="dxa"/>
            <w:vAlign w:val="center"/>
          </w:tcPr>
          <w:p w14:paraId="5D2C77ED" w14:textId="029B6342" w:rsidR="00867687" w:rsidRPr="009077F5" w:rsidRDefault="00867687" w:rsidP="0050094F">
            <w:pPr>
              <w:pStyle w:val="KonuBal"/>
              <w:rPr>
                <w:sz w:val="24"/>
                <w:szCs w:val="24"/>
              </w:rPr>
            </w:pPr>
            <w:r w:rsidRPr="009077F5">
              <w:rPr>
                <w:sz w:val="24"/>
                <w:szCs w:val="24"/>
              </w:rPr>
              <w:t>Flakslama maddelerindeki amonyum klorür, toz oluşumunu azaltmak için kısmen diğer alkali klorürlerle (örn. potasyum klorür) ikame edilir.</w:t>
            </w:r>
          </w:p>
        </w:tc>
        <w:tc>
          <w:tcPr>
            <w:tcW w:w="2976" w:type="dxa"/>
            <w:vAlign w:val="center"/>
          </w:tcPr>
          <w:p w14:paraId="0E01A42E" w14:textId="0BA2177D" w:rsidR="00867687" w:rsidRPr="009077F5" w:rsidRDefault="00867687" w:rsidP="00E73DA3">
            <w:pPr>
              <w:pStyle w:val="KonuBal"/>
              <w:rPr>
                <w:sz w:val="24"/>
                <w:szCs w:val="24"/>
              </w:rPr>
            </w:pPr>
            <w:r w:rsidRPr="009077F5">
              <w:rPr>
                <w:sz w:val="24"/>
                <w:szCs w:val="24"/>
              </w:rPr>
              <w:t>Uygulanabilirlik, ürün özellikleri nedeniyle kısıtlı olabilir.</w:t>
            </w:r>
          </w:p>
        </w:tc>
      </w:tr>
      <w:tr w:rsidR="00867687" w:rsidRPr="0050094F" w14:paraId="1AA948F3" w14:textId="77777777" w:rsidTr="00065723">
        <w:tc>
          <w:tcPr>
            <w:tcW w:w="567" w:type="dxa"/>
            <w:vAlign w:val="center"/>
          </w:tcPr>
          <w:p w14:paraId="6B50DCE9" w14:textId="77777777" w:rsidR="00867687" w:rsidRPr="009077F5" w:rsidRDefault="00867687" w:rsidP="004B0D48">
            <w:pPr>
              <w:pStyle w:val="KonuBal"/>
              <w:rPr>
                <w:sz w:val="24"/>
                <w:szCs w:val="24"/>
              </w:rPr>
            </w:pPr>
            <w:r w:rsidRPr="009077F5">
              <w:rPr>
                <w:sz w:val="24"/>
                <w:szCs w:val="24"/>
              </w:rPr>
              <w:t>b.</w:t>
            </w:r>
          </w:p>
        </w:tc>
        <w:tc>
          <w:tcPr>
            <w:tcW w:w="1985" w:type="dxa"/>
            <w:vAlign w:val="center"/>
          </w:tcPr>
          <w:p w14:paraId="1837B6C8" w14:textId="2DE117A2" w:rsidR="00867687" w:rsidRPr="009077F5" w:rsidRDefault="00867687" w:rsidP="004B0D48">
            <w:pPr>
              <w:pStyle w:val="KonuBal"/>
              <w:rPr>
                <w:sz w:val="24"/>
                <w:szCs w:val="24"/>
              </w:rPr>
            </w:pPr>
            <w:r w:rsidRPr="009077F5">
              <w:rPr>
                <w:sz w:val="24"/>
                <w:szCs w:val="24"/>
              </w:rPr>
              <w:t>Flakslama çözeltisinin taşınmasının en aza indirilmesi</w:t>
            </w:r>
          </w:p>
        </w:tc>
        <w:tc>
          <w:tcPr>
            <w:tcW w:w="3402" w:type="dxa"/>
            <w:vAlign w:val="center"/>
          </w:tcPr>
          <w:p w14:paraId="0920DF96" w14:textId="77777777" w:rsidR="00867687" w:rsidRPr="009077F5" w:rsidRDefault="00867687" w:rsidP="00A202FD">
            <w:pPr>
              <w:pStyle w:val="ListeParagraf"/>
              <w:numPr>
                <w:ilvl w:val="0"/>
                <w:numId w:val="0"/>
              </w:numPr>
              <w:tabs>
                <w:tab w:val="clear" w:pos="567"/>
              </w:tabs>
              <w:ind w:left="37"/>
              <w:rPr>
                <w:rFonts w:eastAsia="Calibri"/>
                <w:position w:val="0"/>
                <w:sz w:val="24"/>
                <w:szCs w:val="24"/>
              </w:rPr>
            </w:pPr>
            <w:r w:rsidRPr="009077F5">
              <w:rPr>
                <w:rFonts w:eastAsia="Calibri"/>
                <w:position w:val="0"/>
                <w:sz w:val="24"/>
                <w:szCs w:val="24"/>
              </w:rPr>
              <w:t>Bu, aşağıdaki gibi teknikleri içerir:</w:t>
            </w:r>
          </w:p>
          <w:p w14:paraId="0D76CA54" w14:textId="77777777" w:rsidR="00867687" w:rsidRPr="009077F5" w:rsidRDefault="00867687" w:rsidP="00A202FD">
            <w:pPr>
              <w:pStyle w:val="ListeParagraf"/>
              <w:numPr>
                <w:ilvl w:val="0"/>
                <w:numId w:val="0"/>
              </w:numPr>
              <w:tabs>
                <w:tab w:val="clear" w:pos="567"/>
              </w:tabs>
              <w:ind w:left="37"/>
              <w:rPr>
                <w:rFonts w:eastAsia="Calibri"/>
                <w:position w:val="0"/>
                <w:sz w:val="24"/>
                <w:szCs w:val="24"/>
              </w:rPr>
            </w:pPr>
            <w:r w:rsidRPr="009077F5">
              <w:rPr>
                <w:rFonts w:eastAsia="Calibri"/>
                <w:position w:val="0"/>
                <w:sz w:val="24"/>
                <w:szCs w:val="24"/>
              </w:rPr>
              <w:t>- Flakslama çözeltisinin damlaması için yeterli zaman tanınması (bkz. MET 15 (c));</w:t>
            </w:r>
          </w:p>
          <w:p w14:paraId="2C6BCBEF" w14:textId="1BDCAE71" w:rsidR="00867687" w:rsidRPr="009077F5" w:rsidRDefault="00867687" w:rsidP="00A202FD">
            <w:pPr>
              <w:pStyle w:val="ListeParagraf"/>
              <w:numPr>
                <w:ilvl w:val="0"/>
                <w:numId w:val="0"/>
              </w:numPr>
              <w:tabs>
                <w:tab w:val="clear" w:pos="567"/>
              </w:tabs>
              <w:ind w:left="37"/>
              <w:rPr>
                <w:rFonts w:eastAsia="Calibri"/>
                <w:position w:val="0"/>
                <w:sz w:val="24"/>
                <w:szCs w:val="24"/>
              </w:rPr>
            </w:pPr>
            <w:r w:rsidRPr="009077F5">
              <w:rPr>
                <w:rFonts w:eastAsia="Calibri"/>
                <w:position w:val="0"/>
                <w:sz w:val="24"/>
                <w:szCs w:val="24"/>
              </w:rPr>
              <w:t>- daldırmadan önce kurutma.</w:t>
            </w:r>
          </w:p>
        </w:tc>
        <w:tc>
          <w:tcPr>
            <w:tcW w:w="2976" w:type="dxa"/>
            <w:vAlign w:val="center"/>
          </w:tcPr>
          <w:p w14:paraId="3E7B48EC" w14:textId="77777777" w:rsidR="00867687" w:rsidRPr="009077F5" w:rsidRDefault="00867687" w:rsidP="004B0D48">
            <w:pPr>
              <w:pStyle w:val="KonuBal"/>
              <w:rPr>
                <w:sz w:val="24"/>
                <w:szCs w:val="24"/>
              </w:rPr>
            </w:pPr>
            <w:r w:rsidRPr="009077F5">
              <w:rPr>
                <w:sz w:val="24"/>
                <w:szCs w:val="24"/>
              </w:rPr>
              <w:t>Genel olarak uygulanabilir.</w:t>
            </w:r>
          </w:p>
        </w:tc>
      </w:tr>
      <w:tr w:rsidR="00867687" w:rsidRPr="0050094F" w14:paraId="66FC334F" w14:textId="77777777" w:rsidTr="00065723">
        <w:tc>
          <w:tcPr>
            <w:tcW w:w="8930" w:type="dxa"/>
            <w:gridSpan w:val="4"/>
            <w:vAlign w:val="center"/>
          </w:tcPr>
          <w:p w14:paraId="6B604321" w14:textId="77777777" w:rsidR="00867687" w:rsidRPr="009077F5" w:rsidRDefault="00867687" w:rsidP="004B0D48">
            <w:pPr>
              <w:pStyle w:val="KonuBal"/>
              <w:rPr>
                <w:sz w:val="24"/>
                <w:szCs w:val="24"/>
              </w:rPr>
            </w:pPr>
            <w:r w:rsidRPr="009077F5">
              <w:rPr>
                <w:sz w:val="24"/>
                <w:szCs w:val="24"/>
              </w:rPr>
              <w:t>Emisyonların toplanması</w:t>
            </w:r>
          </w:p>
        </w:tc>
      </w:tr>
      <w:tr w:rsidR="00867687" w:rsidRPr="0050094F" w14:paraId="79830DD6" w14:textId="77777777" w:rsidTr="00065723">
        <w:tc>
          <w:tcPr>
            <w:tcW w:w="567" w:type="dxa"/>
            <w:vAlign w:val="center"/>
          </w:tcPr>
          <w:p w14:paraId="7449544F" w14:textId="77777777" w:rsidR="00867687" w:rsidRPr="009077F5" w:rsidRDefault="00867687" w:rsidP="004B0D48">
            <w:pPr>
              <w:pStyle w:val="KonuBal"/>
              <w:rPr>
                <w:sz w:val="24"/>
                <w:szCs w:val="24"/>
              </w:rPr>
            </w:pPr>
            <w:r w:rsidRPr="009077F5">
              <w:rPr>
                <w:sz w:val="24"/>
                <w:szCs w:val="24"/>
              </w:rPr>
              <w:t>c.</w:t>
            </w:r>
          </w:p>
        </w:tc>
        <w:tc>
          <w:tcPr>
            <w:tcW w:w="1985" w:type="dxa"/>
            <w:vAlign w:val="center"/>
          </w:tcPr>
          <w:p w14:paraId="3C344925" w14:textId="3211D0E5" w:rsidR="00867687" w:rsidRPr="009077F5" w:rsidRDefault="00867687" w:rsidP="00A202FD">
            <w:pPr>
              <w:jc w:val="both"/>
              <w:rPr>
                <w:rFonts w:eastAsia="Calibri"/>
                <w:lang w:eastAsia="en-US"/>
              </w:rPr>
            </w:pPr>
            <w:r w:rsidRPr="009077F5">
              <w:rPr>
                <w:rFonts w:eastAsia="Calibri"/>
                <w:lang w:eastAsia="en-US"/>
              </w:rPr>
              <w:t>Kaynağa mümkün olduğunca yakın hava tahliyesi</w:t>
            </w:r>
          </w:p>
        </w:tc>
        <w:tc>
          <w:tcPr>
            <w:tcW w:w="3402" w:type="dxa"/>
            <w:vAlign w:val="center"/>
          </w:tcPr>
          <w:p w14:paraId="3CE6E064" w14:textId="6EEE1E7F" w:rsidR="00867687" w:rsidRPr="009077F5" w:rsidRDefault="00867687" w:rsidP="00A202FD">
            <w:pPr>
              <w:jc w:val="both"/>
              <w:rPr>
                <w:lang w:val="en-US" w:eastAsia="en-US"/>
              </w:rPr>
            </w:pPr>
            <w:r w:rsidRPr="009077F5">
              <w:rPr>
                <w:rFonts w:eastAsia="Calibri"/>
                <w:spacing w:val="2"/>
                <w:lang w:val="en-US" w:eastAsia="en-US"/>
              </w:rPr>
              <w:t>Su ısıtıcısından gelen hava, örneğin yanal davlumbaz veya ağızlık ekstraksiyonu kullanılarak çıkarılır.</w:t>
            </w:r>
          </w:p>
        </w:tc>
        <w:tc>
          <w:tcPr>
            <w:tcW w:w="2976" w:type="dxa"/>
            <w:vAlign w:val="center"/>
          </w:tcPr>
          <w:p w14:paraId="003B2EE7" w14:textId="77777777" w:rsidR="00867687" w:rsidRPr="009077F5" w:rsidRDefault="00867687" w:rsidP="004B0D48">
            <w:pPr>
              <w:pStyle w:val="KonuBal"/>
              <w:rPr>
                <w:sz w:val="24"/>
                <w:szCs w:val="24"/>
              </w:rPr>
            </w:pPr>
            <w:r w:rsidRPr="009077F5">
              <w:rPr>
                <w:sz w:val="24"/>
                <w:szCs w:val="24"/>
              </w:rPr>
              <w:t>Genel olarak uygulanabilir.</w:t>
            </w:r>
          </w:p>
        </w:tc>
      </w:tr>
      <w:tr w:rsidR="00867687" w:rsidRPr="0050094F" w14:paraId="0C54B164" w14:textId="77777777" w:rsidTr="00065723">
        <w:tc>
          <w:tcPr>
            <w:tcW w:w="567" w:type="dxa"/>
            <w:vAlign w:val="center"/>
          </w:tcPr>
          <w:p w14:paraId="33B6B43E" w14:textId="77777777" w:rsidR="00867687" w:rsidRPr="009077F5" w:rsidRDefault="00867687" w:rsidP="004B0D48">
            <w:pPr>
              <w:pStyle w:val="KonuBal"/>
              <w:rPr>
                <w:sz w:val="24"/>
                <w:szCs w:val="24"/>
              </w:rPr>
            </w:pPr>
            <w:r w:rsidRPr="009077F5">
              <w:rPr>
                <w:sz w:val="24"/>
                <w:szCs w:val="24"/>
              </w:rPr>
              <w:t>d.</w:t>
            </w:r>
          </w:p>
        </w:tc>
        <w:tc>
          <w:tcPr>
            <w:tcW w:w="1985" w:type="dxa"/>
            <w:vAlign w:val="center"/>
          </w:tcPr>
          <w:p w14:paraId="032D8D29" w14:textId="2B41BE46" w:rsidR="00867687" w:rsidRPr="009077F5" w:rsidRDefault="00867687" w:rsidP="00A202FD">
            <w:pPr>
              <w:jc w:val="both"/>
              <w:rPr>
                <w:rFonts w:eastAsia="Calibri"/>
                <w:lang w:eastAsia="en-US"/>
              </w:rPr>
            </w:pPr>
            <w:r w:rsidRPr="009077F5">
              <w:rPr>
                <w:rFonts w:eastAsia="Calibri"/>
                <w:lang w:eastAsia="en-US"/>
              </w:rPr>
              <w:t>Hava tahliyesi ile birlikte kapalı kazan</w:t>
            </w:r>
          </w:p>
        </w:tc>
        <w:tc>
          <w:tcPr>
            <w:tcW w:w="3402" w:type="dxa"/>
            <w:vAlign w:val="center"/>
          </w:tcPr>
          <w:p w14:paraId="058D212F" w14:textId="5C399F82" w:rsidR="00867687" w:rsidRPr="009077F5" w:rsidRDefault="00867687" w:rsidP="004B0D48">
            <w:pPr>
              <w:pStyle w:val="KonuBal"/>
              <w:rPr>
                <w:sz w:val="24"/>
                <w:szCs w:val="24"/>
              </w:rPr>
            </w:pPr>
            <w:r w:rsidRPr="009077F5">
              <w:rPr>
                <w:sz w:val="24"/>
                <w:szCs w:val="24"/>
              </w:rPr>
              <w:t>Sıcak daldırma kapalı bir kazanda gerçekleştirilir ve hava çıkarılır.</w:t>
            </w:r>
          </w:p>
        </w:tc>
        <w:tc>
          <w:tcPr>
            <w:tcW w:w="2976" w:type="dxa"/>
            <w:vAlign w:val="center"/>
          </w:tcPr>
          <w:p w14:paraId="123EBFE7" w14:textId="17448E9C" w:rsidR="00867687" w:rsidRPr="009077F5" w:rsidRDefault="00867687" w:rsidP="004B0D48">
            <w:pPr>
              <w:pStyle w:val="KonuBal"/>
              <w:rPr>
                <w:sz w:val="24"/>
                <w:szCs w:val="24"/>
              </w:rPr>
            </w:pPr>
            <w:r w:rsidRPr="009077F5">
              <w:rPr>
                <w:sz w:val="24"/>
                <w:szCs w:val="24"/>
              </w:rPr>
              <w:t>Mevcut tesislere uygulanabilirlik, muhafazanın yığın galvanizlemede iş parçaları için mevcut bir taşıma sistemine müdahale ettiği durumlarda sınırlı olabilir.</w:t>
            </w:r>
          </w:p>
        </w:tc>
      </w:tr>
      <w:tr w:rsidR="00867687" w:rsidRPr="0050094F" w14:paraId="5516C44B" w14:textId="77777777" w:rsidTr="00065723">
        <w:tc>
          <w:tcPr>
            <w:tcW w:w="8930" w:type="dxa"/>
            <w:gridSpan w:val="4"/>
            <w:vAlign w:val="center"/>
          </w:tcPr>
          <w:p w14:paraId="28260190" w14:textId="77777777" w:rsidR="00867687" w:rsidRPr="009077F5" w:rsidRDefault="00867687" w:rsidP="004B0D48">
            <w:pPr>
              <w:pStyle w:val="KonuBal"/>
              <w:rPr>
                <w:sz w:val="24"/>
                <w:szCs w:val="24"/>
              </w:rPr>
            </w:pPr>
            <w:r w:rsidRPr="009077F5">
              <w:rPr>
                <w:sz w:val="24"/>
                <w:szCs w:val="24"/>
              </w:rPr>
              <w:t>Atık gaz arıtımı</w:t>
            </w:r>
          </w:p>
        </w:tc>
      </w:tr>
      <w:tr w:rsidR="00867687" w:rsidRPr="0050094F" w14:paraId="24C54C9C" w14:textId="77777777" w:rsidTr="00065723">
        <w:tc>
          <w:tcPr>
            <w:tcW w:w="567" w:type="dxa"/>
            <w:vAlign w:val="center"/>
          </w:tcPr>
          <w:p w14:paraId="657564AC" w14:textId="77777777" w:rsidR="00867687" w:rsidRPr="009077F5" w:rsidRDefault="00867687" w:rsidP="004B0D48">
            <w:pPr>
              <w:pStyle w:val="KonuBal"/>
              <w:rPr>
                <w:sz w:val="24"/>
                <w:szCs w:val="24"/>
              </w:rPr>
            </w:pPr>
            <w:r w:rsidRPr="009077F5">
              <w:rPr>
                <w:sz w:val="24"/>
                <w:szCs w:val="24"/>
              </w:rPr>
              <w:t>e.</w:t>
            </w:r>
          </w:p>
        </w:tc>
        <w:tc>
          <w:tcPr>
            <w:tcW w:w="1985" w:type="dxa"/>
            <w:vAlign w:val="center"/>
          </w:tcPr>
          <w:p w14:paraId="63A40089" w14:textId="1E334AFA" w:rsidR="00867687" w:rsidRPr="009077F5" w:rsidRDefault="00867687" w:rsidP="00A202FD">
            <w:pPr>
              <w:jc w:val="both"/>
              <w:rPr>
                <w:rFonts w:eastAsia="Calibri"/>
                <w:lang w:eastAsia="en-US"/>
              </w:rPr>
            </w:pPr>
            <w:r w:rsidRPr="009077F5">
              <w:rPr>
                <w:rFonts w:eastAsia="Calibri"/>
                <w:lang w:eastAsia="en-US"/>
              </w:rPr>
              <w:t>Bez filtre</w:t>
            </w:r>
          </w:p>
        </w:tc>
        <w:tc>
          <w:tcPr>
            <w:tcW w:w="3402" w:type="dxa"/>
            <w:vAlign w:val="center"/>
          </w:tcPr>
          <w:p w14:paraId="3CB31538" w14:textId="7A08F8F3" w:rsidR="00867687" w:rsidRPr="009077F5" w:rsidRDefault="00867687" w:rsidP="004B0D48">
            <w:pPr>
              <w:pStyle w:val="KonuBal"/>
              <w:rPr>
                <w:sz w:val="24"/>
                <w:szCs w:val="24"/>
              </w:rPr>
            </w:pPr>
            <w:r w:rsidRPr="009077F5">
              <w:rPr>
                <w:sz w:val="24"/>
                <w:szCs w:val="24"/>
              </w:rPr>
              <w:t xml:space="preserve">Bölüm </w:t>
            </w:r>
            <w:r w:rsidR="00B97162" w:rsidRPr="009077F5">
              <w:rPr>
                <w:sz w:val="24"/>
                <w:szCs w:val="24"/>
              </w:rPr>
              <w:t>1</w:t>
            </w:r>
            <w:r w:rsidRPr="009077F5">
              <w:rPr>
                <w:sz w:val="24"/>
                <w:szCs w:val="24"/>
              </w:rPr>
              <w:t>.11.2</w:t>
            </w:r>
            <w:r w:rsidR="00E56504" w:rsidRPr="009077F5">
              <w:rPr>
                <w:sz w:val="24"/>
                <w:szCs w:val="24"/>
              </w:rPr>
              <w:t>’</w:t>
            </w:r>
            <w:r w:rsidRPr="009077F5">
              <w:rPr>
                <w:sz w:val="24"/>
                <w:szCs w:val="24"/>
              </w:rPr>
              <w:t>ye bakınız.</w:t>
            </w:r>
          </w:p>
        </w:tc>
        <w:tc>
          <w:tcPr>
            <w:tcW w:w="2976" w:type="dxa"/>
            <w:vAlign w:val="center"/>
          </w:tcPr>
          <w:p w14:paraId="3D41EA46" w14:textId="77777777" w:rsidR="00867687" w:rsidRPr="009077F5" w:rsidRDefault="00867687" w:rsidP="004B0D48">
            <w:pPr>
              <w:pStyle w:val="KonuBal"/>
              <w:rPr>
                <w:sz w:val="24"/>
                <w:szCs w:val="24"/>
              </w:rPr>
            </w:pPr>
            <w:r w:rsidRPr="009077F5">
              <w:rPr>
                <w:sz w:val="24"/>
                <w:szCs w:val="24"/>
              </w:rPr>
              <w:t>Genel olarak uygulanabilir.</w:t>
            </w:r>
          </w:p>
        </w:tc>
      </w:tr>
    </w:tbl>
    <w:p w14:paraId="0E841666" w14:textId="77777777" w:rsidR="00BB47E1" w:rsidRPr="00D53A2B" w:rsidRDefault="00BB47E1" w:rsidP="00A202FD">
      <w:pPr>
        <w:jc w:val="both"/>
        <w:rPr>
          <w:rFonts w:eastAsia="Calibri"/>
          <w:lang w:eastAsia="en-US"/>
        </w:rPr>
      </w:pPr>
    </w:p>
    <w:p w14:paraId="14A294EF" w14:textId="45438B9F" w:rsidR="00421AB1" w:rsidRPr="00D53A2B" w:rsidRDefault="00867687" w:rsidP="00A202FD">
      <w:pPr>
        <w:jc w:val="both"/>
        <w:rPr>
          <w:rFonts w:eastAsia="Calibri"/>
          <w:lang w:eastAsia="en-US"/>
        </w:rPr>
      </w:pPr>
      <w:r w:rsidRPr="00D53A2B">
        <w:rPr>
          <w:rFonts w:eastAsia="Calibri"/>
          <w:lang w:eastAsia="en-US"/>
        </w:rPr>
        <w:t xml:space="preserve">Tablo </w:t>
      </w:r>
      <w:r w:rsidR="00B97162" w:rsidRPr="00D53A2B">
        <w:rPr>
          <w:rFonts w:eastAsia="Calibri"/>
          <w:lang w:eastAsia="en-US"/>
        </w:rPr>
        <w:t>1</w:t>
      </w:r>
      <w:r w:rsidRPr="00D53A2B">
        <w:rPr>
          <w:rFonts w:eastAsia="Calibri"/>
          <w:lang w:eastAsia="en-US"/>
        </w:rPr>
        <w:t>.17</w:t>
      </w:r>
    </w:p>
    <w:p w14:paraId="05212844" w14:textId="0F98FB8A" w:rsidR="00B62781" w:rsidRPr="00D53A2B" w:rsidRDefault="00867687" w:rsidP="00A202FD">
      <w:pPr>
        <w:jc w:val="both"/>
        <w:rPr>
          <w:rFonts w:eastAsia="Calibri"/>
          <w:lang w:eastAsia="en-US"/>
        </w:rPr>
      </w:pPr>
      <w:r w:rsidRPr="00D53A2B">
        <w:rPr>
          <w:rFonts w:eastAsia="Calibri"/>
          <w:lang w:eastAsia="en-US"/>
        </w:rPr>
        <w:t>Tellerin sıcak daldırma kaplamasında ve yığın galvanizlemede flakslama sonrası sıcak daldırmadan kaynaklanan havaya kanalize toz emisyonları için MET-ilişkili emisyon seviyeleri (MET-İES</w:t>
      </w:r>
      <w:r w:rsidR="00A41596" w:rsidRPr="00D53A2B">
        <w:rPr>
          <w:rFonts w:eastAsia="Calibri"/>
          <w:lang w:eastAsia="en-US"/>
        </w:rPr>
        <w:t>)</w:t>
      </w:r>
    </w:p>
    <w:p w14:paraId="7AF69E04" w14:textId="77777777" w:rsidR="00C15CF2" w:rsidRPr="00D53A2B" w:rsidRDefault="00C15CF2"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1418"/>
        <w:gridCol w:w="1417"/>
        <w:gridCol w:w="6095"/>
      </w:tblGrid>
      <w:tr w:rsidR="00867687" w:rsidRPr="00D53A2B" w14:paraId="6AD11E62" w14:textId="77777777" w:rsidTr="00A202FD">
        <w:tc>
          <w:tcPr>
            <w:tcW w:w="1418" w:type="dxa"/>
          </w:tcPr>
          <w:p w14:paraId="35F32B0F" w14:textId="77777777" w:rsidR="00867687" w:rsidRPr="00D53A2B" w:rsidRDefault="00867687" w:rsidP="004B0D48">
            <w:pPr>
              <w:pStyle w:val="KonuBal"/>
            </w:pPr>
            <w:r w:rsidRPr="00D53A2B">
              <w:t>Parametre</w:t>
            </w:r>
          </w:p>
        </w:tc>
        <w:tc>
          <w:tcPr>
            <w:tcW w:w="1417" w:type="dxa"/>
          </w:tcPr>
          <w:p w14:paraId="4CC7A538" w14:textId="77777777" w:rsidR="00867687" w:rsidRPr="00D53A2B" w:rsidRDefault="00867687" w:rsidP="004B0D48">
            <w:pPr>
              <w:pStyle w:val="KonuBal"/>
            </w:pPr>
            <w:r w:rsidRPr="00D53A2B">
              <w:t>Birim</w:t>
            </w:r>
          </w:p>
        </w:tc>
        <w:tc>
          <w:tcPr>
            <w:tcW w:w="6095" w:type="dxa"/>
          </w:tcPr>
          <w:p w14:paraId="221A3182" w14:textId="77777777" w:rsidR="00867687" w:rsidRPr="00D53A2B" w:rsidRDefault="00867687" w:rsidP="00A202FD">
            <w:pPr>
              <w:jc w:val="both"/>
              <w:rPr>
                <w:rFonts w:eastAsia="Calibri"/>
                <w:sz w:val="22"/>
                <w:szCs w:val="22"/>
                <w:lang w:eastAsia="en-US"/>
              </w:rPr>
            </w:pPr>
            <w:r w:rsidRPr="00D53A2B">
              <w:rPr>
                <w:rFonts w:eastAsia="Calibri"/>
                <w:sz w:val="22"/>
                <w:szCs w:val="22"/>
                <w:lang w:eastAsia="en-US"/>
              </w:rPr>
              <w:t xml:space="preserve">MET-İES </w:t>
            </w:r>
          </w:p>
          <w:p w14:paraId="61EA0BBC" w14:textId="77777777" w:rsidR="00867687" w:rsidRPr="00D53A2B" w:rsidRDefault="00867687" w:rsidP="004B0D48">
            <w:pPr>
              <w:pStyle w:val="KonuBal"/>
            </w:pPr>
            <w:r w:rsidRPr="00D53A2B">
              <w:t>(Günlük ortalama veya numune alma süresi boyunca ortalama)</w:t>
            </w:r>
          </w:p>
        </w:tc>
      </w:tr>
      <w:tr w:rsidR="00867687" w:rsidRPr="00D53A2B" w14:paraId="13EF6263" w14:textId="77777777" w:rsidTr="00A202FD">
        <w:tc>
          <w:tcPr>
            <w:tcW w:w="1418" w:type="dxa"/>
          </w:tcPr>
          <w:p w14:paraId="738795CD" w14:textId="5A5DACC5" w:rsidR="00867687" w:rsidRPr="00D53A2B" w:rsidRDefault="00867687" w:rsidP="004B0D48">
            <w:pPr>
              <w:pStyle w:val="KonuBal"/>
            </w:pPr>
            <w:r w:rsidRPr="00D53A2B">
              <w:t>Toz</w:t>
            </w:r>
          </w:p>
        </w:tc>
        <w:tc>
          <w:tcPr>
            <w:tcW w:w="1417" w:type="dxa"/>
          </w:tcPr>
          <w:p w14:paraId="338AD195" w14:textId="77777777" w:rsidR="00867687" w:rsidRPr="00D53A2B" w:rsidRDefault="00867687" w:rsidP="004B0D48">
            <w:pPr>
              <w:pStyle w:val="KonuBal"/>
            </w:pPr>
            <w:r w:rsidRPr="00D53A2B">
              <w:t>mg/Nm</w:t>
            </w:r>
            <w:r w:rsidRPr="00D53A2B">
              <w:rPr>
                <w:vertAlign w:val="superscript"/>
              </w:rPr>
              <w:t>3</w:t>
            </w:r>
          </w:p>
        </w:tc>
        <w:tc>
          <w:tcPr>
            <w:tcW w:w="6095" w:type="dxa"/>
            <w:vAlign w:val="bottom"/>
          </w:tcPr>
          <w:p w14:paraId="6F97218F" w14:textId="05D726B2" w:rsidR="00867687" w:rsidRPr="00D53A2B" w:rsidRDefault="00867687" w:rsidP="00E73DA3">
            <w:pPr>
              <w:pStyle w:val="KonuBal"/>
            </w:pPr>
            <w:r w:rsidRPr="00D53A2B">
              <w:t>&lt;2-5</w:t>
            </w:r>
          </w:p>
        </w:tc>
      </w:tr>
    </w:tbl>
    <w:p w14:paraId="30C19E69" w14:textId="77777777" w:rsidR="00B62781" w:rsidRPr="00D53A2B" w:rsidRDefault="00B62781" w:rsidP="00A202FD">
      <w:pPr>
        <w:jc w:val="both"/>
        <w:rPr>
          <w:rFonts w:eastAsia="Calibri"/>
          <w:lang w:eastAsia="en-US"/>
        </w:rPr>
      </w:pPr>
    </w:p>
    <w:p w14:paraId="17980CE2" w14:textId="3C780B89" w:rsidR="00867687" w:rsidRPr="00D53A2B" w:rsidRDefault="00867687"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4E3E25A4" w14:textId="77777777" w:rsidR="00B62781" w:rsidRPr="00D53A2B" w:rsidRDefault="00B62781" w:rsidP="00A202FD">
      <w:pPr>
        <w:jc w:val="both"/>
        <w:rPr>
          <w:rFonts w:eastAsia="Calibri"/>
          <w:lang w:eastAsia="en-US"/>
        </w:rPr>
      </w:pPr>
    </w:p>
    <w:p w14:paraId="71F9954A" w14:textId="4B502AA7" w:rsidR="00B62781" w:rsidRPr="00D53A2B" w:rsidRDefault="00816D19" w:rsidP="00A202FD">
      <w:pPr>
        <w:pStyle w:val="Balk4"/>
        <w:rPr>
          <w:rFonts w:eastAsia="Calibri" w:cs="Times New Roman"/>
          <w:lang w:eastAsia="en-US"/>
        </w:rPr>
      </w:pPr>
      <w:r w:rsidRPr="00D53A2B">
        <w:rPr>
          <w:rFonts w:eastAsia="Calibri" w:cs="Times New Roman"/>
          <w:lang w:eastAsia="en-US"/>
        </w:rPr>
        <w:t>1.1</w:t>
      </w:r>
      <w:r w:rsidR="00867687" w:rsidRPr="00D53A2B">
        <w:rPr>
          <w:rFonts w:eastAsia="Calibri" w:cs="Times New Roman"/>
          <w:lang w:eastAsia="en-US"/>
        </w:rPr>
        <w:t>.7.5. Yağlama işleminden kaynaklanan hava emisyonları</w:t>
      </w:r>
    </w:p>
    <w:p w14:paraId="6F236D54" w14:textId="0E8472B5" w:rsidR="00B62781" w:rsidRPr="00D53A2B" w:rsidRDefault="00867687" w:rsidP="00A202FD">
      <w:pPr>
        <w:pStyle w:val="MET"/>
        <w:rPr>
          <w:rFonts w:eastAsia="Calibri"/>
          <w:szCs w:val="24"/>
        </w:rPr>
      </w:pPr>
      <w:r w:rsidRPr="00D53A2B">
        <w:rPr>
          <w:rFonts w:eastAsia="Calibri"/>
          <w:szCs w:val="24"/>
        </w:rPr>
        <w:t xml:space="preserve">MET 27: </w:t>
      </w:r>
      <w:r w:rsidRPr="00D53A2B">
        <w:rPr>
          <w:rFonts w:eastAsia="Calibri"/>
          <w:b w:val="0"/>
          <w:bCs/>
          <w:szCs w:val="24"/>
        </w:rPr>
        <w:t>Havaya yağ buharı emisyonlarını önlemek ve hammadde yüzeyinin yağlanmasından kaynaklanan yağ tüketimini azaltmak için aşağıda verilen tekniklerden biri</w:t>
      </w:r>
      <w:r w:rsidR="00A41596" w:rsidRPr="00D53A2B">
        <w:rPr>
          <w:rFonts w:eastAsia="Calibri"/>
          <w:b w:val="0"/>
          <w:bCs/>
          <w:szCs w:val="24"/>
        </w:rPr>
        <w:t xml:space="preserve"> kullanılır</w:t>
      </w:r>
      <w:r w:rsidRPr="00D53A2B">
        <w:rPr>
          <w:rFonts w:eastAsia="Calibri"/>
          <w:b w:val="0"/>
          <w:bCs/>
          <w:szCs w:val="24"/>
        </w:rPr>
        <w:t>.</w:t>
      </w:r>
    </w:p>
    <w:p w14:paraId="7AF92F12" w14:textId="77777777" w:rsidR="00B62781" w:rsidRPr="00D53A2B" w:rsidRDefault="00B62781" w:rsidP="00A202FD">
      <w:pPr>
        <w:jc w:val="both"/>
        <w:rPr>
          <w:rFonts w:eastAsia="Calibri"/>
          <w:lang w:eastAsia="en-US"/>
        </w:rPr>
      </w:pPr>
    </w:p>
    <w:tbl>
      <w:tblPr>
        <w:tblW w:w="8794"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4"/>
        <w:gridCol w:w="2268"/>
        <w:gridCol w:w="6242"/>
      </w:tblGrid>
      <w:tr w:rsidR="00867687" w:rsidRPr="0050094F" w14:paraId="7AFF18E6" w14:textId="77777777" w:rsidTr="00065723">
        <w:trPr>
          <w:trHeight w:val="240"/>
        </w:trPr>
        <w:tc>
          <w:tcPr>
            <w:tcW w:w="2552" w:type="dxa"/>
            <w:gridSpan w:val="2"/>
            <w:shd w:val="clear" w:color="auto" w:fill="auto"/>
            <w:vAlign w:val="bottom"/>
          </w:tcPr>
          <w:p w14:paraId="3D44A072" w14:textId="77777777" w:rsidR="00867687" w:rsidRPr="009077F5" w:rsidRDefault="00867687" w:rsidP="004B0D48">
            <w:pPr>
              <w:pStyle w:val="KonuBal"/>
              <w:rPr>
                <w:sz w:val="24"/>
                <w:szCs w:val="24"/>
              </w:rPr>
            </w:pPr>
            <w:r w:rsidRPr="009077F5">
              <w:rPr>
                <w:sz w:val="24"/>
                <w:szCs w:val="24"/>
              </w:rPr>
              <w:t>Teknik</w:t>
            </w:r>
          </w:p>
        </w:tc>
        <w:tc>
          <w:tcPr>
            <w:tcW w:w="6242" w:type="dxa"/>
            <w:shd w:val="clear" w:color="auto" w:fill="auto"/>
            <w:vAlign w:val="bottom"/>
          </w:tcPr>
          <w:p w14:paraId="0CCC00DF" w14:textId="77777777" w:rsidR="00867687" w:rsidRPr="009077F5" w:rsidRDefault="00867687" w:rsidP="004B0D48">
            <w:pPr>
              <w:pStyle w:val="KonuBal"/>
              <w:rPr>
                <w:sz w:val="24"/>
                <w:szCs w:val="24"/>
              </w:rPr>
            </w:pPr>
            <w:r w:rsidRPr="009077F5">
              <w:rPr>
                <w:sz w:val="24"/>
                <w:szCs w:val="24"/>
              </w:rPr>
              <w:t>Açıklama</w:t>
            </w:r>
          </w:p>
        </w:tc>
      </w:tr>
      <w:tr w:rsidR="00867687" w:rsidRPr="0050094F" w14:paraId="1D20CB81" w14:textId="77777777" w:rsidTr="00065723">
        <w:trPr>
          <w:trHeight w:val="1129"/>
        </w:trPr>
        <w:tc>
          <w:tcPr>
            <w:tcW w:w="284" w:type="dxa"/>
            <w:shd w:val="clear" w:color="auto" w:fill="auto"/>
            <w:vAlign w:val="center"/>
          </w:tcPr>
          <w:p w14:paraId="276B28F1" w14:textId="77777777" w:rsidR="00867687" w:rsidRPr="009077F5" w:rsidRDefault="00867687" w:rsidP="004B0D48">
            <w:pPr>
              <w:pStyle w:val="KonuBal"/>
              <w:rPr>
                <w:sz w:val="24"/>
                <w:szCs w:val="24"/>
              </w:rPr>
            </w:pPr>
            <w:r w:rsidRPr="009077F5">
              <w:rPr>
                <w:sz w:val="24"/>
                <w:szCs w:val="24"/>
              </w:rPr>
              <w:lastRenderedPageBreak/>
              <w:t>a.</w:t>
            </w:r>
          </w:p>
        </w:tc>
        <w:tc>
          <w:tcPr>
            <w:tcW w:w="2268" w:type="dxa"/>
            <w:shd w:val="clear" w:color="auto" w:fill="auto"/>
            <w:vAlign w:val="center"/>
          </w:tcPr>
          <w:p w14:paraId="550E62EB" w14:textId="706730F6" w:rsidR="00867687" w:rsidRPr="009077F5" w:rsidRDefault="00867687" w:rsidP="004B0D48">
            <w:pPr>
              <w:pStyle w:val="KonuBal"/>
              <w:rPr>
                <w:sz w:val="24"/>
                <w:szCs w:val="24"/>
              </w:rPr>
            </w:pPr>
            <w:r w:rsidRPr="009077F5">
              <w:rPr>
                <w:sz w:val="24"/>
                <w:szCs w:val="24"/>
              </w:rPr>
              <w:t xml:space="preserve">Elektrostatik yağlama </w:t>
            </w:r>
          </w:p>
        </w:tc>
        <w:tc>
          <w:tcPr>
            <w:tcW w:w="6242" w:type="dxa"/>
            <w:shd w:val="clear" w:color="auto" w:fill="auto"/>
            <w:vAlign w:val="center"/>
          </w:tcPr>
          <w:p w14:paraId="23F5A225" w14:textId="2931F58B" w:rsidR="00867687" w:rsidRPr="009077F5" w:rsidRDefault="00E42671" w:rsidP="0050094F">
            <w:pPr>
              <w:pStyle w:val="KonuBal"/>
              <w:rPr>
                <w:sz w:val="24"/>
                <w:szCs w:val="24"/>
              </w:rPr>
            </w:pPr>
            <w:r w:rsidRPr="009077F5">
              <w:rPr>
                <w:sz w:val="24"/>
                <w:szCs w:val="24"/>
              </w:rPr>
              <w:t>Yağ, homojen yağ uygulaması sağlayan ve uygulanan yağ miktarını optimize eden bir elektrostatik alan aracılığıyla metal yüzeye püskürtülür. Yağlama makinesi kapalı olup metal yüzeyde birikmeyen yağ geri kazanılır ve makine içinde yeniden kullanılır.</w:t>
            </w:r>
          </w:p>
        </w:tc>
      </w:tr>
      <w:tr w:rsidR="00E42671" w:rsidRPr="0050094F" w14:paraId="63842723" w14:textId="77777777" w:rsidTr="00065723">
        <w:trPr>
          <w:trHeight w:val="194"/>
        </w:trPr>
        <w:tc>
          <w:tcPr>
            <w:tcW w:w="284" w:type="dxa"/>
            <w:shd w:val="clear" w:color="auto" w:fill="auto"/>
            <w:vAlign w:val="center"/>
          </w:tcPr>
          <w:p w14:paraId="0E2BDB20" w14:textId="77777777" w:rsidR="00E42671" w:rsidRPr="009077F5" w:rsidRDefault="00E42671" w:rsidP="004B0D48">
            <w:pPr>
              <w:pStyle w:val="KonuBal"/>
              <w:rPr>
                <w:sz w:val="24"/>
                <w:szCs w:val="24"/>
              </w:rPr>
            </w:pPr>
            <w:r w:rsidRPr="009077F5">
              <w:rPr>
                <w:sz w:val="24"/>
                <w:szCs w:val="24"/>
              </w:rPr>
              <w:t>b.</w:t>
            </w:r>
          </w:p>
        </w:tc>
        <w:tc>
          <w:tcPr>
            <w:tcW w:w="2268" w:type="dxa"/>
            <w:shd w:val="clear" w:color="auto" w:fill="auto"/>
            <w:vAlign w:val="center"/>
          </w:tcPr>
          <w:p w14:paraId="43820423" w14:textId="5EB4AD73" w:rsidR="00E42671" w:rsidRPr="009077F5" w:rsidRDefault="00E42671" w:rsidP="004B0D48">
            <w:pPr>
              <w:pStyle w:val="KonuBal"/>
              <w:rPr>
                <w:rFonts w:eastAsiaTheme="minorEastAsia"/>
                <w:sz w:val="24"/>
                <w:szCs w:val="24"/>
              </w:rPr>
            </w:pPr>
            <w:r w:rsidRPr="009077F5">
              <w:rPr>
                <w:sz w:val="24"/>
                <w:szCs w:val="24"/>
              </w:rPr>
              <w:t xml:space="preserve">Yağlama teması </w:t>
            </w:r>
          </w:p>
        </w:tc>
        <w:tc>
          <w:tcPr>
            <w:tcW w:w="6242" w:type="dxa"/>
            <w:shd w:val="clear" w:color="auto" w:fill="auto"/>
          </w:tcPr>
          <w:p w14:paraId="6DE57E51" w14:textId="72C5B3A4" w:rsidR="00E42671" w:rsidRPr="009077F5" w:rsidRDefault="00E42671" w:rsidP="0050094F">
            <w:pPr>
              <w:pStyle w:val="KonuBal"/>
              <w:rPr>
                <w:sz w:val="24"/>
                <w:szCs w:val="24"/>
              </w:rPr>
            </w:pPr>
            <w:r w:rsidRPr="009077F5">
              <w:rPr>
                <w:sz w:val="24"/>
                <w:szCs w:val="24"/>
              </w:rPr>
              <w:t>Keçe ruloları veya sıkma ruloları gibi rulo yağlayıcılar, metal yüzeyle doğrudan temas halinde kullanılır.</w:t>
            </w:r>
          </w:p>
        </w:tc>
      </w:tr>
      <w:tr w:rsidR="00E42671" w:rsidRPr="0050094F" w14:paraId="182083B0" w14:textId="77777777" w:rsidTr="00065723">
        <w:trPr>
          <w:trHeight w:val="85"/>
        </w:trPr>
        <w:tc>
          <w:tcPr>
            <w:tcW w:w="284" w:type="dxa"/>
            <w:shd w:val="clear" w:color="auto" w:fill="auto"/>
            <w:vAlign w:val="bottom"/>
          </w:tcPr>
          <w:p w14:paraId="5FDE63D9" w14:textId="1C4C8BE3" w:rsidR="00E42671" w:rsidRPr="009077F5" w:rsidRDefault="00E42671" w:rsidP="004B0D48">
            <w:pPr>
              <w:pStyle w:val="KonuBal"/>
              <w:rPr>
                <w:sz w:val="24"/>
                <w:szCs w:val="24"/>
              </w:rPr>
            </w:pPr>
            <w:r w:rsidRPr="009077F5">
              <w:rPr>
                <w:sz w:val="24"/>
                <w:szCs w:val="24"/>
              </w:rPr>
              <w:t>c.</w:t>
            </w:r>
          </w:p>
        </w:tc>
        <w:tc>
          <w:tcPr>
            <w:tcW w:w="2268" w:type="dxa"/>
            <w:shd w:val="clear" w:color="auto" w:fill="auto"/>
            <w:vAlign w:val="bottom"/>
          </w:tcPr>
          <w:p w14:paraId="71A95884" w14:textId="212D6C25" w:rsidR="00E42671" w:rsidRPr="009077F5" w:rsidRDefault="00E42671" w:rsidP="004B0D48">
            <w:pPr>
              <w:pStyle w:val="KonuBal"/>
              <w:rPr>
                <w:sz w:val="24"/>
                <w:szCs w:val="24"/>
              </w:rPr>
            </w:pPr>
            <w:r w:rsidRPr="009077F5">
              <w:rPr>
                <w:sz w:val="24"/>
                <w:szCs w:val="24"/>
              </w:rPr>
              <w:t>Basınçlı hava olmadan yağlama</w:t>
            </w:r>
          </w:p>
        </w:tc>
        <w:tc>
          <w:tcPr>
            <w:tcW w:w="6242" w:type="dxa"/>
            <w:shd w:val="clear" w:color="auto" w:fill="auto"/>
          </w:tcPr>
          <w:p w14:paraId="03822FAB" w14:textId="4FED247F" w:rsidR="00E42671" w:rsidRPr="009077F5" w:rsidRDefault="00E42671" w:rsidP="0050094F">
            <w:pPr>
              <w:pStyle w:val="KonuBal"/>
              <w:rPr>
                <w:sz w:val="24"/>
                <w:szCs w:val="24"/>
              </w:rPr>
            </w:pPr>
            <w:r w:rsidRPr="009077F5">
              <w:rPr>
                <w:sz w:val="24"/>
                <w:szCs w:val="24"/>
              </w:rPr>
              <w:t>Yağ, yüksek frekanslı valfler kullanılarak metal yüzeye yakın nozullarla uygulanır.</w:t>
            </w:r>
          </w:p>
        </w:tc>
      </w:tr>
    </w:tbl>
    <w:p w14:paraId="5974096C" w14:textId="77777777" w:rsidR="00B62781" w:rsidRPr="00D53A2B" w:rsidRDefault="00B62781" w:rsidP="00A202FD">
      <w:pPr>
        <w:jc w:val="both"/>
        <w:rPr>
          <w:rFonts w:eastAsia="Calibri"/>
          <w:sz w:val="22"/>
          <w:szCs w:val="22"/>
          <w:lang w:eastAsia="en-US"/>
        </w:rPr>
      </w:pPr>
    </w:p>
    <w:p w14:paraId="31890EF4" w14:textId="5D8124FA" w:rsidR="0071694E" w:rsidRPr="00D53A2B" w:rsidRDefault="00816D19" w:rsidP="00A202FD">
      <w:pPr>
        <w:pStyle w:val="Balk4"/>
        <w:rPr>
          <w:rFonts w:eastAsia="Calibri" w:cs="Times New Roman"/>
          <w:lang w:eastAsia="en-US"/>
        </w:rPr>
      </w:pPr>
      <w:r w:rsidRPr="00D53A2B">
        <w:rPr>
          <w:rFonts w:eastAsia="Calibri" w:cs="Times New Roman"/>
          <w:lang w:eastAsia="en-US"/>
        </w:rPr>
        <w:t>1.1</w:t>
      </w:r>
      <w:r w:rsidR="00E42671" w:rsidRPr="00D53A2B">
        <w:rPr>
          <w:rFonts w:eastAsia="Calibri" w:cs="Times New Roman"/>
          <w:lang w:eastAsia="en-US"/>
        </w:rPr>
        <w:t>.7.6. İleri arıtma sonrası havaya salınan emisyonlar</w:t>
      </w:r>
    </w:p>
    <w:p w14:paraId="5D5FC65C" w14:textId="7F40098E" w:rsidR="0071694E" w:rsidRPr="00D53A2B" w:rsidRDefault="00E42671" w:rsidP="00A202FD">
      <w:pPr>
        <w:pStyle w:val="MET"/>
        <w:rPr>
          <w:rFonts w:eastAsia="Calibri"/>
          <w:szCs w:val="24"/>
        </w:rPr>
      </w:pPr>
      <w:r w:rsidRPr="00D53A2B">
        <w:rPr>
          <w:rFonts w:eastAsia="Calibri"/>
          <w:szCs w:val="24"/>
        </w:rPr>
        <w:t xml:space="preserve">MET 28: </w:t>
      </w:r>
      <w:r w:rsidRPr="00D53A2B">
        <w:rPr>
          <w:rFonts w:eastAsia="Calibri"/>
          <w:b w:val="0"/>
          <w:bCs/>
          <w:szCs w:val="24"/>
        </w:rPr>
        <w:t>Son işlemde (yani fosfatlama ve pasivasyon) kimyasal banyolardan veya tanklardan havaya salınan emisyonları azaltmak için emisyonları teknik (a) veya teknik (b) kullanarak topla</w:t>
      </w:r>
      <w:r w:rsidR="00B875DD" w:rsidRPr="00D53A2B">
        <w:rPr>
          <w:rFonts w:eastAsia="Calibri"/>
          <w:b w:val="0"/>
          <w:bCs/>
          <w:szCs w:val="24"/>
        </w:rPr>
        <w:t>nır</w:t>
      </w:r>
      <w:r w:rsidRPr="00D53A2B">
        <w:rPr>
          <w:rFonts w:eastAsia="Calibri"/>
          <w:b w:val="0"/>
          <w:bCs/>
          <w:szCs w:val="24"/>
        </w:rPr>
        <w:t xml:space="preserve"> ve bu durumda atık gazı aşağıda verilen teknik (c) ve/veya teknik (d) kullanarak arıt</w:t>
      </w:r>
      <w:r w:rsidR="00B875DD" w:rsidRPr="00D53A2B">
        <w:rPr>
          <w:rFonts w:eastAsia="Calibri"/>
          <w:b w:val="0"/>
          <w:bCs/>
          <w:szCs w:val="24"/>
        </w:rPr>
        <w:t>ılır</w:t>
      </w:r>
      <w:r w:rsidRPr="00D53A2B">
        <w:rPr>
          <w:rFonts w:eastAsia="Calibri"/>
          <w:b w:val="0"/>
          <w:bCs/>
          <w:szCs w:val="24"/>
        </w:rPr>
        <w:t>.</w:t>
      </w:r>
    </w:p>
    <w:p w14:paraId="1FD991F5" w14:textId="77777777" w:rsidR="00E42671" w:rsidRPr="00D53A2B" w:rsidRDefault="00E42671"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567"/>
        <w:gridCol w:w="1985"/>
        <w:gridCol w:w="3402"/>
        <w:gridCol w:w="2976"/>
      </w:tblGrid>
      <w:tr w:rsidR="00E42671" w:rsidRPr="0050094F" w14:paraId="2E560F91" w14:textId="77777777" w:rsidTr="00065723">
        <w:tc>
          <w:tcPr>
            <w:tcW w:w="2552" w:type="dxa"/>
            <w:gridSpan w:val="2"/>
          </w:tcPr>
          <w:p w14:paraId="75A26826" w14:textId="77777777" w:rsidR="00E42671" w:rsidRPr="009077F5" w:rsidRDefault="00E42671" w:rsidP="004B0D48">
            <w:pPr>
              <w:pStyle w:val="KonuBal"/>
              <w:rPr>
                <w:sz w:val="24"/>
                <w:szCs w:val="24"/>
              </w:rPr>
            </w:pPr>
            <w:r w:rsidRPr="009077F5">
              <w:rPr>
                <w:sz w:val="24"/>
                <w:szCs w:val="24"/>
              </w:rPr>
              <w:t>Teknik</w:t>
            </w:r>
          </w:p>
        </w:tc>
        <w:tc>
          <w:tcPr>
            <w:tcW w:w="3402" w:type="dxa"/>
          </w:tcPr>
          <w:p w14:paraId="72826087" w14:textId="77777777" w:rsidR="00E42671" w:rsidRPr="009077F5" w:rsidRDefault="00E42671" w:rsidP="004B0D48">
            <w:pPr>
              <w:pStyle w:val="KonuBal"/>
              <w:rPr>
                <w:sz w:val="24"/>
                <w:szCs w:val="24"/>
              </w:rPr>
            </w:pPr>
            <w:r w:rsidRPr="009077F5">
              <w:rPr>
                <w:sz w:val="24"/>
                <w:szCs w:val="24"/>
              </w:rPr>
              <w:t>Açıklama</w:t>
            </w:r>
          </w:p>
        </w:tc>
        <w:tc>
          <w:tcPr>
            <w:tcW w:w="2976" w:type="dxa"/>
          </w:tcPr>
          <w:p w14:paraId="0EBE1C73" w14:textId="77777777" w:rsidR="00E42671" w:rsidRPr="009077F5" w:rsidRDefault="00E42671" w:rsidP="0050094F">
            <w:pPr>
              <w:pStyle w:val="KonuBal"/>
              <w:rPr>
                <w:sz w:val="24"/>
                <w:szCs w:val="24"/>
              </w:rPr>
            </w:pPr>
            <w:r w:rsidRPr="009077F5">
              <w:rPr>
                <w:sz w:val="24"/>
                <w:szCs w:val="24"/>
              </w:rPr>
              <w:t>Uygulanabilirlik</w:t>
            </w:r>
          </w:p>
        </w:tc>
      </w:tr>
      <w:tr w:rsidR="00E42671" w:rsidRPr="0050094F" w14:paraId="312568F7" w14:textId="77777777" w:rsidTr="00065723">
        <w:tc>
          <w:tcPr>
            <w:tcW w:w="8930" w:type="dxa"/>
            <w:gridSpan w:val="4"/>
          </w:tcPr>
          <w:p w14:paraId="369FF276" w14:textId="3D9CBD85" w:rsidR="00E42671" w:rsidRPr="009077F5" w:rsidRDefault="00E42671" w:rsidP="004B0D48">
            <w:pPr>
              <w:pStyle w:val="KonuBal"/>
              <w:rPr>
                <w:sz w:val="24"/>
                <w:szCs w:val="24"/>
              </w:rPr>
            </w:pPr>
            <w:r w:rsidRPr="009077F5">
              <w:rPr>
                <w:sz w:val="24"/>
                <w:szCs w:val="24"/>
              </w:rPr>
              <w:t xml:space="preserve">Emisyonların toplanması </w:t>
            </w:r>
          </w:p>
        </w:tc>
      </w:tr>
      <w:tr w:rsidR="00E42671" w:rsidRPr="0050094F" w14:paraId="08CE9109" w14:textId="77777777" w:rsidTr="00065723">
        <w:tc>
          <w:tcPr>
            <w:tcW w:w="567" w:type="dxa"/>
            <w:vAlign w:val="center"/>
          </w:tcPr>
          <w:p w14:paraId="0338AC3E" w14:textId="77777777" w:rsidR="00E42671" w:rsidRPr="009077F5" w:rsidRDefault="00E42671" w:rsidP="004B0D48">
            <w:pPr>
              <w:pStyle w:val="KonuBal"/>
              <w:rPr>
                <w:sz w:val="24"/>
                <w:szCs w:val="24"/>
              </w:rPr>
            </w:pPr>
            <w:r w:rsidRPr="009077F5">
              <w:rPr>
                <w:sz w:val="24"/>
                <w:szCs w:val="24"/>
              </w:rPr>
              <w:t>a.</w:t>
            </w:r>
          </w:p>
        </w:tc>
        <w:tc>
          <w:tcPr>
            <w:tcW w:w="1985" w:type="dxa"/>
            <w:vAlign w:val="center"/>
          </w:tcPr>
          <w:p w14:paraId="30347834" w14:textId="0A27E1A1" w:rsidR="00E42671" w:rsidRPr="009077F5" w:rsidRDefault="00E42671" w:rsidP="004B0D48">
            <w:pPr>
              <w:pStyle w:val="KonuBal"/>
              <w:rPr>
                <w:sz w:val="24"/>
                <w:szCs w:val="24"/>
              </w:rPr>
            </w:pPr>
            <w:r w:rsidRPr="009077F5">
              <w:rPr>
                <w:sz w:val="24"/>
                <w:szCs w:val="24"/>
              </w:rPr>
              <w:t>Havanın mümkün olduğunca kaynağa yakın bir yerden çekilmesi.</w:t>
            </w:r>
          </w:p>
        </w:tc>
        <w:tc>
          <w:tcPr>
            <w:tcW w:w="3402" w:type="dxa"/>
            <w:vAlign w:val="center"/>
          </w:tcPr>
          <w:p w14:paraId="0AFFC757" w14:textId="77777777" w:rsidR="00E42671" w:rsidRPr="009077F5" w:rsidRDefault="00E42671" w:rsidP="0050094F">
            <w:pPr>
              <w:pStyle w:val="KonuBal"/>
              <w:rPr>
                <w:sz w:val="24"/>
                <w:szCs w:val="24"/>
              </w:rPr>
            </w:pPr>
            <w:r w:rsidRPr="009077F5">
              <w:rPr>
                <w:sz w:val="24"/>
                <w:szCs w:val="24"/>
              </w:rPr>
              <w:t>Kimyasal depolama tankları ve kimyasal banyolardan kaynaklanan emisyonlar, örneğin aşağıdaki tekniklerden biri veya birkaçının birleşimi kullanılarak yakalanır:</w:t>
            </w:r>
          </w:p>
          <w:p w14:paraId="2183B581" w14:textId="77777777" w:rsidR="00E42671" w:rsidRPr="009077F5" w:rsidRDefault="00E42671" w:rsidP="00A202FD">
            <w:pPr>
              <w:pStyle w:val="ListeParagraf"/>
              <w:numPr>
                <w:ilvl w:val="0"/>
                <w:numId w:val="80"/>
              </w:numPr>
              <w:tabs>
                <w:tab w:val="clear" w:pos="567"/>
              </w:tabs>
              <w:spacing w:line="240" w:lineRule="auto"/>
              <w:ind w:left="321" w:hanging="284"/>
              <w:rPr>
                <w:rFonts w:eastAsia="Calibri"/>
                <w:sz w:val="24"/>
                <w:szCs w:val="24"/>
              </w:rPr>
            </w:pPr>
            <w:r w:rsidRPr="009077F5">
              <w:rPr>
                <w:rFonts w:eastAsia="Calibri"/>
                <w:sz w:val="24"/>
                <w:szCs w:val="24"/>
              </w:rPr>
              <w:t>yanal başlık veya ağızla çıkarma;</w:t>
            </w:r>
          </w:p>
          <w:p w14:paraId="54D6D268" w14:textId="77777777" w:rsidR="00E42671" w:rsidRPr="009077F5" w:rsidRDefault="00E42671" w:rsidP="00A202FD">
            <w:pPr>
              <w:pStyle w:val="ListeParagraf"/>
              <w:numPr>
                <w:ilvl w:val="0"/>
                <w:numId w:val="80"/>
              </w:numPr>
              <w:tabs>
                <w:tab w:val="clear" w:pos="567"/>
              </w:tabs>
              <w:spacing w:line="240" w:lineRule="auto"/>
              <w:ind w:left="321" w:hanging="284"/>
              <w:rPr>
                <w:rFonts w:eastAsia="Calibri"/>
                <w:sz w:val="24"/>
                <w:szCs w:val="24"/>
              </w:rPr>
            </w:pPr>
            <w:r w:rsidRPr="009077F5">
              <w:rPr>
                <w:rFonts w:eastAsia="Calibri"/>
                <w:sz w:val="24"/>
                <w:szCs w:val="24"/>
              </w:rPr>
              <w:t>hareketli kapaklarla donatılmış tanklar;</w:t>
            </w:r>
          </w:p>
          <w:p w14:paraId="5052B0A1" w14:textId="77777777" w:rsidR="00E42671" w:rsidRPr="009077F5" w:rsidRDefault="00E42671" w:rsidP="00A202FD">
            <w:pPr>
              <w:pStyle w:val="ListeParagraf"/>
              <w:numPr>
                <w:ilvl w:val="0"/>
                <w:numId w:val="80"/>
              </w:numPr>
              <w:tabs>
                <w:tab w:val="clear" w:pos="567"/>
              </w:tabs>
              <w:spacing w:line="240" w:lineRule="auto"/>
              <w:ind w:left="321" w:hanging="284"/>
              <w:rPr>
                <w:rFonts w:eastAsia="Calibri"/>
                <w:sz w:val="24"/>
                <w:szCs w:val="24"/>
              </w:rPr>
            </w:pPr>
            <w:r w:rsidRPr="009077F5">
              <w:rPr>
                <w:rFonts w:eastAsia="Calibri"/>
                <w:sz w:val="24"/>
                <w:szCs w:val="24"/>
              </w:rPr>
              <w:t>davlumbazların kapatılması;</w:t>
            </w:r>
          </w:p>
          <w:p w14:paraId="48E6811D" w14:textId="77777777" w:rsidR="00E42671" w:rsidRPr="009077F5" w:rsidRDefault="00E42671" w:rsidP="00A202FD">
            <w:pPr>
              <w:pStyle w:val="ListeParagraf"/>
              <w:numPr>
                <w:ilvl w:val="0"/>
                <w:numId w:val="80"/>
              </w:numPr>
              <w:tabs>
                <w:tab w:val="clear" w:pos="567"/>
              </w:tabs>
              <w:spacing w:line="240" w:lineRule="auto"/>
              <w:ind w:left="321" w:hanging="284"/>
              <w:rPr>
                <w:rFonts w:eastAsia="Calibri"/>
                <w:sz w:val="24"/>
                <w:szCs w:val="24"/>
              </w:rPr>
            </w:pPr>
            <w:r w:rsidRPr="009077F5">
              <w:rPr>
                <w:rFonts w:eastAsia="Calibri"/>
                <w:sz w:val="24"/>
                <w:szCs w:val="24"/>
              </w:rPr>
              <w:t>banyoların kapalı alanlara yerleştirilmesi</w:t>
            </w:r>
          </w:p>
          <w:p w14:paraId="67F426C7" w14:textId="055A4F31" w:rsidR="00E42671" w:rsidRPr="009077F5" w:rsidRDefault="00E42671" w:rsidP="00A202FD">
            <w:pPr>
              <w:pStyle w:val="ListeParagraf"/>
              <w:numPr>
                <w:ilvl w:val="0"/>
                <w:numId w:val="0"/>
              </w:numPr>
              <w:tabs>
                <w:tab w:val="clear" w:pos="567"/>
              </w:tabs>
              <w:spacing w:line="240" w:lineRule="auto"/>
              <w:ind w:left="37"/>
              <w:rPr>
                <w:rFonts w:eastAsia="Calibri"/>
                <w:sz w:val="24"/>
                <w:szCs w:val="24"/>
              </w:rPr>
            </w:pPr>
            <w:r w:rsidRPr="009077F5">
              <w:rPr>
                <w:rFonts w:eastAsia="Calibri"/>
                <w:sz w:val="24"/>
                <w:szCs w:val="24"/>
              </w:rPr>
              <w:t>Yakalanan emisyonlar daha sonra tahliye edilir.</w:t>
            </w:r>
          </w:p>
        </w:tc>
        <w:tc>
          <w:tcPr>
            <w:tcW w:w="2976" w:type="dxa"/>
            <w:vAlign w:val="center"/>
          </w:tcPr>
          <w:p w14:paraId="1C808081" w14:textId="56AF7434" w:rsidR="00E42671" w:rsidRPr="009077F5" w:rsidRDefault="00E42671" w:rsidP="004B0D48">
            <w:pPr>
              <w:pStyle w:val="KonuBal"/>
              <w:rPr>
                <w:sz w:val="24"/>
                <w:szCs w:val="24"/>
              </w:rPr>
            </w:pPr>
            <w:r w:rsidRPr="009077F5">
              <w:rPr>
                <w:sz w:val="24"/>
                <w:szCs w:val="24"/>
              </w:rPr>
              <w:t>Yalnızca işlem püskürtme yoluyla yapıldığında veya uçucu maddeler kullanıldığında uygulanabilir.</w:t>
            </w:r>
          </w:p>
        </w:tc>
      </w:tr>
      <w:tr w:rsidR="00E42671" w:rsidRPr="0050094F" w14:paraId="732F67FD" w14:textId="77777777" w:rsidTr="00065723">
        <w:tc>
          <w:tcPr>
            <w:tcW w:w="567" w:type="dxa"/>
            <w:vAlign w:val="center"/>
          </w:tcPr>
          <w:p w14:paraId="779EB446" w14:textId="77777777" w:rsidR="00E42671" w:rsidRPr="009077F5" w:rsidRDefault="00E42671" w:rsidP="004B0D48">
            <w:pPr>
              <w:pStyle w:val="KonuBal"/>
              <w:rPr>
                <w:sz w:val="24"/>
                <w:szCs w:val="24"/>
              </w:rPr>
            </w:pPr>
            <w:r w:rsidRPr="009077F5">
              <w:rPr>
                <w:sz w:val="24"/>
                <w:szCs w:val="24"/>
              </w:rPr>
              <w:t>b.</w:t>
            </w:r>
          </w:p>
        </w:tc>
        <w:tc>
          <w:tcPr>
            <w:tcW w:w="1985" w:type="dxa"/>
            <w:vAlign w:val="center"/>
          </w:tcPr>
          <w:p w14:paraId="1E76CF80" w14:textId="013C9A05" w:rsidR="00E42671" w:rsidRPr="009077F5" w:rsidRDefault="00E42671" w:rsidP="004B0D48">
            <w:pPr>
              <w:pStyle w:val="KonuBal"/>
              <w:rPr>
                <w:sz w:val="24"/>
                <w:szCs w:val="24"/>
              </w:rPr>
            </w:pPr>
            <w:r w:rsidRPr="009077F5">
              <w:rPr>
                <w:sz w:val="24"/>
                <w:szCs w:val="24"/>
              </w:rPr>
              <w:t>Sürekli ileri arıtma durumunda hava ekstraksiyonu ile birleştirilmiş kapalı tanklar.</w:t>
            </w:r>
          </w:p>
        </w:tc>
        <w:tc>
          <w:tcPr>
            <w:tcW w:w="3402" w:type="dxa"/>
            <w:vAlign w:val="center"/>
          </w:tcPr>
          <w:p w14:paraId="2F6ECC96" w14:textId="6D7607CC" w:rsidR="00E42671" w:rsidRPr="009077F5" w:rsidRDefault="00E42671" w:rsidP="00A202FD">
            <w:pPr>
              <w:pStyle w:val="ListeParagraf"/>
              <w:numPr>
                <w:ilvl w:val="0"/>
                <w:numId w:val="0"/>
              </w:numPr>
              <w:tabs>
                <w:tab w:val="clear" w:pos="567"/>
              </w:tabs>
              <w:spacing w:line="240" w:lineRule="auto"/>
              <w:ind w:left="37"/>
              <w:rPr>
                <w:rFonts w:eastAsia="Calibri"/>
                <w:position w:val="0"/>
                <w:sz w:val="24"/>
                <w:szCs w:val="24"/>
              </w:rPr>
            </w:pPr>
            <w:r w:rsidRPr="009077F5">
              <w:rPr>
                <w:rFonts w:eastAsia="Calibri"/>
                <w:position w:val="0"/>
                <w:sz w:val="24"/>
                <w:szCs w:val="24"/>
              </w:rPr>
              <w:t>Fosfatlama ve pasivasyon kapalı tanklarda gerçekleştirilir ve hava tanklardan çıkarılır.</w:t>
            </w:r>
          </w:p>
        </w:tc>
        <w:tc>
          <w:tcPr>
            <w:tcW w:w="2976" w:type="dxa"/>
            <w:vAlign w:val="center"/>
          </w:tcPr>
          <w:p w14:paraId="48AB6ADC" w14:textId="19BA367E" w:rsidR="00E42671" w:rsidRPr="009077F5" w:rsidRDefault="00E42671" w:rsidP="004B0D48">
            <w:pPr>
              <w:pStyle w:val="KonuBal"/>
              <w:rPr>
                <w:sz w:val="24"/>
                <w:szCs w:val="24"/>
              </w:rPr>
            </w:pPr>
            <w:r w:rsidRPr="009077F5">
              <w:rPr>
                <w:sz w:val="24"/>
                <w:szCs w:val="24"/>
              </w:rPr>
              <w:t>Yalnızca işlem püskürtme yoluyla yapıldığında veya uçucu maddeler kullanıldığında uygulanabilir..</w:t>
            </w:r>
          </w:p>
        </w:tc>
      </w:tr>
      <w:tr w:rsidR="00E42671" w:rsidRPr="0050094F" w14:paraId="5294F675" w14:textId="77777777" w:rsidTr="00065723">
        <w:tc>
          <w:tcPr>
            <w:tcW w:w="8930" w:type="dxa"/>
            <w:gridSpan w:val="4"/>
            <w:vAlign w:val="center"/>
          </w:tcPr>
          <w:p w14:paraId="7CB54E97" w14:textId="4F7D7DCF" w:rsidR="00E42671" w:rsidRPr="009077F5" w:rsidRDefault="00E42671" w:rsidP="004B0D48">
            <w:pPr>
              <w:pStyle w:val="KonuBal"/>
              <w:rPr>
                <w:sz w:val="24"/>
                <w:szCs w:val="24"/>
              </w:rPr>
            </w:pPr>
            <w:r w:rsidRPr="009077F5">
              <w:rPr>
                <w:sz w:val="24"/>
                <w:szCs w:val="24"/>
              </w:rPr>
              <w:t>Atık gaz arıtımı</w:t>
            </w:r>
          </w:p>
        </w:tc>
      </w:tr>
      <w:tr w:rsidR="00E42671" w:rsidRPr="0050094F" w14:paraId="35547203" w14:textId="77777777" w:rsidTr="00065723">
        <w:tc>
          <w:tcPr>
            <w:tcW w:w="567" w:type="dxa"/>
            <w:vAlign w:val="center"/>
          </w:tcPr>
          <w:p w14:paraId="37BFCD3B" w14:textId="77777777" w:rsidR="00E42671" w:rsidRPr="009077F5" w:rsidRDefault="00E42671" w:rsidP="004B0D48">
            <w:pPr>
              <w:pStyle w:val="KonuBal"/>
              <w:rPr>
                <w:sz w:val="24"/>
                <w:szCs w:val="24"/>
              </w:rPr>
            </w:pPr>
            <w:r w:rsidRPr="009077F5">
              <w:rPr>
                <w:sz w:val="24"/>
                <w:szCs w:val="24"/>
              </w:rPr>
              <w:t>c.</w:t>
            </w:r>
          </w:p>
        </w:tc>
        <w:tc>
          <w:tcPr>
            <w:tcW w:w="1985" w:type="dxa"/>
            <w:vAlign w:val="center"/>
          </w:tcPr>
          <w:p w14:paraId="54312B65" w14:textId="7DC941A5" w:rsidR="00E42671" w:rsidRPr="009077F5" w:rsidRDefault="00E42671" w:rsidP="00A202FD">
            <w:pPr>
              <w:jc w:val="both"/>
              <w:rPr>
                <w:rFonts w:eastAsia="Calibri"/>
                <w:lang w:eastAsia="en-US"/>
              </w:rPr>
            </w:pPr>
            <w:r w:rsidRPr="009077F5">
              <w:rPr>
                <w:rFonts w:eastAsia="Calibri"/>
                <w:lang w:eastAsia="en-US"/>
              </w:rPr>
              <w:t xml:space="preserve">Yaş </w:t>
            </w:r>
            <w:r w:rsidR="00B875DD" w:rsidRPr="009077F5">
              <w:rPr>
                <w:rFonts w:eastAsia="Calibri"/>
                <w:lang w:eastAsia="en-US"/>
              </w:rPr>
              <w:t>yıkayıcı</w:t>
            </w:r>
          </w:p>
        </w:tc>
        <w:tc>
          <w:tcPr>
            <w:tcW w:w="3402" w:type="dxa"/>
          </w:tcPr>
          <w:p w14:paraId="7D5AAF29" w14:textId="3E7482A2" w:rsidR="00E42671" w:rsidRPr="009077F5" w:rsidRDefault="00E42671" w:rsidP="00A202FD">
            <w:pPr>
              <w:jc w:val="both"/>
              <w:rPr>
                <w:lang w:val="en-US" w:eastAsia="en-US"/>
              </w:rPr>
            </w:pPr>
            <w:r w:rsidRPr="009077F5">
              <w:rPr>
                <w:rFonts w:eastAsia="Calibri"/>
              </w:rPr>
              <w:t xml:space="preserve">Bölüm </w:t>
            </w:r>
            <w:r w:rsidR="00B97162" w:rsidRPr="009077F5">
              <w:rPr>
                <w:rFonts w:eastAsia="Calibri"/>
              </w:rPr>
              <w:t>1</w:t>
            </w:r>
            <w:r w:rsidRPr="009077F5">
              <w:rPr>
                <w:rFonts w:eastAsia="Calibri"/>
              </w:rPr>
              <w:t>.11.2</w:t>
            </w:r>
            <w:r w:rsidR="00E56504" w:rsidRPr="009077F5">
              <w:rPr>
                <w:rFonts w:eastAsia="Calibri"/>
              </w:rPr>
              <w:t>’</w:t>
            </w:r>
            <w:r w:rsidRPr="009077F5">
              <w:rPr>
                <w:rFonts w:eastAsia="Calibri"/>
              </w:rPr>
              <w:t>ye bakınız.</w:t>
            </w:r>
          </w:p>
        </w:tc>
        <w:tc>
          <w:tcPr>
            <w:tcW w:w="2976" w:type="dxa"/>
            <w:vAlign w:val="center"/>
          </w:tcPr>
          <w:p w14:paraId="1AFEA033" w14:textId="77777777" w:rsidR="00E42671" w:rsidRPr="009077F5" w:rsidRDefault="00E42671" w:rsidP="004B0D48">
            <w:pPr>
              <w:pStyle w:val="KonuBal"/>
              <w:rPr>
                <w:sz w:val="24"/>
                <w:szCs w:val="24"/>
              </w:rPr>
            </w:pPr>
            <w:r w:rsidRPr="009077F5">
              <w:rPr>
                <w:sz w:val="24"/>
                <w:szCs w:val="24"/>
              </w:rPr>
              <w:t>Genel olarak uygulanabilir.</w:t>
            </w:r>
          </w:p>
        </w:tc>
      </w:tr>
      <w:tr w:rsidR="00E42671" w:rsidRPr="0050094F" w14:paraId="7668E16A" w14:textId="77777777" w:rsidTr="00065723">
        <w:tc>
          <w:tcPr>
            <w:tcW w:w="567" w:type="dxa"/>
            <w:vAlign w:val="center"/>
          </w:tcPr>
          <w:p w14:paraId="03A69A63" w14:textId="77777777" w:rsidR="00E42671" w:rsidRPr="009077F5" w:rsidRDefault="00E42671" w:rsidP="004B0D48">
            <w:pPr>
              <w:pStyle w:val="KonuBal"/>
              <w:rPr>
                <w:sz w:val="24"/>
                <w:szCs w:val="24"/>
              </w:rPr>
            </w:pPr>
            <w:r w:rsidRPr="009077F5">
              <w:rPr>
                <w:sz w:val="24"/>
                <w:szCs w:val="24"/>
              </w:rPr>
              <w:t>d.</w:t>
            </w:r>
          </w:p>
        </w:tc>
        <w:tc>
          <w:tcPr>
            <w:tcW w:w="1985" w:type="dxa"/>
            <w:vAlign w:val="center"/>
          </w:tcPr>
          <w:p w14:paraId="297D6B68" w14:textId="1F2EE6B1" w:rsidR="00E42671" w:rsidRPr="009077F5" w:rsidRDefault="00E42671" w:rsidP="00A202FD">
            <w:pPr>
              <w:jc w:val="both"/>
              <w:rPr>
                <w:rFonts w:eastAsia="Calibri"/>
                <w:lang w:eastAsia="en-US"/>
              </w:rPr>
            </w:pPr>
            <w:r w:rsidRPr="009077F5">
              <w:rPr>
                <w:rFonts w:eastAsia="Calibri"/>
                <w:lang w:eastAsia="en-US"/>
              </w:rPr>
              <w:t>Buğu çözücü</w:t>
            </w:r>
          </w:p>
        </w:tc>
        <w:tc>
          <w:tcPr>
            <w:tcW w:w="3402" w:type="dxa"/>
          </w:tcPr>
          <w:p w14:paraId="4B8E4B66" w14:textId="16C44557" w:rsidR="00E42671" w:rsidRPr="009077F5" w:rsidRDefault="00E42671" w:rsidP="004B0D48">
            <w:pPr>
              <w:pStyle w:val="KonuBal"/>
              <w:rPr>
                <w:sz w:val="24"/>
                <w:szCs w:val="24"/>
              </w:rPr>
            </w:pPr>
            <w:r w:rsidRPr="009077F5">
              <w:rPr>
                <w:sz w:val="24"/>
                <w:szCs w:val="24"/>
              </w:rPr>
              <w:t>Bölüm</w:t>
            </w:r>
            <w:r w:rsidR="00B97162" w:rsidRPr="009077F5">
              <w:rPr>
                <w:sz w:val="24"/>
                <w:szCs w:val="24"/>
              </w:rPr>
              <w:t>1</w:t>
            </w:r>
            <w:r w:rsidRPr="009077F5">
              <w:rPr>
                <w:sz w:val="24"/>
                <w:szCs w:val="24"/>
              </w:rPr>
              <w:t>.11.2</w:t>
            </w:r>
            <w:r w:rsidR="00E56504" w:rsidRPr="009077F5">
              <w:rPr>
                <w:sz w:val="24"/>
                <w:szCs w:val="24"/>
              </w:rPr>
              <w:t>’</w:t>
            </w:r>
            <w:r w:rsidRPr="009077F5">
              <w:rPr>
                <w:sz w:val="24"/>
                <w:szCs w:val="24"/>
              </w:rPr>
              <w:t>ye bakınız.</w:t>
            </w:r>
          </w:p>
        </w:tc>
        <w:tc>
          <w:tcPr>
            <w:tcW w:w="2976" w:type="dxa"/>
            <w:vAlign w:val="center"/>
          </w:tcPr>
          <w:p w14:paraId="2CEF60FF" w14:textId="32B5D849" w:rsidR="00E42671" w:rsidRPr="009077F5" w:rsidRDefault="00E42671" w:rsidP="004B0D48">
            <w:pPr>
              <w:pStyle w:val="KonuBal"/>
              <w:rPr>
                <w:sz w:val="24"/>
                <w:szCs w:val="24"/>
              </w:rPr>
            </w:pPr>
            <w:r w:rsidRPr="009077F5">
              <w:rPr>
                <w:sz w:val="24"/>
                <w:szCs w:val="24"/>
              </w:rPr>
              <w:t>Genel olarak uygulanabilir..</w:t>
            </w:r>
          </w:p>
        </w:tc>
      </w:tr>
    </w:tbl>
    <w:p w14:paraId="26DBEB40" w14:textId="77777777" w:rsidR="00E42671" w:rsidRPr="00D53A2B" w:rsidRDefault="00E42671" w:rsidP="00A202FD">
      <w:pPr>
        <w:jc w:val="both"/>
        <w:rPr>
          <w:rFonts w:eastAsia="Calibri"/>
          <w:lang w:eastAsia="en-US"/>
        </w:rPr>
      </w:pPr>
    </w:p>
    <w:p w14:paraId="7596142C" w14:textId="02A4CED6" w:rsidR="00E42671" w:rsidRPr="00D53A2B" w:rsidRDefault="00816D19" w:rsidP="00A202FD">
      <w:pPr>
        <w:pStyle w:val="Balk4"/>
        <w:rPr>
          <w:rFonts w:eastAsia="Calibri" w:cs="Times New Roman"/>
          <w:lang w:eastAsia="en-US"/>
        </w:rPr>
      </w:pPr>
      <w:r w:rsidRPr="00D53A2B">
        <w:rPr>
          <w:rFonts w:eastAsia="Calibri" w:cs="Times New Roman"/>
          <w:lang w:eastAsia="en-US"/>
        </w:rPr>
        <w:lastRenderedPageBreak/>
        <w:t>1.1</w:t>
      </w:r>
      <w:r w:rsidR="00BF189E" w:rsidRPr="00D53A2B">
        <w:rPr>
          <w:rFonts w:eastAsia="Calibri" w:cs="Times New Roman"/>
          <w:lang w:eastAsia="en-US"/>
        </w:rPr>
        <w:t>.7.7. Asit geri kazanımından kaynaklanan hava emisyonları</w:t>
      </w:r>
    </w:p>
    <w:p w14:paraId="6128DF8D" w14:textId="2135F411" w:rsidR="00E42671" w:rsidRPr="00D53A2B" w:rsidRDefault="00204CE2" w:rsidP="00A202FD">
      <w:pPr>
        <w:pStyle w:val="MET"/>
        <w:rPr>
          <w:rFonts w:eastAsia="Calibri"/>
          <w:szCs w:val="24"/>
        </w:rPr>
      </w:pPr>
      <w:r w:rsidRPr="00D53A2B">
        <w:rPr>
          <w:rFonts w:eastAsia="Calibri"/>
          <w:szCs w:val="24"/>
        </w:rPr>
        <w:t xml:space="preserve">MET 29: </w:t>
      </w:r>
      <w:r w:rsidRPr="00D53A2B">
        <w:rPr>
          <w:rFonts w:eastAsia="Calibri"/>
          <w:b w:val="0"/>
          <w:bCs/>
          <w:szCs w:val="24"/>
        </w:rPr>
        <w:t>Toz, asit (HCl, HF), SO</w:t>
      </w:r>
      <w:r w:rsidRPr="00D53A2B">
        <w:rPr>
          <w:rFonts w:eastAsia="Calibri"/>
          <w:b w:val="0"/>
          <w:bCs/>
          <w:szCs w:val="24"/>
          <w:vertAlign w:val="subscript"/>
        </w:rPr>
        <w:t>2</w:t>
      </w:r>
      <w:r w:rsidRPr="00D53A2B">
        <w:rPr>
          <w:rFonts w:eastAsia="Calibri"/>
          <w:b w:val="0"/>
          <w:bCs/>
          <w:szCs w:val="24"/>
        </w:rPr>
        <w:t xml:space="preserve"> ve NO</w:t>
      </w:r>
      <w:r w:rsidRPr="00D53A2B">
        <w:rPr>
          <w:rFonts w:eastAsia="Calibri"/>
          <w:b w:val="0"/>
          <w:bCs/>
          <w:szCs w:val="24"/>
          <w:vertAlign w:val="subscript"/>
        </w:rPr>
        <w:t>X</w:t>
      </w:r>
      <w:r w:rsidRPr="00D53A2B">
        <w:rPr>
          <w:rFonts w:eastAsia="Calibri"/>
          <w:b w:val="0"/>
          <w:bCs/>
          <w:szCs w:val="24"/>
        </w:rPr>
        <w:t xml:space="preserve"> (CO emisyonlarını sınırlandırırken) ve SCR kullanımından kaynaklanan NH</w:t>
      </w:r>
      <w:r w:rsidRPr="00D53A2B">
        <w:rPr>
          <w:rFonts w:eastAsia="Calibri"/>
          <w:b w:val="0"/>
          <w:bCs/>
          <w:szCs w:val="24"/>
          <w:vertAlign w:val="subscript"/>
        </w:rPr>
        <w:t>3</w:t>
      </w:r>
      <w:r w:rsidRPr="00D53A2B">
        <w:rPr>
          <w:rFonts w:eastAsia="Calibri"/>
          <w:b w:val="0"/>
          <w:bCs/>
          <w:szCs w:val="24"/>
        </w:rPr>
        <w:t xml:space="preserve"> emisyonlarının kullanılmış asit geri kazanımından kaynaklanan hava emisyonlarını azaltmak için aşağıda verilen tekniklerin bir kombinasyonunu kullanmaktır.</w:t>
      </w:r>
    </w:p>
    <w:p w14:paraId="5A604698" w14:textId="77777777" w:rsidR="00E42671" w:rsidRPr="00D53A2B" w:rsidRDefault="00E42671"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567"/>
        <w:gridCol w:w="2552"/>
        <w:gridCol w:w="3402"/>
        <w:gridCol w:w="2409"/>
      </w:tblGrid>
      <w:tr w:rsidR="00204CE2" w:rsidRPr="0050094F" w14:paraId="0F19EE38" w14:textId="77777777" w:rsidTr="00065723">
        <w:tc>
          <w:tcPr>
            <w:tcW w:w="3119" w:type="dxa"/>
            <w:gridSpan w:val="2"/>
          </w:tcPr>
          <w:p w14:paraId="392F8ABD" w14:textId="77777777" w:rsidR="00204CE2" w:rsidRPr="009077F5" w:rsidRDefault="00204CE2" w:rsidP="004B0D48">
            <w:pPr>
              <w:pStyle w:val="KonuBal"/>
              <w:rPr>
                <w:sz w:val="24"/>
                <w:szCs w:val="24"/>
              </w:rPr>
            </w:pPr>
            <w:r w:rsidRPr="009077F5">
              <w:rPr>
                <w:sz w:val="24"/>
                <w:szCs w:val="24"/>
              </w:rPr>
              <w:t>Teknik</w:t>
            </w:r>
          </w:p>
        </w:tc>
        <w:tc>
          <w:tcPr>
            <w:tcW w:w="3402" w:type="dxa"/>
          </w:tcPr>
          <w:p w14:paraId="6FEA4C8C" w14:textId="77777777" w:rsidR="00204CE2" w:rsidRPr="009077F5" w:rsidRDefault="00204CE2" w:rsidP="004B0D48">
            <w:pPr>
              <w:pStyle w:val="KonuBal"/>
              <w:rPr>
                <w:sz w:val="24"/>
                <w:szCs w:val="24"/>
              </w:rPr>
            </w:pPr>
            <w:r w:rsidRPr="009077F5">
              <w:rPr>
                <w:sz w:val="24"/>
                <w:szCs w:val="24"/>
              </w:rPr>
              <w:t>Açıklama</w:t>
            </w:r>
          </w:p>
        </w:tc>
        <w:tc>
          <w:tcPr>
            <w:tcW w:w="2409" w:type="dxa"/>
          </w:tcPr>
          <w:p w14:paraId="0A87998A" w14:textId="77777777" w:rsidR="00204CE2" w:rsidRPr="009077F5" w:rsidRDefault="00204CE2" w:rsidP="0050094F">
            <w:pPr>
              <w:pStyle w:val="KonuBal"/>
              <w:rPr>
                <w:sz w:val="24"/>
                <w:szCs w:val="24"/>
              </w:rPr>
            </w:pPr>
            <w:r w:rsidRPr="009077F5">
              <w:rPr>
                <w:sz w:val="24"/>
                <w:szCs w:val="24"/>
              </w:rPr>
              <w:t>Uygulanabilirlik</w:t>
            </w:r>
          </w:p>
        </w:tc>
      </w:tr>
      <w:tr w:rsidR="00204CE2" w:rsidRPr="0050094F" w14:paraId="27DE059B" w14:textId="77777777" w:rsidTr="00065723">
        <w:tc>
          <w:tcPr>
            <w:tcW w:w="8930" w:type="dxa"/>
            <w:gridSpan w:val="4"/>
          </w:tcPr>
          <w:p w14:paraId="70D49ED3" w14:textId="77777777" w:rsidR="00204CE2" w:rsidRPr="009077F5" w:rsidRDefault="00204CE2" w:rsidP="004B0D48">
            <w:pPr>
              <w:pStyle w:val="KonuBal"/>
              <w:rPr>
                <w:sz w:val="24"/>
                <w:szCs w:val="24"/>
              </w:rPr>
            </w:pPr>
            <w:r w:rsidRPr="009077F5">
              <w:rPr>
                <w:sz w:val="24"/>
                <w:szCs w:val="24"/>
              </w:rPr>
              <w:t xml:space="preserve">Emisyonların toplanması </w:t>
            </w:r>
          </w:p>
        </w:tc>
      </w:tr>
      <w:tr w:rsidR="00204CE2" w:rsidRPr="0050094F" w14:paraId="10347033" w14:textId="77777777" w:rsidTr="00065723">
        <w:tc>
          <w:tcPr>
            <w:tcW w:w="567" w:type="dxa"/>
            <w:vAlign w:val="center"/>
          </w:tcPr>
          <w:p w14:paraId="0B89D604" w14:textId="77777777" w:rsidR="00204CE2" w:rsidRPr="009077F5" w:rsidRDefault="00204CE2" w:rsidP="004B0D48">
            <w:pPr>
              <w:pStyle w:val="KonuBal"/>
              <w:rPr>
                <w:sz w:val="24"/>
                <w:szCs w:val="24"/>
              </w:rPr>
            </w:pPr>
            <w:r w:rsidRPr="009077F5">
              <w:rPr>
                <w:sz w:val="24"/>
                <w:szCs w:val="24"/>
              </w:rPr>
              <w:t>a.</w:t>
            </w:r>
          </w:p>
        </w:tc>
        <w:tc>
          <w:tcPr>
            <w:tcW w:w="2552" w:type="dxa"/>
            <w:vAlign w:val="center"/>
          </w:tcPr>
          <w:p w14:paraId="41E40E9A" w14:textId="3172FFF8" w:rsidR="00204CE2" w:rsidRPr="009077F5" w:rsidRDefault="00204CE2" w:rsidP="004B0D48">
            <w:pPr>
              <w:pStyle w:val="KonuBal"/>
              <w:rPr>
                <w:sz w:val="24"/>
                <w:szCs w:val="24"/>
              </w:rPr>
            </w:pPr>
            <w:r w:rsidRPr="009077F5">
              <w:rPr>
                <w:sz w:val="24"/>
                <w:szCs w:val="24"/>
              </w:rPr>
              <w:t>Düşük sülfür içeriğine ve/veya düşük NO</w:t>
            </w:r>
            <w:r w:rsidRPr="009077F5">
              <w:rPr>
                <w:sz w:val="24"/>
                <w:szCs w:val="24"/>
                <w:vertAlign w:val="subscript"/>
              </w:rPr>
              <w:t>X</w:t>
            </w:r>
            <w:r w:rsidRPr="009077F5">
              <w:rPr>
                <w:sz w:val="24"/>
                <w:szCs w:val="24"/>
              </w:rPr>
              <w:t xml:space="preserve"> oluşum potansiyeline sahip bir yakıtın veya yakıt kombinasyonunun kullanılması</w:t>
            </w:r>
          </w:p>
        </w:tc>
        <w:tc>
          <w:tcPr>
            <w:tcW w:w="3402" w:type="dxa"/>
            <w:vAlign w:val="center"/>
          </w:tcPr>
          <w:p w14:paraId="4898410E" w14:textId="18C0D613" w:rsidR="00204CE2" w:rsidRPr="009077F5" w:rsidRDefault="00204CE2" w:rsidP="00A202FD">
            <w:pPr>
              <w:pStyle w:val="ListeParagraf"/>
              <w:numPr>
                <w:ilvl w:val="0"/>
                <w:numId w:val="0"/>
              </w:numPr>
              <w:tabs>
                <w:tab w:val="clear" w:pos="567"/>
              </w:tabs>
              <w:spacing w:line="240" w:lineRule="auto"/>
              <w:ind w:left="37"/>
              <w:rPr>
                <w:rFonts w:eastAsia="Calibri"/>
                <w:sz w:val="24"/>
                <w:szCs w:val="24"/>
              </w:rPr>
            </w:pPr>
            <w:r w:rsidRPr="009077F5">
              <w:rPr>
                <w:rFonts w:eastAsia="Calibri"/>
                <w:position w:val="0"/>
                <w:sz w:val="24"/>
                <w:szCs w:val="24"/>
              </w:rPr>
              <w:t>Bkz. MET 21 ve MET 22 (a).</w:t>
            </w:r>
          </w:p>
        </w:tc>
        <w:tc>
          <w:tcPr>
            <w:tcW w:w="2409" w:type="dxa"/>
            <w:vAlign w:val="center"/>
          </w:tcPr>
          <w:p w14:paraId="14049E2A" w14:textId="4E773ED5" w:rsidR="00204CE2" w:rsidRPr="009077F5" w:rsidRDefault="00204CE2" w:rsidP="004B0D48">
            <w:pPr>
              <w:pStyle w:val="KonuBal"/>
              <w:rPr>
                <w:sz w:val="24"/>
                <w:szCs w:val="24"/>
              </w:rPr>
            </w:pPr>
            <w:r w:rsidRPr="009077F5">
              <w:rPr>
                <w:sz w:val="24"/>
                <w:szCs w:val="24"/>
              </w:rPr>
              <w:t>Genel olarak uygulanabilir.</w:t>
            </w:r>
          </w:p>
        </w:tc>
      </w:tr>
      <w:tr w:rsidR="00204CE2" w:rsidRPr="0050094F" w14:paraId="50C0239B" w14:textId="77777777" w:rsidTr="00065723">
        <w:tc>
          <w:tcPr>
            <w:tcW w:w="567" w:type="dxa"/>
            <w:vAlign w:val="center"/>
          </w:tcPr>
          <w:p w14:paraId="46C11E2F" w14:textId="77777777" w:rsidR="00204CE2" w:rsidRPr="009077F5" w:rsidRDefault="00204CE2" w:rsidP="004B0D48">
            <w:pPr>
              <w:pStyle w:val="KonuBal"/>
              <w:rPr>
                <w:sz w:val="24"/>
                <w:szCs w:val="24"/>
              </w:rPr>
            </w:pPr>
            <w:r w:rsidRPr="009077F5">
              <w:rPr>
                <w:sz w:val="24"/>
                <w:szCs w:val="24"/>
              </w:rPr>
              <w:t>b.</w:t>
            </w:r>
          </w:p>
        </w:tc>
        <w:tc>
          <w:tcPr>
            <w:tcW w:w="2552" w:type="dxa"/>
            <w:vAlign w:val="center"/>
          </w:tcPr>
          <w:p w14:paraId="79AFB9C0" w14:textId="25C04172" w:rsidR="00204CE2" w:rsidRPr="009077F5" w:rsidRDefault="00204CE2" w:rsidP="004B0D48">
            <w:pPr>
              <w:pStyle w:val="KonuBal"/>
              <w:rPr>
                <w:sz w:val="24"/>
                <w:szCs w:val="24"/>
              </w:rPr>
            </w:pPr>
            <w:r w:rsidRPr="009077F5">
              <w:rPr>
                <w:sz w:val="24"/>
                <w:szCs w:val="24"/>
              </w:rPr>
              <w:t>Yanma optimizasyonu</w:t>
            </w:r>
          </w:p>
        </w:tc>
        <w:tc>
          <w:tcPr>
            <w:tcW w:w="3402" w:type="dxa"/>
            <w:vAlign w:val="center"/>
          </w:tcPr>
          <w:p w14:paraId="760B5BEF" w14:textId="079F8C03" w:rsidR="00204CE2" w:rsidRPr="009077F5" w:rsidRDefault="00204CE2" w:rsidP="00A202FD">
            <w:pPr>
              <w:pStyle w:val="ListeParagraf"/>
              <w:numPr>
                <w:ilvl w:val="0"/>
                <w:numId w:val="0"/>
              </w:numPr>
              <w:tabs>
                <w:tab w:val="clear" w:pos="567"/>
              </w:tabs>
              <w:spacing w:line="240" w:lineRule="auto"/>
              <w:ind w:left="37"/>
              <w:rPr>
                <w:rFonts w:eastAsia="Calibri"/>
                <w:sz w:val="24"/>
                <w:szCs w:val="24"/>
              </w:rPr>
            </w:pPr>
            <w:r w:rsidRPr="009077F5">
              <w:rPr>
                <w:rFonts w:eastAsia="Calibri"/>
                <w:sz w:val="24"/>
                <w:szCs w:val="24"/>
              </w:rPr>
              <w:t xml:space="preserve">Bölüm </w:t>
            </w:r>
            <w:r w:rsidR="00B97162" w:rsidRPr="009077F5">
              <w:rPr>
                <w:rFonts w:eastAsia="Calibri"/>
                <w:sz w:val="24"/>
                <w:szCs w:val="24"/>
              </w:rPr>
              <w:t>1</w:t>
            </w:r>
            <w:r w:rsidR="00B875DD" w:rsidRPr="009077F5">
              <w:rPr>
                <w:rFonts w:eastAsia="Calibri"/>
                <w:sz w:val="24"/>
                <w:szCs w:val="24"/>
              </w:rPr>
              <w:t>.11.2</w:t>
            </w:r>
            <w:r w:rsidR="00E56504" w:rsidRPr="009077F5">
              <w:rPr>
                <w:rFonts w:eastAsia="Calibri"/>
                <w:sz w:val="24"/>
                <w:szCs w:val="24"/>
              </w:rPr>
              <w:t>’</w:t>
            </w:r>
            <w:r w:rsidR="00B875DD" w:rsidRPr="009077F5">
              <w:rPr>
                <w:rFonts w:eastAsia="Calibri"/>
                <w:sz w:val="24"/>
                <w:szCs w:val="24"/>
              </w:rPr>
              <w:t xml:space="preserve">ye </w:t>
            </w:r>
            <w:r w:rsidRPr="009077F5">
              <w:rPr>
                <w:rFonts w:eastAsia="Calibri"/>
                <w:sz w:val="24"/>
                <w:szCs w:val="24"/>
              </w:rPr>
              <w:t>bakınız.</w:t>
            </w:r>
          </w:p>
          <w:p w14:paraId="6576024B" w14:textId="405B2677" w:rsidR="00204CE2" w:rsidRPr="009077F5" w:rsidRDefault="00204CE2" w:rsidP="00A202FD">
            <w:pPr>
              <w:pStyle w:val="ListeParagraf"/>
              <w:numPr>
                <w:ilvl w:val="0"/>
                <w:numId w:val="0"/>
              </w:numPr>
              <w:tabs>
                <w:tab w:val="clear" w:pos="567"/>
              </w:tabs>
              <w:spacing w:line="240" w:lineRule="auto"/>
              <w:ind w:left="37"/>
              <w:rPr>
                <w:rFonts w:eastAsia="Calibri"/>
                <w:position w:val="0"/>
                <w:sz w:val="24"/>
                <w:szCs w:val="24"/>
              </w:rPr>
            </w:pPr>
            <w:r w:rsidRPr="009077F5">
              <w:rPr>
                <w:rFonts w:eastAsia="Calibri"/>
                <w:position w:val="0"/>
                <w:sz w:val="24"/>
                <w:szCs w:val="24"/>
              </w:rPr>
              <w:t>Genellikle diğer tekniklerle birlikte kullanılır.</w:t>
            </w:r>
          </w:p>
        </w:tc>
        <w:tc>
          <w:tcPr>
            <w:tcW w:w="2409" w:type="dxa"/>
            <w:vAlign w:val="center"/>
          </w:tcPr>
          <w:p w14:paraId="7B42E7B6" w14:textId="51874367" w:rsidR="00204CE2" w:rsidRPr="009077F5" w:rsidRDefault="00204CE2" w:rsidP="004B0D48">
            <w:pPr>
              <w:pStyle w:val="KonuBal"/>
              <w:rPr>
                <w:sz w:val="24"/>
                <w:szCs w:val="24"/>
              </w:rPr>
            </w:pPr>
            <w:r w:rsidRPr="009077F5">
              <w:rPr>
                <w:sz w:val="24"/>
                <w:szCs w:val="24"/>
              </w:rPr>
              <w:t>Genel olarak uygulanabilir.</w:t>
            </w:r>
          </w:p>
        </w:tc>
      </w:tr>
      <w:tr w:rsidR="00204CE2" w:rsidRPr="0050094F" w14:paraId="78F998F0" w14:textId="77777777" w:rsidTr="00065723">
        <w:tc>
          <w:tcPr>
            <w:tcW w:w="567" w:type="dxa"/>
            <w:vAlign w:val="center"/>
          </w:tcPr>
          <w:p w14:paraId="337EED3F" w14:textId="77777777" w:rsidR="00204CE2" w:rsidRPr="009077F5" w:rsidRDefault="00204CE2" w:rsidP="004B0D48">
            <w:pPr>
              <w:pStyle w:val="KonuBal"/>
              <w:rPr>
                <w:sz w:val="24"/>
                <w:szCs w:val="24"/>
              </w:rPr>
            </w:pPr>
            <w:r w:rsidRPr="009077F5">
              <w:rPr>
                <w:sz w:val="24"/>
                <w:szCs w:val="24"/>
              </w:rPr>
              <w:t>c.</w:t>
            </w:r>
          </w:p>
        </w:tc>
        <w:tc>
          <w:tcPr>
            <w:tcW w:w="2552" w:type="dxa"/>
            <w:vAlign w:val="center"/>
          </w:tcPr>
          <w:p w14:paraId="27605BDC" w14:textId="4DE14564" w:rsidR="00204CE2" w:rsidRPr="009077F5" w:rsidRDefault="00204CE2" w:rsidP="00A202FD">
            <w:pPr>
              <w:jc w:val="both"/>
              <w:rPr>
                <w:rFonts w:eastAsia="Calibri"/>
                <w:lang w:eastAsia="en-US"/>
              </w:rPr>
            </w:pPr>
            <w:r w:rsidRPr="009077F5">
              <w:rPr>
                <w:rFonts w:eastAsia="Calibri"/>
                <w:lang w:eastAsia="en-US"/>
              </w:rPr>
              <w:t>Düşük NOx</w:t>
            </w:r>
            <w:r w:rsidR="00E56504" w:rsidRPr="009077F5">
              <w:rPr>
                <w:rFonts w:eastAsia="Calibri"/>
                <w:lang w:eastAsia="en-US"/>
              </w:rPr>
              <w:t>’</w:t>
            </w:r>
            <w:r w:rsidRPr="009077F5">
              <w:rPr>
                <w:rFonts w:eastAsia="Calibri"/>
                <w:lang w:eastAsia="en-US"/>
              </w:rPr>
              <w:t>li brülörler</w:t>
            </w:r>
          </w:p>
        </w:tc>
        <w:tc>
          <w:tcPr>
            <w:tcW w:w="3402" w:type="dxa"/>
          </w:tcPr>
          <w:p w14:paraId="36B0D5D2" w14:textId="0ECAFF46" w:rsidR="00204CE2" w:rsidRPr="009077F5" w:rsidRDefault="00204CE2" w:rsidP="00A202FD">
            <w:pPr>
              <w:jc w:val="both"/>
              <w:rPr>
                <w:lang w:val="en-US" w:eastAsia="en-US"/>
              </w:rPr>
            </w:pPr>
            <w:r w:rsidRPr="009077F5">
              <w:rPr>
                <w:rFonts w:eastAsia="Calibri"/>
              </w:rPr>
              <w:t xml:space="preserve">Bölüm </w:t>
            </w:r>
            <w:r w:rsidR="00B97162" w:rsidRPr="009077F5">
              <w:rPr>
                <w:rFonts w:eastAsia="Calibri"/>
              </w:rPr>
              <w:t>1</w:t>
            </w:r>
            <w:r w:rsidRPr="009077F5">
              <w:rPr>
                <w:rFonts w:eastAsia="Calibri"/>
              </w:rPr>
              <w:t>.11.2</w:t>
            </w:r>
            <w:r w:rsidR="00E56504" w:rsidRPr="009077F5">
              <w:rPr>
                <w:rFonts w:eastAsia="Calibri"/>
              </w:rPr>
              <w:t>’</w:t>
            </w:r>
            <w:r w:rsidRPr="009077F5">
              <w:rPr>
                <w:rFonts w:eastAsia="Calibri"/>
              </w:rPr>
              <w:t>ye bakınız.</w:t>
            </w:r>
          </w:p>
        </w:tc>
        <w:tc>
          <w:tcPr>
            <w:tcW w:w="2409" w:type="dxa"/>
            <w:vAlign w:val="center"/>
          </w:tcPr>
          <w:p w14:paraId="3907BD65" w14:textId="37FDB20A" w:rsidR="00204CE2" w:rsidRPr="009077F5" w:rsidRDefault="00204CE2" w:rsidP="004B0D48">
            <w:pPr>
              <w:pStyle w:val="KonuBal"/>
              <w:rPr>
                <w:sz w:val="24"/>
                <w:szCs w:val="24"/>
              </w:rPr>
            </w:pPr>
            <w:r w:rsidRPr="009077F5">
              <w:rPr>
                <w:sz w:val="24"/>
                <w:szCs w:val="24"/>
              </w:rPr>
              <w:t>Uygulanabilirlik, mevcut tesislerde tasarım ve/veya operasyonel kısıtlamalarla sınırlandırılabilir.</w:t>
            </w:r>
          </w:p>
        </w:tc>
      </w:tr>
      <w:tr w:rsidR="00204CE2" w:rsidRPr="0050094F" w14:paraId="3FFC8BC7" w14:textId="77777777" w:rsidTr="00065723">
        <w:tc>
          <w:tcPr>
            <w:tcW w:w="567" w:type="dxa"/>
            <w:vAlign w:val="center"/>
          </w:tcPr>
          <w:p w14:paraId="1A6D39CF" w14:textId="77777777" w:rsidR="00204CE2" w:rsidRPr="009077F5" w:rsidRDefault="00204CE2" w:rsidP="004B0D48">
            <w:pPr>
              <w:pStyle w:val="KonuBal"/>
              <w:rPr>
                <w:sz w:val="24"/>
                <w:szCs w:val="24"/>
              </w:rPr>
            </w:pPr>
            <w:r w:rsidRPr="009077F5">
              <w:rPr>
                <w:sz w:val="24"/>
                <w:szCs w:val="24"/>
              </w:rPr>
              <w:t>d.</w:t>
            </w:r>
          </w:p>
        </w:tc>
        <w:tc>
          <w:tcPr>
            <w:tcW w:w="2552" w:type="dxa"/>
            <w:vAlign w:val="center"/>
          </w:tcPr>
          <w:p w14:paraId="6B4F6F2C" w14:textId="10E2FE3D" w:rsidR="00204CE2" w:rsidRPr="009077F5" w:rsidRDefault="00204CE2" w:rsidP="00A202FD">
            <w:pPr>
              <w:jc w:val="both"/>
              <w:rPr>
                <w:rFonts w:eastAsia="Calibri"/>
                <w:lang w:eastAsia="en-US"/>
              </w:rPr>
            </w:pPr>
            <w:r w:rsidRPr="009077F5">
              <w:rPr>
                <w:rFonts w:eastAsia="Calibri"/>
                <w:lang w:eastAsia="en-US"/>
              </w:rPr>
              <w:t>Islak fırçalama ve ardından buğu çözücü</w:t>
            </w:r>
          </w:p>
        </w:tc>
        <w:tc>
          <w:tcPr>
            <w:tcW w:w="3402" w:type="dxa"/>
          </w:tcPr>
          <w:p w14:paraId="0AB21CE6" w14:textId="1CAFE309" w:rsidR="00204CE2" w:rsidRPr="009077F5" w:rsidRDefault="00204CE2" w:rsidP="004B0D48">
            <w:pPr>
              <w:pStyle w:val="KonuBal"/>
              <w:rPr>
                <w:sz w:val="24"/>
                <w:szCs w:val="24"/>
              </w:rPr>
            </w:pPr>
            <w:r w:rsidRPr="009077F5">
              <w:rPr>
                <w:sz w:val="24"/>
                <w:szCs w:val="24"/>
              </w:rPr>
              <w:t xml:space="preserve">Bölüm </w:t>
            </w:r>
            <w:r w:rsidR="00B97162" w:rsidRPr="009077F5">
              <w:rPr>
                <w:sz w:val="24"/>
                <w:szCs w:val="24"/>
              </w:rPr>
              <w:t>1</w:t>
            </w:r>
            <w:r w:rsidR="00B875DD" w:rsidRPr="009077F5">
              <w:rPr>
                <w:sz w:val="24"/>
                <w:szCs w:val="24"/>
              </w:rPr>
              <w:t>.11.2</w:t>
            </w:r>
            <w:r w:rsidR="00E56504" w:rsidRPr="009077F5">
              <w:rPr>
                <w:sz w:val="24"/>
                <w:szCs w:val="24"/>
              </w:rPr>
              <w:t>’</w:t>
            </w:r>
            <w:r w:rsidR="00B875DD" w:rsidRPr="009077F5">
              <w:rPr>
                <w:sz w:val="24"/>
                <w:szCs w:val="24"/>
              </w:rPr>
              <w:t xml:space="preserve">ye </w:t>
            </w:r>
            <w:r w:rsidRPr="009077F5">
              <w:rPr>
                <w:sz w:val="24"/>
                <w:szCs w:val="24"/>
              </w:rPr>
              <w:t>bakınız.</w:t>
            </w:r>
          </w:p>
          <w:p w14:paraId="6168D4EE" w14:textId="068B5FE7" w:rsidR="00204CE2" w:rsidRPr="009077F5" w:rsidRDefault="00204CE2" w:rsidP="00A202FD">
            <w:pPr>
              <w:jc w:val="both"/>
              <w:rPr>
                <w:lang w:val="en-US" w:eastAsia="en-US"/>
              </w:rPr>
            </w:pPr>
            <w:r w:rsidRPr="009077F5">
              <w:rPr>
                <w:lang w:val="en-US" w:eastAsia="en-US"/>
              </w:rPr>
              <w:t>Karışık asit geri kazanımı durumunda, HF izlerini gidermek için yıkama çözeltisine bir alkali eklenir ve/veya NO</w:t>
            </w:r>
            <w:r w:rsidRPr="009077F5">
              <w:rPr>
                <w:vertAlign w:val="subscript"/>
                <w:lang w:val="en-US" w:eastAsia="en-US"/>
              </w:rPr>
              <w:t>X</w:t>
            </w:r>
            <w:r w:rsidRPr="009077F5">
              <w:rPr>
                <w:lang w:val="en-US" w:eastAsia="en-US"/>
              </w:rPr>
              <w:t xml:space="preserve"> emisyonlarını azaltmak için yıkama çözeltisine bir oksitleyici madde (örn. hidrojen peroksit) eklenir. Hidrojen peroksit kullanıldığında, oluşan nitrik asit asitleme tanklarına geri dönüştürülebilir.</w:t>
            </w:r>
          </w:p>
        </w:tc>
        <w:tc>
          <w:tcPr>
            <w:tcW w:w="2409" w:type="dxa"/>
            <w:vAlign w:val="center"/>
          </w:tcPr>
          <w:p w14:paraId="0DBDA8AC" w14:textId="2BEAD572" w:rsidR="00204CE2" w:rsidRPr="009077F5" w:rsidRDefault="00204CE2" w:rsidP="004B0D48">
            <w:pPr>
              <w:pStyle w:val="KonuBal"/>
              <w:rPr>
                <w:sz w:val="24"/>
                <w:szCs w:val="24"/>
              </w:rPr>
            </w:pPr>
            <w:r w:rsidRPr="009077F5">
              <w:rPr>
                <w:sz w:val="24"/>
                <w:szCs w:val="24"/>
              </w:rPr>
              <w:t>Genel olarak uygulanabilir.</w:t>
            </w:r>
          </w:p>
        </w:tc>
      </w:tr>
      <w:tr w:rsidR="00204CE2" w:rsidRPr="0050094F" w14:paraId="6814F0F3" w14:textId="77777777" w:rsidTr="00065723">
        <w:tc>
          <w:tcPr>
            <w:tcW w:w="567" w:type="dxa"/>
            <w:vAlign w:val="center"/>
          </w:tcPr>
          <w:p w14:paraId="5F40D516" w14:textId="0AD6E8CF" w:rsidR="00204CE2" w:rsidRPr="009077F5" w:rsidRDefault="00204CE2" w:rsidP="004B0D48">
            <w:pPr>
              <w:pStyle w:val="KonuBal"/>
              <w:rPr>
                <w:sz w:val="24"/>
                <w:szCs w:val="24"/>
              </w:rPr>
            </w:pPr>
            <w:r w:rsidRPr="009077F5">
              <w:rPr>
                <w:sz w:val="24"/>
                <w:szCs w:val="24"/>
              </w:rPr>
              <w:t xml:space="preserve">e. </w:t>
            </w:r>
          </w:p>
        </w:tc>
        <w:tc>
          <w:tcPr>
            <w:tcW w:w="2552" w:type="dxa"/>
            <w:vAlign w:val="center"/>
          </w:tcPr>
          <w:p w14:paraId="553BA879" w14:textId="56CFC499" w:rsidR="00204CE2" w:rsidRPr="009077F5" w:rsidRDefault="00204CE2" w:rsidP="00A202FD">
            <w:pPr>
              <w:jc w:val="both"/>
              <w:rPr>
                <w:rFonts w:eastAsia="Calibri"/>
                <w:lang w:eastAsia="en-US"/>
              </w:rPr>
            </w:pPr>
            <w:r w:rsidRPr="009077F5">
              <w:rPr>
                <w:rFonts w:eastAsia="Calibri"/>
                <w:lang w:eastAsia="en-US"/>
              </w:rPr>
              <w:t>Seçici katalitik indirgeme (SCR)</w:t>
            </w:r>
          </w:p>
        </w:tc>
        <w:tc>
          <w:tcPr>
            <w:tcW w:w="3402" w:type="dxa"/>
          </w:tcPr>
          <w:p w14:paraId="7A09E51A" w14:textId="22A586DB" w:rsidR="00204CE2" w:rsidRPr="009077F5" w:rsidRDefault="00204CE2" w:rsidP="004B0D48">
            <w:pPr>
              <w:pStyle w:val="KonuBal"/>
              <w:rPr>
                <w:sz w:val="24"/>
                <w:szCs w:val="24"/>
              </w:rPr>
            </w:pPr>
            <w:r w:rsidRPr="009077F5">
              <w:rPr>
                <w:sz w:val="24"/>
                <w:szCs w:val="24"/>
              </w:rPr>
              <w:t xml:space="preserve">Bölüm </w:t>
            </w:r>
            <w:r w:rsidR="00B97162" w:rsidRPr="009077F5">
              <w:rPr>
                <w:sz w:val="24"/>
                <w:szCs w:val="24"/>
              </w:rPr>
              <w:t>1</w:t>
            </w:r>
            <w:r w:rsidR="00B875DD" w:rsidRPr="009077F5">
              <w:rPr>
                <w:sz w:val="24"/>
                <w:szCs w:val="24"/>
              </w:rPr>
              <w:t>.11.2</w:t>
            </w:r>
            <w:r w:rsidR="00E56504" w:rsidRPr="009077F5">
              <w:rPr>
                <w:sz w:val="24"/>
                <w:szCs w:val="24"/>
              </w:rPr>
              <w:t>’</w:t>
            </w:r>
            <w:r w:rsidR="00B875DD" w:rsidRPr="009077F5">
              <w:rPr>
                <w:sz w:val="24"/>
                <w:szCs w:val="24"/>
              </w:rPr>
              <w:t xml:space="preserve">ye </w:t>
            </w:r>
            <w:r w:rsidRPr="009077F5">
              <w:rPr>
                <w:sz w:val="24"/>
                <w:szCs w:val="24"/>
              </w:rPr>
              <w:t>bakınız.</w:t>
            </w:r>
          </w:p>
          <w:p w14:paraId="6CBB10FB" w14:textId="77777777" w:rsidR="00204CE2" w:rsidRPr="009077F5" w:rsidRDefault="00204CE2" w:rsidP="004B0D48">
            <w:pPr>
              <w:pStyle w:val="KonuBal"/>
              <w:rPr>
                <w:sz w:val="24"/>
                <w:szCs w:val="24"/>
              </w:rPr>
            </w:pPr>
          </w:p>
        </w:tc>
        <w:tc>
          <w:tcPr>
            <w:tcW w:w="2409" w:type="dxa"/>
            <w:vAlign w:val="center"/>
          </w:tcPr>
          <w:p w14:paraId="5F876405" w14:textId="6D420E4B" w:rsidR="00204CE2" w:rsidRPr="009077F5" w:rsidRDefault="00204CE2" w:rsidP="0050094F">
            <w:pPr>
              <w:pStyle w:val="KonuBal"/>
              <w:rPr>
                <w:sz w:val="24"/>
                <w:szCs w:val="24"/>
              </w:rPr>
            </w:pPr>
            <w:r w:rsidRPr="009077F5">
              <w:rPr>
                <w:sz w:val="24"/>
                <w:szCs w:val="24"/>
              </w:rPr>
              <w:t>Mevcut tesislere uygulanabilirlik, alan yetersizliği nedeniyle kısıtlanabilir.</w:t>
            </w:r>
          </w:p>
        </w:tc>
      </w:tr>
      <w:tr w:rsidR="00204CE2" w:rsidRPr="0050094F" w14:paraId="023C6FBF" w14:textId="77777777" w:rsidTr="00065723">
        <w:tc>
          <w:tcPr>
            <w:tcW w:w="567" w:type="dxa"/>
            <w:vAlign w:val="center"/>
          </w:tcPr>
          <w:p w14:paraId="796F80DE" w14:textId="490CB031" w:rsidR="00204CE2" w:rsidRPr="009077F5" w:rsidRDefault="00204CE2" w:rsidP="004B0D48">
            <w:pPr>
              <w:pStyle w:val="KonuBal"/>
              <w:rPr>
                <w:sz w:val="24"/>
                <w:szCs w:val="24"/>
              </w:rPr>
            </w:pPr>
            <w:r w:rsidRPr="009077F5">
              <w:rPr>
                <w:sz w:val="24"/>
                <w:szCs w:val="24"/>
              </w:rPr>
              <w:t>f.</w:t>
            </w:r>
          </w:p>
        </w:tc>
        <w:tc>
          <w:tcPr>
            <w:tcW w:w="2552" w:type="dxa"/>
            <w:vAlign w:val="center"/>
          </w:tcPr>
          <w:p w14:paraId="45AFB9C3" w14:textId="6E070387" w:rsidR="00204CE2" w:rsidRPr="009077F5" w:rsidRDefault="00204CE2" w:rsidP="00A202FD">
            <w:pPr>
              <w:jc w:val="both"/>
              <w:rPr>
                <w:rFonts w:eastAsia="Calibri"/>
                <w:lang w:eastAsia="en-US"/>
              </w:rPr>
            </w:pPr>
            <w:r w:rsidRPr="009077F5">
              <w:rPr>
                <w:rFonts w:eastAsia="Calibri"/>
                <w:lang w:eastAsia="en-US"/>
              </w:rPr>
              <w:t>SCR tasarımının ve çalışmasının optimizasyonu</w:t>
            </w:r>
          </w:p>
        </w:tc>
        <w:tc>
          <w:tcPr>
            <w:tcW w:w="3402" w:type="dxa"/>
            <w:vAlign w:val="center"/>
          </w:tcPr>
          <w:p w14:paraId="01764416" w14:textId="433352B1" w:rsidR="00204CE2" w:rsidRPr="009077F5" w:rsidRDefault="00204CE2" w:rsidP="004B0D48">
            <w:pPr>
              <w:pStyle w:val="KonuBal"/>
              <w:rPr>
                <w:sz w:val="24"/>
                <w:szCs w:val="24"/>
              </w:rPr>
            </w:pPr>
            <w:r w:rsidRPr="009077F5">
              <w:rPr>
                <w:sz w:val="24"/>
                <w:szCs w:val="24"/>
              </w:rPr>
              <w:t xml:space="preserve">Bölüm </w:t>
            </w:r>
            <w:r w:rsidR="00B97162" w:rsidRPr="009077F5">
              <w:rPr>
                <w:sz w:val="24"/>
                <w:szCs w:val="24"/>
              </w:rPr>
              <w:t>1</w:t>
            </w:r>
            <w:r w:rsidR="00B875DD" w:rsidRPr="009077F5">
              <w:rPr>
                <w:sz w:val="24"/>
                <w:szCs w:val="24"/>
              </w:rPr>
              <w:t>.11.2</w:t>
            </w:r>
            <w:r w:rsidR="00E56504" w:rsidRPr="009077F5">
              <w:rPr>
                <w:sz w:val="24"/>
                <w:szCs w:val="24"/>
              </w:rPr>
              <w:t>’</w:t>
            </w:r>
            <w:r w:rsidR="00B875DD" w:rsidRPr="009077F5">
              <w:rPr>
                <w:sz w:val="24"/>
                <w:szCs w:val="24"/>
              </w:rPr>
              <w:t xml:space="preserve">ye </w:t>
            </w:r>
            <w:r w:rsidRPr="009077F5">
              <w:rPr>
                <w:sz w:val="24"/>
                <w:szCs w:val="24"/>
              </w:rPr>
              <w:t>bakınız.</w:t>
            </w:r>
          </w:p>
        </w:tc>
        <w:tc>
          <w:tcPr>
            <w:tcW w:w="2409" w:type="dxa"/>
            <w:vAlign w:val="center"/>
          </w:tcPr>
          <w:p w14:paraId="311EB617" w14:textId="2F02AD69" w:rsidR="00204CE2" w:rsidRPr="009077F5" w:rsidRDefault="00204CE2" w:rsidP="004B0D48">
            <w:pPr>
              <w:pStyle w:val="KonuBal"/>
              <w:rPr>
                <w:sz w:val="24"/>
                <w:szCs w:val="24"/>
              </w:rPr>
            </w:pPr>
            <w:r w:rsidRPr="009077F5">
              <w:rPr>
                <w:sz w:val="24"/>
                <w:szCs w:val="24"/>
              </w:rPr>
              <w:t>Sadece NO</w:t>
            </w:r>
            <w:r w:rsidRPr="009077F5">
              <w:rPr>
                <w:sz w:val="24"/>
                <w:szCs w:val="24"/>
                <w:vertAlign w:val="subscript"/>
              </w:rPr>
              <w:t xml:space="preserve">X </w:t>
            </w:r>
            <w:r w:rsidRPr="009077F5">
              <w:rPr>
                <w:sz w:val="24"/>
                <w:szCs w:val="24"/>
              </w:rPr>
              <w:t>emisyonlarının azaltılması için SCR kullanıldığında geçerlidir.</w:t>
            </w:r>
          </w:p>
        </w:tc>
      </w:tr>
    </w:tbl>
    <w:p w14:paraId="040905AD" w14:textId="77777777" w:rsidR="00E42671" w:rsidRPr="00D53A2B" w:rsidRDefault="00E42671" w:rsidP="00A202FD">
      <w:pPr>
        <w:jc w:val="both"/>
        <w:rPr>
          <w:rFonts w:eastAsia="Calibri"/>
          <w:lang w:eastAsia="en-US"/>
        </w:rPr>
      </w:pPr>
    </w:p>
    <w:p w14:paraId="0071C9F7" w14:textId="22F82B4E" w:rsidR="00421AB1" w:rsidRPr="00D53A2B" w:rsidRDefault="00204CE2" w:rsidP="00A202FD">
      <w:pPr>
        <w:jc w:val="both"/>
        <w:rPr>
          <w:rFonts w:eastAsia="Calibri"/>
          <w:lang w:eastAsia="en-US"/>
        </w:rPr>
      </w:pPr>
      <w:r w:rsidRPr="00D53A2B">
        <w:rPr>
          <w:rFonts w:eastAsia="Calibri"/>
          <w:lang w:eastAsia="en-US"/>
        </w:rPr>
        <w:t xml:space="preserve">Tablo </w:t>
      </w:r>
      <w:r w:rsidR="00B97162" w:rsidRPr="00D53A2B">
        <w:rPr>
          <w:rFonts w:eastAsia="Calibri"/>
          <w:lang w:eastAsia="en-US"/>
        </w:rPr>
        <w:t>1</w:t>
      </w:r>
      <w:r w:rsidRPr="00D53A2B">
        <w:rPr>
          <w:rFonts w:eastAsia="Calibri"/>
          <w:lang w:eastAsia="en-US"/>
        </w:rPr>
        <w:t>.18</w:t>
      </w:r>
    </w:p>
    <w:p w14:paraId="25B1CCD3" w14:textId="1E4EC91D" w:rsidR="0071694E" w:rsidRPr="00D53A2B" w:rsidRDefault="00204CE2" w:rsidP="00A202FD">
      <w:pPr>
        <w:jc w:val="both"/>
        <w:rPr>
          <w:rFonts w:eastAsia="Calibri"/>
          <w:b/>
          <w:bCs/>
          <w:lang w:eastAsia="en-US"/>
        </w:rPr>
      </w:pPr>
      <w:r w:rsidRPr="00D53A2B">
        <w:rPr>
          <w:rFonts w:eastAsia="Calibri"/>
          <w:lang w:eastAsia="en-US"/>
        </w:rPr>
        <w:t>Kullanılmış hidroklorik asidin püskürtme kavurma</w:t>
      </w:r>
      <w:r w:rsidR="00B875DD" w:rsidRPr="00D53A2B">
        <w:rPr>
          <w:rFonts w:eastAsia="Calibri"/>
          <w:lang w:eastAsia="en-US"/>
        </w:rPr>
        <w:t xml:space="preserve">sı </w:t>
      </w:r>
      <w:r w:rsidRPr="00D53A2B">
        <w:rPr>
          <w:rFonts w:eastAsia="Calibri"/>
          <w:lang w:eastAsia="en-US"/>
        </w:rPr>
        <w:t>veya akışkan yataklı reaktörler kullanılarak geri kazanılması sonucu havaya verilen toz, HCl, SO</w:t>
      </w:r>
      <w:r w:rsidRPr="00D53A2B">
        <w:rPr>
          <w:rFonts w:eastAsia="Calibri"/>
          <w:vertAlign w:val="subscript"/>
          <w:lang w:eastAsia="en-US"/>
        </w:rPr>
        <w:t>2</w:t>
      </w:r>
      <w:r w:rsidRPr="00D53A2B">
        <w:rPr>
          <w:rFonts w:eastAsia="Calibri"/>
          <w:lang w:eastAsia="en-US"/>
        </w:rPr>
        <w:t xml:space="preserve"> ve NO</w:t>
      </w:r>
      <w:r w:rsidRPr="00D53A2B">
        <w:rPr>
          <w:rFonts w:eastAsia="Calibri"/>
          <w:vertAlign w:val="subscript"/>
          <w:lang w:eastAsia="en-US"/>
        </w:rPr>
        <w:t>X</w:t>
      </w:r>
      <w:r w:rsidRPr="00D53A2B">
        <w:rPr>
          <w:rFonts w:eastAsia="Calibri"/>
          <w:lang w:eastAsia="en-US"/>
        </w:rPr>
        <w:t xml:space="preserve"> emisyonlarına ilişkin MET-ilişkili emisyon seviyeleri (MET-İES</w:t>
      </w:r>
      <w:r w:rsidR="00B875DD" w:rsidRPr="00D53A2B">
        <w:rPr>
          <w:rFonts w:eastAsia="Calibri"/>
          <w:lang w:eastAsia="en-US"/>
        </w:rPr>
        <w:t>)</w:t>
      </w:r>
      <w:r w:rsidRPr="00D53A2B">
        <w:rPr>
          <w:rFonts w:eastAsia="Calibri"/>
          <w:b/>
          <w:bCs/>
          <w:lang w:eastAsia="en-US"/>
        </w:rPr>
        <w:t>.</w:t>
      </w:r>
    </w:p>
    <w:p w14:paraId="4F8632F4" w14:textId="77777777" w:rsidR="00C15CF2" w:rsidRPr="00D53A2B" w:rsidRDefault="00C15CF2"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1418"/>
        <w:gridCol w:w="1417"/>
        <w:gridCol w:w="6095"/>
      </w:tblGrid>
      <w:tr w:rsidR="00204CE2" w:rsidRPr="00D53A2B" w14:paraId="1F864B52" w14:textId="77777777" w:rsidTr="00A202FD">
        <w:tc>
          <w:tcPr>
            <w:tcW w:w="1418" w:type="dxa"/>
          </w:tcPr>
          <w:p w14:paraId="313C9DA1" w14:textId="77777777" w:rsidR="00204CE2" w:rsidRPr="00D53A2B" w:rsidRDefault="00204CE2" w:rsidP="004B0D48">
            <w:pPr>
              <w:pStyle w:val="KonuBal"/>
            </w:pPr>
            <w:r w:rsidRPr="00D53A2B">
              <w:t>Parametre</w:t>
            </w:r>
          </w:p>
        </w:tc>
        <w:tc>
          <w:tcPr>
            <w:tcW w:w="1417" w:type="dxa"/>
          </w:tcPr>
          <w:p w14:paraId="7D77F144" w14:textId="77777777" w:rsidR="00204CE2" w:rsidRPr="00D53A2B" w:rsidRDefault="00204CE2" w:rsidP="004B0D48">
            <w:pPr>
              <w:pStyle w:val="KonuBal"/>
            </w:pPr>
            <w:r w:rsidRPr="00D53A2B">
              <w:t>Birim</w:t>
            </w:r>
          </w:p>
        </w:tc>
        <w:tc>
          <w:tcPr>
            <w:tcW w:w="6095" w:type="dxa"/>
          </w:tcPr>
          <w:p w14:paraId="7D6FBE5A" w14:textId="77777777" w:rsidR="00204CE2" w:rsidRPr="00D53A2B" w:rsidRDefault="00204CE2" w:rsidP="00A202FD">
            <w:pPr>
              <w:jc w:val="both"/>
              <w:rPr>
                <w:rFonts w:eastAsia="Calibri"/>
                <w:sz w:val="22"/>
                <w:szCs w:val="22"/>
                <w:lang w:eastAsia="en-US"/>
              </w:rPr>
            </w:pPr>
            <w:r w:rsidRPr="00D53A2B">
              <w:rPr>
                <w:rFonts w:eastAsia="Calibri"/>
                <w:sz w:val="22"/>
                <w:szCs w:val="22"/>
                <w:lang w:eastAsia="en-US"/>
              </w:rPr>
              <w:t xml:space="preserve">MET-İES </w:t>
            </w:r>
          </w:p>
          <w:p w14:paraId="42E67E41" w14:textId="77777777" w:rsidR="00204CE2" w:rsidRPr="00D53A2B" w:rsidRDefault="00204CE2" w:rsidP="004B0D48">
            <w:pPr>
              <w:pStyle w:val="KonuBal"/>
            </w:pPr>
            <w:r w:rsidRPr="00D53A2B">
              <w:t>(Günlük ortalama veya numune alma süresi boyunca ortalama)</w:t>
            </w:r>
          </w:p>
        </w:tc>
      </w:tr>
      <w:tr w:rsidR="00204CE2" w:rsidRPr="00D53A2B" w14:paraId="71178EF9" w14:textId="77777777" w:rsidTr="00A202FD">
        <w:tc>
          <w:tcPr>
            <w:tcW w:w="1418" w:type="dxa"/>
          </w:tcPr>
          <w:p w14:paraId="7E045C1B" w14:textId="77777777" w:rsidR="00204CE2" w:rsidRPr="00D53A2B" w:rsidRDefault="00204CE2" w:rsidP="004B0D48">
            <w:pPr>
              <w:pStyle w:val="KonuBal"/>
            </w:pPr>
            <w:r w:rsidRPr="00D53A2B">
              <w:t>Toz</w:t>
            </w:r>
          </w:p>
        </w:tc>
        <w:tc>
          <w:tcPr>
            <w:tcW w:w="1417" w:type="dxa"/>
          </w:tcPr>
          <w:p w14:paraId="084E776A" w14:textId="77777777" w:rsidR="00204CE2" w:rsidRPr="00D53A2B" w:rsidRDefault="00204CE2" w:rsidP="004B0D48">
            <w:pPr>
              <w:pStyle w:val="KonuBal"/>
            </w:pPr>
            <w:r w:rsidRPr="00D53A2B">
              <w:t>mg/Nm</w:t>
            </w:r>
            <w:r w:rsidRPr="00D53A2B">
              <w:rPr>
                <w:vertAlign w:val="superscript"/>
              </w:rPr>
              <w:t>3</w:t>
            </w:r>
          </w:p>
        </w:tc>
        <w:tc>
          <w:tcPr>
            <w:tcW w:w="6095" w:type="dxa"/>
            <w:vAlign w:val="bottom"/>
          </w:tcPr>
          <w:p w14:paraId="4547DDDF" w14:textId="466320ED" w:rsidR="00204CE2" w:rsidRPr="00D53A2B" w:rsidRDefault="00204CE2" w:rsidP="00E73DA3">
            <w:pPr>
              <w:pStyle w:val="KonuBal"/>
            </w:pPr>
            <w:r w:rsidRPr="00D53A2B">
              <w:t>&lt;2-15</w:t>
            </w:r>
          </w:p>
        </w:tc>
      </w:tr>
      <w:tr w:rsidR="00204CE2" w:rsidRPr="00D53A2B" w14:paraId="6AF67B0A" w14:textId="77777777" w:rsidTr="00A202FD">
        <w:tc>
          <w:tcPr>
            <w:tcW w:w="1418" w:type="dxa"/>
          </w:tcPr>
          <w:p w14:paraId="5894DC19" w14:textId="613CDA59" w:rsidR="00204CE2" w:rsidRPr="00D53A2B" w:rsidRDefault="00204CE2" w:rsidP="004B0D48">
            <w:pPr>
              <w:pStyle w:val="KonuBal"/>
            </w:pPr>
            <w:r w:rsidRPr="00D53A2B">
              <w:t>HCl</w:t>
            </w:r>
          </w:p>
        </w:tc>
        <w:tc>
          <w:tcPr>
            <w:tcW w:w="1417" w:type="dxa"/>
          </w:tcPr>
          <w:p w14:paraId="61CC9B9F" w14:textId="0527971A" w:rsidR="00204CE2" w:rsidRPr="00D53A2B" w:rsidRDefault="00204CE2" w:rsidP="004B0D48">
            <w:pPr>
              <w:pStyle w:val="KonuBal"/>
            </w:pPr>
            <w:r w:rsidRPr="00D53A2B">
              <w:t>mg/Nm</w:t>
            </w:r>
            <w:r w:rsidRPr="00D53A2B">
              <w:rPr>
                <w:vertAlign w:val="superscript"/>
              </w:rPr>
              <w:t>3</w:t>
            </w:r>
          </w:p>
        </w:tc>
        <w:tc>
          <w:tcPr>
            <w:tcW w:w="6095" w:type="dxa"/>
            <w:vAlign w:val="bottom"/>
          </w:tcPr>
          <w:p w14:paraId="017B1C3A" w14:textId="43B9DC03" w:rsidR="00204CE2" w:rsidRPr="00D53A2B" w:rsidRDefault="00204CE2" w:rsidP="00E73DA3">
            <w:pPr>
              <w:pStyle w:val="KonuBal"/>
            </w:pPr>
            <w:r w:rsidRPr="00D53A2B">
              <w:t>&lt;2-15</w:t>
            </w:r>
          </w:p>
        </w:tc>
      </w:tr>
      <w:tr w:rsidR="00204CE2" w:rsidRPr="00D53A2B" w14:paraId="1822A234" w14:textId="77777777" w:rsidTr="00A202FD">
        <w:tc>
          <w:tcPr>
            <w:tcW w:w="1418" w:type="dxa"/>
          </w:tcPr>
          <w:p w14:paraId="75994F25" w14:textId="54E3713D" w:rsidR="00204CE2" w:rsidRPr="00D53A2B" w:rsidRDefault="00B875DD" w:rsidP="004B0D48">
            <w:pPr>
              <w:pStyle w:val="KonuBal"/>
            </w:pPr>
            <w:r w:rsidRPr="00D53A2B">
              <w:t>SO</w:t>
            </w:r>
            <w:r w:rsidRPr="00D53A2B">
              <w:rPr>
                <w:vertAlign w:val="subscript"/>
              </w:rPr>
              <w:t>2</w:t>
            </w:r>
          </w:p>
        </w:tc>
        <w:tc>
          <w:tcPr>
            <w:tcW w:w="1417" w:type="dxa"/>
          </w:tcPr>
          <w:p w14:paraId="157E23E6" w14:textId="5ADC7C50" w:rsidR="00204CE2" w:rsidRPr="00D53A2B" w:rsidRDefault="00204CE2" w:rsidP="004B0D48">
            <w:pPr>
              <w:pStyle w:val="KonuBal"/>
            </w:pPr>
            <w:r w:rsidRPr="00D53A2B">
              <w:t>mg/Nm</w:t>
            </w:r>
            <w:r w:rsidRPr="00D53A2B">
              <w:rPr>
                <w:vertAlign w:val="superscript"/>
              </w:rPr>
              <w:t>3</w:t>
            </w:r>
          </w:p>
        </w:tc>
        <w:tc>
          <w:tcPr>
            <w:tcW w:w="6095" w:type="dxa"/>
            <w:vAlign w:val="bottom"/>
          </w:tcPr>
          <w:p w14:paraId="2333DFEF" w14:textId="7AB89665" w:rsidR="00204CE2" w:rsidRPr="00D53A2B" w:rsidRDefault="00204CE2" w:rsidP="00E73DA3">
            <w:pPr>
              <w:pStyle w:val="KonuBal"/>
            </w:pPr>
            <w:r w:rsidRPr="00D53A2B">
              <w:t>&lt;10</w:t>
            </w:r>
          </w:p>
        </w:tc>
      </w:tr>
      <w:tr w:rsidR="00204CE2" w:rsidRPr="00D53A2B" w14:paraId="3B01891E" w14:textId="77777777" w:rsidTr="00A202FD">
        <w:tc>
          <w:tcPr>
            <w:tcW w:w="1418" w:type="dxa"/>
          </w:tcPr>
          <w:p w14:paraId="4CA2C508" w14:textId="7DC53508" w:rsidR="00204CE2" w:rsidRPr="00D53A2B" w:rsidRDefault="00B875DD" w:rsidP="004B0D48">
            <w:pPr>
              <w:pStyle w:val="KonuBal"/>
            </w:pPr>
            <w:r w:rsidRPr="00D53A2B">
              <w:t>NO</w:t>
            </w:r>
            <w:r w:rsidRPr="00D53A2B">
              <w:rPr>
                <w:vertAlign w:val="subscript"/>
              </w:rPr>
              <w:t>X</w:t>
            </w:r>
          </w:p>
        </w:tc>
        <w:tc>
          <w:tcPr>
            <w:tcW w:w="1417" w:type="dxa"/>
          </w:tcPr>
          <w:p w14:paraId="1B6D96B4" w14:textId="5799E7EC" w:rsidR="00204CE2" w:rsidRPr="00D53A2B" w:rsidRDefault="00204CE2" w:rsidP="004B0D48">
            <w:pPr>
              <w:pStyle w:val="KonuBal"/>
            </w:pPr>
            <w:r w:rsidRPr="00D53A2B">
              <w:t>mg/Nm</w:t>
            </w:r>
            <w:r w:rsidRPr="00D53A2B">
              <w:rPr>
                <w:vertAlign w:val="superscript"/>
              </w:rPr>
              <w:t>3</w:t>
            </w:r>
          </w:p>
        </w:tc>
        <w:tc>
          <w:tcPr>
            <w:tcW w:w="6095" w:type="dxa"/>
            <w:vAlign w:val="bottom"/>
          </w:tcPr>
          <w:p w14:paraId="563B4637" w14:textId="0DBB6157" w:rsidR="00204CE2" w:rsidRPr="00D53A2B" w:rsidRDefault="00204CE2" w:rsidP="00E73DA3">
            <w:pPr>
              <w:pStyle w:val="KonuBal"/>
            </w:pPr>
            <w:r w:rsidRPr="00D53A2B">
              <w:t>50-180</w:t>
            </w:r>
          </w:p>
        </w:tc>
      </w:tr>
    </w:tbl>
    <w:p w14:paraId="7830E098" w14:textId="14F17536" w:rsidR="0071694E" w:rsidRPr="00D53A2B" w:rsidRDefault="0071694E" w:rsidP="00A202FD">
      <w:pPr>
        <w:jc w:val="both"/>
        <w:rPr>
          <w:rFonts w:eastAsia="Calibri"/>
          <w:lang w:eastAsia="en-US"/>
        </w:rPr>
      </w:pPr>
    </w:p>
    <w:p w14:paraId="2507618B" w14:textId="25A206C9" w:rsidR="001023C7" w:rsidRPr="00D53A2B" w:rsidRDefault="00E8031A" w:rsidP="00A202FD">
      <w:pPr>
        <w:jc w:val="both"/>
        <w:rPr>
          <w:rFonts w:eastAsia="Calibri"/>
          <w:lang w:eastAsia="en-US"/>
        </w:rPr>
      </w:pPr>
      <w:r w:rsidRPr="00D53A2B">
        <w:rPr>
          <w:rFonts w:eastAsia="Calibri"/>
          <w:lang w:eastAsia="en-US"/>
        </w:rPr>
        <w:t xml:space="preserve">Tablo </w:t>
      </w:r>
      <w:r w:rsidR="00B97162" w:rsidRPr="00D53A2B">
        <w:rPr>
          <w:rFonts w:eastAsia="Calibri"/>
          <w:lang w:eastAsia="en-US"/>
        </w:rPr>
        <w:t>1</w:t>
      </w:r>
      <w:r w:rsidRPr="00D53A2B">
        <w:rPr>
          <w:rFonts w:eastAsia="Calibri"/>
          <w:lang w:eastAsia="en-US"/>
        </w:rPr>
        <w:t>. 19</w:t>
      </w:r>
    </w:p>
    <w:p w14:paraId="7BA248D0" w14:textId="60F64D66" w:rsidR="0071694E" w:rsidRPr="00D53A2B" w:rsidRDefault="00E8031A" w:rsidP="00A202FD">
      <w:pPr>
        <w:jc w:val="both"/>
        <w:rPr>
          <w:rFonts w:eastAsia="Calibri"/>
          <w:lang w:eastAsia="en-US"/>
        </w:rPr>
      </w:pPr>
      <w:r w:rsidRPr="00D53A2B">
        <w:rPr>
          <w:rFonts w:eastAsia="Calibri"/>
          <w:lang w:eastAsia="en-US"/>
        </w:rPr>
        <w:t>Karışık asidin püskürtme kavurma</w:t>
      </w:r>
      <w:r w:rsidR="00B875DD" w:rsidRPr="00D53A2B">
        <w:rPr>
          <w:rFonts w:eastAsia="Calibri"/>
          <w:lang w:eastAsia="en-US"/>
        </w:rPr>
        <w:t>sı</w:t>
      </w:r>
      <w:r w:rsidRPr="00D53A2B">
        <w:rPr>
          <w:rFonts w:eastAsia="Calibri"/>
          <w:lang w:eastAsia="en-US"/>
        </w:rPr>
        <w:t xml:space="preserve"> veya buharlaştırma yoluyla geri kazanılması sonucu havaya verilen toz, HF ve NOX emisyonlarına ilişkin MET-ilişkili emisyon seviyeleri (MET-İES</w:t>
      </w:r>
      <w:r w:rsidR="00B875DD" w:rsidRPr="00D53A2B">
        <w:rPr>
          <w:rFonts w:eastAsia="Calibri"/>
          <w:lang w:eastAsia="en-US"/>
        </w:rPr>
        <w:t>)</w:t>
      </w:r>
      <w:r w:rsidRPr="00D53A2B">
        <w:rPr>
          <w:rFonts w:eastAsia="Calibri"/>
          <w:lang w:eastAsia="en-US"/>
        </w:rPr>
        <w:t>.</w:t>
      </w:r>
    </w:p>
    <w:p w14:paraId="64042781" w14:textId="77777777" w:rsidR="00C15CF2" w:rsidRPr="00D53A2B" w:rsidRDefault="00C15CF2"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1418"/>
        <w:gridCol w:w="1417"/>
        <w:gridCol w:w="6095"/>
      </w:tblGrid>
      <w:tr w:rsidR="00E8031A" w:rsidRPr="00D53A2B" w14:paraId="11683556" w14:textId="77777777" w:rsidTr="00C86A85">
        <w:tc>
          <w:tcPr>
            <w:tcW w:w="1418" w:type="dxa"/>
          </w:tcPr>
          <w:p w14:paraId="55D5E860" w14:textId="77777777" w:rsidR="00E8031A" w:rsidRPr="00D53A2B" w:rsidRDefault="00E8031A" w:rsidP="004B0D48">
            <w:pPr>
              <w:pStyle w:val="KonuBal"/>
            </w:pPr>
            <w:r w:rsidRPr="00D53A2B">
              <w:t>Parametre</w:t>
            </w:r>
          </w:p>
        </w:tc>
        <w:tc>
          <w:tcPr>
            <w:tcW w:w="1417" w:type="dxa"/>
          </w:tcPr>
          <w:p w14:paraId="0A408E62" w14:textId="77777777" w:rsidR="00E8031A" w:rsidRPr="00D53A2B" w:rsidRDefault="00E8031A" w:rsidP="004B0D48">
            <w:pPr>
              <w:pStyle w:val="KonuBal"/>
            </w:pPr>
            <w:r w:rsidRPr="00D53A2B">
              <w:t>Birim</w:t>
            </w:r>
          </w:p>
        </w:tc>
        <w:tc>
          <w:tcPr>
            <w:tcW w:w="6095" w:type="dxa"/>
          </w:tcPr>
          <w:p w14:paraId="69A30178" w14:textId="77777777" w:rsidR="00E8031A" w:rsidRPr="00D53A2B" w:rsidRDefault="00E8031A" w:rsidP="00A202FD">
            <w:pPr>
              <w:jc w:val="both"/>
              <w:rPr>
                <w:rFonts w:eastAsia="Calibri"/>
                <w:sz w:val="22"/>
                <w:szCs w:val="22"/>
                <w:lang w:eastAsia="en-US"/>
              </w:rPr>
            </w:pPr>
            <w:r w:rsidRPr="00D53A2B">
              <w:rPr>
                <w:rFonts w:eastAsia="Calibri"/>
                <w:sz w:val="22"/>
                <w:szCs w:val="22"/>
                <w:lang w:eastAsia="en-US"/>
              </w:rPr>
              <w:t xml:space="preserve">MET-İES </w:t>
            </w:r>
          </w:p>
          <w:p w14:paraId="2D7C3774" w14:textId="77777777" w:rsidR="00E8031A" w:rsidRPr="00D53A2B" w:rsidRDefault="00E8031A" w:rsidP="004B0D48">
            <w:pPr>
              <w:pStyle w:val="KonuBal"/>
            </w:pPr>
            <w:r w:rsidRPr="00D53A2B">
              <w:t>(Günlük ortalama veya numune alma süresi boyunca ortalama)</w:t>
            </w:r>
          </w:p>
        </w:tc>
      </w:tr>
      <w:tr w:rsidR="00E8031A" w:rsidRPr="00D53A2B" w14:paraId="1795AC80" w14:textId="77777777" w:rsidTr="00C86A85">
        <w:tc>
          <w:tcPr>
            <w:tcW w:w="1418" w:type="dxa"/>
          </w:tcPr>
          <w:p w14:paraId="65D2CFB3" w14:textId="47B4BDC7" w:rsidR="00E8031A" w:rsidRPr="00D53A2B" w:rsidRDefault="00E8031A" w:rsidP="004B0D48">
            <w:pPr>
              <w:pStyle w:val="KonuBal"/>
            </w:pPr>
            <w:r w:rsidRPr="00D53A2B">
              <w:t>HF</w:t>
            </w:r>
          </w:p>
        </w:tc>
        <w:tc>
          <w:tcPr>
            <w:tcW w:w="1417" w:type="dxa"/>
          </w:tcPr>
          <w:p w14:paraId="6376ED5A" w14:textId="77777777" w:rsidR="00E8031A" w:rsidRPr="00D53A2B" w:rsidRDefault="00E8031A" w:rsidP="004B0D48">
            <w:pPr>
              <w:pStyle w:val="KonuBal"/>
            </w:pPr>
            <w:r w:rsidRPr="00D53A2B">
              <w:t>mg/Nm</w:t>
            </w:r>
            <w:r w:rsidRPr="00D53A2B">
              <w:rPr>
                <w:vertAlign w:val="superscript"/>
              </w:rPr>
              <w:t>3</w:t>
            </w:r>
          </w:p>
        </w:tc>
        <w:tc>
          <w:tcPr>
            <w:tcW w:w="6095" w:type="dxa"/>
            <w:vAlign w:val="bottom"/>
          </w:tcPr>
          <w:p w14:paraId="647C820A" w14:textId="49A907B0" w:rsidR="00E8031A" w:rsidRPr="00D53A2B" w:rsidRDefault="00E8031A" w:rsidP="00E73DA3">
            <w:pPr>
              <w:pStyle w:val="KonuBal"/>
            </w:pPr>
            <w:r w:rsidRPr="00D53A2B">
              <w:t>&lt;1</w:t>
            </w:r>
          </w:p>
        </w:tc>
      </w:tr>
      <w:tr w:rsidR="00E8031A" w:rsidRPr="00D53A2B" w14:paraId="394060BA" w14:textId="77777777" w:rsidTr="00C86A85">
        <w:tc>
          <w:tcPr>
            <w:tcW w:w="1418" w:type="dxa"/>
          </w:tcPr>
          <w:p w14:paraId="64076F6F" w14:textId="22E6567C" w:rsidR="00E8031A" w:rsidRPr="00D53A2B" w:rsidRDefault="00E8031A" w:rsidP="004B0D48">
            <w:pPr>
              <w:pStyle w:val="KonuBal"/>
            </w:pPr>
            <w:r w:rsidRPr="00D53A2B">
              <w:t>NOx</w:t>
            </w:r>
          </w:p>
        </w:tc>
        <w:tc>
          <w:tcPr>
            <w:tcW w:w="1417" w:type="dxa"/>
          </w:tcPr>
          <w:p w14:paraId="0C4AD35D" w14:textId="77777777" w:rsidR="00E8031A" w:rsidRPr="00D53A2B" w:rsidRDefault="00E8031A" w:rsidP="004B0D48">
            <w:pPr>
              <w:pStyle w:val="KonuBal"/>
            </w:pPr>
            <w:r w:rsidRPr="00D53A2B">
              <w:t>mg/Nm</w:t>
            </w:r>
            <w:r w:rsidRPr="00D53A2B">
              <w:rPr>
                <w:vertAlign w:val="superscript"/>
              </w:rPr>
              <w:t>3</w:t>
            </w:r>
          </w:p>
        </w:tc>
        <w:tc>
          <w:tcPr>
            <w:tcW w:w="6095" w:type="dxa"/>
            <w:vAlign w:val="bottom"/>
          </w:tcPr>
          <w:p w14:paraId="2D9B48B0" w14:textId="1D990E3A" w:rsidR="00E8031A" w:rsidRPr="00D53A2B" w:rsidRDefault="00E8031A" w:rsidP="00E73DA3">
            <w:pPr>
              <w:pStyle w:val="KonuBal"/>
            </w:pPr>
            <w:r w:rsidRPr="00D53A2B">
              <w:t>50-100 (</w:t>
            </w:r>
            <w:r w:rsidRPr="00D53A2B">
              <w:rPr>
                <w:vertAlign w:val="superscript"/>
              </w:rPr>
              <w:t>1</w:t>
            </w:r>
            <w:r w:rsidRPr="00D53A2B">
              <w:t>)</w:t>
            </w:r>
          </w:p>
        </w:tc>
      </w:tr>
      <w:tr w:rsidR="00E8031A" w:rsidRPr="00D53A2B" w14:paraId="2CD24BDE" w14:textId="77777777" w:rsidTr="00C86A85">
        <w:tc>
          <w:tcPr>
            <w:tcW w:w="1418" w:type="dxa"/>
          </w:tcPr>
          <w:p w14:paraId="75CBA2C6" w14:textId="520FB4BC" w:rsidR="00E8031A" w:rsidRPr="00D53A2B" w:rsidRDefault="00E8031A" w:rsidP="004B0D48">
            <w:pPr>
              <w:pStyle w:val="KonuBal"/>
            </w:pPr>
            <w:r w:rsidRPr="00D53A2B">
              <w:t>Toz</w:t>
            </w:r>
          </w:p>
        </w:tc>
        <w:tc>
          <w:tcPr>
            <w:tcW w:w="1417" w:type="dxa"/>
          </w:tcPr>
          <w:p w14:paraId="203072A7" w14:textId="77777777" w:rsidR="00E8031A" w:rsidRPr="00D53A2B" w:rsidRDefault="00E8031A" w:rsidP="004B0D48">
            <w:pPr>
              <w:pStyle w:val="KonuBal"/>
            </w:pPr>
            <w:r w:rsidRPr="00D53A2B">
              <w:t>mg/Nm</w:t>
            </w:r>
            <w:r w:rsidRPr="00D53A2B">
              <w:rPr>
                <w:vertAlign w:val="superscript"/>
              </w:rPr>
              <w:t>3</w:t>
            </w:r>
          </w:p>
        </w:tc>
        <w:tc>
          <w:tcPr>
            <w:tcW w:w="6095" w:type="dxa"/>
            <w:vAlign w:val="bottom"/>
          </w:tcPr>
          <w:p w14:paraId="7DAB39B8" w14:textId="5051DB39" w:rsidR="00E8031A" w:rsidRPr="00D53A2B" w:rsidRDefault="00E8031A" w:rsidP="00E73DA3">
            <w:pPr>
              <w:pStyle w:val="KonuBal"/>
            </w:pPr>
            <w:r w:rsidRPr="00D53A2B">
              <w:t>&lt;2-10</w:t>
            </w:r>
          </w:p>
        </w:tc>
      </w:tr>
      <w:tr w:rsidR="00E8031A" w:rsidRPr="00D53A2B" w14:paraId="53217CB8" w14:textId="77777777" w:rsidTr="00C86A85">
        <w:tc>
          <w:tcPr>
            <w:tcW w:w="8930" w:type="dxa"/>
            <w:gridSpan w:val="3"/>
          </w:tcPr>
          <w:p w14:paraId="7536D1F4" w14:textId="14C3D08A" w:rsidR="00E8031A" w:rsidRPr="00D53A2B" w:rsidRDefault="00E8031A" w:rsidP="004B0D48">
            <w:pPr>
              <w:pStyle w:val="KonuBal"/>
            </w:pPr>
            <w:r w:rsidRPr="00D53A2B">
              <w:t>(</w:t>
            </w:r>
            <w:r w:rsidRPr="00D53A2B">
              <w:rPr>
                <w:vertAlign w:val="superscript"/>
              </w:rPr>
              <w:t>1</w:t>
            </w:r>
            <w:r w:rsidRPr="00D53A2B">
              <w:t>) Püskürtme kavurma</w:t>
            </w:r>
            <w:r w:rsidR="00B875DD" w:rsidRPr="00D53A2B">
              <w:t>sı</w:t>
            </w:r>
            <w:r w:rsidRPr="00D53A2B">
              <w:t xml:space="preserve"> ile karışık asit geri kazanımı durumunda </w:t>
            </w:r>
            <w:r w:rsidR="00651500" w:rsidRPr="00D53A2B">
              <w:t>MET-İES</w:t>
            </w:r>
            <w:r w:rsidRPr="00D53A2B">
              <w:t xml:space="preserve"> aralığının üst ucu daha yüksek olabilir ve 200 mg/Nm3</w:t>
            </w:r>
            <w:r w:rsidR="00E56504" w:rsidRPr="00D53A2B">
              <w:t>’</w:t>
            </w:r>
            <w:r w:rsidRPr="00D53A2B">
              <w:t>e kadar çıkabilir.</w:t>
            </w:r>
          </w:p>
        </w:tc>
      </w:tr>
    </w:tbl>
    <w:p w14:paraId="1BD03D97" w14:textId="77777777" w:rsidR="0071694E" w:rsidRPr="00D53A2B" w:rsidRDefault="0071694E" w:rsidP="00A202FD">
      <w:pPr>
        <w:jc w:val="both"/>
        <w:rPr>
          <w:rFonts w:eastAsia="Calibri"/>
          <w:lang w:eastAsia="en-US"/>
        </w:rPr>
      </w:pPr>
    </w:p>
    <w:p w14:paraId="102FAE00" w14:textId="7B8541FC" w:rsidR="00F90757" w:rsidRPr="00D53A2B" w:rsidRDefault="00F90757"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3E447DC6" w14:textId="77777777" w:rsidR="00204CE2" w:rsidRPr="00D53A2B" w:rsidRDefault="00204CE2" w:rsidP="00A202FD">
      <w:pPr>
        <w:jc w:val="both"/>
        <w:rPr>
          <w:rFonts w:eastAsia="Calibri"/>
          <w:lang w:eastAsia="en-US"/>
        </w:rPr>
      </w:pPr>
    </w:p>
    <w:p w14:paraId="0152A2C4" w14:textId="53EB1061" w:rsidR="00204CE2" w:rsidRPr="00D53A2B" w:rsidRDefault="00816D19" w:rsidP="00A202FD">
      <w:pPr>
        <w:pStyle w:val="Balk3"/>
        <w:rPr>
          <w:rFonts w:eastAsia="Calibri" w:cs="Times New Roman"/>
          <w:lang w:eastAsia="en-US"/>
        </w:rPr>
      </w:pPr>
      <w:r w:rsidRPr="00D53A2B">
        <w:rPr>
          <w:rFonts w:eastAsia="Calibri" w:cs="Times New Roman"/>
          <w:lang w:eastAsia="en-US"/>
        </w:rPr>
        <w:t>1.1</w:t>
      </w:r>
      <w:r w:rsidR="00F90757" w:rsidRPr="00D53A2B">
        <w:rPr>
          <w:rFonts w:eastAsia="Calibri" w:cs="Times New Roman"/>
          <w:lang w:eastAsia="en-US"/>
        </w:rPr>
        <w:t>.8. Su emisyonları</w:t>
      </w:r>
    </w:p>
    <w:p w14:paraId="0BACA513" w14:textId="0FA8F900" w:rsidR="00F90757" w:rsidRPr="00D53A2B" w:rsidRDefault="00F90757" w:rsidP="00A202FD">
      <w:pPr>
        <w:pStyle w:val="MET"/>
        <w:rPr>
          <w:rFonts w:eastAsia="Calibri"/>
          <w:szCs w:val="24"/>
        </w:rPr>
      </w:pPr>
      <w:r w:rsidRPr="00D53A2B">
        <w:rPr>
          <w:rFonts w:eastAsia="Calibri"/>
          <w:szCs w:val="24"/>
        </w:rPr>
        <w:t xml:space="preserve">MET 30: </w:t>
      </w:r>
      <w:r w:rsidRPr="00D53A2B">
        <w:rPr>
          <w:rFonts w:eastAsia="Calibri"/>
          <w:b w:val="0"/>
          <w:bCs/>
          <w:szCs w:val="24"/>
        </w:rPr>
        <w:t xml:space="preserve">Yağ veya gresle kirlenmiş (örneğin yağ sızıntılarından veya haddeleme ve temperleme emülsiyonlarının, yağ çözücü çözeltilerin ve tel çekme yağlayıcılarının temizlenmesinden kaynaklanan) ve ileri arıtmaya gönderilen sudaki organik kirleticilerin yükünü azaltmak için (bkz. </w:t>
      </w:r>
      <w:r w:rsidR="00B875DD" w:rsidRPr="00D53A2B">
        <w:rPr>
          <w:rFonts w:eastAsia="Calibri"/>
          <w:b w:val="0"/>
          <w:bCs/>
          <w:szCs w:val="24"/>
        </w:rPr>
        <w:t>MET</w:t>
      </w:r>
      <w:r w:rsidRPr="00D53A2B">
        <w:rPr>
          <w:rFonts w:eastAsia="Calibri"/>
          <w:b w:val="0"/>
          <w:bCs/>
          <w:szCs w:val="24"/>
        </w:rPr>
        <w:t xml:space="preserve"> 31), organik ve sulu fazı ayrılır.</w:t>
      </w:r>
    </w:p>
    <w:p w14:paraId="7A1E6173" w14:textId="77777777" w:rsidR="00F90757" w:rsidRPr="00D53A2B" w:rsidRDefault="00F90757" w:rsidP="00A202FD">
      <w:pPr>
        <w:jc w:val="both"/>
        <w:rPr>
          <w:rFonts w:eastAsia="Calibri"/>
          <w:lang w:eastAsia="en-US"/>
        </w:rPr>
      </w:pPr>
    </w:p>
    <w:p w14:paraId="201C4A4C" w14:textId="0DA284EC" w:rsidR="00F90757" w:rsidRPr="00D53A2B" w:rsidRDefault="002D1F57" w:rsidP="00A202FD">
      <w:pPr>
        <w:jc w:val="both"/>
        <w:rPr>
          <w:rFonts w:eastAsia="Calibri"/>
          <w:b/>
          <w:bCs/>
          <w:lang w:eastAsia="en-US"/>
        </w:rPr>
      </w:pPr>
      <w:r w:rsidRPr="00D53A2B">
        <w:rPr>
          <w:rFonts w:eastAsia="Calibri"/>
          <w:b/>
          <w:bCs/>
          <w:lang w:eastAsia="en-US"/>
        </w:rPr>
        <w:t>Tanımlama</w:t>
      </w:r>
    </w:p>
    <w:p w14:paraId="54DED4FE" w14:textId="5EE1F1AC" w:rsidR="00F90757" w:rsidRPr="00D53A2B" w:rsidRDefault="002D1F57" w:rsidP="00A202FD">
      <w:pPr>
        <w:jc w:val="both"/>
        <w:rPr>
          <w:rFonts w:eastAsia="Calibri"/>
          <w:lang w:eastAsia="en-US"/>
        </w:rPr>
      </w:pPr>
      <w:r w:rsidRPr="00D53A2B">
        <w:rPr>
          <w:rFonts w:eastAsia="Calibri"/>
          <w:lang w:eastAsia="en-US"/>
        </w:rPr>
        <w:t>Organik faz, sulu fazdan, örneğin, uygun ajanlarla köpük alma veya emülsiyon ayırma, buharlaştırma veya membran filtrasyonu yoluyla ayrılır. Organik faz, enerji veya malzeme geri kazanımı için kullanılabilir (örneğin, MET 34 (f)</w:t>
      </w:r>
      <w:r w:rsidR="00E56504" w:rsidRPr="00D53A2B">
        <w:rPr>
          <w:rFonts w:eastAsia="Calibri"/>
          <w:lang w:eastAsia="en-US"/>
        </w:rPr>
        <w:t>’</w:t>
      </w:r>
      <w:r w:rsidRPr="00D53A2B">
        <w:rPr>
          <w:rFonts w:eastAsia="Calibri"/>
          <w:lang w:eastAsia="en-US"/>
        </w:rPr>
        <w:t>ye bakınız).</w:t>
      </w:r>
    </w:p>
    <w:p w14:paraId="233D2DE0" w14:textId="77777777" w:rsidR="00204CE2" w:rsidRPr="00D53A2B" w:rsidRDefault="00204CE2" w:rsidP="00A202FD">
      <w:pPr>
        <w:jc w:val="both"/>
        <w:rPr>
          <w:rFonts w:eastAsia="Calibri"/>
          <w:lang w:eastAsia="en-US"/>
        </w:rPr>
      </w:pPr>
    </w:p>
    <w:p w14:paraId="63176FDC" w14:textId="1F5A7F43" w:rsidR="002D1F57" w:rsidRPr="00D53A2B" w:rsidRDefault="002D1F57" w:rsidP="00A202FD">
      <w:pPr>
        <w:pStyle w:val="MET"/>
        <w:rPr>
          <w:rFonts w:eastAsia="Calibri"/>
          <w:szCs w:val="24"/>
        </w:rPr>
      </w:pPr>
      <w:r w:rsidRPr="00D53A2B">
        <w:rPr>
          <w:rFonts w:eastAsia="Calibri"/>
          <w:szCs w:val="24"/>
        </w:rPr>
        <w:t xml:space="preserve">MET 31: </w:t>
      </w:r>
      <w:r w:rsidRPr="00D53A2B">
        <w:rPr>
          <w:rFonts w:eastAsia="Calibri"/>
          <w:b w:val="0"/>
          <w:bCs/>
          <w:szCs w:val="24"/>
        </w:rPr>
        <w:t>Suya verilen emisyonları azaltmak için aşağıda verilen tekniklerin bir kombinasyonunu kullanarak atıksu arıtılır.</w:t>
      </w:r>
    </w:p>
    <w:p w14:paraId="359822B5" w14:textId="77777777" w:rsidR="002D1F57" w:rsidRPr="00D53A2B" w:rsidRDefault="002D1F57"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3828"/>
        <w:gridCol w:w="4677"/>
      </w:tblGrid>
      <w:tr w:rsidR="002D1F57" w:rsidRPr="00D53A2B" w14:paraId="04A6E40C" w14:textId="77777777" w:rsidTr="002D1F57">
        <w:tc>
          <w:tcPr>
            <w:tcW w:w="4253" w:type="dxa"/>
            <w:gridSpan w:val="2"/>
          </w:tcPr>
          <w:p w14:paraId="596587C5" w14:textId="5F549B27" w:rsidR="002D1F57" w:rsidRPr="00D53A2B" w:rsidRDefault="002D1F57" w:rsidP="004B0D48">
            <w:pPr>
              <w:pStyle w:val="KonuBal"/>
            </w:pPr>
            <w:r w:rsidRPr="00D53A2B">
              <w:t>Teknik (</w:t>
            </w:r>
            <w:r w:rsidRPr="00D53A2B">
              <w:rPr>
                <w:vertAlign w:val="superscript"/>
              </w:rPr>
              <w:t>1</w:t>
            </w:r>
            <w:r w:rsidRPr="00D53A2B">
              <w:t>)</w:t>
            </w:r>
          </w:p>
        </w:tc>
        <w:tc>
          <w:tcPr>
            <w:tcW w:w="4677" w:type="dxa"/>
          </w:tcPr>
          <w:p w14:paraId="271663E3" w14:textId="537C9CEF" w:rsidR="002D1F57" w:rsidRPr="00D53A2B" w:rsidRDefault="002D1F57" w:rsidP="004B0D48">
            <w:pPr>
              <w:pStyle w:val="KonuBal"/>
            </w:pPr>
            <w:r w:rsidRPr="00D53A2B">
              <w:t>Hedeflenen tipik kirleticiler</w:t>
            </w:r>
          </w:p>
        </w:tc>
      </w:tr>
      <w:tr w:rsidR="002D1F57" w:rsidRPr="00D53A2B" w14:paraId="40442C9B" w14:textId="77777777" w:rsidTr="00A202FD">
        <w:tc>
          <w:tcPr>
            <w:tcW w:w="8930" w:type="dxa"/>
            <w:gridSpan w:val="3"/>
          </w:tcPr>
          <w:p w14:paraId="1866F14F" w14:textId="20E97669" w:rsidR="002D1F57" w:rsidRPr="00D53A2B" w:rsidRDefault="002D1F57" w:rsidP="004B0D48">
            <w:pPr>
              <w:pStyle w:val="KonuBal"/>
            </w:pPr>
            <w:r w:rsidRPr="00D53A2B">
              <w:t>Örneğin ön, birincil, genel arıtma</w:t>
            </w:r>
          </w:p>
        </w:tc>
      </w:tr>
      <w:tr w:rsidR="002D1F57" w:rsidRPr="00D53A2B" w14:paraId="6C038C18" w14:textId="77777777" w:rsidTr="002D1F57">
        <w:tc>
          <w:tcPr>
            <w:tcW w:w="425" w:type="dxa"/>
            <w:vAlign w:val="center"/>
          </w:tcPr>
          <w:p w14:paraId="23301A6D" w14:textId="77777777" w:rsidR="002D1F57" w:rsidRPr="00D53A2B" w:rsidRDefault="002D1F57" w:rsidP="004B0D48">
            <w:pPr>
              <w:pStyle w:val="KonuBal"/>
            </w:pPr>
            <w:r w:rsidRPr="00D53A2B">
              <w:t>a.</w:t>
            </w:r>
          </w:p>
        </w:tc>
        <w:tc>
          <w:tcPr>
            <w:tcW w:w="3828" w:type="dxa"/>
            <w:vAlign w:val="center"/>
          </w:tcPr>
          <w:p w14:paraId="07729EF8" w14:textId="7EFEB484" w:rsidR="002D1F57" w:rsidRPr="00D53A2B" w:rsidRDefault="002D1F57" w:rsidP="004B0D48">
            <w:pPr>
              <w:pStyle w:val="KonuBal"/>
            </w:pPr>
            <w:r w:rsidRPr="00D53A2B">
              <w:t>Dengeleme</w:t>
            </w:r>
          </w:p>
        </w:tc>
        <w:tc>
          <w:tcPr>
            <w:tcW w:w="4677" w:type="dxa"/>
            <w:vAlign w:val="center"/>
          </w:tcPr>
          <w:p w14:paraId="53493BA0" w14:textId="3EDA67A4" w:rsidR="002D1F57" w:rsidRPr="00D53A2B" w:rsidRDefault="002D1F57" w:rsidP="00A202FD">
            <w:pPr>
              <w:pStyle w:val="ListeParagraf"/>
              <w:numPr>
                <w:ilvl w:val="0"/>
                <w:numId w:val="0"/>
              </w:numPr>
              <w:tabs>
                <w:tab w:val="clear" w:pos="567"/>
              </w:tabs>
              <w:spacing w:line="240" w:lineRule="auto"/>
              <w:ind w:left="37"/>
              <w:rPr>
                <w:rFonts w:eastAsia="Calibri"/>
              </w:rPr>
            </w:pPr>
            <w:r w:rsidRPr="00D53A2B">
              <w:rPr>
                <w:rFonts w:eastAsia="Calibri"/>
                <w:position w:val="0"/>
              </w:rPr>
              <w:t>Tüm kirleticiler</w:t>
            </w:r>
          </w:p>
        </w:tc>
      </w:tr>
      <w:tr w:rsidR="002D1F57" w:rsidRPr="00D53A2B" w14:paraId="42ADFB6A" w14:textId="77777777" w:rsidTr="002D1F57">
        <w:tc>
          <w:tcPr>
            <w:tcW w:w="425" w:type="dxa"/>
            <w:vAlign w:val="center"/>
          </w:tcPr>
          <w:p w14:paraId="5F2267F5" w14:textId="77777777" w:rsidR="002D1F57" w:rsidRPr="00D53A2B" w:rsidRDefault="002D1F57" w:rsidP="004B0D48">
            <w:pPr>
              <w:pStyle w:val="KonuBal"/>
            </w:pPr>
            <w:r w:rsidRPr="00D53A2B">
              <w:t>b.</w:t>
            </w:r>
          </w:p>
        </w:tc>
        <w:tc>
          <w:tcPr>
            <w:tcW w:w="3828" w:type="dxa"/>
            <w:vAlign w:val="center"/>
          </w:tcPr>
          <w:p w14:paraId="45FB09EE" w14:textId="626D04FD" w:rsidR="002D1F57" w:rsidRPr="00D53A2B" w:rsidRDefault="002D1F57" w:rsidP="004B0D48">
            <w:pPr>
              <w:pStyle w:val="KonuBal"/>
            </w:pPr>
            <w:r w:rsidRPr="00D53A2B">
              <w:t>Nötralizasyon</w:t>
            </w:r>
          </w:p>
        </w:tc>
        <w:tc>
          <w:tcPr>
            <w:tcW w:w="4677" w:type="dxa"/>
            <w:vAlign w:val="center"/>
          </w:tcPr>
          <w:p w14:paraId="2DB084EA" w14:textId="742A4BDC" w:rsidR="002D1F57" w:rsidRPr="00D53A2B" w:rsidRDefault="002D1F57" w:rsidP="00A202FD">
            <w:pPr>
              <w:pStyle w:val="ListeParagraf"/>
              <w:numPr>
                <w:ilvl w:val="0"/>
                <w:numId w:val="0"/>
              </w:numPr>
              <w:tabs>
                <w:tab w:val="clear" w:pos="567"/>
              </w:tabs>
              <w:spacing w:line="240" w:lineRule="auto"/>
              <w:ind w:left="37"/>
              <w:rPr>
                <w:rFonts w:eastAsia="Calibri"/>
                <w:position w:val="0"/>
              </w:rPr>
            </w:pPr>
            <w:r w:rsidRPr="00D53A2B">
              <w:rPr>
                <w:rFonts w:eastAsia="Calibri"/>
              </w:rPr>
              <w:t>Asitler ve alkaliler</w:t>
            </w:r>
          </w:p>
        </w:tc>
      </w:tr>
      <w:tr w:rsidR="002D1F57" w:rsidRPr="00D53A2B" w14:paraId="00E5B687" w14:textId="77777777" w:rsidTr="002D1F57">
        <w:tc>
          <w:tcPr>
            <w:tcW w:w="425" w:type="dxa"/>
            <w:vAlign w:val="center"/>
          </w:tcPr>
          <w:p w14:paraId="2792DE63" w14:textId="77777777" w:rsidR="002D1F57" w:rsidRPr="00D53A2B" w:rsidRDefault="002D1F57" w:rsidP="004B0D48">
            <w:pPr>
              <w:pStyle w:val="KonuBal"/>
            </w:pPr>
            <w:r w:rsidRPr="00D53A2B">
              <w:t>c.</w:t>
            </w:r>
          </w:p>
        </w:tc>
        <w:tc>
          <w:tcPr>
            <w:tcW w:w="3828" w:type="dxa"/>
            <w:vAlign w:val="center"/>
          </w:tcPr>
          <w:p w14:paraId="486A3D61" w14:textId="0A03D1F2" w:rsidR="002D1F57" w:rsidRPr="00D53A2B" w:rsidRDefault="002D1F57" w:rsidP="00A202FD">
            <w:pPr>
              <w:jc w:val="both"/>
              <w:rPr>
                <w:rFonts w:eastAsia="Calibri"/>
                <w:sz w:val="22"/>
                <w:szCs w:val="22"/>
                <w:lang w:eastAsia="en-US"/>
              </w:rPr>
            </w:pPr>
            <w:r w:rsidRPr="00D53A2B">
              <w:rPr>
                <w:rFonts w:eastAsia="Calibri"/>
                <w:sz w:val="22"/>
                <w:szCs w:val="22"/>
                <w:lang w:eastAsia="en-US"/>
              </w:rPr>
              <w:t xml:space="preserve">Fiziksel ayırma, örneğin </w:t>
            </w:r>
            <w:r w:rsidR="00FD3E36" w:rsidRPr="00D53A2B">
              <w:rPr>
                <w:rFonts w:eastAsia="Calibri"/>
                <w:sz w:val="22"/>
                <w:szCs w:val="22"/>
                <w:lang w:eastAsia="en-US"/>
              </w:rPr>
              <w:t>ızgara</w:t>
            </w:r>
            <w:r w:rsidRPr="00D53A2B">
              <w:rPr>
                <w:rFonts w:eastAsia="Calibri"/>
                <w:sz w:val="22"/>
                <w:szCs w:val="22"/>
                <w:lang w:eastAsia="en-US"/>
              </w:rPr>
              <w:t>l</w:t>
            </w:r>
            <w:r w:rsidR="00FD3E36" w:rsidRPr="00D53A2B">
              <w:rPr>
                <w:rFonts w:eastAsia="Calibri"/>
                <w:sz w:val="22"/>
                <w:szCs w:val="22"/>
                <w:lang w:eastAsia="en-US"/>
              </w:rPr>
              <w:t>a</w:t>
            </w:r>
            <w:r w:rsidRPr="00D53A2B">
              <w:rPr>
                <w:rFonts w:eastAsia="Calibri"/>
                <w:sz w:val="22"/>
                <w:szCs w:val="22"/>
                <w:lang w:eastAsia="en-US"/>
              </w:rPr>
              <w:t xml:space="preserve">r, elekler, kum </w:t>
            </w:r>
            <w:r w:rsidR="008D07F8">
              <w:rPr>
                <w:rFonts w:eastAsia="Calibri"/>
                <w:sz w:val="22"/>
                <w:szCs w:val="22"/>
                <w:lang w:eastAsia="en-US"/>
              </w:rPr>
              <w:t>tutucu</w:t>
            </w:r>
            <w:r w:rsidRPr="00D53A2B">
              <w:rPr>
                <w:rFonts w:eastAsia="Calibri"/>
                <w:sz w:val="22"/>
                <w:szCs w:val="22"/>
                <w:lang w:eastAsia="en-US"/>
              </w:rPr>
              <w:t xml:space="preserve">lar, gres ayırıcılar, </w:t>
            </w:r>
            <w:r w:rsidRPr="00D53A2B">
              <w:rPr>
                <w:rFonts w:eastAsia="Calibri"/>
                <w:sz w:val="22"/>
                <w:szCs w:val="22"/>
                <w:lang w:eastAsia="en-US"/>
              </w:rPr>
              <w:lastRenderedPageBreak/>
              <w:t xml:space="preserve">hidrosiklonlar, yağ-su ayırma veya </w:t>
            </w:r>
            <w:r w:rsidR="00FD3E36" w:rsidRPr="00D53A2B">
              <w:rPr>
                <w:rFonts w:eastAsia="Calibri"/>
                <w:sz w:val="22"/>
                <w:szCs w:val="22"/>
                <w:lang w:eastAsia="en-US"/>
              </w:rPr>
              <w:t xml:space="preserve">ön </w:t>
            </w:r>
            <w:r w:rsidRPr="00D53A2B">
              <w:rPr>
                <w:rFonts w:eastAsia="Calibri"/>
                <w:sz w:val="22"/>
                <w:szCs w:val="22"/>
                <w:lang w:eastAsia="en-US"/>
              </w:rPr>
              <w:t>çökelme tankları.</w:t>
            </w:r>
          </w:p>
        </w:tc>
        <w:tc>
          <w:tcPr>
            <w:tcW w:w="4677" w:type="dxa"/>
          </w:tcPr>
          <w:p w14:paraId="2EC17BAB" w14:textId="06391FDF" w:rsidR="002D1F57" w:rsidRPr="00D53A2B" w:rsidRDefault="00FD3E36" w:rsidP="00A202FD">
            <w:pPr>
              <w:jc w:val="both"/>
              <w:rPr>
                <w:sz w:val="22"/>
                <w:szCs w:val="22"/>
                <w:lang w:val="en-US" w:eastAsia="en-US"/>
              </w:rPr>
            </w:pPr>
            <w:r w:rsidRPr="00D53A2B">
              <w:rPr>
                <w:rFonts w:eastAsia="Calibri"/>
                <w:sz w:val="22"/>
                <w:szCs w:val="22"/>
                <w:lang w:eastAsia="en-US"/>
              </w:rPr>
              <w:lastRenderedPageBreak/>
              <w:t>Brüt katı maddeler, askıda katı maddeler, yağ/gres</w:t>
            </w:r>
          </w:p>
        </w:tc>
      </w:tr>
      <w:tr w:rsidR="00FD3E36" w:rsidRPr="00D53A2B" w14:paraId="5FDFBAD4" w14:textId="77777777" w:rsidTr="00A202FD">
        <w:tc>
          <w:tcPr>
            <w:tcW w:w="8930" w:type="dxa"/>
            <w:gridSpan w:val="3"/>
            <w:vAlign w:val="center"/>
          </w:tcPr>
          <w:p w14:paraId="65EA12CA" w14:textId="38EBA42E" w:rsidR="00FD3E36" w:rsidRPr="00D53A2B" w:rsidRDefault="00FD3E36" w:rsidP="00A202FD">
            <w:pPr>
              <w:jc w:val="both"/>
              <w:rPr>
                <w:rFonts w:eastAsia="Calibri"/>
                <w:sz w:val="22"/>
                <w:szCs w:val="22"/>
                <w:lang w:eastAsia="en-US"/>
              </w:rPr>
            </w:pPr>
            <w:r w:rsidRPr="00D53A2B">
              <w:rPr>
                <w:rFonts w:eastAsia="Calibri"/>
                <w:sz w:val="22"/>
                <w:szCs w:val="22"/>
                <w:lang w:eastAsia="en-US"/>
              </w:rPr>
              <w:t>Örneğin fiziksel, kimyasal arıtma</w:t>
            </w:r>
          </w:p>
        </w:tc>
      </w:tr>
      <w:tr w:rsidR="002D1F57" w:rsidRPr="00D53A2B" w14:paraId="4B1BDD63" w14:textId="77777777" w:rsidTr="002D1F57">
        <w:tc>
          <w:tcPr>
            <w:tcW w:w="425" w:type="dxa"/>
            <w:vAlign w:val="center"/>
          </w:tcPr>
          <w:p w14:paraId="0797FB97" w14:textId="77777777" w:rsidR="002D1F57" w:rsidRPr="00D53A2B" w:rsidRDefault="002D1F57" w:rsidP="004B0D48">
            <w:pPr>
              <w:pStyle w:val="KonuBal"/>
            </w:pPr>
            <w:r w:rsidRPr="00D53A2B">
              <w:t>d.</w:t>
            </w:r>
          </w:p>
        </w:tc>
        <w:tc>
          <w:tcPr>
            <w:tcW w:w="3828" w:type="dxa"/>
            <w:vAlign w:val="center"/>
          </w:tcPr>
          <w:p w14:paraId="6C9B7937" w14:textId="1749E989" w:rsidR="002D1F57" w:rsidRPr="00D53A2B" w:rsidRDefault="00FD3E36" w:rsidP="00A202FD">
            <w:pPr>
              <w:jc w:val="both"/>
              <w:rPr>
                <w:rFonts w:eastAsia="Calibri"/>
                <w:sz w:val="22"/>
                <w:szCs w:val="22"/>
                <w:lang w:eastAsia="en-US"/>
              </w:rPr>
            </w:pPr>
            <w:r w:rsidRPr="00D53A2B">
              <w:rPr>
                <w:rFonts w:eastAsia="Calibri"/>
                <w:sz w:val="22"/>
                <w:szCs w:val="22"/>
                <w:lang w:eastAsia="en-US"/>
              </w:rPr>
              <w:t>Adsorpsiyon</w:t>
            </w:r>
          </w:p>
        </w:tc>
        <w:tc>
          <w:tcPr>
            <w:tcW w:w="4677" w:type="dxa"/>
          </w:tcPr>
          <w:p w14:paraId="6BE6D0A2" w14:textId="0D0FEBBC" w:rsidR="002D1F57" w:rsidRPr="00D53A2B" w:rsidRDefault="00FD3E36" w:rsidP="00A202FD">
            <w:pPr>
              <w:jc w:val="both"/>
              <w:rPr>
                <w:sz w:val="22"/>
                <w:szCs w:val="22"/>
                <w:lang w:val="en-US" w:eastAsia="en-US"/>
              </w:rPr>
            </w:pPr>
            <w:r w:rsidRPr="00D53A2B">
              <w:rPr>
                <w:rFonts w:eastAsia="Calibri"/>
                <w:spacing w:val="2"/>
                <w:sz w:val="22"/>
                <w:szCs w:val="22"/>
                <w:lang w:val="en-US" w:eastAsia="en-US"/>
              </w:rPr>
              <w:t>Adsorbe edilebilen çözünmüş biyolojik olarak parçalanmayan veya inhibe edici kirleticiler, örneğin hidrokarbonlar, cıva.</w:t>
            </w:r>
          </w:p>
        </w:tc>
      </w:tr>
      <w:tr w:rsidR="002D1F57" w:rsidRPr="00D53A2B" w14:paraId="743317FF" w14:textId="77777777" w:rsidTr="002D1F57">
        <w:tc>
          <w:tcPr>
            <w:tcW w:w="425" w:type="dxa"/>
            <w:vAlign w:val="center"/>
          </w:tcPr>
          <w:p w14:paraId="07090984" w14:textId="77777777" w:rsidR="002D1F57" w:rsidRPr="00D53A2B" w:rsidRDefault="002D1F57" w:rsidP="004B0D48">
            <w:pPr>
              <w:pStyle w:val="KonuBal"/>
            </w:pPr>
            <w:r w:rsidRPr="00D53A2B">
              <w:t xml:space="preserve">e. </w:t>
            </w:r>
          </w:p>
        </w:tc>
        <w:tc>
          <w:tcPr>
            <w:tcW w:w="3828" w:type="dxa"/>
            <w:vAlign w:val="center"/>
          </w:tcPr>
          <w:p w14:paraId="00BECBAC" w14:textId="12845B20" w:rsidR="002D1F57" w:rsidRPr="00D53A2B" w:rsidRDefault="00FD3E36" w:rsidP="00A202FD">
            <w:pPr>
              <w:jc w:val="both"/>
              <w:rPr>
                <w:rFonts w:eastAsia="Calibri"/>
                <w:sz w:val="22"/>
                <w:szCs w:val="22"/>
                <w:lang w:eastAsia="en-US"/>
              </w:rPr>
            </w:pPr>
            <w:r w:rsidRPr="00D53A2B">
              <w:rPr>
                <w:rFonts w:eastAsia="Calibri"/>
                <w:sz w:val="22"/>
                <w:szCs w:val="22"/>
                <w:lang w:eastAsia="en-US"/>
              </w:rPr>
              <w:t>Kimyasal çöktürme</w:t>
            </w:r>
          </w:p>
        </w:tc>
        <w:tc>
          <w:tcPr>
            <w:tcW w:w="4677" w:type="dxa"/>
          </w:tcPr>
          <w:p w14:paraId="14FEE4D8" w14:textId="3FE15198" w:rsidR="002D1F57" w:rsidRPr="00D53A2B" w:rsidRDefault="00FD3E36" w:rsidP="004B0D48">
            <w:pPr>
              <w:pStyle w:val="KonuBal"/>
            </w:pPr>
            <w:r w:rsidRPr="00D53A2B">
              <w:t xml:space="preserve">Çökebilen çözünmüş biyolojik olarak parçalanmayan veya engelleyici kirleticiler, örneğin metaller, fosfor, florür. </w:t>
            </w:r>
          </w:p>
        </w:tc>
      </w:tr>
      <w:tr w:rsidR="002D1F57" w:rsidRPr="00D53A2B" w14:paraId="741EC982" w14:textId="77777777" w:rsidTr="002D1F57">
        <w:tc>
          <w:tcPr>
            <w:tcW w:w="425" w:type="dxa"/>
            <w:vAlign w:val="center"/>
          </w:tcPr>
          <w:p w14:paraId="672C9505" w14:textId="77777777" w:rsidR="002D1F57" w:rsidRPr="00D53A2B" w:rsidRDefault="002D1F57" w:rsidP="004B0D48">
            <w:pPr>
              <w:pStyle w:val="KonuBal"/>
            </w:pPr>
            <w:r w:rsidRPr="00D53A2B">
              <w:t>f.</w:t>
            </w:r>
          </w:p>
        </w:tc>
        <w:tc>
          <w:tcPr>
            <w:tcW w:w="3828" w:type="dxa"/>
            <w:vAlign w:val="center"/>
          </w:tcPr>
          <w:p w14:paraId="345DE152" w14:textId="7C2F33AF" w:rsidR="002D1F57" w:rsidRPr="00D53A2B" w:rsidRDefault="00FD3E36" w:rsidP="00A202FD">
            <w:pPr>
              <w:jc w:val="both"/>
              <w:rPr>
                <w:rFonts w:eastAsia="Calibri"/>
                <w:sz w:val="22"/>
                <w:szCs w:val="22"/>
                <w:lang w:eastAsia="en-US"/>
              </w:rPr>
            </w:pPr>
            <w:r w:rsidRPr="00D53A2B">
              <w:rPr>
                <w:rFonts w:eastAsia="Calibri"/>
                <w:sz w:val="22"/>
                <w:szCs w:val="22"/>
                <w:lang w:eastAsia="en-US"/>
              </w:rPr>
              <w:t>Kimyasal indirgeme</w:t>
            </w:r>
          </w:p>
        </w:tc>
        <w:tc>
          <w:tcPr>
            <w:tcW w:w="4677" w:type="dxa"/>
            <w:vAlign w:val="center"/>
          </w:tcPr>
          <w:p w14:paraId="1099CDF9" w14:textId="20AC91EF" w:rsidR="002D1F57" w:rsidRPr="00D53A2B" w:rsidRDefault="00FD3E36" w:rsidP="004B0D48">
            <w:pPr>
              <w:pStyle w:val="KonuBal"/>
            </w:pPr>
            <w:r w:rsidRPr="00D53A2B">
              <w:t>İndirgenebilir çözünmüş biyolojik olarak parçalanmayan veya engelleyici kirleticiler, örneğin altı değerlikli krom.</w:t>
            </w:r>
          </w:p>
        </w:tc>
      </w:tr>
      <w:tr w:rsidR="00B309AF" w:rsidRPr="00D53A2B" w14:paraId="387EB525" w14:textId="77777777" w:rsidTr="002D1F57">
        <w:tc>
          <w:tcPr>
            <w:tcW w:w="425" w:type="dxa"/>
            <w:vAlign w:val="center"/>
          </w:tcPr>
          <w:p w14:paraId="61965264" w14:textId="1D37D176" w:rsidR="00B309AF" w:rsidRPr="00D53A2B" w:rsidRDefault="00B309AF" w:rsidP="004B0D48">
            <w:pPr>
              <w:pStyle w:val="KonuBal"/>
            </w:pPr>
            <w:r w:rsidRPr="00D53A2B">
              <w:t>g.</w:t>
            </w:r>
          </w:p>
        </w:tc>
        <w:tc>
          <w:tcPr>
            <w:tcW w:w="3828" w:type="dxa"/>
            <w:vAlign w:val="center"/>
          </w:tcPr>
          <w:p w14:paraId="5EE3B0F3" w14:textId="15F19E6F" w:rsidR="00B309AF" w:rsidRPr="00D53A2B" w:rsidRDefault="00B309AF" w:rsidP="00A202FD">
            <w:pPr>
              <w:jc w:val="both"/>
              <w:rPr>
                <w:rFonts w:eastAsia="Calibri"/>
                <w:sz w:val="22"/>
                <w:szCs w:val="22"/>
                <w:lang w:eastAsia="en-US"/>
              </w:rPr>
            </w:pPr>
            <w:r w:rsidRPr="00D53A2B">
              <w:rPr>
                <w:rFonts w:eastAsia="Calibri"/>
                <w:sz w:val="22"/>
                <w:szCs w:val="22"/>
                <w:lang w:eastAsia="en-US"/>
              </w:rPr>
              <w:t>Nanofiltrasyon/ters osmos</w:t>
            </w:r>
          </w:p>
        </w:tc>
        <w:tc>
          <w:tcPr>
            <w:tcW w:w="4677" w:type="dxa"/>
            <w:vAlign w:val="center"/>
          </w:tcPr>
          <w:p w14:paraId="60084653" w14:textId="27E21641" w:rsidR="00B309AF" w:rsidRPr="00D53A2B" w:rsidRDefault="00B309AF" w:rsidP="004B0D48">
            <w:pPr>
              <w:pStyle w:val="KonuBal"/>
            </w:pPr>
            <w:r w:rsidRPr="00D53A2B">
              <w:t>Çözünebilir, biyolojik olarak parçalanmayan veya engelleyici kirleticiler, örneğin tuzlar, metaller.</w:t>
            </w:r>
          </w:p>
        </w:tc>
      </w:tr>
      <w:tr w:rsidR="00B309AF" w:rsidRPr="00D53A2B" w14:paraId="1C00C19B" w14:textId="77777777" w:rsidTr="00A202FD">
        <w:tc>
          <w:tcPr>
            <w:tcW w:w="8930" w:type="dxa"/>
            <w:gridSpan w:val="3"/>
            <w:vAlign w:val="center"/>
          </w:tcPr>
          <w:p w14:paraId="21B79CA2" w14:textId="22D07369" w:rsidR="00B309AF" w:rsidRPr="00D53A2B" w:rsidRDefault="00B309AF" w:rsidP="004B0D48">
            <w:pPr>
              <w:pStyle w:val="KonuBal"/>
            </w:pPr>
            <w:r w:rsidRPr="00D53A2B">
              <w:t>Örneğin biyolojik arıtma</w:t>
            </w:r>
          </w:p>
        </w:tc>
      </w:tr>
      <w:tr w:rsidR="00B309AF" w:rsidRPr="00D53A2B" w14:paraId="319BA9CF" w14:textId="77777777" w:rsidTr="002D1F57">
        <w:tc>
          <w:tcPr>
            <w:tcW w:w="425" w:type="dxa"/>
            <w:vAlign w:val="center"/>
          </w:tcPr>
          <w:p w14:paraId="00FA1F98" w14:textId="35955726" w:rsidR="00B309AF" w:rsidRPr="00D53A2B" w:rsidRDefault="00B309AF" w:rsidP="004B0D48">
            <w:pPr>
              <w:pStyle w:val="KonuBal"/>
            </w:pPr>
            <w:r w:rsidRPr="00D53A2B">
              <w:t>h.</w:t>
            </w:r>
          </w:p>
        </w:tc>
        <w:tc>
          <w:tcPr>
            <w:tcW w:w="3828" w:type="dxa"/>
            <w:vAlign w:val="center"/>
          </w:tcPr>
          <w:p w14:paraId="169AC2B8" w14:textId="2F6B2826" w:rsidR="00B309AF" w:rsidRPr="00D53A2B" w:rsidRDefault="00B309AF" w:rsidP="00A202FD">
            <w:pPr>
              <w:jc w:val="both"/>
              <w:rPr>
                <w:rFonts w:eastAsia="Calibri"/>
                <w:sz w:val="22"/>
                <w:szCs w:val="22"/>
                <w:lang w:eastAsia="en-US"/>
              </w:rPr>
            </w:pPr>
            <w:r w:rsidRPr="00D53A2B">
              <w:rPr>
                <w:rFonts w:eastAsia="Calibri"/>
                <w:sz w:val="22"/>
                <w:szCs w:val="22"/>
                <w:lang w:eastAsia="en-US"/>
              </w:rPr>
              <w:t>Aerobik arıtma</w:t>
            </w:r>
          </w:p>
        </w:tc>
        <w:tc>
          <w:tcPr>
            <w:tcW w:w="4677" w:type="dxa"/>
            <w:vAlign w:val="center"/>
          </w:tcPr>
          <w:p w14:paraId="4A2CBEAC" w14:textId="483B1E3C" w:rsidR="00B309AF" w:rsidRPr="00D53A2B" w:rsidRDefault="00B309AF" w:rsidP="004B0D48">
            <w:pPr>
              <w:pStyle w:val="KonuBal"/>
            </w:pPr>
            <w:r w:rsidRPr="00D53A2B">
              <w:t>Biyolojik olarak parçalanabilen organik bileşikler</w:t>
            </w:r>
          </w:p>
        </w:tc>
      </w:tr>
      <w:tr w:rsidR="00B309AF" w:rsidRPr="00D53A2B" w14:paraId="31BD010C" w14:textId="77777777" w:rsidTr="00A202FD">
        <w:tc>
          <w:tcPr>
            <w:tcW w:w="8930" w:type="dxa"/>
            <w:gridSpan w:val="3"/>
            <w:vAlign w:val="center"/>
          </w:tcPr>
          <w:p w14:paraId="365338F6" w14:textId="0CFCBF63" w:rsidR="00B309AF" w:rsidRPr="00D53A2B" w:rsidRDefault="00B309AF" w:rsidP="004B0D48">
            <w:pPr>
              <w:pStyle w:val="KonuBal"/>
            </w:pPr>
            <w:r w:rsidRPr="00D53A2B">
              <w:t>Örneğin katıların giderimi</w:t>
            </w:r>
          </w:p>
        </w:tc>
      </w:tr>
      <w:tr w:rsidR="00B309AF" w:rsidRPr="00D53A2B" w14:paraId="765D6D7D" w14:textId="77777777" w:rsidTr="002D1F57">
        <w:tc>
          <w:tcPr>
            <w:tcW w:w="425" w:type="dxa"/>
            <w:vAlign w:val="center"/>
          </w:tcPr>
          <w:p w14:paraId="612D0B4D" w14:textId="57177AA7" w:rsidR="00B309AF" w:rsidRPr="00D53A2B" w:rsidRDefault="00B309AF" w:rsidP="004B0D48">
            <w:pPr>
              <w:pStyle w:val="KonuBal"/>
            </w:pPr>
            <w:r w:rsidRPr="00D53A2B">
              <w:t>i.</w:t>
            </w:r>
          </w:p>
        </w:tc>
        <w:tc>
          <w:tcPr>
            <w:tcW w:w="3828" w:type="dxa"/>
            <w:vAlign w:val="center"/>
          </w:tcPr>
          <w:p w14:paraId="18176FA1" w14:textId="0CA4D4C4" w:rsidR="00B309AF" w:rsidRPr="00D53A2B" w:rsidRDefault="00B309AF" w:rsidP="00A202FD">
            <w:pPr>
              <w:jc w:val="both"/>
              <w:rPr>
                <w:rFonts w:eastAsia="Calibri"/>
                <w:sz w:val="22"/>
                <w:szCs w:val="22"/>
                <w:lang w:eastAsia="en-US"/>
              </w:rPr>
            </w:pPr>
            <w:r w:rsidRPr="00D53A2B">
              <w:rPr>
                <w:rFonts w:eastAsia="Calibri"/>
                <w:sz w:val="22"/>
                <w:szCs w:val="22"/>
                <w:lang w:eastAsia="en-US"/>
              </w:rPr>
              <w:t>Koagülasyonve flokülasyon</w:t>
            </w:r>
          </w:p>
        </w:tc>
        <w:tc>
          <w:tcPr>
            <w:tcW w:w="4677" w:type="dxa"/>
            <w:vMerge w:val="restart"/>
            <w:vAlign w:val="center"/>
          </w:tcPr>
          <w:p w14:paraId="5622211E" w14:textId="18CE306B" w:rsidR="00B309AF" w:rsidRPr="00D53A2B" w:rsidRDefault="00B309AF" w:rsidP="004B0D48">
            <w:pPr>
              <w:pStyle w:val="KonuBal"/>
            </w:pPr>
            <w:r w:rsidRPr="00D53A2B">
              <w:t>Askıda katı maddeler ve partikül bağlı metaller</w:t>
            </w:r>
          </w:p>
        </w:tc>
      </w:tr>
      <w:tr w:rsidR="00B309AF" w:rsidRPr="00D53A2B" w14:paraId="41FDC3CF" w14:textId="77777777" w:rsidTr="002D1F57">
        <w:tc>
          <w:tcPr>
            <w:tcW w:w="425" w:type="dxa"/>
            <w:vAlign w:val="center"/>
          </w:tcPr>
          <w:p w14:paraId="419A52BB" w14:textId="022C6156" w:rsidR="00B309AF" w:rsidRPr="00D53A2B" w:rsidRDefault="00B309AF" w:rsidP="004B0D48">
            <w:pPr>
              <w:pStyle w:val="KonuBal"/>
            </w:pPr>
            <w:r w:rsidRPr="00D53A2B">
              <w:t>j.</w:t>
            </w:r>
          </w:p>
        </w:tc>
        <w:tc>
          <w:tcPr>
            <w:tcW w:w="3828" w:type="dxa"/>
            <w:vAlign w:val="center"/>
          </w:tcPr>
          <w:p w14:paraId="5864B469" w14:textId="6E547A92" w:rsidR="00B309AF" w:rsidRPr="00D53A2B" w:rsidRDefault="00B309AF" w:rsidP="00A202FD">
            <w:pPr>
              <w:jc w:val="both"/>
              <w:rPr>
                <w:rFonts w:eastAsia="Calibri"/>
                <w:sz w:val="22"/>
                <w:szCs w:val="22"/>
                <w:lang w:eastAsia="en-US"/>
              </w:rPr>
            </w:pPr>
            <w:r w:rsidRPr="00D53A2B">
              <w:rPr>
                <w:rFonts w:eastAsia="Calibri"/>
                <w:sz w:val="22"/>
                <w:szCs w:val="22"/>
                <w:lang w:eastAsia="en-US"/>
              </w:rPr>
              <w:t>Sedimentasyon</w:t>
            </w:r>
          </w:p>
        </w:tc>
        <w:tc>
          <w:tcPr>
            <w:tcW w:w="4677" w:type="dxa"/>
            <w:vMerge/>
            <w:vAlign w:val="center"/>
          </w:tcPr>
          <w:p w14:paraId="2A6A103D" w14:textId="77777777" w:rsidR="00B309AF" w:rsidRPr="00D53A2B" w:rsidRDefault="00B309AF">
            <w:pPr>
              <w:pStyle w:val="KonuBal"/>
            </w:pPr>
          </w:p>
        </w:tc>
      </w:tr>
      <w:tr w:rsidR="00B309AF" w:rsidRPr="00D53A2B" w14:paraId="24469FC2" w14:textId="77777777" w:rsidTr="002D1F57">
        <w:tc>
          <w:tcPr>
            <w:tcW w:w="425" w:type="dxa"/>
            <w:vAlign w:val="center"/>
          </w:tcPr>
          <w:p w14:paraId="58F91283" w14:textId="247D2904" w:rsidR="00B309AF" w:rsidRPr="00D53A2B" w:rsidRDefault="00B309AF" w:rsidP="004B0D48">
            <w:pPr>
              <w:pStyle w:val="KonuBal"/>
            </w:pPr>
            <w:r w:rsidRPr="00D53A2B">
              <w:t>k.</w:t>
            </w:r>
          </w:p>
        </w:tc>
        <w:tc>
          <w:tcPr>
            <w:tcW w:w="3828" w:type="dxa"/>
            <w:vAlign w:val="center"/>
          </w:tcPr>
          <w:p w14:paraId="66481FCD" w14:textId="6550B9AB" w:rsidR="00B309AF" w:rsidRPr="00D53A2B" w:rsidRDefault="00B309AF" w:rsidP="00A202FD">
            <w:pPr>
              <w:jc w:val="both"/>
              <w:rPr>
                <w:rFonts w:eastAsia="Calibri"/>
                <w:sz w:val="22"/>
                <w:szCs w:val="22"/>
                <w:lang w:eastAsia="en-US"/>
              </w:rPr>
            </w:pPr>
            <w:r w:rsidRPr="00D53A2B">
              <w:rPr>
                <w:rFonts w:eastAsia="Calibri"/>
                <w:sz w:val="22"/>
                <w:szCs w:val="22"/>
                <w:lang w:eastAsia="en-US"/>
              </w:rPr>
              <w:t>Filtrasyon (örneğin kum filtrasyonu, mikrofiltrasyon, ultrafiltrasyon)</w:t>
            </w:r>
          </w:p>
        </w:tc>
        <w:tc>
          <w:tcPr>
            <w:tcW w:w="4677" w:type="dxa"/>
            <w:vMerge/>
            <w:vAlign w:val="center"/>
          </w:tcPr>
          <w:p w14:paraId="77F8F11B" w14:textId="77777777" w:rsidR="00B309AF" w:rsidRPr="00D53A2B" w:rsidRDefault="00B309AF">
            <w:pPr>
              <w:pStyle w:val="KonuBal"/>
            </w:pPr>
          </w:p>
        </w:tc>
      </w:tr>
      <w:tr w:rsidR="00B309AF" w:rsidRPr="00D53A2B" w14:paraId="7B568316" w14:textId="77777777" w:rsidTr="002D1F57">
        <w:tc>
          <w:tcPr>
            <w:tcW w:w="425" w:type="dxa"/>
            <w:vAlign w:val="center"/>
          </w:tcPr>
          <w:p w14:paraId="673F76A2" w14:textId="3BE2E2B6" w:rsidR="00B309AF" w:rsidRPr="00D53A2B" w:rsidRDefault="00B309AF" w:rsidP="004B0D48">
            <w:pPr>
              <w:pStyle w:val="KonuBal"/>
            </w:pPr>
            <w:r w:rsidRPr="00D53A2B">
              <w:t>l.</w:t>
            </w:r>
          </w:p>
        </w:tc>
        <w:tc>
          <w:tcPr>
            <w:tcW w:w="3828" w:type="dxa"/>
            <w:vAlign w:val="center"/>
          </w:tcPr>
          <w:p w14:paraId="08B70D9B" w14:textId="1E6B7067" w:rsidR="00B309AF" w:rsidRPr="00D53A2B" w:rsidRDefault="00B309AF" w:rsidP="00A202FD">
            <w:pPr>
              <w:jc w:val="both"/>
              <w:rPr>
                <w:rFonts w:eastAsia="Calibri"/>
                <w:sz w:val="22"/>
                <w:szCs w:val="22"/>
                <w:lang w:eastAsia="en-US"/>
              </w:rPr>
            </w:pPr>
            <w:r w:rsidRPr="00D53A2B">
              <w:rPr>
                <w:rFonts w:eastAsia="Calibri"/>
                <w:sz w:val="22"/>
                <w:szCs w:val="22"/>
                <w:lang w:eastAsia="en-US"/>
              </w:rPr>
              <w:t>Flotasyon</w:t>
            </w:r>
          </w:p>
        </w:tc>
        <w:tc>
          <w:tcPr>
            <w:tcW w:w="4677" w:type="dxa"/>
            <w:vMerge/>
            <w:vAlign w:val="center"/>
          </w:tcPr>
          <w:p w14:paraId="7191A43C" w14:textId="77777777" w:rsidR="00B309AF" w:rsidRPr="00D53A2B" w:rsidRDefault="00B309AF">
            <w:pPr>
              <w:pStyle w:val="KonuBal"/>
            </w:pPr>
          </w:p>
        </w:tc>
      </w:tr>
      <w:tr w:rsidR="008B4559" w:rsidRPr="00D53A2B" w14:paraId="6E782A58" w14:textId="77777777" w:rsidTr="00A202FD">
        <w:tc>
          <w:tcPr>
            <w:tcW w:w="8930" w:type="dxa"/>
            <w:gridSpan w:val="3"/>
            <w:vAlign w:val="center"/>
          </w:tcPr>
          <w:p w14:paraId="02EA3822" w14:textId="7BE03E63" w:rsidR="008B4559" w:rsidRPr="00D53A2B" w:rsidRDefault="008B4559" w:rsidP="004B0D48">
            <w:pPr>
              <w:pStyle w:val="KonuBal"/>
            </w:pPr>
            <w:r w:rsidRPr="00D53A2B">
              <w:t>(</w:t>
            </w:r>
            <w:r w:rsidRPr="00D53A2B">
              <w:rPr>
                <w:vertAlign w:val="superscript"/>
              </w:rPr>
              <w:t>1</w:t>
            </w:r>
            <w:r w:rsidRPr="00D53A2B">
              <w:t xml:space="preserve">) Tekniklerin açıklamaları Bölüm </w:t>
            </w:r>
            <w:r w:rsidR="00B97162" w:rsidRPr="00D53A2B">
              <w:t>1</w:t>
            </w:r>
            <w:r w:rsidRPr="00D53A2B">
              <w:t>.11.3</w:t>
            </w:r>
            <w:r w:rsidR="00E56504" w:rsidRPr="00D53A2B">
              <w:t>’</w:t>
            </w:r>
            <w:r w:rsidRPr="00D53A2B">
              <w:t>te verilmiştir.</w:t>
            </w:r>
          </w:p>
        </w:tc>
      </w:tr>
    </w:tbl>
    <w:p w14:paraId="0C2CC23A" w14:textId="77777777" w:rsidR="002D1F57" w:rsidRPr="00D53A2B" w:rsidRDefault="002D1F57" w:rsidP="00A202FD">
      <w:pPr>
        <w:jc w:val="both"/>
        <w:rPr>
          <w:rFonts w:eastAsia="Calibri"/>
          <w:lang w:eastAsia="en-US"/>
        </w:rPr>
      </w:pPr>
    </w:p>
    <w:p w14:paraId="41317B94" w14:textId="64C66468" w:rsidR="001023C7" w:rsidRPr="00D53A2B" w:rsidRDefault="00B53F16" w:rsidP="00A202FD">
      <w:pPr>
        <w:jc w:val="both"/>
        <w:rPr>
          <w:rFonts w:eastAsia="Calibri"/>
          <w:lang w:eastAsia="en-US"/>
        </w:rPr>
      </w:pPr>
      <w:r w:rsidRPr="00D53A2B">
        <w:rPr>
          <w:rFonts w:eastAsia="Calibri"/>
          <w:lang w:eastAsia="en-US"/>
        </w:rPr>
        <w:t xml:space="preserve">Tablo </w:t>
      </w:r>
      <w:r w:rsidR="00B97162" w:rsidRPr="00D53A2B">
        <w:rPr>
          <w:rFonts w:eastAsia="Calibri"/>
          <w:lang w:eastAsia="en-US"/>
        </w:rPr>
        <w:t>1</w:t>
      </w:r>
      <w:r w:rsidRPr="00D53A2B">
        <w:rPr>
          <w:rFonts w:eastAsia="Calibri"/>
          <w:lang w:eastAsia="en-US"/>
        </w:rPr>
        <w:t>.20</w:t>
      </w:r>
    </w:p>
    <w:p w14:paraId="260CFC99" w14:textId="2F5DA78B" w:rsidR="008B4559" w:rsidRPr="00D53A2B" w:rsidRDefault="00B53F16" w:rsidP="00A202FD">
      <w:pPr>
        <w:jc w:val="both"/>
        <w:rPr>
          <w:rFonts w:eastAsia="Calibri"/>
          <w:lang w:eastAsia="en-US"/>
        </w:rPr>
      </w:pPr>
      <w:r w:rsidRPr="00D53A2B">
        <w:rPr>
          <w:rFonts w:eastAsia="Calibri"/>
          <w:lang w:eastAsia="en-US"/>
        </w:rPr>
        <w:t xml:space="preserve">Alıcı su </w:t>
      </w:r>
      <w:r w:rsidR="008D07F8">
        <w:rPr>
          <w:lang w:eastAsia="en-US"/>
        </w:rPr>
        <w:t>ortamına</w:t>
      </w:r>
      <w:r w:rsidR="008D07F8" w:rsidRPr="00D53A2B">
        <w:rPr>
          <w:rFonts w:eastAsia="Calibri"/>
          <w:lang w:eastAsia="en-US"/>
        </w:rPr>
        <w:t xml:space="preserve"> </w:t>
      </w:r>
      <w:r w:rsidRPr="00D53A2B">
        <w:rPr>
          <w:rFonts w:eastAsia="Calibri"/>
          <w:lang w:eastAsia="en-US"/>
        </w:rPr>
        <w:t>doğrudan deşarjlar için MET-ilişkili emisyon seviyeleri (MET-İES</w:t>
      </w:r>
      <w:r w:rsidR="00B875DD" w:rsidRPr="00D53A2B">
        <w:rPr>
          <w:rFonts w:eastAsia="Calibri"/>
          <w:lang w:eastAsia="en-US"/>
        </w:rPr>
        <w:t>)</w:t>
      </w:r>
      <w:r w:rsidRPr="00D53A2B">
        <w:rPr>
          <w:rFonts w:eastAsia="Calibri"/>
          <w:lang w:eastAsia="en-US"/>
        </w:rPr>
        <w:t>.</w:t>
      </w:r>
    </w:p>
    <w:p w14:paraId="4F0913A3" w14:textId="77777777" w:rsidR="00C15CF2" w:rsidRPr="00D53A2B" w:rsidRDefault="00C15CF2" w:rsidP="00A202FD">
      <w:pPr>
        <w:jc w:val="both"/>
        <w:rPr>
          <w:rFonts w:eastAsia="Calibri"/>
          <w:lang w:eastAsia="en-US"/>
        </w:rPr>
      </w:pPr>
    </w:p>
    <w:tbl>
      <w:tblPr>
        <w:tblStyle w:val="TabloKlavuzu"/>
        <w:tblW w:w="8926" w:type="dxa"/>
        <w:tblLook w:val="04A0" w:firstRow="1" w:lastRow="0" w:firstColumn="1" w:lastColumn="0" w:noHBand="0" w:noVBand="1"/>
      </w:tblPr>
      <w:tblGrid>
        <w:gridCol w:w="1079"/>
        <w:gridCol w:w="2108"/>
        <w:gridCol w:w="835"/>
        <w:gridCol w:w="1331"/>
        <w:gridCol w:w="3573"/>
      </w:tblGrid>
      <w:tr w:rsidR="00BD1109" w:rsidRPr="00D53A2B" w14:paraId="152D7B6B" w14:textId="77777777" w:rsidTr="00C86A85">
        <w:tc>
          <w:tcPr>
            <w:tcW w:w="3187" w:type="dxa"/>
            <w:gridSpan w:val="2"/>
          </w:tcPr>
          <w:p w14:paraId="3DC26705" w14:textId="2540D8AF" w:rsidR="00BD1109" w:rsidRPr="00D53A2B" w:rsidRDefault="00BD1109" w:rsidP="00A202FD">
            <w:pPr>
              <w:jc w:val="both"/>
              <w:rPr>
                <w:rFonts w:eastAsia="Calibri"/>
                <w:sz w:val="22"/>
                <w:szCs w:val="22"/>
                <w:lang w:eastAsia="en-US"/>
              </w:rPr>
            </w:pPr>
            <w:r w:rsidRPr="00D53A2B">
              <w:rPr>
                <w:rFonts w:eastAsia="Calibri"/>
                <w:sz w:val="22"/>
                <w:szCs w:val="22"/>
                <w:lang w:eastAsia="en-US"/>
              </w:rPr>
              <w:t>Madde/Parametre</w:t>
            </w:r>
          </w:p>
        </w:tc>
        <w:tc>
          <w:tcPr>
            <w:tcW w:w="835" w:type="dxa"/>
          </w:tcPr>
          <w:p w14:paraId="65F70DB8" w14:textId="4A4746E0" w:rsidR="00BD1109" w:rsidRPr="00D53A2B" w:rsidRDefault="00BD1109" w:rsidP="00A202FD">
            <w:pPr>
              <w:jc w:val="both"/>
              <w:rPr>
                <w:rFonts w:eastAsia="Calibri"/>
                <w:sz w:val="22"/>
                <w:szCs w:val="22"/>
                <w:lang w:eastAsia="en-US"/>
              </w:rPr>
            </w:pPr>
            <w:r w:rsidRPr="00D53A2B">
              <w:rPr>
                <w:rFonts w:eastAsia="Calibri"/>
                <w:sz w:val="22"/>
                <w:szCs w:val="22"/>
                <w:lang w:eastAsia="en-US"/>
              </w:rPr>
              <w:t>Birim</w:t>
            </w:r>
          </w:p>
        </w:tc>
        <w:tc>
          <w:tcPr>
            <w:tcW w:w="1331" w:type="dxa"/>
          </w:tcPr>
          <w:p w14:paraId="51D6430E" w14:textId="4E351F6B" w:rsidR="00BD1109" w:rsidRPr="00D53A2B" w:rsidRDefault="00BD1109" w:rsidP="00A202FD">
            <w:pPr>
              <w:jc w:val="both"/>
              <w:rPr>
                <w:rFonts w:eastAsia="Calibri"/>
                <w:sz w:val="22"/>
                <w:szCs w:val="22"/>
                <w:lang w:eastAsia="en-US"/>
              </w:rPr>
            </w:pPr>
            <w:r w:rsidRPr="00D53A2B">
              <w:rPr>
                <w:rFonts w:eastAsia="Calibri"/>
                <w:sz w:val="22"/>
                <w:szCs w:val="22"/>
                <w:lang w:eastAsia="en-US"/>
              </w:rPr>
              <w:t>MET-İES (</w:t>
            </w:r>
            <w:r w:rsidRPr="00D53A2B">
              <w:rPr>
                <w:rFonts w:eastAsia="Calibri"/>
                <w:sz w:val="22"/>
                <w:szCs w:val="22"/>
                <w:vertAlign w:val="superscript"/>
                <w:lang w:eastAsia="en-US"/>
              </w:rPr>
              <w:t>1</w:t>
            </w:r>
            <w:r w:rsidRPr="00D53A2B">
              <w:rPr>
                <w:rFonts w:eastAsia="Calibri"/>
                <w:sz w:val="22"/>
                <w:szCs w:val="22"/>
                <w:lang w:eastAsia="en-US"/>
              </w:rPr>
              <w:t>)</w:t>
            </w:r>
          </w:p>
        </w:tc>
        <w:tc>
          <w:tcPr>
            <w:tcW w:w="3573" w:type="dxa"/>
          </w:tcPr>
          <w:p w14:paraId="23D7498D" w14:textId="505878BF" w:rsidR="00BD1109" w:rsidRPr="00D53A2B" w:rsidRDefault="00BD1109" w:rsidP="00A202FD">
            <w:pPr>
              <w:jc w:val="both"/>
              <w:rPr>
                <w:rFonts w:eastAsia="Calibri"/>
                <w:sz w:val="22"/>
                <w:szCs w:val="22"/>
                <w:lang w:eastAsia="en-US"/>
              </w:rPr>
            </w:pPr>
            <w:r w:rsidRPr="00D53A2B">
              <w:rPr>
                <w:rFonts w:eastAsia="Calibri"/>
                <w:sz w:val="22"/>
                <w:szCs w:val="22"/>
                <w:lang w:eastAsia="en-US"/>
              </w:rPr>
              <w:t>MET-İES</w:t>
            </w:r>
            <w:r w:rsidR="00E56504" w:rsidRPr="00D53A2B">
              <w:rPr>
                <w:rFonts w:eastAsia="Calibri"/>
                <w:sz w:val="22"/>
                <w:szCs w:val="22"/>
                <w:lang w:eastAsia="en-US"/>
              </w:rPr>
              <w:t>’</w:t>
            </w:r>
            <w:r w:rsidRPr="00D53A2B">
              <w:rPr>
                <w:rFonts w:eastAsia="Calibri"/>
                <w:sz w:val="22"/>
                <w:szCs w:val="22"/>
                <w:lang w:eastAsia="en-US"/>
              </w:rPr>
              <w:t>in uygulandığı süreç(ler)</w:t>
            </w:r>
          </w:p>
        </w:tc>
      </w:tr>
      <w:tr w:rsidR="00BD1109" w:rsidRPr="00D53A2B" w14:paraId="74A30F9D" w14:textId="77777777" w:rsidTr="00C86A85">
        <w:tc>
          <w:tcPr>
            <w:tcW w:w="3187" w:type="dxa"/>
            <w:gridSpan w:val="2"/>
          </w:tcPr>
          <w:p w14:paraId="0CE47F82" w14:textId="65B5B3E5" w:rsidR="00BD1109" w:rsidRPr="00D53A2B" w:rsidRDefault="00BD1109" w:rsidP="00A202FD">
            <w:pPr>
              <w:jc w:val="both"/>
              <w:rPr>
                <w:rFonts w:eastAsia="Calibri"/>
                <w:sz w:val="22"/>
                <w:szCs w:val="22"/>
                <w:lang w:eastAsia="en-US"/>
              </w:rPr>
            </w:pPr>
            <w:r w:rsidRPr="00D53A2B">
              <w:rPr>
                <w:rFonts w:eastAsia="Calibri"/>
                <w:sz w:val="22"/>
                <w:szCs w:val="22"/>
                <w:lang w:eastAsia="en-US"/>
              </w:rPr>
              <w:t>Toplam askıda katı madde (TAKM)</w:t>
            </w:r>
          </w:p>
        </w:tc>
        <w:tc>
          <w:tcPr>
            <w:tcW w:w="835" w:type="dxa"/>
          </w:tcPr>
          <w:p w14:paraId="34FC4437" w14:textId="4DF2F96F" w:rsidR="00BD1109" w:rsidRPr="00D53A2B" w:rsidRDefault="00BD1109" w:rsidP="00A202FD">
            <w:pPr>
              <w:jc w:val="both"/>
              <w:rPr>
                <w:rFonts w:eastAsia="Calibri"/>
                <w:sz w:val="22"/>
                <w:szCs w:val="22"/>
                <w:lang w:eastAsia="en-US"/>
              </w:rPr>
            </w:pPr>
            <w:r w:rsidRPr="00D53A2B">
              <w:rPr>
                <w:rFonts w:eastAsia="Calibri"/>
                <w:sz w:val="22"/>
                <w:szCs w:val="22"/>
                <w:lang w:eastAsia="en-US"/>
              </w:rPr>
              <w:t>mg/l</w:t>
            </w:r>
          </w:p>
        </w:tc>
        <w:tc>
          <w:tcPr>
            <w:tcW w:w="1331" w:type="dxa"/>
          </w:tcPr>
          <w:p w14:paraId="4CD1CF57" w14:textId="233B252C" w:rsidR="00BD1109" w:rsidRPr="00D53A2B" w:rsidRDefault="00BD1109" w:rsidP="00A202FD">
            <w:pPr>
              <w:jc w:val="both"/>
              <w:rPr>
                <w:rFonts w:eastAsia="Calibri"/>
                <w:sz w:val="22"/>
                <w:szCs w:val="22"/>
                <w:lang w:eastAsia="en-US"/>
              </w:rPr>
            </w:pPr>
            <w:r w:rsidRPr="00D53A2B">
              <w:rPr>
                <w:rFonts w:eastAsia="Calibri"/>
                <w:sz w:val="22"/>
                <w:szCs w:val="22"/>
                <w:lang w:eastAsia="en-US"/>
              </w:rPr>
              <w:t>5-30</w:t>
            </w:r>
          </w:p>
        </w:tc>
        <w:tc>
          <w:tcPr>
            <w:tcW w:w="3573" w:type="dxa"/>
          </w:tcPr>
          <w:p w14:paraId="280C22E2" w14:textId="18E98A34" w:rsidR="00BD1109" w:rsidRPr="00D53A2B" w:rsidRDefault="00BD1109" w:rsidP="00A202FD">
            <w:pPr>
              <w:jc w:val="both"/>
              <w:rPr>
                <w:rFonts w:eastAsia="Calibri"/>
                <w:sz w:val="22"/>
                <w:szCs w:val="22"/>
                <w:lang w:eastAsia="en-US"/>
              </w:rPr>
            </w:pPr>
            <w:r w:rsidRPr="00D53A2B">
              <w:rPr>
                <w:rFonts w:eastAsia="Calibri"/>
                <w:sz w:val="22"/>
                <w:szCs w:val="22"/>
                <w:lang w:eastAsia="en-US"/>
              </w:rPr>
              <w:t>Tüm prosesler</w:t>
            </w:r>
          </w:p>
        </w:tc>
      </w:tr>
      <w:tr w:rsidR="00BD1109" w:rsidRPr="00D53A2B" w14:paraId="3B38C339" w14:textId="77777777" w:rsidTr="00C86A85">
        <w:tc>
          <w:tcPr>
            <w:tcW w:w="3187" w:type="dxa"/>
            <w:gridSpan w:val="2"/>
          </w:tcPr>
          <w:p w14:paraId="2E9B003C" w14:textId="7092CE80" w:rsidR="00BD1109" w:rsidRPr="00D53A2B" w:rsidRDefault="00BD1109" w:rsidP="00A202FD">
            <w:pPr>
              <w:jc w:val="both"/>
              <w:rPr>
                <w:rFonts w:eastAsia="Calibri"/>
                <w:sz w:val="22"/>
                <w:szCs w:val="22"/>
                <w:lang w:eastAsia="en-US"/>
              </w:rPr>
            </w:pPr>
            <w:r w:rsidRPr="00D53A2B">
              <w:rPr>
                <w:rFonts w:eastAsia="Calibri"/>
                <w:sz w:val="22"/>
                <w:szCs w:val="22"/>
                <w:lang w:eastAsia="en-US"/>
              </w:rPr>
              <w:t>Toplam organik karbon (</w:t>
            </w:r>
            <w:r w:rsidR="00B875DD" w:rsidRPr="00D53A2B">
              <w:rPr>
                <w:rFonts w:eastAsia="Calibri"/>
                <w:sz w:val="22"/>
                <w:szCs w:val="22"/>
                <w:lang w:eastAsia="en-US"/>
              </w:rPr>
              <w:t>TOK</w:t>
            </w:r>
            <w:r w:rsidRPr="00D53A2B">
              <w:rPr>
                <w:rFonts w:eastAsia="Calibri"/>
                <w:sz w:val="22"/>
                <w:szCs w:val="22"/>
                <w:lang w:eastAsia="en-US"/>
              </w:rPr>
              <w:t>) (</w:t>
            </w:r>
            <w:r w:rsidRPr="00D53A2B">
              <w:rPr>
                <w:rFonts w:eastAsia="Calibri"/>
                <w:sz w:val="22"/>
                <w:szCs w:val="22"/>
                <w:vertAlign w:val="superscript"/>
                <w:lang w:eastAsia="en-US"/>
              </w:rPr>
              <w:t>2</w:t>
            </w:r>
            <w:r w:rsidRPr="00D53A2B">
              <w:rPr>
                <w:rFonts w:eastAsia="Calibri"/>
                <w:sz w:val="22"/>
                <w:szCs w:val="22"/>
                <w:lang w:eastAsia="en-US"/>
              </w:rPr>
              <w:t>)</w:t>
            </w:r>
          </w:p>
        </w:tc>
        <w:tc>
          <w:tcPr>
            <w:tcW w:w="835" w:type="dxa"/>
          </w:tcPr>
          <w:p w14:paraId="0B64BD90" w14:textId="7D5805FD" w:rsidR="00BD1109" w:rsidRPr="00D53A2B" w:rsidRDefault="00BD1109" w:rsidP="00A202FD">
            <w:pPr>
              <w:jc w:val="both"/>
              <w:rPr>
                <w:rFonts w:eastAsia="Calibri"/>
                <w:sz w:val="22"/>
                <w:szCs w:val="22"/>
                <w:lang w:eastAsia="en-US"/>
              </w:rPr>
            </w:pPr>
            <w:r w:rsidRPr="00D53A2B">
              <w:rPr>
                <w:rFonts w:eastAsia="Calibri"/>
                <w:sz w:val="22"/>
                <w:szCs w:val="22"/>
                <w:lang w:eastAsia="en-US"/>
              </w:rPr>
              <w:t>mg/l</w:t>
            </w:r>
          </w:p>
        </w:tc>
        <w:tc>
          <w:tcPr>
            <w:tcW w:w="1331" w:type="dxa"/>
          </w:tcPr>
          <w:p w14:paraId="32C906E5" w14:textId="57D0DF59" w:rsidR="00BD1109" w:rsidRPr="00D53A2B" w:rsidRDefault="00BD1109" w:rsidP="00A202FD">
            <w:pPr>
              <w:jc w:val="both"/>
              <w:rPr>
                <w:rFonts w:eastAsia="Calibri"/>
                <w:sz w:val="22"/>
                <w:szCs w:val="22"/>
                <w:lang w:eastAsia="en-US"/>
              </w:rPr>
            </w:pPr>
            <w:r w:rsidRPr="00D53A2B">
              <w:rPr>
                <w:rFonts w:eastAsia="Calibri"/>
                <w:sz w:val="22"/>
                <w:szCs w:val="22"/>
                <w:lang w:eastAsia="en-US"/>
              </w:rPr>
              <w:t>10-30</w:t>
            </w:r>
          </w:p>
        </w:tc>
        <w:tc>
          <w:tcPr>
            <w:tcW w:w="3573" w:type="dxa"/>
          </w:tcPr>
          <w:p w14:paraId="651A40E7" w14:textId="3DF450C1" w:rsidR="00BD1109" w:rsidRPr="00D53A2B" w:rsidRDefault="00BD1109" w:rsidP="00A202FD">
            <w:pPr>
              <w:jc w:val="both"/>
              <w:rPr>
                <w:rFonts w:eastAsia="Calibri"/>
                <w:sz w:val="22"/>
                <w:szCs w:val="22"/>
                <w:lang w:eastAsia="en-US"/>
              </w:rPr>
            </w:pPr>
            <w:r w:rsidRPr="00D53A2B">
              <w:rPr>
                <w:rFonts w:eastAsia="Calibri"/>
                <w:sz w:val="22"/>
                <w:szCs w:val="22"/>
                <w:lang w:eastAsia="en-US"/>
              </w:rPr>
              <w:t>Tüm prosesler</w:t>
            </w:r>
          </w:p>
        </w:tc>
      </w:tr>
      <w:tr w:rsidR="00BD1109" w:rsidRPr="00D53A2B" w14:paraId="44CA93C1" w14:textId="77777777" w:rsidTr="00C86A85">
        <w:tc>
          <w:tcPr>
            <w:tcW w:w="3187" w:type="dxa"/>
            <w:gridSpan w:val="2"/>
          </w:tcPr>
          <w:p w14:paraId="0BA62B5D" w14:textId="147FC7EF" w:rsidR="00BD1109" w:rsidRPr="00D53A2B" w:rsidRDefault="00BD1109" w:rsidP="00A202FD">
            <w:pPr>
              <w:jc w:val="both"/>
              <w:rPr>
                <w:rFonts w:eastAsia="Calibri"/>
                <w:sz w:val="22"/>
                <w:szCs w:val="22"/>
                <w:lang w:eastAsia="en-US"/>
              </w:rPr>
            </w:pPr>
            <w:r w:rsidRPr="00D53A2B">
              <w:rPr>
                <w:rFonts w:eastAsia="Calibri"/>
                <w:sz w:val="22"/>
                <w:szCs w:val="22"/>
                <w:lang w:eastAsia="en-US"/>
              </w:rPr>
              <w:t>Kimyasal oksijen ihtiyacı (KOİ) (</w:t>
            </w:r>
            <w:r w:rsidRPr="00D53A2B">
              <w:rPr>
                <w:rFonts w:eastAsia="Calibri"/>
                <w:sz w:val="22"/>
                <w:szCs w:val="22"/>
                <w:vertAlign w:val="superscript"/>
                <w:lang w:eastAsia="en-US"/>
              </w:rPr>
              <w:t>2</w:t>
            </w:r>
            <w:r w:rsidRPr="00D53A2B">
              <w:rPr>
                <w:rFonts w:eastAsia="Calibri"/>
                <w:sz w:val="22"/>
                <w:szCs w:val="22"/>
                <w:lang w:eastAsia="en-US"/>
              </w:rPr>
              <w:t>)</w:t>
            </w:r>
          </w:p>
        </w:tc>
        <w:tc>
          <w:tcPr>
            <w:tcW w:w="835" w:type="dxa"/>
          </w:tcPr>
          <w:p w14:paraId="00DA5778" w14:textId="34EAC5FA" w:rsidR="00BD1109" w:rsidRPr="00D53A2B" w:rsidRDefault="00BD1109" w:rsidP="00A202FD">
            <w:pPr>
              <w:jc w:val="both"/>
              <w:rPr>
                <w:rFonts w:eastAsia="Calibri"/>
                <w:sz w:val="22"/>
                <w:szCs w:val="22"/>
                <w:lang w:eastAsia="en-US"/>
              </w:rPr>
            </w:pPr>
            <w:r w:rsidRPr="00D53A2B">
              <w:rPr>
                <w:rFonts w:eastAsia="Calibri"/>
                <w:sz w:val="22"/>
                <w:szCs w:val="22"/>
                <w:lang w:eastAsia="en-US"/>
              </w:rPr>
              <w:t>mg/l</w:t>
            </w:r>
          </w:p>
        </w:tc>
        <w:tc>
          <w:tcPr>
            <w:tcW w:w="1331" w:type="dxa"/>
          </w:tcPr>
          <w:p w14:paraId="535A5169" w14:textId="07449FA5" w:rsidR="00BD1109" w:rsidRPr="00D53A2B" w:rsidRDefault="00BD1109" w:rsidP="00A202FD">
            <w:pPr>
              <w:jc w:val="both"/>
              <w:rPr>
                <w:rFonts w:eastAsia="Calibri"/>
                <w:sz w:val="22"/>
                <w:szCs w:val="22"/>
                <w:lang w:eastAsia="en-US"/>
              </w:rPr>
            </w:pPr>
            <w:r w:rsidRPr="00D53A2B">
              <w:rPr>
                <w:rFonts w:eastAsia="Calibri"/>
                <w:sz w:val="22"/>
                <w:szCs w:val="22"/>
                <w:lang w:eastAsia="en-US"/>
              </w:rPr>
              <w:t>30-90</w:t>
            </w:r>
          </w:p>
        </w:tc>
        <w:tc>
          <w:tcPr>
            <w:tcW w:w="3573" w:type="dxa"/>
          </w:tcPr>
          <w:p w14:paraId="4AF2198A" w14:textId="60CADC65" w:rsidR="00BD1109" w:rsidRPr="00D53A2B" w:rsidRDefault="00BD1109" w:rsidP="00A202FD">
            <w:pPr>
              <w:jc w:val="both"/>
              <w:rPr>
                <w:rFonts w:eastAsia="Calibri"/>
                <w:sz w:val="22"/>
                <w:szCs w:val="22"/>
                <w:lang w:eastAsia="en-US"/>
              </w:rPr>
            </w:pPr>
            <w:r w:rsidRPr="00D53A2B">
              <w:rPr>
                <w:rFonts w:eastAsia="Calibri"/>
                <w:sz w:val="22"/>
                <w:szCs w:val="22"/>
                <w:lang w:eastAsia="en-US"/>
              </w:rPr>
              <w:t>Tüm prosesler</w:t>
            </w:r>
          </w:p>
        </w:tc>
      </w:tr>
      <w:tr w:rsidR="00BD1109" w:rsidRPr="00D53A2B" w14:paraId="7954DDF9" w14:textId="77777777" w:rsidTr="00C86A85">
        <w:tc>
          <w:tcPr>
            <w:tcW w:w="3187" w:type="dxa"/>
            <w:gridSpan w:val="2"/>
          </w:tcPr>
          <w:p w14:paraId="2A933E0A" w14:textId="43367C25" w:rsidR="00BD1109" w:rsidRPr="00D53A2B" w:rsidRDefault="00BD1109" w:rsidP="00A202FD">
            <w:pPr>
              <w:jc w:val="both"/>
              <w:rPr>
                <w:rFonts w:eastAsia="Calibri"/>
                <w:sz w:val="22"/>
                <w:szCs w:val="22"/>
                <w:lang w:eastAsia="en-US"/>
              </w:rPr>
            </w:pPr>
            <w:r w:rsidRPr="00D53A2B">
              <w:rPr>
                <w:rFonts w:eastAsia="Calibri"/>
                <w:sz w:val="22"/>
                <w:szCs w:val="22"/>
                <w:lang w:eastAsia="en-US"/>
              </w:rPr>
              <w:t>Hidrokarbon yağ indeksi (HOI)</w:t>
            </w:r>
          </w:p>
        </w:tc>
        <w:tc>
          <w:tcPr>
            <w:tcW w:w="835" w:type="dxa"/>
          </w:tcPr>
          <w:p w14:paraId="6DBFC0D3" w14:textId="2DB9E675" w:rsidR="00BD1109" w:rsidRPr="00D53A2B" w:rsidRDefault="00BD1109" w:rsidP="00A202FD">
            <w:pPr>
              <w:jc w:val="both"/>
              <w:rPr>
                <w:rFonts w:eastAsia="Calibri"/>
                <w:sz w:val="22"/>
                <w:szCs w:val="22"/>
                <w:lang w:eastAsia="en-US"/>
              </w:rPr>
            </w:pPr>
            <w:r w:rsidRPr="00D53A2B">
              <w:rPr>
                <w:rFonts w:eastAsia="Calibri"/>
                <w:sz w:val="22"/>
                <w:szCs w:val="22"/>
                <w:lang w:eastAsia="en-US"/>
              </w:rPr>
              <w:t>mg/l</w:t>
            </w:r>
          </w:p>
        </w:tc>
        <w:tc>
          <w:tcPr>
            <w:tcW w:w="1331" w:type="dxa"/>
          </w:tcPr>
          <w:p w14:paraId="70554B85" w14:textId="106DE554" w:rsidR="00BD1109" w:rsidRPr="00D53A2B" w:rsidRDefault="00BD1109" w:rsidP="00A202FD">
            <w:pPr>
              <w:jc w:val="both"/>
              <w:rPr>
                <w:rFonts w:eastAsia="Calibri"/>
                <w:sz w:val="22"/>
                <w:szCs w:val="22"/>
                <w:lang w:eastAsia="en-US"/>
              </w:rPr>
            </w:pPr>
            <w:r w:rsidRPr="00D53A2B">
              <w:rPr>
                <w:rFonts w:eastAsia="Calibri"/>
                <w:sz w:val="22"/>
                <w:szCs w:val="22"/>
                <w:lang w:eastAsia="en-US"/>
              </w:rPr>
              <w:t>0,5-4</w:t>
            </w:r>
          </w:p>
        </w:tc>
        <w:tc>
          <w:tcPr>
            <w:tcW w:w="3573" w:type="dxa"/>
          </w:tcPr>
          <w:p w14:paraId="133F2AAD" w14:textId="6175F830" w:rsidR="00BD1109" w:rsidRPr="00D53A2B" w:rsidRDefault="00BD1109" w:rsidP="00A202FD">
            <w:pPr>
              <w:jc w:val="both"/>
              <w:rPr>
                <w:rFonts w:eastAsia="Calibri"/>
                <w:sz w:val="22"/>
                <w:szCs w:val="22"/>
                <w:lang w:eastAsia="en-US"/>
              </w:rPr>
            </w:pPr>
            <w:r w:rsidRPr="00D53A2B">
              <w:rPr>
                <w:rFonts w:eastAsia="Calibri"/>
                <w:sz w:val="22"/>
                <w:szCs w:val="22"/>
                <w:lang w:eastAsia="en-US"/>
              </w:rPr>
              <w:t>Tüm prosesler</w:t>
            </w:r>
          </w:p>
        </w:tc>
      </w:tr>
      <w:tr w:rsidR="00BD1109" w:rsidRPr="00D53A2B" w14:paraId="0FFB2C03" w14:textId="77777777" w:rsidTr="00C86A85">
        <w:tc>
          <w:tcPr>
            <w:tcW w:w="1079" w:type="dxa"/>
            <w:vMerge w:val="restart"/>
          </w:tcPr>
          <w:p w14:paraId="18F7FBCF" w14:textId="0564F412" w:rsidR="00BD1109" w:rsidRPr="00D53A2B" w:rsidRDefault="00BD1109" w:rsidP="00A202FD">
            <w:pPr>
              <w:jc w:val="both"/>
              <w:rPr>
                <w:rFonts w:eastAsia="Calibri"/>
                <w:sz w:val="22"/>
                <w:szCs w:val="22"/>
                <w:lang w:eastAsia="en-US"/>
              </w:rPr>
            </w:pPr>
            <w:r w:rsidRPr="00D53A2B">
              <w:rPr>
                <w:rFonts w:eastAsia="Calibri"/>
                <w:sz w:val="22"/>
                <w:szCs w:val="22"/>
                <w:lang w:eastAsia="en-US"/>
              </w:rPr>
              <w:t>Metaller</w:t>
            </w:r>
          </w:p>
        </w:tc>
        <w:tc>
          <w:tcPr>
            <w:tcW w:w="2108" w:type="dxa"/>
          </w:tcPr>
          <w:p w14:paraId="1355FB09" w14:textId="339FF9C6" w:rsidR="00BD1109" w:rsidRPr="00D53A2B" w:rsidRDefault="00BD1109" w:rsidP="00A202FD">
            <w:pPr>
              <w:jc w:val="both"/>
              <w:rPr>
                <w:rFonts w:eastAsia="Calibri"/>
                <w:sz w:val="22"/>
                <w:szCs w:val="22"/>
                <w:lang w:eastAsia="en-US"/>
              </w:rPr>
            </w:pPr>
            <w:r w:rsidRPr="00D53A2B">
              <w:rPr>
                <w:rFonts w:eastAsia="Calibri"/>
                <w:sz w:val="22"/>
                <w:szCs w:val="22"/>
                <w:lang w:eastAsia="en-US"/>
              </w:rPr>
              <w:t>Cd</w:t>
            </w:r>
          </w:p>
        </w:tc>
        <w:tc>
          <w:tcPr>
            <w:tcW w:w="835" w:type="dxa"/>
          </w:tcPr>
          <w:p w14:paraId="7C83FA2E" w14:textId="388F3D54" w:rsidR="00BD1109" w:rsidRPr="00D53A2B" w:rsidRDefault="00BD1109" w:rsidP="00A202FD">
            <w:pPr>
              <w:jc w:val="both"/>
              <w:rPr>
                <w:rFonts w:eastAsia="Calibri"/>
                <w:sz w:val="22"/>
                <w:szCs w:val="22"/>
                <w:lang w:eastAsia="en-US"/>
              </w:rPr>
            </w:pPr>
            <w:r w:rsidRPr="00D53A2B">
              <w:rPr>
                <w:rFonts w:eastAsia="Calibri"/>
                <w:sz w:val="22"/>
                <w:szCs w:val="22"/>
                <w:lang w:eastAsia="en-US"/>
              </w:rPr>
              <w:t>μg/l</w:t>
            </w:r>
          </w:p>
        </w:tc>
        <w:tc>
          <w:tcPr>
            <w:tcW w:w="1331" w:type="dxa"/>
          </w:tcPr>
          <w:p w14:paraId="6E21A993" w14:textId="7AF9F871" w:rsidR="00BD1109" w:rsidRPr="00D53A2B" w:rsidRDefault="00BD1109" w:rsidP="00A202FD">
            <w:pPr>
              <w:jc w:val="both"/>
              <w:rPr>
                <w:rFonts w:eastAsia="Calibri"/>
                <w:sz w:val="22"/>
                <w:szCs w:val="22"/>
                <w:lang w:eastAsia="en-US"/>
              </w:rPr>
            </w:pPr>
            <w:r w:rsidRPr="00D53A2B">
              <w:rPr>
                <w:rFonts w:eastAsia="Calibri"/>
                <w:sz w:val="22"/>
                <w:szCs w:val="22"/>
                <w:lang w:eastAsia="en-US"/>
              </w:rPr>
              <w:t>1</w:t>
            </w:r>
            <w:r w:rsidR="00055E97" w:rsidRPr="00D53A2B">
              <w:rPr>
                <w:rFonts w:eastAsia="Calibri"/>
                <w:sz w:val="22"/>
                <w:szCs w:val="22"/>
                <w:lang w:eastAsia="en-US"/>
              </w:rPr>
              <w:t>-</w:t>
            </w:r>
            <w:r w:rsidRPr="00D53A2B">
              <w:rPr>
                <w:rFonts w:eastAsia="Calibri"/>
                <w:sz w:val="22"/>
                <w:szCs w:val="22"/>
                <w:lang w:eastAsia="en-US"/>
              </w:rPr>
              <w:t>5</w:t>
            </w:r>
          </w:p>
        </w:tc>
        <w:tc>
          <w:tcPr>
            <w:tcW w:w="3573" w:type="dxa"/>
          </w:tcPr>
          <w:p w14:paraId="1C7357C7" w14:textId="7E990ADA" w:rsidR="00BD1109" w:rsidRPr="00D53A2B" w:rsidRDefault="00BD1109"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BD1109" w:rsidRPr="00D53A2B" w14:paraId="162646EA" w14:textId="77777777" w:rsidTr="00C86A85">
        <w:tc>
          <w:tcPr>
            <w:tcW w:w="1079" w:type="dxa"/>
            <w:vMerge/>
          </w:tcPr>
          <w:p w14:paraId="001CE793" w14:textId="77777777" w:rsidR="00BD1109" w:rsidRPr="00D53A2B" w:rsidRDefault="00BD1109" w:rsidP="00A202FD">
            <w:pPr>
              <w:jc w:val="both"/>
              <w:rPr>
                <w:rFonts w:eastAsia="Calibri"/>
                <w:sz w:val="22"/>
                <w:szCs w:val="22"/>
                <w:lang w:eastAsia="en-US"/>
              </w:rPr>
            </w:pPr>
          </w:p>
        </w:tc>
        <w:tc>
          <w:tcPr>
            <w:tcW w:w="2108" w:type="dxa"/>
          </w:tcPr>
          <w:p w14:paraId="6FEC9012" w14:textId="74FA78E9" w:rsidR="00BD1109" w:rsidRPr="00D53A2B" w:rsidRDefault="00BD1109" w:rsidP="00A202FD">
            <w:pPr>
              <w:jc w:val="both"/>
              <w:rPr>
                <w:rFonts w:eastAsia="Calibri"/>
                <w:sz w:val="22"/>
                <w:szCs w:val="22"/>
                <w:lang w:eastAsia="en-US"/>
              </w:rPr>
            </w:pPr>
            <w:r w:rsidRPr="00D53A2B">
              <w:rPr>
                <w:rFonts w:eastAsia="Calibri"/>
                <w:sz w:val="22"/>
                <w:szCs w:val="22"/>
                <w:lang w:eastAsia="en-US"/>
              </w:rPr>
              <w:t>Cr</w:t>
            </w:r>
          </w:p>
        </w:tc>
        <w:tc>
          <w:tcPr>
            <w:tcW w:w="835" w:type="dxa"/>
          </w:tcPr>
          <w:p w14:paraId="6160000B" w14:textId="0F784470" w:rsidR="00BD1109" w:rsidRPr="00D53A2B" w:rsidRDefault="00BD1109" w:rsidP="00A202FD">
            <w:pPr>
              <w:jc w:val="both"/>
              <w:rPr>
                <w:rFonts w:eastAsia="Calibri"/>
                <w:sz w:val="22"/>
                <w:szCs w:val="22"/>
                <w:lang w:eastAsia="en-US"/>
              </w:rPr>
            </w:pPr>
            <w:r w:rsidRPr="00D53A2B">
              <w:rPr>
                <w:rFonts w:eastAsia="Calibri"/>
                <w:sz w:val="22"/>
                <w:szCs w:val="22"/>
                <w:lang w:eastAsia="en-US"/>
              </w:rPr>
              <w:t>mg/l</w:t>
            </w:r>
          </w:p>
        </w:tc>
        <w:tc>
          <w:tcPr>
            <w:tcW w:w="1331" w:type="dxa"/>
          </w:tcPr>
          <w:p w14:paraId="3AEE97D0" w14:textId="54635CBB" w:rsidR="00BD1109" w:rsidRPr="00D53A2B" w:rsidRDefault="00BD1109" w:rsidP="00A202FD">
            <w:pPr>
              <w:jc w:val="both"/>
              <w:rPr>
                <w:rFonts w:eastAsia="Calibri"/>
                <w:sz w:val="22"/>
                <w:szCs w:val="22"/>
                <w:lang w:eastAsia="en-US"/>
              </w:rPr>
            </w:pPr>
            <w:r w:rsidRPr="00D53A2B">
              <w:rPr>
                <w:rFonts w:eastAsia="Calibri"/>
                <w:sz w:val="22"/>
                <w:szCs w:val="22"/>
                <w:lang w:eastAsia="en-US"/>
              </w:rPr>
              <w:t>0,01-0,1 (</w:t>
            </w:r>
            <w:r w:rsidRPr="00D53A2B">
              <w:rPr>
                <w:rFonts w:eastAsia="Calibri"/>
                <w:sz w:val="22"/>
                <w:szCs w:val="22"/>
                <w:vertAlign w:val="superscript"/>
                <w:lang w:eastAsia="en-US"/>
              </w:rPr>
              <w:t>4</w:t>
            </w:r>
            <w:r w:rsidRPr="00D53A2B">
              <w:rPr>
                <w:rFonts w:eastAsia="Calibri"/>
                <w:sz w:val="22"/>
                <w:szCs w:val="22"/>
                <w:lang w:eastAsia="en-US"/>
              </w:rPr>
              <w:t>)</w:t>
            </w:r>
          </w:p>
        </w:tc>
        <w:tc>
          <w:tcPr>
            <w:tcW w:w="3573" w:type="dxa"/>
          </w:tcPr>
          <w:p w14:paraId="6E42DD07" w14:textId="50423977" w:rsidR="00BD1109" w:rsidRPr="00D53A2B" w:rsidRDefault="00BD1109"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BD1109" w:rsidRPr="00D53A2B" w14:paraId="7DB91623" w14:textId="77777777" w:rsidTr="00C86A85">
        <w:tc>
          <w:tcPr>
            <w:tcW w:w="1079" w:type="dxa"/>
            <w:vMerge/>
          </w:tcPr>
          <w:p w14:paraId="4017A61D" w14:textId="77777777" w:rsidR="00BD1109" w:rsidRPr="00D53A2B" w:rsidRDefault="00BD1109" w:rsidP="00A202FD">
            <w:pPr>
              <w:jc w:val="both"/>
              <w:rPr>
                <w:rFonts w:eastAsia="Calibri"/>
                <w:sz w:val="22"/>
                <w:szCs w:val="22"/>
                <w:lang w:eastAsia="en-US"/>
              </w:rPr>
            </w:pPr>
          </w:p>
        </w:tc>
        <w:tc>
          <w:tcPr>
            <w:tcW w:w="2108" w:type="dxa"/>
          </w:tcPr>
          <w:p w14:paraId="664C78A8" w14:textId="4416A8F9" w:rsidR="00BD1109" w:rsidRPr="00D53A2B" w:rsidRDefault="00BD1109" w:rsidP="00A202FD">
            <w:pPr>
              <w:jc w:val="both"/>
              <w:rPr>
                <w:rFonts w:eastAsia="Calibri"/>
                <w:sz w:val="22"/>
                <w:szCs w:val="22"/>
                <w:lang w:eastAsia="en-US"/>
              </w:rPr>
            </w:pPr>
            <w:r w:rsidRPr="00D53A2B">
              <w:rPr>
                <w:rFonts w:eastAsia="Calibri"/>
                <w:sz w:val="22"/>
                <w:szCs w:val="22"/>
                <w:lang w:eastAsia="en-US"/>
              </w:rPr>
              <w:t>Cr(VI)</w:t>
            </w:r>
          </w:p>
        </w:tc>
        <w:tc>
          <w:tcPr>
            <w:tcW w:w="835" w:type="dxa"/>
            <w:vAlign w:val="center"/>
          </w:tcPr>
          <w:p w14:paraId="1EBDA1DF" w14:textId="548EC1C8" w:rsidR="00BD1109" w:rsidRPr="00D53A2B" w:rsidRDefault="00BD1109" w:rsidP="00A202FD">
            <w:pPr>
              <w:jc w:val="both"/>
              <w:rPr>
                <w:rFonts w:eastAsia="Calibri"/>
                <w:sz w:val="22"/>
                <w:szCs w:val="22"/>
                <w:lang w:eastAsia="en-US"/>
              </w:rPr>
            </w:pPr>
            <w:r w:rsidRPr="00D53A2B">
              <w:rPr>
                <w:rFonts w:eastAsia="Calibri"/>
                <w:sz w:val="22"/>
                <w:szCs w:val="22"/>
                <w:lang w:eastAsia="en-US"/>
              </w:rPr>
              <w:t>μg/l</w:t>
            </w:r>
          </w:p>
        </w:tc>
        <w:tc>
          <w:tcPr>
            <w:tcW w:w="1331" w:type="dxa"/>
          </w:tcPr>
          <w:p w14:paraId="6BF79D82" w14:textId="1D3BA380" w:rsidR="00BD1109" w:rsidRPr="00D53A2B" w:rsidRDefault="00BD1109" w:rsidP="00A202FD">
            <w:pPr>
              <w:jc w:val="both"/>
              <w:rPr>
                <w:rFonts w:eastAsia="Calibri"/>
                <w:sz w:val="22"/>
                <w:szCs w:val="22"/>
                <w:lang w:eastAsia="en-US"/>
              </w:rPr>
            </w:pPr>
            <w:r w:rsidRPr="00D53A2B">
              <w:rPr>
                <w:rFonts w:eastAsia="Calibri"/>
                <w:sz w:val="22"/>
                <w:szCs w:val="22"/>
                <w:lang w:eastAsia="en-US"/>
              </w:rPr>
              <w:t>10-50</w:t>
            </w:r>
          </w:p>
        </w:tc>
        <w:tc>
          <w:tcPr>
            <w:tcW w:w="3573" w:type="dxa"/>
          </w:tcPr>
          <w:p w14:paraId="15627898" w14:textId="67D3929E" w:rsidR="00BD1109" w:rsidRPr="00D53A2B" w:rsidRDefault="00BD1109" w:rsidP="00A202FD">
            <w:pPr>
              <w:jc w:val="both"/>
              <w:rPr>
                <w:rFonts w:eastAsia="Calibri"/>
                <w:sz w:val="22"/>
                <w:szCs w:val="22"/>
                <w:lang w:eastAsia="en-US"/>
              </w:rPr>
            </w:pPr>
            <w:r w:rsidRPr="00D53A2B">
              <w:rPr>
                <w:rFonts w:eastAsia="Calibri"/>
                <w:sz w:val="22"/>
                <w:szCs w:val="22"/>
                <w:lang w:eastAsia="en-US"/>
              </w:rPr>
              <w:t>Yüksek alaşımlı çeliklerin dekapajı veya altı değerlikli krom bileşikleri ile pasifleştirilmesi.</w:t>
            </w:r>
          </w:p>
        </w:tc>
      </w:tr>
      <w:tr w:rsidR="00BD1109" w:rsidRPr="00D53A2B" w14:paraId="08261399" w14:textId="77777777" w:rsidTr="00C86A85">
        <w:tc>
          <w:tcPr>
            <w:tcW w:w="1079" w:type="dxa"/>
            <w:vMerge/>
          </w:tcPr>
          <w:p w14:paraId="5AD7D683" w14:textId="77777777" w:rsidR="00BD1109" w:rsidRPr="00D53A2B" w:rsidRDefault="00BD1109" w:rsidP="00A202FD">
            <w:pPr>
              <w:jc w:val="both"/>
              <w:rPr>
                <w:rFonts w:eastAsia="Calibri"/>
                <w:sz w:val="22"/>
                <w:szCs w:val="22"/>
                <w:lang w:eastAsia="en-US"/>
              </w:rPr>
            </w:pPr>
          </w:p>
        </w:tc>
        <w:tc>
          <w:tcPr>
            <w:tcW w:w="2108" w:type="dxa"/>
          </w:tcPr>
          <w:p w14:paraId="254D56E1" w14:textId="0C072369" w:rsidR="00BD1109" w:rsidRPr="00D53A2B" w:rsidRDefault="00BD1109" w:rsidP="00A202FD">
            <w:pPr>
              <w:jc w:val="both"/>
              <w:rPr>
                <w:rFonts w:eastAsia="Calibri"/>
                <w:sz w:val="22"/>
                <w:szCs w:val="22"/>
                <w:lang w:eastAsia="en-US"/>
              </w:rPr>
            </w:pPr>
            <w:r w:rsidRPr="00D53A2B">
              <w:rPr>
                <w:rFonts w:eastAsia="Calibri"/>
                <w:sz w:val="22"/>
                <w:szCs w:val="22"/>
                <w:lang w:eastAsia="en-US"/>
              </w:rPr>
              <w:t>Fe</w:t>
            </w:r>
          </w:p>
        </w:tc>
        <w:tc>
          <w:tcPr>
            <w:tcW w:w="835" w:type="dxa"/>
            <w:vAlign w:val="center"/>
          </w:tcPr>
          <w:p w14:paraId="230AAFCF" w14:textId="1EA75B3B" w:rsidR="00BD1109" w:rsidRPr="00D53A2B" w:rsidRDefault="00BD1109" w:rsidP="00A202FD">
            <w:pPr>
              <w:jc w:val="both"/>
              <w:rPr>
                <w:rFonts w:eastAsia="Calibri"/>
                <w:sz w:val="22"/>
                <w:szCs w:val="22"/>
                <w:lang w:eastAsia="en-US"/>
              </w:rPr>
            </w:pPr>
            <w:r w:rsidRPr="00D53A2B">
              <w:rPr>
                <w:rFonts w:eastAsia="Calibri"/>
                <w:sz w:val="22"/>
                <w:szCs w:val="22"/>
                <w:lang w:eastAsia="en-US"/>
              </w:rPr>
              <w:t>mg/l</w:t>
            </w:r>
          </w:p>
        </w:tc>
        <w:tc>
          <w:tcPr>
            <w:tcW w:w="1331" w:type="dxa"/>
            <w:vAlign w:val="center"/>
          </w:tcPr>
          <w:p w14:paraId="6C076945" w14:textId="1563AF57" w:rsidR="00BD1109" w:rsidRPr="00D53A2B" w:rsidRDefault="00BD1109" w:rsidP="00A202FD">
            <w:pPr>
              <w:jc w:val="both"/>
              <w:rPr>
                <w:rFonts w:eastAsia="Calibri"/>
                <w:sz w:val="22"/>
                <w:szCs w:val="22"/>
                <w:lang w:eastAsia="en-US"/>
              </w:rPr>
            </w:pPr>
            <w:r w:rsidRPr="00D53A2B">
              <w:rPr>
                <w:rFonts w:eastAsia="Calibri"/>
                <w:sz w:val="22"/>
                <w:szCs w:val="22"/>
                <w:lang w:eastAsia="en-US"/>
              </w:rPr>
              <w:t>1-5</w:t>
            </w:r>
          </w:p>
        </w:tc>
        <w:tc>
          <w:tcPr>
            <w:tcW w:w="3573" w:type="dxa"/>
            <w:vAlign w:val="center"/>
          </w:tcPr>
          <w:p w14:paraId="735E6A6F" w14:textId="64218BC1" w:rsidR="00BD1109" w:rsidRPr="00D53A2B" w:rsidRDefault="00BD1109" w:rsidP="00A202FD">
            <w:pPr>
              <w:jc w:val="both"/>
              <w:rPr>
                <w:rFonts w:eastAsia="Calibri"/>
                <w:sz w:val="22"/>
                <w:szCs w:val="22"/>
                <w:lang w:eastAsia="en-US"/>
              </w:rPr>
            </w:pPr>
            <w:r w:rsidRPr="00D53A2B">
              <w:rPr>
                <w:rFonts w:eastAsia="Calibri"/>
                <w:sz w:val="22"/>
                <w:szCs w:val="22"/>
                <w:lang w:eastAsia="en-US"/>
              </w:rPr>
              <w:t>Tüm prosesler</w:t>
            </w:r>
          </w:p>
        </w:tc>
      </w:tr>
      <w:tr w:rsidR="00BD1109" w:rsidRPr="00D53A2B" w14:paraId="45F26C17" w14:textId="77777777" w:rsidTr="00C86A85">
        <w:tc>
          <w:tcPr>
            <w:tcW w:w="1079" w:type="dxa"/>
            <w:vMerge/>
          </w:tcPr>
          <w:p w14:paraId="11B85352" w14:textId="77777777" w:rsidR="00BD1109" w:rsidRPr="00D53A2B" w:rsidRDefault="00BD1109" w:rsidP="00A202FD">
            <w:pPr>
              <w:jc w:val="both"/>
              <w:rPr>
                <w:rFonts w:eastAsia="Calibri"/>
                <w:sz w:val="22"/>
                <w:szCs w:val="22"/>
                <w:lang w:eastAsia="en-US"/>
              </w:rPr>
            </w:pPr>
          </w:p>
        </w:tc>
        <w:tc>
          <w:tcPr>
            <w:tcW w:w="2108" w:type="dxa"/>
          </w:tcPr>
          <w:p w14:paraId="67613D37" w14:textId="7FBADB0F" w:rsidR="00BD1109" w:rsidRPr="00D53A2B" w:rsidRDefault="00BD1109" w:rsidP="00A202FD">
            <w:pPr>
              <w:jc w:val="both"/>
              <w:rPr>
                <w:rFonts w:eastAsia="Calibri"/>
                <w:sz w:val="22"/>
                <w:szCs w:val="22"/>
                <w:lang w:eastAsia="en-US"/>
              </w:rPr>
            </w:pPr>
            <w:r w:rsidRPr="00D53A2B">
              <w:rPr>
                <w:rFonts w:eastAsia="Calibri"/>
                <w:sz w:val="22"/>
                <w:szCs w:val="22"/>
                <w:lang w:eastAsia="en-US"/>
              </w:rPr>
              <w:t>Hg</w:t>
            </w:r>
          </w:p>
        </w:tc>
        <w:tc>
          <w:tcPr>
            <w:tcW w:w="835" w:type="dxa"/>
            <w:vAlign w:val="center"/>
          </w:tcPr>
          <w:p w14:paraId="18764B50" w14:textId="2C4A6C55" w:rsidR="00BD1109" w:rsidRPr="00D53A2B" w:rsidRDefault="00BD1109" w:rsidP="00A202FD">
            <w:pPr>
              <w:jc w:val="both"/>
              <w:rPr>
                <w:rFonts w:eastAsia="Calibri"/>
                <w:sz w:val="22"/>
                <w:szCs w:val="22"/>
                <w:lang w:eastAsia="en-US"/>
              </w:rPr>
            </w:pPr>
            <w:r w:rsidRPr="00D53A2B">
              <w:rPr>
                <w:rFonts w:eastAsia="Calibri"/>
                <w:sz w:val="22"/>
                <w:szCs w:val="22"/>
                <w:lang w:eastAsia="en-US"/>
              </w:rPr>
              <w:t>μg/l</w:t>
            </w:r>
          </w:p>
        </w:tc>
        <w:tc>
          <w:tcPr>
            <w:tcW w:w="1331" w:type="dxa"/>
            <w:vAlign w:val="center"/>
          </w:tcPr>
          <w:p w14:paraId="0D33F7DC" w14:textId="52D60C2C" w:rsidR="00BD1109" w:rsidRPr="00D53A2B" w:rsidRDefault="00BD1109" w:rsidP="00A202FD">
            <w:pPr>
              <w:jc w:val="both"/>
              <w:rPr>
                <w:rFonts w:eastAsia="Calibri"/>
                <w:sz w:val="22"/>
                <w:szCs w:val="22"/>
                <w:lang w:eastAsia="en-US"/>
              </w:rPr>
            </w:pPr>
            <w:r w:rsidRPr="00D53A2B">
              <w:rPr>
                <w:rFonts w:eastAsia="Calibri"/>
                <w:sz w:val="22"/>
                <w:szCs w:val="22"/>
                <w:lang w:eastAsia="en-US"/>
              </w:rPr>
              <w:t>0,1-0,5</w:t>
            </w:r>
          </w:p>
        </w:tc>
        <w:tc>
          <w:tcPr>
            <w:tcW w:w="3573" w:type="dxa"/>
            <w:vAlign w:val="center"/>
          </w:tcPr>
          <w:p w14:paraId="1DB86474" w14:textId="75FB4EC4" w:rsidR="00BD1109" w:rsidRPr="00D53A2B" w:rsidRDefault="00BD1109"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BD1109" w:rsidRPr="00D53A2B" w14:paraId="6354A0CC" w14:textId="77777777" w:rsidTr="00C86A85">
        <w:tc>
          <w:tcPr>
            <w:tcW w:w="1079" w:type="dxa"/>
            <w:vMerge/>
          </w:tcPr>
          <w:p w14:paraId="4FE1E8DB" w14:textId="77777777" w:rsidR="00BD1109" w:rsidRPr="00D53A2B" w:rsidRDefault="00BD1109" w:rsidP="00A202FD">
            <w:pPr>
              <w:jc w:val="both"/>
              <w:rPr>
                <w:rFonts w:eastAsia="Calibri"/>
                <w:sz w:val="22"/>
                <w:szCs w:val="22"/>
                <w:lang w:eastAsia="en-US"/>
              </w:rPr>
            </w:pPr>
          </w:p>
        </w:tc>
        <w:tc>
          <w:tcPr>
            <w:tcW w:w="2108" w:type="dxa"/>
            <w:vAlign w:val="center"/>
          </w:tcPr>
          <w:p w14:paraId="28AEEAA2" w14:textId="34AF99C6" w:rsidR="00BD1109" w:rsidRPr="00D53A2B" w:rsidRDefault="00BD1109" w:rsidP="00A202FD">
            <w:pPr>
              <w:jc w:val="both"/>
              <w:rPr>
                <w:rFonts w:eastAsia="Calibri"/>
                <w:sz w:val="22"/>
                <w:szCs w:val="22"/>
                <w:lang w:eastAsia="en-US"/>
              </w:rPr>
            </w:pPr>
            <w:r w:rsidRPr="00D53A2B">
              <w:rPr>
                <w:rFonts w:eastAsia="Calibri"/>
                <w:sz w:val="22"/>
                <w:szCs w:val="22"/>
                <w:lang w:eastAsia="en-US"/>
              </w:rPr>
              <w:t>Ni</w:t>
            </w:r>
          </w:p>
        </w:tc>
        <w:tc>
          <w:tcPr>
            <w:tcW w:w="835" w:type="dxa"/>
            <w:vAlign w:val="center"/>
          </w:tcPr>
          <w:p w14:paraId="596C10DB" w14:textId="3C1D2865" w:rsidR="00BD1109" w:rsidRPr="00D53A2B" w:rsidRDefault="00BD1109" w:rsidP="00A202FD">
            <w:pPr>
              <w:jc w:val="both"/>
              <w:rPr>
                <w:rFonts w:eastAsia="Calibri"/>
                <w:sz w:val="22"/>
                <w:szCs w:val="22"/>
                <w:lang w:eastAsia="en-US"/>
              </w:rPr>
            </w:pPr>
            <w:r w:rsidRPr="00D53A2B">
              <w:rPr>
                <w:rFonts w:eastAsia="Calibri"/>
                <w:sz w:val="22"/>
                <w:szCs w:val="22"/>
                <w:lang w:eastAsia="en-US"/>
              </w:rPr>
              <w:t>mg/l</w:t>
            </w:r>
          </w:p>
        </w:tc>
        <w:tc>
          <w:tcPr>
            <w:tcW w:w="1331" w:type="dxa"/>
            <w:vAlign w:val="center"/>
          </w:tcPr>
          <w:p w14:paraId="21CF90C1" w14:textId="01173486" w:rsidR="00BD1109" w:rsidRPr="00D53A2B" w:rsidRDefault="00BD1109" w:rsidP="00A202FD">
            <w:pPr>
              <w:jc w:val="both"/>
              <w:rPr>
                <w:rFonts w:eastAsia="Calibri"/>
                <w:sz w:val="22"/>
                <w:szCs w:val="22"/>
                <w:lang w:eastAsia="en-US"/>
              </w:rPr>
            </w:pPr>
            <w:r w:rsidRPr="00D53A2B">
              <w:rPr>
                <w:rFonts w:eastAsia="Calibri"/>
                <w:sz w:val="22"/>
                <w:szCs w:val="22"/>
                <w:lang w:eastAsia="en-US"/>
              </w:rPr>
              <w:t>0.01-0.2 (</w:t>
            </w:r>
            <w:r w:rsidRPr="00D53A2B">
              <w:rPr>
                <w:rFonts w:eastAsia="Calibri"/>
                <w:sz w:val="22"/>
                <w:szCs w:val="22"/>
                <w:vertAlign w:val="superscript"/>
                <w:lang w:eastAsia="en-US"/>
              </w:rPr>
              <w:t>5</w:t>
            </w:r>
            <w:r w:rsidRPr="00D53A2B">
              <w:rPr>
                <w:rFonts w:eastAsia="Calibri"/>
                <w:sz w:val="22"/>
                <w:szCs w:val="22"/>
                <w:lang w:eastAsia="en-US"/>
              </w:rPr>
              <w:t>)</w:t>
            </w:r>
          </w:p>
        </w:tc>
        <w:tc>
          <w:tcPr>
            <w:tcW w:w="3573" w:type="dxa"/>
            <w:vAlign w:val="center"/>
          </w:tcPr>
          <w:p w14:paraId="32F104DF" w14:textId="1FB30E56" w:rsidR="00BD1109" w:rsidRPr="00D53A2B" w:rsidRDefault="00BD1109"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BD1109" w:rsidRPr="00D53A2B" w14:paraId="1310E4AB" w14:textId="77777777" w:rsidTr="00C86A85">
        <w:tc>
          <w:tcPr>
            <w:tcW w:w="1079" w:type="dxa"/>
            <w:vMerge/>
          </w:tcPr>
          <w:p w14:paraId="21874408" w14:textId="77777777" w:rsidR="00BD1109" w:rsidRPr="00D53A2B" w:rsidRDefault="00BD1109" w:rsidP="00A202FD">
            <w:pPr>
              <w:jc w:val="both"/>
              <w:rPr>
                <w:rFonts w:eastAsia="Calibri"/>
                <w:sz w:val="22"/>
                <w:szCs w:val="22"/>
                <w:lang w:eastAsia="en-US"/>
              </w:rPr>
            </w:pPr>
          </w:p>
        </w:tc>
        <w:tc>
          <w:tcPr>
            <w:tcW w:w="2108" w:type="dxa"/>
            <w:vAlign w:val="center"/>
          </w:tcPr>
          <w:p w14:paraId="5D49A8D7" w14:textId="4FAB1ED0" w:rsidR="00BD1109" w:rsidRPr="00D53A2B" w:rsidRDefault="00BD1109" w:rsidP="00A202FD">
            <w:pPr>
              <w:jc w:val="both"/>
              <w:rPr>
                <w:rFonts w:eastAsia="Calibri"/>
                <w:sz w:val="22"/>
                <w:szCs w:val="22"/>
                <w:lang w:eastAsia="en-US"/>
              </w:rPr>
            </w:pPr>
            <w:r w:rsidRPr="00D53A2B">
              <w:rPr>
                <w:rFonts w:eastAsia="Calibri"/>
                <w:sz w:val="22"/>
                <w:szCs w:val="22"/>
                <w:lang w:eastAsia="en-US"/>
              </w:rPr>
              <w:t>Pb</w:t>
            </w:r>
          </w:p>
        </w:tc>
        <w:tc>
          <w:tcPr>
            <w:tcW w:w="835" w:type="dxa"/>
            <w:vAlign w:val="center"/>
          </w:tcPr>
          <w:p w14:paraId="6DDF3A50" w14:textId="45A37099" w:rsidR="00BD1109" w:rsidRPr="00D53A2B" w:rsidRDefault="00BD1109" w:rsidP="00A202FD">
            <w:pPr>
              <w:jc w:val="both"/>
              <w:rPr>
                <w:rFonts w:eastAsia="Calibri"/>
                <w:sz w:val="22"/>
                <w:szCs w:val="22"/>
                <w:lang w:eastAsia="en-US"/>
              </w:rPr>
            </w:pPr>
            <w:r w:rsidRPr="00D53A2B">
              <w:rPr>
                <w:rFonts w:eastAsia="Calibri"/>
                <w:sz w:val="22"/>
                <w:szCs w:val="22"/>
                <w:lang w:eastAsia="en-US"/>
              </w:rPr>
              <w:t>μg/l</w:t>
            </w:r>
          </w:p>
        </w:tc>
        <w:tc>
          <w:tcPr>
            <w:tcW w:w="1331" w:type="dxa"/>
            <w:vAlign w:val="center"/>
          </w:tcPr>
          <w:p w14:paraId="27CCF2B8" w14:textId="7246A5C9" w:rsidR="00BD1109" w:rsidRPr="00D53A2B" w:rsidRDefault="00BD1109" w:rsidP="00A202FD">
            <w:pPr>
              <w:jc w:val="both"/>
              <w:rPr>
                <w:rFonts w:eastAsia="Calibri"/>
                <w:sz w:val="22"/>
                <w:szCs w:val="22"/>
                <w:lang w:eastAsia="en-US"/>
              </w:rPr>
            </w:pPr>
            <w:r w:rsidRPr="00D53A2B">
              <w:rPr>
                <w:rFonts w:eastAsia="Calibri"/>
                <w:sz w:val="22"/>
                <w:szCs w:val="22"/>
                <w:lang w:eastAsia="en-US"/>
              </w:rPr>
              <w:t>5-20 (</w:t>
            </w:r>
            <w:r w:rsidRPr="00D53A2B">
              <w:rPr>
                <w:rFonts w:eastAsia="Calibri"/>
                <w:sz w:val="22"/>
                <w:szCs w:val="22"/>
                <w:vertAlign w:val="superscript"/>
                <w:lang w:eastAsia="en-US"/>
              </w:rPr>
              <w:t>6</w:t>
            </w:r>
            <w:r w:rsidRPr="00D53A2B">
              <w:rPr>
                <w:rFonts w:eastAsia="Calibri"/>
                <w:sz w:val="22"/>
                <w:szCs w:val="22"/>
                <w:lang w:eastAsia="en-US"/>
              </w:rPr>
              <w:t>) (</w:t>
            </w:r>
            <w:r w:rsidRPr="00D53A2B">
              <w:rPr>
                <w:rFonts w:eastAsia="Calibri"/>
                <w:sz w:val="22"/>
                <w:szCs w:val="22"/>
                <w:vertAlign w:val="superscript"/>
                <w:lang w:eastAsia="en-US"/>
              </w:rPr>
              <w:t>7</w:t>
            </w:r>
            <w:r w:rsidRPr="00D53A2B">
              <w:rPr>
                <w:rFonts w:eastAsia="Calibri"/>
                <w:sz w:val="22"/>
                <w:szCs w:val="22"/>
                <w:lang w:eastAsia="en-US"/>
              </w:rPr>
              <w:t>)</w:t>
            </w:r>
          </w:p>
        </w:tc>
        <w:tc>
          <w:tcPr>
            <w:tcW w:w="3573" w:type="dxa"/>
            <w:vAlign w:val="center"/>
          </w:tcPr>
          <w:p w14:paraId="7C8846CB" w14:textId="3339AE25" w:rsidR="00BD1109" w:rsidRPr="00D53A2B" w:rsidRDefault="00BD1109"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BD1109" w:rsidRPr="00D53A2B" w14:paraId="36D8976F" w14:textId="77777777" w:rsidTr="00C86A85">
        <w:tc>
          <w:tcPr>
            <w:tcW w:w="1079" w:type="dxa"/>
            <w:vMerge/>
          </w:tcPr>
          <w:p w14:paraId="6A679495" w14:textId="77777777" w:rsidR="00BD1109" w:rsidRPr="00D53A2B" w:rsidRDefault="00BD1109" w:rsidP="00A202FD">
            <w:pPr>
              <w:jc w:val="both"/>
              <w:rPr>
                <w:rFonts w:eastAsia="Calibri"/>
                <w:sz w:val="22"/>
                <w:szCs w:val="22"/>
                <w:lang w:eastAsia="en-US"/>
              </w:rPr>
            </w:pPr>
          </w:p>
        </w:tc>
        <w:tc>
          <w:tcPr>
            <w:tcW w:w="2108" w:type="dxa"/>
            <w:vAlign w:val="center"/>
          </w:tcPr>
          <w:p w14:paraId="22BC0DD8" w14:textId="72CA0240" w:rsidR="00BD1109" w:rsidRPr="00D53A2B" w:rsidRDefault="00BD1109" w:rsidP="00A202FD">
            <w:pPr>
              <w:jc w:val="both"/>
              <w:rPr>
                <w:rFonts w:eastAsia="Calibri"/>
                <w:sz w:val="22"/>
                <w:szCs w:val="22"/>
                <w:lang w:eastAsia="en-US"/>
              </w:rPr>
            </w:pPr>
            <w:r w:rsidRPr="00D53A2B">
              <w:rPr>
                <w:rFonts w:eastAsia="Calibri"/>
                <w:sz w:val="22"/>
                <w:szCs w:val="22"/>
                <w:lang w:eastAsia="en-US"/>
              </w:rPr>
              <w:t>Sn</w:t>
            </w:r>
          </w:p>
        </w:tc>
        <w:tc>
          <w:tcPr>
            <w:tcW w:w="835" w:type="dxa"/>
            <w:vAlign w:val="center"/>
          </w:tcPr>
          <w:p w14:paraId="236BD8A9" w14:textId="2A23897B" w:rsidR="00BD1109" w:rsidRPr="00D53A2B" w:rsidRDefault="00BD1109" w:rsidP="00A202FD">
            <w:pPr>
              <w:jc w:val="both"/>
              <w:rPr>
                <w:rFonts w:eastAsia="Calibri"/>
                <w:sz w:val="22"/>
                <w:szCs w:val="22"/>
                <w:lang w:eastAsia="en-US"/>
              </w:rPr>
            </w:pPr>
            <w:r w:rsidRPr="00D53A2B">
              <w:rPr>
                <w:rFonts w:eastAsia="Calibri"/>
                <w:sz w:val="22"/>
                <w:szCs w:val="22"/>
                <w:lang w:eastAsia="en-US"/>
              </w:rPr>
              <w:t>mg/l</w:t>
            </w:r>
          </w:p>
        </w:tc>
        <w:tc>
          <w:tcPr>
            <w:tcW w:w="1331" w:type="dxa"/>
            <w:vAlign w:val="center"/>
          </w:tcPr>
          <w:p w14:paraId="7B637FEA" w14:textId="1B3A3169" w:rsidR="00BD1109" w:rsidRPr="00D53A2B" w:rsidRDefault="00BD1109" w:rsidP="00A202FD">
            <w:pPr>
              <w:jc w:val="both"/>
              <w:rPr>
                <w:rFonts w:eastAsia="Calibri"/>
                <w:sz w:val="22"/>
                <w:szCs w:val="22"/>
                <w:lang w:eastAsia="en-US"/>
              </w:rPr>
            </w:pPr>
            <w:r w:rsidRPr="00D53A2B">
              <w:rPr>
                <w:rFonts w:eastAsia="Calibri"/>
                <w:sz w:val="22"/>
                <w:szCs w:val="22"/>
                <w:lang w:eastAsia="en-US"/>
              </w:rPr>
              <w:t>0,01-0,2</w:t>
            </w:r>
          </w:p>
        </w:tc>
        <w:tc>
          <w:tcPr>
            <w:tcW w:w="3573" w:type="dxa"/>
            <w:vAlign w:val="center"/>
          </w:tcPr>
          <w:p w14:paraId="332F40E0" w14:textId="46DA8BB2" w:rsidR="00BD1109" w:rsidRPr="00D53A2B" w:rsidRDefault="00BD1109" w:rsidP="00A202FD">
            <w:pPr>
              <w:jc w:val="both"/>
              <w:rPr>
                <w:rFonts w:eastAsia="Calibri"/>
                <w:sz w:val="22"/>
                <w:szCs w:val="22"/>
                <w:lang w:eastAsia="en-US"/>
              </w:rPr>
            </w:pPr>
            <w:r w:rsidRPr="00D53A2B">
              <w:rPr>
                <w:rFonts w:eastAsia="Calibri"/>
                <w:sz w:val="22"/>
                <w:szCs w:val="22"/>
                <w:lang w:eastAsia="en-US"/>
              </w:rPr>
              <w:t>Kalay kullanarak sıcak daldırmalı kaplama</w:t>
            </w:r>
          </w:p>
        </w:tc>
      </w:tr>
      <w:tr w:rsidR="00BD1109" w:rsidRPr="00D53A2B" w14:paraId="34301AA3" w14:textId="77777777" w:rsidTr="00C86A85">
        <w:tc>
          <w:tcPr>
            <w:tcW w:w="1079" w:type="dxa"/>
            <w:vMerge/>
          </w:tcPr>
          <w:p w14:paraId="6C4827B5" w14:textId="77777777" w:rsidR="00BD1109" w:rsidRPr="00D53A2B" w:rsidRDefault="00BD1109" w:rsidP="00A202FD">
            <w:pPr>
              <w:jc w:val="both"/>
              <w:rPr>
                <w:rFonts w:eastAsia="Calibri"/>
                <w:sz w:val="22"/>
                <w:szCs w:val="22"/>
                <w:lang w:eastAsia="en-US"/>
              </w:rPr>
            </w:pPr>
          </w:p>
        </w:tc>
        <w:tc>
          <w:tcPr>
            <w:tcW w:w="2108" w:type="dxa"/>
            <w:vAlign w:val="center"/>
          </w:tcPr>
          <w:p w14:paraId="27284843" w14:textId="4AC558A5" w:rsidR="00BD1109" w:rsidRPr="00D53A2B" w:rsidRDefault="00BD1109" w:rsidP="00A202FD">
            <w:pPr>
              <w:jc w:val="both"/>
              <w:rPr>
                <w:rFonts w:eastAsia="Calibri"/>
                <w:sz w:val="22"/>
                <w:szCs w:val="22"/>
                <w:lang w:eastAsia="en-US"/>
              </w:rPr>
            </w:pPr>
            <w:r w:rsidRPr="00D53A2B">
              <w:rPr>
                <w:rFonts w:eastAsia="Calibri"/>
                <w:sz w:val="22"/>
                <w:szCs w:val="22"/>
                <w:lang w:eastAsia="en-US"/>
              </w:rPr>
              <w:t>Zn</w:t>
            </w:r>
          </w:p>
        </w:tc>
        <w:tc>
          <w:tcPr>
            <w:tcW w:w="835" w:type="dxa"/>
            <w:vAlign w:val="center"/>
          </w:tcPr>
          <w:p w14:paraId="4F68EF68" w14:textId="305DFCBD" w:rsidR="00BD1109" w:rsidRPr="00D53A2B" w:rsidRDefault="00BD1109" w:rsidP="00A202FD">
            <w:pPr>
              <w:jc w:val="both"/>
              <w:rPr>
                <w:rFonts w:eastAsia="Calibri"/>
                <w:sz w:val="22"/>
                <w:szCs w:val="22"/>
                <w:lang w:eastAsia="en-US"/>
              </w:rPr>
            </w:pPr>
            <w:r w:rsidRPr="00D53A2B">
              <w:rPr>
                <w:rFonts w:eastAsia="Calibri"/>
                <w:sz w:val="22"/>
                <w:szCs w:val="22"/>
                <w:lang w:eastAsia="en-US"/>
              </w:rPr>
              <w:t>mg/l</w:t>
            </w:r>
          </w:p>
        </w:tc>
        <w:tc>
          <w:tcPr>
            <w:tcW w:w="1331" w:type="dxa"/>
            <w:vAlign w:val="center"/>
          </w:tcPr>
          <w:p w14:paraId="07B5440C" w14:textId="127195B4" w:rsidR="00BD1109" w:rsidRPr="00D53A2B" w:rsidRDefault="00BD1109" w:rsidP="00A202FD">
            <w:pPr>
              <w:jc w:val="both"/>
              <w:rPr>
                <w:rFonts w:eastAsia="Calibri"/>
                <w:sz w:val="22"/>
                <w:szCs w:val="22"/>
                <w:lang w:eastAsia="en-US"/>
              </w:rPr>
            </w:pPr>
            <w:r w:rsidRPr="00D53A2B">
              <w:rPr>
                <w:rFonts w:eastAsia="Calibri"/>
                <w:sz w:val="22"/>
                <w:szCs w:val="22"/>
                <w:lang w:eastAsia="en-US"/>
              </w:rPr>
              <w:t>0,05-1</w:t>
            </w:r>
          </w:p>
        </w:tc>
        <w:tc>
          <w:tcPr>
            <w:tcW w:w="3573" w:type="dxa"/>
            <w:vAlign w:val="center"/>
          </w:tcPr>
          <w:p w14:paraId="50003CFA" w14:textId="492E05BA" w:rsidR="00BD1109" w:rsidRPr="00D53A2B" w:rsidRDefault="00BD1109"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BD1109" w:rsidRPr="00D53A2B" w14:paraId="047B594F" w14:textId="77777777" w:rsidTr="00C86A85">
        <w:tc>
          <w:tcPr>
            <w:tcW w:w="3187" w:type="dxa"/>
            <w:gridSpan w:val="2"/>
          </w:tcPr>
          <w:p w14:paraId="75937158" w14:textId="65286F92" w:rsidR="00BD1109" w:rsidRPr="00D53A2B" w:rsidRDefault="00BD1109" w:rsidP="00A202FD">
            <w:pPr>
              <w:jc w:val="both"/>
              <w:rPr>
                <w:rFonts w:eastAsia="Calibri"/>
                <w:sz w:val="22"/>
                <w:szCs w:val="22"/>
                <w:lang w:eastAsia="en-US"/>
              </w:rPr>
            </w:pPr>
            <w:r w:rsidRPr="00D53A2B">
              <w:rPr>
                <w:rFonts w:eastAsia="Calibri"/>
                <w:sz w:val="22"/>
                <w:szCs w:val="22"/>
                <w:lang w:eastAsia="en-US"/>
              </w:rPr>
              <w:t>Toplam fosfor (Toplam P)</w:t>
            </w:r>
          </w:p>
        </w:tc>
        <w:tc>
          <w:tcPr>
            <w:tcW w:w="835" w:type="dxa"/>
          </w:tcPr>
          <w:p w14:paraId="3470263E" w14:textId="3930BED9" w:rsidR="00BD1109" w:rsidRPr="00D53A2B" w:rsidRDefault="00BD1109" w:rsidP="00A202FD">
            <w:pPr>
              <w:jc w:val="both"/>
              <w:rPr>
                <w:rFonts w:eastAsia="Calibri"/>
                <w:sz w:val="22"/>
                <w:szCs w:val="22"/>
                <w:lang w:eastAsia="en-US"/>
              </w:rPr>
            </w:pPr>
            <w:r w:rsidRPr="00D53A2B">
              <w:rPr>
                <w:rFonts w:eastAsia="Calibri"/>
                <w:sz w:val="22"/>
                <w:szCs w:val="22"/>
                <w:lang w:eastAsia="en-US"/>
              </w:rPr>
              <w:t>mg/l</w:t>
            </w:r>
          </w:p>
        </w:tc>
        <w:tc>
          <w:tcPr>
            <w:tcW w:w="1331" w:type="dxa"/>
          </w:tcPr>
          <w:p w14:paraId="4D77FA4E" w14:textId="605F4C03" w:rsidR="00BD1109" w:rsidRPr="00D53A2B" w:rsidRDefault="00BD1109" w:rsidP="00A202FD">
            <w:pPr>
              <w:jc w:val="both"/>
              <w:rPr>
                <w:rFonts w:eastAsia="Calibri"/>
                <w:sz w:val="22"/>
                <w:szCs w:val="22"/>
                <w:lang w:eastAsia="en-US"/>
              </w:rPr>
            </w:pPr>
            <w:r w:rsidRPr="00D53A2B">
              <w:rPr>
                <w:rFonts w:eastAsia="Calibri"/>
                <w:sz w:val="22"/>
                <w:szCs w:val="22"/>
                <w:lang w:eastAsia="en-US"/>
              </w:rPr>
              <w:t>0,2-1</w:t>
            </w:r>
          </w:p>
        </w:tc>
        <w:tc>
          <w:tcPr>
            <w:tcW w:w="3573" w:type="dxa"/>
          </w:tcPr>
          <w:p w14:paraId="0ECA5DC0" w14:textId="28B468F6" w:rsidR="00BD1109" w:rsidRPr="00D53A2B" w:rsidRDefault="00BD1109" w:rsidP="00A202FD">
            <w:pPr>
              <w:jc w:val="both"/>
              <w:rPr>
                <w:rFonts w:eastAsia="Calibri"/>
                <w:sz w:val="22"/>
                <w:szCs w:val="22"/>
                <w:lang w:eastAsia="en-US"/>
              </w:rPr>
            </w:pPr>
            <w:r w:rsidRPr="00D53A2B">
              <w:rPr>
                <w:rFonts w:eastAsia="Calibri"/>
                <w:sz w:val="22"/>
                <w:szCs w:val="22"/>
                <w:lang w:eastAsia="en-US"/>
              </w:rPr>
              <w:t>Fosfatlama</w:t>
            </w:r>
          </w:p>
        </w:tc>
      </w:tr>
      <w:tr w:rsidR="00BD1109" w:rsidRPr="00D53A2B" w14:paraId="35E318DB" w14:textId="77777777" w:rsidTr="00C86A85">
        <w:tc>
          <w:tcPr>
            <w:tcW w:w="3187" w:type="dxa"/>
            <w:gridSpan w:val="2"/>
          </w:tcPr>
          <w:p w14:paraId="591B56A0" w14:textId="462EE000" w:rsidR="00BD1109" w:rsidRPr="00D53A2B" w:rsidRDefault="00BD1109" w:rsidP="00A202FD">
            <w:pPr>
              <w:jc w:val="both"/>
              <w:rPr>
                <w:rFonts w:eastAsia="Calibri"/>
                <w:sz w:val="22"/>
                <w:szCs w:val="22"/>
                <w:lang w:eastAsia="en-US"/>
              </w:rPr>
            </w:pPr>
            <w:r w:rsidRPr="00D53A2B">
              <w:rPr>
                <w:rFonts w:eastAsia="Calibri"/>
                <w:sz w:val="22"/>
                <w:szCs w:val="22"/>
                <w:lang w:eastAsia="en-US"/>
              </w:rPr>
              <w:t>Florür (F</w:t>
            </w:r>
            <w:r w:rsidRPr="00D53A2B">
              <w:rPr>
                <w:rFonts w:eastAsia="Calibri"/>
                <w:sz w:val="22"/>
                <w:szCs w:val="22"/>
                <w:vertAlign w:val="superscript"/>
                <w:lang w:eastAsia="en-US"/>
              </w:rPr>
              <w:t>-</w:t>
            </w:r>
            <w:r w:rsidRPr="00D53A2B">
              <w:rPr>
                <w:rFonts w:eastAsia="Calibri"/>
                <w:sz w:val="22"/>
                <w:szCs w:val="22"/>
                <w:lang w:eastAsia="en-US"/>
              </w:rPr>
              <w:t>)</w:t>
            </w:r>
          </w:p>
        </w:tc>
        <w:tc>
          <w:tcPr>
            <w:tcW w:w="835" w:type="dxa"/>
          </w:tcPr>
          <w:p w14:paraId="08D72DD7" w14:textId="097FDCBC" w:rsidR="00BD1109" w:rsidRPr="00D53A2B" w:rsidRDefault="00BD1109" w:rsidP="00A202FD">
            <w:pPr>
              <w:jc w:val="both"/>
              <w:rPr>
                <w:rFonts w:eastAsia="Calibri"/>
                <w:sz w:val="22"/>
                <w:szCs w:val="22"/>
                <w:lang w:eastAsia="en-US"/>
              </w:rPr>
            </w:pPr>
            <w:r w:rsidRPr="00D53A2B">
              <w:rPr>
                <w:rFonts w:eastAsia="Calibri"/>
                <w:sz w:val="22"/>
                <w:szCs w:val="22"/>
                <w:lang w:eastAsia="en-US"/>
              </w:rPr>
              <w:t>mg/l</w:t>
            </w:r>
          </w:p>
        </w:tc>
        <w:tc>
          <w:tcPr>
            <w:tcW w:w="1331" w:type="dxa"/>
          </w:tcPr>
          <w:p w14:paraId="4206524B" w14:textId="75EEA269" w:rsidR="00BD1109" w:rsidRPr="00D53A2B" w:rsidRDefault="00BD1109" w:rsidP="00A202FD">
            <w:pPr>
              <w:jc w:val="both"/>
              <w:rPr>
                <w:rFonts w:eastAsia="Calibri"/>
                <w:sz w:val="22"/>
                <w:szCs w:val="22"/>
                <w:lang w:eastAsia="en-US"/>
              </w:rPr>
            </w:pPr>
            <w:r w:rsidRPr="00D53A2B">
              <w:rPr>
                <w:rFonts w:eastAsia="Calibri"/>
                <w:sz w:val="22"/>
                <w:szCs w:val="22"/>
                <w:lang w:eastAsia="en-US"/>
              </w:rPr>
              <w:t>1-15</w:t>
            </w:r>
          </w:p>
        </w:tc>
        <w:tc>
          <w:tcPr>
            <w:tcW w:w="3573" w:type="dxa"/>
          </w:tcPr>
          <w:p w14:paraId="078FE223" w14:textId="2C36533C" w:rsidR="00BD1109" w:rsidRPr="00D53A2B" w:rsidRDefault="00BD1109" w:rsidP="00A202FD">
            <w:pPr>
              <w:jc w:val="both"/>
              <w:rPr>
                <w:rFonts w:eastAsia="Calibri"/>
                <w:sz w:val="22"/>
                <w:szCs w:val="22"/>
                <w:lang w:eastAsia="en-US"/>
              </w:rPr>
            </w:pPr>
            <w:r w:rsidRPr="00D53A2B">
              <w:rPr>
                <w:rFonts w:eastAsia="Calibri"/>
                <w:sz w:val="22"/>
                <w:szCs w:val="22"/>
                <w:lang w:eastAsia="en-US"/>
              </w:rPr>
              <w:t>Hidroflorik asit içeren asit karışımlarıyla dekapaj</w:t>
            </w:r>
          </w:p>
        </w:tc>
      </w:tr>
      <w:tr w:rsidR="00983AEC" w:rsidRPr="00D53A2B" w14:paraId="3B875491" w14:textId="77777777" w:rsidTr="00C86A85">
        <w:tc>
          <w:tcPr>
            <w:tcW w:w="8926" w:type="dxa"/>
            <w:gridSpan w:val="5"/>
          </w:tcPr>
          <w:p w14:paraId="2A982890" w14:textId="77777777" w:rsidR="00983AEC" w:rsidRPr="00D53A2B" w:rsidRDefault="00983AEC" w:rsidP="00A202FD">
            <w:pPr>
              <w:jc w:val="both"/>
              <w:rPr>
                <w:rFonts w:eastAsia="Calibri"/>
                <w:sz w:val="20"/>
                <w:szCs w:val="20"/>
                <w:lang w:eastAsia="en-US"/>
              </w:rPr>
            </w:pPr>
            <w:r w:rsidRPr="00D53A2B">
              <w:rPr>
                <w:rFonts w:eastAsia="Calibri"/>
                <w:sz w:val="20"/>
                <w:szCs w:val="20"/>
                <w:lang w:eastAsia="en-US"/>
              </w:rPr>
              <w:t>(</w:t>
            </w:r>
            <w:r w:rsidRPr="00D53A2B">
              <w:rPr>
                <w:rFonts w:eastAsia="Calibri"/>
                <w:sz w:val="20"/>
                <w:szCs w:val="20"/>
                <w:vertAlign w:val="superscript"/>
                <w:lang w:eastAsia="en-US"/>
              </w:rPr>
              <w:t>1</w:t>
            </w:r>
            <w:r w:rsidRPr="00D53A2B">
              <w:rPr>
                <w:rFonts w:eastAsia="Calibri"/>
                <w:sz w:val="20"/>
                <w:szCs w:val="20"/>
                <w:lang w:eastAsia="en-US"/>
              </w:rPr>
              <w:t xml:space="preserve">) Ortalama süreler Genel hususlar kısmında anlatılmıştır. </w:t>
            </w:r>
          </w:p>
          <w:p w14:paraId="2E365264" w14:textId="26F4352B" w:rsidR="00983AEC" w:rsidRPr="00D53A2B" w:rsidRDefault="00983AEC" w:rsidP="00A202FD">
            <w:pPr>
              <w:jc w:val="both"/>
              <w:rPr>
                <w:rFonts w:eastAsia="Calibri"/>
                <w:sz w:val="20"/>
                <w:szCs w:val="20"/>
                <w:lang w:eastAsia="en-US"/>
              </w:rPr>
            </w:pPr>
            <w:r w:rsidRPr="00D53A2B">
              <w:rPr>
                <w:rFonts w:eastAsia="Calibri"/>
                <w:sz w:val="20"/>
                <w:szCs w:val="20"/>
                <w:lang w:eastAsia="en-US"/>
              </w:rPr>
              <w:t>(</w:t>
            </w:r>
            <w:r w:rsidRPr="00D53A2B">
              <w:rPr>
                <w:rFonts w:eastAsia="Calibri"/>
                <w:sz w:val="20"/>
                <w:szCs w:val="20"/>
                <w:vertAlign w:val="superscript"/>
                <w:lang w:eastAsia="en-US"/>
              </w:rPr>
              <w:t>2</w:t>
            </w:r>
            <w:r w:rsidRPr="00D53A2B">
              <w:rPr>
                <w:rFonts w:eastAsia="Calibri"/>
                <w:sz w:val="20"/>
                <w:szCs w:val="20"/>
                <w:lang w:eastAsia="en-US"/>
              </w:rPr>
              <w:t xml:space="preserve">) KOİ için ya MET-İES ya da TOC için MET-İES geçerlidir. TOC izlemesi, çok zehirli bileşiklerin kullanımına dayanmadığından tercih edilen seçenektir. </w:t>
            </w:r>
          </w:p>
          <w:p w14:paraId="75038677" w14:textId="10BA3DC5" w:rsidR="00983AEC" w:rsidRPr="00D53A2B" w:rsidRDefault="00983AEC" w:rsidP="00A202FD">
            <w:pPr>
              <w:jc w:val="both"/>
              <w:rPr>
                <w:rFonts w:eastAsia="Calibri"/>
                <w:sz w:val="20"/>
                <w:szCs w:val="20"/>
                <w:lang w:eastAsia="en-US"/>
              </w:rPr>
            </w:pPr>
            <w:r w:rsidRPr="00D53A2B">
              <w:rPr>
                <w:rFonts w:eastAsia="Calibri"/>
                <w:sz w:val="20"/>
                <w:szCs w:val="20"/>
                <w:lang w:eastAsia="en-US"/>
              </w:rPr>
              <w:lastRenderedPageBreak/>
              <w:t>(</w:t>
            </w:r>
            <w:r w:rsidRPr="00D53A2B">
              <w:rPr>
                <w:rFonts w:eastAsia="Calibri"/>
                <w:sz w:val="20"/>
                <w:szCs w:val="20"/>
                <w:vertAlign w:val="superscript"/>
                <w:lang w:eastAsia="en-US"/>
              </w:rPr>
              <w:t>3</w:t>
            </w:r>
            <w:r w:rsidRPr="00D53A2B">
              <w:rPr>
                <w:rFonts w:eastAsia="Calibri"/>
                <w:sz w:val="20"/>
                <w:szCs w:val="20"/>
                <w:lang w:eastAsia="en-US"/>
              </w:rPr>
              <w:t>) MET-İES, ilgili madde(ler)/parametre(ler) MET 2</w:t>
            </w:r>
            <w:r w:rsidR="00E56504" w:rsidRPr="00D53A2B">
              <w:rPr>
                <w:rFonts w:eastAsia="Calibri"/>
                <w:sz w:val="20"/>
                <w:szCs w:val="20"/>
                <w:lang w:eastAsia="en-US"/>
              </w:rPr>
              <w:t>’</w:t>
            </w:r>
            <w:r w:rsidRPr="00D53A2B">
              <w:rPr>
                <w:rFonts w:eastAsia="Calibri"/>
                <w:sz w:val="20"/>
                <w:szCs w:val="20"/>
                <w:lang w:eastAsia="en-US"/>
              </w:rPr>
              <w:t>de belirtilen envantere dayanarak atıksu akışında alakalı olarak tanımlanması durumunda geçerlidir.</w:t>
            </w:r>
          </w:p>
          <w:p w14:paraId="234A6FA7" w14:textId="62744DC9" w:rsidR="00983AEC" w:rsidRPr="00D53A2B" w:rsidRDefault="00983AEC" w:rsidP="00A202FD">
            <w:pPr>
              <w:jc w:val="both"/>
              <w:rPr>
                <w:rFonts w:eastAsia="Calibri"/>
                <w:sz w:val="20"/>
                <w:szCs w:val="20"/>
                <w:lang w:eastAsia="en-US"/>
              </w:rPr>
            </w:pPr>
            <w:r w:rsidRPr="00D53A2B">
              <w:rPr>
                <w:rFonts w:eastAsia="Calibri"/>
                <w:sz w:val="20"/>
                <w:szCs w:val="20"/>
                <w:lang w:eastAsia="en-US"/>
              </w:rPr>
              <w:t>(</w:t>
            </w:r>
            <w:r w:rsidRPr="00D53A2B">
              <w:rPr>
                <w:rFonts w:eastAsia="Calibri"/>
                <w:sz w:val="20"/>
                <w:szCs w:val="20"/>
                <w:vertAlign w:val="superscript"/>
                <w:lang w:eastAsia="en-US"/>
              </w:rPr>
              <w:t>4</w:t>
            </w:r>
            <w:r w:rsidRPr="00D53A2B">
              <w:rPr>
                <w:rFonts w:eastAsia="Calibri"/>
                <w:sz w:val="20"/>
                <w:szCs w:val="20"/>
                <w:lang w:eastAsia="en-US"/>
              </w:rPr>
              <w:t>) Yüksek alaşımlı çelikler söz konusu olduğunda MET-İES aralığının üst ucu 0.3 mg/l</w:t>
            </w:r>
            <w:r w:rsidR="00E56504" w:rsidRPr="00D53A2B">
              <w:rPr>
                <w:rFonts w:eastAsia="Calibri"/>
                <w:sz w:val="20"/>
                <w:szCs w:val="20"/>
                <w:lang w:eastAsia="en-US"/>
              </w:rPr>
              <w:t>’</w:t>
            </w:r>
            <w:r w:rsidRPr="00D53A2B">
              <w:rPr>
                <w:rFonts w:eastAsia="Calibri"/>
                <w:sz w:val="20"/>
                <w:szCs w:val="20"/>
                <w:lang w:eastAsia="en-US"/>
              </w:rPr>
              <w:t xml:space="preserve">dir. </w:t>
            </w:r>
          </w:p>
          <w:p w14:paraId="79AA2D36" w14:textId="7C2A23E5" w:rsidR="00983AEC" w:rsidRPr="00D53A2B" w:rsidRDefault="00983AEC" w:rsidP="00A202FD">
            <w:pPr>
              <w:jc w:val="both"/>
              <w:rPr>
                <w:rFonts w:eastAsia="Calibri"/>
                <w:sz w:val="20"/>
                <w:szCs w:val="20"/>
                <w:lang w:eastAsia="en-US"/>
              </w:rPr>
            </w:pPr>
            <w:r w:rsidRPr="00D53A2B">
              <w:rPr>
                <w:rFonts w:eastAsia="Calibri"/>
                <w:sz w:val="20"/>
                <w:szCs w:val="20"/>
                <w:lang w:eastAsia="en-US"/>
              </w:rPr>
              <w:t>(</w:t>
            </w:r>
            <w:r w:rsidRPr="00D53A2B">
              <w:rPr>
                <w:rFonts w:eastAsia="Calibri"/>
                <w:sz w:val="20"/>
                <w:szCs w:val="20"/>
                <w:vertAlign w:val="superscript"/>
                <w:lang w:eastAsia="en-US"/>
              </w:rPr>
              <w:t>5</w:t>
            </w:r>
            <w:r w:rsidRPr="00D53A2B">
              <w:rPr>
                <w:rFonts w:eastAsia="Calibri"/>
                <w:sz w:val="20"/>
                <w:szCs w:val="20"/>
                <w:lang w:eastAsia="en-US"/>
              </w:rPr>
              <w:t>) Östenitik paslanmaz çelik üreten tesisler söz konusu olduğunda MET-İES aralığının üst sınırı 0,4 mg/l</w:t>
            </w:r>
            <w:r w:rsidR="00E56504" w:rsidRPr="00D53A2B">
              <w:rPr>
                <w:rFonts w:eastAsia="Calibri"/>
                <w:sz w:val="20"/>
                <w:szCs w:val="20"/>
                <w:lang w:eastAsia="en-US"/>
              </w:rPr>
              <w:t>’</w:t>
            </w:r>
            <w:r w:rsidRPr="00D53A2B">
              <w:rPr>
                <w:rFonts w:eastAsia="Calibri"/>
                <w:sz w:val="20"/>
                <w:szCs w:val="20"/>
                <w:lang w:eastAsia="en-US"/>
              </w:rPr>
              <w:t>dir.</w:t>
            </w:r>
          </w:p>
          <w:p w14:paraId="4D613947" w14:textId="368CA475" w:rsidR="00983AEC" w:rsidRPr="00D53A2B" w:rsidRDefault="00983AEC" w:rsidP="00A202FD">
            <w:pPr>
              <w:jc w:val="both"/>
              <w:rPr>
                <w:rFonts w:eastAsia="Calibri"/>
                <w:sz w:val="20"/>
                <w:szCs w:val="20"/>
                <w:lang w:eastAsia="en-US"/>
              </w:rPr>
            </w:pPr>
            <w:r w:rsidRPr="00D53A2B">
              <w:rPr>
                <w:rFonts w:eastAsia="Calibri"/>
                <w:sz w:val="20"/>
                <w:szCs w:val="20"/>
                <w:lang w:eastAsia="en-US"/>
              </w:rPr>
              <w:t>(</w:t>
            </w:r>
            <w:r w:rsidRPr="00D53A2B">
              <w:rPr>
                <w:rFonts w:eastAsia="Calibri"/>
                <w:sz w:val="20"/>
                <w:szCs w:val="20"/>
                <w:vertAlign w:val="superscript"/>
                <w:lang w:eastAsia="en-US"/>
              </w:rPr>
              <w:t>6</w:t>
            </w:r>
            <w:r w:rsidRPr="00D53A2B">
              <w:rPr>
                <w:rFonts w:eastAsia="Calibri"/>
                <w:sz w:val="20"/>
                <w:szCs w:val="20"/>
                <w:lang w:eastAsia="en-US"/>
              </w:rPr>
              <w:t>) Kurşun banyosu kullanan tel çekme tesisleri söz konusu olduğunda MET-İES aralığının üst sınırı 35 μg/l</w:t>
            </w:r>
            <w:r w:rsidR="00E56504" w:rsidRPr="00D53A2B">
              <w:rPr>
                <w:rFonts w:eastAsia="Calibri"/>
                <w:sz w:val="20"/>
                <w:szCs w:val="20"/>
                <w:lang w:eastAsia="en-US"/>
              </w:rPr>
              <w:t>’</w:t>
            </w:r>
            <w:r w:rsidRPr="00D53A2B">
              <w:rPr>
                <w:rFonts w:eastAsia="Calibri"/>
                <w:sz w:val="20"/>
                <w:szCs w:val="20"/>
                <w:lang w:eastAsia="en-US"/>
              </w:rPr>
              <w:t xml:space="preserve">dir. </w:t>
            </w:r>
          </w:p>
          <w:p w14:paraId="50FAAB38" w14:textId="7C392AC2" w:rsidR="00983AEC" w:rsidRPr="00D53A2B" w:rsidRDefault="00983AEC" w:rsidP="00A202FD">
            <w:pPr>
              <w:jc w:val="both"/>
              <w:rPr>
                <w:rFonts w:eastAsia="Calibri"/>
                <w:sz w:val="22"/>
                <w:szCs w:val="22"/>
                <w:lang w:eastAsia="en-US"/>
              </w:rPr>
            </w:pPr>
            <w:r w:rsidRPr="00D53A2B">
              <w:rPr>
                <w:rFonts w:eastAsia="Calibri"/>
                <w:sz w:val="20"/>
                <w:szCs w:val="20"/>
                <w:lang w:eastAsia="en-US"/>
              </w:rPr>
              <w:t>(</w:t>
            </w:r>
            <w:r w:rsidRPr="00D53A2B">
              <w:rPr>
                <w:rFonts w:eastAsia="Calibri"/>
                <w:sz w:val="20"/>
                <w:szCs w:val="20"/>
                <w:vertAlign w:val="superscript"/>
                <w:lang w:eastAsia="en-US"/>
              </w:rPr>
              <w:t>7</w:t>
            </w:r>
            <w:r w:rsidRPr="00D53A2B">
              <w:rPr>
                <w:rFonts w:eastAsia="Calibri"/>
                <w:sz w:val="20"/>
                <w:szCs w:val="20"/>
                <w:lang w:eastAsia="en-US"/>
              </w:rPr>
              <w:t xml:space="preserve">) </w:t>
            </w:r>
            <w:r w:rsidR="001A02DA" w:rsidRPr="00D53A2B">
              <w:rPr>
                <w:rFonts w:eastAsia="Calibri"/>
                <w:sz w:val="20"/>
                <w:szCs w:val="20"/>
                <w:lang w:eastAsia="en-US"/>
              </w:rPr>
              <w:t xml:space="preserve">Kurşunlu çelik işleyen tesislerde </w:t>
            </w:r>
            <w:r w:rsidR="00651500" w:rsidRPr="00D53A2B">
              <w:rPr>
                <w:rFonts w:eastAsia="Calibri"/>
                <w:sz w:val="20"/>
                <w:szCs w:val="20"/>
                <w:lang w:eastAsia="en-US"/>
              </w:rPr>
              <w:t>MET-İES</w:t>
            </w:r>
            <w:r w:rsidR="001A02DA" w:rsidRPr="00D53A2B">
              <w:rPr>
                <w:rFonts w:eastAsia="Calibri"/>
                <w:sz w:val="20"/>
                <w:szCs w:val="20"/>
                <w:lang w:eastAsia="en-US"/>
              </w:rPr>
              <w:t xml:space="preserve"> aralığının üst ucu daha yüksek olabilir ve 50 μg/l</w:t>
            </w:r>
            <w:r w:rsidR="00E56504" w:rsidRPr="00D53A2B">
              <w:rPr>
                <w:rFonts w:eastAsia="Calibri"/>
                <w:sz w:val="20"/>
                <w:szCs w:val="20"/>
                <w:lang w:eastAsia="en-US"/>
              </w:rPr>
              <w:t>’</w:t>
            </w:r>
            <w:r w:rsidR="001A02DA" w:rsidRPr="00D53A2B">
              <w:rPr>
                <w:rFonts w:eastAsia="Calibri"/>
                <w:sz w:val="20"/>
                <w:szCs w:val="20"/>
                <w:lang w:eastAsia="en-US"/>
              </w:rPr>
              <w:t>ye kadar çıkabilir.</w:t>
            </w:r>
          </w:p>
        </w:tc>
      </w:tr>
    </w:tbl>
    <w:p w14:paraId="188F6095" w14:textId="77777777" w:rsidR="00055E97" w:rsidRPr="00D53A2B" w:rsidRDefault="00055E97" w:rsidP="00A202FD">
      <w:pPr>
        <w:jc w:val="both"/>
        <w:rPr>
          <w:rFonts w:eastAsia="Calibri"/>
          <w:lang w:eastAsia="en-US"/>
        </w:rPr>
      </w:pPr>
    </w:p>
    <w:p w14:paraId="2E54F06F" w14:textId="2A06E125" w:rsidR="001023C7" w:rsidRPr="00D53A2B" w:rsidRDefault="001A02DA" w:rsidP="00A202FD">
      <w:pPr>
        <w:jc w:val="both"/>
        <w:rPr>
          <w:rFonts w:eastAsia="Calibri"/>
          <w:lang w:eastAsia="en-US"/>
        </w:rPr>
      </w:pPr>
      <w:r w:rsidRPr="00D53A2B">
        <w:rPr>
          <w:rFonts w:eastAsia="Calibri"/>
          <w:lang w:eastAsia="en-US"/>
        </w:rPr>
        <w:t>Tablo</w:t>
      </w:r>
      <w:r w:rsidR="00F46CF1" w:rsidRPr="00D53A2B">
        <w:rPr>
          <w:rFonts w:eastAsia="Calibri"/>
          <w:lang w:eastAsia="en-US"/>
        </w:rPr>
        <w:t>1</w:t>
      </w:r>
      <w:r w:rsidRPr="00D53A2B">
        <w:rPr>
          <w:rFonts w:eastAsia="Calibri"/>
          <w:lang w:eastAsia="en-US"/>
        </w:rPr>
        <w:t>.21</w:t>
      </w:r>
    </w:p>
    <w:p w14:paraId="3E66049E" w14:textId="64CC009A" w:rsidR="008B4559" w:rsidRPr="00D53A2B" w:rsidRDefault="001A02DA" w:rsidP="00A202FD">
      <w:pPr>
        <w:jc w:val="both"/>
        <w:rPr>
          <w:rFonts w:eastAsia="Calibri"/>
          <w:lang w:eastAsia="en-US"/>
        </w:rPr>
      </w:pPr>
      <w:r w:rsidRPr="00D53A2B">
        <w:rPr>
          <w:rFonts w:eastAsia="Calibri"/>
          <w:lang w:eastAsia="en-US"/>
        </w:rPr>
        <w:t xml:space="preserve">Alıcı su </w:t>
      </w:r>
      <w:r w:rsidR="008D07F8">
        <w:rPr>
          <w:lang w:eastAsia="en-US"/>
        </w:rPr>
        <w:t>ortamına</w:t>
      </w:r>
      <w:r w:rsidRPr="00D53A2B">
        <w:rPr>
          <w:rFonts w:eastAsia="Calibri"/>
          <w:lang w:eastAsia="en-US"/>
        </w:rPr>
        <w:t xml:space="preserve"> yapılan dolaylı deşarjlar için MET-ilişkili emisyon seviyeleri (MET-İES</w:t>
      </w:r>
      <w:r w:rsidR="00B875DD" w:rsidRPr="00D53A2B">
        <w:rPr>
          <w:rFonts w:eastAsia="Calibri"/>
          <w:lang w:eastAsia="en-US"/>
        </w:rPr>
        <w:t>)</w:t>
      </w:r>
    </w:p>
    <w:p w14:paraId="66FA5904" w14:textId="77777777" w:rsidR="00C15CF2" w:rsidRPr="00D53A2B" w:rsidRDefault="00C15CF2" w:rsidP="00A202FD">
      <w:pPr>
        <w:jc w:val="both"/>
        <w:rPr>
          <w:rFonts w:eastAsia="Calibri"/>
          <w:lang w:eastAsia="en-US"/>
        </w:rPr>
      </w:pPr>
    </w:p>
    <w:tbl>
      <w:tblPr>
        <w:tblStyle w:val="TabloKlavuzu"/>
        <w:tblW w:w="8926" w:type="dxa"/>
        <w:tblLook w:val="04A0" w:firstRow="1" w:lastRow="0" w:firstColumn="1" w:lastColumn="0" w:noHBand="0" w:noVBand="1"/>
      </w:tblPr>
      <w:tblGrid>
        <w:gridCol w:w="1079"/>
        <w:gridCol w:w="2108"/>
        <w:gridCol w:w="835"/>
        <w:gridCol w:w="1578"/>
        <w:gridCol w:w="3326"/>
      </w:tblGrid>
      <w:tr w:rsidR="00055E97" w:rsidRPr="00D53A2B" w14:paraId="692DF35C" w14:textId="77777777" w:rsidTr="00C86A85">
        <w:tc>
          <w:tcPr>
            <w:tcW w:w="3187" w:type="dxa"/>
            <w:gridSpan w:val="2"/>
          </w:tcPr>
          <w:p w14:paraId="4F78FA56"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Madde/Parametre</w:t>
            </w:r>
          </w:p>
        </w:tc>
        <w:tc>
          <w:tcPr>
            <w:tcW w:w="835" w:type="dxa"/>
          </w:tcPr>
          <w:p w14:paraId="6F2896A5"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Birim</w:t>
            </w:r>
          </w:p>
        </w:tc>
        <w:tc>
          <w:tcPr>
            <w:tcW w:w="1578" w:type="dxa"/>
          </w:tcPr>
          <w:p w14:paraId="03283D3E" w14:textId="116EBAC3" w:rsidR="00055E97" w:rsidRPr="00D53A2B" w:rsidRDefault="00055E97" w:rsidP="00A202FD">
            <w:pPr>
              <w:jc w:val="both"/>
              <w:rPr>
                <w:rFonts w:eastAsia="Calibri"/>
                <w:sz w:val="22"/>
                <w:szCs w:val="22"/>
                <w:lang w:eastAsia="en-US"/>
              </w:rPr>
            </w:pPr>
            <w:r w:rsidRPr="00D53A2B">
              <w:rPr>
                <w:rFonts w:eastAsia="Calibri"/>
                <w:sz w:val="22"/>
                <w:szCs w:val="22"/>
                <w:lang w:eastAsia="en-US"/>
              </w:rPr>
              <w:t>MET-İES (</w:t>
            </w:r>
            <w:r w:rsidRPr="00D53A2B">
              <w:rPr>
                <w:rFonts w:eastAsia="Calibri"/>
                <w:sz w:val="22"/>
                <w:szCs w:val="22"/>
                <w:vertAlign w:val="superscript"/>
                <w:lang w:eastAsia="en-US"/>
              </w:rPr>
              <w:t>1</w:t>
            </w:r>
            <w:r w:rsidRPr="00D53A2B">
              <w:rPr>
                <w:rFonts w:eastAsia="Calibri"/>
                <w:sz w:val="22"/>
                <w:szCs w:val="22"/>
                <w:lang w:eastAsia="en-US"/>
              </w:rPr>
              <w:t>) (</w:t>
            </w:r>
            <w:r w:rsidRPr="00D53A2B">
              <w:rPr>
                <w:rFonts w:eastAsia="Calibri"/>
                <w:sz w:val="22"/>
                <w:szCs w:val="22"/>
                <w:vertAlign w:val="superscript"/>
                <w:lang w:eastAsia="en-US"/>
              </w:rPr>
              <w:t>2</w:t>
            </w:r>
            <w:r w:rsidRPr="00D53A2B">
              <w:rPr>
                <w:rFonts w:eastAsia="Calibri"/>
                <w:sz w:val="22"/>
                <w:szCs w:val="22"/>
                <w:lang w:eastAsia="en-US"/>
              </w:rPr>
              <w:t>)</w:t>
            </w:r>
          </w:p>
        </w:tc>
        <w:tc>
          <w:tcPr>
            <w:tcW w:w="3326" w:type="dxa"/>
          </w:tcPr>
          <w:p w14:paraId="39C22C65" w14:textId="4C4CD9F5" w:rsidR="00055E97" w:rsidRPr="00D53A2B" w:rsidRDefault="00055E97" w:rsidP="00A202FD">
            <w:pPr>
              <w:jc w:val="both"/>
              <w:rPr>
                <w:rFonts w:eastAsia="Calibri"/>
                <w:sz w:val="22"/>
                <w:szCs w:val="22"/>
                <w:lang w:eastAsia="en-US"/>
              </w:rPr>
            </w:pPr>
            <w:r w:rsidRPr="00D53A2B">
              <w:rPr>
                <w:rFonts w:eastAsia="Calibri"/>
                <w:sz w:val="22"/>
                <w:szCs w:val="22"/>
                <w:lang w:eastAsia="en-US"/>
              </w:rPr>
              <w:t>MET-İES</w:t>
            </w:r>
            <w:r w:rsidR="00E56504" w:rsidRPr="00D53A2B">
              <w:rPr>
                <w:rFonts w:eastAsia="Calibri"/>
                <w:sz w:val="22"/>
                <w:szCs w:val="22"/>
                <w:lang w:eastAsia="en-US"/>
              </w:rPr>
              <w:t>’</w:t>
            </w:r>
            <w:r w:rsidRPr="00D53A2B">
              <w:rPr>
                <w:rFonts w:eastAsia="Calibri"/>
                <w:sz w:val="22"/>
                <w:szCs w:val="22"/>
                <w:lang w:eastAsia="en-US"/>
              </w:rPr>
              <w:t>in uygulandığı süreç(ler)</w:t>
            </w:r>
          </w:p>
        </w:tc>
      </w:tr>
      <w:tr w:rsidR="00055E97" w:rsidRPr="00D53A2B" w14:paraId="633128A5" w14:textId="77777777" w:rsidTr="00C86A85">
        <w:tc>
          <w:tcPr>
            <w:tcW w:w="3187" w:type="dxa"/>
            <w:gridSpan w:val="2"/>
          </w:tcPr>
          <w:p w14:paraId="22DE0B02" w14:textId="28DCFC2F" w:rsidR="00055E97" w:rsidRPr="00D53A2B" w:rsidRDefault="00055E97" w:rsidP="00A202FD">
            <w:pPr>
              <w:jc w:val="both"/>
              <w:rPr>
                <w:rFonts w:eastAsia="Calibri"/>
                <w:sz w:val="22"/>
                <w:szCs w:val="22"/>
                <w:lang w:eastAsia="en-US"/>
              </w:rPr>
            </w:pPr>
            <w:r w:rsidRPr="00D53A2B">
              <w:rPr>
                <w:rFonts w:eastAsia="Calibri"/>
                <w:sz w:val="22"/>
                <w:szCs w:val="22"/>
                <w:lang w:eastAsia="en-US"/>
              </w:rPr>
              <w:t>Hidrokarbon yağ indeksi (HOI)</w:t>
            </w:r>
          </w:p>
        </w:tc>
        <w:tc>
          <w:tcPr>
            <w:tcW w:w="835" w:type="dxa"/>
          </w:tcPr>
          <w:p w14:paraId="3B59057F" w14:textId="2116AD8E" w:rsidR="00055E97" w:rsidRPr="00D53A2B" w:rsidRDefault="00055E97" w:rsidP="00A202FD">
            <w:pPr>
              <w:jc w:val="both"/>
              <w:rPr>
                <w:rFonts w:eastAsia="Calibri"/>
                <w:sz w:val="22"/>
                <w:szCs w:val="22"/>
                <w:lang w:eastAsia="en-US"/>
              </w:rPr>
            </w:pPr>
            <w:r w:rsidRPr="00D53A2B">
              <w:rPr>
                <w:rFonts w:eastAsia="Calibri"/>
                <w:sz w:val="22"/>
                <w:szCs w:val="22"/>
                <w:lang w:eastAsia="en-US"/>
              </w:rPr>
              <w:t>mg/l</w:t>
            </w:r>
          </w:p>
        </w:tc>
        <w:tc>
          <w:tcPr>
            <w:tcW w:w="1578" w:type="dxa"/>
          </w:tcPr>
          <w:p w14:paraId="6134B4B3" w14:textId="4DC2D4E3" w:rsidR="00055E97" w:rsidRPr="00D53A2B" w:rsidRDefault="00055E97" w:rsidP="00A202FD">
            <w:pPr>
              <w:jc w:val="both"/>
              <w:rPr>
                <w:rFonts w:eastAsia="Calibri"/>
                <w:sz w:val="22"/>
                <w:szCs w:val="22"/>
                <w:lang w:eastAsia="en-US"/>
              </w:rPr>
            </w:pPr>
            <w:r w:rsidRPr="00D53A2B">
              <w:rPr>
                <w:rFonts w:eastAsia="Calibri"/>
                <w:sz w:val="22"/>
                <w:szCs w:val="22"/>
                <w:lang w:eastAsia="en-US"/>
              </w:rPr>
              <w:t>0,5-4</w:t>
            </w:r>
          </w:p>
        </w:tc>
        <w:tc>
          <w:tcPr>
            <w:tcW w:w="3326" w:type="dxa"/>
          </w:tcPr>
          <w:p w14:paraId="3E050F85" w14:textId="0380BA21" w:rsidR="00055E97" w:rsidRPr="00D53A2B" w:rsidRDefault="00055E97" w:rsidP="00A202FD">
            <w:pPr>
              <w:jc w:val="both"/>
              <w:rPr>
                <w:rFonts w:eastAsia="Calibri"/>
                <w:sz w:val="22"/>
                <w:szCs w:val="22"/>
                <w:lang w:eastAsia="en-US"/>
              </w:rPr>
            </w:pPr>
            <w:r w:rsidRPr="00D53A2B">
              <w:rPr>
                <w:rFonts w:eastAsia="Calibri"/>
                <w:sz w:val="22"/>
                <w:szCs w:val="22"/>
                <w:lang w:eastAsia="en-US"/>
              </w:rPr>
              <w:t>Tüm prosesler</w:t>
            </w:r>
          </w:p>
        </w:tc>
      </w:tr>
      <w:tr w:rsidR="00055E97" w:rsidRPr="00D53A2B" w14:paraId="5F6D4BF7" w14:textId="77777777" w:rsidTr="00C86A85">
        <w:tc>
          <w:tcPr>
            <w:tcW w:w="1079" w:type="dxa"/>
            <w:vMerge w:val="restart"/>
          </w:tcPr>
          <w:p w14:paraId="53021205"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Metaller</w:t>
            </w:r>
          </w:p>
        </w:tc>
        <w:tc>
          <w:tcPr>
            <w:tcW w:w="2108" w:type="dxa"/>
          </w:tcPr>
          <w:p w14:paraId="117A21A3"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Cd</w:t>
            </w:r>
          </w:p>
        </w:tc>
        <w:tc>
          <w:tcPr>
            <w:tcW w:w="835" w:type="dxa"/>
          </w:tcPr>
          <w:p w14:paraId="15691933"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μg/l</w:t>
            </w:r>
          </w:p>
        </w:tc>
        <w:tc>
          <w:tcPr>
            <w:tcW w:w="1578" w:type="dxa"/>
          </w:tcPr>
          <w:p w14:paraId="7BF868BB" w14:textId="1D83AC40" w:rsidR="00055E97" w:rsidRPr="00D53A2B" w:rsidRDefault="00055E97" w:rsidP="00A202FD">
            <w:pPr>
              <w:jc w:val="both"/>
              <w:rPr>
                <w:rFonts w:eastAsia="Calibri"/>
                <w:sz w:val="22"/>
                <w:szCs w:val="22"/>
                <w:lang w:eastAsia="en-US"/>
              </w:rPr>
            </w:pPr>
            <w:r w:rsidRPr="00D53A2B">
              <w:rPr>
                <w:rFonts w:eastAsia="Calibri"/>
                <w:sz w:val="22"/>
                <w:szCs w:val="22"/>
                <w:lang w:eastAsia="en-US"/>
              </w:rPr>
              <w:t>1-5</w:t>
            </w:r>
          </w:p>
        </w:tc>
        <w:tc>
          <w:tcPr>
            <w:tcW w:w="3326" w:type="dxa"/>
          </w:tcPr>
          <w:p w14:paraId="03D6B869"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055E97" w:rsidRPr="00D53A2B" w14:paraId="059179D4" w14:textId="77777777" w:rsidTr="00C86A85">
        <w:tc>
          <w:tcPr>
            <w:tcW w:w="1079" w:type="dxa"/>
            <w:vMerge/>
          </w:tcPr>
          <w:p w14:paraId="7F0828EE" w14:textId="77777777" w:rsidR="00055E97" w:rsidRPr="00D53A2B" w:rsidRDefault="00055E97" w:rsidP="00A202FD">
            <w:pPr>
              <w:jc w:val="both"/>
              <w:rPr>
                <w:rFonts w:eastAsia="Calibri"/>
                <w:sz w:val="22"/>
                <w:szCs w:val="22"/>
                <w:lang w:eastAsia="en-US"/>
              </w:rPr>
            </w:pPr>
          </w:p>
        </w:tc>
        <w:tc>
          <w:tcPr>
            <w:tcW w:w="2108" w:type="dxa"/>
          </w:tcPr>
          <w:p w14:paraId="7717295E"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Cr</w:t>
            </w:r>
          </w:p>
        </w:tc>
        <w:tc>
          <w:tcPr>
            <w:tcW w:w="835" w:type="dxa"/>
          </w:tcPr>
          <w:p w14:paraId="4E9B058A"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mg/l</w:t>
            </w:r>
          </w:p>
        </w:tc>
        <w:tc>
          <w:tcPr>
            <w:tcW w:w="1578" w:type="dxa"/>
          </w:tcPr>
          <w:p w14:paraId="2C306BDB"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0,01-0,1 (</w:t>
            </w:r>
            <w:r w:rsidRPr="00D53A2B">
              <w:rPr>
                <w:rFonts w:eastAsia="Calibri"/>
                <w:sz w:val="22"/>
                <w:szCs w:val="22"/>
                <w:vertAlign w:val="superscript"/>
                <w:lang w:eastAsia="en-US"/>
              </w:rPr>
              <w:t>4</w:t>
            </w:r>
            <w:r w:rsidRPr="00D53A2B">
              <w:rPr>
                <w:rFonts w:eastAsia="Calibri"/>
                <w:sz w:val="22"/>
                <w:szCs w:val="22"/>
                <w:lang w:eastAsia="en-US"/>
              </w:rPr>
              <w:t>)</w:t>
            </w:r>
          </w:p>
        </w:tc>
        <w:tc>
          <w:tcPr>
            <w:tcW w:w="3326" w:type="dxa"/>
          </w:tcPr>
          <w:p w14:paraId="58A6798A"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055E97" w:rsidRPr="00D53A2B" w14:paraId="14880614" w14:textId="77777777" w:rsidTr="00C86A85">
        <w:tc>
          <w:tcPr>
            <w:tcW w:w="1079" w:type="dxa"/>
            <w:vMerge/>
          </w:tcPr>
          <w:p w14:paraId="38FB7390" w14:textId="77777777" w:rsidR="00055E97" w:rsidRPr="00D53A2B" w:rsidRDefault="00055E97" w:rsidP="00A202FD">
            <w:pPr>
              <w:jc w:val="both"/>
              <w:rPr>
                <w:rFonts w:eastAsia="Calibri"/>
                <w:sz w:val="22"/>
                <w:szCs w:val="22"/>
                <w:lang w:eastAsia="en-US"/>
              </w:rPr>
            </w:pPr>
          </w:p>
        </w:tc>
        <w:tc>
          <w:tcPr>
            <w:tcW w:w="2108" w:type="dxa"/>
          </w:tcPr>
          <w:p w14:paraId="218D21F9"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Cr(VI)</w:t>
            </w:r>
          </w:p>
        </w:tc>
        <w:tc>
          <w:tcPr>
            <w:tcW w:w="835" w:type="dxa"/>
            <w:vAlign w:val="center"/>
          </w:tcPr>
          <w:p w14:paraId="3E5D0BF3"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μg/l</w:t>
            </w:r>
          </w:p>
        </w:tc>
        <w:tc>
          <w:tcPr>
            <w:tcW w:w="1578" w:type="dxa"/>
          </w:tcPr>
          <w:p w14:paraId="12A02F7D"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10-50</w:t>
            </w:r>
          </w:p>
        </w:tc>
        <w:tc>
          <w:tcPr>
            <w:tcW w:w="3326" w:type="dxa"/>
          </w:tcPr>
          <w:p w14:paraId="264A8975"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Yüksek alaşımlı çeliklerin dekapajı veya altı değerlikli krom bileşikleri ile pasifleştirilmesi.</w:t>
            </w:r>
          </w:p>
        </w:tc>
      </w:tr>
      <w:tr w:rsidR="00055E97" w:rsidRPr="00D53A2B" w14:paraId="65D3FB21" w14:textId="77777777" w:rsidTr="00C86A85">
        <w:tc>
          <w:tcPr>
            <w:tcW w:w="1079" w:type="dxa"/>
            <w:vMerge/>
          </w:tcPr>
          <w:p w14:paraId="415DE610" w14:textId="77777777" w:rsidR="00055E97" w:rsidRPr="00D53A2B" w:rsidRDefault="00055E97" w:rsidP="00A202FD">
            <w:pPr>
              <w:jc w:val="both"/>
              <w:rPr>
                <w:rFonts w:eastAsia="Calibri"/>
                <w:sz w:val="22"/>
                <w:szCs w:val="22"/>
                <w:lang w:eastAsia="en-US"/>
              </w:rPr>
            </w:pPr>
          </w:p>
        </w:tc>
        <w:tc>
          <w:tcPr>
            <w:tcW w:w="2108" w:type="dxa"/>
          </w:tcPr>
          <w:p w14:paraId="4A4FC183"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Fe</w:t>
            </w:r>
          </w:p>
        </w:tc>
        <w:tc>
          <w:tcPr>
            <w:tcW w:w="835" w:type="dxa"/>
            <w:vAlign w:val="center"/>
          </w:tcPr>
          <w:p w14:paraId="70BFA64A"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mg/l</w:t>
            </w:r>
          </w:p>
        </w:tc>
        <w:tc>
          <w:tcPr>
            <w:tcW w:w="1578" w:type="dxa"/>
            <w:vAlign w:val="center"/>
          </w:tcPr>
          <w:p w14:paraId="035B4DB6"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1-5</w:t>
            </w:r>
          </w:p>
        </w:tc>
        <w:tc>
          <w:tcPr>
            <w:tcW w:w="3326" w:type="dxa"/>
            <w:vAlign w:val="center"/>
          </w:tcPr>
          <w:p w14:paraId="60C0F716"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Tüm prosesler</w:t>
            </w:r>
          </w:p>
        </w:tc>
      </w:tr>
      <w:tr w:rsidR="00055E97" w:rsidRPr="00D53A2B" w14:paraId="104D8344" w14:textId="77777777" w:rsidTr="00C86A85">
        <w:tc>
          <w:tcPr>
            <w:tcW w:w="1079" w:type="dxa"/>
            <w:vMerge/>
          </w:tcPr>
          <w:p w14:paraId="10560FA9" w14:textId="77777777" w:rsidR="00055E97" w:rsidRPr="00D53A2B" w:rsidRDefault="00055E97" w:rsidP="00A202FD">
            <w:pPr>
              <w:jc w:val="both"/>
              <w:rPr>
                <w:rFonts w:eastAsia="Calibri"/>
                <w:sz w:val="22"/>
                <w:szCs w:val="22"/>
                <w:lang w:eastAsia="en-US"/>
              </w:rPr>
            </w:pPr>
          </w:p>
        </w:tc>
        <w:tc>
          <w:tcPr>
            <w:tcW w:w="2108" w:type="dxa"/>
          </w:tcPr>
          <w:p w14:paraId="50A384BC"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Hg</w:t>
            </w:r>
          </w:p>
        </w:tc>
        <w:tc>
          <w:tcPr>
            <w:tcW w:w="835" w:type="dxa"/>
            <w:vAlign w:val="center"/>
          </w:tcPr>
          <w:p w14:paraId="2C27FEEF"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μg/l</w:t>
            </w:r>
          </w:p>
        </w:tc>
        <w:tc>
          <w:tcPr>
            <w:tcW w:w="1578" w:type="dxa"/>
            <w:vAlign w:val="center"/>
          </w:tcPr>
          <w:p w14:paraId="156BDA1D"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0,1-0,5</w:t>
            </w:r>
          </w:p>
        </w:tc>
        <w:tc>
          <w:tcPr>
            <w:tcW w:w="3326" w:type="dxa"/>
            <w:vAlign w:val="center"/>
          </w:tcPr>
          <w:p w14:paraId="659B425B"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055E97" w:rsidRPr="00D53A2B" w14:paraId="15DC5E32" w14:textId="77777777" w:rsidTr="00C86A85">
        <w:tc>
          <w:tcPr>
            <w:tcW w:w="1079" w:type="dxa"/>
            <w:vMerge/>
          </w:tcPr>
          <w:p w14:paraId="08B171E4" w14:textId="77777777" w:rsidR="00055E97" w:rsidRPr="00D53A2B" w:rsidRDefault="00055E97" w:rsidP="00A202FD">
            <w:pPr>
              <w:jc w:val="both"/>
              <w:rPr>
                <w:rFonts w:eastAsia="Calibri"/>
                <w:sz w:val="22"/>
                <w:szCs w:val="22"/>
                <w:lang w:eastAsia="en-US"/>
              </w:rPr>
            </w:pPr>
          </w:p>
        </w:tc>
        <w:tc>
          <w:tcPr>
            <w:tcW w:w="2108" w:type="dxa"/>
            <w:vAlign w:val="center"/>
          </w:tcPr>
          <w:p w14:paraId="1A6AF56C"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Ni</w:t>
            </w:r>
          </w:p>
        </w:tc>
        <w:tc>
          <w:tcPr>
            <w:tcW w:w="835" w:type="dxa"/>
            <w:vAlign w:val="center"/>
          </w:tcPr>
          <w:p w14:paraId="1455EF8D"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mg/l</w:t>
            </w:r>
          </w:p>
        </w:tc>
        <w:tc>
          <w:tcPr>
            <w:tcW w:w="1578" w:type="dxa"/>
            <w:vAlign w:val="center"/>
          </w:tcPr>
          <w:p w14:paraId="3FD3BA5B"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0.01-0.2 (</w:t>
            </w:r>
            <w:r w:rsidRPr="00D53A2B">
              <w:rPr>
                <w:rFonts w:eastAsia="Calibri"/>
                <w:sz w:val="22"/>
                <w:szCs w:val="22"/>
                <w:vertAlign w:val="superscript"/>
                <w:lang w:eastAsia="en-US"/>
              </w:rPr>
              <w:t>5</w:t>
            </w:r>
            <w:r w:rsidRPr="00D53A2B">
              <w:rPr>
                <w:rFonts w:eastAsia="Calibri"/>
                <w:sz w:val="22"/>
                <w:szCs w:val="22"/>
                <w:lang w:eastAsia="en-US"/>
              </w:rPr>
              <w:t>)</w:t>
            </w:r>
          </w:p>
        </w:tc>
        <w:tc>
          <w:tcPr>
            <w:tcW w:w="3326" w:type="dxa"/>
            <w:vAlign w:val="center"/>
          </w:tcPr>
          <w:p w14:paraId="38A10F7F"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055E97" w:rsidRPr="00D53A2B" w14:paraId="4283318C" w14:textId="77777777" w:rsidTr="00C86A85">
        <w:tc>
          <w:tcPr>
            <w:tcW w:w="1079" w:type="dxa"/>
            <w:vMerge/>
          </w:tcPr>
          <w:p w14:paraId="42165C96" w14:textId="77777777" w:rsidR="00055E97" w:rsidRPr="00D53A2B" w:rsidRDefault="00055E97" w:rsidP="00A202FD">
            <w:pPr>
              <w:jc w:val="both"/>
              <w:rPr>
                <w:rFonts w:eastAsia="Calibri"/>
                <w:sz w:val="22"/>
                <w:szCs w:val="22"/>
                <w:lang w:eastAsia="en-US"/>
              </w:rPr>
            </w:pPr>
          </w:p>
        </w:tc>
        <w:tc>
          <w:tcPr>
            <w:tcW w:w="2108" w:type="dxa"/>
            <w:vAlign w:val="center"/>
          </w:tcPr>
          <w:p w14:paraId="6EEAB7B6"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Pb</w:t>
            </w:r>
          </w:p>
        </w:tc>
        <w:tc>
          <w:tcPr>
            <w:tcW w:w="835" w:type="dxa"/>
            <w:vAlign w:val="center"/>
          </w:tcPr>
          <w:p w14:paraId="3D96BD6C"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μg/l</w:t>
            </w:r>
          </w:p>
        </w:tc>
        <w:tc>
          <w:tcPr>
            <w:tcW w:w="1578" w:type="dxa"/>
            <w:vAlign w:val="center"/>
          </w:tcPr>
          <w:p w14:paraId="5AEDBF42"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5-20 (</w:t>
            </w:r>
            <w:r w:rsidRPr="00D53A2B">
              <w:rPr>
                <w:rFonts w:eastAsia="Calibri"/>
                <w:sz w:val="22"/>
                <w:szCs w:val="22"/>
                <w:vertAlign w:val="superscript"/>
                <w:lang w:eastAsia="en-US"/>
              </w:rPr>
              <w:t>6</w:t>
            </w:r>
            <w:r w:rsidRPr="00D53A2B">
              <w:rPr>
                <w:rFonts w:eastAsia="Calibri"/>
                <w:sz w:val="22"/>
                <w:szCs w:val="22"/>
                <w:lang w:eastAsia="en-US"/>
              </w:rPr>
              <w:t>) (</w:t>
            </w:r>
            <w:r w:rsidRPr="00D53A2B">
              <w:rPr>
                <w:rFonts w:eastAsia="Calibri"/>
                <w:sz w:val="22"/>
                <w:szCs w:val="22"/>
                <w:vertAlign w:val="superscript"/>
                <w:lang w:eastAsia="en-US"/>
              </w:rPr>
              <w:t>7</w:t>
            </w:r>
            <w:r w:rsidRPr="00D53A2B">
              <w:rPr>
                <w:rFonts w:eastAsia="Calibri"/>
                <w:sz w:val="22"/>
                <w:szCs w:val="22"/>
                <w:lang w:eastAsia="en-US"/>
              </w:rPr>
              <w:t>)</w:t>
            </w:r>
          </w:p>
        </w:tc>
        <w:tc>
          <w:tcPr>
            <w:tcW w:w="3326" w:type="dxa"/>
            <w:vAlign w:val="center"/>
          </w:tcPr>
          <w:p w14:paraId="6DCF3DCF"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055E97" w:rsidRPr="00D53A2B" w14:paraId="69A709C5" w14:textId="77777777" w:rsidTr="00C86A85">
        <w:tc>
          <w:tcPr>
            <w:tcW w:w="1079" w:type="dxa"/>
            <w:vMerge/>
          </w:tcPr>
          <w:p w14:paraId="3E10B1BC" w14:textId="77777777" w:rsidR="00055E97" w:rsidRPr="00D53A2B" w:rsidRDefault="00055E97" w:rsidP="00A202FD">
            <w:pPr>
              <w:jc w:val="both"/>
              <w:rPr>
                <w:rFonts w:eastAsia="Calibri"/>
                <w:sz w:val="22"/>
                <w:szCs w:val="22"/>
                <w:lang w:eastAsia="en-US"/>
              </w:rPr>
            </w:pPr>
          </w:p>
        </w:tc>
        <w:tc>
          <w:tcPr>
            <w:tcW w:w="2108" w:type="dxa"/>
            <w:vAlign w:val="center"/>
          </w:tcPr>
          <w:p w14:paraId="217F4607"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Sn</w:t>
            </w:r>
          </w:p>
        </w:tc>
        <w:tc>
          <w:tcPr>
            <w:tcW w:w="835" w:type="dxa"/>
            <w:vAlign w:val="center"/>
          </w:tcPr>
          <w:p w14:paraId="2AAE2E05"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mg/l</w:t>
            </w:r>
          </w:p>
        </w:tc>
        <w:tc>
          <w:tcPr>
            <w:tcW w:w="1578" w:type="dxa"/>
            <w:vAlign w:val="center"/>
          </w:tcPr>
          <w:p w14:paraId="7728477C"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0,01-0,2</w:t>
            </w:r>
          </w:p>
        </w:tc>
        <w:tc>
          <w:tcPr>
            <w:tcW w:w="3326" w:type="dxa"/>
            <w:vAlign w:val="center"/>
          </w:tcPr>
          <w:p w14:paraId="5F4B5FCC"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Kalay kullanarak sıcak daldırmalı kaplama</w:t>
            </w:r>
          </w:p>
        </w:tc>
      </w:tr>
      <w:tr w:rsidR="00055E97" w:rsidRPr="00D53A2B" w14:paraId="06898547" w14:textId="77777777" w:rsidTr="00C86A85">
        <w:tc>
          <w:tcPr>
            <w:tcW w:w="1079" w:type="dxa"/>
            <w:vMerge/>
          </w:tcPr>
          <w:p w14:paraId="482EC3A6" w14:textId="77777777" w:rsidR="00055E97" w:rsidRPr="00D53A2B" w:rsidRDefault="00055E97" w:rsidP="00A202FD">
            <w:pPr>
              <w:jc w:val="both"/>
              <w:rPr>
                <w:rFonts w:eastAsia="Calibri"/>
                <w:sz w:val="22"/>
                <w:szCs w:val="22"/>
                <w:lang w:eastAsia="en-US"/>
              </w:rPr>
            </w:pPr>
          </w:p>
        </w:tc>
        <w:tc>
          <w:tcPr>
            <w:tcW w:w="2108" w:type="dxa"/>
            <w:vAlign w:val="center"/>
          </w:tcPr>
          <w:p w14:paraId="4514A586"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Zn</w:t>
            </w:r>
          </w:p>
        </w:tc>
        <w:tc>
          <w:tcPr>
            <w:tcW w:w="835" w:type="dxa"/>
            <w:vAlign w:val="center"/>
          </w:tcPr>
          <w:p w14:paraId="441EE6F0"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mg/l</w:t>
            </w:r>
          </w:p>
        </w:tc>
        <w:tc>
          <w:tcPr>
            <w:tcW w:w="1578" w:type="dxa"/>
            <w:vAlign w:val="center"/>
          </w:tcPr>
          <w:p w14:paraId="708E562F"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0,05-1</w:t>
            </w:r>
          </w:p>
        </w:tc>
        <w:tc>
          <w:tcPr>
            <w:tcW w:w="3326" w:type="dxa"/>
            <w:vAlign w:val="center"/>
          </w:tcPr>
          <w:p w14:paraId="1F8D307A"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Tüm prosesler (</w:t>
            </w:r>
            <w:r w:rsidRPr="00D53A2B">
              <w:rPr>
                <w:rFonts w:eastAsia="Calibri"/>
                <w:sz w:val="22"/>
                <w:szCs w:val="22"/>
                <w:vertAlign w:val="superscript"/>
                <w:lang w:eastAsia="en-US"/>
              </w:rPr>
              <w:t>3</w:t>
            </w:r>
            <w:r w:rsidRPr="00D53A2B">
              <w:rPr>
                <w:rFonts w:eastAsia="Calibri"/>
                <w:sz w:val="22"/>
                <w:szCs w:val="22"/>
                <w:lang w:eastAsia="en-US"/>
              </w:rPr>
              <w:t>)</w:t>
            </w:r>
          </w:p>
        </w:tc>
      </w:tr>
      <w:tr w:rsidR="00055E97" w:rsidRPr="00D53A2B" w14:paraId="61A55B98" w14:textId="77777777" w:rsidTr="00C86A85">
        <w:tc>
          <w:tcPr>
            <w:tcW w:w="3187" w:type="dxa"/>
            <w:gridSpan w:val="2"/>
          </w:tcPr>
          <w:p w14:paraId="7F5F83AE"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Florür (F</w:t>
            </w:r>
            <w:r w:rsidRPr="00D53A2B">
              <w:rPr>
                <w:rFonts w:eastAsia="Calibri"/>
                <w:sz w:val="22"/>
                <w:szCs w:val="22"/>
                <w:vertAlign w:val="superscript"/>
                <w:lang w:eastAsia="en-US"/>
              </w:rPr>
              <w:t>-</w:t>
            </w:r>
            <w:r w:rsidRPr="00D53A2B">
              <w:rPr>
                <w:rFonts w:eastAsia="Calibri"/>
                <w:sz w:val="22"/>
                <w:szCs w:val="22"/>
                <w:lang w:eastAsia="en-US"/>
              </w:rPr>
              <w:t>)</w:t>
            </w:r>
          </w:p>
        </w:tc>
        <w:tc>
          <w:tcPr>
            <w:tcW w:w="835" w:type="dxa"/>
          </w:tcPr>
          <w:p w14:paraId="0E4BA300"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mg/l</w:t>
            </w:r>
          </w:p>
        </w:tc>
        <w:tc>
          <w:tcPr>
            <w:tcW w:w="1578" w:type="dxa"/>
          </w:tcPr>
          <w:p w14:paraId="06B8E2FD"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1-15</w:t>
            </w:r>
          </w:p>
        </w:tc>
        <w:tc>
          <w:tcPr>
            <w:tcW w:w="3326" w:type="dxa"/>
          </w:tcPr>
          <w:p w14:paraId="7DE8A8EC" w14:textId="77777777" w:rsidR="00055E97" w:rsidRPr="00D53A2B" w:rsidRDefault="00055E97" w:rsidP="00A202FD">
            <w:pPr>
              <w:jc w:val="both"/>
              <w:rPr>
                <w:rFonts w:eastAsia="Calibri"/>
                <w:sz w:val="22"/>
                <w:szCs w:val="22"/>
                <w:lang w:eastAsia="en-US"/>
              </w:rPr>
            </w:pPr>
            <w:r w:rsidRPr="00D53A2B">
              <w:rPr>
                <w:rFonts w:eastAsia="Calibri"/>
                <w:sz w:val="22"/>
                <w:szCs w:val="22"/>
                <w:lang w:eastAsia="en-US"/>
              </w:rPr>
              <w:t>Hidroflorik asit içeren asit karışımlarıyla dekapaj</w:t>
            </w:r>
          </w:p>
        </w:tc>
      </w:tr>
      <w:tr w:rsidR="00055E97" w:rsidRPr="00D53A2B" w14:paraId="0E7E2D30" w14:textId="77777777" w:rsidTr="00C86A85">
        <w:tc>
          <w:tcPr>
            <w:tcW w:w="8926" w:type="dxa"/>
            <w:gridSpan w:val="5"/>
          </w:tcPr>
          <w:p w14:paraId="1FB7CBC9" w14:textId="77777777" w:rsidR="00055E97" w:rsidRPr="00D53A2B" w:rsidRDefault="00055E97" w:rsidP="00A202FD">
            <w:pPr>
              <w:jc w:val="both"/>
              <w:rPr>
                <w:rFonts w:eastAsia="Calibri"/>
                <w:sz w:val="20"/>
                <w:szCs w:val="20"/>
                <w:lang w:eastAsia="en-US"/>
              </w:rPr>
            </w:pPr>
            <w:r w:rsidRPr="00D53A2B">
              <w:rPr>
                <w:rFonts w:eastAsia="Calibri"/>
                <w:sz w:val="20"/>
                <w:szCs w:val="20"/>
                <w:lang w:eastAsia="en-US"/>
              </w:rPr>
              <w:t>(</w:t>
            </w:r>
            <w:r w:rsidRPr="00D53A2B">
              <w:rPr>
                <w:rFonts w:eastAsia="Calibri"/>
                <w:sz w:val="20"/>
                <w:szCs w:val="20"/>
                <w:vertAlign w:val="superscript"/>
                <w:lang w:eastAsia="en-US"/>
              </w:rPr>
              <w:t>1</w:t>
            </w:r>
            <w:r w:rsidRPr="00D53A2B">
              <w:rPr>
                <w:rFonts w:eastAsia="Calibri"/>
                <w:sz w:val="20"/>
                <w:szCs w:val="20"/>
                <w:lang w:eastAsia="en-US"/>
              </w:rPr>
              <w:t xml:space="preserve">) Ortalama süreler Genel hususlar kısmında anlatılmıştır. </w:t>
            </w:r>
          </w:p>
          <w:p w14:paraId="69119145" w14:textId="49169A0B" w:rsidR="00055E97" w:rsidRPr="00D53A2B" w:rsidRDefault="00055E97" w:rsidP="00A202FD">
            <w:pPr>
              <w:jc w:val="both"/>
              <w:rPr>
                <w:rFonts w:eastAsia="Calibri"/>
                <w:sz w:val="20"/>
                <w:szCs w:val="20"/>
                <w:lang w:eastAsia="en-US"/>
              </w:rPr>
            </w:pPr>
            <w:r w:rsidRPr="00D53A2B">
              <w:rPr>
                <w:rFonts w:eastAsia="Calibri"/>
                <w:sz w:val="20"/>
                <w:szCs w:val="20"/>
                <w:lang w:eastAsia="en-US"/>
              </w:rPr>
              <w:t>(</w:t>
            </w:r>
            <w:r w:rsidRPr="00D53A2B">
              <w:rPr>
                <w:rFonts w:eastAsia="Calibri"/>
                <w:sz w:val="20"/>
                <w:szCs w:val="20"/>
                <w:vertAlign w:val="superscript"/>
                <w:lang w:eastAsia="en-US"/>
              </w:rPr>
              <w:t>2</w:t>
            </w:r>
            <w:r w:rsidRPr="00D53A2B">
              <w:rPr>
                <w:rFonts w:eastAsia="Calibri"/>
                <w:sz w:val="20"/>
                <w:szCs w:val="20"/>
                <w:lang w:eastAsia="en-US"/>
              </w:rPr>
              <w:t xml:space="preserve">) </w:t>
            </w:r>
            <w:r w:rsidR="00651500" w:rsidRPr="00D53A2B">
              <w:rPr>
                <w:rFonts w:eastAsia="Calibri"/>
                <w:sz w:val="20"/>
                <w:szCs w:val="20"/>
                <w:lang w:eastAsia="en-US"/>
              </w:rPr>
              <w:t>Atıksu</w:t>
            </w:r>
            <w:r w:rsidRPr="00D53A2B">
              <w:rPr>
                <w:rFonts w:eastAsia="Calibri"/>
                <w:sz w:val="20"/>
                <w:szCs w:val="20"/>
                <w:lang w:eastAsia="en-US"/>
              </w:rPr>
              <w:t xml:space="preserve">arıtma tesisinin ilgili kirleticileri azaltmak için uygun şekilde tasarlanması ve donatılması halinde, bu durumun çevrede daha yüksek düzeyde kirliliğe yol açmaması koşuluyla </w:t>
            </w:r>
            <w:r w:rsidR="00B875DD" w:rsidRPr="00D53A2B">
              <w:rPr>
                <w:rFonts w:eastAsia="Calibri"/>
                <w:sz w:val="20"/>
                <w:szCs w:val="20"/>
                <w:lang w:eastAsia="en-US"/>
              </w:rPr>
              <w:t>MET-İES</w:t>
            </w:r>
            <w:r w:rsidRPr="00D53A2B">
              <w:rPr>
                <w:rFonts w:eastAsia="Calibri"/>
                <w:sz w:val="20"/>
                <w:szCs w:val="20"/>
                <w:lang w:eastAsia="en-US"/>
              </w:rPr>
              <w:t xml:space="preserve"> uygulanmayabilir.</w:t>
            </w:r>
          </w:p>
          <w:p w14:paraId="61FEE732" w14:textId="616D9469" w:rsidR="00055E97" w:rsidRPr="00D53A2B" w:rsidRDefault="00055E97" w:rsidP="00A202FD">
            <w:pPr>
              <w:jc w:val="both"/>
              <w:rPr>
                <w:rFonts w:eastAsia="Calibri"/>
                <w:sz w:val="20"/>
                <w:szCs w:val="20"/>
                <w:lang w:eastAsia="en-US"/>
              </w:rPr>
            </w:pPr>
            <w:r w:rsidRPr="00D53A2B">
              <w:rPr>
                <w:rFonts w:eastAsia="Calibri"/>
                <w:sz w:val="20"/>
                <w:szCs w:val="20"/>
                <w:lang w:eastAsia="en-US"/>
              </w:rPr>
              <w:t>(</w:t>
            </w:r>
            <w:r w:rsidRPr="00D53A2B">
              <w:rPr>
                <w:rFonts w:eastAsia="Calibri"/>
                <w:sz w:val="20"/>
                <w:szCs w:val="20"/>
                <w:vertAlign w:val="superscript"/>
                <w:lang w:eastAsia="en-US"/>
              </w:rPr>
              <w:t>3</w:t>
            </w:r>
            <w:r w:rsidRPr="00D53A2B">
              <w:rPr>
                <w:rFonts w:eastAsia="Calibri"/>
                <w:sz w:val="20"/>
                <w:szCs w:val="20"/>
                <w:lang w:eastAsia="en-US"/>
              </w:rPr>
              <w:t>) MET-İES, ilgili madde(ler)/parametre(ler) MET 2</w:t>
            </w:r>
            <w:r w:rsidR="00E56504" w:rsidRPr="00D53A2B">
              <w:rPr>
                <w:rFonts w:eastAsia="Calibri"/>
                <w:sz w:val="20"/>
                <w:szCs w:val="20"/>
                <w:lang w:eastAsia="en-US"/>
              </w:rPr>
              <w:t>’</w:t>
            </w:r>
            <w:r w:rsidRPr="00D53A2B">
              <w:rPr>
                <w:rFonts w:eastAsia="Calibri"/>
                <w:sz w:val="20"/>
                <w:szCs w:val="20"/>
                <w:lang w:eastAsia="en-US"/>
              </w:rPr>
              <w:t>de belirtilen envantere dayanarak atıksu akışında alakalı olarak tanımlanması durumunda geçerlidir.</w:t>
            </w:r>
          </w:p>
          <w:p w14:paraId="0AF84EEC" w14:textId="03F74A9C" w:rsidR="00055E97" w:rsidRPr="00D53A2B" w:rsidRDefault="00055E97" w:rsidP="00A202FD">
            <w:pPr>
              <w:jc w:val="both"/>
              <w:rPr>
                <w:rFonts w:eastAsia="Calibri"/>
                <w:sz w:val="20"/>
                <w:szCs w:val="20"/>
                <w:lang w:eastAsia="en-US"/>
              </w:rPr>
            </w:pPr>
            <w:r w:rsidRPr="00D53A2B">
              <w:rPr>
                <w:rFonts w:eastAsia="Calibri"/>
                <w:sz w:val="20"/>
                <w:szCs w:val="20"/>
                <w:lang w:eastAsia="en-US"/>
              </w:rPr>
              <w:t>(</w:t>
            </w:r>
            <w:r w:rsidRPr="00D53A2B">
              <w:rPr>
                <w:rFonts w:eastAsia="Calibri"/>
                <w:sz w:val="20"/>
                <w:szCs w:val="20"/>
                <w:vertAlign w:val="superscript"/>
                <w:lang w:eastAsia="en-US"/>
              </w:rPr>
              <w:t>4</w:t>
            </w:r>
            <w:r w:rsidRPr="00D53A2B">
              <w:rPr>
                <w:rFonts w:eastAsia="Calibri"/>
                <w:sz w:val="20"/>
                <w:szCs w:val="20"/>
                <w:lang w:eastAsia="en-US"/>
              </w:rPr>
              <w:t>) Yüksek alaşımlı çelikler söz konusu olduğunda MET-İES aralığının üst ucu 0.3 mg/l</w:t>
            </w:r>
            <w:r w:rsidR="00E56504" w:rsidRPr="00D53A2B">
              <w:rPr>
                <w:rFonts w:eastAsia="Calibri"/>
                <w:sz w:val="20"/>
                <w:szCs w:val="20"/>
                <w:lang w:eastAsia="en-US"/>
              </w:rPr>
              <w:t>’</w:t>
            </w:r>
            <w:r w:rsidRPr="00D53A2B">
              <w:rPr>
                <w:rFonts w:eastAsia="Calibri"/>
                <w:sz w:val="20"/>
                <w:szCs w:val="20"/>
                <w:lang w:eastAsia="en-US"/>
              </w:rPr>
              <w:t xml:space="preserve">dir. </w:t>
            </w:r>
          </w:p>
          <w:p w14:paraId="72F85A78" w14:textId="38B9ECEA" w:rsidR="00055E97" w:rsidRPr="00D53A2B" w:rsidRDefault="00055E97" w:rsidP="00A202FD">
            <w:pPr>
              <w:jc w:val="both"/>
              <w:rPr>
                <w:rFonts w:eastAsia="Calibri"/>
                <w:sz w:val="20"/>
                <w:szCs w:val="20"/>
                <w:lang w:eastAsia="en-US"/>
              </w:rPr>
            </w:pPr>
            <w:r w:rsidRPr="00D53A2B">
              <w:rPr>
                <w:rFonts w:eastAsia="Calibri"/>
                <w:sz w:val="20"/>
                <w:szCs w:val="20"/>
                <w:lang w:eastAsia="en-US"/>
              </w:rPr>
              <w:t>(</w:t>
            </w:r>
            <w:r w:rsidRPr="00D53A2B">
              <w:rPr>
                <w:rFonts w:eastAsia="Calibri"/>
                <w:sz w:val="20"/>
                <w:szCs w:val="20"/>
                <w:vertAlign w:val="superscript"/>
                <w:lang w:eastAsia="en-US"/>
              </w:rPr>
              <w:t>5</w:t>
            </w:r>
            <w:r w:rsidRPr="00D53A2B">
              <w:rPr>
                <w:rFonts w:eastAsia="Calibri"/>
                <w:sz w:val="20"/>
                <w:szCs w:val="20"/>
                <w:lang w:eastAsia="en-US"/>
              </w:rPr>
              <w:t>) Östenitik paslanmaz çelik üreten tesisler söz konusu olduğunda MET-İES aralığının üst sınırı 0,4 mg/l</w:t>
            </w:r>
            <w:r w:rsidR="00E56504" w:rsidRPr="00D53A2B">
              <w:rPr>
                <w:rFonts w:eastAsia="Calibri"/>
                <w:sz w:val="20"/>
                <w:szCs w:val="20"/>
                <w:lang w:eastAsia="en-US"/>
              </w:rPr>
              <w:t>’</w:t>
            </w:r>
            <w:r w:rsidRPr="00D53A2B">
              <w:rPr>
                <w:rFonts w:eastAsia="Calibri"/>
                <w:sz w:val="20"/>
                <w:szCs w:val="20"/>
                <w:lang w:eastAsia="en-US"/>
              </w:rPr>
              <w:t>dir.</w:t>
            </w:r>
          </w:p>
          <w:p w14:paraId="3CB3AA46" w14:textId="79008A94" w:rsidR="00055E97" w:rsidRPr="00D53A2B" w:rsidRDefault="00055E97" w:rsidP="00A202FD">
            <w:pPr>
              <w:jc w:val="both"/>
              <w:rPr>
                <w:rFonts w:eastAsia="Calibri"/>
                <w:sz w:val="20"/>
                <w:szCs w:val="20"/>
                <w:lang w:eastAsia="en-US"/>
              </w:rPr>
            </w:pPr>
            <w:r w:rsidRPr="00D53A2B">
              <w:rPr>
                <w:rFonts w:eastAsia="Calibri"/>
                <w:sz w:val="20"/>
                <w:szCs w:val="20"/>
                <w:lang w:eastAsia="en-US"/>
              </w:rPr>
              <w:t>(</w:t>
            </w:r>
            <w:r w:rsidRPr="00D53A2B">
              <w:rPr>
                <w:rFonts w:eastAsia="Calibri"/>
                <w:sz w:val="20"/>
                <w:szCs w:val="20"/>
                <w:vertAlign w:val="superscript"/>
                <w:lang w:eastAsia="en-US"/>
              </w:rPr>
              <w:t>6</w:t>
            </w:r>
            <w:r w:rsidRPr="00D53A2B">
              <w:rPr>
                <w:rFonts w:eastAsia="Calibri"/>
                <w:sz w:val="20"/>
                <w:szCs w:val="20"/>
                <w:lang w:eastAsia="en-US"/>
              </w:rPr>
              <w:t>) Kurşun banyosu kullanan tel çekme tesisleri söz konusu olduğunda MET-İES aralığının üst sınırı 35 μg/l</w:t>
            </w:r>
            <w:r w:rsidR="00E56504" w:rsidRPr="00D53A2B">
              <w:rPr>
                <w:rFonts w:eastAsia="Calibri"/>
                <w:sz w:val="20"/>
                <w:szCs w:val="20"/>
                <w:lang w:eastAsia="en-US"/>
              </w:rPr>
              <w:t>’</w:t>
            </w:r>
            <w:r w:rsidRPr="00D53A2B">
              <w:rPr>
                <w:rFonts w:eastAsia="Calibri"/>
                <w:sz w:val="20"/>
                <w:szCs w:val="20"/>
                <w:lang w:eastAsia="en-US"/>
              </w:rPr>
              <w:t xml:space="preserve">dir. </w:t>
            </w:r>
          </w:p>
          <w:p w14:paraId="539822DC" w14:textId="0D2C4C76" w:rsidR="00055E97" w:rsidRPr="00D53A2B" w:rsidRDefault="00055E97" w:rsidP="00A202FD">
            <w:pPr>
              <w:jc w:val="both"/>
              <w:rPr>
                <w:rFonts w:eastAsia="Calibri"/>
                <w:sz w:val="22"/>
                <w:szCs w:val="22"/>
                <w:lang w:eastAsia="en-US"/>
              </w:rPr>
            </w:pPr>
            <w:r w:rsidRPr="00D53A2B">
              <w:rPr>
                <w:rFonts w:eastAsia="Calibri"/>
                <w:sz w:val="20"/>
                <w:szCs w:val="20"/>
                <w:lang w:eastAsia="en-US"/>
              </w:rPr>
              <w:t>(</w:t>
            </w:r>
            <w:r w:rsidRPr="00D53A2B">
              <w:rPr>
                <w:rFonts w:eastAsia="Calibri"/>
                <w:sz w:val="20"/>
                <w:szCs w:val="20"/>
                <w:vertAlign w:val="superscript"/>
                <w:lang w:eastAsia="en-US"/>
              </w:rPr>
              <w:t>7</w:t>
            </w:r>
            <w:r w:rsidRPr="00D53A2B">
              <w:rPr>
                <w:rFonts w:eastAsia="Calibri"/>
                <w:sz w:val="20"/>
                <w:szCs w:val="20"/>
                <w:lang w:eastAsia="en-US"/>
              </w:rPr>
              <w:t xml:space="preserve">) Kurşunlu çelik işleyen tesislerde </w:t>
            </w:r>
            <w:r w:rsidR="00B875DD" w:rsidRPr="00D53A2B">
              <w:rPr>
                <w:rFonts w:eastAsia="Calibri"/>
                <w:sz w:val="20"/>
                <w:szCs w:val="20"/>
                <w:lang w:eastAsia="en-US"/>
              </w:rPr>
              <w:t xml:space="preserve">MET-İES </w:t>
            </w:r>
            <w:r w:rsidRPr="00D53A2B">
              <w:rPr>
                <w:rFonts w:eastAsia="Calibri"/>
                <w:sz w:val="20"/>
                <w:szCs w:val="20"/>
                <w:lang w:eastAsia="en-US"/>
              </w:rPr>
              <w:t>aralığının üst ucu daha yüksek olabilir ve 50 μg/l</w:t>
            </w:r>
            <w:r w:rsidR="00E56504" w:rsidRPr="00D53A2B">
              <w:rPr>
                <w:rFonts w:eastAsia="Calibri"/>
                <w:sz w:val="20"/>
                <w:szCs w:val="20"/>
                <w:lang w:eastAsia="en-US"/>
              </w:rPr>
              <w:t>’</w:t>
            </w:r>
            <w:r w:rsidRPr="00D53A2B">
              <w:rPr>
                <w:rFonts w:eastAsia="Calibri"/>
                <w:sz w:val="20"/>
                <w:szCs w:val="20"/>
                <w:lang w:eastAsia="en-US"/>
              </w:rPr>
              <w:t>ye kadar çıkabilir.</w:t>
            </w:r>
          </w:p>
        </w:tc>
      </w:tr>
    </w:tbl>
    <w:p w14:paraId="22B33A81" w14:textId="77777777" w:rsidR="008B4559" w:rsidRPr="00D53A2B" w:rsidRDefault="008B4559" w:rsidP="00A202FD">
      <w:pPr>
        <w:jc w:val="both"/>
        <w:rPr>
          <w:rFonts w:eastAsia="Calibri"/>
          <w:lang w:eastAsia="en-US"/>
        </w:rPr>
      </w:pPr>
    </w:p>
    <w:p w14:paraId="0CC25CF8" w14:textId="395C5314" w:rsidR="00055E97" w:rsidRPr="00D53A2B" w:rsidRDefault="00055E97" w:rsidP="00A202FD">
      <w:pPr>
        <w:jc w:val="both"/>
        <w:rPr>
          <w:rFonts w:eastAsia="Calibri"/>
          <w:lang w:eastAsia="en-US"/>
        </w:rPr>
      </w:pPr>
      <w:r w:rsidRPr="00D53A2B">
        <w:rPr>
          <w:rFonts w:eastAsia="Calibri"/>
          <w:lang w:eastAsia="en-US"/>
        </w:rPr>
        <w:t>İlgili izleme MET 8</w:t>
      </w:r>
      <w:r w:rsidR="00E56504" w:rsidRPr="00D53A2B">
        <w:rPr>
          <w:rFonts w:eastAsia="Calibri"/>
          <w:lang w:eastAsia="en-US"/>
        </w:rPr>
        <w:t>’</w:t>
      </w:r>
      <w:r w:rsidRPr="00D53A2B">
        <w:rPr>
          <w:rFonts w:eastAsia="Calibri"/>
          <w:lang w:eastAsia="en-US"/>
        </w:rPr>
        <w:t>de verilmiştir.</w:t>
      </w:r>
    </w:p>
    <w:p w14:paraId="5FE39011" w14:textId="77777777" w:rsidR="0071694E" w:rsidRPr="00D53A2B" w:rsidRDefault="0071694E" w:rsidP="00A202FD">
      <w:pPr>
        <w:jc w:val="both"/>
        <w:rPr>
          <w:rFonts w:eastAsia="Calibri"/>
          <w:lang w:eastAsia="en-US"/>
        </w:rPr>
      </w:pPr>
    </w:p>
    <w:p w14:paraId="48A7D294" w14:textId="64F8097A" w:rsidR="001A02DA" w:rsidRPr="00D53A2B" w:rsidRDefault="00816D19" w:rsidP="00A202FD">
      <w:pPr>
        <w:pStyle w:val="Balk3"/>
        <w:rPr>
          <w:rFonts w:eastAsia="Calibri" w:cs="Times New Roman"/>
          <w:lang w:eastAsia="en-US"/>
        </w:rPr>
      </w:pPr>
      <w:r w:rsidRPr="00D53A2B">
        <w:rPr>
          <w:rFonts w:eastAsia="Calibri" w:cs="Times New Roman"/>
          <w:lang w:eastAsia="en-US"/>
        </w:rPr>
        <w:t>1.1</w:t>
      </w:r>
      <w:r w:rsidR="002324EB" w:rsidRPr="00D53A2B">
        <w:rPr>
          <w:rFonts w:eastAsia="Calibri" w:cs="Times New Roman"/>
          <w:lang w:eastAsia="en-US"/>
        </w:rPr>
        <w:t>.9. Gürültü ve titreşimler</w:t>
      </w:r>
    </w:p>
    <w:p w14:paraId="0F33B6F8" w14:textId="6948A36D" w:rsidR="001A02DA" w:rsidRPr="00D53A2B" w:rsidRDefault="00CD67B6" w:rsidP="00A202FD">
      <w:pPr>
        <w:pStyle w:val="MET"/>
        <w:rPr>
          <w:rFonts w:eastAsia="Calibri"/>
          <w:szCs w:val="24"/>
        </w:rPr>
      </w:pPr>
      <w:r w:rsidRPr="00D53A2B">
        <w:rPr>
          <w:rFonts w:eastAsia="Calibri"/>
          <w:szCs w:val="24"/>
        </w:rPr>
        <w:t xml:space="preserve">MET 32: </w:t>
      </w:r>
      <w:r w:rsidRPr="00D53A2B">
        <w:rPr>
          <w:rFonts w:eastAsia="Calibri"/>
          <w:b w:val="0"/>
          <w:bCs/>
          <w:szCs w:val="24"/>
        </w:rPr>
        <w:t>Gürültü ve titreşim emisyonlarını önlemek veya bu mümkün olmadığında azaltmak için ÇYS</w:t>
      </w:r>
      <w:r w:rsidR="00E56504" w:rsidRPr="00D53A2B">
        <w:rPr>
          <w:rFonts w:eastAsia="Calibri"/>
          <w:b w:val="0"/>
          <w:bCs/>
          <w:szCs w:val="24"/>
        </w:rPr>
        <w:t>’</w:t>
      </w:r>
      <w:r w:rsidRPr="00D53A2B">
        <w:rPr>
          <w:rFonts w:eastAsia="Calibri"/>
          <w:b w:val="0"/>
          <w:bCs/>
          <w:szCs w:val="24"/>
        </w:rPr>
        <w:t>nin bir parçası olarak (bkz. MET 1) aşağıdaki tüm unsurları içeren bir gürültü ve titreşim yönetim planı oluşturulur, uygulanır ve düzenli olarak gözden geçirilir.</w:t>
      </w:r>
    </w:p>
    <w:p w14:paraId="788BE60E" w14:textId="77777777" w:rsidR="00CD67B6" w:rsidRPr="00D53A2B" w:rsidRDefault="00CD67B6" w:rsidP="00602365">
      <w:pPr>
        <w:pStyle w:val="ListeParagraf"/>
        <w:numPr>
          <w:ilvl w:val="0"/>
          <w:numId w:val="169"/>
        </w:numPr>
        <w:tabs>
          <w:tab w:val="clear" w:pos="567"/>
        </w:tabs>
        <w:ind w:left="426" w:hanging="426"/>
        <w:rPr>
          <w:rFonts w:eastAsia="Calibri"/>
          <w:sz w:val="24"/>
          <w:szCs w:val="24"/>
        </w:rPr>
      </w:pPr>
      <w:r w:rsidRPr="00D53A2B">
        <w:rPr>
          <w:rFonts w:eastAsia="Calibri"/>
          <w:sz w:val="24"/>
          <w:szCs w:val="24"/>
        </w:rPr>
        <w:t>uygun eylemleri ve zaman çizelgelerini içeren bir protokol;</w:t>
      </w:r>
    </w:p>
    <w:p w14:paraId="2A059FB9" w14:textId="77777777" w:rsidR="00CD67B6" w:rsidRPr="00D53A2B" w:rsidRDefault="00CD67B6" w:rsidP="00602365">
      <w:pPr>
        <w:pStyle w:val="ListeParagraf"/>
        <w:numPr>
          <w:ilvl w:val="0"/>
          <w:numId w:val="169"/>
        </w:numPr>
        <w:tabs>
          <w:tab w:val="clear" w:pos="567"/>
        </w:tabs>
        <w:ind w:left="426" w:hanging="426"/>
        <w:rPr>
          <w:rFonts w:eastAsia="Calibri"/>
          <w:sz w:val="24"/>
          <w:szCs w:val="24"/>
        </w:rPr>
      </w:pPr>
      <w:r w:rsidRPr="00D53A2B">
        <w:rPr>
          <w:rFonts w:eastAsia="Calibri"/>
          <w:sz w:val="24"/>
          <w:szCs w:val="24"/>
        </w:rPr>
        <w:t>gürültü ve titreşim izlemeyi yürütme protokolü;</w:t>
      </w:r>
    </w:p>
    <w:p w14:paraId="488D52A7" w14:textId="0463C55D" w:rsidR="001A02DA" w:rsidRPr="00D53A2B" w:rsidRDefault="00CD67B6" w:rsidP="00602365">
      <w:pPr>
        <w:pStyle w:val="ListeParagraf"/>
        <w:numPr>
          <w:ilvl w:val="0"/>
          <w:numId w:val="169"/>
        </w:numPr>
        <w:tabs>
          <w:tab w:val="clear" w:pos="567"/>
        </w:tabs>
        <w:ind w:left="426" w:hanging="426"/>
        <w:rPr>
          <w:rFonts w:eastAsia="Calibri"/>
          <w:sz w:val="24"/>
          <w:szCs w:val="24"/>
        </w:rPr>
      </w:pPr>
      <w:r w:rsidRPr="00D53A2B">
        <w:rPr>
          <w:rFonts w:eastAsia="Calibri"/>
          <w:sz w:val="24"/>
          <w:szCs w:val="24"/>
        </w:rPr>
        <w:t>tespit edilen gürültü ve titreşim olaylarına yanıt verme protokolü, örneğin şikayetle;</w:t>
      </w:r>
    </w:p>
    <w:p w14:paraId="7DDF3E75" w14:textId="2861501A" w:rsidR="00CD67B6" w:rsidRPr="00D53A2B" w:rsidRDefault="00CD67B6" w:rsidP="00602365">
      <w:pPr>
        <w:pStyle w:val="ListeParagraf"/>
        <w:numPr>
          <w:ilvl w:val="0"/>
          <w:numId w:val="169"/>
        </w:numPr>
        <w:tabs>
          <w:tab w:val="clear" w:pos="567"/>
        </w:tabs>
        <w:ind w:left="426" w:hanging="426"/>
        <w:rPr>
          <w:rFonts w:eastAsia="Calibri"/>
          <w:sz w:val="24"/>
          <w:szCs w:val="24"/>
        </w:rPr>
      </w:pPr>
      <w:r w:rsidRPr="00D53A2B">
        <w:rPr>
          <w:rFonts w:eastAsia="Calibri"/>
          <w:sz w:val="24"/>
          <w:szCs w:val="24"/>
        </w:rPr>
        <w:t>kaynağı/kaynakları belirlemek, gürültü ve titreşim maruziyetini ölçmek/tahmin etmek, kaynakların katkılarını karakterize etmek ve önleme ve/veya azaltma önlemlerini uygulamak üzere tasarlanmış bir gürültü ve titreşim azaltma programı.</w:t>
      </w:r>
    </w:p>
    <w:p w14:paraId="0EDC4A24" w14:textId="77777777" w:rsidR="0071694E" w:rsidRPr="00D53A2B" w:rsidRDefault="0071694E" w:rsidP="00A202FD">
      <w:pPr>
        <w:jc w:val="both"/>
        <w:rPr>
          <w:rFonts w:eastAsia="Calibri"/>
          <w:lang w:eastAsia="en-US"/>
        </w:rPr>
      </w:pPr>
    </w:p>
    <w:p w14:paraId="62854847" w14:textId="36EF7CC8" w:rsidR="0071694E" w:rsidRPr="00D53A2B" w:rsidRDefault="00CD67B6" w:rsidP="00A202FD">
      <w:pPr>
        <w:jc w:val="both"/>
        <w:rPr>
          <w:rFonts w:eastAsia="Calibri"/>
          <w:b/>
          <w:bCs/>
          <w:lang w:eastAsia="en-US"/>
        </w:rPr>
      </w:pPr>
      <w:r w:rsidRPr="00D53A2B">
        <w:rPr>
          <w:rFonts w:eastAsia="Calibri"/>
          <w:b/>
          <w:bCs/>
          <w:lang w:eastAsia="en-US"/>
        </w:rPr>
        <w:t>Uygulanabilirlik</w:t>
      </w:r>
    </w:p>
    <w:p w14:paraId="7C302F80" w14:textId="6A0B701B" w:rsidR="0071694E" w:rsidRPr="00D53A2B" w:rsidRDefault="00CD67B6" w:rsidP="00A202FD">
      <w:pPr>
        <w:jc w:val="both"/>
        <w:rPr>
          <w:rFonts w:eastAsia="Calibri"/>
          <w:lang w:eastAsia="en-US"/>
        </w:rPr>
      </w:pPr>
      <w:r w:rsidRPr="00D53A2B">
        <w:rPr>
          <w:rFonts w:eastAsia="Calibri"/>
          <w:lang w:eastAsia="en-US"/>
        </w:rPr>
        <w:t>Uygulanabilirlik, hassas alıcılarda gürültü veya titreşim rahatsızlığının beklendiği ve/veya kanıtlandığı durumlarla sınırlıdır.</w:t>
      </w:r>
    </w:p>
    <w:p w14:paraId="5F9B3603" w14:textId="77777777" w:rsidR="0071694E" w:rsidRPr="00D53A2B" w:rsidRDefault="0071694E" w:rsidP="00A202FD">
      <w:pPr>
        <w:jc w:val="both"/>
        <w:rPr>
          <w:rFonts w:eastAsia="Calibri"/>
          <w:lang w:eastAsia="en-US"/>
        </w:rPr>
      </w:pPr>
    </w:p>
    <w:p w14:paraId="2E77A9DF" w14:textId="6E3BF8F4" w:rsidR="0071694E" w:rsidRPr="00D53A2B" w:rsidRDefault="00CD67B6" w:rsidP="00A202FD">
      <w:pPr>
        <w:pStyle w:val="MET"/>
        <w:rPr>
          <w:rFonts w:eastAsia="Calibri"/>
          <w:szCs w:val="24"/>
        </w:rPr>
      </w:pPr>
      <w:r w:rsidRPr="00D53A2B">
        <w:rPr>
          <w:rFonts w:eastAsia="Calibri"/>
          <w:szCs w:val="24"/>
        </w:rPr>
        <w:t xml:space="preserve">MET 33: </w:t>
      </w:r>
      <w:r w:rsidRPr="00D53A2B">
        <w:rPr>
          <w:rFonts w:eastAsia="Calibri"/>
          <w:b w:val="0"/>
          <w:bCs/>
          <w:szCs w:val="24"/>
        </w:rPr>
        <w:t>Gürültü ve titreşim emisyonlarını önlemek veya bu mümkün olmadığında azaltmak için aşağıda verilen tekniklerden birini veya birkaçını kullanılır.</w:t>
      </w:r>
    </w:p>
    <w:p w14:paraId="3FBCA37B" w14:textId="77777777"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567"/>
        <w:gridCol w:w="1701"/>
        <w:gridCol w:w="3827"/>
        <w:gridCol w:w="2835"/>
      </w:tblGrid>
      <w:tr w:rsidR="00CD67B6" w:rsidRPr="00D53A2B" w14:paraId="7F282987" w14:textId="77777777" w:rsidTr="00C86A85">
        <w:tc>
          <w:tcPr>
            <w:tcW w:w="2268" w:type="dxa"/>
            <w:gridSpan w:val="2"/>
          </w:tcPr>
          <w:p w14:paraId="1884EFD0" w14:textId="77777777" w:rsidR="00CD67B6" w:rsidRPr="00D53A2B" w:rsidRDefault="00CD67B6" w:rsidP="004B0D48">
            <w:pPr>
              <w:pStyle w:val="KonuBal"/>
            </w:pPr>
            <w:r w:rsidRPr="00D53A2B">
              <w:t>Teknik</w:t>
            </w:r>
          </w:p>
        </w:tc>
        <w:tc>
          <w:tcPr>
            <w:tcW w:w="3827" w:type="dxa"/>
          </w:tcPr>
          <w:p w14:paraId="3EF0C60B" w14:textId="77777777" w:rsidR="00CD67B6" w:rsidRPr="00D53A2B" w:rsidRDefault="00CD67B6" w:rsidP="004B0D48">
            <w:pPr>
              <w:pStyle w:val="KonuBal"/>
            </w:pPr>
            <w:r w:rsidRPr="00D53A2B">
              <w:t>Açıklama</w:t>
            </w:r>
          </w:p>
        </w:tc>
        <w:tc>
          <w:tcPr>
            <w:tcW w:w="2835" w:type="dxa"/>
          </w:tcPr>
          <w:p w14:paraId="35EA78C7" w14:textId="77777777" w:rsidR="00CD67B6" w:rsidRPr="00D53A2B" w:rsidRDefault="00CD67B6" w:rsidP="00E73DA3">
            <w:pPr>
              <w:pStyle w:val="KonuBal"/>
            </w:pPr>
            <w:r w:rsidRPr="00D53A2B">
              <w:t>Uygulanabilirlik</w:t>
            </w:r>
          </w:p>
        </w:tc>
      </w:tr>
      <w:tr w:rsidR="00CD67B6" w:rsidRPr="00D53A2B" w14:paraId="5ECCC3B2" w14:textId="77777777" w:rsidTr="00C86A85">
        <w:tc>
          <w:tcPr>
            <w:tcW w:w="567" w:type="dxa"/>
            <w:vAlign w:val="center"/>
          </w:tcPr>
          <w:p w14:paraId="7466C826" w14:textId="77777777" w:rsidR="00CD67B6" w:rsidRPr="00D53A2B" w:rsidRDefault="00CD67B6" w:rsidP="004B0D48">
            <w:pPr>
              <w:pStyle w:val="KonuBal"/>
            </w:pPr>
            <w:r w:rsidRPr="00D53A2B">
              <w:t>a.</w:t>
            </w:r>
          </w:p>
        </w:tc>
        <w:tc>
          <w:tcPr>
            <w:tcW w:w="1701" w:type="dxa"/>
            <w:vAlign w:val="center"/>
          </w:tcPr>
          <w:p w14:paraId="26195E81" w14:textId="14E8FDCC" w:rsidR="00CD67B6" w:rsidRPr="00D53A2B" w:rsidRDefault="00CD67B6" w:rsidP="004B0D48">
            <w:pPr>
              <w:pStyle w:val="KonuBal"/>
            </w:pPr>
            <w:r w:rsidRPr="00D53A2B">
              <w:t>Ekipman ve binaların uygun yerleşimi</w:t>
            </w:r>
          </w:p>
        </w:tc>
        <w:tc>
          <w:tcPr>
            <w:tcW w:w="3827" w:type="dxa"/>
            <w:vAlign w:val="center"/>
          </w:tcPr>
          <w:p w14:paraId="364B48B7" w14:textId="4AB65088" w:rsidR="00CD67B6" w:rsidRPr="00D53A2B" w:rsidRDefault="00CD67B6" w:rsidP="00A202FD">
            <w:pPr>
              <w:pStyle w:val="ListeParagraf"/>
              <w:numPr>
                <w:ilvl w:val="0"/>
                <w:numId w:val="0"/>
              </w:numPr>
              <w:tabs>
                <w:tab w:val="clear" w:pos="567"/>
              </w:tabs>
              <w:spacing w:line="240" w:lineRule="auto"/>
              <w:ind w:left="37"/>
              <w:rPr>
                <w:rFonts w:eastAsia="Calibri"/>
              </w:rPr>
            </w:pPr>
            <w:r w:rsidRPr="00D53A2B">
              <w:rPr>
                <w:rFonts w:eastAsia="Calibri"/>
                <w:position w:val="0"/>
              </w:rPr>
              <w:t>Gürültü seviyeleri, verici ile alıcı arasındaki mesafenin artırılması, binaların gürültü perdesi olarak kullanılması ve binaların giriş veya çıkışlarının yerinin değiştirilmesi yoluyla azaltılabilir.</w:t>
            </w:r>
          </w:p>
        </w:tc>
        <w:tc>
          <w:tcPr>
            <w:tcW w:w="2835" w:type="dxa"/>
            <w:vAlign w:val="center"/>
          </w:tcPr>
          <w:p w14:paraId="013163C2" w14:textId="33D86AE4" w:rsidR="00CD67B6" w:rsidRPr="00D53A2B" w:rsidRDefault="00CD67B6" w:rsidP="004B0D48">
            <w:pPr>
              <w:pStyle w:val="KonuBal"/>
            </w:pPr>
            <w:r w:rsidRPr="00D53A2B">
              <w:t>Mevcut tesislerde ekipmanların ve binaların giriş veya çıkışlarının taşınması, alan darlığı ve/veya aşırı maliyet nedeniyle uygun olmayabilir.</w:t>
            </w:r>
          </w:p>
        </w:tc>
      </w:tr>
      <w:tr w:rsidR="008B5C24" w:rsidRPr="00D53A2B" w14:paraId="0BD14B32" w14:textId="77777777" w:rsidTr="00C86A85">
        <w:tc>
          <w:tcPr>
            <w:tcW w:w="567" w:type="dxa"/>
            <w:vAlign w:val="center"/>
          </w:tcPr>
          <w:p w14:paraId="707C62AC" w14:textId="77777777" w:rsidR="008B5C24" w:rsidRPr="00D53A2B" w:rsidRDefault="008B5C24" w:rsidP="004B0D48">
            <w:pPr>
              <w:pStyle w:val="KonuBal"/>
            </w:pPr>
            <w:r w:rsidRPr="00D53A2B">
              <w:t>b.</w:t>
            </w:r>
          </w:p>
        </w:tc>
        <w:tc>
          <w:tcPr>
            <w:tcW w:w="1701" w:type="dxa"/>
            <w:vAlign w:val="center"/>
          </w:tcPr>
          <w:p w14:paraId="6EE25213" w14:textId="207F5F46" w:rsidR="008B5C24" w:rsidRPr="00D53A2B" w:rsidRDefault="008B5C24" w:rsidP="004B0D48">
            <w:pPr>
              <w:pStyle w:val="KonuBal"/>
            </w:pPr>
            <w:r w:rsidRPr="00D53A2B">
              <w:t>Operasyonel önlemler</w:t>
            </w:r>
          </w:p>
        </w:tc>
        <w:tc>
          <w:tcPr>
            <w:tcW w:w="3827" w:type="dxa"/>
            <w:vAlign w:val="center"/>
          </w:tcPr>
          <w:p w14:paraId="5DE8C90D" w14:textId="77777777" w:rsidR="008B5C24" w:rsidRPr="00D53A2B" w:rsidRDefault="008B5C24" w:rsidP="00A202FD">
            <w:pPr>
              <w:ind w:left="32"/>
              <w:jc w:val="both"/>
              <w:rPr>
                <w:rFonts w:eastAsia="Calibri"/>
                <w:sz w:val="22"/>
                <w:szCs w:val="22"/>
              </w:rPr>
            </w:pPr>
            <w:r w:rsidRPr="00D53A2B">
              <w:rPr>
                <w:rFonts w:eastAsia="Calibri"/>
                <w:sz w:val="22"/>
                <w:szCs w:val="22"/>
              </w:rPr>
              <w:t>Bunlara şunlar gibi teknikler dahildir:</w:t>
            </w:r>
          </w:p>
          <w:p w14:paraId="5933423C" w14:textId="77777777" w:rsidR="008B5C24" w:rsidRPr="00D53A2B" w:rsidRDefault="008B5C24" w:rsidP="00A202FD">
            <w:pPr>
              <w:pStyle w:val="ListeParagraf"/>
              <w:numPr>
                <w:ilvl w:val="0"/>
                <w:numId w:val="80"/>
              </w:numPr>
              <w:tabs>
                <w:tab w:val="clear" w:pos="567"/>
              </w:tabs>
              <w:spacing w:line="240" w:lineRule="auto"/>
              <w:ind w:left="315" w:hanging="283"/>
              <w:rPr>
                <w:rFonts w:eastAsia="Calibri"/>
              </w:rPr>
            </w:pPr>
            <w:r w:rsidRPr="00D53A2B">
              <w:rPr>
                <w:rFonts w:eastAsia="Calibri"/>
              </w:rPr>
              <w:t>ekipmanın denetimi ve bakımı;</w:t>
            </w:r>
          </w:p>
          <w:p w14:paraId="16EFDBBB" w14:textId="77777777" w:rsidR="008B5C24" w:rsidRPr="00D53A2B" w:rsidRDefault="008B5C24" w:rsidP="00A202FD">
            <w:pPr>
              <w:pStyle w:val="ListeParagraf"/>
              <w:numPr>
                <w:ilvl w:val="0"/>
                <w:numId w:val="80"/>
              </w:numPr>
              <w:tabs>
                <w:tab w:val="clear" w:pos="567"/>
              </w:tabs>
              <w:spacing w:line="240" w:lineRule="auto"/>
              <w:ind w:left="315" w:hanging="283"/>
              <w:rPr>
                <w:rFonts w:eastAsia="Calibri"/>
              </w:rPr>
            </w:pPr>
            <w:r w:rsidRPr="00D53A2B">
              <w:rPr>
                <w:rFonts w:eastAsia="Calibri"/>
              </w:rPr>
              <w:t>mümkünse kapalı alanların kapı ve pencerelerinin kapatılması;</w:t>
            </w:r>
          </w:p>
          <w:p w14:paraId="143D9BB9" w14:textId="77777777" w:rsidR="008B5C24" w:rsidRPr="00D53A2B" w:rsidRDefault="008B5C24" w:rsidP="00A202FD">
            <w:pPr>
              <w:pStyle w:val="ListeParagraf"/>
              <w:numPr>
                <w:ilvl w:val="0"/>
                <w:numId w:val="80"/>
              </w:numPr>
              <w:tabs>
                <w:tab w:val="clear" w:pos="567"/>
              </w:tabs>
              <w:spacing w:line="240" w:lineRule="auto"/>
              <w:ind w:left="315" w:hanging="283"/>
              <w:rPr>
                <w:rFonts w:eastAsia="Calibri"/>
              </w:rPr>
            </w:pPr>
            <w:r w:rsidRPr="00D53A2B">
              <w:rPr>
                <w:rFonts w:eastAsia="Calibri"/>
              </w:rPr>
              <w:t>ekipmanın deneyimli personel tarafından çalıştırılması;</w:t>
            </w:r>
          </w:p>
          <w:p w14:paraId="2AE354DC" w14:textId="77777777" w:rsidR="008B5C24" w:rsidRPr="00D53A2B" w:rsidRDefault="008B5C24" w:rsidP="00A202FD">
            <w:pPr>
              <w:pStyle w:val="ListeParagraf"/>
              <w:numPr>
                <w:ilvl w:val="0"/>
                <w:numId w:val="80"/>
              </w:numPr>
              <w:tabs>
                <w:tab w:val="clear" w:pos="567"/>
              </w:tabs>
              <w:spacing w:line="240" w:lineRule="auto"/>
              <w:ind w:left="315" w:hanging="283"/>
              <w:rPr>
                <w:rFonts w:eastAsia="Calibri"/>
              </w:rPr>
            </w:pPr>
            <w:r w:rsidRPr="00D53A2B">
              <w:rPr>
                <w:rFonts w:eastAsia="Calibri"/>
              </w:rPr>
              <w:t>mümkünse geceleri gürültülü faaliyetlerden kaçınılması;</w:t>
            </w:r>
          </w:p>
          <w:p w14:paraId="1AA1BE76" w14:textId="0D69B221" w:rsidR="008B5C24" w:rsidRPr="00D53A2B" w:rsidRDefault="008B5C24" w:rsidP="00A202FD">
            <w:pPr>
              <w:pStyle w:val="ListeParagraf"/>
              <w:numPr>
                <w:ilvl w:val="0"/>
                <w:numId w:val="80"/>
              </w:numPr>
              <w:tabs>
                <w:tab w:val="clear" w:pos="567"/>
              </w:tabs>
              <w:spacing w:line="240" w:lineRule="auto"/>
              <w:ind w:left="315" w:hanging="283"/>
              <w:rPr>
                <w:rFonts w:eastAsia="Calibri"/>
              </w:rPr>
            </w:pPr>
            <w:r w:rsidRPr="00D53A2B">
              <w:rPr>
                <w:rFonts w:eastAsia="Calibri"/>
              </w:rPr>
              <w:t>örneğin üretim ve bakım faaliyetleri, hammadde ve malzemelerin taşınması ve elleçlenmesi sırasında gürültü kontrolüne yönelik tedbirler.</w:t>
            </w:r>
          </w:p>
        </w:tc>
        <w:tc>
          <w:tcPr>
            <w:tcW w:w="2835" w:type="dxa"/>
            <w:vMerge w:val="restart"/>
            <w:vAlign w:val="center"/>
          </w:tcPr>
          <w:p w14:paraId="4A146772" w14:textId="77777777" w:rsidR="008B5C24" w:rsidRPr="00D53A2B" w:rsidRDefault="008B5C24" w:rsidP="004B0D48">
            <w:pPr>
              <w:pStyle w:val="KonuBal"/>
            </w:pPr>
            <w:r w:rsidRPr="00D53A2B">
              <w:t>Genel olarak uygulanabilir.</w:t>
            </w:r>
          </w:p>
        </w:tc>
      </w:tr>
      <w:tr w:rsidR="008B5C24" w:rsidRPr="00D53A2B" w14:paraId="0D57B724" w14:textId="77777777" w:rsidTr="00C86A85">
        <w:tc>
          <w:tcPr>
            <w:tcW w:w="567" w:type="dxa"/>
            <w:vAlign w:val="center"/>
          </w:tcPr>
          <w:p w14:paraId="773E7B47" w14:textId="77777777" w:rsidR="008B5C24" w:rsidRPr="00D53A2B" w:rsidRDefault="008B5C24" w:rsidP="004B0D48">
            <w:pPr>
              <w:pStyle w:val="KonuBal"/>
            </w:pPr>
            <w:r w:rsidRPr="00D53A2B">
              <w:t>c.</w:t>
            </w:r>
          </w:p>
        </w:tc>
        <w:tc>
          <w:tcPr>
            <w:tcW w:w="1701" w:type="dxa"/>
            <w:vAlign w:val="center"/>
          </w:tcPr>
          <w:p w14:paraId="330C42E3" w14:textId="3C2CB573" w:rsidR="008B5C24" w:rsidRPr="00D53A2B" w:rsidRDefault="008B5C24" w:rsidP="00A202FD">
            <w:pPr>
              <w:jc w:val="both"/>
              <w:rPr>
                <w:rFonts w:eastAsia="Calibri"/>
                <w:sz w:val="22"/>
                <w:szCs w:val="22"/>
                <w:lang w:eastAsia="en-US"/>
              </w:rPr>
            </w:pPr>
            <w:r w:rsidRPr="00D53A2B">
              <w:rPr>
                <w:rFonts w:eastAsia="Calibri"/>
                <w:sz w:val="22"/>
                <w:szCs w:val="22"/>
                <w:lang w:eastAsia="en-US"/>
              </w:rPr>
              <w:t>Düşük gürültülü ekipman</w:t>
            </w:r>
          </w:p>
        </w:tc>
        <w:tc>
          <w:tcPr>
            <w:tcW w:w="3827" w:type="dxa"/>
          </w:tcPr>
          <w:p w14:paraId="786ECE1C" w14:textId="13EB420D" w:rsidR="008B5C24" w:rsidRPr="00D53A2B" w:rsidRDefault="008B5C24" w:rsidP="00A202FD">
            <w:pPr>
              <w:jc w:val="both"/>
              <w:rPr>
                <w:sz w:val="22"/>
                <w:szCs w:val="22"/>
                <w:lang w:val="en-US" w:eastAsia="en-US"/>
              </w:rPr>
            </w:pPr>
            <w:r w:rsidRPr="00D53A2B">
              <w:rPr>
                <w:rFonts w:eastAsia="Calibri"/>
                <w:sz w:val="22"/>
                <w:szCs w:val="22"/>
              </w:rPr>
              <w:t>Bunlara doğrudan tahrikli motorlar, düşük gürültülü kompresörler, pompalar ve fanlar gibi teknikler dahildir.</w:t>
            </w:r>
          </w:p>
        </w:tc>
        <w:tc>
          <w:tcPr>
            <w:tcW w:w="2835" w:type="dxa"/>
            <w:vMerge/>
            <w:vAlign w:val="center"/>
          </w:tcPr>
          <w:p w14:paraId="4DE60B98" w14:textId="43519A6E" w:rsidR="008B5C24" w:rsidRPr="00D53A2B" w:rsidRDefault="008B5C24">
            <w:pPr>
              <w:pStyle w:val="KonuBal"/>
            </w:pPr>
          </w:p>
        </w:tc>
      </w:tr>
      <w:tr w:rsidR="00CD67B6" w:rsidRPr="00D53A2B" w14:paraId="5F7C597C" w14:textId="77777777" w:rsidTr="00C86A85">
        <w:tc>
          <w:tcPr>
            <w:tcW w:w="567" w:type="dxa"/>
            <w:vAlign w:val="center"/>
          </w:tcPr>
          <w:p w14:paraId="79198949" w14:textId="77777777" w:rsidR="00CD67B6" w:rsidRPr="00D53A2B" w:rsidRDefault="00CD67B6" w:rsidP="004B0D48">
            <w:pPr>
              <w:pStyle w:val="KonuBal"/>
            </w:pPr>
            <w:r w:rsidRPr="00D53A2B">
              <w:t>d.</w:t>
            </w:r>
          </w:p>
        </w:tc>
        <w:tc>
          <w:tcPr>
            <w:tcW w:w="1701" w:type="dxa"/>
            <w:vAlign w:val="center"/>
          </w:tcPr>
          <w:p w14:paraId="63B4B1F9" w14:textId="1E6C54F9" w:rsidR="00CD67B6" w:rsidRPr="00D53A2B" w:rsidRDefault="008B5C24" w:rsidP="00A202FD">
            <w:pPr>
              <w:jc w:val="both"/>
              <w:rPr>
                <w:rFonts w:eastAsia="Calibri"/>
                <w:sz w:val="22"/>
                <w:szCs w:val="22"/>
                <w:lang w:eastAsia="en-US"/>
              </w:rPr>
            </w:pPr>
            <w:r w:rsidRPr="00D53A2B">
              <w:rPr>
                <w:rFonts w:eastAsia="Calibri"/>
                <w:sz w:val="22"/>
                <w:szCs w:val="22"/>
                <w:lang w:eastAsia="en-US"/>
              </w:rPr>
              <w:t>Gürültü ve titreşim kontrol ekipmanları</w:t>
            </w:r>
          </w:p>
        </w:tc>
        <w:tc>
          <w:tcPr>
            <w:tcW w:w="3827" w:type="dxa"/>
          </w:tcPr>
          <w:p w14:paraId="5F5E102F" w14:textId="77777777" w:rsidR="008B5C24" w:rsidRPr="00D53A2B" w:rsidRDefault="008B5C24" w:rsidP="00A202FD">
            <w:pPr>
              <w:ind w:left="32"/>
              <w:jc w:val="both"/>
              <w:rPr>
                <w:rFonts w:eastAsia="Calibri"/>
                <w:sz w:val="22"/>
                <w:szCs w:val="22"/>
              </w:rPr>
            </w:pPr>
            <w:r w:rsidRPr="00D53A2B">
              <w:rPr>
                <w:rFonts w:eastAsia="Calibri"/>
                <w:sz w:val="22"/>
                <w:szCs w:val="22"/>
              </w:rPr>
              <w:t>Bunlara şunlar gibi teknikler dahildir:</w:t>
            </w:r>
          </w:p>
          <w:p w14:paraId="279A786D" w14:textId="77777777" w:rsidR="008B5C24" w:rsidRPr="00D53A2B" w:rsidRDefault="008B5C24" w:rsidP="00A202FD">
            <w:pPr>
              <w:pStyle w:val="ListeParagraf"/>
              <w:numPr>
                <w:ilvl w:val="0"/>
                <w:numId w:val="80"/>
              </w:numPr>
              <w:tabs>
                <w:tab w:val="clear" w:pos="567"/>
              </w:tabs>
              <w:ind w:left="315" w:hanging="283"/>
              <w:rPr>
                <w:rFonts w:eastAsia="Calibri"/>
              </w:rPr>
            </w:pPr>
            <w:r w:rsidRPr="00D53A2B">
              <w:rPr>
                <w:rFonts w:eastAsia="Calibri"/>
              </w:rPr>
              <w:t>gürültü azaltıcılar;</w:t>
            </w:r>
          </w:p>
          <w:p w14:paraId="6C0AC1E4" w14:textId="77777777" w:rsidR="008B5C24" w:rsidRPr="00D53A2B" w:rsidRDefault="008B5C24" w:rsidP="00A202FD">
            <w:pPr>
              <w:pStyle w:val="ListeParagraf"/>
              <w:numPr>
                <w:ilvl w:val="0"/>
                <w:numId w:val="80"/>
              </w:numPr>
              <w:tabs>
                <w:tab w:val="clear" w:pos="567"/>
              </w:tabs>
              <w:ind w:left="315" w:hanging="283"/>
              <w:rPr>
                <w:rFonts w:eastAsia="Calibri"/>
              </w:rPr>
            </w:pPr>
            <w:r w:rsidRPr="00D53A2B">
              <w:rPr>
                <w:rFonts w:eastAsia="Calibri"/>
              </w:rPr>
              <w:t>ekipmanların akustik ve titreşim izolasyonu;</w:t>
            </w:r>
          </w:p>
          <w:p w14:paraId="73BD2EED" w14:textId="77777777" w:rsidR="008B5C24" w:rsidRPr="00D53A2B" w:rsidRDefault="008B5C24" w:rsidP="00A202FD">
            <w:pPr>
              <w:pStyle w:val="ListeParagraf"/>
              <w:numPr>
                <w:ilvl w:val="0"/>
                <w:numId w:val="80"/>
              </w:numPr>
              <w:tabs>
                <w:tab w:val="clear" w:pos="567"/>
              </w:tabs>
              <w:ind w:left="315" w:hanging="283"/>
              <w:rPr>
                <w:rFonts w:eastAsia="Calibri"/>
              </w:rPr>
            </w:pPr>
            <w:r w:rsidRPr="00D53A2B">
              <w:rPr>
                <w:rFonts w:eastAsia="Calibri"/>
              </w:rPr>
              <w:t>gürültülü ekipmanların muhafazası (örneğin, kesme ve taşlama makineleri, tel çekme makineleri, hava jetleri);</w:t>
            </w:r>
          </w:p>
          <w:p w14:paraId="312A0177" w14:textId="3BBE37E7" w:rsidR="00CD67B6" w:rsidRPr="00D53A2B" w:rsidRDefault="008B5C24" w:rsidP="00A202FD">
            <w:pPr>
              <w:pStyle w:val="ListeParagraf"/>
              <w:numPr>
                <w:ilvl w:val="0"/>
                <w:numId w:val="80"/>
              </w:numPr>
              <w:tabs>
                <w:tab w:val="clear" w:pos="567"/>
              </w:tabs>
              <w:spacing w:line="240" w:lineRule="auto"/>
              <w:ind w:left="315" w:hanging="283"/>
              <w:rPr>
                <w:rFonts w:eastAsia="Calibri"/>
              </w:rPr>
            </w:pPr>
            <w:r w:rsidRPr="00D53A2B">
              <w:rPr>
                <w:rFonts w:eastAsia="Calibri"/>
              </w:rPr>
              <w:t>yüksek ses izolasyon özelliklerine sahip yapı malzemeleri (örneğin, duvarlar, çatılar, pencereler, kapılar için).</w:t>
            </w:r>
          </w:p>
        </w:tc>
        <w:tc>
          <w:tcPr>
            <w:tcW w:w="2835" w:type="dxa"/>
            <w:vAlign w:val="center"/>
          </w:tcPr>
          <w:p w14:paraId="33870FF8" w14:textId="51AFB58D" w:rsidR="00CD67B6" w:rsidRPr="00D53A2B" w:rsidRDefault="008B5C24" w:rsidP="004B0D48">
            <w:pPr>
              <w:pStyle w:val="KonuBal"/>
            </w:pPr>
            <w:r w:rsidRPr="00D53A2B">
              <w:t>Mevcut tesislerde uygulanabilirlik, alan darlığı nedeniyle kısıtlanabilir.</w:t>
            </w:r>
          </w:p>
        </w:tc>
      </w:tr>
      <w:tr w:rsidR="00CD67B6" w:rsidRPr="00D53A2B" w14:paraId="6AECD8E2" w14:textId="77777777" w:rsidTr="00C86A85">
        <w:tc>
          <w:tcPr>
            <w:tcW w:w="567" w:type="dxa"/>
            <w:vAlign w:val="center"/>
          </w:tcPr>
          <w:p w14:paraId="4081D352" w14:textId="77777777" w:rsidR="00CD67B6" w:rsidRPr="00D53A2B" w:rsidRDefault="00CD67B6" w:rsidP="004B0D48">
            <w:pPr>
              <w:pStyle w:val="KonuBal"/>
            </w:pPr>
            <w:r w:rsidRPr="00D53A2B">
              <w:t xml:space="preserve">e. </w:t>
            </w:r>
          </w:p>
        </w:tc>
        <w:tc>
          <w:tcPr>
            <w:tcW w:w="1701" w:type="dxa"/>
            <w:vAlign w:val="center"/>
          </w:tcPr>
          <w:p w14:paraId="4F94D27F" w14:textId="5744E0B5" w:rsidR="00CD67B6" w:rsidRPr="00D53A2B" w:rsidRDefault="008B5C24" w:rsidP="00A202FD">
            <w:pPr>
              <w:jc w:val="both"/>
              <w:rPr>
                <w:rFonts w:eastAsia="Calibri"/>
                <w:sz w:val="22"/>
                <w:szCs w:val="22"/>
                <w:lang w:eastAsia="en-US"/>
              </w:rPr>
            </w:pPr>
            <w:r w:rsidRPr="00D53A2B">
              <w:rPr>
                <w:rFonts w:eastAsia="Calibri"/>
                <w:sz w:val="22"/>
                <w:szCs w:val="22"/>
                <w:lang w:eastAsia="en-US"/>
              </w:rPr>
              <w:t>Gürültü azaltma</w:t>
            </w:r>
          </w:p>
        </w:tc>
        <w:tc>
          <w:tcPr>
            <w:tcW w:w="3827" w:type="dxa"/>
          </w:tcPr>
          <w:p w14:paraId="3940F0CE" w14:textId="08BF918A" w:rsidR="00CD67B6" w:rsidRPr="00D53A2B" w:rsidRDefault="008B5C24" w:rsidP="004B0D48">
            <w:pPr>
              <w:pStyle w:val="KonuBal"/>
            </w:pPr>
            <w:r w:rsidRPr="00D53A2B">
              <w:t>Verici ve alıcılar arasına engellerin yerleştirilmesi (örneğin koruma duvarları, setler ve binalar).</w:t>
            </w:r>
          </w:p>
        </w:tc>
        <w:tc>
          <w:tcPr>
            <w:tcW w:w="2835" w:type="dxa"/>
            <w:vAlign w:val="center"/>
          </w:tcPr>
          <w:p w14:paraId="0B62DE0A" w14:textId="0DDB63E5" w:rsidR="00CD67B6" w:rsidRPr="00D53A2B" w:rsidRDefault="008B5C24" w:rsidP="004B0D48">
            <w:pPr>
              <w:pStyle w:val="KonuBal"/>
            </w:pPr>
            <w:r w:rsidRPr="00D53A2B">
              <w:t>Sadece mevcut tesisler için geçerlidir, çünkü yeni tesislerin tasarımı bu tekniği gereksiz kılmalıdır. Mevcut tesisler için, alan yetersizliği nedeniyle engellerin eklenmesi uygulanabilir olmayabilir.</w:t>
            </w:r>
          </w:p>
        </w:tc>
      </w:tr>
    </w:tbl>
    <w:p w14:paraId="768A2D4F" w14:textId="77777777" w:rsidR="0071694E" w:rsidRPr="00D53A2B" w:rsidRDefault="0071694E" w:rsidP="00A202FD">
      <w:pPr>
        <w:jc w:val="both"/>
        <w:rPr>
          <w:rFonts w:eastAsia="Calibri"/>
          <w:lang w:eastAsia="en-US"/>
        </w:rPr>
      </w:pPr>
    </w:p>
    <w:p w14:paraId="57A13F90" w14:textId="1A9080A3" w:rsidR="0071694E" w:rsidRPr="00D53A2B" w:rsidRDefault="00816D19" w:rsidP="00A202FD">
      <w:pPr>
        <w:pStyle w:val="Balk3"/>
        <w:rPr>
          <w:rFonts w:eastAsia="Calibri" w:cs="Times New Roman"/>
          <w:lang w:eastAsia="en-US"/>
        </w:rPr>
      </w:pPr>
      <w:r w:rsidRPr="00D53A2B">
        <w:rPr>
          <w:rFonts w:eastAsia="Calibri" w:cs="Times New Roman"/>
          <w:lang w:eastAsia="en-US"/>
        </w:rPr>
        <w:lastRenderedPageBreak/>
        <w:t>1.1</w:t>
      </w:r>
      <w:r w:rsidR="008B5C24" w:rsidRPr="00D53A2B">
        <w:rPr>
          <w:rFonts w:eastAsia="Calibri" w:cs="Times New Roman"/>
          <w:lang w:eastAsia="en-US"/>
        </w:rPr>
        <w:t>.10. Kalıntılar</w:t>
      </w:r>
    </w:p>
    <w:p w14:paraId="6010574B" w14:textId="531CD5F6" w:rsidR="0071694E" w:rsidRPr="00D53A2B" w:rsidRDefault="002D14C1" w:rsidP="00A202FD">
      <w:pPr>
        <w:pStyle w:val="MET"/>
        <w:rPr>
          <w:rFonts w:eastAsia="Calibri"/>
          <w:szCs w:val="24"/>
        </w:rPr>
      </w:pPr>
      <w:r w:rsidRPr="00D53A2B">
        <w:rPr>
          <w:rFonts w:eastAsia="Calibri"/>
          <w:szCs w:val="24"/>
        </w:rPr>
        <w:t xml:space="preserve">MET 34: </w:t>
      </w:r>
      <w:r w:rsidRPr="00D53A2B">
        <w:rPr>
          <w:rFonts w:eastAsia="Calibri"/>
          <w:b w:val="0"/>
          <w:bCs/>
          <w:szCs w:val="24"/>
        </w:rPr>
        <w:t>Bertaraf için gönderilen atık miktarını azaltmak amacıyla, aşağıda verilen (a) tekniğini ve (b) ila (h) arasındaki tekniklerin uygun bir kombinasyonunu kullanarak metallerin, metal oksitlerin ve yağlı çamur ile hidroksit çamurunun bertarafı önlenebilir.</w:t>
      </w:r>
    </w:p>
    <w:p w14:paraId="6DF1CC3C" w14:textId="77777777"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1985"/>
        <w:gridCol w:w="4819"/>
        <w:gridCol w:w="1701"/>
      </w:tblGrid>
      <w:tr w:rsidR="002D14C1" w:rsidRPr="00D53A2B" w14:paraId="28BE875E" w14:textId="77777777" w:rsidTr="00C86A85">
        <w:tc>
          <w:tcPr>
            <w:tcW w:w="2410" w:type="dxa"/>
            <w:gridSpan w:val="2"/>
          </w:tcPr>
          <w:p w14:paraId="1CD6579B" w14:textId="77777777" w:rsidR="002D14C1" w:rsidRPr="00D53A2B" w:rsidRDefault="002D14C1" w:rsidP="004B0D48">
            <w:pPr>
              <w:pStyle w:val="KonuBal"/>
            </w:pPr>
            <w:r w:rsidRPr="00D53A2B">
              <w:t>Teknik</w:t>
            </w:r>
          </w:p>
        </w:tc>
        <w:tc>
          <w:tcPr>
            <w:tcW w:w="4819" w:type="dxa"/>
          </w:tcPr>
          <w:p w14:paraId="65EB9299" w14:textId="77777777" w:rsidR="002D14C1" w:rsidRPr="00D53A2B" w:rsidRDefault="002D14C1" w:rsidP="004B0D48">
            <w:pPr>
              <w:pStyle w:val="KonuBal"/>
            </w:pPr>
            <w:r w:rsidRPr="00D53A2B">
              <w:t>Açıklama</w:t>
            </w:r>
          </w:p>
        </w:tc>
        <w:tc>
          <w:tcPr>
            <w:tcW w:w="1701" w:type="dxa"/>
          </w:tcPr>
          <w:p w14:paraId="1963E7C1" w14:textId="77777777" w:rsidR="002D14C1" w:rsidRPr="00D53A2B" w:rsidRDefault="002D14C1" w:rsidP="00E73DA3">
            <w:pPr>
              <w:pStyle w:val="KonuBal"/>
            </w:pPr>
            <w:r w:rsidRPr="00D53A2B">
              <w:t>Uygulanabilirlik</w:t>
            </w:r>
          </w:p>
        </w:tc>
      </w:tr>
      <w:tr w:rsidR="002D14C1" w:rsidRPr="00D53A2B" w14:paraId="63FDE9D2" w14:textId="77777777" w:rsidTr="00C86A85">
        <w:tc>
          <w:tcPr>
            <w:tcW w:w="425" w:type="dxa"/>
            <w:vAlign w:val="center"/>
          </w:tcPr>
          <w:p w14:paraId="305BFA17" w14:textId="77777777" w:rsidR="002D14C1" w:rsidRPr="00D53A2B" w:rsidRDefault="002D14C1" w:rsidP="004B0D48">
            <w:pPr>
              <w:pStyle w:val="KonuBal"/>
            </w:pPr>
            <w:r w:rsidRPr="00D53A2B">
              <w:t>a.</w:t>
            </w:r>
          </w:p>
        </w:tc>
        <w:tc>
          <w:tcPr>
            <w:tcW w:w="1985" w:type="dxa"/>
            <w:vAlign w:val="center"/>
          </w:tcPr>
          <w:p w14:paraId="53960F22" w14:textId="4953012E" w:rsidR="002D14C1" w:rsidRPr="00D53A2B" w:rsidRDefault="002D14C1" w:rsidP="004B0D48">
            <w:pPr>
              <w:pStyle w:val="KonuBal"/>
            </w:pPr>
            <w:r w:rsidRPr="00D53A2B">
              <w:t>Kalıntı yönetim planı</w:t>
            </w:r>
          </w:p>
        </w:tc>
        <w:tc>
          <w:tcPr>
            <w:tcW w:w="4819" w:type="dxa"/>
            <w:vAlign w:val="center"/>
          </w:tcPr>
          <w:p w14:paraId="3ECF6FD5" w14:textId="5E4B558D" w:rsidR="002D14C1" w:rsidRPr="00D53A2B" w:rsidRDefault="00BD7E3E" w:rsidP="00A202FD">
            <w:pPr>
              <w:pStyle w:val="ListeParagraf"/>
              <w:numPr>
                <w:ilvl w:val="0"/>
                <w:numId w:val="0"/>
              </w:numPr>
              <w:tabs>
                <w:tab w:val="clear" w:pos="567"/>
              </w:tabs>
              <w:spacing w:line="240" w:lineRule="auto"/>
              <w:ind w:left="37"/>
              <w:rPr>
                <w:rFonts w:eastAsia="Calibri"/>
              </w:rPr>
            </w:pPr>
            <w:r w:rsidRPr="00D53A2B">
              <w:rPr>
                <w:rFonts w:eastAsia="Calibri"/>
                <w:position w:val="0"/>
              </w:rPr>
              <w:t xml:space="preserve">Kalıntı yönetim planı, </w:t>
            </w:r>
            <w:r w:rsidR="000631C2">
              <w:rPr>
                <w:rFonts w:eastAsia="Calibri"/>
                <w:position w:val="0"/>
              </w:rPr>
              <w:t>ÇYS</w:t>
            </w:r>
            <w:r w:rsidR="00E56504" w:rsidRPr="00D53A2B">
              <w:rPr>
                <w:rFonts w:eastAsia="Calibri"/>
                <w:position w:val="0"/>
              </w:rPr>
              <w:t>’</w:t>
            </w:r>
            <w:r w:rsidRPr="00D53A2B">
              <w:rPr>
                <w:rFonts w:eastAsia="Calibri"/>
                <w:position w:val="0"/>
              </w:rPr>
              <w:t>nin bir parçasıdır (bkz. MET 1) ve; 1) kalıntı oluşumunu en aza indirmeyi, 2) kalıntıların yeniden kullanımını, geri dönüşümünü ve/veya geri kazanımını optimize etmeyi ve 3) atıkların uygun şekilde bertaraf edilmesini sağlamayı amaçlayan bir dizi önlemdir. Kalıntı yönetim planı, daha büyük bir tesisin (örneğin demir ve çelik üretimi için) genel kalıntı yönetim planına entegre edilebilir.</w:t>
            </w:r>
          </w:p>
        </w:tc>
        <w:tc>
          <w:tcPr>
            <w:tcW w:w="1701" w:type="dxa"/>
            <w:vAlign w:val="center"/>
          </w:tcPr>
          <w:p w14:paraId="3702081C" w14:textId="277F9F03" w:rsidR="002D14C1" w:rsidRPr="00D53A2B" w:rsidRDefault="00BD7E3E" w:rsidP="004B0D48">
            <w:pPr>
              <w:pStyle w:val="KonuBal"/>
            </w:pPr>
            <w:r w:rsidRPr="00D53A2B">
              <w:t>Kalıntı yönetim planının ayrıntı düzeyi ve resmiyet derecesi genellikle tesisin niteliği, ölçeği ve karmaşıklığı ile ilişkili olacaktır.</w:t>
            </w:r>
          </w:p>
        </w:tc>
      </w:tr>
      <w:tr w:rsidR="002D14C1" w:rsidRPr="00D53A2B" w14:paraId="21EBF03C" w14:textId="77777777" w:rsidTr="00C86A85">
        <w:tc>
          <w:tcPr>
            <w:tcW w:w="425" w:type="dxa"/>
            <w:vAlign w:val="center"/>
          </w:tcPr>
          <w:p w14:paraId="1EFFFA5A" w14:textId="77777777" w:rsidR="002D14C1" w:rsidRPr="00D53A2B" w:rsidRDefault="002D14C1" w:rsidP="004B0D48">
            <w:pPr>
              <w:pStyle w:val="KonuBal"/>
            </w:pPr>
            <w:r w:rsidRPr="00D53A2B">
              <w:t>b.</w:t>
            </w:r>
          </w:p>
        </w:tc>
        <w:tc>
          <w:tcPr>
            <w:tcW w:w="1985" w:type="dxa"/>
            <w:vAlign w:val="center"/>
          </w:tcPr>
          <w:p w14:paraId="5D341919" w14:textId="660216AD" w:rsidR="002D14C1" w:rsidRPr="00D53A2B" w:rsidRDefault="00BD7E3E" w:rsidP="004B0D48">
            <w:pPr>
              <w:pStyle w:val="KonuBal"/>
            </w:pPr>
            <w:r w:rsidRPr="00D53A2B">
              <w:t>Daha ileri kullanım için yağlı değirmen tufalının ön arıtımı</w:t>
            </w:r>
          </w:p>
        </w:tc>
        <w:tc>
          <w:tcPr>
            <w:tcW w:w="4819" w:type="dxa"/>
            <w:vAlign w:val="center"/>
          </w:tcPr>
          <w:p w14:paraId="32B3BC15" w14:textId="4CBD958C" w:rsidR="002D14C1" w:rsidRPr="00D53A2B" w:rsidRDefault="002D14C1" w:rsidP="00A202FD">
            <w:pPr>
              <w:ind w:left="32"/>
              <w:jc w:val="both"/>
              <w:rPr>
                <w:rFonts w:eastAsia="Calibri"/>
                <w:sz w:val="22"/>
                <w:szCs w:val="22"/>
              </w:rPr>
            </w:pPr>
            <w:r w:rsidRPr="00D53A2B">
              <w:rPr>
                <w:rFonts w:eastAsia="Calibri"/>
                <w:sz w:val="22"/>
                <w:szCs w:val="22"/>
              </w:rPr>
              <w:t xml:space="preserve">Bunlara </w:t>
            </w:r>
            <w:r w:rsidR="00BD7E3E" w:rsidRPr="00D53A2B">
              <w:rPr>
                <w:rFonts w:eastAsia="Calibri"/>
                <w:sz w:val="22"/>
                <w:szCs w:val="22"/>
              </w:rPr>
              <w:t>aşağıdaki</w:t>
            </w:r>
            <w:r w:rsidRPr="00D53A2B">
              <w:rPr>
                <w:rFonts w:eastAsia="Calibri"/>
                <w:sz w:val="22"/>
                <w:szCs w:val="22"/>
              </w:rPr>
              <w:t xml:space="preserve"> teknikler dahildir:</w:t>
            </w:r>
          </w:p>
          <w:p w14:paraId="34434FF7" w14:textId="5DE38B41" w:rsidR="002D14C1" w:rsidRPr="00D53A2B" w:rsidRDefault="00BD7E3E" w:rsidP="00A202FD">
            <w:pPr>
              <w:pStyle w:val="ListeParagraf"/>
              <w:numPr>
                <w:ilvl w:val="0"/>
                <w:numId w:val="80"/>
              </w:numPr>
              <w:tabs>
                <w:tab w:val="clear" w:pos="567"/>
              </w:tabs>
              <w:spacing w:line="240" w:lineRule="auto"/>
              <w:ind w:left="315" w:hanging="283"/>
              <w:rPr>
                <w:rFonts w:eastAsia="Calibri"/>
              </w:rPr>
            </w:pPr>
            <w:r w:rsidRPr="00D53A2B">
              <w:rPr>
                <w:rFonts w:eastAsia="Calibri"/>
              </w:rPr>
              <w:t>briketleme veya peletleme</w:t>
            </w:r>
            <w:r w:rsidR="002D14C1" w:rsidRPr="00D53A2B">
              <w:rPr>
                <w:rFonts w:eastAsia="Calibri"/>
              </w:rPr>
              <w:t>;</w:t>
            </w:r>
          </w:p>
          <w:p w14:paraId="5754ADCE" w14:textId="1B683C0A" w:rsidR="00BD7E3E" w:rsidRPr="00D53A2B" w:rsidRDefault="00BD7E3E" w:rsidP="00A202FD">
            <w:pPr>
              <w:pStyle w:val="ListeParagraf"/>
              <w:numPr>
                <w:ilvl w:val="0"/>
                <w:numId w:val="80"/>
              </w:numPr>
              <w:tabs>
                <w:tab w:val="clear" w:pos="567"/>
              </w:tabs>
              <w:spacing w:line="240" w:lineRule="auto"/>
              <w:ind w:left="315" w:hanging="283"/>
              <w:rPr>
                <w:rFonts w:eastAsia="Calibri"/>
              </w:rPr>
            </w:pPr>
            <w:r w:rsidRPr="00D53A2B">
              <w:rPr>
                <w:rFonts w:eastAsia="Calibri"/>
              </w:rPr>
              <w:t>yağlı değirmen ölçeğinin yağ içeriğini azaltma, örneğin ısıl işlem, yıkama, flotasyon.</w:t>
            </w:r>
          </w:p>
        </w:tc>
        <w:tc>
          <w:tcPr>
            <w:tcW w:w="1701" w:type="dxa"/>
            <w:vAlign w:val="center"/>
          </w:tcPr>
          <w:p w14:paraId="669CA17C" w14:textId="77777777" w:rsidR="002D14C1" w:rsidRPr="00D53A2B" w:rsidRDefault="002D14C1" w:rsidP="004B0D48">
            <w:pPr>
              <w:pStyle w:val="KonuBal"/>
            </w:pPr>
            <w:r w:rsidRPr="00D53A2B">
              <w:t>Genel olarak uygulanabilir.</w:t>
            </w:r>
          </w:p>
        </w:tc>
      </w:tr>
      <w:tr w:rsidR="00BD7E3E" w:rsidRPr="00D53A2B" w14:paraId="52BB9C9F" w14:textId="77777777" w:rsidTr="00C86A85">
        <w:tc>
          <w:tcPr>
            <w:tcW w:w="425" w:type="dxa"/>
            <w:vAlign w:val="center"/>
          </w:tcPr>
          <w:p w14:paraId="736BEDA2" w14:textId="77777777" w:rsidR="00BD7E3E" w:rsidRPr="00D53A2B" w:rsidRDefault="00BD7E3E" w:rsidP="004B0D48">
            <w:pPr>
              <w:pStyle w:val="KonuBal"/>
            </w:pPr>
            <w:r w:rsidRPr="00D53A2B">
              <w:t>c.</w:t>
            </w:r>
          </w:p>
        </w:tc>
        <w:tc>
          <w:tcPr>
            <w:tcW w:w="1985" w:type="dxa"/>
            <w:vAlign w:val="center"/>
          </w:tcPr>
          <w:p w14:paraId="0E8856C4" w14:textId="2423F086" w:rsidR="00BD7E3E" w:rsidRPr="00D53A2B" w:rsidRDefault="00BD7E3E" w:rsidP="00A202FD">
            <w:pPr>
              <w:jc w:val="both"/>
              <w:rPr>
                <w:rFonts w:eastAsia="Calibri"/>
                <w:sz w:val="22"/>
                <w:szCs w:val="22"/>
                <w:lang w:eastAsia="en-US"/>
              </w:rPr>
            </w:pPr>
            <w:r w:rsidRPr="00D53A2B">
              <w:rPr>
                <w:rFonts w:eastAsia="Calibri"/>
                <w:sz w:val="22"/>
                <w:szCs w:val="22"/>
                <w:lang w:eastAsia="en-US"/>
              </w:rPr>
              <w:t>Hadde</w:t>
            </w:r>
            <w:r w:rsidR="000631C2">
              <w:rPr>
                <w:rFonts w:eastAsia="Calibri"/>
                <w:sz w:val="22"/>
                <w:szCs w:val="22"/>
                <w:lang w:eastAsia="en-US"/>
              </w:rPr>
              <w:t>hane</w:t>
            </w:r>
            <w:r w:rsidRPr="00D53A2B">
              <w:rPr>
                <w:rFonts w:eastAsia="Calibri"/>
                <w:sz w:val="22"/>
                <w:szCs w:val="22"/>
                <w:lang w:eastAsia="en-US"/>
              </w:rPr>
              <w:t xml:space="preserve"> tufalının kullanılması </w:t>
            </w:r>
          </w:p>
        </w:tc>
        <w:tc>
          <w:tcPr>
            <w:tcW w:w="4819" w:type="dxa"/>
          </w:tcPr>
          <w:p w14:paraId="1F755ADF" w14:textId="51BAC5C3" w:rsidR="00BD7E3E" w:rsidRPr="00D53A2B" w:rsidRDefault="00BD7E3E" w:rsidP="00A202FD">
            <w:pPr>
              <w:jc w:val="both"/>
              <w:rPr>
                <w:sz w:val="22"/>
                <w:szCs w:val="22"/>
                <w:lang w:val="en-US" w:eastAsia="en-US"/>
              </w:rPr>
            </w:pPr>
            <w:r w:rsidRPr="00D53A2B">
              <w:rPr>
                <w:rFonts w:eastAsia="Calibri"/>
                <w:sz w:val="22"/>
                <w:szCs w:val="22"/>
              </w:rPr>
              <w:t>Haddehane tufalı toplanır ve sahada veya saha dışında, örneğin demir-çelik üretiminde veya çimento üretiminde kullanılır.</w:t>
            </w:r>
          </w:p>
        </w:tc>
        <w:tc>
          <w:tcPr>
            <w:tcW w:w="1701" w:type="dxa"/>
            <w:vAlign w:val="center"/>
          </w:tcPr>
          <w:p w14:paraId="742BE34B" w14:textId="3F2C17DD" w:rsidR="00BD7E3E" w:rsidRPr="00D53A2B" w:rsidRDefault="00BD7E3E" w:rsidP="004B0D48">
            <w:pPr>
              <w:pStyle w:val="KonuBal"/>
            </w:pPr>
            <w:r w:rsidRPr="00D53A2B">
              <w:t>Genel olarak uygulanabilir.</w:t>
            </w:r>
          </w:p>
        </w:tc>
      </w:tr>
      <w:tr w:rsidR="00BD7E3E" w:rsidRPr="00D53A2B" w14:paraId="1911DBBA" w14:textId="77777777" w:rsidTr="00C86A85">
        <w:tc>
          <w:tcPr>
            <w:tcW w:w="425" w:type="dxa"/>
            <w:vAlign w:val="center"/>
          </w:tcPr>
          <w:p w14:paraId="02745AA7" w14:textId="77777777" w:rsidR="00BD7E3E" w:rsidRPr="00D53A2B" w:rsidRDefault="00BD7E3E" w:rsidP="004B0D48">
            <w:pPr>
              <w:pStyle w:val="KonuBal"/>
            </w:pPr>
            <w:r w:rsidRPr="00D53A2B">
              <w:t>d.</w:t>
            </w:r>
          </w:p>
        </w:tc>
        <w:tc>
          <w:tcPr>
            <w:tcW w:w="1985" w:type="dxa"/>
            <w:vAlign w:val="center"/>
          </w:tcPr>
          <w:p w14:paraId="44C678CE" w14:textId="23FC2DDF" w:rsidR="00BD7E3E" w:rsidRPr="00D53A2B" w:rsidRDefault="00BD7E3E" w:rsidP="00A202FD">
            <w:pPr>
              <w:jc w:val="both"/>
              <w:rPr>
                <w:rFonts w:eastAsia="Calibri"/>
                <w:sz w:val="22"/>
                <w:szCs w:val="22"/>
                <w:lang w:eastAsia="en-US"/>
              </w:rPr>
            </w:pPr>
            <w:r w:rsidRPr="00D53A2B">
              <w:rPr>
                <w:rFonts w:eastAsia="Calibri"/>
                <w:sz w:val="22"/>
                <w:szCs w:val="22"/>
                <w:lang w:eastAsia="en-US"/>
              </w:rPr>
              <w:t>M</w:t>
            </w:r>
            <w:r w:rsidR="000631C2">
              <w:rPr>
                <w:rFonts w:eastAsia="Calibri"/>
                <w:sz w:val="22"/>
                <w:szCs w:val="22"/>
                <w:lang w:eastAsia="en-US"/>
              </w:rPr>
              <w:t>etalik</w:t>
            </w:r>
            <w:r w:rsidRPr="00D53A2B">
              <w:rPr>
                <w:rFonts w:eastAsia="Calibri"/>
                <w:sz w:val="22"/>
                <w:szCs w:val="22"/>
                <w:lang w:eastAsia="en-US"/>
              </w:rPr>
              <w:t xml:space="preserve"> hurda kullanımı </w:t>
            </w:r>
          </w:p>
        </w:tc>
        <w:tc>
          <w:tcPr>
            <w:tcW w:w="4819" w:type="dxa"/>
          </w:tcPr>
          <w:p w14:paraId="66A598B2" w14:textId="650B1A7A" w:rsidR="00BD7E3E" w:rsidRPr="00D53A2B" w:rsidRDefault="00BD7E3E" w:rsidP="00A202FD">
            <w:pPr>
              <w:pStyle w:val="ListeParagraf"/>
              <w:numPr>
                <w:ilvl w:val="0"/>
                <w:numId w:val="0"/>
              </w:numPr>
              <w:tabs>
                <w:tab w:val="clear" w:pos="567"/>
              </w:tabs>
              <w:spacing w:line="240" w:lineRule="auto"/>
              <w:rPr>
                <w:rFonts w:eastAsia="Calibri"/>
              </w:rPr>
            </w:pPr>
            <w:r w:rsidRPr="00D53A2B">
              <w:rPr>
                <w:rFonts w:eastAsia="Calibri"/>
                <w:color w:val="000000"/>
                <w:spacing w:val="0"/>
                <w:position w:val="0"/>
                <w:lang w:val="tr-TR" w:eastAsia="tr-TR"/>
              </w:rPr>
              <w:t xml:space="preserve">Mekanik işlemlerden (örneğin, düzeltme ve bitirmeden) elde edilen metalik hurda, demir ve çelik üretiminde kullanılır. </w:t>
            </w:r>
            <w:r w:rsidR="00AB68FB" w:rsidRPr="00AB68FB">
              <w:rPr>
                <w:rFonts w:eastAsia="Calibri"/>
                <w:color w:val="000000"/>
                <w:spacing w:val="0"/>
                <w:position w:val="0"/>
                <w:lang w:val="tr-TR" w:eastAsia="tr-TR"/>
              </w:rPr>
              <w:t>Tesis içerisinde geri kazanılabilir veya lisanslı tesise gönderilebilir.</w:t>
            </w:r>
          </w:p>
        </w:tc>
        <w:tc>
          <w:tcPr>
            <w:tcW w:w="1701" w:type="dxa"/>
            <w:vAlign w:val="center"/>
          </w:tcPr>
          <w:p w14:paraId="79DFC83E" w14:textId="60A6F83A" w:rsidR="00BD7E3E" w:rsidRPr="00D53A2B" w:rsidRDefault="00BD7E3E" w:rsidP="004B0D48">
            <w:pPr>
              <w:pStyle w:val="KonuBal"/>
            </w:pPr>
            <w:r w:rsidRPr="00D53A2B">
              <w:t>Genel olarak uygulanabilir.</w:t>
            </w:r>
          </w:p>
        </w:tc>
      </w:tr>
      <w:tr w:rsidR="002D14C1" w:rsidRPr="00D53A2B" w14:paraId="230406ED" w14:textId="77777777" w:rsidTr="00C86A85">
        <w:tc>
          <w:tcPr>
            <w:tcW w:w="425" w:type="dxa"/>
            <w:vAlign w:val="center"/>
          </w:tcPr>
          <w:p w14:paraId="5D2722F2" w14:textId="77777777" w:rsidR="002D14C1" w:rsidRPr="00D53A2B" w:rsidRDefault="002D14C1" w:rsidP="004B0D48">
            <w:pPr>
              <w:pStyle w:val="KonuBal"/>
            </w:pPr>
            <w:r w:rsidRPr="00D53A2B">
              <w:t xml:space="preserve">e. </w:t>
            </w:r>
          </w:p>
        </w:tc>
        <w:tc>
          <w:tcPr>
            <w:tcW w:w="1985" w:type="dxa"/>
            <w:vAlign w:val="center"/>
          </w:tcPr>
          <w:p w14:paraId="4174767B" w14:textId="347B60FB" w:rsidR="002D14C1" w:rsidRPr="00D53A2B" w:rsidRDefault="00BD7E3E" w:rsidP="00A202FD">
            <w:pPr>
              <w:jc w:val="both"/>
              <w:rPr>
                <w:rFonts w:eastAsia="Calibri"/>
                <w:sz w:val="22"/>
                <w:szCs w:val="22"/>
                <w:lang w:eastAsia="en-US"/>
              </w:rPr>
            </w:pPr>
            <w:r w:rsidRPr="00D53A2B">
              <w:rPr>
                <w:rFonts w:eastAsia="Calibri"/>
                <w:sz w:val="22"/>
                <w:szCs w:val="22"/>
                <w:lang w:eastAsia="en-US"/>
              </w:rPr>
              <w:t xml:space="preserve">Metal ve metal oksitlerinin kuru atık gaz temizleme işleminden geri dönüştürülmesi </w:t>
            </w:r>
          </w:p>
        </w:tc>
        <w:tc>
          <w:tcPr>
            <w:tcW w:w="4819" w:type="dxa"/>
          </w:tcPr>
          <w:p w14:paraId="2BF21AFC" w14:textId="6C2C220D" w:rsidR="002D14C1" w:rsidRPr="00D53A2B" w:rsidRDefault="00BD7E3E" w:rsidP="004B0D48">
            <w:pPr>
              <w:pStyle w:val="KonuBal"/>
            </w:pPr>
            <w:r w:rsidRPr="00D53A2B">
              <w:t xml:space="preserve">Mekanik proseslerden (örneğin, eleme veya öğütme) kaynaklanan atık gazların kuru temizlenmesinden (örneğin, kumaş filtreler) kaynaklanan metal ve metal oksitlerin kaba fraksiyonu, mekanik teknikler (örneğin, elekler) veya manyetik teknikler kullanılarak seçici olarak izole edilir ve örneğin demir ve çelik üretimine geri dönüştürülür. </w:t>
            </w:r>
            <w:r w:rsidR="00AB68FB" w:rsidRPr="00AB68FB">
              <w:t>Tesis içerisinde geri kazanılabilir veya lisanslı tesise gönderilebilir.</w:t>
            </w:r>
          </w:p>
        </w:tc>
        <w:tc>
          <w:tcPr>
            <w:tcW w:w="1701" w:type="dxa"/>
            <w:vAlign w:val="center"/>
          </w:tcPr>
          <w:p w14:paraId="02020846" w14:textId="2F3B96C4" w:rsidR="002D14C1" w:rsidRPr="00D53A2B" w:rsidRDefault="00BD7E3E" w:rsidP="004B0D48">
            <w:pPr>
              <w:pStyle w:val="KonuBal"/>
            </w:pPr>
            <w:r w:rsidRPr="00D53A2B">
              <w:t>Genel olarak uygulanabilir.</w:t>
            </w:r>
          </w:p>
        </w:tc>
      </w:tr>
      <w:tr w:rsidR="00BD7E3E" w:rsidRPr="00D53A2B" w14:paraId="647B1C06" w14:textId="77777777" w:rsidTr="00C86A85">
        <w:tc>
          <w:tcPr>
            <w:tcW w:w="425" w:type="dxa"/>
            <w:vAlign w:val="center"/>
          </w:tcPr>
          <w:p w14:paraId="515BD07E" w14:textId="2970847E" w:rsidR="00BD7E3E" w:rsidRPr="00D53A2B" w:rsidRDefault="00BD7E3E" w:rsidP="004B0D48">
            <w:pPr>
              <w:pStyle w:val="KonuBal"/>
            </w:pPr>
            <w:r w:rsidRPr="00D53A2B">
              <w:t>f.</w:t>
            </w:r>
          </w:p>
        </w:tc>
        <w:tc>
          <w:tcPr>
            <w:tcW w:w="1985" w:type="dxa"/>
            <w:vAlign w:val="center"/>
          </w:tcPr>
          <w:p w14:paraId="4A5A4518" w14:textId="65A3B1C0" w:rsidR="00BD7E3E" w:rsidRPr="00D53A2B" w:rsidRDefault="00BD7E3E" w:rsidP="00A202FD">
            <w:pPr>
              <w:jc w:val="both"/>
              <w:rPr>
                <w:rFonts w:eastAsia="Calibri"/>
                <w:sz w:val="22"/>
                <w:szCs w:val="22"/>
                <w:lang w:eastAsia="en-US"/>
              </w:rPr>
            </w:pPr>
            <w:r w:rsidRPr="00D53A2B">
              <w:rPr>
                <w:rFonts w:eastAsia="Calibri"/>
                <w:sz w:val="22"/>
                <w:szCs w:val="22"/>
                <w:lang w:eastAsia="en-US"/>
              </w:rPr>
              <w:t>Yağlı çamur kullanılması</w:t>
            </w:r>
          </w:p>
        </w:tc>
        <w:tc>
          <w:tcPr>
            <w:tcW w:w="4819" w:type="dxa"/>
          </w:tcPr>
          <w:p w14:paraId="041982F6" w14:textId="5392787D" w:rsidR="00BD7E3E" w:rsidRPr="00D53A2B" w:rsidRDefault="00BD7E3E" w:rsidP="004B0D48">
            <w:pPr>
              <w:pStyle w:val="KonuBal"/>
            </w:pPr>
            <w:r w:rsidRPr="00D53A2B">
              <w:t xml:space="preserve">Örneğin yağ gidermeden kalan yağlı çamur, malzeme veya enerji geri kazanımı için içindeki yağı geri kazanmak amacıyla susuzlaştırılır. Su içeriği düşükse, çamur doğrudan kullanılabilir. </w:t>
            </w:r>
            <w:r w:rsidR="00AB68FB" w:rsidRPr="00AB68FB">
              <w:t>Tesis içerisinde geri kazanılabilir veya lisanslı tesise gönderilebilir.</w:t>
            </w:r>
          </w:p>
        </w:tc>
        <w:tc>
          <w:tcPr>
            <w:tcW w:w="1701" w:type="dxa"/>
            <w:vAlign w:val="center"/>
          </w:tcPr>
          <w:p w14:paraId="61C1D7A7" w14:textId="12380EEA" w:rsidR="00BD7E3E" w:rsidRPr="00D53A2B" w:rsidRDefault="00BD7E3E" w:rsidP="004B0D48">
            <w:pPr>
              <w:pStyle w:val="KonuBal"/>
            </w:pPr>
            <w:r w:rsidRPr="00D53A2B">
              <w:t>Genel olarak uygulanabilir.</w:t>
            </w:r>
          </w:p>
        </w:tc>
      </w:tr>
      <w:tr w:rsidR="00BD7E3E" w:rsidRPr="00D53A2B" w14:paraId="4765694C" w14:textId="77777777" w:rsidTr="00C86A85">
        <w:tc>
          <w:tcPr>
            <w:tcW w:w="425" w:type="dxa"/>
            <w:vAlign w:val="center"/>
          </w:tcPr>
          <w:p w14:paraId="127EADDC" w14:textId="50F35DE1" w:rsidR="00BD7E3E" w:rsidRPr="00D53A2B" w:rsidRDefault="00BD7E3E" w:rsidP="004B0D48">
            <w:pPr>
              <w:pStyle w:val="KonuBal"/>
            </w:pPr>
            <w:r w:rsidRPr="00D53A2B">
              <w:t>g.</w:t>
            </w:r>
          </w:p>
        </w:tc>
        <w:tc>
          <w:tcPr>
            <w:tcW w:w="1985" w:type="dxa"/>
            <w:vAlign w:val="center"/>
          </w:tcPr>
          <w:p w14:paraId="20E0873F" w14:textId="0A3434E5" w:rsidR="00BD7E3E" w:rsidRPr="00D53A2B" w:rsidRDefault="00BD7E3E" w:rsidP="00A202FD">
            <w:pPr>
              <w:jc w:val="both"/>
              <w:rPr>
                <w:rFonts w:eastAsia="Calibri"/>
                <w:sz w:val="22"/>
                <w:szCs w:val="22"/>
                <w:lang w:eastAsia="en-US"/>
              </w:rPr>
            </w:pPr>
            <w:r w:rsidRPr="00D53A2B">
              <w:rPr>
                <w:rFonts w:eastAsia="Calibri"/>
                <w:sz w:val="22"/>
                <w:szCs w:val="22"/>
                <w:lang w:eastAsia="en-US"/>
              </w:rPr>
              <w:t>Karışık asit geri kazanımından hidroksit çamurunun ısıl işlemi</w:t>
            </w:r>
          </w:p>
        </w:tc>
        <w:tc>
          <w:tcPr>
            <w:tcW w:w="4819" w:type="dxa"/>
          </w:tcPr>
          <w:p w14:paraId="60B149CF" w14:textId="60BCD678" w:rsidR="00BD7E3E" w:rsidRPr="00D53A2B" w:rsidRDefault="00BD7E3E" w:rsidP="004B0D48">
            <w:pPr>
              <w:pStyle w:val="KonuBal"/>
            </w:pPr>
            <w:r w:rsidRPr="00D53A2B">
              <w:t>Karışık asit geri kazanımından elde edilen çamur, argon-oksijen dekarbürizasyon konvertörlerinde kullanılabilen kalsiyum florür açısından zengin bir malzeme üretmek amacıyla termal olarak işlenir.</w:t>
            </w:r>
          </w:p>
        </w:tc>
        <w:tc>
          <w:tcPr>
            <w:tcW w:w="1701" w:type="dxa"/>
            <w:vAlign w:val="center"/>
          </w:tcPr>
          <w:p w14:paraId="0C6986CF" w14:textId="31400FE7" w:rsidR="00BD7E3E" w:rsidRPr="00D53A2B" w:rsidRDefault="00BD7E3E" w:rsidP="004B0D48">
            <w:pPr>
              <w:pStyle w:val="KonuBal"/>
            </w:pPr>
            <w:r w:rsidRPr="00D53A2B">
              <w:t>Uygulanabilirlik, yer darlığı nedeniyle kısıtlanabilir.</w:t>
            </w:r>
          </w:p>
        </w:tc>
      </w:tr>
      <w:tr w:rsidR="00BD7E3E" w:rsidRPr="00D53A2B" w14:paraId="7BA9FF1B" w14:textId="77777777" w:rsidTr="00C86A85">
        <w:tc>
          <w:tcPr>
            <w:tcW w:w="425" w:type="dxa"/>
            <w:vAlign w:val="center"/>
          </w:tcPr>
          <w:p w14:paraId="4612E596" w14:textId="5740D037" w:rsidR="00BD7E3E" w:rsidRPr="00D53A2B" w:rsidRDefault="00BD7E3E" w:rsidP="004B0D48">
            <w:pPr>
              <w:pStyle w:val="KonuBal"/>
            </w:pPr>
            <w:r w:rsidRPr="00D53A2B">
              <w:t>h.</w:t>
            </w:r>
          </w:p>
        </w:tc>
        <w:tc>
          <w:tcPr>
            <w:tcW w:w="1985" w:type="dxa"/>
            <w:vAlign w:val="center"/>
          </w:tcPr>
          <w:p w14:paraId="5DFE9178" w14:textId="6E1951F9" w:rsidR="00BD7E3E" w:rsidRPr="00D53A2B" w:rsidRDefault="00BD7E3E" w:rsidP="00A202FD">
            <w:pPr>
              <w:jc w:val="both"/>
              <w:rPr>
                <w:rFonts w:eastAsia="Calibri"/>
                <w:sz w:val="22"/>
                <w:szCs w:val="22"/>
                <w:lang w:eastAsia="en-US"/>
              </w:rPr>
            </w:pPr>
            <w:r w:rsidRPr="00D53A2B">
              <w:rPr>
                <w:rFonts w:eastAsia="Calibri"/>
                <w:sz w:val="22"/>
                <w:szCs w:val="22"/>
                <w:lang w:eastAsia="en-US"/>
              </w:rPr>
              <w:t>Kumlama</w:t>
            </w:r>
            <w:r w:rsidR="00A92220">
              <w:rPr>
                <w:rFonts w:eastAsia="Calibri"/>
                <w:sz w:val="22"/>
                <w:szCs w:val="22"/>
                <w:lang w:eastAsia="en-US"/>
              </w:rPr>
              <w:t xml:space="preserve"> malzemesinin</w:t>
            </w:r>
            <w:r w:rsidRPr="00D53A2B">
              <w:rPr>
                <w:rFonts w:eastAsia="Calibri"/>
                <w:sz w:val="22"/>
                <w:szCs w:val="22"/>
                <w:lang w:eastAsia="en-US"/>
              </w:rPr>
              <w:t xml:space="preserve"> geri kazanılması ve yeniden kullanımı</w:t>
            </w:r>
          </w:p>
        </w:tc>
        <w:tc>
          <w:tcPr>
            <w:tcW w:w="4819" w:type="dxa"/>
          </w:tcPr>
          <w:p w14:paraId="0A1F8A9B" w14:textId="2CC1EFD0" w:rsidR="00BD7E3E" w:rsidRPr="00D53A2B" w:rsidRDefault="00BD7E3E" w:rsidP="004B0D48">
            <w:pPr>
              <w:pStyle w:val="KonuBal"/>
            </w:pPr>
            <w:r w:rsidRPr="00D53A2B">
              <w:t xml:space="preserve">Mekanik temizlemenin bilyeli kumlama ile yapıldığı durumlarda, kumlama </w:t>
            </w:r>
            <w:r w:rsidR="00A92220">
              <w:t>malzemesi</w:t>
            </w:r>
            <w:r w:rsidRPr="00D53A2B">
              <w:t xml:space="preserve"> kireçten ayrılarak yeniden kullanılır.</w:t>
            </w:r>
          </w:p>
        </w:tc>
        <w:tc>
          <w:tcPr>
            <w:tcW w:w="1701" w:type="dxa"/>
            <w:vAlign w:val="center"/>
          </w:tcPr>
          <w:p w14:paraId="7714FFE6" w14:textId="1C7CCED9" w:rsidR="00BD7E3E" w:rsidRPr="00D53A2B" w:rsidRDefault="00BD7E3E" w:rsidP="004B0D48">
            <w:pPr>
              <w:pStyle w:val="KonuBal"/>
            </w:pPr>
            <w:r w:rsidRPr="00D53A2B">
              <w:t>Genel olarak uygulanabilir.</w:t>
            </w:r>
          </w:p>
        </w:tc>
      </w:tr>
    </w:tbl>
    <w:p w14:paraId="73F8C2ED" w14:textId="77777777" w:rsidR="00CD67B6" w:rsidRPr="00D53A2B" w:rsidRDefault="00CD67B6" w:rsidP="00A202FD">
      <w:pPr>
        <w:jc w:val="both"/>
        <w:rPr>
          <w:rFonts w:eastAsia="Calibri"/>
          <w:lang w:eastAsia="en-US"/>
        </w:rPr>
      </w:pPr>
    </w:p>
    <w:p w14:paraId="1E9C129B" w14:textId="756D911A" w:rsidR="00CD67B6" w:rsidRPr="00D53A2B" w:rsidRDefault="007D1A59" w:rsidP="00A202FD">
      <w:pPr>
        <w:pStyle w:val="MET"/>
        <w:rPr>
          <w:rFonts w:eastAsia="Calibri"/>
          <w:szCs w:val="24"/>
        </w:rPr>
      </w:pPr>
      <w:r w:rsidRPr="00D53A2B">
        <w:rPr>
          <w:rFonts w:eastAsia="Calibri"/>
          <w:szCs w:val="24"/>
        </w:rPr>
        <w:t xml:space="preserve">MET 35: </w:t>
      </w:r>
      <w:r w:rsidRPr="00D53A2B">
        <w:rPr>
          <w:rFonts w:eastAsia="Calibri"/>
          <w:b w:val="0"/>
          <w:bCs/>
          <w:szCs w:val="24"/>
        </w:rPr>
        <w:t>Sıcak daldırma işleminden kaynaklanan atık miktarını azaltmak için, aşağıda verilen tüm teknikleri kullanarak çinko içeren kalıntıların bertarafı önle</w:t>
      </w:r>
      <w:r w:rsidR="00B875DD" w:rsidRPr="00D53A2B">
        <w:rPr>
          <w:rFonts w:eastAsia="Calibri"/>
          <w:b w:val="0"/>
          <w:bCs/>
          <w:szCs w:val="24"/>
        </w:rPr>
        <w:t>nebilir</w:t>
      </w:r>
      <w:r w:rsidRPr="00D53A2B">
        <w:rPr>
          <w:rFonts w:eastAsia="Calibri"/>
          <w:b w:val="0"/>
          <w:bCs/>
          <w:szCs w:val="24"/>
        </w:rPr>
        <w:t>.</w:t>
      </w:r>
    </w:p>
    <w:p w14:paraId="00AF585A" w14:textId="77777777" w:rsidR="00CD67B6" w:rsidRPr="00D53A2B" w:rsidRDefault="00CD67B6"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567"/>
        <w:gridCol w:w="1701"/>
        <w:gridCol w:w="3827"/>
        <w:gridCol w:w="2835"/>
      </w:tblGrid>
      <w:tr w:rsidR="007D1A59" w:rsidRPr="00D53A2B" w14:paraId="3F2028BA" w14:textId="77777777" w:rsidTr="00C86A85">
        <w:tc>
          <w:tcPr>
            <w:tcW w:w="2268" w:type="dxa"/>
            <w:gridSpan w:val="2"/>
          </w:tcPr>
          <w:p w14:paraId="2F24FA17" w14:textId="77777777" w:rsidR="007D1A59" w:rsidRPr="00D53A2B" w:rsidRDefault="007D1A59" w:rsidP="004B0D48">
            <w:pPr>
              <w:pStyle w:val="KonuBal"/>
            </w:pPr>
            <w:r w:rsidRPr="00D53A2B">
              <w:lastRenderedPageBreak/>
              <w:t>Teknik</w:t>
            </w:r>
          </w:p>
        </w:tc>
        <w:tc>
          <w:tcPr>
            <w:tcW w:w="3827" w:type="dxa"/>
          </w:tcPr>
          <w:p w14:paraId="389B03BF" w14:textId="77777777" w:rsidR="007D1A59" w:rsidRPr="00D53A2B" w:rsidRDefault="007D1A59" w:rsidP="004B0D48">
            <w:pPr>
              <w:pStyle w:val="KonuBal"/>
            </w:pPr>
            <w:r w:rsidRPr="00D53A2B">
              <w:t>Açıklama</w:t>
            </w:r>
          </w:p>
        </w:tc>
        <w:tc>
          <w:tcPr>
            <w:tcW w:w="2835" w:type="dxa"/>
          </w:tcPr>
          <w:p w14:paraId="2DEB837D" w14:textId="77777777" w:rsidR="007D1A59" w:rsidRPr="00D53A2B" w:rsidRDefault="007D1A59" w:rsidP="00E73DA3">
            <w:pPr>
              <w:pStyle w:val="KonuBal"/>
            </w:pPr>
            <w:r w:rsidRPr="00D53A2B">
              <w:t>Uygulanabilirlik</w:t>
            </w:r>
          </w:p>
        </w:tc>
      </w:tr>
      <w:tr w:rsidR="007D1A59" w:rsidRPr="00D53A2B" w14:paraId="775DA3A6" w14:textId="77777777" w:rsidTr="00C86A85">
        <w:tc>
          <w:tcPr>
            <w:tcW w:w="567" w:type="dxa"/>
            <w:vAlign w:val="center"/>
          </w:tcPr>
          <w:p w14:paraId="4FC74B00" w14:textId="77777777" w:rsidR="007D1A59" w:rsidRPr="00D53A2B" w:rsidRDefault="007D1A59" w:rsidP="004B0D48">
            <w:pPr>
              <w:pStyle w:val="KonuBal"/>
            </w:pPr>
            <w:r w:rsidRPr="00D53A2B">
              <w:t>a.</w:t>
            </w:r>
          </w:p>
        </w:tc>
        <w:tc>
          <w:tcPr>
            <w:tcW w:w="1701" w:type="dxa"/>
            <w:vAlign w:val="center"/>
          </w:tcPr>
          <w:p w14:paraId="2B951A44" w14:textId="12DB1F55" w:rsidR="007D1A59" w:rsidRPr="00D53A2B" w:rsidRDefault="007D1A59" w:rsidP="00A202FD">
            <w:pPr>
              <w:jc w:val="both"/>
              <w:rPr>
                <w:rFonts w:eastAsia="Calibri"/>
                <w:sz w:val="22"/>
                <w:szCs w:val="22"/>
                <w:lang w:eastAsia="en-US"/>
              </w:rPr>
            </w:pPr>
            <w:r w:rsidRPr="00D53A2B">
              <w:rPr>
                <w:rFonts w:eastAsia="Calibri"/>
                <w:sz w:val="22"/>
                <w:szCs w:val="22"/>
                <w:lang w:eastAsia="en-US"/>
              </w:rPr>
              <w:t>Bez filtre tozlarının geri dönüştürülmesi</w:t>
            </w:r>
          </w:p>
        </w:tc>
        <w:tc>
          <w:tcPr>
            <w:tcW w:w="3827" w:type="dxa"/>
            <w:vAlign w:val="center"/>
          </w:tcPr>
          <w:p w14:paraId="121D5F53" w14:textId="7CC71870" w:rsidR="007D1A59" w:rsidRPr="00D53A2B" w:rsidRDefault="007D1A59" w:rsidP="00A202FD">
            <w:pPr>
              <w:pStyle w:val="ListeParagraf"/>
              <w:numPr>
                <w:ilvl w:val="0"/>
                <w:numId w:val="0"/>
              </w:numPr>
              <w:tabs>
                <w:tab w:val="clear" w:pos="567"/>
              </w:tabs>
              <w:spacing w:line="240" w:lineRule="auto"/>
              <w:ind w:left="37"/>
              <w:rPr>
                <w:rFonts w:eastAsia="Calibri"/>
              </w:rPr>
            </w:pPr>
            <w:r w:rsidRPr="00D53A2B">
              <w:rPr>
                <w:rFonts w:eastAsia="Calibri"/>
                <w:position w:val="0"/>
              </w:rPr>
              <w:t xml:space="preserve">Amonyum klorür ve çinko klorür içeren kumaş filtrelerden gelen toz toplanır ve yeniden kullanılır, örneğin akı maddeleri üretmek için. </w:t>
            </w:r>
            <w:r w:rsidR="00AB68FB" w:rsidRPr="00AB68FB">
              <w:rPr>
                <w:rFonts w:eastAsia="Calibri"/>
                <w:position w:val="0"/>
              </w:rPr>
              <w:t>Tesis içerisinde geri kazanılabilir veya lisanslı tesise gönderilebilir.</w:t>
            </w:r>
          </w:p>
        </w:tc>
        <w:tc>
          <w:tcPr>
            <w:tcW w:w="2835" w:type="dxa"/>
            <w:vAlign w:val="center"/>
          </w:tcPr>
          <w:p w14:paraId="12DBAD15" w14:textId="77777777" w:rsidR="007D1A59" w:rsidRPr="00D53A2B" w:rsidRDefault="007D1A59" w:rsidP="004B0D48">
            <w:pPr>
              <w:pStyle w:val="KonuBal"/>
            </w:pPr>
            <w:r w:rsidRPr="00D53A2B">
              <w:t>Sadece flukslamadan sonra sıcak daldırmada uygulanabilir.</w:t>
            </w:r>
          </w:p>
          <w:p w14:paraId="0BDEA49C" w14:textId="3B179552" w:rsidR="007D1A59" w:rsidRPr="00D53A2B" w:rsidRDefault="007D1A59" w:rsidP="00A202FD">
            <w:pPr>
              <w:jc w:val="both"/>
              <w:rPr>
                <w:sz w:val="22"/>
                <w:szCs w:val="22"/>
                <w:lang w:val="en-US" w:eastAsia="en-US"/>
              </w:rPr>
            </w:pPr>
            <w:r w:rsidRPr="00D53A2B">
              <w:rPr>
                <w:sz w:val="22"/>
                <w:szCs w:val="22"/>
                <w:lang w:val="en-US" w:eastAsia="en-US"/>
              </w:rPr>
              <w:t>Uygulanabilirlik, bir pazarın mevcudiyetine bağlı olarak kısıtlanabilir.</w:t>
            </w:r>
          </w:p>
        </w:tc>
      </w:tr>
      <w:tr w:rsidR="007D1A59" w:rsidRPr="00D53A2B" w14:paraId="0250868F" w14:textId="77777777" w:rsidTr="00C86A85">
        <w:tc>
          <w:tcPr>
            <w:tcW w:w="567" w:type="dxa"/>
            <w:vAlign w:val="center"/>
          </w:tcPr>
          <w:p w14:paraId="5E5C133C" w14:textId="77777777" w:rsidR="007D1A59" w:rsidRPr="00D53A2B" w:rsidRDefault="007D1A59" w:rsidP="004B0D48">
            <w:pPr>
              <w:pStyle w:val="KonuBal"/>
            </w:pPr>
            <w:r w:rsidRPr="00D53A2B">
              <w:t>b.</w:t>
            </w:r>
          </w:p>
        </w:tc>
        <w:tc>
          <w:tcPr>
            <w:tcW w:w="1701" w:type="dxa"/>
            <w:vAlign w:val="center"/>
          </w:tcPr>
          <w:p w14:paraId="0D5ACF6C" w14:textId="2F32F92E" w:rsidR="007D1A59" w:rsidRPr="00D53A2B" w:rsidRDefault="007D1A59" w:rsidP="00A202FD">
            <w:pPr>
              <w:jc w:val="both"/>
              <w:rPr>
                <w:rFonts w:eastAsia="Calibri"/>
                <w:sz w:val="22"/>
                <w:szCs w:val="22"/>
                <w:lang w:eastAsia="en-US"/>
              </w:rPr>
            </w:pPr>
            <w:r w:rsidRPr="00D53A2B">
              <w:rPr>
                <w:rFonts w:eastAsia="Calibri"/>
                <w:sz w:val="22"/>
                <w:szCs w:val="22"/>
                <w:lang w:eastAsia="en-US"/>
              </w:rPr>
              <w:t>Çinko külü ve üst cürufun geri dönüşümü</w:t>
            </w:r>
          </w:p>
        </w:tc>
        <w:tc>
          <w:tcPr>
            <w:tcW w:w="3827" w:type="dxa"/>
            <w:vAlign w:val="center"/>
          </w:tcPr>
          <w:p w14:paraId="58B788F7" w14:textId="7790DCF0" w:rsidR="007D1A59" w:rsidRPr="00D53A2B" w:rsidRDefault="007D1A59" w:rsidP="00A202FD">
            <w:pPr>
              <w:ind w:left="32"/>
              <w:jc w:val="both"/>
              <w:rPr>
                <w:rFonts w:eastAsia="Calibri"/>
                <w:sz w:val="22"/>
                <w:szCs w:val="22"/>
              </w:rPr>
            </w:pPr>
            <w:r w:rsidRPr="00D53A2B">
              <w:rPr>
                <w:rFonts w:eastAsia="Calibri"/>
                <w:sz w:val="22"/>
                <w:szCs w:val="22"/>
              </w:rPr>
              <w:t xml:space="preserve">Metalik çinko, geri kazanım fırınlarında eritilerek çinko külünden ve üst cüruftan geri kazanılır. Geriye kalan çinko içeren kalıntı, örneğin çinko oksit üretimi için kullanılır. </w:t>
            </w:r>
            <w:r w:rsidR="00AB68FB" w:rsidRPr="00AB68FB">
              <w:rPr>
                <w:rFonts w:eastAsia="Calibri"/>
                <w:sz w:val="22"/>
                <w:szCs w:val="22"/>
              </w:rPr>
              <w:t>Tesis içerisinde geri kazanılabilir veya lisanslı tesise gönderilebilir.</w:t>
            </w:r>
          </w:p>
        </w:tc>
        <w:tc>
          <w:tcPr>
            <w:tcW w:w="2835" w:type="dxa"/>
            <w:vAlign w:val="center"/>
          </w:tcPr>
          <w:p w14:paraId="140E43ED" w14:textId="77777777" w:rsidR="007D1A59" w:rsidRPr="00D53A2B" w:rsidRDefault="007D1A59" w:rsidP="004B0D48">
            <w:pPr>
              <w:pStyle w:val="KonuBal"/>
            </w:pPr>
            <w:r w:rsidRPr="00D53A2B">
              <w:t>Genel olarak uygulanabilir.</w:t>
            </w:r>
          </w:p>
        </w:tc>
      </w:tr>
      <w:tr w:rsidR="007D1A59" w:rsidRPr="00D53A2B" w14:paraId="6140EC8A" w14:textId="77777777" w:rsidTr="00C86A85">
        <w:tc>
          <w:tcPr>
            <w:tcW w:w="567" w:type="dxa"/>
            <w:vAlign w:val="center"/>
          </w:tcPr>
          <w:p w14:paraId="6646DCE9" w14:textId="77777777" w:rsidR="007D1A59" w:rsidRPr="00D53A2B" w:rsidRDefault="007D1A59" w:rsidP="004B0D48">
            <w:pPr>
              <w:pStyle w:val="KonuBal"/>
            </w:pPr>
            <w:r w:rsidRPr="00D53A2B">
              <w:t>c.</w:t>
            </w:r>
          </w:p>
        </w:tc>
        <w:tc>
          <w:tcPr>
            <w:tcW w:w="1701" w:type="dxa"/>
            <w:vAlign w:val="center"/>
          </w:tcPr>
          <w:p w14:paraId="4795C2FE" w14:textId="31FAD6C2" w:rsidR="007D1A59" w:rsidRPr="00D53A2B" w:rsidRDefault="007D1A59" w:rsidP="00A202FD">
            <w:pPr>
              <w:jc w:val="both"/>
              <w:rPr>
                <w:rFonts w:eastAsia="Calibri"/>
                <w:sz w:val="22"/>
                <w:szCs w:val="22"/>
                <w:lang w:eastAsia="en-US"/>
              </w:rPr>
            </w:pPr>
            <w:r w:rsidRPr="00D53A2B">
              <w:rPr>
                <w:rFonts w:eastAsia="Calibri"/>
                <w:sz w:val="22"/>
                <w:szCs w:val="22"/>
                <w:lang w:eastAsia="en-US"/>
              </w:rPr>
              <w:t>Dip cürufun geri dönüşümü</w:t>
            </w:r>
          </w:p>
        </w:tc>
        <w:tc>
          <w:tcPr>
            <w:tcW w:w="3827" w:type="dxa"/>
          </w:tcPr>
          <w:p w14:paraId="57666DC7" w14:textId="71272CA8" w:rsidR="007D1A59" w:rsidRPr="00D53A2B" w:rsidRDefault="007D1A59" w:rsidP="00A202FD">
            <w:pPr>
              <w:jc w:val="both"/>
              <w:rPr>
                <w:sz w:val="22"/>
                <w:szCs w:val="22"/>
                <w:lang w:val="en-US" w:eastAsia="en-US"/>
              </w:rPr>
            </w:pPr>
            <w:r w:rsidRPr="00D53A2B">
              <w:rPr>
                <w:rFonts w:eastAsia="Calibri"/>
                <w:sz w:val="22"/>
                <w:szCs w:val="22"/>
              </w:rPr>
              <w:t xml:space="preserve">Alt cürufu, örneğin demir dışı metal endüstrilerinde çinko üretmek için kullanılır. </w:t>
            </w:r>
            <w:r w:rsidR="00AB68FB" w:rsidRPr="00AB68FB">
              <w:rPr>
                <w:rFonts w:eastAsia="Calibri"/>
                <w:sz w:val="22"/>
                <w:szCs w:val="22"/>
              </w:rPr>
              <w:t>Tesis içerisinde geri kazanılabilir veya lisanslı tesise gönderilebilir.</w:t>
            </w:r>
          </w:p>
        </w:tc>
        <w:tc>
          <w:tcPr>
            <w:tcW w:w="2835" w:type="dxa"/>
            <w:vAlign w:val="center"/>
          </w:tcPr>
          <w:p w14:paraId="0F8E4D87" w14:textId="573A36E6" w:rsidR="007D1A59" w:rsidRPr="00D53A2B" w:rsidRDefault="007D1A59" w:rsidP="004B0D48">
            <w:pPr>
              <w:pStyle w:val="KonuBal"/>
            </w:pPr>
            <w:r w:rsidRPr="00D53A2B">
              <w:t>Genel olarak uygulanabilir.</w:t>
            </w:r>
          </w:p>
        </w:tc>
      </w:tr>
    </w:tbl>
    <w:p w14:paraId="7E51FB06" w14:textId="77777777" w:rsidR="00CD67B6" w:rsidRPr="00D53A2B" w:rsidRDefault="00CD67B6" w:rsidP="00A202FD">
      <w:pPr>
        <w:jc w:val="both"/>
        <w:rPr>
          <w:rFonts w:eastAsia="Calibri"/>
          <w:lang w:eastAsia="en-US"/>
        </w:rPr>
      </w:pPr>
    </w:p>
    <w:p w14:paraId="7608043B" w14:textId="6451E230" w:rsidR="00CD67B6" w:rsidRPr="00D53A2B" w:rsidRDefault="007D1A59" w:rsidP="00A202FD">
      <w:pPr>
        <w:pStyle w:val="MET"/>
        <w:rPr>
          <w:rFonts w:eastAsia="Calibri"/>
          <w:b w:val="0"/>
          <w:bCs/>
          <w:szCs w:val="24"/>
        </w:rPr>
      </w:pPr>
      <w:r w:rsidRPr="00D53A2B">
        <w:rPr>
          <w:rFonts w:eastAsia="Calibri"/>
          <w:szCs w:val="24"/>
        </w:rPr>
        <w:t xml:space="preserve">MET 36: </w:t>
      </w:r>
      <w:r w:rsidRPr="00D53A2B">
        <w:rPr>
          <w:rFonts w:eastAsia="Calibri"/>
          <w:b w:val="0"/>
          <w:bCs/>
          <w:szCs w:val="24"/>
        </w:rPr>
        <w:t>Sıcak daldırma işleminden kaynaklanan çinko içeren kalıntıların (yani çinko külü, üst cüruf, alt cüruf, çinko sıçramaları ve kumaş filtre tozu) geri dönüştürülebilirliğini ve geri kazanım potansiyelini iyileştirmek ve bunların depolanmasıyla ilişkili çevresel riski önlemek veya azaltmak amacıyla, bunları birbirinden ve diğer kalıntılardan ayrı olarak şu şekilde depolanır:</w:t>
      </w:r>
    </w:p>
    <w:p w14:paraId="78A2C662" w14:textId="0940216F" w:rsidR="0071694E" w:rsidRPr="00D53A2B" w:rsidRDefault="007D1A59" w:rsidP="00602365">
      <w:pPr>
        <w:pStyle w:val="MET"/>
        <w:numPr>
          <w:ilvl w:val="0"/>
          <w:numId w:val="170"/>
        </w:numPr>
        <w:ind w:left="426" w:hanging="426"/>
        <w:rPr>
          <w:rFonts w:eastAsia="Calibri"/>
          <w:b w:val="0"/>
          <w:bCs/>
          <w:szCs w:val="24"/>
        </w:rPr>
      </w:pPr>
      <w:r w:rsidRPr="00D53A2B">
        <w:rPr>
          <w:rFonts w:eastAsia="Calibri"/>
          <w:b w:val="0"/>
          <w:bCs/>
          <w:szCs w:val="24"/>
        </w:rPr>
        <w:t>geçirimsiz yüzeylerde, kapalı alanlarda ve kapalı kaplarda/torbalarda, kumaş filtre tozları için;</w:t>
      </w:r>
    </w:p>
    <w:p w14:paraId="1645EE49" w14:textId="6576B7E7" w:rsidR="007D1A59" w:rsidRPr="00D53A2B" w:rsidRDefault="007D1A59" w:rsidP="00602365">
      <w:pPr>
        <w:pStyle w:val="MET"/>
        <w:numPr>
          <w:ilvl w:val="0"/>
          <w:numId w:val="170"/>
        </w:numPr>
        <w:ind w:left="426" w:hanging="426"/>
        <w:rPr>
          <w:rFonts w:eastAsia="Calibri"/>
          <w:b w:val="0"/>
          <w:bCs/>
          <w:szCs w:val="24"/>
        </w:rPr>
      </w:pPr>
      <w:r w:rsidRPr="00D53A2B">
        <w:rPr>
          <w:rFonts w:eastAsia="Calibri"/>
          <w:b w:val="0"/>
          <w:bCs/>
          <w:szCs w:val="24"/>
        </w:rPr>
        <w:t>yukarıda belirtilen diğer tüm kalıntı türleri için, geçirimsiz yüzeylerde ve yüzeysel akış suyundan korunan kapalı alanlarda.</w:t>
      </w:r>
    </w:p>
    <w:p w14:paraId="2DCDFDFB" w14:textId="77777777" w:rsidR="0071694E" w:rsidRPr="00D53A2B" w:rsidRDefault="0071694E" w:rsidP="00A202FD">
      <w:pPr>
        <w:jc w:val="both"/>
        <w:rPr>
          <w:rFonts w:eastAsia="Calibri"/>
          <w:lang w:eastAsia="en-US"/>
        </w:rPr>
      </w:pPr>
    </w:p>
    <w:p w14:paraId="468C039F" w14:textId="4A237B36" w:rsidR="0071694E" w:rsidRPr="00D53A2B" w:rsidRDefault="007D1A59" w:rsidP="00A202FD">
      <w:pPr>
        <w:pStyle w:val="MET"/>
        <w:rPr>
          <w:rFonts w:eastAsia="Calibri"/>
          <w:szCs w:val="24"/>
        </w:rPr>
      </w:pPr>
      <w:r w:rsidRPr="00D53A2B">
        <w:rPr>
          <w:rFonts w:eastAsia="Calibri"/>
          <w:szCs w:val="24"/>
        </w:rPr>
        <w:t xml:space="preserve">MET 37: </w:t>
      </w:r>
      <w:r w:rsidRPr="00D53A2B">
        <w:rPr>
          <w:rFonts w:eastAsia="Calibri"/>
          <w:b w:val="0"/>
          <w:bCs/>
          <w:szCs w:val="24"/>
        </w:rPr>
        <w:t xml:space="preserve">Malzeme verimliliğini artırmak ve çalışan ruloların tekstüre edilmesinden dolayı </w:t>
      </w:r>
      <w:r w:rsidR="00A92220">
        <w:rPr>
          <w:rFonts w:eastAsia="Calibri"/>
          <w:b w:val="0"/>
          <w:bCs/>
          <w:szCs w:val="24"/>
        </w:rPr>
        <w:t>bertaraf</w:t>
      </w:r>
      <w:r w:rsidRPr="00D53A2B">
        <w:rPr>
          <w:rFonts w:eastAsia="Calibri"/>
          <w:b w:val="0"/>
          <w:bCs/>
          <w:szCs w:val="24"/>
        </w:rPr>
        <w:t xml:space="preserve"> edilmek üzere gönderilen atık miktarını azaltmak için aşağıda verilen tekniklerin tamamı kullanıl</w:t>
      </w:r>
      <w:r w:rsidR="00D14102" w:rsidRPr="00D53A2B">
        <w:rPr>
          <w:rFonts w:eastAsia="Calibri"/>
          <w:b w:val="0"/>
          <w:bCs/>
          <w:szCs w:val="24"/>
        </w:rPr>
        <w:t>abilir</w:t>
      </w:r>
      <w:r w:rsidRPr="00D53A2B">
        <w:rPr>
          <w:rFonts w:eastAsia="Calibri"/>
          <w:b w:val="0"/>
          <w:bCs/>
          <w:szCs w:val="24"/>
        </w:rPr>
        <w:t>.</w:t>
      </w:r>
    </w:p>
    <w:p w14:paraId="726A2658" w14:textId="7D7F0FB1"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2835"/>
        <w:gridCol w:w="5670"/>
      </w:tblGrid>
      <w:tr w:rsidR="007D1A59" w:rsidRPr="00D53A2B" w14:paraId="0F9B7192" w14:textId="77777777" w:rsidTr="00C86A85">
        <w:tc>
          <w:tcPr>
            <w:tcW w:w="3260" w:type="dxa"/>
            <w:gridSpan w:val="2"/>
          </w:tcPr>
          <w:p w14:paraId="24B6101F" w14:textId="77777777" w:rsidR="007D1A59" w:rsidRPr="00D53A2B" w:rsidRDefault="007D1A59" w:rsidP="004B0D48">
            <w:pPr>
              <w:pStyle w:val="KonuBal"/>
            </w:pPr>
            <w:r w:rsidRPr="00D53A2B">
              <w:t>Teknik</w:t>
            </w:r>
          </w:p>
        </w:tc>
        <w:tc>
          <w:tcPr>
            <w:tcW w:w="5670" w:type="dxa"/>
          </w:tcPr>
          <w:p w14:paraId="77954CDA" w14:textId="77777777" w:rsidR="007D1A59" w:rsidRPr="00D53A2B" w:rsidRDefault="007D1A59" w:rsidP="004B0D48">
            <w:pPr>
              <w:pStyle w:val="KonuBal"/>
            </w:pPr>
            <w:r w:rsidRPr="00D53A2B">
              <w:t>Açıklama</w:t>
            </w:r>
          </w:p>
        </w:tc>
      </w:tr>
      <w:tr w:rsidR="007D1A59" w:rsidRPr="00D53A2B" w14:paraId="68D685D7" w14:textId="77777777" w:rsidTr="00C86A85">
        <w:tc>
          <w:tcPr>
            <w:tcW w:w="425" w:type="dxa"/>
            <w:vAlign w:val="center"/>
          </w:tcPr>
          <w:p w14:paraId="5960B106" w14:textId="77777777" w:rsidR="007D1A59" w:rsidRPr="00D53A2B" w:rsidRDefault="007D1A59" w:rsidP="004B0D48">
            <w:pPr>
              <w:pStyle w:val="KonuBal"/>
            </w:pPr>
            <w:r w:rsidRPr="00D53A2B">
              <w:t>a.</w:t>
            </w:r>
          </w:p>
        </w:tc>
        <w:tc>
          <w:tcPr>
            <w:tcW w:w="2835" w:type="dxa"/>
            <w:vAlign w:val="center"/>
          </w:tcPr>
          <w:p w14:paraId="6D741BDA" w14:textId="35C66211" w:rsidR="007D1A59" w:rsidRPr="00D53A2B" w:rsidRDefault="007D1A59" w:rsidP="00A202FD">
            <w:pPr>
              <w:jc w:val="both"/>
              <w:rPr>
                <w:rFonts w:eastAsia="Calibri"/>
                <w:sz w:val="22"/>
                <w:szCs w:val="22"/>
                <w:lang w:eastAsia="en-US"/>
              </w:rPr>
            </w:pPr>
            <w:r w:rsidRPr="00D53A2B">
              <w:rPr>
                <w:rFonts w:eastAsia="Calibri"/>
                <w:sz w:val="22"/>
                <w:szCs w:val="22"/>
                <w:lang w:eastAsia="en-US"/>
              </w:rPr>
              <w:t>Taşlama emülsiyonunun temizlenmesi ve yeniden kullanılması</w:t>
            </w:r>
          </w:p>
        </w:tc>
        <w:tc>
          <w:tcPr>
            <w:tcW w:w="5670" w:type="dxa"/>
            <w:vAlign w:val="center"/>
          </w:tcPr>
          <w:p w14:paraId="1A5D70E2" w14:textId="65599F7A" w:rsidR="007D1A59" w:rsidRPr="00D53A2B" w:rsidRDefault="007D1A59" w:rsidP="00A202FD">
            <w:pPr>
              <w:pStyle w:val="ListeParagraf"/>
              <w:numPr>
                <w:ilvl w:val="0"/>
                <w:numId w:val="0"/>
              </w:numPr>
              <w:tabs>
                <w:tab w:val="clear" w:pos="567"/>
              </w:tabs>
              <w:spacing w:line="240" w:lineRule="auto"/>
              <w:ind w:left="37"/>
              <w:rPr>
                <w:rFonts w:eastAsia="Calibri"/>
              </w:rPr>
            </w:pPr>
            <w:r w:rsidRPr="00D53A2B">
              <w:rPr>
                <w:rFonts w:eastAsia="Calibri"/>
              </w:rPr>
              <w:t>Öğütme emülsiyonları, öğütme çamurunu uzaklaştırmak ve öğütme emülsiyonunu tekrar kullanmak amacıyla lameller veya manyetik ayırıcılar kullanılarak veya çökeltme/berraklaştırma prosesi kullanılarak işlenir.</w:t>
            </w:r>
          </w:p>
        </w:tc>
      </w:tr>
      <w:tr w:rsidR="007D1A59" w:rsidRPr="00D53A2B" w14:paraId="337ACE40" w14:textId="77777777" w:rsidTr="00C86A85">
        <w:tc>
          <w:tcPr>
            <w:tcW w:w="425" w:type="dxa"/>
            <w:vAlign w:val="center"/>
          </w:tcPr>
          <w:p w14:paraId="08D96E1D" w14:textId="77777777" w:rsidR="007D1A59" w:rsidRPr="00D53A2B" w:rsidRDefault="007D1A59" w:rsidP="004B0D48">
            <w:pPr>
              <w:pStyle w:val="KonuBal"/>
            </w:pPr>
            <w:r w:rsidRPr="00D53A2B">
              <w:t>b.</w:t>
            </w:r>
          </w:p>
        </w:tc>
        <w:tc>
          <w:tcPr>
            <w:tcW w:w="2835" w:type="dxa"/>
            <w:vAlign w:val="center"/>
          </w:tcPr>
          <w:p w14:paraId="1861FC52" w14:textId="25DC5455" w:rsidR="007D1A59" w:rsidRPr="00D53A2B" w:rsidRDefault="007D1A59" w:rsidP="00A202FD">
            <w:pPr>
              <w:jc w:val="both"/>
              <w:rPr>
                <w:rFonts w:eastAsia="Calibri"/>
                <w:sz w:val="22"/>
                <w:szCs w:val="22"/>
                <w:lang w:eastAsia="en-US"/>
              </w:rPr>
            </w:pPr>
            <w:r w:rsidRPr="00D53A2B">
              <w:rPr>
                <w:rFonts w:eastAsia="Calibri"/>
                <w:sz w:val="22"/>
                <w:szCs w:val="22"/>
                <w:lang w:eastAsia="en-US"/>
              </w:rPr>
              <w:t>Taşlama çamurunun arıtımı</w:t>
            </w:r>
          </w:p>
        </w:tc>
        <w:tc>
          <w:tcPr>
            <w:tcW w:w="5670" w:type="dxa"/>
            <w:vAlign w:val="center"/>
          </w:tcPr>
          <w:p w14:paraId="02198898" w14:textId="09CF8607" w:rsidR="007D1A59" w:rsidRPr="00D53A2B" w:rsidRDefault="007D1A59" w:rsidP="00A202FD">
            <w:pPr>
              <w:ind w:left="32"/>
              <w:jc w:val="both"/>
              <w:rPr>
                <w:rFonts w:eastAsia="Calibri"/>
                <w:sz w:val="22"/>
                <w:szCs w:val="22"/>
              </w:rPr>
            </w:pPr>
            <w:r w:rsidRPr="00D53A2B">
              <w:rPr>
                <w:rFonts w:eastAsia="Calibri"/>
                <w:sz w:val="22"/>
                <w:szCs w:val="22"/>
              </w:rPr>
              <w:t>Öğütme çamurunun manyetik ayırma ile arıtılması, metal parçacıklarının geri kazanılması ve metallerin geri dönüştürülmesi, örneğin demir ve çelik üretimi.</w:t>
            </w:r>
          </w:p>
        </w:tc>
      </w:tr>
      <w:tr w:rsidR="007D1A59" w:rsidRPr="00D53A2B" w14:paraId="3CB99DF5" w14:textId="77777777" w:rsidTr="00C86A85">
        <w:tc>
          <w:tcPr>
            <w:tcW w:w="425" w:type="dxa"/>
            <w:vAlign w:val="center"/>
          </w:tcPr>
          <w:p w14:paraId="09474F1C" w14:textId="77777777" w:rsidR="007D1A59" w:rsidRPr="00D53A2B" w:rsidRDefault="007D1A59" w:rsidP="004B0D48">
            <w:pPr>
              <w:pStyle w:val="KonuBal"/>
            </w:pPr>
            <w:r w:rsidRPr="00D53A2B">
              <w:t>c.</w:t>
            </w:r>
          </w:p>
        </w:tc>
        <w:tc>
          <w:tcPr>
            <w:tcW w:w="2835" w:type="dxa"/>
            <w:vAlign w:val="center"/>
          </w:tcPr>
          <w:p w14:paraId="0FB2A131" w14:textId="736702F3" w:rsidR="007D1A59" w:rsidRPr="00D53A2B" w:rsidRDefault="007D1A59" w:rsidP="00A202FD">
            <w:pPr>
              <w:jc w:val="both"/>
              <w:rPr>
                <w:rFonts w:eastAsia="Calibri"/>
                <w:sz w:val="22"/>
                <w:szCs w:val="22"/>
                <w:lang w:eastAsia="en-US"/>
              </w:rPr>
            </w:pPr>
            <w:r w:rsidRPr="00D53A2B">
              <w:rPr>
                <w:rFonts w:eastAsia="Calibri"/>
                <w:sz w:val="22"/>
                <w:szCs w:val="22"/>
                <w:lang w:eastAsia="en-US"/>
              </w:rPr>
              <w:t>Aşınmış çalışma silindirlerinin geri dönüşümü</w:t>
            </w:r>
          </w:p>
        </w:tc>
        <w:tc>
          <w:tcPr>
            <w:tcW w:w="5670" w:type="dxa"/>
          </w:tcPr>
          <w:p w14:paraId="52DE9B3C" w14:textId="178310FC" w:rsidR="007D1A59" w:rsidRPr="00D53A2B" w:rsidRDefault="007D1A59" w:rsidP="00A202FD">
            <w:pPr>
              <w:jc w:val="both"/>
              <w:rPr>
                <w:sz w:val="22"/>
                <w:szCs w:val="22"/>
                <w:lang w:val="en-US" w:eastAsia="en-US"/>
              </w:rPr>
            </w:pPr>
            <w:r w:rsidRPr="00D53A2B">
              <w:rPr>
                <w:rFonts w:eastAsia="Calibri"/>
                <w:sz w:val="22"/>
                <w:szCs w:val="22"/>
              </w:rPr>
              <w:t>Dokulandırmaya uygun olmayan yıpranmış çalışma silindirleri demir-çelik üretimine geri kazandırılmakta veya yeniden imalat için üreticiye geri gönderilmektedir.</w:t>
            </w:r>
          </w:p>
        </w:tc>
      </w:tr>
    </w:tbl>
    <w:p w14:paraId="62E91D7E" w14:textId="77777777" w:rsidR="0071694E" w:rsidRPr="00D53A2B" w:rsidRDefault="0071694E" w:rsidP="00A202FD">
      <w:pPr>
        <w:jc w:val="both"/>
        <w:rPr>
          <w:rFonts w:eastAsia="Calibri"/>
          <w:lang w:eastAsia="en-US"/>
        </w:rPr>
      </w:pPr>
    </w:p>
    <w:p w14:paraId="241D5732" w14:textId="34A3B599" w:rsidR="0071694E" w:rsidRPr="00D53A2B" w:rsidRDefault="007D1A59" w:rsidP="00A202FD">
      <w:pPr>
        <w:jc w:val="both"/>
        <w:rPr>
          <w:rFonts w:eastAsia="Calibri"/>
          <w:lang w:eastAsia="en-US"/>
        </w:rPr>
      </w:pPr>
      <w:r w:rsidRPr="00D53A2B">
        <w:rPr>
          <w:rFonts w:eastAsia="Calibri"/>
          <w:lang w:eastAsia="en-US"/>
        </w:rPr>
        <w:t xml:space="preserve">Bertaraf için gönderilen atık miktarını azaltmaya yönelik sektöre özgü diğer teknikler bu MET sonuçlarının </w:t>
      </w:r>
      <w:r w:rsidR="00B97162" w:rsidRPr="00D53A2B">
        <w:rPr>
          <w:rFonts w:eastAsia="Calibri"/>
          <w:lang w:eastAsia="en-US"/>
        </w:rPr>
        <w:t>1</w:t>
      </w:r>
      <w:r w:rsidRPr="00D53A2B">
        <w:rPr>
          <w:rFonts w:eastAsia="Calibri"/>
          <w:lang w:eastAsia="en-US"/>
        </w:rPr>
        <w:t>.8.4. Bölümünde verilmiştir.</w:t>
      </w:r>
    </w:p>
    <w:p w14:paraId="0E71E33B" w14:textId="77777777" w:rsidR="0071694E" w:rsidRPr="00D53A2B" w:rsidRDefault="0071694E" w:rsidP="00A202FD">
      <w:pPr>
        <w:jc w:val="both"/>
        <w:rPr>
          <w:rFonts w:eastAsia="Calibri"/>
          <w:lang w:eastAsia="en-US"/>
        </w:rPr>
      </w:pPr>
    </w:p>
    <w:p w14:paraId="6EAC0BDD" w14:textId="077A73E5" w:rsidR="0071694E" w:rsidRPr="00D53A2B" w:rsidRDefault="00D10848" w:rsidP="00A202FD">
      <w:pPr>
        <w:pStyle w:val="Balk2"/>
        <w:rPr>
          <w:rFonts w:eastAsia="Calibri" w:cs="Times New Roman"/>
          <w:szCs w:val="24"/>
          <w:lang w:eastAsia="en-US"/>
        </w:rPr>
      </w:pPr>
      <w:r w:rsidRPr="00D53A2B">
        <w:rPr>
          <w:rFonts w:eastAsia="Calibri" w:cs="Times New Roman"/>
          <w:szCs w:val="24"/>
          <w:lang w:eastAsia="en-US"/>
        </w:rPr>
        <w:lastRenderedPageBreak/>
        <w:t>1</w:t>
      </w:r>
      <w:r w:rsidR="007D1A59" w:rsidRPr="00D53A2B">
        <w:rPr>
          <w:rFonts w:eastAsia="Calibri" w:cs="Times New Roman"/>
          <w:szCs w:val="24"/>
          <w:lang w:eastAsia="en-US"/>
        </w:rPr>
        <w:t xml:space="preserve">.6. Sıcak </w:t>
      </w:r>
      <w:r w:rsidR="009A27D8" w:rsidRPr="00D53A2B">
        <w:rPr>
          <w:rFonts w:eastAsia="Calibri" w:cs="Times New Roman"/>
          <w:szCs w:val="24"/>
          <w:lang w:eastAsia="en-US"/>
        </w:rPr>
        <w:t xml:space="preserve">Haddeleme İçin </w:t>
      </w:r>
      <w:r w:rsidR="007D1A59" w:rsidRPr="00D53A2B">
        <w:rPr>
          <w:rFonts w:eastAsia="Calibri" w:cs="Times New Roman"/>
          <w:szCs w:val="24"/>
          <w:lang w:eastAsia="en-US"/>
        </w:rPr>
        <w:t xml:space="preserve">MET </w:t>
      </w:r>
      <w:r w:rsidR="009A27D8" w:rsidRPr="00D53A2B">
        <w:rPr>
          <w:rFonts w:eastAsia="Calibri" w:cs="Times New Roman"/>
          <w:szCs w:val="24"/>
          <w:lang w:eastAsia="en-US"/>
        </w:rPr>
        <w:t>S</w:t>
      </w:r>
      <w:r w:rsidR="007D1A59" w:rsidRPr="00D53A2B">
        <w:rPr>
          <w:rFonts w:eastAsia="Calibri" w:cs="Times New Roman"/>
          <w:szCs w:val="24"/>
          <w:lang w:eastAsia="en-US"/>
        </w:rPr>
        <w:t>onuçları</w:t>
      </w:r>
    </w:p>
    <w:p w14:paraId="4B8B55CD" w14:textId="7FBCCC57" w:rsidR="007D1A59" w:rsidRPr="00D53A2B" w:rsidRDefault="007D1A59" w:rsidP="00A202FD">
      <w:pPr>
        <w:jc w:val="both"/>
        <w:rPr>
          <w:rFonts w:eastAsia="Calibri"/>
          <w:lang w:eastAsia="en-US"/>
        </w:rPr>
      </w:pPr>
      <w:r w:rsidRPr="00D53A2B">
        <w:rPr>
          <w:rFonts w:eastAsia="Calibri"/>
          <w:lang w:eastAsia="en-US"/>
        </w:rPr>
        <w:t>Bu bölümdeki MET sonuçları, Bölüm</w:t>
      </w:r>
      <w:r w:rsidR="00B97162" w:rsidRPr="00D53A2B">
        <w:rPr>
          <w:rFonts w:eastAsia="Calibri"/>
          <w:lang w:eastAsia="en-US"/>
        </w:rPr>
        <w:t>1</w:t>
      </w:r>
      <w:r w:rsidRPr="00D53A2B">
        <w:rPr>
          <w:rFonts w:eastAsia="Calibri"/>
          <w:lang w:eastAsia="en-US"/>
        </w:rPr>
        <w:t>.5</w:t>
      </w:r>
      <w:r w:rsidR="00E56504" w:rsidRPr="00D53A2B">
        <w:rPr>
          <w:rFonts w:eastAsia="Calibri"/>
          <w:lang w:eastAsia="en-US"/>
        </w:rPr>
        <w:t>’</w:t>
      </w:r>
      <w:r w:rsidRPr="00D53A2B">
        <w:rPr>
          <w:rFonts w:eastAsia="Calibri"/>
          <w:lang w:eastAsia="en-US"/>
        </w:rPr>
        <w:t>te verilen genel MET sonuçlarına ek olarak uygulanır.</w:t>
      </w:r>
    </w:p>
    <w:p w14:paraId="5C9E1C51" w14:textId="77777777" w:rsidR="0071694E" w:rsidRPr="00D53A2B" w:rsidRDefault="0071694E" w:rsidP="00A202FD">
      <w:pPr>
        <w:jc w:val="both"/>
        <w:rPr>
          <w:rFonts w:eastAsia="Calibri"/>
          <w:lang w:eastAsia="en-US"/>
        </w:rPr>
      </w:pPr>
    </w:p>
    <w:p w14:paraId="200AFA0A" w14:textId="08F80FA2" w:rsidR="0071694E" w:rsidRPr="00D53A2B" w:rsidRDefault="00D10848" w:rsidP="00A202FD">
      <w:pPr>
        <w:pStyle w:val="Balk3"/>
        <w:rPr>
          <w:rFonts w:eastAsia="Calibri" w:cs="Times New Roman"/>
          <w:lang w:eastAsia="en-US"/>
        </w:rPr>
      </w:pPr>
      <w:r w:rsidRPr="00D53A2B">
        <w:rPr>
          <w:rFonts w:eastAsia="Calibri" w:cs="Times New Roman"/>
          <w:lang w:eastAsia="en-US"/>
        </w:rPr>
        <w:t>1</w:t>
      </w:r>
      <w:r w:rsidR="007D1A59" w:rsidRPr="00D53A2B">
        <w:rPr>
          <w:rFonts w:eastAsia="Calibri" w:cs="Times New Roman"/>
          <w:lang w:eastAsia="en-US"/>
        </w:rPr>
        <w:t>.6.1. Enerji verimliliği</w:t>
      </w:r>
    </w:p>
    <w:p w14:paraId="47C23438" w14:textId="2E037229" w:rsidR="00537694" w:rsidRPr="00D53A2B" w:rsidRDefault="00537694" w:rsidP="00A202FD">
      <w:pPr>
        <w:pStyle w:val="MET"/>
        <w:rPr>
          <w:rFonts w:eastAsia="Calibri"/>
          <w:szCs w:val="24"/>
        </w:rPr>
      </w:pPr>
      <w:r w:rsidRPr="00D53A2B">
        <w:rPr>
          <w:rFonts w:eastAsia="Calibri"/>
          <w:szCs w:val="24"/>
        </w:rPr>
        <w:t xml:space="preserve">MET 38: </w:t>
      </w:r>
      <w:r w:rsidRPr="00D53A2B">
        <w:rPr>
          <w:rFonts w:eastAsia="Calibri"/>
          <w:b w:val="0"/>
          <w:bCs/>
          <w:szCs w:val="24"/>
        </w:rPr>
        <w:t xml:space="preserve">Hammadde ısıtmada enerji verimliliğini artırmak için </w:t>
      </w:r>
      <w:r w:rsidR="00651500" w:rsidRPr="00D53A2B">
        <w:rPr>
          <w:rFonts w:eastAsia="Calibri"/>
          <w:b w:val="0"/>
          <w:bCs/>
          <w:szCs w:val="24"/>
        </w:rPr>
        <w:t>MET</w:t>
      </w:r>
      <w:r w:rsidRPr="00D53A2B">
        <w:rPr>
          <w:rFonts w:eastAsia="Calibri"/>
          <w:b w:val="0"/>
          <w:bCs/>
          <w:szCs w:val="24"/>
        </w:rPr>
        <w:t xml:space="preserve"> 11</w:t>
      </w:r>
      <w:r w:rsidR="00E56504" w:rsidRPr="00D53A2B">
        <w:rPr>
          <w:rFonts w:eastAsia="Calibri"/>
          <w:b w:val="0"/>
          <w:bCs/>
          <w:szCs w:val="24"/>
        </w:rPr>
        <w:t>’</w:t>
      </w:r>
      <w:r w:rsidRPr="00D53A2B">
        <w:rPr>
          <w:rFonts w:eastAsia="Calibri"/>
          <w:b w:val="0"/>
          <w:bCs/>
          <w:szCs w:val="24"/>
        </w:rPr>
        <w:t>de verilen tekniklerin bir kombinasyonunun yanı sıra aşağıda verilen tekniklerin uygun bir kombinasyonu kullanılır.</w:t>
      </w:r>
    </w:p>
    <w:p w14:paraId="49B1D5BC" w14:textId="77777777"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1985"/>
        <w:gridCol w:w="3544"/>
        <w:gridCol w:w="2976"/>
      </w:tblGrid>
      <w:tr w:rsidR="008040B9" w:rsidRPr="00D53A2B" w14:paraId="60287F2F" w14:textId="77777777" w:rsidTr="00C86A85">
        <w:tc>
          <w:tcPr>
            <w:tcW w:w="2410" w:type="dxa"/>
            <w:gridSpan w:val="2"/>
          </w:tcPr>
          <w:p w14:paraId="0AB93CB8" w14:textId="77777777" w:rsidR="008040B9" w:rsidRPr="00D53A2B" w:rsidRDefault="008040B9" w:rsidP="004B0D48">
            <w:pPr>
              <w:pStyle w:val="KonuBal"/>
            </w:pPr>
            <w:r w:rsidRPr="00D53A2B">
              <w:t>Teknik</w:t>
            </w:r>
          </w:p>
        </w:tc>
        <w:tc>
          <w:tcPr>
            <w:tcW w:w="3544" w:type="dxa"/>
          </w:tcPr>
          <w:p w14:paraId="7F5B0774" w14:textId="77777777" w:rsidR="008040B9" w:rsidRPr="00D53A2B" w:rsidRDefault="008040B9" w:rsidP="004B0D48">
            <w:pPr>
              <w:pStyle w:val="KonuBal"/>
            </w:pPr>
            <w:r w:rsidRPr="00D53A2B">
              <w:t>Açıklama</w:t>
            </w:r>
          </w:p>
        </w:tc>
        <w:tc>
          <w:tcPr>
            <w:tcW w:w="2976" w:type="dxa"/>
          </w:tcPr>
          <w:p w14:paraId="6239D836" w14:textId="77777777" w:rsidR="008040B9" w:rsidRPr="00D53A2B" w:rsidRDefault="008040B9" w:rsidP="00E73DA3">
            <w:pPr>
              <w:pStyle w:val="KonuBal"/>
            </w:pPr>
            <w:r w:rsidRPr="00D53A2B">
              <w:t>Uygulanabilirlik</w:t>
            </w:r>
          </w:p>
        </w:tc>
      </w:tr>
      <w:tr w:rsidR="008040B9" w:rsidRPr="00D53A2B" w14:paraId="76954D43" w14:textId="77777777" w:rsidTr="00C86A85">
        <w:tc>
          <w:tcPr>
            <w:tcW w:w="425" w:type="dxa"/>
            <w:vAlign w:val="center"/>
          </w:tcPr>
          <w:p w14:paraId="0CA419AD" w14:textId="77777777" w:rsidR="008040B9" w:rsidRPr="00D53A2B" w:rsidRDefault="008040B9" w:rsidP="004B0D48">
            <w:pPr>
              <w:pStyle w:val="KonuBal"/>
            </w:pPr>
            <w:r w:rsidRPr="00D53A2B">
              <w:t>a.</w:t>
            </w:r>
          </w:p>
        </w:tc>
        <w:tc>
          <w:tcPr>
            <w:tcW w:w="1985" w:type="dxa"/>
            <w:vAlign w:val="center"/>
          </w:tcPr>
          <w:p w14:paraId="0E79AF08" w14:textId="1D3CC31B" w:rsidR="008040B9" w:rsidRPr="00D53A2B" w:rsidRDefault="008040B9" w:rsidP="004B0D48">
            <w:pPr>
              <w:pStyle w:val="KonuBal"/>
            </w:pPr>
            <w:r w:rsidRPr="00D53A2B">
              <w:t>İnce levhalar ve kiriş boşlukları için net şekle yakın döküm ve ardından haddeleme</w:t>
            </w:r>
          </w:p>
        </w:tc>
        <w:tc>
          <w:tcPr>
            <w:tcW w:w="3544" w:type="dxa"/>
            <w:vAlign w:val="center"/>
          </w:tcPr>
          <w:p w14:paraId="6D3C8DAF" w14:textId="2F7C6E3A" w:rsidR="008040B9" w:rsidRPr="00D53A2B" w:rsidRDefault="008040B9" w:rsidP="00A202FD">
            <w:pPr>
              <w:pStyle w:val="ListeParagraf"/>
              <w:numPr>
                <w:ilvl w:val="0"/>
                <w:numId w:val="0"/>
              </w:numPr>
              <w:tabs>
                <w:tab w:val="clear" w:pos="567"/>
              </w:tabs>
              <w:spacing w:line="240" w:lineRule="auto"/>
              <w:ind w:left="37"/>
              <w:rPr>
                <w:rFonts w:eastAsia="Calibri"/>
              </w:rPr>
            </w:pPr>
            <w:r w:rsidRPr="00D53A2B">
              <w:t xml:space="preserve">Bölüm </w:t>
            </w:r>
            <w:r w:rsidR="00B97162" w:rsidRPr="00D53A2B">
              <w:t>1</w:t>
            </w:r>
            <w:r w:rsidRPr="00D53A2B">
              <w:t>.11.1</w:t>
            </w:r>
            <w:r w:rsidR="00E56504" w:rsidRPr="00D53A2B">
              <w:t>’</w:t>
            </w:r>
            <w:r w:rsidRPr="00D53A2B">
              <w:t>e bakınız.</w:t>
            </w:r>
          </w:p>
        </w:tc>
        <w:tc>
          <w:tcPr>
            <w:tcW w:w="2976" w:type="dxa"/>
            <w:vAlign w:val="center"/>
          </w:tcPr>
          <w:p w14:paraId="4714733A" w14:textId="27D03EDB" w:rsidR="008040B9" w:rsidRPr="00D53A2B" w:rsidRDefault="008040B9" w:rsidP="004B0D48">
            <w:pPr>
              <w:pStyle w:val="KonuBal"/>
            </w:pPr>
            <w:r w:rsidRPr="00D53A2B">
              <w:t>Sadece sürekli dökümün bitişiğindeki tesislerde ve tesis yerleşim planı ve ürün spesifikasyonlarının sınırlamaları dahilinde geçerlidir.</w:t>
            </w:r>
          </w:p>
        </w:tc>
      </w:tr>
      <w:tr w:rsidR="008040B9" w:rsidRPr="00D53A2B" w14:paraId="2E74350D" w14:textId="77777777" w:rsidTr="00C86A85">
        <w:tc>
          <w:tcPr>
            <w:tcW w:w="425" w:type="dxa"/>
            <w:vAlign w:val="center"/>
          </w:tcPr>
          <w:p w14:paraId="58C1F155" w14:textId="77777777" w:rsidR="008040B9" w:rsidRPr="00D53A2B" w:rsidRDefault="008040B9" w:rsidP="004B0D48">
            <w:pPr>
              <w:pStyle w:val="KonuBal"/>
            </w:pPr>
            <w:r w:rsidRPr="00D53A2B">
              <w:t>b.</w:t>
            </w:r>
          </w:p>
        </w:tc>
        <w:tc>
          <w:tcPr>
            <w:tcW w:w="1985" w:type="dxa"/>
            <w:vAlign w:val="center"/>
          </w:tcPr>
          <w:p w14:paraId="23543C99" w14:textId="4AC9ED0F" w:rsidR="008040B9" w:rsidRPr="00D53A2B" w:rsidRDefault="008040B9" w:rsidP="004B0D48">
            <w:pPr>
              <w:pStyle w:val="KonuBal"/>
            </w:pPr>
            <w:r w:rsidRPr="00D53A2B">
              <w:t>Sıcak/doğrudan yükleme</w:t>
            </w:r>
          </w:p>
        </w:tc>
        <w:tc>
          <w:tcPr>
            <w:tcW w:w="3544" w:type="dxa"/>
            <w:vAlign w:val="center"/>
          </w:tcPr>
          <w:p w14:paraId="1A59B197" w14:textId="707DE9F2" w:rsidR="008040B9" w:rsidRPr="00D53A2B" w:rsidRDefault="008040B9" w:rsidP="00A202FD">
            <w:pPr>
              <w:ind w:left="32"/>
              <w:jc w:val="both"/>
              <w:rPr>
                <w:rFonts w:eastAsia="Calibri"/>
                <w:sz w:val="22"/>
                <w:szCs w:val="22"/>
              </w:rPr>
            </w:pPr>
            <w:r w:rsidRPr="00D53A2B">
              <w:rPr>
                <w:rFonts w:eastAsia="Calibri"/>
                <w:sz w:val="22"/>
                <w:szCs w:val="22"/>
              </w:rPr>
              <w:t>Sürekli döküm çelik ürünleri doğrudan sıcak olarak yeniden ısıtma fırınlarına yüklenir.</w:t>
            </w:r>
          </w:p>
        </w:tc>
        <w:tc>
          <w:tcPr>
            <w:tcW w:w="2976" w:type="dxa"/>
            <w:vAlign w:val="center"/>
          </w:tcPr>
          <w:p w14:paraId="7DFEAE5E" w14:textId="70E3E3D0" w:rsidR="008040B9" w:rsidRPr="00D53A2B" w:rsidRDefault="008040B9" w:rsidP="004B0D48">
            <w:pPr>
              <w:pStyle w:val="KonuBal"/>
            </w:pPr>
            <w:r w:rsidRPr="00D53A2B">
              <w:t>Sadece sürekli dökümün bitişiğindeki tesislerde ve tesis yerleşim planı ve ürün spesifikasyonlarının sınırlamaları dahilinde geçerlidir.</w:t>
            </w:r>
          </w:p>
        </w:tc>
      </w:tr>
      <w:tr w:rsidR="008040B9" w:rsidRPr="00D53A2B" w14:paraId="120C544C" w14:textId="77777777" w:rsidTr="00C86A85">
        <w:tc>
          <w:tcPr>
            <w:tcW w:w="425" w:type="dxa"/>
            <w:vAlign w:val="center"/>
          </w:tcPr>
          <w:p w14:paraId="3B23F297" w14:textId="77777777" w:rsidR="008040B9" w:rsidRPr="00D53A2B" w:rsidRDefault="008040B9" w:rsidP="004B0D48">
            <w:pPr>
              <w:pStyle w:val="KonuBal"/>
            </w:pPr>
            <w:r w:rsidRPr="00D53A2B">
              <w:t>c.</w:t>
            </w:r>
          </w:p>
        </w:tc>
        <w:tc>
          <w:tcPr>
            <w:tcW w:w="1985" w:type="dxa"/>
            <w:vAlign w:val="center"/>
          </w:tcPr>
          <w:p w14:paraId="6D1E4D8A" w14:textId="12A7A20D" w:rsidR="008040B9" w:rsidRPr="00D53A2B" w:rsidRDefault="008040B9" w:rsidP="00A202FD">
            <w:pPr>
              <w:jc w:val="both"/>
              <w:rPr>
                <w:rFonts w:eastAsia="Calibri"/>
                <w:sz w:val="22"/>
                <w:szCs w:val="22"/>
                <w:lang w:eastAsia="en-US"/>
              </w:rPr>
            </w:pPr>
            <w:r w:rsidRPr="00D53A2B">
              <w:rPr>
                <w:rFonts w:eastAsia="Calibri"/>
                <w:sz w:val="22"/>
                <w:szCs w:val="22"/>
                <w:lang w:eastAsia="en-US"/>
              </w:rPr>
              <w:t xml:space="preserve">Kaydırma kütüklerinin soğutulmasından ısının geri kazanılması </w:t>
            </w:r>
          </w:p>
        </w:tc>
        <w:tc>
          <w:tcPr>
            <w:tcW w:w="3544" w:type="dxa"/>
          </w:tcPr>
          <w:p w14:paraId="3E919A4C" w14:textId="5D14CB94" w:rsidR="008040B9" w:rsidRPr="00D53A2B" w:rsidRDefault="008040B9" w:rsidP="00A202FD">
            <w:pPr>
              <w:jc w:val="both"/>
              <w:rPr>
                <w:sz w:val="22"/>
                <w:szCs w:val="22"/>
                <w:lang w:val="en-US" w:eastAsia="en-US"/>
              </w:rPr>
            </w:pPr>
            <w:r w:rsidRPr="00D53A2B">
              <w:rPr>
                <w:rFonts w:eastAsia="Calibri"/>
                <w:sz w:val="22"/>
                <w:szCs w:val="22"/>
              </w:rPr>
              <w:t>Yeniden ısıtma fırınlarında hammaddeyi destekleyen kızakların soğutulması sırasında oluşan buhar çekilerek tesisin diğer proseslerinde kullanılmaktadır.</w:t>
            </w:r>
          </w:p>
        </w:tc>
        <w:tc>
          <w:tcPr>
            <w:tcW w:w="2976" w:type="dxa"/>
            <w:vAlign w:val="center"/>
          </w:tcPr>
          <w:p w14:paraId="72D9367D" w14:textId="639BB0F5" w:rsidR="008040B9" w:rsidRPr="00D53A2B" w:rsidRDefault="008040B9" w:rsidP="004B0D48">
            <w:pPr>
              <w:pStyle w:val="KonuBal"/>
            </w:pPr>
            <w:r w:rsidRPr="00D53A2B">
              <w:t>Mevcut tesislere uygulanabilirlik, alan yetersizliği ve/veya uygun buhar talebinin olmaması nedeniyle kısıtlanabilir.</w:t>
            </w:r>
          </w:p>
        </w:tc>
      </w:tr>
      <w:tr w:rsidR="008040B9" w:rsidRPr="00D53A2B" w14:paraId="32835CA6" w14:textId="77777777" w:rsidTr="00C86A85">
        <w:tc>
          <w:tcPr>
            <w:tcW w:w="425" w:type="dxa"/>
            <w:vAlign w:val="center"/>
          </w:tcPr>
          <w:p w14:paraId="7E0A96E3" w14:textId="77777777" w:rsidR="008040B9" w:rsidRPr="00D53A2B" w:rsidRDefault="008040B9" w:rsidP="004B0D48">
            <w:pPr>
              <w:pStyle w:val="KonuBal"/>
            </w:pPr>
            <w:r w:rsidRPr="00D53A2B">
              <w:t>d.</w:t>
            </w:r>
          </w:p>
        </w:tc>
        <w:tc>
          <w:tcPr>
            <w:tcW w:w="1985" w:type="dxa"/>
            <w:vAlign w:val="center"/>
          </w:tcPr>
          <w:p w14:paraId="774B73E7" w14:textId="1621C504" w:rsidR="008040B9" w:rsidRPr="00D53A2B" w:rsidRDefault="008040B9" w:rsidP="00A202FD">
            <w:pPr>
              <w:jc w:val="both"/>
              <w:rPr>
                <w:rFonts w:eastAsia="Calibri"/>
                <w:sz w:val="22"/>
                <w:szCs w:val="22"/>
                <w:lang w:eastAsia="en-US"/>
              </w:rPr>
            </w:pPr>
            <w:r w:rsidRPr="00D53A2B">
              <w:rPr>
                <w:rFonts w:eastAsia="Calibri"/>
                <w:sz w:val="22"/>
                <w:szCs w:val="22"/>
                <w:lang w:eastAsia="en-US"/>
              </w:rPr>
              <w:t>Hammaddenin aktarımı sırasında ısının korunması</w:t>
            </w:r>
          </w:p>
        </w:tc>
        <w:tc>
          <w:tcPr>
            <w:tcW w:w="3544" w:type="dxa"/>
          </w:tcPr>
          <w:p w14:paraId="24AA656C" w14:textId="6036BDFC" w:rsidR="008040B9" w:rsidRPr="00D53A2B" w:rsidRDefault="008040B9" w:rsidP="00A202FD">
            <w:pPr>
              <w:pStyle w:val="ListeParagraf"/>
              <w:numPr>
                <w:ilvl w:val="0"/>
                <w:numId w:val="0"/>
              </w:numPr>
              <w:tabs>
                <w:tab w:val="clear" w:pos="567"/>
              </w:tabs>
              <w:spacing w:line="240" w:lineRule="auto"/>
              <w:rPr>
                <w:rFonts w:eastAsia="Calibri"/>
              </w:rPr>
            </w:pPr>
            <w:r w:rsidRPr="00D53A2B">
              <w:rPr>
                <w:rFonts w:eastAsia="Calibri"/>
                <w:color w:val="000000"/>
                <w:spacing w:val="0"/>
                <w:position w:val="0"/>
                <w:lang w:val="tr-TR" w:eastAsia="tr-TR"/>
              </w:rPr>
              <w:t>Sürekli döküm makinesi ile ısıtma fırını arasında ve kaba haddeleme ile bitirme haddesi arasında yalıtımlı kapaklar kullanılmaktadır.</w:t>
            </w:r>
          </w:p>
        </w:tc>
        <w:tc>
          <w:tcPr>
            <w:tcW w:w="2976" w:type="dxa"/>
            <w:vAlign w:val="center"/>
          </w:tcPr>
          <w:p w14:paraId="3801A77E" w14:textId="4D68A862" w:rsidR="008040B9" w:rsidRPr="00D53A2B" w:rsidRDefault="008040B9" w:rsidP="004B0D48">
            <w:pPr>
              <w:pStyle w:val="KonuBal"/>
            </w:pPr>
            <w:r w:rsidRPr="00D53A2B">
              <w:t>Tesis yerleşim planının sınırlamaları dahilinde genel olarak uygulanabilir.</w:t>
            </w:r>
          </w:p>
        </w:tc>
      </w:tr>
      <w:tr w:rsidR="008040B9" w:rsidRPr="00D53A2B" w14:paraId="1EF27DCC" w14:textId="77777777" w:rsidTr="00C86A85">
        <w:tc>
          <w:tcPr>
            <w:tcW w:w="425" w:type="dxa"/>
            <w:vAlign w:val="center"/>
          </w:tcPr>
          <w:p w14:paraId="748617E8" w14:textId="77777777" w:rsidR="008040B9" w:rsidRPr="00D53A2B" w:rsidRDefault="008040B9" w:rsidP="004B0D48">
            <w:pPr>
              <w:pStyle w:val="KonuBal"/>
            </w:pPr>
            <w:r w:rsidRPr="00D53A2B">
              <w:t xml:space="preserve">e. </w:t>
            </w:r>
          </w:p>
        </w:tc>
        <w:tc>
          <w:tcPr>
            <w:tcW w:w="1985" w:type="dxa"/>
            <w:vAlign w:val="center"/>
          </w:tcPr>
          <w:p w14:paraId="575003AF" w14:textId="78EB02E1" w:rsidR="008040B9" w:rsidRPr="00D53A2B" w:rsidRDefault="008040B9" w:rsidP="00A202FD">
            <w:pPr>
              <w:jc w:val="both"/>
              <w:rPr>
                <w:rFonts w:eastAsia="Calibri"/>
                <w:sz w:val="22"/>
                <w:szCs w:val="22"/>
                <w:lang w:eastAsia="en-US"/>
              </w:rPr>
            </w:pPr>
            <w:r w:rsidRPr="00D53A2B">
              <w:rPr>
                <w:rFonts w:eastAsia="Calibri"/>
                <w:sz w:val="22"/>
                <w:szCs w:val="22"/>
                <w:lang w:eastAsia="en-US"/>
              </w:rPr>
              <w:t>Bobin kutuları</w:t>
            </w:r>
          </w:p>
        </w:tc>
        <w:tc>
          <w:tcPr>
            <w:tcW w:w="3544" w:type="dxa"/>
          </w:tcPr>
          <w:p w14:paraId="33AA39B3" w14:textId="539D7FA2" w:rsidR="008040B9" w:rsidRPr="00D53A2B" w:rsidRDefault="008040B9" w:rsidP="004B0D48">
            <w:pPr>
              <w:pStyle w:val="KonuBal"/>
            </w:pPr>
            <w:r w:rsidRPr="00D53A2B">
              <w:t xml:space="preserve">Bölüm </w:t>
            </w:r>
            <w:r w:rsidR="00B97162" w:rsidRPr="00D53A2B">
              <w:t>1</w:t>
            </w:r>
            <w:r w:rsidRPr="00D53A2B">
              <w:t>.11.1</w:t>
            </w:r>
            <w:r w:rsidR="00E56504" w:rsidRPr="00D53A2B">
              <w:t>’</w:t>
            </w:r>
            <w:r w:rsidRPr="00D53A2B">
              <w:t>e bakınız.</w:t>
            </w:r>
          </w:p>
        </w:tc>
        <w:tc>
          <w:tcPr>
            <w:tcW w:w="2976" w:type="dxa"/>
            <w:vAlign w:val="center"/>
          </w:tcPr>
          <w:p w14:paraId="24745BCD" w14:textId="77777777" w:rsidR="008040B9" w:rsidRPr="00D53A2B" w:rsidRDefault="008040B9" w:rsidP="004B0D48">
            <w:pPr>
              <w:pStyle w:val="KonuBal"/>
            </w:pPr>
            <w:r w:rsidRPr="00D53A2B">
              <w:t>Genel olarak uygulanabilir.</w:t>
            </w:r>
          </w:p>
        </w:tc>
      </w:tr>
      <w:tr w:rsidR="008040B9" w:rsidRPr="00D53A2B" w14:paraId="197FEA29" w14:textId="77777777" w:rsidTr="00C86A85">
        <w:tc>
          <w:tcPr>
            <w:tcW w:w="425" w:type="dxa"/>
            <w:vAlign w:val="center"/>
          </w:tcPr>
          <w:p w14:paraId="57D0C909" w14:textId="77777777" w:rsidR="008040B9" w:rsidRPr="00D53A2B" w:rsidRDefault="008040B9" w:rsidP="004B0D48">
            <w:pPr>
              <w:pStyle w:val="KonuBal"/>
            </w:pPr>
            <w:r w:rsidRPr="00D53A2B">
              <w:t>f.</w:t>
            </w:r>
          </w:p>
        </w:tc>
        <w:tc>
          <w:tcPr>
            <w:tcW w:w="1985" w:type="dxa"/>
            <w:vAlign w:val="center"/>
          </w:tcPr>
          <w:p w14:paraId="7FBD3482" w14:textId="46647259" w:rsidR="008040B9" w:rsidRPr="00D53A2B" w:rsidRDefault="008040B9" w:rsidP="00A202FD">
            <w:pPr>
              <w:jc w:val="both"/>
              <w:rPr>
                <w:rFonts w:eastAsia="Calibri"/>
                <w:sz w:val="22"/>
                <w:szCs w:val="22"/>
                <w:lang w:eastAsia="en-US"/>
              </w:rPr>
            </w:pPr>
            <w:r w:rsidRPr="00D53A2B">
              <w:rPr>
                <w:rFonts w:eastAsia="Calibri"/>
                <w:sz w:val="22"/>
                <w:szCs w:val="22"/>
                <w:lang w:eastAsia="en-US"/>
              </w:rPr>
              <w:t>Bobin geri kazanım fırınları</w:t>
            </w:r>
          </w:p>
        </w:tc>
        <w:tc>
          <w:tcPr>
            <w:tcW w:w="3544" w:type="dxa"/>
          </w:tcPr>
          <w:p w14:paraId="1894620E" w14:textId="61F2D983" w:rsidR="008040B9" w:rsidRPr="00D53A2B" w:rsidRDefault="008040B9" w:rsidP="004B0D48">
            <w:pPr>
              <w:pStyle w:val="KonuBal"/>
            </w:pPr>
            <w:r w:rsidRPr="00D53A2B">
              <w:t>Bobin geri kazanım fırınları, haddeleme tesislerinde meydana gelen kesintiler durumunda bobinlerin haddeleme sıcaklığını eski haline getirmek ve normal haddeleme sırasına geri döndürmek için bobin kutularına ek olarak kullanılır.</w:t>
            </w:r>
          </w:p>
        </w:tc>
        <w:tc>
          <w:tcPr>
            <w:tcW w:w="2976" w:type="dxa"/>
            <w:vAlign w:val="center"/>
          </w:tcPr>
          <w:p w14:paraId="0F826C42" w14:textId="77777777" w:rsidR="008040B9" w:rsidRPr="00D53A2B" w:rsidRDefault="008040B9" w:rsidP="004B0D48">
            <w:pPr>
              <w:pStyle w:val="KonuBal"/>
            </w:pPr>
            <w:r w:rsidRPr="00D53A2B">
              <w:t>Genel olarak uygulanabilir.</w:t>
            </w:r>
          </w:p>
        </w:tc>
      </w:tr>
      <w:tr w:rsidR="008040B9" w:rsidRPr="00D53A2B" w14:paraId="35DD180C" w14:textId="77777777" w:rsidTr="00C86A85">
        <w:tc>
          <w:tcPr>
            <w:tcW w:w="425" w:type="dxa"/>
            <w:vAlign w:val="center"/>
          </w:tcPr>
          <w:p w14:paraId="5B46D3A0" w14:textId="77777777" w:rsidR="008040B9" w:rsidRPr="00D53A2B" w:rsidRDefault="008040B9" w:rsidP="004B0D48">
            <w:pPr>
              <w:pStyle w:val="KonuBal"/>
            </w:pPr>
            <w:r w:rsidRPr="00D53A2B">
              <w:t>g.</w:t>
            </w:r>
          </w:p>
        </w:tc>
        <w:tc>
          <w:tcPr>
            <w:tcW w:w="1985" w:type="dxa"/>
            <w:vAlign w:val="center"/>
          </w:tcPr>
          <w:p w14:paraId="47318BD3" w14:textId="3244CDF4" w:rsidR="008040B9" w:rsidRPr="00D53A2B" w:rsidRDefault="008040B9" w:rsidP="00A202FD">
            <w:pPr>
              <w:jc w:val="both"/>
              <w:rPr>
                <w:rFonts w:eastAsia="Calibri"/>
                <w:sz w:val="22"/>
                <w:szCs w:val="22"/>
                <w:lang w:eastAsia="en-US"/>
              </w:rPr>
            </w:pPr>
            <w:r w:rsidRPr="00D53A2B">
              <w:rPr>
                <w:rFonts w:eastAsia="Calibri"/>
                <w:sz w:val="22"/>
                <w:szCs w:val="22"/>
                <w:lang w:eastAsia="en-US"/>
              </w:rPr>
              <w:t>Boyutlandırma presi</w:t>
            </w:r>
          </w:p>
        </w:tc>
        <w:tc>
          <w:tcPr>
            <w:tcW w:w="3544" w:type="dxa"/>
          </w:tcPr>
          <w:p w14:paraId="53D5BBF3" w14:textId="33E9EA0F" w:rsidR="008040B9" w:rsidRPr="00D53A2B" w:rsidRDefault="008040B9" w:rsidP="004B0D48">
            <w:pPr>
              <w:pStyle w:val="KonuBal"/>
            </w:pPr>
            <w:r w:rsidRPr="00D53A2B">
              <w:t xml:space="preserve">Bkz. </w:t>
            </w:r>
            <w:r w:rsidR="00D14102" w:rsidRPr="00D53A2B">
              <w:t>MET</w:t>
            </w:r>
            <w:r w:rsidRPr="00D53A2B">
              <w:t xml:space="preserve"> 39 (a).</w:t>
            </w:r>
          </w:p>
          <w:p w14:paraId="52CDEA4E" w14:textId="4F8375CE" w:rsidR="008040B9" w:rsidRPr="00D53A2B" w:rsidRDefault="008040B9" w:rsidP="004B0D48">
            <w:pPr>
              <w:pStyle w:val="KonuBal"/>
            </w:pPr>
            <w:r w:rsidRPr="00D53A2B">
              <w:t>Bir boyutlandırma presi, sıcak yükleme oranının artırılmasını sağladığı için hammadde ısıtmada enerji verimliliğini artırmak için kullanılır.</w:t>
            </w:r>
          </w:p>
        </w:tc>
        <w:tc>
          <w:tcPr>
            <w:tcW w:w="2976" w:type="dxa"/>
            <w:vAlign w:val="center"/>
          </w:tcPr>
          <w:p w14:paraId="40A28535" w14:textId="19EA9D2E" w:rsidR="008040B9" w:rsidRPr="00D53A2B" w:rsidRDefault="008040B9" w:rsidP="00E73DA3">
            <w:pPr>
              <w:pStyle w:val="KonuBal"/>
            </w:pPr>
            <w:r w:rsidRPr="00D53A2B">
              <w:t>Sadece yeni tesisler ve sıcak şerit haddehanelerindeki büyük tesis yükseltmeleri için geçerlidir.</w:t>
            </w:r>
          </w:p>
        </w:tc>
      </w:tr>
    </w:tbl>
    <w:p w14:paraId="24F77646" w14:textId="77777777" w:rsidR="0071694E" w:rsidRPr="00D53A2B" w:rsidRDefault="0071694E" w:rsidP="00A202FD">
      <w:pPr>
        <w:jc w:val="both"/>
        <w:rPr>
          <w:rFonts w:eastAsia="Calibri"/>
          <w:lang w:eastAsia="en-US"/>
        </w:rPr>
      </w:pPr>
    </w:p>
    <w:p w14:paraId="270E817B" w14:textId="069CDB86" w:rsidR="0071694E" w:rsidRPr="00D53A2B" w:rsidRDefault="00132631" w:rsidP="00A202FD">
      <w:pPr>
        <w:pStyle w:val="MET"/>
        <w:rPr>
          <w:rFonts w:eastAsia="Calibri"/>
          <w:szCs w:val="24"/>
        </w:rPr>
      </w:pPr>
      <w:r w:rsidRPr="00D53A2B">
        <w:rPr>
          <w:rFonts w:eastAsia="Calibri"/>
          <w:szCs w:val="24"/>
        </w:rPr>
        <w:t xml:space="preserve">MET 39: </w:t>
      </w:r>
      <w:r w:rsidRPr="00D53A2B">
        <w:rPr>
          <w:rFonts w:eastAsia="Calibri"/>
          <w:b w:val="0"/>
          <w:bCs/>
          <w:szCs w:val="24"/>
        </w:rPr>
        <w:t>Haddelemede enerji verimliliğini artırmak için aşağıda verilen teknikler bir arada kullanılır.</w:t>
      </w:r>
    </w:p>
    <w:p w14:paraId="728A0A2C" w14:textId="77777777"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1843"/>
        <w:gridCol w:w="3686"/>
        <w:gridCol w:w="2976"/>
      </w:tblGrid>
      <w:tr w:rsidR="00C85DC0" w:rsidRPr="0050094F" w14:paraId="6E7A8723" w14:textId="77777777" w:rsidTr="00C86A85">
        <w:tc>
          <w:tcPr>
            <w:tcW w:w="2268" w:type="dxa"/>
            <w:gridSpan w:val="2"/>
          </w:tcPr>
          <w:p w14:paraId="0D9D08D0" w14:textId="77777777" w:rsidR="00132631" w:rsidRPr="009077F5" w:rsidRDefault="00132631" w:rsidP="004B0D48">
            <w:pPr>
              <w:pStyle w:val="KonuBal"/>
              <w:rPr>
                <w:sz w:val="24"/>
                <w:szCs w:val="24"/>
              </w:rPr>
            </w:pPr>
            <w:r w:rsidRPr="009077F5">
              <w:rPr>
                <w:sz w:val="24"/>
                <w:szCs w:val="24"/>
              </w:rPr>
              <w:t>Teknik</w:t>
            </w:r>
          </w:p>
        </w:tc>
        <w:tc>
          <w:tcPr>
            <w:tcW w:w="3686" w:type="dxa"/>
          </w:tcPr>
          <w:p w14:paraId="5C67D3C6" w14:textId="77777777" w:rsidR="00132631" w:rsidRPr="009077F5" w:rsidRDefault="00132631" w:rsidP="004B0D48">
            <w:pPr>
              <w:pStyle w:val="KonuBal"/>
              <w:rPr>
                <w:sz w:val="24"/>
                <w:szCs w:val="24"/>
              </w:rPr>
            </w:pPr>
            <w:r w:rsidRPr="009077F5">
              <w:rPr>
                <w:sz w:val="24"/>
                <w:szCs w:val="24"/>
              </w:rPr>
              <w:t>Açıklama</w:t>
            </w:r>
          </w:p>
        </w:tc>
        <w:tc>
          <w:tcPr>
            <w:tcW w:w="2976" w:type="dxa"/>
          </w:tcPr>
          <w:p w14:paraId="16344652" w14:textId="77777777" w:rsidR="00132631" w:rsidRPr="009077F5" w:rsidRDefault="00132631" w:rsidP="0050094F">
            <w:pPr>
              <w:pStyle w:val="KonuBal"/>
              <w:rPr>
                <w:sz w:val="24"/>
                <w:szCs w:val="24"/>
              </w:rPr>
            </w:pPr>
            <w:r w:rsidRPr="009077F5">
              <w:rPr>
                <w:sz w:val="24"/>
                <w:szCs w:val="24"/>
              </w:rPr>
              <w:t>Uygulanabilirlik</w:t>
            </w:r>
          </w:p>
        </w:tc>
      </w:tr>
      <w:tr w:rsidR="00132631" w:rsidRPr="0050094F" w14:paraId="61277673" w14:textId="77777777" w:rsidTr="00C86A85">
        <w:tc>
          <w:tcPr>
            <w:tcW w:w="425" w:type="dxa"/>
            <w:vAlign w:val="center"/>
          </w:tcPr>
          <w:p w14:paraId="6D9F3143" w14:textId="77777777" w:rsidR="00132631" w:rsidRPr="009077F5" w:rsidRDefault="00132631" w:rsidP="004B0D48">
            <w:pPr>
              <w:pStyle w:val="KonuBal"/>
              <w:rPr>
                <w:sz w:val="24"/>
                <w:szCs w:val="24"/>
              </w:rPr>
            </w:pPr>
            <w:r w:rsidRPr="009077F5">
              <w:rPr>
                <w:sz w:val="24"/>
                <w:szCs w:val="24"/>
              </w:rPr>
              <w:t>a.</w:t>
            </w:r>
          </w:p>
        </w:tc>
        <w:tc>
          <w:tcPr>
            <w:tcW w:w="1843" w:type="dxa"/>
            <w:vAlign w:val="center"/>
          </w:tcPr>
          <w:p w14:paraId="0F31D8BF" w14:textId="17F90E1D" w:rsidR="00132631" w:rsidRPr="009077F5" w:rsidRDefault="00132631" w:rsidP="004B0D48">
            <w:pPr>
              <w:pStyle w:val="KonuBal"/>
              <w:rPr>
                <w:sz w:val="24"/>
                <w:szCs w:val="24"/>
              </w:rPr>
            </w:pPr>
            <w:r w:rsidRPr="009077F5">
              <w:rPr>
                <w:sz w:val="24"/>
                <w:szCs w:val="24"/>
              </w:rPr>
              <w:t>Boyutlandırma presi</w:t>
            </w:r>
          </w:p>
        </w:tc>
        <w:tc>
          <w:tcPr>
            <w:tcW w:w="3686" w:type="dxa"/>
            <w:vAlign w:val="center"/>
          </w:tcPr>
          <w:p w14:paraId="0654BF2D" w14:textId="7B16F25B" w:rsidR="00132631" w:rsidRPr="009077F5" w:rsidRDefault="00DB7D8F" w:rsidP="00A202FD">
            <w:pPr>
              <w:pStyle w:val="ListeParagraf"/>
              <w:numPr>
                <w:ilvl w:val="0"/>
                <w:numId w:val="0"/>
              </w:numPr>
              <w:tabs>
                <w:tab w:val="clear" w:pos="567"/>
              </w:tabs>
              <w:spacing w:line="240" w:lineRule="auto"/>
              <w:ind w:left="37"/>
              <w:rPr>
                <w:rFonts w:eastAsia="Calibri"/>
                <w:sz w:val="24"/>
                <w:szCs w:val="24"/>
              </w:rPr>
            </w:pPr>
            <w:r w:rsidRPr="009077F5">
              <w:rPr>
                <w:sz w:val="24"/>
                <w:szCs w:val="24"/>
              </w:rPr>
              <w:t xml:space="preserve">Kaba işleme değirmeninden önce bir boyutlandırma presinin kullanılması, sıcak yükleme </w:t>
            </w:r>
            <w:r w:rsidRPr="009077F5">
              <w:rPr>
                <w:sz w:val="24"/>
                <w:szCs w:val="24"/>
              </w:rPr>
              <w:lastRenderedPageBreak/>
              <w:t>oranının önemli ölçüde artırılmasını sağlar ve ürünün hem kenarlarında hem de merkezinde daha düzgün bir genişlik azalmasıyla sonuçlanır. Son levhanın şekli neredeyse dikdörtgendir ve ürün özelliklerine ulaşmak için gereken haddeleme geçişlerinin sayısını önemli ölçüde azaltır.</w:t>
            </w:r>
          </w:p>
        </w:tc>
        <w:tc>
          <w:tcPr>
            <w:tcW w:w="2976" w:type="dxa"/>
            <w:vAlign w:val="center"/>
          </w:tcPr>
          <w:p w14:paraId="7F4E9917" w14:textId="77777777" w:rsidR="00DB7D8F" w:rsidRPr="009077F5" w:rsidRDefault="00DB7D8F" w:rsidP="004B0D48">
            <w:pPr>
              <w:pStyle w:val="KonuBal"/>
              <w:rPr>
                <w:sz w:val="24"/>
                <w:szCs w:val="24"/>
              </w:rPr>
            </w:pPr>
            <w:r w:rsidRPr="009077F5">
              <w:rPr>
                <w:sz w:val="24"/>
                <w:szCs w:val="24"/>
              </w:rPr>
              <w:lastRenderedPageBreak/>
              <w:t>Sadece sıcak şerit fabrikaları için geçerlidir.</w:t>
            </w:r>
          </w:p>
          <w:p w14:paraId="7C36E621" w14:textId="05540278" w:rsidR="00132631" w:rsidRPr="009077F5" w:rsidRDefault="00DB7D8F" w:rsidP="004B0D48">
            <w:pPr>
              <w:pStyle w:val="KonuBal"/>
              <w:rPr>
                <w:sz w:val="24"/>
                <w:szCs w:val="24"/>
              </w:rPr>
            </w:pPr>
            <w:r w:rsidRPr="009077F5">
              <w:rPr>
                <w:sz w:val="24"/>
                <w:szCs w:val="24"/>
              </w:rPr>
              <w:lastRenderedPageBreak/>
              <w:t>Sadece yeni tesisler ve büyük tesis yükseltmeleri için geçerlidir.</w:t>
            </w:r>
          </w:p>
        </w:tc>
      </w:tr>
      <w:tr w:rsidR="00132631" w:rsidRPr="0050094F" w14:paraId="26127BE7" w14:textId="77777777" w:rsidTr="00C86A85">
        <w:tc>
          <w:tcPr>
            <w:tcW w:w="425" w:type="dxa"/>
            <w:vAlign w:val="center"/>
          </w:tcPr>
          <w:p w14:paraId="41F7FA5C" w14:textId="77777777" w:rsidR="00132631" w:rsidRPr="009077F5" w:rsidRDefault="00132631" w:rsidP="004B0D48">
            <w:pPr>
              <w:pStyle w:val="KonuBal"/>
              <w:rPr>
                <w:sz w:val="24"/>
                <w:szCs w:val="24"/>
              </w:rPr>
            </w:pPr>
            <w:r w:rsidRPr="009077F5">
              <w:rPr>
                <w:sz w:val="24"/>
                <w:szCs w:val="24"/>
              </w:rPr>
              <w:lastRenderedPageBreak/>
              <w:t>b.</w:t>
            </w:r>
          </w:p>
        </w:tc>
        <w:tc>
          <w:tcPr>
            <w:tcW w:w="1843" w:type="dxa"/>
            <w:vAlign w:val="center"/>
          </w:tcPr>
          <w:p w14:paraId="614C7A6E" w14:textId="1C24139B" w:rsidR="00132631" w:rsidRPr="009077F5" w:rsidRDefault="00DB7D8F" w:rsidP="004B0D48">
            <w:pPr>
              <w:pStyle w:val="KonuBal"/>
              <w:rPr>
                <w:sz w:val="24"/>
                <w:szCs w:val="24"/>
              </w:rPr>
            </w:pPr>
            <w:r w:rsidRPr="009077F5">
              <w:rPr>
                <w:sz w:val="24"/>
                <w:szCs w:val="24"/>
              </w:rPr>
              <w:t>Bilgisayar destekli haddeleme optimizasyonu</w:t>
            </w:r>
          </w:p>
        </w:tc>
        <w:tc>
          <w:tcPr>
            <w:tcW w:w="3686" w:type="dxa"/>
            <w:vAlign w:val="center"/>
          </w:tcPr>
          <w:p w14:paraId="4E01B416" w14:textId="1DFCC8C8" w:rsidR="00132631" w:rsidRPr="009077F5" w:rsidRDefault="00DB7D8F" w:rsidP="00A202FD">
            <w:pPr>
              <w:ind w:left="32"/>
              <w:jc w:val="both"/>
              <w:rPr>
                <w:rFonts w:eastAsia="Calibri"/>
              </w:rPr>
            </w:pPr>
            <w:r w:rsidRPr="009077F5">
              <w:rPr>
                <w:rFonts w:eastAsia="Calibri"/>
              </w:rPr>
              <w:t>Kalınlık azaltımı, haddeleme geçişlerinin sayısını en aza indirmek için bir bilgisayar kullanılarak kontrol edilir.</w:t>
            </w:r>
          </w:p>
        </w:tc>
        <w:tc>
          <w:tcPr>
            <w:tcW w:w="2976" w:type="dxa"/>
            <w:vAlign w:val="center"/>
          </w:tcPr>
          <w:p w14:paraId="32669FF0" w14:textId="33D00499" w:rsidR="00132631" w:rsidRPr="009077F5" w:rsidRDefault="00DB7D8F" w:rsidP="004B0D48">
            <w:pPr>
              <w:pStyle w:val="KonuBal"/>
              <w:rPr>
                <w:sz w:val="24"/>
                <w:szCs w:val="24"/>
              </w:rPr>
            </w:pPr>
            <w:r w:rsidRPr="009077F5">
              <w:rPr>
                <w:sz w:val="24"/>
                <w:szCs w:val="24"/>
              </w:rPr>
              <w:t>Genel olarak uygulanabilir.</w:t>
            </w:r>
          </w:p>
        </w:tc>
      </w:tr>
      <w:tr w:rsidR="00132631" w:rsidRPr="0050094F" w14:paraId="1465FB9D" w14:textId="77777777" w:rsidTr="00C86A85">
        <w:tc>
          <w:tcPr>
            <w:tcW w:w="425" w:type="dxa"/>
            <w:vAlign w:val="center"/>
          </w:tcPr>
          <w:p w14:paraId="2E280BDC" w14:textId="77777777" w:rsidR="00132631" w:rsidRPr="009077F5" w:rsidRDefault="00132631" w:rsidP="004B0D48">
            <w:pPr>
              <w:pStyle w:val="KonuBal"/>
              <w:rPr>
                <w:sz w:val="24"/>
                <w:szCs w:val="24"/>
              </w:rPr>
            </w:pPr>
            <w:r w:rsidRPr="009077F5">
              <w:rPr>
                <w:sz w:val="24"/>
                <w:szCs w:val="24"/>
              </w:rPr>
              <w:t>c.</w:t>
            </w:r>
          </w:p>
        </w:tc>
        <w:tc>
          <w:tcPr>
            <w:tcW w:w="1843" w:type="dxa"/>
            <w:vAlign w:val="center"/>
          </w:tcPr>
          <w:p w14:paraId="515BC093" w14:textId="3EEB3549" w:rsidR="00132631" w:rsidRPr="009077F5" w:rsidRDefault="00DB7D8F" w:rsidP="00A202FD">
            <w:pPr>
              <w:jc w:val="both"/>
              <w:rPr>
                <w:rFonts w:eastAsia="Calibri"/>
                <w:lang w:eastAsia="en-US"/>
              </w:rPr>
            </w:pPr>
            <w:r w:rsidRPr="009077F5">
              <w:rPr>
                <w:rFonts w:eastAsia="Calibri"/>
                <w:lang w:eastAsia="en-US"/>
              </w:rPr>
              <w:t>Dönme sürtünmesinin azaltılması</w:t>
            </w:r>
          </w:p>
        </w:tc>
        <w:tc>
          <w:tcPr>
            <w:tcW w:w="3686" w:type="dxa"/>
          </w:tcPr>
          <w:p w14:paraId="47F7B672" w14:textId="5C365E83" w:rsidR="00132631" w:rsidRPr="009077F5" w:rsidRDefault="00DB7D8F" w:rsidP="00A202FD">
            <w:pPr>
              <w:jc w:val="both"/>
              <w:rPr>
                <w:lang w:val="en-US" w:eastAsia="en-US"/>
              </w:rPr>
            </w:pPr>
            <w:r w:rsidRPr="009077F5">
              <w:rPr>
                <w:rFonts w:eastAsia="Calibri"/>
              </w:rPr>
              <w:t xml:space="preserve">Bölüm </w:t>
            </w:r>
            <w:r w:rsidR="00B97162" w:rsidRPr="009077F5">
              <w:rPr>
                <w:rFonts w:eastAsia="Calibri"/>
              </w:rPr>
              <w:t>1</w:t>
            </w:r>
            <w:r w:rsidRPr="009077F5">
              <w:rPr>
                <w:rFonts w:eastAsia="Calibri"/>
              </w:rPr>
              <w:t>.11.1</w:t>
            </w:r>
            <w:r w:rsidR="00E56504" w:rsidRPr="009077F5">
              <w:rPr>
                <w:rFonts w:eastAsia="Calibri"/>
              </w:rPr>
              <w:t>’</w:t>
            </w:r>
            <w:r w:rsidRPr="009077F5">
              <w:rPr>
                <w:rFonts w:eastAsia="Calibri"/>
              </w:rPr>
              <w:t>e bakınız.</w:t>
            </w:r>
          </w:p>
        </w:tc>
        <w:tc>
          <w:tcPr>
            <w:tcW w:w="2976" w:type="dxa"/>
            <w:vAlign w:val="center"/>
          </w:tcPr>
          <w:p w14:paraId="051F149A" w14:textId="2F913361" w:rsidR="00132631" w:rsidRPr="009077F5" w:rsidRDefault="00DB7D8F" w:rsidP="004B0D48">
            <w:pPr>
              <w:pStyle w:val="KonuBal"/>
              <w:rPr>
                <w:sz w:val="24"/>
                <w:szCs w:val="24"/>
              </w:rPr>
            </w:pPr>
            <w:r w:rsidRPr="009077F5">
              <w:rPr>
                <w:sz w:val="24"/>
                <w:szCs w:val="24"/>
              </w:rPr>
              <w:t>Sadece sıcak şerit haddehanelerinde uygulanabilir.</w:t>
            </w:r>
          </w:p>
        </w:tc>
      </w:tr>
      <w:tr w:rsidR="00DB7D8F" w:rsidRPr="0050094F" w14:paraId="3359929A" w14:textId="77777777" w:rsidTr="00C86A85">
        <w:tc>
          <w:tcPr>
            <w:tcW w:w="425" w:type="dxa"/>
            <w:vAlign w:val="center"/>
          </w:tcPr>
          <w:p w14:paraId="27727B32" w14:textId="77777777" w:rsidR="00DB7D8F" w:rsidRPr="009077F5" w:rsidRDefault="00DB7D8F" w:rsidP="004B0D48">
            <w:pPr>
              <w:pStyle w:val="KonuBal"/>
              <w:rPr>
                <w:sz w:val="24"/>
                <w:szCs w:val="24"/>
              </w:rPr>
            </w:pPr>
            <w:r w:rsidRPr="009077F5">
              <w:rPr>
                <w:sz w:val="24"/>
                <w:szCs w:val="24"/>
              </w:rPr>
              <w:t>d.</w:t>
            </w:r>
          </w:p>
        </w:tc>
        <w:tc>
          <w:tcPr>
            <w:tcW w:w="1843" w:type="dxa"/>
            <w:vAlign w:val="center"/>
          </w:tcPr>
          <w:p w14:paraId="6DECF9BD" w14:textId="3D4FBA07" w:rsidR="00DB7D8F" w:rsidRPr="009077F5" w:rsidRDefault="00DB7D8F" w:rsidP="00A202FD">
            <w:pPr>
              <w:jc w:val="both"/>
              <w:rPr>
                <w:rFonts w:eastAsia="Calibri"/>
                <w:lang w:eastAsia="en-US"/>
              </w:rPr>
            </w:pPr>
            <w:r w:rsidRPr="009077F5">
              <w:rPr>
                <w:rFonts w:eastAsia="Calibri"/>
                <w:lang w:eastAsia="en-US"/>
              </w:rPr>
              <w:t>Bobin kutuları</w:t>
            </w:r>
          </w:p>
        </w:tc>
        <w:tc>
          <w:tcPr>
            <w:tcW w:w="3686" w:type="dxa"/>
          </w:tcPr>
          <w:p w14:paraId="3735B9ED" w14:textId="2CD4C0AD" w:rsidR="00DB7D8F" w:rsidRPr="009077F5" w:rsidRDefault="00DB7D8F" w:rsidP="00A202FD">
            <w:pPr>
              <w:pStyle w:val="ListeParagraf"/>
              <w:numPr>
                <w:ilvl w:val="0"/>
                <w:numId w:val="0"/>
              </w:numPr>
              <w:tabs>
                <w:tab w:val="clear" w:pos="567"/>
              </w:tabs>
              <w:spacing w:line="240" w:lineRule="auto"/>
              <w:rPr>
                <w:rFonts w:eastAsia="Calibri"/>
                <w:sz w:val="24"/>
                <w:szCs w:val="24"/>
              </w:rPr>
            </w:pPr>
            <w:r w:rsidRPr="009077F5">
              <w:rPr>
                <w:rFonts w:eastAsia="Calibri"/>
                <w:sz w:val="24"/>
                <w:szCs w:val="24"/>
              </w:rPr>
              <w:t xml:space="preserve">Bölüm </w:t>
            </w:r>
            <w:r w:rsidR="00B97162" w:rsidRPr="009077F5">
              <w:rPr>
                <w:rFonts w:eastAsia="Calibri"/>
                <w:sz w:val="24"/>
                <w:szCs w:val="24"/>
              </w:rPr>
              <w:t>1</w:t>
            </w:r>
            <w:r w:rsidRPr="009077F5">
              <w:rPr>
                <w:rFonts w:eastAsia="Calibri"/>
                <w:sz w:val="24"/>
                <w:szCs w:val="24"/>
              </w:rPr>
              <w:t>.11.1</w:t>
            </w:r>
            <w:r w:rsidR="00E56504" w:rsidRPr="009077F5">
              <w:rPr>
                <w:rFonts w:eastAsia="Calibri"/>
                <w:sz w:val="24"/>
                <w:szCs w:val="24"/>
              </w:rPr>
              <w:t>’</w:t>
            </w:r>
            <w:r w:rsidRPr="009077F5">
              <w:rPr>
                <w:rFonts w:eastAsia="Calibri"/>
                <w:sz w:val="24"/>
                <w:szCs w:val="24"/>
              </w:rPr>
              <w:t>e bakınız.</w:t>
            </w:r>
          </w:p>
        </w:tc>
        <w:tc>
          <w:tcPr>
            <w:tcW w:w="2976" w:type="dxa"/>
            <w:vAlign w:val="center"/>
          </w:tcPr>
          <w:p w14:paraId="232A9317" w14:textId="67F60F20" w:rsidR="00DB7D8F" w:rsidRPr="009077F5" w:rsidRDefault="00DB7D8F" w:rsidP="004B0D48">
            <w:pPr>
              <w:pStyle w:val="KonuBal"/>
              <w:rPr>
                <w:sz w:val="24"/>
                <w:szCs w:val="24"/>
              </w:rPr>
            </w:pPr>
            <w:r w:rsidRPr="009077F5">
              <w:rPr>
                <w:sz w:val="24"/>
                <w:szCs w:val="24"/>
              </w:rPr>
              <w:t>Genel olarak uygulanabilir.</w:t>
            </w:r>
          </w:p>
        </w:tc>
      </w:tr>
      <w:tr w:rsidR="00DB7D8F" w:rsidRPr="0050094F" w14:paraId="3F37E1FE" w14:textId="77777777" w:rsidTr="00C86A85">
        <w:tc>
          <w:tcPr>
            <w:tcW w:w="425" w:type="dxa"/>
            <w:vAlign w:val="center"/>
          </w:tcPr>
          <w:p w14:paraId="0E59EF19" w14:textId="77777777" w:rsidR="00DB7D8F" w:rsidRPr="009077F5" w:rsidRDefault="00DB7D8F" w:rsidP="004B0D48">
            <w:pPr>
              <w:pStyle w:val="KonuBal"/>
              <w:rPr>
                <w:sz w:val="24"/>
                <w:szCs w:val="24"/>
              </w:rPr>
            </w:pPr>
            <w:r w:rsidRPr="009077F5">
              <w:rPr>
                <w:sz w:val="24"/>
                <w:szCs w:val="24"/>
              </w:rPr>
              <w:t xml:space="preserve">e. </w:t>
            </w:r>
          </w:p>
        </w:tc>
        <w:tc>
          <w:tcPr>
            <w:tcW w:w="1843" w:type="dxa"/>
            <w:vAlign w:val="center"/>
          </w:tcPr>
          <w:p w14:paraId="2B363AB2" w14:textId="6B36E568" w:rsidR="00DB7D8F" w:rsidRPr="009077F5" w:rsidRDefault="00DB7D8F" w:rsidP="00A202FD">
            <w:pPr>
              <w:jc w:val="both"/>
              <w:rPr>
                <w:rFonts w:eastAsia="Calibri"/>
                <w:lang w:eastAsia="en-US"/>
              </w:rPr>
            </w:pPr>
            <w:r w:rsidRPr="009077F5">
              <w:rPr>
                <w:rFonts w:eastAsia="Calibri"/>
                <w:lang w:eastAsia="en-US"/>
              </w:rPr>
              <w:t>Üç silindirli stand</w:t>
            </w:r>
          </w:p>
        </w:tc>
        <w:tc>
          <w:tcPr>
            <w:tcW w:w="3686" w:type="dxa"/>
          </w:tcPr>
          <w:p w14:paraId="5A76835F" w14:textId="44ED8BC2" w:rsidR="00DB7D8F" w:rsidRPr="009077F5" w:rsidRDefault="00DB7D8F" w:rsidP="004B0D48">
            <w:pPr>
              <w:pStyle w:val="KonuBal"/>
              <w:rPr>
                <w:sz w:val="24"/>
                <w:szCs w:val="24"/>
              </w:rPr>
            </w:pPr>
            <w:r w:rsidRPr="009077F5">
              <w:rPr>
                <w:sz w:val="24"/>
                <w:szCs w:val="24"/>
              </w:rPr>
              <w:t>Üç silindirli bir tezgah, geçiş başına kesit azalmasını arttırır, bu da filmaşin ve çubuk üretimi için gerekli haddeleme geçişlerinin sayısında genel bir azalmaya neden olur.</w:t>
            </w:r>
          </w:p>
        </w:tc>
        <w:tc>
          <w:tcPr>
            <w:tcW w:w="2976" w:type="dxa"/>
            <w:vAlign w:val="center"/>
          </w:tcPr>
          <w:p w14:paraId="0F9AC302" w14:textId="77777777" w:rsidR="00DB7D8F" w:rsidRPr="009077F5" w:rsidRDefault="00DB7D8F" w:rsidP="004B0D48">
            <w:pPr>
              <w:pStyle w:val="KonuBal"/>
              <w:rPr>
                <w:sz w:val="24"/>
                <w:szCs w:val="24"/>
              </w:rPr>
            </w:pPr>
            <w:r w:rsidRPr="009077F5">
              <w:rPr>
                <w:sz w:val="24"/>
                <w:szCs w:val="24"/>
              </w:rPr>
              <w:t>Genel olarak uygulanabilir.</w:t>
            </w:r>
          </w:p>
        </w:tc>
      </w:tr>
      <w:tr w:rsidR="00DB7D8F" w:rsidRPr="0050094F" w14:paraId="18F602AD" w14:textId="77777777" w:rsidTr="00C86A85">
        <w:tc>
          <w:tcPr>
            <w:tcW w:w="425" w:type="dxa"/>
            <w:vAlign w:val="center"/>
          </w:tcPr>
          <w:p w14:paraId="5DE5A4F0" w14:textId="77777777" w:rsidR="00DB7D8F" w:rsidRPr="009077F5" w:rsidRDefault="00DB7D8F" w:rsidP="004B0D48">
            <w:pPr>
              <w:pStyle w:val="KonuBal"/>
              <w:rPr>
                <w:sz w:val="24"/>
                <w:szCs w:val="24"/>
              </w:rPr>
            </w:pPr>
            <w:r w:rsidRPr="009077F5">
              <w:rPr>
                <w:sz w:val="24"/>
                <w:szCs w:val="24"/>
              </w:rPr>
              <w:t>f.</w:t>
            </w:r>
          </w:p>
        </w:tc>
        <w:tc>
          <w:tcPr>
            <w:tcW w:w="1843" w:type="dxa"/>
            <w:vAlign w:val="center"/>
          </w:tcPr>
          <w:p w14:paraId="4DF578F5" w14:textId="32001013" w:rsidR="00DB7D8F" w:rsidRPr="009077F5" w:rsidRDefault="00DB7D8F" w:rsidP="00A202FD">
            <w:pPr>
              <w:jc w:val="both"/>
              <w:rPr>
                <w:rFonts w:eastAsia="Calibri"/>
                <w:lang w:eastAsia="en-US"/>
              </w:rPr>
            </w:pPr>
            <w:r w:rsidRPr="009077F5">
              <w:rPr>
                <w:rFonts w:eastAsia="Calibri"/>
                <w:lang w:eastAsia="en-US"/>
              </w:rPr>
              <w:t>İnce levhalar ve kiriş boşlukları için tam döküme yakın döküm ve ardından haddeleme.</w:t>
            </w:r>
          </w:p>
        </w:tc>
        <w:tc>
          <w:tcPr>
            <w:tcW w:w="3686" w:type="dxa"/>
          </w:tcPr>
          <w:p w14:paraId="5D2E2CD0" w14:textId="78F074B3" w:rsidR="00DB7D8F" w:rsidRPr="009077F5" w:rsidRDefault="00DB7D8F" w:rsidP="004B0D48">
            <w:pPr>
              <w:pStyle w:val="KonuBal"/>
              <w:rPr>
                <w:sz w:val="24"/>
                <w:szCs w:val="24"/>
              </w:rPr>
            </w:pPr>
            <w:r w:rsidRPr="009077F5">
              <w:rPr>
                <w:sz w:val="24"/>
                <w:szCs w:val="24"/>
              </w:rPr>
              <w:t>Bölüm</w:t>
            </w:r>
            <w:r w:rsidR="00B97162" w:rsidRPr="009077F5">
              <w:rPr>
                <w:sz w:val="24"/>
                <w:szCs w:val="24"/>
              </w:rPr>
              <w:t>1</w:t>
            </w:r>
            <w:r w:rsidRPr="009077F5">
              <w:rPr>
                <w:sz w:val="24"/>
                <w:szCs w:val="24"/>
              </w:rPr>
              <w:t>.11.1</w:t>
            </w:r>
            <w:r w:rsidR="00E56504" w:rsidRPr="009077F5">
              <w:rPr>
                <w:sz w:val="24"/>
                <w:szCs w:val="24"/>
              </w:rPr>
              <w:t>’</w:t>
            </w:r>
            <w:r w:rsidRPr="009077F5">
              <w:rPr>
                <w:sz w:val="24"/>
                <w:szCs w:val="24"/>
              </w:rPr>
              <w:t>e bakınız.</w:t>
            </w:r>
          </w:p>
        </w:tc>
        <w:tc>
          <w:tcPr>
            <w:tcW w:w="2976" w:type="dxa"/>
            <w:vAlign w:val="center"/>
          </w:tcPr>
          <w:p w14:paraId="4F7A1149" w14:textId="77E470F3" w:rsidR="00DB7D8F" w:rsidRPr="009077F5" w:rsidRDefault="00DB7D8F" w:rsidP="004B0D48">
            <w:pPr>
              <w:pStyle w:val="KonuBal"/>
              <w:rPr>
                <w:sz w:val="24"/>
                <w:szCs w:val="24"/>
              </w:rPr>
            </w:pPr>
            <w:r w:rsidRPr="009077F5">
              <w:rPr>
                <w:sz w:val="24"/>
                <w:szCs w:val="24"/>
              </w:rPr>
              <w:t>Sadece sürekli dökümün bitişiğindeki tesislerde ve tesis yerleşim planı ve ürün spesifikasyonlarının sınırlamaları dahilinde geçerlidir.</w:t>
            </w:r>
          </w:p>
        </w:tc>
      </w:tr>
    </w:tbl>
    <w:p w14:paraId="3068F4E3" w14:textId="77777777" w:rsidR="008040B9" w:rsidRPr="00D53A2B" w:rsidRDefault="008040B9" w:rsidP="00A202FD">
      <w:pPr>
        <w:jc w:val="both"/>
        <w:rPr>
          <w:rFonts w:eastAsia="Calibri"/>
          <w:lang w:eastAsia="en-US"/>
        </w:rPr>
      </w:pPr>
    </w:p>
    <w:p w14:paraId="2E6DFED3" w14:textId="3BB9FEA6" w:rsidR="001023C7" w:rsidRPr="00D53A2B" w:rsidRDefault="00C85DC0" w:rsidP="00A202FD">
      <w:pPr>
        <w:jc w:val="both"/>
        <w:rPr>
          <w:rFonts w:eastAsia="Calibri"/>
          <w:lang w:eastAsia="en-US"/>
        </w:rPr>
      </w:pPr>
      <w:r w:rsidRPr="00D53A2B">
        <w:rPr>
          <w:rFonts w:eastAsia="Calibri"/>
          <w:lang w:eastAsia="en-US"/>
        </w:rPr>
        <w:t xml:space="preserve">Tablo </w:t>
      </w:r>
      <w:r w:rsidR="00F46CF1" w:rsidRPr="00D53A2B">
        <w:rPr>
          <w:rFonts w:eastAsia="Calibri"/>
          <w:lang w:eastAsia="en-US"/>
        </w:rPr>
        <w:t>1</w:t>
      </w:r>
      <w:r w:rsidRPr="00D53A2B">
        <w:rPr>
          <w:rFonts w:eastAsia="Calibri"/>
          <w:lang w:eastAsia="en-US"/>
        </w:rPr>
        <w:t>.22</w:t>
      </w:r>
    </w:p>
    <w:p w14:paraId="14FB6FD4" w14:textId="09521EA3" w:rsidR="008040B9" w:rsidRPr="00D53A2B" w:rsidRDefault="00C85DC0" w:rsidP="00A202FD">
      <w:pPr>
        <w:jc w:val="both"/>
        <w:rPr>
          <w:rFonts w:eastAsia="Calibri"/>
          <w:lang w:eastAsia="en-US"/>
        </w:rPr>
      </w:pPr>
      <w:r w:rsidRPr="00D53A2B">
        <w:rPr>
          <w:rFonts w:eastAsia="Calibri"/>
          <w:lang w:eastAsia="en-US"/>
        </w:rPr>
        <w:t>Haddelemede belirli enerji tüketimi için MET-ilişkili çevresel performans seviyeleri (MET-İÇPS)</w:t>
      </w:r>
    </w:p>
    <w:p w14:paraId="2494F712" w14:textId="77777777" w:rsidR="0071694E" w:rsidRPr="00D53A2B" w:rsidRDefault="0071694E"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4820"/>
        <w:gridCol w:w="1134"/>
        <w:gridCol w:w="2976"/>
      </w:tblGrid>
      <w:tr w:rsidR="00C85DC0" w:rsidRPr="00D53A2B" w14:paraId="55B5C027" w14:textId="77777777" w:rsidTr="00C85DC0">
        <w:tc>
          <w:tcPr>
            <w:tcW w:w="4820" w:type="dxa"/>
          </w:tcPr>
          <w:p w14:paraId="2BF173B4" w14:textId="05052B5E" w:rsidR="00C85DC0" w:rsidRPr="00D53A2B" w:rsidRDefault="00C85DC0" w:rsidP="004B0D48">
            <w:pPr>
              <w:pStyle w:val="KonuBal"/>
            </w:pPr>
            <w:r w:rsidRPr="00D53A2B">
              <w:t>Haddeleme işleminin sonunda çelik ürünleri</w:t>
            </w:r>
          </w:p>
        </w:tc>
        <w:tc>
          <w:tcPr>
            <w:tcW w:w="1134" w:type="dxa"/>
          </w:tcPr>
          <w:p w14:paraId="68F09DAD" w14:textId="77777777" w:rsidR="00C85DC0" w:rsidRPr="00D53A2B" w:rsidRDefault="00C85DC0" w:rsidP="004B0D48">
            <w:pPr>
              <w:pStyle w:val="KonuBal"/>
            </w:pPr>
            <w:r w:rsidRPr="00D53A2B">
              <w:t>Birim</w:t>
            </w:r>
          </w:p>
        </w:tc>
        <w:tc>
          <w:tcPr>
            <w:tcW w:w="2976" w:type="dxa"/>
          </w:tcPr>
          <w:p w14:paraId="66473B2B" w14:textId="66DE330C" w:rsidR="00C85DC0" w:rsidRPr="00D53A2B" w:rsidRDefault="00C85DC0" w:rsidP="00E73DA3">
            <w:pPr>
              <w:pStyle w:val="KonuBal"/>
            </w:pPr>
            <w:r w:rsidRPr="00D53A2B">
              <w:t>MET-İÇPS (Yıllık ortalama)</w:t>
            </w:r>
          </w:p>
        </w:tc>
      </w:tr>
      <w:tr w:rsidR="00C85DC0" w:rsidRPr="00D53A2B" w14:paraId="4936F314" w14:textId="77777777" w:rsidTr="00C85DC0">
        <w:tc>
          <w:tcPr>
            <w:tcW w:w="4820" w:type="dxa"/>
          </w:tcPr>
          <w:p w14:paraId="389988B6" w14:textId="0DCFF20E" w:rsidR="00C85DC0" w:rsidRPr="00D53A2B" w:rsidRDefault="00C85DC0" w:rsidP="004B0D48">
            <w:pPr>
              <w:pStyle w:val="KonuBal"/>
            </w:pPr>
            <w:r w:rsidRPr="00D53A2B">
              <w:t>Sıcak haddelenmiş bobinler (şeritler), ağır plakalar</w:t>
            </w:r>
          </w:p>
        </w:tc>
        <w:tc>
          <w:tcPr>
            <w:tcW w:w="1134" w:type="dxa"/>
          </w:tcPr>
          <w:p w14:paraId="751E8136" w14:textId="21DB3A91" w:rsidR="00C85DC0" w:rsidRPr="00D53A2B" w:rsidRDefault="00C85DC0" w:rsidP="004B0D48">
            <w:pPr>
              <w:pStyle w:val="KonuBal"/>
            </w:pPr>
            <w:r w:rsidRPr="00D53A2B">
              <w:t>MJ/t</w:t>
            </w:r>
          </w:p>
        </w:tc>
        <w:tc>
          <w:tcPr>
            <w:tcW w:w="2976" w:type="dxa"/>
            <w:vAlign w:val="bottom"/>
          </w:tcPr>
          <w:p w14:paraId="2E4FDF51" w14:textId="1FDBD191" w:rsidR="00C85DC0" w:rsidRPr="00D53A2B" w:rsidRDefault="00C85DC0" w:rsidP="00E73DA3">
            <w:pPr>
              <w:pStyle w:val="KonuBal"/>
            </w:pPr>
            <w:r w:rsidRPr="00D53A2B">
              <w:t>100-400</w:t>
            </w:r>
          </w:p>
        </w:tc>
      </w:tr>
      <w:tr w:rsidR="00C85DC0" w:rsidRPr="00D53A2B" w14:paraId="0342D146" w14:textId="77777777" w:rsidTr="00C85DC0">
        <w:tc>
          <w:tcPr>
            <w:tcW w:w="4820" w:type="dxa"/>
          </w:tcPr>
          <w:p w14:paraId="5C181923" w14:textId="1A3BFF91" w:rsidR="00C85DC0" w:rsidRPr="00D53A2B" w:rsidRDefault="00C85DC0" w:rsidP="004B0D48">
            <w:pPr>
              <w:pStyle w:val="KonuBal"/>
            </w:pPr>
            <w:r w:rsidRPr="00D53A2B">
              <w:t>Barlar, çubuklar</w:t>
            </w:r>
          </w:p>
        </w:tc>
        <w:tc>
          <w:tcPr>
            <w:tcW w:w="1134" w:type="dxa"/>
          </w:tcPr>
          <w:p w14:paraId="23892983" w14:textId="48A740A8" w:rsidR="00C85DC0" w:rsidRPr="00D53A2B" w:rsidRDefault="00C85DC0" w:rsidP="004B0D48">
            <w:pPr>
              <w:pStyle w:val="KonuBal"/>
            </w:pPr>
            <w:r w:rsidRPr="00D53A2B">
              <w:t>MJ/t</w:t>
            </w:r>
          </w:p>
        </w:tc>
        <w:tc>
          <w:tcPr>
            <w:tcW w:w="2976" w:type="dxa"/>
            <w:vAlign w:val="bottom"/>
          </w:tcPr>
          <w:p w14:paraId="600A393D" w14:textId="6C194E5D" w:rsidR="00C85DC0" w:rsidRPr="00D53A2B" w:rsidRDefault="00C85DC0" w:rsidP="00E73DA3">
            <w:pPr>
              <w:pStyle w:val="KonuBal"/>
            </w:pPr>
            <w:r w:rsidRPr="00D53A2B">
              <w:t>100-500 (</w:t>
            </w:r>
            <w:r w:rsidRPr="00D53A2B">
              <w:rPr>
                <w:vertAlign w:val="superscript"/>
              </w:rPr>
              <w:t>1</w:t>
            </w:r>
            <w:r w:rsidRPr="00D53A2B">
              <w:t>)</w:t>
            </w:r>
          </w:p>
        </w:tc>
      </w:tr>
      <w:tr w:rsidR="00C85DC0" w:rsidRPr="00D53A2B" w14:paraId="7913CB11" w14:textId="77777777" w:rsidTr="00C85DC0">
        <w:tc>
          <w:tcPr>
            <w:tcW w:w="4820" w:type="dxa"/>
          </w:tcPr>
          <w:p w14:paraId="3563246D" w14:textId="70CAF089" w:rsidR="00C85DC0" w:rsidRPr="00D53A2B" w:rsidRDefault="00C85DC0" w:rsidP="004B0D48">
            <w:pPr>
              <w:pStyle w:val="KonuBal"/>
            </w:pPr>
            <w:r w:rsidRPr="00D53A2B">
              <w:t>Kirişler, kütükler, raylar, borular</w:t>
            </w:r>
          </w:p>
        </w:tc>
        <w:tc>
          <w:tcPr>
            <w:tcW w:w="1134" w:type="dxa"/>
          </w:tcPr>
          <w:p w14:paraId="377933B4" w14:textId="648A52A1" w:rsidR="00C85DC0" w:rsidRPr="00D53A2B" w:rsidRDefault="00C85DC0" w:rsidP="004B0D48">
            <w:pPr>
              <w:pStyle w:val="KonuBal"/>
            </w:pPr>
            <w:r w:rsidRPr="00D53A2B">
              <w:t>MJ/t</w:t>
            </w:r>
          </w:p>
        </w:tc>
        <w:tc>
          <w:tcPr>
            <w:tcW w:w="2976" w:type="dxa"/>
            <w:vAlign w:val="bottom"/>
          </w:tcPr>
          <w:p w14:paraId="3FC16385" w14:textId="57263533" w:rsidR="00C85DC0" w:rsidRPr="00D53A2B" w:rsidRDefault="00C85DC0" w:rsidP="00E73DA3">
            <w:pPr>
              <w:pStyle w:val="KonuBal"/>
            </w:pPr>
            <w:r w:rsidRPr="00D53A2B">
              <w:t>100-300</w:t>
            </w:r>
          </w:p>
        </w:tc>
      </w:tr>
      <w:tr w:rsidR="00C85DC0" w:rsidRPr="00D53A2B" w14:paraId="5F09EFF8" w14:textId="77777777" w:rsidTr="00A202FD">
        <w:tc>
          <w:tcPr>
            <w:tcW w:w="8930" w:type="dxa"/>
            <w:gridSpan w:val="3"/>
          </w:tcPr>
          <w:p w14:paraId="07623EA5" w14:textId="3C7F2D0B" w:rsidR="00C85DC0" w:rsidRPr="00D53A2B" w:rsidRDefault="00C85DC0" w:rsidP="004B0D48">
            <w:pPr>
              <w:pStyle w:val="KonuBal"/>
            </w:pPr>
            <w:r w:rsidRPr="00D53A2B">
              <w:t>(</w:t>
            </w:r>
            <w:r w:rsidRPr="00D53A2B">
              <w:rPr>
                <w:vertAlign w:val="superscript"/>
              </w:rPr>
              <w:t>1</w:t>
            </w:r>
            <w:r w:rsidRPr="00D53A2B">
              <w:t>) Yüksek alaşımlı çelik (örneğin ostenitik paslanmaz çelik) durumunda, MET-İÇPS aralığının üst ucu 1000 MJ/t</w:t>
            </w:r>
            <w:r w:rsidR="00E56504" w:rsidRPr="00D53A2B">
              <w:t>’</w:t>
            </w:r>
            <w:r w:rsidRPr="00D53A2B">
              <w:t>dur.</w:t>
            </w:r>
          </w:p>
        </w:tc>
      </w:tr>
    </w:tbl>
    <w:p w14:paraId="0581DEBF" w14:textId="77777777" w:rsidR="007D1A59" w:rsidRPr="00D53A2B" w:rsidRDefault="007D1A59" w:rsidP="00A202FD">
      <w:pPr>
        <w:jc w:val="both"/>
        <w:rPr>
          <w:rFonts w:eastAsia="Calibri"/>
          <w:lang w:eastAsia="en-US"/>
        </w:rPr>
      </w:pPr>
    </w:p>
    <w:p w14:paraId="3BA3127F" w14:textId="0E1EF2C1" w:rsidR="00C85DC0" w:rsidRPr="00D53A2B" w:rsidRDefault="00C85DC0" w:rsidP="00A202FD">
      <w:pPr>
        <w:jc w:val="both"/>
        <w:rPr>
          <w:rFonts w:eastAsia="Calibri"/>
          <w:lang w:eastAsia="en-US"/>
        </w:rPr>
      </w:pPr>
      <w:r w:rsidRPr="00D53A2B">
        <w:rPr>
          <w:rFonts w:eastAsia="Calibri"/>
          <w:lang w:eastAsia="en-US"/>
        </w:rPr>
        <w:t xml:space="preserve">İlgili izleme MET </w:t>
      </w:r>
      <w:r w:rsidR="008C74D4" w:rsidRPr="00D53A2B">
        <w:rPr>
          <w:rFonts w:eastAsia="Calibri"/>
          <w:lang w:eastAsia="en-US"/>
        </w:rPr>
        <w:t>6</w:t>
      </w:r>
      <w:r w:rsidR="00E56504" w:rsidRPr="00D53A2B">
        <w:rPr>
          <w:rFonts w:eastAsia="Calibri"/>
          <w:lang w:eastAsia="en-US"/>
        </w:rPr>
        <w:t>’</w:t>
      </w:r>
      <w:r w:rsidRPr="00D53A2B">
        <w:rPr>
          <w:rFonts w:eastAsia="Calibri"/>
          <w:lang w:eastAsia="en-US"/>
        </w:rPr>
        <w:t>d</w:t>
      </w:r>
      <w:r w:rsidR="008C74D4" w:rsidRPr="00D53A2B">
        <w:rPr>
          <w:rFonts w:eastAsia="Calibri"/>
          <w:lang w:eastAsia="en-US"/>
        </w:rPr>
        <w:t>a</w:t>
      </w:r>
      <w:r w:rsidRPr="00D53A2B">
        <w:rPr>
          <w:rFonts w:eastAsia="Calibri"/>
          <w:lang w:eastAsia="en-US"/>
        </w:rPr>
        <w:t xml:space="preserve"> verilmiştir.</w:t>
      </w:r>
    </w:p>
    <w:p w14:paraId="36E9334E" w14:textId="77777777" w:rsidR="0071694E" w:rsidRPr="00D53A2B" w:rsidRDefault="0071694E" w:rsidP="00A202FD">
      <w:pPr>
        <w:jc w:val="both"/>
        <w:rPr>
          <w:rFonts w:eastAsia="Calibri"/>
          <w:lang w:eastAsia="en-US"/>
        </w:rPr>
      </w:pPr>
    </w:p>
    <w:p w14:paraId="5578E1D0" w14:textId="696AF773" w:rsidR="0071694E" w:rsidRPr="00D53A2B" w:rsidRDefault="00D10848" w:rsidP="00A202FD">
      <w:pPr>
        <w:pStyle w:val="Balk3"/>
        <w:rPr>
          <w:rFonts w:eastAsia="Calibri" w:cs="Times New Roman"/>
          <w:lang w:eastAsia="en-US"/>
        </w:rPr>
      </w:pPr>
      <w:r w:rsidRPr="00D53A2B">
        <w:rPr>
          <w:rFonts w:eastAsia="Calibri" w:cs="Times New Roman"/>
          <w:lang w:eastAsia="en-US"/>
        </w:rPr>
        <w:lastRenderedPageBreak/>
        <w:t>1</w:t>
      </w:r>
      <w:r w:rsidR="008C74D4" w:rsidRPr="00D53A2B">
        <w:rPr>
          <w:rFonts w:eastAsia="Calibri" w:cs="Times New Roman"/>
          <w:lang w:eastAsia="en-US"/>
        </w:rPr>
        <w:t>.6.2. Malzeme verimliliği</w:t>
      </w:r>
    </w:p>
    <w:p w14:paraId="197BCD7E" w14:textId="763990B5" w:rsidR="0071694E" w:rsidRPr="00D53A2B" w:rsidRDefault="008C74D4" w:rsidP="00A202FD">
      <w:pPr>
        <w:pStyle w:val="MET"/>
        <w:rPr>
          <w:rFonts w:eastAsia="Calibri"/>
          <w:szCs w:val="24"/>
        </w:rPr>
      </w:pPr>
      <w:r w:rsidRPr="00D53A2B">
        <w:rPr>
          <w:rFonts w:eastAsia="Calibri"/>
          <w:szCs w:val="24"/>
        </w:rPr>
        <w:t xml:space="preserve">MET 40: </w:t>
      </w:r>
      <w:r w:rsidRPr="00D53A2B">
        <w:rPr>
          <w:rFonts w:eastAsia="Calibri"/>
          <w:b w:val="0"/>
          <w:bCs/>
          <w:szCs w:val="24"/>
        </w:rPr>
        <w:t>Malzeme verimliliğini artırmak ve hammadde şartlandırmasından kaynaklanan atık miktarını azaltmak için aşağıda verilen tekniklerden birini veya bir kombinasyonunu uygulayarak şartlandırma ihtiyacını önle</w:t>
      </w:r>
      <w:r w:rsidR="00D14102" w:rsidRPr="00D53A2B">
        <w:rPr>
          <w:rFonts w:eastAsia="Calibri"/>
          <w:b w:val="0"/>
          <w:bCs/>
          <w:szCs w:val="24"/>
        </w:rPr>
        <w:t>nir</w:t>
      </w:r>
      <w:r w:rsidRPr="00D53A2B">
        <w:rPr>
          <w:rFonts w:eastAsia="Calibri"/>
          <w:b w:val="0"/>
          <w:bCs/>
          <w:szCs w:val="24"/>
        </w:rPr>
        <w:t xml:space="preserve"> veya bu mümkün olmadığında azaltılır.</w:t>
      </w:r>
    </w:p>
    <w:p w14:paraId="05147291" w14:textId="77777777"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1701"/>
        <w:gridCol w:w="4820"/>
        <w:gridCol w:w="1984"/>
      </w:tblGrid>
      <w:tr w:rsidR="00417271" w:rsidRPr="0050094F" w14:paraId="2F40085F" w14:textId="77777777" w:rsidTr="00C86A85">
        <w:tc>
          <w:tcPr>
            <w:tcW w:w="2126" w:type="dxa"/>
            <w:gridSpan w:val="2"/>
          </w:tcPr>
          <w:p w14:paraId="746293F9" w14:textId="77777777" w:rsidR="00417271" w:rsidRPr="009077F5" w:rsidRDefault="00417271" w:rsidP="004B0D48">
            <w:pPr>
              <w:pStyle w:val="KonuBal"/>
              <w:rPr>
                <w:sz w:val="24"/>
                <w:szCs w:val="24"/>
              </w:rPr>
            </w:pPr>
            <w:r w:rsidRPr="009077F5">
              <w:rPr>
                <w:sz w:val="24"/>
                <w:szCs w:val="24"/>
              </w:rPr>
              <w:t>Teknik</w:t>
            </w:r>
          </w:p>
        </w:tc>
        <w:tc>
          <w:tcPr>
            <w:tcW w:w="4820" w:type="dxa"/>
          </w:tcPr>
          <w:p w14:paraId="04D3B02C" w14:textId="77777777" w:rsidR="00417271" w:rsidRPr="009077F5" w:rsidRDefault="00417271" w:rsidP="004B0D48">
            <w:pPr>
              <w:pStyle w:val="KonuBal"/>
              <w:rPr>
                <w:sz w:val="24"/>
                <w:szCs w:val="24"/>
              </w:rPr>
            </w:pPr>
            <w:r w:rsidRPr="009077F5">
              <w:rPr>
                <w:sz w:val="24"/>
                <w:szCs w:val="24"/>
              </w:rPr>
              <w:t>Açıklama</w:t>
            </w:r>
          </w:p>
        </w:tc>
        <w:tc>
          <w:tcPr>
            <w:tcW w:w="1984" w:type="dxa"/>
          </w:tcPr>
          <w:p w14:paraId="481A2D13" w14:textId="77777777" w:rsidR="00417271" w:rsidRPr="009077F5" w:rsidRDefault="00417271" w:rsidP="0050094F">
            <w:pPr>
              <w:pStyle w:val="KonuBal"/>
              <w:rPr>
                <w:sz w:val="24"/>
                <w:szCs w:val="24"/>
              </w:rPr>
            </w:pPr>
            <w:r w:rsidRPr="009077F5">
              <w:rPr>
                <w:sz w:val="24"/>
                <w:szCs w:val="24"/>
              </w:rPr>
              <w:t>Uygulanabilirlik</w:t>
            </w:r>
          </w:p>
        </w:tc>
      </w:tr>
      <w:tr w:rsidR="00417271" w:rsidRPr="0050094F" w14:paraId="31AEC6ED" w14:textId="77777777" w:rsidTr="00C86A85">
        <w:tc>
          <w:tcPr>
            <w:tcW w:w="425" w:type="dxa"/>
            <w:vAlign w:val="center"/>
          </w:tcPr>
          <w:p w14:paraId="468DEF84" w14:textId="77777777" w:rsidR="00417271" w:rsidRPr="009077F5" w:rsidRDefault="00417271" w:rsidP="004B0D48">
            <w:pPr>
              <w:pStyle w:val="KonuBal"/>
              <w:rPr>
                <w:sz w:val="24"/>
                <w:szCs w:val="24"/>
              </w:rPr>
            </w:pPr>
            <w:r w:rsidRPr="009077F5">
              <w:rPr>
                <w:sz w:val="24"/>
                <w:szCs w:val="24"/>
              </w:rPr>
              <w:t>a.</w:t>
            </w:r>
          </w:p>
        </w:tc>
        <w:tc>
          <w:tcPr>
            <w:tcW w:w="1701" w:type="dxa"/>
            <w:vAlign w:val="center"/>
          </w:tcPr>
          <w:p w14:paraId="4E2A6DF9" w14:textId="652E883C" w:rsidR="00417271" w:rsidRPr="009077F5" w:rsidRDefault="00417271" w:rsidP="004B0D48">
            <w:pPr>
              <w:pStyle w:val="KonuBal"/>
              <w:rPr>
                <w:sz w:val="24"/>
                <w:szCs w:val="24"/>
              </w:rPr>
            </w:pPr>
            <w:r w:rsidRPr="009077F5">
              <w:rPr>
                <w:sz w:val="24"/>
                <w:szCs w:val="24"/>
              </w:rPr>
              <w:t>Bilgisayar destekli kalite kontrol</w:t>
            </w:r>
          </w:p>
        </w:tc>
        <w:tc>
          <w:tcPr>
            <w:tcW w:w="4820" w:type="dxa"/>
            <w:vAlign w:val="center"/>
          </w:tcPr>
          <w:p w14:paraId="4CC9CD30" w14:textId="239BF4B7" w:rsidR="00417271" w:rsidRPr="009077F5" w:rsidRDefault="00417271" w:rsidP="00A202FD">
            <w:pPr>
              <w:pStyle w:val="ListeParagraf"/>
              <w:numPr>
                <w:ilvl w:val="0"/>
                <w:numId w:val="0"/>
              </w:numPr>
              <w:tabs>
                <w:tab w:val="clear" w:pos="567"/>
              </w:tabs>
              <w:spacing w:line="240" w:lineRule="auto"/>
              <w:ind w:left="37"/>
              <w:rPr>
                <w:rFonts w:eastAsia="Calibri"/>
                <w:sz w:val="24"/>
                <w:szCs w:val="24"/>
              </w:rPr>
            </w:pPr>
            <w:r w:rsidRPr="009077F5">
              <w:rPr>
                <w:sz w:val="24"/>
                <w:szCs w:val="24"/>
              </w:rPr>
              <w:t>Plakaların kalitesi, yüzey kusurlarını en aza indirecek şekilde döküm koşullarının ayarlanmasına olanak tanıyan ve tüm döşemenin kesilmesi yerine yalnızca hasarlı alanların manuel olarak temizlenmesine olanak tanıyan bir bilgisayar tarafından kontrol edilir.</w:t>
            </w:r>
          </w:p>
        </w:tc>
        <w:tc>
          <w:tcPr>
            <w:tcW w:w="1984" w:type="dxa"/>
            <w:vAlign w:val="center"/>
          </w:tcPr>
          <w:p w14:paraId="2370991E" w14:textId="1D2582C8" w:rsidR="00417271" w:rsidRPr="009077F5" w:rsidRDefault="00417271" w:rsidP="004B0D48">
            <w:pPr>
              <w:pStyle w:val="KonuBal"/>
              <w:rPr>
                <w:sz w:val="24"/>
                <w:szCs w:val="24"/>
              </w:rPr>
            </w:pPr>
            <w:r w:rsidRPr="009077F5">
              <w:rPr>
                <w:sz w:val="24"/>
                <w:szCs w:val="24"/>
              </w:rPr>
              <w:t>Sadece sürekli döküm yapan tesislerde geçerlidir.</w:t>
            </w:r>
          </w:p>
        </w:tc>
      </w:tr>
      <w:tr w:rsidR="00417271" w:rsidRPr="0050094F" w14:paraId="6775372E" w14:textId="77777777" w:rsidTr="00C86A85">
        <w:tc>
          <w:tcPr>
            <w:tcW w:w="425" w:type="dxa"/>
            <w:vAlign w:val="center"/>
          </w:tcPr>
          <w:p w14:paraId="19124053" w14:textId="77777777" w:rsidR="00417271" w:rsidRPr="009077F5" w:rsidRDefault="00417271" w:rsidP="004B0D48">
            <w:pPr>
              <w:pStyle w:val="KonuBal"/>
              <w:rPr>
                <w:sz w:val="24"/>
                <w:szCs w:val="24"/>
              </w:rPr>
            </w:pPr>
            <w:r w:rsidRPr="009077F5">
              <w:rPr>
                <w:sz w:val="24"/>
                <w:szCs w:val="24"/>
              </w:rPr>
              <w:t>b.</w:t>
            </w:r>
          </w:p>
        </w:tc>
        <w:tc>
          <w:tcPr>
            <w:tcW w:w="1701" w:type="dxa"/>
            <w:vAlign w:val="center"/>
          </w:tcPr>
          <w:p w14:paraId="6C3A7BE7" w14:textId="3BA6690C" w:rsidR="00417271" w:rsidRPr="009077F5" w:rsidRDefault="00417271" w:rsidP="004B0D48">
            <w:pPr>
              <w:pStyle w:val="KonuBal"/>
              <w:rPr>
                <w:sz w:val="24"/>
                <w:szCs w:val="24"/>
              </w:rPr>
            </w:pPr>
            <w:r w:rsidRPr="009077F5">
              <w:rPr>
                <w:sz w:val="24"/>
                <w:szCs w:val="24"/>
              </w:rPr>
              <w:t>Levha kesme</w:t>
            </w:r>
          </w:p>
        </w:tc>
        <w:tc>
          <w:tcPr>
            <w:tcW w:w="4820" w:type="dxa"/>
            <w:vAlign w:val="center"/>
          </w:tcPr>
          <w:p w14:paraId="1AB03F43" w14:textId="2C777EA8" w:rsidR="00417271" w:rsidRPr="009077F5" w:rsidRDefault="00417271" w:rsidP="00A202FD">
            <w:pPr>
              <w:ind w:left="32"/>
              <w:jc w:val="both"/>
              <w:rPr>
                <w:rFonts w:eastAsia="Calibri"/>
              </w:rPr>
            </w:pPr>
            <w:r w:rsidRPr="009077F5">
              <w:rPr>
                <w:rFonts w:eastAsia="Calibri"/>
              </w:rPr>
              <w:t>Levhalar (genellikle birden fazla genişlikte dökülür) sıcak haddelemeden önce, elle çalıştırılan veya bir makineye monte edilen kesme cihazları, kesme haddeleme veya meşaleler vasıtasıyla kesilir.</w:t>
            </w:r>
          </w:p>
        </w:tc>
        <w:tc>
          <w:tcPr>
            <w:tcW w:w="1984" w:type="dxa"/>
            <w:vAlign w:val="center"/>
          </w:tcPr>
          <w:p w14:paraId="7677A801" w14:textId="5EF31E41" w:rsidR="00417271" w:rsidRPr="009077F5" w:rsidRDefault="00417271" w:rsidP="004B0D48">
            <w:pPr>
              <w:pStyle w:val="KonuBal"/>
              <w:rPr>
                <w:sz w:val="24"/>
                <w:szCs w:val="24"/>
              </w:rPr>
            </w:pPr>
            <w:r w:rsidRPr="009077F5">
              <w:rPr>
                <w:sz w:val="24"/>
                <w:szCs w:val="24"/>
              </w:rPr>
              <w:t>Külçelerden üretilen levhalar için geçerli olmayabilir.</w:t>
            </w:r>
          </w:p>
        </w:tc>
      </w:tr>
      <w:tr w:rsidR="00417271" w:rsidRPr="0050094F" w14:paraId="3DCA4A39" w14:textId="77777777" w:rsidTr="00C86A85">
        <w:tc>
          <w:tcPr>
            <w:tcW w:w="425" w:type="dxa"/>
            <w:vAlign w:val="center"/>
          </w:tcPr>
          <w:p w14:paraId="16D2D3A1" w14:textId="77777777" w:rsidR="00417271" w:rsidRPr="009077F5" w:rsidRDefault="00417271" w:rsidP="004B0D48">
            <w:pPr>
              <w:pStyle w:val="KonuBal"/>
              <w:rPr>
                <w:sz w:val="24"/>
                <w:szCs w:val="24"/>
              </w:rPr>
            </w:pPr>
            <w:r w:rsidRPr="009077F5">
              <w:rPr>
                <w:sz w:val="24"/>
                <w:szCs w:val="24"/>
              </w:rPr>
              <w:t>c.</w:t>
            </w:r>
          </w:p>
        </w:tc>
        <w:tc>
          <w:tcPr>
            <w:tcW w:w="1701" w:type="dxa"/>
            <w:vAlign w:val="center"/>
          </w:tcPr>
          <w:p w14:paraId="310D7AE4" w14:textId="2A86E83B" w:rsidR="00417271" w:rsidRPr="009077F5" w:rsidRDefault="00417271" w:rsidP="00A202FD">
            <w:pPr>
              <w:jc w:val="both"/>
              <w:rPr>
                <w:rFonts w:eastAsia="Calibri"/>
                <w:lang w:eastAsia="en-US"/>
              </w:rPr>
            </w:pPr>
            <w:r w:rsidRPr="009077F5">
              <w:rPr>
                <w:rFonts w:eastAsia="Calibri"/>
                <w:lang w:eastAsia="en-US"/>
              </w:rPr>
              <w:t>Kama tipi levhaların kenarlarının düzeltilmesi veya kırpılması</w:t>
            </w:r>
          </w:p>
        </w:tc>
        <w:tc>
          <w:tcPr>
            <w:tcW w:w="4820" w:type="dxa"/>
          </w:tcPr>
          <w:p w14:paraId="6D304787" w14:textId="7D438451" w:rsidR="00417271" w:rsidRPr="009077F5" w:rsidRDefault="00417271" w:rsidP="00A202FD">
            <w:pPr>
              <w:jc w:val="both"/>
              <w:rPr>
                <w:lang w:val="en-US" w:eastAsia="en-US"/>
              </w:rPr>
            </w:pPr>
            <w:r w:rsidRPr="009077F5">
              <w:rPr>
                <w:rFonts w:eastAsia="Calibri"/>
              </w:rPr>
              <w:t>Kama tipi levhalar, kama çıkıntısının kenar düzeltme (örneğin otomatik genişlik kontrolü veya ebatlama presi kullanılarak) veya kesme yoluyla ortadan kaldırıldığı özel ayarlar altında haddelenir.</w:t>
            </w:r>
          </w:p>
        </w:tc>
        <w:tc>
          <w:tcPr>
            <w:tcW w:w="1984" w:type="dxa"/>
            <w:vAlign w:val="center"/>
          </w:tcPr>
          <w:p w14:paraId="703509EA" w14:textId="204C59DE" w:rsidR="00417271" w:rsidRPr="009077F5" w:rsidRDefault="00417271" w:rsidP="004B0D48">
            <w:pPr>
              <w:pStyle w:val="KonuBal"/>
              <w:rPr>
                <w:sz w:val="24"/>
                <w:szCs w:val="24"/>
              </w:rPr>
            </w:pPr>
            <w:r w:rsidRPr="009077F5">
              <w:rPr>
                <w:sz w:val="24"/>
                <w:szCs w:val="24"/>
              </w:rPr>
              <w:t>Külçelerden üretilen levhalar için geçerli olmayabilir. Sadece yeni tesisler ve büyük tesis yükseltmeleri için geçerlidir.</w:t>
            </w:r>
          </w:p>
        </w:tc>
      </w:tr>
    </w:tbl>
    <w:p w14:paraId="2DBBD461" w14:textId="77777777" w:rsidR="00D14102" w:rsidRPr="00D53A2B" w:rsidRDefault="00D14102" w:rsidP="00A202FD">
      <w:pPr>
        <w:pStyle w:val="MET"/>
        <w:rPr>
          <w:rFonts w:eastAsia="Calibri"/>
          <w:szCs w:val="24"/>
        </w:rPr>
      </w:pPr>
    </w:p>
    <w:p w14:paraId="08E1D66D" w14:textId="513D19F8" w:rsidR="008C74D4" w:rsidRPr="00D53A2B" w:rsidRDefault="00417271" w:rsidP="00A202FD">
      <w:pPr>
        <w:pStyle w:val="MET"/>
        <w:rPr>
          <w:rFonts w:eastAsia="Calibri"/>
          <w:b w:val="0"/>
          <w:bCs/>
          <w:szCs w:val="24"/>
        </w:rPr>
      </w:pPr>
      <w:r w:rsidRPr="00D53A2B">
        <w:rPr>
          <w:rFonts w:eastAsia="Calibri"/>
          <w:szCs w:val="24"/>
        </w:rPr>
        <w:t xml:space="preserve">MET 41: </w:t>
      </w:r>
      <w:r w:rsidRPr="00D53A2B">
        <w:rPr>
          <w:rFonts w:eastAsia="Calibri"/>
          <w:b w:val="0"/>
          <w:bCs/>
          <w:szCs w:val="24"/>
        </w:rPr>
        <w:t>Yassı ürünlerin üretiminde haddelemede malzeme verimliliğini artırmak için aşağıda verilen her iki tekniği kullanarak metal hurda oluşumunu azaltılır.</w:t>
      </w:r>
    </w:p>
    <w:p w14:paraId="301A1543" w14:textId="77777777" w:rsidR="00C15CF2" w:rsidRPr="00D53A2B" w:rsidRDefault="00C15CF2" w:rsidP="00A202FD">
      <w:pPr>
        <w:pStyle w:val="MET"/>
        <w:rPr>
          <w:rFonts w:eastAsia="Calibri"/>
          <w:szCs w:val="24"/>
        </w:rPr>
      </w:pPr>
    </w:p>
    <w:tbl>
      <w:tblPr>
        <w:tblStyle w:val="TabloKlavuzu"/>
        <w:tblW w:w="8930" w:type="dxa"/>
        <w:tblInd w:w="137" w:type="dxa"/>
        <w:tblLayout w:type="fixed"/>
        <w:tblLook w:val="04A0" w:firstRow="1" w:lastRow="0" w:firstColumn="1" w:lastColumn="0" w:noHBand="0" w:noVBand="1"/>
      </w:tblPr>
      <w:tblGrid>
        <w:gridCol w:w="425"/>
        <w:gridCol w:w="1985"/>
        <w:gridCol w:w="6520"/>
      </w:tblGrid>
      <w:tr w:rsidR="00417271" w:rsidRPr="0050094F" w14:paraId="0D25F6A9" w14:textId="77777777" w:rsidTr="00417271">
        <w:tc>
          <w:tcPr>
            <w:tcW w:w="2410" w:type="dxa"/>
            <w:gridSpan w:val="2"/>
          </w:tcPr>
          <w:p w14:paraId="133A8D5E" w14:textId="77777777" w:rsidR="00417271" w:rsidRPr="009077F5" w:rsidRDefault="00417271" w:rsidP="004B0D48">
            <w:pPr>
              <w:pStyle w:val="KonuBal"/>
              <w:rPr>
                <w:sz w:val="24"/>
                <w:szCs w:val="24"/>
              </w:rPr>
            </w:pPr>
            <w:r w:rsidRPr="009077F5">
              <w:rPr>
                <w:sz w:val="24"/>
                <w:szCs w:val="24"/>
              </w:rPr>
              <w:t>Teknik</w:t>
            </w:r>
          </w:p>
        </w:tc>
        <w:tc>
          <w:tcPr>
            <w:tcW w:w="6520" w:type="dxa"/>
          </w:tcPr>
          <w:p w14:paraId="484E095E" w14:textId="77777777" w:rsidR="00417271" w:rsidRPr="009077F5" w:rsidRDefault="00417271" w:rsidP="004B0D48">
            <w:pPr>
              <w:pStyle w:val="KonuBal"/>
              <w:rPr>
                <w:sz w:val="24"/>
                <w:szCs w:val="24"/>
              </w:rPr>
            </w:pPr>
            <w:r w:rsidRPr="009077F5">
              <w:rPr>
                <w:sz w:val="24"/>
                <w:szCs w:val="24"/>
              </w:rPr>
              <w:t>Açıklama</w:t>
            </w:r>
          </w:p>
        </w:tc>
      </w:tr>
      <w:tr w:rsidR="00417271" w:rsidRPr="0050094F" w14:paraId="354966FB" w14:textId="77777777" w:rsidTr="00417271">
        <w:tc>
          <w:tcPr>
            <w:tcW w:w="425" w:type="dxa"/>
            <w:vAlign w:val="center"/>
          </w:tcPr>
          <w:p w14:paraId="04747B0E" w14:textId="77777777" w:rsidR="00417271" w:rsidRPr="009077F5" w:rsidRDefault="00417271" w:rsidP="004B0D48">
            <w:pPr>
              <w:pStyle w:val="KonuBal"/>
              <w:rPr>
                <w:sz w:val="24"/>
                <w:szCs w:val="24"/>
              </w:rPr>
            </w:pPr>
            <w:r w:rsidRPr="009077F5">
              <w:rPr>
                <w:sz w:val="24"/>
                <w:szCs w:val="24"/>
              </w:rPr>
              <w:t>a.</w:t>
            </w:r>
          </w:p>
        </w:tc>
        <w:tc>
          <w:tcPr>
            <w:tcW w:w="1985" w:type="dxa"/>
            <w:vAlign w:val="center"/>
          </w:tcPr>
          <w:p w14:paraId="03A16A68" w14:textId="215BF980" w:rsidR="00417271" w:rsidRPr="009077F5" w:rsidRDefault="00417271" w:rsidP="004B0D48">
            <w:pPr>
              <w:pStyle w:val="KonuBal"/>
              <w:rPr>
                <w:sz w:val="24"/>
                <w:szCs w:val="24"/>
              </w:rPr>
            </w:pPr>
            <w:r w:rsidRPr="009077F5">
              <w:rPr>
                <w:sz w:val="24"/>
                <w:szCs w:val="24"/>
              </w:rPr>
              <w:t>Kırpma optimizasyonu</w:t>
            </w:r>
          </w:p>
        </w:tc>
        <w:tc>
          <w:tcPr>
            <w:tcW w:w="6520" w:type="dxa"/>
            <w:vAlign w:val="center"/>
          </w:tcPr>
          <w:p w14:paraId="627BD299" w14:textId="7BA03A80" w:rsidR="00417271" w:rsidRPr="009077F5" w:rsidRDefault="00417271" w:rsidP="00A202FD">
            <w:pPr>
              <w:pStyle w:val="ListeParagraf"/>
              <w:numPr>
                <w:ilvl w:val="0"/>
                <w:numId w:val="0"/>
              </w:numPr>
              <w:tabs>
                <w:tab w:val="clear" w:pos="567"/>
              </w:tabs>
              <w:spacing w:line="240" w:lineRule="auto"/>
              <w:ind w:left="37"/>
              <w:rPr>
                <w:rFonts w:eastAsia="Calibri"/>
                <w:sz w:val="24"/>
                <w:szCs w:val="24"/>
              </w:rPr>
            </w:pPr>
            <w:r w:rsidRPr="009077F5">
              <w:rPr>
                <w:sz w:val="24"/>
                <w:szCs w:val="24"/>
              </w:rPr>
              <w:t>Hammaddelerin kaba işleme sonrasında kırpılması, kesilen metal miktarını en aza indirmek amacıyla bir şekil ölçüm sistemi (örneğin kamera) tarafından kontrol edilir.</w:t>
            </w:r>
          </w:p>
        </w:tc>
      </w:tr>
      <w:tr w:rsidR="00417271" w:rsidRPr="0050094F" w14:paraId="10D16A4A" w14:textId="77777777" w:rsidTr="00417271">
        <w:tc>
          <w:tcPr>
            <w:tcW w:w="425" w:type="dxa"/>
            <w:vAlign w:val="center"/>
          </w:tcPr>
          <w:p w14:paraId="5C0077C2" w14:textId="77777777" w:rsidR="00417271" w:rsidRPr="009077F5" w:rsidRDefault="00417271" w:rsidP="004B0D48">
            <w:pPr>
              <w:pStyle w:val="KonuBal"/>
              <w:rPr>
                <w:sz w:val="24"/>
                <w:szCs w:val="24"/>
              </w:rPr>
            </w:pPr>
            <w:r w:rsidRPr="009077F5">
              <w:rPr>
                <w:sz w:val="24"/>
                <w:szCs w:val="24"/>
              </w:rPr>
              <w:t>b.</w:t>
            </w:r>
          </w:p>
        </w:tc>
        <w:tc>
          <w:tcPr>
            <w:tcW w:w="1985" w:type="dxa"/>
            <w:vAlign w:val="center"/>
          </w:tcPr>
          <w:p w14:paraId="18FF3FBF" w14:textId="3633B6C2" w:rsidR="00417271" w:rsidRPr="009077F5" w:rsidRDefault="00417271" w:rsidP="00A202FD">
            <w:pPr>
              <w:jc w:val="both"/>
              <w:rPr>
                <w:rFonts w:eastAsia="Calibri"/>
                <w:lang w:eastAsia="en-US"/>
              </w:rPr>
            </w:pPr>
            <w:r w:rsidRPr="009077F5">
              <w:rPr>
                <w:rFonts w:eastAsia="Calibri"/>
                <w:lang w:eastAsia="en-US"/>
              </w:rPr>
              <w:t>Haddeleme esnasında hammadde şeklinin kontrol edilmesi</w:t>
            </w:r>
          </w:p>
        </w:tc>
        <w:tc>
          <w:tcPr>
            <w:tcW w:w="6520" w:type="dxa"/>
            <w:vAlign w:val="center"/>
          </w:tcPr>
          <w:p w14:paraId="133D35F1" w14:textId="38235C8D" w:rsidR="00417271" w:rsidRPr="009077F5" w:rsidRDefault="004413F3" w:rsidP="00A202FD">
            <w:pPr>
              <w:ind w:left="32"/>
              <w:jc w:val="both"/>
              <w:rPr>
                <w:rFonts w:eastAsia="Calibri"/>
              </w:rPr>
            </w:pPr>
            <w:r w:rsidRPr="009077F5">
              <w:rPr>
                <w:rFonts w:eastAsia="Calibri"/>
              </w:rPr>
              <w:t>Haddeleme sırasında hammaddede meydana gelen deformasyonlar, haddelenmiş çeliğin mümkün olduğunca dikdörtgen bir şekle sahip olmasını sağlamak ve kesme ihtiyacını en aza indirmek için izlenir ve kontrol edilir.</w:t>
            </w:r>
          </w:p>
        </w:tc>
      </w:tr>
    </w:tbl>
    <w:p w14:paraId="24E4772F" w14:textId="77777777" w:rsidR="008C74D4" w:rsidRPr="00D53A2B" w:rsidRDefault="008C74D4" w:rsidP="00A202FD">
      <w:pPr>
        <w:jc w:val="both"/>
        <w:rPr>
          <w:rFonts w:eastAsia="Calibri"/>
          <w:lang w:eastAsia="en-US"/>
        </w:rPr>
      </w:pPr>
    </w:p>
    <w:p w14:paraId="1EA36FDE" w14:textId="47A3EC1D" w:rsidR="0071694E" w:rsidRPr="00D53A2B" w:rsidRDefault="00D10848" w:rsidP="00A202FD">
      <w:pPr>
        <w:pStyle w:val="Balk3"/>
        <w:rPr>
          <w:rFonts w:eastAsia="Calibri" w:cs="Times New Roman"/>
          <w:lang w:eastAsia="en-US"/>
        </w:rPr>
      </w:pPr>
      <w:r w:rsidRPr="00D53A2B">
        <w:rPr>
          <w:rFonts w:eastAsia="Calibri" w:cs="Times New Roman"/>
          <w:lang w:eastAsia="en-US"/>
        </w:rPr>
        <w:t>1</w:t>
      </w:r>
      <w:r w:rsidR="004413F3" w:rsidRPr="00D53A2B">
        <w:rPr>
          <w:rFonts w:eastAsia="Calibri" w:cs="Times New Roman"/>
          <w:lang w:eastAsia="en-US"/>
        </w:rPr>
        <w:t>.6.3. Hava emisyonları</w:t>
      </w:r>
    </w:p>
    <w:p w14:paraId="4A7B0916" w14:textId="6A99281A" w:rsidR="0071694E" w:rsidRPr="00D53A2B" w:rsidRDefault="001E03A0" w:rsidP="00A202FD">
      <w:pPr>
        <w:pStyle w:val="MET"/>
        <w:rPr>
          <w:rFonts w:eastAsia="Calibri"/>
          <w:szCs w:val="24"/>
        </w:rPr>
      </w:pPr>
      <w:r w:rsidRPr="00D53A2B">
        <w:rPr>
          <w:rFonts w:eastAsia="Calibri"/>
          <w:szCs w:val="24"/>
        </w:rPr>
        <w:t xml:space="preserve">MET 42: </w:t>
      </w:r>
      <w:r w:rsidRPr="00D53A2B">
        <w:rPr>
          <w:rFonts w:eastAsia="Calibri"/>
          <w:b w:val="0"/>
          <w:bCs/>
          <w:szCs w:val="24"/>
        </w:rPr>
        <w:t>Mekanik işleme (kesme, temizleme, taşlama, kaba işleme, haddeleme, son işlem, tesviye dahil), yüzey temizleme ve kaynaklamada havaya toz, nikel ve kurşun emisyonlarını azaltmak için (a) ve (b) tekniklerini kullanarak emisyonları toplamak ve bu durumda atık gazı aşağıda verilen (c) ila (e) tekniklerinden birini veya bir kombinasyonunu kullanarak arıtılır.</w:t>
      </w:r>
    </w:p>
    <w:p w14:paraId="4B702038" w14:textId="77777777" w:rsidR="0071694E" w:rsidRPr="00D53A2B" w:rsidRDefault="0071694E" w:rsidP="00A202FD">
      <w:pPr>
        <w:jc w:val="both"/>
        <w:rPr>
          <w:rFonts w:eastAsia="Calibri"/>
        </w:rPr>
      </w:pPr>
    </w:p>
    <w:tbl>
      <w:tblPr>
        <w:tblStyle w:val="TabloKlavuzu"/>
        <w:tblW w:w="8930" w:type="dxa"/>
        <w:tblInd w:w="137" w:type="dxa"/>
        <w:tblLayout w:type="fixed"/>
        <w:tblLook w:val="04A0" w:firstRow="1" w:lastRow="0" w:firstColumn="1" w:lastColumn="0" w:noHBand="0" w:noVBand="1"/>
      </w:tblPr>
      <w:tblGrid>
        <w:gridCol w:w="425"/>
        <w:gridCol w:w="2268"/>
        <w:gridCol w:w="3828"/>
        <w:gridCol w:w="2409"/>
      </w:tblGrid>
      <w:tr w:rsidR="001E03A0" w:rsidRPr="0050094F" w14:paraId="0C8394DF" w14:textId="77777777" w:rsidTr="00C86A85">
        <w:tc>
          <w:tcPr>
            <w:tcW w:w="2693" w:type="dxa"/>
            <w:gridSpan w:val="2"/>
          </w:tcPr>
          <w:p w14:paraId="1E31249D" w14:textId="77777777" w:rsidR="001E03A0" w:rsidRPr="009077F5" w:rsidRDefault="001E03A0" w:rsidP="004B0D48">
            <w:pPr>
              <w:pStyle w:val="KonuBal"/>
              <w:rPr>
                <w:b/>
                <w:bCs/>
                <w:sz w:val="24"/>
                <w:szCs w:val="24"/>
              </w:rPr>
            </w:pPr>
            <w:r w:rsidRPr="009077F5">
              <w:rPr>
                <w:b/>
                <w:bCs/>
                <w:sz w:val="24"/>
                <w:szCs w:val="24"/>
              </w:rPr>
              <w:t>Teknik</w:t>
            </w:r>
          </w:p>
        </w:tc>
        <w:tc>
          <w:tcPr>
            <w:tcW w:w="3828" w:type="dxa"/>
          </w:tcPr>
          <w:p w14:paraId="5E566716" w14:textId="77777777" w:rsidR="001E03A0" w:rsidRPr="009077F5" w:rsidRDefault="001E03A0" w:rsidP="004B0D48">
            <w:pPr>
              <w:pStyle w:val="KonuBal"/>
              <w:rPr>
                <w:b/>
                <w:bCs/>
                <w:sz w:val="24"/>
                <w:szCs w:val="24"/>
              </w:rPr>
            </w:pPr>
            <w:r w:rsidRPr="009077F5">
              <w:rPr>
                <w:b/>
                <w:bCs/>
                <w:sz w:val="24"/>
                <w:szCs w:val="24"/>
              </w:rPr>
              <w:t>Açıklama</w:t>
            </w:r>
          </w:p>
        </w:tc>
        <w:tc>
          <w:tcPr>
            <w:tcW w:w="2409" w:type="dxa"/>
          </w:tcPr>
          <w:p w14:paraId="33BD9ED8" w14:textId="77777777" w:rsidR="001E03A0" w:rsidRPr="009077F5" w:rsidRDefault="001E03A0" w:rsidP="0050094F">
            <w:pPr>
              <w:pStyle w:val="KonuBal"/>
              <w:rPr>
                <w:b/>
                <w:bCs/>
                <w:sz w:val="24"/>
                <w:szCs w:val="24"/>
              </w:rPr>
            </w:pPr>
            <w:r w:rsidRPr="009077F5">
              <w:rPr>
                <w:b/>
                <w:bCs/>
                <w:sz w:val="24"/>
                <w:szCs w:val="24"/>
              </w:rPr>
              <w:t>Uygulanabilirlik</w:t>
            </w:r>
          </w:p>
        </w:tc>
      </w:tr>
      <w:tr w:rsidR="001E03A0" w:rsidRPr="0050094F" w14:paraId="36550DAE" w14:textId="77777777" w:rsidTr="00C86A85">
        <w:tc>
          <w:tcPr>
            <w:tcW w:w="8930" w:type="dxa"/>
            <w:gridSpan w:val="4"/>
          </w:tcPr>
          <w:p w14:paraId="2EF2DEAB" w14:textId="77777777" w:rsidR="001E03A0" w:rsidRPr="009077F5" w:rsidRDefault="001E03A0" w:rsidP="004B0D48">
            <w:pPr>
              <w:pStyle w:val="KonuBal"/>
              <w:rPr>
                <w:sz w:val="24"/>
                <w:szCs w:val="24"/>
              </w:rPr>
            </w:pPr>
            <w:r w:rsidRPr="009077F5">
              <w:rPr>
                <w:sz w:val="24"/>
                <w:szCs w:val="24"/>
              </w:rPr>
              <w:t xml:space="preserve">Emisyonların toplanması </w:t>
            </w:r>
          </w:p>
        </w:tc>
      </w:tr>
      <w:tr w:rsidR="001E03A0" w:rsidRPr="0050094F" w14:paraId="49A5D877" w14:textId="77777777" w:rsidTr="00C86A85">
        <w:tc>
          <w:tcPr>
            <w:tcW w:w="425" w:type="dxa"/>
            <w:vAlign w:val="center"/>
          </w:tcPr>
          <w:p w14:paraId="77FA9197" w14:textId="77777777" w:rsidR="001E03A0" w:rsidRPr="009077F5" w:rsidRDefault="001E03A0" w:rsidP="004B0D48">
            <w:pPr>
              <w:pStyle w:val="KonuBal"/>
              <w:rPr>
                <w:sz w:val="24"/>
                <w:szCs w:val="24"/>
              </w:rPr>
            </w:pPr>
            <w:r w:rsidRPr="009077F5">
              <w:rPr>
                <w:sz w:val="24"/>
                <w:szCs w:val="24"/>
              </w:rPr>
              <w:t>a.</w:t>
            </w:r>
          </w:p>
        </w:tc>
        <w:tc>
          <w:tcPr>
            <w:tcW w:w="2268" w:type="dxa"/>
            <w:vAlign w:val="center"/>
          </w:tcPr>
          <w:p w14:paraId="62B055B3" w14:textId="20D64C81" w:rsidR="001E03A0" w:rsidRPr="009077F5" w:rsidRDefault="001E03A0" w:rsidP="004B0D48">
            <w:pPr>
              <w:pStyle w:val="KonuBal"/>
              <w:rPr>
                <w:sz w:val="24"/>
                <w:szCs w:val="24"/>
              </w:rPr>
            </w:pPr>
            <w:r w:rsidRPr="009077F5">
              <w:rPr>
                <w:sz w:val="24"/>
                <w:szCs w:val="24"/>
              </w:rPr>
              <w:t>Kapalı temizleme ve taşlama, hava tahliyesi ile birleştirilmiştir.</w:t>
            </w:r>
          </w:p>
        </w:tc>
        <w:tc>
          <w:tcPr>
            <w:tcW w:w="3828" w:type="dxa"/>
            <w:vAlign w:val="center"/>
          </w:tcPr>
          <w:p w14:paraId="21D49A02" w14:textId="3788019D" w:rsidR="001E03A0" w:rsidRPr="009077F5" w:rsidRDefault="001E03A0" w:rsidP="00A202FD">
            <w:pPr>
              <w:jc w:val="both"/>
              <w:rPr>
                <w:rFonts w:eastAsia="Calibri"/>
                <w:lang w:eastAsia="en-US"/>
              </w:rPr>
            </w:pPr>
            <w:r w:rsidRPr="009077F5">
              <w:rPr>
                <w:rFonts w:eastAsia="Calibri"/>
                <w:lang w:eastAsia="en-US"/>
              </w:rPr>
              <w:t xml:space="preserve">Yüzey temizleme (elle temizleme haricinde) ve taşlama işlemleri tamamen kapalı bir şekilde gerçekleştirilir (yani kapalı davlumbazlar altında) ve hava tahliye edilir. </w:t>
            </w:r>
          </w:p>
        </w:tc>
        <w:tc>
          <w:tcPr>
            <w:tcW w:w="2409" w:type="dxa"/>
            <w:vAlign w:val="center"/>
          </w:tcPr>
          <w:p w14:paraId="7424FA5E" w14:textId="77777777" w:rsidR="001E03A0" w:rsidRPr="009077F5" w:rsidRDefault="001E03A0" w:rsidP="004B0D48">
            <w:pPr>
              <w:pStyle w:val="KonuBal"/>
              <w:rPr>
                <w:sz w:val="24"/>
                <w:szCs w:val="24"/>
              </w:rPr>
            </w:pPr>
            <w:r w:rsidRPr="009077F5">
              <w:rPr>
                <w:sz w:val="24"/>
                <w:szCs w:val="24"/>
              </w:rPr>
              <w:t>Genel olarak uygulanabilir.</w:t>
            </w:r>
          </w:p>
        </w:tc>
      </w:tr>
      <w:tr w:rsidR="001E03A0" w:rsidRPr="0050094F" w14:paraId="68A8057D" w14:textId="77777777" w:rsidTr="00C86A85">
        <w:tc>
          <w:tcPr>
            <w:tcW w:w="425" w:type="dxa"/>
            <w:vAlign w:val="center"/>
          </w:tcPr>
          <w:p w14:paraId="7A6E31DB" w14:textId="77777777" w:rsidR="001E03A0" w:rsidRPr="009077F5" w:rsidRDefault="001E03A0" w:rsidP="004B0D48">
            <w:pPr>
              <w:pStyle w:val="KonuBal"/>
              <w:rPr>
                <w:sz w:val="24"/>
                <w:szCs w:val="24"/>
              </w:rPr>
            </w:pPr>
            <w:r w:rsidRPr="009077F5">
              <w:rPr>
                <w:sz w:val="24"/>
                <w:szCs w:val="24"/>
              </w:rPr>
              <w:t>b.</w:t>
            </w:r>
          </w:p>
        </w:tc>
        <w:tc>
          <w:tcPr>
            <w:tcW w:w="2268" w:type="dxa"/>
            <w:vAlign w:val="center"/>
          </w:tcPr>
          <w:p w14:paraId="707B9C96" w14:textId="13ACF563" w:rsidR="001E03A0" w:rsidRPr="009077F5" w:rsidRDefault="001E03A0" w:rsidP="004B0D48">
            <w:pPr>
              <w:pStyle w:val="KonuBal"/>
              <w:rPr>
                <w:sz w:val="24"/>
                <w:szCs w:val="24"/>
              </w:rPr>
            </w:pPr>
            <w:r w:rsidRPr="009077F5">
              <w:rPr>
                <w:sz w:val="24"/>
                <w:szCs w:val="24"/>
              </w:rPr>
              <w:t>Emisyon kaynağına mümkün olduğu kadar yakın hava çıkışı</w:t>
            </w:r>
          </w:p>
        </w:tc>
        <w:tc>
          <w:tcPr>
            <w:tcW w:w="3828" w:type="dxa"/>
            <w:vAlign w:val="center"/>
          </w:tcPr>
          <w:p w14:paraId="2FA2EBF8" w14:textId="439E2C44" w:rsidR="001E03A0" w:rsidRPr="009077F5" w:rsidRDefault="001E03A0" w:rsidP="00A202FD">
            <w:pPr>
              <w:pStyle w:val="ListeParagraf"/>
              <w:numPr>
                <w:ilvl w:val="0"/>
                <w:numId w:val="0"/>
              </w:numPr>
              <w:tabs>
                <w:tab w:val="clear" w:pos="567"/>
              </w:tabs>
              <w:spacing w:line="240" w:lineRule="auto"/>
              <w:ind w:left="37"/>
              <w:rPr>
                <w:rFonts w:eastAsia="Calibri"/>
                <w:position w:val="0"/>
                <w:sz w:val="24"/>
                <w:szCs w:val="24"/>
              </w:rPr>
            </w:pPr>
            <w:r w:rsidRPr="009077F5">
              <w:rPr>
                <w:rFonts w:eastAsia="Calibri"/>
                <w:sz w:val="24"/>
                <w:szCs w:val="24"/>
              </w:rPr>
              <w:t>Yarma, tufal giderme, kaba hadde, haddeleme, bitirme, düzleme ve kaynaklama işlemlerinden doğan emisyonlar, örneğin davlumbaz veya ağız kullanarak toplanır.  Kaba işleme ve haddeleme için, düşük toz üretim seviyeleri durumunda, örneğin 100 g/saatin altında, bunun yerine su spreyleri kullanılabilir (bkz. MET 43).</w:t>
            </w:r>
          </w:p>
        </w:tc>
        <w:tc>
          <w:tcPr>
            <w:tcW w:w="2409" w:type="dxa"/>
            <w:vAlign w:val="center"/>
          </w:tcPr>
          <w:p w14:paraId="18434B2F" w14:textId="22A1853D" w:rsidR="001E03A0" w:rsidRPr="009077F5" w:rsidRDefault="001E03A0" w:rsidP="004B0D48">
            <w:pPr>
              <w:pStyle w:val="KonuBal"/>
              <w:rPr>
                <w:sz w:val="24"/>
                <w:szCs w:val="24"/>
              </w:rPr>
            </w:pPr>
            <w:r w:rsidRPr="009077F5">
              <w:rPr>
                <w:sz w:val="24"/>
                <w:szCs w:val="24"/>
              </w:rPr>
              <w:t>Düşük toz oluşumu seviyelerinde, örneğin 50 g/saat</w:t>
            </w:r>
            <w:r w:rsidR="00E56504" w:rsidRPr="009077F5">
              <w:rPr>
                <w:sz w:val="24"/>
                <w:szCs w:val="24"/>
              </w:rPr>
              <w:t>’</w:t>
            </w:r>
            <w:r w:rsidRPr="009077F5">
              <w:rPr>
                <w:sz w:val="24"/>
                <w:szCs w:val="24"/>
              </w:rPr>
              <w:t>in altında, kaynak için uygun olmayabilir.</w:t>
            </w:r>
          </w:p>
        </w:tc>
      </w:tr>
      <w:tr w:rsidR="007321A1" w:rsidRPr="0050094F" w14:paraId="4851F6A7" w14:textId="77777777" w:rsidTr="00C86A85">
        <w:tc>
          <w:tcPr>
            <w:tcW w:w="8930" w:type="dxa"/>
            <w:gridSpan w:val="4"/>
            <w:vAlign w:val="center"/>
          </w:tcPr>
          <w:p w14:paraId="7DBFF61F" w14:textId="3945EB70" w:rsidR="007321A1" w:rsidRPr="009077F5" w:rsidRDefault="007321A1" w:rsidP="004B0D48">
            <w:pPr>
              <w:pStyle w:val="KonuBal"/>
              <w:rPr>
                <w:sz w:val="24"/>
                <w:szCs w:val="24"/>
              </w:rPr>
            </w:pPr>
            <w:r w:rsidRPr="009077F5">
              <w:rPr>
                <w:sz w:val="24"/>
                <w:szCs w:val="24"/>
              </w:rPr>
              <w:t>Atık gaz arıtımı</w:t>
            </w:r>
          </w:p>
        </w:tc>
      </w:tr>
      <w:tr w:rsidR="001E03A0" w:rsidRPr="0050094F" w14:paraId="3C42F0A0" w14:textId="77777777" w:rsidTr="00C86A85">
        <w:tc>
          <w:tcPr>
            <w:tcW w:w="425" w:type="dxa"/>
            <w:vAlign w:val="center"/>
          </w:tcPr>
          <w:p w14:paraId="10E78E30" w14:textId="77777777" w:rsidR="001E03A0" w:rsidRPr="009077F5" w:rsidRDefault="001E03A0" w:rsidP="004B0D48">
            <w:pPr>
              <w:pStyle w:val="KonuBal"/>
              <w:rPr>
                <w:sz w:val="24"/>
                <w:szCs w:val="24"/>
              </w:rPr>
            </w:pPr>
            <w:r w:rsidRPr="009077F5">
              <w:rPr>
                <w:sz w:val="24"/>
                <w:szCs w:val="24"/>
              </w:rPr>
              <w:t>c.</w:t>
            </w:r>
          </w:p>
        </w:tc>
        <w:tc>
          <w:tcPr>
            <w:tcW w:w="2268" w:type="dxa"/>
            <w:vAlign w:val="center"/>
          </w:tcPr>
          <w:p w14:paraId="1E4691FE" w14:textId="717EE825" w:rsidR="001E03A0" w:rsidRPr="009077F5" w:rsidRDefault="007321A1" w:rsidP="00A202FD">
            <w:pPr>
              <w:jc w:val="both"/>
              <w:rPr>
                <w:rFonts w:eastAsia="Calibri"/>
                <w:lang w:eastAsia="en-US"/>
              </w:rPr>
            </w:pPr>
            <w:r w:rsidRPr="009077F5">
              <w:rPr>
                <w:rFonts w:eastAsia="Calibri"/>
                <w:lang w:eastAsia="en-US"/>
              </w:rPr>
              <w:t>Elektrostatik çöktürücü</w:t>
            </w:r>
          </w:p>
        </w:tc>
        <w:tc>
          <w:tcPr>
            <w:tcW w:w="3828" w:type="dxa"/>
          </w:tcPr>
          <w:p w14:paraId="145B8CDA" w14:textId="5D28AE0E" w:rsidR="001E03A0" w:rsidRPr="009077F5" w:rsidRDefault="001E03A0" w:rsidP="00A202FD">
            <w:pPr>
              <w:jc w:val="both"/>
              <w:rPr>
                <w:lang w:val="en-US" w:eastAsia="en-US"/>
              </w:rPr>
            </w:pPr>
            <w:r w:rsidRPr="009077F5">
              <w:rPr>
                <w:rFonts w:eastAsia="Calibri"/>
              </w:rPr>
              <w:t>Bölüm 9.11.2</w:t>
            </w:r>
            <w:r w:rsidR="00E56504" w:rsidRPr="009077F5">
              <w:rPr>
                <w:rFonts w:eastAsia="Calibri"/>
              </w:rPr>
              <w:t>’</w:t>
            </w:r>
            <w:r w:rsidRPr="009077F5">
              <w:rPr>
                <w:rFonts w:eastAsia="Calibri"/>
              </w:rPr>
              <w:t>ye bakınız.</w:t>
            </w:r>
          </w:p>
        </w:tc>
        <w:tc>
          <w:tcPr>
            <w:tcW w:w="2409" w:type="dxa"/>
            <w:vAlign w:val="center"/>
          </w:tcPr>
          <w:p w14:paraId="173736ED" w14:textId="60E36CCC" w:rsidR="001E03A0" w:rsidRPr="009077F5" w:rsidRDefault="007321A1" w:rsidP="004B0D48">
            <w:pPr>
              <w:pStyle w:val="KonuBal"/>
              <w:rPr>
                <w:sz w:val="24"/>
                <w:szCs w:val="24"/>
              </w:rPr>
            </w:pPr>
            <w:r w:rsidRPr="009077F5">
              <w:rPr>
                <w:sz w:val="24"/>
                <w:szCs w:val="24"/>
              </w:rPr>
              <w:t>Genel olarak uygulanabilir.</w:t>
            </w:r>
          </w:p>
        </w:tc>
      </w:tr>
      <w:tr w:rsidR="001E03A0" w:rsidRPr="0050094F" w14:paraId="0C1BEBC5" w14:textId="77777777" w:rsidTr="00C86A85">
        <w:tc>
          <w:tcPr>
            <w:tcW w:w="425" w:type="dxa"/>
            <w:vAlign w:val="center"/>
          </w:tcPr>
          <w:p w14:paraId="6F15EB63" w14:textId="77777777" w:rsidR="001E03A0" w:rsidRPr="009077F5" w:rsidRDefault="001E03A0" w:rsidP="004B0D48">
            <w:pPr>
              <w:pStyle w:val="KonuBal"/>
              <w:rPr>
                <w:sz w:val="24"/>
                <w:szCs w:val="24"/>
              </w:rPr>
            </w:pPr>
            <w:r w:rsidRPr="009077F5">
              <w:rPr>
                <w:sz w:val="24"/>
                <w:szCs w:val="24"/>
              </w:rPr>
              <w:t>d.</w:t>
            </w:r>
          </w:p>
        </w:tc>
        <w:tc>
          <w:tcPr>
            <w:tcW w:w="2268" w:type="dxa"/>
            <w:vAlign w:val="center"/>
          </w:tcPr>
          <w:p w14:paraId="36F416D2" w14:textId="3C0CB77D" w:rsidR="001E03A0" w:rsidRPr="009077F5" w:rsidRDefault="007321A1" w:rsidP="00A202FD">
            <w:pPr>
              <w:jc w:val="both"/>
              <w:rPr>
                <w:rFonts w:eastAsia="Calibri"/>
                <w:lang w:eastAsia="en-US"/>
              </w:rPr>
            </w:pPr>
            <w:r w:rsidRPr="009077F5">
              <w:rPr>
                <w:rFonts w:eastAsia="Calibri"/>
                <w:lang w:eastAsia="en-US"/>
              </w:rPr>
              <w:t>Kumaş filtre</w:t>
            </w:r>
          </w:p>
        </w:tc>
        <w:tc>
          <w:tcPr>
            <w:tcW w:w="3828" w:type="dxa"/>
          </w:tcPr>
          <w:p w14:paraId="538844A8" w14:textId="290785B7" w:rsidR="001E03A0" w:rsidRPr="009077F5" w:rsidRDefault="00D14102" w:rsidP="004B0D48">
            <w:pPr>
              <w:pStyle w:val="KonuBal"/>
              <w:rPr>
                <w:sz w:val="24"/>
                <w:szCs w:val="24"/>
              </w:rPr>
            </w:pPr>
            <w:r w:rsidRPr="009077F5">
              <w:rPr>
                <w:sz w:val="24"/>
                <w:szCs w:val="24"/>
              </w:rPr>
              <w:t>Bölüm 9.11.2</w:t>
            </w:r>
            <w:r w:rsidR="00E56504" w:rsidRPr="009077F5">
              <w:rPr>
                <w:sz w:val="24"/>
                <w:szCs w:val="24"/>
              </w:rPr>
              <w:t>’</w:t>
            </w:r>
            <w:r w:rsidRPr="009077F5">
              <w:rPr>
                <w:sz w:val="24"/>
                <w:szCs w:val="24"/>
              </w:rPr>
              <w:t>ye bakınız.</w:t>
            </w:r>
          </w:p>
        </w:tc>
        <w:tc>
          <w:tcPr>
            <w:tcW w:w="2409" w:type="dxa"/>
            <w:vAlign w:val="center"/>
          </w:tcPr>
          <w:p w14:paraId="2DBECF1A" w14:textId="3050212D" w:rsidR="001E03A0" w:rsidRPr="009077F5" w:rsidRDefault="007321A1" w:rsidP="004B0D48">
            <w:pPr>
              <w:pStyle w:val="KonuBal"/>
              <w:rPr>
                <w:sz w:val="24"/>
                <w:szCs w:val="24"/>
              </w:rPr>
            </w:pPr>
            <w:r w:rsidRPr="009077F5">
              <w:rPr>
                <w:sz w:val="24"/>
                <w:szCs w:val="24"/>
              </w:rPr>
              <w:t>Yüksek nem oranına sahip atık gazlarda uygulanamayabilir.</w:t>
            </w:r>
          </w:p>
        </w:tc>
      </w:tr>
      <w:tr w:rsidR="001E03A0" w:rsidRPr="0050094F" w14:paraId="4748B3F0" w14:textId="77777777" w:rsidTr="00C86A85">
        <w:tc>
          <w:tcPr>
            <w:tcW w:w="425" w:type="dxa"/>
            <w:vAlign w:val="center"/>
          </w:tcPr>
          <w:p w14:paraId="26309772" w14:textId="77777777" w:rsidR="001E03A0" w:rsidRPr="009077F5" w:rsidRDefault="001E03A0" w:rsidP="004B0D48">
            <w:pPr>
              <w:pStyle w:val="KonuBal"/>
              <w:rPr>
                <w:sz w:val="24"/>
                <w:szCs w:val="24"/>
              </w:rPr>
            </w:pPr>
            <w:r w:rsidRPr="009077F5">
              <w:rPr>
                <w:sz w:val="24"/>
                <w:szCs w:val="24"/>
              </w:rPr>
              <w:t xml:space="preserve">e. </w:t>
            </w:r>
          </w:p>
        </w:tc>
        <w:tc>
          <w:tcPr>
            <w:tcW w:w="2268" w:type="dxa"/>
            <w:vAlign w:val="center"/>
          </w:tcPr>
          <w:p w14:paraId="312EB0B4" w14:textId="794D4454" w:rsidR="001E03A0" w:rsidRPr="009077F5" w:rsidRDefault="007321A1" w:rsidP="00A202FD">
            <w:pPr>
              <w:jc w:val="both"/>
              <w:rPr>
                <w:rFonts w:eastAsia="Calibri"/>
                <w:lang w:eastAsia="en-US"/>
              </w:rPr>
            </w:pPr>
            <w:r w:rsidRPr="009077F5">
              <w:rPr>
                <w:rFonts w:eastAsia="Calibri"/>
                <w:lang w:eastAsia="en-US"/>
              </w:rPr>
              <w:t>Islak fırçalama</w:t>
            </w:r>
          </w:p>
        </w:tc>
        <w:tc>
          <w:tcPr>
            <w:tcW w:w="3828" w:type="dxa"/>
          </w:tcPr>
          <w:p w14:paraId="46974A31" w14:textId="724275F1" w:rsidR="001E03A0" w:rsidRPr="009077F5" w:rsidRDefault="00D14102" w:rsidP="004B0D48">
            <w:pPr>
              <w:pStyle w:val="KonuBal"/>
              <w:rPr>
                <w:sz w:val="24"/>
                <w:szCs w:val="24"/>
              </w:rPr>
            </w:pPr>
            <w:r w:rsidRPr="009077F5">
              <w:rPr>
                <w:sz w:val="24"/>
                <w:szCs w:val="24"/>
              </w:rPr>
              <w:t>Bölüm 9.11.2</w:t>
            </w:r>
            <w:r w:rsidR="00E56504" w:rsidRPr="009077F5">
              <w:rPr>
                <w:sz w:val="24"/>
                <w:szCs w:val="24"/>
              </w:rPr>
              <w:t>’</w:t>
            </w:r>
            <w:r w:rsidRPr="009077F5">
              <w:rPr>
                <w:sz w:val="24"/>
                <w:szCs w:val="24"/>
              </w:rPr>
              <w:t>ye bakınız.</w:t>
            </w:r>
          </w:p>
        </w:tc>
        <w:tc>
          <w:tcPr>
            <w:tcW w:w="2409" w:type="dxa"/>
            <w:vAlign w:val="center"/>
          </w:tcPr>
          <w:p w14:paraId="350621BA" w14:textId="21282642" w:rsidR="001E03A0" w:rsidRPr="009077F5" w:rsidRDefault="007321A1" w:rsidP="004B0D48">
            <w:pPr>
              <w:pStyle w:val="KonuBal"/>
              <w:rPr>
                <w:sz w:val="24"/>
                <w:szCs w:val="24"/>
              </w:rPr>
            </w:pPr>
            <w:r w:rsidRPr="009077F5">
              <w:rPr>
                <w:sz w:val="24"/>
                <w:szCs w:val="24"/>
              </w:rPr>
              <w:t>Genel olarak uygulanabilir.</w:t>
            </w:r>
          </w:p>
        </w:tc>
      </w:tr>
    </w:tbl>
    <w:p w14:paraId="754471A5" w14:textId="77777777" w:rsidR="0071694E" w:rsidRPr="00D53A2B" w:rsidRDefault="0071694E" w:rsidP="00A202FD">
      <w:pPr>
        <w:jc w:val="both"/>
        <w:rPr>
          <w:rFonts w:eastAsia="Calibri"/>
          <w:lang w:eastAsia="en-US"/>
        </w:rPr>
      </w:pPr>
    </w:p>
    <w:p w14:paraId="5B80A675" w14:textId="76A5FF9B" w:rsidR="001023C7" w:rsidRPr="00D53A2B" w:rsidRDefault="007321A1" w:rsidP="00A202FD">
      <w:pPr>
        <w:jc w:val="both"/>
        <w:rPr>
          <w:rFonts w:eastAsia="Calibri"/>
          <w:lang w:eastAsia="en-US"/>
        </w:rPr>
      </w:pPr>
      <w:r w:rsidRPr="00D53A2B">
        <w:rPr>
          <w:rFonts w:eastAsia="Calibri"/>
          <w:lang w:eastAsia="en-US"/>
        </w:rPr>
        <w:t xml:space="preserve">Tablo </w:t>
      </w:r>
      <w:r w:rsidR="00F46CF1" w:rsidRPr="00D53A2B">
        <w:rPr>
          <w:rFonts w:eastAsia="Calibri"/>
          <w:lang w:eastAsia="en-US"/>
        </w:rPr>
        <w:t>1</w:t>
      </w:r>
      <w:r w:rsidRPr="00D53A2B">
        <w:rPr>
          <w:rFonts w:eastAsia="Calibri"/>
          <w:lang w:eastAsia="en-US"/>
        </w:rPr>
        <w:t>.23</w:t>
      </w:r>
    </w:p>
    <w:p w14:paraId="28D41F85" w14:textId="64E3E5DF" w:rsidR="0071694E" w:rsidRPr="00D53A2B" w:rsidRDefault="007321A1" w:rsidP="00A202FD">
      <w:pPr>
        <w:jc w:val="both"/>
        <w:rPr>
          <w:rFonts w:eastAsia="Calibri"/>
          <w:lang w:eastAsia="en-US"/>
        </w:rPr>
      </w:pPr>
      <w:r w:rsidRPr="00D53A2B">
        <w:rPr>
          <w:rFonts w:eastAsia="Calibri"/>
          <w:lang w:eastAsia="en-US"/>
        </w:rPr>
        <w:t>Mekanik işleme (</w:t>
      </w:r>
      <w:r w:rsidR="0060155E">
        <w:rPr>
          <w:rFonts w:eastAsia="Calibri"/>
          <w:lang w:eastAsia="en-US"/>
        </w:rPr>
        <w:t>kesme</w:t>
      </w:r>
      <w:r w:rsidRPr="00D53A2B">
        <w:rPr>
          <w:rFonts w:eastAsia="Calibri"/>
          <w:lang w:eastAsia="en-US"/>
        </w:rPr>
        <w:t>, tufal giderme, taşlama, kaba haddeleme, haddeleme, bitirme, düzleme), yüzey temizleme (elle temizleme hariç) ve kaynaklamadan kaynaklanan toz, kurşun ve nikelin havaya kanalize edilmiş emisyonları için MET-ilişkili emisyon seviyeleri (MET-İES</w:t>
      </w:r>
      <w:r w:rsidR="00D14102" w:rsidRPr="00D53A2B">
        <w:rPr>
          <w:rFonts w:eastAsia="Calibri"/>
          <w:lang w:eastAsia="en-US"/>
        </w:rPr>
        <w:t>)</w:t>
      </w:r>
      <w:r w:rsidRPr="00D53A2B">
        <w:rPr>
          <w:rFonts w:eastAsia="Calibri"/>
          <w:lang w:eastAsia="en-US"/>
        </w:rPr>
        <w:t>.</w:t>
      </w:r>
    </w:p>
    <w:p w14:paraId="2DAD87F8" w14:textId="77777777" w:rsidR="00C15CF2" w:rsidRPr="00D53A2B" w:rsidRDefault="00C15CF2"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1418"/>
        <w:gridCol w:w="1417"/>
        <w:gridCol w:w="6095"/>
      </w:tblGrid>
      <w:tr w:rsidR="00B05B19" w:rsidRPr="00D53A2B" w14:paraId="01C2E8BE" w14:textId="77777777" w:rsidTr="00A202FD">
        <w:tc>
          <w:tcPr>
            <w:tcW w:w="1418" w:type="dxa"/>
          </w:tcPr>
          <w:p w14:paraId="6D77603F" w14:textId="77777777" w:rsidR="00B05B19" w:rsidRPr="009077F5" w:rsidRDefault="00B05B19" w:rsidP="004B0D48">
            <w:pPr>
              <w:pStyle w:val="KonuBal"/>
              <w:rPr>
                <w:sz w:val="24"/>
                <w:szCs w:val="24"/>
              </w:rPr>
            </w:pPr>
            <w:r w:rsidRPr="009077F5">
              <w:rPr>
                <w:sz w:val="24"/>
                <w:szCs w:val="24"/>
              </w:rPr>
              <w:t>Parametre</w:t>
            </w:r>
          </w:p>
        </w:tc>
        <w:tc>
          <w:tcPr>
            <w:tcW w:w="1417" w:type="dxa"/>
          </w:tcPr>
          <w:p w14:paraId="17B43F2F" w14:textId="77777777" w:rsidR="00B05B19" w:rsidRPr="009077F5" w:rsidRDefault="00B05B19" w:rsidP="004B0D48">
            <w:pPr>
              <w:pStyle w:val="KonuBal"/>
              <w:rPr>
                <w:sz w:val="24"/>
                <w:szCs w:val="24"/>
              </w:rPr>
            </w:pPr>
            <w:r w:rsidRPr="009077F5">
              <w:rPr>
                <w:sz w:val="24"/>
                <w:szCs w:val="24"/>
              </w:rPr>
              <w:t>Birim</w:t>
            </w:r>
          </w:p>
        </w:tc>
        <w:tc>
          <w:tcPr>
            <w:tcW w:w="6095" w:type="dxa"/>
          </w:tcPr>
          <w:p w14:paraId="78E8AFEF" w14:textId="77777777" w:rsidR="00B05B19" w:rsidRPr="009077F5" w:rsidRDefault="00B05B19" w:rsidP="00A202FD">
            <w:pPr>
              <w:jc w:val="both"/>
              <w:rPr>
                <w:rFonts w:eastAsia="Calibri"/>
                <w:lang w:eastAsia="en-US"/>
              </w:rPr>
            </w:pPr>
            <w:r w:rsidRPr="009077F5">
              <w:rPr>
                <w:rFonts w:eastAsia="Calibri"/>
                <w:lang w:eastAsia="en-US"/>
              </w:rPr>
              <w:t xml:space="preserve">MET-İES </w:t>
            </w:r>
          </w:p>
          <w:p w14:paraId="11B25711" w14:textId="77777777" w:rsidR="00B05B19" w:rsidRPr="009077F5" w:rsidRDefault="00B05B19" w:rsidP="004B0D48">
            <w:pPr>
              <w:pStyle w:val="KonuBal"/>
              <w:rPr>
                <w:sz w:val="24"/>
                <w:szCs w:val="24"/>
              </w:rPr>
            </w:pPr>
            <w:r w:rsidRPr="009077F5">
              <w:rPr>
                <w:sz w:val="24"/>
                <w:szCs w:val="24"/>
              </w:rPr>
              <w:t>(Günlük ortalama veya numune alma süresi boyunca ortalama)</w:t>
            </w:r>
          </w:p>
        </w:tc>
      </w:tr>
      <w:tr w:rsidR="00B05B19" w:rsidRPr="00D53A2B" w14:paraId="2852A3C8" w14:textId="77777777" w:rsidTr="00A202FD">
        <w:tc>
          <w:tcPr>
            <w:tcW w:w="1418" w:type="dxa"/>
          </w:tcPr>
          <w:p w14:paraId="2D677207" w14:textId="72A77D9A" w:rsidR="00B05B19" w:rsidRPr="009077F5" w:rsidRDefault="00B05B19" w:rsidP="004B0D48">
            <w:pPr>
              <w:pStyle w:val="KonuBal"/>
              <w:rPr>
                <w:sz w:val="24"/>
                <w:szCs w:val="24"/>
              </w:rPr>
            </w:pPr>
            <w:r w:rsidRPr="009077F5">
              <w:rPr>
                <w:sz w:val="24"/>
                <w:szCs w:val="24"/>
              </w:rPr>
              <w:t>Toz</w:t>
            </w:r>
          </w:p>
        </w:tc>
        <w:tc>
          <w:tcPr>
            <w:tcW w:w="1417" w:type="dxa"/>
            <w:vMerge w:val="restart"/>
          </w:tcPr>
          <w:p w14:paraId="748E4870" w14:textId="77777777" w:rsidR="00B05B19" w:rsidRPr="009077F5" w:rsidRDefault="00B05B19"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117DF5FD" w14:textId="635A64F6" w:rsidR="00B05B19" w:rsidRPr="009077F5" w:rsidRDefault="00B05B19" w:rsidP="0050094F">
            <w:pPr>
              <w:pStyle w:val="KonuBal"/>
              <w:rPr>
                <w:sz w:val="24"/>
                <w:szCs w:val="24"/>
              </w:rPr>
            </w:pPr>
            <w:r w:rsidRPr="009077F5">
              <w:rPr>
                <w:sz w:val="24"/>
                <w:szCs w:val="24"/>
              </w:rPr>
              <w:t>&lt;2-5 (</w:t>
            </w:r>
            <w:r w:rsidRPr="009077F5">
              <w:rPr>
                <w:sz w:val="24"/>
                <w:szCs w:val="24"/>
                <w:vertAlign w:val="superscript"/>
              </w:rPr>
              <w:t>1</w:t>
            </w:r>
            <w:r w:rsidRPr="009077F5">
              <w:rPr>
                <w:sz w:val="24"/>
                <w:szCs w:val="24"/>
              </w:rPr>
              <w:t>)</w:t>
            </w:r>
          </w:p>
        </w:tc>
      </w:tr>
      <w:tr w:rsidR="00B05B19" w:rsidRPr="00D53A2B" w14:paraId="6C9E0516" w14:textId="77777777" w:rsidTr="00A202FD">
        <w:tc>
          <w:tcPr>
            <w:tcW w:w="1418" w:type="dxa"/>
          </w:tcPr>
          <w:p w14:paraId="05620454" w14:textId="30BEF71D" w:rsidR="00B05B19" w:rsidRPr="009077F5" w:rsidRDefault="00B05B19" w:rsidP="004B0D48">
            <w:pPr>
              <w:pStyle w:val="KonuBal"/>
              <w:rPr>
                <w:sz w:val="24"/>
                <w:szCs w:val="24"/>
              </w:rPr>
            </w:pPr>
            <w:r w:rsidRPr="009077F5">
              <w:rPr>
                <w:sz w:val="24"/>
                <w:szCs w:val="24"/>
              </w:rPr>
              <w:t>Ni</w:t>
            </w:r>
          </w:p>
        </w:tc>
        <w:tc>
          <w:tcPr>
            <w:tcW w:w="1417" w:type="dxa"/>
            <w:vMerge/>
          </w:tcPr>
          <w:p w14:paraId="1C4CC7BC" w14:textId="38D07096" w:rsidR="00B05B19" w:rsidRPr="009077F5" w:rsidRDefault="00B05B19">
            <w:pPr>
              <w:pStyle w:val="KonuBal"/>
              <w:rPr>
                <w:sz w:val="24"/>
                <w:szCs w:val="24"/>
              </w:rPr>
            </w:pPr>
          </w:p>
        </w:tc>
        <w:tc>
          <w:tcPr>
            <w:tcW w:w="6095" w:type="dxa"/>
            <w:vAlign w:val="bottom"/>
          </w:tcPr>
          <w:p w14:paraId="48973A22" w14:textId="0C696797" w:rsidR="00B05B19" w:rsidRPr="009077F5" w:rsidRDefault="00B05B19">
            <w:pPr>
              <w:pStyle w:val="KonuBal"/>
              <w:rPr>
                <w:sz w:val="24"/>
                <w:szCs w:val="24"/>
              </w:rPr>
            </w:pPr>
            <w:r w:rsidRPr="009077F5">
              <w:rPr>
                <w:sz w:val="24"/>
                <w:szCs w:val="24"/>
              </w:rPr>
              <w:t>0,01-0,1 (</w:t>
            </w:r>
            <w:r w:rsidRPr="009077F5">
              <w:rPr>
                <w:sz w:val="24"/>
                <w:szCs w:val="24"/>
                <w:vertAlign w:val="superscript"/>
              </w:rPr>
              <w:t>2</w:t>
            </w:r>
            <w:r w:rsidRPr="009077F5">
              <w:rPr>
                <w:sz w:val="24"/>
                <w:szCs w:val="24"/>
              </w:rPr>
              <w:t>)</w:t>
            </w:r>
          </w:p>
        </w:tc>
      </w:tr>
      <w:tr w:rsidR="00B05B19" w:rsidRPr="00D53A2B" w14:paraId="43BC5DE9" w14:textId="77777777" w:rsidTr="00A202FD">
        <w:tc>
          <w:tcPr>
            <w:tcW w:w="1418" w:type="dxa"/>
          </w:tcPr>
          <w:p w14:paraId="05361BED" w14:textId="45AEB78C" w:rsidR="00B05B19" w:rsidRPr="009077F5" w:rsidRDefault="00B05B19" w:rsidP="004B0D48">
            <w:pPr>
              <w:pStyle w:val="KonuBal"/>
              <w:rPr>
                <w:sz w:val="24"/>
                <w:szCs w:val="24"/>
              </w:rPr>
            </w:pPr>
            <w:r w:rsidRPr="009077F5">
              <w:rPr>
                <w:sz w:val="24"/>
                <w:szCs w:val="24"/>
              </w:rPr>
              <w:t>Pb</w:t>
            </w:r>
          </w:p>
        </w:tc>
        <w:tc>
          <w:tcPr>
            <w:tcW w:w="1417" w:type="dxa"/>
            <w:vMerge/>
          </w:tcPr>
          <w:p w14:paraId="07D9FB30" w14:textId="5AC453D1" w:rsidR="00B05B19" w:rsidRPr="009077F5" w:rsidRDefault="00B05B19">
            <w:pPr>
              <w:pStyle w:val="KonuBal"/>
              <w:rPr>
                <w:sz w:val="24"/>
                <w:szCs w:val="24"/>
              </w:rPr>
            </w:pPr>
          </w:p>
        </w:tc>
        <w:tc>
          <w:tcPr>
            <w:tcW w:w="6095" w:type="dxa"/>
            <w:vAlign w:val="bottom"/>
          </w:tcPr>
          <w:p w14:paraId="50861ABB" w14:textId="3D3076D0" w:rsidR="00B05B19" w:rsidRPr="009077F5" w:rsidRDefault="00B05B19">
            <w:pPr>
              <w:pStyle w:val="KonuBal"/>
              <w:rPr>
                <w:sz w:val="24"/>
                <w:szCs w:val="24"/>
              </w:rPr>
            </w:pPr>
            <w:r w:rsidRPr="009077F5">
              <w:rPr>
                <w:sz w:val="24"/>
                <w:szCs w:val="24"/>
              </w:rPr>
              <w:t>0,01-0,035 (</w:t>
            </w:r>
            <w:r w:rsidRPr="009077F5">
              <w:rPr>
                <w:sz w:val="24"/>
                <w:szCs w:val="24"/>
                <w:vertAlign w:val="superscript"/>
              </w:rPr>
              <w:t>2</w:t>
            </w:r>
            <w:r w:rsidRPr="009077F5">
              <w:rPr>
                <w:sz w:val="24"/>
                <w:szCs w:val="24"/>
              </w:rPr>
              <w:t>)</w:t>
            </w:r>
          </w:p>
        </w:tc>
      </w:tr>
      <w:tr w:rsidR="00B05B19" w:rsidRPr="00D53A2B" w14:paraId="3658F1A0" w14:textId="77777777" w:rsidTr="00A202FD">
        <w:tc>
          <w:tcPr>
            <w:tcW w:w="8930" w:type="dxa"/>
            <w:gridSpan w:val="3"/>
          </w:tcPr>
          <w:p w14:paraId="675734DD" w14:textId="55548116" w:rsidR="00B05B19" w:rsidRPr="00D53A2B" w:rsidRDefault="00B05B19" w:rsidP="004B0D48">
            <w:pPr>
              <w:pStyle w:val="KonuBal"/>
            </w:pPr>
            <w:r w:rsidRPr="00D53A2B">
              <w:t>(</w:t>
            </w:r>
            <w:r w:rsidRPr="00D53A2B">
              <w:rPr>
                <w:vertAlign w:val="superscript"/>
              </w:rPr>
              <w:t>1</w:t>
            </w:r>
            <w:r w:rsidRPr="00D53A2B">
              <w:t>) Kumaş filtre uygulanamadığında, MET-İES aralığının üst sınırı daha yüksek olabilir ve 7 mg/Nm</w:t>
            </w:r>
            <w:r w:rsidRPr="00D53A2B">
              <w:rPr>
                <w:vertAlign w:val="superscript"/>
              </w:rPr>
              <w:t>3</w:t>
            </w:r>
            <w:r w:rsidR="00E56504" w:rsidRPr="00D53A2B">
              <w:rPr>
                <w:vertAlign w:val="superscript"/>
              </w:rPr>
              <w:t>’</w:t>
            </w:r>
            <w:r w:rsidRPr="00D53A2B">
              <w:t>e kadar çıkabilir.</w:t>
            </w:r>
          </w:p>
          <w:p w14:paraId="2C6B95A7" w14:textId="79B3994D" w:rsidR="00B05B19" w:rsidRPr="00D53A2B" w:rsidRDefault="00B05B19" w:rsidP="00A202FD">
            <w:pPr>
              <w:jc w:val="both"/>
              <w:rPr>
                <w:sz w:val="22"/>
                <w:szCs w:val="22"/>
                <w:lang w:val="en-US" w:eastAsia="en-US"/>
              </w:rPr>
            </w:pPr>
            <w:r w:rsidRPr="00D53A2B">
              <w:rPr>
                <w:sz w:val="20"/>
                <w:szCs w:val="20"/>
              </w:rPr>
              <w:t>(</w:t>
            </w:r>
            <w:r w:rsidRPr="00D53A2B">
              <w:rPr>
                <w:sz w:val="20"/>
                <w:szCs w:val="20"/>
                <w:vertAlign w:val="superscript"/>
              </w:rPr>
              <w:t>2</w:t>
            </w:r>
            <w:r w:rsidRPr="00D53A2B">
              <w:rPr>
                <w:sz w:val="20"/>
                <w:szCs w:val="20"/>
              </w:rPr>
              <w:t>) MET-İES, yalnızca ilgili maddenin MET 2</w:t>
            </w:r>
            <w:r w:rsidR="00E56504" w:rsidRPr="00D53A2B">
              <w:rPr>
                <w:sz w:val="20"/>
                <w:szCs w:val="20"/>
              </w:rPr>
              <w:t>’</w:t>
            </w:r>
            <w:r w:rsidRPr="00D53A2B">
              <w:rPr>
                <w:sz w:val="20"/>
                <w:szCs w:val="20"/>
              </w:rPr>
              <w:t>de verilen envantere dayanarak atık gaz akışında ilgili olarak tanımlanması durumunda geçerlidir.</w:t>
            </w:r>
          </w:p>
        </w:tc>
      </w:tr>
    </w:tbl>
    <w:p w14:paraId="6CC9FECA" w14:textId="77777777" w:rsidR="0071694E" w:rsidRPr="00D53A2B" w:rsidRDefault="0071694E" w:rsidP="00A202FD">
      <w:pPr>
        <w:jc w:val="both"/>
        <w:rPr>
          <w:rFonts w:eastAsia="Calibri"/>
          <w:lang w:eastAsia="en-US"/>
        </w:rPr>
      </w:pPr>
    </w:p>
    <w:p w14:paraId="69D16564" w14:textId="660FC078" w:rsidR="00B05B19" w:rsidRPr="00D53A2B" w:rsidRDefault="00B05B19"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72299765" w14:textId="77777777" w:rsidR="0071694E" w:rsidRPr="00D53A2B" w:rsidRDefault="0071694E" w:rsidP="00A202FD">
      <w:pPr>
        <w:jc w:val="both"/>
        <w:rPr>
          <w:rFonts w:eastAsia="Calibri"/>
          <w:lang w:eastAsia="en-US"/>
        </w:rPr>
      </w:pPr>
    </w:p>
    <w:p w14:paraId="40A1E1CC" w14:textId="66BB7914" w:rsidR="0071694E" w:rsidRPr="00D53A2B" w:rsidRDefault="00B05B19" w:rsidP="00A202FD">
      <w:pPr>
        <w:pStyle w:val="MET"/>
        <w:rPr>
          <w:rFonts w:eastAsia="Calibri"/>
          <w:szCs w:val="24"/>
        </w:rPr>
      </w:pPr>
      <w:r w:rsidRPr="00D53A2B">
        <w:rPr>
          <w:rFonts w:eastAsia="Calibri"/>
          <w:szCs w:val="24"/>
        </w:rPr>
        <w:lastRenderedPageBreak/>
        <w:t xml:space="preserve">MET 43: </w:t>
      </w:r>
      <w:r w:rsidRPr="00D53A2B">
        <w:rPr>
          <w:rFonts w:eastAsia="Calibri"/>
          <w:b w:val="0"/>
          <w:bCs/>
          <w:szCs w:val="24"/>
        </w:rPr>
        <w:t>Düşük toz üretim seviyeleri (örneğin 100 g/saatin altında (bkz. MET 42 (b)) durumunda, kaba işleme ve haddeleme sırasında havaya salınan toz, nikel ve kurşun emisyonlarını azaltmak için su spreylerinin kullanılır.</w:t>
      </w:r>
    </w:p>
    <w:p w14:paraId="1D601C5D" w14:textId="77777777" w:rsidR="0071694E" w:rsidRPr="00D53A2B" w:rsidRDefault="0071694E" w:rsidP="00A202FD">
      <w:pPr>
        <w:jc w:val="both"/>
        <w:rPr>
          <w:rFonts w:eastAsia="Calibri"/>
          <w:lang w:eastAsia="en-US"/>
        </w:rPr>
      </w:pPr>
    </w:p>
    <w:p w14:paraId="57944B18" w14:textId="00BB5636" w:rsidR="0071694E" w:rsidRPr="00D53A2B" w:rsidRDefault="00B05B19" w:rsidP="00A202FD">
      <w:pPr>
        <w:jc w:val="both"/>
        <w:rPr>
          <w:rFonts w:eastAsia="Calibri"/>
          <w:b/>
          <w:bCs/>
          <w:lang w:eastAsia="en-US"/>
        </w:rPr>
      </w:pPr>
      <w:r w:rsidRPr="00D53A2B">
        <w:rPr>
          <w:rFonts w:eastAsia="Calibri"/>
          <w:b/>
          <w:bCs/>
          <w:lang w:eastAsia="en-US"/>
        </w:rPr>
        <w:t>Tanımlama</w:t>
      </w:r>
    </w:p>
    <w:p w14:paraId="6F11B8E6" w14:textId="43054475" w:rsidR="0071694E" w:rsidRPr="00D53A2B" w:rsidRDefault="00B05B19" w:rsidP="00A202FD">
      <w:pPr>
        <w:jc w:val="both"/>
        <w:rPr>
          <w:rFonts w:eastAsia="Calibri"/>
          <w:lang w:eastAsia="en-US"/>
        </w:rPr>
      </w:pPr>
      <w:r w:rsidRPr="00D53A2B">
        <w:rPr>
          <w:rFonts w:eastAsia="Calibri"/>
          <w:lang w:eastAsia="en-US"/>
        </w:rPr>
        <w:t xml:space="preserve">Her kaba işleme ve haddeleme standının çıkış tarafına toz oluşumunu azaltmak için su püskürtme enjeksiyon sistemleri kurulur. Toz parçacıklarının nemlendirilmesi, topaklanmayı ve tozun yerleşmesini kolaylaştırır. Su standın dibinde toplanır ve arıtılır (bkz. </w:t>
      </w:r>
      <w:r w:rsidR="00651500" w:rsidRPr="00D53A2B">
        <w:rPr>
          <w:rFonts w:eastAsia="Calibri"/>
          <w:lang w:eastAsia="en-US"/>
        </w:rPr>
        <w:t>MET</w:t>
      </w:r>
      <w:r w:rsidRPr="00D53A2B">
        <w:rPr>
          <w:rFonts w:eastAsia="Calibri"/>
          <w:lang w:eastAsia="en-US"/>
        </w:rPr>
        <w:t>31).</w:t>
      </w:r>
    </w:p>
    <w:p w14:paraId="15EF3FF3" w14:textId="77777777" w:rsidR="0071694E" w:rsidRPr="00D53A2B" w:rsidRDefault="0071694E" w:rsidP="00A202FD">
      <w:pPr>
        <w:jc w:val="both"/>
        <w:rPr>
          <w:rFonts w:eastAsia="Calibri"/>
          <w:lang w:eastAsia="en-US"/>
        </w:rPr>
      </w:pPr>
    </w:p>
    <w:p w14:paraId="2F45DA73" w14:textId="594BCCCD" w:rsidR="0071694E" w:rsidRPr="00D53A2B" w:rsidRDefault="00D10848" w:rsidP="00A202FD">
      <w:pPr>
        <w:pStyle w:val="Balk2"/>
        <w:rPr>
          <w:rFonts w:eastAsia="Calibri" w:cs="Times New Roman"/>
          <w:szCs w:val="24"/>
          <w:lang w:eastAsia="en-US"/>
        </w:rPr>
      </w:pPr>
      <w:r w:rsidRPr="00D53A2B">
        <w:rPr>
          <w:rFonts w:eastAsia="Calibri" w:cs="Times New Roman"/>
          <w:szCs w:val="24"/>
          <w:lang w:eastAsia="en-US"/>
        </w:rPr>
        <w:t>1</w:t>
      </w:r>
      <w:r w:rsidR="006A4E91" w:rsidRPr="00D53A2B">
        <w:rPr>
          <w:rFonts w:eastAsia="Calibri" w:cs="Times New Roman"/>
          <w:szCs w:val="24"/>
          <w:lang w:eastAsia="en-US"/>
        </w:rPr>
        <w:t xml:space="preserve">.7. Soğuk </w:t>
      </w:r>
      <w:r w:rsidR="009A27D8" w:rsidRPr="00D53A2B">
        <w:rPr>
          <w:rFonts w:eastAsia="Calibri" w:cs="Times New Roman"/>
          <w:szCs w:val="24"/>
          <w:lang w:eastAsia="en-US"/>
        </w:rPr>
        <w:t xml:space="preserve">Haddeleme İçin </w:t>
      </w:r>
      <w:r w:rsidR="006A4E91" w:rsidRPr="00D53A2B">
        <w:rPr>
          <w:rFonts w:eastAsia="Calibri" w:cs="Times New Roman"/>
          <w:szCs w:val="24"/>
          <w:lang w:eastAsia="en-US"/>
        </w:rPr>
        <w:t xml:space="preserve">MET </w:t>
      </w:r>
      <w:r w:rsidR="009A27D8" w:rsidRPr="00D53A2B">
        <w:rPr>
          <w:rFonts w:eastAsia="Calibri" w:cs="Times New Roman"/>
          <w:szCs w:val="24"/>
          <w:lang w:eastAsia="en-US"/>
        </w:rPr>
        <w:t>S</w:t>
      </w:r>
      <w:r w:rsidR="006A4E91" w:rsidRPr="00D53A2B">
        <w:rPr>
          <w:rFonts w:eastAsia="Calibri" w:cs="Times New Roman"/>
          <w:szCs w:val="24"/>
          <w:lang w:eastAsia="en-US"/>
        </w:rPr>
        <w:t>onuçları</w:t>
      </w:r>
    </w:p>
    <w:p w14:paraId="57C3BB83" w14:textId="4BFCB91A" w:rsidR="0071694E" w:rsidRPr="00D53A2B" w:rsidRDefault="00202C9B" w:rsidP="00A202FD">
      <w:pPr>
        <w:jc w:val="both"/>
        <w:rPr>
          <w:rFonts w:eastAsia="Calibri"/>
          <w:lang w:eastAsia="en-US"/>
        </w:rPr>
      </w:pPr>
      <w:r w:rsidRPr="00D53A2B">
        <w:rPr>
          <w:rFonts w:eastAsia="Calibri"/>
          <w:lang w:eastAsia="en-US"/>
        </w:rPr>
        <w:t xml:space="preserve">Bu bölümdeki METsonuçları, Bölüm </w:t>
      </w:r>
      <w:r w:rsidR="00B97162" w:rsidRPr="00D53A2B">
        <w:rPr>
          <w:rFonts w:eastAsia="Calibri"/>
          <w:lang w:eastAsia="en-US"/>
        </w:rPr>
        <w:t>1</w:t>
      </w:r>
      <w:r w:rsidRPr="00D53A2B">
        <w:rPr>
          <w:rFonts w:eastAsia="Calibri"/>
          <w:lang w:eastAsia="en-US"/>
        </w:rPr>
        <w:t>.5</w:t>
      </w:r>
      <w:r w:rsidR="00E56504" w:rsidRPr="00D53A2B">
        <w:rPr>
          <w:rFonts w:eastAsia="Calibri"/>
          <w:lang w:eastAsia="en-US"/>
        </w:rPr>
        <w:t>’</w:t>
      </w:r>
      <w:r w:rsidRPr="00D53A2B">
        <w:rPr>
          <w:rFonts w:eastAsia="Calibri"/>
          <w:lang w:eastAsia="en-US"/>
        </w:rPr>
        <w:t>te verilen genel MET sonuçlarına ek olarak uygulanır</w:t>
      </w:r>
    </w:p>
    <w:p w14:paraId="3644F701" w14:textId="77777777" w:rsidR="0071694E" w:rsidRPr="00D53A2B" w:rsidRDefault="0071694E" w:rsidP="00A202FD">
      <w:pPr>
        <w:jc w:val="both"/>
        <w:rPr>
          <w:rFonts w:eastAsia="Calibri"/>
          <w:lang w:eastAsia="en-US"/>
        </w:rPr>
      </w:pPr>
    </w:p>
    <w:p w14:paraId="7F98D8F2" w14:textId="3955F21D" w:rsidR="0071694E" w:rsidRPr="00D53A2B" w:rsidRDefault="00D10848" w:rsidP="00A202FD">
      <w:pPr>
        <w:pStyle w:val="Balk3"/>
        <w:rPr>
          <w:rFonts w:eastAsia="Calibri" w:cs="Times New Roman"/>
          <w:lang w:eastAsia="en-US"/>
        </w:rPr>
      </w:pPr>
      <w:r w:rsidRPr="00D53A2B">
        <w:rPr>
          <w:rFonts w:eastAsia="Calibri" w:cs="Times New Roman"/>
          <w:lang w:eastAsia="en-US"/>
        </w:rPr>
        <w:t>1.</w:t>
      </w:r>
      <w:r w:rsidR="00202C9B" w:rsidRPr="00D53A2B">
        <w:rPr>
          <w:rFonts w:eastAsia="Calibri" w:cs="Times New Roman"/>
          <w:lang w:eastAsia="en-US"/>
        </w:rPr>
        <w:t>7.1. Enerji verimliliği</w:t>
      </w:r>
    </w:p>
    <w:p w14:paraId="25C7C9AE" w14:textId="6155D12F" w:rsidR="0071694E" w:rsidRPr="00D53A2B" w:rsidRDefault="00202C9B" w:rsidP="00A202FD">
      <w:pPr>
        <w:pStyle w:val="MET"/>
        <w:rPr>
          <w:rFonts w:eastAsia="Calibri"/>
          <w:szCs w:val="24"/>
        </w:rPr>
      </w:pPr>
      <w:r w:rsidRPr="00D53A2B">
        <w:rPr>
          <w:rFonts w:eastAsia="Calibri"/>
          <w:szCs w:val="24"/>
        </w:rPr>
        <w:t xml:space="preserve">MET 44: </w:t>
      </w:r>
      <w:r w:rsidRPr="00D53A2B">
        <w:rPr>
          <w:rFonts w:eastAsia="Calibri"/>
          <w:b w:val="0"/>
          <w:bCs/>
          <w:szCs w:val="24"/>
        </w:rPr>
        <w:t>Haddelemede enerji verimliliğini artırmak için aşağıda verilen teknikler bir arada kullanıl</w:t>
      </w:r>
      <w:r w:rsidR="00D14102" w:rsidRPr="00D53A2B">
        <w:rPr>
          <w:rFonts w:eastAsia="Calibri"/>
          <w:b w:val="0"/>
          <w:bCs/>
          <w:szCs w:val="24"/>
        </w:rPr>
        <w:t>ır</w:t>
      </w:r>
      <w:r w:rsidRPr="00D53A2B">
        <w:rPr>
          <w:rFonts w:eastAsia="Calibri"/>
          <w:b w:val="0"/>
          <w:bCs/>
          <w:szCs w:val="24"/>
        </w:rPr>
        <w:t>.</w:t>
      </w:r>
    </w:p>
    <w:p w14:paraId="21A6617D" w14:textId="77777777" w:rsidR="00202C9B" w:rsidRPr="00D53A2B" w:rsidRDefault="00202C9B"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2268"/>
        <w:gridCol w:w="3828"/>
        <w:gridCol w:w="2409"/>
      </w:tblGrid>
      <w:tr w:rsidR="009C5D30" w:rsidRPr="0050094F" w14:paraId="265C3231" w14:textId="77777777" w:rsidTr="00C86A85">
        <w:tc>
          <w:tcPr>
            <w:tcW w:w="2693" w:type="dxa"/>
            <w:gridSpan w:val="2"/>
          </w:tcPr>
          <w:p w14:paraId="0CCFF209" w14:textId="77777777" w:rsidR="009C5D30" w:rsidRPr="009077F5" w:rsidRDefault="009C5D30" w:rsidP="004B0D48">
            <w:pPr>
              <w:pStyle w:val="KonuBal"/>
              <w:rPr>
                <w:sz w:val="24"/>
                <w:szCs w:val="24"/>
              </w:rPr>
            </w:pPr>
            <w:r w:rsidRPr="009077F5">
              <w:rPr>
                <w:sz w:val="24"/>
                <w:szCs w:val="24"/>
              </w:rPr>
              <w:t>Teknik</w:t>
            </w:r>
          </w:p>
        </w:tc>
        <w:tc>
          <w:tcPr>
            <w:tcW w:w="3828" w:type="dxa"/>
          </w:tcPr>
          <w:p w14:paraId="20850595" w14:textId="77777777" w:rsidR="009C5D30" w:rsidRPr="009077F5" w:rsidRDefault="009C5D30" w:rsidP="004B0D48">
            <w:pPr>
              <w:pStyle w:val="KonuBal"/>
              <w:rPr>
                <w:sz w:val="24"/>
                <w:szCs w:val="24"/>
              </w:rPr>
            </w:pPr>
            <w:r w:rsidRPr="009077F5">
              <w:rPr>
                <w:sz w:val="24"/>
                <w:szCs w:val="24"/>
              </w:rPr>
              <w:t>Açıklama</w:t>
            </w:r>
          </w:p>
        </w:tc>
        <w:tc>
          <w:tcPr>
            <w:tcW w:w="2409" w:type="dxa"/>
          </w:tcPr>
          <w:p w14:paraId="2A33F574" w14:textId="77777777" w:rsidR="009C5D30" w:rsidRPr="009077F5" w:rsidRDefault="009C5D30" w:rsidP="0050094F">
            <w:pPr>
              <w:pStyle w:val="KonuBal"/>
              <w:rPr>
                <w:sz w:val="24"/>
                <w:szCs w:val="24"/>
              </w:rPr>
            </w:pPr>
            <w:r w:rsidRPr="009077F5">
              <w:rPr>
                <w:sz w:val="24"/>
                <w:szCs w:val="24"/>
              </w:rPr>
              <w:t>Uygulanabilirlik</w:t>
            </w:r>
          </w:p>
        </w:tc>
      </w:tr>
      <w:tr w:rsidR="009C5D30" w:rsidRPr="0050094F" w14:paraId="6E071DCF" w14:textId="77777777" w:rsidTr="00C86A85">
        <w:tc>
          <w:tcPr>
            <w:tcW w:w="425" w:type="dxa"/>
            <w:vAlign w:val="center"/>
          </w:tcPr>
          <w:p w14:paraId="5192674E" w14:textId="77777777" w:rsidR="009C5D30" w:rsidRPr="009077F5" w:rsidRDefault="009C5D30" w:rsidP="004B0D48">
            <w:pPr>
              <w:pStyle w:val="KonuBal"/>
              <w:rPr>
                <w:sz w:val="24"/>
                <w:szCs w:val="24"/>
              </w:rPr>
            </w:pPr>
            <w:r w:rsidRPr="009077F5">
              <w:rPr>
                <w:sz w:val="24"/>
                <w:szCs w:val="24"/>
              </w:rPr>
              <w:t>a.</w:t>
            </w:r>
          </w:p>
        </w:tc>
        <w:tc>
          <w:tcPr>
            <w:tcW w:w="2268" w:type="dxa"/>
            <w:vAlign w:val="center"/>
          </w:tcPr>
          <w:p w14:paraId="7891EF7A" w14:textId="0790E942" w:rsidR="009C5D30" w:rsidRPr="009077F5" w:rsidRDefault="009C5D30" w:rsidP="004B0D48">
            <w:pPr>
              <w:pStyle w:val="KonuBal"/>
              <w:rPr>
                <w:sz w:val="24"/>
                <w:szCs w:val="24"/>
              </w:rPr>
            </w:pPr>
            <w:r w:rsidRPr="009077F5">
              <w:rPr>
                <w:sz w:val="24"/>
                <w:szCs w:val="24"/>
              </w:rPr>
              <w:t>Düşük alaşımlı ve alaşımlı çelik için sürekli haddeleme</w:t>
            </w:r>
          </w:p>
        </w:tc>
        <w:tc>
          <w:tcPr>
            <w:tcW w:w="3828" w:type="dxa"/>
            <w:vAlign w:val="center"/>
          </w:tcPr>
          <w:p w14:paraId="119D1ADA" w14:textId="36934B50" w:rsidR="009C5D30" w:rsidRPr="009077F5" w:rsidRDefault="009C5D30" w:rsidP="00A202FD">
            <w:pPr>
              <w:jc w:val="both"/>
              <w:rPr>
                <w:rFonts w:eastAsia="Calibri"/>
                <w:lang w:eastAsia="en-US"/>
              </w:rPr>
            </w:pPr>
            <w:r w:rsidRPr="009077F5">
              <w:rPr>
                <w:rFonts w:eastAsia="Calibri"/>
                <w:lang w:eastAsia="en-US"/>
              </w:rPr>
              <w:t>Geleneksel kesikli haddeleme (örneğin ters frezeler) yerine sürekli haddeleme (örneğin tandem frezeler kullanılarak) kullanılır ve bu da istikrarlı bir besleme ve daha az sıklıkta başlatma ve durdurma olanağı sağlar.</w:t>
            </w:r>
          </w:p>
        </w:tc>
        <w:tc>
          <w:tcPr>
            <w:tcW w:w="2409" w:type="dxa"/>
            <w:vAlign w:val="center"/>
          </w:tcPr>
          <w:p w14:paraId="3FCACD2F" w14:textId="77777777" w:rsidR="009C5D30" w:rsidRPr="009077F5" w:rsidRDefault="009C5D30" w:rsidP="004B0D48">
            <w:pPr>
              <w:pStyle w:val="KonuBal"/>
              <w:rPr>
                <w:sz w:val="24"/>
                <w:szCs w:val="24"/>
              </w:rPr>
            </w:pPr>
            <w:r w:rsidRPr="009077F5">
              <w:rPr>
                <w:sz w:val="24"/>
                <w:szCs w:val="24"/>
              </w:rPr>
              <w:t>Yalnızca yeni tesisler ve büyük tesis yükseltmeleri için geçerlidir.</w:t>
            </w:r>
          </w:p>
          <w:p w14:paraId="531BD6AA" w14:textId="622E6BA0" w:rsidR="009C5D30" w:rsidRPr="009077F5" w:rsidRDefault="009C5D30" w:rsidP="004B0D48">
            <w:pPr>
              <w:pStyle w:val="KonuBal"/>
              <w:rPr>
                <w:sz w:val="24"/>
                <w:szCs w:val="24"/>
              </w:rPr>
            </w:pPr>
            <w:r w:rsidRPr="009077F5">
              <w:rPr>
                <w:sz w:val="24"/>
                <w:szCs w:val="24"/>
              </w:rPr>
              <w:t>Uygulanabilirlik, ürün özellikleri nedeniyle sınırlı olabilir.</w:t>
            </w:r>
          </w:p>
        </w:tc>
      </w:tr>
      <w:tr w:rsidR="009C5D30" w:rsidRPr="0050094F" w14:paraId="563A859A" w14:textId="77777777" w:rsidTr="00C86A85">
        <w:tc>
          <w:tcPr>
            <w:tcW w:w="425" w:type="dxa"/>
            <w:vAlign w:val="center"/>
          </w:tcPr>
          <w:p w14:paraId="220F772D" w14:textId="77777777" w:rsidR="009C5D30" w:rsidRPr="009077F5" w:rsidRDefault="009C5D30" w:rsidP="004B0D48">
            <w:pPr>
              <w:pStyle w:val="KonuBal"/>
              <w:rPr>
                <w:sz w:val="24"/>
                <w:szCs w:val="24"/>
              </w:rPr>
            </w:pPr>
            <w:r w:rsidRPr="009077F5">
              <w:rPr>
                <w:sz w:val="24"/>
                <w:szCs w:val="24"/>
              </w:rPr>
              <w:t>b.</w:t>
            </w:r>
          </w:p>
        </w:tc>
        <w:tc>
          <w:tcPr>
            <w:tcW w:w="2268" w:type="dxa"/>
            <w:vAlign w:val="center"/>
          </w:tcPr>
          <w:p w14:paraId="465BBF41" w14:textId="469BA766" w:rsidR="009C5D30" w:rsidRPr="009077F5" w:rsidRDefault="009C5D30" w:rsidP="004B0D48">
            <w:pPr>
              <w:pStyle w:val="KonuBal"/>
              <w:rPr>
                <w:sz w:val="24"/>
                <w:szCs w:val="24"/>
              </w:rPr>
            </w:pPr>
            <w:r w:rsidRPr="009077F5">
              <w:rPr>
                <w:sz w:val="24"/>
                <w:szCs w:val="24"/>
              </w:rPr>
              <w:t>Haddeleme sürtünmesinin azaltılması</w:t>
            </w:r>
          </w:p>
        </w:tc>
        <w:tc>
          <w:tcPr>
            <w:tcW w:w="3828" w:type="dxa"/>
            <w:vAlign w:val="center"/>
          </w:tcPr>
          <w:p w14:paraId="48C50C83" w14:textId="5F6FA7C3" w:rsidR="009C5D30" w:rsidRPr="009077F5" w:rsidRDefault="009C5D30" w:rsidP="00A202FD">
            <w:pPr>
              <w:pStyle w:val="ListeParagraf"/>
              <w:numPr>
                <w:ilvl w:val="0"/>
                <w:numId w:val="0"/>
              </w:numPr>
              <w:tabs>
                <w:tab w:val="clear" w:pos="567"/>
              </w:tabs>
              <w:spacing w:line="240" w:lineRule="auto"/>
              <w:ind w:left="37"/>
              <w:rPr>
                <w:rFonts w:eastAsia="Calibri"/>
                <w:position w:val="0"/>
                <w:sz w:val="24"/>
                <w:szCs w:val="24"/>
              </w:rPr>
            </w:pPr>
            <w:r w:rsidRPr="009077F5">
              <w:rPr>
                <w:rFonts w:eastAsia="Calibri"/>
                <w:sz w:val="24"/>
                <w:szCs w:val="24"/>
              </w:rPr>
              <w:t>Bölüm 9.11.1</w:t>
            </w:r>
            <w:r w:rsidR="00E56504" w:rsidRPr="009077F5">
              <w:rPr>
                <w:rFonts w:eastAsia="Calibri"/>
                <w:sz w:val="24"/>
                <w:szCs w:val="24"/>
              </w:rPr>
              <w:t>’</w:t>
            </w:r>
            <w:r w:rsidRPr="009077F5">
              <w:rPr>
                <w:rFonts w:eastAsia="Calibri"/>
                <w:sz w:val="24"/>
                <w:szCs w:val="24"/>
              </w:rPr>
              <w:t>e bakınız</w:t>
            </w:r>
          </w:p>
        </w:tc>
        <w:tc>
          <w:tcPr>
            <w:tcW w:w="2409" w:type="dxa"/>
            <w:vAlign w:val="center"/>
          </w:tcPr>
          <w:p w14:paraId="4A7DC6A5" w14:textId="4F321543" w:rsidR="009C5D30" w:rsidRPr="009077F5" w:rsidRDefault="009C5D30" w:rsidP="004B0D48">
            <w:pPr>
              <w:pStyle w:val="KonuBal"/>
              <w:rPr>
                <w:sz w:val="24"/>
                <w:szCs w:val="24"/>
              </w:rPr>
            </w:pPr>
            <w:r w:rsidRPr="009077F5">
              <w:rPr>
                <w:sz w:val="24"/>
                <w:szCs w:val="24"/>
              </w:rPr>
              <w:t>Genel olarak uygulanabilir.</w:t>
            </w:r>
          </w:p>
        </w:tc>
      </w:tr>
      <w:tr w:rsidR="009C5D30" w:rsidRPr="0050094F" w14:paraId="5E354E17" w14:textId="77777777" w:rsidTr="00C86A85">
        <w:tc>
          <w:tcPr>
            <w:tcW w:w="425" w:type="dxa"/>
            <w:vAlign w:val="center"/>
          </w:tcPr>
          <w:p w14:paraId="3AC1FED9" w14:textId="77777777" w:rsidR="009C5D30" w:rsidRPr="009077F5" w:rsidRDefault="009C5D30" w:rsidP="004B0D48">
            <w:pPr>
              <w:pStyle w:val="KonuBal"/>
              <w:rPr>
                <w:sz w:val="24"/>
                <w:szCs w:val="24"/>
              </w:rPr>
            </w:pPr>
            <w:r w:rsidRPr="009077F5">
              <w:rPr>
                <w:sz w:val="24"/>
                <w:szCs w:val="24"/>
              </w:rPr>
              <w:t>c.</w:t>
            </w:r>
          </w:p>
        </w:tc>
        <w:tc>
          <w:tcPr>
            <w:tcW w:w="2268" w:type="dxa"/>
            <w:vAlign w:val="center"/>
          </w:tcPr>
          <w:p w14:paraId="3F5AA2E0" w14:textId="3BD885F1" w:rsidR="009C5D30" w:rsidRPr="009077F5" w:rsidRDefault="009C5D30" w:rsidP="00A202FD">
            <w:pPr>
              <w:jc w:val="both"/>
              <w:rPr>
                <w:rFonts w:eastAsia="Calibri"/>
                <w:lang w:eastAsia="en-US"/>
              </w:rPr>
            </w:pPr>
            <w:r w:rsidRPr="009077F5">
              <w:rPr>
                <w:rFonts w:eastAsia="Calibri"/>
                <w:lang w:eastAsia="en-US"/>
              </w:rPr>
              <w:t>Bilgisayar destekli haddeleme optimizasyonu</w:t>
            </w:r>
          </w:p>
        </w:tc>
        <w:tc>
          <w:tcPr>
            <w:tcW w:w="3828" w:type="dxa"/>
          </w:tcPr>
          <w:p w14:paraId="13272F43" w14:textId="3C007141" w:rsidR="009C5D30" w:rsidRPr="009077F5" w:rsidRDefault="009C5D30" w:rsidP="00A202FD">
            <w:pPr>
              <w:jc w:val="both"/>
              <w:rPr>
                <w:lang w:val="en-US" w:eastAsia="en-US"/>
              </w:rPr>
            </w:pPr>
            <w:r w:rsidRPr="009077F5">
              <w:rPr>
                <w:rFonts w:eastAsia="Calibri"/>
              </w:rPr>
              <w:t>Kalınlık azaltımı, haddeleme geçişlerinin sayısını en aza indirmek için bir bilgisayar kullanılarak kontrol edilir.</w:t>
            </w:r>
          </w:p>
        </w:tc>
        <w:tc>
          <w:tcPr>
            <w:tcW w:w="2409" w:type="dxa"/>
            <w:vAlign w:val="center"/>
          </w:tcPr>
          <w:p w14:paraId="614CE68B" w14:textId="77777777" w:rsidR="009C5D30" w:rsidRPr="009077F5" w:rsidRDefault="009C5D30" w:rsidP="004B0D48">
            <w:pPr>
              <w:pStyle w:val="KonuBal"/>
              <w:rPr>
                <w:sz w:val="24"/>
                <w:szCs w:val="24"/>
              </w:rPr>
            </w:pPr>
            <w:r w:rsidRPr="009077F5">
              <w:rPr>
                <w:sz w:val="24"/>
                <w:szCs w:val="24"/>
              </w:rPr>
              <w:t>Genel olarak uygulanabilir.</w:t>
            </w:r>
          </w:p>
        </w:tc>
      </w:tr>
    </w:tbl>
    <w:p w14:paraId="409D1018" w14:textId="77777777" w:rsidR="00202C9B" w:rsidRPr="00D53A2B" w:rsidRDefault="00202C9B" w:rsidP="00A202FD">
      <w:pPr>
        <w:jc w:val="both"/>
        <w:rPr>
          <w:rFonts w:eastAsia="Calibri"/>
          <w:lang w:eastAsia="en-US"/>
        </w:rPr>
      </w:pPr>
    </w:p>
    <w:p w14:paraId="3004D32F" w14:textId="313609F1" w:rsidR="001023C7" w:rsidRPr="00D53A2B" w:rsidRDefault="009C5D30" w:rsidP="00A202FD">
      <w:pPr>
        <w:jc w:val="both"/>
        <w:rPr>
          <w:rFonts w:eastAsia="Calibri"/>
          <w:sz w:val="22"/>
          <w:szCs w:val="22"/>
          <w:lang w:eastAsia="en-US"/>
        </w:rPr>
      </w:pPr>
      <w:r w:rsidRPr="00D53A2B">
        <w:rPr>
          <w:rFonts w:eastAsia="Calibri"/>
          <w:sz w:val="22"/>
          <w:szCs w:val="22"/>
          <w:lang w:eastAsia="en-US"/>
        </w:rPr>
        <w:t xml:space="preserve">Tablo </w:t>
      </w:r>
      <w:r w:rsidR="00F46CF1" w:rsidRPr="00D53A2B">
        <w:rPr>
          <w:rFonts w:eastAsia="Calibri"/>
          <w:sz w:val="22"/>
          <w:szCs w:val="22"/>
          <w:lang w:eastAsia="en-US"/>
        </w:rPr>
        <w:t>1</w:t>
      </w:r>
      <w:r w:rsidRPr="00D53A2B">
        <w:rPr>
          <w:rFonts w:eastAsia="Calibri"/>
          <w:sz w:val="22"/>
          <w:szCs w:val="22"/>
          <w:lang w:eastAsia="en-US"/>
        </w:rPr>
        <w:t>.24</w:t>
      </w:r>
    </w:p>
    <w:p w14:paraId="74D1FB82" w14:textId="05F41310" w:rsidR="00202C9B" w:rsidRPr="00D53A2B" w:rsidRDefault="009C5D30" w:rsidP="00A202FD">
      <w:pPr>
        <w:jc w:val="both"/>
        <w:rPr>
          <w:rFonts w:eastAsia="Calibri"/>
          <w:sz w:val="22"/>
          <w:szCs w:val="22"/>
          <w:lang w:eastAsia="en-US"/>
        </w:rPr>
      </w:pPr>
      <w:r w:rsidRPr="00D53A2B">
        <w:rPr>
          <w:rFonts w:eastAsia="Calibri"/>
          <w:sz w:val="22"/>
          <w:szCs w:val="22"/>
          <w:lang w:eastAsia="en-US"/>
        </w:rPr>
        <w:t>Haddelemede özgül enerji tüketimine ilişkin MET-ilişkili çevresel performans seviyeleri (MET-İÇPS)</w:t>
      </w:r>
    </w:p>
    <w:p w14:paraId="7F8C1304" w14:textId="77777777" w:rsidR="00C15CF2" w:rsidRPr="00D53A2B" w:rsidRDefault="00C15CF2" w:rsidP="00A202FD">
      <w:pPr>
        <w:jc w:val="both"/>
        <w:rPr>
          <w:rFonts w:eastAsia="Calibri"/>
          <w:sz w:val="22"/>
          <w:szCs w:val="22"/>
          <w:lang w:eastAsia="en-US"/>
        </w:rPr>
      </w:pPr>
    </w:p>
    <w:tbl>
      <w:tblPr>
        <w:tblStyle w:val="TabloKlavuzu"/>
        <w:tblW w:w="8930" w:type="dxa"/>
        <w:tblInd w:w="137" w:type="dxa"/>
        <w:tblLook w:val="04A0" w:firstRow="1" w:lastRow="0" w:firstColumn="1" w:lastColumn="0" w:noHBand="0" w:noVBand="1"/>
      </w:tblPr>
      <w:tblGrid>
        <w:gridCol w:w="4820"/>
        <w:gridCol w:w="1134"/>
        <w:gridCol w:w="2976"/>
      </w:tblGrid>
      <w:tr w:rsidR="009C5D30" w:rsidRPr="00D53A2B" w14:paraId="4A317939" w14:textId="77777777" w:rsidTr="00A202FD">
        <w:tc>
          <w:tcPr>
            <w:tcW w:w="4820" w:type="dxa"/>
          </w:tcPr>
          <w:p w14:paraId="50E60197" w14:textId="77777777" w:rsidR="009C5D30" w:rsidRPr="009077F5" w:rsidRDefault="009C5D30" w:rsidP="004B0D48">
            <w:pPr>
              <w:pStyle w:val="KonuBal"/>
              <w:rPr>
                <w:sz w:val="24"/>
                <w:szCs w:val="24"/>
              </w:rPr>
            </w:pPr>
            <w:r w:rsidRPr="009077F5">
              <w:rPr>
                <w:sz w:val="24"/>
                <w:szCs w:val="24"/>
              </w:rPr>
              <w:t>Haddeleme işleminin sonunda çelik ürünleri</w:t>
            </w:r>
          </w:p>
        </w:tc>
        <w:tc>
          <w:tcPr>
            <w:tcW w:w="1134" w:type="dxa"/>
          </w:tcPr>
          <w:p w14:paraId="22D7CFC1" w14:textId="77777777" w:rsidR="009C5D30" w:rsidRPr="009077F5" w:rsidRDefault="009C5D30" w:rsidP="004B0D48">
            <w:pPr>
              <w:pStyle w:val="KonuBal"/>
              <w:rPr>
                <w:sz w:val="24"/>
                <w:szCs w:val="24"/>
              </w:rPr>
            </w:pPr>
            <w:r w:rsidRPr="009077F5">
              <w:rPr>
                <w:sz w:val="24"/>
                <w:szCs w:val="24"/>
              </w:rPr>
              <w:t>Birim</w:t>
            </w:r>
          </w:p>
        </w:tc>
        <w:tc>
          <w:tcPr>
            <w:tcW w:w="2976" w:type="dxa"/>
          </w:tcPr>
          <w:p w14:paraId="4C49E70B" w14:textId="77777777" w:rsidR="009C5D30" w:rsidRPr="009077F5" w:rsidRDefault="009C5D30" w:rsidP="0050094F">
            <w:pPr>
              <w:pStyle w:val="KonuBal"/>
              <w:rPr>
                <w:sz w:val="24"/>
                <w:szCs w:val="24"/>
              </w:rPr>
            </w:pPr>
            <w:r w:rsidRPr="009077F5">
              <w:rPr>
                <w:sz w:val="24"/>
                <w:szCs w:val="24"/>
              </w:rPr>
              <w:t>MET-İÇPS (Yıllık ortalama)</w:t>
            </w:r>
          </w:p>
        </w:tc>
      </w:tr>
      <w:tr w:rsidR="009C5D30" w:rsidRPr="00D53A2B" w14:paraId="630A2841" w14:textId="77777777" w:rsidTr="00A202FD">
        <w:tc>
          <w:tcPr>
            <w:tcW w:w="4820" w:type="dxa"/>
          </w:tcPr>
          <w:p w14:paraId="67044C95" w14:textId="5613BEA5" w:rsidR="009C5D30" w:rsidRPr="009077F5" w:rsidRDefault="009C5D30" w:rsidP="004B0D48">
            <w:pPr>
              <w:pStyle w:val="KonuBal"/>
              <w:rPr>
                <w:sz w:val="24"/>
                <w:szCs w:val="24"/>
              </w:rPr>
            </w:pPr>
            <w:r w:rsidRPr="009077F5">
              <w:rPr>
                <w:sz w:val="24"/>
                <w:szCs w:val="24"/>
              </w:rPr>
              <w:t>Soğuk haddelenmiş bobinler</w:t>
            </w:r>
          </w:p>
        </w:tc>
        <w:tc>
          <w:tcPr>
            <w:tcW w:w="1134" w:type="dxa"/>
          </w:tcPr>
          <w:p w14:paraId="2AFAD7E8" w14:textId="77777777" w:rsidR="009C5D30" w:rsidRPr="009077F5" w:rsidRDefault="009C5D30" w:rsidP="004B0D48">
            <w:pPr>
              <w:pStyle w:val="KonuBal"/>
              <w:rPr>
                <w:sz w:val="24"/>
                <w:szCs w:val="24"/>
              </w:rPr>
            </w:pPr>
            <w:r w:rsidRPr="009077F5">
              <w:rPr>
                <w:sz w:val="24"/>
                <w:szCs w:val="24"/>
              </w:rPr>
              <w:t>MJ/t</w:t>
            </w:r>
          </w:p>
        </w:tc>
        <w:tc>
          <w:tcPr>
            <w:tcW w:w="2976" w:type="dxa"/>
            <w:vAlign w:val="bottom"/>
          </w:tcPr>
          <w:p w14:paraId="7439A8B5" w14:textId="24291E41" w:rsidR="009C5D30" w:rsidRPr="009077F5" w:rsidRDefault="009C5D30" w:rsidP="0050094F">
            <w:pPr>
              <w:pStyle w:val="KonuBal"/>
              <w:rPr>
                <w:sz w:val="24"/>
                <w:szCs w:val="24"/>
              </w:rPr>
            </w:pPr>
            <w:r w:rsidRPr="009077F5">
              <w:rPr>
                <w:sz w:val="24"/>
                <w:szCs w:val="24"/>
              </w:rPr>
              <w:t>100-300 (</w:t>
            </w:r>
            <w:r w:rsidRPr="009077F5">
              <w:rPr>
                <w:sz w:val="24"/>
                <w:szCs w:val="24"/>
                <w:vertAlign w:val="superscript"/>
              </w:rPr>
              <w:t>1</w:t>
            </w:r>
            <w:r w:rsidRPr="009077F5">
              <w:rPr>
                <w:sz w:val="24"/>
                <w:szCs w:val="24"/>
              </w:rPr>
              <w:t>)</w:t>
            </w:r>
          </w:p>
        </w:tc>
      </w:tr>
      <w:tr w:rsidR="009C5D30" w:rsidRPr="00D53A2B" w14:paraId="20A22E66" w14:textId="77777777" w:rsidTr="00A202FD">
        <w:tc>
          <w:tcPr>
            <w:tcW w:w="4820" w:type="dxa"/>
          </w:tcPr>
          <w:p w14:paraId="17B7333C" w14:textId="14F6284F" w:rsidR="009C5D30" w:rsidRPr="009077F5" w:rsidRDefault="009C5D30" w:rsidP="004B0D48">
            <w:pPr>
              <w:pStyle w:val="KonuBal"/>
              <w:rPr>
                <w:sz w:val="24"/>
                <w:szCs w:val="24"/>
              </w:rPr>
            </w:pPr>
            <w:r w:rsidRPr="009077F5">
              <w:rPr>
                <w:sz w:val="24"/>
                <w:szCs w:val="24"/>
              </w:rPr>
              <w:t>Ambalaj çeliği</w:t>
            </w:r>
          </w:p>
        </w:tc>
        <w:tc>
          <w:tcPr>
            <w:tcW w:w="1134" w:type="dxa"/>
          </w:tcPr>
          <w:p w14:paraId="6A3554AB" w14:textId="77777777" w:rsidR="009C5D30" w:rsidRPr="009077F5" w:rsidRDefault="009C5D30" w:rsidP="004B0D48">
            <w:pPr>
              <w:pStyle w:val="KonuBal"/>
              <w:rPr>
                <w:sz w:val="24"/>
                <w:szCs w:val="24"/>
              </w:rPr>
            </w:pPr>
            <w:r w:rsidRPr="009077F5">
              <w:rPr>
                <w:sz w:val="24"/>
                <w:szCs w:val="24"/>
              </w:rPr>
              <w:t>MJ/t</w:t>
            </w:r>
          </w:p>
        </w:tc>
        <w:tc>
          <w:tcPr>
            <w:tcW w:w="2976" w:type="dxa"/>
            <w:vAlign w:val="bottom"/>
          </w:tcPr>
          <w:p w14:paraId="1AFE1617" w14:textId="7517AA2E" w:rsidR="009C5D30" w:rsidRPr="009077F5" w:rsidRDefault="009C5D30" w:rsidP="0050094F">
            <w:pPr>
              <w:pStyle w:val="KonuBal"/>
              <w:rPr>
                <w:sz w:val="24"/>
                <w:szCs w:val="24"/>
              </w:rPr>
            </w:pPr>
            <w:r w:rsidRPr="009077F5">
              <w:rPr>
                <w:sz w:val="24"/>
                <w:szCs w:val="24"/>
              </w:rPr>
              <w:t xml:space="preserve">250-400 </w:t>
            </w:r>
          </w:p>
        </w:tc>
      </w:tr>
      <w:tr w:rsidR="009C5D30" w:rsidRPr="00D53A2B" w14:paraId="3CDC6DD3" w14:textId="77777777" w:rsidTr="00A202FD">
        <w:tc>
          <w:tcPr>
            <w:tcW w:w="8930" w:type="dxa"/>
            <w:gridSpan w:val="3"/>
          </w:tcPr>
          <w:p w14:paraId="75E06700" w14:textId="316EE716" w:rsidR="009C5D30" w:rsidRPr="00D53A2B" w:rsidRDefault="009C5D30" w:rsidP="004B0D48">
            <w:pPr>
              <w:pStyle w:val="KonuBal"/>
            </w:pPr>
            <w:r w:rsidRPr="00D53A2B">
              <w:t>(</w:t>
            </w:r>
            <w:r w:rsidRPr="00D53A2B">
              <w:rPr>
                <w:vertAlign w:val="superscript"/>
              </w:rPr>
              <w:t>1</w:t>
            </w:r>
            <w:r w:rsidRPr="00D53A2B">
              <w:t>) Yüksek alaşımlı çelik (örneğin ostenitik paslanmaz çelik) durumunda, MET-İÇPS aralığının üst sınırı 1 600 MJ/t</w:t>
            </w:r>
            <w:r w:rsidR="00E56504" w:rsidRPr="00D53A2B">
              <w:t>’</w:t>
            </w:r>
            <w:r w:rsidRPr="00D53A2B">
              <w:t>a kadar çıkabilir.</w:t>
            </w:r>
          </w:p>
        </w:tc>
      </w:tr>
    </w:tbl>
    <w:p w14:paraId="70318717" w14:textId="77777777" w:rsidR="009C5D30" w:rsidRPr="00D53A2B" w:rsidRDefault="009C5D30" w:rsidP="00A202FD">
      <w:pPr>
        <w:jc w:val="both"/>
        <w:rPr>
          <w:rFonts w:eastAsia="Calibri"/>
          <w:lang w:eastAsia="en-US"/>
        </w:rPr>
      </w:pPr>
    </w:p>
    <w:p w14:paraId="2140F5F9" w14:textId="5DC7DCD4" w:rsidR="00E7332A" w:rsidRPr="00D53A2B" w:rsidRDefault="00E7332A" w:rsidP="00A202FD">
      <w:pPr>
        <w:jc w:val="both"/>
        <w:rPr>
          <w:rFonts w:eastAsia="Calibri"/>
          <w:lang w:eastAsia="en-US"/>
        </w:rPr>
      </w:pPr>
      <w:r w:rsidRPr="00D53A2B">
        <w:rPr>
          <w:rFonts w:eastAsia="Calibri"/>
          <w:lang w:eastAsia="en-US"/>
        </w:rPr>
        <w:t>İlgili izleme MET 6</w:t>
      </w:r>
      <w:r w:rsidR="00E56504" w:rsidRPr="00D53A2B">
        <w:rPr>
          <w:rFonts w:eastAsia="Calibri"/>
          <w:lang w:eastAsia="en-US"/>
        </w:rPr>
        <w:t>’</w:t>
      </w:r>
      <w:r w:rsidRPr="00D53A2B">
        <w:rPr>
          <w:rFonts w:eastAsia="Calibri"/>
          <w:lang w:eastAsia="en-US"/>
        </w:rPr>
        <w:t>da verilmiştir.</w:t>
      </w:r>
    </w:p>
    <w:p w14:paraId="3DC73477" w14:textId="77777777" w:rsidR="009C5D30" w:rsidRPr="00D53A2B" w:rsidRDefault="009C5D30" w:rsidP="00A202FD">
      <w:pPr>
        <w:jc w:val="both"/>
        <w:rPr>
          <w:rFonts w:eastAsia="Calibri"/>
          <w:lang w:eastAsia="en-US"/>
        </w:rPr>
      </w:pPr>
    </w:p>
    <w:p w14:paraId="29889076" w14:textId="0128405D" w:rsidR="00202C9B" w:rsidRPr="00D53A2B" w:rsidRDefault="00D10848" w:rsidP="00A202FD">
      <w:pPr>
        <w:pStyle w:val="Balk3"/>
        <w:rPr>
          <w:rFonts w:eastAsia="Calibri" w:cs="Times New Roman"/>
          <w:lang w:eastAsia="en-US"/>
        </w:rPr>
      </w:pPr>
      <w:r w:rsidRPr="00D53A2B">
        <w:rPr>
          <w:rFonts w:eastAsia="Calibri" w:cs="Times New Roman"/>
          <w:lang w:eastAsia="en-US"/>
        </w:rPr>
        <w:t>1</w:t>
      </w:r>
      <w:r w:rsidR="00A51AA2" w:rsidRPr="00D53A2B">
        <w:rPr>
          <w:rFonts w:eastAsia="Calibri" w:cs="Times New Roman"/>
          <w:lang w:eastAsia="en-US"/>
        </w:rPr>
        <w:t>.7.2. Malzeme verimliliği</w:t>
      </w:r>
    </w:p>
    <w:p w14:paraId="1DE59361" w14:textId="1E0E6B12" w:rsidR="00A51AA2" w:rsidRPr="00D53A2B" w:rsidRDefault="00A51AA2" w:rsidP="00A202FD">
      <w:pPr>
        <w:pStyle w:val="MET"/>
        <w:rPr>
          <w:rFonts w:eastAsia="Calibri"/>
          <w:szCs w:val="24"/>
        </w:rPr>
      </w:pPr>
      <w:r w:rsidRPr="00D53A2B">
        <w:rPr>
          <w:rFonts w:eastAsia="Calibri"/>
          <w:szCs w:val="24"/>
        </w:rPr>
        <w:t xml:space="preserve">MET 45: </w:t>
      </w:r>
      <w:r w:rsidRPr="00D53A2B">
        <w:rPr>
          <w:rFonts w:eastAsia="Calibri"/>
          <w:b w:val="0"/>
          <w:bCs/>
          <w:szCs w:val="24"/>
        </w:rPr>
        <w:t>Malzeme verimliliğini artırmak ve haddelemeden kaynaklanan atık miktarını azaltmak için aşağıda verilen tüm teknikler</w:t>
      </w:r>
      <w:r w:rsidR="009612E0" w:rsidRPr="00D53A2B">
        <w:rPr>
          <w:rFonts w:eastAsia="Calibri"/>
          <w:b w:val="0"/>
          <w:bCs/>
          <w:szCs w:val="24"/>
        </w:rPr>
        <w:t xml:space="preserve"> kullanılmalıdır</w:t>
      </w:r>
      <w:r w:rsidRPr="00D53A2B">
        <w:rPr>
          <w:rFonts w:eastAsia="Calibri"/>
          <w:b w:val="0"/>
          <w:bCs/>
          <w:szCs w:val="24"/>
        </w:rPr>
        <w:t>.</w:t>
      </w:r>
    </w:p>
    <w:p w14:paraId="12B6CFB1" w14:textId="77777777"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1701"/>
        <w:gridCol w:w="5103"/>
        <w:gridCol w:w="1701"/>
      </w:tblGrid>
      <w:tr w:rsidR="00A51AA2" w:rsidRPr="0050094F" w14:paraId="4703A7FC" w14:textId="77777777" w:rsidTr="00C86A85">
        <w:tc>
          <w:tcPr>
            <w:tcW w:w="2126" w:type="dxa"/>
            <w:gridSpan w:val="2"/>
          </w:tcPr>
          <w:p w14:paraId="276EC68E" w14:textId="77777777" w:rsidR="00A51AA2" w:rsidRPr="009077F5" w:rsidRDefault="00A51AA2" w:rsidP="004B0D48">
            <w:pPr>
              <w:pStyle w:val="KonuBal"/>
              <w:rPr>
                <w:b/>
                <w:bCs/>
                <w:sz w:val="24"/>
                <w:szCs w:val="24"/>
              </w:rPr>
            </w:pPr>
            <w:r w:rsidRPr="009077F5">
              <w:rPr>
                <w:b/>
                <w:bCs/>
                <w:sz w:val="24"/>
                <w:szCs w:val="24"/>
              </w:rPr>
              <w:t>Teknik</w:t>
            </w:r>
          </w:p>
        </w:tc>
        <w:tc>
          <w:tcPr>
            <w:tcW w:w="5103" w:type="dxa"/>
          </w:tcPr>
          <w:p w14:paraId="5FC3EFA8" w14:textId="77777777" w:rsidR="00A51AA2" w:rsidRPr="009077F5" w:rsidRDefault="00A51AA2" w:rsidP="004B0D48">
            <w:pPr>
              <w:pStyle w:val="KonuBal"/>
              <w:rPr>
                <w:b/>
                <w:bCs/>
                <w:sz w:val="24"/>
                <w:szCs w:val="24"/>
              </w:rPr>
            </w:pPr>
            <w:r w:rsidRPr="009077F5">
              <w:rPr>
                <w:b/>
                <w:bCs/>
                <w:sz w:val="24"/>
                <w:szCs w:val="24"/>
              </w:rPr>
              <w:t>Açıklama</w:t>
            </w:r>
          </w:p>
        </w:tc>
        <w:tc>
          <w:tcPr>
            <w:tcW w:w="1701" w:type="dxa"/>
          </w:tcPr>
          <w:p w14:paraId="7ACDDF7D" w14:textId="77777777" w:rsidR="00A51AA2" w:rsidRPr="009077F5" w:rsidRDefault="00A51AA2" w:rsidP="0050094F">
            <w:pPr>
              <w:pStyle w:val="KonuBal"/>
              <w:rPr>
                <w:b/>
                <w:bCs/>
                <w:sz w:val="24"/>
                <w:szCs w:val="24"/>
              </w:rPr>
            </w:pPr>
            <w:r w:rsidRPr="009077F5">
              <w:rPr>
                <w:b/>
                <w:bCs/>
                <w:sz w:val="24"/>
                <w:szCs w:val="24"/>
              </w:rPr>
              <w:t>Uygulanabilirlik</w:t>
            </w:r>
          </w:p>
        </w:tc>
      </w:tr>
      <w:tr w:rsidR="00A51AA2" w:rsidRPr="0050094F" w14:paraId="6582A1F9" w14:textId="77777777" w:rsidTr="00C86A85">
        <w:tc>
          <w:tcPr>
            <w:tcW w:w="425" w:type="dxa"/>
            <w:vAlign w:val="center"/>
          </w:tcPr>
          <w:p w14:paraId="725045D6" w14:textId="77777777" w:rsidR="00A51AA2" w:rsidRPr="009077F5" w:rsidRDefault="00A51AA2" w:rsidP="004B0D48">
            <w:pPr>
              <w:pStyle w:val="KonuBal"/>
              <w:rPr>
                <w:sz w:val="24"/>
                <w:szCs w:val="24"/>
              </w:rPr>
            </w:pPr>
            <w:r w:rsidRPr="009077F5">
              <w:rPr>
                <w:sz w:val="24"/>
                <w:szCs w:val="24"/>
              </w:rPr>
              <w:t>a.</w:t>
            </w:r>
          </w:p>
        </w:tc>
        <w:tc>
          <w:tcPr>
            <w:tcW w:w="1701" w:type="dxa"/>
            <w:vAlign w:val="center"/>
          </w:tcPr>
          <w:p w14:paraId="0C94140A" w14:textId="7903A5FB" w:rsidR="00A51AA2" w:rsidRPr="009077F5" w:rsidRDefault="00A51AA2" w:rsidP="004B0D48">
            <w:pPr>
              <w:pStyle w:val="KonuBal"/>
              <w:rPr>
                <w:sz w:val="24"/>
                <w:szCs w:val="24"/>
              </w:rPr>
            </w:pPr>
            <w:r w:rsidRPr="009077F5">
              <w:rPr>
                <w:sz w:val="24"/>
                <w:szCs w:val="24"/>
              </w:rPr>
              <w:t>Haddeleme emülsiyon kalitesinin izlenmesi ve ayarlanması</w:t>
            </w:r>
          </w:p>
        </w:tc>
        <w:tc>
          <w:tcPr>
            <w:tcW w:w="5103" w:type="dxa"/>
            <w:vAlign w:val="center"/>
          </w:tcPr>
          <w:p w14:paraId="27D16953" w14:textId="10EECB7A" w:rsidR="00A51AA2" w:rsidRPr="009077F5" w:rsidRDefault="00A51AA2" w:rsidP="00A202FD">
            <w:pPr>
              <w:pStyle w:val="ListeParagraf"/>
              <w:numPr>
                <w:ilvl w:val="0"/>
                <w:numId w:val="0"/>
              </w:numPr>
              <w:tabs>
                <w:tab w:val="clear" w:pos="567"/>
              </w:tabs>
              <w:spacing w:line="240" w:lineRule="auto"/>
              <w:ind w:left="37"/>
              <w:rPr>
                <w:rFonts w:eastAsia="Calibri"/>
                <w:sz w:val="24"/>
                <w:szCs w:val="24"/>
              </w:rPr>
            </w:pPr>
            <w:r w:rsidRPr="009077F5">
              <w:rPr>
                <w:sz w:val="24"/>
                <w:szCs w:val="24"/>
              </w:rPr>
              <w:t>Emülsiyon kalitesindeki anormallikleri tespit etmek ve gerektiğinde düzeltici işlem yapmak için, haddeleme emülsiyonunun önemli özellikleri (örneğin yağ konsantrasyonu, pH, emülsiyon damlacık boyutu, sabunlaşma indeksi, asit konsantrasyonu, demir ince tanecikleri konsantrasyonu, bakteri konsantrasyonu) düzenli veya sürekli olarak izlenir.</w:t>
            </w:r>
          </w:p>
        </w:tc>
        <w:tc>
          <w:tcPr>
            <w:tcW w:w="1701" w:type="dxa"/>
            <w:vAlign w:val="center"/>
          </w:tcPr>
          <w:p w14:paraId="27C256A4" w14:textId="5E3C0C48" w:rsidR="00A51AA2" w:rsidRPr="009077F5" w:rsidRDefault="00A51AA2" w:rsidP="004B0D48">
            <w:pPr>
              <w:pStyle w:val="KonuBal"/>
              <w:rPr>
                <w:sz w:val="24"/>
                <w:szCs w:val="24"/>
              </w:rPr>
            </w:pPr>
            <w:r w:rsidRPr="009077F5">
              <w:rPr>
                <w:sz w:val="24"/>
                <w:szCs w:val="24"/>
              </w:rPr>
              <w:t>Genel olarak uygulanabilir.</w:t>
            </w:r>
          </w:p>
        </w:tc>
      </w:tr>
      <w:tr w:rsidR="00A51AA2" w:rsidRPr="0050094F" w14:paraId="589C4CDA" w14:textId="77777777" w:rsidTr="00C86A85">
        <w:tc>
          <w:tcPr>
            <w:tcW w:w="425" w:type="dxa"/>
            <w:vAlign w:val="center"/>
          </w:tcPr>
          <w:p w14:paraId="5F8CC9D6" w14:textId="77777777" w:rsidR="00A51AA2" w:rsidRPr="009077F5" w:rsidRDefault="00A51AA2" w:rsidP="004B0D48">
            <w:pPr>
              <w:pStyle w:val="KonuBal"/>
              <w:rPr>
                <w:sz w:val="24"/>
                <w:szCs w:val="24"/>
              </w:rPr>
            </w:pPr>
            <w:r w:rsidRPr="009077F5">
              <w:rPr>
                <w:sz w:val="24"/>
                <w:szCs w:val="24"/>
              </w:rPr>
              <w:t>b.</w:t>
            </w:r>
          </w:p>
        </w:tc>
        <w:tc>
          <w:tcPr>
            <w:tcW w:w="1701" w:type="dxa"/>
            <w:vAlign w:val="center"/>
          </w:tcPr>
          <w:p w14:paraId="372804AA" w14:textId="0424F2CB" w:rsidR="00A51AA2" w:rsidRPr="009077F5" w:rsidRDefault="00A51AA2" w:rsidP="004B0D48">
            <w:pPr>
              <w:pStyle w:val="KonuBal"/>
              <w:rPr>
                <w:sz w:val="24"/>
                <w:szCs w:val="24"/>
              </w:rPr>
            </w:pPr>
            <w:r w:rsidRPr="009077F5">
              <w:rPr>
                <w:sz w:val="24"/>
                <w:szCs w:val="24"/>
              </w:rPr>
              <w:t>Haddeleme emülsiyonunun kirlenmesinin önlenmesi</w:t>
            </w:r>
          </w:p>
        </w:tc>
        <w:tc>
          <w:tcPr>
            <w:tcW w:w="5103" w:type="dxa"/>
            <w:vAlign w:val="center"/>
          </w:tcPr>
          <w:p w14:paraId="548ADE2D" w14:textId="77777777" w:rsidR="00A51AA2" w:rsidRPr="009077F5" w:rsidRDefault="00A51AA2" w:rsidP="00A202FD">
            <w:pPr>
              <w:ind w:left="32"/>
              <w:jc w:val="both"/>
              <w:rPr>
                <w:rFonts w:eastAsia="Calibri"/>
              </w:rPr>
            </w:pPr>
            <w:r w:rsidRPr="009077F5">
              <w:rPr>
                <w:rFonts w:eastAsia="Calibri"/>
              </w:rPr>
              <w:t>Yuvarlanan emülsiyonun kirlenmesi aşağıdaki gibi tekniklerle önlenir;</w:t>
            </w:r>
          </w:p>
          <w:p w14:paraId="7392A166" w14:textId="77777777" w:rsidR="00A51AA2" w:rsidRPr="009077F5" w:rsidRDefault="00A51AA2" w:rsidP="00602365">
            <w:pPr>
              <w:pStyle w:val="ListeParagraf"/>
              <w:numPr>
                <w:ilvl w:val="0"/>
                <w:numId w:val="171"/>
              </w:numPr>
              <w:tabs>
                <w:tab w:val="clear" w:pos="567"/>
              </w:tabs>
              <w:ind w:left="321" w:hanging="284"/>
              <w:rPr>
                <w:rFonts w:eastAsia="Calibri"/>
                <w:sz w:val="24"/>
                <w:szCs w:val="24"/>
              </w:rPr>
            </w:pPr>
            <w:r w:rsidRPr="009077F5">
              <w:rPr>
                <w:rFonts w:eastAsia="Calibri"/>
                <w:sz w:val="24"/>
                <w:szCs w:val="24"/>
              </w:rPr>
              <w:t>Hidrolik sistemin ve emülsiyon sirkülasyon sisteminin düzenli kontrolü ve önleyici bakımı;</w:t>
            </w:r>
          </w:p>
          <w:p w14:paraId="1547B325" w14:textId="09A92A9D" w:rsidR="00A51AA2" w:rsidRPr="009077F5" w:rsidRDefault="00A51AA2" w:rsidP="00602365">
            <w:pPr>
              <w:pStyle w:val="ListeParagraf"/>
              <w:numPr>
                <w:ilvl w:val="0"/>
                <w:numId w:val="171"/>
              </w:numPr>
              <w:tabs>
                <w:tab w:val="clear" w:pos="567"/>
              </w:tabs>
              <w:ind w:left="321" w:hanging="284"/>
              <w:rPr>
                <w:rFonts w:eastAsia="Calibri"/>
                <w:position w:val="0"/>
                <w:sz w:val="24"/>
                <w:szCs w:val="24"/>
              </w:rPr>
            </w:pPr>
            <w:r w:rsidRPr="009077F5">
              <w:rPr>
                <w:rFonts w:eastAsia="Calibri"/>
                <w:sz w:val="24"/>
                <w:szCs w:val="24"/>
              </w:rPr>
              <w:t>Düzenli temizlik veya düşük sıcaklıklarda çalıştırma ile haddeleme emülsiyon sisteminde bakteri üremesinin azaltılması.</w:t>
            </w:r>
          </w:p>
        </w:tc>
        <w:tc>
          <w:tcPr>
            <w:tcW w:w="1701" w:type="dxa"/>
            <w:vAlign w:val="center"/>
          </w:tcPr>
          <w:p w14:paraId="7AB04D8E" w14:textId="301F400D" w:rsidR="00A51AA2" w:rsidRPr="009077F5" w:rsidRDefault="00A51AA2" w:rsidP="004B0D48">
            <w:pPr>
              <w:pStyle w:val="KonuBal"/>
              <w:rPr>
                <w:sz w:val="24"/>
                <w:szCs w:val="24"/>
              </w:rPr>
            </w:pPr>
            <w:r w:rsidRPr="009077F5">
              <w:rPr>
                <w:sz w:val="24"/>
                <w:szCs w:val="24"/>
              </w:rPr>
              <w:t>Genel olarak uygulanabilir.</w:t>
            </w:r>
          </w:p>
        </w:tc>
      </w:tr>
      <w:tr w:rsidR="00A51AA2" w:rsidRPr="0050094F" w14:paraId="5DC12FBB" w14:textId="77777777" w:rsidTr="00C86A85">
        <w:tc>
          <w:tcPr>
            <w:tcW w:w="425" w:type="dxa"/>
            <w:vAlign w:val="center"/>
          </w:tcPr>
          <w:p w14:paraId="7F3D223B" w14:textId="77777777" w:rsidR="00A51AA2" w:rsidRPr="009077F5" w:rsidRDefault="00A51AA2" w:rsidP="004B0D48">
            <w:pPr>
              <w:pStyle w:val="KonuBal"/>
              <w:rPr>
                <w:sz w:val="24"/>
                <w:szCs w:val="24"/>
              </w:rPr>
            </w:pPr>
            <w:r w:rsidRPr="009077F5">
              <w:rPr>
                <w:sz w:val="24"/>
                <w:szCs w:val="24"/>
              </w:rPr>
              <w:t>c.</w:t>
            </w:r>
          </w:p>
        </w:tc>
        <w:tc>
          <w:tcPr>
            <w:tcW w:w="1701" w:type="dxa"/>
            <w:vAlign w:val="center"/>
          </w:tcPr>
          <w:p w14:paraId="675725DF" w14:textId="69A0B38D" w:rsidR="00A51AA2" w:rsidRPr="009077F5" w:rsidRDefault="00A51AA2" w:rsidP="00A202FD">
            <w:pPr>
              <w:jc w:val="both"/>
              <w:rPr>
                <w:rFonts w:eastAsia="Calibri"/>
                <w:lang w:eastAsia="en-US"/>
              </w:rPr>
            </w:pPr>
            <w:r w:rsidRPr="009077F5">
              <w:rPr>
                <w:rFonts w:eastAsia="Calibri"/>
                <w:lang w:eastAsia="en-US"/>
              </w:rPr>
              <w:t>Haddeleme emülsiyonunun temizlenmesi ve yeniden kullanılması</w:t>
            </w:r>
          </w:p>
        </w:tc>
        <w:tc>
          <w:tcPr>
            <w:tcW w:w="5103" w:type="dxa"/>
          </w:tcPr>
          <w:p w14:paraId="1554C058" w14:textId="11BA2DB1" w:rsidR="00A51AA2" w:rsidRPr="009077F5" w:rsidRDefault="00A51AA2" w:rsidP="00A202FD">
            <w:pPr>
              <w:jc w:val="both"/>
              <w:rPr>
                <w:lang w:val="en-US" w:eastAsia="en-US"/>
              </w:rPr>
            </w:pPr>
            <w:r w:rsidRPr="009077F5">
              <w:rPr>
                <w:rFonts w:eastAsia="Calibri"/>
              </w:rPr>
              <w:t>Haddeleme emülsiyonunu kirleten partikül maddeler (örneğin toz, çelik parçaları ve pullar), emülsiyon kalitesini korumak için bir temizleme devresinde (genellikle filtrasyon ve/veya manyetik ayırma ile birleştirilmiş tortulaşmaya dayalı) temizlenir ve işlenmiş haddeleme emülsiyonu yeniden kullanılır. Yeniden kullanım derecesi, emülsiyondaki safsızlık içeriği ile sınırlıdır.</w:t>
            </w:r>
          </w:p>
        </w:tc>
        <w:tc>
          <w:tcPr>
            <w:tcW w:w="1701" w:type="dxa"/>
            <w:vAlign w:val="center"/>
          </w:tcPr>
          <w:p w14:paraId="6F63ABC2" w14:textId="4102E5C4" w:rsidR="00A51AA2" w:rsidRPr="009077F5" w:rsidRDefault="00A51AA2" w:rsidP="004B0D48">
            <w:pPr>
              <w:pStyle w:val="KonuBal"/>
              <w:rPr>
                <w:sz w:val="24"/>
                <w:szCs w:val="24"/>
              </w:rPr>
            </w:pPr>
            <w:r w:rsidRPr="009077F5">
              <w:rPr>
                <w:sz w:val="24"/>
                <w:szCs w:val="24"/>
              </w:rPr>
              <w:t>Ürün özellikleri nedeniyle uygulanabilirlik sınırlı olabilir.</w:t>
            </w:r>
          </w:p>
        </w:tc>
      </w:tr>
      <w:tr w:rsidR="00A51AA2" w:rsidRPr="0050094F" w14:paraId="2834C6E5" w14:textId="77777777" w:rsidTr="00C86A85">
        <w:tc>
          <w:tcPr>
            <w:tcW w:w="425" w:type="dxa"/>
            <w:vAlign w:val="center"/>
          </w:tcPr>
          <w:p w14:paraId="5750F552" w14:textId="77777777" w:rsidR="00A51AA2" w:rsidRPr="009077F5" w:rsidRDefault="00A51AA2" w:rsidP="004B0D48">
            <w:pPr>
              <w:pStyle w:val="KonuBal"/>
              <w:rPr>
                <w:sz w:val="24"/>
                <w:szCs w:val="24"/>
              </w:rPr>
            </w:pPr>
            <w:r w:rsidRPr="009077F5">
              <w:rPr>
                <w:sz w:val="24"/>
                <w:szCs w:val="24"/>
              </w:rPr>
              <w:t>d.</w:t>
            </w:r>
          </w:p>
        </w:tc>
        <w:tc>
          <w:tcPr>
            <w:tcW w:w="1701" w:type="dxa"/>
            <w:vAlign w:val="center"/>
          </w:tcPr>
          <w:p w14:paraId="57E02334" w14:textId="24AA2D0B" w:rsidR="00A51AA2" w:rsidRPr="009077F5" w:rsidRDefault="00A51AA2" w:rsidP="00A202FD">
            <w:pPr>
              <w:jc w:val="both"/>
              <w:rPr>
                <w:rFonts w:eastAsia="Calibri"/>
                <w:lang w:eastAsia="en-US"/>
              </w:rPr>
            </w:pPr>
            <w:r w:rsidRPr="009077F5">
              <w:rPr>
                <w:rFonts w:eastAsia="Calibri"/>
                <w:lang w:eastAsia="en-US"/>
              </w:rPr>
              <w:t>Haddeleme yağı ve emülsiyon sisteminin optimum seçimi</w:t>
            </w:r>
          </w:p>
        </w:tc>
        <w:tc>
          <w:tcPr>
            <w:tcW w:w="5103" w:type="dxa"/>
          </w:tcPr>
          <w:p w14:paraId="4A5EE377" w14:textId="77777777" w:rsidR="00A51AA2" w:rsidRPr="009077F5" w:rsidRDefault="00A51AA2" w:rsidP="00A202FD">
            <w:pPr>
              <w:pStyle w:val="ListeParagraf"/>
              <w:numPr>
                <w:ilvl w:val="0"/>
                <w:numId w:val="0"/>
              </w:numPr>
              <w:tabs>
                <w:tab w:val="clear" w:pos="567"/>
              </w:tabs>
              <w:spacing w:line="240" w:lineRule="auto"/>
              <w:rPr>
                <w:rFonts w:eastAsia="Calibri"/>
                <w:color w:val="000000"/>
                <w:spacing w:val="0"/>
                <w:position w:val="0"/>
                <w:sz w:val="24"/>
                <w:szCs w:val="24"/>
                <w:lang w:val="tr-TR" w:eastAsia="tr-TR"/>
              </w:rPr>
            </w:pPr>
            <w:r w:rsidRPr="009077F5">
              <w:rPr>
                <w:rFonts w:eastAsia="Calibri"/>
                <w:color w:val="000000"/>
                <w:spacing w:val="0"/>
                <w:position w:val="0"/>
                <w:sz w:val="24"/>
                <w:szCs w:val="24"/>
                <w:lang w:val="tr-TR" w:eastAsia="tr-TR"/>
              </w:rPr>
              <w:t>Haddeleme yağı ve emülsiyon sistemleri, verilen işlem ve ürün için optimum performansı sağlamak üzere dikkatlice seçilir. Dikkate alınması gereken ilgili özellikler şunlardır:</w:t>
            </w:r>
          </w:p>
          <w:p w14:paraId="1C3E0BA6" w14:textId="77777777" w:rsidR="00A51AA2" w:rsidRPr="009077F5" w:rsidRDefault="00A51AA2" w:rsidP="00A202FD">
            <w:pPr>
              <w:pStyle w:val="ListeParagraf"/>
              <w:numPr>
                <w:ilvl w:val="0"/>
                <w:numId w:val="80"/>
              </w:numPr>
              <w:tabs>
                <w:tab w:val="clear" w:pos="567"/>
              </w:tabs>
              <w:spacing w:line="240" w:lineRule="auto"/>
              <w:ind w:left="321" w:hanging="284"/>
              <w:rPr>
                <w:rFonts w:eastAsia="Calibri"/>
                <w:color w:val="000000"/>
                <w:spacing w:val="0"/>
                <w:position w:val="0"/>
                <w:sz w:val="24"/>
                <w:szCs w:val="24"/>
                <w:lang w:val="tr-TR" w:eastAsia="tr-TR"/>
              </w:rPr>
            </w:pPr>
            <w:r w:rsidRPr="009077F5">
              <w:rPr>
                <w:rFonts w:eastAsia="Calibri"/>
                <w:sz w:val="24"/>
                <w:szCs w:val="24"/>
              </w:rPr>
              <w:t>iyi yağlama;</w:t>
            </w:r>
          </w:p>
          <w:p w14:paraId="3E912105" w14:textId="77777777" w:rsidR="00A51AA2" w:rsidRPr="009077F5" w:rsidRDefault="00A51AA2" w:rsidP="00A202FD">
            <w:pPr>
              <w:pStyle w:val="ListeParagraf"/>
              <w:numPr>
                <w:ilvl w:val="0"/>
                <w:numId w:val="80"/>
              </w:numPr>
              <w:tabs>
                <w:tab w:val="clear" w:pos="567"/>
              </w:tabs>
              <w:spacing w:line="240" w:lineRule="auto"/>
              <w:ind w:left="321" w:hanging="284"/>
              <w:rPr>
                <w:rFonts w:eastAsia="Calibri"/>
                <w:color w:val="000000"/>
                <w:spacing w:val="0"/>
                <w:position w:val="0"/>
                <w:sz w:val="24"/>
                <w:szCs w:val="24"/>
                <w:lang w:val="tr-TR" w:eastAsia="tr-TR"/>
              </w:rPr>
            </w:pPr>
            <w:r w:rsidRPr="009077F5">
              <w:rPr>
                <w:rFonts w:eastAsia="Calibri"/>
                <w:sz w:val="24"/>
                <w:szCs w:val="24"/>
              </w:rPr>
              <w:t>kirleticilerin kolayca ayrılma potansiyeli;</w:t>
            </w:r>
          </w:p>
          <w:p w14:paraId="76540612" w14:textId="77777777" w:rsidR="00A51AA2" w:rsidRPr="009077F5" w:rsidRDefault="00A51AA2" w:rsidP="00A202FD">
            <w:pPr>
              <w:pStyle w:val="ListeParagraf"/>
              <w:numPr>
                <w:ilvl w:val="0"/>
                <w:numId w:val="80"/>
              </w:numPr>
              <w:tabs>
                <w:tab w:val="clear" w:pos="567"/>
              </w:tabs>
              <w:spacing w:line="240" w:lineRule="auto"/>
              <w:ind w:left="321" w:hanging="284"/>
              <w:rPr>
                <w:rFonts w:eastAsia="Calibri"/>
                <w:color w:val="000000"/>
                <w:spacing w:val="0"/>
                <w:position w:val="0"/>
                <w:sz w:val="24"/>
                <w:szCs w:val="24"/>
                <w:lang w:val="tr-TR" w:eastAsia="tr-TR"/>
              </w:rPr>
            </w:pPr>
            <w:r w:rsidRPr="009077F5">
              <w:rPr>
                <w:rFonts w:eastAsia="Calibri"/>
                <w:sz w:val="24"/>
                <w:szCs w:val="24"/>
              </w:rPr>
              <w:t>emülsiyonun kararlılığı ve emülsiyondaki yağın dağılması;</w:t>
            </w:r>
          </w:p>
          <w:p w14:paraId="4CB3689E" w14:textId="66195EBA" w:rsidR="00A51AA2" w:rsidRPr="009077F5" w:rsidRDefault="00A51AA2" w:rsidP="00A202FD">
            <w:pPr>
              <w:pStyle w:val="ListeParagraf"/>
              <w:numPr>
                <w:ilvl w:val="0"/>
                <w:numId w:val="80"/>
              </w:numPr>
              <w:tabs>
                <w:tab w:val="clear" w:pos="567"/>
              </w:tabs>
              <w:spacing w:line="240" w:lineRule="auto"/>
              <w:ind w:left="321" w:hanging="284"/>
              <w:rPr>
                <w:rFonts w:eastAsia="Calibri"/>
                <w:color w:val="000000"/>
                <w:spacing w:val="0"/>
                <w:position w:val="0"/>
                <w:sz w:val="24"/>
                <w:szCs w:val="24"/>
                <w:lang w:val="tr-TR" w:eastAsia="tr-TR"/>
              </w:rPr>
            </w:pPr>
            <w:r w:rsidRPr="009077F5">
              <w:rPr>
                <w:rFonts w:eastAsia="Calibri"/>
                <w:sz w:val="24"/>
                <w:szCs w:val="24"/>
              </w:rPr>
              <w:t>uzun rölanti süresi boyunca yağın bozulmaması.</w:t>
            </w:r>
          </w:p>
        </w:tc>
        <w:tc>
          <w:tcPr>
            <w:tcW w:w="1701" w:type="dxa"/>
            <w:vAlign w:val="center"/>
          </w:tcPr>
          <w:p w14:paraId="19C1505D" w14:textId="09964F8B" w:rsidR="00A51AA2" w:rsidRPr="009077F5" w:rsidRDefault="00A51AA2" w:rsidP="004B0D48">
            <w:pPr>
              <w:pStyle w:val="KonuBal"/>
              <w:rPr>
                <w:sz w:val="24"/>
                <w:szCs w:val="24"/>
              </w:rPr>
            </w:pPr>
            <w:r w:rsidRPr="009077F5">
              <w:rPr>
                <w:sz w:val="24"/>
                <w:szCs w:val="24"/>
              </w:rPr>
              <w:t>Genel olarak uygulanabilir.</w:t>
            </w:r>
          </w:p>
        </w:tc>
      </w:tr>
      <w:tr w:rsidR="00A51AA2" w:rsidRPr="0050094F" w14:paraId="3CFD9785" w14:textId="77777777" w:rsidTr="00C86A85">
        <w:tc>
          <w:tcPr>
            <w:tcW w:w="425" w:type="dxa"/>
            <w:vAlign w:val="center"/>
          </w:tcPr>
          <w:p w14:paraId="0BBF0122" w14:textId="77777777" w:rsidR="00A51AA2" w:rsidRPr="009077F5" w:rsidRDefault="00A51AA2" w:rsidP="004B0D48">
            <w:pPr>
              <w:pStyle w:val="KonuBal"/>
              <w:rPr>
                <w:sz w:val="24"/>
                <w:szCs w:val="24"/>
              </w:rPr>
            </w:pPr>
            <w:r w:rsidRPr="009077F5">
              <w:rPr>
                <w:sz w:val="24"/>
                <w:szCs w:val="24"/>
              </w:rPr>
              <w:t xml:space="preserve">e. </w:t>
            </w:r>
          </w:p>
        </w:tc>
        <w:tc>
          <w:tcPr>
            <w:tcW w:w="1701" w:type="dxa"/>
            <w:vAlign w:val="center"/>
          </w:tcPr>
          <w:p w14:paraId="399B22D5" w14:textId="308EEDB5" w:rsidR="00A51AA2" w:rsidRPr="009077F5" w:rsidRDefault="00A51AA2" w:rsidP="00A202FD">
            <w:pPr>
              <w:jc w:val="both"/>
              <w:rPr>
                <w:rFonts w:eastAsia="Calibri"/>
                <w:lang w:eastAsia="en-US"/>
              </w:rPr>
            </w:pPr>
            <w:r w:rsidRPr="009077F5">
              <w:rPr>
                <w:rFonts w:eastAsia="Calibri"/>
                <w:lang w:eastAsia="en-US"/>
              </w:rPr>
              <w:t>Yağ/haddeleme emülsiyonu tüketiminin en aza indirilmesi</w:t>
            </w:r>
          </w:p>
        </w:tc>
        <w:tc>
          <w:tcPr>
            <w:tcW w:w="5103" w:type="dxa"/>
          </w:tcPr>
          <w:p w14:paraId="596CF112" w14:textId="77777777" w:rsidR="00A51AA2" w:rsidRPr="009077F5" w:rsidRDefault="00A51AA2" w:rsidP="00A202FD">
            <w:pPr>
              <w:jc w:val="both"/>
              <w:rPr>
                <w:rFonts w:eastAsia="Calibri"/>
                <w:lang w:eastAsia="en-US"/>
              </w:rPr>
            </w:pPr>
            <w:r w:rsidRPr="009077F5">
              <w:rPr>
                <w:rFonts w:eastAsia="Calibri"/>
                <w:lang w:eastAsia="en-US"/>
              </w:rPr>
              <w:t>Yağ/haddeleme emülsiyonu tüketimi aşağıdaki teknikler kullanılarak en aza indirgenebilir:</w:t>
            </w:r>
          </w:p>
          <w:p w14:paraId="751C1F8F" w14:textId="77777777" w:rsidR="00A51AA2" w:rsidRPr="009077F5" w:rsidRDefault="00A51AA2" w:rsidP="00A202FD">
            <w:pPr>
              <w:pStyle w:val="ListeParagraf"/>
              <w:widowControl/>
              <w:numPr>
                <w:ilvl w:val="0"/>
                <w:numId w:val="80"/>
              </w:numPr>
              <w:tabs>
                <w:tab w:val="clear" w:pos="567"/>
              </w:tabs>
              <w:ind w:left="321" w:hanging="284"/>
              <w:rPr>
                <w:rFonts w:eastAsia="Calibri"/>
                <w:sz w:val="24"/>
                <w:szCs w:val="24"/>
              </w:rPr>
            </w:pPr>
            <w:r w:rsidRPr="009077F5">
              <w:rPr>
                <w:rFonts w:eastAsia="Calibri"/>
                <w:sz w:val="24"/>
                <w:szCs w:val="24"/>
              </w:rPr>
              <w:t xml:space="preserve">yağ konsantrasyonunun yağlama için gereken en az düzeyle sınırlandırılması; </w:t>
            </w:r>
          </w:p>
          <w:p w14:paraId="28776F2B" w14:textId="77777777" w:rsidR="00A51AA2" w:rsidRPr="009077F5" w:rsidRDefault="00A51AA2" w:rsidP="00A202FD">
            <w:pPr>
              <w:pStyle w:val="ListeParagraf"/>
              <w:widowControl/>
              <w:numPr>
                <w:ilvl w:val="0"/>
                <w:numId w:val="80"/>
              </w:numPr>
              <w:tabs>
                <w:tab w:val="clear" w:pos="567"/>
              </w:tabs>
              <w:ind w:left="321" w:hanging="284"/>
              <w:rPr>
                <w:rFonts w:eastAsia="Calibri"/>
                <w:sz w:val="24"/>
                <w:szCs w:val="24"/>
              </w:rPr>
            </w:pPr>
            <w:r w:rsidRPr="009077F5">
              <w:rPr>
                <w:rFonts w:eastAsia="Calibri"/>
                <w:sz w:val="24"/>
                <w:szCs w:val="24"/>
              </w:rPr>
              <w:t>önceki tezgahlardan emülsiyon taşınmasının sınırlandırılması (ör. emülsiyon depolarının ayrılması, hadde tezgahlarının korunması gibi);</w:t>
            </w:r>
          </w:p>
          <w:p w14:paraId="0F942909" w14:textId="658E8B00" w:rsidR="00A51AA2" w:rsidRPr="009077F5" w:rsidRDefault="00A51AA2" w:rsidP="00A202FD">
            <w:pPr>
              <w:pStyle w:val="ListeParagraf"/>
              <w:widowControl/>
              <w:numPr>
                <w:ilvl w:val="0"/>
                <w:numId w:val="80"/>
              </w:numPr>
              <w:tabs>
                <w:tab w:val="clear" w:pos="567"/>
              </w:tabs>
              <w:ind w:left="321" w:hanging="284"/>
              <w:rPr>
                <w:rFonts w:eastAsia="Calibri"/>
                <w:sz w:val="24"/>
                <w:szCs w:val="24"/>
              </w:rPr>
            </w:pPr>
            <w:r w:rsidRPr="009077F5">
              <w:rPr>
                <w:rFonts w:eastAsia="Calibri"/>
                <w:sz w:val="24"/>
                <w:szCs w:val="24"/>
              </w:rPr>
              <w:lastRenderedPageBreak/>
              <w:t>şerit üzerinde kalan artık emülsiyonu ve yağı azaltmak için köşe emişli hava bıçaklarının kullanılması.</w:t>
            </w:r>
          </w:p>
        </w:tc>
        <w:tc>
          <w:tcPr>
            <w:tcW w:w="1701" w:type="dxa"/>
            <w:vAlign w:val="center"/>
          </w:tcPr>
          <w:p w14:paraId="41F70813" w14:textId="77777777" w:rsidR="00A51AA2" w:rsidRPr="009077F5" w:rsidRDefault="00A51AA2" w:rsidP="004B0D48">
            <w:pPr>
              <w:pStyle w:val="KonuBal"/>
              <w:rPr>
                <w:sz w:val="24"/>
                <w:szCs w:val="24"/>
              </w:rPr>
            </w:pPr>
            <w:r w:rsidRPr="009077F5">
              <w:rPr>
                <w:sz w:val="24"/>
                <w:szCs w:val="24"/>
              </w:rPr>
              <w:lastRenderedPageBreak/>
              <w:t>Genel olarak uygulanabilir.</w:t>
            </w:r>
          </w:p>
        </w:tc>
      </w:tr>
    </w:tbl>
    <w:p w14:paraId="52A5BFD5" w14:textId="77777777" w:rsidR="0071694E" w:rsidRPr="00D53A2B" w:rsidRDefault="0071694E" w:rsidP="00A202FD">
      <w:pPr>
        <w:jc w:val="both"/>
        <w:rPr>
          <w:rFonts w:eastAsia="Calibri"/>
          <w:lang w:eastAsia="en-US"/>
        </w:rPr>
      </w:pPr>
    </w:p>
    <w:p w14:paraId="63917472" w14:textId="0039F326" w:rsidR="0071694E" w:rsidRPr="00D53A2B" w:rsidRDefault="00D10848" w:rsidP="00A202FD">
      <w:pPr>
        <w:pStyle w:val="Balk3"/>
        <w:rPr>
          <w:rFonts w:eastAsia="Calibri" w:cs="Times New Roman"/>
          <w:lang w:eastAsia="en-US"/>
        </w:rPr>
      </w:pPr>
      <w:r w:rsidRPr="00D53A2B">
        <w:rPr>
          <w:rFonts w:eastAsia="Calibri" w:cs="Times New Roman"/>
          <w:lang w:eastAsia="en-US"/>
        </w:rPr>
        <w:t>1</w:t>
      </w:r>
      <w:r w:rsidR="00A51AA2" w:rsidRPr="00D53A2B">
        <w:rPr>
          <w:rFonts w:eastAsia="Calibri" w:cs="Times New Roman"/>
          <w:lang w:eastAsia="en-US"/>
        </w:rPr>
        <w:t>.7.3. Hava emisyonları</w:t>
      </w:r>
    </w:p>
    <w:p w14:paraId="00C277E6" w14:textId="792C7CBB" w:rsidR="0071694E" w:rsidRPr="00D53A2B" w:rsidRDefault="00A51AA2" w:rsidP="00A202FD">
      <w:pPr>
        <w:pStyle w:val="MET"/>
        <w:rPr>
          <w:rFonts w:eastAsia="Calibri"/>
          <w:b w:val="0"/>
          <w:bCs/>
          <w:szCs w:val="24"/>
        </w:rPr>
      </w:pPr>
      <w:r w:rsidRPr="00D53A2B">
        <w:rPr>
          <w:rFonts w:eastAsia="Calibri"/>
          <w:szCs w:val="24"/>
        </w:rPr>
        <w:t xml:space="preserve">MET 46: </w:t>
      </w:r>
      <w:r w:rsidRPr="00D53A2B">
        <w:rPr>
          <w:rFonts w:eastAsia="Calibri"/>
          <w:b w:val="0"/>
          <w:bCs/>
          <w:szCs w:val="24"/>
        </w:rPr>
        <w:t>Rulo açma, mekanik ön tufal giderme, düzeltme ve kaynaklama işlemlerinden kaynaklanan toz, nikel ve kurşunun havaya emisyonlarını azaltmak için, (a) tekniğini kullanarak emisyonları toplamak ve bu durumda (b) tekniğini kullanarak atık gaz arıt</w:t>
      </w:r>
      <w:r w:rsidR="009612E0" w:rsidRPr="00D53A2B">
        <w:rPr>
          <w:rFonts w:eastAsia="Calibri"/>
          <w:b w:val="0"/>
          <w:bCs/>
          <w:szCs w:val="24"/>
        </w:rPr>
        <w:t>ılır</w:t>
      </w:r>
      <w:r w:rsidRPr="00D53A2B">
        <w:rPr>
          <w:rFonts w:eastAsia="Calibri"/>
          <w:b w:val="0"/>
          <w:bCs/>
          <w:szCs w:val="24"/>
        </w:rPr>
        <w:t>.</w:t>
      </w:r>
    </w:p>
    <w:p w14:paraId="3AB9FBA8" w14:textId="77777777" w:rsidR="00C15CF2" w:rsidRPr="00D53A2B" w:rsidRDefault="00C15CF2" w:rsidP="00A202FD">
      <w:pPr>
        <w:pStyle w:val="MET"/>
        <w:rPr>
          <w:rFonts w:eastAsia="Calibri"/>
          <w:szCs w:val="24"/>
        </w:rPr>
      </w:pPr>
    </w:p>
    <w:tbl>
      <w:tblPr>
        <w:tblStyle w:val="TabloKlavuzu"/>
        <w:tblW w:w="8930" w:type="dxa"/>
        <w:tblInd w:w="137" w:type="dxa"/>
        <w:tblLayout w:type="fixed"/>
        <w:tblLook w:val="04A0" w:firstRow="1" w:lastRow="0" w:firstColumn="1" w:lastColumn="0" w:noHBand="0" w:noVBand="1"/>
      </w:tblPr>
      <w:tblGrid>
        <w:gridCol w:w="425"/>
        <w:gridCol w:w="2268"/>
        <w:gridCol w:w="3969"/>
        <w:gridCol w:w="2268"/>
      </w:tblGrid>
      <w:tr w:rsidR="00A51AA2" w:rsidRPr="00D53A2B" w14:paraId="168F6A13" w14:textId="77777777" w:rsidTr="00C86A85">
        <w:tc>
          <w:tcPr>
            <w:tcW w:w="2693" w:type="dxa"/>
            <w:gridSpan w:val="2"/>
          </w:tcPr>
          <w:p w14:paraId="3C8D38F7" w14:textId="77777777" w:rsidR="00A51AA2" w:rsidRPr="009077F5" w:rsidRDefault="00A51AA2" w:rsidP="004B0D48">
            <w:pPr>
              <w:pStyle w:val="KonuBal"/>
              <w:rPr>
                <w:b/>
                <w:bCs/>
                <w:sz w:val="24"/>
                <w:szCs w:val="24"/>
              </w:rPr>
            </w:pPr>
            <w:r w:rsidRPr="009077F5">
              <w:rPr>
                <w:b/>
                <w:bCs/>
                <w:sz w:val="24"/>
                <w:szCs w:val="24"/>
              </w:rPr>
              <w:t>Teknik</w:t>
            </w:r>
          </w:p>
        </w:tc>
        <w:tc>
          <w:tcPr>
            <w:tcW w:w="3969" w:type="dxa"/>
          </w:tcPr>
          <w:p w14:paraId="10CF1E92" w14:textId="77777777" w:rsidR="00A51AA2" w:rsidRPr="009077F5" w:rsidRDefault="00A51AA2" w:rsidP="004B0D48">
            <w:pPr>
              <w:pStyle w:val="KonuBal"/>
              <w:rPr>
                <w:b/>
                <w:bCs/>
                <w:sz w:val="24"/>
                <w:szCs w:val="24"/>
              </w:rPr>
            </w:pPr>
            <w:r w:rsidRPr="009077F5">
              <w:rPr>
                <w:b/>
                <w:bCs/>
                <w:sz w:val="24"/>
                <w:szCs w:val="24"/>
              </w:rPr>
              <w:t>Açıklama</w:t>
            </w:r>
          </w:p>
        </w:tc>
        <w:tc>
          <w:tcPr>
            <w:tcW w:w="2268" w:type="dxa"/>
          </w:tcPr>
          <w:p w14:paraId="74D47B69" w14:textId="77777777" w:rsidR="00A51AA2" w:rsidRPr="009077F5" w:rsidRDefault="00A51AA2" w:rsidP="0050094F">
            <w:pPr>
              <w:pStyle w:val="KonuBal"/>
              <w:rPr>
                <w:b/>
                <w:bCs/>
                <w:sz w:val="24"/>
                <w:szCs w:val="24"/>
              </w:rPr>
            </w:pPr>
            <w:r w:rsidRPr="009077F5">
              <w:rPr>
                <w:b/>
                <w:bCs/>
                <w:sz w:val="24"/>
                <w:szCs w:val="24"/>
              </w:rPr>
              <w:t>Uygulanabilirlik</w:t>
            </w:r>
          </w:p>
        </w:tc>
      </w:tr>
      <w:tr w:rsidR="00A51AA2" w:rsidRPr="00D53A2B" w14:paraId="67DF47A8" w14:textId="77777777" w:rsidTr="00C86A85">
        <w:tc>
          <w:tcPr>
            <w:tcW w:w="8930" w:type="dxa"/>
            <w:gridSpan w:val="4"/>
          </w:tcPr>
          <w:p w14:paraId="23B4BDBA" w14:textId="71275CA4" w:rsidR="00A51AA2" w:rsidRPr="009077F5" w:rsidRDefault="00A51AA2" w:rsidP="004B0D48">
            <w:pPr>
              <w:pStyle w:val="KonuBal"/>
              <w:rPr>
                <w:sz w:val="24"/>
                <w:szCs w:val="24"/>
              </w:rPr>
            </w:pPr>
            <w:r w:rsidRPr="009077F5">
              <w:rPr>
                <w:sz w:val="24"/>
                <w:szCs w:val="24"/>
              </w:rPr>
              <w:t>Emisyonların toplanması</w:t>
            </w:r>
          </w:p>
        </w:tc>
      </w:tr>
      <w:tr w:rsidR="00A51AA2" w:rsidRPr="00D53A2B" w14:paraId="6AFC0103" w14:textId="77777777" w:rsidTr="00C86A85">
        <w:tc>
          <w:tcPr>
            <w:tcW w:w="425" w:type="dxa"/>
            <w:vAlign w:val="center"/>
          </w:tcPr>
          <w:p w14:paraId="16E5295B" w14:textId="77777777" w:rsidR="00A51AA2" w:rsidRPr="009077F5" w:rsidRDefault="00A51AA2" w:rsidP="004B0D48">
            <w:pPr>
              <w:pStyle w:val="KonuBal"/>
              <w:rPr>
                <w:sz w:val="24"/>
                <w:szCs w:val="24"/>
              </w:rPr>
            </w:pPr>
            <w:r w:rsidRPr="009077F5">
              <w:rPr>
                <w:sz w:val="24"/>
                <w:szCs w:val="24"/>
              </w:rPr>
              <w:t>a.</w:t>
            </w:r>
          </w:p>
        </w:tc>
        <w:tc>
          <w:tcPr>
            <w:tcW w:w="2268" w:type="dxa"/>
            <w:vAlign w:val="center"/>
          </w:tcPr>
          <w:p w14:paraId="7070425A" w14:textId="063E722C" w:rsidR="00A51AA2" w:rsidRPr="009077F5" w:rsidRDefault="00A51AA2" w:rsidP="004B0D48">
            <w:pPr>
              <w:pStyle w:val="KonuBal"/>
              <w:rPr>
                <w:sz w:val="24"/>
                <w:szCs w:val="24"/>
              </w:rPr>
            </w:pPr>
            <w:r w:rsidRPr="009077F5">
              <w:rPr>
                <w:sz w:val="24"/>
                <w:szCs w:val="24"/>
              </w:rPr>
              <w:t>Emisyon kaynağına mümkün olduğu kadar yakın hava çıkışı</w:t>
            </w:r>
          </w:p>
        </w:tc>
        <w:tc>
          <w:tcPr>
            <w:tcW w:w="3969" w:type="dxa"/>
            <w:vAlign w:val="center"/>
          </w:tcPr>
          <w:p w14:paraId="1DAE5CAD" w14:textId="420D952A" w:rsidR="00A51AA2" w:rsidRPr="009077F5" w:rsidRDefault="001A6173" w:rsidP="00A202FD">
            <w:pPr>
              <w:jc w:val="both"/>
              <w:rPr>
                <w:rFonts w:eastAsia="Calibri"/>
                <w:lang w:eastAsia="en-US"/>
              </w:rPr>
            </w:pPr>
            <w:r w:rsidRPr="009077F5">
              <w:rPr>
                <w:rFonts w:eastAsia="Calibri"/>
                <w:lang w:eastAsia="en-US"/>
              </w:rPr>
              <w:t>Rulo açma, mekanik ön temizleme, düzeltme ve kaynak işlemlerinden kaynaklanan emisyonlar, örneğin davlumbaz veya ağız kullanılarak toplanır.</w:t>
            </w:r>
          </w:p>
        </w:tc>
        <w:tc>
          <w:tcPr>
            <w:tcW w:w="2268" w:type="dxa"/>
            <w:vAlign w:val="center"/>
          </w:tcPr>
          <w:p w14:paraId="60EFCF99" w14:textId="6DB8BF05" w:rsidR="00A51AA2" w:rsidRPr="009077F5" w:rsidRDefault="001A6173" w:rsidP="004B0D48">
            <w:pPr>
              <w:pStyle w:val="KonuBal"/>
              <w:rPr>
                <w:sz w:val="24"/>
                <w:szCs w:val="24"/>
              </w:rPr>
            </w:pPr>
            <w:r w:rsidRPr="009077F5">
              <w:rPr>
                <w:sz w:val="24"/>
                <w:szCs w:val="24"/>
              </w:rPr>
              <w:t>Düşük toz oluşumu seviyelerinde, örneğin 50 g/saat</w:t>
            </w:r>
            <w:r w:rsidR="00E56504" w:rsidRPr="009077F5">
              <w:rPr>
                <w:sz w:val="24"/>
                <w:szCs w:val="24"/>
              </w:rPr>
              <w:t>’</w:t>
            </w:r>
            <w:r w:rsidRPr="009077F5">
              <w:rPr>
                <w:sz w:val="24"/>
                <w:szCs w:val="24"/>
              </w:rPr>
              <w:t>in altında, kaynak için uygun olmayabilir.</w:t>
            </w:r>
          </w:p>
        </w:tc>
      </w:tr>
      <w:tr w:rsidR="00A51AA2" w:rsidRPr="00D53A2B" w14:paraId="7FB1BB28" w14:textId="77777777" w:rsidTr="00C86A85">
        <w:tc>
          <w:tcPr>
            <w:tcW w:w="8930" w:type="dxa"/>
            <w:gridSpan w:val="4"/>
            <w:vAlign w:val="center"/>
          </w:tcPr>
          <w:p w14:paraId="21241120" w14:textId="41C3CA36" w:rsidR="00A51AA2" w:rsidRPr="009077F5" w:rsidRDefault="00A51AA2" w:rsidP="004B0D48">
            <w:pPr>
              <w:pStyle w:val="KonuBal"/>
              <w:rPr>
                <w:sz w:val="24"/>
                <w:szCs w:val="24"/>
              </w:rPr>
            </w:pPr>
            <w:r w:rsidRPr="009077F5">
              <w:rPr>
                <w:sz w:val="24"/>
                <w:szCs w:val="24"/>
              </w:rPr>
              <w:t>Atık gaz arıtımı</w:t>
            </w:r>
          </w:p>
        </w:tc>
      </w:tr>
      <w:tr w:rsidR="00A51AA2" w:rsidRPr="00D53A2B" w14:paraId="7E7E3978" w14:textId="77777777" w:rsidTr="00C86A85">
        <w:tc>
          <w:tcPr>
            <w:tcW w:w="425" w:type="dxa"/>
            <w:vAlign w:val="center"/>
          </w:tcPr>
          <w:p w14:paraId="6065F91F" w14:textId="0253933C" w:rsidR="00A51AA2" w:rsidRPr="009077F5" w:rsidRDefault="00F50529" w:rsidP="004B0D48">
            <w:pPr>
              <w:pStyle w:val="KonuBal"/>
              <w:rPr>
                <w:sz w:val="24"/>
                <w:szCs w:val="24"/>
              </w:rPr>
            </w:pPr>
            <w:r>
              <w:rPr>
                <w:sz w:val="24"/>
                <w:szCs w:val="24"/>
              </w:rPr>
              <w:t>b</w:t>
            </w:r>
            <w:r w:rsidR="00A51AA2" w:rsidRPr="009077F5">
              <w:rPr>
                <w:sz w:val="24"/>
                <w:szCs w:val="24"/>
              </w:rPr>
              <w:t>.</w:t>
            </w:r>
          </w:p>
        </w:tc>
        <w:tc>
          <w:tcPr>
            <w:tcW w:w="2268" w:type="dxa"/>
            <w:vAlign w:val="center"/>
          </w:tcPr>
          <w:p w14:paraId="43130363" w14:textId="7C09D8D0" w:rsidR="00A51AA2" w:rsidRPr="009077F5" w:rsidRDefault="001A6173" w:rsidP="00A202FD">
            <w:pPr>
              <w:jc w:val="both"/>
              <w:rPr>
                <w:rFonts w:eastAsia="Calibri"/>
                <w:lang w:eastAsia="en-US"/>
              </w:rPr>
            </w:pPr>
            <w:r w:rsidRPr="009077F5">
              <w:rPr>
                <w:rFonts w:eastAsia="Calibri"/>
                <w:lang w:eastAsia="en-US"/>
              </w:rPr>
              <w:t>Kumaş filtre</w:t>
            </w:r>
          </w:p>
        </w:tc>
        <w:tc>
          <w:tcPr>
            <w:tcW w:w="3969" w:type="dxa"/>
          </w:tcPr>
          <w:p w14:paraId="4B75C0BC" w14:textId="4A31B798" w:rsidR="00A51AA2" w:rsidRPr="009077F5" w:rsidRDefault="001A6173" w:rsidP="00A202FD">
            <w:pPr>
              <w:jc w:val="both"/>
              <w:rPr>
                <w:lang w:val="en-US" w:eastAsia="en-US"/>
              </w:rPr>
            </w:pPr>
            <w:r w:rsidRPr="009077F5">
              <w:rPr>
                <w:rFonts w:eastAsia="Calibri"/>
              </w:rPr>
              <w:t xml:space="preserve">Bölüm </w:t>
            </w:r>
            <w:r w:rsidR="00B97162" w:rsidRPr="009077F5">
              <w:rPr>
                <w:rFonts w:eastAsia="Calibri"/>
              </w:rPr>
              <w:t>1</w:t>
            </w:r>
            <w:r w:rsidRPr="009077F5">
              <w:rPr>
                <w:rFonts w:eastAsia="Calibri"/>
              </w:rPr>
              <w:t>.11.2</w:t>
            </w:r>
            <w:r w:rsidR="00E56504" w:rsidRPr="009077F5">
              <w:rPr>
                <w:rFonts w:eastAsia="Calibri"/>
              </w:rPr>
              <w:t>’</w:t>
            </w:r>
            <w:r w:rsidRPr="009077F5">
              <w:rPr>
                <w:rFonts w:eastAsia="Calibri"/>
              </w:rPr>
              <w:t>e bakınız</w:t>
            </w:r>
            <w:r w:rsidR="00A51AA2" w:rsidRPr="009077F5">
              <w:rPr>
                <w:rFonts w:eastAsia="Calibri"/>
              </w:rPr>
              <w:t>.</w:t>
            </w:r>
          </w:p>
        </w:tc>
        <w:tc>
          <w:tcPr>
            <w:tcW w:w="2268" w:type="dxa"/>
            <w:vAlign w:val="center"/>
          </w:tcPr>
          <w:p w14:paraId="7F6FC8FB" w14:textId="77777777" w:rsidR="00A51AA2" w:rsidRPr="009077F5" w:rsidRDefault="00A51AA2" w:rsidP="004B0D48">
            <w:pPr>
              <w:pStyle w:val="KonuBal"/>
              <w:rPr>
                <w:sz w:val="24"/>
                <w:szCs w:val="24"/>
              </w:rPr>
            </w:pPr>
            <w:r w:rsidRPr="009077F5">
              <w:rPr>
                <w:sz w:val="24"/>
                <w:szCs w:val="24"/>
              </w:rPr>
              <w:t>Genel olarak uygulanabilir.</w:t>
            </w:r>
          </w:p>
        </w:tc>
      </w:tr>
    </w:tbl>
    <w:p w14:paraId="0F57E64A" w14:textId="77777777" w:rsidR="0071694E" w:rsidRPr="00D53A2B" w:rsidRDefault="0071694E" w:rsidP="00A202FD">
      <w:pPr>
        <w:jc w:val="both"/>
        <w:rPr>
          <w:rFonts w:eastAsia="Calibri"/>
          <w:lang w:eastAsia="en-US"/>
        </w:rPr>
      </w:pPr>
    </w:p>
    <w:p w14:paraId="44EB1034" w14:textId="705D2FCC" w:rsidR="001023C7" w:rsidRPr="00D53A2B" w:rsidRDefault="001A6173" w:rsidP="00A202FD">
      <w:pPr>
        <w:jc w:val="both"/>
        <w:rPr>
          <w:rFonts w:eastAsia="Calibri"/>
          <w:lang w:eastAsia="en-US"/>
        </w:rPr>
      </w:pPr>
      <w:r w:rsidRPr="00D53A2B">
        <w:rPr>
          <w:rFonts w:eastAsia="Calibri"/>
          <w:lang w:eastAsia="en-US"/>
        </w:rPr>
        <w:t xml:space="preserve">Tablo </w:t>
      </w:r>
      <w:r w:rsidR="00F46CF1" w:rsidRPr="00D53A2B">
        <w:rPr>
          <w:rFonts w:eastAsia="Calibri"/>
          <w:lang w:eastAsia="en-US"/>
        </w:rPr>
        <w:t>1.</w:t>
      </w:r>
      <w:r w:rsidRPr="00D53A2B">
        <w:rPr>
          <w:rFonts w:eastAsia="Calibri"/>
          <w:lang w:eastAsia="en-US"/>
        </w:rPr>
        <w:t>25</w:t>
      </w:r>
    </w:p>
    <w:p w14:paraId="4E7FBBD4" w14:textId="4684E2D9" w:rsidR="00A51AA2" w:rsidRPr="00D53A2B" w:rsidRDefault="001A6173" w:rsidP="00A202FD">
      <w:pPr>
        <w:jc w:val="both"/>
        <w:rPr>
          <w:rFonts w:eastAsia="Calibri"/>
          <w:lang w:eastAsia="en-US"/>
        </w:rPr>
      </w:pPr>
      <w:r w:rsidRPr="00D53A2B">
        <w:rPr>
          <w:rFonts w:eastAsia="Calibri"/>
          <w:lang w:eastAsia="en-US"/>
        </w:rPr>
        <w:t>Rulo açma, mekanik ön kireç çözme, tesviye ve kaynaklama işlemleri sonucu havaya yayılan toz, nikel ve kurşunun kanalize emisyonları için MET-ilişkili emisyon seviyeleri (MET-İES</w:t>
      </w:r>
      <w:r w:rsidR="009612E0" w:rsidRPr="00D53A2B">
        <w:rPr>
          <w:rFonts w:eastAsia="Calibri"/>
          <w:lang w:eastAsia="en-US"/>
        </w:rPr>
        <w:t>)</w:t>
      </w:r>
    </w:p>
    <w:p w14:paraId="72FF693C" w14:textId="77777777" w:rsidR="00C15CF2" w:rsidRPr="00D53A2B" w:rsidRDefault="00C15CF2"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1418"/>
        <w:gridCol w:w="1417"/>
        <w:gridCol w:w="6095"/>
      </w:tblGrid>
      <w:tr w:rsidR="001A6173" w:rsidRPr="00D53A2B" w14:paraId="2F4FBF1F" w14:textId="77777777" w:rsidTr="00A202FD">
        <w:tc>
          <w:tcPr>
            <w:tcW w:w="1418" w:type="dxa"/>
          </w:tcPr>
          <w:p w14:paraId="08BA0D44" w14:textId="77777777" w:rsidR="001A6173" w:rsidRPr="009077F5" w:rsidRDefault="001A6173" w:rsidP="004B0D48">
            <w:pPr>
              <w:pStyle w:val="KonuBal"/>
              <w:rPr>
                <w:sz w:val="24"/>
                <w:szCs w:val="24"/>
              </w:rPr>
            </w:pPr>
            <w:r w:rsidRPr="009077F5">
              <w:rPr>
                <w:sz w:val="24"/>
                <w:szCs w:val="24"/>
              </w:rPr>
              <w:t>Parametre</w:t>
            </w:r>
          </w:p>
        </w:tc>
        <w:tc>
          <w:tcPr>
            <w:tcW w:w="1417" w:type="dxa"/>
          </w:tcPr>
          <w:p w14:paraId="649B9DC7" w14:textId="77777777" w:rsidR="001A6173" w:rsidRPr="009077F5" w:rsidRDefault="001A6173" w:rsidP="004B0D48">
            <w:pPr>
              <w:pStyle w:val="KonuBal"/>
              <w:rPr>
                <w:sz w:val="24"/>
                <w:szCs w:val="24"/>
              </w:rPr>
            </w:pPr>
            <w:r w:rsidRPr="009077F5">
              <w:rPr>
                <w:sz w:val="24"/>
                <w:szCs w:val="24"/>
              </w:rPr>
              <w:t>Birim</w:t>
            </w:r>
          </w:p>
        </w:tc>
        <w:tc>
          <w:tcPr>
            <w:tcW w:w="6095" w:type="dxa"/>
          </w:tcPr>
          <w:p w14:paraId="4100BE59" w14:textId="77777777" w:rsidR="001A6173" w:rsidRPr="009077F5" w:rsidRDefault="001A6173" w:rsidP="00A202FD">
            <w:pPr>
              <w:jc w:val="both"/>
              <w:rPr>
                <w:rFonts w:eastAsia="Calibri"/>
                <w:lang w:eastAsia="en-US"/>
              </w:rPr>
            </w:pPr>
            <w:r w:rsidRPr="009077F5">
              <w:rPr>
                <w:rFonts w:eastAsia="Calibri"/>
                <w:lang w:eastAsia="en-US"/>
              </w:rPr>
              <w:t xml:space="preserve">MET-İES </w:t>
            </w:r>
          </w:p>
          <w:p w14:paraId="54933B1E" w14:textId="77777777" w:rsidR="001A6173" w:rsidRPr="009077F5" w:rsidRDefault="001A6173" w:rsidP="004B0D48">
            <w:pPr>
              <w:pStyle w:val="KonuBal"/>
              <w:rPr>
                <w:sz w:val="24"/>
                <w:szCs w:val="24"/>
              </w:rPr>
            </w:pPr>
            <w:r w:rsidRPr="009077F5">
              <w:rPr>
                <w:sz w:val="24"/>
                <w:szCs w:val="24"/>
              </w:rPr>
              <w:t>(Günlük ortalama veya numune alma süresi boyunca ortalama)</w:t>
            </w:r>
          </w:p>
        </w:tc>
      </w:tr>
      <w:tr w:rsidR="001A6173" w:rsidRPr="00D53A2B" w14:paraId="6DB2AB90" w14:textId="77777777" w:rsidTr="00A202FD">
        <w:tc>
          <w:tcPr>
            <w:tcW w:w="1418" w:type="dxa"/>
          </w:tcPr>
          <w:p w14:paraId="2163DE35" w14:textId="77777777" w:rsidR="001A6173" w:rsidRPr="009077F5" w:rsidRDefault="001A6173" w:rsidP="004B0D48">
            <w:pPr>
              <w:pStyle w:val="KonuBal"/>
              <w:rPr>
                <w:sz w:val="24"/>
                <w:szCs w:val="24"/>
              </w:rPr>
            </w:pPr>
            <w:r w:rsidRPr="009077F5">
              <w:rPr>
                <w:sz w:val="24"/>
                <w:szCs w:val="24"/>
              </w:rPr>
              <w:t>Toz</w:t>
            </w:r>
          </w:p>
        </w:tc>
        <w:tc>
          <w:tcPr>
            <w:tcW w:w="1417" w:type="dxa"/>
            <w:vMerge w:val="restart"/>
          </w:tcPr>
          <w:p w14:paraId="0F5057D8" w14:textId="77777777" w:rsidR="001A6173" w:rsidRPr="009077F5" w:rsidRDefault="001A6173"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1846C2FA" w14:textId="4B120C6D" w:rsidR="001A6173" w:rsidRPr="009077F5" w:rsidRDefault="001A6173" w:rsidP="0050094F">
            <w:pPr>
              <w:pStyle w:val="KonuBal"/>
              <w:rPr>
                <w:sz w:val="24"/>
                <w:szCs w:val="24"/>
              </w:rPr>
            </w:pPr>
            <w:r w:rsidRPr="009077F5">
              <w:rPr>
                <w:sz w:val="24"/>
                <w:szCs w:val="24"/>
              </w:rPr>
              <w:t xml:space="preserve">&lt;2-5 </w:t>
            </w:r>
          </w:p>
        </w:tc>
      </w:tr>
      <w:tr w:rsidR="001A6173" w:rsidRPr="00D53A2B" w14:paraId="5001E94C" w14:textId="77777777" w:rsidTr="00A202FD">
        <w:tc>
          <w:tcPr>
            <w:tcW w:w="1418" w:type="dxa"/>
          </w:tcPr>
          <w:p w14:paraId="7A6C9CBC" w14:textId="77777777" w:rsidR="001A6173" w:rsidRPr="009077F5" w:rsidRDefault="001A6173" w:rsidP="004B0D48">
            <w:pPr>
              <w:pStyle w:val="KonuBal"/>
              <w:rPr>
                <w:sz w:val="24"/>
                <w:szCs w:val="24"/>
              </w:rPr>
            </w:pPr>
            <w:r w:rsidRPr="009077F5">
              <w:rPr>
                <w:sz w:val="24"/>
                <w:szCs w:val="24"/>
              </w:rPr>
              <w:t>Ni</w:t>
            </w:r>
          </w:p>
        </w:tc>
        <w:tc>
          <w:tcPr>
            <w:tcW w:w="1417" w:type="dxa"/>
            <w:vMerge/>
          </w:tcPr>
          <w:p w14:paraId="33C5C804" w14:textId="77777777" w:rsidR="001A6173" w:rsidRPr="009077F5" w:rsidRDefault="001A6173">
            <w:pPr>
              <w:pStyle w:val="KonuBal"/>
              <w:rPr>
                <w:sz w:val="24"/>
                <w:szCs w:val="24"/>
              </w:rPr>
            </w:pPr>
          </w:p>
        </w:tc>
        <w:tc>
          <w:tcPr>
            <w:tcW w:w="6095" w:type="dxa"/>
            <w:vAlign w:val="bottom"/>
          </w:tcPr>
          <w:p w14:paraId="459714B3" w14:textId="03C161F5" w:rsidR="001A6173" w:rsidRPr="009077F5" w:rsidRDefault="001A6173">
            <w:pPr>
              <w:pStyle w:val="KonuBal"/>
              <w:rPr>
                <w:sz w:val="24"/>
                <w:szCs w:val="24"/>
              </w:rPr>
            </w:pPr>
            <w:r w:rsidRPr="009077F5">
              <w:rPr>
                <w:sz w:val="24"/>
                <w:szCs w:val="24"/>
              </w:rPr>
              <w:t>0,01-0,1 (</w:t>
            </w:r>
            <w:r w:rsidRPr="009077F5">
              <w:rPr>
                <w:sz w:val="24"/>
                <w:szCs w:val="24"/>
                <w:vertAlign w:val="superscript"/>
              </w:rPr>
              <w:t>1</w:t>
            </w:r>
            <w:r w:rsidRPr="009077F5">
              <w:rPr>
                <w:sz w:val="24"/>
                <w:szCs w:val="24"/>
              </w:rPr>
              <w:t>)</w:t>
            </w:r>
          </w:p>
        </w:tc>
      </w:tr>
      <w:tr w:rsidR="001A6173" w:rsidRPr="00D53A2B" w14:paraId="771E4DAB" w14:textId="77777777" w:rsidTr="00A202FD">
        <w:tc>
          <w:tcPr>
            <w:tcW w:w="1418" w:type="dxa"/>
          </w:tcPr>
          <w:p w14:paraId="745FF361" w14:textId="77777777" w:rsidR="001A6173" w:rsidRPr="009077F5" w:rsidRDefault="001A6173" w:rsidP="004B0D48">
            <w:pPr>
              <w:pStyle w:val="KonuBal"/>
              <w:rPr>
                <w:sz w:val="24"/>
                <w:szCs w:val="24"/>
              </w:rPr>
            </w:pPr>
            <w:r w:rsidRPr="009077F5">
              <w:rPr>
                <w:sz w:val="24"/>
                <w:szCs w:val="24"/>
              </w:rPr>
              <w:t>Pb</w:t>
            </w:r>
          </w:p>
        </w:tc>
        <w:tc>
          <w:tcPr>
            <w:tcW w:w="1417" w:type="dxa"/>
            <w:vMerge/>
          </w:tcPr>
          <w:p w14:paraId="2008CA39" w14:textId="77777777" w:rsidR="001A6173" w:rsidRPr="009077F5" w:rsidRDefault="001A6173">
            <w:pPr>
              <w:pStyle w:val="KonuBal"/>
              <w:rPr>
                <w:sz w:val="24"/>
                <w:szCs w:val="24"/>
              </w:rPr>
            </w:pPr>
          </w:p>
        </w:tc>
        <w:tc>
          <w:tcPr>
            <w:tcW w:w="6095" w:type="dxa"/>
            <w:vAlign w:val="bottom"/>
          </w:tcPr>
          <w:p w14:paraId="0C42BB76" w14:textId="7F2799C1" w:rsidR="001A6173" w:rsidRPr="009077F5" w:rsidRDefault="001A6173">
            <w:pPr>
              <w:pStyle w:val="KonuBal"/>
              <w:rPr>
                <w:sz w:val="24"/>
                <w:szCs w:val="24"/>
              </w:rPr>
            </w:pPr>
            <w:r w:rsidRPr="009077F5">
              <w:rPr>
                <w:sz w:val="24"/>
                <w:szCs w:val="24"/>
              </w:rPr>
              <w:t>&lt;0,003 (</w:t>
            </w:r>
            <w:r w:rsidRPr="009077F5">
              <w:rPr>
                <w:sz w:val="24"/>
                <w:szCs w:val="24"/>
                <w:vertAlign w:val="superscript"/>
              </w:rPr>
              <w:t>1</w:t>
            </w:r>
            <w:r w:rsidRPr="009077F5">
              <w:rPr>
                <w:sz w:val="24"/>
                <w:szCs w:val="24"/>
              </w:rPr>
              <w:t>)</w:t>
            </w:r>
          </w:p>
        </w:tc>
      </w:tr>
      <w:tr w:rsidR="001A6173" w:rsidRPr="00D53A2B" w14:paraId="63411841" w14:textId="77777777" w:rsidTr="00A202FD">
        <w:tc>
          <w:tcPr>
            <w:tcW w:w="8930" w:type="dxa"/>
            <w:gridSpan w:val="3"/>
          </w:tcPr>
          <w:p w14:paraId="0BDE1E67" w14:textId="36E54B27" w:rsidR="001A6173" w:rsidRPr="00D53A2B" w:rsidRDefault="001A6173" w:rsidP="00A202FD">
            <w:pPr>
              <w:jc w:val="both"/>
              <w:rPr>
                <w:sz w:val="22"/>
                <w:szCs w:val="22"/>
                <w:lang w:val="en-US" w:eastAsia="en-US"/>
              </w:rPr>
            </w:pPr>
            <w:r w:rsidRPr="00D53A2B">
              <w:rPr>
                <w:sz w:val="22"/>
                <w:szCs w:val="22"/>
              </w:rPr>
              <w:t>(</w:t>
            </w:r>
            <w:r w:rsidRPr="00D53A2B">
              <w:rPr>
                <w:sz w:val="22"/>
                <w:szCs w:val="22"/>
                <w:vertAlign w:val="superscript"/>
              </w:rPr>
              <w:t>1</w:t>
            </w:r>
            <w:r w:rsidRPr="00D53A2B">
              <w:rPr>
                <w:sz w:val="22"/>
                <w:szCs w:val="22"/>
              </w:rPr>
              <w:t>) MET-İES, yalnızca ilgili maddenin MET 2</w:t>
            </w:r>
            <w:r w:rsidR="00E56504" w:rsidRPr="00D53A2B">
              <w:rPr>
                <w:sz w:val="22"/>
                <w:szCs w:val="22"/>
              </w:rPr>
              <w:t>’</w:t>
            </w:r>
            <w:r w:rsidRPr="00D53A2B">
              <w:rPr>
                <w:sz w:val="22"/>
                <w:szCs w:val="22"/>
              </w:rPr>
              <w:t>de verilen envantere dayanarak atık gaz akışında ilgili olarak tanımlanması durumunda geçerlidir.</w:t>
            </w:r>
          </w:p>
        </w:tc>
      </w:tr>
    </w:tbl>
    <w:p w14:paraId="0DB721AA" w14:textId="77777777" w:rsidR="00A51AA2" w:rsidRPr="00D53A2B" w:rsidRDefault="00A51AA2" w:rsidP="00A202FD">
      <w:pPr>
        <w:jc w:val="both"/>
        <w:rPr>
          <w:rFonts w:eastAsia="Calibri"/>
          <w:lang w:eastAsia="en-US"/>
        </w:rPr>
      </w:pPr>
    </w:p>
    <w:p w14:paraId="17268B7C" w14:textId="0C0449EC" w:rsidR="001A6173" w:rsidRPr="00D53A2B" w:rsidRDefault="001A6173"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6A6221C3" w14:textId="77777777" w:rsidR="009612E0" w:rsidRPr="00D53A2B" w:rsidRDefault="009612E0" w:rsidP="00A202FD">
      <w:pPr>
        <w:jc w:val="both"/>
        <w:rPr>
          <w:rFonts w:eastAsia="Calibri"/>
          <w:lang w:eastAsia="en-US"/>
        </w:rPr>
      </w:pPr>
    </w:p>
    <w:p w14:paraId="5CAB7015" w14:textId="63507AD7" w:rsidR="00A51AA2" w:rsidRPr="00D53A2B" w:rsidRDefault="001A6173" w:rsidP="00A202FD">
      <w:pPr>
        <w:pStyle w:val="MET"/>
        <w:rPr>
          <w:rFonts w:eastAsia="Calibri"/>
          <w:szCs w:val="24"/>
        </w:rPr>
      </w:pPr>
      <w:r w:rsidRPr="00D53A2B">
        <w:rPr>
          <w:rFonts w:eastAsia="Calibri"/>
          <w:szCs w:val="24"/>
        </w:rPr>
        <w:t>MET 47:</w:t>
      </w:r>
      <w:r w:rsidRPr="00D53A2B">
        <w:rPr>
          <w:szCs w:val="24"/>
        </w:rPr>
        <w:t xml:space="preserve"> </w:t>
      </w:r>
      <w:r w:rsidRPr="00D53A2B">
        <w:rPr>
          <w:rFonts w:eastAsia="Calibri"/>
          <w:b w:val="0"/>
          <w:bCs/>
          <w:szCs w:val="24"/>
        </w:rPr>
        <w:t>Temperlemeden kaynaklanan havaya yağ buharı emisyonlarını önlemek veya azaltmak için aşağıda verilen tekniklerden biri</w:t>
      </w:r>
      <w:r w:rsidR="009612E0" w:rsidRPr="00D53A2B">
        <w:rPr>
          <w:rFonts w:eastAsia="Calibri"/>
          <w:b w:val="0"/>
          <w:bCs/>
          <w:szCs w:val="24"/>
        </w:rPr>
        <w:t xml:space="preserve"> kullanılır</w:t>
      </w:r>
      <w:r w:rsidRPr="00D53A2B">
        <w:rPr>
          <w:rFonts w:eastAsia="Calibri"/>
          <w:b w:val="0"/>
          <w:bCs/>
          <w:szCs w:val="24"/>
        </w:rPr>
        <w:t>.</w:t>
      </w:r>
    </w:p>
    <w:p w14:paraId="36C8ED4C" w14:textId="77777777" w:rsidR="001A6173" w:rsidRPr="00D53A2B" w:rsidRDefault="001A6173" w:rsidP="00A202FD">
      <w:pPr>
        <w:jc w:val="both"/>
        <w:rPr>
          <w:rFonts w:eastAsia="Calibri"/>
        </w:rPr>
      </w:pPr>
    </w:p>
    <w:tbl>
      <w:tblPr>
        <w:tblStyle w:val="TabloKlavuzu"/>
        <w:tblW w:w="8789" w:type="dxa"/>
        <w:tblInd w:w="137" w:type="dxa"/>
        <w:tblLayout w:type="fixed"/>
        <w:tblLook w:val="04A0" w:firstRow="1" w:lastRow="0" w:firstColumn="1" w:lastColumn="0" w:noHBand="0" w:noVBand="1"/>
      </w:tblPr>
      <w:tblGrid>
        <w:gridCol w:w="425"/>
        <w:gridCol w:w="1560"/>
        <w:gridCol w:w="3827"/>
        <w:gridCol w:w="2977"/>
      </w:tblGrid>
      <w:tr w:rsidR="001A6173" w:rsidRPr="00D53A2B" w14:paraId="0511E10D" w14:textId="77777777" w:rsidTr="00C86A85">
        <w:tc>
          <w:tcPr>
            <w:tcW w:w="1985" w:type="dxa"/>
            <w:gridSpan w:val="2"/>
          </w:tcPr>
          <w:p w14:paraId="18DD6704" w14:textId="77777777" w:rsidR="001A6173" w:rsidRPr="009077F5" w:rsidRDefault="001A6173" w:rsidP="004B0D48">
            <w:pPr>
              <w:pStyle w:val="KonuBal"/>
              <w:rPr>
                <w:b/>
                <w:bCs/>
              </w:rPr>
            </w:pPr>
            <w:r w:rsidRPr="009077F5">
              <w:rPr>
                <w:b/>
                <w:bCs/>
              </w:rPr>
              <w:t>Teknik</w:t>
            </w:r>
          </w:p>
        </w:tc>
        <w:tc>
          <w:tcPr>
            <w:tcW w:w="3827" w:type="dxa"/>
          </w:tcPr>
          <w:p w14:paraId="00C5C98B" w14:textId="77777777" w:rsidR="001A6173" w:rsidRPr="009077F5" w:rsidRDefault="001A6173" w:rsidP="004B0D48">
            <w:pPr>
              <w:pStyle w:val="KonuBal"/>
              <w:rPr>
                <w:b/>
                <w:bCs/>
              </w:rPr>
            </w:pPr>
            <w:r w:rsidRPr="009077F5">
              <w:rPr>
                <w:b/>
                <w:bCs/>
              </w:rPr>
              <w:t>Açıklama</w:t>
            </w:r>
          </w:p>
        </w:tc>
        <w:tc>
          <w:tcPr>
            <w:tcW w:w="2977" w:type="dxa"/>
          </w:tcPr>
          <w:p w14:paraId="3ED178BE" w14:textId="77777777" w:rsidR="001A6173" w:rsidRPr="009077F5" w:rsidRDefault="001A6173" w:rsidP="0050094F">
            <w:pPr>
              <w:pStyle w:val="KonuBal"/>
              <w:rPr>
                <w:b/>
                <w:bCs/>
              </w:rPr>
            </w:pPr>
            <w:r w:rsidRPr="009077F5">
              <w:rPr>
                <w:b/>
                <w:bCs/>
              </w:rPr>
              <w:t>Uygulanabilirlik</w:t>
            </w:r>
          </w:p>
        </w:tc>
      </w:tr>
      <w:tr w:rsidR="001A6173" w:rsidRPr="00D53A2B" w14:paraId="45C3FF3D" w14:textId="77777777" w:rsidTr="00C86A85">
        <w:tc>
          <w:tcPr>
            <w:tcW w:w="425" w:type="dxa"/>
            <w:vAlign w:val="center"/>
          </w:tcPr>
          <w:p w14:paraId="1732B8A1" w14:textId="77777777" w:rsidR="001A6173" w:rsidRPr="009077F5" w:rsidRDefault="001A6173" w:rsidP="004B0D48">
            <w:pPr>
              <w:pStyle w:val="KonuBal"/>
              <w:rPr>
                <w:sz w:val="24"/>
                <w:szCs w:val="24"/>
              </w:rPr>
            </w:pPr>
            <w:r w:rsidRPr="009077F5">
              <w:rPr>
                <w:sz w:val="24"/>
                <w:szCs w:val="24"/>
              </w:rPr>
              <w:t>a.</w:t>
            </w:r>
          </w:p>
        </w:tc>
        <w:tc>
          <w:tcPr>
            <w:tcW w:w="1560" w:type="dxa"/>
            <w:vAlign w:val="center"/>
          </w:tcPr>
          <w:p w14:paraId="0FE1B1D0" w14:textId="1D4DD6EE" w:rsidR="001A6173" w:rsidRPr="009077F5" w:rsidRDefault="001A6173" w:rsidP="004B0D48">
            <w:pPr>
              <w:pStyle w:val="KonuBal"/>
              <w:rPr>
                <w:sz w:val="24"/>
                <w:szCs w:val="24"/>
              </w:rPr>
            </w:pPr>
            <w:r w:rsidRPr="009077F5">
              <w:rPr>
                <w:sz w:val="24"/>
                <w:szCs w:val="24"/>
              </w:rPr>
              <w:t>Kuru temperleme</w:t>
            </w:r>
          </w:p>
        </w:tc>
        <w:tc>
          <w:tcPr>
            <w:tcW w:w="3827" w:type="dxa"/>
            <w:vAlign w:val="center"/>
          </w:tcPr>
          <w:p w14:paraId="606F2A50" w14:textId="369BCBB5" w:rsidR="001A6173" w:rsidRPr="009077F5" w:rsidRDefault="001A6173" w:rsidP="00A202FD">
            <w:pPr>
              <w:jc w:val="both"/>
              <w:rPr>
                <w:rFonts w:eastAsia="Calibri"/>
                <w:lang w:eastAsia="en-US"/>
              </w:rPr>
            </w:pPr>
            <w:r w:rsidRPr="009077F5">
              <w:rPr>
                <w:rFonts w:eastAsia="Calibri"/>
                <w:lang w:eastAsia="en-US"/>
              </w:rPr>
              <w:t>Temperleme için su veya yağlayıcı madde kullanılmaz</w:t>
            </w:r>
          </w:p>
        </w:tc>
        <w:tc>
          <w:tcPr>
            <w:tcW w:w="2977" w:type="dxa"/>
            <w:vAlign w:val="center"/>
          </w:tcPr>
          <w:p w14:paraId="23B73048" w14:textId="3CD891AA" w:rsidR="001A6173" w:rsidRPr="009077F5" w:rsidRDefault="001A6173" w:rsidP="004B0D48">
            <w:pPr>
              <w:pStyle w:val="KonuBal"/>
              <w:rPr>
                <w:sz w:val="24"/>
                <w:szCs w:val="24"/>
              </w:rPr>
            </w:pPr>
            <w:r w:rsidRPr="009077F5">
              <w:rPr>
                <w:sz w:val="24"/>
                <w:szCs w:val="24"/>
              </w:rPr>
              <w:t>Teneke ambalaj ürünleri ve yüksek uzama gereksinimi olan diğer ürünler için geçerli değildir.</w:t>
            </w:r>
          </w:p>
        </w:tc>
      </w:tr>
      <w:tr w:rsidR="001A6173" w:rsidRPr="00D53A2B" w14:paraId="3707B6E7" w14:textId="77777777" w:rsidTr="00C86A85">
        <w:tc>
          <w:tcPr>
            <w:tcW w:w="425" w:type="dxa"/>
            <w:vAlign w:val="center"/>
          </w:tcPr>
          <w:p w14:paraId="403B0F6A" w14:textId="3C2DD3D1" w:rsidR="001A6173" w:rsidRPr="009077F5" w:rsidRDefault="001A6173" w:rsidP="004B0D48">
            <w:pPr>
              <w:pStyle w:val="KonuBal"/>
              <w:rPr>
                <w:sz w:val="24"/>
                <w:szCs w:val="24"/>
              </w:rPr>
            </w:pPr>
            <w:r w:rsidRPr="009077F5">
              <w:rPr>
                <w:sz w:val="24"/>
                <w:szCs w:val="24"/>
              </w:rPr>
              <w:t>b.</w:t>
            </w:r>
          </w:p>
        </w:tc>
        <w:tc>
          <w:tcPr>
            <w:tcW w:w="1560" w:type="dxa"/>
            <w:vAlign w:val="center"/>
          </w:tcPr>
          <w:p w14:paraId="34CB31BF" w14:textId="37BCB3C0" w:rsidR="001A6173" w:rsidRPr="009077F5" w:rsidRDefault="001A6173" w:rsidP="00A202FD">
            <w:pPr>
              <w:jc w:val="both"/>
              <w:rPr>
                <w:rFonts w:eastAsia="Calibri"/>
                <w:lang w:eastAsia="en-US"/>
              </w:rPr>
            </w:pPr>
            <w:r w:rsidRPr="009077F5">
              <w:rPr>
                <w:rFonts w:eastAsia="Calibri"/>
                <w:lang w:eastAsia="en-US"/>
              </w:rPr>
              <w:t xml:space="preserve">Sulu temperlemede düşük </w:t>
            </w:r>
            <w:r w:rsidRPr="009077F5">
              <w:rPr>
                <w:rFonts w:eastAsia="Calibri"/>
                <w:lang w:eastAsia="en-US"/>
              </w:rPr>
              <w:lastRenderedPageBreak/>
              <w:t>hacimli yağlama</w:t>
            </w:r>
          </w:p>
        </w:tc>
        <w:tc>
          <w:tcPr>
            <w:tcW w:w="3827" w:type="dxa"/>
          </w:tcPr>
          <w:p w14:paraId="724036DD" w14:textId="243409A4" w:rsidR="001A6173" w:rsidRPr="009077F5" w:rsidRDefault="001A6173" w:rsidP="00A202FD">
            <w:pPr>
              <w:jc w:val="both"/>
              <w:rPr>
                <w:lang w:val="en-US" w:eastAsia="en-US"/>
              </w:rPr>
            </w:pPr>
            <w:r w:rsidRPr="009077F5">
              <w:rPr>
                <w:rFonts w:eastAsia="Calibri"/>
              </w:rPr>
              <w:lastRenderedPageBreak/>
              <w:t xml:space="preserve">Çalışan silindirler ile besleme stoğu arasındaki sürtünmeyi azaltmak için gereken yağlayıcı miktarını tam </w:t>
            </w:r>
            <w:r w:rsidRPr="009077F5">
              <w:rPr>
                <w:rFonts w:eastAsia="Calibri"/>
              </w:rPr>
              <w:lastRenderedPageBreak/>
              <w:t>olarak sağlamak için düşük hacimli yağlama sistemleri kullanılır.</w:t>
            </w:r>
          </w:p>
        </w:tc>
        <w:tc>
          <w:tcPr>
            <w:tcW w:w="2977" w:type="dxa"/>
            <w:vAlign w:val="center"/>
          </w:tcPr>
          <w:p w14:paraId="2485AB42" w14:textId="65327089" w:rsidR="001A6173" w:rsidRPr="009077F5" w:rsidRDefault="001A6173" w:rsidP="004B0D48">
            <w:pPr>
              <w:pStyle w:val="KonuBal"/>
              <w:rPr>
                <w:sz w:val="24"/>
                <w:szCs w:val="24"/>
              </w:rPr>
            </w:pPr>
            <w:r w:rsidRPr="009077F5">
              <w:rPr>
                <w:sz w:val="24"/>
                <w:szCs w:val="24"/>
              </w:rPr>
              <w:lastRenderedPageBreak/>
              <w:t xml:space="preserve">Paslanmaz çeliklerde ürün özelliklerine bağlı olarak </w:t>
            </w:r>
            <w:r w:rsidRPr="009077F5">
              <w:rPr>
                <w:sz w:val="24"/>
                <w:szCs w:val="24"/>
              </w:rPr>
              <w:lastRenderedPageBreak/>
              <w:t>uygulanabilirlik kısıtlanabilir.</w:t>
            </w:r>
          </w:p>
        </w:tc>
      </w:tr>
    </w:tbl>
    <w:p w14:paraId="67D73B1D" w14:textId="427D26E3" w:rsidR="001A6173" w:rsidRPr="00D53A2B" w:rsidRDefault="001B038D" w:rsidP="00A202FD">
      <w:pPr>
        <w:pStyle w:val="MET"/>
        <w:rPr>
          <w:rFonts w:eastAsia="Calibri"/>
          <w:szCs w:val="24"/>
        </w:rPr>
      </w:pPr>
      <w:r w:rsidRPr="00D53A2B">
        <w:rPr>
          <w:rFonts w:eastAsia="Calibri"/>
          <w:szCs w:val="24"/>
        </w:rPr>
        <w:lastRenderedPageBreak/>
        <w:t xml:space="preserve">MET 48: </w:t>
      </w:r>
      <w:r w:rsidRPr="00D53A2B">
        <w:rPr>
          <w:rFonts w:eastAsia="Calibri"/>
          <w:b w:val="0"/>
          <w:bCs/>
          <w:szCs w:val="24"/>
        </w:rPr>
        <w:t>Haddeleme, ıslak temperleme ve son işlemden kaynaklanan havaya salınan yağ buharı emisyonlarını azaltmak için (a) tekniğini (b) tekniğiyle veya aşağıda verilen (b) ve (c) teknikleriyle kombinasyon halinde kullanılır.</w:t>
      </w:r>
    </w:p>
    <w:p w14:paraId="4108F419" w14:textId="77777777" w:rsidR="001B038D" w:rsidRPr="00D53A2B" w:rsidRDefault="001B038D" w:rsidP="00A202FD">
      <w:pPr>
        <w:pStyle w:val="MET"/>
        <w:rPr>
          <w:rFonts w:eastAsia="Calibri"/>
          <w:szCs w:val="24"/>
        </w:rPr>
      </w:pPr>
    </w:p>
    <w:tbl>
      <w:tblPr>
        <w:tblStyle w:val="TabloKlavuzu"/>
        <w:tblW w:w="8930" w:type="dxa"/>
        <w:tblInd w:w="137" w:type="dxa"/>
        <w:tblLayout w:type="fixed"/>
        <w:tblLook w:val="04A0" w:firstRow="1" w:lastRow="0" w:firstColumn="1" w:lastColumn="0" w:noHBand="0" w:noVBand="1"/>
      </w:tblPr>
      <w:tblGrid>
        <w:gridCol w:w="425"/>
        <w:gridCol w:w="2977"/>
        <w:gridCol w:w="5528"/>
      </w:tblGrid>
      <w:tr w:rsidR="001B038D" w:rsidRPr="00D53A2B" w14:paraId="5DDBB2EA" w14:textId="77777777" w:rsidTr="00C86A85">
        <w:tc>
          <w:tcPr>
            <w:tcW w:w="3402" w:type="dxa"/>
            <w:gridSpan w:val="2"/>
          </w:tcPr>
          <w:p w14:paraId="43128AE2" w14:textId="77777777" w:rsidR="001B038D" w:rsidRPr="009077F5" w:rsidRDefault="001B038D" w:rsidP="004B0D48">
            <w:pPr>
              <w:pStyle w:val="KonuBal"/>
              <w:rPr>
                <w:b/>
                <w:bCs/>
                <w:sz w:val="24"/>
                <w:szCs w:val="24"/>
              </w:rPr>
            </w:pPr>
            <w:r w:rsidRPr="009077F5">
              <w:rPr>
                <w:b/>
                <w:bCs/>
                <w:sz w:val="24"/>
                <w:szCs w:val="24"/>
              </w:rPr>
              <w:t>Teknik</w:t>
            </w:r>
          </w:p>
        </w:tc>
        <w:tc>
          <w:tcPr>
            <w:tcW w:w="5528" w:type="dxa"/>
          </w:tcPr>
          <w:p w14:paraId="3966C8EF" w14:textId="77777777" w:rsidR="001B038D" w:rsidRPr="009077F5" w:rsidRDefault="001B038D" w:rsidP="004B0D48">
            <w:pPr>
              <w:pStyle w:val="KonuBal"/>
              <w:rPr>
                <w:b/>
                <w:bCs/>
                <w:sz w:val="24"/>
                <w:szCs w:val="24"/>
              </w:rPr>
            </w:pPr>
            <w:r w:rsidRPr="009077F5">
              <w:rPr>
                <w:b/>
                <w:bCs/>
                <w:sz w:val="24"/>
                <w:szCs w:val="24"/>
              </w:rPr>
              <w:t>Açıklama</w:t>
            </w:r>
          </w:p>
        </w:tc>
      </w:tr>
      <w:tr w:rsidR="001B038D" w:rsidRPr="00D53A2B" w14:paraId="4CFD3AB0" w14:textId="10EC9081" w:rsidTr="00C86A85">
        <w:tc>
          <w:tcPr>
            <w:tcW w:w="8930" w:type="dxa"/>
            <w:gridSpan w:val="3"/>
          </w:tcPr>
          <w:p w14:paraId="506BA747" w14:textId="77777777" w:rsidR="001B038D" w:rsidRPr="009077F5" w:rsidRDefault="001B038D" w:rsidP="004B0D48">
            <w:pPr>
              <w:pStyle w:val="KonuBal"/>
              <w:rPr>
                <w:sz w:val="24"/>
                <w:szCs w:val="24"/>
              </w:rPr>
            </w:pPr>
            <w:r w:rsidRPr="009077F5">
              <w:rPr>
                <w:sz w:val="24"/>
                <w:szCs w:val="24"/>
              </w:rPr>
              <w:t>Emisyonların toplanması</w:t>
            </w:r>
          </w:p>
        </w:tc>
      </w:tr>
      <w:tr w:rsidR="001B038D" w:rsidRPr="00D53A2B" w14:paraId="75F5674D" w14:textId="77777777" w:rsidTr="00C86A85">
        <w:tc>
          <w:tcPr>
            <w:tcW w:w="425" w:type="dxa"/>
            <w:vAlign w:val="center"/>
          </w:tcPr>
          <w:p w14:paraId="29C1615C" w14:textId="77777777" w:rsidR="001B038D" w:rsidRPr="009077F5" w:rsidRDefault="001B038D" w:rsidP="004B0D48">
            <w:pPr>
              <w:pStyle w:val="KonuBal"/>
              <w:rPr>
                <w:sz w:val="24"/>
                <w:szCs w:val="24"/>
              </w:rPr>
            </w:pPr>
            <w:r w:rsidRPr="009077F5">
              <w:rPr>
                <w:sz w:val="24"/>
                <w:szCs w:val="24"/>
              </w:rPr>
              <w:t>a.</w:t>
            </w:r>
          </w:p>
        </w:tc>
        <w:tc>
          <w:tcPr>
            <w:tcW w:w="2977" w:type="dxa"/>
            <w:vAlign w:val="center"/>
          </w:tcPr>
          <w:p w14:paraId="7AC0BDB7" w14:textId="77777777" w:rsidR="001B038D" w:rsidRPr="009077F5" w:rsidRDefault="001B038D" w:rsidP="004B0D48">
            <w:pPr>
              <w:pStyle w:val="KonuBal"/>
              <w:rPr>
                <w:sz w:val="24"/>
                <w:szCs w:val="24"/>
              </w:rPr>
            </w:pPr>
            <w:r w:rsidRPr="009077F5">
              <w:rPr>
                <w:sz w:val="24"/>
                <w:szCs w:val="24"/>
              </w:rPr>
              <w:t>Emisyon kaynağına mümkün olduğu kadar yakın hava çıkışı</w:t>
            </w:r>
          </w:p>
        </w:tc>
        <w:tc>
          <w:tcPr>
            <w:tcW w:w="5528" w:type="dxa"/>
            <w:vAlign w:val="center"/>
          </w:tcPr>
          <w:p w14:paraId="4F3B17A1" w14:textId="1CAA6A48" w:rsidR="001B038D" w:rsidRPr="00E73DA3" w:rsidRDefault="001B038D" w:rsidP="00A202FD">
            <w:pPr>
              <w:jc w:val="both"/>
              <w:rPr>
                <w:rFonts w:eastAsia="Calibri"/>
                <w:lang w:eastAsia="en-US"/>
              </w:rPr>
            </w:pPr>
            <w:r w:rsidRPr="0050094F">
              <w:rPr>
                <w:rFonts w:eastAsia="Calibri"/>
                <w:lang w:eastAsia="en-US"/>
              </w:rPr>
              <w:t xml:space="preserve">Haddeleme, sulu temperleme ve bitirme işlemlerinden kaynaklı emisyonlar, örneğin davlumbaz veya ağız kullanılarak toplanır. </w:t>
            </w:r>
          </w:p>
        </w:tc>
      </w:tr>
      <w:tr w:rsidR="001B038D" w:rsidRPr="00D53A2B" w14:paraId="3A4C9B71" w14:textId="2AF005AD" w:rsidTr="00C86A85">
        <w:tc>
          <w:tcPr>
            <w:tcW w:w="8930" w:type="dxa"/>
            <w:gridSpan w:val="3"/>
            <w:vAlign w:val="center"/>
          </w:tcPr>
          <w:p w14:paraId="6288EF2E" w14:textId="77777777" w:rsidR="001B038D" w:rsidRPr="009077F5" w:rsidRDefault="001B038D" w:rsidP="004B0D48">
            <w:pPr>
              <w:pStyle w:val="KonuBal"/>
              <w:rPr>
                <w:sz w:val="24"/>
                <w:szCs w:val="24"/>
              </w:rPr>
            </w:pPr>
            <w:r w:rsidRPr="009077F5">
              <w:rPr>
                <w:sz w:val="24"/>
                <w:szCs w:val="24"/>
              </w:rPr>
              <w:t>Atık gaz arıtımı</w:t>
            </w:r>
          </w:p>
        </w:tc>
      </w:tr>
      <w:tr w:rsidR="001B038D" w:rsidRPr="00D53A2B" w14:paraId="20B2C031" w14:textId="77777777" w:rsidTr="00C86A85">
        <w:tc>
          <w:tcPr>
            <w:tcW w:w="425" w:type="dxa"/>
            <w:vAlign w:val="center"/>
          </w:tcPr>
          <w:p w14:paraId="27F40ED3" w14:textId="492C27AA" w:rsidR="001B038D" w:rsidRPr="009077F5" w:rsidRDefault="001B038D" w:rsidP="004B0D48">
            <w:pPr>
              <w:pStyle w:val="KonuBal"/>
              <w:rPr>
                <w:sz w:val="24"/>
                <w:szCs w:val="24"/>
              </w:rPr>
            </w:pPr>
            <w:r w:rsidRPr="009077F5">
              <w:rPr>
                <w:sz w:val="24"/>
                <w:szCs w:val="24"/>
              </w:rPr>
              <w:t>b.</w:t>
            </w:r>
          </w:p>
        </w:tc>
        <w:tc>
          <w:tcPr>
            <w:tcW w:w="2977" w:type="dxa"/>
            <w:vAlign w:val="center"/>
          </w:tcPr>
          <w:p w14:paraId="58E98726" w14:textId="59188A42" w:rsidR="001B038D" w:rsidRPr="009077F5" w:rsidRDefault="001B038D" w:rsidP="00A202FD">
            <w:pPr>
              <w:jc w:val="both"/>
              <w:rPr>
                <w:rFonts w:eastAsia="Calibri"/>
                <w:lang w:eastAsia="en-US"/>
              </w:rPr>
            </w:pPr>
            <w:r w:rsidRPr="009077F5">
              <w:rPr>
                <w:rFonts w:eastAsia="Calibri"/>
                <w:lang w:eastAsia="en-US"/>
              </w:rPr>
              <w:t>Buğu çözücü</w:t>
            </w:r>
          </w:p>
        </w:tc>
        <w:tc>
          <w:tcPr>
            <w:tcW w:w="5528" w:type="dxa"/>
          </w:tcPr>
          <w:p w14:paraId="11F2961F" w14:textId="41FF96ED" w:rsidR="001B038D" w:rsidRPr="0050094F" w:rsidRDefault="001B038D" w:rsidP="00A202FD">
            <w:pPr>
              <w:jc w:val="both"/>
              <w:rPr>
                <w:lang w:val="en-US" w:eastAsia="en-US"/>
              </w:rPr>
            </w:pPr>
            <w:r w:rsidRPr="0050094F">
              <w:rPr>
                <w:rFonts w:eastAsia="Calibri"/>
              </w:rPr>
              <w:t xml:space="preserve">Bölüm </w:t>
            </w:r>
            <w:r w:rsidR="00B97162" w:rsidRPr="0050094F">
              <w:rPr>
                <w:rFonts w:eastAsia="Calibri"/>
              </w:rPr>
              <w:t>1</w:t>
            </w:r>
            <w:r w:rsidRPr="0050094F">
              <w:rPr>
                <w:rFonts w:eastAsia="Calibri"/>
              </w:rPr>
              <w:t>.11.2</w:t>
            </w:r>
            <w:r w:rsidR="00E56504" w:rsidRPr="0050094F">
              <w:rPr>
                <w:rFonts w:eastAsia="Calibri"/>
              </w:rPr>
              <w:t>’</w:t>
            </w:r>
            <w:r w:rsidRPr="0050094F">
              <w:rPr>
                <w:rFonts w:eastAsia="Calibri"/>
              </w:rPr>
              <w:t>e bakınız.</w:t>
            </w:r>
          </w:p>
        </w:tc>
      </w:tr>
      <w:tr w:rsidR="001B038D" w:rsidRPr="00D53A2B" w14:paraId="2A2E750C" w14:textId="77777777" w:rsidTr="00C86A85">
        <w:tc>
          <w:tcPr>
            <w:tcW w:w="425" w:type="dxa"/>
            <w:vAlign w:val="center"/>
          </w:tcPr>
          <w:p w14:paraId="5B6AB481" w14:textId="5058F30C" w:rsidR="001B038D" w:rsidRPr="009077F5" w:rsidRDefault="001B038D" w:rsidP="004B0D48">
            <w:pPr>
              <w:pStyle w:val="KonuBal"/>
              <w:rPr>
                <w:sz w:val="24"/>
                <w:szCs w:val="24"/>
              </w:rPr>
            </w:pPr>
            <w:r w:rsidRPr="009077F5">
              <w:rPr>
                <w:sz w:val="24"/>
                <w:szCs w:val="24"/>
              </w:rPr>
              <w:t>c.</w:t>
            </w:r>
          </w:p>
        </w:tc>
        <w:tc>
          <w:tcPr>
            <w:tcW w:w="2977" w:type="dxa"/>
            <w:vAlign w:val="center"/>
          </w:tcPr>
          <w:p w14:paraId="279BB1A6" w14:textId="29349B9E" w:rsidR="001B038D" w:rsidRPr="009077F5" w:rsidRDefault="001B038D" w:rsidP="00A202FD">
            <w:pPr>
              <w:jc w:val="both"/>
              <w:rPr>
                <w:rFonts w:eastAsia="Calibri"/>
                <w:lang w:eastAsia="en-US"/>
              </w:rPr>
            </w:pPr>
            <w:r w:rsidRPr="009077F5">
              <w:rPr>
                <w:rFonts w:eastAsia="Calibri"/>
                <w:lang w:eastAsia="en-US"/>
              </w:rPr>
              <w:t>Yağ buharı ayırıcısı</w:t>
            </w:r>
          </w:p>
        </w:tc>
        <w:tc>
          <w:tcPr>
            <w:tcW w:w="5528" w:type="dxa"/>
          </w:tcPr>
          <w:p w14:paraId="1AFAFFA7" w14:textId="03118AB2" w:rsidR="001B038D" w:rsidRPr="00BF4451" w:rsidRDefault="001B038D" w:rsidP="00A202FD">
            <w:pPr>
              <w:jc w:val="both"/>
              <w:rPr>
                <w:rFonts w:eastAsia="Calibri"/>
              </w:rPr>
            </w:pPr>
            <w:r w:rsidRPr="0050094F">
              <w:rPr>
                <w:rFonts w:eastAsia="Calibri"/>
                <w:lang w:eastAsia="en-US"/>
              </w:rPr>
              <w:t xml:space="preserve">Yağı, tahliye edilen havadan ayırmak için tamponlu ambalaj içeren </w:t>
            </w:r>
            <w:r w:rsidRPr="00E73DA3">
              <w:rPr>
                <w:rFonts w:eastAsia="Calibri"/>
                <w:lang w:eastAsia="en-US"/>
              </w:rPr>
              <w:t>ayrıcılar, çarpma plakaları veya hasır yastıklar kullanılır.</w:t>
            </w:r>
          </w:p>
        </w:tc>
      </w:tr>
    </w:tbl>
    <w:p w14:paraId="76CD726F" w14:textId="77777777" w:rsidR="001A6173" w:rsidRPr="00D53A2B" w:rsidRDefault="001A6173" w:rsidP="00A202FD">
      <w:pPr>
        <w:jc w:val="both"/>
        <w:rPr>
          <w:rFonts w:eastAsia="Calibri"/>
          <w:lang w:eastAsia="en-US"/>
        </w:rPr>
      </w:pPr>
    </w:p>
    <w:p w14:paraId="4AB09ACD" w14:textId="054DD8A5" w:rsidR="001023C7" w:rsidRPr="00D53A2B" w:rsidRDefault="001B038D" w:rsidP="00A202FD">
      <w:pPr>
        <w:jc w:val="both"/>
        <w:rPr>
          <w:rFonts w:eastAsia="Calibri"/>
          <w:lang w:eastAsia="en-US"/>
        </w:rPr>
      </w:pPr>
      <w:r w:rsidRPr="00D53A2B">
        <w:rPr>
          <w:rFonts w:eastAsia="Calibri"/>
          <w:lang w:eastAsia="en-US"/>
        </w:rPr>
        <w:t xml:space="preserve">Tablo </w:t>
      </w:r>
      <w:r w:rsidR="00F46CF1" w:rsidRPr="00D53A2B">
        <w:rPr>
          <w:rFonts w:eastAsia="Calibri"/>
          <w:lang w:eastAsia="en-US"/>
        </w:rPr>
        <w:t>1</w:t>
      </w:r>
      <w:r w:rsidRPr="00D53A2B">
        <w:rPr>
          <w:rFonts w:eastAsia="Calibri"/>
          <w:lang w:eastAsia="en-US"/>
        </w:rPr>
        <w:t>.26</w:t>
      </w:r>
    </w:p>
    <w:p w14:paraId="37497B47" w14:textId="1A06D1AD" w:rsidR="00A51AA2" w:rsidRPr="00D53A2B" w:rsidRDefault="001B038D" w:rsidP="00A202FD">
      <w:pPr>
        <w:jc w:val="both"/>
        <w:rPr>
          <w:rFonts w:eastAsia="Calibri"/>
          <w:lang w:eastAsia="en-US"/>
        </w:rPr>
      </w:pPr>
      <w:r w:rsidRPr="00D53A2B">
        <w:rPr>
          <w:rFonts w:eastAsia="Calibri"/>
          <w:lang w:eastAsia="en-US"/>
        </w:rPr>
        <w:t>Haddeleme, sulu temperleme ve son işlemden havaya salınan TVOC emisyonları için MET-ilişkili emisyon seviyeleri (MET-İES</w:t>
      </w:r>
      <w:r w:rsidR="009612E0" w:rsidRPr="00D53A2B">
        <w:rPr>
          <w:rFonts w:eastAsia="Calibri"/>
          <w:lang w:eastAsia="en-US"/>
        </w:rPr>
        <w:t>)</w:t>
      </w:r>
    </w:p>
    <w:p w14:paraId="12A690EC" w14:textId="77777777" w:rsidR="00C15CF2" w:rsidRPr="00D53A2B" w:rsidRDefault="00C15CF2"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1418"/>
        <w:gridCol w:w="1417"/>
        <w:gridCol w:w="6095"/>
      </w:tblGrid>
      <w:tr w:rsidR="001B038D" w:rsidRPr="0050094F" w14:paraId="5C49A82D" w14:textId="77777777" w:rsidTr="00A202FD">
        <w:tc>
          <w:tcPr>
            <w:tcW w:w="1418" w:type="dxa"/>
          </w:tcPr>
          <w:p w14:paraId="44DC62A8" w14:textId="77777777" w:rsidR="001B038D" w:rsidRPr="009077F5" w:rsidRDefault="001B038D" w:rsidP="004B0D48">
            <w:pPr>
              <w:pStyle w:val="KonuBal"/>
              <w:rPr>
                <w:sz w:val="24"/>
                <w:szCs w:val="24"/>
              </w:rPr>
            </w:pPr>
            <w:r w:rsidRPr="009077F5">
              <w:rPr>
                <w:sz w:val="24"/>
                <w:szCs w:val="24"/>
              </w:rPr>
              <w:t>Parametre</w:t>
            </w:r>
          </w:p>
        </w:tc>
        <w:tc>
          <w:tcPr>
            <w:tcW w:w="1417" w:type="dxa"/>
          </w:tcPr>
          <w:p w14:paraId="55C1A6DD" w14:textId="77777777" w:rsidR="001B038D" w:rsidRPr="009077F5" w:rsidRDefault="001B038D" w:rsidP="004B0D48">
            <w:pPr>
              <w:pStyle w:val="KonuBal"/>
              <w:rPr>
                <w:sz w:val="24"/>
                <w:szCs w:val="24"/>
              </w:rPr>
            </w:pPr>
            <w:r w:rsidRPr="009077F5">
              <w:rPr>
                <w:sz w:val="24"/>
                <w:szCs w:val="24"/>
              </w:rPr>
              <w:t>Birim</w:t>
            </w:r>
          </w:p>
        </w:tc>
        <w:tc>
          <w:tcPr>
            <w:tcW w:w="6095" w:type="dxa"/>
          </w:tcPr>
          <w:p w14:paraId="012B5257" w14:textId="77777777" w:rsidR="001B038D" w:rsidRPr="009077F5" w:rsidRDefault="001B038D" w:rsidP="00A202FD">
            <w:pPr>
              <w:jc w:val="both"/>
              <w:rPr>
                <w:rFonts w:eastAsia="Calibri"/>
                <w:lang w:eastAsia="en-US"/>
              </w:rPr>
            </w:pPr>
            <w:r w:rsidRPr="009077F5">
              <w:rPr>
                <w:rFonts w:eastAsia="Calibri"/>
                <w:lang w:eastAsia="en-US"/>
              </w:rPr>
              <w:t xml:space="preserve">MET-İES </w:t>
            </w:r>
          </w:p>
          <w:p w14:paraId="76029637" w14:textId="77777777" w:rsidR="001B038D" w:rsidRPr="009077F5" w:rsidRDefault="001B038D" w:rsidP="004B0D48">
            <w:pPr>
              <w:pStyle w:val="KonuBal"/>
              <w:rPr>
                <w:sz w:val="24"/>
                <w:szCs w:val="24"/>
              </w:rPr>
            </w:pPr>
            <w:r w:rsidRPr="009077F5">
              <w:rPr>
                <w:sz w:val="24"/>
                <w:szCs w:val="24"/>
              </w:rPr>
              <w:t>(Günlük ortalama veya numune alma süresi boyunca ortalama)</w:t>
            </w:r>
          </w:p>
        </w:tc>
      </w:tr>
      <w:tr w:rsidR="001B038D" w:rsidRPr="0050094F" w14:paraId="3AC579C6" w14:textId="77777777" w:rsidTr="00A202FD">
        <w:tc>
          <w:tcPr>
            <w:tcW w:w="1418" w:type="dxa"/>
          </w:tcPr>
          <w:p w14:paraId="10C5B6D1" w14:textId="4CDEA8A6" w:rsidR="001B038D" w:rsidRPr="009077F5" w:rsidRDefault="00434180" w:rsidP="004B0D48">
            <w:pPr>
              <w:pStyle w:val="KonuBal"/>
              <w:rPr>
                <w:sz w:val="24"/>
                <w:szCs w:val="24"/>
              </w:rPr>
            </w:pPr>
            <w:r w:rsidRPr="009077F5">
              <w:rPr>
                <w:sz w:val="24"/>
                <w:szCs w:val="24"/>
              </w:rPr>
              <w:t>TVOC</w:t>
            </w:r>
          </w:p>
        </w:tc>
        <w:tc>
          <w:tcPr>
            <w:tcW w:w="1417" w:type="dxa"/>
          </w:tcPr>
          <w:p w14:paraId="0C033C0E" w14:textId="77777777" w:rsidR="001B038D" w:rsidRPr="009077F5" w:rsidRDefault="001B038D"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7323AD8A" w14:textId="4BDAD0B1" w:rsidR="001B038D" w:rsidRPr="009077F5" w:rsidRDefault="001B038D" w:rsidP="0050094F">
            <w:pPr>
              <w:pStyle w:val="KonuBal"/>
              <w:rPr>
                <w:sz w:val="24"/>
                <w:szCs w:val="24"/>
              </w:rPr>
            </w:pPr>
            <w:r w:rsidRPr="009077F5">
              <w:rPr>
                <w:sz w:val="24"/>
                <w:szCs w:val="24"/>
              </w:rPr>
              <w:t>&lt;</w:t>
            </w:r>
            <w:r w:rsidR="00434180" w:rsidRPr="009077F5">
              <w:rPr>
                <w:sz w:val="24"/>
                <w:szCs w:val="24"/>
              </w:rPr>
              <w:t>3-8</w:t>
            </w:r>
          </w:p>
        </w:tc>
      </w:tr>
    </w:tbl>
    <w:p w14:paraId="25623D74" w14:textId="77777777" w:rsidR="001B038D" w:rsidRPr="00D53A2B" w:rsidRDefault="001B038D" w:rsidP="00A202FD">
      <w:pPr>
        <w:jc w:val="both"/>
        <w:rPr>
          <w:rFonts w:eastAsia="Calibri"/>
          <w:lang w:eastAsia="en-US"/>
        </w:rPr>
      </w:pPr>
    </w:p>
    <w:p w14:paraId="1B3CA3E8" w14:textId="09CEDDF1" w:rsidR="00434180" w:rsidRPr="00D53A2B" w:rsidRDefault="00434180"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3CA7F05D" w14:textId="77777777" w:rsidR="00A51AA2" w:rsidRPr="00D53A2B" w:rsidRDefault="00A51AA2" w:rsidP="00A202FD">
      <w:pPr>
        <w:jc w:val="both"/>
        <w:rPr>
          <w:rFonts w:eastAsia="Calibri"/>
          <w:lang w:eastAsia="en-US"/>
        </w:rPr>
      </w:pPr>
    </w:p>
    <w:p w14:paraId="002C0D36" w14:textId="167CDD8D" w:rsidR="0071694E" w:rsidRPr="00D53A2B" w:rsidRDefault="00D10848" w:rsidP="00A202FD">
      <w:pPr>
        <w:pStyle w:val="Balk2"/>
        <w:rPr>
          <w:rFonts w:eastAsia="Calibri" w:cs="Times New Roman"/>
          <w:szCs w:val="24"/>
          <w:lang w:eastAsia="en-US"/>
        </w:rPr>
      </w:pPr>
      <w:r w:rsidRPr="00D53A2B">
        <w:rPr>
          <w:rFonts w:eastAsia="Calibri" w:cs="Times New Roman"/>
          <w:szCs w:val="24"/>
          <w:lang w:eastAsia="en-US"/>
        </w:rPr>
        <w:t>1</w:t>
      </w:r>
      <w:r w:rsidR="007D0E8F" w:rsidRPr="00D53A2B">
        <w:rPr>
          <w:rFonts w:eastAsia="Calibri" w:cs="Times New Roman"/>
          <w:szCs w:val="24"/>
          <w:lang w:eastAsia="en-US"/>
        </w:rPr>
        <w:t xml:space="preserve">.8 Tel </w:t>
      </w:r>
      <w:r w:rsidR="009A27D8" w:rsidRPr="00D53A2B">
        <w:rPr>
          <w:rFonts w:eastAsia="Calibri" w:cs="Times New Roman"/>
          <w:szCs w:val="24"/>
          <w:lang w:eastAsia="en-US"/>
        </w:rPr>
        <w:t xml:space="preserve">Çekme İçin </w:t>
      </w:r>
      <w:r w:rsidR="007D0E8F" w:rsidRPr="00D53A2B">
        <w:rPr>
          <w:rFonts w:eastAsia="Calibri" w:cs="Times New Roman"/>
          <w:szCs w:val="24"/>
          <w:lang w:eastAsia="en-US"/>
        </w:rPr>
        <w:t xml:space="preserve">MET </w:t>
      </w:r>
      <w:r w:rsidR="009A27D8" w:rsidRPr="00D53A2B">
        <w:rPr>
          <w:rFonts w:eastAsia="Calibri" w:cs="Times New Roman"/>
          <w:szCs w:val="24"/>
          <w:lang w:eastAsia="en-US"/>
        </w:rPr>
        <w:t>Sonuçları</w:t>
      </w:r>
    </w:p>
    <w:p w14:paraId="2B788FB3" w14:textId="4F4C391F" w:rsidR="0071694E" w:rsidRPr="00D53A2B" w:rsidRDefault="007D0E8F" w:rsidP="00A202FD">
      <w:pPr>
        <w:jc w:val="both"/>
        <w:rPr>
          <w:rFonts w:eastAsia="Calibri"/>
          <w:lang w:eastAsia="en-US"/>
        </w:rPr>
      </w:pPr>
      <w:r w:rsidRPr="00D53A2B">
        <w:rPr>
          <w:rFonts w:eastAsia="Calibri"/>
          <w:lang w:eastAsia="en-US"/>
        </w:rPr>
        <w:t xml:space="preserve">Bu bölümdeki METsonuçları, Bölüm </w:t>
      </w:r>
      <w:r w:rsidR="00B97162" w:rsidRPr="00D53A2B">
        <w:rPr>
          <w:rFonts w:eastAsia="Calibri"/>
          <w:lang w:eastAsia="en-US"/>
        </w:rPr>
        <w:t>1</w:t>
      </w:r>
      <w:r w:rsidRPr="00D53A2B">
        <w:rPr>
          <w:rFonts w:eastAsia="Calibri"/>
          <w:lang w:eastAsia="en-US"/>
        </w:rPr>
        <w:t>.5</w:t>
      </w:r>
      <w:r w:rsidR="00E56504" w:rsidRPr="00D53A2B">
        <w:rPr>
          <w:rFonts w:eastAsia="Calibri"/>
          <w:lang w:eastAsia="en-US"/>
        </w:rPr>
        <w:t>’</w:t>
      </w:r>
      <w:r w:rsidRPr="00D53A2B">
        <w:rPr>
          <w:rFonts w:eastAsia="Calibri"/>
          <w:lang w:eastAsia="en-US"/>
        </w:rPr>
        <w:t>te verilen genel MET sonuçlarına ek olarak uygulanır.</w:t>
      </w:r>
    </w:p>
    <w:p w14:paraId="04A724F7" w14:textId="77777777" w:rsidR="0071694E" w:rsidRPr="00D53A2B" w:rsidRDefault="0071694E" w:rsidP="00A202FD">
      <w:pPr>
        <w:jc w:val="both"/>
        <w:rPr>
          <w:rFonts w:eastAsia="Calibri"/>
          <w:lang w:eastAsia="en-US"/>
        </w:rPr>
      </w:pPr>
    </w:p>
    <w:p w14:paraId="1B41B960" w14:textId="3A383E5E" w:rsidR="0071694E" w:rsidRPr="00D53A2B" w:rsidRDefault="00D10848" w:rsidP="00A202FD">
      <w:pPr>
        <w:pStyle w:val="Balk3"/>
        <w:rPr>
          <w:rFonts w:eastAsia="Calibri" w:cs="Times New Roman"/>
          <w:lang w:eastAsia="en-US"/>
        </w:rPr>
      </w:pPr>
      <w:r w:rsidRPr="00D53A2B">
        <w:rPr>
          <w:rFonts w:eastAsia="Calibri" w:cs="Times New Roman"/>
          <w:lang w:eastAsia="en-US"/>
        </w:rPr>
        <w:t>1</w:t>
      </w:r>
      <w:r w:rsidR="00D4268A" w:rsidRPr="00D53A2B">
        <w:rPr>
          <w:rFonts w:eastAsia="Calibri" w:cs="Times New Roman"/>
          <w:lang w:eastAsia="en-US"/>
        </w:rPr>
        <w:t xml:space="preserve">.8.1. Enerji verimliliği </w:t>
      </w:r>
    </w:p>
    <w:p w14:paraId="6F97C882" w14:textId="341B6802" w:rsidR="0071694E" w:rsidRPr="00D53A2B" w:rsidRDefault="00D4268A" w:rsidP="00A202FD">
      <w:pPr>
        <w:pStyle w:val="MET"/>
        <w:rPr>
          <w:rFonts w:eastAsia="Calibri"/>
          <w:szCs w:val="24"/>
        </w:rPr>
      </w:pPr>
      <w:r w:rsidRPr="00D53A2B">
        <w:rPr>
          <w:rFonts w:eastAsia="Calibri"/>
          <w:szCs w:val="24"/>
        </w:rPr>
        <w:t xml:space="preserve">MET 49. </w:t>
      </w:r>
      <w:r w:rsidRPr="00D53A2B">
        <w:rPr>
          <w:rFonts w:eastAsia="Calibri"/>
          <w:b w:val="0"/>
          <w:bCs/>
          <w:szCs w:val="24"/>
        </w:rPr>
        <w:t>Kurşun banyolarının enerji ve malzeme verimliliğini artırmak için kurşun banyolarının yüzeyinde yüzen koruyucu bir tabaka veya tank kapakları kullanılır.</w:t>
      </w:r>
    </w:p>
    <w:p w14:paraId="055B1187" w14:textId="0238980C" w:rsidR="0071694E" w:rsidRPr="00D53A2B" w:rsidRDefault="0071694E" w:rsidP="00A202FD">
      <w:pPr>
        <w:jc w:val="both"/>
        <w:rPr>
          <w:rFonts w:eastAsia="Calibri"/>
          <w:lang w:eastAsia="en-US"/>
        </w:rPr>
      </w:pPr>
    </w:p>
    <w:p w14:paraId="79A38189" w14:textId="12CF3848" w:rsidR="0071694E" w:rsidRPr="00D53A2B" w:rsidRDefault="00D4268A" w:rsidP="00A202FD">
      <w:pPr>
        <w:jc w:val="both"/>
        <w:rPr>
          <w:rFonts w:eastAsia="Calibri"/>
          <w:b/>
          <w:bCs/>
          <w:lang w:eastAsia="en-US"/>
        </w:rPr>
      </w:pPr>
      <w:r w:rsidRPr="00D53A2B">
        <w:rPr>
          <w:rFonts w:eastAsia="Calibri"/>
          <w:b/>
          <w:bCs/>
          <w:lang w:eastAsia="en-US"/>
        </w:rPr>
        <w:t>Tanımlama</w:t>
      </w:r>
    </w:p>
    <w:p w14:paraId="10AD5DEF" w14:textId="3C2F9AC8" w:rsidR="0071694E" w:rsidRPr="00D53A2B" w:rsidRDefault="00D4268A" w:rsidP="00A202FD">
      <w:pPr>
        <w:jc w:val="both"/>
        <w:rPr>
          <w:rFonts w:eastAsia="Calibri"/>
          <w:lang w:eastAsia="en-US"/>
        </w:rPr>
      </w:pPr>
      <w:r w:rsidRPr="00D53A2B">
        <w:rPr>
          <w:rFonts w:eastAsia="Calibri"/>
          <w:lang w:eastAsia="en-US"/>
        </w:rPr>
        <w:t>Yüzen koruyucu katmanlar ve tank kapakları, ısı kayıplarını ve kurşun oksidasyonunu en aza indirir.</w:t>
      </w:r>
    </w:p>
    <w:p w14:paraId="1ABB0991" w14:textId="77777777" w:rsidR="0071694E" w:rsidRPr="00D53A2B" w:rsidRDefault="0071694E" w:rsidP="00A202FD">
      <w:pPr>
        <w:jc w:val="both"/>
        <w:rPr>
          <w:rFonts w:eastAsia="Calibri"/>
          <w:lang w:eastAsia="en-US"/>
        </w:rPr>
      </w:pPr>
    </w:p>
    <w:p w14:paraId="60F99C34" w14:textId="1ABD6967" w:rsidR="0071694E" w:rsidRPr="00D53A2B" w:rsidRDefault="00D10848" w:rsidP="00A202FD">
      <w:pPr>
        <w:pStyle w:val="Balk3"/>
        <w:rPr>
          <w:rFonts w:eastAsia="Calibri" w:cs="Times New Roman"/>
          <w:lang w:eastAsia="en-US"/>
        </w:rPr>
      </w:pPr>
      <w:r w:rsidRPr="00D53A2B">
        <w:rPr>
          <w:rFonts w:eastAsia="Calibri" w:cs="Times New Roman"/>
          <w:lang w:eastAsia="en-US"/>
        </w:rPr>
        <w:t>1</w:t>
      </w:r>
      <w:r w:rsidR="00D4268A" w:rsidRPr="00D53A2B">
        <w:rPr>
          <w:rFonts w:eastAsia="Calibri" w:cs="Times New Roman"/>
          <w:lang w:eastAsia="en-US"/>
        </w:rPr>
        <w:t>.8.2. Malzeme verimliliği</w:t>
      </w:r>
    </w:p>
    <w:p w14:paraId="5798AFB8" w14:textId="77777777" w:rsidR="00D4268A" w:rsidRPr="00D53A2B" w:rsidRDefault="00D4268A" w:rsidP="00A202FD">
      <w:pPr>
        <w:jc w:val="both"/>
        <w:rPr>
          <w:rFonts w:eastAsia="Calibri"/>
          <w:lang w:eastAsia="en-US"/>
        </w:rPr>
      </w:pPr>
      <w:r w:rsidRPr="00D53A2B">
        <w:rPr>
          <w:rFonts w:eastAsia="Calibri"/>
          <w:b/>
          <w:bCs/>
          <w:lang w:eastAsia="en-US"/>
        </w:rPr>
        <w:t>MET 50:</w:t>
      </w:r>
      <w:r w:rsidRPr="00D53A2B">
        <w:rPr>
          <w:rFonts w:eastAsia="Calibri"/>
          <w:lang w:eastAsia="en-US"/>
        </w:rPr>
        <w:t xml:space="preserve"> Malzeme verimliliğini artırmak ve ıslak çekmeden kaynaklanan atık miktarını azaltmak için tel çekme yağlayıcısı temizlenip yeniden kullanılır. </w:t>
      </w:r>
    </w:p>
    <w:p w14:paraId="173F4C56" w14:textId="179A19D6" w:rsidR="0071694E" w:rsidRPr="00D53A2B" w:rsidRDefault="0071694E" w:rsidP="00A202FD">
      <w:pPr>
        <w:jc w:val="both"/>
        <w:rPr>
          <w:rFonts w:eastAsia="Calibri"/>
          <w:lang w:eastAsia="en-US"/>
        </w:rPr>
      </w:pPr>
    </w:p>
    <w:p w14:paraId="58F05E60" w14:textId="663DCF31" w:rsidR="0071694E" w:rsidRPr="00D53A2B" w:rsidRDefault="00D4268A" w:rsidP="00A202FD">
      <w:pPr>
        <w:jc w:val="both"/>
        <w:rPr>
          <w:rFonts w:eastAsia="Calibri"/>
          <w:b/>
          <w:bCs/>
          <w:lang w:eastAsia="en-US"/>
        </w:rPr>
      </w:pPr>
      <w:r w:rsidRPr="00D53A2B">
        <w:rPr>
          <w:rFonts w:eastAsia="Calibri"/>
          <w:b/>
          <w:bCs/>
          <w:lang w:eastAsia="en-US"/>
        </w:rPr>
        <w:t>Tanımlama</w:t>
      </w:r>
    </w:p>
    <w:p w14:paraId="4E490924" w14:textId="402F9DF9" w:rsidR="00D4268A" w:rsidRPr="00D53A2B" w:rsidRDefault="00D4268A" w:rsidP="00A202FD">
      <w:pPr>
        <w:jc w:val="both"/>
        <w:rPr>
          <w:rFonts w:eastAsia="Calibri"/>
          <w:lang w:eastAsia="en-US"/>
        </w:rPr>
      </w:pPr>
      <w:r w:rsidRPr="00D53A2B">
        <w:rPr>
          <w:rFonts w:eastAsia="Calibri"/>
          <w:lang w:eastAsia="en-US"/>
        </w:rPr>
        <w:lastRenderedPageBreak/>
        <w:t>Tel çekme yağını tekrar kullanıma hazırlamak için, örneğin filtrasyon ve/veya santrifüjleme gibi bir temizleme devresi kullanılır.</w:t>
      </w:r>
    </w:p>
    <w:p w14:paraId="1F656A70" w14:textId="77777777" w:rsidR="00D4268A" w:rsidRPr="00D53A2B" w:rsidRDefault="00D4268A" w:rsidP="00A202FD">
      <w:pPr>
        <w:jc w:val="both"/>
        <w:rPr>
          <w:rFonts w:eastAsia="Calibri"/>
          <w:lang w:eastAsia="en-US"/>
        </w:rPr>
      </w:pPr>
    </w:p>
    <w:p w14:paraId="7204D810" w14:textId="6F81524E" w:rsidR="00D4268A" w:rsidRPr="00D53A2B" w:rsidRDefault="00D10848" w:rsidP="00A202FD">
      <w:pPr>
        <w:pStyle w:val="Balk3"/>
        <w:rPr>
          <w:rFonts w:eastAsia="Calibri" w:cs="Times New Roman"/>
          <w:lang w:eastAsia="en-US"/>
        </w:rPr>
      </w:pPr>
      <w:r w:rsidRPr="00D53A2B">
        <w:rPr>
          <w:rFonts w:eastAsia="Calibri" w:cs="Times New Roman"/>
          <w:lang w:eastAsia="en-US"/>
        </w:rPr>
        <w:t>1</w:t>
      </w:r>
      <w:r w:rsidR="00D4268A" w:rsidRPr="00D53A2B">
        <w:rPr>
          <w:rFonts w:eastAsia="Calibri" w:cs="Times New Roman"/>
          <w:lang w:eastAsia="en-US"/>
        </w:rPr>
        <w:t>.8.3. Hava emisyonları</w:t>
      </w:r>
    </w:p>
    <w:p w14:paraId="79DB5386" w14:textId="149CF9ED" w:rsidR="00D4268A" w:rsidRPr="00D53A2B" w:rsidRDefault="00D4268A" w:rsidP="00A202FD">
      <w:pPr>
        <w:jc w:val="both"/>
        <w:rPr>
          <w:rFonts w:eastAsia="Calibri"/>
          <w:lang w:eastAsia="en-US"/>
        </w:rPr>
      </w:pPr>
      <w:r w:rsidRPr="00D53A2B">
        <w:rPr>
          <w:rFonts w:eastAsia="Calibri"/>
          <w:b/>
          <w:bCs/>
          <w:lang w:eastAsia="en-US"/>
        </w:rPr>
        <w:t>MET 51:</w:t>
      </w:r>
      <w:r w:rsidRPr="00D53A2B">
        <w:rPr>
          <w:rFonts w:eastAsia="Calibri"/>
          <w:lang w:eastAsia="en-US"/>
        </w:rPr>
        <w:t xml:space="preserve"> Kurşun banyolarından havaya yayılan toz ve kurşun emisyonlarını azaltmak için aşağıda verilen tüm teknikler kullanılır.</w:t>
      </w:r>
    </w:p>
    <w:p w14:paraId="663E77EB" w14:textId="77777777" w:rsidR="00D4268A" w:rsidRPr="00D53A2B" w:rsidRDefault="00D4268A"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2977"/>
        <w:gridCol w:w="5528"/>
      </w:tblGrid>
      <w:tr w:rsidR="00D53517" w:rsidRPr="0050094F" w14:paraId="127922CD" w14:textId="77777777" w:rsidTr="00DA0E2E">
        <w:tc>
          <w:tcPr>
            <w:tcW w:w="3402" w:type="dxa"/>
            <w:gridSpan w:val="2"/>
          </w:tcPr>
          <w:p w14:paraId="652FD266" w14:textId="77777777" w:rsidR="00D53517" w:rsidRPr="009077F5" w:rsidRDefault="00D53517" w:rsidP="004B0D48">
            <w:pPr>
              <w:pStyle w:val="KonuBal"/>
              <w:rPr>
                <w:sz w:val="24"/>
                <w:szCs w:val="24"/>
              </w:rPr>
            </w:pPr>
            <w:r w:rsidRPr="009077F5">
              <w:rPr>
                <w:sz w:val="24"/>
                <w:szCs w:val="24"/>
              </w:rPr>
              <w:t>Teknik</w:t>
            </w:r>
          </w:p>
        </w:tc>
        <w:tc>
          <w:tcPr>
            <w:tcW w:w="5528" w:type="dxa"/>
          </w:tcPr>
          <w:p w14:paraId="76A77D26" w14:textId="77777777" w:rsidR="00D53517" w:rsidRPr="009077F5" w:rsidRDefault="00D53517" w:rsidP="004B0D48">
            <w:pPr>
              <w:pStyle w:val="KonuBal"/>
              <w:rPr>
                <w:sz w:val="24"/>
                <w:szCs w:val="24"/>
              </w:rPr>
            </w:pPr>
            <w:r w:rsidRPr="009077F5">
              <w:rPr>
                <w:sz w:val="24"/>
                <w:szCs w:val="24"/>
              </w:rPr>
              <w:t>Açıklama</w:t>
            </w:r>
          </w:p>
        </w:tc>
      </w:tr>
      <w:tr w:rsidR="00D53517" w:rsidRPr="0050094F" w14:paraId="3CF71FF2" w14:textId="77777777" w:rsidTr="00DA0E2E">
        <w:tc>
          <w:tcPr>
            <w:tcW w:w="8930" w:type="dxa"/>
            <w:gridSpan w:val="3"/>
          </w:tcPr>
          <w:p w14:paraId="4C38E006" w14:textId="70013CDC" w:rsidR="00D53517" w:rsidRPr="009077F5" w:rsidRDefault="00D53517" w:rsidP="004B0D48">
            <w:pPr>
              <w:pStyle w:val="KonuBal"/>
              <w:rPr>
                <w:sz w:val="24"/>
                <w:szCs w:val="24"/>
              </w:rPr>
            </w:pPr>
            <w:r w:rsidRPr="009077F5">
              <w:rPr>
                <w:sz w:val="24"/>
                <w:szCs w:val="24"/>
              </w:rPr>
              <w:t>Emisyon üretiminin azaltılması</w:t>
            </w:r>
          </w:p>
        </w:tc>
      </w:tr>
      <w:tr w:rsidR="00D53517" w:rsidRPr="0050094F" w14:paraId="48769E69" w14:textId="77777777" w:rsidTr="00DA0E2E">
        <w:tc>
          <w:tcPr>
            <w:tcW w:w="425" w:type="dxa"/>
            <w:vAlign w:val="center"/>
          </w:tcPr>
          <w:p w14:paraId="6F91519D" w14:textId="77777777" w:rsidR="00D53517" w:rsidRPr="009077F5" w:rsidRDefault="00D53517" w:rsidP="004B0D48">
            <w:pPr>
              <w:pStyle w:val="KonuBal"/>
              <w:rPr>
                <w:sz w:val="24"/>
                <w:szCs w:val="24"/>
              </w:rPr>
            </w:pPr>
            <w:r w:rsidRPr="009077F5">
              <w:rPr>
                <w:sz w:val="24"/>
                <w:szCs w:val="24"/>
              </w:rPr>
              <w:t>a.</w:t>
            </w:r>
          </w:p>
        </w:tc>
        <w:tc>
          <w:tcPr>
            <w:tcW w:w="2977" w:type="dxa"/>
            <w:vAlign w:val="center"/>
          </w:tcPr>
          <w:p w14:paraId="34F4F7E9" w14:textId="5AA2FE58" w:rsidR="00D53517" w:rsidRPr="009077F5" w:rsidRDefault="00D53517" w:rsidP="004B0D48">
            <w:pPr>
              <w:pStyle w:val="KonuBal"/>
              <w:rPr>
                <w:sz w:val="24"/>
                <w:szCs w:val="24"/>
              </w:rPr>
            </w:pPr>
            <w:r w:rsidRPr="009077F5">
              <w:rPr>
                <w:sz w:val="24"/>
                <w:szCs w:val="24"/>
              </w:rPr>
              <w:t>Kurşun taşınmasının en aza indirilmesi</w:t>
            </w:r>
          </w:p>
        </w:tc>
        <w:tc>
          <w:tcPr>
            <w:tcW w:w="5528" w:type="dxa"/>
            <w:vAlign w:val="center"/>
          </w:tcPr>
          <w:p w14:paraId="34D7737F" w14:textId="0575B72E" w:rsidR="00D53517" w:rsidRPr="009077F5" w:rsidRDefault="00D53517" w:rsidP="00A202FD">
            <w:pPr>
              <w:jc w:val="both"/>
              <w:rPr>
                <w:rFonts w:eastAsia="Calibri"/>
                <w:lang w:eastAsia="en-US"/>
              </w:rPr>
            </w:pPr>
            <w:r w:rsidRPr="009077F5">
              <w:rPr>
                <w:rFonts w:eastAsia="Calibri"/>
                <w:lang w:eastAsia="en-US"/>
              </w:rPr>
              <w:t>Antrasit çakıl kullanılarak kurşunun kazınması ve kurşun banyosunun hat içi dekapaj ile birleştirilmesi gibi teknikler mevcuttur.</w:t>
            </w:r>
          </w:p>
        </w:tc>
      </w:tr>
      <w:tr w:rsidR="00D53517" w:rsidRPr="0050094F" w14:paraId="6028D2F4" w14:textId="77777777" w:rsidTr="00DA0E2E">
        <w:tc>
          <w:tcPr>
            <w:tcW w:w="425" w:type="dxa"/>
            <w:vAlign w:val="center"/>
          </w:tcPr>
          <w:p w14:paraId="2187ABE5" w14:textId="77777777" w:rsidR="00D53517" w:rsidRPr="009077F5" w:rsidRDefault="00D53517" w:rsidP="004B0D48">
            <w:pPr>
              <w:pStyle w:val="KonuBal"/>
              <w:rPr>
                <w:sz w:val="24"/>
                <w:szCs w:val="24"/>
              </w:rPr>
            </w:pPr>
            <w:r w:rsidRPr="009077F5">
              <w:rPr>
                <w:sz w:val="24"/>
                <w:szCs w:val="24"/>
              </w:rPr>
              <w:t>b.</w:t>
            </w:r>
          </w:p>
        </w:tc>
        <w:tc>
          <w:tcPr>
            <w:tcW w:w="2977" w:type="dxa"/>
            <w:vAlign w:val="center"/>
          </w:tcPr>
          <w:p w14:paraId="6CDA39C5" w14:textId="09A85AC4" w:rsidR="00D53517" w:rsidRPr="009077F5" w:rsidRDefault="00D53517" w:rsidP="00A202FD">
            <w:pPr>
              <w:jc w:val="both"/>
              <w:rPr>
                <w:rFonts w:eastAsia="Calibri"/>
                <w:lang w:eastAsia="en-US"/>
              </w:rPr>
            </w:pPr>
            <w:r w:rsidRPr="009077F5">
              <w:rPr>
                <w:rFonts w:eastAsia="Calibri"/>
                <w:lang w:eastAsia="en-US"/>
              </w:rPr>
              <w:t>Yüzen koruyucu tabaka veya tank kapağı</w:t>
            </w:r>
          </w:p>
        </w:tc>
        <w:tc>
          <w:tcPr>
            <w:tcW w:w="5528" w:type="dxa"/>
          </w:tcPr>
          <w:p w14:paraId="0A7A927B" w14:textId="09ABB2AC" w:rsidR="00D53517" w:rsidRPr="009077F5" w:rsidRDefault="00D53517" w:rsidP="00A202FD">
            <w:pPr>
              <w:jc w:val="both"/>
              <w:rPr>
                <w:rFonts w:eastAsia="Calibri"/>
              </w:rPr>
            </w:pPr>
            <w:r w:rsidRPr="009077F5">
              <w:rPr>
                <w:rFonts w:eastAsia="Calibri"/>
              </w:rPr>
              <w:t>Bkz. MET 49.</w:t>
            </w:r>
          </w:p>
          <w:p w14:paraId="0AE722A5" w14:textId="1B523467" w:rsidR="00D53517" w:rsidRPr="009077F5" w:rsidRDefault="00D53517" w:rsidP="00A202FD">
            <w:pPr>
              <w:jc w:val="both"/>
              <w:rPr>
                <w:lang w:val="en-US" w:eastAsia="en-US"/>
              </w:rPr>
            </w:pPr>
            <w:r w:rsidRPr="009077F5">
              <w:rPr>
                <w:rFonts w:eastAsia="Calibri"/>
              </w:rPr>
              <w:t>Yüzen koruyucu katmanlar ve tank kapakları da havaya emisyonları azaltır.</w:t>
            </w:r>
          </w:p>
        </w:tc>
      </w:tr>
      <w:tr w:rsidR="00D53517" w:rsidRPr="0050094F" w14:paraId="4C839749" w14:textId="77777777" w:rsidTr="00DA0E2E">
        <w:tc>
          <w:tcPr>
            <w:tcW w:w="8930" w:type="dxa"/>
            <w:gridSpan w:val="3"/>
            <w:vAlign w:val="center"/>
          </w:tcPr>
          <w:p w14:paraId="5A96212D" w14:textId="4D7F0C11" w:rsidR="00D53517" w:rsidRPr="009077F5" w:rsidRDefault="00D53517" w:rsidP="00A202FD">
            <w:pPr>
              <w:jc w:val="both"/>
              <w:rPr>
                <w:rFonts w:eastAsia="Calibri"/>
              </w:rPr>
            </w:pPr>
            <w:r w:rsidRPr="009077F5">
              <w:rPr>
                <w:rFonts w:eastAsia="Calibri"/>
              </w:rPr>
              <w:t>Emisyonların toplanması</w:t>
            </w:r>
          </w:p>
        </w:tc>
      </w:tr>
      <w:tr w:rsidR="00D53517" w:rsidRPr="0050094F" w14:paraId="317CB8E1" w14:textId="77777777" w:rsidTr="00DA0E2E">
        <w:tc>
          <w:tcPr>
            <w:tcW w:w="425" w:type="dxa"/>
            <w:vAlign w:val="center"/>
          </w:tcPr>
          <w:p w14:paraId="1931D1A1" w14:textId="77777777" w:rsidR="00D53517" w:rsidRPr="009077F5" w:rsidRDefault="00D53517" w:rsidP="004B0D48">
            <w:pPr>
              <w:pStyle w:val="KonuBal"/>
              <w:rPr>
                <w:sz w:val="24"/>
                <w:szCs w:val="24"/>
              </w:rPr>
            </w:pPr>
            <w:r w:rsidRPr="009077F5">
              <w:rPr>
                <w:sz w:val="24"/>
                <w:szCs w:val="24"/>
              </w:rPr>
              <w:t>c.</w:t>
            </w:r>
          </w:p>
        </w:tc>
        <w:tc>
          <w:tcPr>
            <w:tcW w:w="2977" w:type="dxa"/>
            <w:vAlign w:val="center"/>
          </w:tcPr>
          <w:p w14:paraId="2743D20D" w14:textId="48B41AE3" w:rsidR="00D53517" w:rsidRPr="009077F5" w:rsidRDefault="00D53517" w:rsidP="00A202FD">
            <w:pPr>
              <w:jc w:val="both"/>
              <w:rPr>
                <w:rFonts w:eastAsia="Calibri"/>
                <w:lang w:eastAsia="en-US"/>
              </w:rPr>
            </w:pPr>
            <w:r w:rsidRPr="009077F5">
              <w:t>Emisyon kaynağına mümkün olduğu kadar yakın hava çıkışı</w:t>
            </w:r>
          </w:p>
        </w:tc>
        <w:tc>
          <w:tcPr>
            <w:tcW w:w="5528" w:type="dxa"/>
            <w:vAlign w:val="center"/>
          </w:tcPr>
          <w:p w14:paraId="6FDDF7EA" w14:textId="19CABE43" w:rsidR="00D53517" w:rsidRPr="009077F5" w:rsidRDefault="00D53517" w:rsidP="00A202FD">
            <w:pPr>
              <w:jc w:val="both"/>
              <w:rPr>
                <w:rFonts w:eastAsia="Calibri"/>
              </w:rPr>
            </w:pPr>
            <w:r w:rsidRPr="009077F5">
              <w:rPr>
                <w:rFonts w:eastAsia="Calibri"/>
                <w:lang w:eastAsia="en-US"/>
              </w:rPr>
              <w:t>Kurşun banyosundan çıkan emisyonlar örneğin davlumbaz veya ağız kullanılarak toplanır.</w:t>
            </w:r>
          </w:p>
        </w:tc>
      </w:tr>
      <w:tr w:rsidR="00D53517" w:rsidRPr="0050094F" w14:paraId="37D98FE1" w14:textId="77777777" w:rsidTr="00DA0E2E">
        <w:tc>
          <w:tcPr>
            <w:tcW w:w="8930" w:type="dxa"/>
            <w:gridSpan w:val="3"/>
            <w:vAlign w:val="center"/>
          </w:tcPr>
          <w:p w14:paraId="319B8F69" w14:textId="5466435B" w:rsidR="00D53517" w:rsidRPr="009077F5" w:rsidRDefault="00D53517" w:rsidP="00A202FD">
            <w:pPr>
              <w:jc w:val="both"/>
              <w:rPr>
                <w:rFonts w:eastAsia="Calibri"/>
                <w:lang w:eastAsia="en-US"/>
              </w:rPr>
            </w:pPr>
            <w:r w:rsidRPr="009077F5">
              <w:rPr>
                <w:rFonts w:eastAsia="Calibri"/>
                <w:lang w:eastAsia="en-US"/>
              </w:rPr>
              <w:t>Atık gaz arıtımı</w:t>
            </w:r>
          </w:p>
        </w:tc>
      </w:tr>
      <w:tr w:rsidR="00D53517" w:rsidRPr="0050094F" w14:paraId="63B05314" w14:textId="77777777" w:rsidTr="00DA0E2E">
        <w:tc>
          <w:tcPr>
            <w:tcW w:w="425" w:type="dxa"/>
            <w:vAlign w:val="center"/>
          </w:tcPr>
          <w:p w14:paraId="5E57EE61" w14:textId="254535B7" w:rsidR="00D53517" w:rsidRPr="009077F5" w:rsidRDefault="00D53517" w:rsidP="004B0D48">
            <w:pPr>
              <w:pStyle w:val="KonuBal"/>
              <w:rPr>
                <w:sz w:val="24"/>
                <w:szCs w:val="24"/>
              </w:rPr>
            </w:pPr>
            <w:r w:rsidRPr="009077F5">
              <w:rPr>
                <w:sz w:val="24"/>
                <w:szCs w:val="24"/>
              </w:rPr>
              <w:t>d.</w:t>
            </w:r>
          </w:p>
        </w:tc>
        <w:tc>
          <w:tcPr>
            <w:tcW w:w="2977" w:type="dxa"/>
            <w:vAlign w:val="center"/>
          </w:tcPr>
          <w:p w14:paraId="6E60E1B1" w14:textId="275F45F8" w:rsidR="00D53517" w:rsidRPr="009077F5" w:rsidRDefault="00D53517" w:rsidP="00A202FD">
            <w:pPr>
              <w:jc w:val="both"/>
            </w:pPr>
            <w:r w:rsidRPr="009077F5">
              <w:t>Kumaş filtre</w:t>
            </w:r>
          </w:p>
        </w:tc>
        <w:tc>
          <w:tcPr>
            <w:tcW w:w="5528" w:type="dxa"/>
            <w:vAlign w:val="center"/>
          </w:tcPr>
          <w:p w14:paraId="15BF3711" w14:textId="4F3F7BE3" w:rsidR="00D53517" w:rsidRPr="009077F5" w:rsidRDefault="00D53517" w:rsidP="00A202FD">
            <w:pPr>
              <w:jc w:val="both"/>
              <w:rPr>
                <w:rFonts w:eastAsia="Calibri"/>
                <w:lang w:eastAsia="en-US"/>
              </w:rPr>
            </w:pPr>
            <w:r w:rsidRPr="009077F5">
              <w:rPr>
                <w:rFonts w:eastAsia="Calibri"/>
              </w:rPr>
              <w:t xml:space="preserve">Bölüm </w:t>
            </w:r>
            <w:r w:rsidR="00B97162" w:rsidRPr="009077F5">
              <w:rPr>
                <w:rFonts w:eastAsia="Calibri"/>
              </w:rPr>
              <w:t>1</w:t>
            </w:r>
            <w:r w:rsidRPr="009077F5">
              <w:rPr>
                <w:rFonts w:eastAsia="Calibri"/>
              </w:rPr>
              <w:t>.11.2</w:t>
            </w:r>
            <w:r w:rsidR="00E56504" w:rsidRPr="009077F5">
              <w:rPr>
                <w:rFonts w:eastAsia="Calibri"/>
              </w:rPr>
              <w:t>’</w:t>
            </w:r>
            <w:r w:rsidRPr="009077F5">
              <w:rPr>
                <w:rFonts w:eastAsia="Calibri"/>
              </w:rPr>
              <w:t>e bakınız.</w:t>
            </w:r>
          </w:p>
        </w:tc>
      </w:tr>
    </w:tbl>
    <w:p w14:paraId="3E23242E" w14:textId="77777777" w:rsidR="00D53517" w:rsidRPr="00D53A2B" w:rsidRDefault="00D53517" w:rsidP="00A202FD">
      <w:pPr>
        <w:jc w:val="both"/>
        <w:rPr>
          <w:rFonts w:eastAsia="Calibri"/>
          <w:lang w:eastAsia="en-US"/>
        </w:rPr>
      </w:pPr>
    </w:p>
    <w:p w14:paraId="653A2BB6" w14:textId="3C10D844" w:rsidR="001023C7" w:rsidRPr="00D53A2B" w:rsidRDefault="00D53517" w:rsidP="00A202FD">
      <w:pPr>
        <w:jc w:val="both"/>
        <w:rPr>
          <w:rFonts w:eastAsia="Calibri"/>
          <w:lang w:eastAsia="en-US"/>
        </w:rPr>
      </w:pPr>
      <w:r w:rsidRPr="00D53A2B">
        <w:rPr>
          <w:rFonts w:eastAsia="Calibri"/>
          <w:lang w:eastAsia="en-US"/>
        </w:rPr>
        <w:t xml:space="preserve">Tablo </w:t>
      </w:r>
      <w:r w:rsidR="00282CE4" w:rsidRPr="00D53A2B">
        <w:rPr>
          <w:rFonts w:eastAsia="Calibri"/>
          <w:lang w:eastAsia="en-US"/>
        </w:rPr>
        <w:t>1</w:t>
      </w:r>
      <w:r w:rsidRPr="00D53A2B">
        <w:rPr>
          <w:rFonts w:eastAsia="Calibri"/>
          <w:lang w:eastAsia="en-US"/>
        </w:rPr>
        <w:t>.27</w:t>
      </w:r>
    </w:p>
    <w:p w14:paraId="3D97F20C" w14:textId="03ABBFC9" w:rsidR="00D53517" w:rsidRPr="00D53A2B" w:rsidRDefault="00D53517" w:rsidP="00A202FD">
      <w:pPr>
        <w:jc w:val="both"/>
        <w:rPr>
          <w:rFonts w:eastAsia="Calibri"/>
          <w:b/>
          <w:bCs/>
          <w:lang w:eastAsia="en-US"/>
        </w:rPr>
      </w:pPr>
      <w:r w:rsidRPr="00D53A2B">
        <w:rPr>
          <w:rFonts w:eastAsia="Calibri"/>
          <w:lang w:eastAsia="en-US"/>
        </w:rPr>
        <w:t>Kurşun banyolarından havaya yönlendirilmiş toz ve kurşun emisyonları için MET-ilişkili emisyon seviyeleri (MET-İES</w:t>
      </w:r>
      <w:r w:rsidR="006E0BE7" w:rsidRPr="00D53A2B">
        <w:rPr>
          <w:rFonts w:eastAsia="Calibri"/>
          <w:lang w:eastAsia="en-US"/>
        </w:rPr>
        <w:t>)</w:t>
      </w:r>
    </w:p>
    <w:tbl>
      <w:tblPr>
        <w:tblStyle w:val="TabloKlavuzu"/>
        <w:tblW w:w="8930" w:type="dxa"/>
        <w:tblInd w:w="137" w:type="dxa"/>
        <w:tblLook w:val="04A0" w:firstRow="1" w:lastRow="0" w:firstColumn="1" w:lastColumn="0" w:noHBand="0" w:noVBand="1"/>
      </w:tblPr>
      <w:tblGrid>
        <w:gridCol w:w="1418"/>
        <w:gridCol w:w="1417"/>
        <w:gridCol w:w="6095"/>
      </w:tblGrid>
      <w:tr w:rsidR="00D53517" w:rsidRPr="00D53A2B" w14:paraId="5B05E42A" w14:textId="77777777" w:rsidTr="00A202FD">
        <w:tc>
          <w:tcPr>
            <w:tcW w:w="1418" w:type="dxa"/>
          </w:tcPr>
          <w:p w14:paraId="48B444A5" w14:textId="77777777" w:rsidR="00D53517" w:rsidRPr="009077F5" w:rsidRDefault="00D53517" w:rsidP="004B0D48">
            <w:pPr>
              <w:pStyle w:val="KonuBal"/>
              <w:rPr>
                <w:sz w:val="24"/>
                <w:szCs w:val="24"/>
              </w:rPr>
            </w:pPr>
            <w:r w:rsidRPr="009077F5">
              <w:rPr>
                <w:sz w:val="24"/>
                <w:szCs w:val="24"/>
              </w:rPr>
              <w:t>Parametre</w:t>
            </w:r>
          </w:p>
        </w:tc>
        <w:tc>
          <w:tcPr>
            <w:tcW w:w="1417" w:type="dxa"/>
          </w:tcPr>
          <w:p w14:paraId="46BA3C8B" w14:textId="77777777" w:rsidR="00D53517" w:rsidRPr="009077F5" w:rsidRDefault="00D53517" w:rsidP="004B0D48">
            <w:pPr>
              <w:pStyle w:val="KonuBal"/>
              <w:rPr>
                <w:sz w:val="24"/>
                <w:szCs w:val="24"/>
              </w:rPr>
            </w:pPr>
            <w:r w:rsidRPr="009077F5">
              <w:rPr>
                <w:sz w:val="24"/>
                <w:szCs w:val="24"/>
              </w:rPr>
              <w:t>Birim</w:t>
            </w:r>
          </w:p>
        </w:tc>
        <w:tc>
          <w:tcPr>
            <w:tcW w:w="6095" w:type="dxa"/>
          </w:tcPr>
          <w:p w14:paraId="71B168B9" w14:textId="77777777" w:rsidR="00D53517" w:rsidRPr="0050094F" w:rsidRDefault="00D53517" w:rsidP="00A202FD">
            <w:pPr>
              <w:jc w:val="both"/>
              <w:rPr>
                <w:rFonts w:eastAsia="Calibri"/>
                <w:lang w:eastAsia="en-US"/>
              </w:rPr>
            </w:pPr>
            <w:r w:rsidRPr="0050094F">
              <w:rPr>
                <w:rFonts w:eastAsia="Calibri"/>
                <w:lang w:eastAsia="en-US"/>
              </w:rPr>
              <w:t xml:space="preserve">MET-İES </w:t>
            </w:r>
          </w:p>
          <w:p w14:paraId="3E0B854E" w14:textId="77777777" w:rsidR="00D53517" w:rsidRPr="009077F5" w:rsidRDefault="00D53517" w:rsidP="004B0D48">
            <w:pPr>
              <w:pStyle w:val="KonuBal"/>
              <w:rPr>
                <w:sz w:val="24"/>
                <w:szCs w:val="24"/>
              </w:rPr>
            </w:pPr>
            <w:r w:rsidRPr="009077F5">
              <w:rPr>
                <w:sz w:val="24"/>
                <w:szCs w:val="24"/>
              </w:rPr>
              <w:t>(Günlük ortalama veya numune alma süresi boyunca ortalama)</w:t>
            </w:r>
          </w:p>
        </w:tc>
      </w:tr>
      <w:tr w:rsidR="00D53517" w:rsidRPr="00D53A2B" w14:paraId="1AD04DB8" w14:textId="77777777" w:rsidTr="00A202FD">
        <w:tc>
          <w:tcPr>
            <w:tcW w:w="1418" w:type="dxa"/>
          </w:tcPr>
          <w:p w14:paraId="0C0F0F81" w14:textId="4174C211" w:rsidR="00D53517" w:rsidRPr="009077F5" w:rsidRDefault="00D53517" w:rsidP="004B0D48">
            <w:pPr>
              <w:pStyle w:val="KonuBal"/>
              <w:rPr>
                <w:sz w:val="24"/>
                <w:szCs w:val="24"/>
              </w:rPr>
            </w:pPr>
            <w:r w:rsidRPr="009077F5">
              <w:rPr>
                <w:sz w:val="24"/>
                <w:szCs w:val="24"/>
              </w:rPr>
              <w:t>Toz</w:t>
            </w:r>
          </w:p>
        </w:tc>
        <w:tc>
          <w:tcPr>
            <w:tcW w:w="1417" w:type="dxa"/>
          </w:tcPr>
          <w:p w14:paraId="38D27F16" w14:textId="77777777" w:rsidR="00D53517" w:rsidRPr="009077F5" w:rsidRDefault="00D53517"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7E6243CF" w14:textId="3A518879" w:rsidR="00D53517" w:rsidRPr="009077F5" w:rsidRDefault="00D53517" w:rsidP="0050094F">
            <w:pPr>
              <w:pStyle w:val="KonuBal"/>
              <w:rPr>
                <w:sz w:val="24"/>
                <w:szCs w:val="24"/>
              </w:rPr>
            </w:pPr>
            <w:r w:rsidRPr="009077F5">
              <w:rPr>
                <w:sz w:val="24"/>
                <w:szCs w:val="24"/>
              </w:rPr>
              <w:t>&lt;3-5</w:t>
            </w:r>
          </w:p>
        </w:tc>
      </w:tr>
      <w:tr w:rsidR="00D53517" w:rsidRPr="00D53A2B" w14:paraId="29E66EA9" w14:textId="77777777" w:rsidTr="00A202FD">
        <w:tc>
          <w:tcPr>
            <w:tcW w:w="1418" w:type="dxa"/>
          </w:tcPr>
          <w:p w14:paraId="5579F396" w14:textId="398B090E" w:rsidR="00D53517" w:rsidRPr="009077F5" w:rsidRDefault="00D53517" w:rsidP="004B0D48">
            <w:pPr>
              <w:pStyle w:val="KonuBal"/>
              <w:rPr>
                <w:sz w:val="24"/>
                <w:szCs w:val="24"/>
              </w:rPr>
            </w:pPr>
            <w:r w:rsidRPr="009077F5">
              <w:rPr>
                <w:sz w:val="24"/>
                <w:szCs w:val="24"/>
              </w:rPr>
              <w:t>Pb</w:t>
            </w:r>
          </w:p>
        </w:tc>
        <w:tc>
          <w:tcPr>
            <w:tcW w:w="1417" w:type="dxa"/>
          </w:tcPr>
          <w:p w14:paraId="42829D5B" w14:textId="2970BE53" w:rsidR="00D53517" w:rsidRPr="009077F5" w:rsidRDefault="00D53517"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27DB7A10" w14:textId="76D11448" w:rsidR="00D53517" w:rsidRPr="009077F5" w:rsidRDefault="00D53517" w:rsidP="0050094F">
            <w:pPr>
              <w:pStyle w:val="KonuBal"/>
              <w:rPr>
                <w:sz w:val="24"/>
                <w:szCs w:val="24"/>
              </w:rPr>
            </w:pPr>
            <w:r w:rsidRPr="009077F5">
              <w:rPr>
                <w:sz w:val="24"/>
                <w:szCs w:val="24"/>
              </w:rPr>
              <w:t>≤ 0,5</w:t>
            </w:r>
          </w:p>
        </w:tc>
      </w:tr>
    </w:tbl>
    <w:p w14:paraId="4D41A374" w14:textId="77777777" w:rsidR="00D53517" w:rsidRPr="00D53A2B" w:rsidRDefault="00D53517" w:rsidP="00A202FD">
      <w:pPr>
        <w:jc w:val="both"/>
        <w:rPr>
          <w:rFonts w:eastAsia="Calibri"/>
          <w:lang w:eastAsia="en-US"/>
        </w:rPr>
      </w:pPr>
    </w:p>
    <w:p w14:paraId="0133B401" w14:textId="6112B7C3" w:rsidR="00D53517" w:rsidRPr="00D53A2B" w:rsidRDefault="00D53517"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2B4BCA51" w14:textId="77777777" w:rsidR="00D53517" w:rsidRPr="00D53A2B" w:rsidRDefault="00D53517" w:rsidP="00A202FD">
      <w:pPr>
        <w:jc w:val="both"/>
        <w:rPr>
          <w:rFonts w:eastAsia="Calibri"/>
          <w:lang w:eastAsia="en-US"/>
        </w:rPr>
      </w:pPr>
    </w:p>
    <w:p w14:paraId="4E6E4721" w14:textId="4B632A65" w:rsidR="00D53517" w:rsidRPr="00D53A2B" w:rsidRDefault="00D53517" w:rsidP="00A202FD">
      <w:pPr>
        <w:pStyle w:val="MET"/>
        <w:rPr>
          <w:rFonts w:eastAsia="Calibri"/>
          <w:szCs w:val="24"/>
        </w:rPr>
      </w:pPr>
      <w:r w:rsidRPr="00D53A2B">
        <w:rPr>
          <w:rFonts w:eastAsia="Calibri"/>
          <w:szCs w:val="24"/>
        </w:rPr>
        <w:t xml:space="preserve">MET 52: </w:t>
      </w:r>
      <w:r w:rsidRPr="00D53A2B">
        <w:rPr>
          <w:rFonts w:eastAsia="Calibri"/>
          <w:b w:val="0"/>
          <w:bCs/>
          <w:szCs w:val="24"/>
        </w:rPr>
        <w:t>Kuru çekmeden kaynaklanan havaya toz emisyonlarını azaltmak için aşağıda verilen (a) veya (b) tekniğini kullanarak emisyonları toplamak ve atık gazı (c) tekniğini kullanarak arıtılır.</w:t>
      </w:r>
    </w:p>
    <w:p w14:paraId="0CEB7302" w14:textId="77777777" w:rsidR="00D53517" w:rsidRPr="00D53A2B" w:rsidRDefault="00D53517" w:rsidP="00A202FD">
      <w:pPr>
        <w:jc w:val="both"/>
        <w:rPr>
          <w:rFonts w:eastAsia="Calibri"/>
          <w:lang w:eastAsia="en-US"/>
        </w:rPr>
      </w:pPr>
    </w:p>
    <w:tbl>
      <w:tblPr>
        <w:tblStyle w:val="TabloKlavuzu"/>
        <w:tblW w:w="8789" w:type="dxa"/>
        <w:tblInd w:w="137" w:type="dxa"/>
        <w:tblLayout w:type="fixed"/>
        <w:tblLook w:val="04A0" w:firstRow="1" w:lastRow="0" w:firstColumn="1" w:lastColumn="0" w:noHBand="0" w:noVBand="1"/>
      </w:tblPr>
      <w:tblGrid>
        <w:gridCol w:w="425"/>
        <w:gridCol w:w="2268"/>
        <w:gridCol w:w="3261"/>
        <w:gridCol w:w="2835"/>
      </w:tblGrid>
      <w:tr w:rsidR="00D53517" w:rsidRPr="0050094F" w14:paraId="14992317" w14:textId="5025A021" w:rsidTr="00D53517">
        <w:tc>
          <w:tcPr>
            <w:tcW w:w="2693" w:type="dxa"/>
            <w:gridSpan w:val="2"/>
          </w:tcPr>
          <w:p w14:paraId="5EC3FC05" w14:textId="77777777" w:rsidR="00D53517" w:rsidRPr="009077F5" w:rsidRDefault="00D53517" w:rsidP="004B0D48">
            <w:pPr>
              <w:pStyle w:val="KonuBal"/>
              <w:rPr>
                <w:sz w:val="24"/>
                <w:szCs w:val="24"/>
              </w:rPr>
            </w:pPr>
            <w:r w:rsidRPr="009077F5">
              <w:rPr>
                <w:sz w:val="24"/>
                <w:szCs w:val="24"/>
              </w:rPr>
              <w:t>Teknik</w:t>
            </w:r>
          </w:p>
        </w:tc>
        <w:tc>
          <w:tcPr>
            <w:tcW w:w="3261" w:type="dxa"/>
          </w:tcPr>
          <w:p w14:paraId="1FA83F82" w14:textId="77777777" w:rsidR="00D53517" w:rsidRPr="009077F5" w:rsidRDefault="00D53517" w:rsidP="004B0D48">
            <w:pPr>
              <w:pStyle w:val="KonuBal"/>
              <w:rPr>
                <w:sz w:val="24"/>
                <w:szCs w:val="24"/>
              </w:rPr>
            </w:pPr>
            <w:r w:rsidRPr="009077F5">
              <w:rPr>
                <w:sz w:val="24"/>
                <w:szCs w:val="24"/>
              </w:rPr>
              <w:t>Açıklama</w:t>
            </w:r>
          </w:p>
        </w:tc>
        <w:tc>
          <w:tcPr>
            <w:tcW w:w="2835" w:type="dxa"/>
          </w:tcPr>
          <w:p w14:paraId="4E7CEBE7" w14:textId="48E1C20F" w:rsidR="00D53517" w:rsidRPr="009077F5" w:rsidRDefault="00D53517" w:rsidP="0050094F">
            <w:pPr>
              <w:pStyle w:val="KonuBal"/>
              <w:rPr>
                <w:sz w:val="24"/>
                <w:szCs w:val="24"/>
              </w:rPr>
            </w:pPr>
            <w:r w:rsidRPr="009077F5">
              <w:rPr>
                <w:sz w:val="24"/>
                <w:szCs w:val="24"/>
              </w:rPr>
              <w:t>Uygulanabilirlik</w:t>
            </w:r>
          </w:p>
        </w:tc>
      </w:tr>
      <w:tr w:rsidR="00D53517" w:rsidRPr="0050094F" w14:paraId="2D314DD6" w14:textId="2972D58F" w:rsidTr="00A202FD">
        <w:tc>
          <w:tcPr>
            <w:tcW w:w="8789" w:type="dxa"/>
            <w:gridSpan w:val="4"/>
          </w:tcPr>
          <w:p w14:paraId="3577A438" w14:textId="3A241476" w:rsidR="00D53517" w:rsidRPr="009077F5" w:rsidRDefault="00D53517" w:rsidP="004B0D48">
            <w:pPr>
              <w:pStyle w:val="KonuBal"/>
              <w:rPr>
                <w:sz w:val="24"/>
                <w:szCs w:val="24"/>
              </w:rPr>
            </w:pPr>
            <w:r w:rsidRPr="009077F5">
              <w:rPr>
                <w:sz w:val="24"/>
                <w:szCs w:val="24"/>
              </w:rPr>
              <w:t>Emisyonların toplanması</w:t>
            </w:r>
          </w:p>
        </w:tc>
      </w:tr>
      <w:tr w:rsidR="00D53517" w:rsidRPr="0050094F" w14:paraId="3A7A26CF" w14:textId="49E3C6F1" w:rsidTr="00D53517">
        <w:tc>
          <w:tcPr>
            <w:tcW w:w="425" w:type="dxa"/>
            <w:vAlign w:val="center"/>
          </w:tcPr>
          <w:p w14:paraId="5783E328" w14:textId="77777777" w:rsidR="00D53517" w:rsidRPr="009077F5" w:rsidRDefault="00D53517" w:rsidP="004B0D48">
            <w:pPr>
              <w:pStyle w:val="KonuBal"/>
              <w:rPr>
                <w:sz w:val="24"/>
                <w:szCs w:val="24"/>
              </w:rPr>
            </w:pPr>
            <w:r w:rsidRPr="009077F5">
              <w:rPr>
                <w:sz w:val="24"/>
                <w:szCs w:val="24"/>
              </w:rPr>
              <w:t>a.</w:t>
            </w:r>
          </w:p>
        </w:tc>
        <w:tc>
          <w:tcPr>
            <w:tcW w:w="2268" w:type="dxa"/>
            <w:vAlign w:val="center"/>
          </w:tcPr>
          <w:p w14:paraId="79AE5C41" w14:textId="4C75462A" w:rsidR="00D53517" w:rsidRPr="009077F5" w:rsidRDefault="00D53517" w:rsidP="004B0D48">
            <w:pPr>
              <w:pStyle w:val="KonuBal"/>
              <w:rPr>
                <w:sz w:val="24"/>
                <w:szCs w:val="24"/>
              </w:rPr>
            </w:pPr>
            <w:r w:rsidRPr="009077F5">
              <w:rPr>
                <w:sz w:val="24"/>
                <w:szCs w:val="24"/>
              </w:rPr>
              <w:t>Hava tahliyesi ile birleştirilmiş kapalı çekme makinesi</w:t>
            </w:r>
          </w:p>
        </w:tc>
        <w:tc>
          <w:tcPr>
            <w:tcW w:w="3261" w:type="dxa"/>
            <w:vAlign w:val="center"/>
          </w:tcPr>
          <w:p w14:paraId="31162AF1" w14:textId="39FC0EE8" w:rsidR="00D53517" w:rsidRPr="00E73DA3" w:rsidRDefault="00D53517" w:rsidP="00A202FD">
            <w:pPr>
              <w:jc w:val="both"/>
              <w:rPr>
                <w:rFonts w:eastAsia="Calibri"/>
                <w:lang w:eastAsia="en-US"/>
              </w:rPr>
            </w:pPr>
            <w:r w:rsidRPr="0050094F">
              <w:rPr>
                <w:rFonts w:eastAsia="Calibri"/>
                <w:lang w:eastAsia="en-US"/>
              </w:rPr>
              <w:t>Tozun dağılmasını önlemek için tüm çekme makinesi kapalı bir alana yerleştirilmiş ve hava tahliye edilmiştir.</w:t>
            </w:r>
          </w:p>
        </w:tc>
        <w:tc>
          <w:tcPr>
            <w:tcW w:w="2835" w:type="dxa"/>
          </w:tcPr>
          <w:p w14:paraId="4253FA25" w14:textId="4590CF9E" w:rsidR="00D53517" w:rsidRPr="00BF4451" w:rsidRDefault="00D53517" w:rsidP="00A202FD">
            <w:pPr>
              <w:jc w:val="both"/>
              <w:rPr>
                <w:rFonts w:eastAsia="Calibri"/>
                <w:lang w:eastAsia="en-US"/>
              </w:rPr>
            </w:pPr>
            <w:r w:rsidRPr="00BF4451">
              <w:rPr>
                <w:rFonts w:eastAsia="Calibri"/>
                <w:lang w:eastAsia="en-US"/>
              </w:rPr>
              <w:t>Mevcut tesislere uygulanabilirlik tesis yerleşimi ile sınırlı olabilir.</w:t>
            </w:r>
          </w:p>
        </w:tc>
      </w:tr>
      <w:tr w:rsidR="00D53517" w:rsidRPr="0050094F" w14:paraId="73D8FF8B" w14:textId="2AB03B2E" w:rsidTr="00D53517">
        <w:tc>
          <w:tcPr>
            <w:tcW w:w="425" w:type="dxa"/>
            <w:vAlign w:val="center"/>
          </w:tcPr>
          <w:p w14:paraId="7B2FA312" w14:textId="77777777" w:rsidR="00D53517" w:rsidRPr="009077F5" w:rsidRDefault="00D53517" w:rsidP="004B0D48">
            <w:pPr>
              <w:pStyle w:val="KonuBal"/>
              <w:rPr>
                <w:sz w:val="24"/>
                <w:szCs w:val="24"/>
              </w:rPr>
            </w:pPr>
            <w:r w:rsidRPr="009077F5">
              <w:rPr>
                <w:sz w:val="24"/>
                <w:szCs w:val="24"/>
              </w:rPr>
              <w:t>b.</w:t>
            </w:r>
          </w:p>
        </w:tc>
        <w:tc>
          <w:tcPr>
            <w:tcW w:w="2268" w:type="dxa"/>
            <w:vAlign w:val="center"/>
          </w:tcPr>
          <w:p w14:paraId="6D8FDB81" w14:textId="5719C518" w:rsidR="00D53517" w:rsidRPr="00BF4451" w:rsidRDefault="00D53517" w:rsidP="00A202FD">
            <w:pPr>
              <w:jc w:val="both"/>
              <w:rPr>
                <w:rFonts w:eastAsia="Calibri"/>
                <w:lang w:eastAsia="en-US"/>
              </w:rPr>
            </w:pPr>
            <w:r w:rsidRPr="0050094F">
              <w:t xml:space="preserve">Emisyon kaynağına mümkün </w:t>
            </w:r>
            <w:r w:rsidRPr="00E73DA3">
              <w:t>olduğu kadar yakın hava çıkışı</w:t>
            </w:r>
          </w:p>
        </w:tc>
        <w:tc>
          <w:tcPr>
            <w:tcW w:w="3261" w:type="dxa"/>
          </w:tcPr>
          <w:p w14:paraId="5DE6A1C6" w14:textId="22C45B8F" w:rsidR="00D53517" w:rsidRPr="00BF4451" w:rsidRDefault="00D53517" w:rsidP="00A202FD">
            <w:pPr>
              <w:jc w:val="both"/>
              <w:rPr>
                <w:lang w:val="en-US" w:eastAsia="en-US"/>
              </w:rPr>
            </w:pPr>
            <w:r w:rsidRPr="00BF4451">
              <w:rPr>
                <w:rFonts w:eastAsia="Calibri"/>
                <w:lang w:eastAsia="en-US"/>
              </w:rPr>
              <w:t>Çekme makinesinden çıkan emisyonlar örneğin davlumbaz veya ağız kullanılarak toplanır.</w:t>
            </w:r>
          </w:p>
        </w:tc>
        <w:tc>
          <w:tcPr>
            <w:tcW w:w="2835" w:type="dxa"/>
          </w:tcPr>
          <w:p w14:paraId="45DB101A" w14:textId="4C10F426" w:rsidR="00D53517" w:rsidRPr="00CB4CD4" w:rsidRDefault="00D53517" w:rsidP="00A202FD">
            <w:pPr>
              <w:jc w:val="both"/>
              <w:rPr>
                <w:rFonts w:eastAsia="Calibri"/>
              </w:rPr>
            </w:pPr>
            <w:r w:rsidRPr="00BF4451">
              <w:t>Genel olarak uygulanabilir.</w:t>
            </w:r>
          </w:p>
        </w:tc>
      </w:tr>
      <w:tr w:rsidR="00D53517" w:rsidRPr="0050094F" w14:paraId="18D2E12B" w14:textId="1EA5BE63" w:rsidTr="00A202FD">
        <w:tc>
          <w:tcPr>
            <w:tcW w:w="8789" w:type="dxa"/>
            <w:gridSpan w:val="4"/>
            <w:vAlign w:val="center"/>
          </w:tcPr>
          <w:p w14:paraId="57859416" w14:textId="587AB31E" w:rsidR="00D53517" w:rsidRPr="0050094F" w:rsidRDefault="00D53517" w:rsidP="00A202FD">
            <w:pPr>
              <w:jc w:val="both"/>
              <w:rPr>
                <w:rFonts w:eastAsia="Calibri"/>
                <w:lang w:eastAsia="en-US"/>
              </w:rPr>
            </w:pPr>
            <w:r w:rsidRPr="0050094F">
              <w:rPr>
                <w:rFonts w:eastAsia="Calibri"/>
                <w:lang w:eastAsia="en-US"/>
              </w:rPr>
              <w:lastRenderedPageBreak/>
              <w:t>Atık gaz arıtımı</w:t>
            </w:r>
          </w:p>
        </w:tc>
      </w:tr>
      <w:tr w:rsidR="00D53517" w:rsidRPr="0050094F" w14:paraId="299612A0" w14:textId="3A8EEBB4" w:rsidTr="00D53517">
        <w:tc>
          <w:tcPr>
            <w:tcW w:w="425" w:type="dxa"/>
            <w:vAlign w:val="center"/>
          </w:tcPr>
          <w:p w14:paraId="6D14FB6C" w14:textId="5567F2E8" w:rsidR="00D53517" w:rsidRPr="009077F5" w:rsidRDefault="00D53517" w:rsidP="004B0D48">
            <w:pPr>
              <w:pStyle w:val="KonuBal"/>
              <w:rPr>
                <w:sz w:val="24"/>
                <w:szCs w:val="24"/>
              </w:rPr>
            </w:pPr>
            <w:r w:rsidRPr="009077F5">
              <w:rPr>
                <w:sz w:val="24"/>
                <w:szCs w:val="24"/>
              </w:rPr>
              <w:t>c.</w:t>
            </w:r>
          </w:p>
        </w:tc>
        <w:tc>
          <w:tcPr>
            <w:tcW w:w="2268" w:type="dxa"/>
            <w:vAlign w:val="center"/>
          </w:tcPr>
          <w:p w14:paraId="58FE3F0A" w14:textId="77777777" w:rsidR="00D53517" w:rsidRPr="0050094F" w:rsidRDefault="00D53517" w:rsidP="00A202FD">
            <w:pPr>
              <w:jc w:val="both"/>
            </w:pPr>
            <w:r w:rsidRPr="0050094F">
              <w:t>Kumaş filtre</w:t>
            </w:r>
          </w:p>
        </w:tc>
        <w:tc>
          <w:tcPr>
            <w:tcW w:w="3261" w:type="dxa"/>
            <w:vAlign w:val="center"/>
          </w:tcPr>
          <w:p w14:paraId="2CC5568C" w14:textId="51808F8D" w:rsidR="00D53517" w:rsidRPr="00CB4CD4" w:rsidRDefault="00D53517" w:rsidP="00A202FD">
            <w:pPr>
              <w:jc w:val="both"/>
              <w:rPr>
                <w:rFonts w:eastAsia="Calibri"/>
                <w:lang w:eastAsia="en-US"/>
              </w:rPr>
            </w:pPr>
            <w:r w:rsidRPr="00E73DA3">
              <w:rPr>
                <w:rFonts w:eastAsia="Calibri"/>
              </w:rPr>
              <w:t xml:space="preserve">Bölüm </w:t>
            </w:r>
            <w:r w:rsidR="00B97162" w:rsidRPr="00BF4451">
              <w:rPr>
                <w:rFonts w:eastAsia="Calibri"/>
              </w:rPr>
              <w:t>1</w:t>
            </w:r>
            <w:r w:rsidRPr="00BF4451">
              <w:rPr>
                <w:rFonts w:eastAsia="Calibri"/>
              </w:rPr>
              <w:t>.11.2</w:t>
            </w:r>
            <w:r w:rsidR="00E56504" w:rsidRPr="00BF4451">
              <w:rPr>
                <w:rFonts w:eastAsia="Calibri"/>
              </w:rPr>
              <w:t>’</w:t>
            </w:r>
            <w:r w:rsidRPr="00BF4451">
              <w:rPr>
                <w:rFonts w:eastAsia="Calibri"/>
              </w:rPr>
              <w:t>e bakınız.</w:t>
            </w:r>
          </w:p>
        </w:tc>
        <w:tc>
          <w:tcPr>
            <w:tcW w:w="2835" w:type="dxa"/>
          </w:tcPr>
          <w:p w14:paraId="17F53ED2" w14:textId="37B7F436" w:rsidR="00D53517" w:rsidRPr="0050094F" w:rsidRDefault="00D53517" w:rsidP="00A202FD">
            <w:pPr>
              <w:jc w:val="both"/>
              <w:rPr>
                <w:rFonts w:eastAsia="Calibri"/>
              </w:rPr>
            </w:pPr>
            <w:r w:rsidRPr="0050094F">
              <w:t>Genel olarak uygulanabilir.</w:t>
            </w:r>
          </w:p>
        </w:tc>
      </w:tr>
    </w:tbl>
    <w:p w14:paraId="25FBC040" w14:textId="77777777" w:rsidR="00D53517" w:rsidRPr="00D53A2B" w:rsidRDefault="00D53517" w:rsidP="00A202FD">
      <w:pPr>
        <w:jc w:val="both"/>
        <w:rPr>
          <w:rFonts w:eastAsia="Calibri"/>
          <w:lang w:eastAsia="en-US"/>
        </w:rPr>
      </w:pPr>
    </w:p>
    <w:p w14:paraId="536908C7" w14:textId="38D68596" w:rsidR="001023C7" w:rsidRPr="00D53A2B" w:rsidRDefault="00D53517" w:rsidP="00A202FD">
      <w:pPr>
        <w:jc w:val="both"/>
        <w:rPr>
          <w:rFonts w:eastAsia="Calibri"/>
          <w:lang w:eastAsia="en-US"/>
        </w:rPr>
      </w:pPr>
      <w:r w:rsidRPr="00D53A2B">
        <w:rPr>
          <w:rFonts w:eastAsia="Calibri"/>
          <w:lang w:eastAsia="en-US"/>
        </w:rPr>
        <w:t xml:space="preserve">Tablo </w:t>
      </w:r>
      <w:r w:rsidR="00282CE4" w:rsidRPr="00D53A2B">
        <w:rPr>
          <w:rFonts w:eastAsia="Calibri"/>
          <w:lang w:eastAsia="en-US"/>
        </w:rPr>
        <w:t>1</w:t>
      </w:r>
      <w:r w:rsidRPr="00D53A2B">
        <w:rPr>
          <w:rFonts w:eastAsia="Calibri"/>
          <w:lang w:eastAsia="en-US"/>
        </w:rPr>
        <w:t>.2</w:t>
      </w:r>
      <w:r w:rsidR="00282CE4" w:rsidRPr="00D53A2B">
        <w:rPr>
          <w:rFonts w:eastAsia="Calibri"/>
          <w:lang w:eastAsia="en-US"/>
        </w:rPr>
        <w:t>8</w:t>
      </w:r>
    </w:p>
    <w:p w14:paraId="674389A4" w14:textId="7F82A0CB" w:rsidR="00D53517" w:rsidRPr="00D53A2B" w:rsidRDefault="00D53517" w:rsidP="00A202FD">
      <w:pPr>
        <w:jc w:val="both"/>
        <w:rPr>
          <w:rFonts w:eastAsia="Calibri"/>
          <w:b/>
          <w:bCs/>
          <w:lang w:eastAsia="en-US"/>
        </w:rPr>
      </w:pPr>
      <w:r w:rsidRPr="00D53A2B">
        <w:rPr>
          <w:rFonts w:eastAsia="Calibri"/>
          <w:lang w:eastAsia="en-US"/>
        </w:rPr>
        <w:t xml:space="preserve">Kuru çekmeden havaya yönlendirilmiş toz ve kurşun emisyonları için </w:t>
      </w:r>
      <w:r w:rsidR="009A27D8" w:rsidRPr="00D53A2B">
        <w:rPr>
          <w:rFonts w:eastAsia="Calibri"/>
          <w:lang w:eastAsia="en-US"/>
        </w:rPr>
        <w:t>MET-ilişkili emisyon seviyeleri (MET-İES)</w:t>
      </w:r>
    </w:p>
    <w:tbl>
      <w:tblPr>
        <w:tblStyle w:val="TabloKlavuzu"/>
        <w:tblW w:w="8930" w:type="dxa"/>
        <w:tblInd w:w="137" w:type="dxa"/>
        <w:tblLook w:val="04A0" w:firstRow="1" w:lastRow="0" w:firstColumn="1" w:lastColumn="0" w:noHBand="0" w:noVBand="1"/>
      </w:tblPr>
      <w:tblGrid>
        <w:gridCol w:w="1418"/>
        <w:gridCol w:w="1417"/>
        <w:gridCol w:w="6095"/>
      </w:tblGrid>
      <w:tr w:rsidR="00D53517" w:rsidRPr="0050094F" w14:paraId="34C1E384" w14:textId="77777777" w:rsidTr="00A202FD">
        <w:tc>
          <w:tcPr>
            <w:tcW w:w="1418" w:type="dxa"/>
          </w:tcPr>
          <w:p w14:paraId="2504459A" w14:textId="77777777" w:rsidR="00D53517" w:rsidRPr="009077F5" w:rsidRDefault="00D53517" w:rsidP="004B0D48">
            <w:pPr>
              <w:pStyle w:val="KonuBal"/>
              <w:rPr>
                <w:sz w:val="24"/>
                <w:szCs w:val="24"/>
              </w:rPr>
            </w:pPr>
            <w:r w:rsidRPr="009077F5">
              <w:rPr>
                <w:sz w:val="24"/>
                <w:szCs w:val="24"/>
              </w:rPr>
              <w:t>Parametre</w:t>
            </w:r>
          </w:p>
        </w:tc>
        <w:tc>
          <w:tcPr>
            <w:tcW w:w="1417" w:type="dxa"/>
          </w:tcPr>
          <w:p w14:paraId="2FEEE370" w14:textId="77777777" w:rsidR="00D53517" w:rsidRPr="009077F5" w:rsidRDefault="00D53517" w:rsidP="004B0D48">
            <w:pPr>
              <w:pStyle w:val="KonuBal"/>
              <w:rPr>
                <w:sz w:val="24"/>
                <w:szCs w:val="24"/>
              </w:rPr>
            </w:pPr>
            <w:r w:rsidRPr="009077F5">
              <w:rPr>
                <w:sz w:val="24"/>
                <w:szCs w:val="24"/>
              </w:rPr>
              <w:t>Birim</w:t>
            </w:r>
          </w:p>
        </w:tc>
        <w:tc>
          <w:tcPr>
            <w:tcW w:w="6095" w:type="dxa"/>
          </w:tcPr>
          <w:p w14:paraId="7A9805E4" w14:textId="77777777" w:rsidR="00D53517" w:rsidRPr="0050094F" w:rsidRDefault="00D53517" w:rsidP="00A202FD">
            <w:pPr>
              <w:jc w:val="both"/>
              <w:rPr>
                <w:rFonts w:eastAsia="Calibri"/>
                <w:lang w:eastAsia="en-US"/>
              </w:rPr>
            </w:pPr>
            <w:r w:rsidRPr="0050094F">
              <w:rPr>
                <w:rFonts w:eastAsia="Calibri"/>
                <w:lang w:eastAsia="en-US"/>
              </w:rPr>
              <w:t xml:space="preserve">MET-İES </w:t>
            </w:r>
          </w:p>
          <w:p w14:paraId="35270399" w14:textId="77777777" w:rsidR="00D53517" w:rsidRPr="009077F5" w:rsidRDefault="00D53517" w:rsidP="004B0D48">
            <w:pPr>
              <w:pStyle w:val="KonuBal"/>
              <w:rPr>
                <w:sz w:val="24"/>
                <w:szCs w:val="24"/>
              </w:rPr>
            </w:pPr>
            <w:r w:rsidRPr="009077F5">
              <w:rPr>
                <w:sz w:val="24"/>
                <w:szCs w:val="24"/>
              </w:rPr>
              <w:t>(Günlük ortalama veya numune alma süresi boyunca ortalama)</w:t>
            </w:r>
          </w:p>
        </w:tc>
      </w:tr>
      <w:tr w:rsidR="00D53517" w:rsidRPr="0050094F" w14:paraId="19518DF7" w14:textId="77777777" w:rsidTr="00A202FD">
        <w:tc>
          <w:tcPr>
            <w:tcW w:w="1418" w:type="dxa"/>
          </w:tcPr>
          <w:p w14:paraId="0D421E1E" w14:textId="77777777" w:rsidR="00D53517" w:rsidRPr="009077F5" w:rsidRDefault="00D53517" w:rsidP="004B0D48">
            <w:pPr>
              <w:pStyle w:val="KonuBal"/>
              <w:rPr>
                <w:sz w:val="24"/>
                <w:szCs w:val="24"/>
              </w:rPr>
            </w:pPr>
            <w:r w:rsidRPr="009077F5">
              <w:rPr>
                <w:sz w:val="24"/>
                <w:szCs w:val="24"/>
              </w:rPr>
              <w:t>Toz</w:t>
            </w:r>
          </w:p>
        </w:tc>
        <w:tc>
          <w:tcPr>
            <w:tcW w:w="1417" w:type="dxa"/>
          </w:tcPr>
          <w:p w14:paraId="3C8A0C3D" w14:textId="77777777" w:rsidR="00D53517" w:rsidRPr="009077F5" w:rsidRDefault="00D53517"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17044180" w14:textId="7FA0CBBA" w:rsidR="00D53517" w:rsidRPr="009077F5" w:rsidRDefault="00D53517" w:rsidP="0050094F">
            <w:pPr>
              <w:pStyle w:val="KonuBal"/>
              <w:rPr>
                <w:sz w:val="24"/>
                <w:szCs w:val="24"/>
              </w:rPr>
            </w:pPr>
            <w:r w:rsidRPr="009077F5">
              <w:rPr>
                <w:sz w:val="24"/>
                <w:szCs w:val="24"/>
              </w:rPr>
              <w:t>&lt;2-5</w:t>
            </w:r>
          </w:p>
        </w:tc>
      </w:tr>
    </w:tbl>
    <w:p w14:paraId="6B8394EE" w14:textId="7AD8375E" w:rsidR="00D53517" w:rsidRPr="00D53A2B" w:rsidRDefault="00D53517"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0BF7C2EA" w14:textId="77777777" w:rsidR="0071694E" w:rsidRPr="00D53A2B" w:rsidRDefault="0071694E" w:rsidP="00A202FD">
      <w:pPr>
        <w:jc w:val="both"/>
        <w:rPr>
          <w:rFonts w:eastAsia="Calibri"/>
          <w:lang w:eastAsia="en-US"/>
        </w:rPr>
      </w:pPr>
    </w:p>
    <w:p w14:paraId="21E83A7C" w14:textId="3F244048" w:rsidR="0071694E" w:rsidRPr="00D53A2B" w:rsidRDefault="00D53517" w:rsidP="00A202FD">
      <w:pPr>
        <w:pStyle w:val="MET"/>
        <w:rPr>
          <w:rFonts w:eastAsia="Calibri"/>
          <w:szCs w:val="24"/>
        </w:rPr>
      </w:pPr>
      <w:r w:rsidRPr="00D53A2B">
        <w:rPr>
          <w:rFonts w:eastAsia="Calibri"/>
          <w:szCs w:val="24"/>
        </w:rPr>
        <w:t xml:space="preserve">MET 53: </w:t>
      </w:r>
      <w:r w:rsidRPr="00D53A2B">
        <w:rPr>
          <w:rFonts w:eastAsia="Calibri"/>
          <w:b w:val="0"/>
          <w:bCs/>
          <w:szCs w:val="24"/>
        </w:rPr>
        <w:t>Yağ söndürme banyolarından havaya yayılan yağ buharı emisyonlarını azaltmak için aşağıda verilen her iki tekniğin de kullanılmasıdır.</w:t>
      </w:r>
    </w:p>
    <w:p w14:paraId="3F77DF94" w14:textId="49DCA2E4"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2977"/>
        <w:gridCol w:w="5528"/>
      </w:tblGrid>
      <w:tr w:rsidR="00D53517" w:rsidRPr="0050094F" w14:paraId="7D0E668A" w14:textId="77777777" w:rsidTr="00DA0E2E">
        <w:tc>
          <w:tcPr>
            <w:tcW w:w="3402" w:type="dxa"/>
            <w:gridSpan w:val="2"/>
          </w:tcPr>
          <w:p w14:paraId="6F6E4338" w14:textId="77777777" w:rsidR="00D53517" w:rsidRPr="009077F5" w:rsidRDefault="00D53517" w:rsidP="004B0D48">
            <w:pPr>
              <w:pStyle w:val="KonuBal"/>
              <w:rPr>
                <w:sz w:val="24"/>
                <w:szCs w:val="24"/>
              </w:rPr>
            </w:pPr>
            <w:r w:rsidRPr="009077F5">
              <w:rPr>
                <w:sz w:val="24"/>
                <w:szCs w:val="24"/>
              </w:rPr>
              <w:t>Teknik</w:t>
            </w:r>
          </w:p>
        </w:tc>
        <w:tc>
          <w:tcPr>
            <w:tcW w:w="5528" w:type="dxa"/>
          </w:tcPr>
          <w:p w14:paraId="7415A2AB" w14:textId="77777777" w:rsidR="00D53517" w:rsidRPr="009077F5" w:rsidRDefault="00D53517" w:rsidP="004B0D48">
            <w:pPr>
              <w:pStyle w:val="KonuBal"/>
              <w:rPr>
                <w:sz w:val="24"/>
                <w:szCs w:val="24"/>
              </w:rPr>
            </w:pPr>
            <w:r w:rsidRPr="009077F5">
              <w:rPr>
                <w:sz w:val="24"/>
                <w:szCs w:val="24"/>
              </w:rPr>
              <w:t>Açıklama</w:t>
            </w:r>
          </w:p>
        </w:tc>
      </w:tr>
      <w:tr w:rsidR="00D53517" w:rsidRPr="0050094F" w14:paraId="60D48BDA" w14:textId="77777777" w:rsidTr="00DA0E2E">
        <w:tc>
          <w:tcPr>
            <w:tcW w:w="8930" w:type="dxa"/>
            <w:gridSpan w:val="3"/>
          </w:tcPr>
          <w:p w14:paraId="2C80B60B" w14:textId="3A4BEF23" w:rsidR="00D53517" w:rsidRPr="009077F5" w:rsidRDefault="00D53517" w:rsidP="004B0D48">
            <w:pPr>
              <w:pStyle w:val="KonuBal"/>
              <w:rPr>
                <w:sz w:val="24"/>
                <w:szCs w:val="24"/>
              </w:rPr>
            </w:pPr>
            <w:r w:rsidRPr="009077F5">
              <w:rPr>
                <w:sz w:val="24"/>
                <w:szCs w:val="24"/>
              </w:rPr>
              <w:t>Emisyonların toplanması</w:t>
            </w:r>
          </w:p>
        </w:tc>
      </w:tr>
      <w:tr w:rsidR="00D53517" w:rsidRPr="0050094F" w14:paraId="38605BDA" w14:textId="77777777" w:rsidTr="00DA0E2E">
        <w:tc>
          <w:tcPr>
            <w:tcW w:w="425" w:type="dxa"/>
            <w:vAlign w:val="center"/>
          </w:tcPr>
          <w:p w14:paraId="55060B74" w14:textId="77777777" w:rsidR="00D53517" w:rsidRPr="009077F5" w:rsidRDefault="00D53517" w:rsidP="004B0D48">
            <w:pPr>
              <w:pStyle w:val="KonuBal"/>
              <w:rPr>
                <w:sz w:val="24"/>
                <w:szCs w:val="24"/>
              </w:rPr>
            </w:pPr>
            <w:r w:rsidRPr="009077F5">
              <w:rPr>
                <w:sz w:val="24"/>
                <w:szCs w:val="24"/>
              </w:rPr>
              <w:t>a.</w:t>
            </w:r>
          </w:p>
        </w:tc>
        <w:tc>
          <w:tcPr>
            <w:tcW w:w="2977" w:type="dxa"/>
            <w:vAlign w:val="center"/>
          </w:tcPr>
          <w:p w14:paraId="63F23223" w14:textId="356824A2" w:rsidR="00D53517" w:rsidRPr="009077F5" w:rsidRDefault="00D53517" w:rsidP="004B0D48">
            <w:pPr>
              <w:pStyle w:val="KonuBal"/>
              <w:rPr>
                <w:sz w:val="24"/>
                <w:szCs w:val="24"/>
              </w:rPr>
            </w:pPr>
            <w:r w:rsidRPr="009077F5">
              <w:rPr>
                <w:sz w:val="24"/>
                <w:szCs w:val="24"/>
              </w:rPr>
              <w:t>Emisyon kaynağına mümkün olduğu kadar yakın hava çıkışı</w:t>
            </w:r>
          </w:p>
        </w:tc>
        <w:tc>
          <w:tcPr>
            <w:tcW w:w="5528" w:type="dxa"/>
            <w:vAlign w:val="center"/>
          </w:tcPr>
          <w:p w14:paraId="5D7A501D" w14:textId="3E62645E" w:rsidR="00D53517" w:rsidRPr="009077F5" w:rsidRDefault="00D53517" w:rsidP="00A202FD">
            <w:pPr>
              <w:jc w:val="both"/>
              <w:rPr>
                <w:rFonts w:eastAsia="Calibri"/>
                <w:lang w:eastAsia="en-US"/>
              </w:rPr>
            </w:pPr>
            <w:r w:rsidRPr="009077F5">
              <w:rPr>
                <w:rFonts w:eastAsia="Calibri"/>
                <w:lang w:eastAsia="en-US"/>
              </w:rPr>
              <w:t>Yağ söndürme banyosundan çıkan emisyonlar örneğin davlumbaz veya ağız kullanılarak toplanır.</w:t>
            </w:r>
          </w:p>
        </w:tc>
      </w:tr>
      <w:tr w:rsidR="00D53517" w:rsidRPr="0050094F" w14:paraId="55A021EB" w14:textId="77777777" w:rsidTr="00DA0E2E">
        <w:tc>
          <w:tcPr>
            <w:tcW w:w="8930" w:type="dxa"/>
            <w:gridSpan w:val="3"/>
            <w:vAlign w:val="center"/>
          </w:tcPr>
          <w:p w14:paraId="7BA720BE" w14:textId="77777777" w:rsidR="00D53517" w:rsidRPr="009077F5" w:rsidRDefault="00D53517" w:rsidP="00A202FD">
            <w:pPr>
              <w:jc w:val="both"/>
              <w:rPr>
                <w:rFonts w:eastAsia="Calibri"/>
                <w:lang w:eastAsia="en-US"/>
              </w:rPr>
            </w:pPr>
            <w:r w:rsidRPr="009077F5">
              <w:rPr>
                <w:rFonts w:eastAsia="Calibri"/>
                <w:lang w:eastAsia="en-US"/>
              </w:rPr>
              <w:t>Atık gaz arıtımı</w:t>
            </w:r>
          </w:p>
        </w:tc>
      </w:tr>
      <w:tr w:rsidR="00D53517" w:rsidRPr="0050094F" w14:paraId="2AA2E3CC" w14:textId="77777777" w:rsidTr="00DA0E2E">
        <w:tc>
          <w:tcPr>
            <w:tcW w:w="425" w:type="dxa"/>
            <w:vAlign w:val="center"/>
          </w:tcPr>
          <w:p w14:paraId="7B4208D0" w14:textId="5B44277B" w:rsidR="00D53517" w:rsidRPr="009077F5" w:rsidRDefault="00F50529" w:rsidP="004B0D48">
            <w:pPr>
              <w:pStyle w:val="KonuBal"/>
              <w:rPr>
                <w:sz w:val="24"/>
                <w:szCs w:val="24"/>
              </w:rPr>
            </w:pPr>
            <w:r>
              <w:rPr>
                <w:sz w:val="24"/>
                <w:szCs w:val="24"/>
              </w:rPr>
              <w:t>b</w:t>
            </w:r>
            <w:r w:rsidR="00D53517" w:rsidRPr="009077F5">
              <w:rPr>
                <w:sz w:val="24"/>
                <w:szCs w:val="24"/>
              </w:rPr>
              <w:t>.</w:t>
            </w:r>
          </w:p>
        </w:tc>
        <w:tc>
          <w:tcPr>
            <w:tcW w:w="2977" w:type="dxa"/>
            <w:vAlign w:val="center"/>
          </w:tcPr>
          <w:p w14:paraId="2F59089A" w14:textId="77777777" w:rsidR="00D53517" w:rsidRPr="009077F5" w:rsidRDefault="00D53517" w:rsidP="00A202FD">
            <w:pPr>
              <w:jc w:val="both"/>
            </w:pPr>
            <w:r w:rsidRPr="009077F5">
              <w:t>Kumaş filtre</w:t>
            </w:r>
          </w:p>
        </w:tc>
        <w:tc>
          <w:tcPr>
            <w:tcW w:w="5528" w:type="dxa"/>
            <w:vAlign w:val="center"/>
          </w:tcPr>
          <w:p w14:paraId="05ABCB4C" w14:textId="186AE63C" w:rsidR="00D53517" w:rsidRPr="009077F5" w:rsidRDefault="00D53517" w:rsidP="00A202FD">
            <w:pPr>
              <w:jc w:val="both"/>
              <w:rPr>
                <w:rFonts w:eastAsia="Calibri"/>
                <w:lang w:eastAsia="en-US"/>
              </w:rPr>
            </w:pPr>
            <w:r w:rsidRPr="009077F5">
              <w:rPr>
                <w:rFonts w:eastAsia="Calibri"/>
              </w:rPr>
              <w:t>Bölüm 9.11.2</w:t>
            </w:r>
            <w:r w:rsidR="00E56504" w:rsidRPr="009077F5">
              <w:rPr>
                <w:rFonts w:eastAsia="Calibri"/>
              </w:rPr>
              <w:t>’</w:t>
            </w:r>
            <w:r w:rsidRPr="009077F5">
              <w:rPr>
                <w:rFonts w:eastAsia="Calibri"/>
              </w:rPr>
              <w:t>e bakınız.</w:t>
            </w:r>
          </w:p>
        </w:tc>
      </w:tr>
    </w:tbl>
    <w:p w14:paraId="2FA806B3" w14:textId="5F28AD80" w:rsidR="00D53517" w:rsidRPr="00D53A2B" w:rsidRDefault="00D53517"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095CFFCB" w14:textId="77777777" w:rsidR="0071694E" w:rsidRPr="00D53A2B" w:rsidRDefault="0071694E" w:rsidP="00A202FD">
      <w:pPr>
        <w:jc w:val="both"/>
        <w:rPr>
          <w:rFonts w:eastAsia="Calibri"/>
          <w:lang w:eastAsia="en-US"/>
        </w:rPr>
      </w:pPr>
    </w:p>
    <w:p w14:paraId="46EAB166" w14:textId="4C0FF721" w:rsidR="00D53517" w:rsidRPr="00D53A2B" w:rsidRDefault="00D10848" w:rsidP="00A202FD">
      <w:pPr>
        <w:pStyle w:val="Balk3"/>
        <w:rPr>
          <w:rFonts w:eastAsia="Calibri" w:cs="Times New Roman"/>
          <w:lang w:eastAsia="en-US"/>
        </w:rPr>
      </w:pPr>
      <w:r w:rsidRPr="00D53A2B">
        <w:rPr>
          <w:rFonts w:eastAsia="Calibri" w:cs="Times New Roman"/>
          <w:lang w:eastAsia="en-US"/>
        </w:rPr>
        <w:t>1</w:t>
      </w:r>
      <w:r w:rsidR="00D53517" w:rsidRPr="00D53A2B">
        <w:rPr>
          <w:rFonts w:eastAsia="Calibri" w:cs="Times New Roman"/>
          <w:lang w:eastAsia="en-US"/>
        </w:rPr>
        <w:t>.8.4. Kalıntılar</w:t>
      </w:r>
    </w:p>
    <w:p w14:paraId="22939F4E" w14:textId="05F23278" w:rsidR="00D53517" w:rsidRPr="00D53A2B" w:rsidRDefault="00D53517" w:rsidP="00A202FD">
      <w:pPr>
        <w:pStyle w:val="MET"/>
        <w:rPr>
          <w:rFonts w:eastAsia="Calibri"/>
          <w:szCs w:val="24"/>
        </w:rPr>
      </w:pPr>
      <w:r w:rsidRPr="00D53A2B">
        <w:rPr>
          <w:rFonts w:eastAsia="Calibri"/>
          <w:szCs w:val="24"/>
        </w:rPr>
        <w:t xml:space="preserve">MET 54: </w:t>
      </w:r>
      <w:r w:rsidRPr="00D53A2B">
        <w:rPr>
          <w:rFonts w:eastAsia="Calibri"/>
          <w:b w:val="0"/>
          <w:bCs/>
          <w:szCs w:val="24"/>
        </w:rPr>
        <w:t xml:space="preserve">Bertaraf edilmek üzere gönderilen atık miktarını azaltmak için kurşun içeren kalıntıların geri </w:t>
      </w:r>
      <w:r w:rsidR="0060155E">
        <w:rPr>
          <w:rFonts w:eastAsia="Calibri"/>
          <w:b w:val="0"/>
          <w:bCs/>
          <w:szCs w:val="24"/>
        </w:rPr>
        <w:t>kazanılarak</w:t>
      </w:r>
      <w:r w:rsidRPr="00D53A2B">
        <w:rPr>
          <w:rFonts w:eastAsia="Calibri"/>
          <w:b w:val="0"/>
          <w:bCs/>
          <w:szCs w:val="24"/>
        </w:rPr>
        <w:t xml:space="preserve"> bertarafının önlenmesini (örneğin kurşun üretmek için demir dışı metal endüstrilerine gönderilmesini) amaçla</w:t>
      </w:r>
      <w:r w:rsidR="009A27D8" w:rsidRPr="00D53A2B">
        <w:rPr>
          <w:rFonts w:eastAsia="Calibri"/>
          <w:b w:val="0"/>
          <w:bCs/>
          <w:szCs w:val="24"/>
        </w:rPr>
        <w:t>r</w:t>
      </w:r>
      <w:r w:rsidRPr="00D53A2B">
        <w:rPr>
          <w:rFonts w:eastAsia="Calibri"/>
          <w:b w:val="0"/>
          <w:bCs/>
          <w:szCs w:val="24"/>
        </w:rPr>
        <w:t>.</w:t>
      </w:r>
    </w:p>
    <w:p w14:paraId="59CA7445" w14:textId="77777777" w:rsidR="00D53517" w:rsidRPr="00D53A2B" w:rsidRDefault="00D53517" w:rsidP="00A202FD">
      <w:pPr>
        <w:jc w:val="both"/>
        <w:rPr>
          <w:rFonts w:eastAsia="Calibri"/>
          <w:lang w:eastAsia="en-US"/>
        </w:rPr>
      </w:pPr>
    </w:p>
    <w:p w14:paraId="6940A3D6" w14:textId="0DD00898" w:rsidR="00D53517" w:rsidRPr="00D53A2B" w:rsidRDefault="00D53517" w:rsidP="00A202FD">
      <w:pPr>
        <w:pStyle w:val="MET"/>
        <w:rPr>
          <w:rFonts w:eastAsia="Calibri"/>
          <w:szCs w:val="24"/>
        </w:rPr>
      </w:pPr>
      <w:r w:rsidRPr="00D53A2B">
        <w:rPr>
          <w:rFonts w:eastAsia="Calibri"/>
          <w:szCs w:val="24"/>
        </w:rPr>
        <w:t xml:space="preserve">MET 55: </w:t>
      </w:r>
      <w:r w:rsidRPr="00D53A2B">
        <w:rPr>
          <w:rFonts w:eastAsia="Calibri"/>
          <w:b w:val="0"/>
          <w:bCs/>
          <w:szCs w:val="24"/>
        </w:rPr>
        <w:t>Kurşun banyolarından kaynaklanan kurşun içeren kalıntıların (örneğin koruyucu tabaka malzemeleri ve kurşun oksitler) depolanmasıyla ilişkili çevresel riski önlemek veya azaltmak için, kurşun içeren kalıntıları diğer kalıntılardan ayrı, geçirimsiz yüzeyler üzerinde ve kapalı alanlarda veya kapalı kaplarda depola</w:t>
      </w:r>
      <w:r w:rsidR="009A27D8" w:rsidRPr="00D53A2B">
        <w:rPr>
          <w:rFonts w:eastAsia="Calibri"/>
          <w:b w:val="0"/>
          <w:bCs/>
          <w:szCs w:val="24"/>
        </w:rPr>
        <w:t>nır</w:t>
      </w:r>
      <w:r w:rsidRPr="00D53A2B">
        <w:rPr>
          <w:rFonts w:eastAsia="Calibri"/>
          <w:b w:val="0"/>
          <w:bCs/>
          <w:szCs w:val="24"/>
        </w:rPr>
        <w:t>.</w:t>
      </w:r>
    </w:p>
    <w:p w14:paraId="21FCB6CE" w14:textId="77777777" w:rsidR="00D53517" w:rsidRPr="00D53A2B" w:rsidRDefault="00D53517" w:rsidP="00A202FD">
      <w:pPr>
        <w:jc w:val="both"/>
        <w:rPr>
          <w:rFonts w:eastAsia="Calibri"/>
          <w:lang w:eastAsia="en-US"/>
        </w:rPr>
      </w:pPr>
    </w:p>
    <w:p w14:paraId="02C580A9" w14:textId="1B887DD7" w:rsidR="00D53517" w:rsidRPr="00D53A2B" w:rsidRDefault="00D10848" w:rsidP="00A202FD">
      <w:pPr>
        <w:pStyle w:val="Balk2"/>
        <w:rPr>
          <w:rFonts w:eastAsia="Calibri" w:cs="Times New Roman"/>
          <w:szCs w:val="24"/>
          <w:lang w:eastAsia="en-US"/>
        </w:rPr>
      </w:pPr>
      <w:r w:rsidRPr="00D53A2B">
        <w:rPr>
          <w:rFonts w:eastAsia="Calibri" w:cs="Times New Roman"/>
          <w:szCs w:val="24"/>
          <w:lang w:eastAsia="en-US"/>
        </w:rPr>
        <w:t>1</w:t>
      </w:r>
      <w:r w:rsidR="009A27D8" w:rsidRPr="00D53A2B">
        <w:rPr>
          <w:rFonts w:eastAsia="Calibri" w:cs="Times New Roman"/>
          <w:szCs w:val="24"/>
          <w:lang w:eastAsia="en-US"/>
        </w:rPr>
        <w:t xml:space="preserve">.9. </w:t>
      </w:r>
      <w:r w:rsidR="002D1796" w:rsidRPr="00D53A2B">
        <w:rPr>
          <w:rFonts w:eastAsia="Calibri" w:cs="Times New Roman"/>
          <w:szCs w:val="24"/>
          <w:lang w:eastAsia="en-US"/>
        </w:rPr>
        <w:t xml:space="preserve">Sac </w:t>
      </w:r>
      <w:r w:rsidR="009A27D8" w:rsidRPr="00D53A2B">
        <w:rPr>
          <w:rFonts w:eastAsia="Calibri" w:cs="Times New Roman"/>
          <w:szCs w:val="24"/>
          <w:lang w:eastAsia="en-US"/>
        </w:rPr>
        <w:t xml:space="preserve">ve Tellerin Sıcak Daldırmayla Kaplanması İçin </w:t>
      </w:r>
      <w:r w:rsidR="002D1796" w:rsidRPr="00D53A2B">
        <w:rPr>
          <w:rFonts w:eastAsia="Calibri" w:cs="Times New Roman"/>
          <w:szCs w:val="24"/>
          <w:lang w:eastAsia="en-US"/>
        </w:rPr>
        <w:t xml:space="preserve">MET </w:t>
      </w:r>
      <w:r w:rsidR="009A27D8" w:rsidRPr="00D53A2B">
        <w:rPr>
          <w:rFonts w:eastAsia="Calibri" w:cs="Times New Roman"/>
          <w:szCs w:val="24"/>
          <w:lang w:eastAsia="en-US"/>
        </w:rPr>
        <w:t>Sonuçları</w:t>
      </w:r>
    </w:p>
    <w:p w14:paraId="1BEC4E3D" w14:textId="5E505434" w:rsidR="00D53517" w:rsidRPr="00D53A2B" w:rsidRDefault="002D1796" w:rsidP="00A202FD">
      <w:pPr>
        <w:jc w:val="both"/>
        <w:rPr>
          <w:rFonts w:eastAsia="Calibri"/>
          <w:lang w:eastAsia="en-US"/>
        </w:rPr>
      </w:pPr>
      <w:r w:rsidRPr="00D53A2B">
        <w:rPr>
          <w:rFonts w:eastAsia="Calibri"/>
          <w:lang w:eastAsia="en-US"/>
        </w:rPr>
        <w:t xml:space="preserve">Bu bölümdeki MET sonuçları, Bölüm </w:t>
      </w:r>
      <w:r w:rsidR="00D10848" w:rsidRPr="00D53A2B">
        <w:rPr>
          <w:rFonts w:eastAsia="Calibri"/>
          <w:lang w:eastAsia="en-US"/>
        </w:rPr>
        <w:t>1</w:t>
      </w:r>
      <w:r w:rsidRPr="00D53A2B">
        <w:rPr>
          <w:rFonts w:eastAsia="Calibri"/>
          <w:lang w:eastAsia="en-US"/>
        </w:rPr>
        <w:t>.5</w:t>
      </w:r>
      <w:r w:rsidR="00E56504" w:rsidRPr="00D53A2B">
        <w:rPr>
          <w:rFonts w:eastAsia="Calibri"/>
          <w:lang w:eastAsia="en-US"/>
        </w:rPr>
        <w:t>’</w:t>
      </w:r>
      <w:r w:rsidRPr="00D53A2B">
        <w:rPr>
          <w:rFonts w:eastAsia="Calibri"/>
          <w:lang w:eastAsia="en-US"/>
        </w:rPr>
        <w:t>te verilen genel MET sonuçlarına ek olarak uygulanır.</w:t>
      </w:r>
    </w:p>
    <w:p w14:paraId="43DE5ABB" w14:textId="77777777" w:rsidR="00D53517" w:rsidRPr="00D53A2B" w:rsidRDefault="00D53517" w:rsidP="00A202FD">
      <w:pPr>
        <w:jc w:val="both"/>
        <w:rPr>
          <w:rFonts w:eastAsia="Calibri"/>
          <w:lang w:eastAsia="en-US"/>
        </w:rPr>
      </w:pPr>
    </w:p>
    <w:p w14:paraId="366433FA" w14:textId="4ABB4A72" w:rsidR="0071694E" w:rsidRPr="00D53A2B" w:rsidRDefault="00D10848" w:rsidP="00A202FD">
      <w:pPr>
        <w:pStyle w:val="Balk3"/>
        <w:rPr>
          <w:rFonts w:eastAsia="Calibri" w:cs="Times New Roman"/>
          <w:lang w:eastAsia="en-US"/>
        </w:rPr>
      </w:pPr>
      <w:r w:rsidRPr="00D53A2B">
        <w:rPr>
          <w:rFonts w:eastAsia="Calibri" w:cs="Times New Roman"/>
          <w:lang w:eastAsia="en-US"/>
        </w:rPr>
        <w:t>1</w:t>
      </w:r>
      <w:r w:rsidR="002D1796" w:rsidRPr="00D53A2B">
        <w:rPr>
          <w:rFonts w:eastAsia="Calibri" w:cs="Times New Roman"/>
          <w:lang w:eastAsia="en-US"/>
        </w:rPr>
        <w:t>.9.1. Malzeme verimliliği</w:t>
      </w:r>
    </w:p>
    <w:p w14:paraId="2FB73F08" w14:textId="0EBD9BD5" w:rsidR="0071694E" w:rsidRPr="00D53A2B" w:rsidRDefault="00470013" w:rsidP="00A202FD">
      <w:pPr>
        <w:pStyle w:val="MET"/>
        <w:rPr>
          <w:rFonts w:eastAsia="Calibri"/>
          <w:szCs w:val="24"/>
        </w:rPr>
      </w:pPr>
      <w:r w:rsidRPr="00D53A2B">
        <w:rPr>
          <w:rFonts w:eastAsia="Calibri"/>
          <w:szCs w:val="24"/>
        </w:rPr>
        <w:t xml:space="preserve">MET 56: </w:t>
      </w:r>
      <w:r w:rsidRPr="00D53A2B">
        <w:rPr>
          <w:rFonts w:eastAsia="Calibri"/>
          <w:b w:val="0"/>
          <w:bCs/>
          <w:szCs w:val="24"/>
        </w:rPr>
        <w:t>Şeritlerin sürekli sıcak daldırma işleminde malzeme verimliliğini artırmak için aşağıda verilen her iki tekniği kullanarak metallerle aşırı kaplamayı önle</w:t>
      </w:r>
      <w:r w:rsidR="009A27D8" w:rsidRPr="00D53A2B">
        <w:rPr>
          <w:rFonts w:eastAsia="Calibri"/>
          <w:b w:val="0"/>
          <w:bCs/>
          <w:szCs w:val="24"/>
        </w:rPr>
        <w:t>r</w:t>
      </w:r>
      <w:r w:rsidRPr="00D53A2B">
        <w:rPr>
          <w:rFonts w:eastAsia="Calibri"/>
          <w:b w:val="0"/>
          <w:bCs/>
          <w:szCs w:val="24"/>
        </w:rPr>
        <w:t>.</w:t>
      </w:r>
    </w:p>
    <w:p w14:paraId="23F9F4B1" w14:textId="77777777"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2694"/>
        <w:gridCol w:w="5811"/>
      </w:tblGrid>
      <w:tr w:rsidR="00470013" w:rsidRPr="00D53A2B" w14:paraId="56271C3E" w14:textId="77777777" w:rsidTr="00DA0E2E">
        <w:tc>
          <w:tcPr>
            <w:tcW w:w="3119" w:type="dxa"/>
            <w:gridSpan w:val="2"/>
          </w:tcPr>
          <w:p w14:paraId="292DACB8" w14:textId="77777777" w:rsidR="00470013" w:rsidRPr="00D53A2B" w:rsidRDefault="00470013" w:rsidP="004B0D48">
            <w:pPr>
              <w:pStyle w:val="KonuBal"/>
            </w:pPr>
            <w:r w:rsidRPr="00D53A2B">
              <w:t>Teknik</w:t>
            </w:r>
          </w:p>
        </w:tc>
        <w:tc>
          <w:tcPr>
            <w:tcW w:w="5811" w:type="dxa"/>
          </w:tcPr>
          <w:p w14:paraId="5847D0EE" w14:textId="77777777" w:rsidR="00470013" w:rsidRPr="00D53A2B" w:rsidRDefault="00470013" w:rsidP="004B0D48">
            <w:pPr>
              <w:pStyle w:val="KonuBal"/>
            </w:pPr>
            <w:r w:rsidRPr="00D53A2B">
              <w:t>Açıklama</w:t>
            </w:r>
          </w:p>
        </w:tc>
      </w:tr>
      <w:tr w:rsidR="00470013" w:rsidRPr="00D53A2B" w14:paraId="34BB2423" w14:textId="77777777" w:rsidTr="00DA0E2E">
        <w:tc>
          <w:tcPr>
            <w:tcW w:w="425" w:type="dxa"/>
            <w:vAlign w:val="center"/>
          </w:tcPr>
          <w:p w14:paraId="41DCFE99" w14:textId="77777777" w:rsidR="00470013" w:rsidRPr="00D53A2B" w:rsidRDefault="00470013" w:rsidP="004B0D48">
            <w:pPr>
              <w:pStyle w:val="KonuBal"/>
            </w:pPr>
            <w:r w:rsidRPr="00D53A2B">
              <w:lastRenderedPageBreak/>
              <w:t>a.</w:t>
            </w:r>
          </w:p>
        </w:tc>
        <w:tc>
          <w:tcPr>
            <w:tcW w:w="2694" w:type="dxa"/>
            <w:vAlign w:val="center"/>
          </w:tcPr>
          <w:p w14:paraId="562009AC" w14:textId="280E4026" w:rsidR="00470013" w:rsidRPr="00D53A2B" w:rsidRDefault="00470013" w:rsidP="004B0D48">
            <w:pPr>
              <w:pStyle w:val="KonuBal"/>
            </w:pPr>
            <w:r w:rsidRPr="00D53A2B">
              <w:t>Kaplama kalınlığı kontrolü için hava bıçakları</w:t>
            </w:r>
          </w:p>
        </w:tc>
        <w:tc>
          <w:tcPr>
            <w:tcW w:w="5811" w:type="dxa"/>
            <w:vAlign w:val="center"/>
          </w:tcPr>
          <w:p w14:paraId="26200060" w14:textId="588119BF" w:rsidR="00470013" w:rsidRPr="00D53A2B" w:rsidRDefault="00470013" w:rsidP="00A202FD">
            <w:pPr>
              <w:jc w:val="both"/>
              <w:rPr>
                <w:rFonts w:eastAsia="Calibri"/>
                <w:sz w:val="22"/>
                <w:szCs w:val="22"/>
                <w:lang w:eastAsia="en-US"/>
              </w:rPr>
            </w:pPr>
            <w:r w:rsidRPr="00D53A2B">
              <w:rPr>
                <w:rFonts w:eastAsia="Calibri"/>
                <w:sz w:val="22"/>
                <w:szCs w:val="22"/>
                <w:lang w:eastAsia="en-US"/>
              </w:rPr>
              <w:t>Erimiş çinko banyosundan çıktıktan sonra, şeridin genişliği boyunca uzanan hava jetleri, fazla kaplama metalini şerit yüzeyinden galvanizleme kazanına geri üfler.</w:t>
            </w:r>
          </w:p>
        </w:tc>
      </w:tr>
      <w:tr w:rsidR="00470013" w:rsidRPr="00D53A2B" w14:paraId="1FED7375" w14:textId="77777777" w:rsidTr="00DA0E2E">
        <w:tc>
          <w:tcPr>
            <w:tcW w:w="425" w:type="dxa"/>
            <w:vAlign w:val="center"/>
          </w:tcPr>
          <w:p w14:paraId="0A52A0AC" w14:textId="180142D2" w:rsidR="00470013" w:rsidRPr="00D53A2B" w:rsidRDefault="00470013" w:rsidP="004B0D48">
            <w:pPr>
              <w:pStyle w:val="KonuBal"/>
            </w:pPr>
            <w:r w:rsidRPr="00D53A2B">
              <w:t>b.</w:t>
            </w:r>
          </w:p>
        </w:tc>
        <w:tc>
          <w:tcPr>
            <w:tcW w:w="2694" w:type="dxa"/>
            <w:vAlign w:val="center"/>
          </w:tcPr>
          <w:p w14:paraId="1EEA9012" w14:textId="7AF6CD6C" w:rsidR="00470013" w:rsidRPr="00D53A2B" w:rsidRDefault="00470013" w:rsidP="00A202FD">
            <w:pPr>
              <w:jc w:val="both"/>
              <w:rPr>
                <w:sz w:val="22"/>
                <w:szCs w:val="22"/>
              </w:rPr>
            </w:pPr>
            <w:r w:rsidRPr="00D53A2B">
              <w:rPr>
                <w:sz w:val="22"/>
                <w:szCs w:val="22"/>
              </w:rPr>
              <w:t>Şeridin stabilizasyonu</w:t>
            </w:r>
          </w:p>
        </w:tc>
        <w:tc>
          <w:tcPr>
            <w:tcW w:w="5811" w:type="dxa"/>
            <w:vAlign w:val="center"/>
          </w:tcPr>
          <w:p w14:paraId="27A5D51D" w14:textId="75AA719F" w:rsidR="00470013" w:rsidRPr="00D53A2B" w:rsidRDefault="00470013" w:rsidP="00A202FD">
            <w:pPr>
              <w:jc w:val="both"/>
              <w:rPr>
                <w:rFonts w:eastAsia="Calibri"/>
                <w:sz w:val="22"/>
                <w:szCs w:val="22"/>
                <w:lang w:eastAsia="en-US"/>
              </w:rPr>
            </w:pPr>
            <w:r w:rsidRPr="00D53A2B">
              <w:rPr>
                <w:rFonts w:eastAsia="Calibri"/>
                <w:sz w:val="22"/>
                <w:szCs w:val="22"/>
              </w:rPr>
              <w:t>Hava bıçakları ile fazla kaplamanın giderilmesinin etkinliği, şerit salınımlarının sınırlandırılmasıyla, örneğin şerit gerginliğinin artırılması, düşük titreşimli pot yataklarının kullanılması, elektromanyetik stabilizatörlerin kullanılmasıyla artırılabilir.</w:t>
            </w:r>
          </w:p>
        </w:tc>
      </w:tr>
    </w:tbl>
    <w:p w14:paraId="35C7E55D" w14:textId="77777777" w:rsidR="0071694E" w:rsidRPr="00D53A2B" w:rsidRDefault="0071694E" w:rsidP="00A202FD">
      <w:pPr>
        <w:jc w:val="both"/>
        <w:rPr>
          <w:rFonts w:eastAsia="Calibri"/>
          <w:lang w:eastAsia="en-US"/>
        </w:rPr>
      </w:pPr>
    </w:p>
    <w:p w14:paraId="209EEDD4" w14:textId="7BEC19B5" w:rsidR="00470013" w:rsidRPr="00D53A2B" w:rsidRDefault="00470013" w:rsidP="00A202FD">
      <w:pPr>
        <w:pStyle w:val="MET"/>
        <w:rPr>
          <w:rFonts w:eastAsia="Calibri"/>
          <w:szCs w:val="24"/>
        </w:rPr>
      </w:pPr>
      <w:r w:rsidRPr="00D53A2B">
        <w:rPr>
          <w:rFonts w:eastAsia="Calibri"/>
          <w:szCs w:val="24"/>
        </w:rPr>
        <w:t xml:space="preserve">MET 57: </w:t>
      </w:r>
      <w:r w:rsidRPr="00D53A2B">
        <w:rPr>
          <w:rFonts w:eastAsia="Calibri"/>
          <w:b w:val="0"/>
          <w:bCs/>
          <w:szCs w:val="24"/>
        </w:rPr>
        <w:t>Telin sürekli sıcak daldırma işleminde malzeme verimliliğini artırmak için aşağıda verilen tekniklerden birini kullanarak metallerle aşırı kaplamayı önle</w:t>
      </w:r>
      <w:r w:rsidR="009A27D8" w:rsidRPr="00D53A2B">
        <w:rPr>
          <w:rFonts w:eastAsia="Calibri"/>
          <w:b w:val="0"/>
          <w:bCs/>
          <w:szCs w:val="24"/>
        </w:rPr>
        <w:t>r</w:t>
      </w:r>
      <w:r w:rsidRPr="00D53A2B">
        <w:rPr>
          <w:rFonts w:eastAsia="Calibri"/>
          <w:b w:val="0"/>
          <w:bCs/>
          <w:szCs w:val="24"/>
        </w:rPr>
        <w:t>.</w:t>
      </w:r>
    </w:p>
    <w:p w14:paraId="5BF1BCC0" w14:textId="77777777" w:rsidR="00470013" w:rsidRPr="00D53A2B" w:rsidRDefault="00470013"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2694"/>
        <w:gridCol w:w="5811"/>
      </w:tblGrid>
      <w:tr w:rsidR="00470013" w:rsidRPr="00D53A2B" w14:paraId="2EBD5D08" w14:textId="77777777" w:rsidTr="00DA0E2E">
        <w:tc>
          <w:tcPr>
            <w:tcW w:w="3119" w:type="dxa"/>
            <w:gridSpan w:val="2"/>
          </w:tcPr>
          <w:p w14:paraId="10F1B824" w14:textId="77777777" w:rsidR="00470013" w:rsidRPr="00D53A2B" w:rsidRDefault="00470013" w:rsidP="004B0D48">
            <w:pPr>
              <w:pStyle w:val="KonuBal"/>
            </w:pPr>
            <w:r w:rsidRPr="00D53A2B">
              <w:t>Teknik</w:t>
            </w:r>
          </w:p>
        </w:tc>
        <w:tc>
          <w:tcPr>
            <w:tcW w:w="5811" w:type="dxa"/>
          </w:tcPr>
          <w:p w14:paraId="24320A2E" w14:textId="77777777" w:rsidR="00470013" w:rsidRPr="00D53A2B" w:rsidRDefault="00470013" w:rsidP="004B0D48">
            <w:pPr>
              <w:pStyle w:val="KonuBal"/>
            </w:pPr>
            <w:r w:rsidRPr="00D53A2B">
              <w:t>Açıklama</w:t>
            </w:r>
          </w:p>
        </w:tc>
      </w:tr>
      <w:tr w:rsidR="00470013" w:rsidRPr="00D53A2B" w14:paraId="53615278" w14:textId="77777777" w:rsidTr="00DA0E2E">
        <w:tc>
          <w:tcPr>
            <w:tcW w:w="425" w:type="dxa"/>
            <w:vAlign w:val="center"/>
          </w:tcPr>
          <w:p w14:paraId="31A6B8F9" w14:textId="77777777" w:rsidR="00470013" w:rsidRPr="00D53A2B" w:rsidRDefault="00470013" w:rsidP="004B0D48">
            <w:pPr>
              <w:pStyle w:val="KonuBal"/>
            </w:pPr>
            <w:r w:rsidRPr="00D53A2B">
              <w:t>a.</w:t>
            </w:r>
          </w:p>
        </w:tc>
        <w:tc>
          <w:tcPr>
            <w:tcW w:w="2694" w:type="dxa"/>
            <w:vAlign w:val="center"/>
          </w:tcPr>
          <w:p w14:paraId="641303B8" w14:textId="0839938E" w:rsidR="00470013" w:rsidRPr="00D53A2B" w:rsidRDefault="00470013" w:rsidP="004B0D48">
            <w:pPr>
              <w:pStyle w:val="KonuBal"/>
            </w:pPr>
            <w:r w:rsidRPr="00D53A2B">
              <w:t xml:space="preserve">Hava </w:t>
            </w:r>
            <w:r w:rsidR="00CA00ED" w:rsidRPr="00D53A2B">
              <w:t xml:space="preserve">veya </w:t>
            </w:r>
            <w:r w:rsidRPr="00D53A2B">
              <w:t>nitrojen</w:t>
            </w:r>
            <w:r w:rsidR="00CA00ED" w:rsidRPr="00D53A2B">
              <w:t>le silme</w:t>
            </w:r>
          </w:p>
        </w:tc>
        <w:tc>
          <w:tcPr>
            <w:tcW w:w="5811" w:type="dxa"/>
            <w:vAlign w:val="center"/>
          </w:tcPr>
          <w:p w14:paraId="48828CD3" w14:textId="076A3098" w:rsidR="00470013" w:rsidRPr="00D53A2B" w:rsidRDefault="00470013" w:rsidP="00A202FD">
            <w:pPr>
              <w:jc w:val="both"/>
              <w:rPr>
                <w:rFonts w:eastAsia="Calibri"/>
                <w:sz w:val="22"/>
                <w:szCs w:val="22"/>
                <w:lang w:eastAsia="en-US"/>
              </w:rPr>
            </w:pPr>
            <w:r w:rsidRPr="00D53A2B">
              <w:rPr>
                <w:rFonts w:eastAsia="Calibri"/>
                <w:sz w:val="22"/>
                <w:szCs w:val="22"/>
                <w:lang w:eastAsia="en-US"/>
              </w:rPr>
              <w:t>Erimiş çinko banyosundan çıktıktan sonra, telin etrafındaki dairesel hava veya gaz jetleri, fazla kaplama metalini tel yüzeyinden tekrar galvanizleme kazanına üfler.</w:t>
            </w:r>
          </w:p>
        </w:tc>
      </w:tr>
      <w:tr w:rsidR="00470013" w:rsidRPr="00D53A2B" w14:paraId="4792449A" w14:textId="77777777" w:rsidTr="00DA0E2E">
        <w:tc>
          <w:tcPr>
            <w:tcW w:w="425" w:type="dxa"/>
            <w:vAlign w:val="center"/>
          </w:tcPr>
          <w:p w14:paraId="57A59AF0" w14:textId="77777777" w:rsidR="00470013" w:rsidRPr="00D53A2B" w:rsidRDefault="00470013" w:rsidP="004B0D48">
            <w:pPr>
              <w:pStyle w:val="KonuBal"/>
            </w:pPr>
            <w:r w:rsidRPr="00D53A2B">
              <w:t>b.</w:t>
            </w:r>
          </w:p>
        </w:tc>
        <w:tc>
          <w:tcPr>
            <w:tcW w:w="2694" w:type="dxa"/>
            <w:vAlign w:val="center"/>
          </w:tcPr>
          <w:p w14:paraId="0735BEC2" w14:textId="25ED1A80" w:rsidR="00470013" w:rsidRPr="00D53A2B" w:rsidRDefault="00470013" w:rsidP="00A202FD">
            <w:pPr>
              <w:jc w:val="both"/>
              <w:rPr>
                <w:sz w:val="22"/>
                <w:szCs w:val="22"/>
              </w:rPr>
            </w:pPr>
            <w:r w:rsidRPr="00D53A2B">
              <w:rPr>
                <w:sz w:val="22"/>
                <w:szCs w:val="22"/>
              </w:rPr>
              <w:t xml:space="preserve">Mekanik </w:t>
            </w:r>
            <w:r w:rsidR="006640E8" w:rsidRPr="00D53A2B">
              <w:rPr>
                <w:sz w:val="22"/>
                <w:szCs w:val="22"/>
              </w:rPr>
              <w:t>silme</w:t>
            </w:r>
          </w:p>
        </w:tc>
        <w:tc>
          <w:tcPr>
            <w:tcW w:w="5811" w:type="dxa"/>
            <w:vAlign w:val="center"/>
          </w:tcPr>
          <w:p w14:paraId="33E3DC96" w14:textId="56376E56" w:rsidR="00470013" w:rsidRPr="00D53A2B" w:rsidRDefault="00470013" w:rsidP="00A202FD">
            <w:pPr>
              <w:jc w:val="both"/>
              <w:rPr>
                <w:rFonts w:eastAsia="Calibri"/>
                <w:sz w:val="22"/>
                <w:szCs w:val="22"/>
                <w:lang w:eastAsia="en-US"/>
              </w:rPr>
            </w:pPr>
            <w:r w:rsidRPr="00D53A2B">
              <w:rPr>
                <w:rFonts w:eastAsia="Calibri"/>
                <w:sz w:val="22"/>
                <w:szCs w:val="22"/>
              </w:rPr>
              <w:t>Erimiş çinko banyosundan çıkan tel, fazla kaplama metalini tel yüzeyinden alarak galvanizleme kazanına geri götüren silme ekipmanı/malzemesinden (örneğin pedler, nozullar, halkalar, kömür granülleri) geçirilir.</w:t>
            </w:r>
          </w:p>
        </w:tc>
      </w:tr>
    </w:tbl>
    <w:p w14:paraId="1568FB07" w14:textId="77777777" w:rsidR="00470013" w:rsidRPr="00D53A2B" w:rsidRDefault="00470013" w:rsidP="00A202FD">
      <w:pPr>
        <w:jc w:val="both"/>
        <w:rPr>
          <w:rFonts w:eastAsia="Calibri"/>
          <w:lang w:eastAsia="en-US"/>
        </w:rPr>
      </w:pPr>
    </w:p>
    <w:p w14:paraId="6940B4C4" w14:textId="141E606B" w:rsidR="0071694E" w:rsidRPr="00D53A2B" w:rsidRDefault="00D10848" w:rsidP="00A202FD">
      <w:pPr>
        <w:pStyle w:val="Balk2"/>
        <w:rPr>
          <w:rFonts w:eastAsia="Calibri" w:cs="Times New Roman"/>
          <w:szCs w:val="24"/>
          <w:lang w:eastAsia="en-US"/>
        </w:rPr>
      </w:pPr>
      <w:r w:rsidRPr="00D53A2B">
        <w:rPr>
          <w:rFonts w:eastAsia="Calibri" w:cs="Times New Roman"/>
          <w:szCs w:val="24"/>
          <w:lang w:eastAsia="en-US"/>
        </w:rPr>
        <w:t>1</w:t>
      </w:r>
      <w:r w:rsidR="00470013" w:rsidRPr="00D53A2B">
        <w:rPr>
          <w:rFonts w:eastAsia="Calibri" w:cs="Times New Roman"/>
          <w:szCs w:val="24"/>
          <w:lang w:eastAsia="en-US"/>
        </w:rPr>
        <w:t xml:space="preserve">.10. </w:t>
      </w:r>
      <w:r w:rsidR="00416ECA" w:rsidRPr="00D53A2B">
        <w:rPr>
          <w:rFonts w:eastAsia="Calibri" w:cs="Times New Roman"/>
          <w:szCs w:val="24"/>
          <w:lang w:eastAsia="en-US"/>
        </w:rPr>
        <w:t>Kesikli Galvanizlemeye</w:t>
      </w:r>
      <w:r w:rsidR="00470013" w:rsidRPr="00D53A2B">
        <w:rPr>
          <w:rFonts w:eastAsia="Calibri" w:cs="Times New Roman"/>
          <w:szCs w:val="24"/>
          <w:lang w:eastAsia="en-US"/>
        </w:rPr>
        <w:t xml:space="preserve"> </w:t>
      </w:r>
      <w:r w:rsidR="00416ECA" w:rsidRPr="00D53A2B">
        <w:rPr>
          <w:rFonts w:eastAsia="Calibri" w:cs="Times New Roman"/>
          <w:szCs w:val="24"/>
          <w:lang w:eastAsia="en-US"/>
        </w:rPr>
        <w:t>Y</w:t>
      </w:r>
      <w:r w:rsidR="00470013" w:rsidRPr="00D53A2B">
        <w:rPr>
          <w:rFonts w:eastAsia="Calibri" w:cs="Times New Roman"/>
          <w:szCs w:val="24"/>
          <w:lang w:eastAsia="en-US"/>
        </w:rPr>
        <w:t xml:space="preserve">önelik </w:t>
      </w:r>
      <w:r w:rsidR="00416ECA" w:rsidRPr="00D53A2B">
        <w:rPr>
          <w:rFonts w:eastAsia="Calibri" w:cs="Times New Roman"/>
          <w:szCs w:val="24"/>
          <w:lang w:eastAsia="en-US"/>
        </w:rPr>
        <w:t>MET</w:t>
      </w:r>
      <w:r w:rsidR="00470013" w:rsidRPr="00D53A2B">
        <w:rPr>
          <w:rFonts w:eastAsia="Calibri" w:cs="Times New Roman"/>
          <w:szCs w:val="24"/>
          <w:lang w:eastAsia="en-US"/>
        </w:rPr>
        <w:t xml:space="preserve"> </w:t>
      </w:r>
      <w:r w:rsidR="00416ECA" w:rsidRPr="00D53A2B">
        <w:rPr>
          <w:rFonts w:eastAsia="Calibri" w:cs="Times New Roman"/>
          <w:szCs w:val="24"/>
          <w:lang w:eastAsia="en-US"/>
        </w:rPr>
        <w:t>S</w:t>
      </w:r>
      <w:r w:rsidR="00470013" w:rsidRPr="00D53A2B">
        <w:rPr>
          <w:rFonts w:eastAsia="Calibri" w:cs="Times New Roman"/>
          <w:szCs w:val="24"/>
          <w:lang w:eastAsia="en-US"/>
        </w:rPr>
        <w:t>onuçları</w:t>
      </w:r>
    </w:p>
    <w:p w14:paraId="15DE061E" w14:textId="6C659A06" w:rsidR="00470013" w:rsidRPr="00D53A2B" w:rsidRDefault="00470013" w:rsidP="00A202FD">
      <w:pPr>
        <w:jc w:val="both"/>
        <w:rPr>
          <w:rFonts w:eastAsia="Calibri"/>
          <w:lang w:eastAsia="en-US"/>
        </w:rPr>
      </w:pPr>
      <w:r w:rsidRPr="00D53A2B">
        <w:rPr>
          <w:rFonts w:eastAsia="Calibri"/>
          <w:lang w:eastAsia="en-US"/>
        </w:rPr>
        <w:t xml:space="preserve">Bu bölümdeki MET sonuçları, Bölüm </w:t>
      </w:r>
      <w:r w:rsidR="00B97162" w:rsidRPr="00D53A2B">
        <w:rPr>
          <w:rFonts w:eastAsia="Calibri"/>
          <w:lang w:eastAsia="en-US"/>
        </w:rPr>
        <w:t>1</w:t>
      </w:r>
      <w:r w:rsidRPr="00D53A2B">
        <w:rPr>
          <w:rFonts w:eastAsia="Calibri"/>
          <w:lang w:eastAsia="en-US"/>
        </w:rPr>
        <w:t>.5</w:t>
      </w:r>
      <w:r w:rsidR="00E56504" w:rsidRPr="00D53A2B">
        <w:rPr>
          <w:rFonts w:eastAsia="Calibri"/>
          <w:lang w:eastAsia="en-US"/>
        </w:rPr>
        <w:t>’</w:t>
      </w:r>
      <w:r w:rsidRPr="00D53A2B">
        <w:rPr>
          <w:rFonts w:eastAsia="Calibri"/>
          <w:lang w:eastAsia="en-US"/>
        </w:rPr>
        <w:t>te verilen genel MET sonuçlarına ek olarak uygulanır.</w:t>
      </w:r>
    </w:p>
    <w:p w14:paraId="0D33B84D" w14:textId="77777777" w:rsidR="00470013" w:rsidRPr="00D53A2B" w:rsidRDefault="00470013" w:rsidP="00A202FD">
      <w:pPr>
        <w:jc w:val="both"/>
        <w:rPr>
          <w:rFonts w:eastAsia="Calibri"/>
          <w:lang w:eastAsia="en-US"/>
        </w:rPr>
      </w:pPr>
    </w:p>
    <w:p w14:paraId="3BB797C6" w14:textId="10D2B804" w:rsidR="00470013" w:rsidRPr="00D53A2B" w:rsidRDefault="00D10848" w:rsidP="00A202FD">
      <w:pPr>
        <w:pStyle w:val="Balk3"/>
        <w:rPr>
          <w:rFonts w:eastAsia="Calibri" w:cs="Times New Roman"/>
          <w:lang w:eastAsia="en-US"/>
        </w:rPr>
      </w:pPr>
      <w:r w:rsidRPr="00D53A2B">
        <w:rPr>
          <w:rFonts w:eastAsia="Calibri" w:cs="Times New Roman"/>
          <w:lang w:eastAsia="en-US"/>
        </w:rPr>
        <w:t>1</w:t>
      </w:r>
      <w:r w:rsidR="00470013" w:rsidRPr="00D53A2B">
        <w:rPr>
          <w:rFonts w:eastAsia="Calibri" w:cs="Times New Roman"/>
          <w:lang w:eastAsia="en-US"/>
        </w:rPr>
        <w:t xml:space="preserve">10.1. </w:t>
      </w:r>
      <w:r w:rsidR="001C79BF" w:rsidRPr="00D53A2B">
        <w:rPr>
          <w:rFonts w:eastAsia="Calibri" w:cs="Times New Roman"/>
          <w:lang w:eastAsia="en-US"/>
        </w:rPr>
        <w:t>K</w:t>
      </w:r>
      <w:r w:rsidR="00E07E19" w:rsidRPr="00D53A2B">
        <w:rPr>
          <w:rFonts w:eastAsia="Calibri" w:cs="Times New Roman"/>
          <w:lang w:eastAsia="en-US"/>
        </w:rPr>
        <w:t>alıntılar</w:t>
      </w:r>
    </w:p>
    <w:p w14:paraId="5E1E0CB4" w14:textId="6FF3CCD6" w:rsidR="00470013" w:rsidRPr="00D53A2B" w:rsidRDefault="00B60CF4" w:rsidP="00A202FD">
      <w:pPr>
        <w:pStyle w:val="MET"/>
        <w:rPr>
          <w:rFonts w:eastAsia="Calibri"/>
          <w:szCs w:val="24"/>
        </w:rPr>
      </w:pPr>
      <w:r w:rsidRPr="00D53A2B">
        <w:rPr>
          <w:rFonts w:eastAsia="Calibri"/>
          <w:szCs w:val="24"/>
        </w:rPr>
        <w:t xml:space="preserve">MET 58: </w:t>
      </w:r>
      <w:r w:rsidRPr="00D53A2B">
        <w:rPr>
          <w:rFonts w:eastAsia="Calibri"/>
          <w:b w:val="0"/>
          <w:bCs/>
          <w:szCs w:val="24"/>
        </w:rPr>
        <w:t>Yüksek çinko ve yüksek demir konsantrasyonlarına sahip kullanılmış asitlerin oluşumunu önlemek veya bu mümkün olmadığında bunların bertaraf için gönderilen miktarını azaltmak amacıyla asitleme işleminin sıyırma işleminden ayrı olarak yapıl</w:t>
      </w:r>
      <w:r w:rsidR="00416ECA" w:rsidRPr="00D53A2B">
        <w:rPr>
          <w:rFonts w:eastAsia="Calibri"/>
          <w:b w:val="0"/>
          <w:bCs/>
          <w:szCs w:val="24"/>
        </w:rPr>
        <w:t>abilmesidi</w:t>
      </w:r>
      <w:r w:rsidRPr="00D53A2B">
        <w:rPr>
          <w:rFonts w:eastAsia="Calibri"/>
          <w:b w:val="0"/>
          <w:bCs/>
          <w:szCs w:val="24"/>
        </w:rPr>
        <w:t>r.</w:t>
      </w:r>
    </w:p>
    <w:p w14:paraId="6F0A05C9" w14:textId="77777777" w:rsidR="00470013" w:rsidRPr="00D53A2B" w:rsidRDefault="00470013" w:rsidP="00A202FD">
      <w:pPr>
        <w:jc w:val="both"/>
        <w:rPr>
          <w:rFonts w:eastAsia="Calibri"/>
          <w:lang w:eastAsia="en-US"/>
        </w:rPr>
      </w:pPr>
    </w:p>
    <w:p w14:paraId="2F2AD4FE" w14:textId="1AC999E4" w:rsidR="00470013" w:rsidRPr="00D53A2B" w:rsidRDefault="00B60CF4" w:rsidP="00A202FD">
      <w:pPr>
        <w:jc w:val="both"/>
        <w:rPr>
          <w:rFonts w:eastAsia="Calibri"/>
          <w:b/>
          <w:bCs/>
          <w:lang w:eastAsia="en-US"/>
        </w:rPr>
      </w:pPr>
      <w:r w:rsidRPr="00D53A2B">
        <w:rPr>
          <w:rFonts w:eastAsia="Calibri"/>
          <w:b/>
          <w:bCs/>
          <w:lang w:eastAsia="en-US"/>
        </w:rPr>
        <w:t>Tanımlama</w:t>
      </w:r>
    </w:p>
    <w:p w14:paraId="5A321117" w14:textId="13C73FA9" w:rsidR="00470013" w:rsidRPr="00D53A2B" w:rsidRDefault="00B60CF4" w:rsidP="00A202FD">
      <w:pPr>
        <w:jc w:val="both"/>
        <w:rPr>
          <w:rFonts w:eastAsia="Calibri"/>
          <w:lang w:eastAsia="en-US"/>
        </w:rPr>
      </w:pPr>
      <w:r w:rsidRPr="00D53A2B">
        <w:rPr>
          <w:rFonts w:eastAsia="Calibri"/>
          <w:lang w:eastAsia="en-US"/>
        </w:rPr>
        <w:t>Yüksek çinko ve yüksek demir konsantrasyonlu kullanılmış asitlerin oluşmasını önlemek veya bertarafa gönderilen miktarını azaltmak amacıyla, dek</w:t>
      </w:r>
      <w:r w:rsidR="007B4504" w:rsidRPr="00D53A2B">
        <w:rPr>
          <w:rFonts w:eastAsia="Calibri"/>
          <w:lang w:eastAsia="en-US"/>
        </w:rPr>
        <w:t>a</w:t>
      </w:r>
      <w:r w:rsidRPr="00D53A2B">
        <w:rPr>
          <w:rFonts w:eastAsia="Calibri"/>
          <w:lang w:eastAsia="en-US"/>
        </w:rPr>
        <w:t>paj ve sıyırma işlemleri ayrı tanklarda yapılır.</w:t>
      </w:r>
    </w:p>
    <w:p w14:paraId="7F72FAA6" w14:textId="77777777" w:rsidR="0071694E" w:rsidRPr="00D53A2B" w:rsidRDefault="0071694E" w:rsidP="00A202FD">
      <w:pPr>
        <w:jc w:val="both"/>
        <w:rPr>
          <w:rFonts w:eastAsia="Calibri"/>
          <w:lang w:eastAsia="en-US"/>
        </w:rPr>
      </w:pPr>
    </w:p>
    <w:p w14:paraId="0DEA4825" w14:textId="0C80BF9E" w:rsidR="0071694E" w:rsidRPr="00D53A2B" w:rsidRDefault="00B60CF4" w:rsidP="00A202FD">
      <w:pPr>
        <w:jc w:val="both"/>
        <w:rPr>
          <w:rFonts w:eastAsia="Calibri"/>
          <w:b/>
          <w:bCs/>
          <w:lang w:eastAsia="en-US"/>
        </w:rPr>
      </w:pPr>
      <w:r w:rsidRPr="00D53A2B">
        <w:rPr>
          <w:rFonts w:eastAsia="Calibri"/>
          <w:b/>
          <w:bCs/>
          <w:lang w:eastAsia="en-US"/>
        </w:rPr>
        <w:t>Uygulanabilirlik</w:t>
      </w:r>
    </w:p>
    <w:p w14:paraId="3C344041" w14:textId="2B4DF6DD" w:rsidR="00B60CF4" w:rsidRPr="00D53A2B" w:rsidRDefault="00B60CF4" w:rsidP="00A202FD">
      <w:pPr>
        <w:jc w:val="both"/>
        <w:rPr>
          <w:rFonts w:eastAsia="Calibri"/>
          <w:lang w:eastAsia="en-US"/>
        </w:rPr>
      </w:pPr>
      <w:r w:rsidRPr="00D53A2B">
        <w:rPr>
          <w:rFonts w:eastAsia="Calibri"/>
          <w:lang w:eastAsia="en-US"/>
        </w:rPr>
        <w:t>Mevcut tesislerde uygulanabilirlik, sıyırma için ilave tanklara ihtiyaç duyulması halinde yer yetersizliği nedeniyle kısıtlanabilir.</w:t>
      </w:r>
    </w:p>
    <w:p w14:paraId="1FF84E90" w14:textId="69043FDE" w:rsidR="0071694E" w:rsidRPr="00D53A2B" w:rsidRDefault="0071694E" w:rsidP="00A202FD">
      <w:pPr>
        <w:jc w:val="both"/>
        <w:rPr>
          <w:rFonts w:eastAsia="Calibri"/>
          <w:lang w:eastAsia="en-US"/>
        </w:rPr>
      </w:pPr>
    </w:p>
    <w:p w14:paraId="7000F278" w14:textId="1B0B2164" w:rsidR="00B60CF4" w:rsidRPr="00D53A2B" w:rsidRDefault="00B60CF4" w:rsidP="00A202FD">
      <w:pPr>
        <w:pStyle w:val="MET"/>
        <w:rPr>
          <w:rFonts w:eastAsia="Calibri"/>
          <w:szCs w:val="24"/>
        </w:rPr>
      </w:pPr>
      <w:r w:rsidRPr="00D53A2B">
        <w:rPr>
          <w:rFonts w:eastAsia="Calibri"/>
          <w:szCs w:val="24"/>
        </w:rPr>
        <w:t xml:space="preserve">MET 59: </w:t>
      </w:r>
      <w:r w:rsidRPr="00D53A2B">
        <w:rPr>
          <w:rFonts w:eastAsia="Calibri"/>
          <w:b w:val="0"/>
          <w:bCs/>
          <w:szCs w:val="24"/>
        </w:rPr>
        <w:t>Yüksek çinko konsantrasyonlarına sahip kullanılmış sıyırma çözeltilerinin bertaraf için gönderilen miktarını azaltmak amacıyla, kullanılmış sıyırma çözeltilerinin ve/veya bunların içinde bulunan ZnCl</w:t>
      </w:r>
      <w:r w:rsidRPr="00D53A2B">
        <w:rPr>
          <w:rFonts w:eastAsia="Calibri"/>
          <w:b w:val="0"/>
          <w:bCs/>
          <w:szCs w:val="24"/>
          <w:vertAlign w:val="subscript"/>
        </w:rPr>
        <w:t>2</w:t>
      </w:r>
      <w:r w:rsidRPr="00D53A2B">
        <w:rPr>
          <w:rFonts w:eastAsia="Calibri"/>
          <w:b w:val="0"/>
          <w:bCs/>
          <w:szCs w:val="24"/>
        </w:rPr>
        <w:t xml:space="preserve"> ve NH</w:t>
      </w:r>
      <w:r w:rsidRPr="00D53A2B">
        <w:rPr>
          <w:rFonts w:eastAsia="Calibri"/>
          <w:b w:val="0"/>
          <w:bCs/>
          <w:szCs w:val="24"/>
          <w:vertAlign w:val="subscript"/>
        </w:rPr>
        <w:t>4</w:t>
      </w:r>
      <w:r w:rsidRPr="00D53A2B">
        <w:rPr>
          <w:rFonts w:eastAsia="Calibri"/>
          <w:b w:val="0"/>
          <w:bCs/>
          <w:szCs w:val="24"/>
        </w:rPr>
        <w:t>Cl</w:t>
      </w:r>
      <w:r w:rsidR="00E56504" w:rsidRPr="00D53A2B">
        <w:rPr>
          <w:rFonts w:eastAsia="Calibri"/>
          <w:b w:val="0"/>
          <w:bCs/>
          <w:szCs w:val="24"/>
        </w:rPr>
        <w:t>’</w:t>
      </w:r>
      <w:r w:rsidRPr="00D53A2B">
        <w:rPr>
          <w:rFonts w:eastAsia="Calibri"/>
          <w:b w:val="0"/>
          <w:bCs/>
          <w:szCs w:val="24"/>
        </w:rPr>
        <w:t>nin geri kazanılmasıdır.</w:t>
      </w:r>
    </w:p>
    <w:p w14:paraId="5A423A1C" w14:textId="77777777" w:rsidR="00B60CF4" w:rsidRPr="00D53A2B" w:rsidRDefault="00B60CF4" w:rsidP="00A202FD">
      <w:pPr>
        <w:jc w:val="both"/>
        <w:rPr>
          <w:rFonts w:eastAsia="Calibri"/>
          <w:lang w:eastAsia="en-US"/>
        </w:rPr>
      </w:pPr>
    </w:p>
    <w:p w14:paraId="0A4E546F" w14:textId="77777777" w:rsidR="00B60CF4" w:rsidRPr="00D53A2B" w:rsidRDefault="00B60CF4" w:rsidP="00A202FD">
      <w:pPr>
        <w:jc w:val="both"/>
        <w:rPr>
          <w:rFonts w:eastAsia="Calibri"/>
          <w:b/>
          <w:bCs/>
          <w:lang w:eastAsia="en-US"/>
        </w:rPr>
      </w:pPr>
      <w:r w:rsidRPr="00D53A2B">
        <w:rPr>
          <w:rFonts w:eastAsia="Calibri"/>
          <w:b/>
          <w:bCs/>
          <w:lang w:eastAsia="en-US"/>
        </w:rPr>
        <w:t>Tanımlama</w:t>
      </w:r>
    </w:p>
    <w:p w14:paraId="0553172A" w14:textId="6811F257" w:rsidR="00B60CF4" w:rsidRPr="00D53A2B" w:rsidRDefault="00B60CF4" w:rsidP="00A202FD">
      <w:pPr>
        <w:jc w:val="both"/>
        <w:rPr>
          <w:rFonts w:eastAsia="Calibri"/>
          <w:lang w:eastAsia="en-US"/>
        </w:rPr>
      </w:pPr>
      <w:r w:rsidRPr="00D53A2B">
        <w:rPr>
          <w:rFonts w:eastAsia="Calibri"/>
          <w:lang w:eastAsia="en-US"/>
        </w:rPr>
        <w:t>Yüksek çinko konsantrasyonlarına sahip kullanılmış sıyırma çözeltilerinin sahada veya saha dışında geri kazanılmasına yönelik teknikler şunlardır:</w:t>
      </w:r>
    </w:p>
    <w:p w14:paraId="72B62A8F" w14:textId="523B62F4" w:rsidR="00B60CF4" w:rsidRPr="00D53A2B" w:rsidRDefault="00B60CF4" w:rsidP="00A202FD">
      <w:pPr>
        <w:pStyle w:val="ListeParagraf"/>
        <w:widowControl/>
        <w:numPr>
          <w:ilvl w:val="0"/>
          <w:numId w:val="80"/>
        </w:numPr>
        <w:tabs>
          <w:tab w:val="clear" w:pos="567"/>
        </w:tabs>
        <w:ind w:left="426" w:hanging="426"/>
        <w:rPr>
          <w:rFonts w:eastAsia="Calibri"/>
          <w:sz w:val="24"/>
          <w:szCs w:val="24"/>
        </w:rPr>
      </w:pPr>
      <w:r w:rsidRPr="00D53A2B">
        <w:rPr>
          <w:rFonts w:eastAsia="Calibri"/>
          <w:sz w:val="24"/>
          <w:szCs w:val="24"/>
        </w:rPr>
        <w:lastRenderedPageBreak/>
        <w:t xml:space="preserve">İyon değişimi ile çinko giderimi. İşlenmiş asit dekapajda kullanılabilirken, iyon değişim reçinesinin sıyrılmasından elde edilen </w:t>
      </w:r>
      <w:r w:rsidR="007B4504" w:rsidRPr="00D53A2B">
        <w:rPr>
          <w:rFonts w:eastAsia="Calibri"/>
          <w:sz w:val="24"/>
          <w:szCs w:val="24"/>
          <w:lang w:val="tr-TR"/>
        </w:rPr>
        <w:t>ZnCl</w:t>
      </w:r>
      <w:r w:rsidR="007B4504" w:rsidRPr="00D53A2B">
        <w:rPr>
          <w:rFonts w:eastAsia="Calibri"/>
          <w:sz w:val="24"/>
          <w:szCs w:val="24"/>
          <w:vertAlign w:val="subscript"/>
          <w:lang w:val="tr-TR"/>
        </w:rPr>
        <w:t>2</w:t>
      </w:r>
      <w:r w:rsidRPr="00D53A2B">
        <w:rPr>
          <w:rFonts w:eastAsia="Calibri"/>
          <w:sz w:val="24"/>
          <w:szCs w:val="24"/>
        </w:rPr>
        <w:t xml:space="preserve"> ve NH</w:t>
      </w:r>
      <w:r w:rsidRPr="00D53A2B">
        <w:rPr>
          <w:rFonts w:eastAsia="Calibri"/>
          <w:sz w:val="24"/>
          <w:szCs w:val="24"/>
          <w:vertAlign w:val="subscript"/>
        </w:rPr>
        <w:t>4</w:t>
      </w:r>
      <w:r w:rsidRPr="00D53A2B">
        <w:rPr>
          <w:rFonts w:eastAsia="Calibri"/>
          <w:sz w:val="24"/>
          <w:szCs w:val="24"/>
        </w:rPr>
        <w:t>Cl içeren çözelti eritkenleme için kullanılabilir.</w:t>
      </w:r>
    </w:p>
    <w:p w14:paraId="5CB16A6C" w14:textId="35008A76" w:rsidR="00B60CF4" w:rsidRPr="00D53A2B" w:rsidRDefault="00B60CF4" w:rsidP="00A202FD">
      <w:pPr>
        <w:pStyle w:val="ListeParagraf"/>
        <w:widowControl/>
        <w:numPr>
          <w:ilvl w:val="0"/>
          <w:numId w:val="80"/>
        </w:numPr>
        <w:tabs>
          <w:tab w:val="clear" w:pos="567"/>
        </w:tabs>
        <w:ind w:left="426" w:hanging="426"/>
        <w:rPr>
          <w:rFonts w:eastAsia="Calibri"/>
          <w:sz w:val="24"/>
          <w:szCs w:val="24"/>
        </w:rPr>
      </w:pPr>
      <w:r w:rsidRPr="00D53A2B">
        <w:rPr>
          <w:rFonts w:eastAsia="Calibri"/>
          <w:sz w:val="24"/>
          <w:szCs w:val="24"/>
        </w:rPr>
        <w:t>Çözücü ekstraksiyonu ile çinkonun giderilmesi. İşlenmiş asit, asitlemede kullanılabilirken, soyma ve buharlaştırmadan elde edilen çinko içeren konsantre başka amaçlar için kullanılabilir.</w:t>
      </w:r>
    </w:p>
    <w:p w14:paraId="4142AD2A" w14:textId="77777777" w:rsidR="0071694E" w:rsidRPr="00D53A2B" w:rsidRDefault="0071694E" w:rsidP="00A202FD">
      <w:pPr>
        <w:jc w:val="both"/>
        <w:rPr>
          <w:rFonts w:eastAsia="Calibri"/>
          <w:lang w:eastAsia="en-US"/>
        </w:rPr>
      </w:pPr>
    </w:p>
    <w:p w14:paraId="3DBE648D" w14:textId="7EEA3137" w:rsidR="0071694E" w:rsidRPr="00D53A2B" w:rsidRDefault="00D10848" w:rsidP="00A202FD">
      <w:pPr>
        <w:pStyle w:val="Balk3"/>
        <w:rPr>
          <w:rFonts w:eastAsia="Calibri" w:cs="Times New Roman"/>
          <w:lang w:eastAsia="en-US"/>
        </w:rPr>
      </w:pPr>
      <w:r w:rsidRPr="00D53A2B">
        <w:rPr>
          <w:rFonts w:eastAsia="Calibri" w:cs="Times New Roman"/>
          <w:lang w:eastAsia="en-US"/>
        </w:rPr>
        <w:t>1</w:t>
      </w:r>
      <w:r w:rsidR="00B60CF4" w:rsidRPr="00D53A2B">
        <w:rPr>
          <w:rFonts w:eastAsia="Calibri" w:cs="Times New Roman"/>
          <w:lang w:eastAsia="en-US"/>
        </w:rPr>
        <w:t>.10.2. Malzeme verimliliği</w:t>
      </w:r>
    </w:p>
    <w:p w14:paraId="332F1277" w14:textId="5DD0C5F8" w:rsidR="00B60CF4" w:rsidRPr="00D53A2B" w:rsidRDefault="00B60CF4" w:rsidP="00A202FD">
      <w:pPr>
        <w:pStyle w:val="MET"/>
        <w:rPr>
          <w:rFonts w:eastAsia="Calibri"/>
          <w:b w:val="0"/>
          <w:bCs/>
          <w:szCs w:val="24"/>
        </w:rPr>
      </w:pPr>
      <w:r w:rsidRPr="00D53A2B">
        <w:rPr>
          <w:rFonts w:eastAsia="Calibri"/>
          <w:szCs w:val="24"/>
        </w:rPr>
        <w:t xml:space="preserve">MET 60: </w:t>
      </w:r>
      <w:r w:rsidRPr="00D53A2B">
        <w:rPr>
          <w:rFonts w:eastAsia="Calibri"/>
          <w:b w:val="0"/>
          <w:bCs/>
          <w:szCs w:val="24"/>
        </w:rPr>
        <w:t>Sıcak daldırmada malzeme verimliliğini artırmak için aşağıda verilen her iki tekni</w:t>
      </w:r>
      <w:r w:rsidR="007B4504" w:rsidRPr="00D53A2B">
        <w:rPr>
          <w:rFonts w:eastAsia="Calibri"/>
          <w:b w:val="0"/>
          <w:bCs/>
          <w:szCs w:val="24"/>
        </w:rPr>
        <w:t>k de kullanılabilir</w:t>
      </w:r>
      <w:r w:rsidRPr="00D53A2B">
        <w:rPr>
          <w:rFonts w:eastAsia="Calibri"/>
          <w:b w:val="0"/>
          <w:bCs/>
          <w:szCs w:val="24"/>
        </w:rPr>
        <w:t>.</w:t>
      </w:r>
    </w:p>
    <w:p w14:paraId="2D47935C" w14:textId="77777777" w:rsidR="00282CE4" w:rsidRPr="00D53A2B" w:rsidRDefault="00282CE4" w:rsidP="00A202FD">
      <w:pPr>
        <w:pStyle w:val="MET"/>
        <w:rPr>
          <w:rFonts w:eastAsia="Calibri"/>
          <w:szCs w:val="24"/>
        </w:rPr>
      </w:pPr>
    </w:p>
    <w:tbl>
      <w:tblPr>
        <w:tblStyle w:val="TabloKlavuzu"/>
        <w:tblW w:w="9214" w:type="dxa"/>
        <w:tblInd w:w="137" w:type="dxa"/>
        <w:tblLayout w:type="fixed"/>
        <w:tblLook w:val="04A0" w:firstRow="1" w:lastRow="0" w:firstColumn="1" w:lastColumn="0" w:noHBand="0" w:noVBand="1"/>
      </w:tblPr>
      <w:tblGrid>
        <w:gridCol w:w="425"/>
        <w:gridCol w:w="2694"/>
        <w:gridCol w:w="6095"/>
      </w:tblGrid>
      <w:tr w:rsidR="00B60CF4" w:rsidRPr="0050094F" w14:paraId="3E54B50A" w14:textId="77777777" w:rsidTr="00A202FD">
        <w:tc>
          <w:tcPr>
            <w:tcW w:w="3119" w:type="dxa"/>
            <w:gridSpan w:val="2"/>
          </w:tcPr>
          <w:p w14:paraId="1E33721E" w14:textId="77777777" w:rsidR="00B60CF4" w:rsidRPr="009077F5" w:rsidRDefault="00B60CF4" w:rsidP="004B0D48">
            <w:pPr>
              <w:pStyle w:val="KonuBal"/>
              <w:rPr>
                <w:sz w:val="22"/>
                <w:szCs w:val="22"/>
              </w:rPr>
            </w:pPr>
            <w:r w:rsidRPr="009077F5">
              <w:rPr>
                <w:sz w:val="22"/>
                <w:szCs w:val="22"/>
              </w:rPr>
              <w:t>Teknik</w:t>
            </w:r>
          </w:p>
        </w:tc>
        <w:tc>
          <w:tcPr>
            <w:tcW w:w="6095" w:type="dxa"/>
          </w:tcPr>
          <w:p w14:paraId="36ADA30B" w14:textId="77777777" w:rsidR="00B60CF4" w:rsidRPr="009077F5" w:rsidRDefault="00B60CF4" w:rsidP="004B0D48">
            <w:pPr>
              <w:pStyle w:val="KonuBal"/>
              <w:rPr>
                <w:sz w:val="22"/>
                <w:szCs w:val="22"/>
              </w:rPr>
            </w:pPr>
            <w:r w:rsidRPr="009077F5">
              <w:rPr>
                <w:sz w:val="22"/>
                <w:szCs w:val="22"/>
              </w:rPr>
              <w:t>Açıklama</w:t>
            </w:r>
          </w:p>
        </w:tc>
      </w:tr>
      <w:tr w:rsidR="00B60CF4" w:rsidRPr="0050094F" w14:paraId="4FB97C8D" w14:textId="77777777" w:rsidTr="00A202FD">
        <w:tc>
          <w:tcPr>
            <w:tcW w:w="425" w:type="dxa"/>
            <w:vAlign w:val="center"/>
          </w:tcPr>
          <w:p w14:paraId="52B20484" w14:textId="77777777" w:rsidR="00B60CF4" w:rsidRPr="009077F5" w:rsidRDefault="00B60CF4" w:rsidP="004B0D48">
            <w:pPr>
              <w:pStyle w:val="KonuBal"/>
              <w:rPr>
                <w:sz w:val="22"/>
                <w:szCs w:val="22"/>
              </w:rPr>
            </w:pPr>
            <w:r w:rsidRPr="009077F5">
              <w:rPr>
                <w:sz w:val="22"/>
                <w:szCs w:val="22"/>
              </w:rPr>
              <w:t>a.</w:t>
            </w:r>
          </w:p>
        </w:tc>
        <w:tc>
          <w:tcPr>
            <w:tcW w:w="2694" w:type="dxa"/>
            <w:vAlign w:val="center"/>
          </w:tcPr>
          <w:p w14:paraId="12642B86" w14:textId="1057F8B4" w:rsidR="00B60CF4" w:rsidRPr="009077F5" w:rsidRDefault="00B60CF4" w:rsidP="004B0D48">
            <w:pPr>
              <w:pStyle w:val="KonuBal"/>
              <w:rPr>
                <w:sz w:val="22"/>
                <w:szCs w:val="22"/>
              </w:rPr>
            </w:pPr>
            <w:r w:rsidRPr="009077F5">
              <w:rPr>
                <w:sz w:val="22"/>
                <w:szCs w:val="22"/>
              </w:rPr>
              <w:t>Optimize edilmiş daldırma süresi</w:t>
            </w:r>
          </w:p>
        </w:tc>
        <w:tc>
          <w:tcPr>
            <w:tcW w:w="6095" w:type="dxa"/>
            <w:vAlign w:val="center"/>
          </w:tcPr>
          <w:p w14:paraId="27E678EA" w14:textId="0498CCD3" w:rsidR="00B60CF4" w:rsidRPr="00E73DA3" w:rsidRDefault="00B60CF4" w:rsidP="00A202FD">
            <w:pPr>
              <w:jc w:val="both"/>
              <w:rPr>
                <w:rFonts w:eastAsia="Calibri"/>
                <w:sz w:val="22"/>
                <w:szCs w:val="22"/>
                <w:lang w:eastAsia="en-US"/>
              </w:rPr>
            </w:pPr>
            <w:r w:rsidRPr="0050094F">
              <w:rPr>
                <w:rFonts w:eastAsia="Calibri"/>
                <w:sz w:val="22"/>
                <w:szCs w:val="22"/>
                <w:lang w:eastAsia="en-US"/>
              </w:rPr>
              <w:t>Daldırma süresi, kaplama kalınlığı spesifikasyonlarına ulaşmak için gereken süreyle sınırlıdır.</w:t>
            </w:r>
          </w:p>
        </w:tc>
      </w:tr>
      <w:tr w:rsidR="00B60CF4" w:rsidRPr="0050094F" w14:paraId="4D46C5DD" w14:textId="77777777" w:rsidTr="00A202FD">
        <w:tc>
          <w:tcPr>
            <w:tcW w:w="425" w:type="dxa"/>
            <w:vAlign w:val="center"/>
          </w:tcPr>
          <w:p w14:paraId="19EC1B5F" w14:textId="77777777" w:rsidR="00B60CF4" w:rsidRPr="009077F5" w:rsidRDefault="00B60CF4" w:rsidP="004B0D48">
            <w:pPr>
              <w:pStyle w:val="KonuBal"/>
              <w:rPr>
                <w:sz w:val="22"/>
                <w:szCs w:val="22"/>
              </w:rPr>
            </w:pPr>
            <w:r w:rsidRPr="009077F5">
              <w:rPr>
                <w:sz w:val="22"/>
                <w:szCs w:val="22"/>
              </w:rPr>
              <w:t>b.</w:t>
            </w:r>
          </w:p>
        </w:tc>
        <w:tc>
          <w:tcPr>
            <w:tcW w:w="2694" w:type="dxa"/>
            <w:vAlign w:val="center"/>
          </w:tcPr>
          <w:p w14:paraId="11E2BF71" w14:textId="1B21D463" w:rsidR="00B60CF4" w:rsidRPr="00E73DA3" w:rsidRDefault="00B60CF4" w:rsidP="00A202FD">
            <w:pPr>
              <w:jc w:val="both"/>
              <w:rPr>
                <w:sz w:val="22"/>
                <w:szCs w:val="22"/>
              </w:rPr>
            </w:pPr>
            <w:r w:rsidRPr="0050094F">
              <w:rPr>
                <w:sz w:val="22"/>
                <w:szCs w:val="22"/>
              </w:rPr>
              <w:t>İş parçalarının banyodan yavaş çekilmesi</w:t>
            </w:r>
          </w:p>
        </w:tc>
        <w:tc>
          <w:tcPr>
            <w:tcW w:w="6095" w:type="dxa"/>
            <w:vAlign w:val="center"/>
          </w:tcPr>
          <w:p w14:paraId="42D700CE" w14:textId="07518B7E" w:rsidR="00B60CF4" w:rsidRPr="00BF4451" w:rsidRDefault="00B60CF4" w:rsidP="00A202FD">
            <w:pPr>
              <w:jc w:val="both"/>
              <w:rPr>
                <w:rFonts w:eastAsia="Calibri"/>
                <w:sz w:val="22"/>
                <w:szCs w:val="22"/>
                <w:lang w:eastAsia="en-US"/>
              </w:rPr>
            </w:pPr>
            <w:r w:rsidRPr="00BF4451">
              <w:rPr>
                <w:rFonts w:eastAsia="Calibri"/>
                <w:sz w:val="22"/>
                <w:szCs w:val="22"/>
              </w:rPr>
              <w:t>Galvanizli iş parçalarının galvanizleme kazanından yavaşça çekilmesiyle, drenaj iyileştirilir ve çinko sıçramaları azaltılır.</w:t>
            </w:r>
          </w:p>
        </w:tc>
      </w:tr>
    </w:tbl>
    <w:p w14:paraId="3E1D3AC0" w14:textId="77777777" w:rsidR="0071694E" w:rsidRPr="00D53A2B" w:rsidRDefault="0071694E" w:rsidP="00A202FD">
      <w:pPr>
        <w:jc w:val="both"/>
        <w:rPr>
          <w:rFonts w:eastAsia="Calibri"/>
          <w:lang w:eastAsia="en-US"/>
        </w:rPr>
      </w:pPr>
    </w:p>
    <w:p w14:paraId="1FAA18A7" w14:textId="58CA7EEA" w:rsidR="00B60CF4" w:rsidRPr="00D53A2B" w:rsidRDefault="00B60CF4" w:rsidP="00A202FD">
      <w:pPr>
        <w:pStyle w:val="MET"/>
        <w:rPr>
          <w:rFonts w:eastAsia="Calibri"/>
          <w:szCs w:val="24"/>
        </w:rPr>
      </w:pPr>
      <w:r w:rsidRPr="00D53A2B">
        <w:rPr>
          <w:rFonts w:eastAsia="Calibri"/>
          <w:szCs w:val="24"/>
        </w:rPr>
        <w:t xml:space="preserve">MET 61: </w:t>
      </w:r>
      <w:r w:rsidRPr="00D53A2B">
        <w:rPr>
          <w:rFonts w:eastAsia="Calibri"/>
          <w:b w:val="0"/>
          <w:bCs/>
          <w:szCs w:val="24"/>
        </w:rPr>
        <w:t>Malzeme verimliliğini artırmak ve galvanizli borulardan fazla çinkonun üflenmesiyle bertarafa gönderilen atık miktarını azaltmak için çinko içeren parçacıkları geri kazan</w:t>
      </w:r>
      <w:r w:rsidR="007B4504" w:rsidRPr="00D53A2B">
        <w:rPr>
          <w:rFonts w:eastAsia="Calibri"/>
          <w:b w:val="0"/>
          <w:bCs/>
          <w:szCs w:val="24"/>
        </w:rPr>
        <w:t>ılır</w:t>
      </w:r>
      <w:r w:rsidRPr="00D53A2B">
        <w:rPr>
          <w:rFonts w:eastAsia="Calibri"/>
          <w:b w:val="0"/>
          <w:bCs/>
          <w:szCs w:val="24"/>
        </w:rPr>
        <w:t xml:space="preserve"> ve bunlar galvanizleme kazanında yeniden kullan</w:t>
      </w:r>
      <w:r w:rsidR="007B4504" w:rsidRPr="00D53A2B">
        <w:rPr>
          <w:rFonts w:eastAsia="Calibri"/>
          <w:b w:val="0"/>
          <w:bCs/>
          <w:szCs w:val="24"/>
        </w:rPr>
        <w:t>ılır</w:t>
      </w:r>
      <w:r w:rsidRPr="00D53A2B">
        <w:rPr>
          <w:rFonts w:eastAsia="Calibri"/>
          <w:b w:val="0"/>
          <w:bCs/>
          <w:szCs w:val="24"/>
        </w:rPr>
        <w:t xml:space="preserve"> veya çinko geri kazanımına gönder</w:t>
      </w:r>
      <w:r w:rsidR="007B4504" w:rsidRPr="00D53A2B">
        <w:rPr>
          <w:rFonts w:eastAsia="Calibri"/>
          <w:b w:val="0"/>
          <w:bCs/>
          <w:szCs w:val="24"/>
        </w:rPr>
        <w:t>ilir</w:t>
      </w:r>
      <w:r w:rsidRPr="00D53A2B">
        <w:rPr>
          <w:rFonts w:eastAsia="Calibri"/>
          <w:b w:val="0"/>
          <w:bCs/>
          <w:szCs w:val="24"/>
        </w:rPr>
        <w:t>.</w:t>
      </w:r>
    </w:p>
    <w:p w14:paraId="6ED4EB7E" w14:textId="77777777" w:rsidR="00B60CF4" w:rsidRPr="00D53A2B" w:rsidRDefault="00B60CF4" w:rsidP="00A202FD">
      <w:pPr>
        <w:jc w:val="both"/>
        <w:rPr>
          <w:rFonts w:eastAsia="Calibri"/>
          <w:lang w:eastAsia="en-US"/>
        </w:rPr>
      </w:pPr>
    </w:p>
    <w:p w14:paraId="1DF4FCC8" w14:textId="796EFAEC" w:rsidR="00B60CF4" w:rsidRPr="00D53A2B" w:rsidRDefault="00D10848" w:rsidP="00A202FD">
      <w:pPr>
        <w:pStyle w:val="Balk3"/>
        <w:rPr>
          <w:rFonts w:eastAsia="Calibri" w:cs="Times New Roman"/>
        </w:rPr>
      </w:pPr>
      <w:r w:rsidRPr="00D53A2B">
        <w:rPr>
          <w:rFonts w:eastAsia="Calibri" w:cs="Times New Roman"/>
        </w:rPr>
        <w:t>1</w:t>
      </w:r>
      <w:r w:rsidR="001D482A" w:rsidRPr="00D53A2B">
        <w:rPr>
          <w:rFonts w:eastAsia="Calibri" w:cs="Times New Roman"/>
        </w:rPr>
        <w:t>.10.3. Hava emisyonları</w:t>
      </w:r>
    </w:p>
    <w:p w14:paraId="4309CFB2" w14:textId="30F39062" w:rsidR="001D482A" w:rsidRPr="00D53A2B" w:rsidRDefault="001D482A" w:rsidP="00A202FD">
      <w:pPr>
        <w:pStyle w:val="MET"/>
        <w:rPr>
          <w:rFonts w:eastAsia="Calibri"/>
          <w:b w:val="0"/>
          <w:bCs/>
          <w:szCs w:val="24"/>
        </w:rPr>
      </w:pPr>
      <w:r w:rsidRPr="00D53A2B">
        <w:rPr>
          <w:rFonts w:eastAsia="Calibri"/>
          <w:szCs w:val="24"/>
        </w:rPr>
        <w:t xml:space="preserve">MET 62: </w:t>
      </w:r>
      <w:r w:rsidRPr="00D53A2B">
        <w:rPr>
          <w:rFonts w:eastAsia="Calibri"/>
          <w:b w:val="0"/>
          <w:bCs/>
          <w:szCs w:val="24"/>
        </w:rPr>
        <w:t>Toplu galvanizlemede asitleme ve sıyırma işlemlerinden havaya HCl emisyonlarını azaltmak için işletme parametreleri (yani banyodaki sıcaklık ve asit konsantrasyonunu) kontrol e</w:t>
      </w:r>
      <w:r w:rsidR="007B4504" w:rsidRPr="00D53A2B">
        <w:rPr>
          <w:rFonts w:eastAsia="Calibri"/>
          <w:b w:val="0"/>
          <w:bCs/>
          <w:szCs w:val="24"/>
        </w:rPr>
        <w:t>dilir</w:t>
      </w:r>
      <w:r w:rsidRPr="00D53A2B">
        <w:rPr>
          <w:rFonts w:eastAsia="Calibri"/>
          <w:b w:val="0"/>
          <w:bCs/>
          <w:szCs w:val="24"/>
        </w:rPr>
        <w:t xml:space="preserve"> ve aşağıda verilen teknikler öncelik sırasına göre kullan</w:t>
      </w:r>
      <w:r w:rsidR="007B4504" w:rsidRPr="00D53A2B">
        <w:rPr>
          <w:rFonts w:eastAsia="Calibri"/>
          <w:b w:val="0"/>
          <w:bCs/>
          <w:szCs w:val="24"/>
        </w:rPr>
        <w:t>ılır</w:t>
      </w:r>
      <w:r w:rsidRPr="00D53A2B">
        <w:rPr>
          <w:rFonts w:eastAsia="Calibri"/>
          <w:b w:val="0"/>
          <w:bCs/>
          <w:szCs w:val="24"/>
        </w:rPr>
        <w:t>:</w:t>
      </w:r>
    </w:p>
    <w:p w14:paraId="39FB59EF" w14:textId="3530B393" w:rsidR="00B60CF4" w:rsidRPr="00D53A2B" w:rsidRDefault="001D482A" w:rsidP="00A202FD">
      <w:pPr>
        <w:pStyle w:val="ListeParagraf"/>
        <w:widowControl/>
        <w:numPr>
          <w:ilvl w:val="0"/>
          <w:numId w:val="80"/>
        </w:numPr>
        <w:spacing w:line="276" w:lineRule="auto"/>
        <w:rPr>
          <w:rFonts w:eastAsia="Calibri"/>
          <w:bCs/>
          <w:sz w:val="24"/>
          <w:szCs w:val="24"/>
        </w:rPr>
      </w:pPr>
      <w:r w:rsidRPr="00D53A2B">
        <w:rPr>
          <w:rFonts w:eastAsia="Calibri"/>
          <w:bCs/>
          <w:sz w:val="24"/>
          <w:szCs w:val="24"/>
        </w:rPr>
        <w:t>(a) tekniği (c) tekniğiyle birlikte;</w:t>
      </w:r>
    </w:p>
    <w:p w14:paraId="058B7151" w14:textId="341DEB22" w:rsidR="001D482A" w:rsidRPr="00D53A2B" w:rsidRDefault="001D482A" w:rsidP="00A202FD">
      <w:pPr>
        <w:pStyle w:val="ListeParagraf"/>
        <w:widowControl/>
        <w:numPr>
          <w:ilvl w:val="0"/>
          <w:numId w:val="80"/>
        </w:numPr>
        <w:spacing w:line="276" w:lineRule="auto"/>
        <w:rPr>
          <w:rFonts w:eastAsia="Calibri"/>
          <w:bCs/>
          <w:sz w:val="24"/>
          <w:szCs w:val="24"/>
        </w:rPr>
      </w:pPr>
      <w:r w:rsidRPr="00D53A2B">
        <w:rPr>
          <w:rFonts w:eastAsia="Calibri"/>
          <w:bCs/>
          <w:sz w:val="24"/>
          <w:szCs w:val="24"/>
        </w:rPr>
        <w:t>(b) tekniği (c) tekniğiyle birlikte;</w:t>
      </w:r>
    </w:p>
    <w:p w14:paraId="5186D990" w14:textId="2661F10B" w:rsidR="001D482A" w:rsidRPr="00D53A2B" w:rsidRDefault="001D482A" w:rsidP="00A202FD">
      <w:pPr>
        <w:pStyle w:val="ListeParagraf"/>
        <w:widowControl/>
        <w:numPr>
          <w:ilvl w:val="0"/>
          <w:numId w:val="80"/>
        </w:numPr>
        <w:spacing w:line="276" w:lineRule="auto"/>
        <w:rPr>
          <w:rFonts w:eastAsia="Calibri"/>
          <w:bCs/>
          <w:sz w:val="24"/>
          <w:szCs w:val="24"/>
        </w:rPr>
      </w:pPr>
      <w:r w:rsidRPr="00D53A2B">
        <w:rPr>
          <w:rFonts w:eastAsia="Calibri"/>
          <w:bCs/>
          <w:sz w:val="24"/>
          <w:szCs w:val="24"/>
        </w:rPr>
        <w:t>(d) tekniği (b) tekniğiyle birlikte;</w:t>
      </w:r>
    </w:p>
    <w:p w14:paraId="148320BB" w14:textId="22FBE1B6" w:rsidR="001D482A" w:rsidRPr="00D53A2B" w:rsidRDefault="001D482A" w:rsidP="00A202FD">
      <w:pPr>
        <w:pStyle w:val="ListeParagraf"/>
        <w:widowControl/>
        <w:numPr>
          <w:ilvl w:val="0"/>
          <w:numId w:val="80"/>
        </w:numPr>
        <w:spacing w:line="276" w:lineRule="auto"/>
        <w:rPr>
          <w:rFonts w:eastAsia="Calibri"/>
          <w:bCs/>
          <w:sz w:val="24"/>
          <w:szCs w:val="24"/>
        </w:rPr>
      </w:pPr>
      <w:r w:rsidRPr="00D53A2B">
        <w:rPr>
          <w:rFonts w:eastAsia="Calibri"/>
          <w:bCs/>
          <w:sz w:val="24"/>
          <w:szCs w:val="24"/>
        </w:rPr>
        <w:t>(d) tekniği.</w:t>
      </w:r>
    </w:p>
    <w:p w14:paraId="3152031F" w14:textId="77777777" w:rsidR="00B60CF4" w:rsidRPr="00D53A2B" w:rsidRDefault="00B60CF4" w:rsidP="00A202FD">
      <w:pPr>
        <w:jc w:val="both"/>
        <w:rPr>
          <w:rFonts w:eastAsia="Calibri"/>
          <w:lang w:eastAsia="en-US"/>
        </w:rPr>
      </w:pPr>
    </w:p>
    <w:p w14:paraId="0CE9A939" w14:textId="219ED466" w:rsidR="00B60CF4" w:rsidRPr="00D53A2B" w:rsidRDefault="001D482A" w:rsidP="00A202FD">
      <w:pPr>
        <w:jc w:val="both"/>
        <w:rPr>
          <w:rFonts w:eastAsia="Calibri"/>
          <w:lang w:eastAsia="en-US"/>
        </w:rPr>
      </w:pPr>
      <w:r w:rsidRPr="00D53A2B">
        <w:rPr>
          <w:rFonts w:eastAsia="Calibri"/>
          <w:lang w:eastAsia="en-US"/>
        </w:rPr>
        <w:t>(d) tekniği yalnızca mevcut tesisler için MET</w:t>
      </w:r>
      <w:r w:rsidR="00E56504" w:rsidRPr="00D53A2B">
        <w:rPr>
          <w:rFonts w:eastAsia="Calibri"/>
          <w:lang w:eastAsia="en-US"/>
        </w:rPr>
        <w:t>’</w:t>
      </w:r>
      <w:r w:rsidRPr="00D53A2B">
        <w:rPr>
          <w:rFonts w:eastAsia="Calibri"/>
          <w:lang w:eastAsia="en-US"/>
        </w:rPr>
        <w:t>tir ve (a) veya (b) teknikleriyle birlikte (c) tekniğinin kullanılmasına kıyasla en azından eşdeğer düzeyde çevre koruma sağlaması şartıyla geçerlidir.</w:t>
      </w:r>
    </w:p>
    <w:p w14:paraId="0263B677" w14:textId="77777777" w:rsidR="0071694E" w:rsidRPr="00D53A2B" w:rsidRDefault="0071694E" w:rsidP="00A202FD">
      <w:pPr>
        <w:jc w:val="both"/>
        <w:rPr>
          <w:rFonts w:eastAsia="Calibri"/>
          <w:lang w:eastAsia="en-US"/>
        </w:rPr>
      </w:pPr>
    </w:p>
    <w:tbl>
      <w:tblPr>
        <w:tblStyle w:val="TabloKlavuzu"/>
        <w:tblW w:w="8930" w:type="dxa"/>
        <w:tblInd w:w="137" w:type="dxa"/>
        <w:tblLayout w:type="fixed"/>
        <w:tblLook w:val="04A0" w:firstRow="1" w:lastRow="0" w:firstColumn="1" w:lastColumn="0" w:noHBand="0" w:noVBand="1"/>
      </w:tblPr>
      <w:tblGrid>
        <w:gridCol w:w="425"/>
        <w:gridCol w:w="1985"/>
        <w:gridCol w:w="4111"/>
        <w:gridCol w:w="2409"/>
      </w:tblGrid>
      <w:tr w:rsidR="001D482A" w:rsidRPr="0050094F" w14:paraId="10B2D3B0" w14:textId="77777777" w:rsidTr="00A1442A">
        <w:tc>
          <w:tcPr>
            <w:tcW w:w="2410" w:type="dxa"/>
            <w:gridSpan w:val="2"/>
          </w:tcPr>
          <w:p w14:paraId="6EE1B328" w14:textId="77777777" w:rsidR="001D482A" w:rsidRPr="009077F5" w:rsidRDefault="001D482A" w:rsidP="004B0D48">
            <w:pPr>
              <w:pStyle w:val="KonuBal"/>
              <w:rPr>
                <w:sz w:val="24"/>
                <w:szCs w:val="24"/>
              </w:rPr>
            </w:pPr>
            <w:r w:rsidRPr="009077F5">
              <w:rPr>
                <w:sz w:val="24"/>
                <w:szCs w:val="24"/>
              </w:rPr>
              <w:t>Teknik</w:t>
            </w:r>
          </w:p>
        </w:tc>
        <w:tc>
          <w:tcPr>
            <w:tcW w:w="4111" w:type="dxa"/>
          </w:tcPr>
          <w:p w14:paraId="63A3001D" w14:textId="77777777" w:rsidR="001D482A" w:rsidRPr="009077F5" w:rsidRDefault="001D482A" w:rsidP="004B0D48">
            <w:pPr>
              <w:pStyle w:val="KonuBal"/>
              <w:rPr>
                <w:sz w:val="24"/>
                <w:szCs w:val="24"/>
              </w:rPr>
            </w:pPr>
            <w:r w:rsidRPr="009077F5">
              <w:rPr>
                <w:sz w:val="24"/>
                <w:szCs w:val="24"/>
              </w:rPr>
              <w:t>Açıklama</w:t>
            </w:r>
          </w:p>
        </w:tc>
        <w:tc>
          <w:tcPr>
            <w:tcW w:w="2409" w:type="dxa"/>
          </w:tcPr>
          <w:p w14:paraId="7F4838AA" w14:textId="77777777" w:rsidR="001D482A" w:rsidRPr="009077F5" w:rsidRDefault="001D482A" w:rsidP="0050094F">
            <w:pPr>
              <w:pStyle w:val="KonuBal"/>
              <w:rPr>
                <w:sz w:val="24"/>
                <w:szCs w:val="24"/>
              </w:rPr>
            </w:pPr>
            <w:r w:rsidRPr="009077F5">
              <w:rPr>
                <w:sz w:val="24"/>
                <w:szCs w:val="24"/>
              </w:rPr>
              <w:t>Uygulanabilirlik</w:t>
            </w:r>
          </w:p>
        </w:tc>
      </w:tr>
      <w:tr w:rsidR="001D482A" w:rsidRPr="0050094F" w14:paraId="5421483F" w14:textId="77777777" w:rsidTr="00A1442A">
        <w:tc>
          <w:tcPr>
            <w:tcW w:w="8930" w:type="dxa"/>
            <w:gridSpan w:val="4"/>
          </w:tcPr>
          <w:p w14:paraId="376FB937" w14:textId="77777777" w:rsidR="001D482A" w:rsidRPr="009077F5" w:rsidRDefault="001D482A" w:rsidP="004B0D48">
            <w:pPr>
              <w:pStyle w:val="KonuBal"/>
              <w:rPr>
                <w:sz w:val="24"/>
                <w:szCs w:val="24"/>
              </w:rPr>
            </w:pPr>
            <w:r w:rsidRPr="009077F5">
              <w:rPr>
                <w:sz w:val="24"/>
                <w:szCs w:val="24"/>
              </w:rPr>
              <w:t xml:space="preserve">Emisyonların toplanması </w:t>
            </w:r>
          </w:p>
        </w:tc>
      </w:tr>
      <w:tr w:rsidR="001D482A" w:rsidRPr="0050094F" w14:paraId="7CF85A1F" w14:textId="77777777" w:rsidTr="00A1442A">
        <w:tc>
          <w:tcPr>
            <w:tcW w:w="425" w:type="dxa"/>
            <w:vAlign w:val="center"/>
          </w:tcPr>
          <w:p w14:paraId="1BDD8DDA" w14:textId="77777777" w:rsidR="001D482A" w:rsidRPr="009077F5" w:rsidRDefault="001D482A" w:rsidP="004B0D48">
            <w:pPr>
              <w:pStyle w:val="KonuBal"/>
              <w:rPr>
                <w:sz w:val="24"/>
                <w:szCs w:val="24"/>
              </w:rPr>
            </w:pPr>
            <w:r w:rsidRPr="009077F5">
              <w:rPr>
                <w:sz w:val="24"/>
                <w:szCs w:val="24"/>
              </w:rPr>
              <w:t>a.</w:t>
            </w:r>
          </w:p>
        </w:tc>
        <w:tc>
          <w:tcPr>
            <w:tcW w:w="1985" w:type="dxa"/>
            <w:vAlign w:val="center"/>
          </w:tcPr>
          <w:p w14:paraId="1D97AC6E" w14:textId="5600D9DA" w:rsidR="001D482A" w:rsidRPr="009077F5" w:rsidRDefault="001418CD" w:rsidP="004B0D48">
            <w:pPr>
              <w:pStyle w:val="KonuBal"/>
              <w:rPr>
                <w:sz w:val="24"/>
                <w:szCs w:val="24"/>
              </w:rPr>
            </w:pPr>
            <w:r w:rsidRPr="009077F5">
              <w:rPr>
                <w:sz w:val="24"/>
                <w:szCs w:val="24"/>
              </w:rPr>
              <w:t>Ekstraksiyonlu kapalı ön arıtma bölümü</w:t>
            </w:r>
          </w:p>
        </w:tc>
        <w:tc>
          <w:tcPr>
            <w:tcW w:w="4111" w:type="dxa"/>
            <w:vAlign w:val="center"/>
          </w:tcPr>
          <w:p w14:paraId="5EBEAF55" w14:textId="71A8682B" w:rsidR="001D482A" w:rsidRPr="009077F5" w:rsidRDefault="001418CD" w:rsidP="00A202FD">
            <w:pPr>
              <w:jc w:val="both"/>
              <w:rPr>
                <w:rFonts w:eastAsia="Calibri"/>
                <w:lang w:eastAsia="en-US"/>
              </w:rPr>
            </w:pPr>
            <w:r w:rsidRPr="009077F5">
              <w:rPr>
                <w:rFonts w:eastAsia="Calibri"/>
                <w:lang w:eastAsia="en-US"/>
              </w:rPr>
              <w:t>Tüm ön işlem bölümü (örneğin yağ giderme, dekapaj, eritkenleme) kapsüllü bir biçimde gerçekleştirilip dumanlar tahliye edilir.</w:t>
            </w:r>
          </w:p>
        </w:tc>
        <w:tc>
          <w:tcPr>
            <w:tcW w:w="2409" w:type="dxa"/>
            <w:vAlign w:val="center"/>
          </w:tcPr>
          <w:p w14:paraId="545932A2" w14:textId="420EC9AC" w:rsidR="001D482A" w:rsidRPr="009077F5" w:rsidRDefault="001418CD" w:rsidP="004B0D48">
            <w:pPr>
              <w:pStyle w:val="KonuBal"/>
              <w:rPr>
                <w:sz w:val="24"/>
                <w:szCs w:val="24"/>
              </w:rPr>
            </w:pPr>
            <w:r w:rsidRPr="009077F5">
              <w:rPr>
                <w:sz w:val="24"/>
                <w:szCs w:val="24"/>
              </w:rPr>
              <w:t>Yalnızca yeni tesisler ve büyük tesis yükseltmeleri için geçerlidir.</w:t>
            </w:r>
          </w:p>
        </w:tc>
      </w:tr>
      <w:tr w:rsidR="001D482A" w:rsidRPr="0050094F" w14:paraId="5DAAED98" w14:textId="77777777" w:rsidTr="00A1442A">
        <w:tc>
          <w:tcPr>
            <w:tcW w:w="425" w:type="dxa"/>
            <w:vAlign w:val="center"/>
          </w:tcPr>
          <w:p w14:paraId="5EA65F54" w14:textId="77777777" w:rsidR="001D482A" w:rsidRPr="009077F5" w:rsidRDefault="001D482A" w:rsidP="004B0D48">
            <w:pPr>
              <w:pStyle w:val="KonuBal"/>
              <w:rPr>
                <w:sz w:val="24"/>
                <w:szCs w:val="24"/>
              </w:rPr>
            </w:pPr>
            <w:r w:rsidRPr="009077F5">
              <w:rPr>
                <w:sz w:val="24"/>
                <w:szCs w:val="24"/>
              </w:rPr>
              <w:t>b.</w:t>
            </w:r>
          </w:p>
        </w:tc>
        <w:tc>
          <w:tcPr>
            <w:tcW w:w="1985" w:type="dxa"/>
            <w:vAlign w:val="center"/>
          </w:tcPr>
          <w:p w14:paraId="2FA41453" w14:textId="0C549964" w:rsidR="001D482A" w:rsidRPr="009077F5" w:rsidRDefault="001418CD" w:rsidP="004B0D48">
            <w:pPr>
              <w:pStyle w:val="KonuBal"/>
              <w:rPr>
                <w:sz w:val="24"/>
                <w:szCs w:val="24"/>
              </w:rPr>
            </w:pPr>
            <w:r w:rsidRPr="009077F5">
              <w:rPr>
                <w:sz w:val="24"/>
                <w:szCs w:val="24"/>
              </w:rPr>
              <w:t xml:space="preserve">Yanal davlumbaz veya ağız kullanımı ile </w:t>
            </w:r>
            <w:r w:rsidRPr="009077F5">
              <w:rPr>
                <w:sz w:val="24"/>
                <w:szCs w:val="24"/>
              </w:rPr>
              <w:lastRenderedPageBreak/>
              <w:t>tahliye</w:t>
            </w:r>
          </w:p>
        </w:tc>
        <w:tc>
          <w:tcPr>
            <w:tcW w:w="4111" w:type="dxa"/>
            <w:vAlign w:val="center"/>
          </w:tcPr>
          <w:p w14:paraId="44AC82D4" w14:textId="1DEC82D4" w:rsidR="001D482A" w:rsidRPr="009077F5" w:rsidRDefault="001418CD" w:rsidP="00A202FD">
            <w:pPr>
              <w:pStyle w:val="ListeParagraf"/>
              <w:numPr>
                <w:ilvl w:val="0"/>
                <w:numId w:val="0"/>
              </w:numPr>
              <w:tabs>
                <w:tab w:val="clear" w:pos="567"/>
              </w:tabs>
              <w:spacing w:line="240" w:lineRule="auto"/>
              <w:ind w:left="37"/>
              <w:rPr>
                <w:rFonts w:eastAsia="Calibri"/>
                <w:position w:val="0"/>
                <w:sz w:val="24"/>
                <w:szCs w:val="24"/>
              </w:rPr>
            </w:pPr>
            <w:r w:rsidRPr="009077F5">
              <w:rPr>
                <w:rFonts w:eastAsia="Calibri"/>
                <w:sz w:val="24"/>
                <w:szCs w:val="24"/>
              </w:rPr>
              <w:lastRenderedPageBreak/>
              <w:t xml:space="preserve">Dekapaj tanklarından çıkan asit dumanları, </w:t>
            </w:r>
            <w:r w:rsidR="001005DC" w:rsidRPr="009077F5">
              <w:rPr>
                <w:rFonts w:eastAsia="Calibri"/>
                <w:sz w:val="24"/>
                <w:szCs w:val="24"/>
              </w:rPr>
              <w:t>dekapaj</w:t>
            </w:r>
            <w:r w:rsidRPr="009077F5">
              <w:rPr>
                <w:rFonts w:eastAsia="Calibri"/>
                <w:sz w:val="24"/>
                <w:szCs w:val="24"/>
              </w:rPr>
              <w:t xml:space="preserve"> tanklarının kenarındaki yan davlumbazlar veya </w:t>
            </w:r>
            <w:r w:rsidR="001005DC" w:rsidRPr="009077F5">
              <w:rPr>
                <w:rFonts w:eastAsia="Calibri"/>
                <w:sz w:val="24"/>
                <w:szCs w:val="24"/>
              </w:rPr>
              <w:t>ağız</w:t>
            </w:r>
            <w:r w:rsidR="001005DC" w:rsidRPr="009077F5">
              <w:rPr>
                <w:sz w:val="24"/>
                <w:szCs w:val="24"/>
              </w:rPr>
              <w:t xml:space="preserve"> </w:t>
            </w:r>
            <w:r w:rsidRPr="009077F5">
              <w:rPr>
                <w:rFonts w:eastAsia="Calibri"/>
                <w:sz w:val="24"/>
                <w:szCs w:val="24"/>
              </w:rPr>
              <w:t xml:space="preserve">kullanılarak </w:t>
            </w:r>
            <w:r w:rsidR="001005DC" w:rsidRPr="009077F5">
              <w:rPr>
                <w:rFonts w:eastAsia="Calibri"/>
                <w:sz w:val="24"/>
                <w:szCs w:val="24"/>
              </w:rPr>
              <w:t xml:space="preserve">tahliye edilir. Buna </w:t>
            </w:r>
            <w:r w:rsidR="001005DC" w:rsidRPr="009077F5">
              <w:rPr>
                <w:rFonts w:eastAsia="Calibri"/>
                <w:sz w:val="24"/>
                <w:szCs w:val="24"/>
              </w:rPr>
              <w:lastRenderedPageBreak/>
              <w:t>yağ giderme tanklarından çıkan emisyonlar da dahildir.</w:t>
            </w:r>
          </w:p>
        </w:tc>
        <w:tc>
          <w:tcPr>
            <w:tcW w:w="2409" w:type="dxa"/>
            <w:vAlign w:val="center"/>
          </w:tcPr>
          <w:p w14:paraId="2923CE37" w14:textId="45A88CFA" w:rsidR="001D482A" w:rsidRPr="009077F5" w:rsidRDefault="001005DC" w:rsidP="004B0D48">
            <w:pPr>
              <w:pStyle w:val="KonuBal"/>
              <w:rPr>
                <w:sz w:val="24"/>
                <w:szCs w:val="24"/>
              </w:rPr>
            </w:pPr>
            <w:r w:rsidRPr="009077F5">
              <w:rPr>
                <w:sz w:val="24"/>
                <w:szCs w:val="24"/>
              </w:rPr>
              <w:lastRenderedPageBreak/>
              <w:t xml:space="preserve">Mevcut tesislerde uygulanabilirlik, alan darlığı nedeniyle </w:t>
            </w:r>
            <w:r w:rsidRPr="009077F5">
              <w:rPr>
                <w:sz w:val="24"/>
                <w:szCs w:val="24"/>
              </w:rPr>
              <w:lastRenderedPageBreak/>
              <w:t>kısıtlanabilir.</w:t>
            </w:r>
          </w:p>
        </w:tc>
      </w:tr>
      <w:tr w:rsidR="001D482A" w:rsidRPr="0050094F" w14:paraId="51781315" w14:textId="77777777" w:rsidTr="00A1442A">
        <w:tc>
          <w:tcPr>
            <w:tcW w:w="8930" w:type="dxa"/>
            <w:gridSpan w:val="4"/>
            <w:vAlign w:val="center"/>
          </w:tcPr>
          <w:p w14:paraId="0169C35A" w14:textId="77777777" w:rsidR="001D482A" w:rsidRPr="009077F5" w:rsidRDefault="001D482A" w:rsidP="004B0D48">
            <w:pPr>
              <w:pStyle w:val="KonuBal"/>
              <w:rPr>
                <w:sz w:val="24"/>
                <w:szCs w:val="24"/>
              </w:rPr>
            </w:pPr>
            <w:r w:rsidRPr="009077F5">
              <w:rPr>
                <w:sz w:val="24"/>
                <w:szCs w:val="24"/>
              </w:rPr>
              <w:lastRenderedPageBreak/>
              <w:t>Atık gaz arıtımı</w:t>
            </w:r>
          </w:p>
        </w:tc>
      </w:tr>
      <w:tr w:rsidR="001D482A" w:rsidRPr="0050094F" w14:paraId="6AC665E2" w14:textId="77777777" w:rsidTr="00A1442A">
        <w:tc>
          <w:tcPr>
            <w:tcW w:w="425" w:type="dxa"/>
            <w:vAlign w:val="center"/>
          </w:tcPr>
          <w:p w14:paraId="06810019" w14:textId="77777777" w:rsidR="001D482A" w:rsidRPr="009077F5" w:rsidRDefault="001D482A" w:rsidP="004B0D48">
            <w:pPr>
              <w:pStyle w:val="KonuBal"/>
              <w:rPr>
                <w:sz w:val="24"/>
                <w:szCs w:val="24"/>
              </w:rPr>
            </w:pPr>
            <w:r w:rsidRPr="009077F5">
              <w:rPr>
                <w:sz w:val="24"/>
                <w:szCs w:val="24"/>
              </w:rPr>
              <w:t>c.</w:t>
            </w:r>
          </w:p>
        </w:tc>
        <w:tc>
          <w:tcPr>
            <w:tcW w:w="1985" w:type="dxa"/>
            <w:vAlign w:val="center"/>
          </w:tcPr>
          <w:p w14:paraId="1DED7A81" w14:textId="3E191FC2" w:rsidR="001D482A" w:rsidRPr="009077F5" w:rsidRDefault="001005DC" w:rsidP="00A202FD">
            <w:pPr>
              <w:jc w:val="both"/>
              <w:rPr>
                <w:rFonts w:eastAsia="Calibri"/>
                <w:lang w:eastAsia="en-US"/>
              </w:rPr>
            </w:pPr>
            <w:r w:rsidRPr="009077F5">
              <w:rPr>
                <w:rFonts w:eastAsia="Calibri"/>
                <w:lang w:eastAsia="en-US"/>
              </w:rPr>
              <w:t>Buğu çözücü sonrası ıslak fırçalama</w:t>
            </w:r>
          </w:p>
        </w:tc>
        <w:tc>
          <w:tcPr>
            <w:tcW w:w="4111" w:type="dxa"/>
          </w:tcPr>
          <w:p w14:paraId="3A815BEA" w14:textId="73086F41" w:rsidR="001D482A" w:rsidRPr="009077F5" w:rsidRDefault="001D482A" w:rsidP="00A202FD">
            <w:pPr>
              <w:jc w:val="both"/>
              <w:rPr>
                <w:lang w:val="en-US" w:eastAsia="en-US"/>
              </w:rPr>
            </w:pPr>
            <w:r w:rsidRPr="009077F5">
              <w:rPr>
                <w:rFonts w:eastAsia="Calibri"/>
              </w:rPr>
              <w:t>Bölüm 9.11.2</w:t>
            </w:r>
            <w:r w:rsidR="00E56504" w:rsidRPr="009077F5">
              <w:rPr>
                <w:rFonts w:eastAsia="Calibri"/>
              </w:rPr>
              <w:t>’</w:t>
            </w:r>
            <w:r w:rsidRPr="009077F5">
              <w:rPr>
                <w:rFonts w:eastAsia="Calibri"/>
              </w:rPr>
              <w:t>ye bakınız.</w:t>
            </w:r>
          </w:p>
        </w:tc>
        <w:tc>
          <w:tcPr>
            <w:tcW w:w="2409" w:type="dxa"/>
            <w:vAlign w:val="center"/>
          </w:tcPr>
          <w:p w14:paraId="0FAFEA91" w14:textId="77777777" w:rsidR="001D482A" w:rsidRPr="009077F5" w:rsidRDefault="001D482A" w:rsidP="004B0D48">
            <w:pPr>
              <w:pStyle w:val="KonuBal"/>
              <w:rPr>
                <w:sz w:val="24"/>
                <w:szCs w:val="24"/>
              </w:rPr>
            </w:pPr>
            <w:r w:rsidRPr="009077F5">
              <w:rPr>
                <w:sz w:val="24"/>
                <w:szCs w:val="24"/>
              </w:rPr>
              <w:t>Genel olarak uygulanabilir.</w:t>
            </w:r>
          </w:p>
        </w:tc>
      </w:tr>
      <w:tr w:rsidR="001005DC" w:rsidRPr="0050094F" w14:paraId="5782EF34" w14:textId="77777777" w:rsidTr="00A1442A">
        <w:tc>
          <w:tcPr>
            <w:tcW w:w="8930" w:type="dxa"/>
            <w:gridSpan w:val="4"/>
            <w:vAlign w:val="center"/>
          </w:tcPr>
          <w:p w14:paraId="4608B7E0" w14:textId="0DEC2E44" w:rsidR="001005DC" w:rsidRPr="009077F5" w:rsidRDefault="001005DC" w:rsidP="004B0D48">
            <w:pPr>
              <w:pStyle w:val="KonuBal"/>
              <w:rPr>
                <w:sz w:val="24"/>
                <w:szCs w:val="24"/>
              </w:rPr>
            </w:pPr>
            <w:r w:rsidRPr="009077F5">
              <w:rPr>
                <w:sz w:val="24"/>
                <w:szCs w:val="24"/>
              </w:rPr>
              <w:t>Emisyon üretiminin azaltılması</w:t>
            </w:r>
          </w:p>
        </w:tc>
      </w:tr>
      <w:tr w:rsidR="001D482A" w:rsidRPr="0050094F" w14:paraId="62ECD6B2" w14:textId="77777777" w:rsidTr="00A1442A">
        <w:tc>
          <w:tcPr>
            <w:tcW w:w="425" w:type="dxa"/>
            <w:vAlign w:val="center"/>
          </w:tcPr>
          <w:p w14:paraId="551F8E22" w14:textId="794909DC" w:rsidR="001D482A" w:rsidRPr="009077F5" w:rsidRDefault="001005DC" w:rsidP="004B0D48">
            <w:pPr>
              <w:pStyle w:val="KonuBal"/>
              <w:rPr>
                <w:sz w:val="24"/>
                <w:szCs w:val="24"/>
              </w:rPr>
            </w:pPr>
            <w:r w:rsidRPr="009077F5">
              <w:rPr>
                <w:sz w:val="24"/>
                <w:szCs w:val="24"/>
              </w:rPr>
              <w:t>d</w:t>
            </w:r>
            <w:r w:rsidR="001D482A" w:rsidRPr="009077F5">
              <w:rPr>
                <w:sz w:val="24"/>
                <w:szCs w:val="24"/>
              </w:rPr>
              <w:t xml:space="preserve">. </w:t>
            </w:r>
          </w:p>
        </w:tc>
        <w:tc>
          <w:tcPr>
            <w:tcW w:w="1985" w:type="dxa"/>
            <w:vAlign w:val="center"/>
          </w:tcPr>
          <w:p w14:paraId="369C8BF0" w14:textId="15D660E8" w:rsidR="001D482A" w:rsidRPr="009077F5" w:rsidRDefault="001005DC" w:rsidP="00A202FD">
            <w:pPr>
              <w:jc w:val="both"/>
              <w:rPr>
                <w:rFonts w:eastAsia="Calibri"/>
                <w:lang w:eastAsia="en-US"/>
              </w:rPr>
            </w:pPr>
            <w:r w:rsidRPr="009077F5">
              <w:rPr>
                <w:rFonts w:eastAsia="Calibri"/>
                <w:lang w:eastAsia="en-US"/>
              </w:rPr>
              <w:t>Hidroklorik asit açık dekapaj banyoları için kısıtlı çalışma aralığı</w:t>
            </w:r>
          </w:p>
        </w:tc>
        <w:tc>
          <w:tcPr>
            <w:tcW w:w="4111" w:type="dxa"/>
          </w:tcPr>
          <w:p w14:paraId="5E6099E4" w14:textId="77777777" w:rsidR="001D482A" w:rsidRPr="009077F5" w:rsidRDefault="001005DC" w:rsidP="004B0D48">
            <w:pPr>
              <w:pStyle w:val="KonuBal"/>
              <w:rPr>
                <w:sz w:val="24"/>
                <w:szCs w:val="24"/>
              </w:rPr>
            </w:pPr>
            <w:r w:rsidRPr="009077F5">
              <w:rPr>
                <w:sz w:val="24"/>
                <w:szCs w:val="24"/>
              </w:rPr>
              <w:t>Hidroklorik asit banyoları, aşağıdaki koşullara göre belirlenen sıcaklık ve HCl konsantrasyon aralığında kesinlikle çalıştırılır:</w:t>
            </w:r>
          </w:p>
          <w:p w14:paraId="6B19D9AC" w14:textId="77777777" w:rsidR="001005DC" w:rsidRPr="009077F5" w:rsidRDefault="001005DC" w:rsidP="00602365">
            <w:pPr>
              <w:numPr>
                <w:ilvl w:val="0"/>
                <w:numId w:val="172"/>
              </w:numPr>
              <w:ind w:left="313" w:hanging="283"/>
              <w:jc w:val="both"/>
              <w:rPr>
                <w:rFonts w:eastAsia="Calibri"/>
                <w:lang w:eastAsia="en-US"/>
              </w:rPr>
            </w:pPr>
            <w:r w:rsidRPr="009077F5">
              <w:rPr>
                <w:rFonts w:eastAsia="Calibri"/>
                <w:lang w:eastAsia="en-US"/>
              </w:rPr>
              <w:t xml:space="preserve">4 °C &lt; </w:t>
            </w:r>
            <w:r w:rsidRPr="009077F5">
              <w:rPr>
                <w:rFonts w:eastAsia="Calibri"/>
                <w:i/>
                <w:lang w:eastAsia="en-US"/>
              </w:rPr>
              <w:t>T</w:t>
            </w:r>
            <w:r w:rsidRPr="009077F5">
              <w:rPr>
                <w:rFonts w:eastAsia="Calibri"/>
                <w:lang w:eastAsia="en-US"/>
              </w:rPr>
              <w:t xml:space="preserve"> &lt; (80 – 4 </w:t>
            </w:r>
            <w:r w:rsidRPr="009077F5">
              <w:rPr>
                <w:rFonts w:eastAsia="Calibri"/>
                <w:i/>
                <w:lang w:eastAsia="en-US"/>
              </w:rPr>
              <w:t>w</w:t>
            </w:r>
            <w:r w:rsidRPr="009077F5">
              <w:rPr>
                <w:rFonts w:eastAsia="Calibri"/>
                <w:lang w:eastAsia="en-US"/>
              </w:rPr>
              <w:t>) °C;</w:t>
            </w:r>
          </w:p>
          <w:p w14:paraId="59C08116" w14:textId="77777777" w:rsidR="001005DC" w:rsidRPr="009077F5" w:rsidRDefault="001005DC" w:rsidP="00602365">
            <w:pPr>
              <w:numPr>
                <w:ilvl w:val="0"/>
                <w:numId w:val="172"/>
              </w:numPr>
              <w:ind w:left="313" w:hanging="283"/>
              <w:jc w:val="both"/>
              <w:rPr>
                <w:rFonts w:eastAsia="Calibri"/>
                <w:lang w:eastAsia="en-US"/>
              </w:rPr>
            </w:pPr>
            <w:r w:rsidRPr="009077F5">
              <w:rPr>
                <w:rFonts w:eastAsia="Calibri"/>
                <w:lang w:eastAsia="en-US"/>
              </w:rPr>
              <w:t xml:space="preserve">2 wt-% &lt; </w:t>
            </w:r>
            <w:r w:rsidRPr="009077F5">
              <w:rPr>
                <w:rFonts w:eastAsia="Calibri"/>
                <w:i/>
                <w:lang w:eastAsia="en-US"/>
              </w:rPr>
              <w:t>w</w:t>
            </w:r>
            <w:r w:rsidRPr="009077F5">
              <w:rPr>
                <w:rFonts w:eastAsia="Calibri"/>
                <w:lang w:eastAsia="en-US"/>
              </w:rPr>
              <w:t xml:space="preserve"> &lt; (20 – T/4) wt-%,</w:t>
            </w:r>
          </w:p>
          <w:p w14:paraId="75A79F0D" w14:textId="77777777" w:rsidR="001005DC" w:rsidRPr="009077F5" w:rsidRDefault="001005DC" w:rsidP="00A202FD">
            <w:pPr>
              <w:jc w:val="both"/>
              <w:rPr>
                <w:lang w:val="en-US" w:eastAsia="en-US"/>
              </w:rPr>
            </w:pPr>
            <w:r w:rsidRPr="009077F5">
              <w:rPr>
                <w:lang w:val="en-US" w:eastAsia="en-US"/>
              </w:rPr>
              <w:t>Burada T, °C olarak ifade edilen asit sıcaklığı ve w, ağırlıkça % olarak ifade edilen HCl konsantrasyonudur.</w:t>
            </w:r>
          </w:p>
          <w:p w14:paraId="2EB14B02" w14:textId="6661E679" w:rsidR="001005DC" w:rsidRPr="009077F5" w:rsidRDefault="001005DC" w:rsidP="00A202FD">
            <w:pPr>
              <w:jc w:val="both"/>
              <w:rPr>
                <w:lang w:val="en-US" w:eastAsia="en-US"/>
              </w:rPr>
            </w:pPr>
            <w:r w:rsidRPr="009077F5">
              <w:rPr>
                <w:lang w:val="en-US" w:eastAsia="en-US"/>
              </w:rPr>
              <w:t>Banyo sıcaklığı her gün en az bir kez ölçülür. Banyodaki HCl konsantrasyonu her taze asit doldurulduğunda ve her durumda en az haftada bir kez ölçülür. Buharlaşmayı sınırlamak için, banyo yüzeyleri boyunca hava hareketi (örneğin havalandırma nedeniyle) en aza indirilir.</w:t>
            </w:r>
          </w:p>
        </w:tc>
        <w:tc>
          <w:tcPr>
            <w:tcW w:w="2409" w:type="dxa"/>
            <w:vAlign w:val="center"/>
          </w:tcPr>
          <w:p w14:paraId="629756E1" w14:textId="77777777" w:rsidR="001D482A" w:rsidRPr="009077F5" w:rsidRDefault="001D482A" w:rsidP="004B0D48">
            <w:pPr>
              <w:pStyle w:val="KonuBal"/>
              <w:rPr>
                <w:sz w:val="24"/>
                <w:szCs w:val="24"/>
              </w:rPr>
            </w:pPr>
            <w:r w:rsidRPr="009077F5">
              <w:rPr>
                <w:sz w:val="24"/>
                <w:szCs w:val="24"/>
              </w:rPr>
              <w:t>Genel olarak uygulanabilir.</w:t>
            </w:r>
          </w:p>
        </w:tc>
      </w:tr>
    </w:tbl>
    <w:p w14:paraId="42C15A54" w14:textId="77777777" w:rsidR="0071694E" w:rsidRPr="00D53A2B" w:rsidRDefault="0071694E" w:rsidP="00A202FD">
      <w:pPr>
        <w:jc w:val="both"/>
        <w:rPr>
          <w:rFonts w:eastAsia="Calibri"/>
          <w:lang w:eastAsia="en-US"/>
        </w:rPr>
      </w:pPr>
    </w:p>
    <w:p w14:paraId="573D83B5" w14:textId="319D17F6" w:rsidR="001023C7" w:rsidRPr="00D53A2B" w:rsidRDefault="001005DC" w:rsidP="00A202FD">
      <w:pPr>
        <w:jc w:val="both"/>
        <w:rPr>
          <w:rFonts w:eastAsia="Calibri"/>
          <w:lang w:eastAsia="en-US"/>
        </w:rPr>
      </w:pPr>
      <w:r w:rsidRPr="00D53A2B">
        <w:rPr>
          <w:rFonts w:eastAsia="Calibri"/>
          <w:lang w:eastAsia="en-US"/>
        </w:rPr>
        <w:t xml:space="preserve">Tablo </w:t>
      </w:r>
      <w:r w:rsidR="006F7225" w:rsidRPr="00D53A2B">
        <w:rPr>
          <w:rFonts w:eastAsia="Calibri"/>
          <w:lang w:eastAsia="en-US"/>
        </w:rPr>
        <w:t>1</w:t>
      </w:r>
      <w:r w:rsidRPr="00D53A2B">
        <w:rPr>
          <w:rFonts w:eastAsia="Calibri"/>
          <w:lang w:eastAsia="en-US"/>
        </w:rPr>
        <w:t>.29</w:t>
      </w:r>
    </w:p>
    <w:p w14:paraId="1A19686F" w14:textId="7263724C" w:rsidR="001D482A" w:rsidRPr="00D53A2B" w:rsidRDefault="001005DC" w:rsidP="00A202FD">
      <w:pPr>
        <w:jc w:val="both"/>
        <w:rPr>
          <w:rFonts w:eastAsia="Calibri"/>
          <w:lang w:eastAsia="en-US"/>
        </w:rPr>
      </w:pPr>
      <w:r w:rsidRPr="00D53A2B">
        <w:rPr>
          <w:rFonts w:eastAsia="Calibri"/>
          <w:lang w:eastAsia="en-US"/>
        </w:rPr>
        <w:t>Toplu galvanizlemede hidroklorik asitle asitleme ve sıyırma işlemlerinden kaynaklanan kanalize HCl emisyonları için MET-ilişkili emisyon seviyeleri (MET-İES</w:t>
      </w:r>
      <w:r w:rsidR="007B4504" w:rsidRPr="00D53A2B">
        <w:rPr>
          <w:rFonts w:eastAsia="Calibri"/>
          <w:lang w:eastAsia="en-US"/>
        </w:rPr>
        <w:t>)</w:t>
      </w:r>
    </w:p>
    <w:p w14:paraId="6C24B0E3" w14:textId="77777777" w:rsidR="00282CE4" w:rsidRPr="00D53A2B" w:rsidRDefault="00282CE4" w:rsidP="00A202FD">
      <w:pPr>
        <w:jc w:val="both"/>
        <w:rPr>
          <w:rFonts w:eastAsia="Calibri"/>
          <w:lang w:eastAsia="en-US"/>
        </w:rPr>
      </w:pPr>
    </w:p>
    <w:tbl>
      <w:tblPr>
        <w:tblStyle w:val="TabloKlavuzu"/>
        <w:tblW w:w="8930" w:type="dxa"/>
        <w:tblInd w:w="137" w:type="dxa"/>
        <w:tblLook w:val="04A0" w:firstRow="1" w:lastRow="0" w:firstColumn="1" w:lastColumn="0" w:noHBand="0" w:noVBand="1"/>
      </w:tblPr>
      <w:tblGrid>
        <w:gridCol w:w="1418"/>
        <w:gridCol w:w="1417"/>
        <w:gridCol w:w="6095"/>
      </w:tblGrid>
      <w:tr w:rsidR="001005DC" w:rsidRPr="0050094F" w14:paraId="61B6F61A" w14:textId="77777777" w:rsidTr="00A1442A">
        <w:tc>
          <w:tcPr>
            <w:tcW w:w="1418" w:type="dxa"/>
          </w:tcPr>
          <w:p w14:paraId="0D263540" w14:textId="77777777" w:rsidR="001005DC" w:rsidRPr="009077F5" w:rsidRDefault="001005DC" w:rsidP="004B0D48">
            <w:pPr>
              <w:pStyle w:val="KonuBal"/>
              <w:rPr>
                <w:sz w:val="24"/>
                <w:szCs w:val="24"/>
              </w:rPr>
            </w:pPr>
            <w:r w:rsidRPr="009077F5">
              <w:rPr>
                <w:sz w:val="24"/>
                <w:szCs w:val="24"/>
              </w:rPr>
              <w:t>Parametre</w:t>
            </w:r>
          </w:p>
        </w:tc>
        <w:tc>
          <w:tcPr>
            <w:tcW w:w="1417" w:type="dxa"/>
          </w:tcPr>
          <w:p w14:paraId="0DD5A355" w14:textId="77777777" w:rsidR="001005DC" w:rsidRPr="009077F5" w:rsidRDefault="001005DC" w:rsidP="004B0D48">
            <w:pPr>
              <w:pStyle w:val="KonuBal"/>
              <w:rPr>
                <w:sz w:val="24"/>
                <w:szCs w:val="24"/>
              </w:rPr>
            </w:pPr>
            <w:r w:rsidRPr="009077F5">
              <w:rPr>
                <w:sz w:val="24"/>
                <w:szCs w:val="24"/>
              </w:rPr>
              <w:t>Birim</w:t>
            </w:r>
          </w:p>
        </w:tc>
        <w:tc>
          <w:tcPr>
            <w:tcW w:w="6095" w:type="dxa"/>
          </w:tcPr>
          <w:p w14:paraId="57E7A781" w14:textId="77777777" w:rsidR="001005DC" w:rsidRPr="009077F5" w:rsidRDefault="001005DC" w:rsidP="00A202FD">
            <w:pPr>
              <w:jc w:val="both"/>
              <w:rPr>
                <w:rFonts w:eastAsia="Calibri"/>
                <w:lang w:eastAsia="en-US"/>
              </w:rPr>
            </w:pPr>
            <w:r w:rsidRPr="009077F5">
              <w:rPr>
                <w:rFonts w:eastAsia="Calibri"/>
                <w:lang w:eastAsia="en-US"/>
              </w:rPr>
              <w:t xml:space="preserve">MET-İES </w:t>
            </w:r>
          </w:p>
          <w:p w14:paraId="6D11DF78" w14:textId="77777777" w:rsidR="001005DC" w:rsidRPr="009077F5" w:rsidRDefault="001005DC" w:rsidP="004B0D48">
            <w:pPr>
              <w:pStyle w:val="KonuBal"/>
              <w:rPr>
                <w:sz w:val="24"/>
                <w:szCs w:val="24"/>
              </w:rPr>
            </w:pPr>
            <w:r w:rsidRPr="009077F5">
              <w:rPr>
                <w:sz w:val="24"/>
                <w:szCs w:val="24"/>
              </w:rPr>
              <w:t>(Günlük ortalama veya numune alma süresi boyunca ortalama)</w:t>
            </w:r>
          </w:p>
        </w:tc>
      </w:tr>
      <w:tr w:rsidR="001005DC" w:rsidRPr="0050094F" w14:paraId="692920A4" w14:textId="77777777" w:rsidTr="00A1442A">
        <w:tc>
          <w:tcPr>
            <w:tcW w:w="1418" w:type="dxa"/>
          </w:tcPr>
          <w:p w14:paraId="430C38DC" w14:textId="5300AF18" w:rsidR="001005DC" w:rsidRPr="009077F5" w:rsidRDefault="001005DC" w:rsidP="004B0D48">
            <w:pPr>
              <w:pStyle w:val="KonuBal"/>
              <w:rPr>
                <w:sz w:val="24"/>
                <w:szCs w:val="24"/>
              </w:rPr>
            </w:pPr>
            <w:r w:rsidRPr="009077F5">
              <w:rPr>
                <w:sz w:val="24"/>
                <w:szCs w:val="24"/>
              </w:rPr>
              <w:t>HCl</w:t>
            </w:r>
          </w:p>
        </w:tc>
        <w:tc>
          <w:tcPr>
            <w:tcW w:w="1417" w:type="dxa"/>
          </w:tcPr>
          <w:p w14:paraId="46EE1B99" w14:textId="77777777" w:rsidR="001005DC" w:rsidRPr="009077F5" w:rsidRDefault="001005DC" w:rsidP="004B0D48">
            <w:pPr>
              <w:pStyle w:val="KonuBal"/>
              <w:rPr>
                <w:sz w:val="24"/>
                <w:szCs w:val="24"/>
              </w:rPr>
            </w:pPr>
            <w:r w:rsidRPr="009077F5">
              <w:rPr>
                <w:sz w:val="24"/>
                <w:szCs w:val="24"/>
              </w:rPr>
              <w:t>mg/Nm</w:t>
            </w:r>
            <w:r w:rsidRPr="009077F5">
              <w:rPr>
                <w:sz w:val="24"/>
                <w:szCs w:val="24"/>
                <w:vertAlign w:val="superscript"/>
              </w:rPr>
              <w:t>3</w:t>
            </w:r>
          </w:p>
        </w:tc>
        <w:tc>
          <w:tcPr>
            <w:tcW w:w="6095" w:type="dxa"/>
            <w:vAlign w:val="bottom"/>
          </w:tcPr>
          <w:p w14:paraId="37A5A7F5" w14:textId="2244E846" w:rsidR="001005DC" w:rsidRPr="009077F5" w:rsidRDefault="001005DC" w:rsidP="0050094F">
            <w:pPr>
              <w:pStyle w:val="KonuBal"/>
              <w:rPr>
                <w:sz w:val="24"/>
                <w:szCs w:val="24"/>
              </w:rPr>
            </w:pPr>
            <w:r w:rsidRPr="009077F5">
              <w:rPr>
                <w:sz w:val="24"/>
                <w:szCs w:val="24"/>
              </w:rPr>
              <w:t>&lt;2-6</w:t>
            </w:r>
          </w:p>
        </w:tc>
      </w:tr>
    </w:tbl>
    <w:p w14:paraId="2A11B1C8" w14:textId="77777777" w:rsidR="001D482A" w:rsidRPr="00D53A2B" w:rsidRDefault="001D482A" w:rsidP="00A202FD">
      <w:pPr>
        <w:jc w:val="both"/>
        <w:rPr>
          <w:rFonts w:eastAsia="Calibri"/>
          <w:lang w:eastAsia="en-US"/>
        </w:rPr>
      </w:pPr>
    </w:p>
    <w:p w14:paraId="45D5CEA8" w14:textId="2AA54693" w:rsidR="001005DC" w:rsidRPr="00D53A2B" w:rsidRDefault="001005DC" w:rsidP="00A202FD">
      <w:pPr>
        <w:jc w:val="both"/>
        <w:rPr>
          <w:rFonts w:eastAsia="Calibri"/>
          <w:lang w:eastAsia="en-US"/>
        </w:rPr>
      </w:pPr>
      <w:r w:rsidRPr="00D53A2B">
        <w:rPr>
          <w:rFonts w:eastAsia="Calibri"/>
          <w:lang w:eastAsia="en-US"/>
        </w:rPr>
        <w:t>İlgili izleme MET 7</w:t>
      </w:r>
      <w:r w:rsidR="00E56504" w:rsidRPr="00D53A2B">
        <w:rPr>
          <w:rFonts w:eastAsia="Calibri"/>
          <w:lang w:eastAsia="en-US"/>
        </w:rPr>
        <w:t>’</w:t>
      </w:r>
      <w:r w:rsidRPr="00D53A2B">
        <w:rPr>
          <w:rFonts w:eastAsia="Calibri"/>
          <w:lang w:eastAsia="en-US"/>
        </w:rPr>
        <w:t>de verilmiştir.</w:t>
      </w:r>
    </w:p>
    <w:p w14:paraId="773DCCEA" w14:textId="77777777" w:rsidR="001D482A" w:rsidRPr="00D53A2B" w:rsidRDefault="001D482A" w:rsidP="00A202FD">
      <w:pPr>
        <w:jc w:val="both"/>
        <w:rPr>
          <w:rFonts w:eastAsia="Calibri"/>
          <w:lang w:eastAsia="en-US"/>
        </w:rPr>
      </w:pPr>
    </w:p>
    <w:p w14:paraId="273A0889" w14:textId="72AD0551" w:rsidR="001005DC" w:rsidRPr="00D53A2B" w:rsidRDefault="00D10848" w:rsidP="00A202FD">
      <w:pPr>
        <w:pStyle w:val="Balk3"/>
        <w:rPr>
          <w:rFonts w:eastAsia="Calibri" w:cs="Times New Roman"/>
          <w:lang w:eastAsia="en-US"/>
        </w:rPr>
      </w:pPr>
      <w:r w:rsidRPr="00D53A2B">
        <w:rPr>
          <w:rFonts w:eastAsia="Calibri" w:cs="Times New Roman"/>
          <w:lang w:eastAsia="en-US"/>
        </w:rPr>
        <w:t>1</w:t>
      </w:r>
      <w:r w:rsidR="001005DC" w:rsidRPr="00D53A2B">
        <w:rPr>
          <w:rFonts w:eastAsia="Calibri" w:cs="Times New Roman"/>
          <w:lang w:eastAsia="en-US"/>
        </w:rPr>
        <w:t>.10.4. Atıksu deşarjı</w:t>
      </w:r>
    </w:p>
    <w:p w14:paraId="721F9245" w14:textId="45AF6123" w:rsidR="001D482A" w:rsidRPr="00D53A2B" w:rsidRDefault="001005DC" w:rsidP="00A202FD">
      <w:pPr>
        <w:pStyle w:val="MET"/>
        <w:rPr>
          <w:rFonts w:eastAsia="Calibri"/>
          <w:szCs w:val="24"/>
        </w:rPr>
      </w:pPr>
      <w:r w:rsidRPr="00D53A2B">
        <w:rPr>
          <w:rFonts w:eastAsia="Calibri"/>
          <w:szCs w:val="24"/>
        </w:rPr>
        <w:t xml:space="preserve">MET 63: </w:t>
      </w:r>
      <w:r w:rsidR="007B4504" w:rsidRPr="00D53A2B">
        <w:rPr>
          <w:rFonts w:eastAsia="Calibri"/>
          <w:b w:val="0"/>
          <w:bCs/>
          <w:szCs w:val="24"/>
        </w:rPr>
        <w:t>Kesikli</w:t>
      </w:r>
      <w:r w:rsidRPr="00D53A2B">
        <w:rPr>
          <w:rFonts w:eastAsia="Calibri"/>
          <w:b w:val="0"/>
          <w:bCs/>
          <w:szCs w:val="24"/>
        </w:rPr>
        <w:t xml:space="preserve"> galvanizlemeden kaynaklanan atıksuyun boşaltılması MET değildir.</w:t>
      </w:r>
    </w:p>
    <w:p w14:paraId="413A83F3" w14:textId="77777777" w:rsidR="001D482A" w:rsidRPr="00D53A2B" w:rsidRDefault="001D482A" w:rsidP="00A202FD">
      <w:pPr>
        <w:jc w:val="both"/>
        <w:rPr>
          <w:rFonts w:eastAsia="Calibri"/>
          <w:lang w:eastAsia="en-US"/>
        </w:rPr>
      </w:pPr>
    </w:p>
    <w:p w14:paraId="1F8BF510" w14:textId="0014CCB5" w:rsidR="0071694E" w:rsidRPr="00D53A2B" w:rsidRDefault="00613F9B" w:rsidP="00A202FD">
      <w:pPr>
        <w:jc w:val="both"/>
        <w:rPr>
          <w:rFonts w:eastAsia="Calibri"/>
          <w:b/>
          <w:lang w:eastAsia="en-US"/>
        </w:rPr>
      </w:pPr>
      <w:r w:rsidRPr="00D53A2B">
        <w:rPr>
          <w:rFonts w:eastAsia="Calibri"/>
          <w:b/>
          <w:lang w:eastAsia="en-US"/>
        </w:rPr>
        <w:t>Tanım</w:t>
      </w:r>
    </w:p>
    <w:p w14:paraId="5E316F3C" w14:textId="02B62B5B" w:rsidR="0071694E" w:rsidRPr="00D53A2B" w:rsidRDefault="00613F9B" w:rsidP="00A202FD">
      <w:pPr>
        <w:jc w:val="both"/>
        <w:rPr>
          <w:rFonts w:eastAsia="Calibri"/>
          <w:lang w:eastAsia="en-US"/>
        </w:rPr>
      </w:pPr>
      <w:r w:rsidRPr="00D53A2B">
        <w:rPr>
          <w:rFonts w:eastAsia="Calibri"/>
          <w:lang w:eastAsia="en-US"/>
        </w:rPr>
        <w:t>Sadece sıvı artıklar (örneğin, kullanılmış dekapaj asidi, kullanılmış yağ çözücü solüsyonlar ve kullanılmış eritkenleme solüsyonları) üretilir. Bu kalıntılar toplanır. Geri dönüşüm veya geri kazanım için uygun şekilde işlenir ve/veya bertaraf için gönderilir (bkz. MET 18 ve MET 59).</w:t>
      </w:r>
    </w:p>
    <w:p w14:paraId="52DAEB65" w14:textId="77777777" w:rsidR="0071694E" w:rsidRPr="00D53A2B" w:rsidRDefault="0071694E" w:rsidP="00A202FD">
      <w:pPr>
        <w:jc w:val="both"/>
        <w:rPr>
          <w:rFonts w:eastAsia="Calibri"/>
          <w:lang w:eastAsia="en-US"/>
        </w:rPr>
      </w:pPr>
    </w:p>
    <w:p w14:paraId="7DA94CD5" w14:textId="72B1E32B" w:rsidR="00067F10" w:rsidRPr="00D53A2B" w:rsidRDefault="00D10848" w:rsidP="00A202FD">
      <w:pPr>
        <w:pStyle w:val="Balk2"/>
        <w:rPr>
          <w:rFonts w:eastAsia="Calibri" w:cs="Times New Roman"/>
          <w:szCs w:val="24"/>
          <w:lang w:eastAsia="en-US"/>
        </w:rPr>
      </w:pPr>
      <w:r w:rsidRPr="00D53A2B">
        <w:rPr>
          <w:rFonts w:eastAsia="Calibri" w:cs="Times New Roman"/>
          <w:szCs w:val="24"/>
          <w:lang w:eastAsia="en-US"/>
        </w:rPr>
        <w:lastRenderedPageBreak/>
        <w:t>1.</w:t>
      </w:r>
      <w:r w:rsidR="00067F10" w:rsidRPr="00D53A2B">
        <w:rPr>
          <w:rFonts w:eastAsia="Calibri" w:cs="Times New Roman"/>
          <w:szCs w:val="24"/>
          <w:lang w:eastAsia="en-US"/>
        </w:rPr>
        <w:t>11. Tekniklerin açıklamaları</w:t>
      </w:r>
    </w:p>
    <w:p w14:paraId="11A6D22F" w14:textId="2D64D472" w:rsidR="00613F9B" w:rsidRPr="00D53A2B" w:rsidRDefault="00D10848" w:rsidP="00A202FD">
      <w:pPr>
        <w:pStyle w:val="Balk3"/>
        <w:rPr>
          <w:rFonts w:eastAsia="Calibri" w:cs="Times New Roman"/>
          <w:lang w:eastAsia="en-US"/>
        </w:rPr>
      </w:pPr>
      <w:r w:rsidRPr="00D53A2B">
        <w:rPr>
          <w:rFonts w:eastAsia="Calibri" w:cs="Times New Roman"/>
          <w:lang w:eastAsia="en-US"/>
        </w:rPr>
        <w:t>1</w:t>
      </w:r>
      <w:r w:rsidR="00067F10" w:rsidRPr="00D53A2B">
        <w:rPr>
          <w:rFonts w:eastAsia="Calibri" w:cs="Times New Roman"/>
          <w:lang w:eastAsia="en-US"/>
        </w:rPr>
        <w:t>.11.1. Enerji verimliliğini artırma teknikleri</w:t>
      </w:r>
    </w:p>
    <w:p w14:paraId="146B351B" w14:textId="77777777" w:rsidR="00613F9B" w:rsidRPr="00D53A2B" w:rsidRDefault="00613F9B" w:rsidP="00A202FD">
      <w:pPr>
        <w:jc w:val="both"/>
        <w:rPr>
          <w:rFonts w:eastAsia="Calibri"/>
          <w:lang w:eastAsia="en-US"/>
        </w:rPr>
      </w:pPr>
    </w:p>
    <w:tbl>
      <w:tblPr>
        <w:tblStyle w:val="TabloKlavuzu"/>
        <w:tblW w:w="0" w:type="auto"/>
        <w:tblLook w:val="04A0" w:firstRow="1" w:lastRow="0" w:firstColumn="1" w:lastColumn="0" w:noHBand="0" w:noVBand="1"/>
      </w:tblPr>
      <w:tblGrid>
        <w:gridCol w:w="1930"/>
        <w:gridCol w:w="6847"/>
      </w:tblGrid>
      <w:tr w:rsidR="00600BE6" w:rsidRPr="00D53A2B" w14:paraId="1D213836" w14:textId="77777777" w:rsidTr="00190F5C">
        <w:tc>
          <w:tcPr>
            <w:tcW w:w="1980" w:type="dxa"/>
          </w:tcPr>
          <w:p w14:paraId="28A4EB23" w14:textId="430EC687" w:rsidR="00600BE6" w:rsidRPr="00D53A2B" w:rsidRDefault="00600BE6" w:rsidP="00A202FD">
            <w:pPr>
              <w:jc w:val="both"/>
              <w:rPr>
                <w:rFonts w:eastAsia="Calibri"/>
                <w:sz w:val="22"/>
                <w:szCs w:val="22"/>
                <w:lang w:eastAsia="en-US"/>
              </w:rPr>
            </w:pPr>
            <w:r w:rsidRPr="00D53A2B">
              <w:rPr>
                <w:rFonts w:eastAsia="Calibri"/>
                <w:sz w:val="22"/>
                <w:szCs w:val="22"/>
                <w:lang w:eastAsia="en-US"/>
              </w:rPr>
              <w:t>Teknik</w:t>
            </w:r>
          </w:p>
        </w:tc>
        <w:tc>
          <w:tcPr>
            <w:tcW w:w="7450" w:type="dxa"/>
          </w:tcPr>
          <w:p w14:paraId="59DD62B9" w14:textId="10F41514" w:rsidR="00600BE6" w:rsidRPr="00D53A2B" w:rsidRDefault="00600BE6" w:rsidP="00A202FD">
            <w:pPr>
              <w:jc w:val="both"/>
              <w:rPr>
                <w:rFonts w:eastAsia="Calibri"/>
                <w:sz w:val="22"/>
                <w:szCs w:val="22"/>
                <w:lang w:eastAsia="en-US"/>
              </w:rPr>
            </w:pPr>
            <w:r w:rsidRPr="00D53A2B">
              <w:rPr>
                <w:rFonts w:eastAsia="Calibri"/>
                <w:sz w:val="22"/>
                <w:szCs w:val="22"/>
                <w:lang w:eastAsia="en-US"/>
              </w:rPr>
              <w:t>Açıklama</w:t>
            </w:r>
          </w:p>
        </w:tc>
      </w:tr>
      <w:tr w:rsidR="00600BE6" w:rsidRPr="00D53A2B" w14:paraId="6F532B0B" w14:textId="77777777" w:rsidTr="00190F5C">
        <w:tc>
          <w:tcPr>
            <w:tcW w:w="1980" w:type="dxa"/>
          </w:tcPr>
          <w:p w14:paraId="1E7643C4" w14:textId="30AED918" w:rsidR="00600BE6" w:rsidRPr="00D53A2B" w:rsidRDefault="00600BE6" w:rsidP="00A202FD">
            <w:pPr>
              <w:jc w:val="both"/>
              <w:rPr>
                <w:rFonts w:eastAsia="Calibri"/>
                <w:sz w:val="22"/>
                <w:szCs w:val="22"/>
                <w:lang w:eastAsia="en-US"/>
              </w:rPr>
            </w:pPr>
            <w:r w:rsidRPr="00D53A2B">
              <w:rPr>
                <w:rFonts w:eastAsia="Calibri"/>
                <w:sz w:val="22"/>
                <w:szCs w:val="22"/>
                <w:lang w:eastAsia="en-US"/>
              </w:rPr>
              <w:t xml:space="preserve">Bobin kutuları </w:t>
            </w:r>
          </w:p>
        </w:tc>
        <w:tc>
          <w:tcPr>
            <w:tcW w:w="7450" w:type="dxa"/>
          </w:tcPr>
          <w:p w14:paraId="3A126901" w14:textId="3B9EAFED" w:rsidR="00600BE6" w:rsidRPr="00D53A2B" w:rsidRDefault="00600BE6" w:rsidP="00A202FD">
            <w:pPr>
              <w:jc w:val="both"/>
              <w:rPr>
                <w:rFonts w:eastAsia="Calibri"/>
                <w:sz w:val="22"/>
                <w:szCs w:val="22"/>
                <w:lang w:eastAsia="en-US"/>
              </w:rPr>
            </w:pPr>
            <w:r w:rsidRPr="00D53A2B">
              <w:rPr>
                <w:rFonts w:eastAsia="Calibri"/>
                <w:sz w:val="22"/>
                <w:szCs w:val="22"/>
                <w:lang w:eastAsia="en-US"/>
              </w:rPr>
              <w:t>Sarma/açma işlemleri sırasında hammaddeden kaynaklanan sıcaklık kayıplarını en aza indirmek ve sıcak şerit fabrikalarında daha düşük haddeleme kuvvetlerine olanak sağlamak için kaba haddeleme tesisi ile bitirme tesisi arasına yalıtımlı kutular yerleştirilir.</w:t>
            </w:r>
          </w:p>
        </w:tc>
      </w:tr>
      <w:tr w:rsidR="00600BE6" w:rsidRPr="00D53A2B" w14:paraId="12FA056F" w14:textId="77777777" w:rsidTr="00190F5C">
        <w:tc>
          <w:tcPr>
            <w:tcW w:w="1980" w:type="dxa"/>
          </w:tcPr>
          <w:p w14:paraId="64A74379" w14:textId="742A3549" w:rsidR="00600BE6" w:rsidRPr="00D53A2B" w:rsidRDefault="00600BE6" w:rsidP="00A202FD">
            <w:pPr>
              <w:jc w:val="both"/>
              <w:rPr>
                <w:rFonts w:eastAsia="Calibri"/>
                <w:sz w:val="22"/>
                <w:szCs w:val="22"/>
                <w:lang w:eastAsia="en-US"/>
              </w:rPr>
            </w:pPr>
            <w:r w:rsidRPr="00D53A2B">
              <w:rPr>
                <w:rFonts w:eastAsia="Calibri"/>
                <w:sz w:val="22"/>
                <w:szCs w:val="22"/>
                <w:lang w:eastAsia="en-US"/>
              </w:rPr>
              <w:t>Yanma optimizasyonu</w:t>
            </w:r>
          </w:p>
        </w:tc>
        <w:tc>
          <w:tcPr>
            <w:tcW w:w="7450" w:type="dxa"/>
          </w:tcPr>
          <w:p w14:paraId="7FD46A2C" w14:textId="04C41D13" w:rsidR="00600BE6" w:rsidRPr="00D53A2B" w:rsidRDefault="00600BE6" w:rsidP="00A202FD">
            <w:pPr>
              <w:jc w:val="both"/>
              <w:rPr>
                <w:rFonts w:eastAsia="Calibri"/>
                <w:sz w:val="22"/>
                <w:szCs w:val="22"/>
                <w:lang w:eastAsia="en-US"/>
              </w:rPr>
            </w:pPr>
            <w:r w:rsidRPr="00D53A2B">
              <w:rPr>
                <w:rFonts w:eastAsia="Calibri"/>
                <w:sz w:val="22"/>
                <w:szCs w:val="22"/>
                <w:lang w:eastAsia="en-US"/>
              </w:rPr>
              <w:t>Fırında enerji dönüşümünün verimliliğini en üst düzeye çıkarırken emisyonları (özellikle CO) en aza indirmek için alınan önlemler. Bu, fırının iyi tasarımı, sıcaklığın optimizasyonu (örn. yakıt ve yanma havasının verimli bir şekilde karıştırılması) ve yanma bölgesinde kalma süresi ve fırın otomasyonu ve kontrolünün kullanımı gibi tekniklerin bir kombinasyonu ile elde edilir.</w:t>
            </w:r>
          </w:p>
        </w:tc>
      </w:tr>
      <w:tr w:rsidR="00600BE6" w:rsidRPr="00D53A2B" w14:paraId="3A0F4A27" w14:textId="77777777" w:rsidTr="00190F5C">
        <w:tc>
          <w:tcPr>
            <w:tcW w:w="1980" w:type="dxa"/>
          </w:tcPr>
          <w:p w14:paraId="1CAF3916" w14:textId="412EE2C0" w:rsidR="00600BE6" w:rsidRPr="00D53A2B" w:rsidRDefault="00600BE6" w:rsidP="00A202FD">
            <w:pPr>
              <w:jc w:val="both"/>
              <w:rPr>
                <w:rFonts w:eastAsia="Calibri"/>
                <w:sz w:val="22"/>
                <w:szCs w:val="22"/>
                <w:lang w:eastAsia="en-US"/>
              </w:rPr>
            </w:pPr>
            <w:r w:rsidRPr="00D53A2B">
              <w:rPr>
                <w:rFonts w:eastAsia="Calibri"/>
                <w:sz w:val="22"/>
                <w:szCs w:val="22"/>
                <w:lang w:eastAsia="en-US"/>
              </w:rPr>
              <w:t>Alevsiz yanma</w:t>
            </w:r>
          </w:p>
        </w:tc>
        <w:tc>
          <w:tcPr>
            <w:tcW w:w="7450" w:type="dxa"/>
          </w:tcPr>
          <w:p w14:paraId="092DB898" w14:textId="3D136978" w:rsidR="00600BE6" w:rsidRPr="00D53A2B" w:rsidRDefault="00600BE6" w:rsidP="00A202FD">
            <w:pPr>
              <w:jc w:val="both"/>
              <w:rPr>
                <w:rFonts w:eastAsia="Calibri"/>
                <w:sz w:val="22"/>
                <w:szCs w:val="22"/>
                <w:lang w:eastAsia="en-US"/>
              </w:rPr>
            </w:pPr>
            <w:r w:rsidRPr="00D53A2B">
              <w:rPr>
                <w:rFonts w:eastAsia="Calibri"/>
                <w:sz w:val="22"/>
                <w:szCs w:val="22"/>
                <w:lang w:eastAsia="en-US"/>
              </w:rPr>
              <w:t>Alevsiz yanma, alev oluşumunu bastırmak ve termal NO</w:t>
            </w:r>
            <w:r w:rsidRPr="00D53A2B">
              <w:rPr>
                <w:rFonts w:eastAsia="Calibri"/>
                <w:sz w:val="22"/>
                <w:szCs w:val="22"/>
                <w:vertAlign w:val="subscript"/>
                <w:lang w:eastAsia="en-US"/>
              </w:rPr>
              <w:t>X</w:t>
            </w:r>
            <w:r w:rsidRPr="00D53A2B">
              <w:rPr>
                <w:rFonts w:eastAsia="Calibri"/>
                <w:sz w:val="22"/>
                <w:szCs w:val="22"/>
                <w:lang w:eastAsia="en-US"/>
              </w:rPr>
              <w:t xml:space="preserve"> oluşumunu azaltmak ve aynı zamanda hazne boyunca daha düzgün bir ısı dağılımı yaratmak için yakıt ve yanma havasını yüksek hızda fırının yanma odasına ayrı ayrı enjekte ederek elde edilir. Alevsiz yanma, oksijen-yakıt yanmasıyla birlikte kullanılabilir.</w:t>
            </w:r>
          </w:p>
        </w:tc>
      </w:tr>
      <w:tr w:rsidR="00600BE6" w:rsidRPr="00D53A2B" w14:paraId="79CF3208" w14:textId="77777777" w:rsidTr="00190F5C">
        <w:tc>
          <w:tcPr>
            <w:tcW w:w="1980" w:type="dxa"/>
          </w:tcPr>
          <w:p w14:paraId="779C9713" w14:textId="5AB95069" w:rsidR="00600BE6" w:rsidRPr="00D53A2B" w:rsidRDefault="00600BE6" w:rsidP="00A202FD">
            <w:pPr>
              <w:jc w:val="both"/>
              <w:rPr>
                <w:rFonts w:eastAsia="Calibri"/>
                <w:sz w:val="22"/>
                <w:szCs w:val="22"/>
                <w:lang w:eastAsia="en-US"/>
              </w:rPr>
            </w:pPr>
            <w:r w:rsidRPr="00D53A2B">
              <w:rPr>
                <w:rFonts w:eastAsia="Calibri"/>
                <w:sz w:val="22"/>
                <w:szCs w:val="22"/>
                <w:lang w:eastAsia="en-US"/>
              </w:rPr>
              <w:t>Fırın otomasyonu ve kontrolü</w:t>
            </w:r>
          </w:p>
        </w:tc>
        <w:tc>
          <w:tcPr>
            <w:tcW w:w="7450" w:type="dxa"/>
          </w:tcPr>
          <w:p w14:paraId="4D5CBD18" w14:textId="723EF84E" w:rsidR="00600BE6" w:rsidRPr="00D53A2B" w:rsidRDefault="00600BE6" w:rsidP="00A202FD">
            <w:pPr>
              <w:jc w:val="both"/>
              <w:rPr>
                <w:rFonts w:eastAsia="Calibri"/>
                <w:sz w:val="22"/>
                <w:szCs w:val="22"/>
                <w:lang w:eastAsia="en-US"/>
              </w:rPr>
            </w:pPr>
            <w:r w:rsidRPr="00D53A2B">
              <w:rPr>
                <w:rFonts w:eastAsia="Calibri"/>
                <w:sz w:val="22"/>
                <w:szCs w:val="22"/>
                <w:lang w:eastAsia="en-US"/>
              </w:rPr>
              <w:t>Isıtma işlemi, fırın ve hammadde sıcaklığı, hava-yakıt oranı ve fırın basıncı gibi temel parametrelerin gerçek zamanlı olarak kontrol edildiği bir bilgisayar sistemi kullanılarak optimize edilir.</w:t>
            </w:r>
          </w:p>
        </w:tc>
      </w:tr>
      <w:tr w:rsidR="00600BE6" w:rsidRPr="00D53A2B" w14:paraId="4D1139F7" w14:textId="77777777" w:rsidTr="00190F5C">
        <w:tc>
          <w:tcPr>
            <w:tcW w:w="1980" w:type="dxa"/>
          </w:tcPr>
          <w:p w14:paraId="1CBF67D3" w14:textId="7452F553" w:rsidR="00600BE6" w:rsidRPr="00D53A2B" w:rsidRDefault="00190F5C" w:rsidP="00A202FD">
            <w:pPr>
              <w:jc w:val="both"/>
              <w:rPr>
                <w:rFonts w:eastAsia="Calibri"/>
                <w:sz w:val="22"/>
                <w:szCs w:val="22"/>
                <w:lang w:eastAsia="en-US"/>
              </w:rPr>
            </w:pPr>
            <w:r w:rsidRPr="00D53A2B">
              <w:rPr>
                <w:rFonts w:eastAsia="Calibri"/>
                <w:sz w:val="22"/>
                <w:szCs w:val="22"/>
                <w:lang w:eastAsia="en-US"/>
              </w:rPr>
              <w:t>İnce levhalar ve kiriş boşlukları için tam döküme yakın döküm ve ardından haddeleme.</w:t>
            </w:r>
          </w:p>
        </w:tc>
        <w:tc>
          <w:tcPr>
            <w:tcW w:w="7450" w:type="dxa"/>
          </w:tcPr>
          <w:p w14:paraId="75FEDA7F" w14:textId="74787BAE" w:rsidR="00600BE6" w:rsidRPr="00D53A2B" w:rsidRDefault="00190F5C" w:rsidP="00A202FD">
            <w:pPr>
              <w:jc w:val="both"/>
              <w:rPr>
                <w:rFonts w:eastAsia="Calibri"/>
                <w:sz w:val="22"/>
                <w:szCs w:val="22"/>
                <w:lang w:eastAsia="en-US"/>
              </w:rPr>
            </w:pPr>
            <w:r w:rsidRPr="00D53A2B">
              <w:rPr>
                <w:rFonts w:eastAsia="Calibri"/>
                <w:sz w:val="22"/>
                <w:szCs w:val="22"/>
                <w:lang w:eastAsia="en-US"/>
              </w:rPr>
              <w:t>İnce levhalar ve kiriş boşlukları, döküm ve haddelemenin tek bir işlem adımında birleştirilmesiyle üretilir. Haddelemeden önce hammaddeyi yeniden ısıtma ihtiyacı ve haddeleme geçişlerinin sayısı azalır.</w:t>
            </w:r>
          </w:p>
        </w:tc>
      </w:tr>
      <w:tr w:rsidR="00600BE6" w:rsidRPr="00D53A2B" w14:paraId="42DB9A11" w14:textId="77777777" w:rsidTr="00190F5C">
        <w:tc>
          <w:tcPr>
            <w:tcW w:w="1980" w:type="dxa"/>
          </w:tcPr>
          <w:p w14:paraId="28E98E13" w14:textId="4C466410" w:rsidR="00600BE6" w:rsidRPr="00D53A2B" w:rsidRDefault="00190F5C" w:rsidP="00A202FD">
            <w:pPr>
              <w:jc w:val="both"/>
              <w:rPr>
                <w:rFonts w:eastAsia="Calibri"/>
                <w:sz w:val="22"/>
                <w:szCs w:val="22"/>
                <w:lang w:eastAsia="en-US"/>
              </w:rPr>
            </w:pPr>
            <w:r w:rsidRPr="00D53A2B">
              <w:rPr>
                <w:rFonts w:eastAsia="Calibri"/>
                <w:sz w:val="22"/>
                <w:szCs w:val="22"/>
                <w:lang w:eastAsia="en-US"/>
              </w:rPr>
              <w:t>SNCR/SCR tasarımının ve işletiminin optimizasyonu</w:t>
            </w:r>
          </w:p>
        </w:tc>
        <w:tc>
          <w:tcPr>
            <w:tcW w:w="7450" w:type="dxa"/>
          </w:tcPr>
          <w:p w14:paraId="22FC4479" w14:textId="72BDBBA8" w:rsidR="00600BE6" w:rsidRPr="00D53A2B" w:rsidRDefault="00BE07F4" w:rsidP="00A202FD">
            <w:pPr>
              <w:jc w:val="both"/>
              <w:rPr>
                <w:rFonts w:eastAsia="Calibri"/>
                <w:sz w:val="22"/>
                <w:szCs w:val="22"/>
                <w:lang w:eastAsia="en-US"/>
              </w:rPr>
            </w:pPr>
            <w:r w:rsidRPr="00D53A2B">
              <w:rPr>
                <w:rFonts w:eastAsia="Calibri"/>
                <w:sz w:val="22"/>
                <w:szCs w:val="22"/>
                <w:lang w:eastAsia="en-US"/>
              </w:rPr>
              <w:t>Fırın veya kanal kesitindeki reaktif/NO</w:t>
            </w:r>
            <w:r w:rsidRPr="00D53A2B">
              <w:rPr>
                <w:rFonts w:eastAsia="Calibri"/>
                <w:sz w:val="22"/>
                <w:szCs w:val="22"/>
                <w:vertAlign w:val="subscript"/>
                <w:lang w:eastAsia="en-US"/>
              </w:rPr>
              <w:t>X</w:t>
            </w:r>
            <w:r w:rsidRPr="00D53A2B">
              <w:rPr>
                <w:rFonts w:eastAsia="Calibri"/>
                <w:sz w:val="22"/>
                <w:szCs w:val="22"/>
                <w:lang w:eastAsia="en-US"/>
              </w:rPr>
              <w:t xml:space="preserve"> oranının, reaktif damlacıklarının boyutunun ve reaktifin enjekte edildiği sıcaklık penceresinin optimizasyonu.</w:t>
            </w:r>
          </w:p>
        </w:tc>
      </w:tr>
      <w:tr w:rsidR="00600BE6" w:rsidRPr="00D53A2B" w14:paraId="7E802FDB" w14:textId="77777777" w:rsidTr="00190F5C">
        <w:tc>
          <w:tcPr>
            <w:tcW w:w="1980" w:type="dxa"/>
          </w:tcPr>
          <w:p w14:paraId="7DB25C48" w14:textId="28F91546" w:rsidR="00600BE6" w:rsidRPr="00D53A2B" w:rsidRDefault="00BE07F4" w:rsidP="00A202FD">
            <w:pPr>
              <w:jc w:val="both"/>
              <w:rPr>
                <w:rFonts w:eastAsia="Calibri"/>
                <w:sz w:val="22"/>
                <w:szCs w:val="22"/>
                <w:lang w:eastAsia="en-US"/>
              </w:rPr>
            </w:pPr>
            <w:r w:rsidRPr="00D53A2B">
              <w:rPr>
                <w:rFonts w:eastAsia="Calibri"/>
                <w:sz w:val="22"/>
                <w:szCs w:val="22"/>
                <w:lang w:eastAsia="en-US"/>
              </w:rPr>
              <w:t>Oksijenli yakıt yanması</w:t>
            </w:r>
          </w:p>
        </w:tc>
        <w:tc>
          <w:tcPr>
            <w:tcW w:w="7450" w:type="dxa"/>
          </w:tcPr>
          <w:p w14:paraId="3E8B3BC1" w14:textId="5C76B7E0" w:rsidR="00600BE6" w:rsidRPr="00D53A2B" w:rsidRDefault="00BE07F4" w:rsidP="00A202FD">
            <w:pPr>
              <w:jc w:val="both"/>
              <w:rPr>
                <w:rFonts w:eastAsia="Calibri"/>
                <w:sz w:val="22"/>
                <w:szCs w:val="22"/>
                <w:lang w:eastAsia="en-US"/>
              </w:rPr>
            </w:pPr>
            <w:r w:rsidRPr="00D53A2B">
              <w:rPr>
                <w:rFonts w:eastAsia="Calibri"/>
                <w:sz w:val="22"/>
                <w:szCs w:val="22"/>
                <w:lang w:eastAsia="en-US"/>
              </w:rPr>
              <w:t>Yanma havası tamamen veya kısmen saf oksijenle değiştirilir. Oksijen yakıtlı yanma, alevsiz yanma ile birlikte kullanılabilir.</w:t>
            </w:r>
          </w:p>
        </w:tc>
      </w:tr>
      <w:tr w:rsidR="00BE07F4" w:rsidRPr="00D53A2B" w14:paraId="78E15FD7" w14:textId="77777777" w:rsidTr="00190F5C">
        <w:tc>
          <w:tcPr>
            <w:tcW w:w="1980" w:type="dxa"/>
          </w:tcPr>
          <w:p w14:paraId="459F108A" w14:textId="344EFD7A" w:rsidR="00BE07F4" w:rsidRPr="00D53A2B" w:rsidRDefault="00BE07F4" w:rsidP="00A202FD">
            <w:pPr>
              <w:jc w:val="both"/>
              <w:rPr>
                <w:rFonts w:eastAsia="Calibri"/>
                <w:sz w:val="22"/>
                <w:szCs w:val="22"/>
                <w:lang w:eastAsia="en-US"/>
              </w:rPr>
            </w:pPr>
            <w:r w:rsidRPr="00D53A2B">
              <w:rPr>
                <w:rFonts w:eastAsia="Calibri"/>
                <w:sz w:val="22"/>
                <w:szCs w:val="22"/>
                <w:lang w:eastAsia="en-US"/>
              </w:rPr>
              <w:t>Yanma havasının önceden ısıtılması</w:t>
            </w:r>
          </w:p>
        </w:tc>
        <w:tc>
          <w:tcPr>
            <w:tcW w:w="7450" w:type="dxa"/>
          </w:tcPr>
          <w:p w14:paraId="024A5667" w14:textId="2D357A4D" w:rsidR="00BE07F4" w:rsidRPr="00D53A2B" w:rsidRDefault="00BE07F4" w:rsidP="00A202FD">
            <w:pPr>
              <w:jc w:val="both"/>
              <w:rPr>
                <w:rFonts w:eastAsia="Calibri"/>
                <w:sz w:val="22"/>
                <w:szCs w:val="22"/>
                <w:lang w:eastAsia="en-US"/>
              </w:rPr>
            </w:pPr>
            <w:r w:rsidRPr="00D53A2B">
              <w:rPr>
                <w:rFonts w:eastAsia="Calibri"/>
                <w:sz w:val="22"/>
                <w:szCs w:val="22"/>
                <w:lang w:eastAsia="en-US"/>
              </w:rPr>
              <w:t>Yanma baca gazından geri kazanılan ısının bir kısmının, yanmada kullanılan havanın ön ısıtılmasında tekrar kullanılması.</w:t>
            </w:r>
          </w:p>
        </w:tc>
      </w:tr>
      <w:tr w:rsidR="00BE07F4" w:rsidRPr="00D53A2B" w14:paraId="3EA84D03" w14:textId="77777777" w:rsidTr="00190F5C">
        <w:tc>
          <w:tcPr>
            <w:tcW w:w="1980" w:type="dxa"/>
          </w:tcPr>
          <w:p w14:paraId="2C353A75" w14:textId="108B0BFC" w:rsidR="00BE07F4" w:rsidRPr="00D53A2B" w:rsidRDefault="00BE07F4" w:rsidP="00A202FD">
            <w:pPr>
              <w:jc w:val="both"/>
              <w:rPr>
                <w:rFonts w:eastAsia="Calibri"/>
                <w:sz w:val="22"/>
                <w:szCs w:val="22"/>
                <w:lang w:eastAsia="en-US"/>
              </w:rPr>
            </w:pPr>
            <w:r w:rsidRPr="00D53A2B">
              <w:rPr>
                <w:rFonts w:eastAsia="Calibri"/>
                <w:sz w:val="22"/>
                <w:szCs w:val="22"/>
                <w:lang w:eastAsia="en-US"/>
              </w:rPr>
              <w:t>Proses gazı yönetim sistemi</w:t>
            </w:r>
          </w:p>
        </w:tc>
        <w:tc>
          <w:tcPr>
            <w:tcW w:w="7450" w:type="dxa"/>
          </w:tcPr>
          <w:p w14:paraId="11107013" w14:textId="28868999" w:rsidR="00BE07F4" w:rsidRPr="00D53A2B" w:rsidRDefault="00BE07F4" w:rsidP="00A202FD">
            <w:pPr>
              <w:jc w:val="both"/>
              <w:rPr>
                <w:rFonts w:eastAsia="Calibri"/>
                <w:sz w:val="22"/>
                <w:szCs w:val="22"/>
                <w:lang w:eastAsia="en-US"/>
              </w:rPr>
            </w:pPr>
            <w:r w:rsidRPr="00D53A2B">
              <w:rPr>
                <w:rFonts w:eastAsia="Calibri"/>
                <w:sz w:val="22"/>
                <w:szCs w:val="22"/>
                <w:lang w:eastAsia="en-US"/>
              </w:rPr>
              <w:t>Demir çelik proses gazlarının stok durumuna göre hammadde ısıtma fırınlarına yönlendirilmesini sağlayan sistemdir.</w:t>
            </w:r>
          </w:p>
        </w:tc>
      </w:tr>
      <w:tr w:rsidR="00BE07F4" w:rsidRPr="00D53A2B" w14:paraId="3C35A237" w14:textId="77777777" w:rsidTr="00190F5C">
        <w:tc>
          <w:tcPr>
            <w:tcW w:w="1980" w:type="dxa"/>
          </w:tcPr>
          <w:p w14:paraId="518791CC" w14:textId="77777777" w:rsidR="00BE07F4" w:rsidRPr="00D53A2B" w:rsidRDefault="00BE07F4" w:rsidP="00A202FD">
            <w:pPr>
              <w:jc w:val="both"/>
              <w:rPr>
                <w:rFonts w:eastAsia="Calibri"/>
                <w:sz w:val="22"/>
                <w:szCs w:val="22"/>
                <w:lang w:eastAsia="en-US"/>
              </w:rPr>
            </w:pPr>
            <w:r w:rsidRPr="00D53A2B">
              <w:rPr>
                <w:rFonts w:eastAsia="Calibri"/>
                <w:sz w:val="22"/>
                <w:szCs w:val="22"/>
                <w:lang w:eastAsia="en-US"/>
              </w:rPr>
              <w:t>Reküperatif brülör</w:t>
            </w:r>
          </w:p>
          <w:p w14:paraId="3A57889C" w14:textId="3ECB4875" w:rsidR="00BE07F4" w:rsidRPr="00D53A2B" w:rsidRDefault="00BE07F4" w:rsidP="00A202FD">
            <w:pPr>
              <w:jc w:val="both"/>
              <w:rPr>
                <w:rFonts w:eastAsia="Calibri"/>
                <w:sz w:val="22"/>
                <w:szCs w:val="22"/>
                <w:lang w:eastAsia="en-US"/>
              </w:rPr>
            </w:pPr>
          </w:p>
        </w:tc>
        <w:tc>
          <w:tcPr>
            <w:tcW w:w="7450" w:type="dxa"/>
          </w:tcPr>
          <w:p w14:paraId="4B20965F" w14:textId="7304421E" w:rsidR="00BE07F4" w:rsidRPr="00D53A2B" w:rsidRDefault="00BE07F4" w:rsidP="00A202FD">
            <w:pPr>
              <w:jc w:val="both"/>
              <w:rPr>
                <w:rFonts w:eastAsia="Calibri"/>
                <w:sz w:val="22"/>
                <w:szCs w:val="22"/>
                <w:lang w:eastAsia="en-US"/>
              </w:rPr>
            </w:pPr>
            <w:r w:rsidRPr="00D53A2B">
              <w:rPr>
                <w:rFonts w:eastAsia="Calibri"/>
                <w:sz w:val="22"/>
                <w:szCs w:val="22"/>
                <w:lang w:eastAsia="en-US"/>
              </w:rPr>
              <w:t>Reküperatif brülörler, baca gazlarından ısıyı doğrudan geri kazanmak için farklı tipte reküperatörler (örneğin radyasyonlu, konveksiyonlu, kompakt veya radyant tüp tasarımlı ısı eşanjörleri) kullanır ve bu ısı daha sonra yanma havasını ön ısıtmada kullanılır.</w:t>
            </w:r>
          </w:p>
        </w:tc>
      </w:tr>
      <w:tr w:rsidR="00BE07F4" w:rsidRPr="00D53A2B" w14:paraId="3203B8D0" w14:textId="77777777" w:rsidTr="00190F5C">
        <w:tc>
          <w:tcPr>
            <w:tcW w:w="1980" w:type="dxa"/>
          </w:tcPr>
          <w:p w14:paraId="045723F6" w14:textId="114245D8" w:rsidR="00BE07F4" w:rsidRPr="00D53A2B" w:rsidRDefault="00BE07F4" w:rsidP="00A202FD">
            <w:pPr>
              <w:jc w:val="both"/>
              <w:rPr>
                <w:rFonts w:eastAsia="Calibri"/>
                <w:sz w:val="22"/>
                <w:szCs w:val="22"/>
                <w:lang w:eastAsia="en-US"/>
              </w:rPr>
            </w:pPr>
            <w:r w:rsidRPr="00D53A2B">
              <w:rPr>
                <w:rFonts w:eastAsia="Calibri"/>
                <w:sz w:val="22"/>
                <w:szCs w:val="22"/>
                <w:lang w:eastAsia="en-US"/>
              </w:rPr>
              <w:t>Dönme sürtünmesinin azaltılması</w:t>
            </w:r>
          </w:p>
        </w:tc>
        <w:tc>
          <w:tcPr>
            <w:tcW w:w="7450" w:type="dxa"/>
          </w:tcPr>
          <w:p w14:paraId="1E0B4932" w14:textId="5C1E8BC6" w:rsidR="00BE07F4" w:rsidRPr="00D53A2B" w:rsidRDefault="00BE07F4" w:rsidP="00A202FD">
            <w:pPr>
              <w:jc w:val="both"/>
              <w:rPr>
                <w:rFonts w:eastAsia="Calibri"/>
                <w:sz w:val="22"/>
                <w:szCs w:val="22"/>
                <w:lang w:eastAsia="en-US"/>
              </w:rPr>
            </w:pPr>
            <w:r w:rsidRPr="00D53A2B">
              <w:rPr>
                <w:rFonts w:eastAsia="Calibri"/>
                <w:sz w:val="22"/>
                <w:szCs w:val="22"/>
                <w:lang w:eastAsia="en-US"/>
              </w:rPr>
              <w:t>Haddeleme yağları dikkatlice seçilir. Saf yağ ve/veya emülsiyon sistemleri, çalışma silindirleri ile hammadde arasındaki sürtünmeyi azaltmak ve minimum yağ tüketimini sağlamak için kullanılır. HR</w:t>
            </w:r>
            <w:r w:rsidR="00E56504" w:rsidRPr="00D53A2B">
              <w:rPr>
                <w:rFonts w:eastAsia="Calibri"/>
                <w:sz w:val="22"/>
                <w:szCs w:val="22"/>
                <w:lang w:eastAsia="en-US"/>
              </w:rPr>
              <w:t>’</w:t>
            </w:r>
            <w:r w:rsidRPr="00D53A2B">
              <w:rPr>
                <w:rFonts w:eastAsia="Calibri"/>
                <w:sz w:val="22"/>
                <w:szCs w:val="22"/>
                <w:lang w:eastAsia="en-US"/>
              </w:rPr>
              <w:t>de bu genellikle bitirme değirmeninin ilk standlarında gerçekleştirilir.</w:t>
            </w:r>
          </w:p>
        </w:tc>
      </w:tr>
      <w:tr w:rsidR="00BE07F4" w:rsidRPr="00D53A2B" w14:paraId="527D6182" w14:textId="77777777" w:rsidTr="00190F5C">
        <w:tc>
          <w:tcPr>
            <w:tcW w:w="1980" w:type="dxa"/>
          </w:tcPr>
          <w:p w14:paraId="0AFE64B0" w14:textId="15EE3D99" w:rsidR="00BE07F4" w:rsidRPr="00D53A2B" w:rsidRDefault="00BE07F4" w:rsidP="00A202FD">
            <w:pPr>
              <w:jc w:val="both"/>
              <w:rPr>
                <w:rFonts w:eastAsia="Calibri"/>
                <w:sz w:val="22"/>
                <w:szCs w:val="22"/>
                <w:lang w:eastAsia="en-US"/>
              </w:rPr>
            </w:pPr>
            <w:r w:rsidRPr="00D53A2B">
              <w:rPr>
                <w:rFonts w:eastAsia="Calibri"/>
                <w:sz w:val="22"/>
                <w:szCs w:val="22"/>
                <w:lang w:eastAsia="en-US"/>
              </w:rPr>
              <w:t>Rejeneratif brülör</w:t>
            </w:r>
          </w:p>
        </w:tc>
        <w:tc>
          <w:tcPr>
            <w:tcW w:w="7450" w:type="dxa"/>
          </w:tcPr>
          <w:p w14:paraId="5C696610" w14:textId="123465EF" w:rsidR="00BE07F4" w:rsidRPr="00D53A2B" w:rsidRDefault="00BE07F4" w:rsidP="00A202FD">
            <w:pPr>
              <w:jc w:val="both"/>
              <w:rPr>
                <w:rFonts w:eastAsia="Calibri"/>
                <w:sz w:val="22"/>
                <w:szCs w:val="22"/>
                <w:lang w:eastAsia="en-US"/>
              </w:rPr>
            </w:pPr>
            <w:r w:rsidRPr="00D53A2B">
              <w:rPr>
                <w:rFonts w:eastAsia="Calibri"/>
                <w:sz w:val="22"/>
                <w:szCs w:val="22"/>
                <w:lang w:eastAsia="en-US"/>
              </w:rPr>
              <w:t>Rejeneratif brülörler, dönüşümlü olarak çalıştırılan ve refrakter veya seramik malzeme yatakları içeren iki brülörden oluşur. Bir brülör çalışırken, baca gazının ısısı diğer brülörün refrakter veya seramik malzemeleri tarafından emilir ve daha sonra yanma havasını önceden ısıtmak için kullanılır.</w:t>
            </w:r>
          </w:p>
        </w:tc>
      </w:tr>
      <w:tr w:rsidR="00BE07F4" w:rsidRPr="00D53A2B" w14:paraId="707053EA" w14:textId="77777777" w:rsidTr="00190F5C">
        <w:tc>
          <w:tcPr>
            <w:tcW w:w="1980" w:type="dxa"/>
          </w:tcPr>
          <w:p w14:paraId="2E218C1E" w14:textId="2874E4A6" w:rsidR="00BE07F4" w:rsidRPr="00D53A2B" w:rsidRDefault="00BE07F4" w:rsidP="00A202FD">
            <w:pPr>
              <w:jc w:val="both"/>
              <w:rPr>
                <w:rFonts w:eastAsia="Calibri"/>
                <w:sz w:val="22"/>
                <w:szCs w:val="22"/>
                <w:lang w:eastAsia="en-US"/>
              </w:rPr>
            </w:pPr>
            <w:r w:rsidRPr="00D53A2B">
              <w:rPr>
                <w:rFonts w:eastAsia="Calibri"/>
                <w:sz w:val="22"/>
                <w:szCs w:val="22"/>
                <w:lang w:eastAsia="en-US"/>
              </w:rPr>
              <w:t>Atık ısı geri kazanım kazanı</w:t>
            </w:r>
          </w:p>
        </w:tc>
        <w:tc>
          <w:tcPr>
            <w:tcW w:w="7450" w:type="dxa"/>
          </w:tcPr>
          <w:p w14:paraId="58091B7C" w14:textId="3DD530D3" w:rsidR="00BE07F4" w:rsidRPr="00D53A2B" w:rsidRDefault="00BE07F4" w:rsidP="00A202FD">
            <w:pPr>
              <w:jc w:val="both"/>
              <w:rPr>
                <w:rFonts w:eastAsia="Calibri"/>
                <w:sz w:val="22"/>
                <w:szCs w:val="22"/>
                <w:lang w:eastAsia="en-US"/>
              </w:rPr>
            </w:pPr>
            <w:r w:rsidRPr="00D53A2B">
              <w:rPr>
                <w:rFonts w:eastAsia="Calibri"/>
                <w:sz w:val="22"/>
                <w:szCs w:val="22"/>
                <w:lang w:eastAsia="en-US"/>
              </w:rPr>
              <w:t xml:space="preserve">Sıcak baca gazlarından gelen ısı, atık ısı geri kazanım kazanı kullanılarak buhar üretmek için kullanılır. Üretilen buhar, tesisin diğer süreçlerinde, bir </w:t>
            </w:r>
            <w:r w:rsidRPr="00D53A2B">
              <w:rPr>
                <w:rFonts w:eastAsia="Calibri"/>
                <w:sz w:val="22"/>
                <w:szCs w:val="22"/>
                <w:lang w:eastAsia="en-US"/>
              </w:rPr>
              <w:lastRenderedPageBreak/>
              <w:t>buhar şebekesini beslemek veya bir enerji santralinde elektrik üretmek için kullanılır.</w:t>
            </w:r>
          </w:p>
        </w:tc>
      </w:tr>
    </w:tbl>
    <w:p w14:paraId="01267727" w14:textId="77777777" w:rsidR="0071694E" w:rsidRPr="00D53A2B" w:rsidRDefault="0071694E" w:rsidP="00A202FD">
      <w:pPr>
        <w:jc w:val="both"/>
        <w:rPr>
          <w:rFonts w:eastAsia="Calibri"/>
          <w:lang w:eastAsia="en-US"/>
        </w:rPr>
      </w:pPr>
    </w:p>
    <w:p w14:paraId="4FD7C599" w14:textId="1036DB94" w:rsidR="0071694E" w:rsidRPr="00D53A2B" w:rsidRDefault="00D10848" w:rsidP="00A202FD">
      <w:pPr>
        <w:pStyle w:val="Balk3"/>
        <w:rPr>
          <w:rFonts w:eastAsia="Calibri" w:cs="Times New Roman"/>
          <w:lang w:eastAsia="en-US"/>
        </w:rPr>
      </w:pPr>
      <w:r w:rsidRPr="00D53A2B">
        <w:rPr>
          <w:rFonts w:eastAsia="Calibri" w:cs="Times New Roman"/>
          <w:lang w:eastAsia="en-US"/>
        </w:rPr>
        <w:t>1</w:t>
      </w:r>
      <w:r w:rsidR="004A73D5" w:rsidRPr="00D53A2B">
        <w:rPr>
          <w:rFonts w:eastAsia="Calibri" w:cs="Times New Roman"/>
          <w:lang w:eastAsia="en-US"/>
        </w:rPr>
        <w:t>.11.2. Havaya salınan emisyonları azaltma teknikleri</w:t>
      </w:r>
      <w:bookmarkStart w:id="40" w:name="page778"/>
      <w:bookmarkEnd w:id="40"/>
    </w:p>
    <w:tbl>
      <w:tblPr>
        <w:tblStyle w:val="TabloKlavuzu"/>
        <w:tblW w:w="9067" w:type="dxa"/>
        <w:tblLook w:val="04A0" w:firstRow="1" w:lastRow="0" w:firstColumn="1" w:lastColumn="0" w:noHBand="0" w:noVBand="1"/>
      </w:tblPr>
      <w:tblGrid>
        <w:gridCol w:w="1973"/>
        <w:gridCol w:w="7094"/>
      </w:tblGrid>
      <w:tr w:rsidR="009E5CB9" w:rsidRPr="00D53A2B" w14:paraId="04D1CF21" w14:textId="77777777" w:rsidTr="00A1442A">
        <w:tc>
          <w:tcPr>
            <w:tcW w:w="1973" w:type="dxa"/>
          </w:tcPr>
          <w:p w14:paraId="12633315" w14:textId="77777777" w:rsidR="004A73D5" w:rsidRPr="00D53A2B" w:rsidRDefault="004A73D5" w:rsidP="00A202FD">
            <w:pPr>
              <w:jc w:val="both"/>
              <w:rPr>
                <w:rFonts w:eastAsia="Calibri"/>
                <w:sz w:val="22"/>
                <w:szCs w:val="22"/>
                <w:lang w:eastAsia="en-US"/>
              </w:rPr>
            </w:pPr>
            <w:r w:rsidRPr="00D53A2B">
              <w:rPr>
                <w:rFonts w:eastAsia="Calibri"/>
                <w:sz w:val="22"/>
                <w:szCs w:val="22"/>
                <w:lang w:eastAsia="en-US"/>
              </w:rPr>
              <w:t>Teknik</w:t>
            </w:r>
          </w:p>
        </w:tc>
        <w:tc>
          <w:tcPr>
            <w:tcW w:w="7094" w:type="dxa"/>
          </w:tcPr>
          <w:p w14:paraId="02AB686D" w14:textId="77777777" w:rsidR="004A73D5" w:rsidRPr="00D53A2B" w:rsidRDefault="004A73D5" w:rsidP="00A202FD">
            <w:pPr>
              <w:jc w:val="both"/>
              <w:rPr>
                <w:rFonts w:eastAsia="Calibri"/>
                <w:sz w:val="22"/>
                <w:szCs w:val="22"/>
                <w:lang w:eastAsia="en-US"/>
              </w:rPr>
            </w:pPr>
            <w:r w:rsidRPr="00D53A2B">
              <w:rPr>
                <w:rFonts w:eastAsia="Calibri"/>
                <w:sz w:val="22"/>
                <w:szCs w:val="22"/>
                <w:lang w:eastAsia="en-US"/>
              </w:rPr>
              <w:t>Açıklama</w:t>
            </w:r>
          </w:p>
        </w:tc>
      </w:tr>
      <w:tr w:rsidR="009E5CB9" w:rsidRPr="00D53A2B" w14:paraId="72F101A5" w14:textId="77777777" w:rsidTr="00A1442A">
        <w:tc>
          <w:tcPr>
            <w:tcW w:w="1973" w:type="dxa"/>
          </w:tcPr>
          <w:p w14:paraId="2EF311A1" w14:textId="111F0996" w:rsidR="004A73D5" w:rsidRPr="00D53A2B" w:rsidRDefault="00963BEA" w:rsidP="00A202FD">
            <w:pPr>
              <w:jc w:val="both"/>
              <w:rPr>
                <w:rFonts w:eastAsia="Calibri"/>
                <w:sz w:val="22"/>
                <w:szCs w:val="22"/>
                <w:lang w:eastAsia="en-US"/>
              </w:rPr>
            </w:pPr>
            <w:r w:rsidRPr="00D53A2B">
              <w:rPr>
                <w:rFonts w:eastAsia="Calibri"/>
                <w:sz w:val="22"/>
                <w:szCs w:val="22"/>
                <w:lang w:eastAsia="en-US"/>
              </w:rPr>
              <w:t>Yanma optimizasyonu</w:t>
            </w:r>
          </w:p>
        </w:tc>
        <w:tc>
          <w:tcPr>
            <w:tcW w:w="7094" w:type="dxa"/>
          </w:tcPr>
          <w:p w14:paraId="3DF82004" w14:textId="23927F27" w:rsidR="004A73D5" w:rsidRPr="00D53A2B" w:rsidRDefault="00963BEA" w:rsidP="00A202FD">
            <w:pPr>
              <w:jc w:val="both"/>
              <w:rPr>
                <w:rFonts w:eastAsia="Calibri"/>
                <w:sz w:val="22"/>
                <w:szCs w:val="22"/>
                <w:lang w:eastAsia="en-US"/>
              </w:rPr>
            </w:pPr>
            <w:r w:rsidRPr="00D53A2B">
              <w:rPr>
                <w:rFonts w:eastAsia="Calibri"/>
                <w:sz w:val="22"/>
                <w:szCs w:val="22"/>
                <w:lang w:eastAsia="en-US"/>
              </w:rPr>
              <w:t>Bkz. Bölüm</w:t>
            </w:r>
            <w:r w:rsidR="00D10848" w:rsidRPr="00D53A2B">
              <w:rPr>
                <w:rFonts w:eastAsia="Calibri"/>
                <w:sz w:val="22"/>
                <w:szCs w:val="22"/>
                <w:lang w:eastAsia="en-US"/>
              </w:rPr>
              <w:t>1</w:t>
            </w:r>
            <w:r w:rsidRPr="00D53A2B">
              <w:rPr>
                <w:rFonts w:eastAsia="Calibri"/>
                <w:sz w:val="22"/>
                <w:szCs w:val="22"/>
                <w:lang w:eastAsia="en-US"/>
              </w:rPr>
              <w:t>.11.1</w:t>
            </w:r>
          </w:p>
        </w:tc>
      </w:tr>
      <w:tr w:rsidR="009E5CB9" w:rsidRPr="00D53A2B" w14:paraId="56EF375E" w14:textId="77777777" w:rsidTr="00A1442A">
        <w:tc>
          <w:tcPr>
            <w:tcW w:w="1973" w:type="dxa"/>
          </w:tcPr>
          <w:p w14:paraId="22D90457" w14:textId="1F175B45" w:rsidR="00963BEA" w:rsidRPr="00D53A2B" w:rsidRDefault="00963BEA" w:rsidP="00A202FD">
            <w:pPr>
              <w:jc w:val="both"/>
              <w:rPr>
                <w:rFonts w:eastAsia="Calibri"/>
                <w:sz w:val="22"/>
                <w:szCs w:val="22"/>
                <w:lang w:eastAsia="en-US"/>
              </w:rPr>
            </w:pPr>
            <w:r w:rsidRPr="00D53A2B">
              <w:rPr>
                <w:rFonts w:eastAsia="Calibri"/>
                <w:sz w:val="22"/>
                <w:szCs w:val="22"/>
                <w:lang w:eastAsia="en-US"/>
              </w:rPr>
              <w:t>Buğu çözücü</w:t>
            </w:r>
          </w:p>
        </w:tc>
        <w:tc>
          <w:tcPr>
            <w:tcW w:w="7094" w:type="dxa"/>
          </w:tcPr>
          <w:p w14:paraId="7A883892" w14:textId="1A2FEC18" w:rsidR="004A73D5" w:rsidRPr="00D53A2B" w:rsidRDefault="00963BEA" w:rsidP="00A202FD">
            <w:pPr>
              <w:jc w:val="both"/>
              <w:rPr>
                <w:rFonts w:eastAsia="Calibri"/>
                <w:sz w:val="22"/>
                <w:szCs w:val="22"/>
                <w:lang w:eastAsia="en-US"/>
              </w:rPr>
            </w:pPr>
            <w:r w:rsidRPr="00D53A2B">
              <w:rPr>
                <w:rFonts w:eastAsia="Calibri"/>
                <w:sz w:val="22"/>
                <w:szCs w:val="22"/>
                <w:lang w:eastAsia="en-US"/>
              </w:rPr>
              <w:t>Buğu gidericiler, bir gaz akışından sürüklenen sıvı damlacıklarını gideren filtre cihazlarıdır. Yüksek özgül yüzey alanına sahip, metal veya plastik tellerden oluşan dokunmuş bir yapıdan oluşurlar. Momentumları sayesinde gaz akışında bulunan küçük damlacıklar tellere çarpar ve daha büyük damlalar halinde birleşirler.</w:t>
            </w:r>
          </w:p>
        </w:tc>
      </w:tr>
      <w:tr w:rsidR="009E5CB9" w:rsidRPr="00D53A2B" w14:paraId="0DC4C887" w14:textId="77777777" w:rsidTr="00A1442A">
        <w:tc>
          <w:tcPr>
            <w:tcW w:w="1973" w:type="dxa"/>
          </w:tcPr>
          <w:p w14:paraId="322BF494" w14:textId="4CD58ABD" w:rsidR="004A73D5" w:rsidRPr="00D53A2B" w:rsidRDefault="00963BEA" w:rsidP="00A202FD">
            <w:pPr>
              <w:jc w:val="both"/>
              <w:rPr>
                <w:rFonts w:eastAsia="Calibri"/>
                <w:sz w:val="22"/>
                <w:szCs w:val="22"/>
                <w:lang w:eastAsia="en-US"/>
              </w:rPr>
            </w:pPr>
            <w:r w:rsidRPr="00D53A2B">
              <w:rPr>
                <w:rFonts w:eastAsia="Calibri"/>
                <w:sz w:val="22"/>
                <w:szCs w:val="22"/>
                <w:lang w:eastAsia="en-US"/>
              </w:rPr>
              <w:t>Elektrostatik çöktürücü</w:t>
            </w:r>
          </w:p>
        </w:tc>
        <w:tc>
          <w:tcPr>
            <w:tcW w:w="7094" w:type="dxa"/>
          </w:tcPr>
          <w:p w14:paraId="5B52AD07" w14:textId="6324FAFF" w:rsidR="004A73D5" w:rsidRPr="00D53A2B" w:rsidRDefault="00963BEA" w:rsidP="00A202FD">
            <w:pPr>
              <w:jc w:val="both"/>
              <w:rPr>
                <w:rFonts w:eastAsia="Calibri"/>
                <w:sz w:val="22"/>
                <w:szCs w:val="22"/>
                <w:lang w:eastAsia="en-US"/>
              </w:rPr>
            </w:pPr>
            <w:r w:rsidRPr="00D53A2B">
              <w:rPr>
                <w:rFonts w:eastAsia="Calibri"/>
                <w:sz w:val="22"/>
                <w:szCs w:val="22"/>
                <w:lang w:eastAsia="en-US"/>
              </w:rPr>
              <w:t>Elektrostatik çökelticiler, parçacıkların bir elektrik alanının etkisi altında yüklenip ayrılması şeklinde çalışır. Elektrostatik çökelticiler, çok çeşitli koşullar altında çalışabilir. Azaltma verimliliği, alan sayısına, kalma süresine (boyut) ve yukarı akıştaki parçacık giderme cihazlarına bağlı olabilir. Genellikle iki ila beş alan içerirler. Elektrostatik çökelticiler, elektrotlardan tozu toplamak için kullanılan tekniğe bağlı olarak kuru veya ıslak tipte olabilir. Islak ESP</w:t>
            </w:r>
            <w:r w:rsidR="00E56504" w:rsidRPr="00D53A2B">
              <w:rPr>
                <w:rFonts w:eastAsia="Calibri"/>
                <w:sz w:val="22"/>
                <w:szCs w:val="22"/>
                <w:lang w:eastAsia="en-US"/>
              </w:rPr>
              <w:t>’</w:t>
            </w:r>
            <w:r w:rsidRPr="00D53A2B">
              <w:rPr>
                <w:rFonts w:eastAsia="Calibri"/>
                <w:sz w:val="22"/>
                <w:szCs w:val="22"/>
                <w:lang w:eastAsia="en-US"/>
              </w:rPr>
              <w:t>ler genellikle ıslak fırçalamadan sonra kalan tozu ve damlacıkları gidermek için parlatma aşamasında kullanılır.</w:t>
            </w:r>
          </w:p>
        </w:tc>
      </w:tr>
      <w:tr w:rsidR="009E5CB9" w:rsidRPr="00D53A2B" w14:paraId="38ADC141" w14:textId="77777777" w:rsidTr="00A1442A">
        <w:tc>
          <w:tcPr>
            <w:tcW w:w="1973" w:type="dxa"/>
          </w:tcPr>
          <w:p w14:paraId="514D947F" w14:textId="20913B46" w:rsidR="004A73D5" w:rsidRPr="00D53A2B" w:rsidRDefault="00963BEA" w:rsidP="00A202FD">
            <w:pPr>
              <w:jc w:val="both"/>
              <w:rPr>
                <w:rFonts w:eastAsia="Calibri"/>
                <w:sz w:val="22"/>
                <w:szCs w:val="22"/>
                <w:lang w:eastAsia="en-US"/>
              </w:rPr>
            </w:pPr>
            <w:r w:rsidRPr="00D53A2B">
              <w:rPr>
                <w:rFonts w:eastAsia="Calibri"/>
                <w:sz w:val="22"/>
                <w:szCs w:val="22"/>
                <w:lang w:eastAsia="en-US"/>
              </w:rPr>
              <w:t>Bez filtre</w:t>
            </w:r>
          </w:p>
        </w:tc>
        <w:tc>
          <w:tcPr>
            <w:tcW w:w="7094" w:type="dxa"/>
          </w:tcPr>
          <w:p w14:paraId="2846A17B" w14:textId="0F59CF72" w:rsidR="004A73D5" w:rsidRPr="00D53A2B" w:rsidRDefault="009E5CB9" w:rsidP="00A202FD">
            <w:pPr>
              <w:jc w:val="both"/>
              <w:rPr>
                <w:rFonts w:eastAsia="Calibri"/>
                <w:sz w:val="22"/>
                <w:szCs w:val="22"/>
                <w:lang w:eastAsia="en-US"/>
              </w:rPr>
            </w:pPr>
            <w:r w:rsidRPr="00D53A2B">
              <w:rPr>
                <w:rFonts w:eastAsia="Calibri"/>
                <w:sz w:val="22"/>
                <w:szCs w:val="22"/>
                <w:lang w:eastAsia="en-US"/>
              </w:rPr>
              <w:t>Genellikle torba filtreler olarak adlandırılan kumaş filtreler, gazların parçacıkları gidermek için geçirildiği gözenekli dokuma veya keçe kumaştan yapılır. Kumaş filtrenin kullanımı, atık gazın özelliklerine ve maksimum çalışma sıcaklığına uygun bir kumaşın seçilmesini gerektirir.</w:t>
            </w:r>
          </w:p>
        </w:tc>
      </w:tr>
      <w:tr w:rsidR="009E5CB9" w:rsidRPr="00D53A2B" w14:paraId="0D56EBAA" w14:textId="77777777" w:rsidTr="00A1442A">
        <w:tc>
          <w:tcPr>
            <w:tcW w:w="1973" w:type="dxa"/>
          </w:tcPr>
          <w:p w14:paraId="7CDB9EB8" w14:textId="542CAD23" w:rsidR="004A73D5" w:rsidRPr="00D53A2B" w:rsidRDefault="009E5CB9" w:rsidP="00A202FD">
            <w:pPr>
              <w:jc w:val="both"/>
              <w:rPr>
                <w:rFonts w:eastAsia="Calibri"/>
                <w:sz w:val="22"/>
                <w:szCs w:val="22"/>
                <w:lang w:eastAsia="en-US"/>
              </w:rPr>
            </w:pPr>
            <w:r w:rsidRPr="00D53A2B">
              <w:rPr>
                <w:rFonts w:eastAsia="Calibri"/>
                <w:sz w:val="22"/>
                <w:szCs w:val="22"/>
                <w:lang w:eastAsia="en-US"/>
              </w:rPr>
              <w:t>Alevsiz yanma</w:t>
            </w:r>
          </w:p>
        </w:tc>
        <w:tc>
          <w:tcPr>
            <w:tcW w:w="7094" w:type="dxa"/>
          </w:tcPr>
          <w:p w14:paraId="1064FD52" w14:textId="4624D276" w:rsidR="004A73D5" w:rsidRPr="00D53A2B" w:rsidRDefault="009E5CB9" w:rsidP="00A202FD">
            <w:pPr>
              <w:jc w:val="both"/>
              <w:rPr>
                <w:rFonts w:eastAsia="Calibri"/>
                <w:sz w:val="22"/>
                <w:szCs w:val="22"/>
                <w:lang w:eastAsia="en-US"/>
              </w:rPr>
            </w:pPr>
            <w:r w:rsidRPr="00D53A2B">
              <w:rPr>
                <w:rFonts w:eastAsia="Calibri"/>
                <w:sz w:val="22"/>
                <w:szCs w:val="22"/>
                <w:lang w:eastAsia="en-US"/>
              </w:rPr>
              <w:t xml:space="preserve">Bkz. Bölüm </w:t>
            </w:r>
            <w:r w:rsidR="00D10848" w:rsidRPr="00D53A2B">
              <w:rPr>
                <w:rFonts w:eastAsia="Calibri"/>
                <w:sz w:val="22"/>
                <w:szCs w:val="22"/>
                <w:lang w:eastAsia="en-US"/>
              </w:rPr>
              <w:t>1</w:t>
            </w:r>
            <w:r w:rsidRPr="00D53A2B">
              <w:rPr>
                <w:rFonts w:eastAsia="Calibri"/>
                <w:sz w:val="22"/>
                <w:szCs w:val="22"/>
                <w:lang w:eastAsia="en-US"/>
              </w:rPr>
              <w:t>.11.1</w:t>
            </w:r>
          </w:p>
        </w:tc>
      </w:tr>
      <w:tr w:rsidR="009E5CB9" w:rsidRPr="00D53A2B" w14:paraId="64476987" w14:textId="77777777" w:rsidTr="00A1442A">
        <w:tc>
          <w:tcPr>
            <w:tcW w:w="1973" w:type="dxa"/>
          </w:tcPr>
          <w:p w14:paraId="5A9B8710" w14:textId="4AAD926E" w:rsidR="004A73D5" w:rsidRPr="00D53A2B" w:rsidRDefault="009E5CB9" w:rsidP="00A202FD">
            <w:pPr>
              <w:jc w:val="both"/>
              <w:rPr>
                <w:rFonts w:eastAsia="Calibri"/>
                <w:sz w:val="22"/>
                <w:szCs w:val="22"/>
                <w:lang w:eastAsia="en-US"/>
              </w:rPr>
            </w:pPr>
            <w:r w:rsidRPr="00D53A2B">
              <w:rPr>
                <w:rFonts w:eastAsia="Calibri"/>
                <w:sz w:val="22"/>
                <w:szCs w:val="22"/>
                <w:lang w:eastAsia="en-US"/>
              </w:rPr>
              <w:t>Fırın otomasyonu ve kontrolü</w:t>
            </w:r>
          </w:p>
        </w:tc>
        <w:tc>
          <w:tcPr>
            <w:tcW w:w="7094" w:type="dxa"/>
          </w:tcPr>
          <w:p w14:paraId="1B995465" w14:textId="0DAAC3CD" w:rsidR="004A73D5" w:rsidRPr="00D53A2B" w:rsidRDefault="009E5CB9" w:rsidP="00A202FD">
            <w:pPr>
              <w:jc w:val="both"/>
              <w:rPr>
                <w:rFonts w:eastAsia="Calibri"/>
                <w:sz w:val="22"/>
                <w:szCs w:val="22"/>
                <w:lang w:eastAsia="en-US"/>
              </w:rPr>
            </w:pPr>
            <w:r w:rsidRPr="00D53A2B">
              <w:rPr>
                <w:rFonts w:eastAsia="Calibri"/>
                <w:sz w:val="22"/>
                <w:szCs w:val="22"/>
                <w:lang w:eastAsia="en-US"/>
              </w:rPr>
              <w:t>Bkz. Bölüm</w:t>
            </w:r>
            <w:r w:rsidR="00D10848" w:rsidRPr="00D53A2B">
              <w:rPr>
                <w:rFonts w:eastAsia="Calibri"/>
                <w:sz w:val="22"/>
                <w:szCs w:val="22"/>
                <w:lang w:eastAsia="en-US"/>
              </w:rPr>
              <w:t>1</w:t>
            </w:r>
            <w:r w:rsidRPr="00D53A2B">
              <w:rPr>
                <w:rFonts w:eastAsia="Calibri"/>
                <w:sz w:val="22"/>
                <w:szCs w:val="22"/>
                <w:lang w:eastAsia="en-US"/>
              </w:rPr>
              <w:t>.11.1</w:t>
            </w:r>
          </w:p>
        </w:tc>
      </w:tr>
      <w:tr w:rsidR="009E5CB9" w:rsidRPr="00D53A2B" w14:paraId="0390D003" w14:textId="77777777" w:rsidTr="00A1442A">
        <w:tc>
          <w:tcPr>
            <w:tcW w:w="1973" w:type="dxa"/>
          </w:tcPr>
          <w:p w14:paraId="22A83AC9" w14:textId="646152D8" w:rsidR="004A73D5" w:rsidRPr="00D53A2B" w:rsidRDefault="009E5CB9" w:rsidP="00A202FD">
            <w:pPr>
              <w:jc w:val="both"/>
              <w:rPr>
                <w:rFonts w:eastAsia="Calibri"/>
                <w:sz w:val="22"/>
                <w:szCs w:val="22"/>
                <w:lang w:eastAsia="en-US"/>
              </w:rPr>
            </w:pPr>
            <w:r w:rsidRPr="00D53A2B">
              <w:rPr>
                <w:rFonts w:eastAsia="Calibri"/>
                <w:sz w:val="22"/>
                <w:szCs w:val="22"/>
                <w:lang w:eastAsia="en-US"/>
              </w:rPr>
              <w:t xml:space="preserve">Düşük </w:t>
            </w:r>
            <w:r w:rsidR="007B4504" w:rsidRPr="00D53A2B">
              <w:rPr>
                <w:rFonts w:eastAsia="Calibri"/>
                <w:sz w:val="22"/>
                <w:szCs w:val="22"/>
                <w:lang w:eastAsia="en-US"/>
              </w:rPr>
              <w:t>NO</w:t>
            </w:r>
            <w:r w:rsidR="007B4504" w:rsidRPr="00D53A2B">
              <w:rPr>
                <w:rFonts w:eastAsia="Calibri"/>
                <w:sz w:val="22"/>
                <w:szCs w:val="22"/>
                <w:vertAlign w:val="subscript"/>
                <w:lang w:eastAsia="en-US"/>
              </w:rPr>
              <w:t>X</w:t>
            </w:r>
            <w:r w:rsidRPr="00D53A2B">
              <w:rPr>
                <w:rFonts w:eastAsia="Calibri"/>
                <w:sz w:val="22"/>
                <w:szCs w:val="22"/>
                <w:lang w:eastAsia="en-US"/>
              </w:rPr>
              <w:t xml:space="preserve"> brülörü</w:t>
            </w:r>
          </w:p>
        </w:tc>
        <w:tc>
          <w:tcPr>
            <w:tcW w:w="7094" w:type="dxa"/>
          </w:tcPr>
          <w:p w14:paraId="2AE3E339" w14:textId="40F01714" w:rsidR="004A73D5" w:rsidRPr="00D53A2B" w:rsidRDefault="009E5CB9" w:rsidP="00A202FD">
            <w:pPr>
              <w:jc w:val="both"/>
              <w:rPr>
                <w:rFonts w:eastAsia="Calibri"/>
                <w:sz w:val="22"/>
                <w:szCs w:val="22"/>
                <w:lang w:eastAsia="en-US"/>
              </w:rPr>
            </w:pPr>
            <w:r w:rsidRPr="00D53A2B">
              <w:rPr>
                <w:rFonts w:eastAsia="Calibri"/>
                <w:sz w:val="22"/>
                <w:szCs w:val="22"/>
                <w:lang w:eastAsia="en-US"/>
              </w:rPr>
              <w:t>Teknik (ultra düşük NO</w:t>
            </w:r>
            <w:r w:rsidRPr="00D53A2B">
              <w:rPr>
                <w:rFonts w:eastAsia="Calibri"/>
                <w:sz w:val="22"/>
                <w:szCs w:val="22"/>
                <w:vertAlign w:val="subscript"/>
                <w:lang w:eastAsia="en-US"/>
              </w:rPr>
              <w:t>X</w:t>
            </w:r>
            <w:r w:rsidRPr="00D53A2B">
              <w:rPr>
                <w:rFonts w:eastAsia="Calibri"/>
                <w:sz w:val="22"/>
                <w:szCs w:val="22"/>
                <w:lang w:eastAsia="en-US"/>
              </w:rPr>
              <w:t xml:space="preserve"> brülörleri dahil) tepe alev sıcaklıklarını azaltma prensiplerine dayanmaktadır. Hava/yakıt karışımı oksijenin bulunabilirliğini azaltır ve tepe alev sıcaklığını düşürür, böylece yakıt bağlı nitrojenin </w:t>
            </w:r>
            <w:r w:rsidR="007B4504" w:rsidRPr="00D53A2B">
              <w:rPr>
                <w:rFonts w:eastAsia="Calibri"/>
                <w:sz w:val="22"/>
                <w:szCs w:val="22"/>
                <w:lang w:eastAsia="en-US"/>
              </w:rPr>
              <w:t>NO</w:t>
            </w:r>
            <w:r w:rsidR="007B4504" w:rsidRPr="00D53A2B">
              <w:rPr>
                <w:rFonts w:eastAsia="Calibri"/>
                <w:sz w:val="22"/>
                <w:szCs w:val="22"/>
                <w:vertAlign w:val="subscript"/>
                <w:lang w:eastAsia="en-US"/>
              </w:rPr>
              <w:t>X</w:t>
            </w:r>
            <w:r w:rsidR="00E56504" w:rsidRPr="00D53A2B">
              <w:rPr>
                <w:rFonts w:eastAsia="Calibri"/>
                <w:sz w:val="22"/>
                <w:szCs w:val="22"/>
                <w:lang w:eastAsia="en-US"/>
              </w:rPr>
              <w:t>’</w:t>
            </w:r>
            <w:r w:rsidRPr="00D53A2B">
              <w:rPr>
                <w:rFonts w:eastAsia="Calibri"/>
                <w:sz w:val="22"/>
                <w:szCs w:val="22"/>
                <w:lang w:eastAsia="en-US"/>
              </w:rPr>
              <w:t xml:space="preserve">e dönüşümünü ve termal </w:t>
            </w:r>
            <w:r w:rsidR="007B4504" w:rsidRPr="00D53A2B">
              <w:rPr>
                <w:rFonts w:eastAsia="Calibri"/>
                <w:sz w:val="22"/>
                <w:szCs w:val="22"/>
                <w:lang w:eastAsia="en-US"/>
              </w:rPr>
              <w:t>NO</w:t>
            </w:r>
            <w:r w:rsidR="007B4504" w:rsidRPr="00D53A2B">
              <w:rPr>
                <w:rFonts w:eastAsia="Calibri"/>
                <w:sz w:val="22"/>
                <w:szCs w:val="22"/>
                <w:vertAlign w:val="subscript"/>
                <w:lang w:eastAsia="en-US"/>
              </w:rPr>
              <w:t>X</w:t>
            </w:r>
            <w:r w:rsidR="007B4504" w:rsidRPr="00D53A2B">
              <w:rPr>
                <w:rFonts w:eastAsia="Calibri"/>
                <w:sz w:val="22"/>
                <w:szCs w:val="22"/>
                <w:lang w:eastAsia="en-US"/>
              </w:rPr>
              <w:t xml:space="preserve"> </w:t>
            </w:r>
            <w:r w:rsidRPr="00D53A2B">
              <w:rPr>
                <w:rFonts w:eastAsia="Calibri"/>
                <w:sz w:val="22"/>
                <w:szCs w:val="22"/>
                <w:lang w:eastAsia="en-US"/>
              </w:rPr>
              <w:t>oluşumunu geciktirirken yüksek yanma verimliliğini korur.</w:t>
            </w:r>
          </w:p>
        </w:tc>
      </w:tr>
      <w:tr w:rsidR="009E5CB9" w:rsidRPr="00D53A2B" w14:paraId="1C02A61C" w14:textId="77777777" w:rsidTr="00A1442A">
        <w:tc>
          <w:tcPr>
            <w:tcW w:w="1973" w:type="dxa"/>
          </w:tcPr>
          <w:p w14:paraId="6588AF72" w14:textId="4264453D" w:rsidR="004A73D5" w:rsidRPr="00D53A2B" w:rsidRDefault="009E5CB9" w:rsidP="00A202FD">
            <w:pPr>
              <w:jc w:val="both"/>
              <w:rPr>
                <w:rFonts w:eastAsia="Calibri"/>
                <w:sz w:val="22"/>
                <w:szCs w:val="22"/>
                <w:lang w:eastAsia="en-US"/>
              </w:rPr>
            </w:pPr>
            <w:r w:rsidRPr="00D53A2B">
              <w:rPr>
                <w:rFonts w:eastAsia="Calibri"/>
                <w:sz w:val="22"/>
                <w:szCs w:val="22"/>
                <w:lang w:eastAsia="en-US"/>
              </w:rPr>
              <w:t>SNCR/SCR tasarımının ve işletiminin optimizasyonu</w:t>
            </w:r>
          </w:p>
        </w:tc>
        <w:tc>
          <w:tcPr>
            <w:tcW w:w="7094" w:type="dxa"/>
          </w:tcPr>
          <w:p w14:paraId="47BF96A2" w14:textId="6B263529" w:rsidR="004A73D5" w:rsidRPr="00D53A2B" w:rsidRDefault="009E5CB9" w:rsidP="00A202FD">
            <w:pPr>
              <w:jc w:val="both"/>
              <w:rPr>
                <w:rFonts w:eastAsia="Calibri"/>
                <w:sz w:val="22"/>
                <w:szCs w:val="22"/>
                <w:lang w:eastAsia="en-US"/>
              </w:rPr>
            </w:pPr>
            <w:r w:rsidRPr="00D53A2B">
              <w:rPr>
                <w:rFonts w:eastAsia="Calibri"/>
                <w:sz w:val="22"/>
                <w:szCs w:val="22"/>
                <w:lang w:eastAsia="en-US"/>
              </w:rPr>
              <w:t xml:space="preserve">Bkz. Bölüm </w:t>
            </w:r>
            <w:r w:rsidR="00D10848" w:rsidRPr="00D53A2B">
              <w:rPr>
                <w:rFonts w:eastAsia="Calibri"/>
                <w:sz w:val="22"/>
                <w:szCs w:val="22"/>
                <w:lang w:eastAsia="en-US"/>
              </w:rPr>
              <w:t>1</w:t>
            </w:r>
            <w:r w:rsidRPr="00D53A2B">
              <w:rPr>
                <w:rFonts w:eastAsia="Calibri"/>
                <w:sz w:val="22"/>
                <w:szCs w:val="22"/>
                <w:lang w:eastAsia="en-US"/>
              </w:rPr>
              <w:t>.11.1</w:t>
            </w:r>
          </w:p>
        </w:tc>
      </w:tr>
      <w:tr w:rsidR="009E5CB9" w:rsidRPr="00D53A2B" w14:paraId="4C9AA121" w14:textId="77777777" w:rsidTr="00A1442A">
        <w:tc>
          <w:tcPr>
            <w:tcW w:w="1973" w:type="dxa"/>
          </w:tcPr>
          <w:p w14:paraId="2CAB512C" w14:textId="21428B43" w:rsidR="004A73D5" w:rsidRPr="00D53A2B" w:rsidRDefault="009E5CB9" w:rsidP="00A202FD">
            <w:pPr>
              <w:jc w:val="both"/>
              <w:rPr>
                <w:rFonts w:eastAsia="Calibri"/>
                <w:sz w:val="22"/>
                <w:szCs w:val="22"/>
                <w:lang w:eastAsia="en-US"/>
              </w:rPr>
            </w:pPr>
            <w:r w:rsidRPr="00D53A2B">
              <w:rPr>
                <w:rFonts w:eastAsia="Calibri"/>
                <w:sz w:val="22"/>
                <w:szCs w:val="22"/>
                <w:lang w:eastAsia="en-US"/>
              </w:rPr>
              <w:t>Oksijenli yakıt yanması</w:t>
            </w:r>
          </w:p>
        </w:tc>
        <w:tc>
          <w:tcPr>
            <w:tcW w:w="7094" w:type="dxa"/>
          </w:tcPr>
          <w:p w14:paraId="4355C606" w14:textId="33D24DBF" w:rsidR="004A73D5" w:rsidRPr="00D53A2B" w:rsidRDefault="009E5CB9" w:rsidP="00A202FD">
            <w:pPr>
              <w:jc w:val="both"/>
              <w:rPr>
                <w:rFonts w:eastAsia="Calibri"/>
                <w:sz w:val="22"/>
                <w:szCs w:val="22"/>
                <w:lang w:eastAsia="en-US"/>
              </w:rPr>
            </w:pPr>
            <w:r w:rsidRPr="00D53A2B">
              <w:rPr>
                <w:rFonts w:eastAsia="Calibri"/>
                <w:sz w:val="22"/>
                <w:szCs w:val="22"/>
                <w:lang w:eastAsia="en-US"/>
              </w:rPr>
              <w:t xml:space="preserve">Bkz. Bölüm </w:t>
            </w:r>
            <w:r w:rsidR="00D10848" w:rsidRPr="00D53A2B">
              <w:rPr>
                <w:rFonts w:eastAsia="Calibri"/>
                <w:sz w:val="22"/>
                <w:szCs w:val="22"/>
                <w:lang w:eastAsia="en-US"/>
              </w:rPr>
              <w:t>1</w:t>
            </w:r>
            <w:r w:rsidRPr="00D53A2B">
              <w:rPr>
                <w:rFonts w:eastAsia="Calibri"/>
                <w:sz w:val="22"/>
                <w:szCs w:val="22"/>
                <w:lang w:eastAsia="en-US"/>
              </w:rPr>
              <w:t>.11.1</w:t>
            </w:r>
          </w:p>
        </w:tc>
      </w:tr>
      <w:tr w:rsidR="009E5CB9" w:rsidRPr="00D53A2B" w14:paraId="2DAFB050" w14:textId="77777777" w:rsidTr="00A1442A">
        <w:tc>
          <w:tcPr>
            <w:tcW w:w="1973" w:type="dxa"/>
          </w:tcPr>
          <w:p w14:paraId="052CBA9C" w14:textId="5E153710" w:rsidR="004A73D5" w:rsidRPr="00D53A2B" w:rsidRDefault="009E5CB9" w:rsidP="00A202FD">
            <w:pPr>
              <w:jc w:val="both"/>
              <w:rPr>
                <w:rFonts w:eastAsia="Calibri"/>
                <w:sz w:val="22"/>
                <w:szCs w:val="22"/>
                <w:lang w:eastAsia="en-US"/>
              </w:rPr>
            </w:pPr>
            <w:r w:rsidRPr="00D53A2B">
              <w:rPr>
                <w:rFonts w:eastAsia="Calibri"/>
                <w:sz w:val="22"/>
                <w:szCs w:val="22"/>
                <w:lang w:eastAsia="en-US"/>
              </w:rPr>
              <w:t xml:space="preserve">Seçici katalitik indirgeme </w:t>
            </w:r>
          </w:p>
        </w:tc>
        <w:tc>
          <w:tcPr>
            <w:tcW w:w="7094" w:type="dxa"/>
          </w:tcPr>
          <w:p w14:paraId="1FFFA6D3" w14:textId="088950E3" w:rsidR="004A73D5" w:rsidRPr="00D53A2B" w:rsidRDefault="009E5CB9" w:rsidP="00A202FD">
            <w:pPr>
              <w:jc w:val="both"/>
              <w:rPr>
                <w:rFonts w:eastAsia="Calibri"/>
                <w:sz w:val="22"/>
                <w:szCs w:val="22"/>
                <w:lang w:eastAsia="en-US"/>
              </w:rPr>
            </w:pPr>
            <w:r w:rsidRPr="00D53A2B">
              <w:rPr>
                <w:rFonts w:eastAsia="Calibri"/>
                <w:sz w:val="22"/>
                <w:szCs w:val="22"/>
                <w:lang w:eastAsia="en-US"/>
              </w:rPr>
              <w:t>SCR tekniği, üre veya amonyakla yaklaşık 300-450 °C</w:t>
            </w:r>
            <w:r w:rsidR="00E56504" w:rsidRPr="00D53A2B">
              <w:rPr>
                <w:rFonts w:eastAsia="Calibri"/>
                <w:sz w:val="22"/>
                <w:szCs w:val="22"/>
                <w:lang w:eastAsia="en-US"/>
              </w:rPr>
              <w:t>’</w:t>
            </w:r>
            <w:r w:rsidRPr="00D53A2B">
              <w:rPr>
                <w:rFonts w:eastAsia="Calibri"/>
                <w:sz w:val="22"/>
                <w:szCs w:val="22"/>
                <w:lang w:eastAsia="en-US"/>
              </w:rPr>
              <w:t xml:space="preserve">lik optimum çalışma sıcaklığında reaksiyona girerek katalitik bir yatakta </w:t>
            </w:r>
            <w:r w:rsidR="007B4504" w:rsidRPr="00D53A2B">
              <w:rPr>
                <w:rFonts w:eastAsia="Calibri"/>
                <w:sz w:val="22"/>
                <w:szCs w:val="22"/>
                <w:lang w:eastAsia="en-US"/>
              </w:rPr>
              <w:t>NO</w:t>
            </w:r>
            <w:r w:rsidR="007B4504" w:rsidRPr="00D53A2B">
              <w:rPr>
                <w:rFonts w:eastAsia="Calibri"/>
                <w:sz w:val="22"/>
                <w:szCs w:val="22"/>
                <w:vertAlign w:val="subscript"/>
                <w:lang w:eastAsia="en-US"/>
              </w:rPr>
              <w:t>X</w:t>
            </w:r>
            <w:r w:rsidR="00E56504" w:rsidRPr="00D53A2B">
              <w:rPr>
                <w:rFonts w:eastAsia="Calibri"/>
                <w:sz w:val="22"/>
                <w:szCs w:val="22"/>
                <w:lang w:eastAsia="en-US"/>
              </w:rPr>
              <w:t>’</w:t>
            </w:r>
            <w:r w:rsidRPr="00D53A2B">
              <w:rPr>
                <w:rFonts w:eastAsia="Calibri"/>
                <w:sz w:val="22"/>
                <w:szCs w:val="22"/>
                <w:lang w:eastAsia="en-US"/>
              </w:rPr>
              <w:t xml:space="preserve">in nitrojene indirgenmesine dayanır. Birkaç katalizör katmanı uygulanabilir. Birkaç katalizör katmanının kullanımıyla daha yüksek bir </w:t>
            </w:r>
            <w:r w:rsidR="007B4504" w:rsidRPr="00D53A2B">
              <w:rPr>
                <w:rFonts w:eastAsia="Calibri"/>
                <w:sz w:val="22"/>
                <w:szCs w:val="22"/>
                <w:lang w:eastAsia="en-US"/>
              </w:rPr>
              <w:t>NO</w:t>
            </w:r>
            <w:r w:rsidR="007B4504" w:rsidRPr="00D53A2B">
              <w:rPr>
                <w:rFonts w:eastAsia="Calibri"/>
                <w:sz w:val="22"/>
                <w:szCs w:val="22"/>
                <w:vertAlign w:val="subscript"/>
                <w:lang w:eastAsia="en-US"/>
              </w:rPr>
              <w:t>X</w:t>
            </w:r>
            <w:r w:rsidRPr="00D53A2B">
              <w:rPr>
                <w:rFonts w:eastAsia="Calibri"/>
                <w:sz w:val="22"/>
                <w:szCs w:val="22"/>
                <w:lang w:eastAsia="en-US"/>
              </w:rPr>
              <w:t xml:space="preserve"> indirgemesi elde edilir.</w:t>
            </w:r>
          </w:p>
        </w:tc>
      </w:tr>
      <w:tr w:rsidR="009E5CB9" w:rsidRPr="00D53A2B" w14:paraId="5A790857" w14:textId="77777777" w:rsidTr="00A1442A">
        <w:tc>
          <w:tcPr>
            <w:tcW w:w="1973" w:type="dxa"/>
          </w:tcPr>
          <w:p w14:paraId="06F9FC2C" w14:textId="7B1683E0" w:rsidR="004A73D5" w:rsidRPr="00D53A2B" w:rsidRDefault="009E5CB9" w:rsidP="00A202FD">
            <w:pPr>
              <w:jc w:val="both"/>
              <w:rPr>
                <w:rFonts w:eastAsia="Calibri"/>
                <w:sz w:val="22"/>
                <w:szCs w:val="22"/>
                <w:lang w:eastAsia="en-US"/>
              </w:rPr>
            </w:pPr>
            <w:r w:rsidRPr="00D53A2B">
              <w:rPr>
                <w:rFonts w:eastAsia="Calibri"/>
                <w:sz w:val="22"/>
                <w:szCs w:val="22"/>
                <w:lang w:eastAsia="en-US"/>
              </w:rPr>
              <w:t>Seçici</w:t>
            </w:r>
            <w:r w:rsidR="007B4504" w:rsidRPr="00D53A2B">
              <w:rPr>
                <w:rFonts w:eastAsia="Calibri"/>
                <w:sz w:val="22"/>
                <w:szCs w:val="22"/>
                <w:lang w:eastAsia="en-US"/>
              </w:rPr>
              <w:t xml:space="preserve"> olmayan</w:t>
            </w:r>
            <w:r w:rsidRPr="00D53A2B">
              <w:rPr>
                <w:rFonts w:eastAsia="Calibri"/>
                <w:sz w:val="22"/>
                <w:szCs w:val="22"/>
                <w:lang w:eastAsia="en-US"/>
              </w:rPr>
              <w:t xml:space="preserve"> katalitik indirgeme </w:t>
            </w:r>
          </w:p>
        </w:tc>
        <w:tc>
          <w:tcPr>
            <w:tcW w:w="7094" w:type="dxa"/>
          </w:tcPr>
          <w:p w14:paraId="3F4BD00B" w14:textId="2F3E8E32" w:rsidR="004A73D5" w:rsidRPr="00D53A2B" w:rsidRDefault="009E5CB9" w:rsidP="00A202FD">
            <w:pPr>
              <w:jc w:val="both"/>
              <w:rPr>
                <w:rFonts w:eastAsia="Calibri"/>
                <w:sz w:val="22"/>
                <w:szCs w:val="22"/>
                <w:lang w:eastAsia="en-US"/>
              </w:rPr>
            </w:pPr>
            <w:r w:rsidRPr="00D53A2B">
              <w:rPr>
                <w:rFonts w:eastAsia="Calibri"/>
                <w:sz w:val="22"/>
                <w:szCs w:val="22"/>
                <w:lang w:eastAsia="en-US"/>
              </w:rPr>
              <w:t xml:space="preserve">SNCR, </w:t>
            </w:r>
            <w:r w:rsidR="007B4504" w:rsidRPr="00D53A2B">
              <w:rPr>
                <w:rFonts w:eastAsia="Calibri"/>
                <w:sz w:val="22"/>
                <w:szCs w:val="22"/>
                <w:lang w:eastAsia="en-US"/>
              </w:rPr>
              <w:t>NO</w:t>
            </w:r>
            <w:r w:rsidR="007B4504" w:rsidRPr="00D53A2B">
              <w:rPr>
                <w:rFonts w:eastAsia="Calibri"/>
                <w:sz w:val="22"/>
                <w:szCs w:val="22"/>
                <w:vertAlign w:val="subscript"/>
                <w:lang w:eastAsia="en-US"/>
              </w:rPr>
              <w:t>X</w:t>
            </w:r>
            <w:r w:rsidR="00E56504" w:rsidRPr="00D53A2B">
              <w:rPr>
                <w:rFonts w:eastAsia="Calibri"/>
                <w:sz w:val="22"/>
                <w:szCs w:val="22"/>
                <w:lang w:eastAsia="en-US"/>
              </w:rPr>
              <w:t>’</w:t>
            </w:r>
            <w:r w:rsidRPr="00D53A2B">
              <w:rPr>
                <w:rFonts w:eastAsia="Calibri"/>
                <w:sz w:val="22"/>
                <w:szCs w:val="22"/>
                <w:lang w:eastAsia="en-US"/>
              </w:rPr>
              <w:t>in yüksek sıcaklıkta amonyak veya üre ile reaksiyona girerek nitrojene indirgenmesine dayanır. Optimum reaksiyon için çalışma sıcaklığı penceresi 800°C ile 1000°C arasında tutulur.</w:t>
            </w:r>
          </w:p>
        </w:tc>
      </w:tr>
      <w:tr w:rsidR="009E5CB9" w:rsidRPr="00D53A2B" w14:paraId="7A7C6693" w14:textId="77777777" w:rsidTr="00A1442A">
        <w:tc>
          <w:tcPr>
            <w:tcW w:w="1973" w:type="dxa"/>
          </w:tcPr>
          <w:p w14:paraId="7041E358" w14:textId="7AD01D29" w:rsidR="009E5CB9" w:rsidRPr="00D53A2B" w:rsidRDefault="007B4504" w:rsidP="00A202FD">
            <w:pPr>
              <w:jc w:val="both"/>
              <w:rPr>
                <w:rFonts w:eastAsia="Calibri"/>
                <w:sz w:val="22"/>
                <w:szCs w:val="22"/>
                <w:lang w:eastAsia="en-US"/>
              </w:rPr>
            </w:pPr>
            <w:r w:rsidRPr="00D53A2B">
              <w:rPr>
                <w:rFonts w:eastAsia="Calibri"/>
                <w:sz w:val="22"/>
                <w:szCs w:val="22"/>
                <w:lang w:eastAsia="en-US"/>
              </w:rPr>
              <w:t>Yaş yıkayıcı</w:t>
            </w:r>
          </w:p>
        </w:tc>
        <w:tc>
          <w:tcPr>
            <w:tcW w:w="7094" w:type="dxa"/>
          </w:tcPr>
          <w:p w14:paraId="2ABB9CD5" w14:textId="222A5C4A" w:rsidR="004A73D5" w:rsidRPr="00D53A2B" w:rsidRDefault="009E5CB9" w:rsidP="00A202FD">
            <w:pPr>
              <w:jc w:val="both"/>
              <w:rPr>
                <w:rFonts w:eastAsia="Calibri"/>
                <w:sz w:val="22"/>
                <w:szCs w:val="22"/>
                <w:lang w:eastAsia="en-US"/>
              </w:rPr>
            </w:pPr>
            <w:r w:rsidRPr="00D53A2B">
              <w:rPr>
                <w:rFonts w:eastAsia="Calibri"/>
                <w:sz w:val="22"/>
                <w:szCs w:val="22"/>
                <w:lang w:eastAsia="en-US"/>
              </w:rPr>
              <w:t>Gaz veya partikül kirleticilerin bir gaz akışından kütle transferi yoluyla sıvı bir çözücüye, genellikle su veya sulu bir çözeltiye çıkarılması. Kimyasal bir reaksiyon içerebilir (örneğin asit veya alkali bir yıkayıcıda). Bazı durumlarda, bileşikler çözücüden geri kazanılabilir.</w:t>
            </w:r>
          </w:p>
        </w:tc>
      </w:tr>
    </w:tbl>
    <w:p w14:paraId="360FF20F" w14:textId="5BE1F2B2" w:rsidR="0071694E" w:rsidRPr="00D53A2B" w:rsidRDefault="0071694E" w:rsidP="00A202FD">
      <w:pPr>
        <w:jc w:val="both"/>
        <w:rPr>
          <w:rFonts w:eastAsia="Calibri"/>
          <w:lang w:eastAsia="en-US"/>
        </w:rPr>
      </w:pPr>
    </w:p>
    <w:p w14:paraId="1B49F8D8" w14:textId="25FD68F0" w:rsidR="0071694E" w:rsidRPr="00D53A2B" w:rsidRDefault="00D10848" w:rsidP="00A202FD">
      <w:pPr>
        <w:pStyle w:val="Balk3"/>
        <w:rPr>
          <w:rFonts w:eastAsia="Calibri" w:cs="Times New Roman"/>
          <w:lang w:eastAsia="en-US"/>
        </w:rPr>
      </w:pPr>
      <w:bookmarkStart w:id="41" w:name="page779"/>
      <w:bookmarkEnd w:id="41"/>
      <w:r w:rsidRPr="00D53A2B">
        <w:rPr>
          <w:rFonts w:eastAsia="Calibri" w:cs="Times New Roman"/>
          <w:lang w:eastAsia="en-US"/>
        </w:rPr>
        <w:t>1</w:t>
      </w:r>
      <w:r w:rsidR="009E5CB9" w:rsidRPr="00D53A2B">
        <w:rPr>
          <w:rFonts w:eastAsia="Calibri" w:cs="Times New Roman"/>
          <w:lang w:eastAsia="en-US"/>
        </w:rPr>
        <w:t>.11.3 Su emisyonlarını azaltma teknikleri</w:t>
      </w:r>
    </w:p>
    <w:p w14:paraId="4091C8ED" w14:textId="77777777" w:rsidR="0071694E" w:rsidRPr="00D53A2B" w:rsidRDefault="0071694E" w:rsidP="00A202FD">
      <w:pPr>
        <w:jc w:val="both"/>
        <w:rPr>
          <w:rFonts w:eastAsia="Calibri"/>
          <w:lang w:eastAsia="en-US"/>
        </w:rPr>
      </w:pPr>
    </w:p>
    <w:tbl>
      <w:tblPr>
        <w:tblStyle w:val="TabloKlavuzu"/>
        <w:tblW w:w="8926" w:type="dxa"/>
        <w:tblLook w:val="04A0" w:firstRow="1" w:lastRow="0" w:firstColumn="1" w:lastColumn="0" w:noHBand="0" w:noVBand="1"/>
      </w:tblPr>
      <w:tblGrid>
        <w:gridCol w:w="1973"/>
        <w:gridCol w:w="6953"/>
      </w:tblGrid>
      <w:tr w:rsidR="007429F0" w:rsidRPr="00D53A2B" w14:paraId="683DE037" w14:textId="77777777" w:rsidTr="00A1442A">
        <w:tc>
          <w:tcPr>
            <w:tcW w:w="1973" w:type="dxa"/>
          </w:tcPr>
          <w:p w14:paraId="2AB87F19" w14:textId="77777777" w:rsidR="007429F0" w:rsidRPr="00D53A2B" w:rsidRDefault="007429F0" w:rsidP="00A202FD">
            <w:pPr>
              <w:jc w:val="both"/>
              <w:rPr>
                <w:rFonts w:eastAsia="Calibri"/>
                <w:sz w:val="22"/>
                <w:szCs w:val="22"/>
                <w:lang w:eastAsia="en-US"/>
              </w:rPr>
            </w:pPr>
            <w:r w:rsidRPr="00D53A2B">
              <w:rPr>
                <w:rFonts w:eastAsia="Calibri"/>
                <w:sz w:val="22"/>
                <w:szCs w:val="22"/>
                <w:lang w:eastAsia="en-US"/>
              </w:rPr>
              <w:t>Teknik</w:t>
            </w:r>
          </w:p>
        </w:tc>
        <w:tc>
          <w:tcPr>
            <w:tcW w:w="6953" w:type="dxa"/>
          </w:tcPr>
          <w:p w14:paraId="02F0BAE0" w14:textId="77777777" w:rsidR="007429F0" w:rsidRPr="00D53A2B" w:rsidRDefault="007429F0" w:rsidP="00A202FD">
            <w:pPr>
              <w:jc w:val="both"/>
              <w:rPr>
                <w:rFonts w:eastAsia="Calibri"/>
                <w:sz w:val="22"/>
                <w:szCs w:val="22"/>
                <w:lang w:eastAsia="en-US"/>
              </w:rPr>
            </w:pPr>
            <w:r w:rsidRPr="00D53A2B">
              <w:rPr>
                <w:rFonts w:eastAsia="Calibri"/>
                <w:sz w:val="22"/>
                <w:szCs w:val="22"/>
                <w:lang w:eastAsia="en-US"/>
              </w:rPr>
              <w:t>Açıklama</w:t>
            </w:r>
          </w:p>
        </w:tc>
      </w:tr>
      <w:tr w:rsidR="007429F0" w:rsidRPr="00D53A2B" w14:paraId="1CA05F81" w14:textId="77777777" w:rsidTr="00A1442A">
        <w:tc>
          <w:tcPr>
            <w:tcW w:w="1973" w:type="dxa"/>
          </w:tcPr>
          <w:p w14:paraId="28CF8AB5" w14:textId="5518628D" w:rsidR="007429F0" w:rsidRPr="00D53A2B" w:rsidRDefault="007429F0" w:rsidP="00A202FD">
            <w:pPr>
              <w:jc w:val="both"/>
              <w:rPr>
                <w:rFonts w:eastAsia="Calibri"/>
                <w:sz w:val="22"/>
                <w:szCs w:val="22"/>
                <w:lang w:eastAsia="en-US"/>
              </w:rPr>
            </w:pPr>
            <w:r w:rsidRPr="00D53A2B">
              <w:rPr>
                <w:rFonts w:eastAsia="Calibri"/>
                <w:sz w:val="22"/>
                <w:szCs w:val="22"/>
                <w:lang w:eastAsia="en-US"/>
              </w:rPr>
              <w:lastRenderedPageBreak/>
              <w:t>Adsorpsiyon</w:t>
            </w:r>
          </w:p>
        </w:tc>
        <w:tc>
          <w:tcPr>
            <w:tcW w:w="6953" w:type="dxa"/>
          </w:tcPr>
          <w:p w14:paraId="3D08FB60" w14:textId="3A8AB180" w:rsidR="007429F0" w:rsidRPr="00D53A2B" w:rsidRDefault="007429F0" w:rsidP="00A202FD">
            <w:pPr>
              <w:jc w:val="both"/>
              <w:rPr>
                <w:rFonts w:eastAsia="Calibri"/>
                <w:sz w:val="22"/>
                <w:szCs w:val="22"/>
                <w:lang w:eastAsia="en-US"/>
              </w:rPr>
            </w:pPr>
            <w:r w:rsidRPr="00D53A2B">
              <w:rPr>
                <w:rFonts w:eastAsia="Calibri"/>
                <w:sz w:val="22"/>
                <w:szCs w:val="22"/>
                <w:lang w:eastAsia="en-US"/>
              </w:rPr>
              <w:t>Atıksudaki çözünebilir maddelerin (çözünen maddelerin) katı, yüksek gözenekli parçacıkların (genellikle aktif karbon) yüzeyine aktarılması yoluyla uzaklaştırılması.</w:t>
            </w:r>
          </w:p>
        </w:tc>
      </w:tr>
      <w:tr w:rsidR="007429F0" w:rsidRPr="00D53A2B" w14:paraId="4C99BF07" w14:textId="77777777" w:rsidTr="00A1442A">
        <w:tc>
          <w:tcPr>
            <w:tcW w:w="1973" w:type="dxa"/>
          </w:tcPr>
          <w:p w14:paraId="7902CE60" w14:textId="5E68CB36" w:rsidR="007429F0" w:rsidRPr="00D53A2B" w:rsidRDefault="007429F0" w:rsidP="00A202FD">
            <w:pPr>
              <w:jc w:val="both"/>
              <w:rPr>
                <w:rFonts w:eastAsia="Calibri"/>
                <w:sz w:val="22"/>
                <w:szCs w:val="22"/>
                <w:lang w:eastAsia="en-US"/>
              </w:rPr>
            </w:pPr>
            <w:r w:rsidRPr="00D53A2B">
              <w:rPr>
                <w:rFonts w:eastAsia="Calibri"/>
                <w:sz w:val="22"/>
                <w:szCs w:val="22"/>
                <w:lang w:eastAsia="en-US"/>
              </w:rPr>
              <w:t>Aerobik arıtma</w:t>
            </w:r>
          </w:p>
        </w:tc>
        <w:tc>
          <w:tcPr>
            <w:tcW w:w="6953" w:type="dxa"/>
          </w:tcPr>
          <w:p w14:paraId="7BB43D1F" w14:textId="23B69555" w:rsidR="007429F0" w:rsidRPr="00D53A2B" w:rsidRDefault="007429F0" w:rsidP="00A202FD">
            <w:pPr>
              <w:jc w:val="both"/>
              <w:rPr>
                <w:rFonts w:eastAsia="Calibri"/>
                <w:sz w:val="22"/>
                <w:szCs w:val="22"/>
                <w:lang w:eastAsia="en-US"/>
              </w:rPr>
            </w:pPr>
            <w:r w:rsidRPr="00D53A2B">
              <w:rPr>
                <w:rFonts w:eastAsia="Calibri"/>
                <w:sz w:val="22"/>
                <w:szCs w:val="22"/>
                <w:lang w:eastAsia="en-US"/>
              </w:rPr>
              <w:t>Mikroorganizmaların metabolizmasını kullanarak çözünmüş organik kirleticilerin oksijenle biyolojik oksidasyonu. Hava veya saf oksijen olarak enjekte edilen çözünmüş oksijen varlığında, organik bileşenler karbondioksit ve suya mineralize edilir veya diğer metabolitlere ve biyokütleye dönüştürülür.</w:t>
            </w:r>
          </w:p>
        </w:tc>
      </w:tr>
      <w:tr w:rsidR="007429F0" w:rsidRPr="00D53A2B" w14:paraId="056E1C0D" w14:textId="77777777" w:rsidTr="00A1442A">
        <w:tc>
          <w:tcPr>
            <w:tcW w:w="1973" w:type="dxa"/>
          </w:tcPr>
          <w:p w14:paraId="4142579E" w14:textId="6C5BD64E" w:rsidR="007429F0" w:rsidRPr="00D53A2B" w:rsidRDefault="007429F0" w:rsidP="00A202FD">
            <w:pPr>
              <w:jc w:val="both"/>
              <w:rPr>
                <w:rFonts w:eastAsia="Calibri"/>
                <w:sz w:val="22"/>
                <w:szCs w:val="22"/>
                <w:lang w:eastAsia="en-US"/>
              </w:rPr>
            </w:pPr>
            <w:r w:rsidRPr="00D53A2B">
              <w:rPr>
                <w:rFonts w:eastAsia="Calibri"/>
                <w:sz w:val="22"/>
                <w:szCs w:val="22"/>
                <w:lang w:eastAsia="en-US"/>
              </w:rPr>
              <w:t>Kimyasal çöktürme</w:t>
            </w:r>
          </w:p>
        </w:tc>
        <w:tc>
          <w:tcPr>
            <w:tcW w:w="6953" w:type="dxa"/>
          </w:tcPr>
          <w:p w14:paraId="29282DB4" w14:textId="58F8CD6D" w:rsidR="007429F0" w:rsidRPr="00D53A2B" w:rsidRDefault="00DB1C35" w:rsidP="00A202FD">
            <w:pPr>
              <w:jc w:val="both"/>
              <w:rPr>
                <w:rFonts w:eastAsia="Calibri"/>
                <w:sz w:val="22"/>
                <w:szCs w:val="22"/>
                <w:lang w:eastAsia="en-US"/>
              </w:rPr>
            </w:pPr>
            <w:r w:rsidRPr="00D53A2B">
              <w:rPr>
                <w:rFonts w:eastAsia="Calibri"/>
                <w:sz w:val="22"/>
                <w:szCs w:val="22"/>
                <w:lang w:eastAsia="en-US"/>
              </w:rPr>
              <w:t>Çözünmüş kirleticilerin kimyasal çökelticiler eklenerek çözünmeyen bir bileşiğe dönüştürülmesi. Oluşan katı çökeltiler daha sonra sedimantasyon, hava flotasyonu veya filtrasyon ile ayrılır. Gerekirse, bunu mikrofiltrasyon veya ultrafiltrasyon takip edebilir. Çok değerlikli metal iyonları (örneğin kalsiyum, alüminyum, demir) fosfor çökeltmesi için kullanılır.</w:t>
            </w:r>
          </w:p>
        </w:tc>
      </w:tr>
      <w:tr w:rsidR="007429F0" w:rsidRPr="00D53A2B" w14:paraId="741F8507" w14:textId="77777777" w:rsidTr="00A1442A">
        <w:tc>
          <w:tcPr>
            <w:tcW w:w="1973" w:type="dxa"/>
          </w:tcPr>
          <w:p w14:paraId="6C36C10A" w14:textId="55099DFE" w:rsidR="007429F0" w:rsidRPr="00D53A2B" w:rsidRDefault="00DB1C35" w:rsidP="00A202FD">
            <w:pPr>
              <w:jc w:val="both"/>
              <w:rPr>
                <w:rFonts w:eastAsia="Calibri"/>
                <w:sz w:val="22"/>
                <w:szCs w:val="22"/>
                <w:lang w:eastAsia="en-US"/>
              </w:rPr>
            </w:pPr>
            <w:r w:rsidRPr="00D53A2B">
              <w:rPr>
                <w:rFonts w:eastAsia="Calibri"/>
                <w:sz w:val="22"/>
                <w:szCs w:val="22"/>
                <w:lang w:eastAsia="en-US"/>
              </w:rPr>
              <w:t>Kimyasal indirgeme</w:t>
            </w:r>
          </w:p>
        </w:tc>
        <w:tc>
          <w:tcPr>
            <w:tcW w:w="6953" w:type="dxa"/>
          </w:tcPr>
          <w:p w14:paraId="0B987DD1" w14:textId="2F8E46E4" w:rsidR="007429F0" w:rsidRPr="00D53A2B" w:rsidRDefault="00DB1C35" w:rsidP="00A202FD">
            <w:pPr>
              <w:jc w:val="both"/>
              <w:rPr>
                <w:rFonts w:eastAsia="Calibri"/>
                <w:sz w:val="22"/>
                <w:szCs w:val="22"/>
                <w:lang w:eastAsia="en-US"/>
              </w:rPr>
            </w:pPr>
            <w:r w:rsidRPr="00D53A2B">
              <w:rPr>
                <w:rFonts w:eastAsia="Calibri"/>
                <w:sz w:val="22"/>
                <w:szCs w:val="22"/>
                <w:lang w:eastAsia="en-US"/>
              </w:rPr>
              <w:t>Kirleticilerin kimyasal indirgeyici maddelerle benzer ancak daha az zararlı veya tehlikeli bileşiklere dönüştürülmesi.</w:t>
            </w:r>
          </w:p>
        </w:tc>
      </w:tr>
      <w:tr w:rsidR="007429F0" w:rsidRPr="00D53A2B" w14:paraId="5FF678EC" w14:textId="77777777" w:rsidTr="00A1442A">
        <w:tc>
          <w:tcPr>
            <w:tcW w:w="1973" w:type="dxa"/>
          </w:tcPr>
          <w:p w14:paraId="783F5008" w14:textId="29A043DE" w:rsidR="007429F0" w:rsidRPr="00D53A2B" w:rsidRDefault="00DB1C35" w:rsidP="00A202FD">
            <w:pPr>
              <w:jc w:val="both"/>
              <w:rPr>
                <w:rFonts w:eastAsia="Calibri"/>
                <w:sz w:val="22"/>
                <w:szCs w:val="22"/>
                <w:lang w:eastAsia="en-US"/>
              </w:rPr>
            </w:pPr>
            <w:r w:rsidRPr="00D53A2B">
              <w:rPr>
                <w:rFonts w:eastAsia="Calibri"/>
                <w:sz w:val="22"/>
                <w:szCs w:val="22"/>
                <w:lang w:eastAsia="en-US"/>
              </w:rPr>
              <w:t>Koagülasyon ve flokülasyon</w:t>
            </w:r>
          </w:p>
        </w:tc>
        <w:tc>
          <w:tcPr>
            <w:tcW w:w="6953" w:type="dxa"/>
          </w:tcPr>
          <w:p w14:paraId="2FEE31BA" w14:textId="75C84EE4" w:rsidR="007429F0" w:rsidRPr="00D53A2B" w:rsidRDefault="00DB1C35" w:rsidP="00A202FD">
            <w:pPr>
              <w:jc w:val="both"/>
              <w:rPr>
                <w:rFonts w:eastAsia="Calibri"/>
                <w:sz w:val="22"/>
                <w:szCs w:val="22"/>
                <w:lang w:eastAsia="en-US"/>
              </w:rPr>
            </w:pPr>
            <w:r w:rsidRPr="00D53A2B">
              <w:rPr>
                <w:rFonts w:eastAsia="Calibri"/>
                <w:sz w:val="22"/>
                <w:szCs w:val="22"/>
                <w:lang w:eastAsia="en-US"/>
              </w:rPr>
              <w:t>Koagülasyon ve flokülasyon, askıda katı maddeleri atıksudan ayırmak için kullanılır ve genellikle ardışık adımlar halinde gerçekleştirilir. Koagülasyon, askıda katı maddelerin yüklerine zıt yükleri olan pıhtılaştırıcılar eklenerek gerçekleştirilir. Flokülasyon, polimerler eklenerek gerçekleştirilir, böylece mikroflok parçacıklarının çarpışmaları, daha büyük floklar üretmek için bağlanmalarına neden olur.</w:t>
            </w:r>
          </w:p>
        </w:tc>
      </w:tr>
      <w:tr w:rsidR="007429F0" w:rsidRPr="00D53A2B" w14:paraId="31E27F27" w14:textId="77777777" w:rsidTr="00A1442A">
        <w:tc>
          <w:tcPr>
            <w:tcW w:w="1973" w:type="dxa"/>
          </w:tcPr>
          <w:p w14:paraId="0D89D319" w14:textId="198E5A82" w:rsidR="007429F0" w:rsidRPr="00D53A2B" w:rsidRDefault="00DB1C35" w:rsidP="00A202FD">
            <w:pPr>
              <w:jc w:val="both"/>
              <w:rPr>
                <w:rFonts w:eastAsia="Calibri"/>
                <w:sz w:val="22"/>
                <w:szCs w:val="22"/>
                <w:lang w:eastAsia="en-US"/>
              </w:rPr>
            </w:pPr>
            <w:r w:rsidRPr="00D53A2B">
              <w:rPr>
                <w:rFonts w:eastAsia="Calibri"/>
                <w:sz w:val="22"/>
                <w:szCs w:val="22"/>
                <w:lang w:eastAsia="en-US"/>
              </w:rPr>
              <w:t>Dengeleme</w:t>
            </w:r>
          </w:p>
        </w:tc>
        <w:tc>
          <w:tcPr>
            <w:tcW w:w="6953" w:type="dxa"/>
          </w:tcPr>
          <w:p w14:paraId="7B7425FE" w14:textId="0ECD2FA4" w:rsidR="007429F0" w:rsidRPr="00D53A2B" w:rsidRDefault="00DB1C35" w:rsidP="00A202FD">
            <w:pPr>
              <w:jc w:val="both"/>
              <w:rPr>
                <w:rFonts w:eastAsia="Calibri"/>
                <w:sz w:val="22"/>
                <w:szCs w:val="22"/>
                <w:lang w:eastAsia="en-US"/>
              </w:rPr>
            </w:pPr>
            <w:r w:rsidRPr="00D53A2B">
              <w:rPr>
                <w:rFonts w:eastAsia="Calibri"/>
                <w:sz w:val="22"/>
                <w:szCs w:val="22"/>
                <w:lang w:eastAsia="en-US"/>
              </w:rPr>
              <w:t xml:space="preserve">Son </w:t>
            </w:r>
            <w:r w:rsidR="00651500" w:rsidRPr="00D53A2B">
              <w:rPr>
                <w:rFonts w:eastAsia="Calibri"/>
                <w:sz w:val="22"/>
                <w:szCs w:val="22"/>
                <w:lang w:eastAsia="en-US"/>
              </w:rPr>
              <w:t>atıksu</w:t>
            </w:r>
            <w:r w:rsidRPr="00D53A2B">
              <w:rPr>
                <w:rFonts w:eastAsia="Calibri"/>
                <w:sz w:val="22"/>
                <w:szCs w:val="22"/>
                <w:lang w:eastAsia="en-US"/>
              </w:rPr>
              <w:t>arıtımının girişinde akışların ve kirletici yüklerinin merkezi tanklar kullanılarak dengelenmesi. Dengeleme, dağıtılmış olabilir veya diğer yönetim teknikleri kullanılarak gerçekleştirilebilir.</w:t>
            </w:r>
          </w:p>
        </w:tc>
      </w:tr>
      <w:tr w:rsidR="007429F0" w:rsidRPr="00D53A2B" w14:paraId="4E115CB2" w14:textId="77777777" w:rsidTr="00A1442A">
        <w:tc>
          <w:tcPr>
            <w:tcW w:w="1973" w:type="dxa"/>
          </w:tcPr>
          <w:p w14:paraId="5934DB00" w14:textId="085162C7" w:rsidR="007429F0" w:rsidRPr="00D53A2B" w:rsidRDefault="00DB1C35" w:rsidP="00A202FD">
            <w:pPr>
              <w:jc w:val="both"/>
              <w:rPr>
                <w:rFonts w:eastAsia="Calibri"/>
                <w:sz w:val="22"/>
                <w:szCs w:val="22"/>
                <w:lang w:eastAsia="en-US"/>
              </w:rPr>
            </w:pPr>
            <w:r w:rsidRPr="00D53A2B">
              <w:rPr>
                <w:rFonts w:eastAsia="Calibri"/>
                <w:sz w:val="22"/>
                <w:szCs w:val="22"/>
                <w:lang w:eastAsia="en-US"/>
              </w:rPr>
              <w:t>Filtrasyon</w:t>
            </w:r>
          </w:p>
        </w:tc>
        <w:tc>
          <w:tcPr>
            <w:tcW w:w="6953" w:type="dxa"/>
          </w:tcPr>
          <w:p w14:paraId="5BC2750D" w14:textId="20878767" w:rsidR="007429F0" w:rsidRPr="00D53A2B" w:rsidRDefault="00DB1C35" w:rsidP="00A202FD">
            <w:pPr>
              <w:jc w:val="both"/>
              <w:rPr>
                <w:rFonts w:eastAsia="Calibri"/>
                <w:sz w:val="22"/>
                <w:szCs w:val="22"/>
                <w:lang w:eastAsia="en-US"/>
              </w:rPr>
            </w:pPr>
            <w:r w:rsidRPr="00D53A2B">
              <w:rPr>
                <w:rFonts w:eastAsia="Calibri"/>
                <w:sz w:val="22"/>
                <w:szCs w:val="22"/>
                <w:lang w:eastAsia="en-US"/>
              </w:rPr>
              <w:t>Katıların atıksudan gözenekli bir ortamdan geçirilerek ayrılması, örneğin kum filtrasyonu, mikrofiltrasyon ve ultrafiltrasyon.</w:t>
            </w:r>
          </w:p>
        </w:tc>
      </w:tr>
      <w:tr w:rsidR="007429F0" w:rsidRPr="00D53A2B" w14:paraId="29038860" w14:textId="77777777" w:rsidTr="00A1442A">
        <w:tc>
          <w:tcPr>
            <w:tcW w:w="1973" w:type="dxa"/>
          </w:tcPr>
          <w:p w14:paraId="0B1E04DD" w14:textId="3F4C0BBB" w:rsidR="007429F0" w:rsidRPr="00D53A2B" w:rsidRDefault="00DB1C35" w:rsidP="00A202FD">
            <w:pPr>
              <w:jc w:val="both"/>
              <w:rPr>
                <w:rFonts w:eastAsia="Calibri"/>
                <w:sz w:val="22"/>
                <w:szCs w:val="22"/>
                <w:lang w:eastAsia="en-US"/>
              </w:rPr>
            </w:pPr>
            <w:r w:rsidRPr="00D53A2B">
              <w:rPr>
                <w:rFonts w:eastAsia="Calibri"/>
                <w:sz w:val="22"/>
                <w:szCs w:val="22"/>
                <w:lang w:eastAsia="en-US"/>
              </w:rPr>
              <w:t>Flotasyon</w:t>
            </w:r>
          </w:p>
        </w:tc>
        <w:tc>
          <w:tcPr>
            <w:tcW w:w="6953" w:type="dxa"/>
          </w:tcPr>
          <w:p w14:paraId="19AD50DA" w14:textId="0A623697" w:rsidR="007429F0" w:rsidRPr="00D53A2B" w:rsidRDefault="00DB1C35" w:rsidP="00A202FD">
            <w:pPr>
              <w:jc w:val="both"/>
              <w:rPr>
                <w:rFonts w:eastAsia="Calibri"/>
                <w:sz w:val="22"/>
                <w:szCs w:val="22"/>
                <w:lang w:eastAsia="en-US"/>
              </w:rPr>
            </w:pPr>
            <w:r w:rsidRPr="00D53A2B">
              <w:rPr>
                <w:rFonts w:eastAsia="Calibri"/>
                <w:sz w:val="22"/>
                <w:szCs w:val="22"/>
                <w:lang w:eastAsia="en-US"/>
              </w:rPr>
              <w:t xml:space="preserve">Katı veya sıvı parçacıkların atıksudan, genellikle hava olan ince gaz kabarcıklarına bağlanarak ayrılması. Yüzen parçacıklar su yüzeyinde birikir ve </w:t>
            </w:r>
            <w:r w:rsidR="007B4504" w:rsidRPr="00D53A2B">
              <w:rPr>
                <w:rFonts w:eastAsia="Calibri"/>
                <w:sz w:val="22"/>
                <w:szCs w:val="22"/>
                <w:lang w:eastAsia="en-US"/>
              </w:rPr>
              <w:t>sıyırıcılarla</w:t>
            </w:r>
            <w:r w:rsidRPr="00D53A2B">
              <w:rPr>
                <w:rFonts w:eastAsia="Calibri"/>
                <w:sz w:val="22"/>
                <w:szCs w:val="22"/>
                <w:lang w:eastAsia="en-US"/>
              </w:rPr>
              <w:t xml:space="preserve"> toplanır.</w:t>
            </w:r>
          </w:p>
        </w:tc>
      </w:tr>
      <w:tr w:rsidR="007429F0" w:rsidRPr="00D53A2B" w14:paraId="04B83A83" w14:textId="77777777" w:rsidTr="00A1442A">
        <w:tc>
          <w:tcPr>
            <w:tcW w:w="1973" w:type="dxa"/>
          </w:tcPr>
          <w:p w14:paraId="079381CD" w14:textId="06069D77" w:rsidR="007429F0" w:rsidRPr="00D53A2B" w:rsidRDefault="00DB1C35" w:rsidP="00A202FD">
            <w:pPr>
              <w:jc w:val="both"/>
              <w:rPr>
                <w:rFonts w:eastAsia="Calibri"/>
                <w:sz w:val="22"/>
                <w:szCs w:val="22"/>
                <w:lang w:eastAsia="en-US"/>
              </w:rPr>
            </w:pPr>
            <w:r w:rsidRPr="00D53A2B">
              <w:rPr>
                <w:rFonts w:eastAsia="Calibri"/>
                <w:sz w:val="22"/>
                <w:szCs w:val="22"/>
                <w:lang w:eastAsia="en-US"/>
              </w:rPr>
              <w:t>Nanofiltrasyon</w:t>
            </w:r>
          </w:p>
        </w:tc>
        <w:tc>
          <w:tcPr>
            <w:tcW w:w="6953" w:type="dxa"/>
          </w:tcPr>
          <w:p w14:paraId="40E74E6B" w14:textId="5C36484D" w:rsidR="007429F0" w:rsidRPr="00D53A2B" w:rsidRDefault="00DB1C35" w:rsidP="00A202FD">
            <w:pPr>
              <w:jc w:val="both"/>
              <w:rPr>
                <w:rFonts w:eastAsia="Calibri"/>
                <w:sz w:val="22"/>
                <w:szCs w:val="22"/>
                <w:lang w:eastAsia="en-US"/>
              </w:rPr>
            </w:pPr>
            <w:r w:rsidRPr="00D53A2B">
              <w:rPr>
                <w:rFonts w:eastAsia="Calibri"/>
                <w:sz w:val="22"/>
                <w:szCs w:val="22"/>
                <w:lang w:eastAsia="en-US"/>
              </w:rPr>
              <w:t>Yaklaşık 1 nm gözenek büyüklüğüne sahip membranların kullanıldığı bir filtrasyon işlemidir.</w:t>
            </w:r>
          </w:p>
        </w:tc>
      </w:tr>
      <w:tr w:rsidR="007429F0" w:rsidRPr="00D53A2B" w14:paraId="6F3E0C05" w14:textId="77777777" w:rsidTr="00A1442A">
        <w:tc>
          <w:tcPr>
            <w:tcW w:w="1973" w:type="dxa"/>
          </w:tcPr>
          <w:p w14:paraId="2AA96CB0" w14:textId="6E6AF9F8" w:rsidR="007429F0" w:rsidRPr="00D53A2B" w:rsidRDefault="00DB1C35" w:rsidP="00A202FD">
            <w:pPr>
              <w:jc w:val="both"/>
              <w:rPr>
                <w:rFonts w:eastAsia="Calibri"/>
                <w:sz w:val="22"/>
                <w:szCs w:val="22"/>
                <w:lang w:eastAsia="en-US"/>
              </w:rPr>
            </w:pPr>
            <w:r w:rsidRPr="00D53A2B">
              <w:rPr>
                <w:rFonts w:eastAsia="Calibri"/>
                <w:sz w:val="22"/>
                <w:szCs w:val="22"/>
                <w:lang w:eastAsia="en-US"/>
              </w:rPr>
              <w:t>Nötralizasyon</w:t>
            </w:r>
          </w:p>
        </w:tc>
        <w:tc>
          <w:tcPr>
            <w:tcW w:w="6953" w:type="dxa"/>
          </w:tcPr>
          <w:p w14:paraId="40BB5F26" w14:textId="74D4ECDC" w:rsidR="007429F0" w:rsidRPr="00D53A2B" w:rsidRDefault="00DB1C35" w:rsidP="00A202FD">
            <w:pPr>
              <w:jc w:val="both"/>
              <w:rPr>
                <w:rFonts w:eastAsia="Calibri"/>
                <w:sz w:val="22"/>
                <w:szCs w:val="22"/>
                <w:lang w:eastAsia="en-US"/>
              </w:rPr>
            </w:pPr>
            <w:r w:rsidRPr="00D53A2B">
              <w:rPr>
                <w:rFonts w:eastAsia="Calibri"/>
                <w:sz w:val="22"/>
                <w:szCs w:val="22"/>
                <w:lang w:eastAsia="en-US"/>
              </w:rPr>
              <w:t>Atıksuyun pH</w:t>
            </w:r>
            <w:r w:rsidR="00E56504" w:rsidRPr="00D53A2B">
              <w:rPr>
                <w:rFonts w:eastAsia="Calibri"/>
                <w:sz w:val="22"/>
                <w:szCs w:val="22"/>
                <w:lang w:eastAsia="en-US"/>
              </w:rPr>
              <w:t>’</w:t>
            </w:r>
            <w:r w:rsidRPr="00D53A2B">
              <w:rPr>
                <w:rFonts w:eastAsia="Calibri"/>
                <w:sz w:val="22"/>
                <w:szCs w:val="22"/>
                <w:lang w:eastAsia="en-US"/>
              </w:rPr>
              <w:t>ının kimyasalların eklenmesiyle nötr bir seviyeye (yaklaşık 7) ayarlanması. Sodyum hidroksit (NaOH) veya kalsiyum hidroksit (Ca(OH)</w:t>
            </w:r>
            <w:r w:rsidRPr="00D53A2B">
              <w:rPr>
                <w:rFonts w:eastAsia="Calibri"/>
                <w:sz w:val="22"/>
                <w:szCs w:val="22"/>
                <w:vertAlign w:val="subscript"/>
                <w:lang w:eastAsia="en-US"/>
              </w:rPr>
              <w:t>2</w:t>
            </w:r>
            <w:r w:rsidRPr="00D53A2B">
              <w:rPr>
                <w:rFonts w:eastAsia="Calibri"/>
                <w:sz w:val="22"/>
                <w:szCs w:val="22"/>
                <w:lang w:eastAsia="en-US"/>
              </w:rPr>
              <w:t>) genellikle pH</w:t>
            </w:r>
            <w:r w:rsidR="00E56504" w:rsidRPr="00D53A2B">
              <w:rPr>
                <w:rFonts w:eastAsia="Calibri"/>
                <w:sz w:val="22"/>
                <w:szCs w:val="22"/>
                <w:lang w:eastAsia="en-US"/>
              </w:rPr>
              <w:t>’</w:t>
            </w:r>
            <w:r w:rsidRPr="00D53A2B">
              <w:rPr>
                <w:rFonts w:eastAsia="Calibri"/>
                <w:sz w:val="22"/>
                <w:szCs w:val="22"/>
                <w:lang w:eastAsia="en-US"/>
              </w:rPr>
              <w:t>ı artırmak için kullanılırken, sülfürik asit (H</w:t>
            </w:r>
            <w:r w:rsidRPr="00D53A2B">
              <w:rPr>
                <w:rFonts w:eastAsia="Calibri"/>
                <w:sz w:val="22"/>
                <w:szCs w:val="22"/>
                <w:vertAlign w:val="subscript"/>
                <w:lang w:eastAsia="en-US"/>
              </w:rPr>
              <w:t>2</w:t>
            </w:r>
            <w:r w:rsidRPr="00D53A2B">
              <w:rPr>
                <w:rFonts w:eastAsia="Calibri"/>
                <w:sz w:val="22"/>
                <w:szCs w:val="22"/>
                <w:lang w:eastAsia="en-US"/>
              </w:rPr>
              <w:t>SO</w:t>
            </w:r>
            <w:r w:rsidRPr="00D53A2B">
              <w:rPr>
                <w:rFonts w:eastAsia="Calibri"/>
                <w:sz w:val="22"/>
                <w:szCs w:val="22"/>
                <w:vertAlign w:val="subscript"/>
                <w:lang w:eastAsia="en-US"/>
              </w:rPr>
              <w:t>4</w:t>
            </w:r>
            <w:r w:rsidRPr="00D53A2B">
              <w:rPr>
                <w:rFonts w:eastAsia="Calibri"/>
                <w:sz w:val="22"/>
                <w:szCs w:val="22"/>
                <w:lang w:eastAsia="en-US"/>
              </w:rPr>
              <w:t>), hidroklorik asit (HCl) veya karbondioksit (CO</w:t>
            </w:r>
            <w:r w:rsidRPr="00D53A2B">
              <w:rPr>
                <w:rFonts w:eastAsia="Calibri"/>
                <w:sz w:val="22"/>
                <w:szCs w:val="22"/>
                <w:vertAlign w:val="subscript"/>
                <w:lang w:eastAsia="en-US"/>
              </w:rPr>
              <w:t>2</w:t>
            </w:r>
            <w:r w:rsidRPr="00D53A2B">
              <w:rPr>
                <w:rFonts w:eastAsia="Calibri"/>
                <w:sz w:val="22"/>
                <w:szCs w:val="22"/>
                <w:lang w:eastAsia="en-US"/>
              </w:rPr>
              <w:t>) genellikle pH</w:t>
            </w:r>
            <w:r w:rsidR="00E56504" w:rsidRPr="00D53A2B">
              <w:rPr>
                <w:rFonts w:eastAsia="Calibri"/>
                <w:sz w:val="22"/>
                <w:szCs w:val="22"/>
                <w:lang w:eastAsia="en-US"/>
              </w:rPr>
              <w:t>’</w:t>
            </w:r>
            <w:r w:rsidRPr="00D53A2B">
              <w:rPr>
                <w:rFonts w:eastAsia="Calibri"/>
                <w:sz w:val="22"/>
                <w:szCs w:val="22"/>
                <w:lang w:eastAsia="en-US"/>
              </w:rPr>
              <w:t>ı düşürmek için kullanılır. Nötralizasyon sırasında bazı maddelerin çökelmesi meydana gelebilir.</w:t>
            </w:r>
          </w:p>
        </w:tc>
      </w:tr>
      <w:tr w:rsidR="007429F0" w:rsidRPr="00D53A2B" w14:paraId="58675598" w14:textId="77777777" w:rsidTr="00A1442A">
        <w:tc>
          <w:tcPr>
            <w:tcW w:w="1973" w:type="dxa"/>
          </w:tcPr>
          <w:p w14:paraId="3A600624" w14:textId="7662F041" w:rsidR="007429F0" w:rsidRPr="00D53A2B" w:rsidRDefault="00DB1C35" w:rsidP="00A202FD">
            <w:pPr>
              <w:jc w:val="both"/>
              <w:rPr>
                <w:rFonts w:eastAsia="Calibri"/>
                <w:sz w:val="22"/>
                <w:szCs w:val="22"/>
                <w:lang w:eastAsia="en-US"/>
              </w:rPr>
            </w:pPr>
            <w:r w:rsidRPr="00D53A2B">
              <w:rPr>
                <w:rFonts w:eastAsia="Calibri"/>
                <w:sz w:val="22"/>
                <w:szCs w:val="22"/>
                <w:lang w:eastAsia="en-US"/>
              </w:rPr>
              <w:t>Fiziksel ayırma</w:t>
            </w:r>
          </w:p>
        </w:tc>
        <w:tc>
          <w:tcPr>
            <w:tcW w:w="6953" w:type="dxa"/>
          </w:tcPr>
          <w:p w14:paraId="10D86354" w14:textId="3ED9366C" w:rsidR="007429F0" w:rsidRPr="00D53A2B" w:rsidRDefault="00DB1C35" w:rsidP="00A202FD">
            <w:pPr>
              <w:jc w:val="both"/>
              <w:rPr>
                <w:rFonts w:eastAsia="Calibri"/>
                <w:sz w:val="22"/>
                <w:szCs w:val="22"/>
                <w:lang w:eastAsia="en-US"/>
              </w:rPr>
            </w:pPr>
            <w:r w:rsidRPr="00D53A2B">
              <w:rPr>
                <w:rFonts w:eastAsia="Calibri"/>
                <w:sz w:val="22"/>
                <w:szCs w:val="22"/>
                <w:lang w:eastAsia="en-US"/>
              </w:rPr>
              <w:t xml:space="preserve">Örneğin elekler, elekler, kum </w:t>
            </w:r>
            <w:r w:rsidR="008D07F8">
              <w:rPr>
                <w:rFonts w:eastAsia="Calibri"/>
                <w:sz w:val="22"/>
                <w:szCs w:val="22"/>
                <w:lang w:eastAsia="en-US"/>
              </w:rPr>
              <w:t>tutucular</w:t>
            </w:r>
            <w:r w:rsidRPr="00D53A2B">
              <w:rPr>
                <w:rFonts w:eastAsia="Calibri"/>
                <w:sz w:val="22"/>
                <w:szCs w:val="22"/>
                <w:lang w:eastAsia="en-US"/>
              </w:rPr>
              <w:t>, yağ ayırıcılar, hidrosiklonlar, yağ-su ayırma veya birincil çökeltme tankları kullanılarak atıksudan brüt katı maddelerin, askıda katı maddelerin ve/veya metal parçacıklarının ayrılması.</w:t>
            </w:r>
          </w:p>
        </w:tc>
      </w:tr>
      <w:tr w:rsidR="007429F0" w:rsidRPr="00D53A2B" w14:paraId="654DEA89" w14:textId="77777777" w:rsidTr="00A1442A">
        <w:tc>
          <w:tcPr>
            <w:tcW w:w="1973" w:type="dxa"/>
          </w:tcPr>
          <w:p w14:paraId="6307DA3C" w14:textId="600D14B8" w:rsidR="007429F0" w:rsidRPr="00D53A2B" w:rsidRDefault="00DB1C35" w:rsidP="00A202FD">
            <w:pPr>
              <w:jc w:val="both"/>
              <w:rPr>
                <w:rFonts w:eastAsia="Calibri"/>
                <w:sz w:val="22"/>
                <w:szCs w:val="22"/>
                <w:lang w:eastAsia="en-US"/>
              </w:rPr>
            </w:pPr>
            <w:r w:rsidRPr="00D53A2B">
              <w:rPr>
                <w:rFonts w:eastAsia="Calibri"/>
                <w:sz w:val="22"/>
                <w:szCs w:val="22"/>
                <w:lang w:eastAsia="en-US"/>
              </w:rPr>
              <w:t>Ters osmoz</w:t>
            </w:r>
          </w:p>
        </w:tc>
        <w:tc>
          <w:tcPr>
            <w:tcW w:w="6953" w:type="dxa"/>
          </w:tcPr>
          <w:p w14:paraId="3F4C1852" w14:textId="352C5ABE" w:rsidR="007429F0" w:rsidRPr="00D53A2B" w:rsidRDefault="00DB1C35" w:rsidP="00A202FD">
            <w:pPr>
              <w:jc w:val="both"/>
              <w:rPr>
                <w:rFonts w:eastAsia="Calibri"/>
                <w:sz w:val="22"/>
                <w:szCs w:val="22"/>
                <w:lang w:eastAsia="en-US"/>
              </w:rPr>
            </w:pPr>
            <w:r w:rsidRPr="00D53A2B">
              <w:rPr>
                <w:rFonts w:eastAsia="Calibri"/>
                <w:sz w:val="22"/>
                <w:szCs w:val="22"/>
                <w:lang w:eastAsia="en-US"/>
              </w:rPr>
              <w:t>Membranla ayrılmış bölmeler arasında uygulanan basınç farkının, suyun daha yoğun çözeltiden daha az yoğun çözeltiye doğru akmasına neden olduğu bir membran işlemidir.</w:t>
            </w:r>
          </w:p>
        </w:tc>
      </w:tr>
      <w:tr w:rsidR="00DB1C35" w:rsidRPr="00D53A2B" w14:paraId="3B71E628" w14:textId="77777777" w:rsidTr="00A1442A">
        <w:tc>
          <w:tcPr>
            <w:tcW w:w="1973" w:type="dxa"/>
          </w:tcPr>
          <w:p w14:paraId="258B9FD2" w14:textId="10804D56" w:rsidR="00DB1C35" w:rsidRPr="00D53A2B" w:rsidRDefault="00DB1C35" w:rsidP="00A202FD">
            <w:pPr>
              <w:jc w:val="both"/>
              <w:rPr>
                <w:rFonts w:eastAsia="Calibri"/>
                <w:sz w:val="22"/>
                <w:szCs w:val="22"/>
                <w:lang w:eastAsia="en-US"/>
              </w:rPr>
            </w:pPr>
            <w:r w:rsidRPr="00D53A2B">
              <w:rPr>
                <w:rFonts w:eastAsia="Calibri"/>
                <w:sz w:val="22"/>
                <w:szCs w:val="22"/>
                <w:lang w:eastAsia="en-US"/>
              </w:rPr>
              <w:t>Sedimentasyon</w:t>
            </w:r>
          </w:p>
        </w:tc>
        <w:tc>
          <w:tcPr>
            <w:tcW w:w="6953" w:type="dxa"/>
          </w:tcPr>
          <w:p w14:paraId="787F01B8" w14:textId="217979F6" w:rsidR="00DB1C35" w:rsidRPr="00D53A2B" w:rsidRDefault="00DB1C35" w:rsidP="00A202FD">
            <w:pPr>
              <w:jc w:val="both"/>
              <w:rPr>
                <w:rFonts w:eastAsia="Calibri"/>
                <w:sz w:val="22"/>
                <w:szCs w:val="22"/>
                <w:lang w:eastAsia="en-US"/>
              </w:rPr>
            </w:pPr>
            <w:r w:rsidRPr="00D53A2B">
              <w:rPr>
                <w:rFonts w:eastAsia="Calibri"/>
                <w:sz w:val="22"/>
                <w:szCs w:val="22"/>
                <w:lang w:eastAsia="en-US"/>
              </w:rPr>
              <w:t>Askıda bulunan parçacıkların ve askıda kalan malzemelerin yerçekimi etkisiyle çökelmesiyle ayrılması.</w:t>
            </w:r>
          </w:p>
        </w:tc>
      </w:tr>
    </w:tbl>
    <w:p w14:paraId="33D5FC0C" w14:textId="77777777" w:rsidR="0071694E" w:rsidRPr="00D53A2B" w:rsidRDefault="0071694E" w:rsidP="00A202FD">
      <w:pPr>
        <w:jc w:val="both"/>
        <w:rPr>
          <w:rFonts w:eastAsia="Calibri"/>
          <w:sz w:val="22"/>
          <w:szCs w:val="22"/>
          <w:lang w:eastAsia="en-US"/>
        </w:rPr>
      </w:pPr>
    </w:p>
    <w:p w14:paraId="6CE739CE" w14:textId="77777777" w:rsidR="007429F0" w:rsidRPr="00D53A2B" w:rsidRDefault="007429F0" w:rsidP="00A202FD">
      <w:pPr>
        <w:jc w:val="both"/>
        <w:rPr>
          <w:rFonts w:eastAsia="Calibri"/>
          <w:sz w:val="22"/>
          <w:szCs w:val="22"/>
          <w:lang w:eastAsia="en-US"/>
        </w:rPr>
      </w:pPr>
    </w:p>
    <w:p w14:paraId="422ECB76" w14:textId="77777777" w:rsidR="00D66453" w:rsidRPr="00D53A2B" w:rsidRDefault="00D66453" w:rsidP="00A202FD">
      <w:pPr>
        <w:jc w:val="both"/>
        <w:rPr>
          <w:rFonts w:eastAsia="Calibri"/>
          <w:lang w:eastAsia="en-US"/>
        </w:rPr>
        <w:sectPr w:rsidR="00D66453" w:rsidRPr="00D53A2B" w:rsidSect="009077F5">
          <w:type w:val="nextColumn"/>
          <w:pgSz w:w="11900" w:h="16840"/>
          <w:pgMar w:top="1418" w:right="1418" w:bottom="1418" w:left="1418" w:header="0" w:footer="0" w:gutter="0"/>
          <w:cols w:space="0" w:equalWidth="0">
            <w:col w:w="8787"/>
          </w:cols>
          <w:docGrid w:linePitch="360"/>
        </w:sectPr>
      </w:pPr>
    </w:p>
    <w:p w14:paraId="5698DAB3" w14:textId="5D5F75D6" w:rsidR="000C578F" w:rsidRPr="00D53A2B" w:rsidRDefault="00B220B9" w:rsidP="001760FB">
      <w:pPr>
        <w:pStyle w:val="Balk1"/>
        <w:ind w:left="7920"/>
        <w:jc w:val="both"/>
        <w:rPr>
          <w:rFonts w:eastAsia="Calibri"/>
          <w:szCs w:val="24"/>
          <w:lang w:eastAsia="en-US"/>
        </w:rPr>
      </w:pPr>
      <w:r>
        <w:rPr>
          <w:rFonts w:eastAsia="Calibri"/>
          <w:szCs w:val="24"/>
          <w:lang w:eastAsia="en-US"/>
        </w:rPr>
        <w:lastRenderedPageBreak/>
        <w:t xml:space="preserve">                                                                                                                                              </w:t>
      </w:r>
      <w:r w:rsidR="00BB47A2" w:rsidRPr="00D53A2B">
        <w:rPr>
          <w:rFonts w:eastAsia="Calibri"/>
          <w:szCs w:val="24"/>
          <w:lang w:eastAsia="en-US"/>
        </w:rPr>
        <w:t xml:space="preserve">EK-4 </w:t>
      </w:r>
    </w:p>
    <w:p w14:paraId="6092DE3C" w14:textId="2EE9B566" w:rsidR="000239D6" w:rsidRDefault="006D729B" w:rsidP="001760FB">
      <w:pPr>
        <w:pStyle w:val="Balk1"/>
        <w:rPr>
          <w:szCs w:val="24"/>
        </w:rPr>
      </w:pPr>
      <w:r w:rsidRPr="00D53A2B">
        <w:rPr>
          <w:szCs w:val="24"/>
        </w:rPr>
        <w:t>DEMİR DIŞI METAL ENDÜSTRİLERİ İÇİN MEVCUT EN İYİ TEKNİKLER (MET)</w:t>
      </w:r>
    </w:p>
    <w:p w14:paraId="39A319A3" w14:textId="2D482ADF" w:rsidR="0040071F" w:rsidRDefault="00D56A73" w:rsidP="009077F5">
      <w:pPr>
        <w:pStyle w:val="ListeParagraf"/>
        <w:numPr>
          <w:ilvl w:val="2"/>
          <w:numId w:val="307"/>
        </w:numPr>
        <w:ind w:left="284" w:firstLine="0"/>
      </w:pPr>
      <w:r w:rsidRPr="00D56A73">
        <w:t xml:space="preserve">Bu EK Endüstriyel emisyonların Yönetimi Yönetmeliği’nin EK-1 inde yer alan </w:t>
      </w:r>
      <w:r w:rsidR="0040071F">
        <w:t>2.1, 2.5 ve 6.8 no.’lu kısımlarda açıklanan faaliyetleri kapsar:</w:t>
      </w:r>
    </w:p>
    <w:p w14:paraId="1465604F" w14:textId="77777777" w:rsidR="00D56A73" w:rsidRDefault="00D56A73" w:rsidP="009077F5">
      <w:pPr>
        <w:jc w:val="both"/>
      </w:pPr>
    </w:p>
    <w:p w14:paraId="411B511D" w14:textId="57064347" w:rsidR="0040071F" w:rsidRDefault="0040071F" w:rsidP="009077F5">
      <w:pPr>
        <w:pStyle w:val="ListeParagraf"/>
        <w:numPr>
          <w:ilvl w:val="0"/>
          <w:numId w:val="309"/>
        </w:numPr>
      </w:pPr>
      <w:r>
        <w:t>2.1: Metal cevheri (sülfit cevheri dahil) kavurma veya sinterleme;</w:t>
      </w:r>
    </w:p>
    <w:p w14:paraId="5003A9A4" w14:textId="3D63DA9C" w:rsidR="0040071F" w:rsidRDefault="0040071F" w:rsidP="009077F5">
      <w:pPr>
        <w:pStyle w:val="ListeParagraf"/>
        <w:numPr>
          <w:ilvl w:val="0"/>
          <w:numId w:val="309"/>
        </w:numPr>
      </w:pPr>
      <w:r>
        <w:t>2.5: Demir-dışı metallerin işlenmesi:</w:t>
      </w:r>
    </w:p>
    <w:p w14:paraId="21A53A46" w14:textId="0FA6D34D" w:rsidR="0040071F" w:rsidRDefault="0040071F" w:rsidP="009077F5">
      <w:pPr>
        <w:pStyle w:val="ListeParagraf"/>
        <w:numPr>
          <w:ilvl w:val="0"/>
          <w:numId w:val="311"/>
        </w:numPr>
      </w:pPr>
      <w:r>
        <w:t>cevher, konsantre veya ikincil hammaddelerden metalürjik, kimyasal veya elektrolitik</w:t>
      </w:r>
      <w:r w:rsidR="00EB310E">
        <w:t xml:space="preserve"> </w:t>
      </w:r>
      <w:r>
        <w:t>işlemlerle demir-dışı ham metal üretimi;</w:t>
      </w:r>
    </w:p>
    <w:p w14:paraId="18A66DC9" w14:textId="645C3EAC" w:rsidR="0040071F" w:rsidRDefault="0040071F" w:rsidP="009077F5">
      <w:pPr>
        <w:pStyle w:val="ListeParagraf"/>
        <w:numPr>
          <w:ilvl w:val="0"/>
          <w:numId w:val="311"/>
        </w:numPr>
      </w:pPr>
      <w:r>
        <w:t xml:space="preserve">kurşun ve kadmiyum için günde 4 tonu aşan veya diğer tüm metaller için günde 20 </w:t>
      </w:r>
      <w:r w:rsidR="00EB310E">
        <w:t xml:space="preserve"> </w:t>
      </w:r>
      <w:r>
        <w:t xml:space="preserve">tonu aşan eritme kapasitesi olan, demir-dışı metallerin ve geri kazanılmış ürünlerin </w:t>
      </w:r>
      <w:r w:rsidR="00EB310E">
        <w:t xml:space="preserve"> </w:t>
      </w:r>
      <w:r>
        <w:t>eritilmesi (alaşımlama</w:t>
      </w:r>
      <w:r w:rsidR="00EB310E">
        <w:t xml:space="preserve"> </w:t>
      </w:r>
      <w:r>
        <w:t xml:space="preserve">dahil) faaliyeti gerçekleştiren kuruluşlar ve demir-dışı metal </w:t>
      </w:r>
      <w:r w:rsidR="00EB310E">
        <w:t xml:space="preserve"> </w:t>
      </w:r>
      <w:r>
        <w:t>dökümhaneleri;</w:t>
      </w:r>
    </w:p>
    <w:p w14:paraId="43CE6ABF" w14:textId="4AA0BA18" w:rsidR="0040071F" w:rsidRDefault="00B76E92" w:rsidP="009077F5">
      <w:pPr>
        <w:ind w:firstLine="360"/>
        <w:jc w:val="both"/>
      </w:pPr>
      <w:r>
        <w:t>c)</w:t>
      </w:r>
      <w:r w:rsidR="0040071F">
        <w:t>6.8: Yakma veya grafitleme yoluyla karbon (iyi pişirilmiş kömür) veya elektrografit üretimi.</w:t>
      </w:r>
    </w:p>
    <w:p w14:paraId="60E1FA1A" w14:textId="77777777" w:rsidR="0040071F" w:rsidRDefault="0040071F" w:rsidP="009077F5">
      <w:pPr>
        <w:jc w:val="both"/>
      </w:pPr>
    </w:p>
    <w:p w14:paraId="584493AE" w14:textId="42F6716F" w:rsidR="0040071F" w:rsidRDefault="0040071F" w:rsidP="009077F5">
      <w:pPr>
        <w:pStyle w:val="ListeParagraf"/>
        <w:numPr>
          <w:ilvl w:val="2"/>
          <w:numId w:val="307"/>
        </w:numPr>
        <w:ind w:left="284" w:firstLine="0"/>
      </w:pPr>
      <w:r>
        <w:t>Bu MET sonuçları özellikle aşağıdaki proses ve faaliyetleri kapsamaktadır:</w:t>
      </w:r>
    </w:p>
    <w:p w14:paraId="5E31C0B1" w14:textId="25407231" w:rsidR="0040071F" w:rsidRDefault="0040071F" w:rsidP="009077F5">
      <w:pPr>
        <w:pStyle w:val="ListeParagraf"/>
        <w:numPr>
          <w:ilvl w:val="1"/>
          <w:numId w:val="313"/>
        </w:numPr>
      </w:pPr>
      <w:r>
        <w:t>demir-dışı metallerin birincil ve ikincil üretimi;</w:t>
      </w:r>
    </w:p>
    <w:p w14:paraId="35BA2084" w14:textId="7FC8649C" w:rsidR="0040071F" w:rsidRDefault="0040071F" w:rsidP="009077F5">
      <w:pPr>
        <w:pStyle w:val="ListeParagraf"/>
        <w:numPr>
          <w:ilvl w:val="1"/>
          <w:numId w:val="313"/>
        </w:numPr>
      </w:pPr>
      <w:r>
        <w:t>diğer metallerin üretimi sırasında çıkan dumandan çinko oksit üretimi;</w:t>
      </w:r>
    </w:p>
    <w:p w14:paraId="407E361B" w14:textId="2AFA02A9" w:rsidR="0040071F" w:rsidRDefault="0040071F" w:rsidP="009077F5">
      <w:pPr>
        <w:pStyle w:val="ListeParagraf"/>
        <w:numPr>
          <w:ilvl w:val="1"/>
          <w:numId w:val="313"/>
        </w:numPr>
      </w:pPr>
      <w:r>
        <w:t>bir metalin üretimi sırasında işlem sıvılarından nikel bileşiklerinin üretimi;</w:t>
      </w:r>
    </w:p>
    <w:p w14:paraId="44EE6E98" w14:textId="2330A74F" w:rsidR="0040071F" w:rsidRDefault="0040071F" w:rsidP="009077F5">
      <w:pPr>
        <w:pStyle w:val="ListeParagraf"/>
        <w:numPr>
          <w:ilvl w:val="1"/>
          <w:numId w:val="313"/>
        </w:numPr>
      </w:pPr>
      <w:r>
        <w:t>ferro-silikon üretilen fırında silikon kalsiyum (CaSi) ve silikon (Si) üretimi;</w:t>
      </w:r>
    </w:p>
    <w:p w14:paraId="77DB3CEE" w14:textId="2CBBCC04" w:rsidR="0040071F" w:rsidRDefault="0040071F" w:rsidP="009077F5">
      <w:pPr>
        <w:pStyle w:val="ListeParagraf"/>
        <w:numPr>
          <w:ilvl w:val="1"/>
          <w:numId w:val="313"/>
        </w:numPr>
      </w:pPr>
      <w:r>
        <w:t xml:space="preserve">birincil alüminyumun üretilmesinden önce boksiten alüminyum oksit üretiminin zorunlu </w:t>
      </w:r>
      <w:r w:rsidR="00EB310E">
        <w:t xml:space="preserve"> </w:t>
      </w:r>
      <w:r>
        <w:t>olduğu durumlar;</w:t>
      </w:r>
    </w:p>
    <w:p w14:paraId="30BD74DE" w14:textId="7A2EF582" w:rsidR="0040071F" w:rsidRDefault="0040071F" w:rsidP="009077F5">
      <w:pPr>
        <w:pStyle w:val="ListeParagraf"/>
        <w:numPr>
          <w:ilvl w:val="1"/>
          <w:numId w:val="313"/>
        </w:numPr>
      </w:pPr>
      <w:r>
        <w:t>alüminyum tuzu cürufunun geri dönüşümü;</w:t>
      </w:r>
    </w:p>
    <w:p w14:paraId="6F392C9B" w14:textId="1B8336DA" w:rsidR="0040071F" w:rsidRDefault="0040071F" w:rsidP="009077F5">
      <w:pPr>
        <w:pStyle w:val="ListeParagraf"/>
        <w:numPr>
          <w:ilvl w:val="1"/>
          <w:numId w:val="313"/>
        </w:numPr>
      </w:pPr>
      <w:r>
        <w:t>karbon ve/veya grafit elektrotlarının üretimi.</w:t>
      </w:r>
    </w:p>
    <w:p w14:paraId="7F712CD7" w14:textId="77777777" w:rsidR="0040071F" w:rsidRDefault="0040071F" w:rsidP="009077F5">
      <w:pPr>
        <w:jc w:val="both"/>
      </w:pPr>
    </w:p>
    <w:p w14:paraId="33D24218" w14:textId="189C094A" w:rsidR="0040071F" w:rsidRDefault="00B76E92" w:rsidP="009077F5">
      <w:pPr>
        <w:ind w:left="284" w:hanging="284"/>
        <w:jc w:val="both"/>
      </w:pPr>
      <w:r>
        <w:t>3-</w:t>
      </w:r>
      <w:r w:rsidR="0040071F">
        <w:tab/>
        <w:t>Bu MET sonuçları aşağıdaki faaliyetleri kapsamaz:</w:t>
      </w:r>
    </w:p>
    <w:p w14:paraId="0B0DEDA8" w14:textId="6B510C0E" w:rsidR="0040071F" w:rsidRDefault="0040071F" w:rsidP="009077F5">
      <w:pPr>
        <w:pStyle w:val="ListeParagraf"/>
        <w:numPr>
          <w:ilvl w:val="1"/>
          <w:numId w:val="314"/>
        </w:numPr>
      </w:pPr>
      <w:r>
        <w:t>Demir cevheri sinterlemesi (Bu ‘Demir ve Çelik Üretimi için MET Sonuçları’ dokümanında</w:t>
      </w:r>
      <w:r w:rsidR="009B14BB">
        <w:t xml:space="preserve"> </w:t>
      </w:r>
      <w:r>
        <w:t>ele alınmıştır);</w:t>
      </w:r>
    </w:p>
    <w:p w14:paraId="6233544B" w14:textId="6967868E" w:rsidR="0040071F" w:rsidRDefault="0040071F" w:rsidP="009077F5">
      <w:pPr>
        <w:pStyle w:val="ListeParagraf"/>
        <w:numPr>
          <w:ilvl w:val="1"/>
          <w:numId w:val="314"/>
        </w:numPr>
      </w:pPr>
      <w:r>
        <w:t>Demir-dışı metallerin üretiminden kaynaklanan SO2 gazlarından sülfürik asit üretimi (Bundan, “Büyük Hacimli İnorganik Kimyasallar – Amonyak, Asitler ve Gübreler” ile ilgili MET sonuçlarında bahsedilmiştir.);</w:t>
      </w:r>
    </w:p>
    <w:p w14:paraId="56E0D3DC" w14:textId="23AFD063" w:rsidR="0040071F" w:rsidRDefault="0040071F" w:rsidP="009077F5">
      <w:pPr>
        <w:pStyle w:val="ListeParagraf"/>
        <w:numPr>
          <w:ilvl w:val="1"/>
          <w:numId w:val="314"/>
        </w:numPr>
      </w:pPr>
      <w:r>
        <w:t>Demirhane ve Dökümhaneler için MET sonuçları dokümanında yer alan dökümhaneler.</w:t>
      </w:r>
    </w:p>
    <w:p w14:paraId="6A4789DA" w14:textId="77777777" w:rsidR="00EB310E" w:rsidRPr="009077F5" w:rsidRDefault="00EB310E" w:rsidP="009077F5"/>
    <w:p w14:paraId="79639ED6" w14:textId="3DA31635" w:rsidR="00374C56" w:rsidRPr="00D53A2B" w:rsidRDefault="006D729B" w:rsidP="00A202FD">
      <w:pPr>
        <w:pStyle w:val="Balk2"/>
        <w:rPr>
          <w:rFonts w:cs="Times New Roman"/>
          <w:szCs w:val="24"/>
          <w:lang w:eastAsia="en-US"/>
        </w:rPr>
      </w:pPr>
      <w:r w:rsidRPr="00D53A2B">
        <w:rPr>
          <w:rFonts w:cs="Times New Roman"/>
          <w:szCs w:val="24"/>
          <w:lang w:val="en-US" w:eastAsia="en-US"/>
        </w:rPr>
        <w:t>1.</w:t>
      </w:r>
      <w:r w:rsidR="000239D6" w:rsidRPr="00D53A2B">
        <w:rPr>
          <w:rFonts w:cs="Times New Roman"/>
          <w:szCs w:val="24"/>
          <w:lang w:val="en-US" w:eastAsia="en-US"/>
        </w:rPr>
        <w:t>1.</w:t>
      </w:r>
      <w:r w:rsidRPr="00D53A2B">
        <w:rPr>
          <w:rFonts w:cs="Times New Roman"/>
          <w:szCs w:val="24"/>
          <w:lang w:val="en-US" w:eastAsia="en-US"/>
        </w:rPr>
        <w:t xml:space="preserve"> </w:t>
      </w:r>
      <w:r w:rsidR="000239D6" w:rsidRPr="00D53A2B">
        <w:rPr>
          <w:rFonts w:cs="Times New Roman"/>
          <w:szCs w:val="24"/>
          <w:lang w:val="en-US" w:eastAsia="en-US"/>
        </w:rPr>
        <w:t>Genel MET sonuçları</w:t>
      </w:r>
    </w:p>
    <w:p w14:paraId="7DD17C83" w14:textId="0FF95005" w:rsidR="00374C56" w:rsidRPr="00D53A2B" w:rsidRDefault="00374C56" w:rsidP="00A202FD">
      <w:pPr>
        <w:pStyle w:val="Balk3"/>
        <w:rPr>
          <w:rFonts w:cs="Times New Roman"/>
          <w:lang w:eastAsia="en-US"/>
        </w:rPr>
      </w:pPr>
      <w:bookmarkStart w:id="42" w:name="_Toc531927853"/>
      <w:r w:rsidRPr="00D53A2B">
        <w:rPr>
          <w:rFonts w:cs="Times New Roman"/>
          <w:lang w:eastAsia="en-US"/>
        </w:rPr>
        <w:t>1.1.</w:t>
      </w:r>
      <w:r w:rsidR="000239D6" w:rsidRPr="00D53A2B">
        <w:rPr>
          <w:rFonts w:cs="Times New Roman"/>
          <w:lang w:eastAsia="en-US"/>
        </w:rPr>
        <w:t>1.</w:t>
      </w:r>
      <w:r w:rsidRPr="00D53A2B">
        <w:rPr>
          <w:rFonts w:cs="Times New Roman"/>
          <w:lang w:eastAsia="en-US"/>
        </w:rPr>
        <w:tab/>
        <w:t xml:space="preserve">Çevre </w:t>
      </w:r>
      <w:r w:rsidR="0007449F" w:rsidRPr="00D53A2B">
        <w:rPr>
          <w:rFonts w:cs="Times New Roman"/>
          <w:lang w:eastAsia="en-US"/>
        </w:rPr>
        <w:t>y</w:t>
      </w:r>
      <w:r w:rsidRPr="00D53A2B">
        <w:rPr>
          <w:rFonts w:cs="Times New Roman"/>
          <w:lang w:eastAsia="en-US"/>
        </w:rPr>
        <w:t xml:space="preserve">önetim </w:t>
      </w:r>
      <w:r w:rsidR="0007449F" w:rsidRPr="00D53A2B">
        <w:rPr>
          <w:rFonts w:cs="Times New Roman"/>
          <w:lang w:eastAsia="en-US"/>
        </w:rPr>
        <w:t>s</w:t>
      </w:r>
      <w:r w:rsidRPr="00D53A2B">
        <w:rPr>
          <w:rFonts w:cs="Times New Roman"/>
          <w:lang w:eastAsia="en-US"/>
        </w:rPr>
        <w:t>istemleri (ÇYS)</w:t>
      </w:r>
      <w:bookmarkEnd w:id="42"/>
    </w:p>
    <w:p w14:paraId="355A881B" w14:textId="14DEB16B" w:rsidR="000239D6" w:rsidRPr="00D53A2B" w:rsidRDefault="00F775AE" w:rsidP="00A202FD">
      <w:pPr>
        <w:pStyle w:val="MET"/>
        <w:rPr>
          <w:b w:val="0"/>
          <w:bCs/>
          <w:szCs w:val="24"/>
        </w:rPr>
      </w:pPr>
      <w:r w:rsidRPr="00D53A2B">
        <w:rPr>
          <w:szCs w:val="24"/>
        </w:rPr>
        <w:t>MET 1:</w:t>
      </w:r>
      <w:r w:rsidR="00374C56" w:rsidRPr="00D53A2B">
        <w:rPr>
          <w:szCs w:val="24"/>
        </w:rPr>
        <w:t xml:space="preserve"> </w:t>
      </w:r>
      <w:r w:rsidR="000239D6" w:rsidRPr="00D53A2B">
        <w:rPr>
          <w:b w:val="0"/>
          <w:bCs/>
          <w:szCs w:val="24"/>
        </w:rPr>
        <w:t xml:space="preserve">Genel çevresel performansı iyileştirmek amacıyla MET, aşağıdaki özelliklerin tümünü içeren bir çevre yönetim sistemi (ÇYS) </w:t>
      </w:r>
      <w:r w:rsidR="000239D6" w:rsidRPr="00D53A2B">
        <w:rPr>
          <w:rFonts w:eastAsia="Calibri"/>
          <w:b w:val="0"/>
          <w:bCs/>
          <w:szCs w:val="24"/>
        </w:rPr>
        <w:t>hazırlanır ve uygulanır.</w:t>
      </w:r>
    </w:p>
    <w:p w14:paraId="56517971" w14:textId="77777777" w:rsidR="000239D6" w:rsidRPr="00D53A2B" w:rsidRDefault="00374C56" w:rsidP="00602365">
      <w:pPr>
        <w:pStyle w:val="ListeParagraf"/>
        <w:numPr>
          <w:ilvl w:val="0"/>
          <w:numId w:val="230"/>
        </w:numPr>
        <w:tabs>
          <w:tab w:val="clear" w:pos="567"/>
        </w:tabs>
        <w:spacing w:line="240" w:lineRule="auto"/>
        <w:ind w:left="426" w:hanging="426"/>
        <w:rPr>
          <w:sz w:val="24"/>
          <w:szCs w:val="24"/>
        </w:rPr>
      </w:pPr>
      <w:r w:rsidRPr="00D53A2B">
        <w:rPr>
          <w:sz w:val="24"/>
          <w:szCs w:val="24"/>
        </w:rPr>
        <w:t>üst yönetim de dahil olmak üzere yönetimin taahhüdü;</w:t>
      </w:r>
    </w:p>
    <w:p w14:paraId="52065B19" w14:textId="77777777" w:rsidR="000239D6" w:rsidRPr="00D53A2B" w:rsidRDefault="000239D6" w:rsidP="00602365">
      <w:pPr>
        <w:pStyle w:val="ListeParagraf"/>
        <w:numPr>
          <w:ilvl w:val="0"/>
          <w:numId w:val="230"/>
        </w:numPr>
        <w:tabs>
          <w:tab w:val="clear" w:pos="567"/>
        </w:tabs>
        <w:spacing w:line="240" w:lineRule="auto"/>
        <w:ind w:left="426" w:hanging="426"/>
        <w:rPr>
          <w:sz w:val="24"/>
          <w:szCs w:val="24"/>
        </w:rPr>
      </w:pPr>
      <w:r w:rsidRPr="00D53A2B">
        <w:rPr>
          <w:sz w:val="24"/>
          <w:szCs w:val="24"/>
          <w:lang w:val="tr-TR"/>
        </w:rPr>
        <w:t>Yönetim tarafından tesisin sürekli iyileştirilmesini içeren bir çevre politikasının tanımı</w:t>
      </w:r>
      <w:r w:rsidR="00374C56" w:rsidRPr="00D53A2B">
        <w:rPr>
          <w:sz w:val="24"/>
          <w:szCs w:val="24"/>
        </w:rPr>
        <w:t>;</w:t>
      </w:r>
    </w:p>
    <w:p w14:paraId="497354AB" w14:textId="72EB9029" w:rsidR="00374C56" w:rsidRPr="00D53A2B" w:rsidRDefault="00374C56" w:rsidP="00602365">
      <w:pPr>
        <w:pStyle w:val="ListeParagraf"/>
        <w:numPr>
          <w:ilvl w:val="0"/>
          <w:numId w:val="230"/>
        </w:numPr>
        <w:tabs>
          <w:tab w:val="clear" w:pos="567"/>
        </w:tabs>
        <w:spacing w:line="240" w:lineRule="auto"/>
        <w:ind w:left="426" w:hanging="426"/>
        <w:rPr>
          <w:sz w:val="24"/>
          <w:szCs w:val="24"/>
        </w:rPr>
      </w:pPr>
      <w:r w:rsidRPr="00D53A2B">
        <w:rPr>
          <w:sz w:val="24"/>
          <w:szCs w:val="24"/>
        </w:rPr>
        <w:t>finansal planlama ve yatırım ile birlikte gerekli prosedürleri, amaç ve hedefleri planlamak ve tesis etmek;</w:t>
      </w:r>
    </w:p>
    <w:p w14:paraId="2482F629" w14:textId="6BC0C08C" w:rsidR="000239D6" w:rsidRPr="00D53A2B" w:rsidRDefault="000239D6" w:rsidP="00602365">
      <w:pPr>
        <w:pStyle w:val="ListeParagraf"/>
        <w:numPr>
          <w:ilvl w:val="0"/>
          <w:numId w:val="230"/>
        </w:numPr>
        <w:tabs>
          <w:tab w:val="clear" w:pos="567"/>
        </w:tabs>
        <w:spacing w:line="240" w:lineRule="auto"/>
        <w:ind w:left="426" w:hanging="426"/>
        <w:rPr>
          <w:sz w:val="24"/>
          <w:szCs w:val="24"/>
        </w:rPr>
      </w:pPr>
      <w:r w:rsidRPr="00D53A2B">
        <w:rPr>
          <w:sz w:val="24"/>
          <w:szCs w:val="24"/>
        </w:rPr>
        <w:t>prosedürlerin özellikle dikkat edilerek uygulanmasında aşağıdaki hususlar dikkate alınmaktadır:</w:t>
      </w:r>
    </w:p>
    <w:p w14:paraId="58AA2872" w14:textId="77777777" w:rsidR="000239D6" w:rsidRPr="00D53A2B" w:rsidRDefault="00374C56" w:rsidP="00602365">
      <w:pPr>
        <w:pStyle w:val="ListeParagraf"/>
        <w:numPr>
          <w:ilvl w:val="0"/>
          <w:numId w:val="231"/>
        </w:numPr>
        <w:tabs>
          <w:tab w:val="clear" w:pos="567"/>
        </w:tabs>
        <w:spacing w:line="240" w:lineRule="auto"/>
        <w:ind w:left="993" w:hanging="568"/>
        <w:rPr>
          <w:sz w:val="24"/>
          <w:szCs w:val="24"/>
        </w:rPr>
      </w:pPr>
      <w:r w:rsidRPr="00D53A2B">
        <w:rPr>
          <w:sz w:val="24"/>
          <w:szCs w:val="24"/>
        </w:rPr>
        <w:lastRenderedPageBreak/>
        <w:t>yapı ve sorumluluk,</w:t>
      </w:r>
    </w:p>
    <w:p w14:paraId="7E9147C0" w14:textId="77777777" w:rsidR="000239D6" w:rsidRPr="00D53A2B" w:rsidRDefault="00374C56" w:rsidP="00602365">
      <w:pPr>
        <w:pStyle w:val="ListeParagraf"/>
        <w:numPr>
          <w:ilvl w:val="0"/>
          <w:numId w:val="231"/>
        </w:numPr>
        <w:tabs>
          <w:tab w:val="clear" w:pos="567"/>
        </w:tabs>
        <w:spacing w:line="240" w:lineRule="auto"/>
        <w:ind w:left="993" w:hanging="568"/>
        <w:rPr>
          <w:sz w:val="24"/>
          <w:szCs w:val="24"/>
        </w:rPr>
      </w:pPr>
      <w:r w:rsidRPr="00D53A2B">
        <w:rPr>
          <w:sz w:val="24"/>
          <w:szCs w:val="24"/>
        </w:rPr>
        <w:t xml:space="preserve">işe alım, </w:t>
      </w:r>
    </w:p>
    <w:p w14:paraId="7F9958C0" w14:textId="77777777" w:rsidR="000239D6" w:rsidRPr="00D53A2B" w:rsidRDefault="00374C56" w:rsidP="00602365">
      <w:pPr>
        <w:pStyle w:val="ListeParagraf"/>
        <w:numPr>
          <w:ilvl w:val="0"/>
          <w:numId w:val="231"/>
        </w:numPr>
        <w:tabs>
          <w:tab w:val="clear" w:pos="567"/>
        </w:tabs>
        <w:spacing w:line="240" w:lineRule="auto"/>
        <w:ind w:left="993" w:hanging="568"/>
        <w:rPr>
          <w:sz w:val="24"/>
          <w:szCs w:val="24"/>
        </w:rPr>
      </w:pPr>
      <w:r w:rsidRPr="00D53A2B">
        <w:rPr>
          <w:sz w:val="24"/>
          <w:szCs w:val="24"/>
        </w:rPr>
        <w:t>eğitim, farkındalık ve yeterlilik,</w:t>
      </w:r>
    </w:p>
    <w:p w14:paraId="70ADDF71" w14:textId="77777777" w:rsidR="000239D6" w:rsidRPr="00D53A2B" w:rsidRDefault="00374C56" w:rsidP="00602365">
      <w:pPr>
        <w:pStyle w:val="ListeParagraf"/>
        <w:numPr>
          <w:ilvl w:val="0"/>
          <w:numId w:val="231"/>
        </w:numPr>
        <w:tabs>
          <w:tab w:val="clear" w:pos="567"/>
        </w:tabs>
        <w:spacing w:line="240" w:lineRule="auto"/>
        <w:ind w:left="993" w:hanging="568"/>
        <w:rPr>
          <w:sz w:val="24"/>
          <w:szCs w:val="24"/>
        </w:rPr>
      </w:pPr>
      <w:r w:rsidRPr="00D53A2B">
        <w:rPr>
          <w:sz w:val="24"/>
          <w:szCs w:val="24"/>
        </w:rPr>
        <w:t>iletişim,</w:t>
      </w:r>
    </w:p>
    <w:p w14:paraId="7AC1004E" w14:textId="77777777" w:rsidR="000239D6" w:rsidRPr="00D53A2B" w:rsidRDefault="000239D6" w:rsidP="00602365">
      <w:pPr>
        <w:pStyle w:val="ListeParagraf"/>
        <w:numPr>
          <w:ilvl w:val="0"/>
          <w:numId w:val="231"/>
        </w:numPr>
        <w:tabs>
          <w:tab w:val="clear" w:pos="567"/>
        </w:tabs>
        <w:spacing w:line="240" w:lineRule="auto"/>
        <w:ind w:left="993" w:hanging="568"/>
        <w:rPr>
          <w:sz w:val="24"/>
          <w:szCs w:val="24"/>
        </w:rPr>
      </w:pPr>
      <w:r w:rsidRPr="00D53A2B">
        <w:rPr>
          <w:sz w:val="24"/>
          <w:szCs w:val="24"/>
        </w:rPr>
        <w:t xml:space="preserve">çalışan </w:t>
      </w:r>
      <w:r w:rsidR="00374C56" w:rsidRPr="00D53A2B">
        <w:rPr>
          <w:sz w:val="24"/>
          <w:szCs w:val="24"/>
        </w:rPr>
        <w:t>katılımı,</w:t>
      </w:r>
    </w:p>
    <w:p w14:paraId="2A57EE49" w14:textId="77777777" w:rsidR="000239D6" w:rsidRPr="00D53A2B" w:rsidRDefault="00374C56" w:rsidP="00602365">
      <w:pPr>
        <w:pStyle w:val="ListeParagraf"/>
        <w:numPr>
          <w:ilvl w:val="0"/>
          <w:numId w:val="231"/>
        </w:numPr>
        <w:tabs>
          <w:tab w:val="clear" w:pos="567"/>
        </w:tabs>
        <w:spacing w:line="240" w:lineRule="auto"/>
        <w:ind w:left="993" w:hanging="568"/>
        <w:rPr>
          <w:sz w:val="24"/>
          <w:szCs w:val="24"/>
        </w:rPr>
      </w:pPr>
      <w:r w:rsidRPr="00D53A2B">
        <w:rPr>
          <w:sz w:val="24"/>
          <w:szCs w:val="24"/>
        </w:rPr>
        <w:t>dokümantasyon,</w:t>
      </w:r>
    </w:p>
    <w:p w14:paraId="04C194A6" w14:textId="77777777" w:rsidR="000239D6" w:rsidRPr="00D53A2B" w:rsidRDefault="00374C56" w:rsidP="00602365">
      <w:pPr>
        <w:pStyle w:val="ListeParagraf"/>
        <w:numPr>
          <w:ilvl w:val="0"/>
          <w:numId w:val="231"/>
        </w:numPr>
        <w:tabs>
          <w:tab w:val="clear" w:pos="567"/>
        </w:tabs>
        <w:spacing w:line="240" w:lineRule="auto"/>
        <w:ind w:left="993" w:hanging="568"/>
        <w:rPr>
          <w:sz w:val="24"/>
          <w:szCs w:val="24"/>
        </w:rPr>
      </w:pPr>
      <w:r w:rsidRPr="00D53A2B">
        <w:rPr>
          <w:sz w:val="24"/>
          <w:szCs w:val="24"/>
        </w:rPr>
        <w:t>etkili süreç kontrolü,</w:t>
      </w:r>
    </w:p>
    <w:p w14:paraId="14B37784" w14:textId="77777777" w:rsidR="000239D6" w:rsidRPr="00D53A2B" w:rsidRDefault="00374C56" w:rsidP="00602365">
      <w:pPr>
        <w:pStyle w:val="ListeParagraf"/>
        <w:numPr>
          <w:ilvl w:val="0"/>
          <w:numId w:val="231"/>
        </w:numPr>
        <w:tabs>
          <w:tab w:val="clear" w:pos="567"/>
        </w:tabs>
        <w:spacing w:line="240" w:lineRule="auto"/>
        <w:ind w:left="993" w:hanging="568"/>
        <w:rPr>
          <w:sz w:val="24"/>
          <w:szCs w:val="24"/>
        </w:rPr>
      </w:pPr>
      <w:r w:rsidRPr="00D53A2B">
        <w:rPr>
          <w:sz w:val="24"/>
          <w:szCs w:val="24"/>
        </w:rPr>
        <w:t>bakım programları</w:t>
      </w:r>
    </w:p>
    <w:p w14:paraId="7F67F4E7" w14:textId="77777777" w:rsidR="000239D6" w:rsidRPr="00D53A2B" w:rsidRDefault="00374C56" w:rsidP="00602365">
      <w:pPr>
        <w:pStyle w:val="ListeParagraf"/>
        <w:numPr>
          <w:ilvl w:val="0"/>
          <w:numId w:val="231"/>
        </w:numPr>
        <w:tabs>
          <w:tab w:val="clear" w:pos="567"/>
        </w:tabs>
        <w:spacing w:line="240" w:lineRule="auto"/>
        <w:ind w:left="993" w:hanging="568"/>
        <w:rPr>
          <w:sz w:val="24"/>
          <w:szCs w:val="24"/>
        </w:rPr>
      </w:pPr>
      <w:r w:rsidRPr="00D53A2B">
        <w:rPr>
          <w:sz w:val="24"/>
          <w:szCs w:val="24"/>
        </w:rPr>
        <w:t>acil durum</w:t>
      </w:r>
      <w:r w:rsidR="000239D6" w:rsidRPr="00D53A2B">
        <w:rPr>
          <w:sz w:val="24"/>
          <w:szCs w:val="24"/>
        </w:rPr>
        <w:t>lara</w:t>
      </w:r>
      <w:r w:rsidRPr="00D53A2B">
        <w:rPr>
          <w:sz w:val="24"/>
          <w:szCs w:val="24"/>
        </w:rPr>
        <w:t xml:space="preserve"> hazırlı</w:t>
      </w:r>
      <w:r w:rsidR="000239D6" w:rsidRPr="00D53A2B">
        <w:rPr>
          <w:sz w:val="24"/>
          <w:szCs w:val="24"/>
        </w:rPr>
        <w:t>k</w:t>
      </w:r>
      <w:r w:rsidRPr="00D53A2B">
        <w:rPr>
          <w:sz w:val="24"/>
          <w:szCs w:val="24"/>
        </w:rPr>
        <w:t xml:space="preserve"> ve müdahalesi,</w:t>
      </w:r>
    </w:p>
    <w:p w14:paraId="143EF021" w14:textId="77777777" w:rsidR="000239D6" w:rsidRPr="00D53A2B" w:rsidRDefault="000239D6" w:rsidP="00602365">
      <w:pPr>
        <w:pStyle w:val="ListeParagraf"/>
        <w:numPr>
          <w:ilvl w:val="0"/>
          <w:numId w:val="231"/>
        </w:numPr>
        <w:tabs>
          <w:tab w:val="clear" w:pos="567"/>
        </w:tabs>
        <w:spacing w:line="240" w:lineRule="auto"/>
        <w:ind w:left="993" w:hanging="568"/>
        <w:rPr>
          <w:sz w:val="24"/>
          <w:szCs w:val="24"/>
        </w:rPr>
      </w:pPr>
      <w:r w:rsidRPr="00D53A2B">
        <w:rPr>
          <w:sz w:val="24"/>
          <w:szCs w:val="24"/>
        </w:rPr>
        <w:t>çevre mevzuatına uygunluğun korunması;</w:t>
      </w:r>
    </w:p>
    <w:p w14:paraId="1037EBF2" w14:textId="77777777" w:rsidR="000239D6" w:rsidRPr="00D53A2B" w:rsidRDefault="000239D6" w:rsidP="00A202FD">
      <w:pPr>
        <w:pStyle w:val="ListeParagraf"/>
        <w:numPr>
          <w:ilvl w:val="0"/>
          <w:numId w:val="0"/>
        </w:numPr>
        <w:tabs>
          <w:tab w:val="left" w:pos="1276"/>
        </w:tabs>
        <w:spacing w:line="240" w:lineRule="auto"/>
        <w:ind w:left="426" w:hanging="426"/>
        <w:rPr>
          <w:sz w:val="24"/>
          <w:szCs w:val="24"/>
        </w:rPr>
      </w:pPr>
    </w:p>
    <w:p w14:paraId="1A5D8759" w14:textId="4E3BD325" w:rsidR="000239D6" w:rsidRPr="00D53A2B" w:rsidRDefault="00D027B4" w:rsidP="00602365">
      <w:pPr>
        <w:pStyle w:val="ListeParagraf"/>
        <w:numPr>
          <w:ilvl w:val="0"/>
          <w:numId w:val="230"/>
        </w:numPr>
        <w:tabs>
          <w:tab w:val="left" w:pos="426"/>
        </w:tabs>
        <w:spacing w:line="240" w:lineRule="auto"/>
        <w:ind w:left="426" w:hanging="426"/>
        <w:rPr>
          <w:sz w:val="24"/>
          <w:szCs w:val="24"/>
        </w:rPr>
      </w:pPr>
      <w:r w:rsidRPr="00D53A2B">
        <w:rPr>
          <w:sz w:val="24"/>
          <w:szCs w:val="24"/>
        </w:rPr>
        <w:t>Performansı kontrol etmek ve düzeltici önlemler almak için aşağıdakilere özellikle dikkat edilmektedir:</w:t>
      </w:r>
    </w:p>
    <w:p w14:paraId="35617D81" w14:textId="4FE7BC43" w:rsidR="00374C56" w:rsidRPr="00D53A2B" w:rsidRDefault="00374C56" w:rsidP="00602365">
      <w:pPr>
        <w:pStyle w:val="ListeParagraf"/>
        <w:numPr>
          <w:ilvl w:val="1"/>
          <w:numId w:val="232"/>
        </w:numPr>
        <w:tabs>
          <w:tab w:val="clear" w:pos="567"/>
        </w:tabs>
        <w:spacing w:line="240" w:lineRule="auto"/>
        <w:ind w:left="851" w:hanging="426"/>
        <w:rPr>
          <w:sz w:val="24"/>
          <w:szCs w:val="24"/>
        </w:rPr>
      </w:pPr>
      <w:r w:rsidRPr="00D53A2B">
        <w:rPr>
          <w:sz w:val="24"/>
          <w:szCs w:val="24"/>
        </w:rPr>
        <w:t>izleme ve ölçüm (</w:t>
      </w:r>
      <w:r w:rsidR="00D027B4" w:rsidRPr="00D53A2B">
        <w:rPr>
          <w:iCs/>
          <w:sz w:val="24"/>
          <w:szCs w:val="24"/>
        </w:rPr>
        <w:t xml:space="preserve">ayrıca, </w:t>
      </w:r>
      <w:r w:rsidR="00D027B4" w:rsidRPr="00D53A2B">
        <w:rPr>
          <w:iCs/>
          <w:sz w:val="24"/>
          <w:szCs w:val="24"/>
          <w:lang w:val="tr-TR"/>
        </w:rPr>
        <w:t>IED Tesislerinden Hava ve Suya Emisyonların İzlenmesine İlişkin Referans Raporuna bakınız-ROM</w:t>
      </w:r>
      <w:r w:rsidRPr="00D53A2B">
        <w:rPr>
          <w:sz w:val="24"/>
          <w:szCs w:val="24"/>
        </w:rPr>
        <w:t>),</w:t>
      </w:r>
    </w:p>
    <w:p w14:paraId="781896A6" w14:textId="594D7751" w:rsidR="00374C56" w:rsidRPr="00D53A2B" w:rsidRDefault="00374C56" w:rsidP="00602365">
      <w:pPr>
        <w:pStyle w:val="ListeParagraf"/>
        <w:numPr>
          <w:ilvl w:val="1"/>
          <w:numId w:val="232"/>
        </w:numPr>
        <w:tabs>
          <w:tab w:val="clear" w:pos="567"/>
        </w:tabs>
        <w:spacing w:line="240" w:lineRule="auto"/>
        <w:ind w:left="851" w:hanging="426"/>
        <w:rPr>
          <w:sz w:val="24"/>
          <w:szCs w:val="24"/>
        </w:rPr>
      </w:pPr>
      <w:r w:rsidRPr="00D53A2B">
        <w:rPr>
          <w:sz w:val="24"/>
          <w:szCs w:val="24"/>
        </w:rPr>
        <w:t>düzeltici ve önleyici eylem</w:t>
      </w:r>
    </w:p>
    <w:p w14:paraId="625867DF" w14:textId="59C8E813" w:rsidR="00374C56" w:rsidRPr="00D53A2B" w:rsidRDefault="00374C56" w:rsidP="00602365">
      <w:pPr>
        <w:pStyle w:val="ListeParagraf"/>
        <w:numPr>
          <w:ilvl w:val="1"/>
          <w:numId w:val="232"/>
        </w:numPr>
        <w:tabs>
          <w:tab w:val="clear" w:pos="567"/>
        </w:tabs>
        <w:spacing w:line="240" w:lineRule="auto"/>
        <w:ind w:left="851" w:hanging="426"/>
        <w:rPr>
          <w:sz w:val="24"/>
          <w:szCs w:val="24"/>
        </w:rPr>
      </w:pPr>
      <w:r w:rsidRPr="00D53A2B">
        <w:rPr>
          <w:sz w:val="24"/>
          <w:szCs w:val="24"/>
        </w:rPr>
        <w:t xml:space="preserve">kayıtların </w:t>
      </w:r>
      <w:r w:rsidR="00D027B4" w:rsidRPr="00D53A2B">
        <w:rPr>
          <w:sz w:val="24"/>
          <w:szCs w:val="24"/>
        </w:rPr>
        <w:t>tutulması</w:t>
      </w:r>
      <w:r w:rsidRPr="00D53A2B">
        <w:rPr>
          <w:sz w:val="24"/>
          <w:szCs w:val="24"/>
        </w:rPr>
        <w:t>,</w:t>
      </w:r>
    </w:p>
    <w:p w14:paraId="7495C2BB" w14:textId="145B5591" w:rsidR="00374C56" w:rsidRPr="00D53A2B" w:rsidRDefault="0007449F" w:rsidP="00602365">
      <w:pPr>
        <w:pStyle w:val="ListeParagraf"/>
        <w:numPr>
          <w:ilvl w:val="1"/>
          <w:numId w:val="232"/>
        </w:numPr>
        <w:tabs>
          <w:tab w:val="clear" w:pos="567"/>
        </w:tabs>
        <w:spacing w:line="240" w:lineRule="auto"/>
        <w:ind w:left="851" w:hanging="426"/>
        <w:rPr>
          <w:sz w:val="24"/>
          <w:szCs w:val="24"/>
        </w:rPr>
      </w:pPr>
      <w:r w:rsidRPr="00D53A2B">
        <w:rPr>
          <w:sz w:val="24"/>
          <w:szCs w:val="24"/>
          <w:lang w:val="tr-TR"/>
        </w:rPr>
        <w:t>ÇYS</w:t>
      </w:r>
      <w:r w:rsidR="00E56504" w:rsidRPr="00D53A2B">
        <w:rPr>
          <w:sz w:val="24"/>
          <w:szCs w:val="24"/>
          <w:lang w:val="tr-TR"/>
        </w:rPr>
        <w:t>’</w:t>
      </w:r>
      <w:r w:rsidR="00D027B4" w:rsidRPr="00D53A2B">
        <w:rPr>
          <w:sz w:val="24"/>
          <w:szCs w:val="24"/>
          <w:lang w:val="tr-TR"/>
        </w:rPr>
        <w:t>nin planlanan düzenlemelere uyup uymadığını ve düzgün bir şekilde uygulanıp uygulanmadığını ve sürdürülüp sürdürülmediğini belirlemek amacıyla bağımsız (uygulanabilir olduğu durumlarda) iç veya dış denetim;</w:t>
      </w:r>
    </w:p>
    <w:p w14:paraId="6CE02041" w14:textId="6AAF56B0" w:rsidR="00D027B4" w:rsidRPr="00D53A2B" w:rsidRDefault="00D027B4" w:rsidP="00602365">
      <w:pPr>
        <w:pStyle w:val="ListeParagraf"/>
        <w:numPr>
          <w:ilvl w:val="0"/>
          <w:numId w:val="230"/>
        </w:numPr>
        <w:tabs>
          <w:tab w:val="left" w:pos="426"/>
        </w:tabs>
        <w:spacing w:line="240" w:lineRule="auto"/>
        <w:ind w:left="426" w:hanging="426"/>
        <w:rPr>
          <w:sz w:val="24"/>
          <w:szCs w:val="24"/>
        </w:rPr>
      </w:pPr>
      <w:r w:rsidRPr="00D53A2B">
        <w:rPr>
          <w:sz w:val="24"/>
          <w:szCs w:val="24"/>
        </w:rPr>
        <w:t>ÇYS</w:t>
      </w:r>
      <w:r w:rsidR="00E56504" w:rsidRPr="00D53A2B">
        <w:rPr>
          <w:sz w:val="24"/>
          <w:szCs w:val="24"/>
        </w:rPr>
        <w:t>’</w:t>
      </w:r>
      <w:r w:rsidRPr="00D53A2B">
        <w:rPr>
          <w:sz w:val="24"/>
          <w:szCs w:val="24"/>
        </w:rPr>
        <w:t>nin ve devam eden uygunluğunun, yeterliliğinin ve etkinliğinin üst yönetim tarafından gözden geçirilmesi</w:t>
      </w:r>
    </w:p>
    <w:p w14:paraId="57863FB1" w14:textId="602B015C" w:rsidR="00D027B4" w:rsidRPr="00D53A2B" w:rsidRDefault="00D027B4" w:rsidP="00602365">
      <w:pPr>
        <w:pStyle w:val="ListeParagraf"/>
        <w:numPr>
          <w:ilvl w:val="0"/>
          <w:numId w:val="230"/>
        </w:numPr>
        <w:tabs>
          <w:tab w:val="left" w:pos="426"/>
        </w:tabs>
        <w:spacing w:line="240" w:lineRule="auto"/>
        <w:ind w:left="425" w:hanging="425"/>
        <w:rPr>
          <w:sz w:val="24"/>
          <w:szCs w:val="24"/>
        </w:rPr>
      </w:pPr>
      <w:r w:rsidRPr="00D53A2B">
        <w:rPr>
          <w:sz w:val="24"/>
          <w:szCs w:val="24"/>
        </w:rPr>
        <w:t>daha temiz teknolojilerin geliştirilmesinin izlenmesi</w:t>
      </w:r>
    </w:p>
    <w:p w14:paraId="11BFFEB9" w14:textId="47116858" w:rsidR="00D027B4" w:rsidRPr="00D53A2B" w:rsidRDefault="00D027B4" w:rsidP="00602365">
      <w:pPr>
        <w:pStyle w:val="ListeParagraf"/>
        <w:numPr>
          <w:ilvl w:val="0"/>
          <w:numId w:val="230"/>
        </w:numPr>
        <w:tabs>
          <w:tab w:val="left" w:pos="426"/>
        </w:tabs>
        <w:spacing w:line="240" w:lineRule="auto"/>
        <w:ind w:left="426" w:hanging="426"/>
        <w:rPr>
          <w:sz w:val="24"/>
          <w:szCs w:val="24"/>
        </w:rPr>
      </w:pPr>
      <w:r w:rsidRPr="00D53A2B">
        <w:rPr>
          <w:sz w:val="24"/>
          <w:szCs w:val="24"/>
        </w:rPr>
        <w:t>Yeni bir tesisin tasarlanması aşamasında ve işletme ömrü boyunca tesisin nihai olarak hizmetten çıkarılmasından kaynaklanan çevresel etkilerin dikkate alınması;</w:t>
      </w:r>
    </w:p>
    <w:p w14:paraId="0D89B979" w14:textId="37EBDB5F" w:rsidR="00D027B4" w:rsidRPr="00D53A2B" w:rsidRDefault="00D027B4" w:rsidP="00602365">
      <w:pPr>
        <w:pStyle w:val="ListeParagraf"/>
        <w:numPr>
          <w:ilvl w:val="0"/>
          <w:numId w:val="230"/>
        </w:numPr>
        <w:tabs>
          <w:tab w:val="left" w:pos="426"/>
        </w:tabs>
        <w:spacing w:line="240" w:lineRule="auto"/>
        <w:ind w:left="426" w:hanging="426"/>
        <w:rPr>
          <w:sz w:val="24"/>
          <w:szCs w:val="24"/>
        </w:rPr>
      </w:pPr>
      <w:r w:rsidRPr="00D53A2B">
        <w:rPr>
          <w:sz w:val="24"/>
          <w:szCs w:val="24"/>
        </w:rPr>
        <w:t>sektörel kıyaslamanın düzenli olarak uygulanması.</w:t>
      </w:r>
    </w:p>
    <w:p w14:paraId="305C6F47" w14:textId="715739B0" w:rsidR="00374C56" w:rsidRPr="00D53A2B" w:rsidRDefault="00374C56" w:rsidP="00A202FD">
      <w:pPr>
        <w:tabs>
          <w:tab w:val="left" w:pos="426"/>
        </w:tabs>
        <w:spacing w:after="120"/>
        <w:ind w:left="426" w:hanging="426"/>
        <w:jc w:val="both"/>
        <w:rPr>
          <w:lang w:eastAsia="en-US"/>
        </w:rPr>
      </w:pPr>
    </w:p>
    <w:p w14:paraId="26FBACBC" w14:textId="2CC0AB2E" w:rsidR="00D027B4" w:rsidRPr="00D53A2B" w:rsidRDefault="00D027B4" w:rsidP="00A202FD">
      <w:pPr>
        <w:jc w:val="both"/>
        <w:rPr>
          <w:lang w:eastAsia="en-US"/>
        </w:rPr>
      </w:pPr>
      <w:r w:rsidRPr="00D53A2B">
        <w:rPr>
          <w:lang w:eastAsia="en-US"/>
        </w:rPr>
        <w:t>Yaygın toz emisyonlarına ilişkin bir eylem planının oluşturulması ve uygulanması (bkz. MET 6) ve özellikle toz azaltma sistemlerinin performansını ele alan bir bakım yönetim sisteminin uygulanması (bkz. MET 4) da EMS</w:t>
      </w:r>
      <w:r w:rsidR="00E56504" w:rsidRPr="00D53A2B">
        <w:rPr>
          <w:lang w:eastAsia="en-US"/>
        </w:rPr>
        <w:t>’</w:t>
      </w:r>
      <w:r w:rsidRPr="00D53A2B">
        <w:rPr>
          <w:lang w:eastAsia="en-US"/>
        </w:rPr>
        <w:t>nin bir parçasıdır.</w:t>
      </w:r>
    </w:p>
    <w:p w14:paraId="3579A597" w14:textId="77777777" w:rsidR="00D027B4" w:rsidRPr="00D53A2B" w:rsidRDefault="00D027B4" w:rsidP="00A202FD">
      <w:pPr>
        <w:jc w:val="both"/>
        <w:rPr>
          <w:lang w:eastAsia="en-US"/>
        </w:rPr>
      </w:pPr>
    </w:p>
    <w:p w14:paraId="4E9042F4" w14:textId="3F5CF502" w:rsidR="00D027B4" w:rsidRPr="00D53A2B" w:rsidRDefault="00D027B4" w:rsidP="00A202FD">
      <w:pPr>
        <w:jc w:val="both"/>
        <w:rPr>
          <w:b/>
          <w:bCs/>
          <w:lang w:eastAsia="en-US"/>
        </w:rPr>
      </w:pPr>
      <w:r w:rsidRPr="00D53A2B">
        <w:rPr>
          <w:b/>
          <w:bCs/>
          <w:lang w:eastAsia="en-US"/>
        </w:rPr>
        <w:t>Uygulanabilirlik</w:t>
      </w:r>
    </w:p>
    <w:p w14:paraId="756E3012" w14:textId="5374F982" w:rsidR="00D027B4" w:rsidRPr="00D53A2B" w:rsidRDefault="00D027B4" w:rsidP="00A202FD">
      <w:pPr>
        <w:jc w:val="both"/>
        <w:rPr>
          <w:lang w:eastAsia="en-US"/>
        </w:rPr>
      </w:pPr>
      <w:r w:rsidRPr="00D53A2B">
        <w:rPr>
          <w:lang w:eastAsia="en-US"/>
        </w:rPr>
        <w:t>ÇYS</w:t>
      </w:r>
      <w:r w:rsidR="00E56504" w:rsidRPr="00D53A2B">
        <w:rPr>
          <w:lang w:eastAsia="en-US"/>
        </w:rPr>
        <w:t>’</w:t>
      </w:r>
      <w:r w:rsidRPr="00D53A2B">
        <w:rPr>
          <w:lang w:eastAsia="en-US"/>
        </w:rPr>
        <w:t>nin kapsamı (örn. ayrıntı düzeyi) ve niteliği (örn. standartlaştırılmış veya standartlaştırılmamış) genellikle tesisin niteliği, ölçeği ve karmaşıklığı ve sahip olabileceği çevresel etkilerin çeşitliliği ile ilgili olacaktır.</w:t>
      </w:r>
    </w:p>
    <w:p w14:paraId="609CFB02" w14:textId="4FCFBC56" w:rsidR="00374C56" w:rsidRPr="00D53A2B" w:rsidRDefault="00374C56" w:rsidP="00A202FD">
      <w:pPr>
        <w:pStyle w:val="Balk3"/>
        <w:rPr>
          <w:rFonts w:cs="Times New Roman"/>
          <w:lang w:eastAsia="en-US"/>
        </w:rPr>
      </w:pPr>
      <w:bookmarkStart w:id="43" w:name="_Toc531927854"/>
      <w:r w:rsidRPr="00D53A2B">
        <w:rPr>
          <w:rFonts w:cs="Times New Roman"/>
          <w:lang w:eastAsia="en-US"/>
        </w:rPr>
        <w:t>1.</w:t>
      </w:r>
      <w:r w:rsidR="00390546" w:rsidRPr="00D53A2B">
        <w:rPr>
          <w:rFonts w:cs="Times New Roman"/>
          <w:lang w:eastAsia="en-US"/>
        </w:rPr>
        <w:t xml:space="preserve">1.2. </w:t>
      </w:r>
      <w:r w:rsidRPr="00D53A2B">
        <w:rPr>
          <w:rFonts w:cs="Times New Roman"/>
          <w:lang w:eastAsia="en-US"/>
        </w:rPr>
        <w:t xml:space="preserve">Enerji </w:t>
      </w:r>
      <w:r w:rsidR="0007449F" w:rsidRPr="00D53A2B">
        <w:rPr>
          <w:rFonts w:cs="Times New Roman"/>
          <w:lang w:eastAsia="en-US"/>
        </w:rPr>
        <w:t>y</w:t>
      </w:r>
      <w:r w:rsidRPr="00D53A2B">
        <w:rPr>
          <w:rFonts w:cs="Times New Roman"/>
          <w:lang w:eastAsia="en-US"/>
        </w:rPr>
        <w:t>önetimi</w:t>
      </w:r>
      <w:bookmarkEnd w:id="43"/>
    </w:p>
    <w:p w14:paraId="01566F32" w14:textId="45098AB3" w:rsidR="00374C56" w:rsidRPr="00D53A2B" w:rsidRDefault="00F775AE" w:rsidP="00A202FD">
      <w:pPr>
        <w:pStyle w:val="MET"/>
        <w:rPr>
          <w:szCs w:val="24"/>
        </w:rPr>
      </w:pPr>
      <w:r w:rsidRPr="00D53A2B">
        <w:rPr>
          <w:szCs w:val="24"/>
        </w:rPr>
        <w:t>MET 2:</w:t>
      </w:r>
      <w:r w:rsidR="0007449F" w:rsidRPr="00D53A2B">
        <w:rPr>
          <w:szCs w:val="24"/>
        </w:rPr>
        <w:t xml:space="preserve"> </w:t>
      </w:r>
      <w:r w:rsidR="00390546" w:rsidRPr="00D53A2B">
        <w:rPr>
          <w:b w:val="0"/>
          <w:bCs/>
          <w:szCs w:val="24"/>
        </w:rPr>
        <w:t>Enerjiyi verimli kullanmak için aşağıda verilen tekniklerin bir kombinasyonunu kullanılır.</w:t>
      </w:r>
    </w:p>
    <w:p w14:paraId="3DF07B76" w14:textId="77777777" w:rsidR="00390546" w:rsidRPr="00D53A2B" w:rsidRDefault="00390546" w:rsidP="00A202FD">
      <w:pPr>
        <w:pStyle w:val="MET"/>
        <w:rPr>
          <w:szCs w:val="24"/>
        </w:rPr>
      </w:pPr>
    </w:p>
    <w:tbl>
      <w:tblPr>
        <w:tblStyle w:val="TabloKlavuzu6"/>
        <w:tblW w:w="8793" w:type="dxa"/>
        <w:tblLook w:val="04A0" w:firstRow="1" w:lastRow="0" w:firstColumn="1" w:lastColumn="0" w:noHBand="0" w:noVBand="1"/>
      </w:tblPr>
      <w:tblGrid>
        <w:gridCol w:w="403"/>
        <w:gridCol w:w="4798"/>
        <w:gridCol w:w="3592"/>
      </w:tblGrid>
      <w:tr w:rsidR="00D6264E" w:rsidRPr="00A467CD" w14:paraId="637AC53A" w14:textId="77777777" w:rsidTr="009077F5">
        <w:trPr>
          <w:trHeight w:val="283"/>
        </w:trPr>
        <w:tc>
          <w:tcPr>
            <w:tcW w:w="388" w:type="dxa"/>
          </w:tcPr>
          <w:p w14:paraId="6BF4811E" w14:textId="77777777" w:rsidR="00374C56" w:rsidRPr="009077F5" w:rsidRDefault="00374C56" w:rsidP="00A202FD">
            <w:pPr>
              <w:jc w:val="both"/>
              <w:rPr>
                <w:b/>
              </w:rPr>
            </w:pPr>
          </w:p>
        </w:tc>
        <w:tc>
          <w:tcPr>
            <w:tcW w:w="4809" w:type="dxa"/>
          </w:tcPr>
          <w:p w14:paraId="1E0A3F55" w14:textId="77777777" w:rsidR="00374C56" w:rsidRPr="009077F5" w:rsidRDefault="00374C56" w:rsidP="00A202FD">
            <w:pPr>
              <w:jc w:val="both"/>
            </w:pPr>
            <w:r w:rsidRPr="009077F5">
              <w:t>Teknik</w:t>
            </w:r>
          </w:p>
        </w:tc>
        <w:tc>
          <w:tcPr>
            <w:tcW w:w="3596" w:type="dxa"/>
          </w:tcPr>
          <w:p w14:paraId="0A2C6065" w14:textId="77777777" w:rsidR="00374C56" w:rsidRPr="009077F5" w:rsidRDefault="00374C56" w:rsidP="00A202FD">
            <w:pPr>
              <w:jc w:val="both"/>
            </w:pPr>
            <w:r w:rsidRPr="009077F5">
              <w:t>Uygulanabilirlik</w:t>
            </w:r>
          </w:p>
        </w:tc>
      </w:tr>
      <w:tr w:rsidR="00D6264E" w:rsidRPr="00A467CD" w14:paraId="4DFD2DB6" w14:textId="77777777" w:rsidTr="009077F5">
        <w:trPr>
          <w:trHeight w:val="283"/>
        </w:trPr>
        <w:tc>
          <w:tcPr>
            <w:tcW w:w="388" w:type="dxa"/>
          </w:tcPr>
          <w:p w14:paraId="77ED274C" w14:textId="77777777" w:rsidR="00374C56" w:rsidRPr="009077F5" w:rsidRDefault="00374C56" w:rsidP="00A202FD">
            <w:pPr>
              <w:jc w:val="both"/>
            </w:pPr>
            <w:r w:rsidRPr="009077F5">
              <w:t>a</w:t>
            </w:r>
          </w:p>
        </w:tc>
        <w:tc>
          <w:tcPr>
            <w:tcW w:w="4809" w:type="dxa"/>
          </w:tcPr>
          <w:p w14:paraId="600977A8" w14:textId="77777777" w:rsidR="00374C56" w:rsidRPr="009077F5" w:rsidRDefault="00374C56" w:rsidP="00A202FD">
            <w:pPr>
              <w:jc w:val="both"/>
            </w:pPr>
            <w:r w:rsidRPr="009077F5">
              <w:t>Enerji verimliliği yönetim sistemi (örn. ISO 50001)</w:t>
            </w:r>
          </w:p>
        </w:tc>
        <w:tc>
          <w:tcPr>
            <w:tcW w:w="3596" w:type="dxa"/>
          </w:tcPr>
          <w:p w14:paraId="66405B58" w14:textId="77777777" w:rsidR="00374C56" w:rsidRPr="009077F5" w:rsidRDefault="00374C56" w:rsidP="00A202FD">
            <w:pPr>
              <w:jc w:val="both"/>
            </w:pPr>
            <w:r w:rsidRPr="009077F5">
              <w:t>Genellikle uygulanabilir</w:t>
            </w:r>
          </w:p>
        </w:tc>
      </w:tr>
      <w:tr w:rsidR="00D6264E" w:rsidRPr="00A467CD" w14:paraId="439B90A5" w14:textId="77777777" w:rsidTr="009077F5">
        <w:trPr>
          <w:trHeight w:val="283"/>
        </w:trPr>
        <w:tc>
          <w:tcPr>
            <w:tcW w:w="388" w:type="dxa"/>
          </w:tcPr>
          <w:p w14:paraId="04CF8ACB" w14:textId="77777777" w:rsidR="00374C56" w:rsidRPr="009077F5" w:rsidRDefault="00374C56" w:rsidP="00A202FD">
            <w:pPr>
              <w:jc w:val="both"/>
            </w:pPr>
            <w:r w:rsidRPr="009077F5">
              <w:t>b</w:t>
            </w:r>
          </w:p>
        </w:tc>
        <w:tc>
          <w:tcPr>
            <w:tcW w:w="4809" w:type="dxa"/>
          </w:tcPr>
          <w:p w14:paraId="290C41E6" w14:textId="5C183BC5" w:rsidR="00374C56" w:rsidRPr="009077F5" w:rsidRDefault="00374C56" w:rsidP="00A202FD">
            <w:pPr>
              <w:jc w:val="both"/>
            </w:pPr>
            <w:r w:rsidRPr="009077F5">
              <w:t xml:space="preserve">Rejeneratif veya </w:t>
            </w:r>
            <w:r w:rsidR="00D6264E" w:rsidRPr="009077F5">
              <w:t>reküperatif</w:t>
            </w:r>
            <w:r w:rsidRPr="009077F5">
              <w:t xml:space="preserve"> brülörler</w:t>
            </w:r>
          </w:p>
        </w:tc>
        <w:tc>
          <w:tcPr>
            <w:tcW w:w="3596" w:type="dxa"/>
          </w:tcPr>
          <w:p w14:paraId="5648D837" w14:textId="77777777" w:rsidR="00374C56" w:rsidRPr="009077F5" w:rsidRDefault="00374C56" w:rsidP="00A202FD">
            <w:pPr>
              <w:jc w:val="both"/>
            </w:pPr>
            <w:r w:rsidRPr="009077F5">
              <w:t>Genellikle uygulanabilir</w:t>
            </w:r>
          </w:p>
        </w:tc>
      </w:tr>
      <w:tr w:rsidR="00D6264E" w:rsidRPr="00A467CD" w14:paraId="455B7834" w14:textId="77777777" w:rsidTr="009077F5">
        <w:trPr>
          <w:trHeight w:val="283"/>
        </w:trPr>
        <w:tc>
          <w:tcPr>
            <w:tcW w:w="388" w:type="dxa"/>
          </w:tcPr>
          <w:p w14:paraId="4208DB8A" w14:textId="77777777" w:rsidR="00374C56" w:rsidRPr="009077F5" w:rsidRDefault="00374C56" w:rsidP="00A202FD">
            <w:pPr>
              <w:jc w:val="both"/>
            </w:pPr>
            <w:r w:rsidRPr="009077F5">
              <w:t>c</w:t>
            </w:r>
          </w:p>
        </w:tc>
        <w:tc>
          <w:tcPr>
            <w:tcW w:w="4809" w:type="dxa"/>
          </w:tcPr>
          <w:p w14:paraId="68DB0F8D" w14:textId="1BD9CA27" w:rsidR="00374C56" w:rsidRPr="009077F5" w:rsidRDefault="00D6264E" w:rsidP="00A202FD">
            <w:pPr>
              <w:jc w:val="both"/>
            </w:pPr>
            <w:r w:rsidRPr="009077F5">
              <w:t>Atık proses ısısından ısı geri kazanımı (örn</w:t>
            </w:r>
            <w:r w:rsidR="00A467CD">
              <w:t>eğin:</w:t>
            </w:r>
            <w:r w:rsidRPr="009077F5">
              <w:t xml:space="preserve"> buhar, sıcak su, sıcak hava)</w:t>
            </w:r>
          </w:p>
        </w:tc>
        <w:tc>
          <w:tcPr>
            <w:tcW w:w="3596" w:type="dxa"/>
          </w:tcPr>
          <w:p w14:paraId="36F08CEF" w14:textId="049333CB" w:rsidR="00374C56" w:rsidRPr="009077F5" w:rsidRDefault="00374C56" w:rsidP="00A202FD">
            <w:pPr>
              <w:jc w:val="both"/>
            </w:pPr>
            <w:r w:rsidRPr="009077F5">
              <w:t xml:space="preserve">Sadece </w:t>
            </w:r>
            <w:r w:rsidR="00D6264E" w:rsidRPr="009077F5">
              <w:t>ısıl metalbilimsel</w:t>
            </w:r>
            <w:r w:rsidRPr="009077F5">
              <w:t xml:space="preserve"> süreçler için uygulanabilir</w:t>
            </w:r>
          </w:p>
        </w:tc>
      </w:tr>
      <w:tr w:rsidR="00D6264E" w:rsidRPr="00A467CD" w14:paraId="2E394746" w14:textId="77777777" w:rsidTr="009077F5">
        <w:trPr>
          <w:trHeight w:val="283"/>
        </w:trPr>
        <w:tc>
          <w:tcPr>
            <w:tcW w:w="388" w:type="dxa"/>
          </w:tcPr>
          <w:p w14:paraId="611F3263" w14:textId="77777777" w:rsidR="00374C56" w:rsidRPr="009077F5" w:rsidRDefault="00374C56" w:rsidP="00A202FD">
            <w:pPr>
              <w:jc w:val="both"/>
            </w:pPr>
            <w:r w:rsidRPr="009077F5">
              <w:t>d</w:t>
            </w:r>
          </w:p>
        </w:tc>
        <w:tc>
          <w:tcPr>
            <w:tcW w:w="4809" w:type="dxa"/>
          </w:tcPr>
          <w:p w14:paraId="04DCF575" w14:textId="77777777" w:rsidR="00374C56" w:rsidRPr="009077F5" w:rsidRDefault="00374C56" w:rsidP="00A202FD">
            <w:pPr>
              <w:jc w:val="both"/>
            </w:pPr>
            <w:r w:rsidRPr="009077F5">
              <w:t>Rejeneratif termal oksitleyici</w:t>
            </w:r>
          </w:p>
        </w:tc>
        <w:tc>
          <w:tcPr>
            <w:tcW w:w="3596" w:type="dxa"/>
          </w:tcPr>
          <w:p w14:paraId="2BC135CA" w14:textId="7092B4C7" w:rsidR="00374C56" w:rsidRPr="009077F5" w:rsidRDefault="00D6264E" w:rsidP="00A202FD">
            <w:pPr>
              <w:jc w:val="both"/>
            </w:pPr>
            <w:r w:rsidRPr="009077F5">
              <w:t>Sadece yanıcı bir kirleticinin azaltılması gerektiğinde uygulanabilir</w:t>
            </w:r>
          </w:p>
        </w:tc>
      </w:tr>
      <w:tr w:rsidR="00D6264E" w:rsidRPr="00A467CD" w14:paraId="4F4AA66F" w14:textId="77777777" w:rsidTr="009077F5">
        <w:trPr>
          <w:trHeight w:val="283"/>
        </w:trPr>
        <w:tc>
          <w:tcPr>
            <w:tcW w:w="388" w:type="dxa"/>
          </w:tcPr>
          <w:p w14:paraId="66700771" w14:textId="77777777" w:rsidR="00374C56" w:rsidRPr="009077F5" w:rsidRDefault="00374C56" w:rsidP="00A202FD">
            <w:pPr>
              <w:jc w:val="both"/>
            </w:pPr>
            <w:r w:rsidRPr="009077F5">
              <w:lastRenderedPageBreak/>
              <w:t>e</w:t>
            </w:r>
          </w:p>
        </w:tc>
        <w:tc>
          <w:tcPr>
            <w:tcW w:w="4809" w:type="dxa"/>
          </w:tcPr>
          <w:p w14:paraId="72DA7109" w14:textId="77777777" w:rsidR="00374C56" w:rsidRPr="009077F5" w:rsidRDefault="00374C56" w:rsidP="00A202FD">
            <w:pPr>
              <w:jc w:val="both"/>
            </w:pPr>
            <w:r w:rsidRPr="009077F5">
              <w:t>Eritme aşamasından çıkan sıcak gazlardan geri kazanılan ısıyı kullanarak fırın yükünü, yanma havasını veya yakıtı önceden ısıtma</w:t>
            </w:r>
          </w:p>
        </w:tc>
        <w:tc>
          <w:tcPr>
            <w:tcW w:w="3596" w:type="dxa"/>
          </w:tcPr>
          <w:p w14:paraId="412F5131" w14:textId="77777777" w:rsidR="00374C56" w:rsidRPr="009077F5" w:rsidRDefault="00374C56" w:rsidP="00A202FD">
            <w:pPr>
              <w:jc w:val="both"/>
            </w:pPr>
            <w:r w:rsidRPr="009077F5">
              <w:t>Sadece sülfid cevheri/konsantresinin kavrulması veya ergitilmesi ve diğer pirometalurjik prosesler için uygulanabilir</w:t>
            </w:r>
          </w:p>
        </w:tc>
      </w:tr>
      <w:tr w:rsidR="00D6264E" w:rsidRPr="00A467CD" w14:paraId="19EE2CD6" w14:textId="77777777" w:rsidTr="009077F5">
        <w:trPr>
          <w:trHeight w:val="283"/>
        </w:trPr>
        <w:tc>
          <w:tcPr>
            <w:tcW w:w="388" w:type="dxa"/>
          </w:tcPr>
          <w:p w14:paraId="7DDFBDCC" w14:textId="77777777" w:rsidR="00374C56" w:rsidRPr="009077F5" w:rsidRDefault="00374C56" w:rsidP="00A202FD">
            <w:pPr>
              <w:jc w:val="both"/>
            </w:pPr>
            <w:r w:rsidRPr="009077F5">
              <w:t>f</w:t>
            </w:r>
          </w:p>
        </w:tc>
        <w:tc>
          <w:tcPr>
            <w:tcW w:w="4809" w:type="dxa"/>
          </w:tcPr>
          <w:p w14:paraId="0B813446" w14:textId="77777777" w:rsidR="00374C56" w:rsidRPr="009077F5" w:rsidRDefault="00374C56" w:rsidP="00A202FD">
            <w:pPr>
              <w:jc w:val="both"/>
            </w:pPr>
            <w:r w:rsidRPr="009077F5">
              <w:t>Atık ısının geri kazanımı ile elde edilen buhar veya sıcak su kullanarak sızan sıvıların sıcaklığını yükseltme</w:t>
            </w:r>
          </w:p>
        </w:tc>
        <w:tc>
          <w:tcPr>
            <w:tcW w:w="3596" w:type="dxa"/>
          </w:tcPr>
          <w:p w14:paraId="76BF09F6" w14:textId="77777777" w:rsidR="00374C56" w:rsidRPr="009077F5" w:rsidRDefault="00374C56" w:rsidP="00A202FD">
            <w:pPr>
              <w:jc w:val="both"/>
            </w:pPr>
            <w:r w:rsidRPr="009077F5">
              <w:t>Sadece alümina veya hidrometalurjik prosesler için uygulanabilir</w:t>
            </w:r>
          </w:p>
        </w:tc>
      </w:tr>
      <w:tr w:rsidR="00D6264E" w:rsidRPr="00A467CD" w14:paraId="72FA8771" w14:textId="77777777" w:rsidTr="009077F5">
        <w:trPr>
          <w:trHeight w:val="283"/>
        </w:trPr>
        <w:tc>
          <w:tcPr>
            <w:tcW w:w="388" w:type="dxa"/>
          </w:tcPr>
          <w:p w14:paraId="613ADAFE" w14:textId="77777777" w:rsidR="00374C56" w:rsidRPr="009077F5" w:rsidRDefault="00374C56" w:rsidP="00A202FD">
            <w:pPr>
              <w:jc w:val="both"/>
            </w:pPr>
            <w:r w:rsidRPr="009077F5">
              <w:t>g</w:t>
            </w:r>
          </w:p>
        </w:tc>
        <w:tc>
          <w:tcPr>
            <w:tcW w:w="4809" w:type="dxa"/>
          </w:tcPr>
          <w:p w14:paraId="29F02687" w14:textId="791820FF" w:rsidR="00374C56" w:rsidRPr="009077F5" w:rsidRDefault="00D6264E" w:rsidP="00A202FD">
            <w:pPr>
              <w:jc w:val="both"/>
            </w:pPr>
            <w:r w:rsidRPr="009077F5">
              <w:t>Yıkama kanalından çıkan sıcak gazları önceden ısıtılmış yanma havası olarak kullanın.</w:t>
            </w:r>
          </w:p>
        </w:tc>
        <w:tc>
          <w:tcPr>
            <w:tcW w:w="3596" w:type="dxa"/>
          </w:tcPr>
          <w:p w14:paraId="7D02E43A" w14:textId="77777777" w:rsidR="00374C56" w:rsidRPr="009077F5" w:rsidRDefault="00374C56" w:rsidP="00A202FD">
            <w:pPr>
              <w:jc w:val="both"/>
            </w:pPr>
            <w:r w:rsidRPr="009077F5">
              <w:t>Sadece pirometalurjik süreçler için uygulanabilir</w:t>
            </w:r>
          </w:p>
        </w:tc>
      </w:tr>
      <w:tr w:rsidR="00D6264E" w:rsidRPr="00A467CD" w14:paraId="54B91670" w14:textId="77777777" w:rsidTr="009077F5">
        <w:trPr>
          <w:trHeight w:val="283"/>
        </w:trPr>
        <w:tc>
          <w:tcPr>
            <w:tcW w:w="388" w:type="dxa"/>
          </w:tcPr>
          <w:p w14:paraId="102AFC5B" w14:textId="77777777" w:rsidR="00374C56" w:rsidRPr="009077F5" w:rsidRDefault="00374C56" w:rsidP="00A202FD">
            <w:pPr>
              <w:jc w:val="both"/>
            </w:pPr>
            <w:r w:rsidRPr="009077F5">
              <w:t>h</w:t>
            </w:r>
          </w:p>
        </w:tc>
        <w:tc>
          <w:tcPr>
            <w:tcW w:w="4809" w:type="dxa"/>
          </w:tcPr>
          <w:p w14:paraId="5C1FDDBD" w14:textId="1DBD4A8F" w:rsidR="00374C56" w:rsidRPr="009077F5" w:rsidRDefault="00D6264E" w:rsidP="00A202FD">
            <w:pPr>
              <w:jc w:val="both"/>
            </w:pPr>
            <w:r w:rsidRPr="009077F5">
              <w:t>Otojen eritme veya karbonlu malzemenin tamamen yanmasını sağlayarak enerji tüketimini azaltmak için brülörlerde oksijenle zenginleştirilmiş hava veya saf oksijen kullanın.</w:t>
            </w:r>
          </w:p>
        </w:tc>
        <w:tc>
          <w:tcPr>
            <w:tcW w:w="3596" w:type="dxa"/>
          </w:tcPr>
          <w:p w14:paraId="4D8A7BB8" w14:textId="77777777" w:rsidR="00374C56" w:rsidRPr="009077F5" w:rsidRDefault="00374C56" w:rsidP="00A202FD">
            <w:pPr>
              <w:jc w:val="both"/>
            </w:pPr>
            <w:r w:rsidRPr="009077F5">
              <w:t>Sadece ham maddeler ya da sülfür kullanan fırınlar için uygulanabilir</w:t>
            </w:r>
          </w:p>
        </w:tc>
      </w:tr>
      <w:tr w:rsidR="00D6264E" w:rsidRPr="00A467CD" w14:paraId="2AFC6DE4" w14:textId="77777777" w:rsidTr="009077F5">
        <w:trPr>
          <w:trHeight w:val="283"/>
        </w:trPr>
        <w:tc>
          <w:tcPr>
            <w:tcW w:w="388" w:type="dxa"/>
          </w:tcPr>
          <w:p w14:paraId="5B9EA34C" w14:textId="77777777" w:rsidR="00374C56" w:rsidRPr="009077F5" w:rsidRDefault="00374C56" w:rsidP="00A202FD">
            <w:pPr>
              <w:jc w:val="both"/>
            </w:pPr>
            <w:r w:rsidRPr="009077F5">
              <w:t>i</w:t>
            </w:r>
          </w:p>
        </w:tc>
        <w:tc>
          <w:tcPr>
            <w:tcW w:w="4809" w:type="dxa"/>
          </w:tcPr>
          <w:p w14:paraId="6FEB87ED" w14:textId="77777777" w:rsidR="00374C56" w:rsidRPr="009077F5" w:rsidRDefault="00374C56" w:rsidP="00A202FD">
            <w:pPr>
              <w:jc w:val="both"/>
            </w:pPr>
            <w:r w:rsidRPr="009077F5">
              <w:t>Düşük sıcaklıklarda kuru konsantreler ve ıslak hammaddeler</w:t>
            </w:r>
          </w:p>
        </w:tc>
        <w:tc>
          <w:tcPr>
            <w:tcW w:w="3596" w:type="dxa"/>
          </w:tcPr>
          <w:p w14:paraId="39CA8FD3" w14:textId="77777777" w:rsidR="00374C56" w:rsidRPr="009077F5" w:rsidRDefault="00374C56" w:rsidP="00A202FD">
            <w:pPr>
              <w:jc w:val="both"/>
            </w:pPr>
            <w:r w:rsidRPr="009077F5">
              <w:t>Sadece kurutma yapıldığında uygulanabilir</w:t>
            </w:r>
          </w:p>
        </w:tc>
      </w:tr>
      <w:tr w:rsidR="00D6264E" w:rsidRPr="00A467CD" w14:paraId="1A82AE60" w14:textId="77777777" w:rsidTr="009077F5">
        <w:trPr>
          <w:trHeight w:val="283"/>
        </w:trPr>
        <w:tc>
          <w:tcPr>
            <w:tcW w:w="388" w:type="dxa"/>
          </w:tcPr>
          <w:p w14:paraId="31108E4F" w14:textId="77777777" w:rsidR="00374C56" w:rsidRPr="009077F5" w:rsidRDefault="00374C56" w:rsidP="00A202FD">
            <w:pPr>
              <w:jc w:val="both"/>
            </w:pPr>
            <w:r w:rsidRPr="009077F5">
              <w:t>j</w:t>
            </w:r>
          </w:p>
        </w:tc>
        <w:tc>
          <w:tcPr>
            <w:tcW w:w="4809" w:type="dxa"/>
          </w:tcPr>
          <w:p w14:paraId="6330354E" w14:textId="77777777" w:rsidR="00374C56" w:rsidRPr="009077F5" w:rsidRDefault="00374C56" w:rsidP="00A202FD">
            <w:pPr>
              <w:jc w:val="both"/>
            </w:pPr>
            <w:r w:rsidRPr="009077F5">
              <w:t>Bir elektrikli veya yüksek fırında üretilen karbon monoksitin kimyasal enerji içeriğini, atık gazları bir yakıt olarak diğer üretim işlemlerinde kullanarak (metallerin tutulmasından sonra); veya buhar/sıcak su veya elektrik üreterek; geri kazanma</w:t>
            </w:r>
          </w:p>
        </w:tc>
        <w:tc>
          <w:tcPr>
            <w:tcW w:w="3596" w:type="dxa"/>
          </w:tcPr>
          <w:p w14:paraId="4B79CB8D" w14:textId="0D2D0733" w:rsidR="00374C56" w:rsidRPr="009077F5" w:rsidRDefault="00374C56" w:rsidP="00A202FD">
            <w:pPr>
              <w:jc w:val="both"/>
            </w:pPr>
            <w:r w:rsidRPr="009077F5">
              <w:t>Sadece CO içeriği &gt;%10 olan salınan atık gazlar için uygulanabilir. Uygulanabilirlik, aynı zamanda, atık gazın bileşimi ve sürekli bir akışın bulunmaması tarafından etkilenir (</w:t>
            </w:r>
            <w:r w:rsidRPr="009077F5">
              <w:rPr>
                <w:i/>
              </w:rPr>
              <w:t>örn</w:t>
            </w:r>
            <w:r w:rsidR="00A467CD">
              <w:rPr>
                <w:i/>
              </w:rPr>
              <w:t>eğin</w:t>
            </w:r>
            <w:r w:rsidRPr="009077F5">
              <w:t xml:space="preserve"> Kesikli prosesler).</w:t>
            </w:r>
          </w:p>
        </w:tc>
      </w:tr>
      <w:tr w:rsidR="00D6264E" w:rsidRPr="00A467CD" w14:paraId="1DE76833" w14:textId="77777777" w:rsidTr="009077F5">
        <w:trPr>
          <w:trHeight w:val="283"/>
        </w:trPr>
        <w:tc>
          <w:tcPr>
            <w:tcW w:w="388" w:type="dxa"/>
          </w:tcPr>
          <w:p w14:paraId="22685DA9" w14:textId="77777777" w:rsidR="00374C56" w:rsidRPr="009077F5" w:rsidRDefault="00374C56" w:rsidP="00A202FD">
            <w:pPr>
              <w:jc w:val="both"/>
            </w:pPr>
            <w:r w:rsidRPr="009077F5">
              <w:t>k</w:t>
            </w:r>
          </w:p>
        </w:tc>
        <w:tc>
          <w:tcPr>
            <w:tcW w:w="4809" w:type="dxa"/>
          </w:tcPr>
          <w:p w14:paraId="18DDEC7F" w14:textId="16504812" w:rsidR="00374C56" w:rsidRPr="009077F5" w:rsidRDefault="003E39C5" w:rsidP="00A202FD">
            <w:pPr>
              <w:jc w:val="both"/>
            </w:pPr>
            <w:r w:rsidRPr="009077F5">
              <w:t>Mevcut toplam organik karbonda bulunan enerjiyi geri kazanmak için baca gazını bir oksi-yakıt brülöründen geri sirkülasyonu</w:t>
            </w:r>
          </w:p>
        </w:tc>
        <w:tc>
          <w:tcPr>
            <w:tcW w:w="3596" w:type="dxa"/>
          </w:tcPr>
          <w:p w14:paraId="14C67E49" w14:textId="77777777" w:rsidR="00374C56" w:rsidRPr="009077F5" w:rsidRDefault="00374C56" w:rsidP="00A202FD">
            <w:pPr>
              <w:jc w:val="both"/>
            </w:pPr>
            <w:r w:rsidRPr="009077F5">
              <w:t>Genellikle uygulanabilir</w:t>
            </w:r>
          </w:p>
        </w:tc>
      </w:tr>
      <w:tr w:rsidR="00D6264E" w:rsidRPr="00A467CD" w14:paraId="2E334007" w14:textId="77777777" w:rsidTr="009077F5">
        <w:trPr>
          <w:trHeight w:val="283"/>
        </w:trPr>
        <w:tc>
          <w:tcPr>
            <w:tcW w:w="388" w:type="dxa"/>
          </w:tcPr>
          <w:p w14:paraId="51953069" w14:textId="77777777" w:rsidR="00374C56" w:rsidRPr="009077F5" w:rsidRDefault="00374C56" w:rsidP="00A202FD">
            <w:pPr>
              <w:jc w:val="both"/>
            </w:pPr>
            <w:r w:rsidRPr="009077F5">
              <w:t>l</w:t>
            </w:r>
          </w:p>
        </w:tc>
        <w:tc>
          <w:tcPr>
            <w:tcW w:w="4809" w:type="dxa"/>
          </w:tcPr>
          <w:p w14:paraId="636F1BB6" w14:textId="77777777" w:rsidR="00374C56" w:rsidRPr="009077F5" w:rsidRDefault="00374C56" w:rsidP="00A202FD">
            <w:pPr>
              <w:jc w:val="both"/>
            </w:pPr>
            <w:r w:rsidRPr="009077F5">
              <w:t>Buhar ve sıcak su boruları gibi yüksek sıcaklıktaki ekipman için uygun yalıtım</w:t>
            </w:r>
          </w:p>
        </w:tc>
        <w:tc>
          <w:tcPr>
            <w:tcW w:w="3596" w:type="dxa"/>
          </w:tcPr>
          <w:p w14:paraId="388700B7" w14:textId="77777777" w:rsidR="00374C56" w:rsidRPr="009077F5" w:rsidRDefault="00374C56" w:rsidP="00A202FD">
            <w:pPr>
              <w:jc w:val="both"/>
            </w:pPr>
            <w:r w:rsidRPr="009077F5">
              <w:t>Genellikle uygulanabilir</w:t>
            </w:r>
          </w:p>
        </w:tc>
      </w:tr>
      <w:tr w:rsidR="00D6264E" w:rsidRPr="00A467CD" w14:paraId="6FF7EA84" w14:textId="77777777" w:rsidTr="009077F5">
        <w:trPr>
          <w:trHeight w:val="283"/>
        </w:trPr>
        <w:tc>
          <w:tcPr>
            <w:tcW w:w="388" w:type="dxa"/>
          </w:tcPr>
          <w:p w14:paraId="7F2C1452" w14:textId="77777777" w:rsidR="00374C56" w:rsidRPr="009077F5" w:rsidRDefault="00374C56" w:rsidP="00A202FD">
            <w:pPr>
              <w:jc w:val="both"/>
            </w:pPr>
            <w:r w:rsidRPr="009077F5">
              <w:t>m</w:t>
            </w:r>
          </w:p>
        </w:tc>
        <w:tc>
          <w:tcPr>
            <w:tcW w:w="4809" w:type="dxa"/>
          </w:tcPr>
          <w:p w14:paraId="59148E71" w14:textId="0F416F78" w:rsidR="00374C56" w:rsidRPr="009077F5" w:rsidRDefault="003E39C5" w:rsidP="00A202FD">
            <w:pPr>
              <w:jc w:val="both"/>
            </w:pPr>
            <w:r w:rsidRPr="009077F5">
              <w:t>Sülfür dioksitten sülfürik asit üretiminden elde edilen ısıyı, sülfürik asit tesisine yönlendirilen gazı ön ısıtmak veya buhar ve/veya sıcak su üretmek için kullanın.</w:t>
            </w:r>
          </w:p>
        </w:tc>
        <w:tc>
          <w:tcPr>
            <w:tcW w:w="3596" w:type="dxa"/>
          </w:tcPr>
          <w:p w14:paraId="04A95A40" w14:textId="77777777" w:rsidR="00374C56" w:rsidRPr="009077F5" w:rsidRDefault="00374C56" w:rsidP="00A202FD">
            <w:pPr>
              <w:jc w:val="both"/>
            </w:pPr>
            <w:r w:rsidRPr="009077F5">
              <w:t>Sadece sülfürik asit veya sıvı SO</w:t>
            </w:r>
            <w:r w:rsidRPr="009077F5">
              <w:rPr>
                <w:vertAlign w:val="subscript"/>
              </w:rPr>
              <w:t>2</w:t>
            </w:r>
            <w:r w:rsidRPr="009077F5">
              <w:t xml:space="preserve"> üretiminin yapıldığı demir dışı metal tesisler için uygulanabilir</w:t>
            </w:r>
          </w:p>
        </w:tc>
      </w:tr>
      <w:tr w:rsidR="00D6264E" w:rsidRPr="00A467CD" w14:paraId="585273C6" w14:textId="77777777" w:rsidTr="009077F5">
        <w:trPr>
          <w:trHeight w:val="283"/>
        </w:trPr>
        <w:tc>
          <w:tcPr>
            <w:tcW w:w="388" w:type="dxa"/>
          </w:tcPr>
          <w:p w14:paraId="14ECBCAC" w14:textId="77777777" w:rsidR="00374C56" w:rsidRPr="009077F5" w:rsidRDefault="00374C56" w:rsidP="00A202FD">
            <w:pPr>
              <w:jc w:val="both"/>
            </w:pPr>
            <w:r w:rsidRPr="009077F5">
              <w:t>n</w:t>
            </w:r>
          </w:p>
        </w:tc>
        <w:tc>
          <w:tcPr>
            <w:tcW w:w="4809" w:type="dxa"/>
          </w:tcPr>
          <w:p w14:paraId="590EC98E" w14:textId="77777777" w:rsidR="00374C56" w:rsidRPr="009077F5" w:rsidRDefault="00374C56" w:rsidP="00A202FD">
            <w:pPr>
              <w:jc w:val="both"/>
            </w:pPr>
            <w:r w:rsidRPr="009077F5">
              <w:t>Fanlar gibi ekipmanlar için değişken frekanslı sürücü ile donatılmış yüksek verimli elektrik motorları kullanma</w:t>
            </w:r>
          </w:p>
        </w:tc>
        <w:tc>
          <w:tcPr>
            <w:tcW w:w="3596" w:type="dxa"/>
          </w:tcPr>
          <w:p w14:paraId="275739D5" w14:textId="77777777" w:rsidR="00374C56" w:rsidRPr="009077F5" w:rsidRDefault="00374C56" w:rsidP="00A202FD">
            <w:pPr>
              <w:jc w:val="both"/>
            </w:pPr>
            <w:r w:rsidRPr="009077F5">
              <w:t>Genellikle uygulanabilir</w:t>
            </w:r>
          </w:p>
        </w:tc>
      </w:tr>
      <w:tr w:rsidR="00D6264E" w:rsidRPr="00A467CD" w14:paraId="53D1248D" w14:textId="77777777" w:rsidTr="009077F5">
        <w:trPr>
          <w:trHeight w:val="283"/>
        </w:trPr>
        <w:tc>
          <w:tcPr>
            <w:tcW w:w="388" w:type="dxa"/>
          </w:tcPr>
          <w:p w14:paraId="6E305323" w14:textId="77777777" w:rsidR="00374C56" w:rsidRPr="009077F5" w:rsidRDefault="00374C56" w:rsidP="00A202FD">
            <w:pPr>
              <w:jc w:val="both"/>
            </w:pPr>
            <w:r w:rsidRPr="009077F5">
              <w:t>o</w:t>
            </w:r>
          </w:p>
        </w:tc>
        <w:tc>
          <w:tcPr>
            <w:tcW w:w="4809" w:type="dxa"/>
          </w:tcPr>
          <w:p w14:paraId="4EF2483F" w14:textId="3615FE82" w:rsidR="00374C56" w:rsidRPr="009077F5" w:rsidRDefault="003E39C5" w:rsidP="00A202FD">
            <w:pPr>
              <w:jc w:val="both"/>
            </w:pPr>
            <w:r w:rsidRPr="009077F5">
              <w:t>Hava tahliye sistemini otomatik olarak etkinleştiren veya gerçek emisyonlara bağlı olarak tahliye oranını ayarlayan kontrol sistemleri kullanın.</w:t>
            </w:r>
          </w:p>
        </w:tc>
        <w:tc>
          <w:tcPr>
            <w:tcW w:w="3596" w:type="dxa"/>
          </w:tcPr>
          <w:p w14:paraId="3FCA6D55" w14:textId="77777777" w:rsidR="00374C56" w:rsidRPr="009077F5" w:rsidRDefault="00374C56" w:rsidP="00A202FD">
            <w:pPr>
              <w:jc w:val="both"/>
            </w:pPr>
            <w:r w:rsidRPr="009077F5">
              <w:t>Genellikle uygulanabilir</w:t>
            </w:r>
          </w:p>
        </w:tc>
      </w:tr>
    </w:tbl>
    <w:p w14:paraId="25590F3C" w14:textId="77777777" w:rsidR="003E39C5" w:rsidRPr="00D53A2B" w:rsidRDefault="003E39C5" w:rsidP="00A202FD">
      <w:pPr>
        <w:jc w:val="both"/>
        <w:rPr>
          <w:lang w:eastAsia="en-US"/>
        </w:rPr>
      </w:pPr>
      <w:bookmarkStart w:id="44" w:name="_Toc531927855"/>
    </w:p>
    <w:p w14:paraId="278AD5EE" w14:textId="41114576" w:rsidR="003E39C5" w:rsidRPr="00D53A2B" w:rsidRDefault="00374C56" w:rsidP="00A202FD">
      <w:pPr>
        <w:pStyle w:val="Balk3"/>
        <w:rPr>
          <w:rFonts w:cs="Times New Roman"/>
          <w:lang w:eastAsia="en-US"/>
        </w:rPr>
      </w:pPr>
      <w:r w:rsidRPr="00D53A2B">
        <w:rPr>
          <w:rFonts w:cs="Times New Roman"/>
          <w:lang w:eastAsia="en-US"/>
        </w:rPr>
        <w:t>1.</w:t>
      </w:r>
      <w:r w:rsidR="003E39C5" w:rsidRPr="00D53A2B">
        <w:rPr>
          <w:rFonts w:cs="Times New Roman"/>
          <w:lang w:eastAsia="en-US"/>
        </w:rPr>
        <w:t xml:space="preserve">1.3. </w:t>
      </w:r>
      <w:r w:rsidRPr="00D53A2B">
        <w:rPr>
          <w:rFonts w:cs="Times New Roman"/>
          <w:lang w:eastAsia="en-US"/>
        </w:rPr>
        <w:t xml:space="preserve">Proses </w:t>
      </w:r>
      <w:r w:rsidR="0007449F" w:rsidRPr="00D53A2B">
        <w:rPr>
          <w:rFonts w:cs="Times New Roman"/>
          <w:lang w:eastAsia="en-US"/>
        </w:rPr>
        <w:t>k</w:t>
      </w:r>
      <w:r w:rsidRPr="00D53A2B">
        <w:rPr>
          <w:rFonts w:cs="Times New Roman"/>
          <w:lang w:eastAsia="en-US"/>
        </w:rPr>
        <w:t>ontrolü</w:t>
      </w:r>
      <w:bookmarkEnd w:id="44"/>
    </w:p>
    <w:p w14:paraId="189A3AA3" w14:textId="063CC10C" w:rsidR="00374C56" w:rsidRPr="00D53A2B" w:rsidRDefault="00F775AE" w:rsidP="00A202FD">
      <w:pPr>
        <w:pStyle w:val="MET"/>
        <w:rPr>
          <w:szCs w:val="24"/>
        </w:rPr>
      </w:pPr>
      <w:r w:rsidRPr="00D53A2B">
        <w:rPr>
          <w:szCs w:val="24"/>
        </w:rPr>
        <w:t xml:space="preserve">MET 3: </w:t>
      </w:r>
      <w:r w:rsidR="003E39C5" w:rsidRPr="00D53A2B">
        <w:rPr>
          <w:b w:val="0"/>
          <w:bCs/>
          <w:szCs w:val="24"/>
        </w:rPr>
        <w:t>Genel çevresel performansı iyileştirmek için, aşağıda verilen tekniklerin bir kombinasyonu ile birlikte bir süreç kontrol sistemi kullanarak istikrarlı bir süreç işletimi sağlar.</w:t>
      </w:r>
    </w:p>
    <w:p w14:paraId="228BE12E" w14:textId="77777777" w:rsidR="003E39C5" w:rsidRPr="00D53A2B" w:rsidRDefault="003E39C5" w:rsidP="00A202FD">
      <w:pPr>
        <w:jc w:val="both"/>
      </w:pPr>
    </w:p>
    <w:tbl>
      <w:tblPr>
        <w:tblStyle w:val="TabloKlavuzu6"/>
        <w:tblW w:w="9073" w:type="dxa"/>
        <w:tblLook w:val="04A0" w:firstRow="1" w:lastRow="0" w:firstColumn="1" w:lastColumn="0" w:noHBand="0" w:noVBand="1"/>
      </w:tblPr>
      <w:tblGrid>
        <w:gridCol w:w="426"/>
        <w:gridCol w:w="8647"/>
      </w:tblGrid>
      <w:tr w:rsidR="00380A2E" w:rsidRPr="00A467CD" w14:paraId="189B5171" w14:textId="77777777" w:rsidTr="009077F5">
        <w:trPr>
          <w:trHeight w:val="283"/>
        </w:trPr>
        <w:tc>
          <w:tcPr>
            <w:tcW w:w="426" w:type="dxa"/>
          </w:tcPr>
          <w:p w14:paraId="6FC83BFB" w14:textId="77777777" w:rsidR="00374C56" w:rsidRPr="009077F5" w:rsidRDefault="00374C56" w:rsidP="00A202FD">
            <w:pPr>
              <w:spacing w:line="264" w:lineRule="auto"/>
              <w:jc w:val="both"/>
              <w:rPr>
                <w:b/>
              </w:rPr>
            </w:pPr>
          </w:p>
        </w:tc>
        <w:tc>
          <w:tcPr>
            <w:tcW w:w="8647" w:type="dxa"/>
          </w:tcPr>
          <w:p w14:paraId="6FB1F1EF" w14:textId="77777777" w:rsidR="00374C56" w:rsidRPr="009077F5" w:rsidRDefault="00374C56" w:rsidP="00A202FD">
            <w:pPr>
              <w:spacing w:line="264" w:lineRule="auto"/>
              <w:jc w:val="both"/>
            </w:pPr>
            <w:r w:rsidRPr="009077F5">
              <w:t>Teknik</w:t>
            </w:r>
          </w:p>
        </w:tc>
      </w:tr>
      <w:tr w:rsidR="00380A2E" w:rsidRPr="00A467CD" w14:paraId="4AA25190" w14:textId="77777777" w:rsidTr="009077F5">
        <w:trPr>
          <w:trHeight w:val="283"/>
        </w:trPr>
        <w:tc>
          <w:tcPr>
            <w:tcW w:w="426" w:type="dxa"/>
          </w:tcPr>
          <w:p w14:paraId="19901A05" w14:textId="77777777" w:rsidR="00374C56" w:rsidRPr="009077F5" w:rsidRDefault="00374C56" w:rsidP="00A202FD">
            <w:pPr>
              <w:spacing w:line="264" w:lineRule="auto"/>
              <w:jc w:val="both"/>
            </w:pPr>
            <w:r w:rsidRPr="009077F5">
              <w:t>a</w:t>
            </w:r>
          </w:p>
        </w:tc>
        <w:tc>
          <w:tcPr>
            <w:tcW w:w="8647" w:type="dxa"/>
          </w:tcPr>
          <w:p w14:paraId="4842ED9C" w14:textId="77777777" w:rsidR="00374C56" w:rsidRPr="009077F5" w:rsidRDefault="00374C56" w:rsidP="00A202FD">
            <w:pPr>
              <w:spacing w:line="264" w:lineRule="auto"/>
              <w:jc w:val="both"/>
            </w:pPr>
            <w:r w:rsidRPr="009077F5">
              <w:t>Giriş malzemelerini, prosese ve uygulanan azaltma tekniklerine göre kontrol etme ve seçme</w:t>
            </w:r>
          </w:p>
        </w:tc>
      </w:tr>
      <w:tr w:rsidR="00380A2E" w:rsidRPr="00A467CD" w14:paraId="3FD00FE3" w14:textId="77777777" w:rsidTr="009077F5">
        <w:trPr>
          <w:trHeight w:val="283"/>
        </w:trPr>
        <w:tc>
          <w:tcPr>
            <w:tcW w:w="426" w:type="dxa"/>
          </w:tcPr>
          <w:p w14:paraId="501FDDA0" w14:textId="77777777" w:rsidR="00374C56" w:rsidRPr="009077F5" w:rsidRDefault="00374C56" w:rsidP="00A202FD">
            <w:pPr>
              <w:spacing w:line="264" w:lineRule="auto"/>
              <w:jc w:val="both"/>
            </w:pPr>
            <w:r w:rsidRPr="009077F5">
              <w:lastRenderedPageBreak/>
              <w:t>b</w:t>
            </w:r>
          </w:p>
        </w:tc>
        <w:tc>
          <w:tcPr>
            <w:tcW w:w="8647" w:type="dxa"/>
          </w:tcPr>
          <w:p w14:paraId="71861492" w14:textId="41251A33" w:rsidR="00374C56" w:rsidRPr="009077F5" w:rsidRDefault="00380A2E" w:rsidP="00A202FD">
            <w:pPr>
              <w:spacing w:line="264" w:lineRule="auto"/>
              <w:jc w:val="both"/>
            </w:pPr>
            <w:r w:rsidRPr="009077F5">
              <w:t>Optimum dönüşüm verimliliği elde etmek ve emisyonları ve atıkları azaltmak için besleme malzemelerinin iyi karıştırılması.</w:t>
            </w:r>
          </w:p>
        </w:tc>
      </w:tr>
      <w:tr w:rsidR="00380A2E" w:rsidRPr="00A467CD" w14:paraId="7D07EFCD" w14:textId="77777777" w:rsidTr="009077F5">
        <w:trPr>
          <w:trHeight w:val="283"/>
        </w:trPr>
        <w:tc>
          <w:tcPr>
            <w:tcW w:w="426" w:type="dxa"/>
          </w:tcPr>
          <w:p w14:paraId="2BFE5234" w14:textId="77777777" w:rsidR="00374C56" w:rsidRPr="009077F5" w:rsidRDefault="00374C56" w:rsidP="00A202FD">
            <w:pPr>
              <w:spacing w:line="264" w:lineRule="auto"/>
              <w:jc w:val="both"/>
            </w:pPr>
            <w:r w:rsidRPr="009077F5">
              <w:t>c</w:t>
            </w:r>
          </w:p>
        </w:tc>
        <w:tc>
          <w:tcPr>
            <w:tcW w:w="8647" w:type="dxa"/>
          </w:tcPr>
          <w:p w14:paraId="56A46D74" w14:textId="77777777" w:rsidR="00374C56" w:rsidRPr="009077F5" w:rsidRDefault="00374C56" w:rsidP="00A202FD">
            <w:pPr>
              <w:spacing w:line="264" w:lineRule="auto"/>
              <w:jc w:val="both"/>
            </w:pPr>
            <w:r w:rsidRPr="009077F5">
              <w:t>Besleme tartım ve ölçüm sistemleri</w:t>
            </w:r>
          </w:p>
        </w:tc>
      </w:tr>
      <w:tr w:rsidR="00380A2E" w:rsidRPr="00A467CD" w14:paraId="5151A518" w14:textId="77777777" w:rsidTr="009077F5">
        <w:trPr>
          <w:trHeight w:val="283"/>
        </w:trPr>
        <w:tc>
          <w:tcPr>
            <w:tcW w:w="426" w:type="dxa"/>
          </w:tcPr>
          <w:p w14:paraId="3487848F" w14:textId="77777777" w:rsidR="00374C56" w:rsidRPr="009077F5" w:rsidRDefault="00374C56" w:rsidP="00A202FD">
            <w:pPr>
              <w:spacing w:line="264" w:lineRule="auto"/>
              <w:jc w:val="both"/>
            </w:pPr>
            <w:r w:rsidRPr="009077F5">
              <w:t>d</w:t>
            </w:r>
          </w:p>
        </w:tc>
        <w:tc>
          <w:tcPr>
            <w:tcW w:w="8647" w:type="dxa"/>
          </w:tcPr>
          <w:p w14:paraId="4DF529CE" w14:textId="77777777" w:rsidR="00374C56" w:rsidRPr="009077F5" w:rsidRDefault="00374C56" w:rsidP="00A202FD">
            <w:pPr>
              <w:spacing w:line="264" w:lineRule="auto"/>
              <w:jc w:val="both"/>
            </w:pPr>
            <w:r w:rsidRPr="009077F5">
              <w:t>Alarm, yanma koşulları ve gaz ilavelerini içeren ve malzeme besleme hızını kontrol eden işlemciler kullanılması</w:t>
            </w:r>
          </w:p>
        </w:tc>
      </w:tr>
      <w:tr w:rsidR="00380A2E" w:rsidRPr="00A467CD" w14:paraId="080E7C0F" w14:textId="77777777" w:rsidTr="009077F5">
        <w:trPr>
          <w:trHeight w:val="283"/>
        </w:trPr>
        <w:tc>
          <w:tcPr>
            <w:tcW w:w="426" w:type="dxa"/>
          </w:tcPr>
          <w:p w14:paraId="44375AB7" w14:textId="77777777" w:rsidR="00374C56" w:rsidRPr="009077F5" w:rsidRDefault="00374C56" w:rsidP="00A202FD">
            <w:pPr>
              <w:spacing w:line="264" w:lineRule="auto"/>
              <w:jc w:val="both"/>
            </w:pPr>
            <w:r w:rsidRPr="009077F5">
              <w:t>e</w:t>
            </w:r>
          </w:p>
        </w:tc>
        <w:tc>
          <w:tcPr>
            <w:tcW w:w="8647" w:type="dxa"/>
          </w:tcPr>
          <w:p w14:paraId="1AA005E2" w14:textId="77777777" w:rsidR="00374C56" w:rsidRPr="009077F5" w:rsidRDefault="00374C56" w:rsidP="00A202FD">
            <w:pPr>
              <w:spacing w:line="264" w:lineRule="auto"/>
              <w:jc w:val="both"/>
            </w:pPr>
            <w:r w:rsidRPr="009077F5">
              <w:t>Fırın sıcaklığının, fırın basıncının ve gaz akışının çevrimiçi izlenmesi</w:t>
            </w:r>
          </w:p>
        </w:tc>
      </w:tr>
      <w:tr w:rsidR="00380A2E" w:rsidRPr="00A467CD" w14:paraId="4CCF4D6E" w14:textId="77777777" w:rsidTr="009077F5">
        <w:trPr>
          <w:trHeight w:val="283"/>
        </w:trPr>
        <w:tc>
          <w:tcPr>
            <w:tcW w:w="426" w:type="dxa"/>
          </w:tcPr>
          <w:p w14:paraId="2EB9ED78" w14:textId="77777777" w:rsidR="00374C56" w:rsidRPr="009077F5" w:rsidRDefault="00374C56" w:rsidP="00A202FD">
            <w:pPr>
              <w:spacing w:line="264" w:lineRule="auto"/>
              <w:jc w:val="both"/>
            </w:pPr>
            <w:r w:rsidRPr="009077F5">
              <w:t>f</w:t>
            </w:r>
          </w:p>
        </w:tc>
        <w:tc>
          <w:tcPr>
            <w:tcW w:w="8647" w:type="dxa"/>
          </w:tcPr>
          <w:p w14:paraId="2DD7D9E7" w14:textId="77777777" w:rsidR="00374C56" w:rsidRPr="009077F5" w:rsidRDefault="00374C56" w:rsidP="00A202FD">
            <w:pPr>
              <w:spacing w:line="264" w:lineRule="auto"/>
              <w:jc w:val="both"/>
            </w:pPr>
            <w:r w:rsidRPr="009077F5">
              <w:t>Gaz sıcaklığı, reaktif ölçümü, basınç düşüşü, ESP akımı ve voltajı, gaz yıkayıcı donanımdaki sıvı akışı ve pH ve gaz bileşenleri (</w:t>
            </w:r>
            <w:r w:rsidRPr="009077F5">
              <w:rPr>
                <w:i/>
              </w:rPr>
              <w:t>örn.</w:t>
            </w:r>
            <w:r w:rsidRPr="009077F5">
              <w:t>, O</w:t>
            </w:r>
            <w:r w:rsidRPr="009077F5">
              <w:rPr>
                <w:vertAlign w:val="subscript"/>
              </w:rPr>
              <w:t>2</w:t>
            </w:r>
            <w:r w:rsidRPr="009077F5">
              <w:t>, CO, VOC) gibi hava emisyonu azaltma biriminin kritik proses parametrelerinin izlenmesi</w:t>
            </w:r>
          </w:p>
        </w:tc>
      </w:tr>
      <w:tr w:rsidR="00380A2E" w:rsidRPr="00A467CD" w14:paraId="43C61D37" w14:textId="77777777" w:rsidTr="009077F5">
        <w:trPr>
          <w:trHeight w:val="283"/>
        </w:trPr>
        <w:tc>
          <w:tcPr>
            <w:tcW w:w="426" w:type="dxa"/>
          </w:tcPr>
          <w:p w14:paraId="47DA5EFC" w14:textId="77777777" w:rsidR="00374C56" w:rsidRPr="009077F5" w:rsidRDefault="00374C56" w:rsidP="00A202FD">
            <w:pPr>
              <w:spacing w:line="264" w:lineRule="auto"/>
              <w:jc w:val="both"/>
            </w:pPr>
            <w:r w:rsidRPr="009077F5">
              <w:t>g</w:t>
            </w:r>
          </w:p>
        </w:tc>
        <w:tc>
          <w:tcPr>
            <w:tcW w:w="8647" w:type="dxa"/>
          </w:tcPr>
          <w:p w14:paraId="1F7AC436" w14:textId="77777777" w:rsidR="00374C56" w:rsidRPr="009077F5" w:rsidRDefault="00374C56" w:rsidP="00A202FD">
            <w:pPr>
              <w:spacing w:line="264" w:lineRule="auto"/>
              <w:jc w:val="both"/>
            </w:pPr>
            <w:r w:rsidRPr="009077F5">
              <w:t>Sülfürik asit veya sıvı SO</w:t>
            </w:r>
            <w:r w:rsidRPr="009077F5">
              <w:rPr>
                <w:vertAlign w:val="subscript"/>
              </w:rPr>
              <w:t>2</w:t>
            </w:r>
            <w:r w:rsidRPr="009077F5">
              <w:t xml:space="preserve"> üretiminin mevcut olduğu tesislerde sülfürik asit ünitesine aktarmadan önce atık gazlardaki tozlar ve cıvanın kontrol edilmesi</w:t>
            </w:r>
          </w:p>
        </w:tc>
      </w:tr>
      <w:tr w:rsidR="00380A2E" w:rsidRPr="00A467CD" w14:paraId="66F3E894" w14:textId="77777777" w:rsidTr="009077F5">
        <w:trPr>
          <w:trHeight w:val="283"/>
        </w:trPr>
        <w:tc>
          <w:tcPr>
            <w:tcW w:w="426" w:type="dxa"/>
          </w:tcPr>
          <w:p w14:paraId="225B9967" w14:textId="77777777" w:rsidR="00374C56" w:rsidRPr="009077F5" w:rsidRDefault="00374C56" w:rsidP="00A202FD">
            <w:pPr>
              <w:spacing w:line="264" w:lineRule="auto"/>
              <w:jc w:val="both"/>
            </w:pPr>
            <w:r w:rsidRPr="009077F5">
              <w:t>h</w:t>
            </w:r>
          </w:p>
        </w:tc>
        <w:tc>
          <w:tcPr>
            <w:tcW w:w="8647" w:type="dxa"/>
          </w:tcPr>
          <w:p w14:paraId="2F18D6C4" w14:textId="476B00A0" w:rsidR="00374C56" w:rsidRPr="009077F5" w:rsidRDefault="00374C56" w:rsidP="00A202FD">
            <w:pPr>
              <w:spacing w:line="264" w:lineRule="auto"/>
              <w:jc w:val="both"/>
            </w:pPr>
            <w:r w:rsidRPr="009077F5">
              <w:t>Tıkanmaları ve olası ekipman arız</w:t>
            </w:r>
            <w:r w:rsidR="00380A2E" w:rsidRPr="009077F5">
              <w:t>a</w:t>
            </w:r>
            <w:r w:rsidRPr="009077F5">
              <w:t>larını tespit etmek için titreşimlerin çevrimiçi izlenmesi</w:t>
            </w:r>
          </w:p>
        </w:tc>
      </w:tr>
      <w:tr w:rsidR="00380A2E" w:rsidRPr="00A467CD" w14:paraId="177A2FAF" w14:textId="77777777" w:rsidTr="009077F5">
        <w:trPr>
          <w:trHeight w:val="283"/>
        </w:trPr>
        <w:tc>
          <w:tcPr>
            <w:tcW w:w="426" w:type="dxa"/>
          </w:tcPr>
          <w:p w14:paraId="362E6BA1" w14:textId="77777777" w:rsidR="00374C56" w:rsidRPr="009077F5" w:rsidRDefault="00374C56" w:rsidP="00A202FD">
            <w:pPr>
              <w:spacing w:line="264" w:lineRule="auto"/>
              <w:jc w:val="both"/>
            </w:pPr>
            <w:r w:rsidRPr="009077F5">
              <w:t>i</w:t>
            </w:r>
          </w:p>
        </w:tc>
        <w:tc>
          <w:tcPr>
            <w:tcW w:w="8647" w:type="dxa"/>
          </w:tcPr>
          <w:p w14:paraId="2DE3CE9D" w14:textId="77777777" w:rsidR="00374C56" w:rsidRPr="009077F5" w:rsidRDefault="00374C56" w:rsidP="00A202FD">
            <w:pPr>
              <w:spacing w:line="264" w:lineRule="auto"/>
              <w:jc w:val="both"/>
            </w:pPr>
            <w:r w:rsidRPr="009077F5">
              <w:t>Elektrolitik proseslerde akım, gerilim ve elektriksel temas sıcaklıklarının çevrimiçi izlenmesi</w:t>
            </w:r>
          </w:p>
        </w:tc>
      </w:tr>
      <w:tr w:rsidR="00380A2E" w:rsidRPr="00A467CD" w14:paraId="44713A82" w14:textId="77777777" w:rsidTr="009077F5">
        <w:trPr>
          <w:trHeight w:val="283"/>
        </w:trPr>
        <w:tc>
          <w:tcPr>
            <w:tcW w:w="426" w:type="dxa"/>
          </w:tcPr>
          <w:p w14:paraId="45840D76" w14:textId="77777777" w:rsidR="00374C56" w:rsidRPr="009077F5" w:rsidRDefault="00374C56" w:rsidP="00A202FD">
            <w:pPr>
              <w:spacing w:line="264" w:lineRule="auto"/>
              <w:jc w:val="both"/>
            </w:pPr>
            <w:r w:rsidRPr="009077F5">
              <w:t>j</w:t>
            </w:r>
          </w:p>
        </w:tc>
        <w:tc>
          <w:tcPr>
            <w:tcW w:w="8647" w:type="dxa"/>
          </w:tcPr>
          <w:p w14:paraId="76054D3E" w14:textId="77777777" w:rsidR="00374C56" w:rsidRPr="009077F5" w:rsidRDefault="00374C56" w:rsidP="00A202FD">
            <w:pPr>
              <w:spacing w:line="264" w:lineRule="auto"/>
              <w:jc w:val="both"/>
            </w:pPr>
            <w:r w:rsidRPr="009077F5">
              <w:t>Aşırı ısınma ile metal ve metal oksit dumanlarının oluşumunu önlemek için eritme ve ergitme fırınlarında sıcaklık izleme ve kontrolü</w:t>
            </w:r>
          </w:p>
        </w:tc>
      </w:tr>
      <w:tr w:rsidR="00380A2E" w:rsidRPr="00A467CD" w14:paraId="1DF0554C" w14:textId="77777777" w:rsidTr="009077F5">
        <w:trPr>
          <w:trHeight w:val="283"/>
        </w:trPr>
        <w:tc>
          <w:tcPr>
            <w:tcW w:w="426" w:type="dxa"/>
          </w:tcPr>
          <w:p w14:paraId="46DE7826" w14:textId="77777777" w:rsidR="00374C56" w:rsidRPr="009077F5" w:rsidRDefault="00374C56" w:rsidP="00A202FD">
            <w:pPr>
              <w:spacing w:line="264" w:lineRule="auto"/>
              <w:jc w:val="both"/>
            </w:pPr>
            <w:r w:rsidRPr="009077F5">
              <w:t>k</w:t>
            </w:r>
          </w:p>
        </w:tc>
        <w:tc>
          <w:tcPr>
            <w:tcW w:w="8647" w:type="dxa"/>
          </w:tcPr>
          <w:p w14:paraId="5FB42B5C" w14:textId="2DEA9D00" w:rsidR="00374C56" w:rsidRPr="009077F5" w:rsidRDefault="00374C56" w:rsidP="00A202FD">
            <w:pPr>
              <w:spacing w:line="264" w:lineRule="auto"/>
              <w:jc w:val="both"/>
            </w:pPr>
            <w:r w:rsidRPr="009077F5">
              <w:t xml:space="preserve">Sıcaklık, bulanıklık, pH, iletkenlik ve debinin çevrimiçi izlenmesi yoluyla reaktiflerin beslenmesini ve </w:t>
            </w:r>
            <w:r w:rsidR="00651500" w:rsidRPr="009077F5">
              <w:t>atıksu</w:t>
            </w:r>
            <w:r w:rsidRPr="009077F5">
              <w:t>arıtma tesisinin performansını kontrol etmek için işlemci kullanılması</w:t>
            </w:r>
          </w:p>
        </w:tc>
      </w:tr>
    </w:tbl>
    <w:p w14:paraId="2804F52A" w14:textId="77777777" w:rsidR="00374C56" w:rsidRPr="00D53A2B" w:rsidRDefault="00374C56" w:rsidP="00A202FD">
      <w:pPr>
        <w:jc w:val="both"/>
        <w:rPr>
          <w:lang w:eastAsia="en-US"/>
        </w:rPr>
      </w:pPr>
    </w:p>
    <w:p w14:paraId="0239C010" w14:textId="2BE4C891" w:rsidR="00380A2E" w:rsidRPr="00D53A2B" w:rsidRDefault="00F775AE" w:rsidP="00A202FD">
      <w:pPr>
        <w:pStyle w:val="MET"/>
        <w:rPr>
          <w:szCs w:val="24"/>
        </w:rPr>
      </w:pPr>
      <w:r w:rsidRPr="00D53A2B">
        <w:rPr>
          <w:szCs w:val="24"/>
        </w:rPr>
        <w:t>MET 4:</w:t>
      </w:r>
      <w:r w:rsidR="00374C56" w:rsidRPr="00D53A2B">
        <w:rPr>
          <w:szCs w:val="24"/>
        </w:rPr>
        <w:t xml:space="preserve"> </w:t>
      </w:r>
      <w:r w:rsidR="00380A2E" w:rsidRPr="00D53A2B">
        <w:rPr>
          <w:b w:val="0"/>
          <w:bCs/>
          <w:szCs w:val="24"/>
        </w:rPr>
        <w:t>Havaya kanalize olan toz ve metal emisyonlarını azaltmak için çevre yönetim sisteminin bir parçası olarak özellikle toz azaltma sistemlerinin performansını ele alan bir bakım yönetim sistemi uygular (</w:t>
      </w:r>
      <w:r w:rsidR="0007449F" w:rsidRPr="00D53A2B">
        <w:rPr>
          <w:b w:val="0"/>
          <w:bCs/>
          <w:szCs w:val="24"/>
        </w:rPr>
        <w:t>B</w:t>
      </w:r>
      <w:r w:rsidR="00380A2E" w:rsidRPr="00D53A2B">
        <w:rPr>
          <w:b w:val="0"/>
          <w:bCs/>
          <w:szCs w:val="24"/>
        </w:rPr>
        <w:t>kz. MET 1).</w:t>
      </w:r>
    </w:p>
    <w:p w14:paraId="2693726A" w14:textId="4D5A94DC" w:rsidR="00374C56" w:rsidRPr="00D53A2B" w:rsidRDefault="00380A2E" w:rsidP="00A202FD">
      <w:pPr>
        <w:pStyle w:val="Balk3"/>
        <w:rPr>
          <w:rFonts w:cs="Times New Roman"/>
          <w:lang w:eastAsia="en-US"/>
        </w:rPr>
      </w:pPr>
      <w:bookmarkStart w:id="45" w:name="_Toc531927856"/>
      <w:r w:rsidRPr="00D53A2B">
        <w:rPr>
          <w:rFonts w:cs="Times New Roman"/>
          <w:lang w:eastAsia="en-US"/>
        </w:rPr>
        <w:t>1.</w:t>
      </w:r>
      <w:r w:rsidR="00374C56" w:rsidRPr="00D53A2B">
        <w:rPr>
          <w:rFonts w:cs="Times New Roman"/>
          <w:lang w:eastAsia="en-US"/>
        </w:rPr>
        <w:t>1.4.</w:t>
      </w:r>
      <w:r w:rsidR="00374C56" w:rsidRPr="00D53A2B">
        <w:rPr>
          <w:rFonts w:cs="Times New Roman"/>
          <w:lang w:eastAsia="en-US"/>
        </w:rPr>
        <w:tab/>
        <w:t>Yayılı emisyonlar</w:t>
      </w:r>
      <w:bookmarkEnd w:id="45"/>
    </w:p>
    <w:p w14:paraId="6772E344" w14:textId="02EF1D80" w:rsidR="00374C56" w:rsidRPr="00D53A2B" w:rsidRDefault="00380A2E"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1.4.1.</w:t>
      </w:r>
      <w:r w:rsidRPr="00D53A2B">
        <w:rPr>
          <w:rFonts w:cs="Times New Roman"/>
          <w:lang w:eastAsia="en-US"/>
        </w:rPr>
        <w:t xml:space="preserve"> </w:t>
      </w:r>
      <w:r w:rsidR="00374C56" w:rsidRPr="00D53A2B">
        <w:rPr>
          <w:rFonts w:cs="Times New Roman"/>
          <w:lang w:eastAsia="en-US"/>
        </w:rPr>
        <w:t xml:space="preserve">Yayılı emisyonların </w:t>
      </w:r>
      <w:r w:rsidRPr="00D53A2B">
        <w:rPr>
          <w:rFonts w:cs="Times New Roman"/>
          <w:lang w:eastAsia="en-US"/>
        </w:rPr>
        <w:t xml:space="preserve">önlenmesi </w:t>
      </w:r>
      <w:r w:rsidR="00374C56" w:rsidRPr="00D53A2B">
        <w:rPr>
          <w:rFonts w:cs="Times New Roman"/>
          <w:lang w:eastAsia="en-US"/>
        </w:rPr>
        <w:t>için genel yaklaşım</w:t>
      </w:r>
    </w:p>
    <w:p w14:paraId="3D859806" w14:textId="058A9D4A" w:rsidR="00374C56" w:rsidRPr="00D53A2B" w:rsidRDefault="00F775AE" w:rsidP="00A202FD">
      <w:pPr>
        <w:pStyle w:val="MET"/>
        <w:rPr>
          <w:szCs w:val="24"/>
        </w:rPr>
      </w:pPr>
      <w:r w:rsidRPr="00D53A2B">
        <w:rPr>
          <w:szCs w:val="24"/>
        </w:rPr>
        <w:t>MET 5:</w:t>
      </w:r>
      <w:r w:rsidR="00374C56" w:rsidRPr="00D53A2B">
        <w:rPr>
          <w:szCs w:val="24"/>
        </w:rPr>
        <w:t xml:space="preserve"> </w:t>
      </w:r>
      <w:r w:rsidR="00380A2E" w:rsidRPr="00D53A2B">
        <w:rPr>
          <w:b w:val="0"/>
          <w:bCs/>
          <w:szCs w:val="24"/>
        </w:rPr>
        <w:t>Havaya ve suya yayılan emisyonları önlemek veya bunun uygulanabilir olmadığı durumlarda azaltmak için yayılan emisyonlar mümkün olduğunca kaynağa en yakın yerde topla</w:t>
      </w:r>
      <w:r w:rsidR="0007449F" w:rsidRPr="00D53A2B">
        <w:rPr>
          <w:b w:val="0"/>
          <w:bCs/>
          <w:szCs w:val="24"/>
        </w:rPr>
        <w:t xml:space="preserve">nır </w:t>
      </w:r>
      <w:r w:rsidR="00380A2E" w:rsidRPr="00D53A2B">
        <w:rPr>
          <w:b w:val="0"/>
          <w:bCs/>
          <w:szCs w:val="24"/>
        </w:rPr>
        <w:t>ve arıt</w:t>
      </w:r>
      <w:r w:rsidR="0007449F" w:rsidRPr="00D53A2B">
        <w:rPr>
          <w:b w:val="0"/>
          <w:bCs/>
          <w:szCs w:val="24"/>
        </w:rPr>
        <w:t>ılır</w:t>
      </w:r>
      <w:r w:rsidR="00380A2E" w:rsidRPr="00D53A2B">
        <w:rPr>
          <w:b w:val="0"/>
          <w:bCs/>
          <w:szCs w:val="24"/>
        </w:rPr>
        <w:t>.</w:t>
      </w:r>
    </w:p>
    <w:p w14:paraId="0B64C03B" w14:textId="77777777" w:rsidR="00380A2E" w:rsidRPr="00D53A2B" w:rsidRDefault="00380A2E" w:rsidP="00A202FD">
      <w:pPr>
        <w:pStyle w:val="MET"/>
        <w:rPr>
          <w:szCs w:val="24"/>
        </w:rPr>
      </w:pPr>
    </w:p>
    <w:p w14:paraId="10DCE71D" w14:textId="3E10EBC1" w:rsidR="002A73C8" w:rsidRPr="00D53A2B" w:rsidRDefault="00F775AE" w:rsidP="00A202FD">
      <w:pPr>
        <w:pStyle w:val="MET"/>
        <w:rPr>
          <w:szCs w:val="24"/>
        </w:rPr>
      </w:pPr>
      <w:r w:rsidRPr="00D53A2B">
        <w:rPr>
          <w:szCs w:val="24"/>
        </w:rPr>
        <w:t>MET 6:</w:t>
      </w:r>
      <w:r w:rsidR="00380A2E" w:rsidRPr="00D53A2B">
        <w:rPr>
          <w:szCs w:val="24"/>
        </w:rPr>
        <w:t xml:space="preserve"> </w:t>
      </w:r>
      <w:r w:rsidR="00380A2E" w:rsidRPr="00D53A2B">
        <w:rPr>
          <w:b w:val="0"/>
          <w:bCs/>
          <w:szCs w:val="24"/>
        </w:rPr>
        <w:t>Havaya yayılan dağınık toz emisyonlarını önlemek veya bu mümkün olmadığında azaltmak için çevre yönetim sisteminin bir parçası olarak (</w:t>
      </w:r>
      <w:r w:rsidR="0007449F" w:rsidRPr="00D53A2B">
        <w:rPr>
          <w:b w:val="0"/>
          <w:bCs/>
          <w:szCs w:val="24"/>
        </w:rPr>
        <w:t>B</w:t>
      </w:r>
      <w:r w:rsidR="00380A2E" w:rsidRPr="00D53A2B">
        <w:rPr>
          <w:b w:val="0"/>
          <w:bCs/>
          <w:szCs w:val="24"/>
        </w:rPr>
        <w:t xml:space="preserve">kz. </w:t>
      </w:r>
      <w:r w:rsidR="0007449F" w:rsidRPr="00D53A2B">
        <w:rPr>
          <w:b w:val="0"/>
          <w:bCs/>
          <w:szCs w:val="24"/>
        </w:rPr>
        <w:t>MET</w:t>
      </w:r>
      <w:r w:rsidR="00380A2E" w:rsidRPr="00D53A2B">
        <w:rPr>
          <w:b w:val="0"/>
          <w:bCs/>
          <w:szCs w:val="24"/>
        </w:rPr>
        <w:t xml:space="preserve"> 1) aşağıdaki iki önlemi de içeren dağınık toz emisyonları hakkında bir eylem planı oluştur</w:t>
      </w:r>
      <w:r w:rsidR="0007449F" w:rsidRPr="00D53A2B">
        <w:rPr>
          <w:b w:val="0"/>
          <w:bCs/>
          <w:szCs w:val="24"/>
        </w:rPr>
        <w:t>ulur</w:t>
      </w:r>
      <w:r w:rsidR="00380A2E" w:rsidRPr="00D53A2B">
        <w:rPr>
          <w:b w:val="0"/>
          <w:bCs/>
          <w:szCs w:val="24"/>
        </w:rPr>
        <w:t xml:space="preserve"> ve uygula</w:t>
      </w:r>
      <w:r w:rsidR="0007449F" w:rsidRPr="00D53A2B">
        <w:rPr>
          <w:b w:val="0"/>
          <w:bCs/>
          <w:szCs w:val="24"/>
        </w:rPr>
        <w:t>nır</w:t>
      </w:r>
      <w:r w:rsidR="00380A2E" w:rsidRPr="00D53A2B">
        <w:rPr>
          <w:b w:val="0"/>
          <w:bCs/>
          <w:szCs w:val="24"/>
        </w:rPr>
        <w:t>:</w:t>
      </w:r>
    </w:p>
    <w:p w14:paraId="1F960E9C" w14:textId="77777777" w:rsidR="002A73C8" w:rsidRPr="00D53A2B" w:rsidRDefault="006B213B" w:rsidP="00602365">
      <w:pPr>
        <w:pStyle w:val="MET"/>
        <w:numPr>
          <w:ilvl w:val="0"/>
          <w:numId w:val="233"/>
        </w:numPr>
        <w:ind w:left="426" w:hanging="426"/>
        <w:rPr>
          <w:b w:val="0"/>
          <w:bCs/>
          <w:szCs w:val="24"/>
        </w:rPr>
      </w:pPr>
      <w:r w:rsidRPr="00D53A2B">
        <w:rPr>
          <w:b w:val="0"/>
          <w:bCs/>
          <w:szCs w:val="24"/>
        </w:rPr>
        <w:t>E</w:t>
      </w:r>
      <w:r w:rsidR="00374C56" w:rsidRPr="00D53A2B">
        <w:rPr>
          <w:b w:val="0"/>
          <w:bCs/>
          <w:szCs w:val="24"/>
        </w:rPr>
        <w:t>n önemli Yayılı toz emisyon kaynaklarını belirlemek (</w:t>
      </w:r>
      <w:r w:rsidR="002A73C8" w:rsidRPr="00D53A2B">
        <w:rPr>
          <w:b w:val="0"/>
          <w:bCs/>
          <w:szCs w:val="24"/>
        </w:rPr>
        <w:t>örneğin EN 15445 kullanılarak</w:t>
      </w:r>
      <w:r w:rsidR="00374C56" w:rsidRPr="00D53A2B">
        <w:rPr>
          <w:b w:val="0"/>
          <w:bCs/>
          <w:szCs w:val="24"/>
        </w:rPr>
        <w:t>);</w:t>
      </w:r>
    </w:p>
    <w:p w14:paraId="6611A16A" w14:textId="16F0666D" w:rsidR="00374C56" w:rsidRPr="00D53A2B" w:rsidRDefault="00374C56" w:rsidP="00602365">
      <w:pPr>
        <w:pStyle w:val="MET"/>
        <w:numPr>
          <w:ilvl w:val="0"/>
          <w:numId w:val="233"/>
        </w:numPr>
        <w:ind w:left="426" w:hanging="426"/>
        <w:rPr>
          <w:b w:val="0"/>
          <w:bCs/>
          <w:szCs w:val="24"/>
        </w:rPr>
      </w:pPr>
      <w:r w:rsidRPr="00D53A2B">
        <w:rPr>
          <w:b w:val="0"/>
          <w:bCs/>
          <w:szCs w:val="24"/>
        </w:rPr>
        <w:t>Belirli bir zaman dilimi boyunca Yayılı emisyonları önlemek veya azaltmak için uygun eylemleri ve teknikleri tanımlamak ve uygulamak</w:t>
      </w:r>
    </w:p>
    <w:p w14:paraId="4D6A4FE6" w14:textId="77777777" w:rsidR="00374C56" w:rsidRPr="00D53A2B" w:rsidRDefault="00374C56" w:rsidP="00A202FD">
      <w:pPr>
        <w:jc w:val="both"/>
        <w:rPr>
          <w:lang w:eastAsia="en-US"/>
        </w:rPr>
      </w:pPr>
    </w:p>
    <w:p w14:paraId="55D9C3CF" w14:textId="282059C4" w:rsidR="002A73C8" w:rsidRPr="00D53A2B" w:rsidRDefault="002A73C8" w:rsidP="00A202FD">
      <w:pPr>
        <w:pStyle w:val="Balk4"/>
        <w:rPr>
          <w:rFonts w:cs="Times New Roman"/>
          <w:lang w:eastAsia="en-US"/>
        </w:rPr>
      </w:pPr>
      <w:r w:rsidRPr="00D53A2B">
        <w:rPr>
          <w:rFonts w:cs="Times New Roman"/>
          <w:lang w:eastAsia="en-US"/>
        </w:rPr>
        <w:t>1.1.4.2. Hammaddelerin depolanması, işlenmesi ve taşınmasından kaynaklanan yayılı emisyonlar</w:t>
      </w:r>
    </w:p>
    <w:p w14:paraId="39C3C9D8" w14:textId="4CC71CF8" w:rsidR="00374C56" w:rsidRPr="00D53A2B" w:rsidRDefault="00F775AE" w:rsidP="00A202FD">
      <w:pPr>
        <w:pStyle w:val="MET"/>
        <w:rPr>
          <w:b w:val="0"/>
          <w:bCs/>
          <w:szCs w:val="24"/>
        </w:rPr>
      </w:pPr>
      <w:r w:rsidRPr="00D53A2B">
        <w:rPr>
          <w:szCs w:val="24"/>
        </w:rPr>
        <w:t>MET 7:</w:t>
      </w:r>
      <w:r w:rsidR="00374C56" w:rsidRPr="00D53A2B">
        <w:rPr>
          <w:szCs w:val="24"/>
        </w:rPr>
        <w:t xml:space="preserve"> </w:t>
      </w:r>
      <w:r w:rsidR="00374C56" w:rsidRPr="00D53A2B">
        <w:rPr>
          <w:b w:val="0"/>
          <w:bCs/>
          <w:szCs w:val="24"/>
        </w:rPr>
        <w:t xml:space="preserve">Hammaddelerin depolanmasından kaynaklanan </w:t>
      </w:r>
      <w:r w:rsidR="006D729B" w:rsidRPr="00D53A2B">
        <w:rPr>
          <w:b w:val="0"/>
          <w:bCs/>
          <w:szCs w:val="24"/>
        </w:rPr>
        <w:t>y</w:t>
      </w:r>
      <w:r w:rsidR="00374C56" w:rsidRPr="00D53A2B">
        <w:rPr>
          <w:b w:val="0"/>
          <w:bCs/>
          <w:szCs w:val="24"/>
        </w:rPr>
        <w:t>ayılı emisyonları önlemek için</w:t>
      </w:r>
      <w:r w:rsidR="004B290D" w:rsidRPr="00D53A2B">
        <w:rPr>
          <w:b w:val="0"/>
          <w:bCs/>
          <w:szCs w:val="24"/>
        </w:rPr>
        <w:t xml:space="preserve">, </w:t>
      </w:r>
      <w:r w:rsidR="00374C56" w:rsidRPr="00D53A2B">
        <w:rPr>
          <w:b w:val="0"/>
          <w:bCs/>
          <w:szCs w:val="24"/>
        </w:rPr>
        <w:t>aşağıda verilen tekniklerin bir kombinasyonu</w:t>
      </w:r>
      <w:r w:rsidR="004B290D" w:rsidRPr="00D53A2B">
        <w:rPr>
          <w:b w:val="0"/>
          <w:bCs/>
          <w:szCs w:val="24"/>
        </w:rPr>
        <w:t xml:space="preserve"> </w:t>
      </w:r>
      <w:r w:rsidR="00374C56" w:rsidRPr="00D53A2B">
        <w:rPr>
          <w:b w:val="0"/>
          <w:bCs/>
          <w:szCs w:val="24"/>
        </w:rPr>
        <w:t>kullan</w:t>
      </w:r>
      <w:r w:rsidR="004B290D" w:rsidRPr="00D53A2B">
        <w:rPr>
          <w:b w:val="0"/>
          <w:bCs/>
          <w:szCs w:val="24"/>
        </w:rPr>
        <w:t>ılır.</w:t>
      </w:r>
    </w:p>
    <w:p w14:paraId="0DAF3422" w14:textId="77777777" w:rsidR="00282CE4" w:rsidRPr="00D53A2B" w:rsidRDefault="00282CE4" w:rsidP="00A202FD">
      <w:pPr>
        <w:pStyle w:val="MET"/>
        <w:rPr>
          <w:szCs w:val="24"/>
        </w:rPr>
      </w:pPr>
    </w:p>
    <w:tbl>
      <w:tblPr>
        <w:tblStyle w:val="TabloKlavuzu6"/>
        <w:tblW w:w="8926" w:type="dxa"/>
        <w:tblLook w:val="04A0" w:firstRow="1" w:lastRow="0" w:firstColumn="1" w:lastColumn="0" w:noHBand="0" w:noVBand="1"/>
      </w:tblPr>
      <w:tblGrid>
        <w:gridCol w:w="426"/>
        <w:gridCol w:w="8500"/>
      </w:tblGrid>
      <w:tr w:rsidR="00374C56" w:rsidRPr="00A467CD" w14:paraId="41FD8B89" w14:textId="77777777" w:rsidTr="000E6C87">
        <w:trPr>
          <w:trHeight w:val="283"/>
        </w:trPr>
        <w:tc>
          <w:tcPr>
            <w:tcW w:w="426" w:type="dxa"/>
          </w:tcPr>
          <w:p w14:paraId="27232F60" w14:textId="77777777" w:rsidR="00374C56" w:rsidRPr="009077F5" w:rsidRDefault="00374C56" w:rsidP="00A202FD">
            <w:pPr>
              <w:jc w:val="both"/>
              <w:rPr>
                <w:b/>
              </w:rPr>
            </w:pPr>
          </w:p>
        </w:tc>
        <w:tc>
          <w:tcPr>
            <w:tcW w:w="8500" w:type="dxa"/>
          </w:tcPr>
          <w:p w14:paraId="0BDD406F" w14:textId="77777777" w:rsidR="00374C56" w:rsidRPr="009077F5" w:rsidRDefault="00374C56" w:rsidP="00A202FD">
            <w:pPr>
              <w:jc w:val="both"/>
            </w:pPr>
            <w:r w:rsidRPr="009077F5">
              <w:t>Teknik</w:t>
            </w:r>
          </w:p>
        </w:tc>
      </w:tr>
      <w:tr w:rsidR="00374C56" w:rsidRPr="00A467CD" w14:paraId="0D4964D4" w14:textId="77777777" w:rsidTr="000E6C87">
        <w:trPr>
          <w:trHeight w:val="283"/>
        </w:trPr>
        <w:tc>
          <w:tcPr>
            <w:tcW w:w="426" w:type="dxa"/>
          </w:tcPr>
          <w:p w14:paraId="36DEDCDD" w14:textId="77777777" w:rsidR="00374C56" w:rsidRPr="009077F5" w:rsidRDefault="00374C56" w:rsidP="00A202FD">
            <w:pPr>
              <w:jc w:val="both"/>
            </w:pPr>
            <w:r w:rsidRPr="009077F5">
              <w:t>a</w:t>
            </w:r>
          </w:p>
        </w:tc>
        <w:tc>
          <w:tcPr>
            <w:tcW w:w="8500" w:type="dxa"/>
          </w:tcPr>
          <w:p w14:paraId="1ECBD8D0" w14:textId="64CFDE53" w:rsidR="00374C56" w:rsidRPr="009077F5" w:rsidRDefault="002A73C8" w:rsidP="00A202FD">
            <w:pPr>
              <w:jc w:val="both"/>
            </w:pPr>
            <w:r w:rsidRPr="009077F5">
              <w:t>Konsantreler, flakslar ve ince malzemeler gibi toz oluşturan malzemelerin depolanması için kapalı binalar veya silolar/ambarlar.</w:t>
            </w:r>
          </w:p>
        </w:tc>
      </w:tr>
      <w:tr w:rsidR="00374C56" w:rsidRPr="00A467CD" w14:paraId="78B3641A" w14:textId="77777777" w:rsidTr="000E6C87">
        <w:trPr>
          <w:trHeight w:val="283"/>
        </w:trPr>
        <w:tc>
          <w:tcPr>
            <w:tcW w:w="426" w:type="dxa"/>
          </w:tcPr>
          <w:p w14:paraId="53ADD482" w14:textId="77777777" w:rsidR="00374C56" w:rsidRPr="009077F5" w:rsidRDefault="00374C56" w:rsidP="00A202FD">
            <w:pPr>
              <w:jc w:val="both"/>
            </w:pPr>
            <w:r w:rsidRPr="009077F5">
              <w:t>b</w:t>
            </w:r>
          </w:p>
        </w:tc>
        <w:tc>
          <w:tcPr>
            <w:tcW w:w="8500" w:type="dxa"/>
          </w:tcPr>
          <w:p w14:paraId="4EBE619B" w14:textId="77777777" w:rsidR="00374C56" w:rsidRPr="009077F5" w:rsidRDefault="00374C56" w:rsidP="00A202FD">
            <w:pPr>
              <w:jc w:val="both"/>
            </w:pPr>
            <w:r w:rsidRPr="009077F5">
              <w:t>Suda çözünebilir organik bileşikler içeren konsantreler, flakslar, katı yakıtlar, iri malzemeler ve kok ve ikincil malzemeler gibi toz oluşturmayan maddelerin üstü örtülü depolanması</w:t>
            </w:r>
          </w:p>
        </w:tc>
      </w:tr>
      <w:tr w:rsidR="00374C56" w:rsidRPr="00A467CD" w14:paraId="35D3A484" w14:textId="77777777" w:rsidTr="000E6C87">
        <w:trPr>
          <w:trHeight w:val="283"/>
        </w:trPr>
        <w:tc>
          <w:tcPr>
            <w:tcW w:w="426" w:type="dxa"/>
          </w:tcPr>
          <w:p w14:paraId="15142FC3" w14:textId="77777777" w:rsidR="00374C56" w:rsidRPr="009077F5" w:rsidRDefault="00374C56" w:rsidP="00A202FD">
            <w:pPr>
              <w:jc w:val="both"/>
            </w:pPr>
            <w:r w:rsidRPr="009077F5">
              <w:t>c</w:t>
            </w:r>
          </w:p>
        </w:tc>
        <w:tc>
          <w:tcPr>
            <w:tcW w:w="8500" w:type="dxa"/>
          </w:tcPr>
          <w:p w14:paraId="4278F81F" w14:textId="2685749C" w:rsidR="00374C56" w:rsidRPr="009077F5" w:rsidRDefault="002A73C8" w:rsidP="00A202FD">
            <w:pPr>
              <w:jc w:val="both"/>
            </w:pPr>
            <w:r w:rsidRPr="009077F5">
              <w:t>Toz oluşturan malzemelerin veya suda çözünen organik bileşikler içeren ikincil malzemelerin kapalı ambalajları</w:t>
            </w:r>
          </w:p>
        </w:tc>
      </w:tr>
      <w:tr w:rsidR="00374C56" w:rsidRPr="00A467CD" w14:paraId="42259367" w14:textId="77777777" w:rsidTr="000E6C87">
        <w:trPr>
          <w:trHeight w:val="283"/>
        </w:trPr>
        <w:tc>
          <w:tcPr>
            <w:tcW w:w="426" w:type="dxa"/>
          </w:tcPr>
          <w:p w14:paraId="135B1AF9" w14:textId="77777777" w:rsidR="00374C56" w:rsidRPr="009077F5" w:rsidRDefault="00374C56" w:rsidP="00A202FD">
            <w:pPr>
              <w:jc w:val="both"/>
            </w:pPr>
            <w:r w:rsidRPr="009077F5">
              <w:t>d</w:t>
            </w:r>
          </w:p>
        </w:tc>
        <w:tc>
          <w:tcPr>
            <w:tcW w:w="8500" w:type="dxa"/>
          </w:tcPr>
          <w:p w14:paraId="29266CB8" w14:textId="2AE51BF5" w:rsidR="00374C56" w:rsidRPr="009077F5" w:rsidRDefault="002A73C8" w:rsidP="00A202FD">
            <w:pPr>
              <w:jc w:val="both"/>
            </w:pPr>
            <w:r w:rsidRPr="009077F5">
              <w:t>Pelet haline getirilmiş veya aglomere edilmiş malzemenin depolanması için kapalı bölmeler.</w:t>
            </w:r>
          </w:p>
        </w:tc>
      </w:tr>
      <w:tr w:rsidR="00374C56" w:rsidRPr="00A467CD" w14:paraId="2046456F" w14:textId="77777777" w:rsidTr="000E6C87">
        <w:trPr>
          <w:trHeight w:val="283"/>
        </w:trPr>
        <w:tc>
          <w:tcPr>
            <w:tcW w:w="426" w:type="dxa"/>
          </w:tcPr>
          <w:p w14:paraId="3694B7FA" w14:textId="77777777" w:rsidR="00374C56" w:rsidRPr="009077F5" w:rsidRDefault="00374C56" w:rsidP="00A202FD">
            <w:pPr>
              <w:jc w:val="both"/>
            </w:pPr>
            <w:r w:rsidRPr="009077F5">
              <w:t>e</w:t>
            </w:r>
          </w:p>
        </w:tc>
        <w:tc>
          <w:tcPr>
            <w:tcW w:w="8500" w:type="dxa"/>
          </w:tcPr>
          <w:p w14:paraId="0262B855" w14:textId="77777777" w:rsidR="00374C56" w:rsidRPr="009077F5" w:rsidRDefault="00374C56" w:rsidP="00A202FD">
            <w:pPr>
              <w:jc w:val="both"/>
            </w:pPr>
            <w:r w:rsidRPr="009077F5">
              <w:t>Toz oluşturan malzemeler için lateks gibi katkı maddeleri içeren veya içermeyen su spreyleri ve sis spreyleri kullanılması</w:t>
            </w:r>
          </w:p>
        </w:tc>
      </w:tr>
      <w:tr w:rsidR="00374C56" w:rsidRPr="00A467CD" w14:paraId="49E6FDC4" w14:textId="77777777" w:rsidTr="000E6C87">
        <w:trPr>
          <w:trHeight w:val="283"/>
        </w:trPr>
        <w:tc>
          <w:tcPr>
            <w:tcW w:w="426" w:type="dxa"/>
          </w:tcPr>
          <w:p w14:paraId="42E281C7" w14:textId="77777777" w:rsidR="00374C56" w:rsidRPr="009077F5" w:rsidRDefault="00374C56" w:rsidP="00A202FD">
            <w:pPr>
              <w:jc w:val="both"/>
            </w:pPr>
            <w:r w:rsidRPr="009077F5">
              <w:t>f</w:t>
            </w:r>
          </w:p>
        </w:tc>
        <w:tc>
          <w:tcPr>
            <w:tcW w:w="8500" w:type="dxa"/>
          </w:tcPr>
          <w:p w14:paraId="06998098" w14:textId="3569D704" w:rsidR="00374C56" w:rsidRPr="009077F5" w:rsidRDefault="002A73C8" w:rsidP="00A202FD">
            <w:pPr>
              <w:jc w:val="both"/>
            </w:pPr>
            <w:r w:rsidRPr="009077F5">
              <w:t>Toz oluşturan malzemeler için aktarma ve devrilme noktalarına yerleştirilen toz/gaz emme cihazları</w:t>
            </w:r>
          </w:p>
        </w:tc>
      </w:tr>
      <w:tr w:rsidR="00374C56" w:rsidRPr="00A467CD" w14:paraId="3B7A0964" w14:textId="77777777" w:rsidTr="000E6C87">
        <w:trPr>
          <w:trHeight w:val="283"/>
        </w:trPr>
        <w:tc>
          <w:tcPr>
            <w:tcW w:w="426" w:type="dxa"/>
          </w:tcPr>
          <w:p w14:paraId="3DA22B09" w14:textId="77777777" w:rsidR="00374C56" w:rsidRPr="009077F5" w:rsidRDefault="00374C56" w:rsidP="00A202FD">
            <w:pPr>
              <w:jc w:val="both"/>
            </w:pPr>
            <w:r w:rsidRPr="009077F5">
              <w:t>g</w:t>
            </w:r>
          </w:p>
        </w:tc>
        <w:tc>
          <w:tcPr>
            <w:tcW w:w="8500" w:type="dxa"/>
          </w:tcPr>
          <w:p w14:paraId="1159C227" w14:textId="77777777" w:rsidR="00374C56" w:rsidRPr="009077F5" w:rsidRDefault="00374C56" w:rsidP="00A202FD">
            <w:pPr>
              <w:jc w:val="both"/>
            </w:pPr>
            <w:r w:rsidRPr="009077F5">
              <w:t>Klor gazı veya klor içeren karışımları saklamak için sertifikalı basınçlı tanklar</w:t>
            </w:r>
          </w:p>
        </w:tc>
      </w:tr>
      <w:tr w:rsidR="00374C56" w:rsidRPr="00A467CD" w14:paraId="5BDEE9F6" w14:textId="77777777" w:rsidTr="000E6C87">
        <w:trPr>
          <w:trHeight w:val="283"/>
        </w:trPr>
        <w:tc>
          <w:tcPr>
            <w:tcW w:w="426" w:type="dxa"/>
          </w:tcPr>
          <w:p w14:paraId="53C71625" w14:textId="77777777" w:rsidR="00374C56" w:rsidRPr="009077F5" w:rsidRDefault="00374C56" w:rsidP="00A202FD">
            <w:pPr>
              <w:jc w:val="both"/>
            </w:pPr>
            <w:r w:rsidRPr="009077F5">
              <w:t>h</w:t>
            </w:r>
          </w:p>
        </w:tc>
        <w:tc>
          <w:tcPr>
            <w:tcW w:w="8500" w:type="dxa"/>
          </w:tcPr>
          <w:p w14:paraId="17A97AF6" w14:textId="77777777" w:rsidR="00374C56" w:rsidRPr="009077F5" w:rsidRDefault="00374C56" w:rsidP="00A202FD">
            <w:pPr>
              <w:jc w:val="both"/>
            </w:pPr>
            <w:r w:rsidRPr="009077F5">
              <w:t>Tanklarda, saklanan maddelere dayanıklı yapı malzemelerin kullanılması</w:t>
            </w:r>
          </w:p>
        </w:tc>
      </w:tr>
      <w:tr w:rsidR="00374C56" w:rsidRPr="00A467CD" w14:paraId="141A2D16" w14:textId="77777777" w:rsidTr="000E6C87">
        <w:trPr>
          <w:trHeight w:val="283"/>
        </w:trPr>
        <w:tc>
          <w:tcPr>
            <w:tcW w:w="426" w:type="dxa"/>
          </w:tcPr>
          <w:p w14:paraId="11C25DDC" w14:textId="77777777" w:rsidR="00374C56" w:rsidRPr="009077F5" w:rsidRDefault="00374C56" w:rsidP="00A202FD">
            <w:pPr>
              <w:jc w:val="both"/>
            </w:pPr>
            <w:r w:rsidRPr="009077F5">
              <w:t>i</w:t>
            </w:r>
          </w:p>
        </w:tc>
        <w:tc>
          <w:tcPr>
            <w:tcW w:w="8500" w:type="dxa"/>
          </w:tcPr>
          <w:p w14:paraId="68976C14" w14:textId="2F23C21D" w:rsidR="00374C56" w:rsidRPr="009077F5" w:rsidRDefault="002A73C8" w:rsidP="00A202FD">
            <w:pPr>
              <w:jc w:val="both"/>
            </w:pPr>
            <w:r w:rsidRPr="009077F5">
              <w:t>Güvenilir sızıntı tespit sistemleri ve aşırı dolumları önlemek için bir alarm ile tank seviyesinin görüntülenmesi</w:t>
            </w:r>
          </w:p>
        </w:tc>
      </w:tr>
      <w:tr w:rsidR="00374C56" w:rsidRPr="00A467CD" w14:paraId="63D1FE03" w14:textId="77777777" w:rsidTr="000E6C87">
        <w:trPr>
          <w:trHeight w:val="283"/>
        </w:trPr>
        <w:tc>
          <w:tcPr>
            <w:tcW w:w="426" w:type="dxa"/>
          </w:tcPr>
          <w:p w14:paraId="4B405519" w14:textId="77777777" w:rsidR="00374C56" w:rsidRPr="009077F5" w:rsidRDefault="00374C56" w:rsidP="00A202FD">
            <w:pPr>
              <w:jc w:val="both"/>
            </w:pPr>
            <w:r w:rsidRPr="009077F5">
              <w:t>j</w:t>
            </w:r>
          </w:p>
        </w:tc>
        <w:tc>
          <w:tcPr>
            <w:tcW w:w="8500" w:type="dxa"/>
          </w:tcPr>
          <w:p w14:paraId="7E0D6B15" w14:textId="3BD109ED" w:rsidR="00374C56" w:rsidRPr="009077F5" w:rsidRDefault="002A73C8" w:rsidP="00A202FD">
            <w:pPr>
              <w:jc w:val="both"/>
            </w:pPr>
            <w:r w:rsidRPr="009077F5">
              <w:t>Reaktif malzemeleri çift cidarlı tanklarda veya aynı kapasitede kimyasallara dayanıklı paketler içine yerleştirilmiş tanklarda depolayın ve depolanan malzemeye karşı geçirimsiz ve dayanıklı bir depolama alanı kullanılması</w:t>
            </w:r>
          </w:p>
        </w:tc>
      </w:tr>
      <w:tr w:rsidR="00374C56" w:rsidRPr="00A467CD" w14:paraId="23C311B6" w14:textId="77777777" w:rsidTr="000E6C87">
        <w:trPr>
          <w:trHeight w:val="283"/>
        </w:trPr>
        <w:tc>
          <w:tcPr>
            <w:tcW w:w="426" w:type="dxa"/>
          </w:tcPr>
          <w:p w14:paraId="0A0A9CD3" w14:textId="77777777" w:rsidR="00374C56" w:rsidRPr="009077F5" w:rsidRDefault="00374C56" w:rsidP="00A202FD">
            <w:pPr>
              <w:jc w:val="both"/>
            </w:pPr>
            <w:r w:rsidRPr="009077F5">
              <w:t>k</w:t>
            </w:r>
          </w:p>
        </w:tc>
        <w:tc>
          <w:tcPr>
            <w:tcW w:w="8500" w:type="dxa"/>
          </w:tcPr>
          <w:p w14:paraId="542EF510" w14:textId="77777777" w:rsidR="00374C56" w:rsidRPr="009077F5" w:rsidRDefault="00374C56" w:rsidP="00A202FD">
            <w:pPr>
              <w:jc w:val="both"/>
            </w:pPr>
            <w:r w:rsidRPr="009077F5">
              <w:t>Depolama sahalarının şu şekilde tasarlanması:</w:t>
            </w:r>
          </w:p>
          <w:p w14:paraId="5441A6B1" w14:textId="77777777" w:rsidR="002A73C8" w:rsidRPr="009077F5" w:rsidRDefault="00374C56" w:rsidP="00A202FD">
            <w:pPr>
              <w:jc w:val="both"/>
            </w:pPr>
            <w:r w:rsidRPr="009077F5">
              <w:t xml:space="preserve">- </w:t>
            </w:r>
            <w:r w:rsidR="002A73C8" w:rsidRPr="009077F5">
              <w:t>Tanklardan ve dağıtım sistemlerinden kaynaklanan her türlü sızıntı durdurulur ve en azından paket içindeki en büyük depolama tankının hacmini tutabilecek kapasiteye sahip paketlerde tutulur.</w:t>
            </w:r>
          </w:p>
          <w:p w14:paraId="40AF6504" w14:textId="2E3F7A40" w:rsidR="00374C56" w:rsidRPr="009077F5" w:rsidRDefault="00374C56" w:rsidP="00A202FD">
            <w:pPr>
              <w:jc w:val="both"/>
            </w:pPr>
            <w:r w:rsidRPr="009077F5">
              <w:t xml:space="preserve">- </w:t>
            </w:r>
            <w:r w:rsidR="002A73C8" w:rsidRPr="009077F5">
              <w:t>dökülen herhangi bir malzemenin toplanması için teslimat noktalarının alan içinde olması</w:t>
            </w:r>
          </w:p>
        </w:tc>
      </w:tr>
      <w:tr w:rsidR="00374C56" w:rsidRPr="00A467CD" w14:paraId="393AD6C8" w14:textId="77777777" w:rsidTr="000E6C87">
        <w:trPr>
          <w:trHeight w:val="283"/>
        </w:trPr>
        <w:tc>
          <w:tcPr>
            <w:tcW w:w="426" w:type="dxa"/>
          </w:tcPr>
          <w:p w14:paraId="0D8B42FF" w14:textId="77777777" w:rsidR="00374C56" w:rsidRPr="009077F5" w:rsidRDefault="00374C56" w:rsidP="00A202FD">
            <w:pPr>
              <w:jc w:val="both"/>
            </w:pPr>
            <w:r w:rsidRPr="009077F5">
              <w:t>l</w:t>
            </w:r>
          </w:p>
        </w:tc>
        <w:tc>
          <w:tcPr>
            <w:tcW w:w="8500" w:type="dxa"/>
          </w:tcPr>
          <w:p w14:paraId="3295D5E1" w14:textId="77777777" w:rsidR="00374C56" w:rsidRPr="009077F5" w:rsidRDefault="00374C56" w:rsidP="00A202FD">
            <w:pPr>
              <w:jc w:val="both"/>
            </w:pPr>
            <w:r w:rsidRPr="009077F5">
              <w:t>Hava ile reaksiyona giren malzemelerin depolanması için inert gaz örtüsü (N</w:t>
            </w:r>
            <w:r w:rsidRPr="009077F5">
              <w:rPr>
                <w:vertAlign w:val="subscript"/>
              </w:rPr>
              <w:t>2</w:t>
            </w:r>
            <w:r w:rsidRPr="009077F5">
              <w:t xml:space="preserve"> gibi) kullanılması</w:t>
            </w:r>
          </w:p>
        </w:tc>
      </w:tr>
      <w:tr w:rsidR="00374C56" w:rsidRPr="00A467CD" w14:paraId="1A3B5D44" w14:textId="77777777" w:rsidTr="000E6C87">
        <w:trPr>
          <w:trHeight w:val="283"/>
        </w:trPr>
        <w:tc>
          <w:tcPr>
            <w:tcW w:w="426" w:type="dxa"/>
          </w:tcPr>
          <w:p w14:paraId="214E796B" w14:textId="77777777" w:rsidR="00374C56" w:rsidRPr="009077F5" w:rsidRDefault="00374C56" w:rsidP="00A202FD">
            <w:pPr>
              <w:jc w:val="both"/>
            </w:pPr>
            <w:r w:rsidRPr="009077F5">
              <w:t>m</w:t>
            </w:r>
          </w:p>
        </w:tc>
        <w:tc>
          <w:tcPr>
            <w:tcW w:w="8500" w:type="dxa"/>
          </w:tcPr>
          <w:p w14:paraId="5A94D1A4" w14:textId="70AD636D" w:rsidR="00374C56" w:rsidRPr="009077F5" w:rsidRDefault="00921BE2" w:rsidP="00A202FD">
            <w:pPr>
              <w:jc w:val="both"/>
            </w:pPr>
            <w:r w:rsidRPr="009077F5">
              <w:t>Depolamadan kaynaklanan emisyonları, depolanan bileşikleri arıtmak için tasarlanmış bir azaltma sistemi ile toplayın ve arıtın. Tozu yıkayan her türlü suyu boşaltmadan önce toplayın ve arıtın.</w:t>
            </w:r>
          </w:p>
        </w:tc>
      </w:tr>
      <w:tr w:rsidR="00374C56" w:rsidRPr="00A467CD" w14:paraId="3F7E7F78" w14:textId="77777777" w:rsidTr="000E6C87">
        <w:trPr>
          <w:trHeight w:val="283"/>
        </w:trPr>
        <w:tc>
          <w:tcPr>
            <w:tcW w:w="426" w:type="dxa"/>
          </w:tcPr>
          <w:p w14:paraId="7275C7A0" w14:textId="77777777" w:rsidR="00374C56" w:rsidRPr="009077F5" w:rsidRDefault="00374C56" w:rsidP="00A202FD">
            <w:pPr>
              <w:jc w:val="both"/>
            </w:pPr>
            <w:r w:rsidRPr="009077F5">
              <w:t>n</w:t>
            </w:r>
          </w:p>
        </w:tc>
        <w:tc>
          <w:tcPr>
            <w:tcW w:w="8500" w:type="dxa"/>
          </w:tcPr>
          <w:p w14:paraId="2B7841BB" w14:textId="77777777" w:rsidR="00374C56" w:rsidRPr="009077F5" w:rsidRDefault="00374C56" w:rsidP="00A202FD">
            <w:pPr>
              <w:jc w:val="both"/>
            </w:pPr>
            <w:r w:rsidRPr="009077F5">
              <w:t>Depolama alanının düzenli olarak temizlenmesi ve gerektiğinde su ile nemlendirilmesi</w:t>
            </w:r>
          </w:p>
        </w:tc>
      </w:tr>
      <w:tr w:rsidR="00374C56" w:rsidRPr="00A467CD" w14:paraId="7B0DA2D7" w14:textId="77777777" w:rsidTr="000E6C87">
        <w:trPr>
          <w:trHeight w:val="283"/>
        </w:trPr>
        <w:tc>
          <w:tcPr>
            <w:tcW w:w="426" w:type="dxa"/>
          </w:tcPr>
          <w:p w14:paraId="72ED04F1" w14:textId="77777777" w:rsidR="00374C56" w:rsidRPr="009077F5" w:rsidRDefault="00374C56" w:rsidP="00A202FD">
            <w:pPr>
              <w:jc w:val="both"/>
            </w:pPr>
            <w:r w:rsidRPr="009077F5">
              <w:t>o</w:t>
            </w:r>
          </w:p>
        </w:tc>
        <w:tc>
          <w:tcPr>
            <w:tcW w:w="8500" w:type="dxa"/>
          </w:tcPr>
          <w:p w14:paraId="09E39667" w14:textId="462BA835" w:rsidR="00374C56" w:rsidRPr="009077F5" w:rsidRDefault="00921BE2" w:rsidP="00A202FD">
            <w:pPr>
              <w:jc w:val="both"/>
            </w:pPr>
            <w:r w:rsidRPr="009077F5">
              <w:t>Açık havada depolama durumunda yığının uzunlamasına eksenini hakim rüzgar yönüne paralel yerleştirin.</w:t>
            </w:r>
          </w:p>
        </w:tc>
      </w:tr>
      <w:tr w:rsidR="00374C56" w:rsidRPr="00A467CD" w14:paraId="11A36D59" w14:textId="77777777" w:rsidTr="000E6C87">
        <w:trPr>
          <w:trHeight w:val="283"/>
        </w:trPr>
        <w:tc>
          <w:tcPr>
            <w:tcW w:w="426" w:type="dxa"/>
          </w:tcPr>
          <w:p w14:paraId="552CFF80" w14:textId="77777777" w:rsidR="00374C56" w:rsidRPr="009077F5" w:rsidRDefault="00374C56" w:rsidP="00A202FD">
            <w:pPr>
              <w:jc w:val="both"/>
            </w:pPr>
            <w:r w:rsidRPr="009077F5">
              <w:t>p</w:t>
            </w:r>
          </w:p>
        </w:tc>
        <w:tc>
          <w:tcPr>
            <w:tcW w:w="8500" w:type="dxa"/>
          </w:tcPr>
          <w:p w14:paraId="3A52B2D5" w14:textId="21976DB0" w:rsidR="00374C56" w:rsidRPr="009077F5" w:rsidRDefault="00921BE2" w:rsidP="00A202FD">
            <w:pPr>
              <w:jc w:val="both"/>
            </w:pPr>
            <w:r w:rsidRPr="009077F5">
              <w:t>Açık havada depolama durumunda rüzgar hızını düşürmek için koruyucu dikim, rüzgar kesici çitler veya rüzgar üstü montajlar.</w:t>
            </w:r>
          </w:p>
        </w:tc>
      </w:tr>
      <w:tr w:rsidR="00374C56" w:rsidRPr="00A467CD" w14:paraId="55F652A0" w14:textId="77777777" w:rsidTr="000E6C87">
        <w:trPr>
          <w:trHeight w:val="283"/>
        </w:trPr>
        <w:tc>
          <w:tcPr>
            <w:tcW w:w="426" w:type="dxa"/>
          </w:tcPr>
          <w:p w14:paraId="45A6AC40" w14:textId="05AF7CC8" w:rsidR="00374C56" w:rsidRPr="009077F5" w:rsidRDefault="00966D2B" w:rsidP="00A202FD">
            <w:pPr>
              <w:jc w:val="both"/>
            </w:pPr>
            <w:r w:rsidRPr="009077F5">
              <w:t>r</w:t>
            </w:r>
          </w:p>
        </w:tc>
        <w:tc>
          <w:tcPr>
            <w:tcW w:w="8500" w:type="dxa"/>
          </w:tcPr>
          <w:p w14:paraId="262AE094" w14:textId="77777777" w:rsidR="00374C56" w:rsidRPr="009077F5" w:rsidRDefault="00374C56" w:rsidP="00A202FD">
            <w:pPr>
              <w:jc w:val="both"/>
            </w:pPr>
            <w:r w:rsidRPr="009077F5">
              <w:t>Açık alanda depolama durumunda, mümkün ise birkaç tane yerine tek bir yığının oluşturulması</w:t>
            </w:r>
          </w:p>
        </w:tc>
      </w:tr>
      <w:tr w:rsidR="00374C56" w:rsidRPr="00A467CD" w14:paraId="1237A0DB" w14:textId="77777777" w:rsidTr="000E6C87">
        <w:trPr>
          <w:trHeight w:val="283"/>
        </w:trPr>
        <w:tc>
          <w:tcPr>
            <w:tcW w:w="426" w:type="dxa"/>
          </w:tcPr>
          <w:p w14:paraId="65CC9B31" w14:textId="3852C3F9" w:rsidR="00374C56" w:rsidRPr="009077F5" w:rsidRDefault="00966D2B" w:rsidP="00A202FD">
            <w:pPr>
              <w:jc w:val="both"/>
            </w:pPr>
            <w:r w:rsidRPr="009077F5">
              <w:t>s</w:t>
            </w:r>
          </w:p>
        </w:tc>
        <w:tc>
          <w:tcPr>
            <w:tcW w:w="8500" w:type="dxa"/>
          </w:tcPr>
          <w:p w14:paraId="756A832F" w14:textId="6D13F1DA" w:rsidR="00374C56" w:rsidRPr="009077F5" w:rsidRDefault="00921BE2" w:rsidP="00A202FD">
            <w:pPr>
              <w:jc w:val="both"/>
            </w:pPr>
            <w:r w:rsidRPr="009077F5">
              <w:t>Açık depolama alanlarının drenajı için yağ ve katı madde tutucuları kullanın. Talaş gibi yağ açığa çıkarabilecek malzemelerin depolanması için bordürleri veya diğer muhafaza cihazları olan beton alanların kullanılması.</w:t>
            </w:r>
          </w:p>
        </w:tc>
      </w:tr>
    </w:tbl>
    <w:p w14:paraId="7B22B1EB" w14:textId="77777777" w:rsidR="00374C56" w:rsidRPr="00D53A2B" w:rsidRDefault="00374C56" w:rsidP="00A202FD">
      <w:pPr>
        <w:jc w:val="both"/>
        <w:rPr>
          <w:lang w:eastAsia="en-US"/>
        </w:rPr>
      </w:pPr>
    </w:p>
    <w:p w14:paraId="343D0E71" w14:textId="7D8EAC5D" w:rsidR="00921BE2" w:rsidRPr="00D53A2B" w:rsidRDefault="00374C56" w:rsidP="00A202FD">
      <w:pPr>
        <w:jc w:val="both"/>
        <w:rPr>
          <w:b/>
          <w:bCs/>
          <w:lang w:eastAsia="en-US"/>
        </w:rPr>
      </w:pPr>
      <w:r w:rsidRPr="00D53A2B">
        <w:rPr>
          <w:b/>
          <w:bCs/>
          <w:lang w:eastAsia="en-US"/>
        </w:rPr>
        <w:t>Uygulanabilirlik</w:t>
      </w:r>
    </w:p>
    <w:p w14:paraId="7DE5EB48" w14:textId="37BA34F7" w:rsidR="00374C56" w:rsidRPr="00D53A2B" w:rsidRDefault="00374C56" w:rsidP="00A202FD">
      <w:pPr>
        <w:pStyle w:val="MET"/>
        <w:rPr>
          <w:szCs w:val="24"/>
        </w:rPr>
      </w:pPr>
      <w:r w:rsidRPr="00D53A2B">
        <w:rPr>
          <w:szCs w:val="24"/>
        </w:rPr>
        <w:t xml:space="preserve">MET 7.e. </w:t>
      </w:r>
      <w:r w:rsidR="0007449F" w:rsidRPr="00D53A2B">
        <w:rPr>
          <w:b w:val="0"/>
          <w:bCs/>
          <w:szCs w:val="24"/>
        </w:rPr>
        <w:t>T</w:t>
      </w:r>
      <w:r w:rsidR="00921BE2" w:rsidRPr="00D53A2B">
        <w:rPr>
          <w:b w:val="0"/>
          <w:bCs/>
          <w:szCs w:val="24"/>
        </w:rPr>
        <w:t>oz oluşumunu önlemek için doğal olarak yeterli nem içeren kuru malzemeler veya cevherler/konsantreler gerektiren prosesler için geçerli değildir. Uygulanabilirlik, su kıtlığı olan veya çok düşük sıcaklıklara sahip bölgelerde sınırlı olabilir.</w:t>
      </w:r>
    </w:p>
    <w:p w14:paraId="78801F77" w14:textId="77777777" w:rsidR="00374C56" w:rsidRPr="00D53A2B" w:rsidRDefault="00374C56" w:rsidP="00A202FD">
      <w:pPr>
        <w:jc w:val="both"/>
        <w:rPr>
          <w:lang w:eastAsia="en-US"/>
        </w:rPr>
      </w:pPr>
    </w:p>
    <w:p w14:paraId="6644113D" w14:textId="799F5ED0" w:rsidR="00374C56" w:rsidRPr="00D53A2B" w:rsidRDefault="00374C56" w:rsidP="00A202FD">
      <w:pPr>
        <w:pStyle w:val="MET"/>
        <w:rPr>
          <w:szCs w:val="24"/>
        </w:rPr>
      </w:pPr>
      <w:r w:rsidRPr="00D53A2B">
        <w:rPr>
          <w:szCs w:val="24"/>
        </w:rPr>
        <w:lastRenderedPageBreak/>
        <w:t>MET 8</w:t>
      </w:r>
      <w:r w:rsidR="00F775AE" w:rsidRPr="00D53A2B">
        <w:rPr>
          <w:szCs w:val="24"/>
        </w:rPr>
        <w:t>:</w:t>
      </w:r>
      <w:r w:rsidR="00CF6DFB" w:rsidRPr="00D53A2B">
        <w:rPr>
          <w:szCs w:val="24"/>
        </w:rPr>
        <w:t xml:space="preserve"> </w:t>
      </w:r>
      <w:r w:rsidR="00CF6DFB" w:rsidRPr="00D53A2B">
        <w:rPr>
          <w:b w:val="0"/>
          <w:bCs/>
          <w:szCs w:val="24"/>
        </w:rPr>
        <w:t>Hammaddelerin işlenmesi ve taşınmasından kaynaklanan yayılı emisyonları önlemek için aşağıda verilen tekniklerin bir kombinasyonu kullan</w:t>
      </w:r>
      <w:r w:rsidR="0007449F" w:rsidRPr="00D53A2B">
        <w:rPr>
          <w:b w:val="0"/>
          <w:bCs/>
          <w:szCs w:val="24"/>
        </w:rPr>
        <w:t>ılı</w:t>
      </w:r>
      <w:r w:rsidR="00CF6DFB" w:rsidRPr="00D53A2B">
        <w:rPr>
          <w:b w:val="0"/>
          <w:bCs/>
          <w:szCs w:val="24"/>
        </w:rPr>
        <w:t>r.</w:t>
      </w:r>
    </w:p>
    <w:p w14:paraId="2E42126E" w14:textId="77777777" w:rsidR="00CF6DFB" w:rsidRPr="00D53A2B" w:rsidRDefault="00CF6DFB" w:rsidP="00A202FD">
      <w:pPr>
        <w:pStyle w:val="MET"/>
        <w:rPr>
          <w:szCs w:val="24"/>
        </w:rPr>
      </w:pPr>
    </w:p>
    <w:tbl>
      <w:tblPr>
        <w:tblStyle w:val="TabloKlavuzu6"/>
        <w:tblW w:w="8926" w:type="dxa"/>
        <w:tblLook w:val="04A0" w:firstRow="1" w:lastRow="0" w:firstColumn="1" w:lastColumn="0" w:noHBand="0" w:noVBand="1"/>
      </w:tblPr>
      <w:tblGrid>
        <w:gridCol w:w="403"/>
        <w:gridCol w:w="8523"/>
      </w:tblGrid>
      <w:tr w:rsidR="00374C56" w:rsidRPr="00A467CD" w14:paraId="11BDC432" w14:textId="77777777" w:rsidTr="000E6C87">
        <w:trPr>
          <w:trHeight w:val="283"/>
        </w:trPr>
        <w:tc>
          <w:tcPr>
            <w:tcW w:w="403" w:type="dxa"/>
          </w:tcPr>
          <w:p w14:paraId="5C56387C" w14:textId="77777777" w:rsidR="00374C56" w:rsidRPr="009077F5" w:rsidRDefault="00374C56" w:rsidP="00A202FD">
            <w:pPr>
              <w:jc w:val="both"/>
            </w:pPr>
          </w:p>
        </w:tc>
        <w:tc>
          <w:tcPr>
            <w:tcW w:w="8523" w:type="dxa"/>
          </w:tcPr>
          <w:p w14:paraId="72C1D964" w14:textId="77777777" w:rsidR="00374C56" w:rsidRPr="009077F5" w:rsidRDefault="00374C56" w:rsidP="00A202FD">
            <w:pPr>
              <w:jc w:val="both"/>
            </w:pPr>
            <w:r w:rsidRPr="009077F5">
              <w:t>Teknik</w:t>
            </w:r>
          </w:p>
        </w:tc>
      </w:tr>
      <w:tr w:rsidR="00374C56" w:rsidRPr="00A467CD" w14:paraId="30E3390E" w14:textId="77777777" w:rsidTr="000E6C87">
        <w:trPr>
          <w:trHeight w:val="283"/>
        </w:trPr>
        <w:tc>
          <w:tcPr>
            <w:tcW w:w="403" w:type="dxa"/>
          </w:tcPr>
          <w:p w14:paraId="381C772D" w14:textId="77777777" w:rsidR="00374C56" w:rsidRPr="009077F5" w:rsidRDefault="00374C56" w:rsidP="00A202FD">
            <w:pPr>
              <w:jc w:val="both"/>
            </w:pPr>
            <w:r w:rsidRPr="009077F5">
              <w:t>a</w:t>
            </w:r>
          </w:p>
        </w:tc>
        <w:tc>
          <w:tcPr>
            <w:tcW w:w="8523" w:type="dxa"/>
          </w:tcPr>
          <w:p w14:paraId="3714B7FD" w14:textId="59E4577A" w:rsidR="00374C56" w:rsidRPr="009077F5" w:rsidRDefault="00CF6DFB" w:rsidP="00A202FD">
            <w:pPr>
              <w:jc w:val="both"/>
            </w:pPr>
            <w:r w:rsidRPr="009077F5">
              <w:t>Toz oluşturan konsantrelerin, flaksların ve ince taneli malzemelerin aktarılması ve taşınması için kapalı konveyörler veya pnömatik sistemler</w:t>
            </w:r>
          </w:p>
        </w:tc>
      </w:tr>
      <w:tr w:rsidR="00374C56" w:rsidRPr="00A467CD" w14:paraId="113BA5F1" w14:textId="77777777" w:rsidTr="000E6C87">
        <w:trPr>
          <w:trHeight w:val="283"/>
        </w:trPr>
        <w:tc>
          <w:tcPr>
            <w:tcW w:w="403" w:type="dxa"/>
          </w:tcPr>
          <w:p w14:paraId="1810A741" w14:textId="77777777" w:rsidR="00374C56" w:rsidRPr="009077F5" w:rsidRDefault="00374C56" w:rsidP="00A202FD">
            <w:pPr>
              <w:jc w:val="both"/>
            </w:pPr>
            <w:r w:rsidRPr="009077F5">
              <w:t>b</w:t>
            </w:r>
          </w:p>
        </w:tc>
        <w:tc>
          <w:tcPr>
            <w:tcW w:w="8523" w:type="dxa"/>
          </w:tcPr>
          <w:p w14:paraId="51ED21EF" w14:textId="77777777" w:rsidR="00374C56" w:rsidRPr="009077F5" w:rsidRDefault="00374C56" w:rsidP="00A202FD">
            <w:pPr>
              <w:jc w:val="both"/>
            </w:pPr>
            <w:r w:rsidRPr="009077F5">
              <w:t>Toz oluşturmayan katı malzemeleri taşımak için etrafı kapalı konveyörler</w:t>
            </w:r>
          </w:p>
        </w:tc>
      </w:tr>
      <w:tr w:rsidR="00374C56" w:rsidRPr="00A467CD" w14:paraId="24971D42" w14:textId="77777777" w:rsidTr="000E6C87">
        <w:trPr>
          <w:trHeight w:val="283"/>
        </w:trPr>
        <w:tc>
          <w:tcPr>
            <w:tcW w:w="403" w:type="dxa"/>
          </w:tcPr>
          <w:p w14:paraId="3859D968" w14:textId="77777777" w:rsidR="00374C56" w:rsidRPr="009077F5" w:rsidRDefault="00374C56" w:rsidP="00A202FD">
            <w:pPr>
              <w:jc w:val="both"/>
            </w:pPr>
            <w:r w:rsidRPr="009077F5">
              <w:t>c</w:t>
            </w:r>
          </w:p>
        </w:tc>
        <w:tc>
          <w:tcPr>
            <w:tcW w:w="8523" w:type="dxa"/>
          </w:tcPr>
          <w:p w14:paraId="69F62FDD" w14:textId="77777777" w:rsidR="00374C56" w:rsidRPr="009077F5" w:rsidRDefault="00374C56" w:rsidP="00A202FD">
            <w:pPr>
              <w:jc w:val="both"/>
            </w:pPr>
            <w:r w:rsidRPr="009077F5">
              <w:t>Teslimat noktaları, silo delikleri, pnömatik transfer sistemleri ve konveyör transfer noktalarından tozun tahliyesi ve, bir filtreleme sistemine bağlantı yapılması (toz oluşturan malzemeler için)</w:t>
            </w:r>
          </w:p>
        </w:tc>
      </w:tr>
      <w:tr w:rsidR="00374C56" w:rsidRPr="00A467CD" w14:paraId="5755444B" w14:textId="77777777" w:rsidTr="000E6C87">
        <w:trPr>
          <w:trHeight w:val="283"/>
        </w:trPr>
        <w:tc>
          <w:tcPr>
            <w:tcW w:w="403" w:type="dxa"/>
          </w:tcPr>
          <w:p w14:paraId="544A3D00" w14:textId="77777777" w:rsidR="00374C56" w:rsidRPr="009077F5" w:rsidRDefault="00374C56" w:rsidP="00A202FD">
            <w:pPr>
              <w:jc w:val="both"/>
            </w:pPr>
            <w:r w:rsidRPr="009077F5">
              <w:t>d</w:t>
            </w:r>
          </w:p>
        </w:tc>
        <w:tc>
          <w:tcPr>
            <w:tcW w:w="8523" w:type="dxa"/>
          </w:tcPr>
          <w:p w14:paraId="3F13028A" w14:textId="77777777" w:rsidR="00374C56" w:rsidRPr="009077F5" w:rsidRDefault="00374C56" w:rsidP="00A202FD">
            <w:pPr>
              <w:jc w:val="both"/>
            </w:pPr>
            <w:r w:rsidRPr="009077F5">
              <w:t>Dağılabilir veya suda çözünen bileşenlere sahip malzemeleri taşımak için kapalı torba veya varillerin kullanılması</w:t>
            </w:r>
          </w:p>
        </w:tc>
      </w:tr>
      <w:tr w:rsidR="00374C56" w:rsidRPr="00A467CD" w14:paraId="18DAC3C0" w14:textId="77777777" w:rsidTr="000E6C87">
        <w:trPr>
          <w:trHeight w:val="283"/>
        </w:trPr>
        <w:tc>
          <w:tcPr>
            <w:tcW w:w="403" w:type="dxa"/>
          </w:tcPr>
          <w:p w14:paraId="7D29DB1E" w14:textId="77777777" w:rsidR="00374C56" w:rsidRPr="009077F5" w:rsidRDefault="00374C56" w:rsidP="00A202FD">
            <w:pPr>
              <w:jc w:val="both"/>
            </w:pPr>
            <w:r w:rsidRPr="009077F5">
              <w:t>e</w:t>
            </w:r>
          </w:p>
        </w:tc>
        <w:tc>
          <w:tcPr>
            <w:tcW w:w="8523" w:type="dxa"/>
          </w:tcPr>
          <w:p w14:paraId="49C800FD" w14:textId="77777777" w:rsidR="00374C56" w:rsidRPr="009077F5" w:rsidRDefault="00374C56" w:rsidP="00A202FD">
            <w:pPr>
              <w:jc w:val="both"/>
            </w:pPr>
            <w:r w:rsidRPr="009077F5">
              <w:t>Peletlenmiş malzemelerin taşınması için uygun kapların kullanılması</w:t>
            </w:r>
          </w:p>
        </w:tc>
      </w:tr>
      <w:tr w:rsidR="00374C56" w:rsidRPr="00A467CD" w14:paraId="12A10E5A" w14:textId="77777777" w:rsidTr="000E6C87">
        <w:trPr>
          <w:trHeight w:val="283"/>
        </w:trPr>
        <w:tc>
          <w:tcPr>
            <w:tcW w:w="403" w:type="dxa"/>
          </w:tcPr>
          <w:p w14:paraId="1B946E6D" w14:textId="77777777" w:rsidR="00374C56" w:rsidRPr="009077F5" w:rsidRDefault="00374C56" w:rsidP="00A202FD">
            <w:pPr>
              <w:jc w:val="both"/>
            </w:pPr>
            <w:r w:rsidRPr="009077F5">
              <w:t>f</w:t>
            </w:r>
          </w:p>
        </w:tc>
        <w:tc>
          <w:tcPr>
            <w:tcW w:w="8523" w:type="dxa"/>
          </w:tcPr>
          <w:p w14:paraId="285CFEA0" w14:textId="6F9E3CC6" w:rsidR="00374C56" w:rsidRPr="009077F5" w:rsidRDefault="00CF6DFB" w:rsidP="00A202FD">
            <w:pPr>
              <w:jc w:val="both"/>
            </w:pPr>
            <w:r w:rsidRPr="009077F5">
              <w:t>Taşıma noktalarında malzemeleri nemlendirmek için yağmurlama</w:t>
            </w:r>
          </w:p>
        </w:tc>
      </w:tr>
      <w:tr w:rsidR="00374C56" w:rsidRPr="00A467CD" w14:paraId="0AFC2600" w14:textId="77777777" w:rsidTr="000E6C87">
        <w:trPr>
          <w:trHeight w:val="283"/>
        </w:trPr>
        <w:tc>
          <w:tcPr>
            <w:tcW w:w="403" w:type="dxa"/>
          </w:tcPr>
          <w:p w14:paraId="47B05E73" w14:textId="77777777" w:rsidR="00374C56" w:rsidRPr="009077F5" w:rsidRDefault="00374C56" w:rsidP="00A202FD">
            <w:pPr>
              <w:jc w:val="both"/>
            </w:pPr>
            <w:r w:rsidRPr="009077F5">
              <w:t>g</w:t>
            </w:r>
          </w:p>
        </w:tc>
        <w:tc>
          <w:tcPr>
            <w:tcW w:w="8523" w:type="dxa"/>
          </w:tcPr>
          <w:p w14:paraId="54242DC1" w14:textId="77777777" w:rsidR="00374C56" w:rsidRPr="009077F5" w:rsidRDefault="00374C56" w:rsidP="00A202FD">
            <w:pPr>
              <w:jc w:val="both"/>
            </w:pPr>
            <w:r w:rsidRPr="009077F5">
              <w:t>Taşıma mesafelerinin en aza indirilmesi</w:t>
            </w:r>
          </w:p>
        </w:tc>
      </w:tr>
      <w:tr w:rsidR="00374C56" w:rsidRPr="00A467CD" w14:paraId="2E69E96D" w14:textId="77777777" w:rsidTr="000E6C87">
        <w:trPr>
          <w:trHeight w:val="283"/>
        </w:trPr>
        <w:tc>
          <w:tcPr>
            <w:tcW w:w="403" w:type="dxa"/>
          </w:tcPr>
          <w:p w14:paraId="064A7C29" w14:textId="77777777" w:rsidR="00374C56" w:rsidRPr="009077F5" w:rsidRDefault="00374C56" w:rsidP="00A202FD">
            <w:pPr>
              <w:jc w:val="both"/>
            </w:pPr>
            <w:r w:rsidRPr="009077F5">
              <w:t>h</w:t>
            </w:r>
          </w:p>
        </w:tc>
        <w:tc>
          <w:tcPr>
            <w:tcW w:w="8523" w:type="dxa"/>
          </w:tcPr>
          <w:p w14:paraId="7289E02C" w14:textId="77777777" w:rsidR="00374C56" w:rsidRPr="009077F5" w:rsidRDefault="00374C56" w:rsidP="00A202FD">
            <w:pPr>
              <w:jc w:val="both"/>
            </w:pPr>
            <w:r w:rsidRPr="009077F5">
              <w:t>Konveyör bantlarının, mekanik küreklerin veya kepçelerin taşınan malzemeyi düşürdüğü yüksekliğinin azaltılması</w:t>
            </w:r>
          </w:p>
        </w:tc>
      </w:tr>
      <w:tr w:rsidR="00374C56" w:rsidRPr="00A467CD" w14:paraId="2A87B060" w14:textId="77777777" w:rsidTr="000E6C87">
        <w:trPr>
          <w:trHeight w:val="283"/>
        </w:trPr>
        <w:tc>
          <w:tcPr>
            <w:tcW w:w="403" w:type="dxa"/>
          </w:tcPr>
          <w:p w14:paraId="302CD4BD" w14:textId="77777777" w:rsidR="00374C56" w:rsidRPr="009077F5" w:rsidRDefault="00374C56" w:rsidP="00A202FD">
            <w:pPr>
              <w:jc w:val="both"/>
            </w:pPr>
            <w:r w:rsidRPr="009077F5">
              <w:t>i</w:t>
            </w:r>
          </w:p>
        </w:tc>
        <w:tc>
          <w:tcPr>
            <w:tcW w:w="8523" w:type="dxa"/>
          </w:tcPr>
          <w:p w14:paraId="42EA1DD8" w14:textId="77777777" w:rsidR="00374C56" w:rsidRPr="009077F5" w:rsidRDefault="00374C56" w:rsidP="00A202FD">
            <w:pPr>
              <w:jc w:val="both"/>
            </w:pPr>
            <w:r w:rsidRPr="009077F5">
              <w:t>Açık bantlı konveyörlerin hızını ayarlanması (&lt;3,5 m/s)</w:t>
            </w:r>
          </w:p>
        </w:tc>
      </w:tr>
      <w:tr w:rsidR="00374C56" w:rsidRPr="00A467CD" w14:paraId="5897EC51" w14:textId="77777777" w:rsidTr="000E6C87">
        <w:trPr>
          <w:trHeight w:val="283"/>
        </w:trPr>
        <w:tc>
          <w:tcPr>
            <w:tcW w:w="403" w:type="dxa"/>
          </w:tcPr>
          <w:p w14:paraId="3286229A" w14:textId="77777777" w:rsidR="00374C56" w:rsidRPr="009077F5" w:rsidRDefault="00374C56" w:rsidP="00A202FD">
            <w:pPr>
              <w:jc w:val="both"/>
            </w:pPr>
            <w:r w:rsidRPr="009077F5">
              <w:t>j</w:t>
            </w:r>
          </w:p>
        </w:tc>
        <w:tc>
          <w:tcPr>
            <w:tcW w:w="8523" w:type="dxa"/>
          </w:tcPr>
          <w:p w14:paraId="5EEA2B9C" w14:textId="77777777" w:rsidR="00374C56" w:rsidRPr="009077F5" w:rsidRDefault="00374C56" w:rsidP="00A202FD">
            <w:pPr>
              <w:jc w:val="both"/>
            </w:pPr>
            <w:r w:rsidRPr="009077F5">
              <w:t>Malzemelerin iniş hızının veya serbest düşme mesafesinin en aza indirilmesi</w:t>
            </w:r>
          </w:p>
        </w:tc>
      </w:tr>
      <w:tr w:rsidR="00374C56" w:rsidRPr="00A467CD" w14:paraId="59DE760D" w14:textId="77777777" w:rsidTr="000E6C87">
        <w:trPr>
          <w:trHeight w:val="283"/>
        </w:trPr>
        <w:tc>
          <w:tcPr>
            <w:tcW w:w="403" w:type="dxa"/>
          </w:tcPr>
          <w:p w14:paraId="5751C7CD" w14:textId="77777777" w:rsidR="00374C56" w:rsidRPr="009077F5" w:rsidRDefault="00374C56" w:rsidP="00A202FD">
            <w:pPr>
              <w:jc w:val="both"/>
            </w:pPr>
            <w:r w:rsidRPr="009077F5">
              <w:t>k</w:t>
            </w:r>
          </w:p>
        </w:tc>
        <w:tc>
          <w:tcPr>
            <w:tcW w:w="8523" w:type="dxa"/>
          </w:tcPr>
          <w:p w14:paraId="776ADE48" w14:textId="77777777" w:rsidR="00374C56" w:rsidRPr="009077F5" w:rsidRDefault="00374C56" w:rsidP="00A202FD">
            <w:pPr>
              <w:jc w:val="both"/>
            </w:pPr>
            <w:r w:rsidRPr="009077F5">
              <w:t>Sızıntıların hızlı bir şekilde tespit edilmesi ve araçların ve diğer ekipmanların hasar vermesinin önlenmesi için, aktarım konveyörlerinin ve boru hatlarının toprak üstünde güvenli, açık alanlara yerleştirilmesi. Tehlikeli olmayan maddeler için gömülü boru hatları kullanılıyorsa, güzergahlarını belgelenip işaretlemesi ve güvenli kazı sistemlerinin seçilmesi</w:t>
            </w:r>
          </w:p>
        </w:tc>
      </w:tr>
      <w:tr w:rsidR="00374C56" w:rsidRPr="00A467CD" w14:paraId="340F86B3" w14:textId="77777777" w:rsidTr="000E6C87">
        <w:trPr>
          <w:trHeight w:val="283"/>
        </w:trPr>
        <w:tc>
          <w:tcPr>
            <w:tcW w:w="403" w:type="dxa"/>
          </w:tcPr>
          <w:p w14:paraId="4663C157" w14:textId="77777777" w:rsidR="00374C56" w:rsidRPr="009077F5" w:rsidRDefault="00374C56" w:rsidP="00A202FD">
            <w:pPr>
              <w:jc w:val="both"/>
            </w:pPr>
            <w:r w:rsidRPr="009077F5">
              <w:t>l</w:t>
            </w:r>
          </w:p>
        </w:tc>
        <w:tc>
          <w:tcPr>
            <w:tcW w:w="8523" w:type="dxa"/>
          </w:tcPr>
          <w:p w14:paraId="7BFD00AA" w14:textId="77777777" w:rsidR="00374C56" w:rsidRPr="009077F5" w:rsidRDefault="00374C56" w:rsidP="00A202FD">
            <w:pPr>
              <w:jc w:val="both"/>
            </w:pPr>
            <w:r w:rsidRPr="009077F5">
              <w:t>Sıvı ve sıvılaştırılmış gazın taşındığı boruların teslimat bağlantılarında otomatik kapatma sistemlerinin teçhizi</w:t>
            </w:r>
          </w:p>
        </w:tc>
      </w:tr>
      <w:tr w:rsidR="00374C56" w:rsidRPr="00A467CD" w14:paraId="1E7879C5" w14:textId="77777777" w:rsidTr="000E6C87">
        <w:trPr>
          <w:trHeight w:val="283"/>
        </w:trPr>
        <w:tc>
          <w:tcPr>
            <w:tcW w:w="403" w:type="dxa"/>
          </w:tcPr>
          <w:p w14:paraId="52AF4E21" w14:textId="77777777" w:rsidR="00374C56" w:rsidRPr="009077F5" w:rsidRDefault="00374C56" w:rsidP="00A202FD">
            <w:pPr>
              <w:jc w:val="both"/>
            </w:pPr>
            <w:r w:rsidRPr="009077F5">
              <w:t>m</w:t>
            </w:r>
          </w:p>
        </w:tc>
        <w:tc>
          <w:tcPr>
            <w:tcW w:w="8523" w:type="dxa"/>
          </w:tcPr>
          <w:p w14:paraId="2A551E4F" w14:textId="77777777" w:rsidR="00374C56" w:rsidRPr="009077F5" w:rsidRDefault="00374C56" w:rsidP="00A202FD">
            <w:pPr>
              <w:jc w:val="both"/>
            </w:pPr>
            <w:r w:rsidRPr="009077F5">
              <w:t>Uçucu organik karbon emisyonlarını azaltmak için teslimat sırasında kaçan gazların dağıtım aracına geri gönderilmesi</w:t>
            </w:r>
          </w:p>
        </w:tc>
      </w:tr>
      <w:tr w:rsidR="00374C56" w:rsidRPr="00A467CD" w14:paraId="3D69AE6F" w14:textId="77777777" w:rsidTr="000E6C87">
        <w:trPr>
          <w:trHeight w:val="283"/>
        </w:trPr>
        <w:tc>
          <w:tcPr>
            <w:tcW w:w="403" w:type="dxa"/>
          </w:tcPr>
          <w:p w14:paraId="0EE42F78" w14:textId="77777777" w:rsidR="00374C56" w:rsidRPr="009077F5" w:rsidRDefault="00374C56" w:rsidP="00A202FD">
            <w:pPr>
              <w:jc w:val="both"/>
            </w:pPr>
            <w:r w:rsidRPr="009077F5">
              <w:t>n</w:t>
            </w:r>
          </w:p>
        </w:tc>
        <w:tc>
          <w:tcPr>
            <w:tcW w:w="8523" w:type="dxa"/>
          </w:tcPr>
          <w:p w14:paraId="62FDCB35" w14:textId="77777777" w:rsidR="00374C56" w:rsidRPr="009077F5" w:rsidRDefault="00374C56" w:rsidP="00A202FD">
            <w:pPr>
              <w:jc w:val="both"/>
            </w:pPr>
            <w:r w:rsidRPr="009077F5">
              <w:t>Tozlu malzemeleri taşıyan veya dağıtımını yapan araçların tekerleklerini ve şasilerinin yıkanması</w:t>
            </w:r>
          </w:p>
        </w:tc>
      </w:tr>
      <w:tr w:rsidR="00374C56" w:rsidRPr="00A467CD" w14:paraId="2E7BA069" w14:textId="77777777" w:rsidTr="000E6C87">
        <w:trPr>
          <w:trHeight w:val="283"/>
        </w:trPr>
        <w:tc>
          <w:tcPr>
            <w:tcW w:w="403" w:type="dxa"/>
          </w:tcPr>
          <w:p w14:paraId="1A55ADAC" w14:textId="77777777" w:rsidR="00374C56" w:rsidRPr="009077F5" w:rsidRDefault="00374C56" w:rsidP="00A202FD">
            <w:pPr>
              <w:jc w:val="both"/>
            </w:pPr>
            <w:r w:rsidRPr="009077F5">
              <w:t>o</w:t>
            </w:r>
          </w:p>
        </w:tc>
        <w:tc>
          <w:tcPr>
            <w:tcW w:w="8523" w:type="dxa"/>
          </w:tcPr>
          <w:p w14:paraId="63F44EB0" w14:textId="77777777" w:rsidR="00374C56" w:rsidRPr="009077F5" w:rsidRDefault="00374C56" w:rsidP="00A202FD">
            <w:pPr>
              <w:jc w:val="both"/>
            </w:pPr>
            <w:r w:rsidRPr="009077F5">
              <w:t>Yolların süpürülmesi için seferlerin düzenlenmesi</w:t>
            </w:r>
          </w:p>
        </w:tc>
      </w:tr>
      <w:tr w:rsidR="00374C56" w:rsidRPr="00A467CD" w14:paraId="781D0F7F" w14:textId="77777777" w:rsidTr="000E6C87">
        <w:trPr>
          <w:trHeight w:val="283"/>
        </w:trPr>
        <w:tc>
          <w:tcPr>
            <w:tcW w:w="403" w:type="dxa"/>
          </w:tcPr>
          <w:p w14:paraId="57C5BA41" w14:textId="77777777" w:rsidR="00374C56" w:rsidRPr="009077F5" w:rsidRDefault="00374C56" w:rsidP="00A202FD">
            <w:pPr>
              <w:jc w:val="both"/>
            </w:pPr>
            <w:r w:rsidRPr="009077F5">
              <w:t>p</w:t>
            </w:r>
          </w:p>
        </w:tc>
        <w:tc>
          <w:tcPr>
            <w:tcW w:w="8523" w:type="dxa"/>
          </w:tcPr>
          <w:p w14:paraId="57872ED9" w14:textId="77777777" w:rsidR="00374C56" w:rsidRPr="009077F5" w:rsidRDefault="00374C56" w:rsidP="00A202FD">
            <w:pPr>
              <w:jc w:val="both"/>
            </w:pPr>
            <w:r w:rsidRPr="009077F5">
              <w:t>Yaklaştırılması sakıncalı malzemelerin ayrı ayrı tutulması (</w:t>
            </w:r>
            <w:r w:rsidRPr="009077F5">
              <w:rPr>
                <w:i/>
              </w:rPr>
              <w:t>örn.</w:t>
            </w:r>
            <w:r w:rsidRPr="009077F5">
              <w:t xml:space="preserve"> oksitleyici maddeler ve organik maddeler)</w:t>
            </w:r>
          </w:p>
        </w:tc>
      </w:tr>
      <w:tr w:rsidR="00374C56" w:rsidRPr="00A467CD" w14:paraId="1D1A44D7" w14:textId="77777777" w:rsidTr="000E6C87">
        <w:trPr>
          <w:trHeight w:val="283"/>
        </w:trPr>
        <w:tc>
          <w:tcPr>
            <w:tcW w:w="403" w:type="dxa"/>
          </w:tcPr>
          <w:p w14:paraId="0DE88515" w14:textId="5A34ED97" w:rsidR="00374C56" w:rsidRPr="009077F5" w:rsidRDefault="00B77654" w:rsidP="00A202FD">
            <w:pPr>
              <w:jc w:val="both"/>
            </w:pPr>
            <w:r w:rsidRPr="009077F5">
              <w:t>r</w:t>
            </w:r>
          </w:p>
        </w:tc>
        <w:tc>
          <w:tcPr>
            <w:tcW w:w="8523" w:type="dxa"/>
          </w:tcPr>
          <w:p w14:paraId="2C46398B" w14:textId="77777777" w:rsidR="00374C56" w:rsidRPr="009077F5" w:rsidRDefault="00374C56" w:rsidP="00A202FD">
            <w:pPr>
              <w:jc w:val="both"/>
            </w:pPr>
            <w:r w:rsidRPr="009077F5">
              <w:t>Prosesler arasındaki malzeme aktarımlarının en aza indirilmesi</w:t>
            </w:r>
          </w:p>
        </w:tc>
      </w:tr>
    </w:tbl>
    <w:p w14:paraId="13CFC08D" w14:textId="77777777" w:rsidR="00374C56" w:rsidRPr="00D53A2B" w:rsidRDefault="00374C56" w:rsidP="00A202FD">
      <w:pPr>
        <w:jc w:val="both"/>
        <w:rPr>
          <w:lang w:eastAsia="en-US"/>
        </w:rPr>
      </w:pPr>
    </w:p>
    <w:p w14:paraId="241AAFE6" w14:textId="77777777" w:rsidR="00374C56" w:rsidRPr="00D53A2B" w:rsidRDefault="00374C56" w:rsidP="00A202FD">
      <w:pPr>
        <w:jc w:val="both"/>
        <w:rPr>
          <w:b/>
          <w:bCs/>
          <w:lang w:eastAsia="en-US"/>
        </w:rPr>
      </w:pPr>
      <w:r w:rsidRPr="00D53A2B">
        <w:rPr>
          <w:b/>
          <w:bCs/>
          <w:lang w:eastAsia="en-US"/>
        </w:rPr>
        <w:t>Uygulanabilirlik</w:t>
      </w:r>
    </w:p>
    <w:p w14:paraId="2EDAD9C1" w14:textId="50EDC039" w:rsidR="00374C56" w:rsidRPr="00D53A2B" w:rsidRDefault="00374C56" w:rsidP="00A202FD">
      <w:pPr>
        <w:pStyle w:val="MET"/>
        <w:rPr>
          <w:szCs w:val="24"/>
        </w:rPr>
      </w:pPr>
      <w:r w:rsidRPr="00D53A2B">
        <w:rPr>
          <w:szCs w:val="24"/>
        </w:rPr>
        <w:t xml:space="preserve">MET 8.n. </w:t>
      </w:r>
      <w:r w:rsidR="0007449F" w:rsidRPr="00D53A2B">
        <w:rPr>
          <w:b w:val="0"/>
          <w:bCs/>
          <w:szCs w:val="24"/>
        </w:rPr>
        <w:t>B</w:t>
      </w:r>
      <w:r w:rsidRPr="00D53A2B">
        <w:rPr>
          <w:b w:val="0"/>
          <w:bCs/>
          <w:szCs w:val="24"/>
        </w:rPr>
        <w:t>uz</w:t>
      </w:r>
      <w:r w:rsidR="00CF6DFB" w:rsidRPr="00D53A2B">
        <w:rPr>
          <w:b w:val="0"/>
          <w:bCs/>
          <w:szCs w:val="24"/>
        </w:rPr>
        <w:t xml:space="preserve"> </w:t>
      </w:r>
      <w:r w:rsidRPr="00D53A2B">
        <w:rPr>
          <w:b w:val="0"/>
          <w:bCs/>
          <w:szCs w:val="24"/>
        </w:rPr>
        <w:t>ol</w:t>
      </w:r>
      <w:r w:rsidR="00CF6DFB" w:rsidRPr="00D53A2B">
        <w:rPr>
          <w:b w:val="0"/>
          <w:bCs/>
          <w:szCs w:val="24"/>
        </w:rPr>
        <w:t>uş</w:t>
      </w:r>
      <w:r w:rsidRPr="00D53A2B">
        <w:rPr>
          <w:b w:val="0"/>
          <w:bCs/>
          <w:szCs w:val="24"/>
        </w:rPr>
        <w:t>abileceği</w:t>
      </w:r>
      <w:r w:rsidR="00CF6DFB" w:rsidRPr="00D53A2B">
        <w:rPr>
          <w:b w:val="0"/>
          <w:bCs/>
          <w:szCs w:val="24"/>
        </w:rPr>
        <w:t xml:space="preserve"> durumlarda geçerli </w:t>
      </w:r>
      <w:r w:rsidRPr="00D53A2B">
        <w:rPr>
          <w:b w:val="0"/>
          <w:bCs/>
          <w:szCs w:val="24"/>
        </w:rPr>
        <w:t>olmayabilir.</w:t>
      </w:r>
    </w:p>
    <w:p w14:paraId="67C64204" w14:textId="77777777" w:rsidR="00CF6DFB" w:rsidRPr="00D53A2B" w:rsidRDefault="00CF6DFB" w:rsidP="00A202FD">
      <w:pPr>
        <w:jc w:val="both"/>
        <w:rPr>
          <w:lang w:eastAsia="en-US"/>
        </w:rPr>
      </w:pPr>
    </w:p>
    <w:p w14:paraId="69CD1CC7" w14:textId="2FC8F76D" w:rsidR="00374C56" w:rsidRPr="00D53A2B" w:rsidRDefault="00CF6DFB"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1.4.3.</w:t>
      </w:r>
      <w:r w:rsidRPr="00D53A2B">
        <w:rPr>
          <w:rFonts w:cs="Times New Roman"/>
          <w:lang w:eastAsia="en-US"/>
        </w:rPr>
        <w:t xml:space="preserve"> </w:t>
      </w:r>
      <w:r w:rsidR="00374C56" w:rsidRPr="00D53A2B">
        <w:rPr>
          <w:rFonts w:cs="Times New Roman"/>
          <w:lang w:eastAsia="en-US"/>
        </w:rPr>
        <w:t xml:space="preserve">Metal üretiminden kaynaklanan </w:t>
      </w:r>
      <w:r w:rsidR="006D729B" w:rsidRPr="00D53A2B">
        <w:rPr>
          <w:rFonts w:cs="Times New Roman"/>
          <w:lang w:eastAsia="en-US"/>
        </w:rPr>
        <w:t>y</w:t>
      </w:r>
      <w:r w:rsidR="00374C56" w:rsidRPr="00D53A2B">
        <w:rPr>
          <w:rFonts w:cs="Times New Roman"/>
          <w:lang w:eastAsia="en-US"/>
        </w:rPr>
        <w:t>ayılı emisyonlar</w:t>
      </w:r>
    </w:p>
    <w:p w14:paraId="7CD5F1E7" w14:textId="5B142B2B" w:rsidR="00374C56" w:rsidRPr="00D53A2B" w:rsidRDefault="00374C56" w:rsidP="00A202FD">
      <w:pPr>
        <w:pStyle w:val="MET"/>
        <w:rPr>
          <w:szCs w:val="24"/>
        </w:rPr>
      </w:pPr>
      <w:r w:rsidRPr="00D53A2B">
        <w:rPr>
          <w:szCs w:val="24"/>
        </w:rPr>
        <w:t>MET 9</w:t>
      </w:r>
      <w:r w:rsidR="00F775AE" w:rsidRPr="00D53A2B">
        <w:rPr>
          <w:szCs w:val="24"/>
        </w:rPr>
        <w:t>:</w:t>
      </w:r>
      <w:r w:rsidRPr="00D53A2B">
        <w:rPr>
          <w:szCs w:val="24"/>
        </w:rPr>
        <w:t xml:space="preserve"> </w:t>
      </w:r>
      <w:r w:rsidRPr="00D53A2B">
        <w:rPr>
          <w:b w:val="0"/>
          <w:bCs/>
          <w:szCs w:val="24"/>
        </w:rPr>
        <w:t>Metal üretiminden kaynaklanan Yayılı emisyonlarının engellenmesi ya da bunun mümkün olmaması durumunda azaltılması amacı ile</w:t>
      </w:r>
      <w:r w:rsidR="004B290D" w:rsidRPr="00D53A2B">
        <w:rPr>
          <w:b w:val="0"/>
          <w:bCs/>
          <w:szCs w:val="24"/>
        </w:rPr>
        <w:t xml:space="preserve"> </w:t>
      </w:r>
      <w:r w:rsidRPr="00D53A2B">
        <w:rPr>
          <w:b w:val="0"/>
          <w:bCs/>
          <w:szCs w:val="24"/>
        </w:rPr>
        <w:t>çıkan gazların toplanması ve arıtılmasının en iyi verimlilikte yapılması için aşağıda verilen tekniklerin bir kombinasyonu kullanılır.</w:t>
      </w:r>
    </w:p>
    <w:p w14:paraId="714D509B" w14:textId="77777777" w:rsidR="00823230" w:rsidRPr="00D53A2B" w:rsidRDefault="00823230" w:rsidP="00A202FD">
      <w:pPr>
        <w:pStyle w:val="MET"/>
        <w:rPr>
          <w:szCs w:val="24"/>
        </w:rPr>
      </w:pPr>
    </w:p>
    <w:tbl>
      <w:tblPr>
        <w:tblStyle w:val="TabloKlavuzu6"/>
        <w:tblW w:w="8926" w:type="dxa"/>
        <w:tblLook w:val="04A0" w:firstRow="1" w:lastRow="0" w:firstColumn="1" w:lastColumn="0" w:noHBand="0" w:noVBand="1"/>
      </w:tblPr>
      <w:tblGrid>
        <w:gridCol w:w="397"/>
        <w:gridCol w:w="4706"/>
        <w:gridCol w:w="3823"/>
      </w:tblGrid>
      <w:tr w:rsidR="00374C56" w:rsidRPr="00A467CD" w14:paraId="1ECDAB2C" w14:textId="77777777" w:rsidTr="000E6C87">
        <w:trPr>
          <w:trHeight w:val="283"/>
        </w:trPr>
        <w:tc>
          <w:tcPr>
            <w:tcW w:w="397" w:type="dxa"/>
          </w:tcPr>
          <w:p w14:paraId="36AE3589" w14:textId="77777777" w:rsidR="00374C56" w:rsidRPr="009077F5" w:rsidRDefault="00374C56" w:rsidP="00A202FD">
            <w:pPr>
              <w:jc w:val="both"/>
            </w:pPr>
          </w:p>
        </w:tc>
        <w:tc>
          <w:tcPr>
            <w:tcW w:w="4706" w:type="dxa"/>
          </w:tcPr>
          <w:p w14:paraId="5448A41B" w14:textId="77777777" w:rsidR="00374C56" w:rsidRPr="009077F5" w:rsidRDefault="00374C56" w:rsidP="00A202FD">
            <w:pPr>
              <w:jc w:val="both"/>
            </w:pPr>
            <w:r w:rsidRPr="009077F5">
              <w:t>Teknik</w:t>
            </w:r>
          </w:p>
        </w:tc>
        <w:tc>
          <w:tcPr>
            <w:tcW w:w="3823" w:type="dxa"/>
          </w:tcPr>
          <w:p w14:paraId="01CC89C3" w14:textId="77777777" w:rsidR="00374C56" w:rsidRPr="009077F5" w:rsidRDefault="00374C56" w:rsidP="00A202FD">
            <w:pPr>
              <w:jc w:val="both"/>
            </w:pPr>
            <w:r w:rsidRPr="009077F5">
              <w:t>Uygulanabilirlik</w:t>
            </w:r>
          </w:p>
        </w:tc>
      </w:tr>
      <w:tr w:rsidR="00374C56" w:rsidRPr="00A467CD" w14:paraId="1225A915" w14:textId="77777777" w:rsidTr="000E6C87">
        <w:trPr>
          <w:trHeight w:val="283"/>
        </w:trPr>
        <w:tc>
          <w:tcPr>
            <w:tcW w:w="397" w:type="dxa"/>
          </w:tcPr>
          <w:p w14:paraId="532C8CB4" w14:textId="77777777" w:rsidR="00374C56" w:rsidRPr="009077F5" w:rsidRDefault="00374C56" w:rsidP="00A202FD">
            <w:pPr>
              <w:jc w:val="both"/>
            </w:pPr>
            <w:r w:rsidRPr="009077F5">
              <w:lastRenderedPageBreak/>
              <w:t>a</w:t>
            </w:r>
          </w:p>
        </w:tc>
        <w:tc>
          <w:tcPr>
            <w:tcW w:w="4706" w:type="dxa"/>
          </w:tcPr>
          <w:p w14:paraId="6F1EBE70" w14:textId="078C1262" w:rsidR="00374C56" w:rsidRPr="009077F5" w:rsidRDefault="00823230" w:rsidP="00A202FD">
            <w:pPr>
              <w:jc w:val="both"/>
            </w:pPr>
            <w:r w:rsidRPr="009077F5">
              <w:t>Fırın beslemesinin organik kirliliğini en aza indirmek için ikincil hammaddenin termal veya mekanik ön işlemden geçirilmesi.</w:t>
            </w:r>
          </w:p>
        </w:tc>
        <w:tc>
          <w:tcPr>
            <w:tcW w:w="3823" w:type="dxa"/>
          </w:tcPr>
          <w:p w14:paraId="097CC1DB" w14:textId="77777777" w:rsidR="00374C56" w:rsidRPr="009077F5" w:rsidRDefault="00374C56" w:rsidP="00A202FD">
            <w:pPr>
              <w:jc w:val="both"/>
            </w:pPr>
            <w:r w:rsidRPr="009077F5">
              <w:t>Genellikle uygulanabilir</w:t>
            </w:r>
          </w:p>
        </w:tc>
      </w:tr>
      <w:tr w:rsidR="00374C56" w:rsidRPr="00A467CD" w14:paraId="21EE4BE2" w14:textId="77777777" w:rsidTr="000E6C87">
        <w:trPr>
          <w:trHeight w:val="283"/>
        </w:trPr>
        <w:tc>
          <w:tcPr>
            <w:tcW w:w="397" w:type="dxa"/>
          </w:tcPr>
          <w:p w14:paraId="49D438C9" w14:textId="77777777" w:rsidR="00374C56" w:rsidRPr="009077F5" w:rsidRDefault="00374C56" w:rsidP="00A202FD">
            <w:pPr>
              <w:jc w:val="both"/>
            </w:pPr>
            <w:r w:rsidRPr="009077F5">
              <w:t>b</w:t>
            </w:r>
          </w:p>
        </w:tc>
        <w:tc>
          <w:tcPr>
            <w:tcW w:w="4706" w:type="dxa"/>
          </w:tcPr>
          <w:p w14:paraId="6D934CA9" w14:textId="35715D74" w:rsidR="00374C56" w:rsidRPr="009077F5" w:rsidRDefault="00823230" w:rsidP="00A202FD">
            <w:pPr>
              <w:jc w:val="both"/>
            </w:pPr>
            <w:r w:rsidRPr="009077F5">
              <w:t>Uygun şekilde tasarlanmış bir toz giderme sistemine sahip kapalı bir fırın kullanın veya fırını ve diğer proses ünitelerini yeterli bir havalandırma sistemiyle kapatın.</w:t>
            </w:r>
          </w:p>
        </w:tc>
        <w:tc>
          <w:tcPr>
            <w:tcW w:w="3823" w:type="dxa"/>
          </w:tcPr>
          <w:p w14:paraId="46F0E0D6" w14:textId="77777777" w:rsidR="00374C56" w:rsidRPr="009077F5" w:rsidRDefault="00374C56" w:rsidP="00A202FD">
            <w:pPr>
              <w:jc w:val="both"/>
            </w:pPr>
            <w:r w:rsidRPr="009077F5">
              <w:t>Uygulanabilirlik güvenlik kısıtlamaları sebebiyle sınırlanabilir (örn. fırının tipi/tasarımı, patlama riski).</w:t>
            </w:r>
          </w:p>
        </w:tc>
      </w:tr>
      <w:tr w:rsidR="00374C56" w:rsidRPr="00A467CD" w14:paraId="03EC53D3" w14:textId="77777777" w:rsidTr="000E6C87">
        <w:trPr>
          <w:trHeight w:val="283"/>
        </w:trPr>
        <w:tc>
          <w:tcPr>
            <w:tcW w:w="397" w:type="dxa"/>
          </w:tcPr>
          <w:p w14:paraId="4DE1E448" w14:textId="77777777" w:rsidR="00374C56" w:rsidRPr="009077F5" w:rsidRDefault="00374C56" w:rsidP="00A202FD">
            <w:pPr>
              <w:jc w:val="both"/>
            </w:pPr>
            <w:r w:rsidRPr="009077F5">
              <w:t>c</w:t>
            </w:r>
          </w:p>
        </w:tc>
        <w:tc>
          <w:tcPr>
            <w:tcW w:w="4706" w:type="dxa"/>
          </w:tcPr>
          <w:p w14:paraId="6DFF8D6C" w14:textId="25ECC7A7" w:rsidR="00374C56" w:rsidRPr="009077F5" w:rsidRDefault="00823230" w:rsidP="00A202FD">
            <w:pPr>
              <w:jc w:val="both"/>
            </w:pPr>
            <w:r w:rsidRPr="009077F5">
              <w:t>Yükleme ve döküm alma gibi fırın işlemleri için ikincil bir davlumbaz kullanın.</w:t>
            </w:r>
          </w:p>
        </w:tc>
        <w:tc>
          <w:tcPr>
            <w:tcW w:w="3823" w:type="dxa"/>
          </w:tcPr>
          <w:p w14:paraId="7FE15E51" w14:textId="77777777" w:rsidR="00374C56" w:rsidRPr="009077F5" w:rsidRDefault="00374C56" w:rsidP="00A202FD">
            <w:pPr>
              <w:jc w:val="both"/>
            </w:pPr>
            <w:r w:rsidRPr="009077F5">
              <w:t>Uygulanabilirlik güvenlik kısıtlamaları sebebiyle sınırlandırılabilir (örn. fırının tipi/tasarımı, patlama riski).</w:t>
            </w:r>
          </w:p>
        </w:tc>
      </w:tr>
      <w:tr w:rsidR="00374C56" w:rsidRPr="00A467CD" w14:paraId="0B3AEC87" w14:textId="77777777" w:rsidTr="000E6C87">
        <w:trPr>
          <w:trHeight w:val="283"/>
        </w:trPr>
        <w:tc>
          <w:tcPr>
            <w:tcW w:w="397" w:type="dxa"/>
          </w:tcPr>
          <w:p w14:paraId="1C5865A6" w14:textId="77777777" w:rsidR="00374C56" w:rsidRPr="009077F5" w:rsidRDefault="00374C56" w:rsidP="00A202FD">
            <w:pPr>
              <w:jc w:val="both"/>
            </w:pPr>
            <w:r w:rsidRPr="009077F5">
              <w:t>d</w:t>
            </w:r>
          </w:p>
        </w:tc>
        <w:tc>
          <w:tcPr>
            <w:tcW w:w="4706" w:type="dxa"/>
          </w:tcPr>
          <w:p w14:paraId="06405A4A" w14:textId="24C8BD42" w:rsidR="00374C56" w:rsidRPr="009077F5" w:rsidRDefault="00374C56" w:rsidP="00A202FD">
            <w:pPr>
              <w:jc w:val="both"/>
            </w:pPr>
            <w:r w:rsidRPr="009077F5">
              <w:t>Tozlu malzemelerin aktarıldığı yerlerde toz veya dumanın toplanması (</w:t>
            </w:r>
            <w:r w:rsidR="0007449F" w:rsidRPr="009077F5">
              <w:rPr>
                <w:i/>
              </w:rPr>
              <w:t>Örneğin</w:t>
            </w:r>
            <w:r w:rsidRPr="009077F5">
              <w:rPr>
                <w:i/>
              </w:rPr>
              <w:t>.</w:t>
            </w:r>
            <w:r w:rsidRPr="009077F5">
              <w:t xml:space="preserve"> fırına şarj ve fırından döküm alma noktaları, örtülü oluklar)</w:t>
            </w:r>
          </w:p>
        </w:tc>
        <w:tc>
          <w:tcPr>
            <w:tcW w:w="3823" w:type="dxa"/>
          </w:tcPr>
          <w:p w14:paraId="6DD47936" w14:textId="77777777" w:rsidR="00374C56" w:rsidRPr="009077F5" w:rsidRDefault="00374C56" w:rsidP="00A202FD">
            <w:pPr>
              <w:jc w:val="both"/>
            </w:pPr>
            <w:r w:rsidRPr="009077F5">
              <w:t>Genellikle uygulanabilir</w:t>
            </w:r>
          </w:p>
        </w:tc>
      </w:tr>
      <w:tr w:rsidR="00374C56" w:rsidRPr="00A467CD" w14:paraId="182D6BDA" w14:textId="77777777" w:rsidTr="000E6C87">
        <w:trPr>
          <w:trHeight w:val="283"/>
        </w:trPr>
        <w:tc>
          <w:tcPr>
            <w:tcW w:w="397" w:type="dxa"/>
          </w:tcPr>
          <w:p w14:paraId="6E90BDB3" w14:textId="77777777" w:rsidR="00374C56" w:rsidRPr="009077F5" w:rsidRDefault="00374C56" w:rsidP="00A202FD">
            <w:pPr>
              <w:jc w:val="both"/>
            </w:pPr>
            <w:r w:rsidRPr="009077F5">
              <w:t>e</w:t>
            </w:r>
          </w:p>
        </w:tc>
        <w:tc>
          <w:tcPr>
            <w:tcW w:w="4706" w:type="dxa"/>
          </w:tcPr>
          <w:p w14:paraId="41CA60E2" w14:textId="0C7B3478" w:rsidR="00374C56" w:rsidRPr="009077F5" w:rsidRDefault="00823230" w:rsidP="00A202FD">
            <w:pPr>
              <w:jc w:val="both"/>
            </w:pPr>
            <w:r w:rsidRPr="009077F5">
              <w:t>Besleme portundan ve sıcak metalden, mat veya cüruftan kaynaklanan dumanı tutmak için davlumbaz ve kanal sisteminin tasarımını ve çalışmasını optimize edin ve kapalı yıkayıcılarda aktarın.</w:t>
            </w:r>
          </w:p>
        </w:tc>
        <w:tc>
          <w:tcPr>
            <w:tcW w:w="3823" w:type="dxa"/>
          </w:tcPr>
          <w:p w14:paraId="0BF38476" w14:textId="77777777" w:rsidR="00374C56" w:rsidRPr="009077F5" w:rsidRDefault="00374C56" w:rsidP="00A202FD">
            <w:pPr>
              <w:jc w:val="both"/>
            </w:pPr>
            <w:r w:rsidRPr="009077F5">
              <w:t>Mevcut tesislerde uygulanabilirlik kısıtlı alan ve tesis konfigürasyonu sebebiyle sınırlanabilir</w:t>
            </w:r>
          </w:p>
        </w:tc>
      </w:tr>
      <w:tr w:rsidR="00374C56" w:rsidRPr="00A467CD" w14:paraId="4066A772" w14:textId="77777777" w:rsidTr="000E6C87">
        <w:trPr>
          <w:trHeight w:val="283"/>
        </w:trPr>
        <w:tc>
          <w:tcPr>
            <w:tcW w:w="397" w:type="dxa"/>
          </w:tcPr>
          <w:p w14:paraId="218F3A87" w14:textId="77777777" w:rsidR="00374C56" w:rsidRPr="009077F5" w:rsidRDefault="00374C56" w:rsidP="00A202FD">
            <w:pPr>
              <w:jc w:val="both"/>
            </w:pPr>
            <w:r w:rsidRPr="009077F5">
              <w:t>f</w:t>
            </w:r>
          </w:p>
        </w:tc>
        <w:tc>
          <w:tcPr>
            <w:tcW w:w="4706" w:type="dxa"/>
          </w:tcPr>
          <w:p w14:paraId="0EC50697" w14:textId="77777777" w:rsidR="00374C56" w:rsidRPr="009077F5" w:rsidRDefault="00374C56" w:rsidP="00A202FD">
            <w:pPr>
              <w:jc w:val="both"/>
            </w:pPr>
            <w:r w:rsidRPr="009077F5">
              <w:t>Döküm alma ve yükleme işlemleri için fırın/reaktör muhafazalarının kullanılması</w:t>
            </w:r>
          </w:p>
        </w:tc>
        <w:tc>
          <w:tcPr>
            <w:tcW w:w="3823" w:type="dxa"/>
          </w:tcPr>
          <w:p w14:paraId="379A9584" w14:textId="77777777" w:rsidR="00374C56" w:rsidRPr="009077F5" w:rsidRDefault="00374C56" w:rsidP="00A202FD">
            <w:pPr>
              <w:jc w:val="both"/>
            </w:pPr>
            <w:r w:rsidRPr="009077F5">
              <w:t>Mevcut tesislerde uygulanabilirlik kısıtlı alan ve tesis konfigürasyonu sebebiyle sınırlanabilir</w:t>
            </w:r>
          </w:p>
        </w:tc>
      </w:tr>
      <w:tr w:rsidR="00374C56" w:rsidRPr="00A467CD" w14:paraId="6025F1BE" w14:textId="77777777" w:rsidTr="000E6C87">
        <w:trPr>
          <w:trHeight w:val="283"/>
        </w:trPr>
        <w:tc>
          <w:tcPr>
            <w:tcW w:w="397" w:type="dxa"/>
          </w:tcPr>
          <w:p w14:paraId="3D32869F" w14:textId="77777777" w:rsidR="00374C56" w:rsidRPr="009077F5" w:rsidRDefault="00374C56" w:rsidP="00A202FD">
            <w:pPr>
              <w:jc w:val="both"/>
            </w:pPr>
            <w:r w:rsidRPr="009077F5">
              <w:t>g</w:t>
            </w:r>
          </w:p>
        </w:tc>
        <w:tc>
          <w:tcPr>
            <w:tcW w:w="4706" w:type="dxa"/>
          </w:tcPr>
          <w:p w14:paraId="5663632B" w14:textId="77777777" w:rsidR="00374C56" w:rsidRPr="009077F5" w:rsidRDefault="00374C56" w:rsidP="00A202FD">
            <w:pPr>
              <w:jc w:val="both"/>
            </w:pPr>
            <w:r w:rsidRPr="009077F5">
              <w:t>Bilgisayarlı akışkan dinamiği çalışmaları ve izleyiciler aracılığıyla fırından çıkan gaz akışının optimize edilmesi</w:t>
            </w:r>
          </w:p>
        </w:tc>
        <w:tc>
          <w:tcPr>
            <w:tcW w:w="3823" w:type="dxa"/>
          </w:tcPr>
          <w:p w14:paraId="3DE0478E" w14:textId="77777777" w:rsidR="00374C56" w:rsidRPr="009077F5" w:rsidRDefault="00374C56" w:rsidP="00A202FD">
            <w:pPr>
              <w:jc w:val="both"/>
            </w:pPr>
            <w:r w:rsidRPr="009077F5">
              <w:t>Genellikle uygulanabilir</w:t>
            </w:r>
          </w:p>
        </w:tc>
      </w:tr>
      <w:tr w:rsidR="00374C56" w:rsidRPr="00A467CD" w14:paraId="3425E9F6" w14:textId="77777777" w:rsidTr="000E6C87">
        <w:trPr>
          <w:trHeight w:val="283"/>
        </w:trPr>
        <w:tc>
          <w:tcPr>
            <w:tcW w:w="397" w:type="dxa"/>
          </w:tcPr>
          <w:p w14:paraId="2AB7FA17" w14:textId="77777777" w:rsidR="00374C56" w:rsidRPr="009077F5" w:rsidRDefault="00374C56" w:rsidP="00A202FD">
            <w:pPr>
              <w:jc w:val="both"/>
            </w:pPr>
            <w:r w:rsidRPr="009077F5">
              <w:t>h</w:t>
            </w:r>
          </w:p>
        </w:tc>
        <w:tc>
          <w:tcPr>
            <w:tcW w:w="4706" w:type="dxa"/>
          </w:tcPr>
          <w:p w14:paraId="6F0205B1" w14:textId="77777777" w:rsidR="00374C56" w:rsidRPr="009077F5" w:rsidRDefault="00374C56" w:rsidP="00A202FD">
            <w:pPr>
              <w:jc w:val="both"/>
            </w:pPr>
            <w:r w:rsidRPr="009077F5">
              <w:t>Küçük miktarlarda hammadde eklemek için yarı kapalı fırınlar için şarj sistemleri</w:t>
            </w:r>
          </w:p>
        </w:tc>
        <w:tc>
          <w:tcPr>
            <w:tcW w:w="3823" w:type="dxa"/>
          </w:tcPr>
          <w:p w14:paraId="3BA14020" w14:textId="77777777" w:rsidR="00374C56" w:rsidRPr="009077F5" w:rsidRDefault="00374C56" w:rsidP="00A202FD">
            <w:pPr>
              <w:jc w:val="both"/>
            </w:pPr>
            <w:r w:rsidRPr="009077F5">
              <w:t>Genellikle uygulanabilir</w:t>
            </w:r>
          </w:p>
        </w:tc>
      </w:tr>
      <w:tr w:rsidR="00374C56" w:rsidRPr="00A467CD" w14:paraId="12A9FFFE" w14:textId="77777777" w:rsidTr="000E6C87">
        <w:trPr>
          <w:trHeight w:val="283"/>
        </w:trPr>
        <w:tc>
          <w:tcPr>
            <w:tcW w:w="397" w:type="dxa"/>
          </w:tcPr>
          <w:p w14:paraId="2D8D5025" w14:textId="77777777" w:rsidR="00374C56" w:rsidRPr="009077F5" w:rsidRDefault="00374C56" w:rsidP="00A202FD">
            <w:pPr>
              <w:jc w:val="both"/>
            </w:pPr>
            <w:r w:rsidRPr="009077F5">
              <w:t>i</w:t>
            </w:r>
          </w:p>
        </w:tc>
        <w:tc>
          <w:tcPr>
            <w:tcW w:w="4706" w:type="dxa"/>
          </w:tcPr>
          <w:p w14:paraId="214863C0" w14:textId="6CF63DA7" w:rsidR="00374C56" w:rsidRPr="009077F5" w:rsidRDefault="00374C56" w:rsidP="00A202FD">
            <w:pPr>
              <w:jc w:val="both"/>
            </w:pPr>
            <w:r w:rsidRPr="009077F5">
              <w:t xml:space="preserve">Toplanan emisyonların uygun bir azaltma sisteminde </w:t>
            </w:r>
            <w:r w:rsidR="00823230" w:rsidRPr="009077F5">
              <w:t>değerlendirilmesi</w:t>
            </w:r>
          </w:p>
        </w:tc>
        <w:tc>
          <w:tcPr>
            <w:tcW w:w="3823" w:type="dxa"/>
          </w:tcPr>
          <w:p w14:paraId="71277B16" w14:textId="77777777" w:rsidR="00374C56" w:rsidRPr="009077F5" w:rsidRDefault="00374C56" w:rsidP="00A202FD">
            <w:pPr>
              <w:jc w:val="both"/>
            </w:pPr>
            <w:r w:rsidRPr="009077F5">
              <w:t>Genellikle uygulanabilir</w:t>
            </w:r>
          </w:p>
        </w:tc>
      </w:tr>
    </w:tbl>
    <w:p w14:paraId="1ECE76A3" w14:textId="77777777" w:rsidR="00374C56" w:rsidRPr="00D53A2B" w:rsidRDefault="00374C56" w:rsidP="00A202FD">
      <w:pPr>
        <w:jc w:val="both"/>
        <w:rPr>
          <w:lang w:eastAsia="en-US"/>
        </w:rPr>
      </w:pPr>
    </w:p>
    <w:p w14:paraId="71AA0A01" w14:textId="7806588C" w:rsidR="00374C56" w:rsidRPr="00D53A2B" w:rsidRDefault="00823230" w:rsidP="00A202FD">
      <w:pPr>
        <w:pStyle w:val="Balk3"/>
        <w:rPr>
          <w:rFonts w:cs="Times New Roman"/>
          <w:lang w:eastAsia="en-US"/>
        </w:rPr>
      </w:pPr>
      <w:bookmarkStart w:id="46" w:name="_Toc531927857"/>
      <w:r w:rsidRPr="00D53A2B">
        <w:rPr>
          <w:rFonts w:cs="Times New Roman"/>
          <w:lang w:eastAsia="en-US"/>
        </w:rPr>
        <w:t>1.</w:t>
      </w:r>
      <w:r w:rsidR="00374C56" w:rsidRPr="00D53A2B">
        <w:rPr>
          <w:rFonts w:cs="Times New Roman"/>
          <w:lang w:eastAsia="en-US"/>
        </w:rPr>
        <w:t>1.5.</w:t>
      </w:r>
      <w:r w:rsidR="00374C56" w:rsidRPr="00D53A2B">
        <w:rPr>
          <w:rFonts w:cs="Times New Roman"/>
          <w:lang w:eastAsia="en-US"/>
        </w:rPr>
        <w:tab/>
        <w:t>Havaya verilen emisyonların izlenmesi</w:t>
      </w:r>
      <w:bookmarkEnd w:id="46"/>
    </w:p>
    <w:p w14:paraId="7E50B771" w14:textId="77777777" w:rsidR="00823230" w:rsidRPr="00D53A2B" w:rsidRDefault="00823230" w:rsidP="00A202FD">
      <w:pPr>
        <w:jc w:val="both"/>
        <w:rPr>
          <w:lang w:eastAsia="en-US"/>
        </w:rPr>
      </w:pPr>
    </w:p>
    <w:p w14:paraId="234EAA72" w14:textId="4EE60335" w:rsidR="00374C56" w:rsidRPr="00D53A2B" w:rsidRDefault="00F775AE" w:rsidP="00A202FD">
      <w:pPr>
        <w:pStyle w:val="MET"/>
        <w:rPr>
          <w:szCs w:val="24"/>
        </w:rPr>
      </w:pPr>
      <w:r w:rsidRPr="00D53A2B">
        <w:rPr>
          <w:szCs w:val="24"/>
        </w:rPr>
        <w:t xml:space="preserve">MET 10: </w:t>
      </w:r>
      <w:r w:rsidR="0007449F" w:rsidRPr="00D53A2B">
        <w:rPr>
          <w:b w:val="0"/>
          <w:bCs/>
          <w:szCs w:val="24"/>
        </w:rPr>
        <w:t>H</w:t>
      </w:r>
      <w:r w:rsidR="00823230" w:rsidRPr="00D53A2B">
        <w:rPr>
          <w:b w:val="0"/>
          <w:bCs/>
          <w:szCs w:val="24"/>
        </w:rPr>
        <w:t xml:space="preserve">avaya baca emisyonlarını en azından aşağıda verilen sıklıkta ve </w:t>
      </w:r>
      <w:r w:rsidR="0023315C" w:rsidRPr="00D53A2B">
        <w:rPr>
          <w:b w:val="0"/>
          <w:bCs/>
          <w:szCs w:val="24"/>
        </w:rPr>
        <w:t xml:space="preserve">TS </w:t>
      </w:r>
      <w:r w:rsidR="00823230" w:rsidRPr="00D53A2B">
        <w:rPr>
          <w:b w:val="0"/>
          <w:bCs/>
          <w:szCs w:val="24"/>
        </w:rPr>
        <w:t xml:space="preserve">EN standartlarına uygun olarak izleyecektir. </w:t>
      </w:r>
      <w:r w:rsidR="0023315C" w:rsidRPr="00D53A2B">
        <w:rPr>
          <w:b w:val="0"/>
          <w:bCs/>
          <w:szCs w:val="24"/>
        </w:rPr>
        <w:t xml:space="preserve">TS </w:t>
      </w:r>
      <w:r w:rsidR="00823230" w:rsidRPr="00D53A2B">
        <w:rPr>
          <w:b w:val="0"/>
          <w:bCs/>
          <w:szCs w:val="24"/>
        </w:rPr>
        <w:t>EN standartlarının mevcut olmaması halinde MET, eşdeğer bilimsel kalitede verilerin sağlanmasını temin eden ISO, ulusal veya diğer uluslararası standartları kullan</w:t>
      </w:r>
      <w:r w:rsidR="0007449F" w:rsidRPr="00D53A2B">
        <w:rPr>
          <w:b w:val="0"/>
          <w:bCs/>
          <w:szCs w:val="24"/>
        </w:rPr>
        <w:t>ılabilir</w:t>
      </w:r>
      <w:r w:rsidR="00823230" w:rsidRPr="00D53A2B">
        <w:rPr>
          <w:b w:val="0"/>
          <w:bCs/>
          <w:szCs w:val="24"/>
        </w:rPr>
        <w:t>.</w:t>
      </w:r>
    </w:p>
    <w:p w14:paraId="616779E3" w14:textId="77777777" w:rsidR="00823230" w:rsidRPr="00D53A2B" w:rsidRDefault="00823230" w:rsidP="00A202FD">
      <w:pPr>
        <w:pStyle w:val="MET"/>
        <w:rPr>
          <w:szCs w:val="24"/>
        </w:rPr>
      </w:pPr>
    </w:p>
    <w:tbl>
      <w:tblPr>
        <w:tblStyle w:val="TabloKlavuzu"/>
        <w:tblW w:w="8926" w:type="dxa"/>
        <w:tblLook w:val="04A0" w:firstRow="1" w:lastRow="0" w:firstColumn="1" w:lastColumn="0" w:noHBand="0" w:noVBand="1"/>
      </w:tblPr>
      <w:tblGrid>
        <w:gridCol w:w="1400"/>
        <w:gridCol w:w="4003"/>
        <w:gridCol w:w="2169"/>
        <w:gridCol w:w="1354"/>
      </w:tblGrid>
      <w:tr w:rsidR="00BC224D" w:rsidRPr="00D53A2B" w14:paraId="78DE32D9" w14:textId="77777777" w:rsidTr="000E6C87">
        <w:tc>
          <w:tcPr>
            <w:tcW w:w="1412" w:type="dxa"/>
          </w:tcPr>
          <w:p w14:paraId="48E41BBA" w14:textId="014D13A3" w:rsidR="00D01BD1" w:rsidRPr="00D53A2B" w:rsidRDefault="00D01BD1" w:rsidP="00A202FD">
            <w:pPr>
              <w:pStyle w:val="MET"/>
              <w:rPr>
                <w:b w:val="0"/>
                <w:bCs/>
                <w:sz w:val="22"/>
              </w:rPr>
            </w:pPr>
            <w:r w:rsidRPr="00D53A2B">
              <w:rPr>
                <w:b w:val="0"/>
                <w:bCs/>
                <w:sz w:val="22"/>
              </w:rPr>
              <w:t>Parametre</w:t>
            </w:r>
          </w:p>
        </w:tc>
        <w:tc>
          <w:tcPr>
            <w:tcW w:w="4350" w:type="dxa"/>
          </w:tcPr>
          <w:p w14:paraId="72089C1D" w14:textId="23A31B3A" w:rsidR="00D01BD1" w:rsidRPr="00D53A2B" w:rsidRDefault="00D01BD1" w:rsidP="00A202FD">
            <w:pPr>
              <w:pStyle w:val="MET"/>
              <w:rPr>
                <w:b w:val="0"/>
                <w:bCs/>
                <w:sz w:val="22"/>
              </w:rPr>
            </w:pPr>
            <w:r w:rsidRPr="00D53A2B">
              <w:rPr>
                <w:b w:val="0"/>
                <w:bCs/>
                <w:sz w:val="22"/>
              </w:rPr>
              <w:t>Aşağıdakilerle ilgili izleme</w:t>
            </w:r>
          </w:p>
        </w:tc>
        <w:tc>
          <w:tcPr>
            <w:tcW w:w="2326" w:type="dxa"/>
          </w:tcPr>
          <w:p w14:paraId="4F59F3CE" w14:textId="38E6B3EC" w:rsidR="00D01BD1" w:rsidRPr="00D53A2B" w:rsidRDefault="00D01BD1" w:rsidP="00A202FD">
            <w:pPr>
              <w:pStyle w:val="MET"/>
              <w:rPr>
                <w:b w:val="0"/>
                <w:bCs/>
                <w:sz w:val="22"/>
              </w:rPr>
            </w:pPr>
            <w:r w:rsidRPr="00D53A2B">
              <w:rPr>
                <w:b w:val="0"/>
                <w:bCs/>
                <w:sz w:val="22"/>
              </w:rPr>
              <w:t>Minimum izleme sıklığı</w:t>
            </w:r>
          </w:p>
        </w:tc>
        <w:tc>
          <w:tcPr>
            <w:tcW w:w="838" w:type="dxa"/>
            <w:vAlign w:val="center"/>
          </w:tcPr>
          <w:p w14:paraId="48EAF5A2" w14:textId="1C18FCD6" w:rsidR="00D01BD1" w:rsidRPr="00D53A2B" w:rsidRDefault="00D01BD1" w:rsidP="00A202FD">
            <w:pPr>
              <w:pStyle w:val="MET"/>
              <w:rPr>
                <w:b w:val="0"/>
                <w:bCs/>
                <w:sz w:val="22"/>
              </w:rPr>
            </w:pPr>
            <w:r w:rsidRPr="00D53A2B">
              <w:rPr>
                <w:b w:val="0"/>
                <w:bCs/>
                <w:sz w:val="22"/>
              </w:rPr>
              <w:t>Standart(lar)</w:t>
            </w:r>
          </w:p>
        </w:tc>
      </w:tr>
      <w:tr w:rsidR="00D01BD1" w:rsidRPr="00D53A2B" w14:paraId="701C9568" w14:textId="77777777" w:rsidTr="000E6C87">
        <w:tc>
          <w:tcPr>
            <w:tcW w:w="1412" w:type="dxa"/>
            <w:vMerge w:val="restart"/>
            <w:vAlign w:val="center"/>
          </w:tcPr>
          <w:p w14:paraId="7F51975A" w14:textId="0BF293B8" w:rsidR="00D01BD1" w:rsidRPr="00D53A2B" w:rsidRDefault="00D01BD1" w:rsidP="00A202FD">
            <w:pPr>
              <w:pStyle w:val="MET"/>
              <w:rPr>
                <w:b w:val="0"/>
                <w:bCs/>
                <w:sz w:val="22"/>
              </w:rPr>
            </w:pPr>
            <w:r w:rsidRPr="00D53A2B">
              <w:rPr>
                <w:b w:val="0"/>
                <w:bCs/>
                <w:sz w:val="22"/>
              </w:rPr>
              <w:t>Toz (</w:t>
            </w:r>
            <w:r w:rsidRPr="00D53A2B">
              <w:rPr>
                <w:b w:val="0"/>
                <w:bCs/>
                <w:sz w:val="22"/>
                <w:vertAlign w:val="superscript"/>
              </w:rPr>
              <w:t>2</w:t>
            </w:r>
            <w:r w:rsidRPr="00D53A2B">
              <w:rPr>
                <w:b w:val="0"/>
                <w:bCs/>
                <w:sz w:val="22"/>
              </w:rPr>
              <w:t>)</w:t>
            </w:r>
          </w:p>
        </w:tc>
        <w:tc>
          <w:tcPr>
            <w:tcW w:w="4350" w:type="dxa"/>
          </w:tcPr>
          <w:p w14:paraId="15D987A9" w14:textId="77777777" w:rsidR="00D01BD1" w:rsidRPr="00D53A2B" w:rsidRDefault="00D01BD1" w:rsidP="00A202FD">
            <w:pPr>
              <w:ind w:left="57" w:right="57"/>
              <w:jc w:val="both"/>
              <w:rPr>
                <w:bCs/>
                <w:sz w:val="22"/>
                <w:szCs w:val="22"/>
                <w:lang w:eastAsia="en-US"/>
              </w:rPr>
            </w:pPr>
            <w:r w:rsidRPr="00D53A2B">
              <w:rPr>
                <w:bCs/>
                <w:sz w:val="22"/>
                <w:szCs w:val="22"/>
                <w:lang w:eastAsia="en-US"/>
              </w:rPr>
              <w:t>Bakır:</w:t>
            </w:r>
          </w:p>
          <w:p w14:paraId="17DC783A" w14:textId="21B3005B" w:rsidR="00D01BD1" w:rsidRPr="00D53A2B" w:rsidRDefault="00D01BD1" w:rsidP="00A202FD">
            <w:pPr>
              <w:ind w:left="57" w:right="57"/>
              <w:jc w:val="both"/>
              <w:rPr>
                <w:bCs/>
                <w:sz w:val="22"/>
                <w:szCs w:val="22"/>
                <w:lang w:eastAsia="en-US"/>
              </w:rPr>
            </w:pPr>
            <w:r w:rsidRPr="00D53A2B">
              <w:rPr>
                <w:bCs/>
                <w:sz w:val="22"/>
                <w:szCs w:val="22"/>
                <w:lang w:eastAsia="en-US"/>
              </w:rPr>
              <w:t>MET 38, MET 39, MET 40, MET 43, MET 44, MET 45</w:t>
            </w:r>
          </w:p>
          <w:p w14:paraId="2C6BA7BA" w14:textId="77777777" w:rsidR="00D01BD1" w:rsidRPr="00D53A2B" w:rsidRDefault="00D01BD1" w:rsidP="00A202FD">
            <w:pPr>
              <w:pStyle w:val="MET"/>
              <w:rPr>
                <w:b w:val="0"/>
                <w:bCs/>
                <w:sz w:val="22"/>
              </w:rPr>
            </w:pPr>
            <w:r w:rsidRPr="00D53A2B">
              <w:rPr>
                <w:b w:val="0"/>
                <w:bCs/>
                <w:sz w:val="22"/>
              </w:rPr>
              <w:t>Alüminyum:</w:t>
            </w:r>
          </w:p>
          <w:p w14:paraId="753AE3D3" w14:textId="3767249B" w:rsidR="00D01BD1" w:rsidRPr="00D53A2B" w:rsidRDefault="00D01BD1" w:rsidP="00A202FD">
            <w:pPr>
              <w:pStyle w:val="MET"/>
              <w:rPr>
                <w:b w:val="0"/>
                <w:bCs/>
                <w:sz w:val="22"/>
              </w:rPr>
            </w:pPr>
            <w:r w:rsidRPr="00D53A2B">
              <w:rPr>
                <w:b w:val="0"/>
                <w:bCs/>
                <w:sz w:val="22"/>
              </w:rPr>
              <w:t>MET 56, MET 58, MET 59, MET 60, MET 61, MET 67, MET 81, MET 88</w:t>
            </w:r>
          </w:p>
          <w:p w14:paraId="0D1D44A8" w14:textId="77777777" w:rsidR="00D01BD1" w:rsidRPr="00D53A2B" w:rsidRDefault="00D01BD1" w:rsidP="00A202FD">
            <w:pPr>
              <w:pStyle w:val="MET"/>
              <w:rPr>
                <w:b w:val="0"/>
                <w:bCs/>
                <w:sz w:val="22"/>
              </w:rPr>
            </w:pPr>
            <w:r w:rsidRPr="00D53A2B">
              <w:rPr>
                <w:b w:val="0"/>
                <w:bCs/>
                <w:sz w:val="22"/>
              </w:rPr>
              <w:t>Kurşun, Kalay:</w:t>
            </w:r>
          </w:p>
          <w:p w14:paraId="4C08B9EE" w14:textId="77777777" w:rsidR="00D01BD1" w:rsidRPr="00D53A2B" w:rsidRDefault="00D01BD1" w:rsidP="00A202FD">
            <w:pPr>
              <w:pStyle w:val="MET"/>
              <w:rPr>
                <w:b w:val="0"/>
                <w:bCs/>
                <w:sz w:val="22"/>
              </w:rPr>
            </w:pPr>
            <w:r w:rsidRPr="00D53A2B">
              <w:rPr>
                <w:b w:val="0"/>
                <w:bCs/>
                <w:sz w:val="22"/>
              </w:rPr>
              <w:t>MET 94, MET 96, MET 97</w:t>
            </w:r>
          </w:p>
          <w:p w14:paraId="235FA382" w14:textId="77777777" w:rsidR="00D01BD1" w:rsidRPr="00D53A2B" w:rsidRDefault="00D01BD1" w:rsidP="00A202FD">
            <w:pPr>
              <w:pStyle w:val="MET"/>
              <w:rPr>
                <w:b w:val="0"/>
                <w:bCs/>
                <w:sz w:val="22"/>
              </w:rPr>
            </w:pPr>
            <w:r w:rsidRPr="00D53A2B">
              <w:rPr>
                <w:b w:val="0"/>
                <w:bCs/>
                <w:sz w:val="22"/>
              </w:rPr>
              <w:lastRenderedPageBreak/>
              <w:t>Çinko, Kadmiyum:</w:t>
            </w:r>
          </w:p>
          <w:p w14:paraId="7DCC0EA5" w14:textId="77777777" w:rsidR="00D01BD1" w:rsidRPr="00D53A2B" w:rsidRDefault="00D01BD1" w:rsidP="00A202FD">
            <w:pPr>
              <w:pStyle w:val="MET"/>
              <w:rPr>
                <w:b w:val="0"/>
                <w:bCs/>
                <w:sz w:val="22"/>
              </w:rPr>
            </w:pPr>
            <w:r w:rsidRPr="00D53A2B">
              <w:rPr>
                <w:b w:val="0"/>
                <w:bCs/>
                <w:sz w:val="22"/>
              </w:rPr>
              <w:t>MET 119, MET 122</w:t>
            </w:r>
          </w:p>
          <w:p w14:paraId="132CF82B" w14:textId="77777777" w:rsidR="00D01BD1" w:rsidRPr="00D53A2B" w:rsidRDefault="00D01BD1" w:rsidP="00A202FD">
            <w:pPr>
              <w:pStyle w:val="MET"/>
              <w:rPr>
                <w:b w:val="0"/>
                <w:bCs/>
                <w:sz w:val="22"/>
              </w:rPr>
            </w:pPr>
            <w:r w:rsidRPr="00D53A2B">
              <w:rPr>
                <w:b w:val="0"/>
                <w:bCs/>
                <w:sz w:val="22"/>
              </w:rPr>
              <w:t>Değerli metaller:</w:t>
            </w:r>
          </w:p>
          <w:p w14:paraId="4856D9E2" w14:textId="77777777" w:rsidR="00D01BD1" w:rsidRPr="00D53A2B" w:rsidRDefault="00D01BD1" w:rsidP="00A202FD">
            <w:pPr>
              <w:pStyle w:val="MET"/>
              <w:rPr>
                <w:b w:val="0"/>
                <w:bCs/>
                <w:sz w:val="22"/>
              </w:rPr>
            </w:pPr>
            <w:r w:rsidRPr="00D53A2B">
              <w:rPr>
                <w:b w:val="0"/>
                <w:bCs/>
                <w:sz w:val="22"/>
              </w:rPr>
              <w:t>MET 140</w:t>
            </w:r>
          </w:p>
          <w:p w14:paraId="51EC9559" w14:textId="77777777" w:rsidR="00D01BD1" w:rsidRPr="00D53A2B" w:rsidRDefault="00D01BD1" w:rsidP="00A202FD">
            <w:pPr>
              <w:pStyle w:val="MET"/>
              <w:rPr>
                <w:b w:val="0"/>
                <w:bCs/>
                <w:sz w:val="22"/>
              </w:rPr>
            </w:pPr>
            <w:r w:rsidRPr="00D53A2B">
              <w:rPr>
                <w:b w:val="0"/>
                <w:bCs/>
                <w:sz w:val="22"/>
              </w:rPr>
              <w:t>Demir alaşımları:</w:t>
            </w:r>
          </w:p>
          <w:p w14:paraId="53B94D2C" w14:textId="77777777" w:rsidR="00D01BD1" w:rsidRPr="00D53A2B" w:rsidRDefault="00D01BD1" w:rsidP="00A202FD">
            <w:pPr>
              <w:pStyle w:val="MET"/>
              <w:rPr>
                <w:b w:val="0"/>
                <w:bCs/>
                <w:sz w:val="22"/>
              </w:rPr>
            </w:pPr>
            <w:r w:rsidRPr="00D53A2B">
              <w:rPr>
                <w:b w:val="0"/>
                <w:bCs/>
                <w:sz w:val="22"/>
              </w:rPr>
              <w:t>MET 155, MET 156, MET 157, MET 158,</w:t>
            </w:r>
          </w:p>
          <w:p w14:paraId="1AE54D16" w14:textId="77777777" w:rsidR="00D01BD1" w:rsidRPr="00D53A2B" w:rsidRDefault="00D01BD1" w:rsidP="00A202FD">
            <w:pPr>
              <w:ind w:left="57" w:right="57"/>
              <w:jc w:val="both"/>
              <w:rPr>
                <w:bCs/>
                <w:sz w:val="22"/>
                <w:szCs w:val="22"/>
                <w:lang w:eastAsia="en-US"/>
              </w:rPr>
            </w:pPr>
            <w:r w:rsidRPr="00D53A2B">
              <w:rPr>
                <w:bCs/>
                <w:sz w:val="22"/>
                <w:szCs w:val="22"/>
                <w:lang w:eastAsia="en-US"/>
              </w:rPr>
              <w:t>Nikel, Kobalt:</w:t>
            </w:r>
          </w:p>
          <w:p w14:paraId="69CAFACA" w14:textId="77777777" w:rsidR="00D01BD1" w:rsidRPr="00D53A2B" w:rsidRDefault="00D01BD1" w:rsidP="00A202FD">
            <w:pPr>
              <w:ind w:left="57" w:right="57"/>
              <w:jc w:val="both"/>
              <w:rPr>
                <w:bCs/>
                <w:sz w:val="22"/>
                <w:szCs w:val="22"/>
                <w:lang w:eastAsia="en-US"/>
              </w:rPr>
            </w:pPr>
            <w:r w:rsidRPr="00D53A2B">
              <w:rPr>
                <w:bCs/>
                <w:sz w:val="22"/>
                <w:szCs w:val="22"/>
                <w:lang w:eastAsia="en-US"/>
              </w:rPr>
              <w:t>MET 171</w:t>
            </w:r>
          </w:p>
          <w:p w14:paraId="4A678C3B" w14:textId="57AD6C39" w:rsidR="00D01BD1" w:rsidRPr="00D53A2B" w:rsidRDefault="00D01BD1" w:rsidP="00A202FD">
            <w:pPr>
              <w:ind w:left="57" w:right="57"/>
              <w:jc w:val="both"/>
              <w:rPr>
                <w:bCs/>
                <w:sz w:val="22"/>
                <w:szCs w:val="22"/>
                <w:lang w:eastAsia="en-US"/>
              </w:rPr>
            </w:pPr>
            <w:r w:rsidRPr="00D53A2B">
              <w:rPr>
                <w:bCs/>
                <w:sz w:val="22"/>
                <w:szCs w:val="22"/>
                <w:lang w:eastAsia="en-US"/>
              </w:rPr>
              <w:t>Diğer demir dışı metaller:</w:t>
            </w:r>
          </w:p>
          <w:p w14:paraId="782866E1" w14:textId="14F511E5" w:rsidR="00D01BD1" w:rsidRPr="00D53A2B" w:rsidRDefault="00D01BD1" w:rsidP="00A202FD">
            <w:pPr>
              <w:pStyle w:val="MET"/>
              <w:rPr>
                <w:b w:val="0"/>
                <w:bCs/>
                <w:sz w:val="22"/>
              </w:rPr>
            </w:pPr>
            <w:r w:rsidRPr="00D53A2B">
              <w:rPr>
                <w:b w:val="0"/>
                <w:bCs/>
                <w:sz w:val="22"/>
              </w:rPr>
              <w:t>Hammadde ön işleme, şarj, ergitme, eritme ve kılavuz çekme gibi üretim aşamalarından kaynaklanan emisyonlar</w:t>
            </w:r>
          </w:p>
        </w:tc>
        <w:tc>
          <w:tcPr>
            <w:tcW w:w="2326" w:type="dxa"/>
            <w:vAlign w:val="center"/>
          </w:tcPr>
          <w:p w14:paraId="40FFCA70" w14:textId="53D82339" w:rsidR="00D01BD1" w:rsidRPr="00D53A2B" w:rsidRDefault="00D01BD1" w:rsidP="00A202FD">
            <w:pPr>
              <w:pStyle w:val="MET"/>
              <w:rPr>
                <w:b w:val="0"/>
                <w:bCs/>
                <w:sz w:val="22"/>
              </w:rPr>
            </w:pPr>
            <w:r w:rsidRPr="00D53A2B">
              <w:rPr>
                <w:b w:val="0"/>
                <w:bCs/>
                <w:sz w:val="22"/>
              </w:rPr>
              <w:lastRenderedPageBreak/>
              <w:t>Sürekli (</w:t>
            </w:r>
            <w:r w:rsidRPr="00D53A2B">
              <w:rPr>
                <w:b w:val="0"/>
                <w:bCs/>
                <w:sz w:val="22"/>
                <w:vertAlign w:val="superscript"/>
              </w:rPr>
              <w:t>1</w:t>
            </w:r>
            <w:r w:rsidRPr="00D53A2B">
              <w:rPr>
                <w:b w:val="0"/>
                <w:bCs/>
                <w:sz w:val="22"/>
              </w:rPr>
              <w:t>)</w:t>
            </w:r>
          </w:p>
        </w:tc>
        <w:tc>
          <w:tcPr>
            <w:tcW w:w="838" w:type="dxa"/>
            <w:vAlign w:val="center"/>
          </w:tcPr>
          <w:p w14:paraId="3005F88A" w14:textId="27375220" w:rsidR="00D01BD1" w:rsidRPr="00D53A2B" w:rsidRDefault="007237E2" w:rsidP="00A202FD">
            <w:pPr>
              <w:pStyle w:val="MET"/>
              <w:rPr>
                <w:b w:val="0"/>
                <w:bCs/>
                <w:sz w:val="22"/>
              </w:rPr>
            </w:pPr>
            <w:r w:rsidRPr="00D53A2B">
              <w:rPr>
                <w:b w:val="0"/>
                <w:bCs/>
                <w:sz w:val="22"/>
              </w:rPr>
              <w:t>TS EN 13284-2</w:t>
            </w:r>
          </w:p>
        </w:tc>
      </w:tr>
      <w:tr w:rsidR="00D01BD1" w:rsidRPr="00D53A2B" w14:paraId="448E60EB" w14:textId="77777777" w:rsidTr="000E6C87">
        <w:tc>
          <w:tcPr>
            <w:tcW w:w="1412" w:type="dxa"/>
            <w:vMerge/>
          </w:tcPr>
          <w:p w14:paraId="139C975E" w14:textId="77777777" w:rsidR="00D01BD1" w:rsidRPr="00D53A2B" w:rsidRDefault="00D01BD1" w:rsidP="00A202FD">
            <w:pPr>
              <w:pStyle w:val="MET"/>
              <w:rPr>
                <w:b w:val="0"/>
                <w:bCs/>
                <w:sz w:val="22"/>
              </w:rPr>
            </w:pPr>
          </w:p>
        </w:tc>
        <w:tc>
          <w:tcPr>
            <w:tcW w:w="4350" w:type="dxa"/>
            <w:vAlign w:val="center"/>
          </w:tcPr>
          <w:p w14:paraId="75EF757C" w14:textId="77777777" w:rsidR="00D01BD1" w:rsidRPr="00D53A2B" w:rsidRDefault="00D01BD1" w:rsidP="00A202FD">
            <w:pPr>
              <w:ind w:left="57" w:right="57"/>
              <w:jc w:val="both"/>
              <w:rPr>
                <w:bCs/>
                <w:sz w:val="22"/>
                <w:szCs w:val="22"/>
                <w:lang w:eastAsia="en-US"/>
              </w:rPr>
            </w:pPr>
            <w:r w:rsidRPr="00D53A2B">
              <w:rPr>
                <w:bCs/>
                <w:sz w:val="22"/>
                <w:szCs w:val="22"/>
                <w:lang w:eastAsia="en-US"/>
              </w:rPr>
              <w:t>Bakır:</w:t>
            </w:r>
          </w:p>
          <w:p w14:paraId="50C141A3" w14:textId="2784E292" w:rsidR="00D01BD1" w:rsidRPr="00D53A2B" w:rsidRDefault="00D01BD1" w:rsidP="00A202FD">
            <w:pPr>
              <w:ind w:left="57" w:right="57"/>
              <w:jc w:val="both"/>
              <w:rPr>
                <w:bCs/>
                <w:sz w:val="22"/>
                <w:szCs w:val="22"/>
                <w:lang w:eastAsia="en-US"/>
              </w:rPr>
            </w:pPr>
            <w:r w:rsidRPr="00D53A2B">
              <w:rPr>
                <w:bCs/>
                <w:sz w:val="22"/>
                <w:szCs w:val="22"/>
                <w:lang w:eastAsia="en-US"/>
              </w:rPr>
              <w:t>MET 37, MET 38, MET 40, MET 41, MET 42, MET 43, MET 44, MET 45</w:t>
            </w:r>
          </w:p>
          <w:p w14:paraId="20FFEF98" w14:textId="77777777" w:rsidR="00D01BD1" w:rsidRPr="00D53A2B" w:rsidRDefault="00D01BD1" w:rsidP="00A202FD">
            <w:pPr>
              <w:ind w:left="57" w:right="57"/>
              <w:jc w:val="both"/>
              <w:rPr>
                <w:bCs/>
                <w:sz w:val="22"/>
                <w:szCs w:val="22"/>
                <w:lang w:eastAsia="en-US"/>
              </w:rPr>
            </w:pPr>
            <w:r w:rsidRPr="00D53A2B">
              <w:rPr>
                <w:bCs/>
                <w:sz w:val="22"/>
                <w:szCs w:val="22"/>
                <w:lang w:eastAsia="en-US"/>
              </w:rPr>
              <w:t>Alüminyum:</w:t>
            </w:r>
          </w:p>
          <w:p w14:paraId="6CEAA507" w14:textId="5AE8B7D4" w:rsidR="00D01BD1" w:rsidRPr="00D53A2B" w:rsidRDefault="00D01BD1" w:rsidP="00A202FD">
            <w:pPr>
              <w:ind w:left="57" w:right="57"/>
              <w:jc w:val="both"/>
              <w:rPr>
                <w:bCs/>
                <w:sz w:val="22"/>
                <w:szCs w:val="22"/>
                <w:lang w:eastAsia="en-US"/>
              </w:rPr>
            </w:pPr>
            <w:r w:rsidRPr="00D53A2B">
              <w:rPr>
                <w:bCs/>
                <w:sz w:val="22"/>
                <w:szCs w:val="22"/>
                <w:lang w:eastAsia="en-US"/>
              </w:rPr>
              <w:t>MET 56, MET 58, MET 59, MET 60, MET 61, MET 66, MET 67, MET 68, MET 80, MET 81, MET 82, MET 88</w:t>
            </w:r>
          </w:p>
          <w:p w14:paraId="00C9DF1B" w14:textId="77777777" w:rsidR="00D01BD1" w:rsidRPr="00D53A2B" w:rsidRDefault="00D01BD1" w:rsidP="00A202FD">
            <w:pPr>
              <w:ind w:left="57" w:right="57"/>
              <w:jc w:val="both"/>
              <w:rPr>
                <w:bCs/>
                <w:sz w:val="22"/>
                <w:szCs w:val="22"/>
                <w:lang w:eastAsia="en-US"/>
              </w:rPr>
            </w:pPr>
            <w:r w:rsidRPr="00D53A2B">
              <w:rPr>
                <w:bCs/>
                <w:sz w:val="22"/>
                <w:szCs w:val="22"/>
                <w:lang w:eastAsia="en-US"/>
              </w:rPr>
              <w:t>Kurşun, Kalay:</w:t>
            </w:r>
          </w:p>
          <w:p w14:paraId="5B80AF1A" w14:textId="77777777" w:rsidR="00D01BD1" w:rsidRPr="00D53A2B" w:rsidRDefault="00D01BD1" w:rsidP="00A202FD">
            <w:pPr>
              <w:ind w:left="57" w:right="57"/>
              <w:jc w:val="both"/>
              <w:rPr>
                <w:bCs/>
                <w:sz w:val="22"/>
                <w:szCs w:val="22"/>
                <w:lang w:eastAsia="en-US"/>
              </w:rPr>
            </w:pPr>
            <w:r w:rsidRPr="00D53A2B">
              <w:rPr>
                <w:bCs/>
                <w:sz w:val="22"/>
                <w:szCs w:val="22"/>
                <w:lang w:eastAsia="en-US"/>
              </w:rPr>
              <w:t>MET 94, MET 95, MET 96, MET 97</w:t>
            </w:r>
          </w:p>
          <w:p w14:paraId="72CA5D4C" w14:textId="77777777" w:rsidR="00D01BD1" w:rsidRPr="00D53A2B" w:rsidRDefault="00D01BD1" w:rsidP="00A202FD">
            <w:pPr>
              <w:ind w:left="57" w:right="57"/>
              <w:jc w:val="both"/>
              <w:rPr>
                <w:bCs/>
                <w:sz w:val="22"/>
                <w:szCs w:val="22"/>
                <w:lang w:eastAsia="en-US"/>
              </w:rPr>
            </w:pPr>
            <w:r w:rsidRPr="00D53A2B">
              <w:rPr>
                <w:bCs/>
                <w:sz w:val="22"/>
                <w:szCs w:val="22"/>
                <w:lang w:eastAsia="en-US"/>
              </w:rPr>
              <w:t>Çinko, Kadmiyum:</w:t>
            </w:r>
          </w:p>
          <w:p w14:paraId="7B0CA77A" w14:textId="53F1697D" w:rsidR="00D01BD1" w:rsidRPr="00D53A2B" w:rsidRDefault="00D01BD1" w:rsidP="00A202FD">
            <w:pPr>
              <w:ind w:left="57" w:right="57"/>
              <w:jc w:val="both"/>
              <w:rPr>
                <w:bCs/>
                <w:sz w:val="22"/>
                <w:szCs w:val="22"/>
                <w:lang w:eastAsia="en-US"/>
              </w:rPr>
            </w:pPr>
            <w:r w:rsidRPr="00D53A2B">
              <w:rPr>
                <w:bCs/>
                <w:sz w:val="22"/>
                <w:szCs w:val="22"/>
                <w:lang w:eastAsia="en-US"/>
              </w:rPr>
              <w:t>MET 113, MET 119, MET 121, MET 122, MET 128, MET 132</w:t>
            </w:r>
          </w:p>
          <w:p w14:paraId="2F81F5D9" w14:textId="77777777" w:rsidR="00D01BD1" w:rsidRPr="00D53A2B" w:rsidRDefault="00D01BD1" w:rsidP="00A202FD">
            <w:pPr>
              <w:ind w:left="57" w:right="57"/>
              <w:jc w:val="both"/>
              <w:rPr>
                <w:bCs/>
                <w:sz w:val="22"/>
                <w:szCs w:val="22"/>
                <w:lang w:eastAsia="en-US"/>
              </w:rPr>
            </w:pPr>
            <w:r w:rsidRPr="00D53A2B">
              <w:rPr>
                <w:bCs/>
                <w:sz w:val="22"/>
                <w:szCs w:val="22"/>
                <w:lang w:eastAsia="en-US"/>
              </w:rPr>
              <w:t>Değerli metaller:</w:t>
            </w:r>
          </w:p>
          <w:p w14:paraId="27C1497E" w14:textId="77777777" w:rsidR="00D01BD1" w:rsidRPr="00D53A2B" w:rsidRDefault="00D01BD1" w:rsidP="00A202FD">
            <w:pPr>
              <w:ind w:left="57" w:right="57"/>
              <w:jc w:val="both"/>
              <w:rPr>
                <w:bCs/>
                <w:sz w:val="22"/>
                <w:szCs w:val="22"/>
                <w:lang w:eastAsia="en-US"/>
              </w:rPr>
            </w:pPr>
            <w:r w:rsidRPr="00D53A2B">
              <w:rPr>
                <w:bCs/>
                <w:sz w:val="22"/>
                <w:szCs w:val="22"/>
                <w:lang w:eastAsia="en-US"/>
              </w:rPr>
              <w:t>MET 140</w:t>
            </w:r>
          </w:p>
          <w:p w14:paraId="1E428BFF" w14:textId="77777777" w:rsidR="00D01BD1" w:rsidRPr="00D53A2B" w:rsidRDefault="00D01BD1" w:rsidP="00A202FD">
            <w:pPr>
              <w:pStyle w:val="MET"/>
              <w:rPr>
                <w:b w:val="0"/>
                <w:bCs/>
                <w:sz w:val="22"/>
              </w:rPr>
            </w:pPr>
            <w:r w:rsidRPr="00D53A2B">
              <w:rPr>
                <w:b w:val="0"/>
                <w:bCs/>
                <w:sz w:val="22"/>
              </w:rPr>
              <w:t>Demir alaşımları:</w:t>
            </w:r>
          </w:p>
          <w:p w14:paraId="4A39BDF1" w14:textId="242743D4" w:rsidR="00D01BD1" w:rsidRPr="00D53A2B" w:rsidRDefault="00D01BD1" w:rsidP="00A202FD">
            <w:pPr>
              <w:ind w:left="57" w:right="57"/>
              <w:jc w:val="both"/>
              <w:rPr>
                <w:bCs/>
                <w:sz w:val="22"/>
                <w:szCs w:val="22"/>
                <w:lang w:eastAsia="en-US"/>
              </w:rPr>
            </w:pPr>
            <w:r w:rsidRPr="00D53A2B">
              <w:rPr>
                <w:bCs/>
                <w:sz w:val="22"/>
                <w:szCs w:val="22"/>
                <w:lang w:eastAsia="en-US"/>
              </w:rPr>
              <w:t>MET 154, MET 155, MET 156, MET 157, MET 158</w:t>
            </w:r>
          </w:p>
          <w:p w14:paraId="243898E6" w14:textId="77777777" w:rsidR="00D01BD1" w:rsidRPr="00D53A2B" w:rsidRDefault="00D01BD1" w:rsidP="00A202FD">
            <w:pPr>
              <w:ind w:left="57" w:right="57"/>
              <w:jc w:val="both"/>
              <w:rPr>
                <w:bCs/>
                <w:sz w:val="22"/>
                <w:szCs w:val="22"/>
                <w:lang w:eastAsia="en-US"/>
              </w:rPr>
            </w:pPr>
            <w:r w:rsidRPr="00D53A2B">
              <w:rPr>
                <w:bCs/>
                <w:sz w:val="22"/>
                <w:szCs w:val="22"/>
                <w:lang w:eastAsia="en-US"/>
              </w:rPr>
              <w:t>Nikel, Kobalt:</w:t>
            </w:r>
          </w:p>
          <w:p w14:paraId="2A4E7AEF" w14:textId="77777777" w:rsidR="00D01BD1" w:rsidRPr="00D53A2B" w:rsidRDefault="00D01BD1" w:rsidP="00A202FD">
            <w:pPr>
              <w:ind w:left="57" w:right="57"/>
              <w:jc w:val="both"/>
              <w:rPr>
                <w:bCs/>
                <w:sz w:val="22"/>
                <w:szCs w:val="22"/>
                <w:lang w:eastAsia="en-US"/>
              </w:rPr>
            </w:pPr>
            <w:r w:rsidRPr="00D53A2B">
              <w:rPr>
                <w:bCs/>
                <w:sz w:val="22"/>
                <w:szCs w:val="22"/>
                <w:lang w:eastAsia="en-US"/>
              </w:rPr>
              <w:t>MET 171</w:t>
            </w:r>
          </w:p>
          <w:p w14:paraId="1FCEF253" w14:textId="77777777" w:rsidR="00D01BD1" w:rsidRPr="00D53A2B" w:rsidRDefault="00D01BD1" w:rsidP="00A202FD">
            <w:pPr>
              <w:ind w:left="57" w:right="57"/>
              <w:jc w:val="both"/>
              <w:rPr>
                <w:bCs/>
                <w:sz w:val="22"/>
                <w:szCs w:val="22"/>
                <w:lang w:eastAsia="en-US"/>
              </w:rPr>
            </w:pPr>
            <w:r w:rsidRPr="00D53A2B">
              <w:rPr>
                <w:bCs/>
                <w:sz w:val="22"/>
                <w:szCs w:val="22"/>
                <w:lang w:eastAsia="en-US"/>
              </w:rPr>
              <w:t>Karbon/grafit:</w:t>
            </w:r>
          </w:p>
          <w:p w14:paraId="02C35B71" w14:textId="737B42C0" w:rsidR="00D01BD1" w:rsidRPr="00D53A2B" w:rsidRDefault="00D01BD1" w:rsidP="00A202FD">
            <w:pPr>
              <w:tabs>
                <w:tab w:val="left" w:pos="1620"/>
                <w:tab w:val="left" w:pos="2740"/>
              </w:tabs>
              <w:ind w:left="57" w:right="57"/>
              <w:jc w:val="both"/>
              <w:rPr>
                <w:bCs/>
                <w:sz w:val="22"/>
                <w:szCs w:val="22"/>
                <w:lang w:eastAsia="en-US"/>
              </w:rPr>
            </w:pPr>
            <w:r w:rsidRPr="00D53A2B">
              <w:rPr>
                <w:bCs/>
                <w:sz w:val="22"/>
                <w:szCs w:val="22"/>
                <w:lang w:eastAsia="en-US"/>
              </w:rPr>
              <w:t>MET 178, MET 179, MET 180, MET 181</w:t>
            </w:r>
          </w:p>
          <w:p w14:paraId="4FD57847" w14:textId="77777777" w:rsidR="00D01BD1" w:rsidRPr="00D53A2B" w:rsidRDefault="00D01BD1" w:rsidP="00A202FD">
            <w:pPr>
              <w:ind w:left="57" w:right="57"/>
              <w:jc w:val="both"/>
              <w:rPr>
                <w:bCs/>
                <w:sz w:val="22"/>
                <w:szCs w:val="22"/>
                <w:lang w:eastAsia="en-US"/>
              </w:rPr>
            </w:pPr>
            <w:r w:rsidRPr="00D53A2B">
              <w:rPr>
                <w:bCs/>
                <w:sz w:val="22"/>
                <w:szCs w:val="22"/>
                <w:lang w:eastAsia="en-US"/>
              </w:rPr>
              <w:t>Diğer demir dışı metaller:</w:t>
            </w:r>
          </w:p>
          <w:p w14:paraId="7967A9DE" w14:textId="4B7420B9" w:rsidR="00D01BD1" w:rsidRPr="00D53A2B" w:rsidRDefault="00D01BD1" w:rsidP="00A202FD">
            <w:pPr>
              <w:pStyle w:val="MET"/>
              <w:rPr>
                <w:b w:val="0"/>
                <w:bCs/>
                <w:sz w:val="22"/>
              </w:rPr>
            </w:pPr>
            <w:r w:rsidRPr="00D53A2B">
              <w:rPr>
                <w:b w:val="0"/>
                <w:bCs/>
                <w:sz w:val="22"/>
              </w:rPr>
              <w:t>Hammadde ön işleme, şarj, ergitme, eritme ve kılavuz çekme gibi üretim aşamalarından kaynaklanan emisyonlar</w:t>
            </w:r>
          </w:p>
        </w:tc>
        <w:tc>
          <w:tcPr>
            <w:tcW w:w="2326" w:type="dxa"/>
            <w:vAlign w:val="center"/>
          </w:tcPr>
          <w:p w14:paraId="18EC96BF" w14:textId="54FC95C6" w:rsidR="00D01BD1" w:rsidRPr="00D53A2B" w:rsidRDefault="00D01BD1" w:rsidP="00A202FD">
            <w:pPr>
              <w:pStyle w:val="MET"/>
              <w:rPr>
                <w:b w:val="0"/>
                <w:bCs/>
                <w:sz w:val="22"/>
              </w:rPr>
            </w:pPr>
            <w:r w:rsidRPr="00D53A2B">
              <w:rPr>
                <w:b w:val="0"/>
                <w:bCs/>
                <w:sz w:val="22"/>
              </w:rPr>
              <w:t>Yılda bir kez (</w:t>
            </w:r>
            <w:r w:rsidRPr="00D53A2B">
              <w:rPr>
                <w:b w:val="0"/>
                <w:bCs/>
                <w:sz w:val="22"/>
                <w:vertAlign w:val="superscript"/>
              </w:rPr>
              <w:t>1</w:t>
            </w:r>
            <w:r w:rsidRPr="00D53A2B">
              <w:rPr>
                <w:b w:val="0"/>
                <w:bCs/>
                <w:sz w:val="22"/>
              </w:rPr>
              <w:t>)</w:t>
            </w:r>
          </w:p>
        </w:tc>
        <w:tc>
          <w:tcPr>
            <w:tcW w:w="838" w:type="dxa"/>
            <w:vAlign w:val="center"/>
          </w:tcPr>
          <w:p w14:paraId="475FE2D8" w14:textId="31089503" w:rsidR="00D01BD1" w:rsidRPr="00D53A2B" w:rsidRDefault="0023315C" w:rsidP="00A202FD">
            <w:pPr>
              <w:pStyle w:val="MET"/>
              <w:rPr>
                <w:b w:val="0"/>
                <w:bCs/>
                <w:sz w:val="22"/>
              </w:rPr>
            </w:pPr>
            <w:r w:rsidRPr="00D53A2B">
              <w:rPr>
                <w:b w:val="0"/>
                <w:bCs/>
                <w:sz w:val="22"/>
              </w:rPr>
              <w:t xml:space="preserve">TS </w:t>
            </w:r>
            <w:r w:rsidR="00D01BD1" w:rsidRPr="00D53A2B">
              <w:rPr>
                <w:b w:val="0"/>
                <w:bCs/>
                <w:sz w:val="22"/>
              </w:rPr>
              <w:t>EN 13284-1</w:t>
            </w:r>
          </w:p>
        </w:tc>
      </w:tr>
      <w:tr w:rsidR="00BC224D" w:rsidRPr="00D53A2B" w14:paraId="0027230D" w14:textId="77777777" w:rsidTr="000E6C87">
        <w:tc>
          <w:tcPr>
            <w:tcW w:w="1412" w:type="dxa"/>
          </w:tcPr>
          <w:p w14:paraId="2528F928" w14:textId="1A0386F3" w:rsidR="00D01BD1" w:rsidRPr="00D53A2B" w:rsidRDefault="00503B2F" w:rsidP="00A202FD">
            <w:pPr>
              <w:pStyle w:val="MET"/>
              <w:rPr>
                <w:b w:val="0"/>
                <w:bCs/>
                <w:sz w:val="22"/>
              </w:rPr>
            </w:pPr>
            <w:r w:rsidRPr="00D53A2B">
              <w:rPr>
                <w:b w:val="0"/>
                <w:bCs/>
                <w:sz w:val="22"/>
              </w:rPr>
              <w:t>Antimon ve bileşikleri, Sb olarak ifade edilir</w:t>
            </w:r>
          </w:p>
        </w:tc>
        <w:tc>
          <w:tcPr>
            <w:tcW w:w="4350" w:type="dxa"/>
            <w:vAlign w:val="center"/>
          </w:tcPr>
          <w:p w14:paraId="16E122D4" w14:textId="77777777" w:rsidR="00503B2F" w:rsidRPr="00D53A2B" w:rsidRDefault="00503B2F" w:rsidP="00A202FD">
            <w:pPr>
              <w:pStyle w:val="MET"/>
              <w:rPr>
                <w:b w:val="0"/>
                <w:bCs/>
                <w:sz w:val="22"/>
              </w:rPr>
            </w:pPr>
            <w:r w:rsidRPr="00D53A2B">
              <w:rPr>
                <w:b w:val="0"/>
                <w:bCs/>
                <w:sz w:val="22"/>
              </w:rPr>
              <w:t>Kurşun, Kalay:</w:t>
            </w:r>
          </w:p>
          <w:p w14:paraId="2FEB2895" w14:textId="5601DACF" w:rsidR="00D01BD1" w:rsidRPr="00D53A2B" w:rsidRDefault="00503B2F" w:rsidP="00A202FD">
            <w:pPr>
              <w:pStyle w:val="MET"/>
              <w:rPr>
                <w:b w:val="0"/>
                <w:bCs/>
                <w:sz w:val="22"/>
              </w:rPr>
            </w:pPr>
            <w:r w:rsidRPr="00D53A2B">
              <w:rPr>
                <w:b w:val="0"/>
                <w:bCs/>
                <w:sz w:val="22"/>
              </w:rPr>
              <w:t>MET 96, MET 97</w:t>
            </w:r>
          </w:p>
        </w:tc>
        <w:tc>
          <w:tcPr>
            <w:tcW w:w="2326" w:type="dxa"/>
            <w:vAlign w:val="center"/>
          </w:tcPr>
          <w:p w14:paraId="6B80A6AE" w14:textId="278283DC" w:rsidR="00D01BD1" w:rsidRPr="00D53A2B" w:rsidRDefault="00503B2F" w:rsidP="00A202FD">
            <w:pPr>
              <w:pStyle w:val="MET"/>
              <w:rPr>
                <w:b w:val="0"/>
                <w:bCs/>
                <w:sz w:val="22"/>
              </w:rPr>
            </w:pPr>
            <w:r w:rsidRPr="00D53A2B">
              <w:rPr>
                <w:b w:val="0"/>
                <w:bCs/>
                <w:sz w:val="22"/>
              </w:rPr>
              <w:t>Yılda bir kez</w:t>
            </w:r>
          </w:p>
        </w:tc>
        <w:tc>
          <w:tcPr>
            <w:tcW w:w="838" w:type="dxa"/>
            <w:vAlign w:val="center"/>
          </w:tcPr>
          <w:p w14:paraId="41875726" w14:textId="417934C5" w:rsidR="00D01BD1" w:rsidRPr="00D53A2B" w:rsidRDefault="0023315C" w:rsidP="00A202FD">
            <w:pPr>
              <w:pStyle w:val="MET"/>
              <w:rPr>
                <w:b w:val="0"/>
                <w:bCs/>
                <w:sz w:val="22"/>
              </w:rPr>
            </w:pPr>
            <w:r w:rsidRPr="00D53A2B">
              <w:rPr>
                <w:b w:val="0"/>
                <w:bCs/>
                <w:sz w:val="22"/>
              </w:rPr>
              <w:t>TS TS EN 14385</w:t>
            </w:r>
          </w:p>
        </w:tc>
      </w:tr>
      <w:tr w:rsidR="00BC224D" w:rsidRPr="00D53A2B" w14:paraId="7B0B3125" w14:textId="77777777" w:rsidTr="000E6C87">
        <w:tc>
          <w:tcPr>
            <w:tcW w:w="1412" w:type="dxa"/>
          </w:tcPr>
          <w:p w14:paraId="78785FD1" w14:textId="27D7E47E" w:rsidR="00503B2F" w:rsidRPr="00D53A2B" w:rsidRDefault="00503B2F" w:rsidP="00A202FD">
            <w:pPr>
              <w:pStyle w:val="MET"/>
              <w:rPr>
                <w:b w:val="0"/>
                <w:bCs/>
                <w:sz w:val="22"/>
              </w:rPr>
            </w:pPr>
            <w:r w:rsidRPr="00D53A2B">
              <w:rPr>
                <w:b w:val="0"/>
                <w:bCs/>
                <w:sz w:val="22"/>
              </w:rPr>
              <w:t>Arsenik ve bileşikleri, As olarak ifade edilir</w:t>
            </w:r>
          </w:p>
        </w:tc>
        <w:tc>
          <w:tcPr>
            <w:tcW w:w="4350" w:type="dxa"/>
            <w:vAlign w:val="center"/>
          </w:tcPr>
          <w:p w14:paraId="03CD990B" w14:textId="77777777" w:rsidR="00503B2F" w:rsidRPr="00D53A2B" w:rsidRDefault="00503B2F" w:rsidP="00A202FD">
            <w:pPr>
              <w:spacing w:line="264" w:lineRule="auto"/>
              <w:ind w:left="57" w:right="57"/>
              <w:jc w:val="both"/>
              <w:rPr>
                <w:bCs/>
                <w:sz w:val="22"/>
                <w:szCs w:val="22"/>
                <w:lang w:eastAsia="en-US"/>
              </w:rPr>
            </w:pPr>
            <w:r w:rsidRPr="00D53A2B">
              <w:rPr>
                <w:bCs/>
                <w:sz w:val="22"/>
                <w:szCs w:val="22"/>
                <w:lang w:eastAsia="en-US"/>
              </w:rPr>
              <w:t>Bakır:</w:t>
            </w:r>
          </w:p>
          <w:p w14:paraId="7FF5B238" w14:textId="38944764" w:rsidR="00503B2F" w:rsidRPr="00D53A2B" w:rsidRDefault="00503B2F" w:rsidP="00A202FD">
            <w:pPr>
              <w:spacing w:line="264" w:lineRule="auto"/>
              <w:ind w:left="57" w:right="57"/>
              <w:jc w:val="both"/>
              <w:rPr>
                <w:bCs/>
                <w:sz w:val="22"/>
                <w:szCs w:val="22"/>
                <w:lang w:eastAsia="en-US"/>
              </w:rPr>
            </w:pPr>
            <w:r w:rsidRPr="00D53A2B">
              <w:rPr>
                <w:bCs/>
                <w:sz w:val="22"/>
                <w:szCs w:val="22"/>
                <w:lang w:eastAsia="en-US"/>
              </w:rPr>
              <w:t>MET 37, MET 38, MET 39, MET 40, MET 42, MET 43, MET 44, MET 45</w:t>
            </w:r>
          </w:p>
          <w:p w14:paraId="0FC2FD18" w14:textId="77777777" w:rsidR="00503B2F" w:rsidRPr="00D53A2B" w:rsidRDefault="00503B2F" w:rsidP="00A202FD">
            <w:pPr>
              <w:spacing w:line="264" w:lineRule="auto"/>
              <w:ind w:left="57" w:right="57"/>
              <w:jc w:val="both"/>
              <w:rPr>
                <w:bCs/>
                <w:sz w:val="22"/>
                <w:szCs w:val="22"/>
                <w:lang w:eastAsia="en-US"/>
              </w:rPr>
            </w:pPr>
            <w:r w:rsidRPr="00D53A2B">
              <w:rPr>
                <w:bCs/>
                <w:sz w:val="22"/>
                <w:szCs w:val="22"/>
                <w:lang w:eastAsia="en-US"/>
              </w:rPr>
              <w:t>Kurşun, Kalay:</w:t>
            </w:r>
          </w:p>
          <w:p w14:paraId="46742C34" w14:textId="77777777" w:rsidR="00503B2F" w:rsidRPr="00D53A2B" w:rsidRDefault="00503B2F" w:rsidP="00A202FD">
            <w:pPr>
              <w:spacing w:line="264" w:lineRule="auto"/>
              <w:ind w:left="57" w:right="57"/>
              <w:jc w:val="both"/>
              <w:rPr>
                <w:bCs/>
                <w:sz w:val="22"/>
                <w:szCs w:val="22"/>
                <w:lang w:eastAsia="en-US"/>
              </w:rPr>
            </w:pPr>
            <w:r w:rsidRPr="00D53A2B">
              <w:rPr>
                <w:bCs/>
                <w:sz w:val="22"/>
                <w:szCs w:val="22"/>
                <w:lang w:eastAsia="en-US"/>
              </w:rPr>
              <w:t>MET 96, MET 97</w:t>
            </w:r>
          </w:p>
          <w:p w14:paraId="71D0A05A" w14:textId="77777777" w:rsidR="00503B2F" w:rsidRPr="00D53A2B" w:rsidRDefault="00503B2F" w:rsidP="00A202FD">
            <w:pPr>
              <w:spacing w:line="264" w:lineRule="auto"/>
              <w:ind w:left="57" w:right="57"/>
              <w:jc w:val="both"/>
              <w:rPr>
                <w:bCs/>
                <w:sz w:val="22"/>
                <w:szCs w:val="22"/>
                <w:lang w:eastAsia="en-US"/>
              </w:rPr>
            </w:pPr>
            <w:r w:rsidRPr="00D53A2B">
              <w:rPr>
                <w:bCs/>
                <w:sz w:val="22"/>
                <w:szCs w:val="22"/>
                <w:lang w:eastAsia="en-US"/>
              </w:rPr>
              <w:t>Çinko:</w:t>
            </w:r>
          </w:p>
          <w:p w14:paraId="3D00DAAD" w14:textId="6BA49840" w:rsidR="00503B2F" w:rsidRPr="00D53A2B" w:rsidRDefault="00503B2F" w:rsidP="00A202FD">
            <w:pPr>
              <w:pStyle w:val="MET"/>
              <w:rPr>
                <w:b w:val="0"/>
                <w:bCs/>
                <w:sz w:val="22"/>
              </w:rPr>
            </w:pPr>
            <w:r w:rsidRPr="00D53A2B">
              <w:rPr>
                <w:b w:val="0"/>
                <w:bCs/>
                <w:sz w:val="22"/>
              </w:rPr>
              <w:t>MET 122</w:t>
            </w:r>
          </w:p>
        </w:tc>
        <w:tc>
          <w:tcPr>
            <w:tcW w:w="2326" w:type="dxa"/>
            <w:vAlign w:val="center"/>
          </w:tcPr>
          <w:p w14:paraId="64D1E98D" w14:textId="339C6289" w:rsidR="00503B2F" w:rsidRPr="00D53A2B" w:rsidRDefault="00503B2F" w:rsidP="00A202FD">
            <w:pPr>
              <w:pStyle w:val="MET"/>
              <w:rPr>
                <w:b w:val="0"/>
                <w:bCs/>
                <w:sz w:val="22"/>
              </w:rPr>
            </w:pPr>
            <w:r w:rsidRPr="00D53A2B">
              <w:rPr>
                <w:b w:val="0"/>
                <w:bCs/>
                <w:sz w:val="22"/>
              </w:rPr>
              <w:t>Yılda bir kez</w:t>
            </w:r>
          </w:p>
        </w:tc>
        <w:tc>
          <w:tcPr>
            <w:tcW w:w="838" w:type="dxa"/>
            <w:vAlign w:val="center"/>
          </w:tcPr>
          <w:p w14:paraId="63F9A3BB" w14:textId="7173D21C" w:rsidR="00503B2F" w:rsidRPr="00D53A2B" w:rsidRDefault="0023315C" w:rsidP="00A202FD">
            <w:pPr>
              <w:pStyle w:val="MET"/>
              <w:rPr>
                <w:b w:val="0"/>
                <w:bCs/>
                <w:sz w:val="22"/>
              </w:rPr>
            </w:pPr>
            <w:r w:rsidRPr="00D53A2B">
              <w:rPr>
                <w:b w:val="0"/>
                <w:bCs/>
                <w:sz w:val="22"/>
              </w:rPr>
              <w:t>TS TS EN 14385</w:t>
            </w:r>
          </w:p>
        </w:tc>
      </w:tr>
      <w:tr w:rsidR="00BC224D" w:rsidRPr="00D53A2B" w14:paraId="2D687BD3" w14:textId="77777777" w:rsidTr="000E6C87">
        <w:tc>
          <w:tcPr>
            <w:tcW w:w="1412" w:type="dxa"/>
          </w:tcPr>
          <w:p w14:paraId="77694E13" w14:textId="07E86005" w:rsidR="00BC224D" w:rsidRPr="00D53A2B" w:rsidRDefault="00BC224D" w:rsidP="00A202FD">
            <w:pPr>
              <w:pStyle w:val="MET"/>
              <w:rPr>
                <w:b w:val="0"/>
                <w:bCs/>
                <w:sz w:val="22"/>
              </w:rPr>
            </w:pPr>
            <w:r w:rsidRPr="00D53A2B">
              <w:rPr>
                <w:b w:val="0"/>
                <w:bCs/>
                <w:sz w:val="22"/>
              </w:rPr>
              <w:t xml:space="preserve">Kadmiyum ve bileşikleri, </w:t>
            </w:r>
            <w:r w:rsidRPr="00D53A2B">
              <w:rPr>
                <w:b w:val="0"/>
                <w:bCs/>
                <w:sz w:val="22"/>
              </w:rPr>
              <w:lastRenderedPageBreak/>
              <w:t>Cd olarak ifade edilir</w:t>
            </w:r>
          </w:p>
        </w:tc>
        <w:tc>
          <w:tcPr>
            <w:tcW w:w="4350" w:type="dxa"/>
            <w:vAlign w:val="center"/>
          </w:tcPr>
          <w:p w14:paraId="7A954B29" w14:textId="77777777" w:rsidR="00BC224D" w:rsidRPr="00D53A2B" w:rsidRDefault="00BC224D" w:rsidP="00A202FD">
            <w:pPr>
              <w:pStyle w:val="MET"/>
              <w:rPr>
                <w:b w:val="0"/>
                <w:bCs/>
                <w:sz w:val="22"/>
              </w:rPr>
            </w:pPr>
            <w:r w:rsidRPr="00D53A2B">
              <w:rPr>
                <w:b w:val="0"/>
                <w:bCs/>
                <w:sz w:val="22"/>
              </w:rPr>
              <w:lastRenderedPageBreak/>
              <w:t>Bakır:</w:t>
            </w:r>
          </w:p>
          <w:p w14:paraId="34F76662" w14:textId="0C5A30C3" w:rsidR="00BC224D" w:rsidRPr="00D53A2B" w:rsidRDefault="00BC224D" w:rsidP="00A202FD">
            <w:pPr>
              <w:pStyle w:val="MET"/>
              <w:rPr>
                <w:b w:val="0"/>
                <w:bCs/>
                <w:sz w:val="22"/>
              </w:rPr>
            </w:pPr>
            <w:r w:rsidRPr="00D53A2B">
              <w:rPr>
                <w:b w:val="0"/>
                <w:bCs/>
                <w:sz w:val="22"/>
              </w:rPr>
              <w:lastRenderedPageBreak/>
              <w:t>MET 37, MET 38, MET 39, MET 40, MET 41, MET 42, MET 43, MET 44, MET 45</w:t>
            </w:r>
          </w:p>
          <w:p w14:paraId="121F82B0" w14:textId="77777777" w:rsidR="00BC224D" w:rsidRPr="00D53A2B" w:rsidRDefault="00BC224D" w:rsidP="00A202FD">
            <w:pPr>
              <w:pStyle w:val="MET"/>
              <w:rPr>
                <w:b w:val="0"/>
                <w:bCs/>
                <w:sz w:val="22"/>
              </w:rPr>
            </w:pPr>
            <w:r w:rsidRPr="00D53A2B">
              <w:rPr>
                <w:b w:val="0"/>
                <w:bCs/>
                <w:sz w:val="22"/>
              </w:rPr>
              <w:t>Kurşun, Kalay:</w:t>
            </w:r>
          </w:p>
          <w:p w14:paraId="5DE55F8B" w14:textId="77777777" w:rsidR="00BC224D" w:rsidRPr="00D53A2B" w:rsidRDefault="00BC224D" w:rsidP="00A202FD">
            <w:pPr>
              <w:pStyle w:val="MET"/>
              <w:rPr>
                <w:b w:val="0"/>
                <w:bCs/>
                <w:sz w:val="22"/>
              </w:rPr>
            </w:pPr>
            <w:r w:rsidRPr="00D53A2B">
              <w:rPr>
                <w:b w:val="0"/>
                <w:bCs/>
                <w:sz w:val="22"/>
              </w:rPr>
              <w:t>MET 94, MET 95, MET 96, MET 97</w:t>
            </w:r>
          </w:p>
          <w:p w14:paraId="438F4DE2" w14:textId="77777777" w:rsidR="00BC224D" w:rsidRPr="00D53A2B" w:rsidRDefault="00BC224D" w:rsidP="00A202FD">
            <w:pPr>
              <w:pStyle w:val="MET"/>
              <w:rPr>
                <w:b w:val="0"/>
                <w:bCs/>
                <w:sz w:val="22"/>
              </w:rPr>
            </w:pPr>
            <w:r w:rsidRPr="00D53A2B">
              <w:rPr>
                <w:b w:val="0"/>
                <w:bCs/>
                <w:sz w:val="22"/>
              </w:rPr>
              <w:t>Çinko, Kadmiyum:</w:t>
            </w:r>
          </w:p>
          <w:p w14:paraId="6BABB0A3" w14:textId="77777777" w:rsidR="00BC224D" w:rsidRPr="00D53A2B" w:rsidRDefault="00BC224D" w:rsidP="00A202FD">
            <w:pPr>
              <w:pStyle w:val="MET"/>
              <w:rPr>
                <w:b w:val="0"/>
                <w:bCs/>
                <w:sz w:val="22"/>
              </w:rPr>
            </w:pPr>
            <w:r w:rsidRPr="00D53A2B">
              <w:rPr>
                <w:b w:val="0"/>
                <w:bCs/>
                <w:sz w:val="22"/>
              </w:rPr>
              <w:t>MET 122, MET 132</w:t>
            </w:r>
          </w:p>
          <w:p w14:paraId="34A45FBE" w14:textId="6C545875" w:rsidR="00BC224D" w:rsidRPr="00D53A2B" w:rsidRDefault="00BC224D" w:rsidP="00A202FD">
            <w:pPr>
              <w:pStyle w:val="MET"/>
              <w:rPr>
                <w:b w:val="0"/>
                <w:bCs/>
                <w:sz w:val="22"/>
              </w:rPr>
            </w:pPr>
            <w:r w:rsidRPr="00D53A2B">
              <w:rPr>
                <w:b w:val="0"/>
                <w:bCs/>
                <w:sz w:val="22"/>
              </w:rPr>
              <w:t>Demir alaşımlar:</w:t>
            </w:r>
          </w:p>
          <w:p w14:paraId="1DE53600" w14:textId="20F9BFB0" w:rsidR="00BC224D" w:rsidRPr="00D53A2B" w:rsidRDefault="00BC224D" w:rsidP="00A202FD">
            <w:pPr>
              <w:pStyle w:val="MET"/>
              <w:rPr>
                <w:b w:val="0"/>
                <w:bCs/>
                <w:sz w:val="22"/>
              </w:rPr>
            </w:pPr>
            <w:r w:rsidRPr="00D53A2B">
              <w:rPr>
                <w:b w:val="0"/>
                <w:bCs/>
                <w:sz w:val="22"/>
              </w:rPr>
              <w:t>MET 156</w:t>
            </w:r>
          </w:p>
        </w:tc>
        <w:tc>
          <w:tcPr>
            <w:tcW w:w="2326" w:type="dxa"/>
            <w:vAlign w:val="center"/>
          </w:tcPr>
          <w:p w14:paraId="7D5564A7" w14:textId="20F48ED5" w:rsidR="00BC224D" w:rsidRPr="00D53A2B" w:rsidRDefault="00BC224D" w:rsidP="00A202FD">
            <w:pPr>
              <w:pStyle w:val="MET"/>
              <w:rPr>
                <w:b w:val="0"/>
                <w:bCs/>
                <w:sz w:val="22"/>
              </w:rPr>
            </w:pPr>
            <w:r w:rsidRPr="00D53A2B">
              <w:rPr>
                <w:b w:val="0"/>
                <w:bCs/>
                <w:sz w:val="22"/>
              </w:rPr>
              <w:lastRenderedPageBreak/>
              <w:t>Yılda bir kere</w:t>
            </w:r>
          </w:p>
        </w:tc>
        <w:tc>
          <w:tcPr>
            <w:tcW w:w="838" w:type="dxa"/>
            <w:vAlign w:val="center"/>
          </w:tcPr>
          <w:p w14:paraId="500365E2" w14:textId="1127212E" w:rsidR="00BC224D" w:rsidRPr="00D53A2B" w:rsidRDefault="0023315C" w:rsidP="00A202FD">
            <w:pPr>
              <w:pStyle w:val="MET"/>
              <w:rPr>
                <w:b w:val="0"/>
                <w:bCs/>
                <w:sz w:val="22"/>
              </w:rPr>
            </w:pPr>
            <w:r w:rsidRPr="00D53A2B">
              <w:rPr>
                <w:b w:val="0"/>
                <w:bCs/>
                <w:sz w:val="22"/>
              </w:rPr>
              <w:t>TS TS EN 14385</w:t>
            </w:r>
          </w:p>
        </w:tc>
      </w:tr>
      <w:tr w:rsidR="00BC224D" w:rsidRPr="00D53A2B" w14:paraId="5D8DF48A" w14:textId="77777777" w:rsidTr="000E6C87">
        <w:tc>
          <w:tcPr>
            <w:tcW w:w="1412" w:type="dxa"/>
          </w:tcPr>
          <w:p w14:paraId="1C6316A3" w14:textId="3727CDA4" w:rsidR="00503B2F" w:rsidRPr="00D53A2B" w:rsidRDefault="00BC224D" w:rsidP="00A202FD">
            <w:pPr>
              <w:pStyle w:val="MET"/>
              <w:rPr>
                <w:b w:val="0"/>
                <w:bCs/>
                <w:sz w:val="22"/>
              </w:rPr>
            </w:pPr>
            <w:r w:rsidRPr="00D53A2B">
              <w:rPr>
                <w:b w:val="0"/>
                <w:bCs/>
                <w:sz w:val="22"/>
              </w:rPr>
              <w:t>Krom(VI)</w:t>
            </w:r>
          </w:p>
        </w:tc>
        <w:tc>
          <w:tcPr>
            <w:tcW w:w="4350" w:type="dxa"/>
          </w:tcPr>
          <w:p w14:paraId="34BC0FE5" w14:textId="77777777" w:rsidR="00BC224D" w:rsidRPr="00D53A2B" w:rsidRDefault="00BC224D" w:rsidP="00A202FD">
            <w:pPr>
              <w:pStyle w:val="MET"/>
              <w:rPr>
                <w:b w:val="0"/>
                <w:bCs/>
                <w:sz w:val="22"/>
              </w:rPr>
            </w:pPr>
            <w:r w:rsidRPr="00D53A2B">
              <w:rPr>
                <w:b w:val="0"/>
                <w:bCs/>
                <w:sz w:val="22"/>
              </w:rPr>
              <w:t>Demir alaşımlar:</w:t>
            </w:r>
          </w:p>
          <w:p w14:paraId="20681B8C" w14:textId="2DBA8BAD" w:rsidR="00503B2F" w:rsidRPr="00D53A2B" w:rsidRDefault="00BC224D" w:rsidP="00A202FD">
            <w:pPr>
              <w:pStyle w:val="MET"/>
              <w:rPr>
                <w:b w:val="0"/>
                <w:bCs/>
                <w:sz w:val="22"/>
              </w:rPr>
            </w:pPr>
            <w:r w:rsidRPr="00D53A2B">
              <w:rPr>
                <w:b w:val="0"/>
                <w:bCs/>
                <w:sz w:val="22"/>
              </w:rPr>
              <w:t>MET 156</w:t>
            </w:r>
          </w:p>
        </w:tc>
        <w:tc>
          <w:tcPr>
            <w:tcW w:w="2326" w:type="dxa"/>
          </w:tcPr>
          <w:p w14:paraId="54F58367" w14:textId="1A9328A3" w:rsidR="00503B2F" w:rsidRPr="00D53A2B" w:rsidRDefault="00BC224D" w:rsidP="00A202FD">
            <w:pPr>
              <w:pStyle w:val="MET"/>
              <w:rPr>
                <w:b w:val="0"/>
                <w:bCs/>
                <w:sz w:val="22"/>
              </w:rPr>
            </w:pPr>
            <w:r w:rsidRPr="00D53A2B">
              <w:rPr>
                <w:b w:val="0"/>
                <w:bCs/>
                <w:sz w:val="22"/>
              </w:rPr>
              <w:t>Yılda bir kere</w:t>
            </w:r>
          </w:p>
        </w:tc>
        <w:tc>
          <w:tcPr>
            <w:tcW w:w="838" w:type="dxa"/>
          </w:tcPr>
          <w:p w14:paraId="69BEF370" w14:textId="2B698502" w:rsidR="00503B2F" w:rsidRPr="00D53A2B" w:rsidRDefault="00BC224D" w:rsidP="00A202FD">
            <w:pPr>
              <w:pStyle w:val="MET"/>
              <w:rPr>
                <w:b w:val="0"/>
                <w:bCs/>
                <w:sz w:val="22"/>
              </w:rPr>
            </w:pPr>
            <w:r w:rsidRPr="00D53A2B">
              <w:rPr>
                <w:b w:val="0"/>
                <w:bCs/>
                <w:sz w:val="22"/>
              </w:rPr>
              <w:t>EN standardı mevcut değil</w:t>
            </w:r>
          </w:p>
        </w:tc>
      </w:tr>
      <w:tr w:rsidR="00BC224D" w:rsidRPr="00D53A2B" w14:paraId="44B6B63B" w14:textId="77777777" w:rsidTr="000E6C87">
        <w:tc>
          <w:tcPr>
            <w:tcW w:w="1412" w:type="dxa"/>
          </w:tcPr>
          <w:p w14:paraId="29EB3EB5" w14:textId="2F271110" w:rsidR="00BC224D" w:rsidRPr="00D53A2B" w:rsidRDefault="00BC224D" w:rsidP="00A202FD">
            <w:pPr>
              <w:pStyle w:val="MET"/>
              <w:rPr>
                <w:b w:val="0"/>
                <w:bCs/>
                <w:sz w:val="22"/>
              </w:rPr>
            </w:pPr>
            <w:r w:rsidRPr="00D53A2B">
              <w:rPr>
                <w:b w:val="0"/>
                <w:bCs/>
                <w:sz w:val="22"/>
              </w:rPr>
              <w:t>Bakır ve bileşikleri, Cu olarak ifade edilir</w:t>
            </w:r>
          </w:p>
        </w:tc>
        <w:tc>
          <w:tcPr>
            <w:tcW w:w="4350" w:type="dxa"/>
          </w:tcPr>
          <w:p w14:paraId="47B1BAD4" w14:textId="77777777" w:rsidR="00BC224D" w:rsidRPr="00D53A2B" w:rsidRDefault="00BC224D" w:rsidP="00A202FD">
            <w:pPr>
              <w:pStyle w:val="MET"/>
              <w:rPr>
                <w:b w:val="0"/>
                <w:bCs/>
                <w:sz w:val="22"/>
              </w:rPr>
            </w:pPr>
            <w:r w:rsidRPr="00D53A2B">
              <w:rPr>
                <w:b w:val="0"/>
                <w:bCs/>
                <w:sz w:val="22"/>
              </w:rPr>
              <w:t>Bakır:</w:t>
            </w:r>
          </w:p>
          <w:p w14:paraId="6351D518" w14:textId="4CBBE8F3" w:rsidR="00BC224D" w:rsidRPr="00D53A2B" w:rsidRDefault="00BC224D" w:rsidP="00A202FD">
            <w:pPr>
              <w:pStyle w:val="MET"/>
              <w:rPr>
                <w:b w:val="0"/>
                <w:bCs/>
                <w:sz w:val="22"/>
              </w:rPr>
            </w:pPr>
            <w:r w:rsidRPr="00D53A2B">
              <w:rPr>
                <w:b w:val="0"/>
                <w:bCs/>
                <w:sz w:val="22"/>
              </w:rPr>
              <w:t>MET 37, MET 38, MET 39, MET 40, MET 42, MET 43, MET 44, MET 45</w:t>
            </w:r>
          </w:p>
          <w:p w14:paraId="5568F859" w14:textId="77777777" w:rsidR="00BC224D" w:rsidRPr="00D53A2B" w:rsidRDefault="00BC224D" w:rsidP="00A202FD">
            <w:pPr>
              <w:pStyle w:val="MET"/>
              <w:rPr>
                <w:b w:val="0"/>
                <w:bCs/>
                <w:sz w:val="22"/>
              </w:rPr>
            </w:pPr>
            <w:r w:rsidRPr="00D53A2B">
              <w:rPr>
                <w:b w:val="0"/>
                <w:bCs/>
                <w:sz w:val="22"/>
              </w:rPr>
              <w:t>Kurşun, Kalay:</w:t>
            </w:r>
          </w:p>
          <w:p w14:paraId="40D160CC" w14:textId="370C471F" w:rsidR="00BC224D" w:rsidRPr="00D53A2B" w:rsidRDefault="00BC224D" w:rsidP="00A202FD">
            <w:pPr>
              <w:pStyle w:val="MET"/>
              <w:rPr>
                <w:b w:val="0"/>
                <w:bCs/>
                <w:sz w:val="22"/>
              </w:rPr>
            </w:pPr>
            <w:r w:rsidRPr="00D53A2B">
              <w:rPr>
                <w:b w:val="0"/>
                <w:bCs/>
                <w:sz w:val="22"/>
              </w:rPr>
              <w:t>MET 96, MET 97</w:t>
            </w:r>
          </w:p>
        </w:tc>
        <w:tc>
          <w:tcPr>
            <w:tcW w:w="2326" w:type="dxa"/>
            <w:vAlign w:val="center"/>
          </w:tcPr>
          <w:p w14:paraId="3B7B510B" w14:textId="3267CB2D" w:rsidR="00BC224D" w:rsidRPr="00D53A2B" w:rsidRDefault="00BC224D" w:rsidP="00A202FD">
            <w:pPr>
              <w:pStyle w:val="MET"/>
              <w:rPr>
                <w:b w:val="0"/>
                <w:bCs/>
                <w:sz w:val="22"/>
              </w:rPr>
            </w:pPr>
            <w:r w:rsidRPr="00D53A2B">
              <w:rPr>
                <w:b w:val="0"/>
                <w:bCs/>
                <w:sz w:val="22"/>
              </w:rPr>
              <w:t>Yılda bir kere</w:t>
            </w:r>
          </w:p>
        </w:tc>
        <w:tc>
          <w:tcPr>
            <w:tcW w:w="838" w:type="dxa"/>
            <w:vAlign w:val="center"/>
          </w:tcPr>
          <w:p w14:paraId="04E0F229" w14:textId="574D7C47" w:rsidR="00BC224D" w:rsidRPr="00D53A2B" w:rsidRDefault="0023315C" w:rsidP="00A202FD">
            <w:pPr>
              <w:pStyle w:val="MET"/>
              <w:rPr>
                <w:b w:val="0"/>
                <w:bCs/>
                <w:sz w:val="22"/>
              </w:rPr>
            </w:pPr>
            <w:r w:rsidRPr="00D53A2B">
              <w:rPr>
                <w:b w:val="0"/>
                <w:bCs/>
                <w:sz w:val="22"/>
              </w:rPr>
              <w:t>TS EN 14385</w:t>
            </w:r>
          </w:p>
        </w:tc>
      </w:tr>
      <w:tr w:rsidR="00BC224D" w:rsidRPr="00D53A2B" w14:paraId="7C290869" w14:textId="77777777" w:rsidTr="000E6C87">
        <w:tc>
          <w:tcPr>
            <w:tcW w:w="1412" w:type="dxa"/>
          </w:tcPr>
          <w:p w14:paraId="6C665055" w14:textId="0FC35D43" w:rsidR="00BC224D" w:rsidRPr="00D53A2B" w:rsidRDefault="00BC224D" w:rsidP="00A202FD">
            <w:pPr>
              <w:pStyle w:val="MET"/>
              <w:rPr>
                <w:b w:val="0"/>
                <w:bCs/>
                <w:sz w:val="22"/>
              </w:rPr>
            </w:pPr>
            <w:r w:rsidRPr="00D53A2B">
              <w:rPr>
                <w:b w:val="0"/>
                <w:bCs/>
                <w:sz w:val="22"/>
              </w:rPr>
              <w:t>Nikel ve bileşikleri, Ni olarak ifade edilir</w:t>
            </w:r>
          </w:p>
        </w:tc>
        <w:tc>
          <w:tcPr>
            <w:tcW w:w="4350" w:type="dxa"/>
            <w:vAlign w:val="center"/>
          </w:tcPr>
          <w:p w14:paraId="47306269"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Nikel, Kobalt:</w:t>
            </w:r>
          </w:p>
          <w:p w14:paraId="2C24CAAF" w14:textId="263C4112" w:rsidR="00BC224D" w:rsidRPr="00D53A2B" w:rsidRDefault="00BC224D" w:rsidP="00A202FD">
            <w:pPr>
              <w:pStyle w:val="MET"/>
              <w:rPr>
                <w:b w:val="0"/>
                <w:bCs/>
                <w:sz w:val="22"/>
              </w:rPr>
            </w:pPr>
            <w:r w:rsidRPr="00D53A2B">
              <w:rPr>
                <w:b w:val="0"/>
                <w:bCs/>
                <w:sz w:val="22"/>
              </w:rPr>
              <w:t>MET 172, MET 173</w:t>
            </w:r>
          </w:p>
        </w:tc>
        <w:tc>
          <w:tcPr>
            <w:tcW w:w="2326" w:type="dxa"/>
            <w:vAlign w:val="center"/>
          </w:tcPr>
          <w:p w14:paraId="1A807484" w14:textId="70990ABB" w:rsidR="00BC224D" w:rsidRPr="00D53A2B" w:rsidRDefault="00BC224D" w:rsidP="00A202FD">
            <w:pPr>
              <w:pStyle w:val="MET"/>
              <w:rPr>
                <w:b w:val="0"/>
                <w:bCs/>
                <w:sz w:val="22"/>
              </w:rPr>
            </w:pPr>
            <w:r w:rsidRPr="00D53A2B">
              <w:rPr>
                <w:b w:val="0"/>
                <w:bCs/>
                <w:sz w:val="22"/>
              </w:rPr>
              <w:t>Yılda bir kere</w:t>
            </w:r>
          </w:p>
        </w:tc>
        <w:tc>
          <w:tcPr>
            <w:tcW w:w="838" w:type="dxa"/>
            <w:vAlign w:val="center"/>
          </w:tcPr>
          <w:p w14:paraId="4D02B6BB" w14:textId="330E23FE" w:rsidR="00BC224D" w:rsidRPr="00D53A2B" w:rsidRDefault="0023315C" w:rsidP="00A202FD">
            <w:pPr>
              <w:pStyle w:val="MET"/>
              <w:rPr>
                <w:b w:val="0"/>
                <w:bCs/>
                <w:sz w:val="22"/>
              </w:rPr>
            </w:pPr>
            <w:r w:rsidRPr="00D53A2B">
              <w:rPr>
                <w:b w:val="0"/>
                <w:bCs/>
                <w:sz w:val="22"/>
              </w:rPr>
              <w:t>TS EN 14385</w:t>
            </w:r>
          </w:p>
        </w:tc>
      </w:tr>
      <w:tr w:rsidR="00BC224D" w:rsidRPr="00D53A2B" w14:paraId="5AEC9784" w14:textId="77777777" w:rsidTr="000E6C87">
        <w:tc>
          <w:tcPr>
            <w:tcW w:w="1412" w:type="dxa"/>
            <w:vAlign w:val="center"/>
          </w:tcPr>
          <w:p w14:paraId="4A45BB10" w14:textId="3E29456E" w:rsidR="00BC224D" w:rsidRPr="00D53A2B" w:rsidRDefault="00BC224D" w:rsidP="00A202FD">
            <w:pPr>
              <w:pStyle w:val="MET"/>
              <w:rPr>
                <w:b w:val="0"/>
                <w:bCs/>
                <w:sz w:val="22"/>
              </w:rPr>
            </w:pPr>
            <w:r w:rsidRPr="00D53A2B">
              <w:rPr>
                <w:b w:val="0"/>
                <w:bCs/>
                <w:sz w:val="22"/>
              </w:rPr>
              <w:t>Kurşun ve bileşikleri, Pb olarak ifade edilir</w:t>
            </w:r>
          </w:p>
        </w:tc>
        <w:tc>
          <w:tcPr>
            <w:tcW w:w="4350" w:type="dxa"/>
            <w:vAlign w:val="center"/>
          </w:tcPr>
          <w:p w14:paraId="50595E8F"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Bakır: MET 37, MET 38, MET 39, MET 40, MET 41, MET 42, MET 43, MET 44, MET 45</w:t>
            </w:r>
          </w:p>
          <w:p w14:paraId="0F8D6660"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Kurşun, Kalay:</w:t>
            </w:r>
          </w:p>
          <w:p w14:paraId="3E9D1CDC"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MET 94, MET 95, MET 96, MET 97</w:t>
            </w:r>
          </w:p>
          <w:p w14:paraId="70263E75" w14:textId="2C68EF4D"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Ferro alaşımlar: MET 156</w:t>
            </w:r>
          </w:p>
        </w:tc>
        <w:tc>
          <w:tcPr>
            <w:tcW w:w="2326" w:type="dxa"/>
            <w:vAlign w:val="center"/>
          </w:tcPr>
          <w:p w14:paraId="0637130E" w14:textId="50B12C79" w:rsidR="00BC224D" w:rsidRPr="00D53A2B" w:rsidRDefault="00BC224D" w:rsidP="00A202FD">
            <w:pPr>
              <w:pStyle w:val="MET"/>
              <w:rPr>
                <w:b w:val="0"/>
                <w:bCs/>
                <w:sz w:val="22"/>
              </w:rPr>
            </w:pPr>
            <w:r w:rsidRPr="00D53A2B">
              <w:rPr>
                <w:b w:val="0"/>
                <w:bCs/>
                <w:sz w:val="22"/>
              </w:rPr>
              <w:t>Yılda bir kere</w:t>
            </w:r>
          </w:p>
        </w:tc>
        <w:tc>
          <w:tcPr>
            <w:tcW w:w="838" w:type="dxa"/>
            <w:vAlign w:val="center"/>
          </w:tcPr>
          <w:p w14:paraId="09E2C001" w14:textId="2A8DD1A1" w:rsidR="00BC224D" w:rsidRPr="00D53A2B" w:rsidRDefault="0023315C" w:rsidP="00A202FD">
            <w:pPr>
              <w:pStyle w:val="MET"/>
              <w:rPr>
                <w:b w:val="0"/>
                <w:bCs/>
                <w:sz w:val="22"/>
              </w:rPr>
            </w:pPr>
            <w:r w:rsidRPr="00D53A2B">
              <w:rPr>
                <w:b w:val="0"/>
                <w:bCs/>
                <w:sz w:val="22"/>
              </w:rPr>
              <w:t>TS EN 14385</w:t>
            </w:r>
          </w:p>
        </w:tc>
      </w:tr>
      <w:tr w:rsidR="00BC224D" w:rsidRPr="00D53A2B" w14:paraId="13DC57EC" w14:textId="77777777" w:rsidTr="000E6C87">
        <w:tc>
          <w:tcPr>
            <w:tcW w:w="1412" w:type="dxa"/>
            <w:vAlign w:val="center"/>
          </w:tcPr>
          <w:p w14:paraId="2E202AF3" w14:textId="09AB1147" w:rsidR="00BC224D" w:rsidRPr="00D53A2B" w:rsidRDefault="00BC224D" w:rsidP="00A202FD">
            <w:pPr>
              <w:pStyle w:val="MET"/>
              <w:rPr>
                <w:b w:val="0"/>
                <w:bCs/>
                <w:sz w:val="22"/>
              </w:rPr>
            </w:pPr>
            <w:r w:rsidRPr="00D53A2B">
              <w:rPr>
                <w:b w:val="0"/>
                <w:bCs/>
                <w:sz w:val="22"/>
              </w:rPr>
              <w:t>Talyum ve bileşikleri, Tl olarak ifade edilir</w:t>
            </w:r>
          </w:p>
        </w:tc>
        <w:tc>
          <w:tcPr>
            <w:tcW w:w="4350" w:type="dxa"/>
            <w:vAlign w:val="center"/>
          </w:tcPr>
          <w:p w14:paraId="231C7975" w14:textId="02C291AF"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Ferro alaşımlar: MET 156</w:t>
            </w:r>
          </w:p>
        </w:tc>
        <w:tc>
          <w:tcPr>
            <w:tcW w:w="2326" w:type="dxa"/>
            <w:vAlign w:val="center"/>
          </w:tcPr>
          <w:p w14:paraId="166C346E" w14:textId="7D5BA596" w:rsidR="00BC224D" w:rsidRPr="00D53A2B" w:rsidRDefault="00BC224D" w:rsidP="00A202FD">
            <w:pPr>
              <w:pStyle w:val="MET"/>
              <w:rPr>
                <w:b w:val="0"/>
                <w:bCs/>
                <w:sz w:val="22"/>
              </w:rPr>
            </w:pPr>
            <w:r w:rsidRPr="00D53A2B">
              <w:rPr>
                <w:b w:val="0"/>
                <w:bCs/>
                <w:sz w:val="22"/>
              </w:rPr>
              <w:t>Yılda bir kere</w:t>
            </w:r>
          </w:p>
        </w:tc>
        <w:tc>
          <w:tcPr>
            <w:tcW w:w="838" w:type="dxa"/>
            <w:vAlign w:val="center"/>
          </w:tcPr>
          <w:p w14:paraId="502418E8" w14:textId="7BD246A8" w:rsidR="00BC224D" w:rsidRPr="00D53A2B" w:rsidRDefault="0023315C" w:rsidP="00A202FD">
            <w:pPr>
              <w:pStyle w:val="MET"/>
              <w:rPr>
                <w:b w:val="0"/>
                <w:bCs/>
                <w:sz w:val="22"/>
              </w:rPr>
            </w:pPr>
            <w:r w:rsidRPr="00D53A2B">
              <w:rPr>
                <w:b w:val="0"/>
                <w:bCs/>
                <w:sz w:val="22"/>
              </w:rPr>
              <w:t>TS EN 14385</w:t>
            </w:r>
          </w:p>
        </w:tc>
      </w:tr>
      <w:tr w:rsidR="00BC224D" w:rsidRPr="00D53A2B" w14:paraId="4206F539" w14:textId="77777777" w:rsidTr="000E6C87">
        <w:tc>
          <w:tcPr>
            <w:tcW w:w="1412" w:type="dxa"/>
            <w:vAlign w:val="center"/>
          </w:tcPr>
          <w:p w14:paraId="413EB975" w14:textId="6A8AE452" w:rsidR="00BC224D" w:rsidRPr="00D53A2B" w:rsidRDefault="00BC224D" w:rsidP="00A202FD">
            <w:pPr>
              <w:pStyle w:val="MET"/>
              <w:rPr>
                <w:b w:val="0"/>
                <w:bCs/>
                <w:sz w:val="22"/>
              </w:rPr>
            </w:pPr>
            <w:r w:rsidRPr="00D53A2B">
              <w:rPr>
                <w:b w:val="0"/>
                <w:bCs/>
                <w:sz w:val="22"/>
              </w:rPr>
              <w:t>Çinko ve bileşikleri, Zn olarak ifade edilir</w:t>
            </w:r>
          </w:p>
        </w:tc>
        <w:tc>
          <w:tcPr>
            <w:tcW w:w="4350" w:type="dxa"/>
            <w:vAlign w:val="center"/>
          </w:tcPr>
          <w:p w14:paraId="6D65FD3F"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Çinko, Kadmiyum:</w:t>
            </w:r>
          </w:p>
          <w:p w14:paraId="1E5DA4FB" w14:textId="7CB14375"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MET 113, MET 114, MET 119, MET 121, MET 122, MET 128, MET 132</w:t>
            </w:r>
          </w:p>
        </w:tc>
        <w:tc>
          <w:tcPr>
            <w:tcW w:w="2326" w:type="dxa"/>
            <w:vAlign w:val="center"/>
          </w:tcPr>
          <w:p w14:paraId="098F051B" w14:textId="3775DD29" w:rsidR="00BC224D" w:rsidRPr="00D53A2B" w:rsidRDefault="00BC224D" w:rsidP="00A202FD">
            <w:pPr>
              <w:pStyle w:val="MET"/>
              <w:rPr>
                <w:b w:val="0"/>
                <w:bCs/>
                <w:sz w:val="22"/>
              </w:rPr>
            </w:pPr>
            <w:r w:rsidRPr="00D53A2B">
              <w:rPr>
                <w:b w:val="0"/>
                <w:bCs/>
                <w:sz w:val="22"/>
              </w:rPr>
              <w:t>Yılda bir kere</w:t>
            </w:r>
          </w:p>
        </w:tc>
        <w:tc>
          <w:tcPr>
            <w:tcW w:w="838" w:type="dxa"/>
            <w:vAlign w:val="center"/>
          </w:tcPr>
          <w:p w14:paraId="4EC3A111" w14:textId="50EDAF9D" w:rsidR="00BC224D" w:rsidRPr="00D53A2B" w:rsidRDefault="0023315C" w:rsidP="00A202FD">
            <w:pPr>
              <w:pStyle w:val="MET"/>
              <w:rPr>
                <w:b w:val="0"/>
                <w:bCs/>
                <w:sz w:val="22"/>
              </w:rPr>
            </w:pPr>
            <w:r w:rsidRPr="00D53A2B">
              <w:rPr>
                <w:b w:val="0"/>
                <w:bCs/>
                <w:sz w:val="22"/>
              </w:rPr>
              <w:t>TS EN 14385</w:t>
            </w:r>
          </w:p>
        </w:tc>
      </w:tr>
      <w:tr w:rsidR="00BC224D" w:rsidRPr="00D53A2B" w14:paraId="015653E5" w14:textId="77777777" w:rsidTr="000E6C87">
        <w:tc>
          <w:tcPr>
            <w:tcW w:w="1412" w:type="dxa"/>
          </w:tcPr>
          <w:p w14:paraId="163C9220" w14:textId="3FA17A20" w:rsidR="00BC224D" w:rsidRPr="00D53A2B" w:rsidRDefault="00BC224D" w:rsidP="00A202FD">
            <w:pPr>
              <w:pStyle w:val="MET"/>
              <w:rPr>
                <w:b w:val="0"/>
                <w:bCs/>
                <w:sz w:val="22"/>
              </w:rPr>
            </w:pPr>
            <w:r w:rsidRPr="00D53A2B">
              <w:rPr>
                <w:b w:val="0"/>
                <w:bCs/>
                <w:sz w:val="22"/>
              </w:rPr>
              <w:t>Diğer metaller, ilgili ise (</w:t>
            </w:r>
            <w:r w:rsidRPr="00D53A2B">
              <w:rPr>
                <w:b w:val="0"/>
                <w:bCs/>
                <w:sz w:val="22"/>
                <w:vertAlign w:val="superscript"/>
              </w:rPr>
              <w:t>3</w:t>
            </w:r>
            <w:r w:rsidRPr="00D53A2B">
              <w:rPr>
                <w:b w:val="0"/>
                <w:bCs/>
                <w:sz w:val="22"/>
              </w:rPr>
              <w:t>)</w:t>
            </w:r>
          </w:p>
        </w:tc>
        <w:tc>
          <w:tcPr>
            <w:tcW w:w="4350" w:type="dxa"/>
            <w:vAlign w:val="center"/>
          </w:tcPr>
          <w:p w14:paraId="525E16F7"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 xml:space="preserve">Bakır: </w:t>
            </w:r>
          </w:p>
          <w:p w14:paraId="5072B79B" w14:textId="4323E03B"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MET 37, MET 38, MET 39, MET 40, MET 41, MET 42, MET 43, MET 44, MET 45</w:t>
            </w:r>
          </w:p>
          <w:p w14:paraId="5BFA9956"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Kurşun, Kalay:</w:t>
            </w:r>
          </w:p>
          <w:p w14:paraId="37D964E4" w14:textId="77777777" w:rsidR="00BC224D" w:rsidRPr="00D53A2B" w:rsidRDefault="00BC224D" w:rsidP="00A202FD">
            <w:pPr>
              <w:spacing w:line="264" w:lineRule="auto"/>
              <w:ind w:right="57"/>
              <w:jc w:val="both"/>
              <w:rPr>
                <w:bCs/>
                <w:sz w:val="22"/>
                <w:szCs w:val="22"/>
                <w:lang w:eastAsia="en-US"/>
              </w:rPr>
            </w:pPr>
            <w:r w:rsidRPr="00D53A2B">
              <w:rPr>
                <w:bCs/>
                <w:sz w:val="22"/>
                <w:szCs w:val="22"/>
                <w:lang w:eastAsia="en-US"/>
              </w:rPr>
              <w:t>MET 94, MET 95, MET 96, MET 97</w:t>
            </w:r>
          </w:p>
          <w:p w14:paraId="2A0040D7"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Çinko, Kadmiyum:</w:t>
            </w:r>
          </w:p>
          <w:p w14:paraId="66C452EB"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MET 113, MET 119, MET 121,</w:t>
            </w:r>
          </w:p>
          <w:p w14:paraId="14ADE0E8"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MET 122, MET 128, MET 132</w:t>
            </w:r>
          </w:p>
          <w:p w14:paraId="72923A86" w14:textId="583B9B74"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 xml:space="preserve">Değerli metaller: </w:t>
            </w:r>
          </w:p>
          <w:p w14:paraId="6D99EE75" w14:textId="7EA3F245"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MET 140</w:t>
            </w:r>
          </w:p>
          <w:p w14:paraId="62E5E5EB"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 xml:space="preserve">Ferro alaşımlar: </w:t>
            </w:r>
          </w:p>
          <w:p w14:paraId="455DF7F6" w14:textId="01C7A3DC"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lastRenderedPageBreak/>
              <w:t>MET 154, MET 155, MET 156, MET 157, MET 158</w:t>
            </w:r>
          </w:p>
          <w:p w14:paraId="5B8024D3"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 xml:space="preserve">Nikel, Kobalt: </w:t>
            </w:r>
          </w:p>
          <w:p w14:paraId="40FE8324" w14:textId="28B24EA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MET 171</w:t>
            </w:r>
          </w:p>
          <w:p w14:paraId="2CBE98EA" w14:textId="7EF9CFB2"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Diğer demir dışı metaller</w:t>
            </w:r>
          </w:p>
        </w:tc>
        <w:tc>
          <w:tcPr>
            <w:tcW w:w="2326" w:type="dxa"/>
            <w:vAlign w:val="center"/>
          </w:tcPr>
          <w:p w14:paraId="26FD00D5" w14:textId="50A1D4C7" w:rsidR="00BC224D" w:rsidRPr="00D53A2B" w:rsidRDefault="00BC224D" w:rsidP="00A202FD">
            <w:pPr>
              <w:pStyle w:val="MET"/>
              <w:rPr>
                <w:b w:val="0"/>
                <w:bCs/>
                <w:sz w:val="22"/>
              </w:rPr>
            </w:pPr>
            <w:r w:rsidRPr="00D53A2B">
              <w:rPr>
                <w:b w:val="0"/>
                <w:bCs/>
                <w:sz w:val="22"/>
              </w:rPr>
              <w:lastRenderedPageBreak/>
              <w:t>Yılda bir kere</w:t>
            </w:r>
          </w:p>
        </w:tc>
        <w:tc>
          <w:tcPr>
            <w:tcW w:w="838" w:type="dxa"/>
            <w:vAlign w:val="center"/>
          </w:tcPr>
          <w:p w14:paraId="5315AB38" w14:textId="757932E5" w:rsidR="00BC224D" w:rsidRPr="00D53A2B" w:rsidRDefault="0023315C" w:rsidP="00A202FD">
            <w:pPr>
              <w:pStyle w:val="MET"/>
              <w:rPr>
                <w:b w:val="0"/>
                <w:bCs/>
                <w:sz w:val="22"/>
              </w:rPr>
            </w:pPr>
            <w:r w:rsidRPr="00D53A2B">
              <w:rPr>
                <w:b w:val="0"/>
                <w:bCs/>
                <w:sz w:val="22"/>
              </w:rPr>
              <w:t>TS EN 14385</w:t>
            </w:r>
          </w:p>
        </w:tc>
      </w:tr>
      <w:tr w:rsidR="00BC224D" w:rsidRPr="00D53A2B" w14:paraId="28D2894F" w14:textId="77777777" w:rsidTr="000E6C87">
        <w:tc>
          <w:tcPr>
            <w:tcW w:w="1412" w:type="dxa"/>
            <w:vAlign w:val="center"/>
          </w:tcPr>
          <w:p w14:paraId="223D9E64" w14:textId="7CB6DB6A" w:rsidR="00BC224D" w:rsidRPr="00D53A2B" w:rsidRDefault="00BC224D" w:rsidP="00A202FD">
            <w:pPr>
              <w:pStyle w:val="MET"/>
              <w:rPr>
                <w:b w:val="0"/>
                <w:bCs/>
                <w:sz w:val="22"/>
              </w:rPr>
            </w:pPr>
            <w:r w:rsidRPr="00D53A2B">
              <w:rPr>
                <w:b w:val="0"/>
                <w:bCs/>
                <w:sz w:val="22"/>
              </w:rPr>
              <w:t>Cıva ve bileşikleri, Hg olarak ifade edilir</w:t>
            </w:r>
          </w:p>
        </w:tc>
        <w:tc>
          <w:tcPr>
            <w:tcW w:w="4350" w:type="dxa"/>
            <w:vAlign w:val="center"/>
          </w:tcPr>
          <w:p w14:paraId="45561BEA" w14:textId="3E715BCD"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 xml:space="preserve">Bakır, Alüminyum, Kurşun, Kalay, Çinko, Kadmiyum, Ferro alaşımlar, Nikel, Kobalt, Diğer demir dışı metaller: </w:t>
            </w:r>
          </w:p>
          <w:p w14:paraId="30F22DB5" w14:textId="1C10A351"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MET 11</w:t>
            </w:r>
          </w:p>
        </w:tc>
        <w:tc>
          <w:tcPr>
            <w:tcW w:w="2326" w:type="dxa"/>
            <w:vAlign w:val="center"/>
          </w:tcPr>
          <w:p w14:paraId="55D04840" w14:textId="47899062" w:rsidR="00BC224D" w:rsidRPr="00D53A2B" w:rsidRDefault="00BC224D" w:rsidP="00A202FD">
            <w:pPr>
              <w:pStyle w:val="MET"/>
              <w:rPr>
                <w:b w:val="0"/>
                <w:bCs/>
                <w:sz w:val="22"/>
              </w:rPr>
            </w:pPr>
            <w:r w:rsidRPr="00D53A2B">
              <w:rPr>
                <w:b w:val="0"/>
                <w:bCs/>
                <w:sz w:val="22"/>
              </w:rPr>
              <w:t>Sürekli ya da yılda bir kere (</w:t>
            </w:r>
            <w:r w:rsidRPr="00D53A2B">
              <w:rPr>
                <w:b w:val="0"/>
                <w:bCs/>
                <w:sz w:val="22"/>
                <w:vertAlign w:val="superscript"/>
              </w:rPr>
              <w:t>1</w:t>
            </w:r>
            <w:r w:rsidRPr="00D53A2B">
              <w:rPr>
                <w:b w:val="0"/>
                <w:bCs/>
                <w:sz w:val="22"/>
              </w:rPr>
              <w:t>)</w:t>
            </w:r>
          </w:p>
        </w:tc>
        <w:tc>
          <w:tcPr>
            <w:tcW w:w="838" w:type="dxa"/>
            <w:vAlign w:val="center"/>
          </w:tcPr>
          <w:p w14:paraId="0374D6E6" w14:textId="69ECCE6C" w:rsidR="00BC224D" w:rsidRPr="00D53A2B" w:rsidRDefault="0023315C" w:rsidP="00A202FD">
            <w:pPr>
              <w:spacing w:line="264" w:lineRule="auto"/>
              <w:ind w:left="57" w:right="57"/>
              <w:jc w:val="both"/>
              <w:rPr>
                <w:bCs/>
                <w:sz w:val="22"/>
                <w:szCs w:val="22"/>
                <w:lang w:eastAsia="en-US"/>
              </w:rPr>
            </w:pPr>
            <w:r w:rsidRPr="00D53A2B">
              <w:rPr>
                <w:bCs/>
                <w:sz w:val="22"/>
                <w:szCs w:val="22"/>
                <w:lang w:eastAsia="en-US"/>
              </w:rPr>
              <w:t xml:space="preserve">TS </w:t>
            </w:r>
            <w:r w:rsidR="00BC224D" w:rsidRPr="00D53A2B">
              <w:rPr>
                <w:bCs/>
                <w:sz w:val="22"/>
                <w:szCs w:val="22"/>
                <w:lang w:eastAsia="en-US"/>
              </w:rPr>
              <w:t>EN 14884</w:t>
            </w:r>
          </w:p>
          <w:p w14:paraId="3270B4BD" w14:textId="18A9B8EA" w:rsidR="00BC224D" w:rsidRPr="00D53A2B" w:rsidRDefault="0023315C" w:rsidP="00A202FD">
            <w:pPr>
              <w:pStyle w:val="MET"/>
              <w:rPr>
                <w:b w:val="0"/>
                <w:bCs/>
                <w:sz w:val="22"/>
              </w:rPr>
            </w:pPr>
            <w:r w:rsidRPr="00D53A2B">
              <w:rPr>
                <w:b w:val="0"/>
                <w:bCs/>
                <w:sz w:val="22"/>
              </w:rPr>
              <w:t xml:space="preserve">TS </w:t>
            </w:r>
            <w:r w:rsidR="00BC224D" w:rsidRPr="00D53A2B">
              <w:rPr>
                <w:b w:val="0"/>
                <w:bCs/>
                <w:sz w:val="22"/>
              </w:rPr>
              <w:t>EN 13211</w:t>
            </w:r>
          </w:p>
        </w:tc>
      </w:tr>
      <w:tr w:rsidR="00BC224D" w:rsidRPr="00D53A2B" w14:paraId="15A32041" w14:textId="77777777" w:rsidTr="000E6C87">
        <w:tc>
          <w:tcPr>
            <w:tcW w:w="1412" w:type="dxa"/>
            <w:vMerge w:val="restart"/>
          </w:tcPr>
          <w:p w14:paraId="5B10A47D" w14:textId="7CF9D0EA" w:rsidR="00BC224D" w:rsidRPr="00D53A2B" w:rsidRDefault="00BC224D" w:rsidP="00A202FD">
            <w:pPr>
              <w:pStyle w:val="MET"/>
              <w:rPr>
                <w:b w:val="0"/>
                <w:bCs/>
                <w:sz w:val="22"/>
              </w:rPr>
            </w:pPr>
            <w:r w:rsidRPr="00D53A2B">
              <w:rPr>
                <w:b w:val="0"/>
                <w:bCs/>
                <w:sz w:val="22"/>
              </w:rPr>
              <w:t>SO</w:t>
            </w:r>
            <w:r w:rsidRPr="00D53A2B">
              <w:rPr>
                <w:b w:val="0"/>
                <w:bCs/>
                <w:sz w:val="22"/>
                <w:vertAlign w:val="subscript"/>
              </w:rPr>
              <w:t>2</w:t>
            </w:r>
          </w:p>
        </w:tc>
        <w:tc>
          <w:tcPr>
            <w:tcW w:w="4350" w:type="dxa"/>
            <w:vAlign w:val="center"/>
          </w:tcPr>
          <w:p w14:paraId="1326908B"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Bakır: MET 49</w:t>
            </w:r>
          </w:p>
          <w:p w14:paraId="4983E383"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Alüminyum: MET 60, MET 69</w:t>
            </w:r>
          </w:p>
          <w:p w14:paraId="63BBE936"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Kurşun, Kalay: MET 100</w:t>
            </w:r>
          </w:p>
          <w:p w14:paraId="3AEEA78A"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Kıymetli metaller: MET 142, MET 143</w:t>
            </w:r>
          </w:p>
          <w:p w14:paraId="709E3AB0"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Nikel, Kobalt: MET 174</w:t>
            </w:r>
          </w:p>
          <w:p w14:paraId="28832393" w14:textId="013E5ED0"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Diğer demir dışı metaller (</w:t>
            </w:r>
            <w:r w:rsidRPr="00D53A2B">
              <w:rPr>
                <w:bCs/>
                <w:sz w:val="22"/>
                <w:szCs w:val="22"/>
                <w:vertAlign w:val="superscript"/>
                <w:lang w:eastAsia="en-US"/>
              </w:rPr>
              <w:t>6</w:t>
            </w:r>
            <w:r w:rsidRPr="00D53A2B">
              <w:rPr>
                <w:bCs/>
                <w:sz w:val="22"/>
                <w:szCs w:val="22"/>
                <w:lang w:eastAsia="en-US"/>
              </w:rPr>
              <w:t>)(</w:t>
            </w:r>
            <w:r w:rsidRPr="00D53A2B">
              <w:rPr>
                <w:bCs/>
                <w:sz w:val="22"/>
                <w:szCs w:val="22"/>
                <w:vertAlign w:val="superscript"/>
                <w:lang w:eastAsia="en-US"/>
              </w:rPr>
              <w:t>7</w:t>
            </w:r>
            <w:r w:rsidRPr="00D53A2B">
              <w:rPr>
                <w:bCs/>
                <w:sz w:val="22"/>
                <w:szCs w:val="22"/>
                <w:lang w:eastAsia="en-US"/>
              </w:rPr>
              <w:t>)</w:t>
            </w:r>
          </w:p>
        </w:tc>
        <w:tc>
          <w:tcPr>
            <w:tcW w:w="2326" w:type="dxa"/>
            <w:vAlign w:val="center"/>
          </w:tcPr>
          <w:p w14:paraId="49F88B6E" w14:textId="4D049392" w:rsidR="00BC224D" w:rsidRPr="00D53A2B" w:rsidRDefault="00BC224D" w:rsidP="00A202FD">
            <w:pPr>
              <w:pStyle w:val="MET"/>
              <w:rPr>
                <w:b w:val="0"/>
                <w:bCs/>
                <w:sz w:val="22"/>
              </w:rPr>
            </w:pPr>
            <w:r w:rsidRPr="00D53A2B">
              <w:rPr>
                <w:b w:val="0"/>
                <w:bCs/>
                <w:sz w:val="22"/>
              </w:rPr>
              <w:t>Sürekli ya da yılda bir kere (</w:t>
            </w:r>
            <w:r w:rsidRPr="00D53A2B">
              <w:rPr>
                <w:b w:val="0"/>
                <w:bCs/>
                <w:sz w:val="22"/>
                <w:vertAlign w:val="superscript"/>
              </w:rPr>
              <w:t>1</w:t>
            </w:r>
            <w:r w:rsidRPr="00D53A2B">
              <w:rPr>
                <w:b w:val="0"/>
                <w:bCs/>
                <w:sz w:val="22"/>
              </w:rPr>
              <w:t>)(</w:t>
            </w:r>
            <w:r w:rsidRPr="00D53A2B">
              <w:rPr>
                <w:b w:val="0"/>
                <w:bCs/>
                <w:sz w:val="22"/>
                <w:vertAlign w:val="superscript"/>
              </w:rPr>
              <w:t>4</w:t>
            </w:r>
            <w:r w:rsidRPr="00D53A2B">
              <w:rPr>
                <w:b w:val="0"/>
                <w:bCs/>
                <w:sz w:val="22"/>
              </w:rPr>
              <w:t>)</w:t>
            </w:r>
          </w:p>
        </w:tc>
        <w:tc>
          <w:tcPr>
            <w:tcW w:w="838" w:type="dxa"/>
            <w:vMerge w:val="restart"/>
            <w:vAlign w:val="center"/>
          </w:tcPr>
          <w:p w14:paraId="5F09CA4F" w14:textId="4CB97191" w:rsidR="00BC224D" w:rsidRPr="00D53A2B" w:rsidRDefault="0023315C" w:rsidP="00A202FD">
            <w:pPr>
              <w:pStyle w:val="MET"/>
              <w:rPr>
                <w:b w:val="0"/>
                <w:bCs/>
                <w:sz w:val="22"/>
              </w:rPr>
            </w:pPr>
            <w:r w:rsidRPr="00D53A2B">
              <w:rPr>
                <w:b w:val="0"/>
                <w:bCs/>
                <w:sz w:val="22"/>
              </w:rPr>
              <w:t xml:space="preserve">TS </w:t>
            </w:r>
            <w:r w:rsidR="00BC224D" w:rsidRPr="00D53A2B">
              <w:rPr>
                <w:b w:val="0"/>
                <w:bCs/>
                <w:sz w:val="22"/>
              </w:rPr>
              <w:t>EN 14791</w:t>
            </w:r>
          </w:p>
        </w:tc>
      </w:tr>
      <w:tr w:rsidR="00BC224D" w:rsidRPr="00D53A2B" w14:paraId="118BB112" w14:textId="77777777" w:rsidTr="000E6C87">
        <w:tc>
          <w:tcPr>
            <w:tcW w:w="1412" w:type="dxa"/>
            <w:vMerge/>
          </w:tcPr>
          <w:p w14:paraId="5F3CEAF9" w14:textId="77777777" w:rsidR="00BC224D" w:rsidRPr="00D53A2B" w:rsidRDefault="00BC224D" w:rsidP="00A202FD">
            <w:pPr>
              <w:pStyle w:val="MET"/>
              <w:rPr>
                <w:b w:val="0"/>
                <w:bCs/>
                <w:sz w:val="22"/>
              </w:rPr>
            </w:pPr>
          </w:p>
        </w:tc>
        <w:tc>
          <w:tcPr>
            <w:tcW w:w="4350" w:type="dxa"/>
            <w:vAlign w:val="center"/>
          </w:tcPr>
          <w:p w14:paraId="3F0F46E5" w14:textId="50C80231"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Çinko, Kadmiyum: MET 120</w:t>
            </w:r>
          </w:p>
        </w:tc>
        <w:tc>
          <w:tcPr>
            <w:tcW w:w="2326" w:type="dxa"/>
            <w:vAlign w:val="center"/>
          </w:tcPr>
          <w:p w14:paraId="481FA35F" w14:textId="439E36B5" w:rsidR="00BC224D" w:rsidRPr="00D53A2B" w:rsidRDefault="00BC224D" w:rsidP="00A202FD">
            <w:pPr>
              <w:pStyle w:val="MET"/>
              <w:rPr>
                <w:b w:val="0"/>
                <w:bCs/>
                <w:sz w:val="22"/>
              </w:rPr>
            </w:pPr>
            <w:r w:rsidRPr="00D53A2B">
              <w:rPr>
                <w:b w:val="0"/>
                <w:bCs/>
                <w:sz w:val="22"/>
              </w:rPr>
              <w:t>Sürekli</w:t>
            </w:r>
          </w:p>
        </w:tc>
        <w:tc>
          <w:tcPr>
            <w:tcW w:w="838" w:type="dxa"/>
            <w:vMerge/>
            <w:vAlign w:val="center"/>
          </w:tcPr>
          <w:p w14:paraId="00CB47BC" w14:textId="77777777" w:rsidR="00BC224D" w:rsidRPr="00D53A2B" w:rsidRDefault="00BC224D" w:rsidP="00A202FD">
            <w:pPr>
              <w:pStyle w:val="MET"/>
              <w:rPr>
                <w:b w:val="0"/>
                <w:bCs/>
                <w:sz w:val="22"/>
              </w:rPr>
            </w:pPr>
          </w:p>
        </w:tc>
      </w:tr>
      <w:tr w:rsidR="00BC224D" w:rsidRPr="00D53A2B" w14:paraId="77EBA660" w14:textId="77777777" w:rsidTr="000E6C87">
        <w:tc>
          <w:tcPr>
            <w:tcW w:w="1412" w:type="dxa"/>
            <w:vMerge/>
          </w:tcPr>
          <w:p w14:paraId="3899B699" w14:textId="77777777" w:rsidR="00BC224D" w:rsidRPr="00D53A2B" w:rsidRDefault="00BC224D" w:rsidP="00A202FD">
            <w:pPr>
              <w:pStyle w:val="MET"/>
              <w:rPr>
                <w:b w:val="0"/>
                <w:bCs/>
                <w:sz w:val="22"/>
              </w:rPr>
            </w:pPr>
          </w:p>
        </w:tc>
        <w:tc>
          <w:tcPr>
            <w:tcW w:w="4350" w:type="dxa"/>
            <w:vAlign w:val="center"/>
          </w:tcPr>
          <w:p w14:paraId="7BFECDAA" w14:textId="2408E739"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Karbon/grafit: MET 182</w:t>
            </w:r>
          </w:p>
        </w:tc>
        <w:tc>
          <w:tcPr>
            <w:tcW w:w="2326" w:type="dxa"/>
            <w:vAlign w:val="center"/>
          </w:tcPr>
          <w:p w14:paraId="7924FAE6" w14:textId="27A5A276" w:rsidR="00BC224D" w:rsidRPr="00D53A2B" w:rsidRDefault="00BC224D" w:rsidP="00A202FD">
            <w:pPr>
              <w:pStyle w:val="MET"/>
              <w:rPr>
                <w:b w:val="0"/>
                <w:bCs/>
                <w:sz w:val="22"/>
              </w:rPr>
            </w:pPr>
            <w:r w:rsidRPr="00D53A2B">
              <w:rPr>
                <w:b w:val="0"/>
                <w:bCs/>
                <w:sz w:val="22"/>
              </w:rPr>
              <w:t>Yılda bir kere</w:t>
            </w:r>
          </w:p>
        </w:tc>
        <w:tc>
          <w:tcPr>
            <w:tcW w:w="838" w:type="dxa"/>
            <w:vMerge/>
            <w:vAlign w:val="center"/>
          </w:tcPr>
          <w:p w14:paraId="1ABA4B68" w14:textId="77777777" w:rsidR="00BC224D" w:rsidRPr="00D53A2B" w:rsidRDefault="00BC224D" w:rsidP="00A202FD">
            <w:pPr>
              <w:pStyle w:val="MET"/>
              <w:rPr>
                <w:b w:val="0"/>
                <w:bCs/>
                <w:sz w:val="22"/>
              </w:rPr>
            </w:pPr>
          </w:p>
        </w:tc>
      </w:tr>
      <w:tr w:rsidR="00BC224D" w:rsidRPr="00D53A2B" w14:paraId="3350A9E8" w14:textId="77777777" w:rsidTr="000E6C87">
        <w:tc>
          <w:tcPr>
            <w:tcW w:w="1412" w:type="dxa"/>
            <w:vMerge w:val="restart"/>
          </w:tcPr>
          <w:p w14:paraId="69F0623C" w14:textId="29FD40C9" w:rsidR="00BC224D" w:rsidRPr="00D53A2B" w:rsidRDefault="00BC224D" w:rsidP="00A202FD">
            <w:pPr>
              <w:pStyle w:val="MET"/>
              <w:rPr>
                <w:b w:val="0"/>
                <w:bCs/>
                <w:sz w:val="22"/>
              </w:rPr>
            </w:pPr>
            <w:r w:rsidRPr="00D53A2B">
              <w:rPr>
                <w:b w:val="0"/>
                <w:bCs/>
                <w:sz w:val="22"/>
              </w:rPr>
              <w:t>NO</w:t>
            </w:r>
            <w:r w:rsidRPr="00D53A2B">
              <w:rPr>
                <w:b w:val="0"/>
                <w:bCs/>
                <w:sz w:val="22"/>
                <w:vertAlign w:val="subscript"/>
              </w:rPr>
              <w:t>X</w:t>
            </w:r>
            <w:r w:rsidRPr="00D53A2B">
              <w:rPr>
                <w:b w:val="0"/>
                <w:bCs/>
                <w:sz w:val="22"/>
              </w:rPr>
              <w:t>, NO</w:t>
            </w:r>
            <w:r w:rsidRPr="00D53A2B">
              <w:rPr>
                <w:b w:val="0"/>
                <w:bCs/>
                <w:sz w:val="22"/>
                <w:vertAlign w:val="subscript"/>
              </w:rPr>
              <w:t>2</w:t>
            </w:r>
            <w:r w:rsidRPr="00D53A2B">
              <w:rPr>
                <w:b w:val="0"/>
                <w:bCs/>
                <w:sz w:val="22"/>
              </w:rPr>
              <w:t xml:space="preserve"> olarak ifade edilir</w:t>
            </w:r>
          </w:p>
        </w:tc>
        <w:tc>
          <w:tcPr>
            <w:tcW w:w="4350" w:type="dxa"/>
            <w:vAlign w:val="center"/>
          </w:tcPr>
          <w:p w14:paraId="0C114A10"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Bakır, Alüminyum, Kurşun, Kalay,</w:t>
            </w:r>
          </w:p>
          <w:p w14:paraId="0E52F5D2"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FeSi, Si (pirometalurjik prosesler):</w:t>
            </w:r>
          </w:p>
          <w:p w14:paraId="1FAD40FF"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MET 13</w:t>
            </w:r>
          </w:p>
          <w:p w14:paraId="54A349F5"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Kıymetli metaller: MET 141</w:t>
            </w:r>
          </w:p>
          <w:p w14:paraId="45F58890" w14:textId="1759153F"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Diğer demir dışı metaller (</w:t>
            </w:r>
            <w:r w:rsidRPr="00D53A2B">
              <w:rPr>
                <w:bCs/>
                <w:sz w:val="22"/>
                <w:szCs w:val="22"/>
                <w:vertAlign w:val="superscript"/>
                <w:lang w:eastAsia="en-US"/>
              </w:rPr>
              <w:t>7</w:t>
            </w:r>
            <w:r w:rsidRPr="00D53A2B">
              <w:rPr>
                <w:bCs/>
                <w:sz w:val="22"/>
                <w:szCs w:val="22"/>
                <w:lang w:eastAsia="en-US"/>
              </w:rPr>
              <w:t>)</w:t>
            </w:r>
          </w:p>
        </w:tc>
        <w:tc>
          <w:tcPr>
            <w:tcW w:w="2326" w:type="dxa"/>
            <w:vAlign w:val="center"/>
          </w:tcPr>
          <w:p w14:paraId="4F90D22D" w14:textId="77777777" w:rsidR="00BC224D" w:rsidRPr="00D53A2B" w:rsidRDefault="00BC224D" w:rsidP="00A202FD">
            <w:pPr>
              <w:spacing w:line="264" w:lineRule="auto"/>
              <w:ind w:left="57" w:right="57"/>
              <w:jc w:val="both"/>
              <w:rPr>
                <w:bCs/>
                <w:sz w:val="22"/>
                <w:szCs w:val="22"/>
                <w:lang w:eastAsia="en-US"/>
              </w:rPr>
            </w:pPr>
          </w:p>
          <w:p w14:paraId="01DBDC59" w14:textId="77777777" w:rsidR="00BC224D" w:rsidRPr="00D53A2B" w:rsidRDefault="00BC224D" w:rsidP="00A202FD">
            <w:pPr>
              <w:spacing w:line="264" w:lineRule="auto"/>
              <w:ind w:left="57" w:right="57"/>
              <w:jc w:val="both"/>
              <w:rPr>
                <w:bCs/>
                <w:sz w:val="22"/>
                <w:szCs w:val="22"/>
                <w:lang w:eastAsia="en-US"/>
              </w:rPr>
            </w:pPr>
          </w:p>
          <w:p w14:paraId="7784E44F" w14:textId="6AA0E732" w:rsidR="00BC224D" w:rsidRPr="00D53A2B" w:rsidRDefault="00BC224D" w:rsidP="00A202FD">
            <w:pPr>
              <w:pStyle w:val="MET"/>
              <w:rPr>
                <w:b w:val="0"/>
                <w:bCs/>
                <w:sz w:val="22"/>
              </w:rPr>
            </w:pPr>
            <w:r w:rsidRPr="00D53A2B">
              <w:rPr>
                <w:b w:val="0"/>
                <w:bCs/>
                <w:sz w:val="22"/>
              </w:rPr>
              <w:t>Sürekli ya da yılda bir kere (</w:t>
            </w:r>
            <w:r w:rsidRPr="00D53A2B">
              <w:rPr>
                <w:b w:val="0"/>
                <w:bCs/>
                <w:sz w:val="22"/>
                <w:vertAlign w:val="superscript"/>
              </w:rPr>
              <w:t>1</w:t>
            </w:r>
            <w:r w:rsidRPr="00D53A2B">
              <w:rPr>
                <w:b w:val="0"/>
                <w:bCs/>
                <w:sz w:val="22"/>
              </w:rPr>
              <w:t>)</w:t>
            </w:r>
          </w:p>
        </w:tc>
        <w:tc>
          <w:tcPr>
            <w:tcW w:w="838" w:type="dxa"/>
            <w:vMerge w:val="restart"/>
            <w:vAlign w:val="center"/>
          </w:tcPr>
          <w:p w14:paraId="4037AF66" w14:textId="2E45DD1E" w:rsidR="00BC224D" w:rsidRPr="00D53A2B" w:rsidRDefault="0023315C" w:rsidP="00A202FD">
            <w:pPr>
              <w:pStyle w:val="MET"/>
              <w:rPr>
                <w:b w:val="0"/>
                <w:bCs/>
                <w:sz w:val="22"/>
              </w:rPr>
            </w:pPr>
            <w:r w:rsidRPr="00D53A2B">
              <w:rPr>
                <w:b w:val="0"/>
                <w:bCs/>
                <w:sz w:val="22"/>
              </w:rPr>
              <w:t xml:space="preserve">TS </w:t>
            </w:r>
            <w:r w:rsidR="00BC224D" w:rsidRPr="00D53A2B">
              <w:rPr>
                <w:b w:val="0"/>
                <w:bCs/>
                <w:sz w:val="22"/>
              </w:rPr>
              <w:t>EN 14792</w:t>
            </w:r>
          </w:p>
        </w:tc>
      </w:tr>
      <w:tr w:rsidR="00BC224D" w:rsidRPr="00D53A2B" w14:paraId="1E9916F3" w14:textId="77777777" w:rsidTr="000E6C87">
        <w:tc>
          <w:tcPr>
            <w:tcW w:w="1412" w:type="dxa"/>
            <w:vMerge/>
          </w:tcPr>
          <w:p w14:paraId="2B64B50E" w14:textId="77777777" w:rsidR="00BC224D" w:rsidRPr="00D53A2B" w:rsidRDefault="00BC224D" w:rsidP="00A202FD">
            <w:pPr>
              <w:pStyle w:val="MET"/>
              <w:rPr>
                <w:b w:val="0"/>
                <w:bCs/>
                <w:sz w:val="22"/>
              </w:rPr>
            </w:pPr>
          </w:p>
        </w:tc>
        <w:tc>
          <w:tcPr>
            <w:tcW w:w="4350" w:type="dxa"/>
            <w:vAlign w:val="center"/>
          </w:tcPr>
          <w:p w14:paraId="5182A2C4" w14:textId="39D25118"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Karbon/grafit</w:t>
            </w:r>
          </w:p>
        </w:tc>
        <w:tc>
          <w:tcPr>
            <w:tcW w:w="2326" w:type="dxa"/>
            <w:vAlign w:val="center"/>
          </w:tcPr>
          <w:p w14:paraId="1BAB25E4" w14:textId="547DCDB9" w:rsidR="00BC224D" w:rsidRPr="00D53A2B" w:rsidRDefault="00BC224D" w:rsidP="00A202FD">
            <w:pPr>
              <w:pStyle w:val="MET"/>
              <w:rPr>
                <w:b w:val="0"/>
                <w:bCs/>
                <w:sz w:val="22"/>
              </w:rPr>
            </w:pPr>
            <w:r w:rsidRPr="00D53A2B">
              <w:rPr>
                <w:b w:val="0"/>
                <w:bCs/>
                <w:sz w:val="22"/>
              </w:rPr>
              <w:t>Yılda bir kere</w:t>
            </w:r>
          </w:p>
        </w:tc>
        <w:tc>
          <w:tcPr>
            <w:tcW w:w="838" w:type="dxa"/>
            <w:vMerge/>
            <w:vAlign w:val="center"/>
          </w:tcPr>
          <w:p w14:paraId="0FD94E2F" w14:textId="77777777" w:rsidR="00BC224D" w:rsidRPr="00D53A2B" w:rsidRDefault="00BC224D" w:rsidP="00A202FD">
            <w:pPr>
              <w:pStyle w:val="MET"/>
              <w:rPr>
                <w:b w:val="0"/>
                <w:bCs/>
                <w:sz w:val="22"/>
              </w:rPr>
            </w:pPr>
          </w:p>
        </w:tc>
      </w:tr>
      <w:tr w:rsidR="00BC224D" w:rsidRPr="00D53A2B" w14:paraId="70082BD2" w14:textId="77777777" w:rsidTr="000E6C87">
        <w:tc>
          <w:tcPr>
            <w:tcW w:w="1412" w:type="dxa"/>
            <w:vMerge w:val="restart"/>
          </w:tcPr>
          <w:p w14:paraId="2752EA40" w14:textId="217E3DEE" w:rsidR="00BC224D" w:rsidRPr="00D53A2B" w:rsidRDefault="00BC224D" w:rsidP="00A202FD">
            <w:pPr>
              <w:pStyle w:val="MET"/>
              <w:rPr>
                <w:b w:val="0"/>
                <w:bCs/>
                <w:sz w:val="22"/>
              </w:rPr>
            </w:pPr>
            <w:r w:rsidRPr="00D53A2B">
              <w:rPr>
                <w:b w:val="0"/>
                <w:bCs/>
                <w:sz w:val="22"/>
              </w:rPr>
              <w:t>TVOC</w:t>
            </w:r>
          </w:p>
        </w:tc>
        <w:tc>
          <w:tcPr>
            <w:tcW w:w="4350" w:type="dxa"/>
            <w:vAlign w:val="center"/>
          </w:tcPr>
          <w:p w14:paraId="65A92853"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Bakır: MET 46</w:t>
            </w:r>
          </w:p>
          <w:p w14:paraId="257CEA7F"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Alüminyum: MET 83</w:t>
            </w:r>
          </w:p>
          <w:p w14:paraId="443CC4A8"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Kurşun, Kalay: MET 98</w:t>
            </w:r>
          </w:p>
          <w:p w14:paraId="6A51358C"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Çinko, Kadmiyum: MET 123</w:t>
            </w:r>
          </w:p>
          <w:p w14:paraId="32F17065" w14:textId="488037DE"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Diğer demir dışı metaller (</w:t>
            </w:r>
            <w:r w:rsidRPr="00D53A2B">
              <w:rPr>
                <w:bCs/>
                <w:sz w:val="22"/>
                <w:szCs w:val="22"/>
                <w:vertAlign w:val="superscript"/>
                <w:lang w:eastAsia="en-US"/>
              </w:rPr>
              <w:t>8</w:t>
            </w:r>
            <w:r w:rsidRPr="00D53A2B">
              <w:rPr>
                <w:bCs/>
                <w:sz w:val="22"/>
                <w:szCs w:val="22"/>
                <w:lang w:eastAsia="en-US"/>
              </w:rPr>
              <w:t>)</w:t>
            </w:r>
          </w:p>
        </w:tc>
        <w:tc>
          <w:tcPr>
            <w:tcW w:w="2326" w:type="dxa"/>
            <w:vAlign w:val="center"/>
          </w:tcPr>
          <w:p w14:paraId="73718FAE" w14:textId="08616978" w:rsidR="00BC224D" w:rsidRPr="00D53A2B" w:rsidRDefault="00BC224D" w:rsidP="00A202FD">
            <w:pPr>
              <w:pStyle w:val="MET"/>
              <w:rPr>
                <w:b w:val="0"/>
                <w:bCs/>
                <w:sz w:val="22"/>
              </w:rPr>
            </w:pPr>
            <w:r w:rsidRPr="00D53A2B">
              <w:rPr>
                <w:b w:val="0"/>
                <w:bCs/>
                <w:sz w:val="22"/>
              </w:rPr>
              <w:t>Sürekli ya da yılda bir kere (</w:t>
            </w:r>
            <w:r w:rsidRPr="00D53A2B">
              <w:rPr>
                <w:b w:val="0"/>
                <w:bCs/>
                <w:sz w:val="22"/>
                <w:vertAlign w:val="superscript"/>
              </w:rPr>
              <w:t>1</w:t>
            </w:r>
            <w:r w:rsidRPr="00D53A2B">
              <w:rPr>
                <w:b w:val="0"/>
                <w:bCs/>
                <w:sz w:val="22"/>
              </w:rPr>
              <w:t>)</w:t>
            </w:r>
          </w:p>
        </w:tc>
        <w:tc>
          <w:tcPr>
            <w:tcW w:w="838" w:type="dxa"/>
            <w:vMerge w:val="restart"/>
            <w:vAlign w:val="center"/>
          </w:tcPr>
          <w:p w14:paraId="66A200DE" w14:textId="5256D3C9" w:rsidR="00BC224D" w:rsidRPr="00D53A2B" w:rsidRDefault="0023315C" w:rsidP="00A202FD">
            <w:pPr>
              <w:pStyle w:val="MET"/>
              <w:rPr>
                <w:b w:val="0"/>
                <w:bCs/>
                <w:sz w:val="22"/>
              </w:rPr>
            </w:pPr>
            <w:r w:rsidRPr="00D53A2B">
              <w:rPr>
                <w:b w:val="0"/>
                <w:bCs/>
                <w:sz w:val="22"/>
              </w:rPr>
              <w:t xml:space="preserve">TS </w:t>
            </w:r>
            <w:r w:rsidR="00BC224D" w:rsidRPr="00D53A2B">
              <w:rPr>
                <w:b w:val="0"/>
                <w:bCs/>
                <w:sz w:val="22"/>
              </w:rPr>
              <w:t>EN 12619</w:t>
            </w:r>
          </w:p>
        </w:tc>
      </w:tr>
      <w:tr w:rsidR="00BC224D" w:rsidRPr="00D53A2B" w14:paraId="25229C56" w14:textId="77777777" w:rsidTr="000E6C87">
        <w:tc>
          <w:tcPr>
            <w:tcW w:w="1412" w:type="dxa"/>
            <w:vMerge/>
          </w:tcPr>
          <w:p w14:paraId="58548013" w14:textId="77777777" w:rsidR="00BC224D" w:rsidRPr="00D53A2B" w:rsidRDefault="00BC224D" w:rsidP="00A202FD">
            <w:pPr>
              <w:pStyle w:val="MET"/>
              <w:rPr>
                <w:b w:val="0"/>
                <w:bCs/>
                <w:sz w:val="22"/>
              </w:rPr>
            </w:pPr>
          </w:p>
        </w:tc>
        <w:tc>
          <w:tcPr>
            <w:tcW w:w="4350" w:type="dxa"/>
            <w:vAlign w:val="center"/>
          </w:tcPr>
          <w:p w14:paraId="79EC0AB9"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Ferro alaşımlar: MET 160</w:t>
            </w:r>
          </w:p>
          <w:p w14:paraId="3CC22DF2" w14:textId="6F645B8E"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Karbon/grafit: MET 183</w:t>
            </w:r>
          </w:p>
        </w:tc>
        <w:tc>
          <w:tcPr>
            <w:tcW w:w="2326" w:type="dxa"/>
            <w:vAlign w:val="center"/>
          </w:tcPr>
          <w:p w14:paraId="00697CFA" w14:textId="1C17CE14" w:rsidR="00BC224D" w:rsidRPr="00D53A2B" w:rsidRDefault="00BC224D" w:rsidP="00A202FD">
            <w:pPr>
              <w:pStyle w:val="MET"/>
              <w:rPr>
                <w:b w:val="0"/>
                <w:bCs/>
                <w:sz w:val="22"/>
              </w:rPr>
            </w:pPr>
            <w:r w:rsidRPr="00D53A2B">
              <w:rPr>
                <w:b w:val="0"/>
                <w:bCs/>
                <w:sz w:val="22"/>
              </w:rPr>
              <w:t>Yılda bir kere</w:t>
            </w:r>
          </w:p>
        </w:tc>
        <w:tc>
          <w:tcPr>
            <w:tcW w:w="838" w:type="dxa"/>
            <w:vMerge/>
            <w:vAlign w:val="center"/>
          </w:tcPr>
          <w:p w14:paraId="69EC310D" w14:textId="77777777" w:rsidR="00BC224D" w:rsidRPr="00D53A2B" w:rsidRDefault="00BC224D" w:rsidP="00A202FD">
            <w:pPr>
              <w:pStyle w:val="MET"/>
              <w:rPr>
                <w:b w:val="0"/>
                <w:bCs/>
                <w:sz w:val="22"/>
              </w:rPr>
            </w:pPr>
          </w:p>
        </w:tc>
      </w:tr>
      <w:tr w:rsidR="00BC224D" w:rsidRPr="00D53A2B" w14:paraId="24D1B6C3" w14:textId="77777777" w:rsidTr="000E6C87">
        <w:tc>
          <w:tcPr>
            <w:tcW w:w="1412" w:type="dxa"/>
            <w:vAlign w:val="center"/>
          </w:tcPr>
          <w:p w14:paraId="067311B5" w14:textId="270E59FE" w:rsidR="00BC224D" w:rsidRPr="00D53A2B" w:rsidRDefault="00BC224D" w:rsidP="00A202FD">
            <w:pPr>
              <w:pStyle w:val="MET"/>
              <w:rPr>
                <w:b w:val="0"/>
                <w:bCs/>
                <w:sz w:val="22"/>
              </w:rPr>
            </w:pPr>
            <w:r w:rsidRPr="00D53A2B">
              <w:rPr>
                <w:b w:val="0"/>
                <w:bCs/>
                <w:sz w:val="22"/>
              </w:rPr>
              <w:t>Formaldehit</w:t>
            </w:r>
          </w:p>
        </w:tc>
        <w:tc>
          <w:tcPr>
            <w:tcW w:w="4350" w:type="dxa"/>
            <w:vAlign w:val="center"/>
          </w:tcPr>
          <w:p w14:paraId="6C9F3C6A"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Karbon/grafit:</w:t>
            </w:r>
          </w:p>
          <w:p w14:paraId="077AFB10" w14:textId="33DD91DD"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MET 183</w:t>
            </w:r>
          </w:p>
        </w:tc>
        <w:tc>
          <w:tcPr>
            <w:tcW w:w="2326" w:type="dxa"/>
            <w:vAlign w:val="center"/>
          </w:tcPr>
          <w:p w14:paraId="13FE5208" w14:textId="56319FBA" w:rsidR="00BC224D" w:rsidRPr="00D53A2B" w:rsidRDefault="00BC224D" w:rsidP="00A202FD">
            <w:pPr>
              <w:pStyle w:val="MET"/>
              <w:rPr>
                <w:b w:val="0"/>
                <w:bCs/>
                <w:sz w:val="22"/>
              </w:rPr>
            </w:pPr>
            <w:r w:rsidRPr="00D53A2B">
              <w:rPr>
                <w:b w:val="0"/>
                <w:bCs/>
                <w:sz w:val="22"/>
              </w:rPr>
              <w:t>Yılda bir kere</w:t>
            </w:r>
          </w:p>
        </w:tc>
        <w:tc>
          <w:tcPr>
            <w:tcW w:w="838" w:type="dxa"/>
            <w:vAlign w:val="center"/>
          </w:tcPr>
          <w:p w14:paraId="1E9DBFBF" w14:textId="48C9979C" w:rsidR="00BC224D" w:rsidRPr="00D53A2B" w:rsidRDefault="00BC224D" w:rsidP="00A202FD">
            <w:pPr>
              <w:pStyle w:val="MET"/>
              <w:rPr>
                <w:b w:val="0"/>
                <w:bCs/>
                <w:sz w:val="22"/>
              </w:rPr>
            </w:pPr>
            <w:r w:rsidRPr="00D53A2B">
              <w:rPr>
                <w:b w:val="0"/>
                <w:bCs/>
                <w:sz w:val="22"/>
              </w:rPr>
              <w:t>EN standardı mevcut değil</w:t>
            </w:r>
          </w:p>
        </w:tc>
      </w:tr>
      <w:tr w:rsidR="00BC224D" w:rsidRPr="00D53A2B" w14:paraId="460BEF5E" w14:textId="77777777" w:rsidTr="000E6C87">
        <w:tc>
          <w:tcPr>
            <w:tcW w:w="1412" w:type="dxa"/>
            <w:vAlign w:val="center"/>
          </w:tcPr>
          <w:p w14:paraId="1310C17C" w14:textId="78CA0ADE" w:rsidR="00BC224D" w:rsidRPr="00D53A2B" w:rsidRDefault="00BC224D" w:rsidP="00A202FD">
            <w:pPr>
              <w:pStyle w:val="MET"/>
              <w:rPr>
                <w:b w:val="0"/>
                <w:bCs/>
                <w:sz w:val="22"/>
              </w:rPr>
            </w:pPr>
            <w:r w:rsidRPr="00D53A2B">
              <w:rPr>
                <w:b w:val="0"/>
                <w:bCs/>
                <w:sz w:val="22"/>
              </w:rPr>
              <w:t>Fenol</w:t>
            </w:r>
          </w:p>
        </w:tc>
        <w:tc>
          <w:tcPr>
            <w:tcW w:w="4350" w:type="dxa"/>
            <w:vAlign w:val="center"/>
          </w:tcPr>
          <w:p w14:paraId="7A0FE69F"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Karbon/grafit:</w:t>
            </w:r>
          </w:p>
          <w:p w14:paraId="04DB5CAF" w14:textId="4F0F6B41"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MET 183</w:t>
            </w:r>
          </w:p>
        </w:tc>
        <w:tc>
          <w:tcPr>
            <w:tcW w:w="2326" w:type="dxa"/>
            <w:vAlign w:val="center"/>
          </w:tcPr>
          <w:p w14:paraId="6E7F669C" w14:textId="1D928271" w:rsidR="00BC224D" w:rsidRPr="00D53A2B" w:rsidRDefault="00BC224D" w:rsidP="00A202FD">
            <w:pPr>
              <w:pStyle w:val="MET"/>
              <w:rPr>
                <w:b w:val="0"/>
                <w:bCs/>
                <w:sz w:val="22"/>
              </w:rPr>
            </w:pPr>
            <w:r w:rsidRPr="00D53A2B">
              <w:rPr>
                <w:b w:val="0"/>
                <w:bCs/>
                <w:sz w:val="22"/>
              </w:rPr>
              <w:t>Yılda bir kere</w:t>
            </w:r>
          </w:p>
        </w:tc>
        <w:tc>
          <w:tcPr>
            <w:tcW w:w="838" w:type="dxa"/>
            <w:vAlign w:val="center"/>
          </w:tcPr>
          <w:p w14:paraId="289061FD" w14:textId="18A2FD20" w:rsidR="00BC224D" w:rsidRPr="00D53A2B" w:rsidRDefault="00BC224D" w:rsidP="00A202FD">
            <w:pPr>
              <w:pStyle w:val="MET"/>
              <w:rPr>
                <w:b w:val="0"/>
                <w:bCs/>
                <w:sz w:val="22"/>
              </w:rPr>
            </w:pPr>
            <w:r w:rsidRPr="00D53A2B">
              <w:rPr>
                <w:b w:val="0"/>
                <w:bCs/>
                <w:sz w:val="22"/>
              </w:rPr>
              <w:t>EN standardı mevcut değil</w:t>
            </w:r>
          </w:p>
        </w:tc>
      </w:tr>
      <w:tr w:rsidR="00BC224D" w:rsidRPr="00D53A2B" w14:paraId="5B7B6421" w14:textId="77777777" w:rsidTr="000E6C87">
        <w:tc>
          <w:tcPr>
            <w:tcW w:w="1412" w:type="dxa"/>
            <w:vAlign w:val="center"/>
          </w:tcPr>
          <w:p w14:paraId="2CD90476" w14:textId="4CE67E9D" w:rsidR="00BC224D" w:rsidRPr="00D53A2B" w:rsidRDefault="00BC224D" w:rsidP="00A202FD">
            <w:pPr>
              <w:pStyle w:val="MET"/>
              <w:rPr>
                <w:b w:val="0"/>
                <w:bCs/>
                <w:sz w:val="22"/>
              </w:rPr>
            </w:pPr>
            <w:r w:rsidRPr="00D53A2B">
              <w:rPr>
                <w:b w:val="0"/>
                <w:bCs/>
                <w:sz w:val="22"/>
              </w:rPr>
              <w:t>PCDD/F</w:t>
            </w:r>
          </w:p>
        </w:tc>
        <w:tc>
          <w:tcPr>
            <w:tcW w:w="4350" w:type="dxa"/>
            <w:vAlign w:val="center"/>
          </w:tcPr>
          <w:p w14:paraId="77E24C4E"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Bakır: MET 48</w:t>
            </w:r>
          </w:p>
          <w:p w14:paraId="3F964A71"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Alüminyum: MET 83</w:t>
            </w:r>
          </w:p>
          <w:p w14:paraId="03B29F81"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Kurşun, Kalay: MET 99</w:t>
            </w:r>
          </w:p>
          <w:p w14:paraId="769DD228"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Çinko, Kadmiyum: MET 123</w:t>
            </w:r>
          </w:p>
          <w:p w14:paraId="1F942E83"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Kıymetli metaller: MET 146</w:t>
            </w:r>
          </w:p>
          <w:p w14:paraId="12C91350"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Ferro alaşımlar: MET 159</w:t>
            </w:r>
          </w:p>
          <w:p w14:paraId="1C8CF72A" w14:textId="46F68E9F"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Diğer demir dışı metaller (</w:t>
            </w:r>
            <w:r w:rsidRPr="00D53A2B">
              <w:rPr>
                <w:bCs/>
                <w:sz w:val="22"/>
                <w:szCs w:val="22"/>
                <w:vertAlign w:val="superscript"/>
                <w:lang w:eastAsia="en-US"/>
              </w:rPr>
              <w:t>5</w:t>
            </w:r>
            <w:r w:rsidRPr="00D53A2B">
              <w:rPr>
                <w:bCs/>
                <w:sz w:val="22"/>
                <w:szCs w:val="22"/>
                <w:lang w:eastAsia="en-US"/>
              </w:rPr>
              <w:t>)(</w:t>
            </w:r>
            <w:r w:rsidRPr="00D53A2B">
              <w:rPr>
                <w:bCs/>
                <w:sz w:val="22"/>
                <w:szCs w:val="22"/>
                <w:vertAlign w:val="superscript"/>
                <w:lang w:eastAsia="en-US"/>
              </w:rPr>
              <w:t>7</w:t>
            </w:r>
            <w:r w:rsidRPr="00D53A2B">
              <w:rPr>
                <w:bCs/>
                <w:sz w:val="22"/>
                <w:szCs w:val="22"/>
                <w:lang w:eastAsia="en-US"/>
              </w:rPr>
              <w:t>)</w:t>
            </w:r>
          </w:p>
        </w:tc>
        <w:tc>
          <w:tcPr>
            <w:tcW w:w="2326" w:type="dxa"/>
            <w:vAlign w:val="center"/>
          </w:tcPr>
          <w:p w14:paraId="66F2C6FE" w14:textId="7BCA4A31" w:rsidR="00BC224D" w:rsidRPr="00D53A2B" w:rsidRDefault="00BC224D" w:rsidP="00A202FD">
            <w:pPr>
              <w:pStyle w:val="MET"/>
              <w:rPr>
                <w:b w:val="0"/>
                <w:bCs/>
                <w:sz w:val="22"/>
              </w:rPr>
            </w:pPr>
            <w:r w:rsidRPr="00D53A2B">
              <w:rPr>
                <w:b w:val="0"/>
                <w:bCs/>
                <w:sz w:val="22"/>
              </w:rPr>
              <w:t>Yılda bir kere</w:t>
            </w:r>
          </w:p>
        </w:tc>
        <w:tc>
          <w:tcPr>
            <w:tcW w:w="838" w:type="dxa"/>
            <w:vAlign w:val="center"/>
          </w:tcPr>
          <w:p w14:paraId="1A8D313D" w14:textId="0E7B4E0D" w:rsidR="00BC224D" w:rsidRPr="00D53A2B" w:rsidRDefault="0023315C" w:rsidP="00A202FD">
            <w:pPr>
              <w:spacing w:line="264" w:lineRule="auto"/>
              <w:ind w:left="57" w:right="57"/>
              <w:jc w:val="both"/>
              <w:rPr>
                <w:bCs/>
                <w:sz w:val="22"/>
                <w:szCs w:val="22"/>
                <w:lang w:eastAsia="en-US"/>
              </w:rPr>
            </w:pPr>
            <w:r w:rsidRPr="00D53A2B">
              <w:rPr>
                <w:bCs/>
                <w:sz w:val="22"/>
                <w:szCs w:val="22"/>
                <w:lang w:eastAsia="en-US"/>
              </w:rPr>
              <w:t xml:space="preserve">TS </w:t>
            </w:r>
            <w:r w:rsidR="00BC224D" w:rsidRPr="00D53A2B">
              <w:rPr>
                <w:bCs/>
                <w:sz w:val="22"/>
                <w:szCs w:val="22"/>
                <w:lang w:eastAsia="en-US"/>
              </w:rPr>
              <w:t>EN 1948</w:t>
            </w:r>
          </w:p>
          <w:p w14:paraId="0AC8FC15" w14:textId="35A6B951" w:rsidR="00BC224D" w:rsidRPr="00D53A2B" w:rsidRDefault="00BC224D" w:rsidP="00A202FD">
            <w:pPr>
              <w:pStyle w:val="MET"/>
              <w:rPr>
                <w:b w:val="0"/>
                <w:bCs/>
                <w:sz w:val="22"/>
              </w:rPr>
            </w:pPr>
            <w:r w:rsidRPr="00D53A2B">
              <w:rPr>
                <w:b w:val="0"/>
                <w:bCs/>
                <w:sz w:val="22"/>
              </w:rPr>
              <w:t>1., 2. ve 3. bölümler</w:t>
            </w:r>
          </w:p>
        </w:tc>
      </w:tr>
      <w:tr w:rsidR="00BC224D" w:rsidRPr="00D53A2B" w14:paraId="07E8076C" w14:textId="77777777" w:rsidTr="000E6C87">
        <w:tc>
          <w:tcPr>
            <w:tcW w:w="1412" w:type="dxa"/>
            <w:vAlign w:val="center"/>
          </w:tcPr>
          <w:p w14:paraId="1300FD5F" w14:textId="695C339B" w:rsidR="00BC224D" w:rsidRPr="00D53A2B" w:rsidRDefault="00BC224D" w:rsidP="00A202FD">
            <w:pPr>
              <w:pStyle w:val="MET"/>
              <w:rPr>
                <w:b w:val="0"/>
                <w:bCs/>
                <w:sz w:val="22"/>
              </w:rPr>
            </w:pPr>
            <w:r w:rsidRPr="00D53A2B">
              <w:rPr>
                <w:b w:val="0"/>
                <w:bCs/>
                <w:sz w:val="22"/>
              </w:rPr>
              <w:t>H</w:t>
            </w:r>
            <w:r w:rsidRPr="00D53A2B">
              <w:rPr>
                <w:b w:val="0"/>
                <w:bCs/>
                <w:sz w:val="22"/>
                <w:vertAlign w:val="subscript"/>
              </w:rPr>
              <w:t>2</w:t>
            </w:r>
            <w:r w:rsidRPr="00D53A2B">
              <w:rPr>
                <w:b w:val="0"/>
                <w:bCs/>
                <w:sz w:val="22"/>
              </w:rPr>
              <w:t>SO</w:t>
            </w:r>
            <w:r w:rsidRPr="00D53A2B">
              <w:rPr>
                <w:b w:val="0"/>
                <w:bCs/>
                <w:sz w:val="22"/>
                <w:vertAlign w:val="subscript"/>
              </w:rPr>
              <w:t>4</w:t>
            </w:r>
          </w:p>
        </w:tc>
        <w:tc>
          <w:tcPr>
            <w:tcW w:w="4350" w:type="dxa"/>
            <w:vAlign w:val="center"/>
          </w:tcPr>
          <w:p w14:paraId="1134BE71"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Bakır: MET 50</w:t>
            </w:r>
          </w:p>
          <w:p w14:paraId="2804D59E" w14:textId="2F7AB591"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Çinko, Kadmiyum: MET 114</w:t>
            </w:r>
          </w:p>
        </w:tc>
        <w:tc>
          <w:tcPr>
            <w:tcW w:w="2326" w:type="dxa"/>
            <w:vAlign w:val="center"/>
          </w:tcPr>
          <w:p w14:paraId="11943E37" w14:textId="77777777" w:rsidR="00BC224D" w:rsidRPr="00D53A2B" w:rsidRDefault="00BC224D" w:rsidP="00A202FD">
            <w:pPr>
              <w:spacing w:line="264" w:lineRule="auto"/>
              <w:ind w:left="57" w:right="57"/>
              <w:jc w:val="both"/>
              <w:rPr>
                <w:bCs/>
                <w:sz w:val="22"/>
                <w:szCs w:val="22"/>
                <w:lang w:eastAsia="en-US"/>
              </w:rPr>
            </w:pPr>
          </w:p>
          <w:p w14:paraId="5C83D966" w14:textId="7F2382D7" w:rsidR="00BC224D" w:rsidRPr="00D53A2B" w:rsidRDefault="00BC224D" w:rsidP="00A202FD">
            <w:pPr>
              <w:pStyle w:val="MET"/>
              <w:rPr>
                <w:b w:val="0"/>
                <w:bCs/>
                <w:sz w:val="22"/>
              </w:rPr>
            </w:pPr>
            <w:r w:rsidRPr="00D53A2B">
              <w:rPr>
                <w:b w:val="0"/>
                <w:bCs/>
                <w:sz w:val="22"/>
              </w:rPr>
              <w:t>Yılda bir kere</w:t>
            </w:r>
          </w:p>
        </w:tc>
        <w:tc>
          <w:tcPr>
            <w:tcW w:w="838" w:type="dxa"/>
            <w:vAlign w:val="center"/>
          </w:tcPr>
          <w:p w14:paraId="49381770" w14:textId="105F8185" w:rsidR="00BC224D" w:rsidRPr="00D53A2B" w:rsidRDefault="00BC224D" w:rsidP="00A202FD">
            <w:pPr>
              <w:pStyle w:val="MET"/>
              <w:rPr>
                <w:b w:val="0"/>
                <w:bCs/>
                <w:sz w:val="22"/>
              </w:rPr>
            </w:pPr>
            <w:r w:rsidRPr="00D53A2B">
              <w:rPr>
                <w:b w:val="0"/>
                <w:bCs/>
                <w:sz w:val="22"/>
              </w:rPr>
              <w:t xml:space="preserve">EN standardı </w:t>
            </w:r>
            <w:r w:rsidRPr="00D53A2B">
              <w:rPr>
                <w:b w:val="0"/>
                <w:bCs/>
                <w:sz w:val="22"/>
              </w:rPr>
              <w:lastRenderedPageBreak/>
              <w:t>mevcut değil</w:t>
            </w:r>
          </w:p>
        </w:tc>
      </w:tr>
      <w:tr w:rsidR="00BC224D" w:rsidRPr="00D53A2B" w14:paraId="22CAB969" w14:textId="77777777" w:rsidTr="000E6C87">
        <w:tc>
          <w:tcPr>
            <w:tcW w:w="1412" w:type="dxa"/>
            <w:vAlign w:val="center"/>
          </w:tcPr>
          <w:p w14:paraId="69169865" w14:textId="3AF89845" w:rsidR="00BC224D" w:rsidRPr="00D53A2B" w:rsidRDefault="00BC224D" w:rsidP="00A202FD">
            <w:pPr>
              <w:pStyle w:val="MET"/>
              <w:rPr>
                <w:b w:val="0"/>
                <w:bCs/>
                <w:sz w:val="22"/>
              </w:rPr>
            </w:pPr>
            <w:r w:rsidRPr="00D53A2B">
              <w:rPr>
                <w:b w:val="0"/>
                <w:bCs/>
                <w:sz w:val="22"/>
              </w:rPr>
              <w:lastRenderedPageBreak/>
              <w:t>NH</w:t>
            </w:r>
            <w:r w:rsidRPr="00D53A2B">
              <w:rPr>
                <w:b w:val="0"/>
                <w:bCs/>
                <w:sz w:val="22"/>
                <w:vertAlign w:val="subscript"/>
              </w:rPr>
              <w:t>3</w:t>
            </w:r>
          </w:p>
        </w:tc>
        <w:tc>
          <w:tcPr>
            <w:tcW w:w="4350" w:type="dxa"/>
            <w:vAlign w:val="center"/>
          </w:tcPr>
          <w:p w14:paraId="6DF65772"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Alüminyum: MET 89</w:t>
            </w:r>
          </w:p>
          <w:p w14:paraId="1E859C17" w14:textId="77777777"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Kıymetli metaller: MET 145</w:t>
            </w:r>
          </w:p>
          <w:p w14:paraId="22E148EA" w14:textId="06C1D296" w:rsidR="00BC224D" w:rsidRPr="00D53A2B" w:rsidRDefault="00BC224D" w:rsidP="00A202FD">
            <w:pPr>
              <w:spacing w:line="264" w:lineRule="auto"/>
              <w:ind w:left="57" w:right="57"/>
              <w:jc w:val="both"/>
              <w:rPr>
                <w:bCs/>
                <w:sz w:val="22"/>
                <w:szCs w:val="22"/>
                <w:lang w:eastAsia="en-US"/>
              </w:rPr>
            </w:pPr>
            <w:r w:rsidRPr="00D53A2B">
              <w:rPr>
                <w:bCs/>
                <w:sz w:val="22"/>
                <w:szCs w:val="22"/>
                <w:lang w:eastAsia="en-US"/>
              </w:rPr>
              <w:t>Nikel, Kobalt: MET 175</w:t>
            </w:r>
          </w:p>
        </w:tc>
        <w:tc>
          <w:tcPr>
            <w:tcW w:w="2326" w:type="dxa"/>
            <w:vAlign w:val="center"/>
          </w:tcPr>
          <w:p w14:paraId="54B868C2" w14:textId="77777777" w:rsidR="00BC224D" w:rsidRPr="00D53A2B" w:rsidRDefault="00BC224D" w:rsidP="00A202FD">
            <w:pPr>
              <w:spacing w:line="264" w:lineRule="auto"/>
              <w:ind w:left="57" w:right="57"/>
              <w:jc w:val="both"/>
              <w:rPr>
                <w:bCs/>
                <w:sz w:val="22"/>
                <w:szCs w:val="22"/>
                <w:lang w:eastAsia="en-US"/>
              </w:rPr>
            </w:pPr>
          </w:p>
          <w:p w14:paraId="37B6F3E7" w14:textId="4197B105" w:rsidR="00BC224D" w:rsidRPr="00D53A2B" w:rsidRDefault="00BC224D" w:rsidP="00A202FD">
            <w:pPr>
              <w:pStyle w:val="MET"/>
              <w:rPr>
                <w:b w:val="0"/>
                <w:bCs/>
                <w:sz w:val="22"/>
              </w:rPr>
            </w:pPr>
            <w:r w:rsidRPr="00D53A2B">
              <w:rPr>
                <w:b w:val="0"/>
                <w:bCs/>
                <w:sz w:val="22"/>
              </w:rPr>
              <w:t>Yılda bir kere</w:t>
            </w:r>
          </w:p>
        </w:tc>
        <w:tc>
          <w:tcPr>
            <w:tcW w:w="838" w:type="dxa"/>
            <w:vAlign w:val="center"/>
          </w:tcPr>
          <w:p w14:paraId="00B7B5EB" w14:textId="736EDEC9" w:rsidR="00BC224D" w:rsidRPr="00D53A2B" w:rsidRDefault="00BC224D" w:rsidP="00A202FD">
            <w:pPr>
              <w:pStyle w:val="MET"/>
              <w:rPr>
                <w:b w:val="0"/>
                <w:bCs/>
                <w:sz w:val="22"/>
              </w:rPr>
            </w:pPr>
            <w:r w:rsidRPr="00D53A2B">
              <w:rPr>
                <w:b w:val="0"/>
                <w:bCs/>
                <w:sz w:val="22"/>
              </w:rPr>
              <w:t>EN standardı mevcut değil</w:t>
            </w:r>
          </w:p>
        </w:tc>
      </w:tr>
      <w:tr w:rsidR="003F158E" w:rsidRPr="00D53A2B" w14:paraId="0CD486C7" w14:textId="77777777" w:rsidTr="000E6C87">
        <w:tc>
          <w:tcPr>
            <w:tcW w:w="1412" w:type="dxa"/>
            <w:vAlign w:val="center"/>
          </w:tcPr>
          <w:p w14:paraId="5A3F0753" w14:textId="6ADDB76B" w:rsidR="003F158E" w:rsidRPr="00D53A2B" w:rsidRDefault="003F158E" w:rsidP="00A202FD">
            <w:pPr>
              <w:pStyle w:val="MET"/>
              <w:rPr>
                <w:b w:val="0"/>
                <w:bCs/>
                <w:sz w:val="22"/>
              </w:rPr>
            </w:pPr>
            <w:r w:rsidRPr="00D53A2B">
              <w:rPr>
                <w:b w:val="0"/>
                <w:bCs/>
                <w:sz w:val="22"/>
              </w:rPr>
              <w:t>Benzo-[</w:t>
            </w:r>
            <w:r w:rsidRPr="00D53A2B">
              <w:rPr>
                <w:b w:val="0"/>
                <w:bCs/>
                <w:i/>
                <w:sz w:val="22"/>
              </w:rPr>
              <w:t>a</w:t>
            </w:r>
            <w:r w:rsidRPr="00D53A2B">
              <w:rPr>
                <w:b w:val="0"/>
                <w:bCs/>
                <w:sz w:val="22"/>
              </w:rPr>
              <w:t>]-pyrene</w:t>
            </w:r>
          </w:p>
        </w:tc>
        <w:tc>
          <w:tcPr>
            <w:tcW w:w="4350" w:type="dxa"/>
            <w:vAlign w:val="center"/>
          </w:tcPr>
          <w:p w14:paraId="56D27AC8" w14:textId="77777777"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Alüminyum: MET 59, MET 60, MET 61</w:t>
            </w:r>
          </w:p>
          <w:p w14:paraId="63BD2EAF" w14:textId="77777777"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Ferro alaşımlar: MET 160</w:t>
            </w:r>
          </w:p>
          <w:p w14:paraId="3F08CFE6" w14:textId="6BB4DC38"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Karbon/grafit: MET 178, MET 179, MET 180, MET 181</w:t>
            </w:r>
          </w:p>
        </w:tc>
        <w:tc>
          <w:tcPr>
            <w:tcW w:w="2326" w:type="dxa"/>
            <w:vAlign w:val="center"/>
          </w:tcPr>
          <w:p w14:paraId="501C6EBD" w14:textId="147138B9"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Yılda bir kere</w:t>
            </w:r>
          </w:p>
        </w:tc>
        <w:tc>
          <w:tcPr>
            <w:tcW w:w="838" w:type="dxa"/>
            <w:vAlign w:val="center"/>
          </w:tcPr>
          <w:p w14:paraId="5699C5BB" w14:textId="77777777"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ISO 11338-1</w:t>
            </w:r>
          </w:p>
          <w:p w14:paraId="6DD12DBC" w14:textId="64437D6F" w:rsidR="003F158E" w:rsidRPr="00D53A2B" w:rsidRDefault="003F158E" w:rsidP="00A202FD">
            <w:pPr>
              <w:pStyle w:val="MET"/>
              <w:rPr>
                <w:b w:val="0"/>
                <w:bCs/>
                <w:sz w:val="22"/>
              </w:rPr>
            </w:pPr>
            <w:r w:rsidRPr="00D53A2B">
              <w:rPr>
                <w:b w:val="0"/>
                <w:bCs/>
                <w:sz w:val="22"/>
              </w:rPr>
              <w:t>ISO 11338-2</w:t>
            </w:r>
          </w:p>
        </w:tc>
      </w:tr>
      <w:tr w:rsidR="003F158E" w:rsidRPr="00D53A2B" w14:paraId="628C6875" w14:textId="77777777" w:rsidTr="000E6C87">
        <w:tc>
          <w:tcPr>
            <w:tcW w:w="1412" w:type="dxa"/>
            <w:vMerge w:val="restart"/>
            <w:vAlign w:val="center"/>
          </w:tcPr>
          <w:p w14:paraId="5BEFFDEA" w14:textId="735E3DD1" w:rsidR="003F158E" w:rsidRPr="00D53A2B" w:rsidRDefault="003F158E" w:rsidP="00A202FD">
            <w:pPr>
              <w:pStyle w:val="MET"/>
              <w:rPr>
                <w:b w:val="0"/>
                <w:bCs/>
                <w:sz w:val="22"/>
              </w:rPr>
            </w:pPr>
            <w:r w:rsidRPr="00D53A2B">
              <w:rPr>
                <w:b w:val="0"/>
                <w:bCs/>
                <w:sz w:val="22"/>
              </w:rPr>
              <w:t>Gaz florürler, HF olarak ifade edilir</w:t>
            </w:r>
          </w:p>
        </w:tc>
        <w:tc>
          <w:tcPr>
            <w:tcW w:w="4350" w:type="dxa"/>
            <w:vAlign w:val="center"/>
          </w:tcPr>
          <w:p w14:paraId="39518844" w14:textId="77777777"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Alüminyum:</w:t>
            </w:r>
          </w:p>
          <w:p w14:paraId="20ECD473" w14:textId="07E55C5E"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MET 60, MET 61, MET 67</w:t>
            </w:r>
          </w:p>
        </w:tc>
        <w:tc>
          <w:tcPr>
            <w:tcW w:w="2326" w:type="dxa"/>
            <w:vAlign w:val="center"/>
          </w:tcPr>
          <w:p w14:paraId="389EFC78" w14:textId="05153674"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Sürekli (</w:t>
            </w:r>
            <w:r w:rsidRPr="00D53A2B">
              <w:rPr>
                <w:bCs/>
                <w:sz w:val="22"/>
                <w:szCs w:val="22"/>
                <w:vertAlign w:val="superscript"/>
                <w:lang w:eastAsia="en-US"/>
              </w:rPr>
              <w:t>1</w:t>
            </w:r>
            <w:r w:rsidRPr="00D53A2B">
              <w:rPr>
                <w:bCs/>
                <w:sz w:val="22"/>
                <w:szCs w:val="22"/>
                <w:lang w:eastAsia="en-US"/>
              </w:rPr>
              <w:t>)</w:t>
            </w:r>
          </w:p>
        </w:tc>
        <w:tc>
          <w:tcPr>
            <w:tcW w:w="838" w:type="dxa"/>
            <w:vMerge w:val="restart"/>
            <w:vAlign w:val="center"/>
          </w:tcPr>
          <w:p w14:paraId="46486661" w14:textId="163E5DD4" w:rsidR="003F158E" w:rsidRPr="00D53A2B" w:rsidRDefault="003F158E" w:rsidP="00A202FD">
            <w:pPr>
              <w:pStyle w:val="MET"/>
              <w:rPr>
                <w:b w:val="0"/>
                <w:bCs/>
                <w:sz w:val="22"/>
              </w:rPr>
            </w:pPr>
            <w:r w:rsidRPr="00D53A2B">
              <w:rPr>
                <w:b w:val="0"/>
                <w:bCs/>
                <w:sz w:val="22"/>
              </w:rPr>
              <w:t>ISO 15713</w:t>
            </w:r>
          </w:p>
        </w:tc>
      </w:tr>
      <w:tr w:rsidR="003F158E" w:rsidRPr="00D53A2B" w14:paraId="32F490C5" w14:textId="77777777" w:rsidTr="000E6C87">
        <w:tc>
          <w:tcPr>
            <w:tcW w:w="1412" w:type="dxa"/>
            <w:vMerge/>
            <w:vAlign w:val="center"/>
          </w:tcPr>
          <w:p w14:paraId="26134648" w14:textId="77777777" w:rsidR="003F158E" w:rsidRPr="00D53A2B" w:rsidRDefault="003F158E" w:rsidP="00A202FD">
            <w:pPr>
              <w:pStyle w:val="MET"/>
              <w:rPr>
                <w:b w:val="0"/>
                <w:bCs/>
                <w:sz w:val="22"/>
              </w:rPr>
            </w:pPr>
          </w:p>
        </w:tc>
        <w:tc>
          <w:tcPr>
            <w:tcW w:w="4350" w:type="dxa"/>
            <w:vAlign w:val="center"/>
          </w:tcPr>
          <w:p w14:paraId="19D6AB60" w14:textId="77777777"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Alüminyum:</w:t>
            </w:r>
          </w:p>
          <w:p w14:paraId="5B79544B" w14:textId="77777777"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MET 60, MET 67, MET 84</w:t>
            </w:r>
          </w:p>
          <w:p w14:paraId="58A3B9F4" w14:textId="77777777"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Çinko, Kadmiyum:</w:t>
            </w:r>
          </w:p>
          <w:p w14:paraId="4C7C0170" w14:textId="1C21B762"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MET 124</w:t>
            </w:r>
          </w:p>
        </w:tc>
        <w:tc>
          <w:tcPr>
            <w:tcW w:w="2326" w:type="dxa"/>
            <w:vAlign w:val="center"/>
          </w:tcPr>
          <w:p w14:paraId="4C4FF1E4" w14:textId="5484FA19"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Yılda bir kere (</w:t>
            </w:r>
            <w:r w:rsidRPr="00D53A2B">
              <w:rPr>
                <w:bCs/>
                <w:sz w:val="22"/>
                <w:szCs w:val="22"/>
                <w:vertAlign w:val="superscript"/>
                <w:lang w:eastAsia="en-US"/>
              </w:rPr>
              <w:t>1</w:t>
            </w:r>
            <w:r w:rsidRPr="00D53A2B">
              <w:rPr>
                <w:bCs/>
                <w:sz w:val="22"/>
                <w:szCs w:val="22"/>
                <w:lang w:eastAsia="en-US"/>
              </w:rPr>
              <w:t>)</w:t>
            </w:r>
          </w:p>
        </w:tc>
        <w:tc>
          <w:tcPr>
            <w:tcW w:w="838" w:type="dxa"/>
            <w:vMerge/>
            <w:vAlign w:val="center"/>
          </w:tcPr>
          <w:p w14:paraId="31FF8741" w14:textId="77777777" w:rsidR="003F158E" w:rsidRPr="00D53A2B" w:rsidRDefault="003F158E" w:rsidP="00A202FD">
            <w:pPr>
              <w:pStyle w:val="MET"/>
              <w:rPr>
                <w:b w:val="0"/>
                <w:bCs/>
                <w:sz w:val="22"/>
              </w:rPr>
            </w:pPr>
          </w:p>
        </w:tc>
      </w:tr>
      <w:tr w:rsidR="003F158E" w:rsidRPr="00D53A2B" w14:paraId="65C3177A" w14:textId="77777777" w:rsidTr="000E6C87">
        <w:tc>
          <w:tcPr>
            <w:tcW w:w="1412" w:type="dxa"/>
            <w:vAlign w:val="center"/>
          </w:tcPr>
          <w:p w14:paraId="3FFC465E" w14:textId="3BF789DD" w:rsidR="003F158E" w:rsidRPr="00D53A2B" w:rsidRDefault="003F158E" w:rsidP="00A202FD">
            <w:pPr>
              <w:pStyle w:val="MET"/>
              <w:rPr>
                <w:b w:val="0"/>
                <w:bCs/>
                <w:sz w:val="22"/>
              </w:rPr>
            </w:pPr>
            <w:r w:rsidRPr="00D53A2B">
              <w:rPr>
                <w:b w:val="0"/>
                <w:bCs/>
                <w:sz w:val="22"/>
              </w:rPr>
              <w:t>Toplam florürler</w:t>
            </w:r>
          </w:p>
        </w:tc>
        <w:tc>
          <w:tcPr>
            <w:tcW w:w="4350" w:type="dxa"/>
            <w:vAlign w:val="center"/>
          </w:tcPr>
          <w:p w14:paraId="4C245166" w14:textId="2270B9AE"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Alüminyum: MET 60, MET 67</w:t>
            </w:r>
          </w:p>
        </w:tc>
        <w:tc>
          <w:tcPr>
            <w:tcW w:w="2326" w:type="dxa"/>
            <w:vAlign w:val="center"/>
          </w:tcPr>
          <w:p w14:paraId="28539A4F" w14:textId="59900C3F"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Yılda bir kere</w:t>
            </w:r>
          </w:p>
        </w:tc>
        <w:tc>
          <w:tcPr>
            <w:tcW w:w="838" w:type="dxa"/>
            <w:vAlign w:val="center"/>
          </w:tcPr>
          <w:p w14:paraId="2A53A3E3" w14:textId="0632A408" w:rsidR="003F158E" w:rsidRPr="00D53A2B" w:rsidRDefault="003F158E" w:rsidP="00A202FD">
            <w:pPr>
              <w:pStyle w:val="MET"/>
              <w:rPr>
                <w:b w:val="0"/>
                <w:bCs/>
                <w:sz w:val="22"/>
              </w:rPr>
            </w:pPr>
            <w:r w:rsidRPr="00D53A2B">
              <w:rPr>
                <w:b w:val="0"/>
                <w:bCs/>
                <w:sz w:val="22"/>
              </w:rPr>
              <w:t>EN standardı mevcut değil</w:t>
            </w:r>
          </w:p>
        </w:tc>
      </w:tr>
      <w:tr w:rsidR="003F158E" w:rsidRPr="00D53A2B" w14:paraId="05C6358D" w14:textId="77777777" w:rsidTr="000E6C87">
        <w:tc>
          <w:tcPr>
            <w:tcW w:w="1412" w:type="dxa"/>
            <w:vMerge w:val="restart"/>
            <w:vAlign w:val="center"/>
          </w:tcPr>
          <w:p w14:paraId="53358A80" w14:textId="1A18B1CF" w:rsidR="003F158E" w:rsidRPr="00D53A2B" w:rsidRDefault="003F158E" w:rsidP="00A202FD">
            <w:pPr>
              <w:pStyle w:val="MET"/>
              <w:rPr>
                <w:b w:val="0"/>
                <w:bCs/>
                <w:sz w:val="22"/>
              </w:rPr>
            </w:pPr>
            <w:r w:rsidRPr="00D53A2B">
              <w:rPr>
                <w:b w:val="0"/>
                <w:bCs/>
                <w:sz w:val="22"/>
              </w:rPr>
              <w:t>Gaz klorürler, HCl olarak ifade edilir</w:t>
            </w:r>
          </w:p>
        </w:tc>
        <w:tc>
          <w:tcPr>
            <w:tcW w:w="4350" w:type="dxa"/>
            <w:vAlign w:val="center"/>
          </w:tcPr>
          <w:p w14:paraId="480F4158" w14:textId="64676AB1"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Alüminyum: MET 84</w:t>
            </w:r>
          </w:p>
        </w:tc>
        <w:tc>
          <w:tcPr>
            <w:tcW w:w="2326" w:type="dxa"/>
            <w:vAlign w:val="center"/>
          </w:tcPr>
          <w:p w14:paraId="0C4A9594" w14:textId="5C30C960"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Sürekli ya da yılda bir kere (</w:t>
            </w:r>
            <w:r w:rsidRPr="00D53A2B">
              <w:rPr>
                <w:bCs/>
                <w:sz w:val="22"/>
                <w:szCs w:val="22"/>
                <w:vertAlign w:val="superscript"/>
                <w:lang w:eastAsia="en-US"/>
              </w:rPr>
              <w:t>1</w:t>
            </w:r>
            <w:r w:rsidRPr="00D53A2B">
              <w:rPr>
                <w:bCs/>
                <w:sz w:val="22"/>
                <w:szCs w:val="22"/>
                <w:lang w:eastAsia="en-US"/>
              </w:rPr>
              <w:t>)</w:t>
            </w:r>
          </w:p>
        </w:tc>
        <w:tc>
          <w:tcPr>
            <w:tcW w:w="838" w:type="dxa"/>
            <w:vMerge w:val="restart"/>
            <w:vAlign w:val="center"/>
          </w:tcPr>
          <w:p w14:paraId="2459029E" w14:textId="232D6C50" w:rsidR="003F158E" w:rsidRPr="00D53A2B" w:rsidRDefault="0023315C" w:rsidP="00A202FD">
            <w:pPr>
              <w:pStyle w:val="MET"/>
              <w:rPr>
                <w:b w:val="0"/>
                <w:bCs/>
                <w:sz w:val="22"/>
              </w:rPr>
            </w:pPr>
            <w:r w:rsidRPr="00D53A2B">
              <w:rPr>
                <w:b w:val="0"/>
                <w:bCs/>
                <w:sz w:val="22"/>
              </w:rPr>
              <w:t xml:space="preserve">TS </w:t>
            </w:r>
            <w:r w:rsidR="003F158E" w:rsidRPr="00D53A2B">
              <w:rPr>
                <w:b w:val="0"/>
                <w:bCs/>
                <w:sz w:val="22"/>
              </w:rPr>
              <w:t>EN 1911</w:t>
            </w:r>
          </w:p>
        </w:tc>
      </w:tr>
      <w:tr w:rsidR="003F158E" w:rsidRPr="00D53A2B" w14:paraId="5C6D6C61" w14:textId="77777777" w:rsidTr="000E6C87">
        <w:tc>
          <w:tcPr>
            <w:tcW w:w="1412" w:type="dxa"/>
            <w:vMerge/>
            <w:vAlign w:val="center"/>
          </w:tcPr>
          <w:p w14:paraId="2ABB7E92" w14:textId="77777777" w:rsidR="003F158E" w:rsidRPr="00D53A2B" w:rsidRDefault="003F158E" w:rsidP="00A202FD">
            <w:pPr>
              <w:pStyle w:val="MET"/>
              <w:rPr>
                <w:b w:val="0"/>
                <w:bCs/>
                <w:sz w:val="22"/>
              </w:rPr>
            </w:pPr>
          </w:p>
        </w:tc>
        <w:tc>
          <w:tcPr>
            <w:tcW w:w="4350" w:type="dxa"/>
            <w:vAlign w:val="center"/>
          </w:tcPr>
          <w:p w14:paraId="6E750355" w14:textId="77777777"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Çinko, Kadmiyum: MET 124</w:t>
            </w:r>
          </w:p>
          <w:p w14:paraId="75F36AD9" w14:textId="1A0DB776"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Kıymetli metaller: MET 144</w:t>
            </w:r>
          </w:p>
        </w:tc>
        <w:tc>
          <w:tcPr>
            <w:tcW w:w="2326" w:type="dxa"/>
            <w:vAlign w:val="center"/>
          </w:tcPr>
          <w:p w14:paraId="1656EF6F" w14:textId="56AA5B6A"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Yılda bir kere</w:t>
            </w:r>
          </w:p>
        </w:tc>
        <w:tc>
          <w:tcPr>
            <w:tcW w:w="838" w:type="dxa"/>
            <w:vMerge/>
            <w:vAlign w:val="center"/>
          </w:tcPr>
          <w:p w14:paraId="202C3EAE" w14:textId="77777777" w:rsidR="003F158E" w:rsidRPr="00D53A2B" w:rsidRDefault="003F158E" w:rsidP="00A202FD">
            <w:pPr>
              <w:pStyle w:val="MET"/>
              <w:rPr>
                <w:b w:val="0"/>
                <w:bCs/>
                <w:sz w:val="22"/>
              </w:rPr>
            </w:pPr>
          </w:p>
        </w:tc>
      </w:tr>
      <w:tr w:rsidR="003F158E" w:rsidRPr="00D53A2B" w14:paraId="47178E31" w14:textId="77777777" w:rsidTr="000E6C87">
        <w:tc>
          <w:tcPr>
            <w:tcW w:w="1412" w:type="dxa"/>
            <w:vAlign w:val="center"/>
          </w:tcPr>
          <w:p w14:paraId="2378A150" w14:textId="2B3C52EF" w:rsidR="003F158E" w:rsidRPr="00D53A2B" w:rsidRDefault="003F158E" w:rsidP="00A202FD">
            <w:pPr>
              <w:pStyle w:val="MET"/>
              <w:rPr>
                <w:b w:val="0"/>
                <w:bCs/>
                <w:sz w:val="22"/>
              </w:rPr>
            </w:pPr>
            <w:r w:rsidRPr="00D53A2B">
              <w:rPr>
                <w:b w:val="0"/>
                <w:bCs/>
                <w:sz w:val="22"/>
              </w:rPr>
              <w:t>Cl</w:t>
            </w:r>
            <w:r w:rsidRPr="00D53A2B">
              <w:rPr>
                <w:b w:val="0"/>
                <w:bCs/>
                <w:sz w:val="22"/>
                <w:vertAlign w:val="subscript"/>
              </w:rPr>
              <w:t>2</w:t>
            </w:r>
          </w:p>
        </w:tc>
        <w:tc>
          <w:tcPr>
            <w:tcW w:w="4350" w:type="dxa"/>
            <w:vAlign w:val="center"/>
          </w:tcPr>
          <w:p w14:paraId="1B43ECC8" w14:textId="77777777"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Alüminyum: MET 84</w:t>
            </w:r>
          </w:p>
          <w:p w14:paraId="17DF7001" w14:textId="77777777"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Kıymetli metaller: MET 144</w:t>
            </w:r>
          </w:p>
          <w:p w14:paraId="65D1509A" w14:textId="71D88471"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Nikel, Kobalt: MET 172</w:t>
            </w:r>
          </w:p>
        </w:tc>
        <w:tc>
          <w:tcPr>
            <w:tcW w:w="2326" w:type="dxa"/>
            <w:vAlign w:val="center"/>
          </w:tcPr>
          <w:p w14:paraId="2A0E1C48" w14:textId="6081CECB"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Yılda bir kere</w:t>
            </w:r>
          </w:p>
        </w:tc>
        <w:tc>
          <w:tcPr>
            <w:tcW w:w="838" w:type="dxa"/>
            <w:vAlign w:val="center"/>
          </w:tcPr>
          <w:p w14:paraId="7A5FC50D" w14:textId="772C8C1D" w:rsidR="003F158E" w:rsidRPr="00D53A2B" w:rsidRDefault="003F158E" w:rsidP="00A202FD">
            <w:pPr>
              <w:pStyle w:val="MET"/>
              <w:rPr>
                <w:b w:val="0"/>
                <w:bCs/>
                <w:sz w:val="22"/>
              </w:rPr>
            </w:pPr>
            <w:r w:rsidRPr="00D53A2B">
              <w:rPr>
                <w:b w:val="0"/>
                <w:bCs/>
                <w:sz w:val="22"/>
              </w:rPr>
              <w:t>EN standardı mevcut değil</w:t>
            </w:r>
          </w:p>
        </w:tc>
      </w:tr>
      <w:tr w:rsidR="003F158E" w:rsidRPr="00D53A2B" w14:paraId="63A77BD7" w14:textId="77777777" w:rsidTr="000E6C87">
        <w:tc>
          <w:tcPr>
            <w:tcW w:w="1412" w:type="dxa"/>
            <w:vAlign w:val="center"/>
          </w:tcPr>
          <w:p w14:paraId="665FC560" w14:textId="444657BE" w:rsidR="003F158E" w:rsidRPr="00D53A2B" w:rsidRDefault="003F158E" w:rsidP="00A202FD">
            <w:pPr>
              <w:pStyle w:val="MET"/>
              <w:rPr>
                <w:b w:val="0"/>
                <w:bCs/>
                <w:sz w:val="22"/>
              </w:rPr>
            </w:pPr>
            <w:r w:rsidRPr="00D53A2B">
              <w:rPr>
                <w:b w:val="0"/>
                <w:bCs/>
                <w:sz w:val="22"/>
              </w:rPr>
              <w:t>H</w:t>
            </w:r>
            <w:r w:rsidRPr="00D53A2B">
              <w:rPr>
                <w:b w:val="0"/>
                <w:bCs/>
                <w:sz w:val="22"/>
                <w:vertAlign w:val="subscript"/>
              </w:rPr>
              <w:t>2</w:t>
            </w:r>
            <w:r w:rsidRPr="00D53A2B">
              <w:rPr>
                <w:b w:val="0"/>
                <w:bCs/>
                <w:sz w:val="22"/>
              </w:rPr>
              <w:t>S</w:t>
            </w:r>
          </w:p>
        </w:tc>
        <w:tc>
          <w:tcPr>
            <w:tcW w:w="4350" w:type="dxa"/>
            <w:vAlign w:val="center"/>
          </w:tcPr>
          <w:p w14:paraId="0323EFF6" w14:textId="1A5DD817"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Alüminyum: MET 89</w:t>
            </w:r>
          </w:p>
        </w:tc>
        <w:tc>
          <w:tcPr>
            <w:tcW w:w="2326" w:type="dxa"/>
            <w:vAlign w:val="center"/>
          </w:tcPr>
          <w:p w14:paraId="14B95C0E" w14:textId="6EE7210D"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Yılda bir kere</w:t>
            </w:r>
          </w:p>
        </w:tc>
        <w:tc>
          <w:tcPr>
            <w:tcW w:w="838" w:type="dxa"/>
            <w:vAlign w:val="center"/>
          </w:tcPr>
          <w:p w14:paraId="260D3498" w14:textId="0308362A" w:rsidR="003F158E" w:rsidRPr="00D53A2B" w:rsidRDefault="003F158E" w:rsidP="00A202FD">
            <w:pPr>
              <w:pStyle w:val="MET"/>
              <w:rPr>
                <w:b w:val="0"/>
                <w:bCs/>
                <w:sz w:val="22"/>
              </w:rPr>
            </w:pPr>
            <w:r w:rsidRPr="00D53A2B">
              <w:rPr>
                <w:b w:val="0"/>
                <w:bCs/>
                <w:sz w:val="22"/>
              </w:rPr>
              <w:t>EN standardı mevcut değil</w:t>
            </w:r>
          </w:p>
        </w:tc>
      </w:tr>
      <w:tr w:rsidR="003F158E" w:rsidRPr="00D53A2B" w14:paraId="6D37D665" w14:textId="77777777" w:rsidTr="000E6C87">
        <w:tc>
          <w:tcPr>
            <w:tcW w:w="1412" w:type="dxa"/>
            <w:vAlign w:val="center"/>
          </w:tcPr>
          <w:p w14:paraId="1B390267" w14:textId="59A0E159" w:rsidR="003F158E" w:rsidRPr="00D53A2B" w:rsidRDefault="003F158E" w:rsidP="00A202FD">
            <w:pPr>
              <w:pStyle w:val="MET"/>
              <w:rPr>
                <w:b w:val="0"/>
                <w:bCs/>
                <w:sz w:val="22"/>
              </w:rPr>
            </w:pPr>
            <w:r w:rsidRPr="00D53A2B">
              <w:rPr>
                <w:b w:val="0"/>
                <w:bCs/>
                <w:sz w:val="22"/>
              </w:rPr>
              <w:t>PH</w:t>
            </w:r>
            <w:r w:rsidRPr="00D53A2B">
              <w:rPr>
                <w:b w:val="0"/>
                <w:bCs/>
                <w:sz w:val="22"/>
                <w:vertAlign w:val="subscript"/>
              </w:rPr>
              <w:t>3</w:t>
            </w:r>
          </w:p>
        </w:tc>
        <w:tc>
          <w:tcPr>
            <w:tcW w:w="4350" w:type="dxa"/>
            <w:vAlign w:val="center"/>
          </w:tcPr>
          <w:p w14:paraId="751DE3B6" w14:textId="1D37B9B5"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Alüminyum: MET 89</w:t>
            </w:r>
          </w:p>
        </w:tc>
        <w:tc>
          <w:tcPr>
            <w:tcW w:w="2326" w:type="dxa"/>
            <w:vAlign w:val="center"/>
          </w:tcPr>
          <w:p w14:paraId="16B5A319" w14:textId="33EBF1B9"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Yılda bir kere</w:t>
            </w:r>
          </w:p>
        </w:tc>
        <w:tc>
          <w:tcPr>
            <w:tcW w:w="838" w:type="dxa"/>
            <w:vAlign w:val="center"/>
          </w:tcPr>
          <w:p w14:paraId="513EB1CD" w14:textId="6D12A606" w:rsidR="003F158E" w:rsidRPr="00D53A2B" w:rsidRDefault="003F158E" w:rsidP="00A202FD">
            <w:pPr>
              <w:pStyle w:val="MET"/>
              <w:rPr>
                <w:b w:val="0"/>
                <w:bCs/>
                <w:sz w:val="22"/>
              </w:rPr>
            </w:pPr>
            <w:r w:rsidRPr="00D53A2B">
              <w:rPr>
                <w:b w:val="0"/>
                <w:bCs/>
                <w:sz w:val="22"/>
              </w:rPr>
              <w:t>EN standardı mevcut değil</w:t>
            </w:r>
          </w:p>
        </w:tc>
      </w:tr>
      <w:tr w:rsidR="003F158E" w:rsidRPr="00D53A2B" w14:paraId="2197E8FB" w14:textId="77777777" w:rsidTr="000E6C87">
        <w:tc>
          <w:tcPr>
            <w:tcW w:w="1412" w:type="dxa"/>
            <w:vAlign w:val="center"/>
          </w:tcPr>
          <w:p w14:paraId="7637A867" w14:textId="0BF1FE8F" w:rsidR="003F158E" w:rsidRPr="00D53A2B" w:rsidRDefault="003F158E" w:rsidP="00A202FD">
            <w:pPr>
              <w:pStyle w:val="MET"/>
              <w:rPr>
                <w:b w:val="0"/>
                <w:bCs/>
                <w:sz w:val="22"/>
              </w:rPr>
            </w:pPr>
            <w:r w:rsidRPr="00D53A2B">
              <w:rPr>
                <w:b w:val="0"/>
                <w:bCs/>
                <w:sz w:val="22"/>
              </w:rPr>
              <w:t>AsH</w:t>
            </w:r>
            <w:r w:rsidRPr="00D53A2B">
              <w:rPr>
                <w:b w:val="0"/>
                <w:bCs/>
                <w:sz w:val="22"/>
                <w:vertAlign w:val="subscript"/>
              </w:rPr>
              <w:t>3</w:t>
            </w:r>
            <w:r w:rsidRPr="00D53A2B">
              <w:rPr>
                <w:b w:val="0"/>
                <w:bCs/>
                <w:sz w:val="22"/>
              </w:rPr>
              <w:t xml:space="preserve"> ve SbH</w:t>
            </w:r>
            <w:r w:rsidRPr="00D53A2B">
              <w:rPr>
                <w:b w:val="0"/>
                <w:bCs/>
                <w:sz w:val="22"/>
                <w:vertAlign w:val="subscript"/>
              </w:rPr>
              <w:t>3</w:t>
            </w:r>
            <w:r w:rsidRPr="00D53A2B">
              <w:rPr>
                <w:b w:val="0"/>
                <w:bCs/>
                <w:sz w:val="22"/>
              </w:rPr>
              <w:t xml:space="preserve"> toplamı</w:t>
            </w:r>
          </w:p>
        </w:tc>
        <w:tc>
          <w:tcPr>
            <w:tcW w:w="4350" w:type="dxa"/>
            <w:vAlign w:val="center"/>
          </w:tcPr>
          <w:p w14:paraId="50445C0C" w14:textId="7DDC15F0"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Çinko, Kadmiyum: MET 114</w:t>
            </w:r>
          </w:p>
        </w:tc>
        <w:tc>
          <w:tcPr>
            <w:tcW w:w="2326" w:type="dxa"/>
            <w:vAlign w:val="center"/>
          </w:tcPr>
          <w:p w14:paraId="698C1019" w14:textId="7DA525BD" w:rsidR="003F158E" w:rsidRPr="00D53A2B" w:rsidRDefault="003F158E" w:rsidP="00A202FD">
            <w:pPr>
              <w:spacing w:line="264" w:lineRule="auto"/>
              <w:ind w:left="57" w:right="57"/>
              <w:jc w:val="both"/>
              <w:rPr>
                <w:bCs/>
                <w:sz w:val="22"/>
                <w:szCs w:val="22"/>
                <w:lang w:eastAsia="en-US"/>
              </w:rPr>
            </w:pPr>
            <w:r w:rsidRPr="00D53A2B">
              <w:rPr>
                <w:bCs/>
                <w:sz w:val="22"/>
                <w:szCs w:val="22"/>
                <w:lang w:eastAsia="en-US"/>
              </w:rPr>
              <w:t>Yılda bir kere</w:t>
            </w:r>
          </w:p>
        </w:tc>
        <w:tc>
          <w:tcPr>
            <w:tcW w:w="838" w:type="dxa"/>
            <w:vAlign w:val="center"/>
          </w:tcPr>
          <w:p w14:paraId="3D5283D2" w14:textId="7F7819EE" w:rsidR="003F158E" w:rsidRPr="00D53A2B" w:rsidRDefault="003F158E" w:rsidP="00A202FD">
            <w:pPr>
              <w:pStyle w:val="MET"/>
              <w:rPr>
                <w:b w:val="0"/>
                <w:bCs/>
                <w:sz w:val="22"/>
              </w:rPr>
            </w:pPr>
            <w:r w:rsidRPr="00D53A2B">
              <w:rPr>
                <w:b w:val="0"/>
                <w:bCs/>
                <w:sz w:val="22"/>
              </w:rPr>
              <w:t>EN standardı mevcut değil</w:t>
            </w:r>
          </w:p>
        </w:tc>
      </w:tr>
      <w:tr w:rsidR="003F158E" w:rsidRPr="00D53A2B" w14:paraId="4F5F625D" w14:textId="77777777" w:rsidTr="000E6C87">
        <w:tc>
          <w:tcPr>
            <w:tcW w:w="8926" w:type="dxa"/>
            <w:gridSpan w:val="4"/>
            <w:vAlign w:val="center"/>
          </w:tcPr>
          <w:p w14:paraId="5F06C5F8" w14:textId="6F7CD8CA" w:rsidR="003F158E" w:rsidRPr="00D53A2B" w:rsidRDefault="006F0F83" w:rsidP="00A202FD">
            <w:pPr>
              <w:pStyle w:val="MET"/>
              <w:rPr>
                <w:b w:val="0"/>
                <w:bCs/>
                <w:sz w:val="20"/>
                <w:szCs w:val="20"/>
              </w:rPr>
            </w:pPr>
            <w:r w:rsidRPr="00D53A2B">
              <w:rPr>
                <w:b w:val="0"/>
                <w:bCs/>
                <w:sz w:val="20"/>
                <w:szCs w:val="20"/>
              </w:rPr>
              <w:t>Not: “diğer demir dışı metaller”, Bölüm 1.2 ila 1.8</w:t>
            </w:r>
            <w:r w:rsidR="00E56504" w:rsidRPr="00D53A2B">
              <w:rPr>
                <w:b w:val="0"/>
                <w:bCs/>
                <w:sz w:val="20"/>
                <w:szCs w:val="20"/>
              </w:rPr>
              <w:t>’</w:t>
            </w:r>
            <w:r w:rsidRPr="00D53A2B">
              <w:rPr>
                <w:b w:val="0"/>
                <w:bCs/>
                <w:sz w:val="20"/>
                <w:szCs w:val="20"/>
              </w:rPr>
              <w:t>de özel olarak ele alınanlar dışındaki demir dışı metallerin üretimi anlamına gelmektedir.</w:t>
            </w:r>
          </w:p>
          <w:p w14:paraId="1066F61E" w14:textId="77777777" w:rsidR="006F0F83" w:rsidRPr="00D53A2B" w:rsidRDefault="006F0F83" w:rsidP="00A202FD">
            <w:pPr>
              <w:pStyle w:val="MET"/>
              <w:rPr>
                <w:b w:val="0"/>
                <w:bCs/>
                <w:sz w:val="20"/>
                <w:szCs w:val="20"/>
              </w:rPr>
            </w:pPr>
            <w:r w:rsidRPr="00D53A2B">
              <w:rPr>
                <w:b w:val="0"/>
                <w:bCs/>
                <w:sz w:val="20"/>
                <w:szCs w:val="20"/>
              </w:rPr>
              <w:t xml:space="preserve">( 1 ) Yüksek emisyon kaynakları için MET, sürekli ölçüm veya sürekli ölçümün uygulanabilir olmadığı durumlarda daha sık periyodik izlemedir. </w:t>
            </w:r>
          </w:p>
          <w:p w14:paraId="6B444FAB" w14:textId="77777777" w:rsidR="006F0F83" w:rsidRPr="00D53A2B" w:rsidRDefault="006F0F83" w:rsidP="00A202FD">
            <w:pPr>
              <w:pStyle w:val="MET"/>
              <w:rPr>
                <w:b w:val="0"/>
                <w:bCs/>
                <w:sz w:val="20"/>
                <w:szCs w:val="20"/>
              </w:rPr>
            </w:pPr>
            <w:r w:rsidRPr="00D53A2B">
              <w:rPr>
                <w:b w:val="0"/>
                <w:bCs/>
                <w:sz w:val="20"/>
                <w:szCs w:val="20"/>
              </w:rPr>
              <w:t xml:space="preserve">( 2 ) Hammaddelerin depolanması ve taşınmasından kaynaklanan toz emisyonlarının küçük kaynakları (&lt; 10 000 Nm 3 /h) için izleme, vekil parametrelerin (basınç düşüşü gibi) ölçümüne dayanabilir. </w:t>
            </w:r>
          </w:p>
          <w:p w14:paraId="47641C1D" w14:textId="77777777" w:rsidR="006F0F83" w:rsidRPr="00D53A2B" w:rsidRDefault="006F0F83" w:rsidP="00A202FD">
            <w:pPr>
              <w:pStyle w:val="MET"/>
              <w:rPr>
                <w:b w:val="0"/>
                <w:bCs/>
                <w:sz w:val="20"/>
                <w:szCs w:val="20"/>
              </w:rPr>
            </w:pPr>
            <w:r w:rsidRPr="00D53A2B">
              <w:rPr>
                <w:b w:val="0"/>
                <w:bCs/>
                <w:sz w:val="20"/>
                <w:szCs w:val="20"/>
              </w:rPr>
              <w:t xml:space="preserve">( 3 ) İzlenecek metaller, kullanılan hammaddelerin bileşimine bağlıdır. </w:t>
            </w:r>
          </w:p>
          <w:p w14:paraId="56600DD1" w14:textId="77777777" w:rsidR="006F0F83" w:rsidRPr="00D53A2B" w:rsidRDefault="006F0F83" w:rsidP="00A202FD">
            <w:pPr>
              <w:pStyle w:val="MET"/>
              <w:rPr>
                <w:b w:val="0"/>
                <w:bCs/>
                <w:sz w:val="20"/>
                <w:szCs w:val="20"/>
              </w:rPr>
            </w:pPr>
            <w:r w:rsidRPr="00D53A2B">
              <w:rPr>
                <w:b w:val="0"/>
                <w:bCs/>
                <w:sz w:val="20"/>
                <w:szCs w:val="20"/>
              </w:rPr>
              <w:lastRenderedPageBreak/>
              <w:t xml:space="preserve">( 4 ) MET 69(a) ile ilgili olarak, tüketilen anot partilerinin her birinin sülfür içeriğinin ölçümüne dayalı olarak SO 2 emisyonlarını hesaplamak için bir kütle dengesi kullanılabilir. </w:t>
            </w:r>
          </w:p>
          <w:p w14:paraId="76926543" w14:textId="77777777" w:rsidR="006F0F83" w:rsidRPr="00D53A2B" w:rsidRDefault="006F0F83" w:rsidP="00A202FD">
            <w:pPr>
              <w:pStyle w:val="MET"/>
              <w:rPr>
                <w:b w:val="0"/>
                <w:bCs/>
                <w:sz w:val="20"/>
                <w:szCs w:val="20"/>
              </w:rPr>
            </w:pPr>
            <w:r w:rsidRPr="00D53A2B">
              <w:rPr>
                <w:b w:val="0"/>
                <w:bCs/>
                <w:sz w:val="20"/>
                <w:szCs w:val="20"/>
              </w:rPr>
              <w:t xml:space="preserve">( 5 ) Kullanılan hammaddelerin halojenli organik bileşik içeriği, sıcaklık profili vb. faktörler göz önünde bulundurulduğunda ilgili olduğunda </w:t>
            </w:r>
          </w:p>
          <w:p w14:paraId="6287E2F8" w14:textId="77777777" w:rsidR="006F0F83" w:rsidRPr="00D53A2B" w:rsidRDefault="006F0F83" w:rsidP="00A202FD">
            <w:pPr>
              <w:pStyle w:val="MET"/>
              <w:rPr>
                <w:b w:val="0"/>
                <w:bCs/>
                <w:sz w:val="20"/>
                <w:szCs w:val="20"/>
              </w:rPr>
            </w:pPr>
            <w:r w:rsidRPr="00D53A2B">
              <w:rPr>
                <w:b w:val="0"/>
                <w:bCs/>
                <w:sz w:val="20"/>
                <w:szCs w:val="20"/>
              </w:rPr>
              <w:t xml:space="preserve">( 6 ) Hammaddeler sülfür içerdiğinde izleme önemlidir. </w:t>
            </w:r>
          </w:p>
          <w:p w14:paraId="36E7B985" w14:textId="77777777" w:rsidR="006F0F83" w:rsidRPr="00D53A2B" w:rsidRDefault="006F0F83" w:rsidP="00A202FD">
            <w:pPr>
              <w:pStyle w:val="MET"/>
              <w:rPr>
                <w:b w:val="0"/>
                <w:bCs/>
                <w:sz w:val="20"/>
                <w:szCs w:val="20"/>
              </w:rPr>
            </w:pPr>
            <w:r w:rsidRPr="00D53A2B">
              <w:rPr>
                <w:b w:val="0"/>
                <w:bCs/>
                <w:sz w:val="20"/>
                <w:szCs w:val="20"/>
              </w:rPr>
              <w:t xml:space="preserve">( 7 ) İzleme, hidrometalurjik prosesler için uygun olmayabilir. </w:t>
            </w:r>
          </w:p>
          <w:p w14:paraId="4AC053E5" w14:textId="121B285A" w:rsidR="006F0F83" w:rsidRPr="00D53A2B" w:rsidRDefault="006F0F83" w:rsidP="00A202FD">
            <w:pPr>
              <w:pStyle w:val="MET"/>
              <w:rPr>
                <w:b w:val="0"/>
                <w:bCs/>
                <w:sz w:val="22"/>
              </w:rPr>
            </w:pPr>
            <w:r w:rsidRPr="00D53A2B">
              <w:rPr>
                <w:b w:val="0"/>
                <w:bCs/>
                <w:sz w:val="22"/>
              </w:rPr>
              <w:t xml:space="preserve">( </w:t>
            </w:r>
            <w:r w:rsidRPr="00D53A2B">
              <w:rPr>
                <w:b w:val="0"/>
                <w:bCs/>
                <w:sz w:val="20"/>
                <w:szCs w:val="20"/>
              </w:rPr>
              <w:t>8 ) Kullanılan hammaddelerin organik bileşik içeriği</w:t>
            </w:r>
            <w:r w:rsidRPr="00D53A2B">
              <w:rPr>
                <w:b w:val="0"/>
                <w:bCs/>
                <w:sz w:val="22"/>
              </w:rPr>
              <w:t xml:space="preserve"> göz önüne alındığında ilgili olduğunda.</w:t>
            </w:r>
          </w:p>
        </w:tc>
      </w:tr>
    </w:tbl>
    <w:p w14:paraId="18B17B81" w14:textId="77777777" w:rsidR="00374C56" w:rsidRPr="00D53A2B" w:rsidRDefault="00374C56" w:rsidP="00A202FD">
      <w:pPr>
        <w:jc w:val="both"/>
        <w:rPr>
          <w:lang w:eastAsia="en-US"/>
        </w:rPr>
      </w:pPr>
    </w:p>
    <w:p w14:paraId="29A02C77" w14:textId="68CA9EA5" w:rsidR="00AF69C2" w:rsidRPr="00D53A2B" w:rsidRDefault="00AF69C2" w:rsidP="00A202FD">
      <w:pPr>
        <w:pStyle w:val="Balk3"/>
        <w:rPr>
          <w:rFonts w:cs="Times New Roman"/>
          <w:lang w:eastAsia="en-US"/>
        </w:rPr>
      </w:pPr>
      <w:bookmarkStart w:id="47" w:name="_Toc531927858"/>
      <w:r w:rsidRPr="00D53A2B">
        <w:rPr>
          <w:rFonts w:cs="Times New Roman"/>
          <w:lang w:eastAsia="en-US"/>
        </w:rPr>
        <w:t>1.</w:t>
      </w:r>
      <w:r w:rsidR="00374C56" w:rsidRPr="00D53A2B">
        <w:rPr>
          <w:rFonts w:cs="Times New Roman"/>
          <w:lang w:eastAsia="en-US"/>
        </w:rPr>
        <w:t>1.6.</w:t>
      </w:r>
      <w:r w:rsidR="00374C56" w:rsidRPr="00D53A2B">
        <w:rPr>
          <w:rFonts w:cs="Times New Roman"/>
          <w:lang w:eastAsia="en-US"/>
        </w:rPr>
        <w:tab/>
        <w:t>Cıva emisyonları</w:t>
      </w:r>
      <w:bookmarkEnd w:id="47"/>
    </w:p>
    <w:p w14:paraId="67D02DDE" w14:textId="6A5538A0" w:rsidR="00374C56" w:rsidRPr="00D53A2B" w:rsidRDefault="00F775AE" w:rsidP="00A202FD">
      <w:pPr>
        <w:pStyle w:val="MET"/>
        <w:rPr>
          <w:szCs w:val="24"/>
        </w:rPr>
      </w:pPr>
      <w:r w:rsidRPr="00D53A2B">
        <w:rPr>
          <w:szCs w:val="24"/>
        </w:rPr>
        <w:t>MET 11:</w:t>
      </w:r>
      <w:r w:rsidR="00374C56" w:rsidRPr="00D53A2B">
        <w:rPr>
          <w:szCs w:val="24"/>
        </w:rPr>
        <w:t xml:space="preserve"> </w:t>
      </w:r>
      <w:r w:rsidR="00AF69C2" w:rsidRPr="00D53A2B">
        <w:rPr>
          <w:b w:val="0"/>
          <w:bCs/>
          <w:szCs w:val="24"/>
        </w:rPr>
        <w:t>Pirometalurjik bir prosesten havaya cıva emisyonlarını (sülfürik asit tesisine yönlendirilenler hariç) azaltmak için aşağıda verilen tekniklerden biri veya her ikisi kullan</w:t>
      </w:r>
      <w:r w:rsidR="0007449F" w:rsidRPr="00D53A2B">
        <w:rPr>
          <w:b w:val="0"/>
          <w:bCs/>
          <w:szCs w:val="24"/>
        </w:rPr>
        <w:t>ılır</w:t>
      </w:r>
      <w:r w:rsidR="00AF69C2" w:rsidRPr="00D53A2B">
        <w:rPr>
          <w:b w:val="0"/>
          <w:bCs/>
          <w:szCs w:val="24"/>
        </w:rPr>
        <w:t>.</w:t>
      </w:r>
    </w:p>
    <w:p w14:paraId="4F9DCE71" w14:textId="77777777" w:rsidR="00AF69C2" w:rsidRPr="00D53A2B" w:rsidRDefault="00AF69C2" w:rsidP="00A202FD">
      <w:pPr>
        <w:pStyle w:val="MET"/>
        <w:rPr>
          <w:szCs w:val="24"/>
        </w:rPr>
      </w:pPr>
    </w:p>
    <w:tbl>
      <w:tblPr>
        <w:tblStyle w:val="TabloKlavuzu6"/>
        <w:tblW w:w="8788" w:type="dxa"/>
        <w:tblLook w:val="04A0" w:firstRow="1" w:lastRow="0" w:firstColumn="1" w:lastColumn="0" w:noHBand="0" w:noVBand="1"/>
      </w:tblPr>
      <w:tblGrid>
        <w:gridCol w:w="397"/>
        <w:gridCol w:w="8391"/>
      </w:tblGrid>
      <w:tr w:rsidR="00374C56" w:rsidRPr="00D53A2B" w14:paraId="70F61699" w14:textId="77777777" w:rsidTr="009077F5">
        <w:trPr>
          <w:trHeight w:val="283"/>
        </w:trPr>
        <w:tc>
          <w:tcPr>
            <w:tcW w:w="397" w:type="dxa"/>
          </w:tcPr>
          <w:p w14:paraId="387C9E27" w14:textId="77777777" w:rsidR="00374C56" w:rsidRPr="00D53A2B" w:rsidRDefault="00374C56" w:rsidP="00A202FD">
            <w:pPr>
              <w:spacing w:line="264" w:lineRule="auto"/>
              <w:jc w:val="both"/>
              <w:rPr>
                <w:b/>
                <w:sz w:val="22"/>
                <w:szCs w:val="22"/>
              </w:rPr>
            </w:pPr>
          </w:p>
        </w:tc>
        <w:tc>
          <w:tcPr>
            <w:tcW w:w="8391" w:type="dxa"/>
          </w:tcPr>
          <w:p w14:paraId="1FCC055A" w14:textId="77777777" w:rsidR="00374C56" w:rsidRPr="00D53A2B" w:rsidRDefault="00374C56" w:rsidP="00A202FD">
            <w:pPr>
              <w:spacing w:line="264" w:lineRule="auto"/>
              <w:jc w:val="both"/>
              <w:rPr>
                <w:b/>
                <w:sz w:val="22"/>
                <w:szCs w:val="22"/>
              </w:rPr>
            </w:pPr>
            <w:r w:rsidRPr="00D53A2B">
              <w:rPr>
                <w:b/>
                <w:sz w:val="22"/>
                <w:szCs w:val="22"/>
              </w:rPr>
              <w:t>Teknik</w:t>
            </w:r>
          </w:p>
        </w:tc>
      </w:tr>
      <w:tr w:rsidR="00374C56" w:rsidRPr="00D53A2B" w14:paraId="726B3B73" w14:textId="77777777" w:rsidTr="009077F5">
        <w:trPr>
          <w:trHeight w:val="283"/>
        </w:trPr>
        <w:tc>
          <w:tcPr>
            <w:tcW w:w="397" w:type="dxa"/>
          </w:tcPr>
          <w:p w14:paraId="2BCDE1AC" w14:textId="77777777" w:rsidR="00374C56" w:rsidRPr="00D53A2B" w:rsidRDefault="00374C56" w:rsidP="00A202FD">
            <w:pPr>
              <w:spacing w:line="264" w:lineRule="auto"/>
              <w:jc w:val="both"/>
              <w:rPr>
                <w:sz w:val="22"/>
                <w:szCs w:val="22"/>
              </w:rPr>
            </w:pPr>
            <w:r w:rsidRPr="00D53A2B">
              <w:rPr>
                <w:sz w:val="22"/>
                <w:szCs w:val="22"/>
              </w:rPr>
              <w:t>a</w:t>
            </w:r>
          </w:p>
        </w:tc>
        <w:tc>
          <w:tcPr>
            <w:tcW w:w="8391" w:type="dxa"/>
          </w:tcPr>
          <w:p w14:paraId="14574127" w14:textId="5CF6F501" w:rsidR="00374C56" w:rsidRPr="00D53A2B" w:rsidRDefault="005D5245" w:rsidP="00A202FD">
            <w:pPr>
              <w:spacing w:line="264" w:lineRule="auto"/>
              <w:jc w:val="both"/>
              <w:rPr>
                <w:sz w:val="22"/>
                <w:szCs w:val="22"/>
              </w:rPr>
            </w:pPr>
            <w:r w:rsidRPr="00D53A2B">
              <w:rPr>
                <w:sz w:val="22"/>
                <w:szCs w:val="22"/>
              </w:rPr>
              <w:t>Tedarikçilerle işbirliği yaparak ikincil malzemelerden cıvayı uzaklaştırmak da dahil olmak üzere, düşük cıva içeriğine sahip hammaddeler kullanın.</w:t>
            </w:r>
          </w:p>
        </w:tc>
      </w:tr>
      <w:tr w:rsidR="00374C56" w:rsidRPr="00D53A2B" w14:paraId="41DA7197" w14:textId="77777777" w:rsidTr="009077F5">
        <w:trPr>
          <w:trHeight w:val="283"/>
        </w:trPr>
        <w:tc>
          <w:tcPr>
            <w:tcW w:w="397" w:type="dxa"/>
          </w:tcPr>
          <w:p w14:paraId="16D49328" w14:textId="77777777" w:rsidR="00374C56" w:rsidRPr="00D53A2B" w:rsidRDefault="00374C56" w:rsidP="00A202FD">
            <w:pPr>
              <w:spacing w:line="264" w:lineRule="auto"/>
              <w:jc w:val="both"/>
              <w:rPr>
                <w:sz w:val="22"/>
                <w:szCs w:val="22"/>
              </w:rPr>
            </w:pPr>
            <w:r w:rsidRPr="00D53A2B">
              <w:rPr>
                <w:sz w:val="22"/>
                <w:szCs w:val="22"/>
              </w:rPr>
              <w:t>b</w:t>
            </w:r>
          </w:p>
        </w:tc>
        <w:tc>
          <w:tcPr>
            <w:tcW w:w="8391" w:type="dxa"/>
          </w:tcPr>
          <w:p w14:paraId="741E1A0E" w14:textId="61CDEBC4" w:rsidR="00374C56" w:rsidRPr="00D53A2B" w:rsidRDefault="00374C56" w:rsidP="00A202FD">
            <w:pPr>
              <w:spacing w:line="264" w:lineRule="auto"/>
              <w:jc w:val="both"/>
              <w:rPr>
                <w:sz w:val="22"/>
                <w:szCs w:val="22"/>
              </w:rPr>
            </w:pPr>
            <w:r w:rsidRPr="00D53A2B">
              <w:rPr>
                <w:sz w:val="22"/>
                <w:szCs w:val="22"/>
              </w:rPr>
              <w:t>Toz filtrasyonu ile beraber adsorbanları</w:t>
            </w:r>
            <w:r w:rsidR="005D5245" w:rsidRPr="00D53A2B">
              <w:rPr>
                <w:sz w:val="22"/>
                <w:szCs w:val="22"/>
              </w:rPr>
              <w:t>n</w:t>
            </w:r>
            <w:r w:rsidRPr="00D53A2B">
              <w:rPr>
                <w:sz w:val="22"/>
                <w:szCs w:val="22"/>
              </w:rPr>
              <w:t xml:space="preserve"> (</w:t>
            </w:r>
            <w:r w:rsidRPr="00D53A2B">
              <w:rPr>
                <w:i/>
                <w:sz w:val="22"/>
                <w:szCs w:val="22"/>
              </w:rPr>
              <w:t>örn.</w:t>
            </w:r>
            <w:r w:rsidRPr="00D53A2B">
              <w:rPr>
                <w:sz w:val="22"/>
                <w:szCs w:val="22"/>
              </w:rPr>
              <w:t xml:space="preserve"> aktif karbon, selenyum) kullanılması (</w:t>
            </w:r>
            <w:r w:rsidRPr="00D53A2B">
              <w:rPr>
                <w:sz w:val="22"/>
                <w:szCs w:val="22"/>
                <w:vertAlign w:val="superscript"/>
              </w:rPr>
              <w:t>1</w:t>
            </w:r>
            <w:r w:rsidRPr="00D53A2B">
              <w:rPr>
                <w:sz w:val="22"/>
                <w:szCs w:val="22"/>
              </w:rPr>
              <w:t>)</w:t>
            </w:r>
          </w:p>
        </w:tc>
      </w:tr>
      <w:tr w:rsidR="00374C56" w:rsidRPr="00D53A2B" w14:paraId="011FAB7B" w14:textId="77777777" w:rsidTr="009077F5">
        <w:trPr>
          <w:trHeight w:val="283"/>
        </w:trPr>
        <w:tc>
          <w:tcPr>
            <w:tcW w:w="8788" w:type="dxa"/>
            <w:gridSpan w:val="2"/>
          </w:tcPr>
          <w:p w14:paraId="744473E9" w14:textId="3FFC133E" w:rsidR="00374C56" w:rsidRPr="00D53A2B" w:rsidRDefault="00374C56" w:rsidP="00A202FD">
            <w:pPr>
              <w:jc w:val="both"/>
              <w:rPr>
                <w:spacing w:val="2"/>
                <w:sz w:val="22"/>
                <w:szCs w:val="22"/>
              </w:rPr>
            </w:pPr>
            <w:r w:rsidRPr="00D53A2B">
              <w:rPr>
                <w:spacing w:val="2"/>
                <w:sz w:val="22"/>
                <w:szCs w:val="22"/>
              </w:rPr>
              <w:t>(</w:t>
            </w:r>
            <w:r w:rsidRPr="00D53A2B">
              <w:rPr>
                <w:spacing w:val="2"/>
                <w:sz w:val="22"/>
                <w:szCs w:val="22"/>
                <w:vertAlign w:val="superscript"/>
              </w:rPr>
              <w:t>1</w:t>
            </w:r>
            <w:r w:rsidRPr="00D53A2B">
              <w:rPr>
                <w:spacing w:val="2"/>
                <w:sz w:val="22"/>
                <w:szCs w:val="22"/>
              </w:rPr>
              <w:t>): Tekniklerin açıklamaları Bölüm 1.10</w:t>
            </w:r>
            <w:r w:rsidR="00E56504" w:rsidRPr="00D53A2B">
              <w:rPr>
                <w:spacing w:val="2"/>
                <w:sz w:val="22"/>
                <w:szCs w:val="22"/>
              </w:rPr>
              <w:t>’</w:t>
            </w:r>
            <w:r w:rsidRPr="00D53A2B">
              <w:rPr>
                <w:spacing w:val="2"/>
                <w:sz w:val="22"/>
                <w:szCs w:val="22"/>
              </w:rPr>
              <w:t>da verilmiştir.</w:t>
            </w:r>
          </w:p>
        </w:tc>
      </w:tr>
    </w:tbl>
    <w:p w14:paraId="37024EA6" w14:textId="77777777" w:rsidR="00374C56" w:rsidRPr="00D53A2B" w:rsidRDefault="00374C56" w:rsidP="00A202FD">
      <w:pPr>
        <w:jc w:val="both"/>
        <w:rPr>
          <w:lang w:eastAsia="en-US"/>
        </w:rPr>
      </w:pPr>
    </w:p>
    <w:p w14:paraId="6E8FFC49" w14:textId="77777777" w:rsidR="00374C56" w:rsidRPr="00D53A2B" w:rsidRDefault="00374C56" w:rsidP="00A202FD">
      <w:pPr>
        <w:spacing w:after="240"/>
        <w:jc w:val="both"/>
        <w:rPr>
          <w:lang w:eastAsia="en-US"/>
        </w:rPr>
      </w:pPr>
      <w:r w:rsidRPr="00D53A2B">
        <w:rPr>
          <w:bCs/>
          <w:lang w:eastAsia="en-US"/>
        </w:rPr>
        <w:t>MET ile ilişkili emisyon seviyeleri:</w:t>
      </w:r>
      <w:r w:rsidRPr="00D53A2B">
        <w:rPr>
          <w:lang w:eastAsia="en-US"/>
        </w:rPr>
        <w:t xml:space="preserve"> </w:t>
      </w:r>
      <w:r w:rsidRPr="00D53A2B">
        <w:rPr>
          <w:iCs/>
          <w:lang w:eastAsia="en-US"/>
        </w:rPr>
        <w:t>bkz.</w:t>
      </w:r>
      <w:r w:rsidRPr="00D53A2B">
        <w:rPr>
          <w:lang w:eastAsia="en-US"/>
        </w:rPr>
        <w:t xml:space="preserve"> Tablo 1.</w:t>
      </w:r>
    </w:p>
    <w:p w14:paraId="673AEC95" w14:textId="77777777" w:rsidR="001023C7" w:rsidRPr="00D53A2B" w:rsidRDefault="00374C56" w:rsidP="00A202FD">
      <w:pPr>
        <w:jc w:val="both"/>
        <w:rPr>
          <w:lang w:eastAsia="en-US"/>
        </w:rPr>
      </w:pPr>
      <w:bookmarkStart w:id="48" w:name="_Toc531927942"/>
      <w:r w:rsidRPr="00D53A2B">
        <w:rPr>
          <w:lang w:eastAsia="en-US"/>
        </w:rPr>
        <w:t xml:space="preserve">Tablo </w:t>
      </w:r>
      <w:r w:rsidRPr="00D53A2B">
        <w:rPr>
          <w:noProof/>
          <w:lang w:eastAsia="en-US"/>
        </w:rPr>
        <w:t>1</w:t>
      </w:r>
    </w:p>
    <w:p w14:paraId="24CE7ADA" w14:textId="734D6DE3" w:rsidR="00374C56" w:rsidRPr="00D53A2B" w:rsidRDefault="00374C56" w:rsidP="00A202FD">
      <w:pPr>
        <w:jc w:val="both"/>
        <w:rPr>
          <w:lang w:eastAsia="en-US"/>
        </w:rPr>
      </w:pPr>
      <w:r w:rsidRPr="00D53A2B">
        <w:rPr>
          <w:lang w:eastAsia="en-US"/>
        </w:rPr>
        <w:t>Cıva içeren hammaddeler kullanan bir pirometalurjik işlemden kaynaklanan havaya salınan cıva emisyonları (sülfürik asit tesisine sevk edilenler hariç) için MET ile ilişkili emisyon seviyeleri</w:t>
      </w:r>
      <w:bookmarkEnd w:id="48"/>
    </w:p>
    <w:p w14:paraId="7C7D8756" w14:textId="77777777" w:rsidR="00282CE4" w:rsidRPr="00D53A2B" w:rsidRDefault="00282CE4" w:rsidP="00A202FD">
      <w:pPr>
        <w:jc w:val="both"/>
        <w:rPr>
          <w:bCs/>
          <w:lang w:eastAsia="en-US"/>
        </w:rPr>
      </w:pPr>
    </w:p>
    <w:tbl>
      <w:tblPr>
        <w:tblW w:w="0" w:type="auto"/>
        <w:tblLayout w:type="fixed"/>
        <w:tblCellMar>
          <w:left w:w="0" w:type="dxa"/>
          <w:right w:w="0" w:type="dxa"/>
        </w:tblCellMar>
        <w:tblLook w:val="01E0" w:firstRow="1" w:lastRow="1" w:firstColumn="1" w:lastColumn="1" w:noHBand="0" w:noVBand="0"/>
      </w:tblPr>
      <w:tblGrid>
        <w:gridCol w:w="5221"/>
        <w:gridCol w:w="3500"/>
      </w:tblGrid>
      <w:tr w:rsidR="00374C56" w:rsidRPr="00D53A2B" w14:paraId="623A31EC" w14:textId="77777777" w:rsidTr="00374C56">
        <w:trPr>
          <w:trHeight w:hRule="exact" w:val="340"/>
        </w:trPr>
        <w:tc>
          <w:tcPr>
            <w:tcW w:w="5221" w:type="dxa"/>
            <w:tcBorders>
              <w:top w:val="single" w:sz="4" w:space="0" w:color="000000"/>
              <w:left w:val="single" w:sz="4" w:space="0" w:color="000000"/>
              <w:bottom w:val="single" w:sz="4" w:space="0" w:color="000000"/>
              <w:right w:val="single" w:sz="4" w:space="0" w:color="000000"/>
            </w:tcBorders>
            <w:vAlign w:val="center"/>
          </w:tcPr>
          <w:p w14:paraId="204BBA44" w14:textId="77777777" w:rsidR="00374C56" w:rsidRPr="00D53A2B" w:rsidRDefault="00374C56" w:rsidP="00A202FD">
            <w:pPr>
              <w:ind w:left="57" w:right="57"/>
              <w:jc w:val="both"/>
              <w:rPr>
                <w:sz w:val="22"/>
                <w:szCs w:val="22"/>
                <w:lang w:eastAsia="en-US"/>
              </w:rPr>
            </w:pPr>
            <w:r w:rsidRPr="00D53A2B">
              <w:rPr>
                <w:b/>
                <w:bCs/>
                <w:sz w:val="22"/>
                <w:szCs w:val="22"/>
                <w:lang w:eastAsia="en-US"/>
              </w:rPr>
              <w:t>Parametre</w:t>
            </w:r>
          </w:p>
        </w:tc>
        <w:tc>
          <w:tcPr>
            <w:tcW w:w="3500" w:type="dxa"/>
            <w:tcBorders>
              <w:top w:val="single" w:sz="4" w:space="0" w:color="000000"/>
              <w:left w:val="single" w:sz="4" w:space="0" w:color="000000"/>
              <w:bottom w:val="single" w:sz="4" w:space="0" w:color="000000"/>
              <w:right w:val="single" w:sz="4" w:space="0" w:color="000000"/>
            </w:tcBorders>
            <w:vAlign w:val="center"/>
          </w:tcPr>
          <w:p w14:paraId="1435779B" w14:textId="77777777" w:rsidR="00374C56" w:rsidRPr="00D53A2B" w:rsidRDefault="00374C56" w:rsidP="00A202FD">
            <w:pPr>
              <w:ind w:left="57" w:right="57"/>
              <w:jc w:val="both"/>
              <w:rPr>
                <w:sz w:val="22"/>
                <w:szCs w:val="22"/>
                <w:lang w:eastAsia="en-US"/>
              </w:rPr>
            </w:pPr>
            <w:r w:rsidRPr="00D53A2B">
              <w:rPr>
                <w:b/>
                <w:bCs/>
                <w:sz w:val="22"/>
                <w:szCs w:val="22"/>
                <w:lang w:eastAsia="en-US"/>
              </w:rPr>
              <w:t>MET-İES (mg/Nm3)</w:t>
            </w:r>
            <w:r w:rsidRPr="00D53A2B">
              <w:rPr>
                <w:bCs/>
                <w:sz w:val="22"/>
                <w:szCs w:val="22"/>
                <w:lang w:eastAsia="en-US"/>
              </w:rPr>
              <w:t xml:space="preserve"> </w:t>
            </w:r>
            <w:r w:rsidRPr="00D53A2B">
              <w:rPr>
                <w:b/>
                <w:bCs/>
                <w:sz w:val="22"/>
                <w:szCs w:val="22"/>
                <w:lang w:eastAsia="en-US"/>
              </w:rPr>
              <w:t>(</w:t>
            </w:r>
            <w:r w:rsidRPr="00D53A2B">
              <w:rPr>
                <w:b/>
                <w:bCs/>
                <w:sz w:val="22"/>
                <w:szCs w:val="22"/>
                <w:vertAlign w:val="superscript"/>
                <w:lang w:eastAsia="en-US"/>
              </w:rPr>
              <w:t>1</w:t>
            </w:r>
            <w:r w:rsidRPr="00D53A2B">
              <w:rPr>
                <w:b/>
                <w:bCs/>
                <w:sz w:val="22"/>
                <w:szCs w:val="22"/>
                <w:lang w:eastAsia="en-US"/>
              </w:rPr>
              <w:t>)(</w:t>
            </w:r>
            <w:r w:rsidRPr="00D53A2B">
              <w:rPr>
                <w:b/>
                <w:bCs/>
                <w:sz w:val="22"/>
                <w:szCs w:val="22"/>
                <w:vertAlign w:val="superscript"/>
                <w:lang w:eastAsia="en-US"/>
              </w:rPr>
              <w:t>2</w:t>
            </w:r>
            <w:r w:rsidRPr="00D53A2B">
              <w:rPr>
                <w:b/>
                <w:bCs/>
                <w:sz w:val="22"/>
                <w:szCs w:val="22"/>
                <w:lang w:eastAsia="en-US"/>
              </w:rPr>
              <w:t>)(</w:t>
            </w:r>
            <w:r w:rsidRPr="00D53A2B">
              <w:rPr>
                <w:b/>
                <w:bCs/>
                <w:sz w:val="22"/>
                <w:szCs w:val="22"/>
                <w:vertAlign w:val="superscript"/>
                <w:lang w:eastAsia="en-US"/>
              </w:rPr>
              <w:t>3</w:t>
            </w:r>
            <w:r w:rsidRPr="00D53A2B">
              <w:rPr>
                <w:b/>
                <w:bCs/>
                <w:sz w:val="22"/>
                <w:szCs w:val="22"/>
                <w:lang w:eastAsia="en-US"/>
              </w:rPr>
              <w:t>)</w:t>
            </w:r>
          </w:p>
        </w:tc>
      </w:tr>
      <w:tr w:rsidR="00374C56" w:rsidRPr="00D53A2B" w14:paraId="4D364856" w14:textId="77777777" w:rsidTr="00374C56">
        <w:trPr>
          <w:trHeight w:hRule="exact" w:val="397"/>
        </w:trPr>
        <w:tc>
          <w:tcPr>
            <w:tcW w:w="5221" w:type="dxa"/>
            <w:tcBorders>
              <w:top w:val="single" w:sz="4" w:space="0" w:color="000000"/>
              <w:left w:val="single" w:sz="4" w:space="0" w:color="000000"/>
              <w:bottom w:val="single" w:sz="4" w:space="0" w:color="000000"/>
              <w:right w:val="single" w:sz="4" w:space="0" w:color="000000"/>
            </w:tcBorders>
            <w:vAlign w:val="center"/>
          </w:tcPr>
          <w:p w14:paraId="6D9A28E9" w14:textId="77777777" w:rsidR="00374C56" w:rsidRPr="00D53A2B" w:rsidRDefault="00374C56" w:rsidP="00A202FD">
            <w:pPr>
              <w:ind w:left="57" w:right="57"/>
              <w:jc w:val="both"/>
              <w:rPr>
                <w:sz w:val="22"/>
                <w:szCs w:val="22"/>
                <w:lang w:eastAsia="en-US"/>
              </w:rPr>
            </w:pPr>
            <w:r w:rsidRPr="00D53A2B">
              <w:rPr>
                <w:sz w:val="22"/>
                <w:szCs w:val="22"/>
                <w:lang w:eastAsia="en-US"/>
              </w:rPr>
              <w:t>Cıva ve bileşikleri, Hg olarak ifade edilir</w:t>
            </w:r>
          </w:p>
        </w:tc>
        <w:tc>
          <w:tcPr>
            <w:tcW w:w="3500" w:type="dxa"/>
            <w:tcBorders>
              <w:top w:val="single" w:sz="4" w:space="0" w:color="000000"/>
              <w:left w:val="single" w:sz="4" w:space="0" w:color="000000"/>
              <w:bottom w:val="single" w:sz="4" w:space="0" w:color="000000"/>
              <w:right w:val="single" w:sz="4" w:space="0" w:color="000000"/>
            </w:tcBorders>
            <w:vAlign w:val="center"/>
          </w:tcPr>
          <w:p w14:paraId="4E206E5A" w14:textId="77777777" w:rsidR="00374C56" w:rsidRPr="00D53A2B" w:rsidRDefault="00374C56" w:rsidP="00A202FD">
            <w:pPr>
              <w:ind w:left="57" w:right="57"/>
              <w:jc w:val="both"/>
              <w:rPr>
                <w:sz w:val="22"/>
                <w:szCs w:val="22"/>
                <w:lang w:eastAsia="en-US"/>
              </w:rPr>
            </w:pPr>
            <w:r w:rsidRPr="00D53A2B">
              <w:rPr>
                <w:sz w:val="22"/>
                <w:szCs w:val="22"/>
                <w:lang w:eastAsia="en-US"/>
              </w:rPr>
              <w:t>0,01–0,05</w:t>
            </w:r>
          </w:p>
        </w:tc>
      </w:tr>
      <w:tr w:rsidR="00374C56" w:rsidRPr="00D53A2B" w14:paraId="3CE4CCE2" w14:textId="77777777" w:rsidTr="00374C56">
        <w:trPr>
          <w:trHeight w:val="850"/>
        </w:trPr>
        <w:tc>
          <w:tcPr>
            <w:tcW w:w="8721" w:type="dxa"/>
            <w:gridSpan w:val="2"/>
            <w:tcBorders>
              <w:top w:val="single" w:sz="4" w:space="0" w:color="000000"/>
              <w:left w:val="single" w:sz="4" w:space="0" w:color="000000"/>
              <w:bottom w:val="single" w:sz="4" w:space="0" w:color="000000"/>
              <w:right w:val="single" w:sz="4" w:space="0" w:color="000000"/>
            </w:tcBorders>
            <w:vAlign w:val="center"/>
          </w:tcPr>
          <w:p w14:paraId="3681FCAF" w14:textId="2010E2B2" w:rsidR="00374C56" w:rsidRPr="009077F5" w:rsidRDefault="00374C56" w:rsidP="00A202FD">
            <w:pPr>
              <w:tabs>
                <w:tab w:val="left" w:pos="567"/>
              </w:tabs>
              <w:ind w:left="57" w:right="57"/>
              <w:jc w:val="both"/>
              <w:rPr>
                <w:sz w:val="20"/>
                <w:szCs w:val="20"/>
                <w:lang w:eastAsia="en-US"/>
              </w:rPr>
            </w:pPr>
            <w:r w:rsidRPr="009077F5">
              <w:rPr>
                <w:b/>
                <w:sz w:val="20"/>
                <w:szCs w:val="20"/>
                <w:lang w:eastAsia="en-US"/>
              </w:rPr>
              <w:t>(</w:t>
            </w:r>
            <w:r w:rsidRPr="009077F5">
              <w:rPr>
                <w:b/>
                <w:sz w:val="20"/>
                <w:szCs w:val="20"/>
                <w:vertAlign w:val="superscript"/>
                <w:lang w:eastAsia="en-US"/>
              </w:rPr>
              <w:t>1</w:t>
            </w:r>
            <w:r w:rsidRPr="009077F5">
              <w:rPr>
                <w:b/>
                <w:sz w:val="20"/>
                <w:szCs w:val="20"/>
                <w:lang w:eastAsia="en-US"/>
              </w:rPr>
              <w:t xml:space="preserve">) </w:t>
            </w:r>
            <w:r w:rsidRPr="009077F5">
              <w:rPr>
                <w:sz w:val="20"/>
                <w:szCs w:val="20"/>
                <w:lang w:eastAsia="en-US"/>
              </w:rPr>
              <w:t xml:space="preserve">Günlük ortalama ya da </w:t>
            </w:r>
            <w:r w:rsidR="007847FF" w:rsidRPr="009077F5">
              <w:rPr>
                <w:rStyle w:val="Gvdemetni3a"/>
                <w:sz w:val="20"/>
                <w:szCs w:val="20"/>
              </w:rPr>
              <w:t>numune alma</w:t>
            </w:r>
            <w:r w:rsidRPr="009077F5">
              <w:rPr>
                <w:sz w:val="20"/>
                <w:szCs w:val="20"/>
                <w:lang w:eastAsia="en-US"/>
              </w:rPr>
              <w:t xml:space="preserve"> periyodu boyunca ortalama olarak.</w:t>
            </w:r>
          </w:p>
          <w:p w14:paraId="33C79F90" w14:textId="646F34FB" w:rsidR="00374C56" w:rsidRPr="009077F5" w:rsidRDefault="00374C56" w:rsidP="00A202FD">
            <w:pPr>
              <w:tabs>
                <w:tab w:val="left" w:pos="567"/>
              </w:tabs>
              <w:jc w:val="both"/>
              <w:rPr>
                <w:sz w:val="20"/>
                <w:szCs w:val="20"/>
                <w:lang w:eastAsia="en-US"/>
              </w:rPr>
            </w:pPr>
            <w:r w:rsidRPr="009077F5">
              <w:rPr>
                <w:b/>
                <w:sz w:val="20"/>
                <w:szCs w:val="20"/>
                <w:lang w:eastAsia="en-US"/>
              </w:rPr>
              <w:t xml:space="preserve"> (</w:t>
            </w:r>
            <w:r w:rsidRPr="009077F5">
              <w:rPr>
                <w:b/>
                <w:sz w:val="20"/>
                <w:szCs w:val="20"/>
                <w:vertAlign w:val="superscript"/>
                <w:lang w:eastAsia="en-US"/>
              </w:rPr>
              <w:t>2</w:t>
            </w:r>
            <w:r w:rsidRPr="009077F5">
              <w:rPr>
                <w:b/>
                <w:sz w:val="20"/>
                <w:szCs w:val="20"/>
                <w:lang w:eastAsia="en-US"/>
              </w:rPr>
              <w:t xml:space="preserve">) </w:t>
            </w:r>
            <w:r w:rsidRPr="009077F5">
              <w:rPr>
                <w:sz w:val="20"/>
                <w:szCs w:val="20"/>
                <w:lang w:eastAsia="en-US"/>
              </w:rPr>
              <w:t>Verilen aralığın alt sınırı, Waelz fırınları kullanan işlemler haricinde, toz filtrasyonu ile beraber  adsorbantların (</w:t>
            </w:r>
            <w:r w:rsidRPr="009077F5">
              <w:rPr>
                <w:i/>
                <w:sz w:val="20"/>
                <w:szCs w:val="20"/>
                <w:lang w:eastAsia="en-US"/>
              </w:rPr>
              <w:t>örn.</w:t>
            </w:r>
            <w:r w:rsidRPr="009077F5">
              <w:rPr>
                <w:sz w:val="20"/>
                <w:szCs w:val="20"/>
                <w:lang w:eastAsia="en-US"/>
              </w:rPr>
              <w:t xml:space="preserve"> aktif karbon, selenyum) kullanımı ile ilişkilidir.</w:t>
            </w:r>
          </w:p>
          <w:p w14:paraId="0C4136ED" w14:textId="6D67B2A3" w:rsidR="00374C56" w:rsidRPr="00D53A2B" w:rsidRDefault="00374C56" w:rsidP="00A202FD">
            <w:pPr>
              <w:tabs>
                <w:tab w:val="left" w:pos="567"/>
              </w:tabs>
              <w:ind w:left="57" w:right="57"/>
              <w:jc w:val="both"/>
              <w:rPr>
                <w:sz w:val="22"/>
                <w:szCs w:val="22"/>
                <w:lang w:eastAsia="en-US"/>
              </w:rPr>
            </w:pPr>
            <w:r w:rsidRPr="009077F5">
              <w:rPr>
                <w:b/>
                <w:sz w:val="20"/>
                <w:szCs w:val="20"/>
                <w:lang w:eastAsia="en-US"/>
              </w:rPr>
              <w:t>(</w:t>
            </w:r>
            <w:r w:rsidRPr="009077F5">
              <w:rPr>
                <w:b/>
                <w:sz w:val="20"/>
                <w:szCs w:val="20"/>
                <w:vertAlign w:val="superscript"/>
                <w:lang w:eastAsia="en-US"/>
              </w:rPr>
              <w:t>3</w:t>
            </w:r>
            <w:r w:rsidRPr="009077F5">
              <w:rPr>
                <w:b/>
                <w:sz w:val="20"/>
                <w:szCs w:val="20"/>
                <w:lang w:eastAsia="en-US"/>
              </w:rPr>
              <w:t>)</w:t>
            </w:r>
            <w:r w:rsidRPr="009077F5">
              <w:rPr>
                <w:sz w:val="20"/>
                <w:szCs w:val="20"/>
                <w:lang w:eastAsia="en-US"/>
              </w:rPr>
              <w:t xml:space="preserve"> </w:t>
            </w:r>
            <w:r w:rsidR="0007449F" w:rsidRPr="009077F5">
              <w:rPr>
                <w:sz w:val="20"/>
                <w:szCs w:val="20"/>
                <w:lang w:eastAsia="en-US"/>
              </w:rPr>
              <w:t>MET-İES: Mevcut En İyi Teknikler ile İlişkli Emisyon Seviyeleri</w:t>
            </w:r>
          </w:p>
        </w:tc>
      </w:tr>
    </w:tbl>
    <w:p w14:paraId="3094C914" w14:textId="77777777" w:rsidR="00374C56" w:rsidRPr="00D53A2B" w:rsidRDefault="00374C56" w:rsidP="00A202FD">
      <w:pPr>
        <w:jc w:val="both"/>
        <w:rPr>
          <w:lang w:eastAsia="en-US"/>
        </w:rPr>
      </w:pPr>
    </w:p>
    <w:p w14:paraId="56F2C8F9" w14:textId="3FF6DA61" w:rsidR="00374C56" w:rsidRPr="00D53A2B" w:rsidRDefault="00374C56" w:rsidP="00A202FD">
      <w:pPr>
        <w:jc w:val="both"/>
        <w:rPr>
          <w:lang w:eastAsia="en-US"/>
        </w:rPr>
      </w:pPr>
      <w:r w:rsidRPr="00D53A2B">
        <w:rPr>
          <w:lang w:eastAsia="en-US"/>
        </w:rPr>
        <w:t>İzleme ile ilgili bilgiler MET 10</w:t>
      </w:r>
      <w:r w:rsidR="00E56504" w:rsidRPr="00D53A2B">
        <w:rPr>
          <w:lang w:eastAsia="en-US"/>
        </w:rPr>
        <w:t>’</w:t>
      </w:r>
      <w:r w:rsidRPr="00D53A2B">
        <w:rPr>
          <w:lang w:eastAsia="en-US"/>
        </w:rPr>
        <w:t>dadır.</w:t>
      </w:r>
    </w:p>
    <w:p w14:paraId="3B14E7F3" w14:textId="77777777" w:rsidR="00374C56" w:rsidRPr="00D53A2B" w:rsidRDefault="00374C56" w:rsidP="00A202FD">
      <w:pPr>
        <w:jc w:val="both"/>
        <w:rPr>
          <w:lang w:eastAsia="en-US"/>
        </w:rPr>
      </w:pPr>
    </w:p>
    <w:p w14:paraId="2C1339E8" w14:textId="7D7B6852" w:rsidR="00374C56" w:rsidRPr="00D53A2B" w:rsidRDefault="00156321" w:rsidP="00A202FD">
      <w:pPr>
        <w:pStyle w:val="Balk3"/>
        <w:rPr>
          <w:rFonts w:cs="Times New Roman"/>
          <w:lang w:eastAsia="en-US"/>
        </w:rPr>
      </w:pPr>
      <w:bookmarkStart w:id="49" w:name="_Toc531927859"/>
      <w:r w:rsidRPr="00D53A2B">
        <w:rPr>
          <w:rFonts w:cs="Times New Roman"/>
          <w:lang w:eastAsia="en-US"/>
        </w:rPr>
        <w:t>1.</w:t>
      </w:r>
      <w:r w:rsidR="00374C56" w:rsidRPr="00D53A2B">
        <w:rPr>
          <w:rFonts w:cs="Times New Roman"/>
          <w:lang w:eastAsia="en-US"/>
        </w:rPr>
        <w:t>1.7.</w:t>
      </w:r>
      <w:r w:rsidR="00374C56" w:rsidRPr="00D53A2B">
        <w:rPr>
          <w:rFonts w:cs="Times New Roman"/>
          <w:lang w:eastAsia="en-US"/>
        </w:rPr>
        <w:tab/>
        <w:t>Sülfür dioksit emisyonları</w:t>
      </w:r>
      <w:bookmarkEnd w:id="49"/>
    </w:p>
    <w:p w14:paraId="78A150F2" w14:textId="4445E8D5" w:rsidR="00374C56" w:rsidRPr="00D53A2B" w:rsidRDefault="00F775AE" w:rsidP="00A202FD">
      <w:pPr>
        <w:pStyle w:val="MET"/>
        <w:rPr>
          <w:szCs w:val="24"/>
        </w:rPr>
      </w:pPr>
      <w:r w:rsidRPr="00D53A2B">
        <w:rPr>
          <w:szCs w:val="24"/>
        </w:rPr>
        <w:t>MET 12:</w:t>
      </w:r>
      <w:r w:rsidR="0007449F" w:rsidRPr="00D53A2B">
        <w:rPr>
          <w:szCs w:val="24"/>
        </w:rPr>
        <w:t xml:space="preserve"> </w:t>
      </w:r>
      <w:r w:rsidR="00374C56" w:rsidRPr="00D53A2B">
        <w:rPr>
          <w:b w:val="0"/>
          <w:bCs/>
          <w:szCs w:val="24"/>
        </w:rPr>
        <w:t>Yüksek SO</w:t>
      </w:r>
      <w:r w:rsidR="00374C56" w:rsidRPr="00D53A2B">
        <w:rPr>
          <w:b w:val="0"/>
          <w:bCs/>
          <w:szCs w:val="24"/>
          <w:vertAlign w:val="subscript"/>
        </w:rPr>
        <w:t>2</w:t>
      </w:r>
      <w:r w:rsidR="00374C56" w:rsidRPr="00D53A2B">
        <w:rPr>
          <w:b w:val="0"/>
          <w:bCs/>
          <w:szCs w:val="24"/>
        </w:rPr>
        <w:t xml:space="preserve"> içeriğine sahip salınan gazlardan SO</w:t>
      </w:r>
      <w:r w:rsidR="00374C56" w:rsidRPr="00D53A2B">
        <w:rPr>
          <w:b w:val="0"/>
          <w:bCs/>
          <w:szCs w:val="24"/>
          <w:vertAlign w:val="subscript"/>
        </w:rPr>
        <w:t>2</w:t>
      </w:r>
      <w:r w:rsidR="00374C56" w:rsidRPr="00D53A2B">
        <w:rPr>
          <w:b w:val="0"/>
          <w:bCs/>
          <w:szCs w:val="24"/>
        </w:rPr>
        <w:t xml:space="preserve"> emisyonlarını azaltmak ve baca gazı temizleme sisteminde atık oluşumunu önlemek için</w:t>
      </w:r>
      <w:r w:rsidR="004B290D" w:rsidRPr="00D53A2B">
        <w:rPr>
          <w:b w:val="0"/>
          <w:bCs/>
          <w:szCs w:val="24"/>
        </w:rPr>
        <w:t xml:space="preserve">, </w:t>
      </w:r>
      <w:r w:rsidR="00374C56" w:rsidRPr="00D53A2B">
        <w:rPr>
          <w:b w:val="0"/>
          <w:bCs/>
          <w:szCs w:val="24"/>
        </w:rPr>
        <w:t>sülfürik asit veya sıvı SO</w:t>
      </w:r>
      <w:r w:rsidR="00374C56" w:rsidRPr="00D53A2B">
        <w:rPr>
          <w:b w:val="0"/>
          <w:bCs/>
          <w:szCs w:val="24"/>
          <w:vertAlign w:val="subscript"/>
        </w:rPr>
        <w:t>2</w:t>
      </w:r>
      <w:r w:rsidR="00374C56" w:rsidRPr="00D53A2B">
        <w:rPr>
          <w:b w:val="0"/>
          <w:bCs/>
          <w:szCs w:val="24"/>
        </w:rPr>
        <w:t xml:space="preserve"> üret</w:t>
      </w:r>
      <w:r w:rsidR="004B290D" w:rsidRPr="00D53A2B">
        <w:rPr>
          <w:b w:val="0"/>
          <w:bCs/>
          <w:szCs w:val="24"/>
        </w:rPr>
        <w:t>il</w:t>
      </w:r>
      <w:r w:rsidR="00374C56" w:rsidRPr="00D53A2B">
        <w:rPr>
          <w:b w:val="0"/>
          <w:bCs/>
          <w:szCs w:val="24"/>
        </w:rPr>
        <w:t>erek sülfür geri kazan</w:t>
      </w:r>
      <w:r w:rsidR="004B290D" w:rsidRPr="00D53A2B">
        <w:rPr>
          <w:b w:val="0"/>
          <w:bCs/>
          <w:szCs w:val="24"/>
        </w:rPr>
        <w:t>ılır.</w:t>
      </w:r>
    </w:p>
    <w:p w14:paraId="71628D58" w14:textId="77777777" w:rsidR="00156321" w:rsidRPr="00D53A2B" w:rsidRDefault="00156321" w:rsidP="00A202FD">
      <w:pPr>
        <w:jc w:val="both"/>
        <w:rPr>
          <w:lang w:eastAsia="en-US"/>
        </w:rPr>
      </w:pPr>
    </w:p>
    <w:p w14:paraId="5FAB41AF" w14:textId="4952325A" w:rsidR="00374C56" w:rsidRPr="00D53A2B" w:rsidRDefault="00374C56" w:rsidP="00A202FD">
      <w:pPr>
        <w:tabs>
          <w:tab w:val="left" w:pos="284"/>
        </w:tabs>
        <w:jc w:val="both"/>
        <w:rPr>
          <w:b/>
          <w:lang w:eastAsia="en-US"/>
        </w:rPr>
      </w:pPr>
      <w:r w:rsidRPr="00D53A2B">
        <w:rPr>
          <w:b/>
          <w:lang w:eastAsia="en-US"/>
        </w:rPr>
        <w:t>Uygulanabilirlik</w:t>
      </w:r>
    </w:p>
    <w:p w14:paraId="512EDD32" w14:textId="4902020E" w:rsidR="00374C56" w:rsidRPr="00D53A2B" w:rsidRDefault="00374C56" w:rsidP="00A202FD">
      <w:pPr>
        <w:jc w:val="both"/>
        <w:rPr>
          <w:lang w:eastAsia="en-US"/>
        </w:rPr>
      </w:pPr>
      <w:r w:rsidRPr="00D53A2B">
        <w:rPr>
          <w:lang w:eastAsia="en-US"/>
        </w:rPr>
        <w:t>Sadece bakır, kurşun, birincil çinko, gümüş, nikel ve/veya molibden üreten tesisler için geçerlidir.</w:t>
      </w:r>
    </w:p>
    <w:p w14:paraId="0DE8A833" w14:textId="312EC848" w:rsidR="00374C56" w:rsidRPr="00D53A2B" w:rsidRDefault="00273036" w:rsidP="00A202FD">
      <w:pPr>
        <w:pStyle w:val="Balk3"/>
        <w:rPr>
          <w:rFonts w:cs="Times New Roman"/>
          <w:lang w:eastAsia="en-US"/>
        </w:rPr>
      </w:pPr>
      <w:bookmarkStart w:id="50" w:name="_Toc531927860"/>
      <w:r w:rsidRPr="00D53A2B">
        <w:rPr>
          <w:rFonts w:cs="Times New Roman"/>
          <w:lang w:eastAsia="en-US"/>
        </w:rPr>
        <w:t>1.</w:t>
      </w:r>
      <w:r w:rsidR="00374C56" w:rsidRPr="00D53A2B">
        <w:rPr>
          <w:rFonts w:cs="Times New Roman"/>
          <w:lang w:eastAsia="en-US"/>
        </w:rPr>
        <w:t>1.8.</w:t>
      </w:r>
      <w:r w:rsidR="00374C56" w:rsidRPr="00D53A2B">
        <w:rPr>
          <w:rFonts w:cs="Times New Roman"/>
          <w:lang w:eastAsia="en-US"/>
        </w:rPr>
        <w:tab/>
        <w:t>NO</w:t>
      </w:r>
      <w:r w:rsidR="00374C56" w:rsidRPr="00D53A2B">
        <w:rPr>
          <w:rFonts w:cs="Times New Roman"/>
          <w:vertAlign w:val="subscript"/>
          <w:lang w:eastAsia="en-US"/>
        </w:rPr>
        <w:t>X</w:t>
      </w:r>
      <w:r w:rsidR="00374C56" w:rsidRPr="00D53A2B">
        <w:rPr>
          <w:rFonts w:cs="Times New Roman"/>
          <w:lang w:eastAsia="en-US"/>
        </w:rPr>
        <w:t xml:space="preserve"> emisyonları</w:t>
      </w:r>
      <w:bookmarkEnd w:id="50"/>
    </w:p>
    <w:p w14:paraId="3189689F" w14:textId="71FFA422" w:rsidR="00374C56" w:rsidRPr="00D53A2B" w:rsidRDefault="00F775AE" w:rsidP="00A202FD">
      <w:pPr>
        <w:tabs>
          <w:tab w:val="left" w:pos="1134"/>
        </w:tabs>
        <w:spacing w:after="240"/>
        <w:jc w:val="both"/>
        <w:rPr>
          <w:b/>
          <w:lang w:eastAsia="en-US"/>
        </w:rPr>
      </w:pPr>
      <w:r w:rsidRPr="00D53A2B">
        <w:rPr>
          <w:b/>
          <w:lang w:eastAsia="en-US"/>
        </w:rPr>
        <w:t>MET 13:</w:t>
      </w:r>
      <w:r w:rsidR="0007449F" w:rsidRPr="00D53A2B">
        <w:rPr>
          <w:b/>
          <w:lang w:eastAsia="en-US"/>
        </w:rPr>
        <w:t xml:space="preserve"> </w:t>
      </w:r>
      <w:r w:rsidR="00374C56" w:rsidRPr="00D53A2B">
        <w:rPr>
          <w:lang w:eastAsia="en-US"/>
        </w:rPr>
        <w:t>Bir pirometalurjik prosesten havaya NO</w:t>
      </w:r>
      <w:r w:rsidR="00374C56" w:rsidRPr="00D53A2B">
        <w:rPr>
          <w:vertAlign w:val="subscript"/>
          <w:lang w:eastAsia="en-US"/>
        </w:rPr>
        <w:t>X</w:t>
      </w:r>
      <w:r w:rsidR="00374C56" w:rsidRPr="00D53A2B">
        <w:rPr>
          <w:lang w:eastAsia="en-US"/>
        </w:rPr>
        <w:t xml:space="preserve"> emisyonlarının salınmasını önlemek için,</w:t>
      </w:r>
      <w:r w:rsidR="004B290D" w:rsidRPr="00D53A2B">
        <w:rPr>
          <w:lang w:eastAsia="en-US"/>
        </w:rPr>
        <w:t xml:space="preserve"> </w:t>
      </w:r>
      <w:r w:rsidR="00374C56" w:rsidRPr="00D53A2B">
        <w:rPr>
          <w:lang w:eastAsia="en-US"/>
        </w:rPr>
        <w:t>aşağıda verilen tekniklerden biri kullanıl</w:t>
      </w:r>
      <w:r w:rsidR="004B290D" w:rsidRPr="00D53A2B">
        <w:rPr>
          <w:lang w:eastAsia="en-US"/>
        </w:rPr>
        <w:t>ır.</w:t>
      </w: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8391"/>
      </w:tblGrid>
      <w:tr w:rsidR="00374C56" w:rsidRPr="00D53A2B" w14:paraId="48F7EAF0" w14:textId="77777777" w:rsidTr="00037693">
        <w:trPr>
          <w:trHeight w:val="283"/>
        </w:trPr>
        <w:tc>
          <w:tcPr>
            <w:tcW w:w="397" w:type="dxa"/>
            <w:vAlign w:val="center"/>
          </w:tcPr>
          <w:p w14:paraId="7F7F6929" w14:textId="77777777" w:rsidR="00374C56" w:rsidRPr="00D53A2B" w:rsidRDefault="00374C56" w:rsidP="00A202FD">
            <w:pPr>
              <w:spacing w:line="264" w:lineRule="auto"/>
              <w:jc w:val="both"/>
              <w:rPr>
                <w:sz w:val="22"/>
                <w:szCs w:val="22"/>
                <w:lang w:eastAsia="en-US"/>
              </w:rPr>
            </w:pPr>
          </w:p>
        </w:tc>
        <w:tc>
          <w:tcPr>
            <w:tcW w:w="8391" w:type="dxa"/>
            <w:shd w:val="clear" w:color="auto" w:fill="auto"/>
            <w:vAlign w:val="center"/>
          </w:tcPr>
          <w:p w14:paraId="55F23C16" w14:textId="77777777" w:rsidR="00374C56" w:rsidRPr="00D53A2B" w:rsidRDefault="00374C56" w:rsidP="00A202FD">
            <w:pPr>
              <w:spacing w:line="264" w:lineRule="auto"/>
              <w:jc w:val="both"/>
              <w:rPr>
                <w:sz w:val="22"/>
                <w:szCs w:val="22"/>
                <w:lang w:eastAsia="en-US"/>
              </w:rPr>
            </w:pPr>
            <w:r w:rsidRPr="00D53A2B">
              <w:rPr>
                <w:sz w:val="22"/>
                <w:szCs w:val="22"/>
                <w:lang w:eastAsia="en-US"/>
              </w:rPr>
              <w:t>Teknik (</w:t>
            </w:r>
            <w:r w:rsidRPr="00D53A2B">
              <w:rPr>
                <w:sz w:val="22"/>
                <w:szCs w:val="22"/>
                <w:vertAlign w:val="superscript"/>
                <w:lang w:eastAsia="en-US"/>
              </w:rPr>
              <w:t>1</w:t>
            </w:r>
            <w:r w:rsidRPr="00D53A2B">
              <w:rPr>
                <w:sz w:val="22"/>
                <w:szCs w:val="22"/>
                <w:lang w:eastAsia="en-US"/>
              </w:rPr>
              <w:t>)</w:t>
            </w:r>
          </w:p>
        </w:tc>
      </w:tr>
      <w:tr w:rsidR="00374C56" w:rsidRPr="00D53A2B" w14:paraId="17158A1C" w14:textId="77777777" w:rsidTr="00037693">
        <w:trPr>
          <w:trHeight w:val="283"/>
        </w:trPr>
        <w:tc>
          <w:tcPr>
            <w:tcW w:w="397" w:type="dxa"/>
            <w:vAlign w:val="center"/>
          </w:tcPr>
          <w:p w14:paraId="69FCD5F2" w14:textId="77777777" w:rsidR="00374C56" w:rsidRPr="00D53A2B" w:rsidRDefault="00374C56" w:rsidP="00A202FD">
            <w:pPr>
              <w:spacing w:line="264" w:lineRule="auto"/>
              <w:jc w:val="both"/>
              <w:rPr>
                <w:sz w:val="22"/>
                <w:szCs w:val="22"/>
                <w:lang w:eastAsia="en-US"/>
              </w:rPr>
            </w:pPr>
            <w:r w:rsidRPr="00D53A2B">
              <w:rPr>
                <w:sz w:val="22"/>
                <w:szCs w:val="22"/>
                <w:lang w:eastAsia="en-US"/>
              </w:rPr>
              <w:lastRenderedPageBreak/>
              <w:t>a</w:t>
            </w:r>
          </w:p>
        </w:tc>
        <w:tc>
          <w:tcPr>
            <w:tcW w:w="8391" w:type="dxa"/>
            <w:shd w:val="clear" w:color="auto" w:fill="auto"/>
          </w:tcPr>
          <w:p w14:paraId="23A8A02C" w14:textId="77777777" w:rsidR="00374C56" w:rsidRPr="00D53A2B" w:rsidRDefault="00374C56" w:rsidP="00A202FD">
            <w:pPr>
              <w:spacing w:line="264" w:lineRule="auto"/>
              <w:jc w:val="both"/>
              <w:rPr>
                <w:sz w:val="22"/>
                <w:szCs w:val="22"/>
                <w:lang w:eastAsia="en-US"/>
              </w:rPr>
            </w:pPr>
            <w:r w:rsidRPr="00D53A2B">
              <w:rPr>
                <w:sz w:val="22"/>
                <w:szCs w:val="22"/>
                <w:lang w:eastAsia="en-US"/>
              </w:rPr>
              <w:t>Düşük NO</w:t>
            </w:r>
            <w:r w:rsidRPr="00D53A2B">
              <w:rPr>
                <w:sz w:val="22"/>
                <w:szCs w:val="22"/>
                <w:vertAlign w:val="subscript"/>
                <w:lang w:eastAsia="en-US"/>
              </w:rPr>
              <w:t>X</w:t>
            </w:r>
            <w:r w:rsidRPr="00D53A2B">
              <w:rPr>
                <w:sz w:val="22"/>
                <w:szCs w:val="22"/>
                <w:lang w:eastAsia="en-US"/>
              </w:rPr>
              <w:t xml:space="preserve"> brülörler</w:t>
            </w:r>
          </w:p>
        </w:tc>
      </w:tr>
      <w:tr w:rsidR="00374C56" w:rsidRPr="00D53A2B" w14:paraId="64BAA7D6" w14:textId="77777777" w:rsidTr="00037693">
        <w:trPr>
          <w:trHeight w:val="283"/>
        </w:trPr>
        <w:tc>
          <w:tcPr>
            <w:tcW w:w="397" w:type="dxa"/>
            <w:vAlign w:val="center"/>
          </w:tcPr>
          <w:p w14:paraId="30600AA5" w14:textId="77777777" w:rsidR="00374C56" w:rsidRPr="00D53A2B" w:rsidRDefault="00374C56" w:rsidP="00A202FD">
            <w:pPr>
              <w:spacing w:line="264" w:lineRule="auto"/>
              <w:jc w:val="both"/>
              <w:rPr>
                <w:sz w:val="22"/>
                <w:szCs w:val="22"/>
                <w:lang w:eastAsia="en-US"/>
              </w:rPr>
            </w:pPr>
            <w:r w:rsidRPr="00D53A2B">
              <w:rPr>
                <w:sz w:val="22"/>
                <w:szCs w:val="22"/>
                <w:lang w:eastAsia="en-US"/>
              </w:rPr>
              <w:t>b</w:t>
            </w:r>
          </w:p>
        </w:tc>
        <w:tc>
          <w:tcPr>
            <w:tcW w:w="8391" w:type="dxa"/>
            <w:shd w:val="clear" w:color="auto" w:fill="auto"/>
          </w:tcPr>
          <w:p w14:paraId="6F8537CD" w14:textId="77777777" w:rsidR="00374C56" w:rsidRPr="00D53A2B" w:rsidRDefault="00374C56" w:rsidP="00A202FD">
            <w:pPr>
              <w:spacing w:line="264" w:lineRule="auto"/>
              <w:jc w:val="both"/>
              <w:rPr>
                <w:sz w:val="22"/>
                <w:szCs w:val="22"/>
                <w:lang w:eastAsia="en-US"/>
              </w:rPr>
            </w:pPr>
            <w:r w:rsidRPr="00D53A2B">
              <w:rPr>
                <w:sz w:val="22"/>
                <w:szCs w:val="22"/>
                <w:lang w:eastAsia="en-US"/>
              </w:rPr>
              <w:t>Oksijen-yakıt brülörler</w:t>
            </w:r>
          </w:p>
        </w:tc>
      </w:tr>
      <w:tr w:rsidR="00374C56" w:rsidRPr="00D53A2B" w14:paraId="42F5CFD5" w14:textId="77777777" w:rsidTr="00037693">
        <w:trPr>
          <w:trHeight w:val="283"/>
        </w:trPr>
        <w:tc>
          <w:tcPr>
            <w:tcW w:w="397" w:type="dxa"/>
            <w:vAlign w:val="center"/>
          </w:tcPr>
          <w:p w14:paraId="67C59A07" w14:textId="77777777" w:rsidR="00374C56" w:rsidRPr="00D53A2B" w:rsidRDefault="00374C56" w:rsidP="00A202FD">
            <w:pPr>
              <w:spacing w:line="264" w:lineRule="auto"/>
              <w:jc w:val="both"/>
              <w:rPr>
                <w:sz w:val="22"/>
                <w:szCs w:val="22"/>
                <w:lang w:eastAsia="en-US"/>
              </w:rPr>
            </w:pPr>
            <w:r w:rsidRPr="00D53A2B">
              <w:rPr>
                <w:sz w:val="22"/>
                <w:szCs w:val="22"/>
                <w:lang w:eastAsia="en-US"/>
              </w:rPr>
              <w:t>c</w:t>
            </w:r>
          </w:p>
        </w:tc>
        <w:tc>
          <w:tcPr>
            <w:tcW w:w="8391" w:type="dxa"/>
            <w:shd w:val="clear" w:color="auto" w:fill="auto"/>
          </w:tcPr>
          <w:p w14:paraId="22B2DDDB" w14:textId="7541D60C" w:rsidR="00374C56" w:rsidRPr="00D53A2B" w:rsidRDefault="00374C56" w:rsidP="00A202FD">
            <w:pPr>
              <w:spacing w:line="264" w:lineRule="auto"/>
              <w:jc w:val="both"/>
              <w:rPr>
                <w:sz w:val="22"/>
                <w:szCs w:val="22"/>
                <w:lang w:eastAsia="en-US"/>
              </w:rPr>
            </w:pPr>
            <w:r w:rsidRPr="00D53A2B">
              <w:rPr>
                <w:sz w:val="22"/>
                <w:szCs w:val="22"/>
                <w:lang w:eastAsia="en-US"/>
              </w:rPr>
              <w:t>Oksi</w:t>
            </w:r>
            <w:r w:rsidR="00273036" w:rsidRPr="00D53A2B">
              <w:rPr>
                <w:sz w:val="22"/>
                <w:szCs w:val="22"/>
                <w:lang w:eastAsia="en-US"/>
              </w:rPr>
              <w:t>jen-</w:t>
            </w:r>
            <w:r w:rsidRPr="00D53A2B">
              <w:rPr>
                <w:sz w:val="22"/>
                <w:szCs w:val="22"/>
                <w:lang w:eastAsia="en-US"/>
              </w:rPr>
              <w:t>yakıt brülörlerde, baca gazı devridaimi (alev sıcaklığını azaltmak için brülörden geriye doğru)</w:t>
            </w:r>
          </w:p>
        </w:tc>
      </w:tr>
      <w:tr w:rsidR="00374C56" w:rsidRPr="00D53A2B" w14:paraId="1E40E452" w14:textId="77777777" w:rsidTr="00037693">
        <w:trPr>
          <w:trHeight w:val="283"/>
        </w:trPr>
        <w:tc>
          <w:tcPr>
            <w:tcW w:w="8788" w:type="dxa"/>
            <w:gridSpan w:val="2"/>
            <w:vAlign w:val="center"/>
          </w:tcPr>
          <w:p w14:paraId="6B32FDD6" w14:textId="221ED5F3" w:rsidR="00374C56" w:rsidRPr="00D53A2B" w:rsidRDefault="00374C56" w:rsidP="00A202FD">
            <w:pPr>
              <w:jc w:val="both"/>
              <w:rPr>
                <w:spacing w:val="2"/>
                <w:sz w:val="22"/>
                <w:szCs w:val="22"/>
                <w:lang w:eastAsia="en-US"/>
              </w:rPr>
            </w:pPr>
            <w:r w:rsidRPr="00D53A2B">
              <w:rPr>
                <w:bCs/>
                <w:spacing w:val="2"/>
                <w:sz w:val="22"/>
                <w:szCs w:val="22"/>
                <w:lang w:eastAsia="en-US"/>
              </w:rPr>
              <w:t>(</w:t>
            </w:r>
            <w:r w:rsidRPr="00D53A2B">
              <w:rPr>
                <w:bCs/>
                <w:spacing w:val="2"/>
                <w:sz w:val="22"/>
                <w:szCs w:val="22"/>
                <w:vertAlign w:val="superscript"/>
                <w:lang w:eastAsia="en-US"/>
              </w:rPr>
              <w:t>1</w:t>
            </w:r>
            <w:r w:rsidRPr="00D53A2B">
              <w:rPr>
                <w:bCs/>
                <w:spacing w:val="2"/>
                <w:sz w:val="22"/>
                <w:szCs w:val="22"/>
                <w:lang w:eastAsia="en-US"/>
              </w:rPr>
              <w:t>)</w:t>
            </w:r>
            <w:r w:rsidRPr="00D53A2B">
              <w:rPr>
                <w:b/>
                <w:spacing w:val="2"/>
                <w:sz w:val="22"/>
                <w:szCs w:val="22"/>
                <w:lang w:eastAsia="en-US"/>
              </w:rPr>
              <w:t xml:space="preserve"> </w:t>
            </w:r>
            <w:r w:rsidRPr="00D53A2B">
              <w:rPr>
                <w:spacing w:val="2"/>
                <w:sz w:val="22"/>
                <w:szCs w:val="22"/>
                <w:lang w:eastAsia="en-US"/>
              </w:rPr>
              <w:t>Tekniklerin açıklamaları Bölüm 1.10</w:t>
            </w:r>
            <w:r w:rsidR="00E56504" w:rsidRPr="00D53A2B">
              <w:rPr>
                <w:spacing w:val="2"/>
                <w:sz w:val="22"/>
                <w:szCs w:val="22"/>
                <w:lang w:eastAsia="en-US"/>
              </w:rPr>
              <w:t>’</w:t>
            </w:r>
            <w:r w:rsidRPr="00D53A2B">
              <w:rPr>
                <w:spacing w:val="2"/>
                <w:sz w:val="22"/>
                <w:szCs w:val="22"/>
                <w:lang w:eastAsia="en-US"/>
              </w:rPr>
              <w:t>da verilmiştir.</w:t>
            </w:r>
          </w:p>
        </w:tc>
      </w:tr>
    </w:tbl>
    <w:p w14:paraId="3A83CEB8" w14:textId="77777777" w:rsidR="00374C56" w:rsidRPr="00D53A2B" w:rsidRDefault="00374C56" w:rsidP="00A202FD">
      <w:pPr>
        <w:jc w:val="both"/>
        <w:rPr>
          <w:lang w:eastAsia="en-US"/>
        </w:rPr>
      </w:pPr>
    </w:p>
    <w:p w14:paraId="6D9E33C5" w14:textId="409CEE93" w:rsidR="00374C56" w:rsidRPr="00D53A2B" w:rsidRDefault="00374C56" w:rsidP="00A202FD">
      <w:pPr>
        <w:jc w:val="both"/>
        <w:rPr>
          <w:lang w:eastAsia="en-US"/>
        </w:rPr>
      </w:pPr>
      <w:r w:rsidRPr="00D53A2B">
        <w:rPr>
          <w:lang w:eastAsia="en-US"/>
        </w:rPr>
        <w:t>İzleme ile ilgili bilgiler MET 10</w:t>
      </w:r>
      <w:r w:rsidR="00E56504" w:rsidRPr="00D53A2B">
        <w:rPr>
          <w:lang w:eastAsia="en-US"/>
        </w:rPr>
        <w:t>’</w:t>
      </w:r>
      <w:r w:rsidRPr="00D53A2B">
        <w:rPr>
          <w:lang w:eastAsia="en-US"/>
        </w:rPr>
        <w:t>dadır.</w:t>
      </w:r>
    </w:p>
    <w:p w14:paraId="6934FEFB" w14:textId="77777777" w:rsidR="00374C56" w:rsidRPr="00D53A2B" w:rsidRDefault="00374C56" w:rsidP="00A202FD">
      <w:pPr>
        <w:jc w:val="both"/>
        <w:rPr>
          <w:lang w:eastAsia="en-US"/>
        </w:rPr>
      </w:pPr>
    </w:p>
    <w:p w14:paraId="3126CB1C" w14:textId="69C90FA2" w:rsidR="00374C56" w:rsidRPr="00D53A2B" w:rsidRDefault="00933CD1" w:rsidP="00A202FD">
      <w:pPr>
        <w:pStyle w:val="Balk3"/>
        <w:rPr>
          <w:rFonts w:cs="Times New Roman"/>
          <w:lang w:eastAsia="en-US"/>
        </w:rPr>
      </w:pPr>
      <w:bookmarkStart w:id="51" w:name="_Toc531927861"/>
      <w:r w:rsidRPr="00D53A2B">
        <w:rPr>
          <w:rFonts w:cs="Times New Roman"/>
          <w:lang w:eastAsia="en-US"/>
        </w:rPr>
        <w:t>1.</w:t>
      </w:r>
      <w:r w:rsidR="00374C56" w:rsidRPr="00D53A2B">
        <w:rPr>
          <w:rFonts w:cs="Times New Roman"/>
          <w:lang w:eastAsia="en-US"/>
        </w:rPr>
        <w:t>1.9.</w:t>
      </w:r>
      <w:r w:rsidR="00374C56" w:rsidRPr="00D53A2B">
        <w:rPr>
          <w:rFonts w:cs="Times New Roman"/>
          <w:lang w:eastAsia="en-US"/>
        </w:rPr>
        <w:tab/>
        <w:t>Suya verilen emisyonlar ve bu emisyonların izlenmesi</w:t>
      </w:r>
      <w:bookmarkEnd w:id="51"/>
    </w:p>
    <w:p w14:paraId="384AC88A" w14:textId="5530DAE8" w:rsidR="00374C56" w:rsidRPr="00D53A2B" w:rsidRDefault="00374C56" w:rsidP="00A202FD">
      <w:pPr>
        <w:pStyle w:val="MET"/>
        <w:rPr>
          <w:szCs w:val="24"/>
        </w:rPr>
      </w:pPr>
      <w:r w:rsidRPr="00D53A2B">
        <w:rPr>
          <w:szCs w:val="24"/>
        </w:rPr>
        <w:t>MET 14.</w:t>
      </w:r>
      <w:r w:rsidR="00933CD1" w:rsidRPr="00D53A2B">
        <w:rPr>
          <w:szCs w:val="24"/>
        </w:rPr>
        <w:t xml:space="preserve"> </w:t>
      </w:r>
      <w:r w:rsidRPr="00D53A2B">
        <w:rPr>
          <w:b w:val="0"/>
          <w:bCs/>
          <w:szCs w:val="24"/>
        </w:rPr>
        <w:t xml:space="preserve">Atıksu oluşumunun </w:t>
      </w:r>
      <w:r w:rsidR="00933CD1" w:rsidRPr="00D53A2B">
        <w:rPr>
          <w:b w:val="0"/>
          <w:bCs/>
          <w:szCs w:val="24"/>
        </w:rPr>
        <w:t>önlemek</w:t>
      </w:r>
      <w:r w:rsidRPr="00D53A2B">
        <w:rPr>
          <w:b w:val="0"/>
          <w:bCs/>
          <w:szCs w:val="24"/>
        </w:rPr>
        <w:t xml:space="preserve"> ya da azalt</w:t>
      </w:r>
      <w:r w:rsidR="00933CD1" w:rsidRPr="00D53A2B">
        <w:rPr>
          <w:b w:val="0"/>
          <w:bCs/>
          <w:szCs w:val="24"/>
        </w:rPr>
        <w:t>mak</w:t>
      </w:r>
      <w:r w:rsidRPr="00D53A2B">
        <w:rPr>
          <w:b w:val="0"/>
          <w:bCs/>
          <w:szCs w:val="24"/>
        </w:rPr>
        <w:t xml:space="preserve"> </w:t>
      </w:r>
      <w:r w:rsidR="004B290D" w:rsidRPr="00D53A2B">
        <w:rPr>
          <w:b w:val="0"/>
          <w:bCs/>
          <w:szCs w:val="24"/>
        </w:rPr>
        <w:t>için</w:t>
      </w:r>
      <w:r w:rsidRPr="00D53A2B">
        <w:rPr>
          <w:b w:val="0"/>
          <w:bCs/>
          <w:szCs w:val="24"/>
        </w:rPr>
        <w:t>, aşağıda verilen tekniklerin biri ya da bir kombinasyonu</w:t>
      </w:r>
      <w:r w:rsidR="004B290D" w:rsidRPr="00D53A2B">
        <w:rPr>
          <w:b w:val="0"/>
          <w:bCs/>
          <w:szCs w:val="24"/>
        </w:rPr>
        <w:t xml:space="preserve"> k</w:t>
      </w:r>
      <w:r w:rsidRPr="00D53A2B">
        <w:rPr>
          <w:b w:val="0"/>
          <w:bCs/>
          <w:szCs w:val="24"/>
        </w:rPr>
        <w:t>ullanılır.</w:t>
      </w:r>
    </w:p>
    <w:p w14:paraId="29B70910" w14:textId="77777777" w:rsidR="00933CD1" w:rsidRPr="00D53A2B" w:rsidRDefault="00933CD1" w:rsidP="00A202FD">
      <w:pPr>
        <w:pStyle w:val="MET"/>
        <w:rPr>
          <w:szCs w:val="24"/>
        </w:rPr>
      </w:pPr>
    </w:p>
    <w:tbl>
      <w:tblPr>
        <w:tblW w:w="8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4851"/>
        <w:gridCol w:w="3565"/>
      </w:tblGrid>
      <w:tr w:rsidR="00374C56" w:rsidRPr="00A467CD" w14:paraId="7C367DF8" w14:textId="77777777" w:rsidTr="00037693">
        <w:trPr>
          <w:trHeight w:val="283"/>
          <w:jc w:val="center"/>
        </w:trPr>
        <w:tc>
          <w:tcPr>
            <w:tcW w:w="397" w:type="dxa"/>
            <w:vAlign w:val="center"/>
          </w:tcPr>
          <w:p w14:paraId="27FC2808" w14:textId="77777777" w:rsidR="00374C56" w:rsidRPr="009077F5" w:rsidRDefault="00374C56" w:rsidP="00A202FD">
            <w:pPr>
              <w:spacing w:line="264" w:lineRule="auto"/>
              <w:jc w:val="both"/>
              <w:rPr>
                <w:b/>
                <w:lang w:eastAsia="en-US"/>
              </w:rPr>
            </w:pPr>
          </w:p>
        </w:tc>
        <w:tc>
          <w:tcPr>
            <w:tcW w:w="4851" w:type="dxa"/>
            <w:shd w:val="clear" w:color="auto" w:fill="auto"/>
            <w:vAlign w:val="center"/>
          </w:tcPr>
          <w:p w14:paraId="0F9882D7" w14:textId="77777777" w:rsidR="00374C56" w:rsidRPr="009077F5" w:rsidRDefault="00374C56" w:rsidP="00A202FD">
            <w:pPr>
              <w:spacing w:line="264" w:lineRule="auto"/>
              <w:jc w:val="both"/>
              <w:rPr>
                <w:lang w:eastAsia="en-US"/>
              </w:rPr>
            </w:pPr>
            <w:r w:rsidRPr="009077F5">
              <w:rPr>
                <w:lang w:eastAsia="en-US"/>
              </w:rPr>
              <w:t>Teknik</w:t>
            </w:r>
          </w:p>
        </w:tc>
        <w:tc>
          <w:tcPr>
            <w:tcW w:w="3565" w:type="dxa"/>
            <w:shd w:val="clear" w:color="auto" w:fill="auto"/>
            <w:vAlign w:val="center"/>
          </w:tcPr>
          <w:p w14:paraId="68E033F7" w14:textId="77777777" w:rsidR="00374C56" w:rsidRPr="009077F5" w:rsidRDefault="00374C56" w:rsidP="00A202FD">
            <w:pPr>
              <w:spacing w:line="264" w:lineRule="auto"/>
              <w:jc w:val="both"/>
              <w:rPr>
                <w:lang w:eastAsia="en-US"/>
              </w:rPr>
            </w:pPr>
            <w:r w:rsidRPr="009077F5">
              <w:rPr>
                <w:lang w:eastAsia="en-US"/>
              </w:rPr>
              <w:t>Uygulanabilirlik</w:t>
            </w:r>
          </w:p>
        </w:tc>
      </w:tr>
      <w:tr w:rsidR="00374C56" w:rsidRPr="00A467CD" w14:paraId="2BB6C3E0" w14:textId="77777777" w:rsidTr="00037693">
        <w:trPr>
          <w:trHeight w:val="283"/>
          <w:jc w:val="center"/>
        </w:trPr>
        <w:tc>
          <w:tcPr>
            <w:tcW w:w="397" w:type="dxa"/>
            <w:vAlign w:val="center"/>
          </w:tcPr>
          <w:p w14:paraId="518B7ADE" w14:textId="3E5694F9" w:rsidR="00374C56" w:rsidRPr="009077F5" w:rsidRDefault="0051577E" w:rsidP="00A202FD">
            <w:pPr>
              <w:spacing w:line="264" w:lineRule="auto"/>
              <w:jc w:val="both"/>
              <w:rPr>
                <w:lang w:eastAsia="en-US"/>
              </w:rPr>
            </w:pPr>
            <w:r w:rsidRPr="009077F5">
              <w:rPr>
                <w:lang w:eastAsia="en-US"/>
              </w:rPr>
              <w:t>A</w:t>
            </w:r>
          </w:p>
        </w:tc>
        <w:tc>
          <w:tcPr>
            <w:tcW w:w="4851" w:type="dxa"/>
            <w:shd w:val="clear" w:color="auto" w:fill="auto"/>
            <w:vAlign w:val="center"/>
          </w:tcPr>
          <w:p w14:paraId="6EF58684" w14:textId="6E9C4AE1" w:rsidR="00374C56" w:rsidRPr="009077F5" w:rsidRDefault="00374C56" w:rsidP="00A202FD">
            <w:pPr>
              <w:spacing w:line="264" w:lineRule="auto"/>
              <w:jc w:val="both"/>
              <w:rPr>
                <w:lang w:eastAsia="en-US"/>
              </w:rPr>
            </w:pPr>
            <w:r w:rsidRPr="009077F5">
              <w:rPr>
                <w:lang w:eastAsia="en-US"/>
              </w:rPr>
              <w:t>Kullanılan t</w:t>
            </w:r>
            <w:r w:rsidR="00933CD1" w:rsidRPr="009077F5">
              <w:rPr>
                <w:lang w:eastAsia="en-US"/>
              </w:rPr>
              <w:t>atlı</w:t>
            </w:r>
            <w:r w:rsidRPr="009077F5">
              <w:rPr>
                <w:lang w:eastAsia="en-US"/>
              </w:rPr>
              <w:t xml:space="preserve"> su miktarını</w:t>
            </w:r>
            <w:r w:rsidR="00933CD1" w:rsidRPr="009077F5">
              <w:rPr>
                <w:lang w:eastAsia="en-US"/>
              </w:rPr>
              <w:t>n</w:t>
            </w:r>
            <w:r w:rsidRPr="009077F5">
              <w:rPr>
                <w:lang w:eastAsia="en-US"/>
              </w:rPr>
              <w:t xml:space="preserve"> ve </w:t>
            </w:r>
            <w:r w:rsidR="00933CD1" w:rsidRPr="009077F5">
              <w:rPr>
                <w:lang w:eastAsia="en-US"/>
              </w:rPr>
              <w:t>deşarj edilen</w:t>
            </w:r>
            <w:r w:rsidRPr="009077F5">
              <w:rPr>
                <w:lang w:eastAsia="en-US"/>
              </w:rPr>
              <w:t xml:space="preserve"> atıksu miktarının ölçülmesi</w:t>
            </w:r>
          </w:p>
        </w:tc>
        <w:tc>
          <w:tcPr>
            <w:tcW w:w="3565" w:type="dxa"/>
            <w:shd w:val="clear" w:color="auto" w:fill="auto"/>
            <w:vAlign w:val="center"/>
          </w:tcPr>
          <w:p w14:paraId="5C36570F" w14:textId="77777777" w:rsidR="00374C56" w:rsidRPr="009077F5" w:rsidRDefault="00374C56" w:rsidP="00A202FD">
            <w:pPr>
              <w:spacing w:line="264" w:lineRule="auto"/>
              <w:jc w:val="both"/>
              <w:rPr>
                <w:lang w:eastAsia="en-US"/>
              </w:rPr>
            </w:pPr>
            <w:r w:rsidRPr="009077F5">
              <w:rPr>
                <w:lang w:eastAsia="en-US"/>
              </w:rPr>
              <w:t>Genellikle uygulanabilir</w:t>
            </w:r>
          </w:p>
        </w:tc>
      </w:tr>
      <w:tr w:rsidR="00374C56" w:rsidRPr="00A467CD" w14:paraId="53F641DD" w14:textId="77777777" w:rsidTr="00037693">
        <w:trPr>
          <w:trHeight w:val="283"/>
          <w:jc w:val="center"/>
        </w:trPr>
        <w:tc>
          <w:tcPr>
            <w:tcW w:w="397" w:type="dxa"/>
            <w:vAlign w:val="center"/>
          </w:tcPr>
          <w:p w14:paraId="1D8531A8" w14:textId="381947CA" w:rsidR="00374C56" w:rsidRPr="009077F5" w:rsidRDefault="0051577E" w:rsidP="00A202FD">
            <w:pPr>
              <w:spacing w:line="264" w:lineRule="auto"/>
              <w:jc w:val="both"/>
              <w:rPr>
                <w:lang w:eastAsia="en-US"/>
              </w:rPr>
            </w:pPr>
            <w:r w:rsidRPr="009077F5">
              <w:rPr>
                <w:lang w:eastAsia="en-US"/>
              </w:rPr>
              <w:t>B</w:t>
            </w:r>
          </w:p>
        </w:tc>
        <w:tc>
          <w:tcPr>
            <w:tcW w:w="4851" w:type="dxa"/>
            <w:shd w:val="clear" w:color="auto" w:fill="auto"/>
            <w:vAlign w:val="center"/>
          </w:tcPr>
          <w:p w14:paraId="19CEC63C" w14:textId="4C4660AB" w:rsidR="00374C56" w:rsidRPr="009077F5" w:rsidRDefault="00933CD1" w:rsidP="00A202FD">
            <w:pPr>
              <w:spacing w:line="264" w:lineRule="auto"/>
              <w:jc w:val="both"/>
              <w:rPr>
                <w:lang w:eastAsia="en-US"/>
              </w:rPr>
            </w:pPr>
            <w:r w:rsidRPr="009077F5">
              <w:rPr>
                <w:lang w:eastAsia="en-US"/>
              </w:rPr>
              <w:t>Temizlik işlemlerinden (anot ve katot durulama suyu dahil) ve dökülmelerden kaynaklanan atıksuyun aynı işlemde yeniden kullanılması</w:t>
            </w:r>
          </w:p>
        </w:tc>
        <w:tc>
          <w:tcPr>
            <w:tcW w:w="3565" w:type="dxa"/>
            <w:shd w:val="clear" w:color="auto" w:fill="auto"/>
            <w:vAlign w:val="center"/>
          </w:tcPr>
          <w:p w14:paraId="2C97BB39" w14:textId="77777777" w:rsidR="00374C56" w:rsidRPr="009077F5" w:rsidRDefault="00374C56" w:rsidP="00A202FD">
            <w:pPr>
              <w:spacing w:line="264" w:lineRule="auto"/>
              <w:jc w:val="both"/>
              <w:rPr>
                <w:lang w:eastAsia="en-US"/>
              </w:rPr>
            </w:pPr>
            <w:r w:rsidRPr="009077F5">
              <w:rPr>
                <w:lang w:eastAsia="en-US"/>
              </w:rPr>
              <w:t>Genellikle uygulanabilir</w:t>
            </w:r>
          </w:p>
        </w:tc>
      </w:tr>
      <w:tr w:rsidR="00374C56" w:rsidRPr="00A467CD" w14:paraId="03454CEA" w14:textId="77777777" w:rsidTr="00037693">
        <w:trPr>
          <w:trHeight w:val="283"/>
          <w:jc w:val="center"/>
        </w:trPr>
        <w:tc>
          <w:tcPr>
            <w:tcW w:w="397" w:type="dxa"/>
            <w:vAlign w:val="center"/>
          </w:tcPr>
          <w:p w14:paraId="2949920E" w14:textId="0F1EB890" w:rsidR="00374C56" w:rsidRPr="009077F5" w:rsidRDefault="0051577E" w:rsidP="00A202FD">
            <w:pPr>
              <w:spacing w:line="264" w:lineRule="auto"/>
              <w:jc w:val="both"/>
              <w:rPr>
                <w:lang w:eastAsia="en-US"/>
              </w:rPr>
            </w:pPr>
            <w:r w:rsidRPr="009077F5">
              <w:rPr>
                <w:lang w:eastAsia="en-US"/>
              </w:rPr>
              <w:t>C</w:t>
            </w:r>
          </w:p>
        </w:tc>
        <w:tc>
          <w:tcPr>
            <w:tcW w:w="4851" w:type="dxa"/>
            <w:shd w:val="clear" w:color="auto" w:fill="auto"/>
            <w:vAlign w:val="center"/>
          </w:tcPr>
          <w:p w14:paraId="0674E39A" w14:textId="2E522041" w:rsidR="00374C56" w:rsidRPr="009077F5" w:rsidRDefault="00374C56" w:rsidP="00A202FD">
            <w:pPr>
              <w:jc w:val="both"/>
              <w:rPr>
                <w:lang w:eastAsia="en-US"/>
              </w:rPr>
            </w:pPr>
            <w:r w:rsidRPr="009077F5">
              <w:rPr>
                <w:lang w:eastAsia="en-US"/>
              </w:rPr>
              <w:t>Islak ESP ve ıslak yıkayıcılarında oluşan zayıf asitli suların tekrar kullanılması</w:t>
            </w:r>
          </w:p>
        </w:tc>
        <w:tc>
          <w:tcPr>
            <w:tcW w:w="3565" w:type="dxa"/>
            <w:shd w:val="clear" w:color="auto" w:fill="auto"/>
            <w:vAlign w:val="center"/>
          </w:tcPr>
          <w:p w14:paraId="4D4C4D7B" w14:textId="77777777" w:rsidR="00374C56" w:rsidRPr="009077F5" w:rsidRDefault="00374C56" w:rsidP="00A202FD">
            <w:pPr>
              <w:spacing w:line="264" w:lineRule="auto"/>
              <w:jc w:val="both"/>
              <w:rPr>
                <w:lang w:eastAsia="en-US"/>
              </w:rPr>
            </w:pPr>
            <w:r w:rsidRPr="009077F5">
              <w:rPr>
                <w:lang w:eastAsia="en-US"/>
              </w:rPr>
              <w:t>Uygulanabilirlik işlenen metale ve atığın katı madde içeriğine bağlı olarak sınırlanabilir</w:t>
            </w:r>
          </w:p>
        </w:tc>
      </w:tr>
      <w:tr w:rsidR="00374C56" w:rsidRPr="00A467CD" w14:paraId="1FEE0F7C" w14:textId="77777777" w:rsidTr="00037693">
        <w:trPr>
          <w:trHeight w:val="283"/>
          <w:jc w:val="center"/>
        </w:trPr>
        <w:tc>
          <w:tcPr>
            <w:tcW w:w="397" w:type="dxa"/>
            <w:vAlign w:val="center"/>
          </w:tcPr>
          <w:p w14:paraId="14A46FB2" w14:textId="63026FD6" w:rsidR="00374C56" w:rsidRPr="009077F5" w:rsidRDefault="0051577E" w:rsidP="00A202FD">
            <w:pPr>
              <w:spacing w:line="264" w:lineRule="auto"/>
              <w:jc w:val="both"/>
              <w:rPr>
                <w:lang w:eastAsia="en-US"/>
              </w:rPr>
            </w:pPr>
            <w:r w:rsidRPr="009077F5">
              <w:rPr>
                <w:lang w:eastAsia="en-US"/>
              </w:rPr>
              <w:t>D</w:t>
            </w:r>
          </w:p>
        </w:tc>
        <w:tc>
          <w:tcPr>
            <w:tcW w:w="4851" w:type="dxa"/>
            <w:shd w:val="clear" w:color="auto" w:fill="auto"/>
            <w:vAlign w:val="center"/>
          </w:tcPr>
          <w:p w14:paraId="035DCC79" w14:textId="5C6174AA" w:rsidR="00374C56" w:rsidRPr="009077F5" w:rsidRDefault="00374C56" w:rsidP="00A202FD">
            <w:pPr>
              <w:spacing w:line="264" w:lineRule="auto"/>
              <w:jc w:val="both"/>
              <w:rPr>
                <w:lang w:eastAsia="en-US"/>
              </w:rPr>
            </w:pPr>
            <w:r w:rsidRPr="009077F5">
              <w:rPr>
                <w:lang w:eastAsia="en-US"/>
              </w:rPr>
              <w:t xml:space="preserve">Cüruf granülasyonunda oluşan atıksuyun </w:t>
            </w:r>
            <w:r w:rsidR="00933CD1" w:rsidRPr="009077F5">
              <w:rPr>
                <w:lang w:eastAsia="en-US"/>
              </w:rPr>
              <w:t>yeniden</w:t>
            </w:r>
            <w:r w:rsidRPr="009077F5">
              <w:rPr>
                <w:lang w:eastAsia="en-US"/>
              </w:rPr>
              <w:t xml:space="preserve"> kullanılması</w:t>
            </w:r>
          </w:p>
        </w:tc>
        <w:tc>
          <w:tcPr>
            <w:tcW w:w="3565" w:type="dxa"/>
            <w:shd w:val="clear" w:color="auto" w:fill="auto"/>
            <w:vAlign w:val="center"/>
          </w:tcPr>
          <w:p w14:paraId="4079E90B" w14:textId="77777777" w:rsidR="00374C56" w:rsidRPr="009077F5" w:rsidRDefault="00374C56" w:rsidP="00A202FD">
            <w:pPr>
              <w:spacing w:line="264" w:lineRule="auto"/>
              <w:jc w:val="both"/>
              <w:rPr>
                <w:lang w:eastAsia="en-US"/>
              </w:rPr>
            </w:pPr>
            <w:r w:rsidRPr="009077F5">
              <w:rPr>
                <w:lang w:eastAsia="en-US"/>
              </w:rPr>
              <w:t>Uygulanabilirlik işlenen metale ve atığın katı madde içeriğine bağlı olarak sınırlanabilir</w:t>
            </w:r>
          </w:p>
        </w:tc>
      </w:tr>
      <w:tr w:rsidR="00374C56" w:rsidRPr="00A467CD" w14:paraId="3742B73F" w14:textId="77777777" w:rsidTr="00037693">
        <w:trPr>
          <w:trHeight w:val="283"/>
          <w:jc w:val="center"/>
        </w:trPr>
        <w:tc>
          <w:tcPr>
            <w:tcW w:w="397" w:type="dxa"/>
            <w:vAlign w:val="center"/>
          </w:tcPr>
          <w:p w14:paraId="0AD4BC47" w14:textId="02156A91" w:rsidR="00374C56" w:rsidRPr="009077F5" w:rsidRDefault="0051577E" w:rsidP="00A202FD">
            <w:pPr>
              <w:spacing w:line="264" w:lineRule="auto"/>
              <w:jc w:val="both"/>
              <w:rPr>
                <w:lang w:eastAsia="en-US"/>
              </w:rPr>
            </w:pPr>
            <w:r w:rsidRPr="009077F5">
              <w:rPr>
                <w:lang w:eastAsia="en-US"/>
              </w:rPr>
              <w:t>E</w:t>
            </w:r>
          </w:p>
        </w:tc>
        <w:tc>
          <w:tcPr>
            <w:tcW w:w="4851" w:type="dxa"/>
            <w:shd w:val="clear" w:color="auto" w:fill="auto"/>
            <w:vAlign w:val="center"/>
          </w:tcPr>
          <w:p w14:paraId="1E479410" w14:textId="396D53FC" w:rsidR="00374C56" w:rsidRPr="009077F5" w:rsidRDefault="00933CD1" w:rsidP="00A202FD">
            <w:pPr>
              <w:spacing w:line="264" w:lineRule="auto"/>
              <w:jc w:val="both"/>
              <w:rPr>
                <w:lang w:eastAsia="en-US"/>
              </w:rPr>
            </w:pPr>
            <w:r w:rsidRPr="009077F5">
              <w:rPr>
                <w:lang w:eastAsia="en-US"/>
              </w:rPr>
              <w:t>Yüzey akış suyunun yeniden kullanımı</w:t>
            </w:r>
          </w:p>
        </w:tc>
        <w:tc>
          <w:tcPr>
            <w:tcW w:w="3565" w:type="dxa"/>
            <w:shd w:val="clear" w:color="auto" w:fill="auto"/>
            <w:vAlign w:val="center"/>
          </w:tcPr>
          <w:p w14:paraId="3B07D9FE" w14:textId="77777777" w:rsidR="00374C56" w:rsidRPr="009077F5" w:rsidRDefault="00374C56" w:rsidP="00A202FD">
            <w:pPr>
              <w:spacing w:line="264" w:lineRule="auto"/>
              <w:jc w:val="both"/>
              <w:rPr>
                <w:lang w:eastAsia="en-US"/>
              </w:rPr>
            </w:pPr>
            <w:r w:rsidRPr="009077F5">
              <w:rPr>
                <w:lang w:eastAsia="en-US"/>
              </w:rPr>
              <w:t>Genellikle uygulanabilir</w:t>
            </w:r>
          </w:p>
        </w:tc>
      </w:tr>
      <w:tr w:rsidR="00374C56" w:rsidRPr="00A467CD" w14:paraId="0ADEAAB5" w14:textId="77777777" w:rsidTr="00037693">
        <w:trPr>
          <w:trHeight w:val="283"/>
          <w:jc w:val="center"/>
        </w:trPr>
        <w:tc>
          <w:tcPr>
            <w:tcW w:w="397" w:type="dxa"/>
            <w:vAlign w:val="center"/>
          </w:tcPr>
          <w:p w14:paraId="157CBACA" w14:textId="1D2E407F" w:rsidR="00374C56" w:rsidRPr="009077F5" w:rsidRDefault="0051577E" w:rsidP="00A202FD">
            <w:pPr>
              <w:spacing w:line="264" w:lineRule="auto"/>
              <w:jc w:val="both"/>
              <w:rPr>
                <w:lang w:eastAsia="en-US"/>
              </w:rPr>
            </w:pPr>
            <w:r w:rsidRPr="009077F5">
              <w:rPr>
                <w:lang w:eastAsia="en-US"/>
              </w:rPr>
              <w:t>F</w:t>
            </w:r>
          </w:p>
        </w:tc>
        <w:tc>
          <w:tcPr>
            <w:tcW w:w="4851" w:type="dxa"/>
            <w:shd w:val="clear" w:color="auto" w:fill="auto"/>
            <w:vAlign w:val="center"/>
          </w:tcPr>
          <w:p w14:paraId="6D16951F" w14:textId="77777777" w:rsidR="00374C56" w:rsidRPr="009077F5" w:rsidRDefault="00374C56" w:rsidP="00A202FD">
            <w:pPr>
              <w:spacing w:line="264" w:lineRule="auto"/>
              <w:jc w:val="both"/>
              <w:rPr>
                <w:lang w:eastAsia="en-US"/>
              </w:rPr>
            </w:pPr>
            <w:r w:rsidRPr="009077F5">
              <w:rPr>
                <w:lang w:eastAsia="en-US"/>
              </w:rPr>
              <w:t>Kapalı devre soğutma sistemi kullanılması</w:t>
            </w:r>
          </w:p>
        </w:tc>
        <w:tc>
          <w:tcPr>
            <w:tcW w:w="3565" w:type="dxa"/>
            <w:shd w:val="clear" w:color="auto" w:fill="auto"/>
            <w:vAlign w:val="center"/>
          </w:tcPr>
          <w:p w14:paraId="1663B9E1" w14:textId="77777777" w:rsidR="00374C56" w:rsidRPr="009077F5" w:rsidRDefault="00374C56" w:rsidP="00A202FD">
            <w:pPr>
              <w:spacing w:line="264" w:lineRule="auto"/>
              <w:jc w:val="both"/>
              <w:rPr>
                <w:lang w:eastAsia="en-US"/>
              </w:rPr>
            </w:pPr>
            <w:r w:rsidRPr="009077F5">
              <w:rPr>
                <w:lang w:eastAsia="en-US"/>
              </w:rPr>
              <w:t>Uygulanabilirlik, proses için düşük sıcaklıklar gerekiyor ise sınırlanabilir</w:t>
            </w:r>
          </w:p>
        </w:tc>
      </w:tr>
      <w:tr w:rsidR="00374C56" w:rsidRPr="00A467CD" w14:paraId="7CE10442" w14:textId="77777777" w:rsidTr="00037693">
        <w:trPr>
          <w:trHeight w:val="283"/>
          <w:jc w:val="center"/>
        </w:trPr>
        <w:tc>
          <w:tcPr>
            <w:tcW w:w="397" w:type="dxa"/>
            <w:vAlign w:val="center"/>
          </w:tcPr>
          <w:p w14:paraId="1B479D8D" w14:textId="7D0DE86C" w:rsidR="00374C56" w:rsidRPr="009077F5" w:rsidRDefault="0051577E" w:rsidP="00A202FD">
            <w:pPr>
              <w:spacing w:line="264" w:lineRule="auto"/>
              <w:jc w:val="both"/>
              <w:rPr>
                <w:lang w:eastAsia="en-US"/>
              </w:rPr>
            </w:pPr>
            <w:r w:rsidRPr="009077F5">
              <w:rPr>
                <w:lang w:eastAsia="en-US"/>
              </w:rPr>
              <w:t>G</w:t>
            </w:r>
          </w:p>
        </w:tc>
        <w:tc>
          <w:tcPr>
            <w:tcW w:w="4851" w:type="dxa"/>
            <w:shd w:val="clear" w:color="auto" w:fill="auto"/>
            <w:vAlign w:val="center"/>
          </w:tcPr>
          <w:p w14:paraId="2573DBC1" w14:textId="77777777" w:rsidR="00374C56" w:rsidRPr="009077F5" w:rsidRDefault="00374C56" w:rsidP="00A202FD">
            <w:pPr>
              <w:spacing w:line="264" w:lineRule="auto"/>
              <w:jc w:val="both"/>
              <w:rPr>
                <w:lang w:eastAsia="en-US"/>
              </w:rPr>
            </w:pPr>
            <w:r w:rsidRPr="009077F5">
              <w:rPr>
                <w:lang w:eastAsia="en-US"/>
              </w:rPr>
              <w:t>Atıksu arıtma tesisinde arıtılmış suyun tekrar kullanılması</w:t>
            </w:r>
          </w:p>
        </w:tc>
        <w:tc>
          <w:tcPr>
            <w:tcW w:w="3565" w:type="dxa"/>
            <w:shd w:val="clear" w:color="auto" w:fill="auto"/>
            <w:vAlign w:val="center"/>
          </w:tcPr>
          <w:p w14:paraId="68C2310F" w14:textId="77777777" w:rsidR="00374C56" w:rsidRPr="009077F5" w:rsidRDefault="00374C56" w:rsidP="00A202FD">
            <w:pPr>
              <w:spacing w:line="264" w:lineRule="auto"/>
              <w:jc w:val="both"/>
              <w:rPr>
                <w:lang w:eastAsia="en-US"/>
              </w:rPr>
            </w:pPr>
            <w:r w:rsidRPr="009077F5">
              <w:rPr>
                <w:lang w:eastAsia="en-US"/>
              </w:rPr>
              <w:t>Uygulanabilirlik tuz içeriğine bağlı olarak sınırlanabilir</w:t>
            </w:r>
          </w:p>
        </w:tc>
      </w:tr>
    </w:tbl>
    <w:p w14:paraId="5F6D42D3" w14:textId="77777777" w:rsidR="00374C56" w:rsidRPr="00D53A2B" w:rsidRDefault="00374C56" w:rsidP="00A202FD">
      <w:pPr>
        <w:jc w:val="both"/>
        <w:rPr>
          <w:lang w:eastAsia="en-US"/>
        </w:rPr>
      </w:pPr>
    </w:p>
    <w:p w14:paraId="7DA97363" w14:textId="15B9A845" w:rsidR="00374C56" w:rsidRPr="00D53A2B" w:rsidRDefault="00374C56" w:rsidP="00A202FD">
      <w:pPr>
        <w:pStyle w:val="MET"/>
        <w:rPr>
          <w:szCs w:val="24"/>
        </w:rPr>
      </w:pPr>
      <w:r w:rsidRPr="00D53A2B">
        <w:rPr>
          <w:szCs w:val="24"/>
        </w:rPr>
        <w:t>MET 15</w:t>
      </w:r>
      <w:r w:rsidR="004B290D" w:rsidRPr="00D53A2B">
        <w:rPr>
          <w:szCs w:val="24"/>
        </w:rPr>
        <w:t>:</w:t>
      </w:r>
      <w:r w:rsidR="0007449F" w:rsidRPr="00D53A2B">
        <w:rPr>
          <w:szCs w:val="24"/>
        </w:rPr>
        <w:t xml:space="preserve"> </w:t>
      </w:r>
      <w:r w:rsidR="00933CD1" w:rsidRPr="00D53A2B">
        <w:rPr>
          <w:b w:val="0"/>
          <w:bCs/>
          <w:szCs w:val="24"/>
        </w:rPr>
        <w:t>Suyun kirlenmesini önlemek ve suya verilen emisyonları azaltmak için kirlenmemiş atıksu akışları arıtma gerektiren atıksu akışlarından ayır</w:t>
      </w:r>
      <w:r w:rsidR="0007449F" w:rsidRPr="00D53A2B">
        <w:rPr>
          <w:b w:val="0"/>
          <w:bCs/>
          <w:szCs w:val="24"/>
        </w:rPr>
        <w:t>ılır</w:t>
      </w:r>
      <w:r w:rsidR="00933CD1" w:rsidRPr="00D53A2B">
        <w:rPr>
          <w:b w:val="0"/>
          <w:bCs/>
          <w:szCs w:val="24"/>
        </w:rPr>
        <w:t>.</w:t>
      </w:r>
    </w:p>
    <w:p w14:paraId="7A7CEE32" w14:textId="77777777" w:rsidR="00933CD1" w:rsidRPr="00D53A2B" w:rsidRDefault="00933CD1" w:rsidP="00A202FD">
      <w:pPr>
        <w:jc w:val="both"/>
        <w:rPr>
          <w:lang w:eastAsia="en-US"/>
        </w:rPr>
      </w:pPr>
    </w:p>
    <w:p w14:paraId="26B56EA5" w14:textId="498E7DCD" w:rsidR="00374C56" w:rsidRPr="00D53A2B" w:rsidRDefault="00374C56" w:rsidP="00A202FD">
      <w:pPr>
        <w:tabs>
          <w:tab w:val="left" w:pos="284"/>
        </w:tabs>
        <w:jc w:val="both"/>
        <w:rPr>
          <w:b/>
          <w:lang w:eastAsia="en-US"/>
        </w:rPr>
      </w:pPr>
      <w:r w:rsidRPr="00D53A2B">
        <w:rPr>
          <w:b/>
          <w:lang w:eastAsia="en-US"/>
        </w:rPr>
        <w:t>Uygulanabilirlik</w:t>
      </w:r>
    </w:p>
    <w:p w14:paraId="6F9265C6" w14:textId="115AC804" w:rsidR="00374C56" w:rsidRPr="00D53A2B" w:rsidRDefault="00374C56" w:rsidP="00A202FD">
      <w:pPr>
        <w:jc w:val="both"/>
        <w:rPr>
          <w:lang w:eastAsia="en-US"/>
        </w:rPr>
      </w:pPr>
      <w:r w:rsidRPr="00D53A2B">
        <w:rPr>
          <w:lang w:eastAsia="en-US"/>
        </w:rPr>
        <w:t>Kirlenmemiş yağmur suyunun ayrı</w:t>
      </w:r>
      <w:r w:rsidR="00933CD1" w:rsidRPr="00D53A2B">
        <w:rPr>
          <w:lang w:eastAsia="en-US"/>
        </w:rPr>
        <w:t>ştırılması</w:t>
      </w:r>
      <w:r w:rsidRPr="00D53A2B">
        <w:rPr>
          <w:lang w:eastAsia="en-US"/>
        </w:rPr>
        <w:t>, mevcut atıksu toplama sistemlerinde mümkün olmayabilir.</w:t>
      </w:r>
    </w:p>
    <w:p w14:paraId="48CB82A5" w14:textId="77777777" w:rsidR="00933CD1" w:rsidRPr="00D53A2B" w:rsidRDefault="00933CD1" w:rsidP="00A202FD">
      <w:pPr>
        <w:jc w:val="both"/>
        <w:rPr>
          <w:lang w:eastAsia="en-US"/>
        </w:rPr>
      </w:pPr>
    </w:p>
    <w:p w14:paraId="54164724" w14:textId="4F36DE9F" w:rsidR="00374C56" w:rsidRPr="00D53A2B" w:rsidRDefault="00374C56" w:rsidP="00A202FD">
      <w:pPr>
        <w:pStyle w:val="MET"/>
        <w:rPr>
          <w:szCs w:val="24"/>
        </w:rPr>
      </w:pPr>
      <w:r w:rsidRPr="00D53A2B">
        <w:rPr>
          <w:szCs w:val="24"/>
        </w:rPr>
        <w:t>MET 16</w:t>
      </w:r>
      <w:r w:rsidR="000B37EE" w:rsidRPr="00D53A2B">
        <w:rPr>
          <w:szCs w:val="24"/>
        </w:rPr>
        <w:t xml:space="preserve">: </w:t>
      </w:r>
      <w:r w:rsidR="0007449F" w:rsidRPr="00D53A2B">
        <w:rPr>
          <w:b w:val="0"/>
          <w:bCs/>
          <w:szCs w:val="24"/>
        </w:rPr>
        <w:t>S</w:t>
      </w:r>
      <w:r w:rsidR="000B37EE" w:rsidRPr="00D53A2B">
        <w:rPr>
          <w:b w:val="0"/>
          <w:bCs/>
          <w:szCs w:val="24"/>
        </w:rPr>
        <w:t>u numunesi almak için ISO 5667</w:t>
      </w:r>
      <w:r w:rsidR="00E56504" w:rsidRPr="00D53A2B">
        <w:rPr>
          <w:b w:val="0"/>
          <w:bCs/>
          <w:szCs w:val="24"/>
        </w:rPr>
        <w:t>’</w:t>
      </w:r>
      <w:r w:rsidR="000B37EE" w:rsidRPr="00D53A2B">
        <w:rPr>
          <w:b w:val="0"/>
          <w:bCs/>
          <w:szCs w:val="24"/>
        </w:rPr>
        <w:t>yi kullana</w:t>
      </w:r>
      <w:r w:rsidR="0007449F" w:rsidRPr="00D53A2B">
        <w:rPr>
          <w:b w:val="0"/>
          <w:bCs/>
          <w:szCs w:val="24"/>
        </w:rPr>
        <w:t>r</w:t>
      </w:r>
      <w:r w:rsidR="000B37EE" w:rsidRPr="00D53A2B">
        <w:rPr>
          <w:b w:val="0"/>
          <w:bCs/>
          <w:szCs w:val="24"/>
        </w:rPr>
        <w:t>ak ve emisyonun tesisi terk ettiği noktada suya verilen emisyonları ayda en az bir kez (</w:t>
      </w:r>
      <w:r w:rsidR="000B37EE" w:rsidRPr="00D53A2B">
        <w:rPr>
          <w:b w:val="0"/>
          <w:bCs/>
          <w:szCs w:val="24"/>
          <w:vertAlign w:val="superscript"/>
        </w:rPr>
        <w:t>1</w:t>
      </w:r>
      <w:r w:rsidR="000B37EE" w:rsidRPr="00D53A2B">
        <w:rPr>
          <w:b w:val="0"/>
          <w:bCs/>
          <w:szCs w:val="24"/>
        </w:rPr>
        <w:t>) ve EN standartlarına uygun olarak izle</w:t>
      </w:r>
      <w:r w:rsidR="0044552F" w:rsidRPr="00D53A2B">
        <w:rPr>
          <w:b w:val="0"/>
          <w:bCs/>
          <w:szCs w:val="24"/>
        </w:rPr>
        <w:t>nebilir</w:t>
      </w:r>
      <w:r w:rsidR="000B37EE" w:rsidRPr="00D53A2B">
        <w:rPr>
          <w:b w:val="0"/>
          <w:bCs/>
          <w:szCs w:val="24"/>
        </w:rPr>
        <w:t>. EN standartlarının mevcut olmaması halinde MET, eşdeğer bilimsel kalitede verilerin sağlanmasını temin eden ISO, ulusal veya diğer uluslararası standartları kullana</w:t>
      </w:r>
      <w:r w:rsidR="0044552F" w:rsidRPr="00D53A2B">
        <w:rPr>
          <w:b w:val="0"/>
          <w:bCs/>
          <w:szCs w:val="24"/>
        </w:rPr>
        <w:t>bilir</w:t>
      </w:r>
      <w:r w:rsidR="000B37EE" w:rsidRPr="00D53A2B">
        <w:rPr>
          <w:b w:val="0"/>
          <w:bCs/>
          <w:szCs w:val="24"/>
        </w:rPr>
        <w:t>.</w:t>
      </w:r>
    </w:p>
    <w:p w14:paraId="75B414A1" w14:textId="417112C1" w:rsidR="00374C56" w:rsidRPr="00D53A2B" w:rsidRDefault="00374C56" w:rsidP="00A202FD">
      <w:pPr>
        <w:jc w:val="both"/>
        <w:rPr>
          <w:bCs/>
          <w:lang w:eastAsia="en-US"/>
        </w:rPr>
      </w:pPr>
      <w:r w:rsidRPr="00D53A2B">
        <w:rPr>
          <w:bCs/>
          <w:lang w:eastAsia="en-US"/>
        </w:rPr>
        <w:t>(</w:t>
      </w:r>
      <w:r w:rsidRPr="00D53A2B">
        <w:rPr>
          <w:bCs/>
          <w:vertAlign w:val="superscript"/>
          <w:lang w:eastAsia="en-US"/>
        </w:rPr>
        <w:t>1</w:t>
      </w:r>
      <w:r w:rsidRPr="00D53A2B">
        <w:rPr>
          <w:bCs/>
          <w:lang w:eastAsia="en-US"/>
        </w:rPr>
        <w:t xml:space="preserve">): Eğer toplanan veri serileri kullanılarak emisyonların yeterli derecede stabil olduğu açıkça gösterilebilirse, izleme sıklığı uyarlanabilir. </w:t>
      </w:r>
    </w:p>
    <w:p w14:paraId="72639C16" w14:textId="77777777" w:rsidR="000B37EE" w:rsidRPr="00D53A2B" w:rsidRDefault="000B37EE" w:rsidP="00A202FD">
      <w:pPr>
        <w:jc w:val="both"/>
        <w:rPr>
          <w:bCs/>
          <w:lang w:eastAsia="en-US"/>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43"/>
        <w:gridCol w:w="5386"/>
        <w:gridCol w:w="1560"/>
      </w:tblGrid>
      <w:tr w:rsidR="00374C56" w:rsidRPr="00A467CD" w14:paraId="054CAC37" w14:textId="77777777" w:rsidTr="000E6C87">
        <w:trPr>
          <w:trHeight w:val="397"/>
        </w:trPr>
        <w:tc>
          <w:tcPr>
            <w:tcW w:w="1843" w:type="dxa"/>
            <w:vAlign w:val="center"/>
          </w:tcPr>
          <w:p w14:paraId="18885B8D" w14:textId="77777777" w:rsidR="00374C56" w:rsidRPr="009077F5" w:rsidRDefault="00374C56" w:rsidP="00A202FD">
            <w:pPr>
              <w:ind w:left="57" w:right="57"/>
              <w:jc w:val="both"/>
              <w:rPr>
                <w:lang w:eastAsia="en-US"/>
              </w:rPr>
            </w:pPr>
            <w:r w:rsidRPr="009077F5">
              <w:rPr>
                <w:b/>
                <w:bCs/>
                <w:lang w:eastAsia="en-US"/>
              </w:rPr>
              <w:lastRenderedPageBreak/>
              <w:t>Parametre</w:t>
            </w:r>
          </w:p>
        </w:tc>
        <w:tc>
          <w:tcPr>
            <w:tcW w:w="5386" w:type="dxa"/>
            <w:vAlign w:val="center"/>
          </w:tcPr>
          <w:p w14:paraId="422CFBD3" w14:textId="77777777" w:rsidR="00374C56" w:rsidRPr="009077F5" w:rsidRDefault="00374C56" w:rsidP="00A202FD">
            <w:pPr>
              <w:ind w:left="57" w:right="57"/>
              <w:jc w:val="both"/>
              <w:rPr>
                <w:lang w:eastAsia="en-US"/>
              </w:rPr>
            </w:pPr>
            <w:r w:rsidRPr="009077F5">
              <w:rPr>
                <w:b/>
                <w:bCs/>
                <w:lang w:eastAsia="en-US"/>
              </w:rPr>
              <w:t xml:space="preserve">Uygulanacağı metal üretimi türü </w:t>
            </w:r>
            <w:r w:rsidRPr="009077F5">
              <w:rPr>
                <w:b/>
                <w:lang w:eastAsia="en-US"/>
              </w:rPr>
              <w:t>(</w:t>
            </w:r>
            <w:r w:rsidRPr="009077F5">
              <w:rPr>
                <w:b/>
                <w:vertAlign w:val="superscript"/>
                <w:lang w:eastAsia="en-US"/>
              </w:rPr>
              <w:t>1</w:t>
            </w:r>
            <w:r w:rsidRPr="009077F5">
              <w:rPr>
                <w:b/>
                <w:lang w:eastAsia="en-US"/>
              </w:rPr>
              <w:t>)</w:t>
            </w:r>
          </w:p>
        </w:tc>
        <w:tc>
          <w:tcPr>
            <w:tcW w:w="1560" w:type="dxa"/>
            <w:vAlign w:val="center"/>
          </w:tcPr>
          <w:p w14:paraId="52C5B20E" w14:textId="77777777" w:rsidR="00374C56" w:rsidRPr="009077F5" w:rsidRDefault="00374C56" w:rsidP="00A202FD">
            <w:pPr>
              <w:ind w:left="57" w:right="57"/>
              <w:jc w:val="both"/>
              <w:rPr>
                <w:lang w:eastAsia="en-US"/>
              </w:rPr>
            </w:pPr>
            <w:r w:rsidRPr="009077F5">
              <w:rPr>
                <w:b/>
                <w:bCs/>
                <w:lang w:eastAsia="en-US"/>
              </w:rPr>
              <w:t>Standart(lar)</w:t>
            </w:r>
          </w:p>
        </w:tc>
      </w:tr>
      <w:tr w:rsidR="00374C56" w:rsidRPr="00A467CD" w14:paraId="101A9955" w14:textId="77777777" w:rsidTr="000E6C87">
        <w:trPr>
          <w:trHeight w:val="283"/>
        </w:trPr>
        <w:tc>
          <w:tcPr>
            <w:tcW w:w="1843" w:type="dxa"/>
          </w:tcPr>
          <w:p w14:paraId="69776763" w14:textId="77777777" w:rsidR="00374C56" w:rsidRPr="009077F5" w:rsidRDefault="00374C56" w:rsidP="00A202FD">
            <w:pPr>
              <w:ind w:left="57" w:right="57"/>
              <w:jc w:val="both"/>
              <w:rPr>
                <w:lang w:eastAsia="en-US"/>
              </w:rPr>
            </w:pPr>
            <w:bookmarkStart w:id="52" w:name="_Hlk521900036"/>
            <w:r w:rsidRPr="009077F5">
              <w:rPr>
                <w:lang w:eastAsia="en-US"/>
              </w:rPr>
              <w:t>Cıva (Hg)</w:t>
            </w:r>
          </w:p>
        </w:tc>
        <w:tc>
          <w:tcPr>
            <w:tcW w:w="5386" w:type="dxa"/>
            <w:vAlign w:val="center"/>
          </w:tcPr>
          <w:p w14:paraId="24C61DA7" w14:textId="13B2ED3D" w:rsidR="00374C56" w:rsidRPr="009077F5" w:rsidRDefault="00374C56" w:rsidP="00A202FD">
            <w:pPr>
              <w:ind w:left="57" w:right="57"/>
              <w:jc w:val="both"/>
              <w:rPr>
                <w:lang w:eastAsia="en-US"/>
              </w:rPr>
            </w:pPr>
            <w:r w:rsidRPr="009077F5">
              <w:rPr>
                <w:lang w:eastAsia="en-US"/>
              </w:rPr>
              <w:t xml:space="preserve">Bakır, Kurşun, Kalay, Çinko, Kadmiyum, </w:t>
            </w:r>
            <w:r w:rsidR="000B37EE" w:rsidRPr="009077F5">
              <w:rPr>
                <w:lang w:eastAsia="en-US"/>
              </w:rPr>
              <w:t>Değerli</w:t>
            </w:r>
            <w:r w:rsidRPr="009077F5">
              <w:rPr>
                <w:lang w:eastAsia="en-US"/>
              </w:rPr>
              <w:t xml:space="preserve"> </w:t>
            </w:r>
            <w:r w:rsidR="000B37EE" w:rsidRPr="009077F5">
              <w:rPr>
                <w:lang w:eastAsia="en-US"/>
              </w:rPr>
              <w:t>metaller</w:t>
            </w:r>
            <w:r w:rsidRPr="009077F5">
              <w:rPr>
                <w:lang w:eastAsia="en-US"/>
              </w:rPr>
              <w:t>, Ferro-alaşımlar, Nikel, Kobalt ve diğer demir dışı metaller</w:t>
            </w:r>
          </w:p>
        </w:tc>
        <w:tc>
          <w:tcPr>
            <w:tcW w:w="1560" w:type="dxa"/>
            <w:vAlign w:val="center"/>
          </w:tcPr>
          <w:p w14:paraId="5F6C5D98" w14:textId="1FB071A2" w:rsidR="00374C56" w:rsidRPr="009077F5" w:rsidRDefault="0023315C" w:rsidP="00A202FD">
            <w:pPr>
              <w:ind w:left="57" w:right="57"/>
              <w:jc w:val="both"/>
              <w:rPr>
                <w:lang w:eastAsia="en-US"/>
              </w:rPr>
            </w:pPr>
            <w:r w:rsidRPr="009077F5">
              <w:rPr>
                <w:lang w:eastAsia="en-US"/>
              </w:rPr>
              <w:t>TS EN ISO 17852</w:t>
            </w:r>
            <w:r w:rsidR="00374C56" w:rsidRPr="009077F5">
              <w:rPr>
                <w:lang w:eastAsia="en-US"/>
              </w:rPr>
              <w:t>,</w:t>
            </w:r>
          </w:p>
          <w:p w14:paraId="5B4F6676" w14:textId="73B44D20" w:rsidR="00374C56" w:rsidRPr="009077F5" w:rsidRDefault="0023315C" w:rsidP="00A202FD">
            <w:pPr>
              <w:ind w:left="57" w:right="57"/>
              <w:jc w:val="both"/>
              <w:rPr>
                <w:lang w:eastAsia="en-US"/>
              </w:rPr>
            </w:pPr>
            <w:r w:rsidRPr="009077F5">
              <w:rPr>
                <w:lang w:eastAsia="en-US"/>
              </w:rPr>
              <w:t>TS EN ISO 12846</w:t>
            </w:r>
          </w:p>
        </w:tc>
      </w:tr>
      <w:tr w:rsidR="00374C56" w:rsidRPr="00A467CD" w14:paraId="34BE1554" w14:textId="77777777" w:rsidTr="000E6C87">
        <w:trPr>
          <w:trHeight w:val="283"/>
        </w:trPr>
        <w:tc>
          <w:tcPr>
            <w:tcW w:w="1843" w:type="dxa"/>
          </w:tcPr>
          <w:p w14:paraId="67790AE6" w14:textId="77777777" w:rsidR="00374C56" w:rsidRPr="009077F5" w:rsidRDefault="00374C56" w:rsidP="00A202FD">
            <w:pPr>
              <w:ind w:left="57" w:right="57"/>
              <w:jc w:val="both"/>
              <w:rPr>
                <w:lang w:eastAsia="en-US"/>
              </w:rPr>
            </w:pPr>
            <w:r w:rsidRPr="009077F5">
              <w:rPr>
                <w:lang w:eastAsia="en-US"/>
              </w:rPr>
              <w:t>Demir (Fe)</w:t>
            </w:r>
          </w:p>
        </w:tc>
        <w:tc>
          <w:tcPr>
            <w:tcW w:w="5386" w:type="dxa"/>
            <w:vAlign w:val="center"/>
          </w:tcPr>
          <w:p w14:paraId="29A3FC29" w14:textId="5243F7FA" w:rsidR="00374C56" w:rsidRPr="009077F5" w:rsidRDefault="00374C56" w:rsidP="00A202FD">
            <w:pPr>
              <w:ind w:left="57" w:right="57"/>
              <w:jc w:val="both"/>
              <w:rPr>
                <w:lang w:eastAsia="en-US"/>
              </w:rPr>
            </w:pPr>
            <w:r w:rsidRPr="009077F5">
              <w:rPr>
                <w:lang w:eastAsia="en-US"/>
              </w:rPr>
              <w:t xml:space="preserve">Bakır, Kurşun, Kalay, Çinko, Kadmiyum, </w:t>
            </w:r>
            <w:r w:rsidR="000B37EE" w:rsidRPr="009077F5">
              <w:rPr>
                <w:lang w:eastAsia="en-US"/>
              </w:rPr>
              <w:t>Değerli</w:t>
            </w:r>
            <w:r w:rsidRPr="009077F5">
              <w:rPr>
                <w:lang w:eastAsia="en-US"/>
              </w:rPr>
              <w:t xml:space="preserve"> </w:t>
            </w:r>
            <w:r w:rsidR="000B37EE" w:rsidRPr="009077F5">
              <w:rPr>
                <w:lang w:eastAsia="en-US"/>
              </w:rPr>
              <w:t>metaller</w:t>
            </w:r>
            <w:r w:rsidRPr="009077F5">
              <w:rPr>
                <w:lang w:eastAsia="en-US"/>
              </w:rPr>
              <w:t>, Ferro-alaşımlar, Nikel, Kobalt ve diğer demir dışı metaller</w:t>
            </w:r>
          </w:p>
        </w:tc>
        <w:tc>
          <w:tcPr>
            <w:tcW w:w="1560" w:type="dxa"/>
            <w:vMerge w:val="restart"/>
            <w:vAlign w:val="center"/>
          </w:tcPr>
          <w:p w14:paraId="130D8C3C" w14:textId="66B1F8A5" w:rsidR="00374C56" w:rsidRPr="009077F5" w:rsidRDefault="007237E2" w:rsidP="00A202FD">
            <w:pPr>
              <w:ind w:left="57" w:right="57"/>
              <w:jc w:val="both"/>
              <w:rPr>
                <w:lang w:eastAsia="en-US"/>
              </w:rPr>
            </w:pPr>
            <w:r w:rsidRPr="009077F5">
              <w:rPr>
                <w:lang w:eastAsia="en-US"/>
              </w:rPr>
              <w:t>TS EN ISO 11885</w:t>
            </w:r>
          </w:p>
          <w:p w14:paraId="09C99D63" w14:textId="77777777" w:rsidR="00374C56" w:rsidRPr="009077F5" w:rsidRDefault="00374C56" w:rsidP="00A202FD">
            <w:pPr>
              <w:ind w:left="57" w:right="57"/>
              <w:jc w:val="both"/>
              <w:rPr>
                <w:lang w:eastAsia="en-US"/>
              </w:rPr>
            </w:pPr>
            <w:r w:rsidRPr="009077F5">
              <w:rPr>
                <w:lang w:eastAsia="en-US"/>
              </w:rPr>
              <w:t>EN ISO 15586</w:t>
            </w:r>
          </w:p>
          <w:p w14:paraId="16A78C4D" w14:textId="62D8B916" w:rsidR="00374C56" w:rsidRPr="009077F5" w:rsidRDefault="007237E2" w:rsidP="00A202FD">
            <w:pPr>
              <w:ind w:left="57" w:right="57"/>
              <w:jc w:val="both"/>
              <w:rPr>
                <w:lang w:eastAsia="en-US"/>
              </w:rPr>
            </w:pPr>
            <w:r w:rsidRPr="009077F5">
              <w:rPr>
                <w:lang w:eastAsia="en-US"/>
              </w:rPr>
              <w:t>TS EN ISO 17294-2</w:t>
            </w:r>
          </w:p>
        </w:tc>
      </w:tr>
      <w:tr w:rsidR="00374C56" w:rsidRPr="00A467CD" w14:paraId="5C7AEC31" w14:textId="77777777" w:rsidTr="000E6C87">
        <w:trPr>
          <w:trHeight w:val="283"/>
        </w:trPr>
        <w:tc>
          <w:tcPr>
            <w:tcW w:w="1843" w:type="dxa"/>
          </w:tcPr>
          <w:p w14:paraId="7B45098F" w14:textId="77777777" w:rsidR="00374C56" w:rsidRPr="009077F5" w:rsidRDefault="00374C56" w:rsidP="00A202FD">
            <w:pPr>
              <w:ind w:left="57" w:right="57"/>
              <w:jc w:val="both"/>
              <w:rPr>
                <w:lang w:eastAsia="en-US"/>
              </w:rPr>
            </w:pPr>
            <w:r w:rsidRPr="009077F5">
              <w:rPr>
                <w:lang w:eastAsia="en-US"/>
              </w:rPr>
              <w:t>Arsenik (As)</w:t>
            </w:r>
          </w:p>
        </w:tc>
        <w:tc>
          <w:tcPr>
            <w:tcW w:w="5386" w:type="dxa"/>
            <w:vMerge w:val="restart"/>
            <w:vAlign w:val="center"/>
          </w:tcPr>
          <w:p w14:paraId="68C928AD" w14:textId="42E801C7" w:rsidR="00374C56" w:rsidRPr="009077F5" w:rsidRDefault="00374C56" w:rsidP="00A202FD">
            <w:pPr>
              <w:ind w:left="57" w:right="57"/>
              <w:jc w:val="both"/>
              <w:rPr>
                <w:lang w:eastAsia="en-US"/>
              </w:rPr>
            </w:pPr>
            <w:r w:rsidRPr="009077F5">
              <w:rPr>
                <w:lang w:eastAsia="en-US"/>
              </w:rPr>
              <w:t xml:space="preserve">Bakır, Kurşun, Kalay, Çinko, Kadmiyum, </w:t>
            </w:r>
            <w:r w:rsidR="000B37EE" w:rsidRPr="009077F5">
              <w:rPr>
                <w:lang w:eastAsia="en-US"/>
              </w:rPr>
              <w:t>Değerli</w:t>
            </w:r>
            <w:r w:rsidRPr="009077F5">
              <w:rPr>
                <w:lang w:eastAsia="en-US"/>
              </w:rPr>
              <w:t xml:space="preserve"> </w:t>
            </w:r>
            <w:r w:rsidR="000B37EE" w:rsidRPr="009077F5">
              <w:rPr>
                <w:lang w:eastAsia="en-US"/>
              </w:rPr>
              <w:t>metaller</w:t>
            </w:r>
            <w:r w:rsidRPr="009077F5">
              <w:rPr>
                <w:lang w:eastAsia="en-US"/>
              </w:rPr>
              <w:t>, Ferro Alaşımlar, Nikel ve Kobalt</w:t>
            </w:r>
          </w:p>
        </w:tc>
        <w:tc>
          <w:tcPr>
            <w:tcW w:w="1560" w:type="dxa"/>
            <w:vMerge/>
            <w:vAlign w:val="center"/>
          </w:tcPr>
          <w:p w14:paraId="082A5E93" w14:textId="77777777" w:rsidR="00374C56" w:rsidRPr="009077F5" w:rsidRDefault="00374C56" w:rsidP="00A202FD">
            <w:pPr>
              <w:ind w:left="57" w:right="57"/>
              <w:jc w:val="both"/>
              <w:rPr>
                <w:lang w:eastAsia="en-US"/>
              </w:rPr>
            </w:pPr>
          </w:p>
        </w:tc>
      </w:tr>
      <w:tr w:rsidR="00374C56" w:rsidRPr="00A467CD" w14:paraId="1E9F761C" w14:textId="77777777" w:rsidTr="000E6C87">
        <w:trPr>
          <w:trHeight w:val="283"/>
        </w:trPr>
        <w:tc>
          <w:tcPr>
            <w:tcW w:w="1843" w:type="dxa"/>
          </w:tcPr>
          <w:p w14:paraId="72C3F5E1" w14:textId="77777777" w:rsidR="00374C56" w:rsidRPr="009077F5" w:rsidRDefault="00374C56" w:rsidP="00A202FD">
            <w:pPr>
              <w:ind w:left="57" w:right="57"/>
              <w:jc w:val="both"/>
              <w:rPr>
                <w:lang w:eastAsia="en-US"/>
              </w:rPr>
            </w:pPr>
            <w:r w:rsidRPr="009077F5">
              <w:rPr>
                <w:lang w:eastAsia="en-US"/>
              </w:rPr>
              <w:t>Kadmiyum (Cd)</w:t>
            </w:r>
          </w:p>
        </w:tc>
        <w:tc>
          <w:tcPr>
            <w:tcW w:w="5386" w:type="dxa"/>
            <w:vMerge/>
            <w:vAlign w:val="center"/>
          </w:tcPr>
          <w:p w14:paraId="62BCB006" w14:textId="77777777" w:rsidR="00374C56" w:rsidRPr="009077F5" w:rsidRDefault="00374C56" w:rsidP="00A202FD">
            <w:pPr>
              <w:ind w:left="57" w:right="57"/>
              <w:jc w:val="both"/>
              <w:rPr>
                <w:lang w:eastAsia="en-US"/>
              </w:rPr>
            </w:pPr>
          </w:p>
        </w:tc>
        <w:tc>
          <w:tcPr>
            <w:tcW w:w="1560" w:type="dxa"/>
            <w:vMerge/>
            <w:vAlign w:val="center"/>
          </w:tcPr>
          <w:p w14:paraId="7BB9B69C" w14:textId="77777777" w:rsidR="00374C56" w:rsidRPr="009077F5" w:rsidRDefault="00374C56" w:rsidP="00A202FD">
            <w:pPr>
              <w:ind w:left="57" w:right="57"/>
              <w:jc w:val="both"/>
              <w:rPr>
                <w:lang w:eastAsia="en-US"/>
              </w:rPr>
            </w:pPr>
          </w:p>
        </w:tc>
      </w:tr>
      <w:tr w:rsidR="00374C56" w:rsidRPr="00A467CD" w14:paraId="17AD35CF" w14:textId="77777777" w:rsidTr="000E6C87">
        <w:trPr>
          <w:trHeight w:val="283"/>
        </w:trPr>
        <w:tc>
          <w:tcPr>
            <w:tcW w:w="1843" w:type="dxa"/>
          </w:tcPr>
          <w:p w14:paraId="6682D853" w14:textId="77777777" w:rsidR="00374C56" w:rsidRPr="009077F5" w:rsidRDefault="00374C56" w:rsidP="00A202FD">
            <w:pPr>
              <w:ind w:left="57" w:right="57"/>
              <w:jc w:val="both"/>
              <w:rPr>
                <w:lang w:eastAsia="en-US"/>
              </w:rPr>
            </w:pPr>
            <w:r w:rsidRPr="009077F5">
              <w:rPr>
                <w:lang w:eastAsia="en-US"/>
              </w:rPr>
              <w:t>Bakır (Cu)</w:t>
            </w:r>
          </w:p>
        </w:tc>
        <w:tc>
          <w:tcPr>
            <w:tcW w:w="5386" w:type="dxa"/>
            <w:vMerge/>
            <w:vAlign w:val="center"/>
          </w:tcPr>
          <w:p w14:paraId="44B1E548" w14:textId="77777777" w:rsidR="00374C56" w:rsidRPr="009077F5" w:rsidRDefault="00374C56" w:rsidP="00A202FD">
            <w:pPr>
              <w:ind w:left="57" w:right="57"/>
              <w:jc w:val="both"/>
              <w:rPr>
                <w:lang w:eastAsia="en-US"/>
              </w:rPr>
            </w:pPr>
          </w:p>
        </w:tc>
        <w:tc>
          <w:tcPr>
            <w:tcW w:w="1560" w:type="dxa"/>
            <w:vMerge/>
            <w:vAlign w:val="center"/>
          </w:tcPr>
          <w:p w14:paraId="77B5E208" w14:textId="77777777" w:rsidR="00374C56" w:rsidRPr="009077F5" w:rsidRDefault="00374C56" w:rsidP="00A202FD">
            <w:pPr>
              <w:ind w:left="57" w:right="57"/>
              <w:jc w:val="both"/>
              <w:rPr>
                <w:lang w:eastAsia="en-US"/>
              </w:rPr>
            </w:pPr>
          </w:p>
        </w:tc>
      </w:tr>
      <w:tr w:rsidR="00374C56" w:rsidRPr="00A467CD" w14:paraId="72F6A29D" w14:textId="77777777" w:rsidTr="000E6C87">
        <w:trPr>
          <w:trHeight w:val="283"/>
        </w:trPr>
        <w:tc>
          <w:tcPr>
            <w:tcW w:w="1843" w:type="dxa"/>
          </w:tcPr>
          <w:p w14:paraId="6AF60510" w14:textId="77777777" w:rsidR="00374C56" w:rsidRPr="009077F5" w:rsidRDefault="00374C56" w:rsidP="00A202FD">
            <w:pPr>
              <w:ind w:left="57" w:right="57"/>
              <w:jc w:val="both"/>
              <w:rPr>
                <w:lang w:eastAsia="en-US"/>
              </w:rPr>
            </w:pPr>
            <w:r w:rsidRPr="009077F5">
              <w:rPr>
                <w:lang w:eastAsia="en-US"/>
              </w:rPr>
              <w:t>Nikel (Ni)</w:t>
            </w:r>
          </w:p>
        </w:tc>
        <w:tc>
          <w:tcPr>
            <w:tcW w:w="5386" w:type="dxa"/>
            <w:vMerge/>
            <w:vAlign w:val="center"/>
          </w:tcPr>
          <w:p w14:paraId="7B2D1FDC" w14:textId="77777777" w:rsidR="00374C56" w:rsidRPr="009077F5" w:rsidRDefault="00374C56" w:rsidP="00A202FD">
            <w:pPr>
              <w:ind w:left="57" w:right="57"/>
              <w:jc w:val="both"/>
              <w:rPr>
                <w:lang w:eastAsia="en-US"/>
              </w:rPr>
            </w:pPr>
          </w:p>
        </w:tc>
        <w:tc>
          <w:tcPr>
            <w:tcW w:w="1560" w:type="dxa"/>
            <w:vMerge/>
            <w:vAlign w:val="center"/>
          </w:tcPr>
          <w:p w14:paraId="0D2C2E3D" w14:textId="77777777" w:rsidR="00374C56" w:rsidRPr="009077F5" w:rsidRDefault="00374C56" w:rsidP="00A202FD">
            <w:pPr>
              <w:ind w:left="57" w:right="57"/>
              <w:jc w:val="both"/>
              <w:rPr>
                <w:lang w:eastAsia="en-US"/>
              </w:rPr>
            </w:pPr>
          </w:p>
        </w:tc>
      </w:tr>
      <w:tr w:rsidR="00374C56" w:rsidRPr="00A467CD" w14:paraId="18F5C8BF" w14:textId="77777777" w:rsidTr="000E6C87">
        <w:trPr>
          <w:trHeight w:val="283"/>
        </w:trPr>
        <w:tc>
          <w:tcPr>
            <w:tcW w:w="1843" w:type="dxa"/>
          </w:tcPr>
          <w:p w14:paraId="7AC953AC" w14:textId="77777777" w:rsidR="00374C56" w:rsidRPr="009077F5" w:rsidRDefault="00374C56" w:rsidP="00A202FD">
            <w:pPr>
              <w:ind w:left="57" w:right="57"/>
              <w:jc w:val="both"/>
              <w:rPr>
                <w:lang w:eastAsia="en-US"/>
              </w:rPr>
            </w:pPr>
            <w:r w:rsidRPr="009077F5">
              <w:rPr>
                <w:lang w:eastAsia="en-US"/>
              </w:rPr>
              <w:t>Kurşun (Pb)</w:t>
            </w:r>
          </w:p>
        </w:tc>
        <w:tc>
          <w:tcPr>
            <w:tcW w:w="5386" w:type="dxa"/>
            <w:vMerge/>
            <w:vAlign w:val="center"/>
          </w:tcPr>
          <w:p w14:paraId="189BEA64" w14:textId="77777777" w:rsidR="00374C56" w:rsidRPr="009077F5" w:rsidRDefault="00374C56" w:rsidP="00A202FD">
            <w:pPr>
              <w:ind w:left="57" w:right="57"/>
              <w:jc w:val="both"/>
              <w:rPr>
                <w:lang w:eastAsia="en-US"/>
              </w:rPr>
            </w:pPr>
          </w:p>
        </w:tc>
        <w:tc>
          <w:tcPr>
            <w:tcW w:w="1560" w:type="dxa"/>
            <w:vMerge/>
            <w:vAlign w:val="center"/>
          </w:tcPr>
          <w:p w14:paraId="307BD060" w14:textId="77777777" w:rsidR="00374C56" w:rsidRPr="009077F5" w:rsidRDefault="00374C56" w:rsidP="00A202FD">
            <w:pPr>
              <w:ind w:left="57" w:right="57"/>
              <w:jc w:val="both"/>
              <w:rPr>
                <w:lang w:eastAsia="en-US"/>
              </w:rPr>
            </w:pPr>
          </w:p>
        </w:tc>
      </w:tr>
      <w:tr w:rsidR="00374C56" w:rsidRPr="00A467CD" w14:paraId="21717A8C" w14:textId="77777777" w:rsidTr="000E6C87">
        <w:trPr>
          <w:trHeight w:val="283"/>
        </w:trPr>
        <w:tc>
          <w:tcPr>
            <w:tcW w:w="1843" w:type="dxa"/>
          </w:tcPr>
          <w:p w14:paraId="28230102" w14:textId="77777777" w:rsidR="00374C56" w:rsidRPr="009077F5" w:rsidRDefault="00374C56" w:rsidP="00A202FD">
            <w:pPr>
              <w:ind w:left="57" w:right="57"/>
              <w:jc w:val="both"/>
              <w:rPr>
                <w:lang w:eastAsia="en-US"/>
              </w:rPr>
            </w:pPr>
            <w:r w:rsidRPr="009077F5">
              <w:rPr>
                <w:lang w:eastAsia="en-US"/>
              </w:rPr>
              <w:t>Çinko (Zn)</w:t>
            </w:r>
          </w:p>
        </w:tc>
        <w:tc>
          <w:tcPr>
            <w:tcW w:w="5386" w:type="dxa"/>
            <w:vMerge/>
            <w:vAlign w:val="center"/>
          </w:tcPr>
          <w:p w14:paraId="61EA775A" w14:textId="77777777" w:rsidR="00374C56" w:rsidRPr="009077F5" w:rsidRDefault="00374C56" w:rsidP="00A202FD">
            <w:pPr>
              <w:ind w:left="57" w:right="57"/>
              <w:jc w:val="both"/>
              <w:rPr>
                <w:lang w:eastAsia="en-US"/>
              </w:rPr>
            </w:pPr>
          </w:p>
        </w:tc>
        <w:tc>
          <w:tcPr>
            <w:tcW w:w="1560" w:type="dxa"/>
            <w:vMerge/>
            <w:vAlign w:val="center"/>
          </w:tcPr>
          <w:p w14:paraId="7AF1986D" w14:textId="77777777" w:rsidR="00374C56" w:rsidRPr="009077F5" w:rsidRDefault="00374C56" w:rsidP="00A202FD">
            <w:pPr>
              <w:ind w:left="57" w:right="57"/>
              <w:jc w:val="both"/>
              <w:rPr>
                <w:lang w:eastAsia="en-US"/>
              </w:rPr>
            </w:pPr>
          </w:p>
        </w:tc>
      </w:tr>
      <w:tr w:rsidR="00374C56" w:rsidRPr="00A467CD" w14:paraId="5556F8A2" w14:textId="77777777" w:rsidTr="000E6C87">
        <w:trPr>
          <w:trHeight w:val="283"/>
        </w:trPr>
        <w:tc>
          <w:tcPr>
            <w:tcW w:w="1843" w:type="dxa"/>
          </w:tcPr>
          <w:p w14:paraId="19770489" w14:textId="77777777" w:rsidR="00374C56" w:rsidRPr="009077F5" w:rsidRDefault="00374C56" w:rsidP="00A202FD">
            <w:pPr>
              <w:ind w:left="57" w:right="57"/>
              <w:jc w:val="both"/>
              <w:rPr>
                <w:lang w:eastAsia="en-US"/>
              </w:rPr>
            </w:pPr>
            <w:r w:rsidRPr="009077F5">
              <w:rPr>
                <w:lang w:eastAsia="en-US"/>
              </w:rPr>
              <w:t>Gümüş (ag)</w:t>
            </w:r>
          </w:p>
        </w:tc>
        <w:tc>
          <w:tcPr>
            <w:tcW w:w="5386" w:type="dxa"/>
            <w:vAlign w:val="center"/>
          </w:tcPr>
          <w:p w14:paraId="05F5ADAD" w14:textId="23830FE7" w:rsidR="00374C56" w:rsidRPr="009077F5" w:rsidRDefault="000B37EE" w:rsidP="00A202FD">
            <w:pPr>
              <w:ind w:left="57" w:right="57"/>
              <w:jc w:val="both"/>
              <w:rPr>
                <w:lang w:eastAsia="en-US"/>
              </w:rPr>
            </w:pPr>
            <w:r w:rsidRPr="009077F5">
              <w:rPr>
                <w:lang w:eastAsia="en-US"/>
              </w:rPr>
              <w:t>Değerli metaller</w:t>
            </w:r>
          </w:p>
        </w:tc>
        <w:tc>
          <w:tcPr>
            <w:tcW w:w="1560" w:type="dxa"/>
            <w:vMerge/>
            <w:vAlign w:val="center"/>
          </w:tcPr>
          <w:p w14:paraId="3D147846" w14:textId="77777777" w:rsidR="00374C56" w:rsidRPr="009077F5" w:rsidRDefault="00374C56" w:rsidP="00A202FD">
            <w:pPr>
              <w:ind w:left="57" w:right="57"/>
              <w:jc w:val="both"/>
              <w:rPr>
                <w:lang w:eastAsia="en-US"/>
              </w:rPr>
            </w:pPr>
          </w:p>
        </w:tc>
      </w:tr>
      <w:tr w:rsidR="00374C56" w:rsidRPr="00A467CD" w14:paraId="063B9228" w14:textId="77777777" w:rsidTr="000E6C87">
        <w:trPr>
          <w:trHeight w:val="283"/>
        </w:trPr>
        <w:tc>
          <w:tcPr>
            <w:tcW w:w="1843" w:type="dxa"/>
          </w:tcPr>
          <w:p w14:paraId="048D4B94" w14:textId="77777777" w:rsidR="00374C56" w:rsidRPr="009077F5" w:rsidRDefault="00374C56" w:rsidP="00A202FD">
            <w:pPr>
              <w:ind w:left="57" w:right="57"/>
              <w:jc w:val="both"/>
              <w:rPr>
                <w:lang w:eastAsia="en-US"/>
              </w:rPr>
            </w:pPr>
            <w:r w:rsidRPr="009077F5">
              <w:rPr>
                <w:lang w:eastAsia="en-US"/>
              </w:rPr>
              <w:t>Alüminyum (Al)</w:t>
            </w:r>
          </w:p>
        </w:tc>
        <w:tc>
          <w:tcPr>
            <w:tcW w:w="5386" w:type="dxa"/>
            <w:vAlign w:val="center"/>
          </w:tcPr>
          <w:p w14:paraId="3B990F62" w14:textId="1FD75EA0" w:rsidR="00374C56" w:rsidRPr="009077F5" w:rsidRDefault="000B37EE" w:rsidP="00A202FD">
            <w:pPr>
              <w:ind w:left="57" w:right="57"/>
              <w:jc w:val="both"/>
              <w:rPr>
                <w:lang w:eastAsia="en-US"/>
              </w:rPr>
            </w:pPr>
            <w:r w:rsidRPr="009077F5">
              <w:rPr>
                <w:lang w:eastAsia="en-US"/>
              </w:rPr>
              <w:t>Alüminyum</w:t>
            </w:r>
          </w:p>
        </w:tc>
        <w:tc>
          <w:tcPr>
            <w:tcW w:w="1560" w:type="dxa"/>
            <w:vMerge/>
            <w:vAlign w:val="center"/>
          </w:tcPr>
          <w:p w14:paraId="79EFF94A" w14:textId="77777777" w:rsidR="00374C56" w:rsidRPr="009077F5" w:rsidRDefault="00374C56" w:rsidP="00A202FD">
            <w:pPr>
              <w:ind w:left="57" w:right="57"/>
              <w:jc w:val="both"/>
              <w:rPr>
                <w:lang w:eastAsia="en-US"/>
              </w:rPr>
            </w:pPr>
          </w:p>
        </w:tc>
      </w:tr>
      <w:tr w:rsidR="00374C56" w:rsidRPr="00A467CD" w14:paraId="62F2AB8C" w14:textId="77777777" w:rsidTr="000E6C87">
        <w:trPr>
          <w:trHeight w:val="283"/>
        </w:trPr>
        <w:tc>
          <w:tcPr>
            <w:tcW w:w="1843" w:type="dxa"/>
          </w:tcPr>
          <w:p w14:paraId="3662CF31" w14:textId="77777777" w:rsidR="00374C56" w:rsidRPr="009077F5" w:rsidRDefault="00374C56" w:rsidP="00A202FD">
            <w:pPr>
              <w:ind w:left="57" w:right="57"/>
              <w:jc w:val="both"/>
              <w:rPr>
                <w:lang w:eastAsia="en-US"/>
              </w:rPr>
            </w:pPr>
            <w:r w:rsidRPr="009077F5">
              <w:rPr>
                <w:lang w:eastAsia="en-US"/>
              </w:rPr>
              <w:t>Kobalt (Co)</w:t>
            </w:r>
          </w:p>
        </w:tc>
        <w:tc>
          <w:tcPr>
            <w:tcW w:w="5386" w:type="dxa"/>
            <w:vAlign w:val="center"/>
          </w:tcPr>
          <w:p w14:paraId="07B3494B" w14:textId="3395445B" w:rsidR="00374C56" w:rsidRPr="009077F5" w:rsidRDefault="000B37EE" w:rsidP="00A202FD">
            <w:pPr>
              <w:ind w:left="57" w:right="57"/>
              <w:jc w:val="both"/>
              <w:rPr>
                <w:lang w:eastAsia="en-US"/>
              </w:rPr>
            </w:pPr>
            <w:r w:rsidRPr="009077F5">
              <w:rPr>
                <w:lang w:eastAsia="en-US"/>
              </w:rPr>
              <w:t>Nikel ve Kobalt</w:t>
            </w:r>
          </w:p>
        </w:tc>
        <w:tc>
          <w:tcPr>
            <w:tcW w:w="1560" w:type="dxa"/>
            <w:vMerge/>
            <w:vAlign w:val="center"/>
          </w:tcPr>
          <w:p w14:paraId="040F8875" w14:textId="77777777" w:rsidR="00374C56" w:rsidRPr="009077F5" w:rsidRDefault="00374C56" w:rsidP="00A202FD">
            <w:pPr>
              <w:ind w:left="57" w:right="57"/>
              <w:jc w:val="both"/>
              <w:rPr>
                <w:lang w:eastAsia="en-US"/>
              </w:rPr>
            </w:pPr>
          </w:p>
        </w:tc>
      </w:tr>
      <w:tr w:rsidR="00374C56" w:rsidRPr="00A467CD" w14:paraId="2ABB23E3" w14:textId="77777777" w:rsidTr="000E6C87">
        <w:trPr>
          <w:trHeight w:val="283"/>
        </w:trPr>
        <w:tc>
          <w:tcPr>
            <w:tcW w:w="1843" w:type="dxa"/>
          </w:tcPr>
          <w:p w14:paraId="12ABF8CC" w14:textId="223A03A9" w:rsidR="00374C56" w:rsidRPr="009077F5" w:rsidRDefault="000B37EE" w:rsidP="00A202FD">
            <w:pPr>
              <w:ind w:left="57" w:right="57"/>
              <w:jc w:val="both"/>
              <w:rPr>
                <w:lang w:eastAsia="en-US"/>
              </w:rPr>
            </w:pPr>
            <w:r w:rsidRPr="009077F5">
              <w:rPr>
                <w:lang w:eastAsia="en-US"/>
              </w:rPr>
              <w:t xml:space="preserve">Toplam </w:t>
            </w:r>
            <w:r w:rsidR="00374C56" w:rsidRPr="009077F5">
              <w:rPr>
                <w:lang w:eastAsia="en-US"/>
              </w:rPr>
              <w:t>Krom (Cr)</w:t>
            </w:r>
          </w:p>
        </w:tc>
        <w:tc>
          <w:tcPr>
            <w:tcW w:w="5386" w:type="dxa"/>
            <w:vAlign w:val="center"/>
          </w:tcPr>
          <w:p w14:paraId="6A7462E7" w14:textId="05665D25" w:rsidR="00374C56" w:rsidRPr="009077F5" w:rsidRDefault="000B37EE" w:rsidP="00A202FD">
            <w:pPr>
              <w:ind w:left="57" w:right="57"/>
              <w:jc w:val="both"/>
              <w:rPr>
                <w:lang w:eastAsia="en-US"/>
              </w:rPr>
            </w:pPr>
            <w:r w:rsidRPr="009077F5">
              <w:rPr>
                <w:lang w:eastAsia="en-US"/>
              </w:rPr>
              <w:t>Ferro-alaşımlar</w:t>
            </w:r>
          </w:p>
        </w:tc>
        <w:tc>
          <w:tcPr>
            <w:tcW w:w="1560" w:type="dxa"/>
            <w:vMerge/>
            <w:vAlign w:val="center"/>
          </w:tcPr>
          <w:p w14:paraId="0E032BFC" w14:textId="77777777" w:rsidR="00374C56" w:rsidRPr="009077F5" w:rsidRDefault="00374C56" w:rsidP="00A202FD">
            <w:pPr>
              <w:ind w:left="57" w:right="57"/>
              <w:jc w:val="both"/>
              <w:rPr>
                <w:lang w:eastAsia="en-US"/>
              </w:rPr>
            </w:pPr>
          </w:p>
        </w:tc>
      </w:tr>
      <w:tr w:rsidR="00374C56" w:rsidRPr="00A467CD" w14:paraId="0519EB69" w14:textId="77777777" w:rsidTr="000E6C87">
        <w:trPr>
          <w:trHeight w:val="283"/>
        </w:trPr>
        <w:tc>
          <w:tcPr>
            <w:tcW w:w="1843" w:type="dxa"/>
          </w:tcPr>
          <w:p w14:paraId="685C7DED" w14:textId="4541C078" w:rsidR="00374C56" w:rsidRPr="009077F5" w:rsidRDefault="00374C56" w:rsidP="00A202FD">
            <w:pPr>
              <w:ind w:left="57" w:right="57"/>
              <w:jc w:val="both"/>
              <w:rPr>
                <w:lang w:eastAsia="en-US"/>
              </w:rPr>
            </w:pPr>
            <w:r w:rsidRPr="009077F5">
              <w:rPr>
                <w:lang w:eastAsia="en-US"/>
              </w:rPr>
              <w:t>Krom</w:t>
            </w:r>
            <w:r w:rsidR="00090696" w:rsidRPr="009077F5">
              <w:rPr>
                <w:lang w:eastAsia="en-US"/>
              </w:rPr>
              <w:t xml:space="preserve"> </w:t>
            </w:r>
            <w:r w:rsidRPr="009077F5">
              <w:rPr>
                <w:lang w:eastAsia="en-US"/>
              </w:rPr>
              <w:t>(VI)</w:t>
            </w:r>
          </w:p>
          <w:p w14:paraId="3F57CB5C" w14:textId="3C8E96F3" w:rsidR="00374C56" w:rsidRPr="009077F5" w:rsidRDefault="00090696" w:rsidP="00A202FD">
            <w:pPr>
              <w:ind w:left="57" w:right="57"/>
              <w:jc w:val="both"/>
              <w:rPr>
                <w:lang w:eastAsia="en-US"/>
              </w:rPr>
            </w:pPr>
            <w:r w:rsidRPr="009077F5">
              <w:rPr>
                <w:lang w:eastAsia="en-US"/>
              </w:rPr>
              <w:t>(</w:t>
            </w:r>
            <w:r w:rsidR="00374C56" w:rsidRPr="009077F5">
              <w:rPr>
                <w:lang w:eastAsia="en-US"/>
              </w:rPr>
              <w:t>Cr (VI)</w:t>
            </w:r>
            <w:r w:rsidRPr="009077F5">
              <w:rPr>
                <w:lang w:eastAsia="en-US"/>
              </w:rPr>
              <w:t>)</w:t>
            </w:r>
          </w:p>
        </w:tc>
        <w:tc>
          <w:tcPr>
            <w:tcW w:w="5386" w:type="dxa"/>
            <w:vAlign w:val="center"/>
          </w:tcPr>
          <w:p w14:paraId="26214F3B" w14:textId="331B02D6" w:rsidR="00374C56" w:rsidRPr="009077F5" w:rsidRDefault="00090696" w:rsidP="00A202FD">
            <w:pPr>
              <w:ind w:left="57" w:right="57"/>
              <w:jc w:val="both"/>
              <w:rPr>
                <w:lang w:eastAsia="en-US"/>
              </w:rPr>
            </w:pPr>
            <w:r w:rsidRPr="009077F5">
              <w:rPr>
                <w:lang w:eastAsia="en-US"/>
              </w:rPr>
              <w:t>Ferro-alaşımlar</w:t>
            </w:r>
          </w:p>
        </w:tc>
        <w:tc>
          <w:tcPr>
            <w:tcW w:w="1560" w:type="dxa"/>
            <w:vAlign w:val="center"/>
          </w:tcPr>
          <w:p w14:paraId="66E956DC" w14:textId="06B189FF" w:rsidR="00374C56" w:rsidRPr="009077F5" w:rsidRDefault="0023315C" w:rsidP="00A202FD">
            <w:pPr>
              <w:ind w:left="57" w:right="57"/>
              <w:jc w:val="both"/>
              <w:rPr>
                <w:lang w:eastAsia="en-US"/>
              </w:rPr>
            </w:pPr>
            <w:r w:rsidRPr="009077F5">
              <w:rPr>
                <w:lang w:eastAsia="en-US"/>
              </w:rPr>
              <w:t xml:space="preserve">TS </w:t>
            </w:r>
            <w:r w:rsidR="00374C56" w:rsidRPr="009077F5">
              <w:rPr>
                <w:lang w:eastAsia="en-US"/>
              </w:rPr>
              <w:t>EN ISO 10304-3</w:t>
            </w:r>
          </w:p>
          <w:p w14:paraId="20B61A41" w14:textId="31D0A352" w:rsidR="00374C56" w:rsidRPr="009077F5" w:rsidRDefault="0023315C" w:rsidP="00A202FD">
            <w:pPr>
              <w:ind w:left="57" w:right="57"/>
              <w:jc w:val="both"/>
              <w:rPr>
                <w:lang w:eastAsia="en-US"/>
              </w:rPr>
            </w:pPr>
            <w:r w:rsidRPr="009077F5">
              <w:rPr>
                <w:lang w:eastAsia="en-US"/>
              </w:rPr>
              <w:t xml:space="preserve">TS </w:t>
            </w:r>
            <w:r w:rsidR="00374C56" w:rsidRPr="009077F5">
              <w:rPr>
                <w:lang w:eastAsia="en-US"/>
              </w:rPr>
              <w:t>EN ISO 23913</w:t>
            </w:r>
          </w:p>
        </w:tc>
      </w:tr>
      <w:tr w:rsidR="00374C56" w:rsidRPr="00A467CD" w14:paraId="60CF36A2" w14:textId="77777777" w:rsidTr="000E6C87">
        <w:trPr>
          <w:trHeight w:val="283"/>
        </w:trPr>
        <w:tc>
          <w:tcPr>
            <w:tcW w:w="1843" w:type="dxa"/>
          </w:tcPr>
          <w:p w14:paraId="4E68CCAC" w14:textId="77777777" w:rsidR="00374C56" w:rsidRPr="009077F5" w:rsidRDefault="00374C56" w:rsidP="00A202FD">
            <w:pPr>
              <w:ind w:left="57" w:right="57"/>
              <w:jc w:val="both"/>
              <w:rPr>
                <w:lang w:eastAsia="en-US"/>
              </w:rPr>
            </w:pPr>
            <w:r w:rsidRPr="009077F5">
              <w:rPr>
                <w:lang w:eastAsia="en-US"/>
              </w:rPr>
              <w:t>Antimon (Sb)</w:t>
            </w:r>
          </w:p>
        </w:tc>
        <w:tc>
          <w:tcPr>
            <w:tcW w:w="5386" w:type="dxa"/>
            <w:vAlign w:val="center"/>
          </w:tcPr>
          <w:p w14:paraId="2580BECC" w14:textId="0AC4D9C8" w:rsidR="00374C56" w:rsidRPr="009077F5" w:rsidRDefault="00090696" w:rsidP="00A202FD">
            <w:pPr>
              <w:ind w:left="57" w:right="57"/>
              <w:jc w:val="both"/>
              <w:rPr>
                <w:lang w:eastAsia="en-US"/>
              </w:rPr>
            </w:pPr>
            <w:r w:rsidRPr="009077F5">
              <w:rPr>
                <w:lang w:eastAsia="en-US"/>
              </w:rPr>
              <w:t>Bakır, Kurşun, Kalay</w:t>
            </w:r>
          </w:p>
        </w:tc>
        <w:tc>
          <w:tcPr>
            <w:tcW w:w="1560" w:type="dxa"/>
            <w:vMerge w:val="restart"/>
            <w:vAlign w:val="center"/>
          </w:tcPr>
          <w:p w14:paraId="5724698E" w14:textId="19BEC619" w:rsidR="00374C56" w:rsidRPr="009077F5" w:rsidRDefault="007237E2" w:rsidP="00A202FD">
            <w:pPr>
              <w:ind w:left="57" w:right="57"/>
              <w:jc w:val="both"/>
              <w:rPr>
                <w:lang w:eastAsia="en-US"/>
              </w:rPr>
            </w:pPr>
            <w:r w:rsidRPr="009077F5">
              <w:rPr>
                <w:lang w:eastAsia="en-US"/>
              </w:rPr>
              <w:t>TS EN ISO 11885</w:t>
            </w:r>
          </w:p>
          <w:p w14:paraId="2AF2576F" w14:textId="0C1C9B99" w:rsidR="00374C56" w:rsidRPr="009077F5" w:rsidRDefault="0023315C" w:rsidP="00A202FD">
            <w:pPr>
              <w:ind w:left="57" w:right="57"/>
              <w:jc w:val="both"/>
              <w:rPr>
                <w:lang w:eastAsia="en-US"/>
              </w:rPr>
            </w:pPr>
            <w:r w:rsidRPr="009077F5">
              <w:rPr>
                <w:lang w:eastAsia="en-US"/>
              </w:rPr>
              <w:t xml:space="preserve">TS </w:t>
            </w:r>
            <w:r w:rsidR="00374C56" w:rsidRPr="009077F5">
              <w:rPr>
                <w:lang w:eastAsia="en-US"/>
              </w:rPr>
              <w:t>EN ISO 15586</w:t>
            </w:r>
          </w:p>
          <w:p w14:paraId="2E1117EA" w14:textId="79D90874" w:rsidR="00374C56" w:rsidRPr="009077F5" w:rsidRDefault="007237E2" w:rsidP="00A202FD">
            <w:pPr>
              <w:ind w:left="57" w:right="57"/>
              <w:jc w:val="both"/>
              <w:rPr>
                <w:lang w:eastAsia="en-US"/>
              </w:rPr>
            </w:pPr>
            <w:r w:rsidRPr="009077F5">
              <w:rPr>
                <w:lang w:eastAsia="en-US"/>
              </w:rPr>
              <w:t>TS EN ISO 17294-2</w:t>
            </w:r>
          </w:p>
        </w:tc>
      </w:tr>
      <w:tr w:rsidR="00374C56" w:rsidRPr="00A467CD" w14:paraId="4CBBDBF4" w14:textId="77777777" w:rsidTr="000E6C87">
        <w:trPr>
          <w:trHeight w:val="283"/>
        </w:trPr>
        <w:tc>
          <w:tcPr>
            <w:tcW w:w="1843" w:type="dxa"/>
          </w:tcPr>
          <w:p w14:paraId="086FE1C3" w14:textId="77777777" w:rsidR="00374C56" w:rsidRPr="009077F5" w:rsidRDefault="00374C56" w:rsidP="00A202FD">
            <w:pPr>
              <w:ind w:left="57" w:right="57"/>
              <w:jc w:val="both"/>
              <w:rPr>
                <w:lang w:eastAsia="en-US"/>
              </w:rPr>
            </w:pPr>
            <w:r w:rsidRPr="009077F5">
              <w:rPr>
                <w:lang w:eastAsia="en-US"/>
              </w:rPr>
              <w:t>Kalay (Sn)</w:t>
            </w:r>
          </w:p>
        </w:tc>
        <w:tc>
          <w:tcPr>
            <w:tcW w:w="5386" w:type="dxa"/>
            <w:vAlign w:val="center"/>
          </w:tcPr>
          <w:p w14:paraId="4734A173" w14:textId="7EA169BC" w:rsidR="00374C56" w:rsidRPr="009077F5" w:rsidRDefault="00090696" w:rsidP="00A202FD">
            <w:pPr>
              <w:ind w:left="57" w:right="57"/>
              <w:jc w:val="both"/>
              <w:rPr>
                <w:lang w:eastAsia="en-US"/>
              </w:rPr>
            </w:pPr>
            <w:r w:rsidRPr="009077F5">
              <w:rPr>
                <w:lang w:eastAsia="en-US"/>
              </w:rPr>
              <w:t>Bakır, Kurşun, Kalay</w:t>
            </w:r>
          </w:p>
        </w:tc>
        <w:tc>
          <w:tcPr>
            <w:tcW w:w="1560" w:type="dxa"/>
            <w:vMerge/>
            <w:vAlign w:val="center"/>
          </w:tcPr>
          <w:p w14:paraId="492287AD" w14:textId="77777777" w:rsidR="00374C56" w:rsidRPr="009077F5" w:rsidRDefault="00374C56" w:rsidP="00A202FD">
            <w:pPr>
              <w:ind w:left="57" w:right="57"/>
              <w:jc w:val="both"/>
              <w:rPr>
                <w:lang w:eastAsia="en-US"/>
              </w:rPr>
            </w:pPr>
          </w:p>
        </w:tc>
      </w:tr>
      <w:tr w:rsidR="00374C56" w:rsidRPr="00A467CD" w14:paraId="711B90EF" w14:textId="77777777" w:rsidTr="000E6C87">
        <w:trPr>
          <w:trHeight w:val="283"/>
        </w:trPr>
        <w:tc>
          <w:tcPr>
            <w:tcW w:w="1843" w:type="dxa"/>
          </w:tcPr>
          <w:p w14:paraId="5DF1ECE4" w14:textId="77777777" w:rsidR="00374C56" w:rsidRPr="009077F5" w:rsidRDefault="00374C56" w:rsidP="00A202FD">
            <w:pPr>
              <w:ind w:left="57" w:right="57"/>
              <w:jc w:val="both"/>
              <w:rPr>
                <w:lang w:eastAsia="en-US"/>
              </w:rPr>
            </w:pPr>
            <w:r w:rsidRPr="009077F5">
              <w:rPr>
                <w:lang w:eastAsia="en-US"/>
              </w:rPr>
              <w:t xml:space="preserve">Eğer varsa diğer metaller </w:t>
            </w:r>
            <w:r w:rsidRPr="009077F5">
              <w:rPr>
                <w:b/>
                <w:lang w:eastAsia="en-US"/>
              </w:rPr>
              <w:t>(</w:t>
            </w:r>
            <w:r w:rsidRPr="009077F5">
              <w:rPr>
                <w:b/>
                <w:vertAlign w:val="superscript"/>
                <w:lang w:eastAsia="en-US"/>
              </w:rPr>
              <w:t>2</w:t>
            </w:r>
            <w:r w:rsidRPr="009077F5">
              <w:rPr>
                <w:b/>
                <w:lang w:eastAsia="en-US"/>
              </w:rPr>
              <w:t>)</w:t>
            </w:r>
          </w:p>
        </w:tc>
        <w:tc>
          <w:tcPr>
            <w:tcW w:w="5386" w:type="dxa"/>
            <w:vAlign w:val="center"/>
          </w:tcPr>
          <w:p w14:paraId="2519CB16" w14:textId="74D67168" w:rsidR="00374C56" w:rsidRPr="009077F5" w:rsidRDefault="00090696" w:rsidP="00A202FD">
            <w:pPr>
              <w:ind w:left="57" w:right="57"/>
              <w:jc w:val="both"/>
              <w:rPr>
                <w:lang w:eastAsia="en-US"/>
              </w:rPr>
            </w:pPr>
            <w:r w:rsidRPr="009077F5">
              <w:rPr>
                <w:lang w:eastAsia="en-US"/>
              </w:rPr>
              <w:t xml:space="preserve">Alüminyum, </w:t>
            </w:r>
            <w:r w:rsidR="00374C56" w:rsidRPr="009077F5">
              <w:rPr>
                <w:lang w:eastAsia="en-US"/>
              </w:rPr>
              <w:t>Ferro-alaşımlar</w:t>
            </w:r>
            <w:r w:rsidRPr="009077F5">
              <w:rPr>
                <w:lang w:eastAsia="en-US"/>
              </w:rPr>
              <w:t xml:space="preserve"> </w:t>
            </w:r>
            <w:r w:rsidR="00374C56" w:rsidRPr="009077F5">
              <w:rPr>
                <w:lang w:eastAsia="en-US"/>
              </w:rPr>
              <w:t>ve diğer demir dışı metaller</w:t>
            </w:r>
          </w:p>
        </w:tc>
        <w:tc>
          <w:tcPr>
            <w:tcW w:w="1560" w:type="dxa"/>
            <w:vMerge/>
            <w:vAlign w:val="center"/>
          </w:tcPr>
          <w:p w14:paraId="6990BFD0" w14:textId="77777777" w:rsidR="00374C56" w:rsidRPr="009077F5" w:rsidRDefault="00374C56" w:rsidP="00A202FD">
            <w:pPr>
              <w:ind w:left="57" w:right="57"/>
              <w:jc w:val="both"/>
              <w:rPr>
                <w:lang w:eastAsia="en-US"/>
              </w:rPr>
            </w:pPr>
          </w:p>
        </w:tc>
      </w:tr>
      <w:tr w:rsidR="00374C56" w:rsidRPr="00A467CD" w14:paraId="5743884E" w14:textId="77777777" w:rsidTr="000E6C87">
        <w:trPr>
          <w:trHeight w:val="283"/>
        </w:trPr>
        <w:tc>
          <w:tcPr>
            <w:tcW w:w="1843" w:type="dxa"/>
          </w:tcPr>
          <w:p w14:paraId="49942320" w14:textId="77777777" w:rsidR="00374C56" w:rsidRPr="009077F5" w:rsidRDefault="00374C56" w:rsidP="00A202FD">
            <w:pPr>
              <w:ind w:left="57" w:right="57"/>
              <w:jc w:val="both"/>
              <w:rPr>
                <w:lang w:eastAsia="en-US"/>
              </w:rPr>
            </w:pPr>
            <w:r w:rsidRPr="009077F5">
              <w:rPr>
                <w:lang w:eastAsia="en-US"/>
              </w:rPr>
              <w:t>Sülfat (SO</w:t>
            </w:r>
            <w:r w:rsidRPr="009077F5">
              <w:rPr>
                <w:vertAlign w:val="subscript"/>
                <w:lang w:eastAsia="en-US"/>
              </w:rPr>
              <w:t>4</w:t>
            </w:r>
            <w:r w:rsidRPr="009077F5">
              <w:rPr>
                <w:vertAlign w:val="superscript"/>
                <w:lang w:eastAsia="en-US"/>
              </w:rPr>
              <w:t>2-</w:t>
            </w:r>
            <w:r w:rsidRPr="009077F5">
              <w:rPr>
                <w:lang w:eastAsia="en-US"/>
              </w:rPr>
              <w:t>)</w:t>
            </w:r>
          </w:p>
        </w:tc>
        <w:tc>
          <w:tcPr>
            <w:tcW w:w="5386" w:type="dxa"/>
            <w:vAlign w:val="center"/>
          </w:tcPr>
          <w:p w14:paraId="531457AB" w14:textId="5649FEDF" w:rsidR="00374C56" w:rsidRPr="009077F5" w:rsidRDefault="00374C56" w:rsidP="00A202FD">
            <w:pPr>
              <w:ind w:left="57" w:right="57"/>
              <w:jc w:val="both"/>
              <w:rPr>
                <w:lang w:eastAsia="en-US"/>
              </w:rPr>
            </w:pPr>
            <w:r w:rsidRPr="009077F5">
              <w:rPr>
                <w:lang w:eastAsia="en-US"/>
              </w:rPr>
              <w:t xml:space="preserve">Bakır, Kurşun, Kalay, Çinko, Kadmiyum, </w:t>
            </w:r>
            <w:r w:rsidR="000B37EE" w:rsidRPr="009077F5">
              <w:rPr>
                <w:lang w:eastAsia="en-US"/>
              </w:rPr>
              <w:t>Değerli metaller</w:t>
            </w:r>
            <w:r w:rsidRPr="009077F5">
              <w:rPr>
                <w:lang w:eastAsia="en-US"/>
              </w:rPr>
              <w:t>,</w:t>
            </w:r>
            <w:r w:rsidR="00090696" w:rsidRPr="009077F5">
              <w:rPr>
                <w:lang w:eastAsia="en-US"/>
              </w:rPr>
              <w:t xml:space="preserve"> Nikel, Kobalt ve diğer demir dışı metaller</w:t>
            </w:r>
          </w:p>
        </w:tc>
        <w:tc>
          <w:tcPr>
            <w:tcW w:w="1560" w:type="dxa"/>
            <w:vMerge w:val="restart"/>
            <w:vAlign w:val="center"/>
          </w:tcPr>
          <w:p w14:paraId="4E741B2E" w14:textId="792207E7" w:rsidR="00374C56" w:rsidRPr="009077F5" w:rsidRDefault="0023315C" w:rsidP="00A202FD">
            <w:pPr>
              <w:ind w:left="57" w:right="57"/>
              <w:jc w:val="both"/>
              <w:rPr>
                <w:lang w:eastAsia="en-US"/>
              </w:rPr>
            </w:pPr>
            <w:r w:rsidRPr="009077F5">
              <w:rPr>
                <w:lang w:eastAsia="en-US"/>
              </w:rPr>
              <w:t xml:space="preserve">TS </w:t>
            </w:r>
            <w:r w:rsidR="00374C56" w:rsidRPr="009077F5">
              <w:rPr>
                <w:lang w:eastAsia="en-US"/>
              </w:rPr>
              <w:t>EN ISO 10304-1</w:t>
            </w:r>
          </w:p>
        </w:tc>
      </w:tr>
      <w:tr w:rsidR="00374C56" w:rsidRPr="00A467CD" w14:paraId="6C93B621" w14:textId="77777777" w:rsidTr="000E6C87">
        <w:trPr>
          <w:trHeight w:val="283"/>
        </w:trPr>
        <w:tc>
          <w:tcPr>
            <w:tcW w:w="1843" w:type="dxa"/>
          </w:tcPr>
          <w:p w14:paraId="54D0F4F2" w14:textId="77777777" w:rsidR="00374C56" w:rsidRPr="009077F5" w:rsidRDefault="00374C56" w:rsidP="00A202FD">
            <w:pPr>
              <w:ind w:left="57" w:right="57"/>
              <w:jc w:val="both"/>
              <w:rPr>
                <w:lang w:eastAsia="en-US"/>
              </w:rPr>
            </w:pPr>
            <w:r w:rsidRPr="009077F5">
              <w:rPr>
                <w:lang w:eastAsia="en-US"/>
              </w:rPr>
              <w:t>Florür (F</w:t>
            </w:r>
            <w:r w:rsidRPr="009077F5">
              <w:rPr>
                <w:vertAlign w:val="superscript"/>
                <w:lang w:eastAsia="en-US"/>
              </w:rPr>
              <w:t>-</w:t>
            </w:r>
            <w:r w:rsidRPr="009077F5">
              <w:rPr>
                <w:lang w:eastAsia="en-US"/>
              </w:rPr>
              <w:t>)</w:t>
            </w:r>
          </w:p>
        </w:tc>
        <w:tc>
          <w:tcPr>
            <w:tcW w:w="5386" w:type="dxa"/>
            <w:vAlign w:val="center"/>
          </w:tcPr>
          <w:p w14:paraId="6F51D53B" w14:textId="459F1F8C" w:rsidR="00374C56" w:rsidRPr="009077F5" w:rsidRDefault="00090696" w:rsidP="00A202FD">
            <w:pPr>
              <w:ind w:left="57" w:right="57"/>
              <w:jc w:val="both"/>
              <w:rPr>
                <w:lang w:eastAsia="en-US"/>
              </w:rPr>
            </w:pPr>
            <w:r w:rsidRPr="009077F5">
              <w:rPr>
                <w:lang w:eastAsia="en-US"/>
              </w:rPr>
              <w:t>Birincil alüminyum</w:t>
            </w:r>
          </w:p>
        </w:tc>
        <w:tc>
          <w:tcPr>
            <w:tcW w:w="1560" w:type="dxa"/>
            <w:vMerge/>
            <w:vAlign w:val="center"/>
          </w:tcPr>
          <w:p w14:paraId="316E3929" w14:textId="77777777" w:rsidR="00374C56" w:rsidRPr="009077F5" w:rsidRDefault="00374C56" w:rsidP="00A202FD">
            <w:pPr>
              <w:ind w:left="57" w:right="57"/>
              <w:jc w:val="both"/>
              <w:rPr>
                <w:lang w:eastAsia="en-US"/>
              </w:rPr>
            </w:pPr>
          </w:p>
        </w:tc>
      </w:tr>
      <w:tr w:rsidR="00374C56" w:rsidRPr="00A467CD" w14:paraId="58654EA4" w14:textId="77777777" w:rsidTr="000E6C87">
        <w:trPr>
          <w:trHeight w:val="283"/>
        </w:trPr>
        <w:tc>
          <w:tcPr>
            <w:tcW w:w="1843" w:type="dxa"/>
          </w:tcPr>
          <w:p w14:paraId="79BF00D4" w14:textId="77777777" w:rsidR="00374C56" w:rsidRPr="009077F5" w:rsidRDefault="00374C56" w:rsidP="00A202FD">
            <w:pPr>
              <w:ind w:left="57" w:right="57"/>
              <w:jc w:val="both"/>
              <w:rPr>
                <w:lang w:eastAsia="en-US"/>
              </w:rPr>
            </w:pPr>
            <w:r w:rsidRPr="009077F5">
              <w:rPr>
                <w:lang w:eastAsia="en-US"/>
              </w:rPr>
              <w:t>Toplam askıda katı maddeler (TSS)</w:t>
            </w:r>
          </w:p>
        </w:tc>
        <w:tc>
          <w:tcPr>
            <w:tcW w:w="5386" w:type="dxa"/>
            <w:vAlign w:val="center"/>
          </w:tcPr>
          <w:p w14:paraId="2F8FB423" w14:textId="77777777" w:rsidR="00374C56" w:rsidRPr="009077F5" w:rsidRDefault="00374C56" w:rsidP="00A202FD">
            <w:pPr>
              <w:ind w:left="57" w:right="57"/>
              <w:jc w:val="both"/>
              <w:rPr>
                <w:lang w:eastAsia="en-US"/>
              </w:rPr>
            </w:pPr>
            <w:r w:rsidRPr="009077F5">
              <w:rPr>
                <w:lang w:eastAsia="en-US"/>
              </w:rPr>
              <w:t>Alüminyum</w:t>
            </w:r>
          </w:p>
        </w:tc>
        <w:tc>
          <w:tcPr>
            <w:tcW w:w="1560" w:type="dxa"/>
            <w:vAlign w:val="center"/>
          </w:tcPr>
          <w:p w14:paraId="36FE6494" w14:textId="752323E1" w:rsidR="00374C56" w:rsidRPr="009077F5" w:rsidRDefault="007237E2" w:rsidP="00A202FD">
            <w:pPr>
              <w:ind w:left="57" w:right="57"/>
              <w:jc w:val="both"/>
              <w:rPr>
                <w:lang w:eastAsia="en-US"/>
              </w:rPr>
            </w:pPr>
            <w:r w:rsidRPr="009077F5">
              <w:rPr>
                <w:lang w:eastAsia="en-US"/>
              </w:rPr>
              <w:t>TS EN 872</w:t>
            </w:r>
          </w:p>
        </w:tc>
      </w:tr>
      <w:bookmarkEnd w:id="52"/>
      <w:tr w:rsidR="00374C56" w:rsidRPr="00A467CD" w14:paraId="49E7EA8C" w14:textId="77777777" w:rsidTr="000E6C87">
        <w:trPr>
          <w:trHeight w:val="283"/>
        </w:trPr>
        <w:tc>
          <w:tcPr>
            <w:tcW w:w="8789" w:type="dxa"/>
            <w:gridSpan w:val="3"/>
          </w:tcPr>
          <w:p w14:paraId="4186D15B" w14:textId="22CCE9A1" w:rsidR="00374C56" w:rsidRPr="009077F5" w:rsidRDefault="00374C56" w:rsidP="00A202FD">
            <w:pPr>
              <w:jc w:val="both"/>
              <w:rPr>
                <w:spacing w:val="2"/>
                <w:sz w:val="22"/>
                <w:szCs w:val="22"/>
                <w:lang w:eastAsia="en-US"/>
              </w:rPr>
            </w:pPr>
            <w:r w:rsidRPr="00A467CD">
              <w:rPr>
                <w:bCs/>
                <w:spacing w:val="2"/>
                <w:sz w:val="22"/>
                <w:szCs w:val="22"/>
                <w:lang w:eastAsia="en-US"/>
              </w:rPr>
              <w:t>(</w:t>
            </w:r>
            <w:r w:rsidRPr="00A467CD">
              <w:rPr>
                <w:bCs/>
                <w:spacing w:val="2"/>
                <w:sz w:val="22"/>
                <w:szCs w:val="22"/>
                <w:vertAlign w:val="superscript"/>
                <w:lang w:eastAsia="en-US"/>
              </w:rPr>
              <w:t>1</w:t>
            </w:r>
            <w:r w:rsidRPr="009077F5">
              <w:rPr>
                <w:bCs/>
                <w:spacing w:val="2"/>
                <w:sz w:val="22"/>
                <w:szCs w:val="22"/>
                <w:lang w:eastAsia="en-US"/>
              </w:rPr>
              <w:t>)</w:t>
            </w:r>
            <w:r w:rsidR="00090696" w:rsidRPr="009077F5">
              <w:rPr>
                <w:b/>
                <w:spacing w:val="2"/>
                <w:sz w:val="22"/>
                <w:szCs w:val="22"/>
                <w:lang w:eastAsia="en-US"/>
              </w:rPr>
              <w:t xml:space="preserve"> </w:t>
            </w:r>
            <w:r w:rsidR="00E56504" w:rsidRPr="009077F5">
              <w:rPr>
                <w:spacing w:val="2"/>
                <w:sz w:val="22"/>
                <w:szCs w:val="22"/>
                <w:lang w:eastAsia="en-US"/>
              </w:rPr>
              <w:t>‘</w:t>
            </w:r>
            <w:r w:rsidRPr="009077F5">
              <w:rPr>
                <w:spacing w:val="2"/>
                <w:sz w:val="22"/>
                <w:szCs w:val="22"/>
                <w:lang w:eastAsia="en-US"/>
              </w:rPr>
              <w:t>Diğer demir dışı metaller</w:t>
            </w:r>
            <w:r w:rsidR="00E56504" w:rsidRPr="009077F5">
              <w:rPr>
                <w:spacing w:val="2"/>
                <w:sz w:val="22"/>
                <w:szCs w:val="22"/>
                <w:lang w:eastAsia="en-US"/>
              </w:rPr>
              <w:t>’</w:t>
            </w:r>
            <w:r w:rsidRPr="009077F5">
              <w:rPr>
                <w:spacing w:val="2"/>
                <w:sz w:val="22"/>
                <w:szCs w:val="22"/>
                <w:lang w:eastAsia="en-US"/>
              </w:rPr>
              <w:t>, özellikle 11.2 ila 11.8 arasındaki bölümlerde ele alınanlar dışındaki demir dışı metallerin üretilmesi anlamına gelir.</w:t>
            </w:r>
          </w:p>
          <w:p w14:paraId="6C1A597C" w14:textId="0CE900B9" w:rsidR="00374C56" w:rsidRPr="009077F5" w:rsidRDefault="00374C56" w:rsidP="00A202FD">
            <w:pPr>
              <w:jc w:val="both"/>
              <w:rPr>
                <w:spacing w:val="2"/>
                <w:lang w:eastAsia="en-US"/>
              </w:rPr>
            </w:pPr>
            <w:r w:rsidRPr="009077F5">
              <w:rPr>
                <w:bCs/>
                <w:spacing w:val="2"/>
                <w:sz w:val="22"/>
                <w:szCs w:val="22"/>
                <w:lang w:eastAsia="en-US"/>
              </w:rPr>
              <w:t>(</w:t>
            </w:r>
            <w:r w:rsidRPr="009077F5">
              <w:rPr>
                <w:bCs/>
                <w:spacing w:val="2"/>
                <w:sz w:val="22"/>
                <w:szCs w:val="22"/>
                <w:vertAlign w:val="superscript"/>
                <w:lang w:eastAsia="en-US"/>
              </w:rPr>
              <w:t>2</w:t>
            </w:r>
            <w:r w:rsidRPr="009077F5">
              <w:rPr>
                <w:bCs/>
                <w:spacing w:val="2"/>
                <w:sz w:val="22"/>
                <w:szCs w:val="22"/>
                <w:lang w:eastAsia="en-US"/>
              </w:rPr>
              <w:t>)</w:t>
            </w:r>
            <w:r w:rsidRPr="009077F5">
              <w:rPr>
                <w:b/>
                <w:spacing w:val="2"/>
                <w:sz w:val="22"/>
                <w:szCs w:val="22"/>
                <w:lang w:eastAsia="en-US"/>
              </w:rPr>
              <w:t xml:space="preserve"> </w:t>
            </w:r>
            <w:r w:rsidRPr="009077F5">
              <w:rPr>
                <w:spacing w:val="2"/>
                <w:sz w:val="22"/>
                <w:szCs w:val="22"/>
                <w:lang w:eastAsia="en-US"/>
              </w:rPr>
              <w:t>Kullanılan hammaddelerin içeriğine bağlı olarak izlenir.</w:t>
            </w:r>
          </w:p>
        </w:tc>
      </w:tr>
    </w:tbl>
    <w:p w14:paraId="611DEA7A" w14:textId="77777777" w:rsidR="00374C56" w:rsidRPr="00D53A2B" w:rsidRDefault="00374C56" w:rsidP="00A202FD">
      <w:pPr>
        <w:jc w:val="both"/>
        <w:rPr>
          <w:lang w:eastAsia="en-US"/>
        </w:rPr>
      </w:pPr>
    </w:p>
    <w:p w14:paraId="53B9408E" w14:textId="0DF19EF0" w:rsidR="00374C56" w:rsidRPr="00D53A2B" w:rsidRDefault="00374C56" w:rsidP="00A202FD">
      <w:pPr>
        <w:pStyle w:val="MET"/>
        <w:rPr>
          <w:szCs w:val="24"/>
        </w:rPr>
      </w:pPr>
      <w:r w:rsidRPr="00D53A2B">
        <w:rPr>
          <w:szCs w:val="24"/>
        </w:rPr>
        <w:t>MET 17</w:t>
      </w:r>
      <w:r w:rsidR="00C756C5" w:rsidRPr="00D53A2B">
        <w:rPr>
          <w:szCs w:val="24"/>
        </w:rPr>
        <w:t xml:space="preserve">: </w:t>
      </w:r>
      <w:r w:rsidRPr="00D53A2B">
        <w:rPr>
          <w:b w:val="0"/>
          <w:bCs/>
          <w:szCs w:val="24"/>
        </w:rPr>
        <w:t>Suya verilen emisyonların azaltılması için</w:t>
      </w:r>
      <w:r w:rsidR="004B290D" w:rsidRPr="00D53A2B">
        <w:rPr>
          <w:b w:val="0"/>
          <w:bCs/>
          <w:szCs w:val="24"/>
        </w:rPr>
        <w:t xml:space="preserve">, </w:t>
      </w:r>
      <w:r w:rsidRPr="00D53A2B">
        <w:rPr>
          <w:b w:val="0"/>
          <w:bCs/>
          <w:szCs w:val="24"/>
        </w:rPr>
        <w:t>sıvıların depolanmasından kaynaklanan sızıntılardan ve demir dışı metallerin üretiminden (Waelz fırını proseslerindeki yıkama basamağı dahil) kaynaklanan atıksulardan metal ve sülfatların giderimi için aşağıda verilen tekniklerin bir kombinasyonu</w:t>
      </w:r>
      <w:r w:rsidR="004B290D" w:rsidRPr="00D53A2B">
        <w:rPr>
          <w:b w:val="0"/>
          <w:bCs/>
          <w:szCs w:val="24"/>
        </w:rPr>
        <w:t xml:space="preserve"> </w:t>
      </w:r>
      <w:r w:rsidRPr="00D53A2B">
        <w:rPr>
          <w:b w:val="0"/>
          <w:bCs/>
          <w:szCs w:val="24"/>
        </w:rPr>
        <w:t>kullanıl</w:t>
      </w:r>
      <w:r w:rsidR="004B290D" w:rsidRPr="00D53A2B">
        <w:rPr>
          <w:b w:val="0"/>
          <w:bCs/>
          <w:szCs w:val="24"/>
        </w:rPr>
        <w:t>ır.</w:t>
      </w:r>
    </w:p>
    <w:p w14:paraId="6A5727D8" w14:textId="77777777" w:rsidR="00C756C5" w:rsidRPr="00D53A2B" w:rsidRDefault="00C756C5" w:rsidP="00A202FD">
      <w:pPr>
        <w:pStyle w:val="MET"/>
        <w:rPr>
          <w:szCs w:val="24"/>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00"/>
        <w:gridCol w:w="2819"/>
        <w:gridCol w:w="5670"/>
      </w:tblGrid>
      <w:tr w:rsidR="00374C56" w:rsidRPr="00A467CD" w14:paraId="38D0B540" w14:textId="77777777" w:rsidTr="000E6C87">
        <w:trPr>
          <w:trHeight w:val="340"/>
        </w:trPr>
        <w:tc>
          <w:tcPr>
            <w:tcW w:w="3119" w:type="dxa"/>
            <w:gridSpan w:val="2"/>
            <w:vAlign w:val="center"/>
          </w:tcPr>
          <w:p w14:paraId="04EE798E" w14:textId="77777777" w:rsidR="00374C56" w:rsidRPr="009077F5" w:rsidRDefault="00374C56" w:rsidP="00A202FD">
            <w:pPr>
              <w:ind w:left="57" w:right="57"/>
              <w:jc w:val="both"/>
              <w:rPr>
                <w:b/>
                <w:lang w:eastAsia="en-US"/>
              </w:rPr>
            </w:pPr>
            <w:r w:rsidRPr="009077F5">
              <w:rPr>
                <w:b/>
                <w:bCs/>
                <w:lang w:eastAsia="en-US"/>
              </w:rPr>
              <w:t>Teknik (</w:t>
            </w:r>
            <w:r w:rsidRPr="009077F5">
              <w:rPr>
                <w:b/>
                <w:bCs/>
                <w:vertAlign w:val="superscript"/>
                <w:lang w:eastAsia="en-US"/>
              </w:rPr>
              <w:t>1</w:t>
            </w:r>
            <w:r w:rsidRPr="009077F5">
              <w:rPr>
                <w:b/>
                <w:bCs/>
                <w:lang w:eastAsia="en-US"/>
              </w:rPr>
              <w:t>)</w:t>
            </w:r>
          </w:p>
        </w:tc>
        <w:tc>
          <w:tcPr>
            <w:tcW w:w="5670" w:type="dxa"/>
            <w:vAlign w:val="center"/>
          </w:tcPr>
          <w:p w14:paraId="4BB9FAA0" w14:textId="77777777" w:rsidR="00374C56" w:rsidRPr="009077F5" w:rsidRDefault="00374C56" w:rsidP="00A202FD">
            <w:pPr>
              <w:ind w:left="57" w:right="57"/>
              <w:jc w:val="both"/>
              <w:rPr>
                <w:b/>
                <w:lang w:eastAsia="en-US"/>
              </w:rPr>
            </w:pPr>
            <w:r w:rsidRPr="009077F5">
              <w:rPr>
                <w:b/>
                <w:lang w:eastAsia="en-US"/>
              </w:rPr>
              <w:t>Uygulanabilirlik</w:t>
            </w:r>
          </w:p>
        </w:tc>
      </w:tr>
      <w:tr w:rsidR="00374C56" w:rsidRPr="00A467CD" w14:paraId="1FFDCDA1" w14:textId="77777777" w:rsidTr="000E6C87">
        <w:trPr>
          <w:trHeight w:val="283"/>
        </w:trPr>
        <w:tc>
          <w:tcPr>
            <w:tcW w:w="300" w:type="dxa"/>
            <w:vAlign w:val="center"/>
          </w:tcPr>
          <w:p w14:paraId="39C62C05" w14:textId="77777777" w:rsidR="00374C56" w:rsidRPr="009077F5" w:rsidRDefault="00374C56" w:rsidP="00A202FD">
            <w:pPr>
              <w:spacing w:line="225" w:lineRule="exact"/>
              <w:ind w:left="102" w:right="-20"/>
              <w:jc w:val="both"/>
              <w:rPr>
                <w:lang w:eastAsia="en-US"/>
              </w:rPr>
            </w:pPr>
            <w:bookmarkStart w:id="53" w:name="_Hlk521900949"/>
            <w:r w:rsidRPr="009077F5">
              <w:rPr>
                <w:lang w:eastAsia="en-US"/>
              </w:rPr>
              <w:t>a</w:t>
            </w:r>
          </w:p>
        </w:tc>
        <w:tc>
          <w:tcPr>
            <w:tcW w:w="2819" w:type="dxa"/>
            <w:vAlign w:val="center"/>
          </w:tcPr>
          <w:p w14:paraId="02939882" w14:textId="12FC28BC" w:rsidR="00374C56" w:rsidRPr="009077F5" w:rsidRDefault="00374C56" w:rsidP="00A202FD">
            <w:pPr>
              <w:spacing w:line="225" w:lineRule="exact"/>
              <w:ind w:left="102" w:right="-20"/>
              <w:jc w:val="both"/>
              <w:rPr>
                <w:lang w:eastAsia="en-US"/>
              </w:rPr>
            </w:pPr>
            <w:r w:rsidRPr="009077F5">
              <w:rPr>
                <w:lang w:eastAsia="en-US"/>
              </w:rPr>
              <w:t>Kimyasal Çök</w:t>
            </w:r>
            <w:r w:rsidR="00C756C5" w:rsidRPr="009077F5">
              <w:rPr>
                <w:lang w:eastAsia="en-US"/>
              </w:rPr>
              <w:t>türme</w:t>
            </w:r>
          </w:p>
        </w:tc>
        <w:tc>
          <w:tcPr>
            <w:tcW w:w="5670" w:type="dxa"/>
            <w:vAlign w:val="center"/>
          </w:tcPr>
          <w:p w14:paraId="734E5AC9" w14:textId="77777777" w:rsidR="00374C56" w:rsidRPr="009077F5" w:rsidRDefault="00374C56" w:rsidP="00A202FD">
            <w:pPr>
              <w:spacing w:line="225" w:lineRule="exact"/>
              <w:ind w:right="-20"/>
              <w:jc w:val="both"/>
              <w:rPr>
                <w:lang w:eastAsia="en-US"/>
              </w:rPr>
            </w:pPr>
            <w:r w:rsidRPr="009077F5">
              <w:rPr>
                <w:lang w:eastAsia="en-US"/>
              </w:rPr>
              <w:t>Genellikle uygulanabilir</w:t>
            </w:r>
          </w:p>
        </w:tc>
      </w:tr>
      <w:tr w:rsidR="00374C56" w:rsidRPr="00A467CD" w14:paraId="2FB5D9C6" w14:textId="77777777" w:rsidTr="000E6C87">
        <w:trPr>
          <w:trHeight w:val="283"/>
        </w:trPr>
        <w:tc>
          <w:tcPr>
            <w:tcW w:w="300" w:type="dxa"/>
            <w:vAlign w:val="center"/>
          </w:tcPr>
          <w:p w14:paraId="66C66696" w14:textId="77777777" w:rsidR="00374C56" w:rsidRPr="009077F5" w:rsidRDefault="00374C56" w:rsidP="00A202FD">
            <w:pPr>
              <w:spacing w:line="225" w:lineRule="exact"/>
              <w:ind w:left="102" w:right="-20"/>
              <w:jc w:val="both"/>
              <w:rPr>
                <w:lang w:eastAsia="en-US"/>
              </w:rPr>
            </w:pPr>
            <w:r w:rsidRPr="009077F5">
              <w:rPr>
                <w:lang w:eastAsia="en-US"/>
              </w:rPr>
              <w:t>b</w:t>
            </w:r>
          </w:p>
        </w:tc>
        <w:tc>
          <w:tcPr>
            <w:tcW w:w="2819" w:type="dxa"/>
            <w:vAlign w:val="center"/>
          </w:tcPr>
          <w:p w14:paraId="645A852C" w14:textId="6EB382BF" w:rsidR="00374C56" w:rsidRPr="009077F5" w:rsidRDefault="00374C56" w:rsidP="00A202FD">
            <w:pPr>
              <w:spacing w:line="225" w:lineRule="exact"/>
              <w:ind w:left="102" w:right="-20"/>
              <w:jc w:val="both"/>
              <w:rPr>
                <w:lang w:eastAsia="en-US"/>
              </w:rPr>
            </w:pPr>
            <w:r w:rsidRPr="009077F5">
              <w:rPr>
                <w:lang w:eastAsia="en-US"/>
              </w:rPr>
              <w:t xml:space="preserve">Sedimantasyon </w:t>
            </w:r>
          </w:p>
        </w:tc>
        <w:tc>
          <w:tcPr>
            <w:tcW w:w="5670" w:type="dxa"/>
            <w:vAlign w:val="center"/>
          </w:tcPr>
          <w:p w14:paraId="7FB3CC69" w14:textId="77777777" w:rsidR="00374C56" w:rsidRPr="009077F5" w:rsidRDefault="00374C56" w:rsidP="00A202FD">
            <w:pPr>
              <w:spacing w:line="225" w:lineRule="exact"/>
              <w:ind w:right="-20"/>
              <w:jc w:val="both"/>
              <w:rPr>
                <w:lang w:eastAsia="en-US"/>
              </w:rPr>
            </w:pPr>
            <w:r w:rsidRPr="009077F5">
              <w:rPr>
                <w:lang w:eastAsia="en-US"/>
              </w:rPr>
              <w:t>Genellikle uygulanabilir</w:t>
            </w:r>
          </w:p>
        </w:tc>
      </w:tr>
      <w:tr w:rsidR="00374C56" w:rsidRPr="00A467CD" w14:paraId="52041A84" w14:textId="77777777" w:rsidTr="000E6C87">
        <w:trPr>
          <w:trHeight w:val="283"/>
        </w:trPr>
        <w:tc>
          <w:tcPr>
            <w:tcW w:w="300" w:type="dxa"/>
            <w:vAlign w:val="center"/>
          </w:tcPr>
          <w:p w14:paraId="6E703DB2" w14:textId="77777777" w:rsidR="00374C56" w:rsidRPr="009077F5" w:rsidRDefault="00374C56" w:rsidP="00A202FD">
            <w:pPr>
              <w:spacing w:line="222" w:lineRule="exact"/>
              <w:ind w:left="102" w:right="-20"/>
              <w:jc w:val="both"/>
              <w:rPr>
                <w:lang w:eastAsia="en-US"/>
              </w:rPr>
            </w:pPr>
            <w:r w:rsidRPr="009077F5">
              <w:rPr>
                <w:lang w:eastAsia="en-US"/>
              </w:rPr>
              <w:t>c</w:t>
            </w:r>
          </w:p>
        </w:tc>
        <w:tc>
          <w:tcPr>
            <w:tcW w:w="2819" w:type="dxa"/>
            <w:vAlign w:val="center"/>
          </w:tcPr>
          <w:p w14:paraId="62FBBB6A" w14:textId="77777777" w:rsidR="00374C56" w:rsidRPr="009077F5" w:rsidRDefault="00374C56" w:rsidP="00A202FD">
            <w:pPr>
              <w:spacing w:line="222" w:lineRule="exact"/>
              <w:ind w:left="102" w:right="-20"/>
              <w:jc w:val="both"/>
              <w:rPr>
                <w:lang w:eastAsia="en-US"/>
              </w:rPr>
            </w:pPr>
            <w:r w:rsidRPr="009077F5">
              <w:rPr>
                <w:lang w:eastAsia="en-US"/>
              </w:rPr>
              <w:t>Filtrasyon</w:t>
            </w:r>
          </w:p>
        </w:tc>
        <w:tc>
          <w:tcPr>
            <w:tcW w:w="5670" w:type="dxa"/>
            <w:vAlign w:val="center"/>
          </w:tcPr>
          <w:p w14:paraId="6E51C51F" w14:textId="77777777" w:rsidR="00374C56" w:rsidRPr="009077F5" w:rsidRDefault="00374C56" w:rsidP="00A202FD">
            <w:pPr>
              <w:spacing w:line="222" w:lineRule="exact"/>
              <w:ind w:right="-20"/>
              <w:jc w:val="both"/>
              <w:rPr>
                <w:lang w:eastAsia="en-US"/>
              </w:rPr>
            </w:pPr>
            <w:r w:rsidRPr="009077F5">
              <w:rPr>
                <w:lang w:eastAsia="en-US"/>
              </w:rPr>
              <w:t>Genellikle uygulanabilir</w:t>
            </w:r>
          </w:p>
        </w:tc>
      </w:tr>
      <w:tr w:rsidR="00374C56" w:rsidRPr="00A467CD" w14:paraId="584D919F" w14:textId="77777777" w:rsidTr="000E6C87">
        <w:trPr>
          <w:trHeight w:val="283"/>
        </w:trPr>
        <w:tc>
          <w:tcPr>
            <w:tcW w:w="300" w:type="dxa"/>
            <w:vAlign w:val="center"/>
          </w:tcPr>
          <w:p w14:paraId="027A154B" w14:textId="77777777" w:rsidR="00374C56" w:rsidRPr="009077F5" w:rsidRDefault="00374C56" w:rsidP="00A202FD">
            <w:pPr>
              <w:spacing w:line="225" w:lineRule="exact"/>
              <w:ind w:left="102" w:right="-20"/>
              <w:jc w:val="both"/>
              <w:rPr>
                <w:lang w:eastAsia="en-US"/>
              </w:rPr>
            </w:pPr>
            <w:r w:rsidRPr="009077F5">
              <w:rPr>
                <w:lang w:eastAsia="en-US"/>
              </w:rPr>
              <w:lastRenderedPageBreak/>
              <w:t>d</w:t>
            </w:r>
          </w:p>
        </w:tc>
        <w:tc>
          <w:tcPr>
            <w:tcW w:w="2819" w:type="dxa"/>
            <w:vAlign w:val="center"/>
          </w:tcPr>
          <w:p w14:paraId="208FA1D5" w14:textId="53486FDA" w:rsidR="00374C56" w:rsidRPr="009077F5" w:rsidRDefault="00C756C5" w:rsidP="00A202FD">
            <w:pPr>
              <w:spacing w:line="225" w:lineRule="exact"/>
              <w:ind w:left="102" w:right="-20"/>
              <w:jc w:val="both"/>
              <w:rPr>
                <w:lang w:eastAsia="en-US"/>
              </w:rPr>
            </w:pPr>
            <w:r w:rsidRPr="009077F5">
              <w:rPr>
                <w:lang w:eastAsia="en-US"/>
              </w:rPr>
              <w:t>Flotasyon</w:t>
            </w:r>
          </w:p>
        </w:tc>
        <w:tc>
          <w:tcPr>
            <w:tcW w:w="5670" w:type="dxa"/>
            <w:vAlign w:val="center"/>
          </w:tcPr>
          <w:p w14:paraId="41403C14" w14:textId="77777777" w:rsidR="00374C56" w:rsidRPr="009077F5" w:rsidRDefault="00374C56" w:rsidP="00A202FD">
            <w:pPr>
              <w:spacing w:line="225" w:lineRule="exact"/>
              <w:ind w:right="-20"/>
              <w:jc w:val="both"/>
              <w:rPr>
                <w:lang w:eastAsia="en-US"/>
              </w:rPr>
            </w:pPr>
            <w:r w:rsidRPr="009077F5">
              <w:rPr>
                <w:lang w:eastAsia="en-US"/>
              </w:rPr>
              <w:t>Genellikle uygulanabilir</w:t>
            </w:r>
          </w:p>
        </w:tc>
      </w:tr>
      <w:tr w:rsidR="00374C56" w:rsidRPr="00A467CD" w14:paraId="2DFBAF54" w14:textId="77777777" w:rsidTr="000E6C87">
        <w:trPr>
          <w:trHeight w:val="283"/>
        </w:trPr>
        <w:tc>
          <w:tcPr>
            <w:tcW w:w="300" w:type="dxa"/>
            <w:vAlign w:val="center"/>
          </w:tcPr>
          <w:p w14:paraId="34519280" w14:textId="77777777" w:rsidR="00374C56" w:rsidRPr="009077F5" w:rsidRDefault="00374C56" w:rsidP="00A202FD">
            <w:pPr>
              <w:ind w:left="102" w:right="-20"/>
              <w:jc w:val="both"/>
              <w:rPr>
                <w:lang w:eastAsia="en-US"/>
              </w:rPr>
            </w:pPr>
            <w:r w:rsidRPr="009077F5">
              <w:rPr>
                <w:lang w:eastAsia="en-US"/>
              </w:rPr>
              <w:t>e</w:t>
            </w:r>
          </w:p>
        </w:tc>
        <w:tc>
          <w:tcPr>
            <w:tcW w:w="2819" w:type="dxa"/>
            <w:vAlign w:val="center"/>
          </w:tcPr>
          <w:p w14:paraId="386E1869" w14:textId="77777777" w:rsidR="00374C56" w:rsidRPr="009077F5" w:rsidRDefault="00374C56" w:rsidP="00A202FD">
            <w:pPr>
              <w:ind w:left="102" w:right="-20"/>
              <w:jc w:val="both"/>
              <w:rPr>
                <w:lang w:eastAsia="en-US"/>
              </w:rPr>
            </w:pPr>
            <w:r w:rsidRPr="009077F5">
              <w:rPr>
                <w:lang w:eastAsia="en-US"/>
              </w:rPr>
              <w:t>Ultrafiltrasyon</w:t>
            </w:r>
          </w:p>
        </w:tc>
        <w:tc>
          <w:tcPr>
            <w:tcW w:w="5670" w:type="dxa"/>
            <w:vAlign w:val="center"/>
          </w:tcPr>
          <w:p w14:paraId="72AB3ACD" w14:textId="6E752315" w:rsidR="00374C56" w:rsidRPr="009077F5" w:rsidRDefault="00374C56" w:rsidP="00A202FD">
            <w:pPr>
              <w:ind w:right="-20"/>
              <w:jc w:val="both"/>
              <w:rPr>
                <w:lang w:eastAsia="en-US"/>
              </w:rPr>
            </w:pPr>
            <w:r w:rsidRPr="009077F5">
              <w:rPr>
                <w:lang w:eastAsia="en-US"/>
              </w:rPr>
              <w:t>Demir dışı metal üretiminde sadece belirli akışlar</w:t>
            </w:r>
            <w:r w:rsidR="00C756C5" w:rsidRPr="009077F5">
              <w:rPr>
                <w:lang w:eastAsia="en-US"/>
              </w:rPr>
              <w:t xml:space="preserve"> için geçerlidir. </w:t>
            </w:r>
          </w:p>
        </w:tc>
      </w:tr>
      <w:tr w:rsidR="00374C56" w:rsidRPr="00A467CD" w14:paraId="70D5EFA8" w14:textId="77777777" w:rsidTr="000E6C87">
        <w:trPr>
          <w:trHeight w:val="283"/>
        </w:trPr>
        <w:tc>
          <w:tcPr>
            <w:tcW w:w="300" w:type="dxa"/>
            <w:vAlign w:val="center"/>
          </w:tcPr>
          <w:p w14:paraId="2B81EFE0" w14:textId="77777777" w:rsidR="00374C56" w:rsidRPr="009077F5" w:rsidRDefault="00374C56" w:rsidP="00A202FD">
            <w:pPr>
              <w:spacing w:line="225" w:lineRule="exact"/>
              <w:ind w:left="102" w:right="-20"/>
              <w:jc w:val="both"/>
              <w:rPr>
                <w:lang w:eastAsia="en-US"/>
              </w:rPr>
            </w:pPr>
            <w:r w:rsidRPr="009077F5">
              <w:rPr>
                <w:lang w:eastAsia="en-US"/>
              </w:rPr>
              <w:t>f</w:t>
            </w:r>
          </w:p>
        </w:tc>
        <w:tc>
          <w:tcPr>
            <w:tcW w:w="2819" w:type="dxa"/>
            <w:vAlign w:val="center"/>
          </w:tcPr>
          <w:p w14:paraId="32DC2D5B" w14:textId="77777777" w:rsidR="00374C56" w:rsidRPr="009077F5" w:rsidRDefault="00374C56" w:rsidP="00A202FD">
            <w:pPr>
              <w:spacing w:line="225" w:lineRule="exact"/>
              <w:ind w:left="102" w:right="-20"/>
              <w:jc w:val="both"/>
              <w:rPr>
                <w:lang w:eastAsia="en-US"/>
              </w:rPr>
            </w:pPr>
            <w:r w:rsidRPr="009077F5">
              <w:rPr>
                <w:lang w:eastAsia="en-US"/>
              </w:rPr>
              <w:t>Aktif karbon filtrasyonu</w:t>
            </w:r>
          </w:p>
        </w:tc>
        <w:tc>
          <w:tcPr>
            <w:tcW w:w="5670" w:type="dxa"/>
            <w:vAlign w:val="center"/>
          </w:tcPr>
          <w:p w14:paraId="43C4D2C0" w14:textId="77777777" w:rsidR="00374C56" w:rsidRPr="009077F5" w:rsidRDefault="00374C56" w:rsidP="00A202FD">
            <w:pPr>
              <w:spacing w:line="225" w:lineRule="exact"/>
              <w:ind w:right="-20"/>
              <w:jc w:val="both"/>
              <w:rPr>
                <w:lang w:eastAsia="en-US"/>
              </w:rPr>
            </w:pPr>
            <w:r w:rsidRPr="009077F5">
              <w:rPr>
                <w:lang w:eastAsia="en-US"/>
              </w:rPr>
              <w:t>Genellikle uygulanabilir</w:t>
            </w:r>
          </w:p>
        </w:tc>
      </w:tr>
      <w:tr w:rsidR="00374C56" w:rsidRPr="00A467CD" w14:paraId="723F5529" w14:textId="77777777" w:rsidTr="000E6C87">
        <w:trPr>
          <w:trHeight w:val="283"/>
        </w:trPr>
        <w:tc>
          <w:tcPr>
            <w:tcW w:w="300" w:type="dxa"/>
            <w:vAlign w:val="center"/>
          </w:tcPr>
          <w:p w14:paraId="7A2DF0A6" w14:textId="77777777" w:rsidR="00374C56" w:rsidRPr="009077F5" w:rsidRDefault="00374C56" w:rsidP="00A202FD">
            <w:pPr>
              <w:ind w:left="102" w:right="-20"/>
              <w:jc w:val="both"/>
              <w:rPr>
                <w:lang w:eastAsia="en-US"/>
              </w:rPr>
            </w:pPr>
            <w:r w:rsidRPr="009077F5">
              <w:rPr>
                <w:lang w:eastAsia="en-US"/>
              </w:rPr>
              <w:t>g</w:t>
            </w:r>
          </w:p>
        </w:tc>
        <w:tc>
          <w:tcPr>
            <w:tcW w:w="2819" w:type="dxa"/>
            <w:vAlign w:val="center"/>
          </w:tcPr>
          <w:p w14:paraId="4F7603D8" w14:textId="77777777" w:rsidR="00374C56" w:rsidRPr="009077F5" w:rsidRDefault="00374C56" w:rsidP="00A202FD">
            <w:pPr>
              <w:ind w:left="102" w:right="-20"/>
              <w:jc w:val="both"/>
              <w:rPr>
                <w:sz w:val="20"/>
                <w:szCs w:val="20"/>
                <w:lang w:eastAsia="en-US"/>
              </w:rPr>
            </w:pPr>
            <w:r w:rsidRPr="009077F5">
              <w:rPr>
                <w:sz w:val="20"/>
                <w:szCs w:val="20"/>
                <w:lang w:eastAsia="en-US"/>
              </w:rPr>
              <w:t>Ters osmoz</w:t>
            </w:r>
          </w:p>
        </w:tc>
        <w:tc>
          <w:tcPr>
            <w:tcW w:w="5670" w:type="dxa"/>
            <w:vAlign w:val="center"/>
          </w:tcPr>
          <w:p w14:paraId="7D7E52E7" w14:textId="15737C2F" w:rsidR="00374C56" w:rsidRPr="009077F5" w:rsidRDefault="00374C56" w:rsidP="00A202FD">
            <w:pPr>
              <w:ind w:right="-20"/>
              <w:jc w:val="both"/>
              <w:rPr>
                <w:lang w:eastAsia="en-US"/>
              </w:rPr>
            </w:pPr>
            <w:r w:rsidRPr="009077F5">
              <w:rPr>
                <w:lang w:eastAsia="en-US"/>
              </w:rPr>
              <w:t>Demir dışı metal üretiminde sadece belirli akışlar</w:t>
            </w:r>
            <w:r w:rsidR="00C756C5" w:rsidRPr="009077F5">
              <w:rPr>
                <w:lang w:eastAsia="en-US"/>
              </w:rPr>
              <w:t xml:space="preserve"> için geçerlidir.</w:t>
            </w:r>
          </w:p>
        </w:tc>
      </w:tr>
      <w:bookmarkEnd w:id="53"/>
      <w:tr w:rsidR="00374C56" w:rsidRPr="00A467CD" w14:paraId="280C49B2" w14:textId="77777777" w:rsidTr="000E6C87">
        <w:trPr>
          <w:trHeight w:val="340"/>
        </w:trPr>
        <w:tc>
          <w:tcPr>
            <w:tcW w:w="8789" w:type="dxa"/>
            <w:gridSpan w:val="3"/>
            <w:vAlign w:val="center"/>
          </w:tcPr>
          <w:p w14:paraId="02B2FFCF" w14:textId="6372CEE1" w:rsidR="00374C56" w:rsidRPr="009077F5" w:rsidRDefault="00374C56" w:rsidP="00A202FD">
            <w:pPr>
              <w:spacing w:line="225" w:lineRule="exact"/>
              <w:ind w:left="102" w:right="-20"/>
              <w:jc w:val="both"/>
              <w:rPr>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w:t>
            </w:r>
            <w:r w:rsidRPr="009077F5">
              <w:rPr>
                <w:b/>
                <w:sz w:val="20"/>
                <w:szCs w:val="20"/>
                <w:lang w:eastAsia="en-US"/>
              </w:rPr>
              <w:t xml:space="preserve"> </w:t>
            </w:r>
            <w:r w:rsidRPr="009077F5">
              <w:rPr>
                <w:sz w:val="20"/>
                <w:szCs w:val="20"/>
                <w:lang w:eastAsia="en-US"/>
              </w:rPr>
              <w:t>Tekniklerin açıklamaları Bölüm 1.10</w:t>
            </w:r>
            <w:r w:rsidR="00E56504" w:rsidRPr="009077F5">
              <w:rPr>
                <w:sz w:val="20"/>
                <w:szCs w:val="20"/>
                <w:lang w:eastAsia="en-US"/>
              </w:rPr>
              <w:t>’</w:t>
            </w:r>
            <w:r w:rsidRPr="009077F5">
              <w:rPr>
                <w:sz w:val="20"/>
                <w:szCs w:val="20"/>
                <w:lang w:eastAsia="en-US"/>
              </w:rPr>
              <w:t>da verilmiştir.</w:t>
            </w:r>
          </w:p>
        </w:tc>
      </w:tr>
    </w:tbl>
    <w:p w14:paraId="7A73EC8F" w14:textId="77777777" w:rsidR="00374C56" w:rsidRPr="00D53A2B" w:rsidRDefault="00374C56" w:rsidP="00A202FD">
      <w:pPr>
        <w:jc w:val="both"/>
        <w:rPr>
          <w:lang w:eastAsia="en-US"/>
        </w:rPr>
      </w:pPr>
      <w:r w:rsidRPr="00D53A2B">
        <w:rPr>
          <w:lang w:eastAsia="en-US"/>
        </w:rPr>
        <w:t xml:space="preserve"> </w:t>
      </w:r>
    </w:p>
    <w:p w14:paraId="4C4711F3" w14:textId="77777777" w:rsidR="00374C56" w:rsidRPr="00D53A2B" w:rsidRDefault="00374C56" w:rsidP="00A202FD">
      <w:pPr>
        <w:jc w:val="both"/>
        <w:rPr>
          <w:b/>
          <w:bCs/>
          <w:lang w:eastAsia="en-US"/>
        </w:rPr>
      </w:pPr>
      <w:r w:rsidRPr="00D53A2B">
        <w:rPr>
          <w:b/>
          <w:bCs/>
          <w:lang w:eastAsia="en-US"/>
        </w:rPr>
        <w:t>MET ile ilişkili emisyon seviyeleri</w:t>
      </w:r>
    </w:p>
    <w:p w14:paraId="5D88759C" w14:textId="63908A79" w:rsidR="00374C56" w:rsidRPr="00D53A2B" w:rsidRDefault="00374C56" w:rsidP="00A202FD">
      <w:pPr>
        <w:spacing w:after="240"/>
        <w:jc w:val="both"/>
        <w:rPr>
          <w:lang w:eastAsia="en-US"/>
        </w:rPr>
      </w:pPr>
      <w:r w:rsidRPr="00D53A2B">
        <w:rPr>
          <w:lang w:eastAsia="en-US"/>
        </w:rPr>
        <w:t xml:space="preserve">Bakır, kurşun, kalay, çinko, kadmiyum, değerli metaller, nikel, kobalt ve ferro alaşımlarının üretiminden kaynaklanıp doğrudan bir alıcı su </w:t>
      </w:r>
      <w:bookmarkStart w:id="54" w:name="_Hlk202275040"/>
      <w:r w:rsidR="008D07F8">
        <w:rPr>
          <w:lang w:eastAsia="en-US"/>
        </w:rPr>
        <w:t>ortamına</w:t>
      </w:r>
      <w:bookmarkEnd w:id="54"/>
      <w:r w:rsidRPr="00D53A2B">
        <w:rPr>
          <w:lang w:eastAsia="en-US"/>
        </w:rPr>
        <w:t xml:space="preserve"> verilen emisyonlar için MET ile ilişkili emisyon seviyeleri (MET-İES) Tablo 2</w:t>
      </w:r>
      <w:r w:rsidR="00E56504" w:rsidRPr="00D53A2B">
        <w:rPr>
          <w:lang w:eastAsia="en-US"/>
        </w:rPr>
        <w:t>’</w:t>
      </w:r>
      <w:r w:rsidRPr="00D53A2B">
        <w:rPr>
          <w:lang w:eastAsia="en-US"/>
        </w:rPr>
        <w:t>de verilmiştir.</w:t>
      </w:r>
    </w:p>
    <w:p w14:paraId="5714D5CF" w14:textId="019803AC" w:rsidR="00374C56" w:rsidRPr="00D53A2B" w:rsidRDefault="00374C56" w:rsidP="00A202FD">
      <w:pPr>
        <w:jc w:val="both"/>
        <w:rPr>
          <w:lang w:eastAsia="en-US"/>
        </w:rPr>
      </w:pPr>
      <w:r w:rsidRPr="00D53A2B">
        <w:rPr>
          <w:lang w:eastAsia="en-US"/>
        </w:rPr>
        <w:t>Bu MET-İES</w:t>
      </w:r>
      <w:r w:rsidR="00E56504" w:rsidRPr="00D53A2B">
        <w:rPr>
          <w:lang w:eastAsia="en-US"/>
        </w:rPr>
        <w:t>’</w:t>
      </w:r>
      <w:r w:rsidRPr="00D53A2B">
        <w:rPr>
          <w:lang w:eastAsia="en-US"/>
        </w:rPr>
        <w:t xml:space="preserve">ler, emisyonun </w:t>
      </w:r>
      <w:r w:rsidR="0029258D" w:rsidRPr="00D53A2B">
        <w:rPr>
          <w:lang w:eastAsia="en-US"/>
        </w:rPr>
        <w:t xml:space="preserve">tesisi </w:t>
      </w:r>
      <w:r w:rsidRPr="00D53A2B">
        <w:rPr>
          <w:lang w:eastAsia="en-US"/>
        </w:rPr>
        <w:t>terk ettiği noktada geçerlidir.</w:t>
      </w:r>
    </w:p>
    <w:p w14:paraId="555B54DE" w14:textId="77777777" w:rsidR="00374C56" w:rsidRPr="00D53A2B" w:rsidRDefault="00374C56" w:rsidP="00A202FD">
      <w:pPr>
        <w:jc w:val="both"/>
        <w:rPr>
          <w:lang w:eastAsia="en-US"/>
        </w:rPr>
      </w:pPr>
    </w:p>
    <w:p w14:paraId="773625D9" w14:textId="77777777" w:rsidR="001023C7" w:rsidRPr="00D53A2B" w:rsidRDefault="00374C56" w:rsidP="00A202FD">
      <w:pPr>
        <w:jc w:val="both"/>
        <w:rPr>
          <w:bCs/>
          <w:iCs/>
          <w:spacing w:val="2"/>
          <w:lang w:eastAsia="en-US"/>
        </w:rPr>
      </w:pPr>
      <w:bookmarkStart w:id="55" w:name="_Toc531927943"/>
      <w:r w:rsidRPr="00D53A2B">
        <w:rPr>
          <w:bCs/>
          <w:iCs/>
          <w:spacing w:val="2"/>
          <w:lang w:eastAsia="en-US"/>
        </w:rPr>
        <w:t xml:space="preserve">Tablo </w:t>
      </w:r>
      <w:r w:rsidRPr="00D53A2B">
        <w:rPr>
          <w:bCs/>
          <w:iCs/>
          <w:noProof/>
          <w:spacing w:val="2"/>
          <w:lang w:eastAsia="en-US"/>
        </w:rPr>
        <w:t>2</w:t>
      </w:r>
    </w:p>
    <w:p w14:paraId="2BD3AD5B" w14:textId="2212DCE6" w:rsidR="00374C56" w:rsidRPr="00D53A2B" w:rsidRDefault="00374C56" w:rsidP="00A202FD">
      <w:pPr>
        <w:jc w:val="both"/>
        <w:rPr>
          <w:bCs/>
          <w:iCs/>
          <w:spacing w:val="2"/>
          <w:lang w:eastAsia="en-US"/>
        </w:rPr>
      </w:pPr>
      <w:r w:rsidRPr="00D53A2B">
        <w:rPr>
          <w:bCs/>
          <w:iCs/>
          <w:spacing w:val="2"/>
          <w:lang w:eastAsia="en-US"/>
        </w:rPr>
        <w:t xml:space="preserve">Bakır, kurşun, kalay, çinko (Waelz fırın prosesinde yıkama aşamasından gelen </w:t>
      </w:r>
      <w:r w:rsidR="00651500" w:rsidRPr="00D53A2B">
        <w:rPr>
          <w:bCs/>
          <w:iCs/>
          <w:spacing w:val="2"/>
          <w:lang w:eastAsia="en-US"/>
        </w:rPr>
        <w:t>atıksu</w:t>
      </w:r>
      <w:r w:rsidRPr="00D53A2B">
        <w:rPr>
          <w:bCs/>
          <w:iCs/>
          <w:spacing w:val="2"/>
          <w:lang w:eastAsia="en-US"/>
        </w:rPr>
        <w:t xml:space="preserve">dahil), kadmiyum, değerli metaller, nikel, kobalt ve ferro alaşım üretiminden gelen bir alıcı su </w:t>
      </w:r>
      <w:r w:rsidR="008D07F8">
        <w:rPr>
          <w:lang w:eastAsia="en-US"/>
        </w:rPr>
        <w:t>ortamına</w:t>
      </w:r>
      <w:r w:rsidR="008D07F8" w:rsidRPr="00D53A2B">
        <w:rPr>
          <w:bCs/>
          <w:iCs/>
          <w:spacing w:val="2"/>
          <w:lang w:eastAsia="en-US"/>
        </w:rPr>
        <w:t xml:space="preserve"> </w:t>
      </w:r>
      <w:r w:rsidRPr="00D53A2B">
        <w:rPr>
          <w:bCs/>
          <w:iCs/>
          <w:spacing w:val="2"/>
          <w:lang w:eastAsia="en-US"/>
        </w:rPr>
        <w:t>verilen doğrudan emisyonlar için MET ile ilişkili emisyon seviyeleri</w:t>
      </w:r>
      <w:bookmarkEnd w:id="55"/>
    </w:p>
    <w:p w14:paraId="47F343D1" w14:textId="77777777" w:rsidR="004563A3" w:rsidRPr="00D53A2B" w:rsidRDefault="004563A3" w:rsidP="00A202FD">
      <w:pPr>
        <w:jc w:val="both"/>
        <w:rPr>
          <w:b/>
          <w:bCs/>
          <w:iCs/>
          <w:spacing w:val="2"/>
          <w:lang w:eastAsia="en-US"/>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85"/>
        <w:gridCol w:w="1275"/>
        <w:gridCol w:w="993"/>
        <w:gridCol w:w="1417"/>
        <w:gridCol w:w="1134"/>
        <w:gridCol w:w="1134"/>
        <w:gridCol w:w="851"/>
      </w:tblGrid>
      <w:tr w:rsidR="00374C56" w:rsidRPr="00D53A2B" w14:paraId="201A642B" w14:textId="77777777" w:rsidTr="000E6C87">
        <w:trPr>
          <w:trHeight w:val="340"/>
        </w:trPr>
        <w:tc>
          <w:tcPr>
            <w:tcW w:w="8789" w:type="dxa"/>
            <w:gridSpan w:val="7"/>
            <w:vAlign w:val="center"/>
          </w:tcPr>
          <w:p w14:paraId="72AE3454" w14:textId="47DB60E7" w:rsidR="00374C56" w:rsidRPr="00D53A2B" w:rsidRDefault="00037693" w:rsidP="00A202FD">
            <w:pPr>
              <w:spacing w:line="264" w:lineRule="auto"/>
              <w:ind w:left="57" w:right="57"/>
              <w:jc w:val="both"/>
              <w:rPr>
                <w:b/>
                <w:sz w:val="22"/>
                <w:szCs w:val="22"/>
                <w:lang w:eastAsia="en-US"/>
              </w:rPr>
            </w:pPr>
            <w:r w:rsidRPr="00D53A2B">
              <w:rPr>
                <w:b/>
                <w:bCs/>
                <w:sz w:val="22"/>
                <w:szCs w:val="22"/>
                <w:lang w:eastAsia="en-US"/>
              </w:rPr>
              <w:t>MET-İES</w:t>
            </w:r>
            <w:r w:rsidR="00374C56" w:rsidRPr="00D53A2B">
              <w:rPr>
                <w:b/>
                <w:bCs/>
                <w:sz w:val="22"/>
                <w:szCs w:val="22"/>
                <w:lang w:eastAsia="en-US"/>
              </w:rPr>
              <w:t xml:space="preserve"> (mg/l) (günlük ortalama)</w:t>
            </w:r>
          </w:p>
        </w:tc>
      </w:tr>
      <w:tr w:rsidR="00374C56" w:rsidRPr="00D53A2B" w14:paraId="680BE7F1" w14:textId="77777777" w:rsidTr="000E6C87">
        <w:trPr>
          <w:trHeight w:val="340"/>
        </w:trPr>
        <w:tc>
          <w:tcPr>
            <w:tcW w:w="1985" w:type="dxa"/>
            <w:vMerge w:val="restart"/>
            <w:vAlign w:val="center"/>
          </w:tcPr>
          <w:p w14:paraId="2F817D98"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804" w:type="dxa"/>
            <w:gridSpan w:val="6"/>
            <w:vAlign w:val="center"/>
          </w:tcPr>
          <w:p w14:paraId="15BBFDFF" w14:textId="4A52F95C" w:rsidR="00374C56" w:rsidRPr="00D53A2B" w:rsidRDefault="00214ED6" w:rsidP="00A202FD">
            <w:pPr>
              <w:spacing w:line="264" w:lineRule="auto"/>
              <w:ind w:left="57" w:right="57"/>
              <w:jc w:val="both"/>
              <w:rPr>
                <w:sz w:val="22"/>
                <w:szCs w:val="22"/>
                <w:lang w:eastAsia="en-US"/>
              </w:rPr>
            </w:pPr>
            <w:r w:rsidRPr="00D53A2B">
              <w:rPr>
                <w:b/>
                <w:bCs/>
                <w:sz w:val="22"/>
                <w:szCs w:val="22"/>
                <w:lang w:eastAsia="en-US"/>
              </w:rPr>
              <w:t>Üretimi</w:t>
            </w:r>
          </w:p>
        </w:tc>
      </w:tr>
      <w:tr w:rsidR="00374C56" w:rsidRPr="00D53A2B" w14:paraId="68DC1070" w14:textId="77777777" w:rsidTr="000E6C87">
        <w:trPr>
          <w:trHeight w:val="850"/>
        </w:trPr>
        <w:tc>
          <w:tcPr>
            <w:tcW w:w="1985" w:type="dxa"/>
            <w:vMerge/>
            <w:vAlign w:val="center"/>
          </w:tcPr>
          <w:p w14:paraId="2BCDED42" w14:textId="77777777" w:rsidR="00374C56" w:rsidRPr="00D53A2B" w:rsidRDefault="00374C56" w:rsidP="00A202FD">
            <w:pPr>
              <w:spacing w:line="264" w:lineRule="auto"/>
              <w:ind w:left="57" w:right="57"/>
              <w:jc w:val="both"/>
              <w:rPr>
                <w:sz w:val="22"/>
                <w:szCs w:val="22"/>
                <w:lang w:eastAsia="en-US"/>
              </w:rPr>
            </w:pPr>
          </w:p>
        </w:tc>
        <w:tc>
          <w:tcPr>
            <w:tcW w:w="1275" w:type="dxa"/>
            <w:vAlign w:val="center"/>
          </w:tcPr>
          <w:p w14:paraId="1613B540"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Bakır</w:t>
            </w:r>
          </w:p>
        </w:tc>
        <w:tc>
          <w:tcPr>
            <w:tcW w:w="993" w:type="dxa"/>
            <w:vAlign w:val="center"/>
          </w:tcPr>
          <w:p w14:paraId="0D1D1B8A"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Kurşun ve/veya Kalay</w:t>
            </w:r>
          </w:p>
        </w:tc>
        <w:tc>
          <w:tcPr>
            <w:tcW w:w="1417" w:type="dxa"/>
            <w:vAlign w:val="center"/>
          </w:tcPr>
          <w:p w14:paraId="591A5AD7" w14:textId="4E85B644" w:rsidR="00374C56" w:rsidRPr="00D53A2B" w:rsidRDefault="00374C56" w:rsidP="00A202FD">
            <w:pPr>
              <w:spacing w:line="264" w:lineRule="auto"/>
              <w:ind w:left="57" w:right="57"/>
              <w:jc w:val="both"/>
              <w:rPr>
                <w:b/>
                <w:bCs/>
                <w:sz w:val="22"/>
                <w:szCs w:val="22"/>
                <w:lang w:eastAsia="en-US"/>
              </w:rPr>
            </w:pPr>
            <w:r w:rsidRPr="00D53A2B">
              <w:rPr>
                <w:b/>
                <w:bCs/>
                <w:sz w:val="22"/>
                <w:szCs w:val="22"/>
                <w:lang w:eastAsia="en-US"/>
              </w:rPr>
              <w:t>Çinko</w:t>
            </w:r>
            <w:r w:rsidR="00214ED6" w:rsidRPr="00D53A2B">
              <w:rPr>
                <w:b/>
                <w:bCs/>
                <w:sz w:val="22"/>
                <w:szCs w:val="22"/>
                <w:lang w:eastAsia="en-US"/>
              </w:rPr>
              <w:t xml:space="preserve"> </w:t>
            </w:r>
            <w:r w:rsidRPr="00D53A2B">
              <w:rPr>
                <w:b/>
                <w:bCs/>
                <w:sz w:val="22"/>
                <w:szCs w:val="22"/>
                <w:lang w:eastAsia="en-US"/>
              </w:rPr>
              <w:t>ve/veya Kadmiyum</w:t>
            </w:r>
          </w:p>
        </w:tc>
        <w:tc>
          <w:tcPr>
            <w:tcW w:w="1134" w:type="dxa"/>
            <w:vAlign w:val="center"/>
          </w:tcPr>
          <w:p w14:paraId="631BE104" w14:textId="77777777" w:rsidR="00374C56" w:rsidRPr="00D53A2B" w:rsidRDefault="00374C56" w:rsidP="00A202FD">
            <w:pPr>
              <w:spacing w:line="264" w:lineRule="auto"/>
              <w:ind w:left="57" w:right="57"/>
              <w:jc w:val="both"/>
              <w:rPr>
                <w:b/>
                <w:sz w:val="22"/>
                <w:szCs w:val="22"/>
                <w:lang w:eastAsia="en-US"/>
              </w:rPr>
            </w:pPr>
            <w:r w:rsidRPr="00D53A2B">
              <w:rPr>
                <w:b/>
                <w:sz w:val="22"/>
                <w:szCs w:val="22"/>
                <w:lang w:eastAsia="en-US"/>
              </w:rPr>
              <w:t>Değerli Metaller</w:t>
            </w:r>
          </w:p>
        </w:tc>
        <w:tc>
          <w:tcPr>
            <w:tcW w:w="1134" w:type="dxa"/>
            <w:vAlign w:val="center"/>
          </w:tcPr>
          <w:p w14:paraId="34918D76" w14:textId="07F41B8C" w:rsidR="00374C56" w:rsidRPr="00D53A2B" w:rsidRDefault="00374C56" w:rsidP="00A202FD">
            <w:pPr>
              <w:spacing w:line="264" w:lineRule="auto"/>
              <w:ind w:left="57" w:right="57"/>
              <w:jc w:val="both"/>
              <w:rPr>
                <w:b/>
                <w:bCs/>
                <w:sz w:val="22"/>
                <w:szCs w:val="22"/>
                <w:lang w:eastAsia="en-US"/>
              </w:rPr>
            </w:pPr>
            <w:r w:rsidRPr="00D53A2B">
              <w:rPr>
                <w:b/>
                <w:bCs/>
                <w:sz w:val="22"/>
                <w:szCs w:val="22"/>
                <w:lang w:eastAsia="en-US"/>
              </w:rPr>
              <w:t>Nikel</w:t>
            </w:r>
            <w:r w:rsidR="00214ED6" w:rsidRPr="00D53A2B">
              <w:rPr>
                <w:b/>
                <w:bCs/>
                <w:sz w:val="22"/>
                <w:szCs w:val="22"/>
                <w:lang w:eastAsia="en-US"/>
              </w:rPr>
              <w:t xml:space="preserve"> </w:t>
            </w:r>
            <w:r w:rsidRPr="00D53A2B">
              <w:rPr>
                <w:b/>
                <w:bCs/>
                <w:sz w:val="22"/>
                <w:szCs w:val="22"/>
                <w:lang w:eastAsia="en-US"/>
              </w:rPr>
              <w:t>ve/veya Kobalt</w:t>
            </w:r>
          </w:p>
        </w:tc>
        <w:tc>
          <w:tcPr>
            <w:tcW w:w="851" w:type="dxa"/>
            <w:vAlign w:val="center"/>
          </w:tcPr>
          <w:p w14:paraId="4EECAE00"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Ferro Alaşımlar</w:t>
            </w:r>
          </w:p>
        </w:tc>
      </w:tr>
      <w:tr w:rsidR="00374C56" w:rsidRPr="00D53A2B" w14:paraId="2B0C9A4D" w14:textId="77777777" w:rsidTr="000E6C87">
        <w:tc>
          <w:tcPr>
            <w:tcW w:w="1985" w:type="dxa"/>
            <w:vAlign w:val="center"/>
          </w:tcPr>
          <w:p w14:paraId="5D6F7BB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Gümüş (Ag)</w:t>
            </w:r>
          </w:p>
        </w:tc>
        <w:tc>
          <w:tcPr>
            <w:tcW w:w="3685" w:type="dxa"/>
            <w:gridSpan w:val="3"/>
            <w:vAlign w:val="center"/>
          </w:tcPr>
          <w:p w14:paraId="18EB06CF" w14:textId="50E37BFE" w:rsidR="00374C56" w:rsidRPr="00D53A2B" w:rsidRDefault="00214ED6" w:rsidP="00A202FD">
            <w:pPr>
              <w:spacing w:line="264" w:lineRule="auto"/>
              <w:ind w:left="57" w:right="57"/>
              <w:jc w:val="both"/>
              <w:rPr>
                <w:sz w:val="22"/>
                <w:szCs w:val="22"/>
                <w:lang w:eastAsia="en-US"/>
              </w:rPr>
            </w:pPr>
            <w:r w:rsidRPr="00D53A2B">
              <w:rPr>
                <w:sz w:val="22"/>
                <w:szCs w:val="22"/>
                <w:lang w:eastAsia="en-US"/>
              </w:rPr>
              <w:t>NR</w:t>
            </w:r>
          </w:p>
        </w:tc>
        <w:tc>
          <w:tcPr>
            <w:tcW w:w="1134" w:type="dxa"/>
            <w:vAlign w:val="center"/>
          </w:tcPr>
          <w:p w14:paraId="0B71046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0,6</w:t>
            </w:r>
          </w:p>
        </w:tc>
        <w:tc>
          <w:tcPr>
            <w:tcW w:w="1985" w:type="dxa"/>
            <w:gridSpan w:val="2"/>
            <w:vAlign w:val="center"/>
          </w:tcPr>
          <w:p w14:paraId="09C3792E" w14:textId="42761553" w:rsidR="00374C56" w:rsidRPr="00D53A2B" w:rsidRDefault="00214ED6" w:rsidP="00A202FD">
            <w:pPr>
              <w:spacing w:line="264" w:lineRule="auto"/>
              <w:ind w:left="57" w:right="57"/>
              <w:jc w:val="both"/>
              <w:rPr>
                <w:sz w:val="22"/>
                <w:szCs w:val="22"/>
                <w:lang w:eastAsia="en-US"/>
              </w:rPr>
            </w:pPr>
            <w:r w:rsidRPr="00D53A2B">
              <w:rPr>
                <w:sz w:val="22"/>
                <w:szCs w:val="22"/>
                <w:lang w:eastAsia="en-US"/>
              </w:rPr>
              <w:t>NR</w:t>
            </w:r>
          </w:p>
        </w:tc>
      </w:tr>
      <w:tr w:rsidR="00374C56" w:rsidRPr="00D53A2B" w14:paraId="2541263C" w14:textId="77777777" w:rsidTr="000E6C87">
        <w:tc>
          <w:tcPr>
            <w:tcW w:w="1985" w:type="dxa"/>
            <w:vAlign w:val="center"/>
          </w:tcPr>
          <w:p w14:paraId="1D88457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Arsenik (As)</w:t>
            </w:r>
          </w:p>
        </w:tc>
        <w:tc>
          <w:tcPr>
            <w:tcW w:w="1275" w:type="dxa"/>
            <w:vAlign w:val="center"/>
          </w:tcPr>
          <w:p w14:paraId="0FDE3A6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0,1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c>
          <w:tcPr>
            <w:tcW w:w="993" w:type="dxa"/>
            <w:vAlign w:val="center"/>
          </w:tcPr>
          <w:p w14:paraId="5B74510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c>
          <w:tcPr>
            <w:tcW w:w="1417" w:type="dxa"/>
            <w:vAlign w:val="center"/>
          </w:tcPr>
          <w:p w14:paraId="18551C7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c>
          <w:tcPr>
            <w:tcW w:w="1134" w:type="dxa"/>
            <w:vAlign w:val="center"/>
          </w:tcPr>
          <w:p w14:paraId="1431A71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c>
          <w:tcPr>
            <w:tcW w:w="1134" w:type="dxa"/>
            <w:vAlign w:val="center"/>
          </w:tcPr>
          <w:p w14:paraId="4FE32CF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0,3</w:t>
            </w:r>
          </w:p>
        </w:tc>
        <w:tc>
          <w:tcPr>
            <w:tcW w:w="851" w:type="dxa"/>
            <w:vAlign w:val="center"/>
          </w:tcPr>
          <w:p w14:paraId="5940C7E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r>
      <w:tr w:rsidR="00374C56" w:rsidRPr="00D53A2B" w14:paraId="3E1CC0C5" w14:textId="77777777" w:rsidTr="000E6C87">
        <w:tc>
          <w:tcPr>
            <w:tcW w:w="1985" w:type="dxa"/>
            <w:vAlign w:val="center"/>
          </w:tcPr>
          <w:p w14:paraId="4F648C4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Kadmiyum (Cd)</w:t>
            </w:r>
          </w:p>
        </w:tc>
        <w:tc>
          <w:tcPr>
            <w:tcW w:w="1275" w:type="dxa"/>
            <w:vAlign w:val="center"/>
          </w:tcPr>
          <w:p w14:paraId="5F679B9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0,02–0,1</w:t>
            </w:r>
          </w:p>
        </w:tc>
        <w:tc>
          <w:tcPr>
            <w:tcW w:w="993" w:type="dxa"/>
            <w:vAlign w:val="center"/>
          </w:tcPr>
          <w:p w14:paraId="24C921D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c>
          <w:tcPr>
            <w:tcW w:w="1417" w:type="dxa"/>
            <w:vAlign w:val="center"/>
          </w:tcPr>
          <w:p w14:paraId="5322EB3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c>
          <w:tcPr>
            <w:tcW w:w="1134" w:type="dxa"/>
            <w:vAlign w:val="center"/>
          </w:tcPr>
          <w:p w14:paraId="7DA7C30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0,05</w:t>
            </w:r>
          </w:p>
        </w:tc>
        <w:tc>
          <w:tcPr>
            <w:tcW w:w="1134" w:type="dxa"/>
            <w:vAlign w:val="center"/>
          </w:tcPr>
          <w:p w14:paraId="27F2AA8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c>
          <w:tcPr>
            <w:tcW w:w="851" w:type="dxa"/>
            <w:vAlign w:val="center"/>
          </w:tcPr>
          <w:p w14:paraId="2384F0F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0,05</w:t>
            </w:r>
          </w:p>
        </w:tc>
      </w:tr>
      <w:tr w:rsidR="00374C56" w:rsidRPr="00D53A2B" w14:paraId="0E0B4A68" w14:textId="77777777" w:rsidTr="000E6C87">
        <w:tc>
          <w:tcPr>
            <w:tcW w:w="1985" w:type="dxa"/>
            <w:vAlign w:val="center"/>
          </w:tcPr>
          <w:p w14:paraId="701C104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Kobalt (Co)</w:t>
            </w:r>
          </w:p>
        </w:tc>
        <w:tc>
          <w:tcPr>
            <w:tcW w:w="1275" w:type="dxa"/>
            <w:vAlign w:val="center"/>
          </w:tcPr>
          <w:p w14:paraId="7FA90493" w14:textId="1A8A439B" w:rsidR="00374C56" w:rsidRPr="00D53A2B" w:rsidRDefault="005D1455" w:rsidP="00A202FD">
            <w:pPr>
              <w:spacing w:line="264" w:lineRule="auto"/>
              <w:ind w:left="57" w:right="57"/>
              <w:jc w:val="both"/>
              <w:rPr>
                <w:sz w:val="22"/>
                <w:szCs w:val="22"/>
                <w:lang w:eastAsia="en-US"/>
              </w:rPr>
            </w:pPr>
            <w:r w:rsidRPr="00D53A2B">
              <w:rPr>
                <w:sz w:val="22"/>
                <w:szCs w:val="22"/>
                <w:lang w:eastAsia="en-US"/>
              </w:rPr>
              <w:t>NR</w:t>
            </w:r>
          </w:p>
        </w:tc>
        <w:tc>
          <w:tcPr>
            <w:tcW w:w="993" w:type="dxa"/>
            <w:vAlign w:val="center"/>
          </w:tcPr>
          <w:p w14:paraId="12216F9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c>
          <w:tcPr>
            <w:tcW w:w="2551" w:type="dxa"/>
            <w:gridSpan w:val="2"/>
            <w:vAlign w:val="center"/>
          </w:tcPr>
          <w:p w14:paraId="27C3CFC0" w14:textId="3BAC413B" w:rsidR="00374C56" w:rsidRPr="00D53A2B" w:rsidRDefault="00214ED6" w:rsidP="00A202FD">
            <w:pPr>
              <w:spacing w:line="264" w:lineRule="auto"/>
              <w:ind w:left="57" w:right="57"/>
              <w:jc w:val="both"/>
              <w:rPr>
                <w:sz w:val="22"/>
                <w:szCs w:val="22"/>
                <w:lang w:eastAsia="en-US"/>
              </w:rPr>
            </w:pPr>
            <w:r w:rsidRPr="00D53A2B">
              <w:rPr>
                <w:sz w:val="22"/>
                <w:szCs w:val="22"/>
                <w:lang w:eastAsia="en-US"/>
              </w:rPr>
              <w:t>NR</w:t>
            </w:r>
          </w:p>
        </w:tc>
        <w:tc>
          <w:tcPr>
            <w:tcW w:w="1134" w:type="dxa"/>
            <w:vAlign w:val="center"/>
          </w:tcPr>
          <w:p w14:paraId="1E05B9F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0,1–0,5</w:t>
            </w:r>
          </w:p>
        </w:tc>
        <w:tc>
          <w:tcPr>
            <w:tcW w:w="851" w:type="dxa"/>
            <w:vAlign w:val="center"/>
          </w:tcPr>
          <w:p w14:paraId="5CBB071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ilgili değil</w:t>
            </w:r>
          </w:p>
        </w:tc>
      </w:tr>
      <w:tr w:rsidR="00374C56" w:rsidRPr="00D53A2B" w14:paraId="697F49E7" w14:textId="77777777" w:rsidTr="000E6C87">
        <w:tc>
          <w:tcPr>
            <w:tcW w:w="1985" w:type="dxa"/>
            <w:vAlign w:val="center"/>
          </w:tcPr>
          <w:p w14:paraId="62323DD6" w14:textId="500D865F" w:rsidR="00374C56" w:rsidRPr="00D53A2B" w:rsidRDefault="00214ED6" w:rsidP="00A202FD">
            <w:pPr>
              <w:spacing w:line="264" w:lineRule="auto"/>
              <w:ind w:left="57" w:right="57"/>
              <w:jc w:val="both"/>
              <w:rPr>
                <w:sz w:val="22"/>
                <w:szCs w:val="22"/>
                <w:lang w:eastAsia="en-US"/>
              </w:rPr>
            </w:pPr>
            <w:r w:rsidRPr="00D53A2B">
              <w:rPr>
                <w:sz w:val="22"/>
                <w:szCs w:val="22"/>
                <w:lang w:eastAsia="en-US"/>
              </w:rPr>
              <w:t xml:space="preserve">Toplam </w:t>
            </w:r>
            <w:r w:rsidR="00374C56" w:rsidRPr="00D53A2B">
              <w:rPr>
                <w:sz w:val="22"/>
                <w:szCs w:val="22"/>
                <w:lang w:eastAsia="en-US"/>
              </w:rPr>
              <w:t>Krom</w:t>
            </w:r>
            <w:r w:rsidRPr="00D53A2B">
              <w:rPr>
                <w:sz w:val="22"/>
                <w:szCs w:val="22"/>
                <w:lang w:eastAsia="en-US"/>
              </w:rPr>
              <w:t xml:space="preserve"> </w:t>
            </w:r>
            <w:r w:rsidR="00374C56" w:rsidRPr="00D53A2B">
              <w:rPr>
                <w:sz w:val="22"/>
                <w:szCs w:val="22"/>
                <w:lang w:eastAsia="en-US"/>
              </w:rPr>
              <w:t>(Cr)</w:t>
            </w:r>
          </w:p>
        </w:tc>
        <w:tc>
          <w:tcPr>
            <w:tcW w:w="5953" w:type="dxa"/>
            <w:gridSpan w:val="5"/>
            <w:vAlign w:val="center"/>
          </w:tcPr>
          <w:p w14:paraId="5D9CD294" w14:textId="7B97FA4A" w:rsidR="00374C56" w:rsidRPr="00D53A2B" w:rsidRDefault="00214ED6" w:rsidP="00A202FD">
            <w:pPr>
              <w:spacing w:line="264" w:lineRule="auto"/>
              <w:ind w:left="57" w:right="57"/>
              <w:jc w:val="both"/>
              <w:rPr>
                <w:sz w:val="22"/>
                <w:szCs w:val="22"/>
                <w:lang w:eastAsia="en-US"/>
              </w:rPr>
            </w:pPr>
            <w:r w:rsidRPr="00D53A2B">
              <w:rPr>
                <w:sz w:val="22"/>
                <w:szCs w:val="22"/>
                <w:lang w:eastAsia="en-US"/>
              </w:rPr>
              <w:t>NR</w:t>
            </w:r>
          </w:p>
        </w:tc>
        <w:tc>
          <w:tcPr>
            <w:tcW w:w="851" w:type="dxa"/>
            <w:vAlign w:val="center"/>
          </w:tcPr>
          <w:p w14:paraId="1FC1D11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0,2</w:t>
            </w:r>
          </w:p>
        </w:tc>
      </w:tr>
      <w:tr w:rsidR="00374C56" w:rsidRPr="00D53A2B" w14:paraId="1DC5A093" w14:textId="77777777" w:rsidTr="000E6C87">
        <w:tc>
          <w:tcPr>
            <w:tcW w:w="1985" w:type="dxa"/>
            <w:vAlign w:val="center"/>
          </w:tcPr>
          <w:p w14:paraId="534307FF" w14:textId="6B72D1AE" w:rsidR="00374C56" w:rsidRPr="00D53A2B" w:rsidRDefault="00374C56" w:rsidP="00A202FD">
            <w:pPr>
              <w:spacing w:line="264" w:lineRule="auto"/>
              <w:ind w:left="57" w:right="57"/>
              <w:jc w:val="both"/>
              <w:rPr>
                <w:sz w:val="22"/>
                <w:szCs w:val="22"/>
                <w:lang w:eastAsia="en-US"/>
              </w:rPr>
            </w:pPr>
            <w:r w:rsidRPr="00D53A2B">
              <w:rPr>
                <w:sz w:val="22"/>
                <w:szCs w:val="22"/>
                <w:lang w:eastAsia="en-US"/>
              </w:rPr>
              <w:t>Krom</w:t>
            </w:r>
            <w:r w:rsidR="00214ED6" w:rsidRPr="00D53A2B">
              <w:rPr>
                <w:sz w:val="22"/>
                <w:szCs w:val="22"/>
                <w:lang w:eastAsia="en-US"/>
              </w:rPr>
              <w:t xml:space="preserve"> </w:t>
            </w:r>
            <w:r w:rsidRPr="00D53A2B">
              <w:rPr>
                <w:sz w:val="22"/>
                <w:szCs w:val="22"/>
                <w:lang w:eastAsia="en-US"/>
              </w:rPr>
              <w:t xml:space="preserve">(VI) </w:t>
            </w:r>
            <w:r w:rsidR="00214ED6" w:rsidRPr="00D53A2B">
              <w:rPr>
                <w:sz w:val="22"/>
                <w:szCs w:val="22"/>
                <w:lang w:eastAsia="en-US"/>
              </w:rPr>
              <w:t>(</w:t>
            </w:r>
            <w:r w:rsidRPr="00D53A2B">
              <w:rPr>
                <w:sz w:val="22"/>
                <w:szCs w:val="22"/>
                <w:lang w:eastAsia="en-US"/>
              </w:rPr>
              <w:t>Cr(VI)</w:t>
            </w:r>
            <w:r w:rsidR="00214ED6" w:rsidRPr="00D53A2B">
              <w:rPr>
                <w:sz w:val="22"/>
                <w:szCs w:val="22"/>
                <w:lang w:eastAsia="en-US"/>
              </w:rPr>
              <w:t>)</w:t>
            </w:r>
          </w:p>
        </w:tc>
        <w:tc>
          <w:tcPr>
            <w:tcW w:w="5953" w:type="dxa"/>
            <w:gridSpan w:val="5"/>
            <w:vAlign w:val="center"/>
          </w:tcPr>
          <w:p w14:paraId="260846CC" w14:textId="4742C3A4" w:rsidR="00374C56" w:rsidRPr="00D53A2B" w:rsidRDefault="00214ED6" w:rsidP="00A202FD">
            <w:pPr>
              <w:spacing w:line="264" w:lineRule="auto"/>
              <w:ind w:left="57" w:right="57"/>
              <w:jc w:val="both"/>
              <w:rPr>
                <w:sz w:val="22"/>
                <w:szCs w:val="22"/>
                <w:lang w:eastAsia="en-US"/>
              </w:rPr>
            </w:pPr>
            <w:r w:rsidRPr="00D53A2B">
              <w:rPr>
                <w:sz w:val="22"/>
                <w:szCs w:val="22"/>
                <w:lang w:eastAsia="en-US"/>
              </w:rPr>
              <w:t>NR</w:t>
            </w:r>
          </w:p>
        </w:tc>
        <w:tc>
          <w:tcPr>
            <w:tcW w:w="851" w:type="dxa"/>
            <w:vAlign w:val="center"/>
          </w:tcPr>
          <w:p w14:paraId="1934E86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0,05</w:t>
            </w:r>
          </w:p>
        </w:tc>
      </w:tr>
      <w:tr w:rsidR="00374C56" w:rsidRPr="00D53A2B" w14:paraId="192A30DF" w14:textId="77777777" w:rsidTr="000E6C87">
        <w:tc>
          <w:tcPr>
            <w:tcW w:w="1985" w:type="dxa"/>
            <w:vAlign w:val="center"/>
          </w:tcPr>
          <w:p w14:paraId="41ADEE5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Bakır (Cu)</w:t>
            </w:r>
          </w:p>
        </w:tc>
        <w:tc>
          <w:tcPr>
            <w:tcW w:w="1275" w:type="dxa"/>
            <w:vAlign w:val="center"/>
          </w:tcPr>
          <w:p w14:paraId="489E19C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0,05–0,5</w:t>
            </w:r>
          </w:p>
        </w:tc>
        <w:tc>
          <w:tcPr>
            <w:tcW w:w="993" w:type="dxa"/>
            <w:vAlign w:val="center"/>
          </w:tcPr>
          <w:p w14:paraId="7450101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0,2</w:t>
            </w:r>
          </w:p>
        </w:tc>
        <w:tc>
          <w:tcPr>
            <w:tcW w:w="1417" w:type="dxa"/>
            <w:vAlign w:val="center"/>
          </w:tcPr>
          <w:p w14:paraId="3E86BEB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c>
          <w:tcPr>
            <w:tcW w:w="1134" w:type="dxa"/>
            <w:vAlign w:val="center"/>
          </w:tcPr>
          <w:p w14:paraId="524F435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0,3</w:t>
            </w:r>
          </w:p>
        </w:tc>
        <w:tc>
          <w:tcPr>
            <w:tcW w:w="1134" w:type="dxa"/>
            <w:vAlign w:val="center"/>
          </w:tcPr>
          <w:p w14:paraId="45D6C6F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0,5</w:t>
            </w:r>
          </w:p>
        </w:tc>
        <w:tc>
          <w:tcPr>
            <w:tcW w:w="851" w:type="dxa"/>
            <w:vAlign w:val="center"/>
          </w:tcPr>
          <w:p w14:paraId="5B9C606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0,5</w:t>
            </w:r>
          </w:p>
        </w:tc>
      </w:tr>
      <w:tr w:rsidR="00374C56" w:rsidRPr="00D53A2B" w14:paraId="7E2C499C" w14:textId="77777777" w:rsidTr="000E6C87">
        <w:tc>
          <w:tcPr>
            <w:tcW w:w="1985" w:type="dxa"/>
            <w:vAlign w:val="center"/>
          </w:tcPr>
          <w:p w14:paraId="02A1A75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Cıva (Hg)</w:t>
            </w:r>
          </w:p>
        </w:tc>
        <w:tc>
          <w:tcPr>
            <w:tcW w:w="1275" w:type="dxa"/>
            <w:vAlign w:val="center"/>
          </w:tcPr>
          <w:p w14:paraId="0E9E782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0,005–0,02</w:t>
            </w:r>
          </w:p>
        </w:tc>
        <w:tc>
          <w:tcPr>
            <w:tcW w:w="993" w:type="dxa"/>
            <w:vAlign w:val="center"/>
          </w:tcPr>
          <w:p w14:paraId="707409B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0,05</w:t>
            </w:r>
          </w:p>
        </w:tc>
        <w:tc>
          <w:tcPr>
            <w:tcW w:w="1417" w:type="dxa"/>
            <w:vAlign w:val="center"/>
          </w:tcPr>
          <w:p w14:paraId="2EA5C65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0,05</w:t>
            </w:r>
          </w:p>
        </w:tc>
        <w:tc>
          <w:tcPr>
            <w:tcW w:w="1134" w:type="dxa"/>
            <w:vAlign w:val="center"/>
          </w:tcPr>
          <w:p w14:paraId="28B7B4A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0,05</w:t>
            </w:r>
          </w:p>
        </w:tc>
        <w:tc>
          <w:tcPr>
            <w:tcW w:w="1134" w:type="dxa"/>
            <w:vAlign w:val="center"/>
          </w:tcPr>
          <w:p w14:paraId="2A994BF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0,05</w:t>
            </w:r>
          </w:p>
        </w:tc>
        <w:tc>
          <w:tcPr>
            <w:tcW w:w="851" w:type="dxa"/>
            <w:vAlign w:val="center"/>
          </w:tcPr>
          <w:p w14:paraId="56044DD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0,05</w:t>
            </w:r>
          </w:p>
        </w:tc>
      </w:tr>
      <w:tr w:rsidR="00374C56" w:rsidRPr="00D53A2B" w14:paraId="6EE828CF" w14:textId="77777777" w:rsidTr="000E6C87">
        <w:tc>
          <w:tcPr>
            <w:tcW w:w="1985" w:type="dxa"/>
            <w:vAlign w:val="center"/>
          </w:tcPr>
          <w:p w14:paraId="0410F19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Nikel (Ni)</w:t>
            </w:r>
          </w:p>
        </w:tc>
        <w:tc>
          <w:tcPr>
            <w:tcW w:w="1275" w:type="dxa"/>
            <w:vAlign w:val="center"/>
          </w:tcPr>
          <w:p w14:paraId="190FFFF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0,5</w:t>
            </w:r>
          </w:p>
        </w:tc>
        <w:tc>
          <w:tcPr>
            <w:tcW w:w="993" w:type="dxa"/>
            <w:vAlign w:val="center"/>
          </w:tcPr>
          <w:p w14:paraId="15DAD09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0,5</w:t>
            </w:r>
          </w:p>
        </w:tc>
        <w:tc>
          <w:tcPr>
            <w:tcW w:w="1417" w:type="dxa"/>
            <w:vAlign w:val="center"/>
          </w:tcPr>
          <w:p w14:paraId="0680028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c>
          <w:tcPr>
            <w:tcW w:w="1134" w:type="dxa"/>
            <w:vAlign w:val="center"/>
          </w:tcPr>
          <w:p w14:paraId="77ECA85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0,5</w:t>
            </w:r>
          </w:p>
        </w:tc>
        <w:tc>
          <w:tcPr>
            <w:tcW w:w="1134" w:type="dxa"/>
            <w:vAlign w:val="center"/>
          </w:tcPr>
          <w:p w14:paraId="4D02E22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2</w:t>
            </w:r>
          </w:p>
        </w:tc>
        <w:tc>
          <w:tcPr>
            <w:tcW w:w="851" w:type="dxa"/>
            <w:vAlign w:val="center"/>
          </w:tcPr>
          <w:p w14:paraId="02AAD63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2</w:t>
            </w:r>
          </w:p>
        </w:tc>
      </w:tr>
      <w:tr w:rsidR="00374C56" w:rsidRPr="00D53A2B" w14:paraId="42E231E0" w14:textId="77777777" w:rsidTr="000E6C87">
        <w:tc>
          <w:tcPr>
            <w:tcW w:w="1985" w:type="dxa"/>
            <w:vAlign w:val="center"/>
          </w:tcPr>
          <w:p w14:paraId="5B72759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Kurşun (Pb)</w:t>
            </w:r>
          </w:p>
        </w:tc>
        <w:tc>
          <w:tcPr>
            <w:tcW w:w="1275" w:type="dxa"/>
            <w:vAlign w:val="center"/>
          </w:tcPr>
          <w:p w14:paraId="51157A3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0,5</w:t>
            </w:r>
          </w:p>
        </w:tc>
        <w:tc>
          <w:tcPr>
            <w:tcW w:w="993" w:type="dxa"/>
            <w:vAlign w:val="center"/>
          </w:tcPr>
          <w:p w14:paraId="3FFE8CD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0,5</w:t>
            </w:r>
          </w:p>
        </w:tc>
        <w:tc>
          <w:tcPr>
            <w:tcW w:w="1417" w:type="dxa"/>
            <w:vAlign w:val="center"/>
          </w:tcPr>
          <w:p w14:paraId="236CD29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0,2</w:t>
            </w:r>
          </w:p>
        </w:tc>
        <w:tc>
          <w:tcPr>
            <w:tcW w:w="1134" w:type="dxa"/>
            <w:vAlign w:val="center"/>
          </w:tcPr>
          <w:p w14:paraId="20D6D7B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0,5</w:t>
            </w:r>
          </w:p>
        </w:tc>
        <w:tc>
          <w:tcPr>
            <w:tcW w:w="1134" w:type="dxa"/>
            <w:vAlign w:val="center"/>
          </w:tcPr>
          <w:p w14:paraId="6D1DAB6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0,5</w:t>
            </w:r>
          </w:p>
        </w:tc>
        <w:tc>
          <w:tcPr>
            <w:tcW w:w="851" w:type="dxa"/>
            <w:vAlign w:val="center"/>
          </w:tcPr>
          <w:p w14:paraId="2645127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0,2</w:t>
            </w:r>
          </w:p>
        </w:tc>
      </w:tr>
      <w:tr w:rsidR="00374C56" w:rsidRPr="00D53A2B" w14:paraId="0FEAC66F" w14:textId="77777777" w:rsidTr="000E6C87">
        <w:tc>
          <w:tcPr>
            <w:tcW w:w="1985" w:type="dxa"/>
            <w:vAlign w:val="center"/>
          </w:tcPr>
          <w:p w14:paraId="7AA0459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Çinko (Zn)</w:t>
            </w:r>
          </w:p>
        </w:tc>
        <w:tc>
          <w:tcPr>
            <w:tcW w:w="1275" w:type="dxa"/>
            <w:vAlign w:val="center"/>
          </w:tcPr>
          <w:p w14:paraId="719BF08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1</w:t>
            </w:r>
          </w:p>
        </w:tc>
        <w:tc>
          <w:tcPr>
            <w:tcW w:w="993" w:type="dxa"/>
            <w:vAlign w:val="center"/>
          </w:tcPr>
          <w:p w14:paraId="0666559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1</w:t>
            </w:r>
          </w:p>
        </w:tc>
        <w:tc>
          <w:tcPr>
            <w:tcW w:w="1417" w:type="dxa"/>
            <w:vAlign w:val="center"/>
          </w:tcPr>
          <w:p w14:paraId="1EED40E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1</w:t>
            </w:r>
          </w:p>
        </w:tc>
        <w:tc>
          <w:tcPr>
            <w:tcW w:w="1134" w:type="dxa"/>
            <w:vAlign w:val="center"/>
          </w:tcPr>
          <w:p w14:paraId="0EE0356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0,4</w:t>
            </w:r>
          </w:p>
        </w:tc>
        <w:tc>
          <w:tcPr>
            <w:tcW w:w="1134" w:type="dxa"/>
            <w:vAlign w:val="center"/>
          </w:tcPr>
          <w:p w14:paraId="4A6DE64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1</w:t>
            </w:r>
          </w:p>
        </w:tc>
        <w:tc>
          <w:tcPr>
            <w:tcW w:w="851" w:type="dxa"/>
            <w:vAlign w:val="center"/>
          </w:tcPr>
          <w:p w14:paraId="7527B8D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1</w:t>
            </w:r>
          </w:p>
        </w:tc>
      </w:tr>
      <w:tr w:rsidR="00374C56" w:rsidRPr="00D53A2B" w14:paraId="5B2EB594" w14:textId="77777777" w:rsidTr="000E6C87">
        <w:tc>
          <w:tcPr>
            <w:tcW w:w="8789" w:type="dxa"/>
            <w:gridSpan w:val="7"/>
            <w:vAlign w:val="center"/>
          </w:tcPr>
          <w:p w14:paraId="2DF0D6D2" w14:textId="68165DFA" w:rsidR="00214ED6" w:rsidRPr="00D53A2B" w:rsidRDefault="00214ED6" w:rsidP="00A202FD">
            <w:pPr>
              <w:jc w:val="both"/>
              <w:rPr>
                <w:b/>
                <w:spacing w:val="2"/>
                <w:sz w:val="22"/>
                <w:szCs w:val="22"/>
                <w:lang w:eastAsia="en-US"/>
              </w:rPr>
            </w:pPr>
            <w:r w:rsidRPr="00D53A2B">
              <w:rPr>
                <w:sz w:val="22"/>
                <w:szCs w:val="22"/>
                <w:lang w:eastAsia="en-US"/>
              </w:rPr>
              <w:t>NR: non relavent, ilgili değil</w:t>
            </w:r>
          </w:p>
          <w:p w14:paraId="3CCB37F6" w14:textId="650F2669" w:rsidR="00374C56" w:rsidRPr="00D53A2B" w:rsidRDefault="00374C56" w:rsidP="00A202FD">
            <w:pPr>
              <w:jc w:val="both"/>
              <w:rPr>
                <w:spacing w:val="2"/>
                <w:sz w:val="22"/>
                <w:szCs w:val="22"/>
                <w:lang w:eastAsia="en-US"/>
              </w:rPr>
            </w:pPr>
            <w:r w:rsidRPr="00D53A2B">
              <w:rPr>
                <w:bCs/>
                <w:spacing w:val="2"/>
                <w:sz w:val="22"/>
                <w:szCs w:val="22"/>
                <w:lang w:eastAsia="en-US"/>
              </w:rPr>
              <w:t>(</w:t>
            </w:r>
            <w:r w:rsidRPr="00D53A2B">
              <w:rPr>
                <w:bCs/>
                <w:spacing w:val="2"/>
                <w:sz w:val="22"/>
                <w:szCs w:val="22"/>
                <w:vertAlign w:val="superscript"/>
                <w:lang w:eastAsia="en-US"/>
              </w:rPr>
              <w:t>1</w:t>
            </w:r>
            <w:r w:rsidRPr="00D53A2B">
              <w:rPr>
                <w:bCs/>
                <w:spacing w:val="2"/>
                <w:sz w:val="22"/>
                <w:szCs w:val="22"/>
                <w:lang w:eastAsia="en-US"/>
              </w:rPr>
              <w:t>)</w:t>
            </w:r>
            <w:r w:rsidRPr="00D53A2B">
              <w:rPr>
                <w:b/>
                <w:spacing w:val="2"/>
                <w:sz w:val="22"/>
                <w:szCs w:val="22"/>
                <w:lang w:eastAsia="en-US"/>
              </w:rPr>
              <w:t xml:space="preserve"> </w:t>
            </w:r>
            <w:r w:rsidRPr="00D53A2B">
              <w:rPr>
                <w:spacing w:val="2"/>
                <w:sz w:val="22"/>
                <w:szCs w:val="22"/>
                <w:lang w:eastAsia="en-US"/>
              </w:rPr>
              <w:t xml:space="preserve">Tesisin toplam girdisinde yüksek arsenik içeriği durumunda, </w:t>
            </w:r>
            <w:r w:rsidR="00651500" w:rsidRPr="00D53A2B">
              <w:rPr>
                <w:spacing w:val="2"/>
                <w:sz w:val="22"/>
                <w:szCs w:val="22"/>
                <w:lang w:eastAsia="en-US"/>
              </w:rPr>
              <w:t>MET-İES</w:t>
            </w:r>
            <w:r w:rsidRPr="00D53A2B">
              <w:rPr>
                <w:spacing w:val="2"/>
                <w:sz w:val="22"/>
                <w:szCs w:val="22"/>
                <w:lang w:eastAsia="en-US"/>
              </w:rPr>
              <w:t xml:space="preserve"> 0,2 mg/l</w:t>
            </w:r>
            <w:r w:rsidR="00E56504" w:rsidRPr="00D53A2B">
              <w:rPr>
                <w:spacing w:val="2"/>
                <w:sz w:val="22"/>
                <w:szCs w:val="22"/>
                <w:lang w:eastAsia="en-US"/>
              </w:rPr>
              <w:t>’</w:t>
            </w:r>
            <w:r w:rsidRPr="00D53A2B">
              <w:rPr>
                <w:spacing w:val="2"/>
                <w:sz w:val="22"/>
                <w:szCs w:val="22"/>
                <w:lang w:eastAsia="en-US"/>
              </w:rPr>
              <w:t>ye kadar olabilir.</w:t>
            </w:r>
          </w:p>
        </w:tc>
      </w:tr>
    </w:tbl>
    <w:p w14:paraId="29F8C71C" w14:textId="77777777" w:rsidR="00374C56" w:rsidRPr="00D53A2B" w:rsidRDefault="00374C56" w:rsidP="00A202FD">
      <w:pPr>
        <w:jc w:val="both"/>
        <w:rPr>
          <w:lang w:eastAsia="en-US"/>
        </w:rPr>
      </w:pPr>
    </w:p>
    <w:p w14:paraId="0B6937C3" w14:textId="17013110" w:rsidR="00374C56" w:rsidRPr="00D53A2B" w:rsidRDefault="005D1455" w:rsidP="00A202FD">
      <w:pPr>
        <w:spacing w:after="240"/>
        <w:jc w:val="both"/>
        <w:rPr>
          <w:lang w:eastAsia="en-US"/>
        </w:rPr>
      </w:pPr>
      <w:r w:rsidRPr="00D53A2B">
        <w:rPr>
          <w:lang w:eastAsia="en-US"/>
        </w:rPr>
        <w:t xml:space="preserve">İlgili izleme </w:t>
      </w:r>
      <w:r w:rsidR="00651500" w:rsidRPr="00D53A2B">
        <w:rPr>
          <w:lang w:eastAsia="en-US"/>
        </w:rPr>
        <w:t>MET</w:t>
      </w:r>
      <w:r w:rsidRPr="00D53A2B">
        <w:rPr>
          <w:lang w:eastAsia="en-US"/>
        </w:rPr>
        <w:t>16</w:t>
      </w:r>
      <w:r w:rsidR="00E56504" w:rsidRPr="00D53A2B">
        <w:rPr>
          <w:lang w:eastAsia="en-US"/>
        </w:rPr>
        <w:t>’</w:t>
      </w:r>
      <w:r w:rsidRPr="00D53A2B">
        <w:rPr>
          <w:lang w:eastAsia="en-US"/>
        </w:rPr>
        <w:t>da yer almaktadır.</w:t>
      </w:r>
    </w:p>
    <w:p w14:paraId="61759EDC" w14:textId="5947EFA1" w:rsidR="00374C56" w:rsidRPr="00D53A2B" w:rsidRDefault="005D1455" w:rsidP="00A202FD">
      <w:pPr>
        <w:pStyle w:val="Balk3"/>
        <w:rPr>
          <w:rFonts w:cs="Times New Roman"/>
          <w:lang w:eastAsia="en-US"/>
        </w:rPr>
      </w:pPr>
      <w:bookmarkStart w:id="56" w:name="_Toc531927862"/>
      <w:r w:rsidRPr="00D53A2B">
        <w:rPr>
          <w:rFonts w:cs="Times New Roman"/>
          <w:lang w:eastAsia="en-US"/>
        </w:rPr>
        <w:t>1.</w:t>
      </w:r>
      <w:r w:rsidR="00374C56" w:rsidRPr="00D53A2B">
        <w:rPr>
          <w:rFonts w:cs="Times New Roman"/>
          <w:lang w:eastAsia="en-US"/>
        </w:rPr>
        <w:t>1.10.</w:t>
      </w:r>
      <w:r w:rsidR="00E719EF" w:rsidRPr="00D53A2B">
        <w:rPr>
          <w:rFonts w:cs="Times New Roman"/>
          <w:lang w:eastAsia="en-US"/>
        </w:rPr>
        <w:t xml:space="preserve"> </w:t>
      </w:r>
      <w:r w:rsidR="00374C56" w:rsidRPr="00D53A2B">
        <w:rPr>
          <w:rFonts w:cs="Times New Roman"/>
          <w:lang w:eastAsia="en-US"/>
        </w:rPr>
        <w:t>Gürültü</w:t>
      </w:r>
      <w:bookmarkEnd w:id="56"/>
    </w:p>
    <w:p w14:paraId="785C465E" w14:textId="36C4FFC5" w:rsidR="00374C56" w:rsidRPr="00BF4451" w:rsidRDefault="00374C56" w:rsidP="00A202FD">
      <w:pPr>
        <w:pStyle w:val="MET"/>
        <w:rPr>
          <w:szCs w:val="24"/>
        </w:rPr>
      </w:pPr>
      <w:r w:rsidRPr="00A467CD">
        <w:rPr>
          <w:szCs w:val="24"/>
        </w:rPr>
        <w:t>MET 18</w:t>
      </w:r>
      <w:r w:rsidR="004B290D" w:rsidRPr="00A467CD">
        <w:rPr>
          <w:szCs w:val="24"/>
        </w:rPr>
        <w:t>:</w:t>
      </w:r>
      <w:r w:rsidR="005D1455" w:rsidRPr="00A467CD">
        <w:rPr>
          <w:szCs w:val="24"/>
        </w:rPr>
        <w:t xml:space="preserve"> </w:t>
      </w:r>
      <w:r w:rsidR="005D1455" w:rsidRPr="00A467CD">
        <w:rPr>
          <w:b w:val="0"/>
          <w:bCs/>
          <w:szCs w:val="24"/>
        </w:rPr>
        <w:t>Gürültü emisyonlarını azaltmak için aşağıda verilen tekniklerden birini veya bir kombinasyonu</w:t>
      </w:r>
      <w:r w:rsidR="0044552F" w:rsidRPr="00E73DA3">
        <w:rPr>
          <w:b w:val="0"/>
          <w:bCs/>
          <w:szCs w:val="24"/>
        </w:rPr>
        <w:t xml:space="preserve"> kullanılabilir</w:t>
      </w:r>
      <w:r w:rsidR="005D1455" w:rsidRPr="00BF4451">
        <w:rPr>
          <w:b w:val="0"/>
          <w:bCs/>
          <w:szCs w:val="24"/>
        </w:rPr>
        <w:t>.</w:t>
      </w:r>
    </w:p>
    <w:p w14:paraId="77170537" w14:textId="77777777" w:rsidR="00E719EF" w:rsidRPr="00BF4451" w:rsidRDefault="00E719EF" w:rsidP="00A202FD">
      <w:pPr>
        <w:pStyle w:val="MET"/>
        <w:rPr>
          <w:szCs w:val="24"/>
        </w:rPr>
      </w:pPr>
    </w:p>
    <w:tbl>
      <w:tblPr>
        <w:tblW w:w="8789" w:type="dxa"/>
        <w:tblInd w:w="137" w:type="dxa"/>
        <w:tblLayout w:type="fixed"/>
        <w:tblCellMar>
          <w:left w:w="0" w:type="dxa"/>
          <w:right w:w="0" w:type="dxa"/>
        </w:tblCellMar>
        <w:tblLook w:val="01E0" w:firstRow="1" w:lastRow="1" w:firstColumn="1" w:lastColumn="1" w:noHBand="0" w:noVBand="0"/>
      </w:tblPr>
      <w:tblGrid>
        <w:gridCol w:w="319"/>
        <w:gridCol w:w="8470"/>
      </w:tblGrid>
      <w:tr w:rsidR="00374C56" w:rsidRPr="00A467CD" w14:paraId="5486F4BC" w14:textId="77777777" w:rsidTr="000E6C87">
        <w:trPr>
          <w:trHeight w:val="340"/>
        </w:trPr>
        <w:tc>
          <w:tcPr>
            <w:tcW w:w="8789" w:type="dxa"/>
            <w:gridSpan w:val="2"/>
            <w:tcBorders>
              <w:top w:val="single" w:sz="4" w:space="0" w:color="000000"/>
              <w:left w:val="single" w:sz="4" w:space="0" w:color="000000"/>
              <w:bottom w:val="single" w:sz="4" w:space="0" w:color="000000"/>
              <w:right w:val="single" w:sz="4" w:space="0" w:color="000000"/>
            </w:tcBorders>
            <w:vAlign w:val="center"/>
          </w:tcPr>
          <w:p w14:paraId="07048C4C" w14:textId="77777777" w:rsidR="00374C56" w:rsidRPr="009077F5" w:rsidRDefault="00374C56" w:rsidP="00A202FD">
            <w:pPr>
              <w:spacing w:line="264" w:lineRule="auto"/>
              <w:ind w:left="57" w:right="57"/>
              <w:jc w:val="both"/>
              <w:rPr>
                <w:lang w:eastAsia="en-US"/>
              </w:rPr>
            </w:pPr>
            <w:r w:rsidRPr="009077F5">
              <w:rPr>
                <w:b/>
                <w:bCs/>
                <w:lang w:eastAsia="en-US"/>
              </w:rPr>
              <w:t>Teknik</w:t>
            </w:r>
          </w:p>
        </w:tc>
      </w:tr>
      <w:tr w:rsidR="00374C56" w:rsidRPr="00A467CD" w14:paraId="166A0F7E" w14:textId="77777777" w:rsidTr="000E6C87">
        <w:trPr>
          <w:trHeight w:val="227"/>
        </w:trPr>
        <w:tc>
          <w:tcPr>
            <w:tcW w:w="319" w:type="dxa"/>
            <w:tcBorders>
              <w:top w:val="single" w:sz="4" w:space="0" w:color="000000"/>
              <w:left w:val="single" w:sz="4" w:space="0" w:color="000000"/>
              <w:bottom w:val="single" w:sz="4" w:space="0" w:color="000000"/>
              <w:right w:val="single" w:sz="4" w:space="0" w:color="000000"/>
            </w:tcBorders>
            <w:vAlign w:val="center"/>
          </w:tcPr>
          <w:p w14:paraId="5867A1D1" w14:textId="77777777" w:rsidR="00374C56" w:rsidRPr="009077F5" w:rsidRDefault="00374C56" w:rsidP="00A202FD">
            <w:pPr>
              <w:spacing w:line="264" w:lineRule="auto"/>
              <w:ind w:left="57" w:right="57"/>
              <w:jc w:val="both"/>
              <w:rPr>
                <w:lang w:eastAsia="en-US"/>
              </w:rPr>
            </w:pPr>
            <w:r w:rsidRPr="009077F5">
              <w:rPr>
                <w:lang w:eastAsia="en-US"/>
              </w:rPr>
              <w:lastRenderedPageBreak/>
              <w:t>a</w:t>
            </w:r>
          </w:p>
        </w:tc>
        <w:tc>
          <w:tcPr>
            <w:tcW w:w="8470" w:type="dxa"/>
            <w:tcBorders>
              <w:top w:val="single" w:sz="4" w:space="0" w:color="000000"/>
              <w:left w:val="single" w:sz="4" w:space="0" w:color="000000"/>
              <w:bottom w:val="single" w:sz="4" w:space="0" w:color="000000"/>
              <w:right w:val="single" w:sz="4" w:space="0" w:color="000000"/>
            </w:tcBorders>
          </w:tcPr>
          <w:p w14:paraId="1AB7C0BF" w14:textId="7FDFB6AC" w:rsidR="00374C56" w:rsidRPr="009077F5" w:rsidRDefault="00374C56" w:rsidP="00A202FD">
            <w:pPr>
              <w:spacing w:line="264" w:lineRule="auto"/>
              <w:ind w:left="57" w:right="57"/>
              <w:jc w:val="both"/>
              <w:rPr>
                <w:lang w:eastAsia="en-US"/>
              </w:rPr>
            </w:pPr>
            <w:r w:rsidRPr="009077F5">
              <w:rPr>
                <w:lang w:eastAsia="en-US"/>
              </w:rPr>
              <w:t xml:space="preserve">Gürültü kaynağını perdelemek için </w:t>
            </w:r>
            <w:r w:rsidR="005D1455" w:rsidRPr="009077F5">
              <w:rPr>
                <w:lang w:eastAsia="en-US"/>
              </w:rPr>
              <w:t>setler kullanın</w:t>
            </w:r>
          </w:p>
        </w:tc>
      </w:tr>
      <w:tr w:rsidR="00374C56" w:rsidRPr="00A467CD" w14:paraId="78B928CA" w14:textId="77777777" w:rsidTr="000E6C87">
        <w:trPr>
          <w:trHeight w:val="227"/>
        </w:trPr>
        <w:tc>
          <w:tcPr>
            <w:tcW w:w="319" w:type="dxa"/>
            <w:tcBorders>
              <w:top w:val="single" w:sz="4" w:space="0" w:color="000000"/>
              <w:left w:val="single" w:sz="4" w:space="0" w:color="000000"/>
              <w:bottom w:val="single" w:sz="4" w:space="0" w:color="000000"/>
              <w:right w:val="single" w:sz="4" w:space="0" w:color="000000"/>
            </w:tcBorders>
            <w:vAlign w:val="center"/>
          </w:tcPr>
          <w:p w14:paraId="7DE11FC6" w14:textId="77777777" w:rsidR="00374C56" w:rsidRPr="009077F5" w:rsidRDefault="00374C56" w:rsidP="00A202FD">
            <w:pPr>
              <w:spacing w:line="264" w:lineRule="auto"/>
              <w:ind w:left="57" w:right="57"/>
              <w:jc w:val="both"/>
              <w:rPr>
                <w:lang w:eastAsia="en-US"/>
              </w:rPr>
            </w:pPr>
            <w:r w:rsidRPr="009077F5">
              <w:rPr>
                <w:lang w:eastAsia="en-US"/>
              </w:rPr>
              <w:t>b</w:t>
            </w:r>
          </w:p>
        </w:tc>
        <w:tc>
          <w:tcPr>
            <w:tcW w:w="8470" w:type="dxa"/>
            <w:tcBorders>
              <w:top w:val="single" w:sz="4" w:space="0" w:color="000000"/>
              <w:left w:val="single" w:sz="4" w:space="0" w:color="000000"/>
              <w:bottom w:val="single" w:sz="4" w:space="0" w:color="000000"/>
              <w:right w:val="single" w:sz="4" w:space="0" w:color="000000"/>
            </w:tcBorders>
          </w:tcPr>
          <w:p w14:paraId="408CE850" w14:textId="77777777" w:rsidR="00374C56" w:rsidRPr="009077F5" w:rsidRDefault="00374C56" w:rsidP="00A202FD">
            <w:pPr>
              <w:spacing w:line="264" w:lineRule="auto"/>
              <w:ind w:left="57" w:right="57"/>
              <w:jc w:val="both"/>
              <w:rPr>
                <w:lang w:eastAsia="en-US"/>
              </w:rPr>
            </w:pPr>
            <w:r w:rsidRPr="009077F5">
              <w:rPr>
                <w:lang w:eastAsia="en-US"/>
              </w:rPr>
              <w:t>gürültülü tesislerin veya öğelerinin ses emici yapılar ile çevrelenmesi</w:t>
            </w:r>
          </w:p>
        </w:tc>
      </w:tr>
      <w:tr w:rsidR="00374C56" w:rsidRPr="00A467CD" w14:paraId="51B368B1" w14:textId="77777777" w:rsidTr="000E6C87">
        <w:trPr>
          <w:trHeight w:val="227"/>
        </w:trPr>
        <w:tc>
          <w:tcPr>
            <w:tcW w:w="319" w:type="dxa"/>
            <w:tcBorders>
              <w:top w:val="single" w:sz="4" w:space="0" w:color="000000"/>
              <w:left w:val="single" w:sz="4" w:space="0" w:color="000000"/>
              <w:bottom w:val="single" w:sz="4" w:space="0" w:color="000000"/>
              <w:right w:val="single" w:sz="4" w:space="0" w:color="000000"/>
            </w:tcBorders>
            <w:vAlign w:val="center"/>
          </w:tcPr>
          <w:p w14:paraId="725EC484" w14:textId="77777777" w:rsidR="00374C56" w:rsidRPr="009077F5" w:rsidRDefault="00374C56" w:rsidP="00A202FD">
            <w:pPr>
              <w:spacing w:line="264" w:lineRule="auto"/>
              <w:ind w:left="57" w:right="57"/>
              <w:jc w:val="both"/>
              <w:rPr>
                <w:lang w:eastAsia="en-US"/>
              </w:rPr>
            </w:pPr>
            <w:r w:rsidRPr="009077F5">
              <w:rPr>
                <w:lang w:eastAsia="en-US"/>
              </w:rPr>
              <w:t>c</w:t>
            </w:r>
          </w:p>
        </w:tc>
        <w:tc>
          <w:tcPr>
            <w:tcW w:w="8470" w:type="dxa"/>
            <w:tcBorders>
              <w:top w:val="single" w:sz="4" w:space="0" w:color="000000"/>
              <w:left w:val="single" w:sz="4" w:space="0" w:color="000000"/>
              <w:bottom w:val="single" w:sz="4" w:space="0" w:color="000000"/>
              <w:right w:val="single" w:sz="4" w:space="0" w:color="000000"/>
            </w:tcBorders>
          </w:tcPr>
          <w:p w14:paraId="38A5F4F7" w14:textId="77777777" w:rsidR="00374C56" w:rsidRPr="009077F5" w:rsidRDefault="00374C56" w:rsidP="00A202FD">
            <w:pPr>
              <w:spacing w:line="264" w:lineRule="auto"/>
              <w:ind w:left="57" w:right="57"/>
              <w:jc w:val="both"/>
              <w:rPr>
                <w:lang w:eastAsia="en-US"/>
              </w:rPr>
            </w:pPr>
            <w:r w:rsidRPr="009077F5">
              <w:rPr>
                <w:lang w:eastAsia="en-US"/>
              </w:rPr>
              <w:t>Ekipman için titreşim önleyici destekler ve ara bağlantıların kullanılması</w:t>
            </w:r>
          </w:p>
        </w:tc>
      </w:tr>
      <w:tr w:rsidR="00374C56" w:rsidRPr="00A467CD" w14:paraId="0846D036" w14:textId="77777777" w:rsidTr="000E6C87">
        <w:trPr>
          <w:trHeight w:val="227"/>
        </w:trPr>
        <w:tc>
          <w:tcPr>
            <w:tcW w:w="319" w:type="dxa"/>
            <w:tcBorders>
              <w:top w:val="single" w:sz="4" w:space="0" w:color="000000"/>
              <w:left w:val="single" w:sz="4" w:space="0" w:color="000000"/>
              <w:bottom w:val="single" w:sz="4" w:space="0" w:color="000000"/>
              <w:right w:val="single" w:sz="4" w:space="0" w:color="000000"/>
            </w:tcBorders>
            <w:vAlign w:val="center"/>
          </w:tcPr>
          <w:p w14:paraId="6AC43AA5" w14:textId="77777777" w:rsidR="00374C56" w:rsidRPr="009077F5" w:rsidRDefault="00374C56" w:rsidP="00A202FD">
            <w:pPr>
              <w:spacing w:line="264" w:lineRule="auto"/>
              <w:ind w:left="57" w:right="57"/>
              <w:jc w:val="both"/>
              <w:rPr>
                <w:lang w:eastAsia="en-US"/>
              </w:rPr>
            </w:pPr>
            <w:r w:rsidRPr="009077F5">
              <w:rPr>
                <w:lang w:eastAsia="en-US"/>
              </w:rPr>
              <w:t>d</w:t>
            </w:r>
          </w:p>
        </w:tc>
        <w:tc>
          <w:tcPr>
            <w:tcW w:w="8470" w:type="dxa"/>
            <w:tcBorders>
              <w:top w:val="single" w:sz="4" w:space="0" w:color="000000"/>
              <w:left w:val="single" w:sz="4" w:space="0" w:color="000000"/>
              <w:bottom w:val="single" w:sz="4" w:space="0" w:color="000000"/>
              <w:right w:val="single" w:sz="4" w:space="0" w:color="000000"/>
            </w:tcBorders>
          </w:tcPr>
          <w:p w14:paraId="050ABECF" w14:textId="6FA81BE3" w:rsidR="00374C56" w:rsidRPr="009077F5" w:rsidRDefault="00374C56" w:rsidP="00A202FD">
            <w:pPr>
              <w:spacing w:line="264" w:lineRule="auto"/>
              <w:ind w:left="57" w:right="57"/>
              <w:jc w:val="both"/>
              <w:rPr>
                <w:lang w:eastAsia="en-US"/>
              </w:rPr>
            </w:pPr>
            <w:r w:rsidRPr="009077F5">
              <w:rPr>
                <w:lang w:eastAsia="en-US"/>
              </w:rPr>
              <w:t xml:space="preserve">Gürültü yayan makinelerin </w:t>
            </w:r>
            <w:r w:rsidR="00E719EF" w:rsidRPr="009077F5">
              <w:rPr>
                <w:lang w:eastAsia="en-US"/>
              </w:rPr>
              <w:t>yönünü değiştirin</w:t>
            </w:r>
          </w:p>
        </w:tc>
      </w:tr>
      <w:tr w:rsidR="00374C56" w:rsidRPr="00A467CD" w14:paraId="0CDE6C6E" w14:textId="77777777" w:rsidTr="000E6C87">
        <w:trPr>
          <w:trHeight w:val="227"/>
        </w:trPr>
        <w:tc>
          <w:tcPr>
            <w:tcW w:w="319" w:type="dxa"/>
            <w:tcBorders>
              <w:top w:val="single" w:sz="4" w:space="0" w:color="000000"/>
              <w:left w:val="single" w:sz="4" w:space="0" w:color="000000"/>
              <w:bottom w:val="single" w:sz="4" w:space="0" w:color="000000"/>
              <w:right w:val="single" w:sz="4" w:space="0" w:color="000000"/>
            </w:tcBorders>
            <w:vAlign w:val="center"/>
          </w:tcPr>
          <w:p w14:paraId="1FAE6642" w14:textId="77777777" w:rsidR="00374C56" w:rsidRPr="009077F5" w:rsidRDefault="00374C56" w:rsidP="00A202FD">
            <w:pPr>
              <w:spacing w:line="264" w:lineRule="auto"/>
              <w:ind w:left="57" w:right="57"/>
              <w:jc w:val="both"/>
              <w:rPr>
                <w:lang w:eastAsia="en-US"/>
              </w:rPr>
            </w:pPr>
            <w:r w:rsidRPr="009077F5">
              <w:rPr>
                <w:lang w:eastAsia="en-US"/>
              </w:rPr>
              <w:t>e</w:t>
            </w:r>
          </w:p>
        </w:tc>
        <w:tc>
          <w:tcPr>
            <w:tcW w:w="8470" w:type="dxa"/>
            <w:tcBorders>
              <w:top w:val="single" w:sz="4" w:space="0" w:color="000000"/>
              <w:left w:val="single" w:sz="4" w:space="0" w:color="000000"/>
              <w:bottom w:val="single" w:sz="4" w:space="0" w:color="000000"/>
              <w:right w:val="single" w:sz="4" w:space="0" w:color="000000"/>
            </w:tcBorders>
          </w:tcPr>
          <w:p w14:paraId="0095C620" w14:textId="7D32BE0B" w:rsidR="00374C56" w:rsidRPr="009077F5" w:rsidRDefault="00374C56" w:rsidP="00A202FD">
            <w:pPr>
              <w:spacing w:line="264" w:lineRule="auto"/>
              <w:ind w:left="57" w:right="57"/>
              <w:jc w:val="both"/>
              <w:rPr>
                <w:lang w:eastAsia="en-US"/>
              </w:rPr>
            </w:pPr>
            <w:r w:rsidRPr="009077F5">
              <w:rPr>
                <w:lang w:eastAsia="en-US"/>
              </w:rPr>
              <w:t>Ses frekansını değiştir</w:t>
            </w:r>
            <w:r w:rsidR="00E719EF" w:rsidRPr="009077F5">
              <w:rPr>
                <w:lang w:eastAsia="en-US"/>
              </w:rPr>
              <w:t>in</w:t>
            </w:r>
          </w:p>
        </w:tc>
      </w:tr>
    </w:tbl>
    <w:p w14:paraId="2EF0BAC6" w14:textId="77777777" w:rsidR="00374C56" w:rsidRPr="00A467CD" w:rsidRDefault="00374C56" w:rsidP="00A202FD">
      <w:pPr>
        <w:jc w:val="both"/>
        <w:rPr>
          <w:lang w:eastAsia="en-US"/>
        </w:rPr>
      </w:pPr>
    </w:p>
    <w:p w14:paraId="643A1764" w14:textId="6E2C430E" w:rsidR="00374C56" w:rsidRPr="00A467CD" w:rsidRDefault="00E719EF" w:rsidP="00A202FD">
      <w:pPr>
        <w:pStyle w:val="Balk3"/>
        <w:rPr>
          <w:rFonts w:eastAsia="Arial" w:cs="Times New Roman"/>
          <w:lang w:eastAsia="en-US"/>
        </w:rPr>
      </w:pPr>
      <w:bookmarkStart w:id="57" w:name="_Toc531927863"/>
      <w:r w:rsidRPr="00A467CD">
        <w:rPr>
          <w:rFonts w:eastAsia="Arial" w:cs="Times New Roman"/>
          <w:lang w:eastAsia="en-US"/>
        </w:rPr>
        <w:t>1.</w:t>
      </w:r>
      <w:r w:rsidR="00374C56" w:rsidRPr="00A467CD">
        <w:rPr>
          <w:rFonts w:eastAsia="Arial" w:cs="Times New Roman"/>
          <w:lang w:eastAsia="en-US"/>
        </w:rPr>
        <w:t>1.11.</w:t>
      </w:r>
      <w:r w:rsidRPr="00A467CD">
        <w:rPr>
          <w:rFonts w:eastAsia="Arial" w:cs="Times New Roman"/>
          <w:lang w:eastAsia="en-US"/>
        </w:rPr>
        <w:t xml:space="preserve"> </w:t>
      </w:r>
      <w:r w:rsidR="00374C56" w:rsidRPr="00A467CD">
        <w:rPr>
          <w:rFonts w:eastAsia="Arial" w:cs="Times New Roman"/>
          <w:lang w:eastAsia="en-US"/>
        </w:rPr>
        <w:t>Koku</w:t>
      </w:r>
      <w:bookmarkEnd w:id="57"/>
    </w:p>
    <w:p w14:paraId="23A052E3" w14:textId="0B21D595" w:rsidR="00374C56" w:rsidRPr="00A467CD" w:rsidRDefault="00374C56" w:rsidP="00A202FD">
      <w:pPr>
        <w:pStyle w:val="MET"/>
        <w:rPr>
          <w:szCs w:val="24"/>
        </w:rPr>
      </w:pPr>
      <w:r w:rsidRPr="00A467CD">
        <w:rPr>
          <w:szCs w:val="24"/>
        </w:rPr>
        <w:t>MET 19</w:t>
      </w:r>
      <w:r w:rsidR="009F7456" w:rsidRPr="00A467CD">
        <w:rPr>
          <w:szCs w:val="24"/>
        </w:rPr>
        <w:t>:</w:t>
      </w:r>
      <w:r w:rsidR="00E719EF" w:rsidRPr="00A467CD">
        <w:rPr>
          <w:szCs w:val="24"/>
        </w:rPr>
        <w:t xml:space="preserve"> </w:t>
      </w:r>
      <w:r w:rsidRPr="00A467CD">
        <w:rPr>
          <w:b w:val="0"/>
          <w:bCs/>
          <w:szCs w:val="24"/>
        </w:rPr>
        <w:t>Koku emisyonlarını azaltılması için</w:t>
      </w:r>
      <w:r w:rsidR="009F7456" w:rsidRPr="00A467CD">
        <w:rPr>
          <w:b w:val="0"/>
          <w:bCs/>
          <w:szCs w:val="24"/>
        </w:rPr>
        <w:t xml:space="preserve">, </w:t>
      </w:r>
      <w:r w:rsidRPr="00A467CD">
        <w:rPr>
          <w:b w:val="0"/>
          <w:bCs/>
          <w:szCs w:val="24"/>
        </w:rPr>
        <w:t>aşağıda verilen tekniklerin biri ya da birkaçı birlikte kullanıl</w:t>
      </w:r>
      <w:r w:rsidR="009F7456" w:rsidRPr="00A467CD">
        <w:rPr>
          <w:b w:val="0"/>
          <w:bCs/>
          <w:szCs w:val="24"/>
        </w:rPr>
        <w:t>ır.</w:t>
      </w:r>
    </w:p>
    <w:p w14:paraId="6C21957A" w14:textId="77777777" w:rsidR="00E719EF" w:rsidRPr="00A467CD" w:rsidRDefault="00E719EF" w:rsidP="00A202FD">
      <w:pPr>
        <w:pStyle w:val="MET"/>
        <w:rPr>
          <w:szCs w:val="24"/>
        </w:rPr>
      </w:pPr>
    </w:p>
    <w:tbl>
      <w:tblPr>
        <w:tblW w:w="9215" w:type="dxa"/>
        <w:jc w:val="center"/>
        <w:tblLayout w:type="fixed"/>
        <w:tblCellMar>
          <w:left w:w="0" w:type="dxa"/>
          <w:right w:w="0" w:type="dxa"/>
        </w:tblCellMar>
        <w:tblLook w:val="01E0" w:firstRow="1" w:lastRow="1" w:firstColumn="1" w:lastColumn="1" w:noHBand="0" w:noVBand="0"/>
      </w:tblPr>
      <w:tblGrid>
        <w:gridCol w:w="284"/>
        <w:gridCol w:w="4111"/>
        <w:gridCol w:w="4820"/>
      </w:tblGrid>
      <w:tr w:rsidR="00374C56" w:rsidRPr="00A467CD" w14:paraId="054DC4B0" w14:textId="77777777" w:rsidTr="00E719EF">
        <w:trPr>
          <w:trHeight w:val="340"/>
          <w:jc w:val="center"/>
        </w:trPr>
        <w:tc>
          <w:tcPr>
            <w:tcW w:w="4395" w:type="dxa"/>
            <w:gridSpan w:val="2"/>
            <w:tcBorders>
              <w:top w:val="single" w:sz="4" w:space="0" w:color="000000"/>
              <w:left w:val="single" w:sz="4" w:space="0" w:color="000000"/>
              <w:bottom w:val="single" w:sz="4" w:space="0" w:color="000000"/>
              <w:right w:val="single" w:sz="4" w:space="0" w:color="000000"/>
            </w:tcBorders>
            <w:vAlign w:val="center"/>
          </w:tcPr>
          <w:p w14:paraId="58989618" w14:textId="77777777" w:rsidR="00374C56" w:rsidRPr="009077F5" w:rsidRDefault="00374C56" w:rsidP="00A202FD">
            <w:pPr>
              <w:ind w:left="57" w:right="57"/>
              <w:jc w:val="both"/>
              <w:rPr>
                <w:lang w:eastAsia="en-US"/>
              </w:rPr>
            </w:pPr>
            <w:r w:rsidRPr="009077F5">
              <w:rPr>
                <w:b/>
                <w:bCs/>
                <w:lang w:eastAsia="en-US"/>
              </w:rPr>
              <w:t>Teknik</w:t>
            </w:r>
          </w:p>
        </w:tc>
        <w:tc>
          <w:tcPr>
            <w:tcW w:w="4820" w:type="dxa"/>
            <w:tcBorders>
              <w:top w:val="single" w:sz="4" w:space="0" w:color="000000"/>
              <w:left w:val="single" w:sz="4" w:space="0" w:color="000000"/>
              <w:bottom w:val="single" w:sz="4" w:space="0" w:color="000000"/>
              <w:right w:val="single" w:sz="4" w:space="0" w:color="000000"/>
            </w:tcBorders>
            <w:vAlign w:val="center"/>
          </w:tcPr>
          <w:p w14:paraId="70C3096E" w14:textId="77777777" w:rsidR="00374C56" w:rsidRPr="009077F5" w:rsidRDefault="00374C56" w:rsidP="00A202FD">
            <w:pPr>
              <w:ind w:left="57" w:right="57"/>
              <w:jc w:val="both"/>
              <w:rPr>
                <w:lang w:eastAsia="en-US"/>
              </w:rPr>
            </w:pPr>
            <w:r w:rsidRPr="009077F5">
              <w:rPr>
                <w:b/>
                <w:bCs/>
                <w:lang w:eastAsia="en-US"/>
              </w:rPr>
              <w:t>Uygulanabilirlik</w:t>
            </w:r>
          </w:p>
        </w:tc>
      </w:tr>
      <w:tr w:rsidR="00374C56" w:rsidRPr="00A467CD" w14:paraId="25E712BD" w14:textId="77777777" w:rsidTr="00E719EF">
        <w:trPr>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137F5401" w14:textId="77777777" w:rsidR="00374C56" w:rsidRPr="009077F5" w:rsidRDefault="00374C56" w:rsidP="00A202FD">
            <w:pPr>
              <w:ind w:left="57" w:right="57"/>
              <w:jc w:val="both"/>
              <w:rPr>
                <w:lang w:eastAsia="en-US"/>
              </w:rPr>
            </w:pPr>
            <w:r w:rsidRPr="009077F5">
              <w:rPr>
                <w:lang w:eastAsia="en-US"/>
              </w:rPr>
              <w:t>a</w:t>
            </w:r>
          </w:p>
        </w:tc>
        <w:tc>
          <w:tcPr>
            <w:tcW w:w="4111" w:type="dxa"/>
            <w:tcBorders>
              <w:top w:val="single" w:sz="4" w:space="0" w:color="000000"/>
              <w:left w:val="single" w:sz="4" w:space="0" w:color="000000"/>
              <w:bottom w:val="single" w:sz="4" w:space="0" w:color="000000"/>
              <w:right w:val="single" w:sz="4" w:space="0" w:color="000000"/>
            </w:tcBorders>
            <w:vAlign w:val="center"/>
          </w:tcPr>
          <w:p w14:paraId="16C66975" w14:textId="77777777" w:rsidR="00374C56" w:rsidRPr="009077F5" w:rsidRDefault="00374C56" w:rsidP="00A202FD">
            <w:pPr>
              <w:ind w:left="57" w:right="57"/>
              <w:jc w:val="both"/>
              <w:rPr>
                <w:lang w:eastAsia="en-US"/>
              </w:rPr>
            </w:pPr>
            <w:r w:rsidRPr="009077F5">
              <w:rPr>
                <w:lang w:eastAsia="en-US"/>
              </w:rPr>
              <w:t>Kokulu malzemelerin uygun şekilde depolanması ve taşınması</w:t>
            </w:r>
          </w:p>
        </w:tc>
        <w:tc>
          <w:tcPr>
            <w:tcW w:w="4820" w:type="dxa"/>
            <w:tcBorders>
              <w:top w:val="single" w:sz="4" w:space="0" w:color="000000"/>
              <w:left w:val="single" w:sz="4" w:space="0" w:color="000000"/>
              <w:bottom w:val="single" w:sz="4" w:space="0" w:color="000000"/>
              <w:right w:val="single" w:sz="4" w:space="0" w:color="000000"/>
            </w:tcBorders>
            <w:vAlign w:val="center"/>
          </w:tcPr>
          <w:p w14:paraId="54C85EBB" w14:textId="77777777" w:rsidR="00374C56" w:rsidRPr="009077F5" w:rsidRDefault="00374C56" w:rsidP="00A202FD">
            <w:pPr>
              <w:ind w:left="57" w:right="57"/>
              <w:jc w:val="both"/>
              <w:rPr>
                <w:lang w:eastAsia="en-US"/>
              </w:rPr>
            </w:pPr>
            <w:r w:rsidRPr="009077F5">
              <w:rPr>
                <w:lang w:eastAsia="en-US"/>
              </w:rPr>
              <w:t>Genellikle uygulanabilir</w:t>
            </w:r>
          </w:p>
        </w:tc>
      </w:tr>
      <w:tr w:rsidR="00374C56" w:rsidRPr="00A467CD" w14:paraId="2BB43A2F" w14:textId="77777777" w:rsidTr="00E719EF">
        <w:trPr>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2CC6983B" w14:textId="77777777" w:rsidR="00374C56" w:rsidRPr="009077F5" w:rsidRDefault="00374C56" w:rsidP="00A202FD">
            <w:pPr>
              <w:ind w:left="57" w:right="57"/>
              <w:jc w:val="both"/>
              <w:rPr>
                <w:lang w:eastAsia="en-US"/>
              </w:rPr>
            </w:pPr>
            <w:r w:rsidRPr="009077F5">
              <w:rPr>
                <w:lang w:eastAsia="en-US"/>
              </w:rPr>
              <w:t>b</w:t>
            </w:r>
          </w:p>
        </w:tc>
        <w:tc>
          <w:tcPr>
            <w:tcW w:w="4111" w:type="dxa"/>
            <w:tcBorders>
              <w:top w:val="single" w:sz="4" w:space="0" w:color="000000"/>
              <w:left w:val="single" w:sz="4" w:space="0" w:color="000000"/>
              <w:bottom w:val="single" w:sz="4" w:space="0" w:color="000000"/>
              <w:right w:val="single" w:sz="4" w:space="0" w:color="000000"/>
            </w:tcBorders>
            <w:vAlign w:val="center"/>
          </w:tcPr>
          <w:p w14:paraId="59CAD26B" w14:textId="77777777" w:rsidR="00374C56" w:rsidRPr="009077F5" w:rsidRDefault="00374C56" w:rsidP="00A202FD">
            <w:pPr>
              <w:ind w:left="57" w:right="57"/>
              <w:jc w:val="both"/>
              <w:rPr>
                <w:lang w:eastAsia="en-US"/>
              </w:rPr>
            </w:pPr>
            <w:r w:rsidRPr="009077F5">
              <w:rPr>
                <w:lang w:eastAsia="en-US"/>
              </w:rPr>
              <w:t>Kokulu malzemelerin kullanımını en aza indirilmesi</w:t>
            </w:r>
          </w:p>
        </w:tc>
        <w:tc>
          <w:tcPr>
            <w:tcW w:w="4820" w:type="dxa"/>
            <w:tcBorders>
              <w:top w:val="single" w:sz="4" w:space="0" w:color="000000"/>
              <w:left w:val="single" w:sz="4" w:space="0" w:color="000000"/>
              <w:bottom w:val="single" w:sz="4" w:space="0" w:color="000000"/>
              <w:right w:val="single" w:sz="4" w:space="0" w:color="000000"/>
            </w:tcBorders>
            <w:vAlign w:val="center"/>
          </w:tcPr>
          <w:p w14:paraId="54F73B8C" w14:textId="77777777" w:rsidR="00374C56" w:rsidRPr="009077F5" w:rsidRDefault="00374C56" w:rsidP="00A202FD">
            <w:pPr>
              <w:ind w:left="57" w:right="57"/>
              <w:jc w:val="both"/>
              <w:rPr>
                <w:lang w:eastAsia="en-US"/>
              </w:rPr>
            </w:pPr>
            <w:r w:rsidRPr="009077F5">
              <w:rPr>
                <w:lang w:eastAsia="en-US"/>
              </w:rPr>
              <w:t>Genellikle uygulanabilir</w:t>
            </w:r>
          </w:p>
        </w:tc>
      </w:tr>
      <w:tr w:rsidR="00374C56" w:rsidRPr="00A467CD" w14:paraId="40E4E49A" w14:textId="77777777" w:rsidTr="00E719EF">
        <w:trPr>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08F7534E" w14:textId="77777777" w:rsidR="00374C56" w:rsidRPr="009077F5" w:rsidRDefault="00374C56" w:rsidP="00A202FD">
            <w:pPr>
              <w:ind w:left="57" w:right="57"/>
              <w:jc w:val="both"/>
              <w:rPr>
                <w:lang w:eastAsia="en-US"/>
              </w:rPr>
            </w:pPr>
            <w:r w:rsidRPr="009077F5">
              <w:rPr>
                <w:lang w:eastAsia="en-US"/>
              </w:rPr>
              <w:t>c</w:t>
            </w:r>
          </w:p>
        </w:tc>
        <w:tc>
          <w:tcPr>
            <w:tcW w:w="4111" w:type="dxa"/>
            <w:tcBorders>
              <w:top w:val="single" w:sz="4" w:space="0" w:color="000000"/>
              <w:left w:val="single" w:sz="4" w:space="0" w:color="000000"/>
              <w:bottom w:val="single" w:sz="4" w:space="0" w:color="000000"/>
              <w:right w:val="single" w:sz="4" w:space="0" w:color="000000"/>
            </w:tcBorders>
            <w:vAlign w:val="center"/>
          </w:tcPr>
          <w:p w14:paraId="13439C59" w14:textId="77777777" w:rsidR="00374C56" w:rsidRPr="009077F5" w:rsidRDefault="00374C56" w:rsidP="00A202FD">
            <w:pPr>
              <w:ind w:left="57" w:right="57"/>
              <w:jc w:val="both"/>
              <w:rPr>
                <w:lang w:eastAsia="en-US"/>
              </w:rPr>
            </w:pPr>
            <w:r w:rsidRPr="009077F5">
              <w:rPr>
                <w:lang w:eastAsia="en-US"/>
              </w:rPr>
              <w:t>Koku emisyonları oluşturabilecek tüm ekipmanların tasarımı, çalışması ve bakımının titizlikle yapılması</w:t>
            </w:r>
          </w:p>
        </w:tc>
        <w:tc>
          <w:tcPr>
            <w:tcW w:w="4820" w:type="dxa"/>
            <w:tcBorders>
              <w:top w:val="single" w:sz="4" w:space="0" w:color="000000"/>
              <w:left w:val="single" w:sz="4" w:space="0" w:color="000000"/>
              <w:bottom w:val="single" w:sz="4" w:space="0" w:color="000000"/>
              <w:right w:val="single" w:sz="4" w:space="0" w:color="000000"/>
            </w:tcBorders>
            <w:vAlign w:val="center"/>
          </w:tcPr>
          <w:p w14:paraId="23D1C0F9" w14:textId="77777777" w:rsidR="00374C56" w:rsidRPr="009077F5" w:rsidRDefault="00374C56" w:rsidP="00A202FD">
            <w:pPr>
              <w:ind w:left="57" w:right="57"/>
              <w:jc w:val="both"/>
              <w:rPr>
                <w:lang w:eastAsia="en-US"/>
              </w:rPr>
            </w:pPr>
            <w:r w:rsidRPr="009077F5">
              <w:rPr>
                <w:lang w:eastAsia="en-US"/>
              </w:rPr>
              <w:t>Genellikle uygulanabilir</w:t>
            </w:r>
          </w:p>
        </w:tc>
      </w:tr>
      <w:tr w:rsidR="00374C56" w:rsidRPr="00A467CD" w14:paraId="1AA4D07A" w14:textId="77777777" w:rsidTr="00E719EF">
        <w:trPr>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58572EDB" w14:textId="77777777" w:rsidR="00374C56" w:rsidRPr="009077F5" w:rsidRDefault="00374C56" w:rsidP="00A202FD">
            <w:pPr>
              <w:ind w:left="57" w:right="57"/>
              <w:jc w:val="both"/>
              <w:rPr>
                <w:lang w:eastAsia="en-US"/>
              </w:rPr>
            </w:pPr>
            <w:r w:rsidRPr="009077F5">
              <w:rPr>
                <w:lang w:eastAsia="en-US"/>
              </w:rPr>
              <w:t>d</w:t>
            </w:r>
          </w:p>
        </w:tc>
        <w:tc>
          <w:tcPr>
            <w:tcW w:w="4111" w:type="dxa"/>
            <w:tcBorders>
              <w:top w:val="single" w:sz="4" w:space="0" w:color="000000"/>
              <w:left w:val="single" w:sz="4" w:space="0" w:color="000000"/>
              <w:bottom w:val="single" w:sz="4" w:space="0" w:color="000000"/>
              <w:right w:val="single" w:sz="4" w:space="0" w:color="000000"/>
            </w:tcBorders>
            <w:vAlign w:val="center"/>
          </w:tcPr>
          <w:p w14:paraId="23AD5FAD" w14:textId="77777777" w:rsidR="00374C56" w:rsidRPr="009077F5" w:rsidRDefault="00374C56" w:rsidP="00A202FD">
            <w:pPr>
              <w:ind w:left="57" w:right="57"/>
              <w:jc w:val="both"/>
              <w:rPr>
                <w:lang w:eastAsia="en-US"/>
              </w:rPr>
            </w:pPr>
            <w:r w:rsidRPr="009077F5">
              <w:rPr>
                <w:lang w:eastAsia="en-US"/>
              </w:rPr>
              <w:t>Art-yakıcı veya filtrasyon tekniklerinin (biyofiltreler dahil olmak üzere) kullanılması</w:t>
            </w:r>
          </w:p>
        </w:tc>
        <w:tc>
          <w:tcPr>
            <w:tcW w:w="4820" w:type="dxa"/>
            <w:tcBorders>
              <w:top w:val="single" w:sz="4" w:space="0" w:color="000000"/>
              <w:left w:val="single" w:sz="4" w:space="0" w:color="000000"/>
              <w:bottom w:val="single" w:sz="4" w:space="0" w:color="000000"/>
              <w:right w:val="single" w:sz="4" w:space="0" w:color="000000"/>
            </w:tcBorders>
            <w:vAlign w:val="center"/>
          </w:tcPr>
          <w:p w14:paraId="4D3C3AB3" w14:textId="29744E83" w:rsidR="00374C56" w:rsidRPr="009077F5" w:rsidRDefault="00374C56" w:rsidP="00A202FD">
            <w:pPr>
              <w:ind w:left="57" w:right="57"/>
              <w:jc w:val="both"/>
              <w:rPr>
                <w:lang w:eastAsia="en-US"/>
              </w:rPr>
            </w:pPr>
            <w:r w:rsidRPr="009077F5">
              <w:rPr>
                <w:lang w:eastAsia="en-US"/>
              </w:rPr>
              <w:t>Sadece sınırlı durumlarda uygulanabilir (</w:t>
            </w:r>
            <w:r w:rsidRPr="009077F5">
              <w:rPr>
                <w:i/>
                <w:lang w:eastAsia="en-US"/>
              </w:rPr>
              <w:t>örn</w:t>
            </w:r>
            <w:r w:rsidRPr="009077F5">
              <w:rPr>
                <w:lang w:eastAsia="en-US"/>
              </w:rPr>
              <w:t>. karbon ve grafit sektöründe özel üretim sırasındaki em</w:t>
            </w:r>
            <w:r w:rsidR="00E719EF" w:rsidRPr="009077F5">
              <w:rPr>
                <w:lang w:eastAsia="en-US"/>
              </w:rPr>
              <w:t>prenye</w:t>
            </w:r>
            <w:r w:rsidRPr="009077F5">
              <w:rPr>
                <w:lang w:eastAsia="en-US"/>
              </w:rPr>
              <w:t xml:space="preserve"> aşamasında)</w:t>
            </w:r>
          </w:p>
        </w:tc>
      </w:tr>
    </w:tbl>
    <w:p w14:paraId="3FDE9DEE" w14:textId="77777777" w:rsidR="00374C56" w:rsidRPr="00D53A2B" w:rsidRDefault="00374C56" w:rsidP="00A202FD">
      <w:pPr>
        <w:spacing w:after="240"/>
        <w:jc w:val="both"/>
        <w:rPr>
          <w:lang w:eastAsia="en-US"/>
        </w:rPr>
      </w:pPr>
    </w:p>
    <w:p w14:paraId="508A0596" w14:textId="202087CC" w:rsidR="00374C56" w:rsidRPr="00D53A2B" w:rsidRDefault="00E719EF" w:rsidP="00A202FD">
      <w:pPr>
        <w:pStyle w:val="Balk2"/>
        <w:rPr>
          <w:rFonts w:eastAsia="Arial" w:cs="Times New Roman"/>
          <w:szCs w:val="24"/>
          <w:lang w:eastAsia="en-US"/>
        </w:rPr>
      </w:pPr>
      <w:r w:rsidRPr="00D53A2B">
        <w:rPr>
          <w:rFonts w:eastAsia="Arial" w:cs="Times New Roman"/>
          <w:szCs w:val="24"/>
          <w:lang w:val="en-US" w:eastAsia="en-US"/>
        </w:rPr>
        <w:t>1.</w:t>
      </w:r>
      <w:r w:rsidR="006D729B" w:rsidRPr="00D53A2B">
        <w:rPr>
          <w:rFonts w:eastAsia="Arial" w:cs="Times New Roman"/>
          <w:szCs w:val="24"/>
          <w:lang w:val="en-US" w:eastAsia="en-US"/>
        </w:rPr>
        <w:t xml:space="preserve">2. </w:t>
      </w:r>
      <w:r w:rsidR="00374C56" w:rsidRPr="00D53A2B">
        <w:rPr>
          <w:rFonts w:eastAsia="Arial" w:cs="Times New Roman"/>
          <w:szCs w:val="24"/>
          <w:lang w:val="en-US" w:eastAsia="en-US"/>
        </w:rPr>
        <w:t>B</w:t>
      </w:r>
      <w:r w:rsidRPr="00D53A2B">
        <w:rPr>
          <w:rFonts w:eastAsia="Arial" w:cs="Times New Roman"/>
          <w:szCs w:val="24"/>
          <w:lang w:val="en-US" w:eastAsia="en-US"/>
        </w:rPr>
        <w:t>akır üretimi için MET sonuçları</w:t>
      </w:r>
    </w:p>
    <w:p w14:paraId="5A0527A7" w14:textId="002CCADC" w:rsidR="00374C56" w:rsidRPr="00D53A2B" w:rsidRDefault="00E719EF" w:rsidP="00A202FD">
      <w:pPr>
        <w:pStyle w:val="Balk3"/>
        <w:rPr>
          <w:rFonts w:cs="Times New Roman"/>
          <w:lang w:eastAsia="en-US"/>
        </w:rPr>
      </w:pPr>
      <w:bookmarkStart w:id="58" w:name="_Toc531927865"/>
      <w:r w:rsidRPr="00D53A2B">
        <w:rPr>
          <w:rFonts w:cs="Times New Roman"/>
          <w:lang w:eastAsia="en-US"/>
        </w:rPr>
        <w:t>1.</w:t>
      </w:r>
      <w:r w:rsidR="00374C56" w:rsidRPr="00D53A2B">
        <w:rPr>
          <w:rFonts w:cs="Times New Roman"/>
          <w:lang w:eastAsia="en-US"/>
        </w:rPr>
        <w:t>2.1.</w:t>
      </w:r>
      <w:r w:rsidR="00374C56" w:rsidRPr="00D53A2B">
        <w:rPr>
          <w:rFonts w:cs="Times New Roman"/>
          <w:lang w:eastAsia="en-US"/>
        </w:rPr>
        <w:tab/>
        <w:t>İkincil Malzemeler</w:t>
      </w:r>
      <w:bookmarkEnd w:id="58"/>
    </w:p>
    <w:p w14:paraId="12CF1B8B" w14:textId="4D2284EF" w:rsidR="00374C56" w:rsidRPr="00BF4451" w:rsidRDefault="00374C56" w:rsidP="00A202FD">
      <w:pPr>
        <w:pStyle w:val="MET"/>
        <w:rPr>
          <w:szCs w:val="24"/>
        </w:rPr>
      </w:pPr>
      <w:r w:rsidRPr="00A467CD">
        <w:rPr>
          <w:szCs w:val="24"/>
        </w:rPr>
        <w:t>MET 20</w:t>
      </w:r>
      <w:r w:rsidR="009F7456" w:rsidRPr="00A467CD">
        <w:rPr>
          <w:szCs w:val="24"/>
        </w:rPr>
        <w:t xml:space="preserve">: </w:t>
      </w:r>
      <w:r w:rsidR="00E719EF" w:rsidRPr="00404A26">
        <w:rPr>
          <w:b w:val="0"/>
          <w:bCs/>
          <w:szCs w:val="24"/>
        </w:rPr>
        <w:t xml:space="preserve">Hurdadan ikincil malzeme geri kazanım verimini arttırmak için aşağıda verilen tekniklerden birini veya bir kombinasyonunu kullanarak metalik olmayan </w:t>
      </w:r>
      <w:r w:rsidR="00E719EF" w:rsidRPr="00E73DA3">
        <w:rPr>
          <w:b w:val="0"/>
          <w:bCs/>
          <w:szCs w:val="24"/>
        </w:rPr>
        <w:t>bileşenler ve bakır dışındaki metaller ayır</w:t>
      </w:r>
      <w:r w:rsidR="00037693" w:rsidRPr="00BF4451">
        <w:rPr>
          <w:b w:val="0"/>
          <w:bCs/>
          <w:szCs w:val="24"/>
        </w:rPr>
        <w:t>ılır</w:t>
      </w:r>
      <w:r w:rsidR="00E719EF" w:rsidRPr="00BF4451">
        <w:rPr>
          <w:b w:val="0"/>
          <w:bCs/>
          <w:szCs w:val="24"/>
        </w:rPr>
        <w:t>.</w:t>
      </w:r>
    </w:p>
    <w:p w14:paraId="42F09C5E" w14:textId="77777777" w:rsidR="00E719EF" w:rsidRPr="00BF4451" w:rsidRDefault="00E719EF" w:rsidP="00A202FD">
      <w:pPr>
        <w:pStyle w:val="MET"/>
        <w:rPr>
          <w:szCs w:val="24"/>
        </w:rPr>
      </w:pPr>
    </w:p>
    <w:tbl>
      <w:tblPr>
        <w:tblW w:w="8926" w:type="dxa"/>
        <w:tblLayout w:type="fixed"/>
        <w:tblCellMar>
          <w:left w:w="0" w:type="dxa"/>
          <w:right w:w="0" w:type="dxa"/>
        </w:tblCellMar>
        <w:tblLook w:val="01E0" w:firstRow="1" w:lastRow="1" w:firstColumn="1" w:lastColumn="1" w:noHBand="0" w:noVBand="0"/>
      </w:tblPr>
      <w:tblGrid>
        <w:gridCol w:w="437"/>
        <w:gridCol w:w="8489"/>
      </w:tblGrid>
      <w:tr w:rsidR="00374C56" w:rsidRPr="00A467CD" w14:paraId="4B271088" w14:textId="77777777" w:rsidTr="000E6C87">
        <w:trPr>
          <w:trHeight w:val="340"/>
        </w:trPr>
        <w:tc>
          <w:tcPr>
            <w:tcW w:w="437" w:type="dxa"/>
            <w:tcBorders>
              <w:top w:val="single" w:sz="4" w:space="0" w:color="000000"/>
              <w:left w:val="single" w:sz="4" w:space="0" w:color="000000"/>
              <w:bottom w:val="single" w:sz="4" w:space="0" w:color="000000"/>
              <w:right w:val="single" w:sz="4" w:space="0" w:color="000000"/>
            </w:tcBorders>
            <w:vAlign w:val="center"/>
          </w:tcPr>
          <w:p w14:paraId="2E607039" w14:textId="77777777" w:rsidR="00374C56" w:rsidRPr="009077F5" w:rsidRDefault="00374C56" w:rsidP="00A202FD">
            <w:pPr>
              <w:spacing w:line="264" w:lineRule="auto"/>
              <w:ind w:left="57" w:right="57"/>
              <w:jc w:val="both"/>
              <w:rPr>
                <w:lang w:eastAsia="en-US"/>
              </w:rPr>
            </w:pPr>
          </w:p>
        </w:tc>
        <w:tc>
          <w:tcPr>
            <w:tcW w:w="8489" w:type="dxa"/>
            <w:tcBorders>
              <w:top w:val="single" w:sz="4" w:space="0" w:color="000000"/>
              <w:left w:val="single" w:sz="4" w:space="0" w:color="000000"/>
              <w:bottom w:val="single" w:sz="4" w:space="0" w:color="000000"/>
              <w:right w:val="single" w:sz="4" w:space="0" w:color="000000"/>
            </w:tcBorders>
            <w:vAlign w:val="center"/>
          </w:tcPr>
          <w:p w14:paraId="44BE148C" w14:textId="77777777" w:rsidR="00374C56" w:rsidRPr="009077F5" w:rsidRDefault="00374C56" w:rsidP="00A202FD">
            <w:pPr>
              <w:spacing w:line="264" w:lineRule="auto"/>
              <w:ind w:left="57" w:right="57"/>
              <w:jc w:val="both"/>
              <w:rPr>
                <w:lang w:eastAsia="en-US"/>
              </w:rPr>
            </w:pPr>
            <w:r w:rsidRPr="009077F5">
              <w:rPr>
                <w:b/>
                <w:bCs/>
                <w:lang w:eastAsia="en-US"/>
              </w:rPr>
              <w:t>Teknik</w:t>
            </w:r>
          </w:p>
        </w:tc>
      </w:tr>
      <w:tr w:rsidR="00374C56" w:rsidRPr="00A467CD" w14:paraId="314768FF" w14:textId="77777777" w:rsidTr="000E6C87">
        <w:tc>
          <w:tcPr>
            <w:tcW w:w="437" w:type="dxa"/>
            <w:tcBorders>
              <w:top w:val="single" w:sz="4" w:space="0" w:color="000000"/>
              <w:left w:val="single" w:sz="4" w:space="0" w:color="000000"/>
              <w:bottom w:val="single" w:sz="4" w:space="0" w:color="000000"/>
              <w:right w:val="single" w:sz="4" w:space="0" w:color="000000"/>
            </w:tcBorders>
            <w:vAlign w:val="center"/>
          </w:tcPr>
          <w:p w14:paraId="34B20ACC" w14:textId="77777777" w:rsidR="00374C56" w:rsidRPr="009077F5" w:rsidRDefault="00374C56" w:rsidP="00A202FD">
            <w:pPr>
              <w:spacing w:line="264" w:lineRule="auto"/>
              <w:ind w:left="57" w:right="57"/>
              <w:jc w:val="both"/>
              <w:rPr>
                <w:lang w:eastAsia="en-US"/>
              </w:rPr>
            </w:pPr>
            <w:r w:rsidRPr="009077F5">
              <w:rPr>
                <w:lang w:eastAsia="en-US"/>
              </w:rPr>
              <w:t>a</w:t>
            </w:r>
          </w:p>
        </w:tc>
        <w:tc>
          <w:tcPr>
            <w:tcW w:w="8489" w:type="dxa"/>
            <w:tcBorders>
              <w:top w:val="single" w:sz="4" w:space="0" w:color="000000"/>
              <w:left w:val="single" w:sz="4" w:space="0" w:color="000000"/>
              <w:bottom w:val="single" w:sz="4" w:space="0" w:color="000000"/>
              <w:right w:val="single" w:sz="4" w:space="0" w:color="000000"/>
            </w:tcBorders>
          </w:tcPr>
          <w:p w14:paraId="2D550256" w14:textId="6C1DC570" w:rsidR="00374C56" w:rsidRPr="009077F5" w:rsidRDefault="00E719EF" w:rsidP="00A202FD">
            <w:pPr>
              <w:spacing w:line="264" w:lineRule="auto"/>
              <w:ind w:left="57" w:right="57"/>
              <w:jc w:val="both"/>
              <w:rPr>
                <w:lang w:eastAsia="en-US"/>
              </w:rPr>
            </w:pPr>
            <w:r w:rsidRPr="009077F5">
              <w:rPr>
                <w:lang w:eastAsia="en-US"/>
              </w:rPr>
              <w:t>Büyük görünür bileşenlerin manuel olarak ayrılması</w:t>
            </w:r>
          </w:p>
        </w:tc>
      </w:tr>
      <w:tr w:rsidR="00374C56" w:rsidRPr="00A467CD" w14:paraId="57DF10E4" w14:textId="77777777" w:rsidTr="000E6C87">
        <w:tc>
          <w:tcPr>
            <w:tcW w:w="437" w:type="dxa"/>
            <w:tcBorders>
              <w:top w:val="single" w:sz="4" w:space="0" w:color="000000"/>
              <w:left w:val="single" w:sz="4" w:space="0" w:color="000000"/>
              <w:bottom w:val="single" w:sz="4" w:space="0" w:color="000000"/>
              <w:right w:val="single" w:sz="4" w:space="0" w:color="000000"/>
            </w:tcBorders>
            <w:vAlign w:val="center"/>
          </w:tcPr>
          <w:p w14:paraId="1B93CA9E" w14:textId="77777777" w:rsidR="00374C56" w:rsidRPr="009077F5" w:rsidRDefault="00374C56" w:rsidP="00A202FD">
            <w:pPr>
              <w:spacing w:line="264" w:lineRule="auto"/>
              <w:ind w:left="57" w:right="57"/>
              <w:jc w:val="both"/>
              <w:rPr>
                <w:lang w:eastAsia="en-US"/>
              </w:rPr>
            </w:pPr>
            <w:r w:rsidRPr="009077F5">
              <w:rPr>
                <w:lang w:eastAsia="en-US"/>
              </w:rPr>
              <w:t>b</w:t>
            </w:r>
          </w:p>
        </w:tc>
        <w:tc>
          <w:tcPr>
            <w:tcW w:w="8489" w:type="dxa"/>
            <w:tcBorders>
              <w:top w:val="single" w:sz="4" w:space="0" w:color="000000"/>
              <w:left w:val="single" w:sz="4" w:space="0" w:color="000000"/>
              <w:bottom w:val="single" w:sz="4" w:space="0" w:color="000000"/>
              <w:right w:val="single" w:sz="4" w:space="0" w:color="000000"/>
            </w:tcBorders>
          </w:tcPr>
          <w:p w14:paraId="0FD0C9EC" w14:textId="588A69BF" w:rsidR="00374C56" w:rsidRPr="009077F5" w:rsidRDefault="00E719EF" w:rsidP="00A202FD">
            <w:pPr>
              <w:spacing w:line="264" w:lineRule="auto"/>
              <w:ind w:left="57" w:right="57"/>
              <w:jc w:val="both"/>
              <w:rPr>
                <w:lang w:eastAsia="en-US"/>
              </w:rPr>
            </w:pPr>
            <w:r w:rsidRPr="009077F5">
              <w:rPr>
                <w:lang w:eastAsia="en-US"/>
              </w:rPr>
              <w:t>Demir içeren metallerin manyetik ayrıştırılması</w:t>
            </w:r>
          </w:p>
        </w:tc>
      </w:tr>
      <w:tr w:rsidR="00374C56" w:rsidRPr="00A467CD" w14:paraId="433A9C42" w14:textId="77777777" w:rsidTr="000E6C87">
        <w:tc>
          <w:tcPr>
            <w:tcW w:w="437" w:type="dxa"/>
            <w:tcBorders>
              <w:top w:val="single" w:sz="4" w:space="0" w:color="000000"/>
              <w:left w:val="single" w:sz="4" w:space="0" w:color="000000"/>
              <w:bottom w:val="single" w:sz="4" w:space="0" w:color="000000"/>
              <w:right w:val="single" w:sz="4" w:space="0" w:color="000000"/>
            </w:tcBorders>
            <w:vAlign w:val="center"/>
          </w:tcPr>
          <w:p w14:paraId="2397D079" w14:textId="77777777" w:rsidR="00374C56" w:rsidRPr="009077F5" w:rsidRDefault="00374C56" w:rsidP="00A202FD">
            <w:pPr>
              <w:spacing w:line="264" w:lineRule="auto"/>
              <w:ind w:left="57" w:right="57"/>
              <w:jc w:val="both"/>
              <w:rPr>
                <w:lang w:eastAsia="en-US"/>
              </w:rPr>
            </w:pPr>
            <w:r w:rsidRPr="009077F5">
              <w:rPr>
                <w:lang w:eastAsia="en-US"/>
              </w:rPr>
              <w:t>c</w:t>
            </w:r>
          </w:p>
        </w:tc>
        <w:tc>
          <w:tcPr>
            <w:tcW w:w="8489" w:type="dxa"/>
            <w:tcBorders>
              <w:top w:val="single" w:sz="4" w:space="0" w:color="000000"/>
              <w:left w:val="single" w:sz="4" w:space="0" w:color="000000"/>
              <w:bottom w:val="single" w:sz="4" w:space="0" w:color="000000"/>
              <w:right w:val="single" w:sz="4" w:space="0" w:color="000000"/>
            </w:tcBorders>
          </w:tcPr>
          <w:p w14:paraId="12257D0A" w14:textId="2AAB7A58" w:rsidR="00374C56" w:rsidRPr="009077F5" w:rsidRDefault="00374C56" w:rsidP="00A202FD">
            <w:pPr>
              <w:spacing w:line="264" w:lineRule="auto"/>
              <w:ind w:left="57" w:right="57"/>
              <w:jc w:val="both"/>
              <w:rPr>
                <w:lang w:eastAsia="en-US"/>
              </w:rPr>
            </w:pPr>
            <w:r w:rsidRPr="009077F5">
              <w:rPr>
                <w:lang w:eastAsia="en-US"/>
              </w:rPr>
              <w:t xml:space="preserve">Alüminyumun optik teknikler veya </w:t>
            </w:r>
            <w:r w:rsidR="00E719EF" w:rsidRPr="009077F5">
              <w:rPr>
                <w:lang w:eastAsia="en-US"/>
              </w:rPr>
              <w:t xml:space="preserve">Eddy </w:t>
            </w:r>
            <w:r w:rsidRPr="009077F5">
              <w:rPr>
                <w:lang w:eastAsia="en-US"/>
              </w:rPr>
              <w:t>akımı ile ayrılması</w:t>
            </w:r>
          </w:p>
        </w:tc>
      </w:tr>
      <w:tr w:rsidR="00374C56" w:rsidRPr="00A467CD" w14:paraId="71F4C88D" w14:textId="77777777" w:rsidTr="000E6C87">
        <w:tc>
          <w:tcPr>
            <w:tcW w:w="437" w:type="dxa"/>
            <w:tcBorders>
              <w:top w:val="single" w:sz="4" w:space="0" w:color="000000"/>
              <w:left w:val="single" w:sz="4" w:space="0" w:color="000000"/>
              <w:bottom w:val="single" w:sz="4" w:space="0" w:color="000000"/>
              <w:right w:val="single" w:sz="4" w:space="0" w:color="000000"/>
            </w:tcBorders>
            <w:vAlign w:val="center"/>
          </w:tcPr>
          <w:p w14:paraId="3A896F96" w14:textId="77777777" w:rsidR="00374C56" w:rsidRPr="009077F5" w:rsidRDefault="00374C56" w:rsidP="00A202FD">
            <w:pPr>
              <w:spacing w:line="264" w:lineRule="auto"/>
              <w:ind w:left="57" w:right="57"/>
              <w:jc w:val="both"/>
              <w:rPr>
                <w:lang w:eastAsia="en-US"/>
              </w:rPr>
            </w:pPr>
            <w:r w:rsidRPr="009077F5">
              <w:rPr>
                <w:lang w:eastAsia="en-US"/>
              </w:rPr>
              <w:t>d</w:t>
            </w:r>
          </w:p>
        </w:tc>
        <w:tc>
          <w:tcPr>
            <w:tcW w:w="8489" w:type="dxa"/>
            <w:tcBorders>
              <w:top w:val="single" w:sz="4" w:space="0" w:color="000000"/>
              <w:left w:val="single" w:sz="4" w:space="0" w:color="000000"/>
              <w:bottom w:val="single" w:sz="4" w:space="0" w:color="000000"/>
              <w:right w:val="single" w:sz="4" w:space="0" w:color="000000"/>
            </w:tcBorders>
          </w:tcPr>
          <w:p w14:paraId="458A9EA4" w14:textId="17DECE83" w:rsidR="00374C56" w:rsidRPr="009077F5" w:rsidRDefault="00374C56" w:rsidP="00A202FD">
            <w:pPr>
              <w:spacing w:line="264" w:lineRule="auto"/>
              <w:ind w:left="57" w:right="57"/>
              <w:jc w:val="both"/>
              <w:rPr>
                <w:lang w:eastAsia="en-US"/>
              </w:rPr>
            </w:pPr>
            <w:r w:rsidRPr="009077F5">
              <w:rPr>
                <w:lang w:eastAsia="en-US"/>
              </w:rPr>
              <w:t xml:space="preserve">Farklı metallerin ve metalik olmayan bileşenlerin bağıl yoğunluk </w:t>
            </w:r>
            <w:r w:rsidR="00E719EF" w:rsidRPr="009077F5">
              <w:rPr>
                <w:lang w:eastAsia="en-US"/>
              </w:rPr>
              <w:t xml:space="preserve">ayrımı </w:t>
            </w:r>
            <w:r w:rsidRPr="009077F5">
              <w:rPr>
                <w:lang w:eastAsia="en-US"/>
              </w:rPr>
              <w:t>(</w:t>
            </w:r>
            <w:r w:rsidR="00E719EF" w:rsidRPr="009077F5">
              <w:rPr>
                <w:lang w:eastAsia="en-US"/>
              </w:rPr>
              <w:t>farklı yoğunlukta bir sıvı veya hava kullanarak</w:t>
            </w:r>
            <w:r w:rsidRPr="009077F5">
              <w:rPr>
                <w:lang w:eastAsia="en-US"/>
              </w:rPr>
              <w:t>)</w:t>
            </w:r>
          </w:p>
        </w:tc>
      </w:tr>
    </w:tbl>
    <w:p w14:paraId="6515411F" w14:textId="77777777" w:rsidR="00E719EF" w:rsidRPr="00A467CD" w:rsidRDefault="00E719EF" w:rsidP="00A202FD">
      <w:pPr>
        <w:jc w:val="both"/>
        <w:rPr>
          <w:lang w:eastAsia="en-US"/>
        </w:rPr>
      </w:pPr>
      <w:bookmarkStart w:id="59" w:name="_Toc531927866"/>
    </w:p>
    <w:p w14:paraId="56BEB44B" w14:textId="29921AA7" w:rsidR="00374C56" w:rsidRPr="00A467CD" w:rsidRDefault="00E719EF" w:rsidP="00A202FD">
      <w:pPr>
        <w:pStyle w:val="Balk3"/>
        <w:rPr>
          <w:rFonts w:cs="Times New Roman"/>
          <w:lang w:eastAsia="en-US"/>
        </w:rPr>
      </w:pPr>
      <w:r w:rsidRPr="00A467CD">
        <w:rPr>
          <w:rFonts w:cs="Times New Roman"/>
          <w:lang w:eastAsia="en-US"/>
        </w:rPr>
        <w:t>1.</w:t>
      </w:r>
      <w:r w:rsidR="00374C56" w:rsidRPr="00A467CD">
        <w:rPr>
          <w:rFonts w:cs="Times New Roman"/>
          <w:lang w:eastAsia="en-US"/>
        </w:rPr>
        <w:t>2.2.</w:t>
      </w:r>
      <w:r w:rsidR="00374C56" w:rsidRPr="00A467CD">
        <w:rPr>
          <w:rFonts w:cs="Times New Roman"/>
          <w:lang w:eastAsia="en-US"/>
        </w:rPr>
        <w:tab/>
        <w:t>Enerji</w:t>
      </w:r>
      <w:bookmarkEnd w:id="59"/>
    </w:p>
    <w:p w14:paraId="6D1790D0" w14:textId="0AB53995" w:rsidR="00374C56" w:rsidRPr="00A467CD" w:rsidRDefault="00374C56" w:rsidP="00A202FD">
      <w:pPr>
        <w:pStyle w:val="MET"/>
        <w:rPr>
          <w:b w:val="0"/>
          <w:bCs/>
          <w:szCs w:val="24"/>
        </w:rPr>
      </w:pPr>
      <w:r w:rsidRPr="00A467CD">
        <w:rPr>
          <w:szCs w:val="24"/>
        </w:rPr>
        <w:t>MET 21</w:t>
      </w:r>
      <w:r w:rsidR="009F7456" w:rsidRPr="00A467CD">
        <w:rPr>
          <w:szCs w:val="24"/>
        </w:rPr>
        <w:t xml:space="preserve">: </w:t>
      </w:r>
      <w:r w:rsidRPr="00A467CD">
        <w:rPr>
          <w:b w:val="0"/>
          <w:bCs/>
          <w:szCs w:val="24"/>
        </w:rPr>
        <w:t xml:space="preserve">Birincil bakır üretiminde enerjinin verimli kullanılabilmesi </w:t>
      </w:r>
      <w:r w:rsidR="009F7456" w:rsidRPr="00A467CD">
        <w:rPr>
          <w:b w:val="0"/>
          <w:bCs/>
          <w:szCs w:val="24"/>
        </w:rPr>
        <w:t>için</w:t>
      </w:r>
      <w:r w:rsidRPr="00A467CD">
        <w:rPr>
          <w:b w:val="0"/>
          <w:bCs/>
          <w:szCs w:val="24"/>
        </w:rPr>
        <w:t>, aşağıda verilen tekniklerin biri ya da birkaçı birlikte kullanılır.</w:t>
      </w:r>
    </w:p>
    <w:p w14:paraId="656EC84B" w14:textId="77777777" w:rsidR="00282CE4" w:rsidRPr="00A467CD" w:rsidRDefault="00282CE4" w:rsidP="00A202FD">
      <w:pPr>
        <w:pStyle w:val="MET"/>
        <w:rPr>
          <w:szCs w:val="24"/>
        </w:rPr>
      </w:pPr>
    </w:p>
    <w:tbl>
      <w:tblPr>
        <w:tblW w:w="8789" w:type="dxa"/>
        <w:tblInd w:w="137" w:type="dxa"/>
        <w:tblLayout w:type="fixed"/>
        <w:tblCellMar>
          <w:left w:w="0" w:type="dxa"/>
          <w:right w:w="0" w:type="dxa"/>
        </w:tblCellMar>
        <w:tblLook w:val="01E0" w:firstRow="1" w:lastRow="1" w:firstColumn="1" w:lastColumn="1" w:noHBand="0" w:noVBand="0"/>
      </w:tblPr>
      <w:tblGrid>
        <w:gridCol w:w="255"/>
        <w:gridCol w:w="4848"/>
        <w:gridCol w:w="3686"/>
      </w:tblGrid>
      <w:tr w:rsidR="00374C56" w:rsidRPr="00A467CD" w14:paraId="0760ADD6" w14:textId="77777777" w:rsidTr="000E6C87">
        <w:trPr>
          <w:trHeight w:val="340"/>
        </w:trPr>
        <w:tc>
          <w:tcPr>
            <w:tcW w:w="5103" w:type="dxa"/>
            <w:gridSpan w:val="2"/>
            <w:tcBorders>
              <w:top w:val="single" w:sz="4" w:space="0" w:color="000000"/>
              <w:left w:val="single" w:sz="4" w:space="0" w:color="000000"/>
              <w:bottom w:val="single" w:sz="4" w:space="0" w:color="000000"/>
              <w:right w:val="single" w:sz="4" w:space="0" w:color="000000"/>
            </w:tcBorders>
            <w:vAlign w:val="center"/>
          </w:tcPr>
          <w:p w14:paraId="3C1B6729" w14:textId="77777777" w:rsidR="00374C56" w:rsidRPr="009077F5" w:rsidRDefault="00374C56" w:rsidP="00A202FD">
            <w:pPr>
              <w:spacing w:line="264" w:lineRule="auto"/>
              <w:ind w:left="57" w:right="57"/>
              <w:jc w:val="both"/>
              <w:rPr>
                <w:lang w:eastAsia="en-US"/>
              </w:rPr>
            </w:pPr>
            <w:r w:rsidRPr="009077F5">
              <w:rPr>
                <w:b/>
                <w:bCs/>
                <w:lang w:eastAsia="en-US"/>
              </w:rPr>
              <w:t>Teknik</w:t>
            </w:r>
          </w:p>
        </w:tc>
        <w:tc>
          <w:tcPr>
            <w:tcW w:w="3686" w:type="dxa"/>
            <w:tcBorders>
              <w:top w:val="single" w:sz="4" w:space="0" w:color="000000"/>
              <w:left w:val="single" w:sz="4" w:space="0" w:color="000000"/>
              <w:bottom w:val="single" w:sz="4" w:space="0" w:color="000000"/>
              <w:right w:val="single" w:sz="4" w:space="0" w:color="000000"/>
            </w:tcBorders>
            <w:vAlign w:val="center"/>
          </w:tcPr>
          <w:p w14:paraId="02516372" w14:textId="77777777" w:rsidR="00374C56" w:rsidRPr="009077F5" w:rsidRDefault="00374C56" w:rsidP="00A202FD">
            <w:pPr>
              <w:spacing w:line="264" w:lineRule="auto"/>
              <w:ind w:left="57" w:right="57"/>
              <w:jc w:val="both"/>
              <w:rPr>
                <w:lang w:eastAsia="en-US"/>
              </w:rPr>
            </w:pPr>
            <w:r w:rsidRPr="009077F5">
              <w:rPr>
                <w:b/>
                <w:bCs/>
                <w:lang w:eastAsia="en-US"/>
              </w:rPr>
              <w:t>Uygulanabilirlik</w:t>
            </w:r>
          </w:p>
        </w:tc>
      </w:tr>
      <w:tr w:rsidR="00374C56" w:rsidRPr="00A467CD" w14:paraId="55437F21" w14:textId="77777777" w:rsidTr="000E6C87">
        <w:tc>
          <w:tcPr>
            <w:tcW w:w="255" w:type="dxa"/>
            <w:tcBorders>
              <w:top w:val="single" w:sz="4" w:space="0" w:color="000000"/>
              <w:left w:val="single" w:sz="4" w:space="0" w:color="000000"/>
              <w:bottom w:val="single" w:sz="4" w:space="0" w:color="000000"/>
              <w:right w:val="single" w:sz="4" w:space="0" w:color="000000"/>
            </w:tcBorders>
            <w:vAlign w:val="center"/>
          </w:tcPr>
          <w:p w14:paraId="22F99EAC" w14:textId="77777777" w:rsidR="00374C56" w:rsidRPr="009077F5" w:rsidRDefault="00374C56" w:rsidP="00A202FD">
            <w:pPr>
              <w:spacing w:line="264" w:lineRule="auto"/>
              <w:ind w:left="57" w:right="57"/>
              <w:jc w:val="both"/>
              <w:rPr>
                <w:lang w:eastAsia="en-US"/>
              </w:rPr>
            </w:pPr>
            <w:r w:rsidRPr="009077F5">
              <w:rPr>
                <w:lang w:eastAsia="en-US"/>
              </w:rPr>
              <w:t>a</w:t>
            </w:r>
          </w:p>
        </w:tc>
        <w:tc>
          <w:tcPr>
            <w:tcW w:w="4848" w:type="dxa"/>
            <w:tcBorders>
              <w:top w:val="single" w:sz="4" w:space="0" w:color="000000"/>
              <w:left w:val="single" w:sz="4" w:space="0" w:color="000000"/>
              <w:bottom w:val="single" w:sz="4" w:space="0" w:color="000000"/>
              <w:right w:val="single" w:sz="4" w:space="0" w:color="000000"/>
            </w:tcBorders>
            <w:vAlign w:val="center"/>
          </w:tcPr>
          <w:p w14:paraId="5D48F23B" w14:textId="47C71398" w:rsidR="00374C56" w:rsidRPr="009077F5" w:rsidRDefault="00E719EF" w:rsidP="00A202FD">
            <w:pPr>
              <w:spacing w:line="264" w:lineRule="auto"/>
              <w:ind w:left="57" w:right="57"/>
              <w:jc w:val="both"/>
              <w:rPr>
                <w:lang w:eastAsia="en-US"/>
              </w:rPr>
            </w:pPr>
            <w:r w:rsidRPr="009077F5">
              <w:rPr>
                <w:lang w:eastAsia="en-US"/>
              </w:rPr>
              <w:t>Flaş eritme fırını kullanarak konsantrede bulunan enerjinin kullanımını optimize etmek</w:t>
            </w:r>
          </w:p>
        </w:tc>
        <w:tc>
          <w:tcPr>
            <w:tcW w:w="3686" w:type="dxa"/>
            <w:tcBorders>
              <w:top w:val="single" w:sz="4" w:space="0" w:color="000000"/>
              <w:left w:val="single" w:sz="4" w:space="0" w:color="000000"/>
              <w:bottom w:val="single" w:sz="4" w:space="0" w:color="000000"/>
              <w:right w:val="single" w:sz="4" w:space="0" w:color="000000"/>
            </w:tcBorders>
            <w:vAlign w:val="center"/>
          </w:tcPr>
          <w:p w14:paraId="5281B682" w14:textId="43E47412" w:rsidR="00374C56" w:rsidRPr="009077F5" w:rsidRDefault="00E719EF" w:rsidP="00A202FD">
            <w:pPr>
              <w:spacing w:line="264" w:lineRule="auto"/>
              <w:ind w:left="57" w:right="57"/>
              <w:jc w:val="both"/>
              <w:rPr>
                <w:lang w:eastAsia="en-US"/>
              </w:rPr>
            </w:pPr>
            <w:r w:rsidRPr="009077F5">
              <w:rPr>
                <w:lang w:eastAsia="en-US"/>
              </w:rPr>
              <w:t>Sadece yeni tesisler ve mevcut tesislerin büyük çaplı iyileştirmeleri için geçerlidir</w:t>
            </w:r>
          </w:p>
        </w:tc>
      </w:tr>
      <w:tr w:rsidR="00374C56" w:rsidRPr="00A467CD" w14:paraId="0D7888FD" w14:textId="77777777" w:rsidTr="000E6C87">
        <w:tc>
          <w:tcPr>
            <w:tcW w:w="255" w:type="dxa"/>
            <w:tcBorders>
              <w:top w:val="single" w:sz="4" w:space="0" w:color="000000"/>
              <w:left w:val="single" w:sz="4" w:space="0" w:color="000000"/>
              <w:bottom w:val="single" w:sz="4" w:space="0" w:color="000000"/>
              <w:right w:val="single" w:sz="4" w:space="0" w:color="000000"/>
            </w:tcBorders>
            <w:vAlign w:val="center"/>
          </w:tcPr>
          <w:p w14:paraId="1970F007" w14:textId="77777777" w:rsidR="00374C56" w:rsidRPr="009077F5" w:rsidRDefault="00374C56" w:rsidP="00A202FD">
            <w:pPr>
              <w:spacing w:line="264" w:lineRule="auto"/>
              <w:ind w:left="57" w:right="57"/>
              <w:jc w:val="both"/>
              <w:rPr>
                <w:lang w:eastAsia="en-US"/>
              </w:rPr>
            </w:pPr>
            <w:r w:rsidRPr="009077F5">
              <w:rPr>
                <w:lang w:eastAsia="en-US"/>
              </w:rPr>
              <w:lastRenderedPageBreak/>
              <w:t>b</w:t>
            </w:r>
          </w:p>
        </w:tc>
        <w:tc>
          <w:tcPr>
            <w:tcW w:w="4848" w:type="dxa"/>
            <w:tcBorders>
              <w:top w:val="single" w:sz="4" w:space="0" w:color="000000"/>
              <w:left w:val="single" w:sz="4" w:space="0" w:color="000000"/>
              <w:bottom w:val="single" w:sz="4" w:space="0" w:color="000000"/>
              <w:right w:val="single" w:sz="4" w:space="0" w:color="000000"/>
            </w:tcBorders>
            <w:vAlign w:val="center"/>
          </w:tcPr>
          <w:p w14:paraId="1CB50A9F" w14:textId="361FF65D" w:rsidR="00374C56" w:rsidRPr="009077F5" w:rsidRDefault="00E719EF" w:rsidP="00A202FD">
            <w:pPr>
              <w:spacing w:line="264" w:lineRule="auto"/>
              <w:ind w:left="57" w:right="57"/>
              <w:jc w:val="both"/>
              <w:rPr>
                <w:lang w:eastAsia="en-US"/>
              </w:rPr>
            </w:pPr>
            <w:r w:rsidRPr="009077F5">
              <w:rPr>
                <w:lang w:eastAsia="en-US"/>
              </w:rPr>
              <w:t>Fırın şarjını ısıtmak için eritme aşamalarından gelen sıcak proses gazlarını kullanın</w:t>
            </w:r>
          </w:p>
        </w:tc>
        <w:tc>
          <w:tcPr>
            <w:tcW w:w="3686" w:type="dxa"/>
            <w:tcBorders>
              <w:top w:val="single" w:sz="4" w:space="0" w:color="000000"/>
              <w:left w:val="single" w:sz="4" w:space="0" w:color="000000"/>
              <w:bottom w:val="single" w:sz="4" w:space="0" w:color="000000"/>
              <w:right w:val="single" w:sz="4" w:space="0" w:color="000000"/>
            </w:tcBorders>
            <w:vAlign w:val="center"/>
          </w:tcPr>
          <w:p w14:paraId="68653393" w14:textId="033B14E5" w:rsidR="00374C56" w:rsidRPr="009077F5" w:rsidRDefault="00374C56" w:rsidP="00A202FD">
            <w:pPr>
              <w:spacing w:line="264" w:lineRule="auto"/>
              <w:ind w:left="57" w:right="57"/>
              <w:jc w:val="both"/>
              <w:rPr>
                <w:lang w:eastAsia="en-US"/>
              </w:rPr>
            </w:pPr>
            <w:r w:rsidRPr="009077F5">
              <w:rPr>
                <w:lang w:eastAsia="en-US"/>
              </w:rPr>
              <w:t>Sadece baca fırınlarında uygulanabilir</w:t>
            </w:r>
          </w:p>
        </w:tc>
      </w:tr>
      <w:tr w:rsidR="00374C56" w:rsidRPr="00A467CD" w14:paraId="58E1FF91" w14:textId="77777777" w:rsidTr="000E6C87">
        <w:trPr>
          <w:trHeight w:val="340"/>
        </w:trPr>
        <w:tc>
          <w:tcPr>
            <w:tcW w:w="255" w:type="dxa"/>
            <w:tcBorders>
              <w:top w:val="single" w:sz="4" w:space="0" w:color="000000"/>
              <w:left w:val="single" w:sz="4" w:space="0" w:color="000000"/>
              <w:bottom w:val="single" w:sz="4" w:space="0" w:color="000000"/>
              <w:right w:val="single" w:sz="4" w:space="0" w:color="000000"/>
            </w:tcBorders>
            <w:vAlign w:val="center"/>
          </w:tcPr>
          <w:p w14:paraId="642C0BAE" w14:textId="77777777" w:rsidR="00374C56" w:rsidRPr="009077F5" w:rsidRDefault="00374C56" w:rsidP="00A202FD">
            <w:pPr>
              <w:spacing w:line="264" w:lineRule="auto"/>
              <w:ind w:left="57" w:right="57"/>
              <w:jc w:val="both"/>
              <w:rPr>
                <w:lang w:eastAsia="en-US"/>
              </w:rPr>
            </w:pPr>
            <w:r w:rsidRPr="009077F5">
              <w:rPr>
                <w:lang w:eastAsia="en-US"/>
              </w:rPr>
              <w:t>c</w:t>
            </w:r>
          </w:p>
        </w:tc>
        <w:tc>
          <w:tcPr>
            <w:tcW w:w="4848" w:type="dxa"/>
            <w:tcBorders>
              <w:top w:val="single" w:sz="4" w:space="0" w:color="000000"/>
              <w:left w:val="single" w:sz="4" w:space="0" w:color="000000"/>
              <w:bottom w:val="single" w:sz="4" w:space="0" w:color="000000"/>
              <w:right w:val="single" w:sz="4" w:space="0" w:color="000000"/>
            </w:tcBorders>
            <w:vAlign w:val="center"/>
          </w:tcPr>
          <w:p w14:paraId="08C8EDC7" w14:textId="77777777" w:rsidR="00374C56" w:rsidRPr="009077F5" w:rsidRDefault="00374C56" w:rsidP="00A202FD">
            <w:pPr>
              <w:spacing w:line="264" w:lineRule="auto"/>
              <w:ind w:left="57" w:right="57"/>
              <w:jc w:val="both"/>
              <w:rPr>
                <w:lang w:eastAsia="en-US"/>
              </w:rPr>
            </w:pPr>
            <w:r w:rsidRPr="009077F5">
              <w:rPr>
                <w:lang w:eastAsia="en-US"/>
              </w:rPr>
              <w:t>Taşıma ve depolama sırasında konsantreleri örtülmesi</w:t>
            </w:r>
          </w:p>
        </w:tc>
        <w:tc>
          <w:tcPr>
            <w:tcW w:w="3686" w:type="dxa"/>
            <w:tcBorders>
              <w:top w:val="single" w:sz="4" w:space="0" w:color="000000"/>
              <w:left w:val="single" w:sz="4" w:space="0" w:color="000000"/>
              <w:bottom w:val="single" w:sz="4" w:space="0" w:color="000000"/>
              <w:right w:val="single" w:sz="4" w:space="0" w:color="000000"/>
            </w:tcBorders>
            <w:vAlign w:val="center"/>
          </w:tcPr>
          <w:p w14:paraId="1F569D6C"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54E0A8E2" w14:textId="77777777" w:rsidTr="000E6C87">
        <w:tc>
          <w:tcPr>
            <w:tcW w:w="255" w:type="dxa"/>
            <w:tcBorders>
              <w:top w:val="single" w:sz="4" w:space="0" w:color="000000"/>
              <w:left w:val="single" w:sz="4" w:space="0" w:color="000000"/>
              <w:bottom w:val="single" w:sz="4" w:space="0" w:color="000000"/>
              <w:right w:val="single" w:sz="4" w:space="0" w:color="000000"/>
            </w:tcBorders>
            <w:vAlign w:val="center"/>
          </w:tcPr>
          <w:p w14:paraId="71163484" w14:textId="77777777" w:rsidR="00374C56" w:rsidRPr="009077F5" w:rsidRDefault="00374C56" w:rsidP="00A202FD">
            <w:pPr>
              <w:spacing w:line="264" w:lineRule="auto"/>
              <w:ind w:left="57" w:right="57"/>
              <w:jc w:val="both"/>
              <w:rPr>
                <w:lang w:eastAsia="en-US"/>
              </w:rPr>
            </w:pPr>
            <w:r w:rsidRPr="009077F5">
              <w:rPr>
                <w:lang w:eastAsia="en-US"/>
              </w:rPr>
              <w:t>d</w:t>
            </w:r>
          </w:p>
        </w:tc>
        <w:tc>
          <w:tcPr>
            <w:tcW w:w="4848" w:type="dxa"/>
            <w:tcBorders>
              <w:top w:val="single" w:sz="4" w:space="0" w:color="000000"/>
              <w:left w:val="single" w:sz="4" w:space="0" w:color="000000"/>
              <w:bottom w:val="single" w:sz="4" w:space="0" w:color="000000"/>
              <w:right w:val="single" w:sz="4" w:space="0" w:color="000000"/>
            </w:tcBorders>
          </w:tcPr>
          <w:p w14:paraId="7BE999CB" w14:textId="291D1363" w:rsidR="00374C56" w:rsidRPr="009077F5" w:rsidRDefault="00C3218C" w:rsidP="00A202FD">
            <w:pPr>
              <w:spacing w:line="264" w:lineRule="auto"/>
              <w:ind w:left="57" w:right="57"/>
              <w:jc w:val="both"/>
              <w:rPr>
                <w:lang w:eastAsia="en-US"/>
              </w:rPr>
            </w:pPr>
            <w:r w:rsidRPr="009077F5">
              <w:rPr>
                <w:lang w:eastAsia="en-US"/>
              </w:rPr>
              <w:t>Birincil eritme veya dönüştürme aşamalarında üretilen fazla ısının bakır içeren ikincil malzemeleri eritmek için kullanılması</w:t>
            </w:r>
          </w:p>
        </w:tc>
        <w:tc>
          <w:tcPr>
            <w:tcW w:w="3686" w:type="dxa"/>
            <w:tcBorders>
              <w:top w:val="single" w:sz="4" w:space="0" w:color="000000"/>
              <w:left w:val="single" w:sz="4" w:space="0" w:color="000000"/>
              <w:bottom w:val="single" w:sz="4" w:space="0" w:color="000000"/>
              <w:right w:val="single" w:sz="4" w:space="0" w:color="000000"/>
            </w:tcBorders>
            <w:vAlign w:val="center"/>
          </w:tcPr>
          <w:p w14:paraId="4BBE0C0A"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3EDECF7E" w14:textId="77777777" w:rsidTr="000E6C87">
        <w:tc>
          <w:tcPr>
            <w:tcW w:w="255" w:type="dxa"/>
            <w:tcBorders>
              <w:top w:val="single" w:sz="4" w:space="0" w:color="000000"/>
              <w:left w:val="single" w:sz="4" w:space="0" w:color="000000"/>
              <w:bottom w:val="single" w:sz="4" w:space="0" w:color="000000"/>
              <w:right w:val="single" w:sz="4" w:space="0" w:color="000000"/>
            </w:tcBorders>
            <w:vAlign w:val="center"/>
          </w:tcPr>
          <w:p w14:paraId="49BBCA5B" w14:textId="77777777" w:rsidR="00374C56" w:rsidRPr="009077F5" w:rsidRDefault="00374C56" w:rsidP="00A202FD">
            <w:pPr>
              <w:spacing w:line="264" w:lineRule="auto"/>
              <w:ind w:left="57" w:right="57"/>
              <w:jc w:val="both"/>
              <w:rPr>
                <w:lang w:eastAsia="en-US"/>
              </w:rPr>
            </w:pPr>
            <w:r w:rsidRPr="009077F5">
              <w:rPr>
                <w:lang w:eastAsia="en-US"/>
              </w:rPr>
              <w:t>e</w:t>
            </w:r>
          </w:p>
        </w:tc>
        <w:tc>
          <w:tcPr>
            <w:tcW w:w="4848" w:type="dxa"/>
            <w:tcBorders>
              <w:top w:val="single" w:sz="4" w:space="0" w:color="000000"/>
              <w:left w:val="single" w:sz="4" w:space="0" w:color="000000"/>
              <w:bottom w:val="single" w:sz="4" w:space="0" w:color="000000"/>
              <w:right w:val="single" w:sz="4" w:space="0" w:color="000000"/>
            </w:tcBorders>
          </w:tcPr>
          <w:p w14:paraId="444EE03F" w14:textId="6F45D9A4" w:rsidR="00374C56" w:rsidRPr="009077F5" w:rsidRDefault="00C3218C" w:rsidP="00A202FD">
            <w:pPr>
              <w:spacing w:line="264" w:lineRule="auto"/>
              <w:ind w:left="57" w:right="57"/>
              <w:jc w:val="both"/>
              <w:rPr>
                <w:lang w:eastAsia="en-US"/>
              </w:rPr>
            </w:pPr>
            <w:r w:rsidRPr="009077F5">
              <w:rPr>
                <w:lang w:eastAsia="en-US"/>
              </w:rPr>
              <w:t>Bir kademedeki anot fırınlarından çıkan gazlardaki ısının kurutma gibi diğer işlemler için kullanılması</w:t>
            </w:r>
          </w:p>
        </w:tc>
        <w:tc>
          <w:tcPr>
            <w:tcW w:w="3686" w:type="dxa"/>
            <w:tcBorders>
              <w:top w:val="single" w:sz="4" w:space="0" w:color="000000"/>
              <w:left w:val="single" w:sz="4" w:space="0" w:color="000000"/>
              <w:bottom w:val="single" w:sz="4" w:space="0" w:color="000000"/>
              <w:right w:val="single" w:sz="4" w:space="0" w:color="000000"/>
            </w:tcBorders>
            <w:vAlign w:val="center"/>
          </w:tcPr>
          <w:p w14:paraId="20FDACE7"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bl>
    <w:p w14:paraId="04CAE9BF" w14:textId="77777777" w:rsidR="00374C56" w:rsidRPr="00D53A2B" w:rsidRDefault="00374C56" w:rsidP="00A202FD">
      <w:pPr>
        <w:jc w:val="both"/>
        <w:rPr>
          <w:lang w:eastAsia="en-US"/>
        </w:rPr>
      </w:pPr>
    </w:p>
    <w:p w14:paraId="7775F71C" w14:textId="420D29E8" w:rsidR="00374C56" w:rsidRPr="00E73DA3" w:rsidRDefault="00374C56" w:rsidP="00A202FD">
      <w:pPr>
        <w:pStyle w:val="MET"/>
        <w:rPr>
          <w:b w:val="0"/>
          <w:bCs/>
          <w:szCs w:val="24"/>
        </w:rPr>
      </w:pPr>
      <w:r w:rsidRPr="00A467CD">
        <w:rPr>
          <w:szCs w:val="24"/>
        </w:rPr>
        <w:t>MET 22</w:t>
      </w:r>
      <w:r w:rsidR="009F7456" w:rsidRPr="00A467CD">
        <w:rPr>
          <w:szCs w:val="24"/>
        </w:rPr>
        <w:t>:</w:t>
      </w:r>
      <w:r w:rsidR="0041035E" w:rsidRPr="00A467CD">
        <w:rPr>
          <w:szCs w:val="24"/>
        </w:rPr>
        <w:t xml:space="preserve"> </w:t>
      </w:r>
      <w:r w:rsidRPr="00A467CD">
        <w:rPr>
          <w:b w:val="0"/>
          <w:bCs/>
          <w:szCs w:val="24"/>
        </w:rPr>
        <w:t>İkincil bakır üretiminde enerjinin verimli kullanılabilmesi için</w:t>
      </w:r>
      <w:r w:rsidR="009F7456" w:rsidRPr="00404A26">
        <w:rPr>
          <w:b w:val="0"/>
          <w:bCs/>
          <w:szCs w:val="24"/>
        </w:rPr>
        <w:t xml:space="preserve">, </w:t>
      </w:r>
      <w:r w:rsidRPr="00404A26">
        <w:rPr>
          <w:b w:val="0"/>
          <w:bCs/>
          <w:szCs w:val="24"/>
        </w:rPr>
        <w:t>aşağıda verilen tekniklerin biri ya da birkaçı birlikte kullanılır.</w:t>
      </w:r>
    </w:p>
    <w:p w14:paraId="0E0D7BA1" w14:textId="77777777" w:rsidR="00282CE4" w:rsidRPr="00BF4451" w:rsidRDefault="00282CE4" w:rsidP="00A202FD">
      <w:pPr>
        <w:pStyle w:val="MET"/>
        <w:rPr>
          <w:szCs w:val="24"/>
        </w:rPr>
      </w:pPr>
    </w:p>
    <w:tbl>
      <w:tblPr>
        <w:tblW w:w="8784" w:type="dxa"/>
        <w:tblLayout w:type="fixed"/>
        <w:tblCellMar>
          <w:left w:w="0" w:type="dxa"/>
          <w:right w:w="0" w:type="dxa"/>
        </w:tblCellMar>
        <w:tblLook w:val="01E0" w:firstRow="1" w:lastRow="1" w:firstColumn="1" w:lastColumn="1" w:noHBand="0" w:noVBand="0"/>
      </w:tblPr>
      <w:tblGrid>
        <w:gridCol w:w="421"/>
        <w:gridCol w:w="4536"/>
        <w:gridCol w:w="3827"/>
      </w:tblGrid>
      <w:tr w:rsidR="00374C56" w:rsidRPr="00A467CD" w14:paraId="5B4B98E3" w14:textId="77777777" w:rsidTr="000E6C87">
        <w:trPr>
          <w:trHeight w:val="340"/>
        </w:trPr>
        <w:tc>
          <w:tcPr>
            <w:tcW w:w="4957" w:type="dxa"/>
            <w:gridSpan w:val="2"/>
            <w:tcBorders>
              <w:top w:val="single" w:sz="4" w:space="0" w:color="000000"/>
              <w:left w:val="single" w:sz="4" w:space="0" w:color="000000"/>
              <w:bottom w:val="single" w:sz="4" w:space="0" w:color="000000"/>
              <w:right w:val="single" w:sz="7" w:space="0" w:color="000000"/>
            </w:tcBorders>
            <w:vAlign w:val="center"/>
          </w:tcPr>
          <w:p w14:paraId="0395EC41" w14:textId="77777777" w:rsidR="00374C56" w:rsidRPr="009077F5" w:rsidRDefault="00374C56" w:rsidP="00A202FD">
            <w:pPr>
              <w:ind w:left="57" w:right="57"/>
              <w:jc w:val="both"/>
              <w:rPr>
                <w:lang w:eastAsia="en-US"/>
              </w:rPr>
            </w:pPr>
            <w:r w:rsidRPr="009077F5">
              <w:rPr>
                <w:b/>
                <w:bCs/>
                <w:lang w:eastAsia="en-US"/>
              </w:rPr>
              <w:t>Teknik</w:t>
            </w:r>
          </w:p>
        </w:tc>
        <w:tc>
          <w:tcPr>
            <w:tcW w:w="3827" w:type="dxa"/>
            <w:tcBorders>
              <w:top w:val="single" w:sz="4" w:space="0" w:color="000000"/>
              <w:left w:val="single" w:sz="7" w:space="0" w:color="000000"/>
              <w:bottom w:val="single" w:sz="4" w:space="0" w:color="000000"/>
              <w:right w:val="single" w:sz="4" w:space="0" w:color="000000"/>
            </w:tcBorders>
            <w:vAlign w:val="center"/>
          </w:tcPr>
          <w:p w14:paraId="29952F7D" w14:textId="77777777" w:rsidR="00374C56" w:rsidRPr="009077F5" w:rsidRDefault="00374C56" w:rsidP="00A202FD">
            <w:pPr>
              <w:ind w:left="57" w:right="57"/>
              <w:jc w:val="both"/>
              <w:rPr>
                <w:lang w:eastAsia="en-US"/>
              </w:rPr>
            </w:pPr>
            <w:r w:rsidRPr="009077F5">
              <w:rPr>
                <w:b/>
                <w:bCs/>
                <w:lang w:eastAsia="en-US"/>
              </w:rPr>
              <w:t>Uygulanabilirlik</w:t>
            </w:r>
          </w:p>
        </w:tc>
      </w:tr>
      <w:tr w:rsidR="00374C56" w:rsidRPr="00A467CD" w14:paraId="72FDF44D" w14:textId="77777777" w:rsidTr="000E6C87">
        <w:tc>
          <w:tcPr>
            <w:tcW w:w="421" w:type="dxa"/>
            <w:tcBorders>
              <w:top w:val="single" w:sz="4" w:space="0" w:color="000000"/>
              <w:left w:val="single" w:sz="4" w:space="0" w:color="000000"/>
              <w:bottom w:val="single" w:sz="4" w:space="0" w:color="000000"/>
              <w:right w:val="single" w:sz="4" w:space="0" w:color="000000"/>
            </w:tcBorders>
            <w:vAlign w:val="center"/>
          </w:tcPr>
          <w:p w14:paraId="7E352B6E" w14:textId="77777777" w:rsidR="00374C56" w:rsidRPr="009077F5" w:rsidRDefault="00374C56" w:rsidP="00A202FD">
            <w:pPr>
              <w:ind w:left="57" w:right="57"/>
              <w:jc w:val="both"/>
              <w:rPr>
                <w:lang w:eastAsia="en-US"/>
              </w:rPr>
            </w:pPr>
            <w:r w:rsidRPr="009077F5">
              <w:rPr>
                <w:lang w:eastAsia="en-US"/>
              </w:rPr>
              <w:t>a</w:t>
            </w:r>
          </w:p>
        </w:tc>
        <w:tc>
          <w:tcPr>
            <w:tcW w:w="4536" w:type="dxa"/>
            <w:tcBorders>
              <w:top w:val="single" w:sz="4" w:space="0" w:color="000000"/>
              <w:left w:val="single" w:sz="4" w:space="0" w:color="000000"/>
              <w:bottom w:val="single" w:sz="4" w:space="0" w:color="000000"/>
              <w:right w:val="single" w:sz="7" w:space="0" w:color="000000"/>
            </w:tcBorders>
            <w:vAlign w:val="center"/>
          </w:tcPr>
          <w:p w14:paraId="58D01B89" w14:textId="77777777" w:rsidR="00374C56" w:rsidRPr="009077F5" w:rsidRDefault="00374C56" w:rsidP="00A202FD">
            <w:pPr>
              <w:ind w:left="57" w:right="57"/>
              <w:jc w:val="both"/>
              <w:rPr>
                <w:lang w:eastAsia="en-US"/>
              </w:rPr>
            </w:pPr>
            <w:r w:rsidRPr="009077F5">
              <w:rPr>
                <w:lang w:eastAsia="en-US"/>
              </w:rPr>
              <w:t>Beslenen malzemenin su içeriğinin azaltılması</w:t>
            </w:r>
          </w:p>
        </w:tc>
        <w:tc>
          <w:tcPr>
            <w:tcW w:w="3827" w:type="dxa"/>
            <w:tcBorders>
              <w:top w:val="single" w:sz="4" w:space="0" w:color="000000"/>
              <w:left w:val="single" w:sz="7" w:space="0" w:color="000000"/>
              <w:bottom w:val="single" w:sz="4" w:space="0" w:color="000000"/>
              <w:right w:val="single" w:sz="4" w:space="0" w:color="000000"/>
            </w:tcBorders>
            <w:vAlign w:val="center"/>
          </w:tcPr>
          <w:p w14:paraId="42BD4B48" w14:textId="77777777" w:rsidR="00374C56" w:rsidRPr="009077F5" w:rsidRDefault="00374C56" w:rsidP="00A202FD">
            <w:pPr>
              <w:ind w:left="57" w:right="57"/>
              <w:jc w:val="both"/>
              <w:rPr>
                <w:lang w:eastAsia="en-US"/>
              </w:rPr>
            </w:pPr>
            <w:r w:rsidRPr="009077F5">
              <w:rPr>
                <w:lang w:eastAsia="en-US"/>
              </w:rPr>
              <w:t>Malzemelerin nem içeriği, yaygın emisyonları azaltmak için bir teknik olarak kullanıldığında uygulanabilirlik sınırlıdır.</w:t>
            </w:r>
          </w:p>
        </w:tc>
      </w:tr>
      <w:tr w:rsidR="00374C56" w:rsidRPr="00A467CD" w14:paraId="58B7FA02" w14:textId="77777777" w:rsidTr="000E6C87">
        <w:tc>
          <w:tcPr>
            <w:tcW w:w="421" w:type="dxa"/>
            <w:tcBorders>
              <w:top w:val="single" w:sz="4" w:space="0" w:color="000000"/>
              <w:left w:val="single" w:sz="4" w:space="0" w:color="000000"/>
              <w:bottom w:val="single" w:sz="4" w:space="0" w:color="000000"/>
              <w:right w:val="single" w:sz="4" w:space="0" w:color="000000"/>
            </w:tcBorders>
            <w:vAlign w:val="center"/>
          </w:tcPr>
          <w:p w14:paraId="13922470" w14:textId="77777777" w:rsidR="00374C56" w:rsidRPr="009077F5" w:rsidRDefault="00374C56" w:rsidP="00A202FD">
            <w:pPr>
              <w:ind w:left="57" w:right="57"/>
              <w:jc w:val="both"/>
              <w:rPr>
                <w:lang w:eastAsia="en-US"/>
              </w:rPr>
            </w:pPr>
            <w:r w:rsidRPr="009077F5">
              <w:rPr>
                <w:lang w:eastAsia="en-US"/>
              </w:rPr>
              <w:t>b</w:t>
            </w:r>
          </w:p>
        </w:tc>
        <w:tc>
          <w:tcPr>
            <w:tcW w:w="4536" w:type="dxa"/>
            <w:tcBorders>
              <w:top w:val="single" w:sz="4" w:space="0" w:color="000000"/>
              <w:left w:val="single" w:sz="4" w:space="0" w:color="000000"/>
              <w:bottom w:val="single" w:sz="4" w:space="0" w:color="000000"/>
              <w:right w:val="single" w:sz="7" w:space="0" w:color="000000"/>
            </w:tcBorders>
            <w:vAlign w:val="center"/>
          </w:tcPr>
          <w:p w14:paraId="688C96E8" w14:textId="7A7955BF" w:rsidR="00374C56" w:rsidRPr="009077F5" w:rsidRDefault="005454F6" w:rsidP="00A202FD">
            <w:pPr>
              <w:ind w:left="57" w:right="57"/>
              <w:jc w:val="both"/>
              <w:rPr>
                <w:lang w:eastAsia="en-US"/>
              </w:rPr>
            </w:pPr>
            <w:r w:rsidRPr="009077F5">
              <w:rPr>
                <w:lang w:eastAsia="en-US"/>
              </w:rPr>
              <w:t>Rafinerilerde elektroliti ısıtmak ve/veya ortak üretim tesislerinde elektrik üretmek için eritme fırınından fazla ısıyı geri kazanarak buhar üretmek.</w:t>
            </w:r>
          </w:p>
        </w:tc>
        <w:tc>
          <w:tcPr>
            <w:tcW w:w="3827" w:type="dxa"/>
            <w:tcBorders>
              <w:top w:val="single" w:sz="4" w:space="0" w:color="000000"/>
              <w:left w:val="single" w:sz="7" w:space="0" w:color="000000"/>
              <w:bottom w:val="single" w:sz="4" w:space="0" w:color="000000"/>
              <w:right w:val="single" w:sz="4" w:space="0" w:color="000000"/>
            </w:tcBorders>
            <w:vAlign w:val="center"/>
          </w:tcPr>
          <w:p w14:paraId="7486214A" w14:textId="77777777" w:rsidR="00374C56" w:rsidRPr="009077F5" w:rsidRDefault="00374C56" w:rsidP="00A202FD">
            <w:pPr>
              <w:ind w:left="57" w:right="57"/>
              <w:jc w:val="both"/>
              <w:rPr>
                <w:lang w:eastAsia="en-US"/>
              </w:rPr>
            </w:pPr>
            <w:r w:rsidRPr="009077F5">
              <w:rPr>
                <w:lang w:eastAsia="en-US"/>
              </w:rPr>
              <w:t>Ekonomik olarak uygun bir buhar talebi varsa uygulanabilir</w:t>
            </w:r>
          </w:p>
        </w:tc>
      </w:tr>
      <w:tr w:rsidR="00374C56" w:rsidRPr="00A467CD" w14:paraId="3D191A74" w14:textId="77777777" w:rsidTr="000E6C87">
        <w:tc>
          <w:tcPr>
            <w:tcW w:w="421" w:type="dxa"/>
            <w:tcBorders>
              <w:top w:val="single" w:sz="4" w:space="0" w:color="000000"/>
              <w:left w:val="single" w:sz="4" w:space="0" w:color="000000"/>
              <w:bottom w:val="single" w:sz="4" w:space="0" w:color="000000"/>
              <w:right w:val="single" w:sz="4" w:space="0" w:color="000000"/>
            </w:tcBorders>
            <w:vAlign w:val="center"/>
          </w:tcPr>
          <w:p w14:paraId="24FF0EBF" w14:textId="77777777" w:rsidR="00374C56" w:rsidRPr="009077F5" w:rsidRDefault="00374C56" w:rsidP="00A202FD">
            <w:pPr>
              <w:ind w:left="57" w:right="57"/>
              <w:jc w:val="both"/>
              <w:rPr>
                <w:lang w:eastAsia="en-US"/>
              </w:rPr>
            </w:pPr>
            <w:r w:rsidRPr="009077F5">
              <w:rPr>
                <w:lang w:eastAsia="en-US"/>
              </w:rPr>
              <w:t>c</w:t>
            </w:r>
          </w:p>
        </w:tc>
        <w:tc>
          <w:tcPr>
            <w:tcW w:w="4536" w:type="dxa"/>
            <w:tcBorders>
              <w:top w:val="single" w:sz="4" w:space="0" w:color="000000"/>
              <w:left w:val="single" w:sz="4" w:space="0" w:color="000000"/>
              <w:bottom w:val="single" w:sz="4" w:space="0" w:color="000000"/>
              <w:right w:val="single" w:sz="7" w:space="0" w:color="000000"/>
            </w:tcBorders>
            <w:vAlign w:val="center"/>
          </w:tcPr>
          <w:p w14:paraId="67E57E11" w14:textId="77777777" w:rsidR="00374C56" w:rsidRPr="009077F5" w:rsidRDefault="00374C56" w:rsidP="00A202FD">
            <w:pPr>
              <w:ind w:left="57" w:right="57"/>
              <w:jc w:val="both"/>
              <w:rPr>
                <w:lang w:eastAsia="en-US"/>
              </w:rPr>
            </w:pPr>
            <w:r w:rsidRPr="009077F5">
              <w:rPr>
                <w:lang w:eastAsia="en-US"/>
              </w:rPr>
              <w:t>Eritme veya dönüştürme işlemi sırasında oluşan fazla ısıyı kullanarak hurdaların eritilmesi</w:t>
            </w:r>
          </w:p>
        </w:tc>
        <w:tc>
          <w:tcPr>
            <w:tcW w:w="3827" w:type="dxa"/>
            <w:tcBorders>
              <w:top w:val="single" w:sz="4" w:space="0" w:color="000000"/>
              <w:left w:val="single" w:sz="7" w:space="0" w:color="000000"/>
              <w:bottom w:val="single" w:sz="4" w:space="0" w:color="000000"/>
              <w:right w:val="single" w:sz="4" w:space="0" w:color="000000"/>
            </w:tcBorders>
            <w:vAlign w:val="center"/>
          </w:tcPr>
          <w:p w14:paraId="6A22335B" w14:textId="77777777" w:rsidR="00374C56" w:rsidRPr="009077F5" w:rsidRDefault="00374C56" w:rsidP="00A202FD">
            <w:pPr>
              <w:ind w:left="57" w:right="57"/>
              <w:jc w:val="both"/>
              <w:rPr>
                <w:lang w:eastAsia="en-US"/>
              </w:rPr>
            </w:pPr>
            <w:r w:rsidRPr="009077F5">
              <w:rPr>
                <w:lang w:eastAsia="en-US"/>
              </w:rPr>
              <w:t>Genellikle uygulanabilir</w:t>
            </w:r>
          </w:p>
        </w:tc>
      </w:tr>
      <w:tr w:rsidR="00374C56" w:rsidRPr="00A467CD" w14:paraId="5D2F418A" w14:textId="77777777" w:rsidTr="000E6C87">
        <w:tc>
          <w:tcPr>
            <w:tcW w:w="421" w:type="dxa"/>
            <w:tcBorders>
              <w:top w:val="single" w:sz="4" w:space="0" w:color="000000"/>
              <w:left w:val="single" w:sz="4" w:space="0" w:color="000000"/>
              <w:bottom w:val="single" w:sz="4" w:space="0" w:color="000000"/>
              <w:right w:val="single" w:sz="4" w:space="0" w:color="000000"/>
            </w:tcBorders>
            <w:vAlign w:val="center"/>
          </w:tcPr>
          <w:p w14:paraId="0718994E" w14:textId="77777777" w:rsidR="00374C56" w:rsidRPr="009077F5" w:rsidRDefault="00374C56" w:rsidP="00A202FD">
            <w:pPr>
              <w:ind w:left="57" w:right="57"/>
              <w:jc w:val="both"/>
              <w:rPr>
                <w:lang w:eastAsia="en-US"/>
              </w:rPr>
            </w:pPr>
            <w:r w:rsidRPr="009077F5">
              <w:rPr>
                <w:lang w:eastAsia="en-US"/>
              </w:rPr>
              <w:t>d</w:t>
            </w:r>
          </w:p>
        </w:tc>
        <w:tc>
          <w:tcPr>
            <w:tcW w:w="4536" w:type="dxa"/>
            <w:tcBorders>
              <w:top w:val="single" w:sz="4" w:space="0" w:color="000000"/>
              <w:left w:val="single" w:sz="4" w:space="0" w:color="000000"/>
              <w:bottom w:val="single" w:sz="4" w:space="0" w:color="000000"/>
              <w:right w:val="single" w:sz="7" w:space="0" w:color="000000"/>
            </w:tcBorders>
            <w:vAlign w:val="center"/>
          </w:tcPr>
          <w:p w14:paraId="55BDEB8C" w14:textId="77777777" w:rsidR="00374C56" w:rsidRPr="009077F5" w:rsidRDefault="00374C56" w:rsidP="00A202FD">
            <w:pPr>
              <w:ind w:left="57" w:right="57"/>
              <w:jc w:val="both"/>
              <w:rPr>
                <w:lang w:eastAsia="en-US"/>
              </w:rPr>
            </w:pPr>
            <w:r w:rsidRPr="009077F5">
              <w:rPr>
                <w:lang w:eastAsia="en-US"/>
              </w:rPr>
              <w:t>Proses aşamaları arasında bekletme fırını kurulması</w:t>
            </w:r>
          </w:p>
        </w:tc>
        <w:tc>
          <w:tcPr>
            <w:tcW w:w="3827" w:type="dxa"/>
            <w:tcBorders>
              <w:top w:val="single" w:sz="4" w:space="0" w:color="000000"/>
              <w:left w:val="single" w:sz="7" w:space="0" w:color="000000"/>
              <w:bottom w:val="single" w:sz="4" w:space="0" w:color="000000"/>
              <w:right w:val="single" w:sz="4" w:space="0" w:color="000000"/>
            </w:tcBorders>
            <w:vAlign w:val="center"/>
          </w:tcPr>
          <w:p w14:paraId="72024C1F" w14:textId="77777777" w:rsidR="00374C56" w:rsidRPr="009077F5" w:rsidRDefault="00374C56" w:rsidP="00A202FD">
            <w:pPr>
              <w:ind w:left="57" w:right="57"/>
              <w:jc w:val="both"/>
              <w:rPr>
                <w:lang w:eastAsia="en-US"/>
              </w:rPr>
            </w:pPr>
            <w:r w:rsidRPr="009077F5">
              <w:rPr>
                <w:lang w:eastAsia="en-US"/>
              </w:rPr>
              <w:t>Sadece erimiş malzemenin tampon kapasitesine ihtiyaç duyan kesikli şekilde çalışan izabe fırınları için geçerlidir.</w:t>
            </w:r>
          </w:p>
        </w:tc>
      </w:tr>
      <w:tr w:rsidR="00374C56" w:rsidRPr="00A467CD" w14:paraId="50463909" w14:textId="77777777" w:rsidTr="000E6C87">
        <w:tc>
          <w:tcPr>
            <w:tcW w:w="421" w:type="dxa"/>
            <w:tcBorders>
              <w:top w:val="single" w:sz="4" w:space="0" w:color="000000"/>
              <w:left w:val="single" w:sz="4" w:space="0" w:color="000000"/>
              <w:bottom w:val="single" w:sz="4" w:space="0" w:color="000000"/>
              <w:right w:val="single" w:sz="4" w:space="0" w:color="000000"/>
            </w:tcBorders>
            <w:vAlign w:val="center"/>
          </w:tcPr>
          <w:p w14:paraId="78F223C5" w14:textId="77777777" w:rsidR="00374C56" w:rsidRPr="009077F5" w:rsidRDefault="00374C56" w:rsidP="00A202FD">
            <w:pPr>
              <w:ind w:left="57" w:right="57"/>
              <w:jc w:val="both"/>
              <w:rPr>
                <w:lang w:eastAsia="en-US"/>
              </w:rPr>
            </w:pPr>
            <w:r w:rsidRPr="009077F5">
              <w:rPr>
                <w:lang w:eastAsia="en-US"/>
              </w:rPr>
              <w:t>e</w:t>
            </w:r>
          </w:p>
        </w:tc>
        <w:tc>
          <w:tcPr>
            <w:tcW w:w="4536" w:type="dxa"/>
            <w:tcBorders>
              <w:top w:val="single" w:sz="4" w:space="0" w:color="000000"/>
              <w:left w:val="single" w:sz="4" w:space="0" w:color="000000"/>
              <w:bottom w:val="single" w:sz="4" w:space="0" w:color="000000"/>
              <w:right w:val="single" w:sz="7" w:space="0" w:color="000000"/>
            </w:tcBorders>
            <w:vAlign w:val="center"/>
          </w:tcPr>
          <w:p w14:paraId="7C533832" w14:textId="77777777" w:rsidR="00374C56" w:rsidRPr="009077F5" w:rsidRDefault="00374C56" w:rsidP="00A202FD">
            <w:pPr>
              <w:ind w:left="57" w:right="57"/>
              <w:jc w:val="both"/>
              <w:rPr>
                <w:lang w:eastAsia="en-US"/>
              </w:rPr>
            </w:pPr>
            <w:r w:rsidRPr="009077F5">
              <w:rPr>
                <w:lang w:eastAsia="en-US"/>
              </w:rPr>
              <w:t>Eritme aşamalarında açışa çıkan sıcak proses gazlarını kullanarak fırın şarjının önceden ısıtılması</w:t>
            </w:r>
          </w:p>
        </w:tc>
        <w:tc>
          <w:tcPr>
            <w:tcW w:w="3827" w:type="dxa"/>
            <w:tcBorders>
              <w:top w:val="single" w:sz="4" w:space="0" w:color="000000"/>
              <w:left w:val="single" w:sz="7" w:space="0" w:color="000000"/>
              <w:bottom w:val="single" w:sz="4" w:space="0" w:color="000000"/>
              <w:right w:val="single" w:sz="4" w:space="0" w:color="000000"/>
            </w:tcBorders>
            <w:vAlign w:val="center"/>
          </w:tcPr>
          <w:p w14:paraId="1F9FCB47" w14:textId="1BDB7281" w:rsidR="00374C56" w:rsidRPr="009077F5" w:rsidRDefault="00374C56" w:rsidP="00A202FD">
            <w:pPr>
              <w:ind w:left="57" w:right="57"/>
              <w:jc w:val="both"/>
              <w:rPr>
                <w:lang w:eastAsia="en-US"/>
              </w:rPr>
            </w:pPr>
            <w:r w:rsidRPr="009077F5">
              <w:rPr>
                <w:lang w:eastAsia="en-US"/>
              </w:rPr>
              <w:t>Sadece baca fırınlarında uygulanabilir</w:t>
            </w:r>
          </w:p>
        </w:tc>
      </w:tr>
    </w:tbl>
    <w:p w14:paraId="3106EABB" w14:textId="77777777" w:rsidR="00374C56" w:rsidRPr="00A467CD" w:rsidRDefault="00374C56" w:rsidP="00A202FD">
      <w:pPr>
        <w:tabs>
          <w:tab w:val="left" w:pos="1134"/>
        </w:tabs>
        <w:jc w:val="both"/>
        <w:rPr>
          <w:b/>
          <w:lang w:eastAsia="en-US"/>
        </w:rPr>
      </w:pPr>
    </w:p>
    <w:p w14:paraId="7167E751" w14:textId="01CEE3C2" w:rsidR="00374C56" w:rsidRPr="00A467CD" w:rsidRDefault="00374C56" w:rsidP="00A202FD">
      <w:pPr>
        <w:pStyle w:val="MET"/>
        <w:rPr>
          <w:szCs w:val="24"/>
        </w:rPr>
      </w:pPr>
      <w:r w:rsidRPr="00A467CD">
        <w:rPr>
          <w:szCs w:val="24"/>
        </w:rPr>
        <w:t>MET 23</w:t>
      </w:r>
      <w:r w:rsidR="009F7456" w:rsidRPr="00A467CD">
        <w:rPr>
          <w:szCs w:val="24"/>
        </w:rPr>
        <w:t>:</w:t>
      </w:r>
      <w:r w:rsidR="005454F6" w:rsidRPr="00A467CD">
        <w:rPr>
          <w:szCs w:val="24"/>
        </w:rPr>
        <w:t xml:space="preserve"> </w:t>
      </w:r>
      <w:r w:rsidRPr="00A467CD">
        <w:rPr>
          <w:b w:val="0"/>
          <w:bCs/>
          <w:szCs w:val="24"/>
        </w:rPr>
        <w:t>Elektr</w:t>
      </w:r>
      <w:r w:rsidR="005454F6" w:rsidRPr="00A467CD">
        <w:rPr>
          <w:b w:val="0"/>
          <w:bCs/>
          <w:szCs w:val="24"/>
        </w:rPr>
        <w:t>olitik arıtma</w:t>
      </w:r>
      <w:r w:rsidRPr="00A467CD">
        <w:rPr>
          <w:b w:val="0"/>
          <w:bCs/>
          <w:szCs w:val="24"/>
        </w:rPr>
        <w:t xml:space="preserve"> ve </w:t>
      </w:r>
      <w:r w:rsidR="005454F6" w:rsidRPr="00A467CD">
        <w:rPr>
          <w:b w:val="0"/>
          <w:bCs/>
          <w:szCs w:val="24"/>
        </w:rPr>
        <w:t>redüksiyon elektrolizi</w:t>
      </w:r>
      <w:r w:rsidRPr="00A467CD">
        <w:rPr>
          <w:b w:val="0"/>
          <w:bCs/>
          <w:szCs w:val="24"/>
        </w:rPr>
        <w:t xml:space="preserve"> işlemlerinde enerjinin verimli kullanılabilmesi için</w:t>
      </w:r>
      <w:r w:rsidR="009F7456" w:rsidRPr="00A467CD">
        <w:rPr>
          <w:b w:val="0"/>
          <w:bCs/>
          <w:szCs w:val="24"/>
        </w:rPr>
        <w:t xml:space="preserve">, </w:t>
      </w:r>
      <w:r w:rsidRPr="00A467CD">
        <w:rPr>
          <w:b w:val="0"/>
          <w:bCs/>
          <w:szCs w:val="24"/>
        </w:rPr>
        <w:t>aşağıda verilen tekniklerin bir kombinasyonu kullanılır.</w:t>
      </w:r>
    </w:p>
    <w:p w14:paraId="33A8C28C" w14:textId="77777777" w:rsidR="005454F6" w:rsidRPr="00A467CD" w:rsidRDefault="005454F6" w:rsidP="00A202FD">
      <w:pPr>
        <w:pStyle w:val="MET"/>
        <w:rPr>
          <w:szCs w:val="24"/>
        </w:rPr>
      </w:pPr>
    </w:p>
    <w:tbl>
      <w:tblPr>
        <w:tblW w:w="0" w:type="auto"/>
        <w:tblLayout w:type="fixed"/>
        <w:tblCellMar>
          <w:left w:w="0" w:type="dxa"/>
          <w:right w:w="0" w:type="dxa"/>
        </w:tblCellMar>
        <w:tblLook w:val="01E0" w:firstRow="1" w:lastRow="1" w:firstColumn="1" w:lastColumn="1" w:noHBand="0" w:noVBand="0"/>
      </w:tblPr>
      <w:tblGrid>
        <w:gridCol w:w="391"/>
        <w:gridCol w:w="4820"/>
        <w:gridCol w:w="3337"/>
      </w:tblGrid>
      <w:tr w:rsidR="00374C56" w:rsidRPr="00A467CD" w14:paraId="07D8837A" w14:textId="77777777" w:rsidTr="00374C56">
        <w:trPr>
          <w:trHeight w:val="283"/>
        </w:trPr>
        <w:tc>
          <w:tcPr>
            <w:tcW w:w="5211" w:type="dxa"/>
            <w:gridSpan w:val="2"/>
            <w:tcBorders>
              <w:top w:val="single" w:sz="4" w:space="0" w:color="000000"/>
              <w:left w:val="single" w:sz="4" w:space="0" w:color="000000"/>
              <w:bottom w:val="single" w:sz="4" w:space="0" w:color="000000"/>
              <w:right w:val="single" w:sz="4" w:space="0" w:color="000000"/>
            </w:tcBorders>
            <w:vAlign w:val="center"/>
          </w:tcPr>
          <w:p w14:paraId="3A21F108" w14:textId="77777777" w:rsidR="00374C56" w:rsidRPr="00A467CD" w:rsidRDefault="00374C56" w:rsidP="00A202FD">
            <w:pPr>
              <w:spacing w:line="264" w:lineRule="auto"/>
              <w:ind w:left="57" w:right="57"/>
              <w:jc w:val="both"/>
              <w:rPr>
                <w:lang w:eastAsia="en-US"/>
              </w:rPr>
            </w:pPr>
            <w:r w:rsidRPr="00A467CD">
              <w:rPr>
                <w:b/>
                <w:bCs/>
                <w:lang w:eastAsia="en-US"/>
              </w:rPr>
              <w:t>Teknik</w:t>
            </w:r>
          </w:p>
        </w:tc>
        <w:tc>
          <w:tcPr>
            <w:tcW w:w="3337" w:type="dxa"/>
            <w:tcBorders>
              <w:top w:val="single" w:sz="4" w:space="0" w:color="000000"/>
              <w:left w:val="single" w:sz="4" w:space="0" w:color="000000"/>
              <w:bottom w:val="single" w:sz="4" w:space="0" w:color="000000"/>
              <w:right w:val="single" w:sz="4" w:space="0" w:color="000000"/>
            </w:tcBorders>
            <w:vAlign w:val="center"/>
          </w:tcPr>
          <w:p w14:paraId="43289B3E" w14:textId="77777777" w:rsidR="00374C56" w:rsidRPr="00A467CD" w:rsidRDefault="00374C56" w:rsidP="00A202FD">
            <w:pPr>
              <w:spacing w:line="264" w:lineRule="auto"/>
              <w:ind w:left="57" w:right="57"/>
              <w:jc w:val="both"/>
              <w:rPr>
                <w:lang w:eastAsia="en-US"/>
              </w:rPr>
            </w:pPr>
            <w:r w:rsidRPr="00A467CD">
              <w:rPr>
                <w:b/>
                <w:bCs/>
                <w:lang w:eastAsia="en-US"/>
              </w:rPr>
              <w:t>Uygulanabilirlik</w:t>
            </w:r>
          </w:p>
        </w:tc>
      </w:tr>
      <w:tr w:rsidR="00374C56" w:rsidRPr="00A467CD" w14:paraId="01A9C8F6" w14:textId="77777777" w:rsidTr="00374C56">
        <w:tc>
          <w:tcPr>
            <w:tcW w:w="391" w:type="dxa"/>
            <w:tcBorders>
              <w:top w:val="single" w:sz="4" w:space="0" w:color="000000"/>
              <w:left w:val="single" w:sz="4" w:space="0" w:color="000000"/>
              <w:bottom w:val="single" w:sz="4" w:space="0" w:color="000000"/>
              <w:right w:val="single" w:sz="4" w:space="0" w:color="000000"/>
            </w:tcBorders>
            <w:vAlign w:val="center"/>
          </w:tcPr>
          <w:p w14:paraId="18388CA8" w14:textId="77777777" w:rsidR="00374C56" w:rsidRPr="00A467CD" w:rsidRDefault="00374C56" w:rsidP="00A202FD">
            <w:pPr>
              <w:spacing w:line="264" w:lineRule="auto"/>
              <w:ind w:left="57" w:right="57"/>
              <w:jc w:val="both"/>
              <w:rPr>
                <w:lang w:eastAsia="en-US"/>
              </w:rPr>
            </w:pPr>
            <w:r w:rsidRPr="00A467CD">
              <w:rPr>
                <w:lang w:eastAsia="en-US"/>
              </w:rPr>
              <w:t>a</w:t>
            </w:r>
          </w:p>
        </w:tc>
        <w:tc>
          <w:tcPr>
            <w:tcW w:w="4820" w:type="dxa"/>
            <w:tcBorders>
              <w:top w:val="single" w:sz="4" w:space="0" w:color="000000"/>
              <w:left w:val="single" w:sz="4" w:space="0" w:color="000000"/>
              <w:bottom w:val="single" w:sz="4" w:space="0" w:color="000000"/>
              <w:right w:val="single" w:sz="4" w:space="0" w:color="000000"/>
            </w:tcBorders>
            <w:vAlign w:val="center"/>
          </w:tcPr>
          <w:p w14:paraId="4C78B863" w14:textId="77777777" w:rsidR="00374C56" w:rsidRPr="00A467CD" w:rsidRDefault="00374C56" w:rsidP="00A202FD">
            <w:pPr>
              <w:spacing w:line="264" w:lineRule="auto"/>
              <w:ind w:left="57" w:right="57"/>
              <w:jc w:val="both"/>
              <w:rPr>
                <w:lang w:eastAsia="en-US"/>
              </w:rPr>
            </w:pPr>
            <w:r w:rsidRPr="00A467CD">
              <w:rPr>
                <w:lang w:eastAsia="en-US"/>
              </w:rPr>
              <w:t>Elektroliz tanklarının yalıtılması ve örtülmesi</w:t>
            </w:r>
          </w:p>
        </w:tc>
        <w:tc>
          <w:tcPr>
            <w:tcW w:w="3337" w:type="dxa"/>
            <w:tcBorders>
              <w:top w:val="single" w:sz="4" w:space="0" w:color="000000"/>
              <w:left w:val="single" w:sz="4" w:space="0" w:color="000000"/>
              <w:bottom w:val="single" w:sz="4" w:space="0" w:color="000000"/>
              <w:right w:val="single" w:sz="4" w:space="0" w:color="000000"/>
            </w:tcBorders>
            <w:vAlign w:val="center"/>
          </w:tcPr>
          <w:p w14:paraId="4E468003" w14:textId="77777777" w:rsidR="00374C56" w:rsidRPr="00A467CD" w:rsidRDefault="00374C56" w:rsidP="00A202FD">
            <w:pPr>
              <w:spacing w:line="264" w:lineRule="auto"/>
              <w:ind w:left="57" w:right="57"/>
              <w:jc w:val="both"/>
              <w:rPr>
                <w:lang w:eastAsia="en-US"/>
              </w:rPr>
            </w:pPr>
            <w:r w:rsidRPr="00A467CD">
              <w:rPr>
                <w:lang w:eastAsia="en-US"/>
              </w:rPr>
              <w:t>Genellikle uygulanabilir</w:t>
            </w:r>
          </w:p>
        </w:tc>
      </w:tr>
      <w:tr w:rsidR="00374C56" w:rsidRPr="00A467CD" w14:paraId="549394A8" w14:textId="77777777" w:rsidTr="00374C56">
        <w:tc>
          <w:tcPr>
            <w:tcW w:w="391" w:type="dxa"/>
            <w:tcBorders>
              <w:top w:val="single" w:sz="4" w:space="0" w:color="000000"/>
              <w:left w:val="single" w:sz="4" w:space="0" w:color="000000"/>
              <w:bottom w:val="single" w:sz="4" w:space="0" w:color="000000"/>
              <w:right w:val="single" w:sz="4" w:space="0" w:color="000000"/>
            </w:tcBorders>
            <w:vAlign w:val="center"/>
          </w:tcPr>
          <w:p w14:paraId="698F3EFC" w14:textId="77777777" w:rsidR="00374C56" w:rsidRPr="00A467CD" w:rsidRDefault="00374C56" w:rsidP="00A202FD">
            <w:pPr>
              <w:spacing w:line="264" w:lineRule="auto"/>
              <w:ind w:left="57" w:right="57"/>
              <w:jc w:val="both"/>
              <w:rPr>
                <w:lang w:eastAsia="en-US"/>
              </w:rPr>
            </w:pPr>
            <w:r w:rsidRPr="00A467CD">
              <w:rPr>
                <w:lang w:eastAsia="en-US"/>
              </w:rPr>
              <w:t>b</w:t>
            </w:r>
          </w:p>
        </w:tc>
        <w:tc>
          <w:tcPr>
            <w:tcW w:w="4820" w:type="dxa"/>
            <w:tcBorders>
              <w:top w:val="single" w:sz="4" w:space="0" w:color="000000"/>
              <w:left w:val="single" w:sz="4" w:space="0" w:color="000000"/>
              <w:bottom w:val="single" w:sz="4" w:space="0" w:color="000000"/>
              <w:right w:val="single" w:sz="4" w:space="0" w:color="000000"/>
            </w:tcBorders>
            <w:vAlign w:val="center"/>
          </w:tcPr>
          <w:p w14:paraId="37703D8A" w14:textId="77777777" w:rsidR="00374C56" w:rsidRPr="00A467CD" w:rsidRDefault="00374C56" w:rsidP="00A202FD">
            <w:pPr>
              <w:spacing w:line="264" w:lineRule="auto"/>
              <w:ind w:left="57" w:right="57"/>
              <w:jc w:val="both"/>
              <w:rPr>
                <w:lang w:eastAsia="en-US"/>
              </w:rPr>
            </w:pPr>
            <w:r w:rsidRPr="00A467CD">
              <w:rPr>
                <w:bCs/>
                <w:lang w:eastAsia="en-US"/>
              </w:rPr>
              <w:t>Elektrikli özütleme</w:t>
            </w:r>
            <w:r w:rsidRPr="00A467CD">
              <w:rPr>
                <w:lang w:eastAsia="en-US"/>
              </w:rPr>
              <w:t xml:space="preserve"> hücrelerine yüzey aktif maddelerin eklenmesi</w:t>
            </w:r>
          </w:p>
        </w:tc>
        <w:tc>
          <w:tcPr>
            <w:tcW w:w="3337" w:type="dxa"/>
            <w:tcBorders>
              <w:top w:val="single" w:sz="4" w:space="0" w:color="000000"/>
              <w:left w:val="single" w:sz="4" w:space="0" w:color="000000"/>
              <w:bottom w:val="single" w:sz="4" w:space="0" w:color="000000"/>
              <w:right w:val="single" w:sz="4" w:space="0" w:color="000000"/>
            </w:tcBorders>
            <w:vAlign w:val="center"/>
          </w:tcPr>
          <w:p w14:paraId="67F59CF7" w14:textId="77777777" w:rsidR="00374C56" w:rsidRPr="00A467CD" w:rsidRDefault="00374C56" w:rsidP="00A202FD">
            <w:pPr>
              <w:spacing w:line="264" w:lineRule="auto"/>
              <w:ind w:left="57" w:right="57"/>
              <w:jc w:val="both"/>
              <w:rPr>
                <w:lang w:eastAsia="en-US"/>
              </w:rPr>
            </w:pPr>
            <w:r w:rsidRPr="00A467CD">
              <w:rPr>
                <w:lang w:eastAsia="en-US"/>
              </w:rPr>
              <w:t>Genellikle uygulanabilir</w:t>
            </w:r>
          </w:p>
        </w:tc>
      </w:tr>
      <w:tr w:rsidR="00374C56" w:rsidRPr="00A467CD" w14:paraId="095DDF82" w14:textId="77777777" w:rsidTr="00374C56">
        <w:tc>
          <w:tcPr>
            <w:tcW w:w="391" w:type="dxa"/>
            <w:tcBorders>
              <w:top w:val="single" w:sz="4" w:space="0" w:color="000000"/>
              <w:left w:val="single" w:sz="4" w:space="0" w:color="000000"/>
              <w:bottom w:val="single" w:sz="4" w:space="0" w:color="000000"/>
              <w:right w:val="single" w:sz="4" w:space="0" w:color="000000"/>
            </w:tcBorders>
            <w:vAlign w:val="center"/>
          </w:tcPr>
          <w:p w14:paraId="3CBAE492" w14:textId="77777777" w:rsidR="00374C56" w:rsidRPr="00A467CD" w:rsidRDefault="00374C56" w:rsidP="00A202FD">
            <w:pPr>
              <w:spacing w:line="264" w:lineRule="auto"/>
              <w:ind w:left="57" w:right="57"/>
              <w:jc w:val="both"/>
              <w:rPr>
                <w:lang w:eastAsia="en-US"/>
              </w:rPr>
            </w:pPr>
            <w:r w:rsidRPr="00A467CD">
              <w:rPr>
                <w:lang w:eastAsia="en-US"/>
              </w:rPr>
              <w:t>c</w:t>
            </w:r>
          </w:p>
        </w:tc>
        <w:tc>
          <w:tcPr>
            <w:tcW w:w="4820" w:type="dxa"/>
            <w:tcBorders>
              <w:top w:val="single" w:sz="4" w:space="0" w:color="000000"/>
              <w:left w:val="single" w:sz="4" w:space="0" w:color="000000"/>
              <w:bottom w:val="single" w:sz="4" w:space="0" w:color="000000"/>
              <w:right w:val="single" w:sz="4" w:space="0" w:color="000000"/>
            </w:tcBorders>
            <w:vAlign w:val="center"/>
          </w:tcPr>
          <w:p w14:paraId="68DF9253" w14:textId="77777777" w:rsidR="00374C56" w:rsidRPr="00A467CD" w:rsidRDefault="00374C56" w:rsidP="00A202FD">
            <w:pPr>
              <w:spacing w:line="264" w:lineRule="auto"/>
              <w:ind w:left="57" w:right="57"/>
              <w:jc w:val="both"/>
              <w:rPr>
                <w:lang w:eastAsia="en-US"/>
              </w:rPr>
            </w:pPr>
            <w:r w:rsidRPr="00A467CD">
              <w:rPr>
                <w:lang w:eastAsia="en-US"/>
              </w:rPr>
              <w:t>Daha düşük enerji tüketimi için aşağıdaki parametrelerin optimizasyonunu sağlayan geliştirilmiş hücre tasarımı: anot ve katot arasındaki mesafe, anot geometrisi, akım yoğunluğu, elektrolit bileşimi ve sıcaklık</w:t>
            </w:r>
          </w:p>
        </w:tc>
        <w:tc>
          <w:tcPr>
            <w:tcW w:w="3337" w:type="dxa"/>
            <w:tcBorders>
              <w:top w:val="single" w:sz="4" w:space="0" w:color="000000"/>
              <w:left w:val="single" w:sz="4" w:space="0" w:color="000000"/>
              <w:bottom w:val="single" w:sz="4" w:space="0" w:color="000000"/>
              <w:right w:val="single" w:sz="4" w:space="0" w:color="000000"/>
            </w:tcBorders>
            <w:vAlign w:val="center"/>
          </w:tcPr>
          <w:p w14:paraId="63FD5976" w14:textId="46978C49" w:rsidR="00374C56" w:rsidRPr="00A467CD" w:rsidRDefault="005454F6" w:rsidP="00A202FD">
            <w:pPr>
              <w:spacing w:line="264" w:lineRule="auto"/>
              <w:ind w:left="57" w:right="57"/>
              <w:jc w:val="both"/>
              <w:rPr>
                <w:lang w:eastAsia="en-US"/>
              </w:rPr>
            </w:pPr>
            <w:r w:rsidRPr="00A467CD">
              <w:rPr>
                <w:lang w:eastAsia="en-US"/>
              </w:rPr>
              <w:t>Sadece yeni tesisler ve mevcut tesislerin büyük çaplı iyileştirmeleri için geçerlidir.</w:t>
            </w:r>
          </w:p>
        </w:tc>
      </w:tr>
      <w:tr w:rsidR="005454F6" w:rsidRPr="00A467CD" w14:paraId="32613332" w14:textId="77777777" w:rsidTr="00A202FD">
        <w:tc>
          <w:tcPr>
            <w:tcW w:w="391" w:type="dxa"/>
            <w:tcBorders>
              <w:top w:val="single" w:sz="4" w:space="0" w:color="000000"/>
              <w:left w:val="single" w:sz="4" w:space="0" w:color="000000"/>
              <w:bottom w:val="single" w:sz="4" w:space="0" w:color="000000"/>
              <w:right w:val="single" w:sz="4" w:space="0" w:color="000000"/>
            </w:tcBorders>
            <w:vAlign w:val="center"/>
          </w:tcPr>
          <w:p w14:paraId="71543752" w14:textId="77777777" w:rsidR="005454F6" w:rsidRPr="00A467CD" w:rsidRDefault="005454F6" w:rsidP="00A202FD">
            <w:pPr>
              <w:spacing w:line="264" w:lineRule="auto"/>
              <w:ind w:left="57" w:right="57"/>
              <w:jc w:val="both"/>
              <w:rPr>
                <w:lang w:eastAsia="en-US"/>
              </w:rPr>
            </w:pPr>
            <w:r w:rsidRPr="00A467CD">
              <w:rPr>
                <w:lang w:eastAsia="en-US"/>
              </w:rPr>
              <w:lastRenderedPageBreak/>
              <w:t>d</w:t>
            </w:r>
          </w:p>
        </w:tc>
        <w:tc>
          <w:tcPr>
            <w:tcW w:w="4820" w:type="dxa"/>
            <w:tcBorders>
              <w:top w:val="single" w:sz="4" w:space="0" w:color="000000"/>
              <w:left w:val="single" w:sz="4" w:space="0" w:color="000000"/>
              <w:bottom w:val="single" w:sz="4" w:space="0" w:color="000000"/>
              <w:right w:val="single" w:sz="4" w:space="0" w:color="000000"/>
            </w:tcBorders>
            <w:vAlign w:val="center"/>
          </w:tcPr>
          <w:p w14:paraId="46DB2E5D" w14:textId="77777777" w:rsidR="005454F6" w:rsidRPr="00A467CD" w:rsidRDefault="005454F6" w:rsidP="00A202FD">
            <w:pPr>
              <w:spacing w:line="264" w:lineRule="auto"/>
              <w:ind w:left="57" w:right="57"/>
              <w:jc w:val="both"/>
              <w:rPr>
                <w:lang w:eastAsia="en-US"/>
              </w:rPr>
            </w:pPr>
            <w:r w:rsidRPr="00A467CD">
              <w:rPr>
                <w:lang w:eastAsia="en-US"/>
              </w:rPr>
              <w:t>Paslanmaz çelik katot külçelerinin kullanılması</w:t>
            </w:r>
          </w:p>
        </w:tc>
        <w:tc>
          <w:tcPr>
            <w:tcW w:w="3337" w:type="dxa"/>
            <w:tcBorders>
              <w:top w:val="single" w:sz="4" w:space="0" w:color="000000"/>
              <w:left w:val="single" w:sz="4" w:space="0" w:color="000000"/>
              <w:bottom w:val="single" w:sz="4" w:space="0" w:color="000000"/>
              <w:right w:val="single" w:sz="4" w:space="0" w:color="000000"/>
            </w:tcBorders>
          </w:tcPr>
          <w:p w14:paraId="618E7D13" w14:textId="5F8B6AE4" w:rsidR="005454F6" w:rsidRPr="00A467CD" w:rsidRDefault="005454F6" w:rsidP="00A202FD">
            <w:pPr>
              <w:spacing w:line="264" w:lineRule="auto"/>
              <w:ind w:left="57" w:right="57"/>
              <w:jc w:val="both"/>
              <w:rPr>
                <w:lang w:eastAsia="en-US"/>
              </w:rPr>
            </w:pPr>
            <w:r w:rsidRPr="00A467CD">
              <w:t>Sadece yeni tesisler ve mevcut tesislerin büyük çaplı iyileştirmeleri için geçerlidir.</w:t>
            </w:r>
          </w:p>
        </w:tc>
      </w:tr>
      <w:tr w:rsidR="005454F6" w:rsidRPr="00A467CD" w14:paraId="152CB950" w14:textId="77777777" w:rsidTr="00A202FD">
        <w:tc>
          <w:tcPr>
            <w:tcW w:w="391" w:type="dxa"/>
            <w:tcBorders>
              <w:top w:val="single" w:sz="4" w:space="0" w:color="000000"/>
              <w:left w:val="single" w:sz="4" w:space="0" w:color="000000"/>
              <w:bottom w:val="single" w:sz="4" w:space="0" w:color="000000"/>
              <w:right w:val="single" w:sz="4" w:space="0" w:color="000000"/>
            </w:tcBorders>
            <w:vAlign w:val="center"/>
          </w:tcPr>
          <w:p w14:paraId="55F5D137" w14:textId="77777777" w:rsidR="005454F6" w:rsidRPr="00A467CD" w:rsidRDefault="005454F6" w:rsidP="00A202FD">
            <w:pPr>
              <w:spacing w:line="264" w:lineRule="auto"/>
              <w:ind w:left="57" w:right="57"/>
              <w:jc w:val="both"/>
              <w:rPr>
                <w:lang w:eastAsia="en-US"/>
              </w:rPr>
            </w:pPr>
            <w:r w:rsidRPr="00A467CD">
              <w:rPr>
                <w:lang w:eastAsia="en-US"/>
              </w:rPr>
              <w:t>e</w:t>
            </w:r>
          </w:p>
        </w:tc>
        <w:tc>
          <w:tcPr>
            <w:tcW w:w="4820" w:type="dxa"/>
            <w:tcBorders>
              <w:top w:val="single" w:sz="4" w:space="0" w:color="000000"/>
              <w:left w:val="single" w:sz="4" w:space="0" w:color="000000"/>
              <w:bottom w:val="single" w:sz="4" w:space="0" w:color="000000"/>
              <w:right w:val="single" w:sz="4" w:space="0" w:color="000000"/>
            </w:tcBorders>
            <w:vAlign w:val="center"/>
          </w:tcPr>
          <w:p w14:paraId="526812D5" w14:textId="77777777" w:rsidR="005454F6" w:rsidRPr="00A467CD" w:rsidRDefault="005454F6" w:rsidP="00A202FD">
            <w:pPr>
              <w:spacing w:line="264" w:lineRule="auto"/>
              <w:ind w:left="57" w:right="57"/>
              <w:jc w:val="both"/>
              <w:rPr>
                <w:lang w:eastAsia="en-US"/>
              </w:rPr>
            </w:pPr>
            <w:r w:rsidRPr="00A467CD">
              <w:rPr>
                <w:lang w:eastAsia="en-US"/>
              </w:rPr>
              <w:t>Elektrotların hücreye doğru konumlandırılmasını sağlamak için otomatik katot/anot değişimi</w:t>
            </w:r>
          </w:p>
        </w:tc>
        <w:tc>
          <w:tcPr>
            <w:tcW w:w="3337" w:type="dxa"/>
            <w:tcBorders>
              <w:top w:val="single" w:sz="4" w:space="0" w:color="000000"/>
              <w:left w:val="single" w:sz="4" w:space="0" w:color="000000"/>
              <w:bottom w:val="single" w:sz="4" w:space="0" w:color="000000"/>
              <w:right w:val="single" w:sz="4" w:space="0" w:color="000000"/>
            </w:tcBorders>
          </w:tcPr>
          <w:p w14:paraId="7DA745C6" w14:textId="00038358" w:rsidR="005454F6" w:rsidRPr="00A467CD" w:rsidRDefault="005454F6" w:rsidP="00A202FD">
            <w:pPr>
              <w:spacing w:line="264" w:lineRule="auto"/>
              <w:ind w:left="57" w:right="57"/>
              <w:jc w:val="both"/>
              <w:rPr>
                <w:lang w:eastAsia="en-US"/>
              </w:rPr>
            </w:pPr>
            <w:r w:rsidRPr="00A467CD">
              <w:t>Sadece yeni tesisler ve mevcut tesislerin büyük çaplı iyileştirmeleri için geçerlidir.</w:t>
            </w:r>
          </w:p>
        </w:tc>
      </w:tr>
      <w:tr w:rsidR="00374C56" w:rsidRPr="00A467CD" w14:paraId="7D2E3D60" w14:textId="77777777" w:rsidTr="00374C56">
        <w:tc>
          <w:tcPr>
            <w:tcW w:w="391" w:type="dxa"/>
            <w:tcBorders>
              <w:top w:val="single" w:sz="4" w:space="0" w:color="000000"/>
              <w:left w:val="single" w:sz="4" w:space="0" w:color="000000"/>
              <w:bottom w:val="single" w:sz="4" w:space="0" w:color="000000"/>
              <w:right w:val="single" w:sz="4" w:space="0" w:color="000000"/>
            </w:tcBorders>
            <w:vAlign w:val="center"/>
          </w:tcPr>
          <w:p w14:paraId="6FCDF99E" w14:textId="77777777" w:rsidR="00374C56" w:rsidRPr="00A467CD" w:rsidRDefault="00374C56" w:rsidP="00A202FD">
            <w:pPr>
              <w:spacing w:line="264" w:lineRule="auto"/>
              <w:ind w:left="57" w:right="57"/>
              <w:jc w:val="both"/>
              <w:rPr>
                <w:lang w:eastAsia="en-US"/>
              </w:rPr>
            </w:pPr>
            <w:r w:rsidRPr="00A467CD">
              <w:rPr>
                <w:lang w:eastAsia="en-US"/>
              </w:rPr>
              <w:t>f</w:t>
            </w:r>
          </w:p>
        </w:tc>
        <w:tc>
          <w:tcPr>
            <w:tcW w:w="4820" w:type="dxa"/>
            <w:tcBorders>
              <w:top w:val="single" w:sz="4" w:space="0" w:color="000000"/>
              <w:left w:val="single" w:sz="4" w:space="0" w:color="000000"/>
              <w:bottom w:val="single" w:sz="4" w:space="0" w:color="000000"/>
              <w:right w:val="single" w:sz="4" w:space="0" w:color="000000"/>
            </w:tcBorders>
            <w:vAlign w:val="center"/>
          </w:tcPr>
          <w:p w14:paraId="4BEE0E25" w14:textId="15C74960" w:rsidR="00374C56" w:rsidRPr="00A467CD" w:rsidRDefault="005454F6" w:rsidP="00A202FD">
            <w:pPr>
              <w:spacing w:line="264" w:lineRule="auto"/>
              <w:ind w:left="57" w:right="57"/>
              <w:jc w:val="both"/>
              <w:rPr>
                <w:lang w:eastAsia="en-US"/>
              </w:rPr>
            </w:pPr>
            <w:r w:rsidRPr="00A467CD">
              <w:rPr>
                <w:lang w:eastAsia="en-US"/>
              </w:rPr>
              <w:t>Elektrotların düz ve düz olduğundan ve anodun tam ağırlıkta olduğundan emin olmak için kısa devre tespiti ve kalite kontrolü</w:t>
            </w:r>
          </w:p>
        </w:tc>
        <w:tc>
          <w:tcPr>
            <w:tcW w:w="3337" w:type="dxa"/>
            <w:tcBorders>
              <w:top w:val="single" w:sz="4" w:space="0" w:color="000000"/>
              <w:left w:val="single" w:sz="4" w:space="0" w:color="000000"/>
              <w:bottom w:val="single" w:sz="4" w:space="0" w:color="000000"/>
              <w:right w:val="single" w:sz="4" w:space="0" w:color="000000"/>
            </w:tcBorders>
            <w:vAlign w:val="center"/>
          </w:tcPr>
          <w:p w14:paraId="06A18314" w14:textId="77777777" w:rsidR="00374C56" w:rsidRPr="00A467CD" w:rsidRDefault="00374C56" w:rsidP="00A202FD">
            <w:pPr>
              <w:spacing w:line="264" w:lineRule="auto"/>
              <w:ind w:left="57" w:right="57"/>
              <w:jc w:val="both"/>
              <w:rPr>
                <w:lang w:eastAsia="en-US"/>
              </w:rPr>
            </w:pPr>
            <w:r w:rsidRPr="00A467CD">
              <w:rPr>
                <w:lang w:eastAsia="en-US"/>
              </w:rPr>
              <w:t>Genellikle uygulanabilir</w:t>
            </w:r>
          </w:p>
        </w:tc>
      </w:tr>
    </w:tbl>
    <w:p w14:paraId="71F58508" w14:textId="77777777" w:rsidR="00374C56" w:rsidRPr="00A467CD" w:rsidRDefault="00374C56" w:rsidP="00A202FD">
      <w:pPr>
        <w:jc w:val="both"/>
        <w:rPr>
          <w:lang w:eastAsia="en-US"/>
        </w:rPr>
      </w:pPr>
    </w:p>
    <w:p w14:paraId="72FD792B" w14:textId="370F4630" w:rsidR="00374C56" w:rsidRPr="00A467CD" w:rsidRDefault="005454F6" w:rsidP="00A202FD">
      <w:pPr>
        <w:pStyle w:val="Balk3"/>
        <w:rPr>
          <w:rFonts w:cs="Times New Roman"/>
          <w:lang w:eastAsia="en-US"/>
        </w:rPr>
      </w:pPr>
      <w:bookmarkStart w:id="60" w:name="_Toc531927867"/>
      <w:r w:rsidRPr="00A467CD">
        <w:rPr>
          <w:rFonts w:cs="Times New Roman"/>
          <w:lang w:eastAsia="en-US"/>
        </w:rPr>
        <w:t>1.</w:t>
      </w:r>
      <w:r w:rsidR="00374C56" w:rsidRPr="00A467CD">
        <w:rPr>
          <w:rFonts w:cs="Times New Roman"/>
          <w:lang w:eastAsia="en-US"/>
        </w:rPr>
        <w:t>2.3.</w:t>
      </w:r>
      <w:r w:rsidR="00374C56" w:rsidRPr="00A467CD">
        <w:rPr>
          <w:rFonts w:cs="Times New Roman"/>
          <w:lang w:eastAsia="en-US"/>
        </w:rPr>
        <w:tab/>
        <w:t>Hava emisyonlar</w:t>
      </w:r>
      <w:bookmarkEnd w:id="60"/>
      <w:r w:rsidRPr="00A467CD">
        <w:rPr>
          <w:rFonts w:cs="Times New Roman"/>
          <w:lang w:eastAsia="en-US"/>
        </w:rPr>
        <w:t xml:space="preserve">ı </w:t>
      </w:r>
    </w:p>
    <w:p w14:paraId="011E4ACE" w14:textId="2EECEC88" w:rsidR="00374C56" w:rsidRPr="00A467CD" w:rsidRDefault="00374C56" w:rsidP="00A202FD">
      <w:pPr>
        <w:pStyle w:val="MET"/>
        <w:rPr>
          <w:szCs w:val="24"/>
        </w:rPr>
      </w:pPr>
      <w:r w:rsidRPr="00A467CD">
        <w:rPr>
          <w:szCs w:val="24"/>
        </w:rPr>
        <w:t>MET 24</w:t>
      </w:r>
      <w:r w:rsidR="009F7456" w:rsidRPr="00A467CD">
        <w:rPr>
          <w:szCs w:val="24"/>
        </w:rPr>
        <w:t xml:space="preserve">: </w:t>
      </w:r>
      <w:r w:rsidRPr="00A467CD">
        <w:rPr>
          <w:b w:val="0"/>
          <w:bCs/>
          <w:szCs w:val="24"/>
        </w:rPr>
        <w:t>Birincil bakır üretiminde fırınlardan ve yardımcı teçhizatlardan kaynaklardan havaya verilen ikincil emisyonları azaltmak ve emisyon azaltma sisteminin performansını optimize etmek için</w:t>
      </w:r>
      <w:r w:rsidR="009F7456" w:rsidRPr="00A467CD">
        <w:rPr>
          <w:b w:val="0"/>
          <w:bCs/>
          <w:szCs w:val="24"/>
        </w:rPr>
        <w:t xml:space="preserve"> </w:t>
      </w:r>
      <w:r w:rsidRPr="00A467CD">
        <w:rPr>
          <w:b w:val="0"/>
          <w:bCs/>
          <w:szCs w:val="24"/>
        </w:rPr>
        <w:t>ikincil emisyonlar merkezi bir atık gaz temizleme sisteminde topla</w:t>
      </w:r>
      <w:r w:rsidR="009F7456" w:rsidRPr="00A467CD">
        <w:rPr>
          <w:b w:val="0"/>
          <w:bCs/>
          <w:szCs w:val="24"/>
        </w:rPr>
        <w:t xml:space="preserve">nır, </w:t>
      </w:r>
      <w:r w:rsidRPr="00A467CD">
        <w:rPr>
          <w:b w:val="0"/>
          <w:bCs/>
          <w:szCs w:val="24"/>
        </w:rPr>
        <w:t>karıştır</w:t>
      </w:r>
      <w:r w:rsidR="009F7456" w:rsidRPr="00A467CD">
        <w:rPr>
          <w:b w:val="0"/>
          <w:bCs/>
          <w:szCs w:val="24"/>
        </w:rPr>
        <w:t xml:space="preserve">ılır </w:t>
      </w:r>
      <w:r w:rsidRPr="00A467CD">
        <w:rPr>
          <w:b w:val="0"/>
          <w:bCs/>
          <w:szCs w:val="24"/>
        </w:rPr>
        <w:t>ve arıt</w:t>
      </w:r>
      <w:r w:rsidR="009F7456" w:rsidRPr="00A467CD">
        <w:rPr>
          <w:b w:val="0"/>
          <w:bCs/>
          <w:szCs w:val="24"/>
        </w:rPr>
        <w:t>ılır</w:t>
      </w:r>
      <w:r w:rsidRPr="00A467CD">
        <w:rPr>
          <w:b w:val="0"/>
          <w:bCs/>
          <w:szCs w:val="24"/>
        </w:rPr>
        <w:t>.</w:t>
      </w:r>
    </w:p>
    <w:p w14:paraId="02286EC5" w14:textId="50B2DE5E" w:rsidR="00374C56" w:rsidRPr="00A467CD" w:rsidRDefault="00AE34BF" w:rsidP="00A202FD">
      <w:pPr>
        <w:spacing w:after="40"/>
        <w:jc w:val="both"/>
        <w:rPr>
          <w:b/>
          <w:lang w:eastAsia="en-US"/>
        </w:rPr>
      </w:pPr>
      <w:r w:rsidRPr="00A467CD">
        <w:rPr>
          <w:b/>
          <w:lang w:eastAsia="en-US"/>
        </w:rPr>
        <w:t>Tanım</w:t>
      </w:r>
    </w:p>
    <w:p w14:paraId="1298D376" w14:textId="77777777" w:rsidR="00AE34BF" w:rsidRPr="00A467CD" w:rsidRDefault="00AE34BF" w:rsidP="00A202FD">
      <w:pPr>
        <w:jc w:val="both"/>
        <w:rPr>
          <w:lang w:eastAsia="en-US"/>
        </w:rPr>
      </w:pPr>
      <w:r w:rsidRPr="00A467CD">
        <w:rPr>
          <w:lang w:eastAsia="en-US"/>
        </w:rPr>
        <w:t xml:space="preserve">Çeşitli kaynaklardan gelen ikincil emisyonlar, her bir akışta bulunan kirleticileri etkili bir şekilde arıtmak için tasarlanmış tek bir merkezi gaz temizleme sisteminde toplanır, karıştırılır ve arıtılır. Kimyasal olarak uyumlu olmayan akışların karıştırılmamasına ve toplanan farklı akışlar arasında istenmeyen kimyasal reaksiyonların önlenmesine dikkat edilir. </w:t>
      </w:r>
    </w:p>
    <w:p w14:paraId="5CCC5F46" w14:textId="4105B260" w:rsidR="00374C56" w:rsidRPr="00A467CD" w:rsidRDefault="00374C56" w:rsidP="00A202FD">
      <w:pPr>
        <w:jc w:val="both"/>
        <w:rPr>
          <w:b/>
          <w:bCs/>
          <w:lang w:eastAsia="en-US"/>
        </w:rPr>
      </w:pPr>
      <w:r w:rsidRPr="00A467CD">
        <w:rPr>
          <w:b/>
          <w:bCs/>
          <w:lang w:eastAsia="en-US"/>
        </w:rPr>
        <w:t>Uygulanabilirlik</w:t>
      </w:r>
    </w:p>
    <w:p w14:paraId="276FF758" w14:textId="77777777" w:rsidR="00374C56" w:rsidRPr="00A467CD" w:rsidRDefault="00374C56" w:rsidP="00A202FD">
      <w:pPr>
        <w:jc w:val="both"/>
        <w:rPr>
          <w:lang w:eastAsia="en-US"/>
        </w:rPr>
      </w:pPr>
      <w:r w:rsidRPr="00A467CD">
        <w:rPr>
          <w:lang w:eastAsia="en-US"/>
        </w:rPr>
        <w:t>Uygulanabilirlik, mevcut tesislerde tasarım ve yerleşim düzeni nedeni ile sınırlanabilir.</w:t>
      </w:r>
    </w:p>
    <w:p w14:paraId="0D70A890" w14:textId="77777777" w:rsidR="00374C56" w:rsidRPr="00A467CD" w:rsidRDefault="00374C56" w:rsidP="00A202FD">
      <w:pPr>
        <w:jc w:val="both"/>
        <w:rPr>
          <w:lang w:eastAsia="en-US"/>
        </w:rPr>
      </w:pPr>
    </w:p>
    <w:p w14:paraId="35FF5BA1" w14:textId="1B7ED9B6" w:rsidR="00374C56" w:rsidRPr="00A467CD" w:rsidRDefault="00AE34BF" w:rsidP="00A202FD">
      <w:pPr>
        <w:pStyle w:val="Balk4"/>
        <w:rPr>
          <w:rFonts w:cs="Times New Roman"/>
          <w:lang w:eastAsia="en-US"/>
        </w:rPr>
      </w:pPr>
      <w:r w:rsidRPr="00A467CD">
        <w:rPr>
          <w:rFonts w:cs="Times New Roman"/>
          <w:lang w:eastAsia="en-US"/>
        </w:rPr>
        <w:t>1.</w:t>
      </w:r>
      <w:r w:rsidR="00374C56" w:rsidRPr="00A467CD">
        <w:rPr>
          <w:rFonts w:cs="Times New Roman"/>
          <w:lang w:eastAsia="en-US"/>
        </w:rPr>
        <w:t>2.3.1.</w:t>
      </w:r>
      <w:r w:rsidRPr="00A467CD">
        <w:rPr>
          <w:rFonts w:cs="Times New Roman"/>
          <w:lang w:eastAsia="en-US"/>
        </w:rPr>
        <w:t xml:space="preserve"> </w:t>
      </w:r>
      <w:r w:rsidR="00374C56" w:rsidRPr="00A467CD">
        <w:rPr>
          <w:rFonts w:cs="Times New Roman"/>
          <w:lang w:eastAsia="en-US"/>
        </w:rPr>
        <w:t>Yayılı emisyonlar</w:t>
      </w:r>
    </w:p>
    <w:p w14:paraId="206AF5A0" w14:textId="4AC8C74D" w:rsidR="00374C56" w:rsidRPr="00A467CD" w:rsidRDefault="00374C56" w:rsidP="00A202FD">
      <w:pPr>
        <w:tabs>
          <w:tab w:val="left" w:pos="1134"/>
        </w:tabs>
        <w:spacing w:after="240"/>
        <w:jc w:val="both"/>
        <w:rPr>
          <w:b/>
          <w:lang w:eastAsia="en-US"/>
        </w:rPr>
      </w:pPr>
      <w:r w:rsidRPr="00A467CD">
        <w:rPr>
          <w:rStyle w:val="METChar"/>
          <w:szCs w:val="24"/>
        </w:rPr>
        <w:t>MET 25</w:t>
      </w:r>
      <w:r w:rsidR="009F7456" w:rsidRPr="00A467CD">
        <w:rPr>
          <w:rStyle w:val="METChar"/>
          <w:szCs w:val="24"/>
        </w:rPr>
        <w:t>:</w:t>
      </w:r>
      <w:r w:rsidR="00412ED3" w:rsidRPr="00A467CD">
        <w:rPr>
          <w:rStyle w:val="METChar"/>
          <w:szCs w:val="24"/>
        </w:rPr>
        <w:t xml:space="preserve"> </w:t>
      </w:r>
      <w:r w:rsidRPr="00A467CD">
        <w:rPr>
          <w:rStyle w:val="METChar"/>
          <w:b w:val="0"/>
          <w:bCs/>
          <w:szCs w:val="24"/>
        </w:rPr>
        <w:t>Birincil ve ikincil malzemelerin ön işlemlerden (harmanlama, kurutma, karıştırma, homojenleştirme, eleme ve peletleme gibi) geçirilmesi sırasında ortaya çıkan Yayılı emisyonları önlemek veya azaltmak içi</w:t>
      </w:r>
      <w:r w:rsidR="009F7456" w:rsidRPr="00A467CD">
        <w:rPr>
          <w:rStyle w:val="METChar"/>
          <w:b w:val="0"/>
          <w:bCs/>
          <w:szCs w:val="24"/>
        </w:rPr>
        <w:t>n</w:t>
      </w:r>
      <w:r w:rsidRPr="00A467CD">
        <w:rPr>
          <w:rStyle w:val="METChar"/>
          <w:b w:val="0"/>
          <w:bCs/>
          <w:szCs w:val="24"/>
        </w:rPr>
        <w:t>, aşağıda verilen tekniklerin biri</w:t>
      </w:r>
      <w:r w:rsidR="009F7456" w:rsidRPr="00A467CD">
        <w:rPr>
          <w:rStyle w:val="METChar"/>
          <w:b w:val="0"/>
          <w:bCs/>
          <w:szCs w:val="24"/>
        </w:rPr>
        <w:t xml:space="preserve"> </w:t>
      </w:r>
      <w:r w:rsidRPr="00A467CD">
        <w:rPr>
          <w:rStyle w:val="METChar"/>
          <w:b w:val="0"/>
          <w:bCs/>
          <w:szCs w:val="24"/>
        </w:rPr>
        <w:t>veya birkaçı</w:t>
      </w:r>
      <w:r w:rsidR="009F7456" w:rsidRPr="00A467CD">
        <w:rPr>
          <w:rStyle w:val="METChar"/>
          <w:b w:val="0"/>
          <w:bCs/>
          <w:szCs w:val="24"/>
        </w:rPr>
        <w:t>nın</w:t>
      </w:r>
      <w:r w:rsidRPr="00A467CD">
        <w:rPr>
          <w:rStyle w:val="METChar"/>
          <w:b w:val="0"/>
          <w:bCs/>
          <w:szCs w:val="24"/>
        </w:rPr>
        <w:t xml:space="preserve"> bir kombinasyonu kullan</w:t>
      </w:r>
      <w:r w:rsidR="009F7456" w:rsidRPr="00A467CD">
        <w:rPr>
          <w:rStyle w:val="METChar"/>
          <w:b w:val="0"/>
          <w:bCs/>
          <w:szCs w:val="24"/>
        </w:rPr>
        <w:t>ılır</w:t>
      </w:r>
      <w:r w:rsidR="009F7456" w:rsidRPr="00A467CD">
        <w:rPr>
          <w:b/>
          <w:bCs/>
          <w:lang w:eastAsia="en-US"/>
        </w:rPr>
        <w:t>.</w:t>
      </w:r>
    </w:p>
    <w:tbl>
      <w:tblPr>
        <w:tblW w:w="9351" w:type="dxa"/>
        <w:tblLayout w:type="fixed"/>
        <w:tblCellMar>
          <w:left w:w="0" w:type="dxa"/>
          <w:right w:w="0" w:type="dxa"/>
        </w:tblCellMar>
        <w:tblLook w:val="01E0" w:firstRow="1" w:lastRow="1" w:firstColumn="1" w:lastColumn="1" w:noHBand="0" w:noVBand="0"/>
      </w:tblPr>
      <w:tblGrid>
        <w:gridCol w:w="279"/>
        <w:gridCol w:w="4961"/>
        <w:gridCol w:w="4111"/>
      </w:tblGrid>
      <w:tr w:rsidR="00374C56" w:rsidRPr="00A467CD" w14:paraId="5463A4EA" w14:textId="77777777" w:rsidTr="00412ED3">
        <w:trPr>
          <w:trHeight w:val="340"/>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425DAF33" w14:textId="77777777" w:rsidR="00374C56" w:rsidRPr="009077F5" w:rsidRDefault="00374C56" w:rsidP="00A202FD">
            <w:pPr>
              <w:spacing w:line="264" w:lineRule="auto"/>
              <w:ind w:left="57" w:right="57"/>
              <w:jc w:val="both"/>
              <w:rPr>
                <w:lang w:eastAsia="en-US"/>
              </w:rPr>
            </w:pPr>
            <w:r w:rsidRPr="009077F5">
              <w:rPr>
                <w:b/>
                <w:bCs/>
                <w:lang w:eastAsia="en-US"/>
              </w:rPr>
              <w:t>Teknik</w:t>
            </w:r>
          </w:p>
        </w:tc>
        <w:tc>
          <w:tcPr>
            <w:tcW w:w="4111" w:type="dxa"/>
            <w:tcBorders>
              <w:top w:val="single" w:sz="4" w:space="0" w:color="000000"/>
              <w:left w:val="single" w:sz="4" w:space="0" w:color="000000"/>
              <w:bottom w:val="single" w:sz="4" w:space="0" w:color="000000"/>
              <w:right w:val="single" w:sz="4" w:space="0" w:color="000000"/>
            </w:tcBorders>
            <w:vAlign w:val="center"/>
          </w:tcPr>
          <w:p w14:paraId="1F171A96" w14:textId="77777777" w:rsidR="00374C56" w:rsidRPr="009077F5" w:rsidRDefault="00374C56" w:rsidP="00A202FD">
            <w:pPr>
              <w:spacing w:line="264" w:lineRule="auto"/>
              <w:ind w:left="57" w:right="57"/>
              <w:jc w:val="both"/>
              <w:rPr>
                <w:lang w:eastAsia="en-US"/>
              </w:rPr>
            </w:pPr>
            <w:r w:rsidRPr="009077F5">
              <w:rPr>
                <w:b/>
                <w:bCs/>
                <w:lang w:eastAsia="en-US"/>
              </w:rPr>
              <w:t>Uygulanabilirlik</w:t>
            </w:r>
          </w:p>
        </w:tc>
      </w:tr>
      <w:tr w:rsidR="00374C56" w:rsidRPr="00A467CD" w14:paraId="0B7E3686" w14:textId="77777777" w:rsidTr="00412ED3">
        <w:tc>
          <w:tcPr>
            <w:tcW w:w="279" w:type="dxa"/>
            <w:tcBorders>
              <w:top w:val="single" w:sz="4" w:space="0" w:color="000000"/>
              <w:left w:val="single" w:sz="4" w:space="0" w:color="000000"/>
              <w:bottom w:val="single" w:sz="4" w:space="0" w:color="000000"/>
              <w:right w:val="single" w:sz="4" w:space="0" w:color="000000"/>
            </w:tcBorders>
            <w:vAlign w:val="center"/>
          </w:tcPr>
          <w:p w14:paraId="0DBA763C" w14:textId="77777777" w:rsidR="00374C56" w:rsidRPr="009077F5" w:rsidRDefault="00374C56" w:rsidP="00A202FD">
            <w:pPr>
              <w:spacing w:line="264" w:lineRule="auto"/>
              <w:ind w:left="57" w:right="57"/>
              <w:jc w:val="both"/>
              <w:rPr>
                <w:lang w:eastAsia="en-US"/>
              </w:rPr>
            </w:pPr>
            <w:r w:rsidRPr="009077F5">
              <w:rPr>
                <w:lang w:eastAsia="en-US"/>
              </w:rPr>
              <w:t>a</w:t>
            </w:r>
          </w:p>
        </w:tc>
        <w:tc>
          <w:tcPr>
            <w:tcW w:w="4961" w:type="dxa"/>
            <w:tcBorders>
              <w:top w:val="single" w:sz="4" w:space="0" w:color="000000"/>
              <w:left w:val="single" w:sz="4" w:space="0" w:color="000000"/>
              <w:bottom w:val="single" w:sz="4" w:space="0" w:color="000000"/>
              <w:right w:val="single" w:sz="4" w:space="0" w:color="000000"/>
            </w:tcBorders>
            <w:vAlign w:val="center"/>
          </w:tcPr>
          <w:p w14:paraId="45568B60" w14:textId="77777777" w:rsidR="00374C56" w:rsidRPr="009077F5" w:rsidRDefault="00374C56" w:rsidP="00A202FD">
            <w:pPr>
              <w:spacing w:line="264" w:lineRule="auto"/>
              <w:ind w:left="57" w:right="57"/>
              <w:jc w:val="both"/>
              <w:rPr>
                <w:lang w:eastAsia="en-US"/>
              </w:rPr>
            </w:pPr>
            <w:r w:rsidRPr="009077F5">
              <w:rPr>
                <w:lang w:eastAsia="en-US"/>
              </w:rPr>
              <w:t>Tozlu malzemeler için etrafı kapalı konveyörler veya pnömatik transfer sistemlerinin kullanılması</w:t>
            </w:r>
          </w:p>
        </w:tc>
        <w:tc>
          <w:tcPr>
            <w:tcW w:w="4111" w:type="dxa"/>
            <w:tcBorders>
              <w:top w:val="single" w:sz="4" w:space="0" w:color="000000"/>
              <w:left w:val="single" w:sz="4" w:space="0" w:color="000000"/>
              <w:bottom w:val="single" w:sz="4" w:space="0" w:color="000000"/>
              <w:right w:val="single" w:sz="4" w:space="0" w:color="000000"/>
            </w:tcBorders>
            <w:vAlign w:val="center"/>
          </w:tcPr>
          <w:p w14:paraId="242DC8D4"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5A116825" w14:textId="77777777" w:rsidTr="00412ED3">
        <w:tc>
          <w:tcPr>
            <w:tcW w:w="279" w:type="dxa"/>
            <w:tcBorders>
              <w:top w:val="single" w:sz="4" w:space="0" w:color="000000"/>
              <w:left w:val="single" w:sz="4" w:space="0" w:color="000000"/>
              <w:bottom w:val="single" w:sz="4" w:space="0" w:color="000000"/>
              <w:right w:val="single" w:sz="4" w:space="0" w:color="000000"/>
            </w:tcBorders>
            <w:vAlign w:val="center"/>
          </w:tcPr>
          <w:p w14:paraId="03FE6D6D" w14:textId="77777777" w:rsidR="00374C56" w:rsidRPr="009077F5" w:rsidRDefault="00374C56" w:rsidP="00A202FD">
            <w:pPr>
              <w:spacing w:line="264" w:lineRule="auto"/>
              <w:ind w:left="57" w:right="57"/>
              <w:jc w:val="both"/>
              <w:rPr>
                <w:lang w:eastAsia="en-US"/>
              </w:rPr>
            </w:pPr>
            <w:r w:rsidRPr="009077F5">
              <w:rPr>
                <w:lang w:eastAsia="en-US"/>
              </w:rPr>
              <w:t>b</w:t>
            </w:r>
          </w:p>
        </w:tc>
        <w:tc>
          <w:tcPr>
            <w:tcW w:w="4961" w:type="dxa"/>
            <w:tcBorders>
              <w:top w:val="single" w:sz="4" w:space="0" w:color="000000"/>
              <w:left w:val="single" w:sz="4" w:space="0" w:color="000000"/>
              <w:bottom w:val="single" w:sz="4" w:space="0" w:color="000000"/>
              <w:right w:val="single" w:sz="4" w:space="0" w:color="000000"/>
            </w:tcBorders>
            <w:vAlign w:val="center"/>
          </w:tcPr>
          <w:p w14:paraId="128469AD" w14:textId="425394BF" w:rsidR="00374C56" w:rsidRPr="009077F5" w:rsidRDefault="00374C56" w:rsidP="00A202FD">
            <w:pPr>
              <w:spacing w:line="264" w:lineRule="auto"/>
              <w:ind w:left="57" w:right="57"/>
              <w:jc w:val="both"/>
              <w:rPr>
                <w:lang w:eastAsia="en-US"/>
              </w:rPr>
            </w:pPr>
            <w:r w:rsidRPr="009077F5">
              <w:rPr>
                <w:lang w:eastAsia="en-US"/>
              </w:rPr>
              <w:t>Karıştırma gibi tozlu materyallerle yapılan faaliyetlerin kapalı bir binada</w:t>
            </w:r>
            <w:r w:rsidR="00412ED3" w:rsidRPr="009077F5">
              <w:rPr>
                <w:lang w:eastAsia="en-US"/>
              </w:rPr>
              <w:t xml:space="preserve"> </w:t>
            </w:r>
            <w:r w:rsidRPr="009077F5">
              <w:rPr>
                <w:lang w:eastAsia="en-US"/>
              </w:rPr>
              <w:t>gerçekleştirilmesi</w:t>
            </w:r>
          </w:p>
        </w:tc>
        <w:tc>
          <w:tcPr>
            <w:tcW w:w="4111" w:type="dxa"/>
            <w:tcBorders>
              <w:top w:val="single" w:sz="4" w:space="0" w:color="000000"/>
              <w:left w:val="single" w:sz="4" w:space="0" w:color="000000"/>
              <w:bottom w:val="single" w:sz="4" w:space="0" w:color="000000"/>
              <w:right w:val="single" w:sz="4" w:space="0" w:color="000000"/>
            </w:tcBorders>
            <w:vAlign w:val="center"/>
          </w:tcPr>
          <w:p w14:paraId="7CD6DE0C" w14:textId="77777777" w:rsidR="00374C56" w:rsidRPr="009077F5" w:rsidRDefault="00374C56" w:rsidP="00A202FD">
            <w:pPr>
              <w:spacing w:line="264" w:lineRule="auto"/>
              <w:ind w:left="57" w:right="57"/>
              <w:jc w:val="both"/>
              <w:rPr>
                <w:lang w:eastAsia="en-US"/>
              </w:rPr>
            </w:pPr>
            <w:r w:rsidRPr="009077F5">
              <w:rPr>
                <w:lang w:eastAsia="en-US"/>
              </w:rPr>
              <w:t>Mevcut tesislerde alan gereksinimleri nedeniyle uygulama zorlaşabilir</w:t>
            </w:r>
          </w:p>
        </w:tc>
      </w:tr>
      <w:tr w:rsidR="00374C56" w:rsidRPr="00A467CD" w14:paraId="2DFE7053" w14:textId="77777777" w:rsidTr="00412ED3">
        <w:tc>
          <w:tcPr>
            <w:tcW w:w="279" w:type="dxa"/>
            <w:tcBorders>
              <w:top w:val="single" w:sz="4" w:space="0" w:color="000000"/>
              <w:left w:val="single" w:sz="4" w:space="0" w:color="000000"/>
              <w:bottom w:val="single" w:sz="4" w:space="0" w:color="000000"/>
              <w:right w:val="single" w:sz="4" w:space="0" w:color="000000"/>
            </w:tcBorders>
            <w:vAlign w:val="center"/>
          </w:tcPr>
          <w:p w14:paraId="58505122" w14:textId="77777777" w:rsidR="00374C56" w:rsidRPr="009077F5" w:rsidRDefault="00374C56" w:rsidP="00A202FD">
            <w:pPr>
              <w:spacing w:line="264" w:lineRule="auto"/>
              <w:ind w:left="57" w:right="57"/>
              <w:jc w:val="both"/>
              <w:rPr>
                <w:lang w:eastAsia="en-US"/>
              </w:rPr>
            </w:pPr>
            <w:r w:rsidRPr="009077F5">
              <w:rPr>
                <w:lang w:eastAsia="en-US"/>
              </w:rPr>
              <w:t>c</w:t>
            </w:r>
          </w:p>
        </w:tc>
        <w:tc>
          <w:tcPr>
            <w:tcW w:w="4961" w:type="dxa"/>
            <w:tcBorders>
              <w:top w:val="single" w:sz="4" w:space="0" w:color="000000"/>
              <w:left w:val="single" w:sz="4" w:space="0" w:color="000000"/>
              <w:bottom w:val="single" w:sz="4" w:space="0" w:color="000000"/>
              <w:right w:val="single" w:sz="4" w:space="0" w:color="000000"/>
            </w:tcBorders>
            <w:vAlign w:val="center"/>
          </w:tcPr>
          <w:p w14:paraId="1C456C3B" w14:textId="28FEF237" w:rsidR="00374C56" w:rsidRPr="009077F5" w:rsidRDefault="00412ED3" w:rsidP="00A202FD">
            <w:pPr>
              <w:spacing w:line="264" w:lineRule="auto"/>
              <w:ind w:left="57" w:right="57"/>
              <w:jc w:val="both"/>
              <w:rPr>
                <w:lang w:eastAsia="en-US"/>
              </w:rPr>
            </w:pPr>
            <w:r w:rsidRPr="009077F5">
              <w:rPr>
                <w:lang w:eastAsia="en-US"/>
              </w:rPr>
              <w:t>Tazyikli</w:t>
            </w:r>
            <w:r w:rsidR="00374C56" w:rsidRPr="009077F5">
              <w:rPr>
                <w:lang w:eastAsia="en-US"/>
              </w:rPr>
              <w:t xml:space="preserve"> su fışkırt</w:t>
            </w:r>
            <w:r w:rsidRPr="009077F5">
              <w:rPr>
                <w:lang w:eastAsia="en-US"/>
              </w:rPr>
              <w:t>ma</w:t>
            </w:r>
            <w:r w:rsidR="00374C56" w:rsidRPr="009077F5">
              <w:rPr>
                <w:lang w:eastAsia="en-US"/>
              </w:rPr>
              <w:t xml:space="preserve"> veya </w:t>
            </w:r>
            <w:r w:rsidRPr="009077F5">
              <w:rPr>
                <w:lang w:eastAsia="en-US"/>
              </w:rPr>
              <w:t>su püskürtme</w:t>
            </w:r>
            <w:r w:rsidR="00374C56" w:rsidRPr="009077F5">
              <w:rPr>
                <w:lang w:eastAsia="en-US"/>
              </w:rPr>
              <w:t xml:space="preserve"> gibi toz bastırma sistemleri kullanılması</w:t>
            </w:r>
          </w:p>
        </w:tc>
        <w:tc>
          <w:tcPr>
            <w:tcW w:w="4111" w:type="dxa"/>
            <w:tcBorders>
              <w:top w:val="single" w:sz="4" w:space="0" w:color="000000"/>
              <w:left w:val="single" w:sz="4" w:space="0" w:color="000000"/>
              <w:bottom w:val="single" w:sz="4" w:space="0" w:color="000000"/>
              <w:right w:val="single" w:sz="4" w:space="0" w:color="000000"/>
            </w:tcBorders>
            <w:vAlign w:val="center"/>
          </w:tcPr>
          <w:p w14:paraId="2E55D5F9" w14:textId="58B2F91B" w:rsidR="00374C56" w:rsidRPr="009077F5" w:rsidRDefault="00412ED3" w:rsidP="00A202FD">
            <w:pPr>
              <w:spacing w:line="264" w:lineRule="auto"/>
              <w:ind w:left="57" w:right="57"/>
              <w:jc w:val="both"/>
              <w:rPr>
                <w:lang w:eastAsia="en-US"/>
              </w:rPr>
            </w:pPr>
            <w:r w:rsidRPr="009077F5">
              <w:rPr>
                <w:lang w:eastAsia="en-US"/>
              </w:rPr>
              <w:t>İç mekanlarda gerçekleştirilen karıştırma işlemleri için geçerli değildir. Kuru malzeme gerektiren prosesler için geçerli değildir. Su kıtlığı olan veya çok düşük sıcaklıklara sahip bölgelerde de uygulama sınırlıdır.</w:t>
            </w:r>
          </w:p>
        </w:tc>
      </w:tr>
      <w:tr w:rsidR="00374C56" w:rsidRPr="00A467CD" w14:paraId="7480BEE7" w14:textId="77777777" w:rsidTr="00412ED3">
        <w:tc>
          <w:tcPr>
            <w:tcW w:w="279" w:type="dxa"/>
            <w:tcBorders>
              <w:top w:val="single" w:sz="4" w:space="0" w:color="000000"/>
              <w:left w:val="single" w:sz="4" w:space="0" w:color="000000"/>
              <w:bottom w:val="single" w:sz="4" w:space="0" w:color="000000"/>
              <w:right w:val="single" w:sz="4" w:space="0" w:color="000000"/>
            </w:tcBorders>
            <w:vAlign w:val="center"/>
          </w:tcPr>
          <w:p w14:paraId="1527E2D7" w14:textId="77777777" w:rsidR="00374C56" w:rsidRPr="009077F5" w:rsidRDefault="00374C56" w:rsidP="00A202FD">
            <w:pPr>
              <w:spacing w:line="264" w:lineRule="auto"/>
              <w:ind w:left="57" w:right="57"/>
              <w:jc w:val="both"/>
              <w:rPr>
                <w:lang w:eastAsia="en-US"/>
              </w:rPr>
            </w:pPr>
            <w:r w:rsidRPr="009077F5">
              <w:rPr>
                <w:lang w:eastAsia="en-US"/>
              </w:rPr>
              <w:t>d</w:t>
            </w:r>
          </w:p>
        </w:tc>
        <w:tc>
          <w:tcPr>
            <w:tcW w:w="4961" w:type="dxa"/>
            <w:tcBorders>
              <w:top w:val="single" w:sz="4" w:space="0" w:color="000000"/>
              <w:left w:val="single" w:sz="4" w:space="0" w:color="000000"/>
              <w:bottom w:val="single" w:sz="4" w:space="0" w:color="000000"/>
              <w:right w:val="single" w:sz="4" w:space="0" w:color="000000"/>
            </w:tcBorders>
          </w:tcPr>
          <w:p w14:paraId="36361EE8" w14:textId="1C60E72C" w:rsidR="00374C56" w:rsidRPr="009077F5" w:rsidRDefault="00412ED3" w:rsidP="00A202FD">
            <w:pPr>
              <w:spacing w:line="264" w:lineRule="auto"/>
              <w:ind w:left="57" w:right="57"/>
              <w:jc w:val="both"/>
              <w:rPr>
                <w:lang w:eastAsia="en-US"/>
              </w:rPr>
            </w:pPr>
            <w:r w:rsidRPr="009077F5">
              <w:rPr>
                <w:lang w:eastAsia="en-US"/>
              </w:rPr>
              <w:t>Tozlu malzeme ile yapılan işlemler için (kurutma, karıştırma, öğütme, hava ayrıştırma ve peletleme gibi) bir azaltma sistemine bağlı bir hava tahliye sistemi ile kapalı ekipman kullanın</w:t>
            </w:r>
          </w:p>
        </w:tc>
        <w:tc>
          <w:tcPr>
            <w:tcW w:w="4111" w:type="dxa"/>
            <w:tcBorders>
              <w:top w:val="single" w:sz="4" w:space="0" w:color="000000"/>
              <w:left w:val="single" w:sz="4" w:space="0" w:color="000000"/>
              <w:bottom w:val="single" w:sz="4" w:space="0" w:color="000000"/>
              <w:right w:val="single" w:sz="4" w:space="0" w:color="000000"/>
            </w:tcBorders>
            <w:vAlign w:val="center"/>
          </w:tcPr>
          <w:p w14:paraId="554C8B16"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5BFE2BC8" w14:textId="77777777" w:rsidTr="00412ED3">
        <w:tc>
          <w:tcPr>
            <w:tcW w:w="279" w:type="dxa"/>
            <w:tcBorders>
              <w:top w:val="single" w:sz="4" w:space="0" w:color="000000"/>
              <w:left w:val="single" w:sz="4" w:space="0" w:color="000000"/>
              <w:bottom w:val="single" w:sz="4" w:space="0" w:color="000000"/>
              <w:right w:val="single" w:sz="4" w:space="0" w:color="000000"/>
            </w:tcBorders>
            <w:vAlign w:val="center"/>
          </w:tcPr>
          <w:p w14:paraId="0A28A40D" w14:textId="77777777" w:rsidR="00374C56" w:rsidRPr="009077F5" w:rsidRDefault="00374C56" w:rsidP="00A202FD">
            <w:pPr>
              <w:spacing w:line="264" w:lineRule="auto"/>
              <w:ind w:left="57" w:right="57"/>
              <w:jc w:val="both"/>
              <w:rPr>
                <w:lang w:eastAsia="en-US"/>
              </w:rPr>
            </w:pPr>
            <w:r w:rsidRPr="009077F5">
              <w:rPr>
                <w:lang w:eastAsia="en-US"/>
              </w:rPr>
              <w:lastRenderedPageBreak/>
              <w:t>e</w:t>
            </w:r>
          </w:p>
        </w:tc>
        <w:tc>
          <w:tcPr>
            <w:tcW w:w="4961" w:type="dxa"/>
            <w:tcBorders>
              <w:top w:val="single" w:sz="4" w:space="0" w:color="000000"/>
              <w:left w:val="single" w:sz="4" w:space="0" w:color="000000"/>
              <w:bottom w:val="single" w:sz="4" w:space="0" w:color="000000"/>
              <w:right w:val="single" w:sz="4" w:space="0" w:color="000000"/>
            </w:tcBorders>
          </w:tcPr>
          <w:p w14:paraId="542A2B36" w14:textId="2C1B4A0F" w:rsidR="00374C56" w:rsidRPr="009077F5" w:rsidRDefault="00412ED3" w:rsidP="00A202FD">
            <w:pPr>
              <w:spacing w:line="264" w:lineRule="auto"/>
              <w:ind w:left="57" w:right="57"/>
              <w:jc w:val="both"/>
              <w:rPr>
                <w:lang w:eastAsia="en-US"/>
              </w:rPr>
            </w:pPr>
            <w:r w:rsidRPr="009077F5">
              <w:rPr>
                <w:lang w:eastAsia="en-US"/>
              </w:rPr>
              <w:t>Tozlu ve gazlı emisyonlar için bir toz ve gaz azaltma sistemi ile birlikte bir davlumbaz gibi bir emme sistemi kullanı</w:t>
            </w:r>
            <w:r w:rsidR="00037693" w:rsidRPr="009077F5">
              <w:rPr>
                <w:lang w:eastAsia="en-US"/>
              </w:rPr>
              <w:t>lır.</w:t>
            </w:r>
          </w:p>
        </w:tc>
        <w:tc>
          <w:tcPr>
            <w:tcW w:w="4111" w:type="dxa"/>
            <w:tcBorders>
              <w:top w:val="single" w:sz="4" w:space="0" w:color="000000"/>
              <w:left w:val="single" w:sz="4" w:space="0" w:color="000000"/>
              <w:bottom w:val="single" w:sz="4" w:space="0" w:color="000000"/>
              <w:right w:val="single" w:sz="4" w:space="0" w:color="000000"/>
            </w:tcBorders>
            <w:vAlign w:val="center"/>
          </w:tcPr>
          <w:p w14:paraId="70C8A210"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bl>
    <w:p w14:paraId="4E72F568" w14:textId="77777777" w:rsidR="00374C56" w:rsidRPr="00A467CD" w:rsidRDefault="00374C56" w:rsidP="00A202FD">
      <w:pPr>
        <w:jc w:val="both"/>
        <w:rPr>
          <w:lang w:eastAsia="en-US"/>
        </w:rPr>
      </w:pPr>
    </w:p>
    <w:p w14:paraId="2B3D6ED3" w14:textId="17C5661C" w:rsidR="00374C56" w:rsidRPr="00A467CD" w:rsidRDefault="00374C56" w:rsidP="00A202FD">
      <w:pPr>
        <w:pStyle w:val="MET"/>
        <w:rPr>
          <w:szCs w:val="24"/>
        </w:rPr>
      </w:pPr>
      <w:r w:rsidRPr="00A467CD">
        <w:rPr>
          <w:szCs w:val="24"/>
        </w:rPr>
        <w:t>MET 26</w:t>
      </w:r>
      <w:r w:rsidR="009F7456" w:rsidRPr="00A467CD">
        <w:rPr>
          <w:szCs w:val="24"/>
        </w:rPr>
        <w:t>:</w:t>
      </w:r>
      <w:r w:rsidR="00412ED3" w:rsidRPr="00A467CD">
        <w:rPr>
          <w:szCs w:val="24"/>
        </w:rPr>
        <w:t xml:space="preserve"> </w:t>
      </w:r>
      <w:r w:rsidR="005979A6" w:rsidRPr="00A467CD">
        <w:rPr>
          <w:b w:val="0"/>
          <w:bCs/>
          <w:szCs w:val="24"/>
        </w:rPr>
        <w:t>Birincil ve ikincil bakır izabe tesislerinde şarj, eritme ve kılavuz çekme işlemlerinden ve bekletme ve eritme fırınlarından kaynaklanan yayılı emisyonları önlemek veya azaltmak için aşağıda verilen tekniklerin bir kombinasyonu</w:t>
      </w:r>
      <w:r w:rsidR="00037693" w:rsidRPr="00A467CD">
        <w:rPr>
          <w:b w:val="0"/>
          <w:bCs/>
          <w:szCs w:val="24"/>
        </w:rPr>
        <w:t xml:space="preserve"> kullanılır</w:t>
      </w:r>
      <w:r w:rsidR="005979A6" w:rsidRPr="00A467CD">
        <w:rPr>
          <w:b w:val="0"/>
          <w:bCs/>
          <w:szCs w:val="24"/>
        </w:rPr>
        <w:t>.</w:t>
      </w:r>
    </w:p>
    <w:p w14:paraId="528DE744" w14:textId="77777777" w:rsidR="005979A6" w:rsidRPr="00A467CD" w:rsidRDefault="005979A6" w:rsidP="00A202FD">
      <w:pPr>
        <w:jc w:val="both"/>
      </w:pPr>
    </w:p>
    <w:tbl>
      <w:tblPr>
        <w:tblW w:w="9214" w:type="dxa"/>
        <w:tblInd w:w="137" w:type="dxa"/>
        <w:tblLayout w:type="fixed"/>
        <w:tblCellMar>
          <w:left w:w="0" w:type="dxa"/>
          <w:right w:w="0" w:type="dxa"/>
        </w:tblCellMar>
        <w:tblLook w:val="01E0" w:firstRow="1" w:lastRow="1" w:firstColumn="1" w:lastColumn="1" w:noHBand="0" w:noVBand="0"/>
      </w:tblPr>
      <w:tblGrid>
        <w:gridCol w:w="331"/>
        <w:gridCol w:w="5056"/>
        <w:gridCol w:w="3827"/>
      </w:tblGrid>
      <w:tr w:rsidR="00374C56" w:rsidRPr="00A467CD" w14:paraId="521BE898"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6ED15889" w14:textId="77777777" w:rsidR="00374C56" w:rsidRPr="009077F5" w:rsidRDefault="00374C56" w:rsidP="00A202FD">
            <w:pPr>
              <w:spacing w:line="264" w:lineRule="auto"/>
              <w:ind w:left="57" w:right="57"/>
              <w:jc w:val="both"/>
              <w:rPr>
                <w:lang w:eastAsia="en-US"/>
              </w:rPr>
            </w:pPr>
            <w:bookmarkStart w:id="61" w:name="_Hlk522332907"/>
          </w:p>
        </w:tc>
        <w:tc>
          <w:tcPr>
            <w:tcW w:w="5056" w:type="dxa"/>
            <w:tcBorders>
              <w:top w:val="single" w:sz="4" w:space="0" w:color="000000"/>
              <w:left w:val="single" w:sz="4" w:space="0" w:color="000000"/>
              <w:bottom w:val="single" w:sz="4" w:space="0" w:color="000000"/>
              <w:right w:val="single" w:sz="4" w:space="0" w:color="000000"/>
            </w:tcBorders>
          </w:tcPr>
          <w:p w14:paraId="703E6F56" w14:textId="77777777" w:rsidR="00374C56" w:rsidRPr="009077F5" w:rsidRDefault="00374C56" w:rsidP="00A202FD">
            <w:pPr>
              <w:spacing w:line="264" w:lineRule="auto"/>
              <w:ind w:left="57" w:right="57"/>
              <w:jc w:val="both"/>
              <w:rPr>
                <w:lang w:eastAsia="en-US"/>
              </w:rPr>
            </w:pPr>
            <w:r w:rsidRPr="009077F5">
              <w:rPr>
                <w:b/>
                <w:bCs/>
                <w:lang w:eastAsia="en-US"/>
              </w:rPr>
              <w:t>Teknik</w:t>
            </w:r>
          </w:p>
        </w:tc>
        <w:tc>
          <w:tcPr>
            <w:tcW w:w="3827" w:type="dxa"/>
            <w:tcBorders>
              <w:top w:val="single" w:sz="4" w:space="0" w:color="000000"/>
              <w:left w:val="single" w:sz="4" w:space="0" w:color="000000"/>
              <w:bottom w:val="single" w:sz="4" w:space="0" w:color="000000"/>
              <w:right w:val="single" w:sz="4" w:space="0" w:color="000000"/>
            </w:tcBorders>
          </w:tcPr>
          <w:p w14:paraId="264221EB" w14:textId="77777777" w:rsidR="00374C56" w:rsidRPr="009077F5" w:rsidRDefault="00374C56" w:rsidP="00A202FD">
            <w:pPr>
              <w:spacing w:line="264" w:lineRule="auto"/>
              <w:ind w:left="57" w:right="57"/>
              <w:jc w:val="both"/>
              <w:rPr>
                <w:lang w:eastAsia="en-US"/>
              </w:rPr>
            </w:pPr>
            <w:r w:rsidRPr="009077F5">
              <w:rPr>
                <w:b/>
                <w:bCs/>
                <w:lang w:eastAsia="en-US"/>
              </w:rPr>
              <w:t>Uygulanabilirlik</w:t>
            </w:r>
          </w:p>
        </w:tc>
      </w:tr>
      <w:tr w:rsidR="00374C56" w:rsidRPr="00A467CD" w14:paraId="654D4FB2"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13B70037" w14:textId="77777777" w:rsidR="00374C56" w:rsidRPr="009077F5" w:rsidRDefault="00374C56" w:rsidP="00A202FD">
            <w:pPr>
              <w:spacing w:line="264" w:lineRule="auto"/>
              <w:ind w:left="57" w:right="57"/>
              <w:jc w:val="both"/>
              <w:rPr>
                <w:lang w:eastAsia="en-US"/>
              </w:rPr>
            </w:pPr>
            <w:r w:rsidRPr="009077F5">
              <w:rPr>
                <w:lang w:eastAsia="en-US"/>
              </w:rPr>
              <w:t>a</w:t>
            </w:r>
          </w:p>
        </w:tc>
        <w:tc>
          <w:tcPr>
            <w:tcW w:w="5056" w:type="dxa"/>
            <w:tcBorders>
              <w:top w:val="single" w:sz="4" w:space="0" w:color="000000"/>
              <w:left w:val="single" w:sz="4" w:space="0" w:color="000000"/>
              <w:bottom w:val="single" w:sz="4" w:space="0" w:color="000000"/>
              <w:right w:val="single" w:sz="4" w:space="0" w:color="000000"/>
            </w:tcBorders>
            <w:vAlign w:val="center"/>
          </w:tcPr>
          <w:p w14:paraId="6E8FEE28" w14:textId="77777777" w:rsidR="00374C56" w:rsidRPr="009077F5" w:rsidRDefault="00374C56" w:rsidP="00A202FD">
            <w:pPr>
              <w:spacing w:line="264" w:lineRule="auto"/>
              <w:ind w:left="57" w:right="57"/>
              <w:jc w:val="both"/>
              <w:rPr>
                <w:lang w:eastAsia="en-US"/>
              </w:rPr>
            </w:pPr>
            <w:r w:rsidRPr="009077F5">
              <w:rPr>
                <w:lang w:eastAsia="en-US"/>
              </w:rPr>
              <w:t>Hammaddelerin briketlenmesi ve peletlenmesi</w:t>
            </w:r>
          </w:p>
        </w:tc>
        <w:tc>
          <w:tcPr>
            <w:tcW w:w="3827" w:type="dxa"/>
            <w:tcBorders>
              <w:top w:val="single" w:sz="4" w:space="0" w:color="000000"/>
              <w:left w:val="single" w:sz="4" w:space="0" w:color="000000"/>
              <w:bottom w:val="single" w:sz="4" w:space="0" w:color="000000"/>
              <w:right w:val="single" w:sz="4" w:space="0" w:color="000000"/>
            </w:tcBorders>
            <w:vAlign w:val="center"/>
          </w:tcPr>
          <w:p w14:paraId="22B06CDE" w14:textId="77777777" w:rsidR="00374C56" w:rsidRPr="009077F5" w:rsidRDefault="00374C56" w:rsidP="00A202FD">
            <w:pPr>
              <w:spacing w:line="264" w:lineRule="auto"/>
              <w:ind w:left="57" w:right="57"/>
              <w:jc w:val="both"/>
              <w:rPr>
                <w:lang w:eastAsia="en-US"/>
              </w:rPr>
            </w:pPr>
            <w:r w:rsidRPr="009077F5">
              <w:rPr>
                <w:lang w:eastAsia="en-US"/>
              </w:rPr>
              <w:t>Sadece proses ve fırın peletlenmiş hammaddeleri kullanabildiğinde uygulanabilir</w:t>
            </w:r>
          </w:p>
        </w:tc>
      </w:tr>
      <w:tr w:rsidR="00374C56" w:rsidRPr="00A467CD" w14:paraId="7F8A549C"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61F751B4" w14:textId="77777777" w:rsidR="00374C56" w:rsidRPr="009077F5" w:rsidRDefault="00374C56" w:rsidP="00A202FD">
            <w:pPr>
              <w:spacing w:line="264" w:lineRule="auto"/>
              <w:ind w:left="57" w:right="57"/>
              <w:jc w:val="both"/>
              <w:rPr>
                <w:lang w:eastAsia="en-US"/>
              </w:rPr>
            </w:pPr>
            <w:r w:rsidRPr="009077F5">
              <w:rPr>
                <w:lang w:eastAsia="en-US"/>
              </w:rPr>
              <w:t>b</w:t>
            </w:r>
          </w:p>
        </w:tc>
        <w:tc>
          <w:tcPr>
            <w:tcW w:w="5056" w:type="dxa"/>
            <w:tcBorders>
              <w:top w:val="single" w:sz="4" w:space="0" w:color="000000"/>
              <w:left w:val="single" w:sz="4" w:space="0" w:color="000000"/>
              <w:bottom w:val="single" w:sz="4" w:space="0" w:color="000000"/>
              <w:right w:val="single" w:sz="4" w:space="0" w:color="000000"/>
            </w:tcBorders>
            <w:vAlign w:val="center"/>
          </w:tcPr>
          <w:p w14:paraId="680651C3" w14:textId="4ECF4205" w:rsidR="00374C56" w:rsidRPr="009077F5" w:rsidRDefault="005979A6" w:rsidP="00A202FD">
            <w:pPr>
              <w:spacing w:line="264" w:lineRule="auto"/>
              <w:ind w:left="57" w:right="57"/>
              <w:jc w:val="both"/>
              <w:rPr>
                <w:lang w:eastAsia="en-US"/>
              </w:rPr>
            </w:pPr>
            <w:r w:rsidRPr="009077F5">
              <w:rPr>
                <w:lang w:eastAsia="en-US"/>
              </w:rPr>
              <w:t>Tek jetli brülör, kapı sızdırmazlığı (</w:t>
            </w:r>
            <w:r w:rsidRPr="009077F5">
              <w:rPr>
                <w:vertAlign w:val="superscript"/>
                <w:lang w:eastAsia="en-US"/>
              </w:rPr>
              <w:t>1</w:t>
            </w:r>
            <w:r w:rsidRPr="009077F5">
              <w:rPr>
                <w:lang w:eastAsia="en-US"/>
              </w:rPr>
              <w:t>), kapalı konveyörler veya toz ve gaz azaltma sistemi ile birlikte bir hava tahliye sistemi ile donatılmış besleyiciler gibi kapalı şarj sistemi</w:t>
            </w:r>
          </w:p>
        </w:tc>
        <w:tc>
          <w:tcPr>
            <w:tcW w:w="3827" w:type="dxa"/>
            <w:tcBorders>
              <w:top w:val="single" w:sz="4" w:space="0" w:color="000000"/>
              <w:left w:val="single" w:sz="4" w:space="0" w:color="000000"/>
              <w:bottom w:val="single" w:sz="4" w:space="0" w:color="000000"/>
              <w:right w:val="single" w:sz="4" w:space="0" w:color="000000"/>
            </w:tcBorders>
            <w:vAlign w:val="center"/>
          </w:tcPr>
          <w:p w14:paraId="557B8AD8" w14:textId="77777777" w:rsidR="00374C56" w:rsidRPr="009077F5" w:rsidRDefault="00374C56" w:rsidP="00A202FD">
            <w:pPr>
              <w:spacing w:line="264" w:lineRule="auto"/>
              <w:ind w:left="57" w:right="57"/>
              <w:jc w:val="both"/>
              <w:rPr>
                <w:lang w:eastAsia="en-US"/>
              </w:rPr>
            </w:pPr>
            <w:r w:rsidRPr="009077F5">
              <w:rPr>
                <w:lang w:eastAsia="en-US"/>
              </w:rPr>
              <w:t>Jet brülör sadece parlamalı fırınlarda uygulanabilir</w:t>
            </w:r>
          </w:p>
        </w:tc>
      </w:tr>
      <w:tr w:rsidR="00374C56" w:rsidRPr="00A467CD" w14:paraId="28CD95CE"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78DCE432" w14:textId="77777777" w:rsidR="00374C56" w:rsidRPr="009077F5" w:rsidRDefault="00374C56" w:rsidP="00A202FD">
            <w:pPr>
              <w:spacing w:line="264" w:lineRule="auto"/>
              <w:ind w:left="57" w:right="57"/>
              <w:jc w:val="both"/>
              <w:rPr>
                <w:lang w:eastAsia="en-US"/>
              </w:rPr>
            </w:pPr>
            <w:r w:rsidRPr="009077F5">
              <w:rPr>
                <w:lang w:eastAsia="en-US"/>
              </w:rPr>
              <w:t>c</w:t>
            </w:r>
          </w:p>
        </w:tc>
        <w:tc>
          <w:tcPr>
            <w:tcW w:w="5056" w:type="dxa"/>
            <w:tcBorders>
              <w:top w:val="single" w:sz="4" w:space="0" w:color="000000"/>
              <w:left w:val="single" w:sz="4" w:space="0" w:color="000000"/>
              <w:bottom w:val="single" w:sz="4" w:space="0" w:color="000000"/>
              <w:right w:val="single" w:sz="4" w:space="0" w:color="000000"/>
            </w:tcBorders>
            <w:vAlign w:val="center"/>
          </w:tcPr>
          <w:p w14:paraId="4D2B585C" w14:textId="77777777" w:rsidR="00374C56" w:rsidRPr="009077F5" w:rsidRDefault="00374C56" w:rsidP="00A202FD">
            <w:pPr>
              <w:spacing w:line="264" w:lineRule="auto"/>
              <w:ind w:left="57" w:right="57"/>
              <w:jc w:val="both"/>
              <w:rPr>
                <w:lang w:eastAsia="en-US"/>
              </w:rPr>
            </w:pPr>
            <w:r w:rsidRPr="009077F5">
              <w:rPr>
                <w:lang w:eastAsia="en-US"/>
              </w:rPr>
              <w:t>Fırının ve gaz yolunun negatif basınç altında ve basınç oluşumunu önlemek için yeterli bir gaz tahliye hızında çalıştırılması</w:t>
            </w:r>
          </w:p>
        </w:tc>
        <w:tc>
          <w:tcPr>
            <w:tcW w:w="3827" w:type="dxa"/>
            <w:tcBorders>
              <w:top w:val="single" w:sz="4" w:space="0" w:color="000000"/>
              <w:left w:val="single" w:sz="4" w:space="0" w:color="000000"/>
              <w:bottom w:val="single" w:sz="4" w:space="0" w:color="000000"/>
              <w:right w:val="single" w:sz="4" w:space="0" w:color="000000"/>
            </w:tcBorders>
            <w:vAlign w:val="center"/>
          </w:tcPr>
          <w:p w14:paraId="12E9A78D"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59B2C2C3"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71F8C18C" w14:textId="77777777" w:rsidR="00374C56" w:rsidRPr="009077F5" w:rsidRDefault="00374C56" w:rsidP="00A202FD">
            <w:pPr>
              <w:spacing w:line="264" w:lineRule="auto"/>
              <w:ind w:left="57" w:right="57"/>
              <w:jc w:val="both"/>
              <w:rPr>
                <w:lang w:eastAsia="en-US"/>
              </w:rPr>
            </w:pPr>
            <w:r w:rsidRPr="009077F5">
              <w:rPr>
                <w:lang w:eastAsia="en-US"/>
              </w:rPr>
              <w:t>d</w:t>
            </w:r>
          </w:p>
        </w:tc>
        <w:tc>
          <w:tcPr>
            <w:tcW w:w="5056" w:type="dxa"/>
            <w:tcBorders>
              <w:top w:val="single" w:sz="4" w:space="0" w:color="000000"/>
              <w:left w:val="single" w:sz="4" w:space="0" w:color="000000"/>
              <w:bottom w:val="single" w:sz="4" w:space="0" w:color="000000"/>
              <w:right w:val="single" w:sz="4" w:space="0" w:color="000000"/>
            </w:tcBorders>
            <w:vAlign w:val="center"/>
          </w:tcPr>
          <w:p w14:paraId="6F25FD29" w14:textId="77777777" w:rsidR="00374C56" w:rsidRPr="009077F5" w:rsidRDefault="00374C56" w:rsidP="00A202FD">
            <w:pPr>
              <w:spacing w:line="264" w:lineRule="auto"/>
              <w:ind w:left="57" w:right="57"/>
              <w:jc w:val="both"/>
              <w:rPr>
                <w:lang w:eastAsia="en-US"/>
              </w:rPr>
            </w:pPr>
            <w:r w:rsidRPr="009077F5">
              <w:rPr>
                <w:lang w:eastAsia="en-US"/>
              </w:rPr>
              <w:t>Şarj etme ve döküm çekme noktalarında, çıkan gazları azaltma sistemi (örn., pota fırınında dökme işlemleri için havalandırma ve gaz azaltma sistemi ile donatılmış hareketli bir kapı/bariyer ile kapatılmış yuva/tünel) ile birlikte yakalama davlumbazı/muhafazalar kullanılması</w:t>
            </w:r>
          </w:p>
        </w:tc>
        <w:tc>
          <w:tcPr>
            <w:tcW w:w="3827" w:type="dxa"/>
            <w:tcBorders>
              <w:top w:val="single" w:sz="4" w:space="0" w:color="000000"/>
              <w:left w:val="single" w:sz="4" w:space="0" w:color="000000"/>
              <w:bottom w:val="single" w:sz="4" w:space="0" w:color="000000"/>
              <w:right w:val="single" w:sz="4" w:space="0" w:color="000000"/>
            </w:tcBorders>
            <w:vAlign w:val="center"/>
          </w:tcPr>
          <w:p w14:paraId="1F6DFDEA"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26EFC1BB"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39E69AFE" w14:textId="77777777" w:rsidR="00374C56" w:rsidRPr="009077F5" w:rsidRDefault="00374C56" w:rsidP="00A202FD">
            <w:pPr>
              <w:spacing w:line="264" w:lineRule="auto"/>
              <w:ind w:left="57" w:right="57"/>
              <w:jc w:val="both"/>
              <w:rPr>
                <w:lang w:eastAsia="en-US"/>
              </w:rPr>
            </w:pPr>
            <w:r w:rsidRPr="009077F5">
              <w:rPr>
                <w:lang w:eastAsia="en-US"/>
              </w:rPr>
              <w:t>e</w:t>
            </w:r>
          </w:p>
        </w:tc>
        <w:tc>
          <w:tcPr>
            <w:tcW w:w="5056" w:type="dxa"/>
            <w:tcBorders>
              <w:top w:val="single" w:sz="4" w:space="0" w:color="000000"/>
              <w:left w:val="single" w:sz="4" w:space="0" w:color="000000"/>
              <w:bottom w:val="single" w:sz="4" w:space="0" w:color="000000"/>
              <w:right w:val="single" w:sz="4" w:space="0" w:color="000000"/>
            </w:tcBorders>
            <w:vAlign w:val="center"/>
          </w:tcPr>
          <w:p w14:paraId="5ED4C82E" w14:textId="022E46A2" w:rsidR="00374C56" w:rsidRPr="009077F5" w:rsidRDefault="005979A6" w:rsidP="00A202FD">
            <w:pPr>
              <w:spacing w:line="264" w:lineRule="auto"/>
              <w:ind w:left="57" w:right="57"/>
              <w:jc w:val="both"/>
              <w:rPr>
                <w:lang w:eastAsia="en-US"/>
              </w:rPr>
            </w:pPr>
            <w:r w:rsidRPr="009077F5">
              <w:rPr>
                <w:lang w:eastAsia="en-US"/>
              </w:rPr>
              <w:t>Fırını havalandırmalı muhafaza içine alınması</w:t>
            </w:r>
          </w:p>
        </w:tc>
        <w:tc>
          <w:tcPr>
            <w:tcW w:w="3827" w:type="dxa"/>
            <w:tcBorders>
              <w:top w:val="single" w:sz="4" w:space="0" w:color="000000"/>
              <w:left w:val="single" w:sz="4" w:space="0" w:color="000000"/>
              <w:bottom w:val="single" w:sz="4" w:space="0" w:color="000000"/>
              <w:right w:val="single" w:sz="4" w:space="0" w:color="000000"/>
            </w:tcBorders>
            <w:vAlign w:val="center"/>
          </w:tcPr>
          <w:p w14:paraId="2410789C"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74F56DFD"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56E7DA3B" w14:textId="77777777" w:rsidR="00374C56" w:rsidRPr="009077F5" w:rsidRDefault="00374C56" w:rsidP="00A202FD">
            <w:pPr>
              <w:spacing w:line="264" w:lineRule="auto"/>
              <w:ind w:left="57" w:right="57"/>
              <w:jc w:val="both"/>
              <w:rPr>
                <w:lang w:eastAsia="en-US"/>
              </w:rPr>
            </w:pPr>
            <w:r w:rsidRPr="009077F5">
              <w:rPr>
                <w:lang w:eastAsia="en-US"/>
              </w:rPr>
              <w:t>f</w:t>
            </w:r>
          </w:p>
        </w:tc>
        <w:tc>
          <w:tcPr>
            <w:tcW w:w="5056" w:type="dxa"/>
            <w:tcBorders>
              <w:top w:val="single" w:sz="4" w:space="0" w:color="000000"/>
              <w:left w:val="single" w:sz="4" w:space="0" w:color="000000"/>
              <w:bottom w:val="single" w:sz="4" w:space="0" w:color="000000"/>
              <w:right w:val="single" w:sz="4" w:space="0" w:color="000000"/>
            </w:tcBorders>
            <w:vAlign w:val="center"/>
          </w:tcPr>
          <w:p w14:paraId="17ABE539" w14:textId="77777777" w:rsidR="00374C56" w:rsidRPr="009077F5" w:rsidRDefault="00374C56" w:rsidP="00A202FD">
            <w:pPr>
              <w:spacing w:line="264" w:lineRule="auto"/>
              <w:ind w:left="57" w:right="57"/>
              <w:jc w:val="both"/>
              <w:rPr>
                <w:lang w:eastAsia="en-US"/>
              </w:rPr>
            </w:pPr>
            <w:r w:rsidRPr="009077F5">
              <w:rPr>
                <w:lang w:eastAsia="en-US"/>
              </w:rPr>
              <w:t>Fırının sızdırmaz olmasının sağlanması</w:t>
            </w:r>
          </w:p>
        </w:tc>
        <w:tc>
          <w:tcPr>
            <w:tcW w:w="3827" w:type="dxa"/>
            <w:tcBorders>
              <w:top w:val="single" w:sz="4" w:space="0" w:color="000000"/>
              <w:left w:val="single" w:sz="4" w:space="0" w:color="000000"/>
              <w:bottom w:val="single" w:sz="4" w:space="0" w:color="000000"/>
              <w:right w:val="single" w:sz="4" w:space="0" w:color="000000"/>
            </w:tcBorders>
            <w:vAlign w:val="center"/>
          </w:tcPr>
          <w:p w14:paraId="388582BD"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5C4B71E1"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0689813E" w14:textId="77777777" w:rsidR="00374C56" w:rsidRPr="009077F5" w:rsidRDefault="00374C56" w:rsidP="00A202FD">
            <w:pPr>
              <w:spacing w:line="264" w:lineRule="auto"/>
              <w:ind w:left="57" w:right="57"/>
              <w:jc w:val="both"/>
              <w:rPr>
                <w:lang w:eastAsia="en-US"/>
              </w:rPr>
            </w:pPr>
            <w:r w:rsidRPr="009077F5">
              <w:rPr>
                <w:lang w:eastAsia="en-US"/>
              </w:rPr>
              <w:t>g</w:t>
            </w:r>
          </w:p>
        </w:tc>
        <w:tc>
          <w:tcPr>
            <w:tcW w:w="5056" w:type="dxa"/>
            <w:tcBorders>
              <w:top w:val="single" w:sz="4" w:space="0" w:color="000000"/>
              <w:left w:val="single" w:sz="4" w:space="0" w:color="000000"/>
              <w:bottom w:val="single" w:sz="4" w:space="0" w:color="000000"/>
              <w:right w:val="single" w:sz="4" w:space="0" w:color="000000"/>
            </w:tcBorders>
            <w:vAlign w:val="center"/>
          </w:tcPr>
          <w:p w14:paraId="642FE497" w14:textId="77777777" w:rsidR="00374C56" w:rsidRPr="009077F5" w:rsidRDefault="00374C56" w:rsidP="00A202FD">
            <w:pPr>
              <w:spacing w:line="264" w:lineRule="auto"/>
              <w:ind w:left="57" w:right="57"/>
              <w:jc w:val="both"/>
              <w:rPr>
                <w:lang w:eastAsia="en-US"/>
              </w:rPr>
            </w:pPr>
            <w:r w:rsidRPr="009077F5">
              <w:rPr>
                <w:lang w:eastAsia="en-US"/>
              </w:rPr>
              <w:t>Fırındaki sıcaklığın mümkün olan en düşük seviyede tutulması</w:t>
            </w:r>
          </w:p>
        </w:tc>
        <w:tc>
          <w:tcPr>
            <w:tcW w:w="3827" w:type="dxa"/>
            <w:tcBorders>
              <w:top w:val="single" w:sz="4" w:space="0" w:color="000000"/>
              <w:left w:val="single" w:sz="4" w:space="0" w:color="000000"/>
              <w:bottom w:val="single" w:sz="4" w:space="0" w:color="000000"/>
              <w:right w:val="single" w:sz="4" w:space="0" w:color="000000"/>
            </w:tcBorders>
            <w:vAlign w:val="center"/>
          </w:tcPr>
          <w:p w14:paraId="1C61501F"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27CF7F05"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555C9C8E" w14:textId="77777777" w:rsidR="00374C56" w:rsidRPr="009077F5" w:rsidRDefault="00374C56" w:rsidP="00A202FD">
            <w:pPr>
              <w:spacing w:line="264" w:lineRule="auto"/>
              <w:ind w:left="57" w:right="57"/>
              <w:jc w:val="both"/>
              <w:rPr>
                <w:lang w:eastAsia="en-US"/>
              </w:rPr>
            </w:pPr>
            <w:r w:rsidRPr="009077F5">
              <w:rPr>
                <w:lang w:eastAsia="en-US"/>
              </w:rPr>
              <w:t>h</w:t>
            </w:r>
          </w:p>
        </w:tc>
        <w:tc>
          <w:tcPr>
            <w:tcW w:w="5056" w:type="dxa"/>
            <w:tcBorders>
              <w:top w:val="single" w:sz="4" w:space="0" w:color="000000"/>
              <w:left w:val="single" w:sz="4" w:space="0" w:color="000000"/>
              <w:bottom w:val="single" w:sz="4" w:space="0" w:color="000000"/>
              <w:right w:val="single" w:sz="4" w:space="0" w:color="000000"/>
            </w:tcBorders>
            <w:vAlign w:val="center"/>
          </w:tcPr>
          <w:p w14:paraId="5CEEC8EE" w14:textId="705BF55A" w:rsidR="00374C56" w:rsidRPr="009077F5" w:rsidRDefault="005979A6" w:rsidP="00A202FD">
            <w:pPr>
              <w:spacing w:line="264" w:lineRule="auto"/>
              <w:ind w:left="57" w:right="57"/>
              <w:jc w:val="both"/>
              <w:rPr>
                <w:lang w:eastAsia="en-US"/>
              </w:rPr>
            </w:pPr>
            <w:r w:rsidRPr="009077F5">
              <w:rPr>
                <w:lang w:eastAsia="en-US"/>
              </w:rPr>
              <w:t>Güçlendirilmiş</w:t>
            </w:r>
            <w:r w:rsidR="00374C56" w:rsidRPr="009077F5">
              <w:rPr>
                <w:lang w:eastAsia="en-US"/>
              </w:rPr>
              <w:t xml:space="preserve"> emme sistemleri </w:t>
            </w:r>
            <w:r w:rsidR="00374C56" w:rsidRPr="009077F5">
              <w:rPr>
                <w:bCs/>
                <w:lang w:eastAsia="en-US"/>
              </w:rPr>
              <w:t>(</w:t>
            </w:r>
            <w:r w:rsidR="00374C56" w:rsidRPr="009077F5">
              <w:rPr>
                <w:bCs/>
                <w:vertAlign w:val="superscript"/>
                <w:lang w:eastAsia="en-US"/>
              </w:rPr>
              <w:t>1</w:t>
            </w:r>
            <w:r w:rsidR="00374C56" w:rsidRPr="009077F5">
              <w:rPr>
                <w:bCs/>
                <w:lang w:eastAsia="en-US"/>
              </w:rPr>
              <w:t>)</w:t>
            </w:r>
          </w:p>
        </w:tc>
        <w:tc>
          <w:tcPr>
            <w:tcW w:w="3827" w:type="dxa"/>
            <w:tcBorders>
              <w:top w:val="single" w:sz="4" w:space="0" w:color="000000"/>
              <w:left w:val="single" w:sz="4" w:space="0" w:color="000000"/>
              <w:bottom w:val="single" w:sz="4" w:space="0" w:color="000000"/>
              <w:right w:val="single" w:sz="4" w:space="0" w:color="000000"/>
            </w:tcBorders>
            <w:vAlign w:val="center"/>
          </w:tcPr>
          <w:p w14:paraId="4F9F2807"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02D19EA0"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5E489A90" w14:textId="77777777" w:rsidR="00374C56" w:rsidRPr="009077F5" w:rsidRDefault="00374C56" w:rsidP="00A202FD">
            <w:pPr>
              <w:spacing w:line="264" w:lineRule="auto"/>
              <w:ind w:left="57" w:right="57"/>
              <w:jc w:val="both"/>
              <w:rPr>
                <w:lang w:eastAsia="en-US"/>
              </w:rPr>
            </w:pPr>
            <w:r w:rsidRPr="009077F5">
              <w:rPr>
                <w:lang w:eastAsia="en-US"/>
              </w:rPr>
              <w:t>i</w:t>
            </w:r>
          </w:p>
        </w:tc>
        <w:tc>
          <w:tcPr>
            <w:tcW w:w="5056" w:type="dxa"/>
            <w:tcBorders>
              <w:top w:val="single" w:sz="4" w:space="0" w:color="000000"/>
              <w:left w:val="single" w:sz="4" w:space="0" w:color="000000"/>
              <w:bottom w:val="single" w:sz="4" w:space="0" w:color="000000"/>
              <w:right w:val="single" w:sz="4" w:space="0" w:color="000000"/>
            </w:tcBorders>
            <w:vAlign w:val="center"/>
          </w:tcPr>
          <w:p w14:paraId="225E658C" w14:textId="77777777" w:rsidR="00374C56" w:rsidRPr="009077F5" w:rsidRDefault="00374C56" w:rsidP="00A202FD">
            <w:pPr>
              <w:spacing w:line="264" w:lineRule="auto"/>
              <w:ind w:left="57" w:right="57"/>
              <w:jc w:val="both"/>
              <w:rPr>
                <w:lang w:eastAsia="en-US"/>
              </w:rPr>
            </w:pPr>
            <w:r w:rsidRPr="009077F5">
              <w:rPr>
                <w:lang w:eastAsia="en-US"/>
              </w:rPr>
              <w:t>Yayılı emisyonları toplamak için diğer tekniklerle birlikte kapalı bir binanın olması</w:t>
            </w:r>
          </w:p>
        </w:tc>
        <w:tc>
          <w:tcPr>
            <w:tcW w:w="3827" w:type="dxa"/>
            <w:tcBorders>
              <w:top w:val="single" w:sz="4" w:space="0" w:color="000000"/>
              <w:left w:val="single" w:sz="4" w:space="0" w:color="000000"/>
              <w:bottom w:val="single" w:sz="4" w:space="0" w:color="000000"/>
              <w:right w:val="single" w:sz="4" w:space="0" w:color="000000"/>
            </w:tcBorders>
            <w:vAlign w:val="center"/>
          </w:tcPr>
          <w:p w14:paraId="1A6A8088"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5EB59F78"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3EBF22F6" w14:textId="77777777" w:rsidR="00374C56" w:rsidRPr="009077F5" w:rsidRDefault="00374C56" w:rsidP="00A202FD">
            <w:pPr>
              <w:spacing w:line="264" w:lineRule="auto"/>
              <w:ind w:left="57" w:right="57"/>
              <w:jc w:val="both"/>
              <w:rPr>
                <w:lang w:eastAsia="en-US"/>
              </w:rPr>
            </w:pPr>
            <w:r w:rsidRPr="009077F5">
              <w:rPr>
                <w:lang w:eastAsia="en-US"/>
              </w:rPr>
              <w:t>j</w:t>
            </w:r>
          </w:p>
        </w:tc>
        <w:tc>
          <w:tcPr>
            <w:tcW w:w="5056" w:type="dxa"/>
            <w:tcBorders>
              <w:top w:val="single" w:sz="4" w:space="0" w:color="000000"/>
              <w:left w:val="single" w:sz="4" w:space="0" w:color="000000"/>
              <w:bottom w:val="single" w:sz="4" w:space="0" w:color="000000"/>
              <w:right w:val="single" w:sz="4" w:space="0" w:color="000000"/>
            </w:tcBorders>
            <w:vAlign w:val="center"/>
          </w:tcPr>
          <w:p w14:paraId="45AD121C" w14:textId="77777777" w:rsidR="00374C56" w:rsidRPr="009077F5" w:rsidRDefault="00374C56" w:rsidP="00A202FD">
            <w:pPr>
              <w:spacing w:line="264" w:lineRule="auto"/>
              <w:ind w:left="57" w:right="57"/>
              <w:jc w:val="both"/>
              <w:rPr>
                <w:lang w:eastAsia="en-US"/>
              </w:rPr>
            </w:pPr>
            <w:r w:rsidRPr="009077F5">
              <w:rPr>
                <w:lang w:eastAsia="en-US"/>
              </w:rPr>
              <w:t>Şaft (baca) ve yüksek fırınlar için çift çan şarj sistemi kullanılması</w:t>
            </w:r>
          </w:p>
        </w:tc>
        <w:tc>
          <w:tcPr>
            <w:tcW w:w="3827" w:type="dxa"/>
            <w:tcBorders>
              <w:top w:val="single" w:sz="4" w:space="0" w:color="000000"/>
              <w:left w:val="single" w:sz="4" w:space="0" w:color="000000"/>
              <w:bottom w:val="single" w:sz="4" w:space="0" w:color="000000"/>
              <w:right w:val="single" w:sz="4" w:space="0" w:color="000000"/>
            </w:tcBorders>
            <w:vAlign w:val="center"/>
          </w:tcPr>
          <w:p w14:paraId="1B9C8561"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5BDEC44B"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78B3B880" w14:textId="77777777" w:rsidR="00374C56" w:rsidRPr="009077F5" w:rsidRDefault="00374C56" w:rsidP="00A202FD">
            <w:pPr>
              <w:spacing w:line="264" w:lineRule="auto"/>
              <w:ind w:left="57" w:right="57"/>
              <w:jc w:val="both"/>
              <w:rPr>
                <w:lang w:eastAsia="en-US"/>
              </w:rPr>
            </w:pPr>
            <w:r w:rsidRPr="009077F5">
              <w:rPr>
                <w:lang w:eastAsia="en-US"/>
              </w:rPr>
              <w:t>k</w:t>
            </w:r>
          </w:p>
        </w:tc>
        <w:tc>
          <w:tcPr>
            <w:tcW w:w="5056" w:type="dxa"/>
            <w:tcBorders>
              <w:top w:val="single" w:sz="4" w:space="0" w:color="000000"/>
              <w:left w:val="single" w:sz="4" w:space="0" w:color="000000"/>
              <w:bottom w:val="single" w:sz="4" w:space="0" w:color="000000"/>
              <w:right w:val="single" w:sz="4" w:space="0" w:color="000000"/>
            </w:tcBorders>
            <w:vAlign w:val="center"/>
          </w:tcPr>
          <w:p w14:paraId="21B9F4A6" w14:textId="12E08265" w:rsidR="00374C56" w:rsidRPr="009077F5" w:rsidRDefault="00374C56" w:rsidP="00A202FD">
            <w:pPr>
              <w:spacing w:line="264" w:lineRule="auto"/>
              <w:ind w:left="57" w:right="57"/>
              <w:jc w:val="both"/>
              <w:rPr>
                <w:lang w:eastAsia="en-US"/>
              </w:rPr>
            </w:pPr>
            <w:r w:rsidRPr="009077F5">
              <w:rPr>
                <w:lang w:eastAsia="en-US"/>
              </w:rPr>
              <w:t>Hammaddenin fırın tipine ve kullanılan azaltma tekniklerine göre seçilmesi ve beslenmesi</w:t>
            </w:r>
          </w:p>
        </w:tc>
        <w:tc>
          <w:tcPr>
            <w:tcW w:w="3827" w:type="dxa"/>
            <w:tcBorders>
              <w:top w:val="single" w:sz="4" w:space="0" w:color="000000"/>
              <w:left w:val="single" w:sz="4" w:space="0" w:color="000000"/>
              <w:bottom w:val="single" w:sz="4" w:space="0" w:color="000000"/>
              <w:right w:val="single" w:sz="4" w:space="0" w:color="000000"/>
            </w:tcBorders>
            <w:vAlign w:val="center"/>
          </w:tcPr>
          <w:p w14:paraId="75EB3860"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A467CD" w14:paraId="40D030D1" w14:textId="77777777" w:rsidTr="005979A6">
        <w:tc>
          <w:tcPr>
            <w:tcW w:w="331" w:type="dxa"/>
            <w:tcBorders>
              <w:top w:val="single" w:sz="4" w:space="0" w:color="000000"/>
              <w:left w:val="single" w:sz="4" w:space="0" w:color="000000"/>
              <w:bottom w:val="single" w:sz="4" w:space="0" w:color="000000"/>
              <w:right w:val="single" w:sz="4" w:space="0" w:color="000000"/>
            </w:tcBorders>
            <w:vAlign w:val="center"/>
          </w:tcPr>
          <w:p w14:paraId="0C1D502F" w14:textId="77777777" w:rsidR="00374C56" w:rsidRPr="009077F5" w:rsidRDefault="00374C56" w:rsidP="00A202FD">
            <w:pPr>
              <w:spacing w:line="264" w:lineRule="auto"/>
              <w:ind w:left="57" w:right="57"/>
              <w:jc w:val="both"/>
              <w:rPr>
                <w:lang w:eastAsia="en-US"/>
              </w:rPr>
            </w:pPr>
            <w:r w:rsidRPr="009077F5">
              <w:rPr>
                <w:lang w:eastAsia="en-US"/>
              </w:rPr>
              <w:t>l</w:t>
            </w:r>
          </w:p>
        </w:tc>
        <w:tc>
          <w:tcPr>
            <w:tcW w:w="5056" w:type="dxa"/>
            <w:tcBorders>
              <w:top w:val="single" w:sz="4" w:space="0" w:color="000000"/>
              <w:left w:val="single" w:sz="4" w:space="0" w:color="000000"/>
              <w:bottom w:val="single" w:sz="4" w:space="0" w:color="000000"/>
              <w:right w:val="single" w:sz="4" w:space="0" w:color="000000"/>
            </w:tcBorders>
            <w:vAlign w:val="center"/>
          </w:tcPr>
          <w:p w14:paraId="5B99D3DE" w14:textId="77777777" w:rsidR="00374C56" w:rsidRPr="009077F5" w:rsidRDefault="00374C56" w:rsidP="00A202FD">
            <w:pPr>
              <w:spacing w:line="264" w:lineRule="auto"/>
              <w:ind w:left="57" w:right="57"/>
              <w:jc w:val="both"/>
              <w:rPr>
                <w:lang w:eastAsia="en-US"/>
              </w:rPr>
            </w:pPr>
            <w:r w:rsidRPr="009077F5">
              <w:rPr>
                <w:lang w:eastAsia="en-US"/>
              </w:rPr>
              <w:t>Döner anot fırınının boğazlarında kapakların kullanılması</w:t>
            </w:r>
          </w:p>
        </w:tc>
        <w:tc>
          <w:tcPr>
            <w:tcW w:w="3827" w:type="dxa"/>
            <w:tcBorders>
              <w:top w:val="single" w:sz="4" w:space="0" w:color="000000"/>
              <w:left w:val="single" w:sz="4" w:space="0" w:color="000000"/>
              <w:bottom w:val="single" w:sz="4" w:space="0" w:color="000000"/>
              <w:right w:val="single" w:sz="4" w:space="0" w:color="000000"/>
            </w:tcBorders>
            <w:vAlign w:val="center"/>
          </w:tcPr>
          <w:p w14:paraId="3761DFB7"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D53A2B" w14:paraId="71BC6602" w14:textId="77777777" w:rsidTr="005979A6">
        <w:tc>
          <w:tcPr>
            <w:tcW w:w="9214" w:type="dxa"/>
            <w:gridSpan w:val="3"/>
            <w:tcBorders>
              <w:top w:val="single" w:sz="4" w:space="0" w:color="000000"/>
              <w:left w:val="single" w:sz="4" w:space="0" w:color="000000"/>
              <w:bottom w:val="single" w:sz="4" w:space="0" w:color="000000"/>
              <w:right w:val="single" w:sz="4" w:space="0" w:color="000000"/>
            </w:tcBorders>
            <w:vAlign w:val="center"/>
          </w:tcPr>
          <w:p w14:paraId="0DEDAAC1" w14:textId="2FDEDA1B" w:rsidR="00374C56" w:rsidRPr="00D53A2B" w:rsidRDefault="00374C56" w:rsidP="00A202FD">
            <w:pPr>
              <w:jc w:val="both"/>
              <w:rPr>
                <w:spacing w:val="2"/>
                <w:sz w:val="22"/>
                <w:szCs w:val="22"/>
                <w:lang w:eastAsia="en-US"/>
              </w:rPr>
            </w:pPr>
            <w:r w:rsidRPr="00D53A2B">
              <w:rPr>
                <w:b/>
                <w:spacing w:val="2"/>
                <w:sz w:val="22"/>
                <w:szCs w:val="22"/>
                <w:lang w:eastAsia="en-US"/>
              </w:rPr>
              <w:t>(</w:t>
            </w:r>
            <w:r w:rsidRPr="00D53A2B">
              <w:rPr>
                <w:b/>
                <w:spacing w:val="2"/>
                <w:sz w:val="22"/>
                <w:szCs w:val="22"/>
                <w:vertAlign w:val="superscript"/>
                <w:lang w:eastAsia="en-US"/>
              </w:rPr>
              <w:t>1</w:t>
            </w:r>
            <w:r w:rsidRPr="00D53A2B">
              <w:rPr>
                <w:b/>
                <w:spacing w:val="2"/>
                <w:sz w:val="22"/>
                <w:szCs w:val="22"/>
                <w:lang w:eastAsia="en-US"/>
              </w:rPr>
              <w:t>) :</w:t>
            </w:r>
            <w:r w:rsidRPr="00D53A2B">
              <w:rPr>
                <w:spacing w:val="2"/>
                <w:sz w:val="22"/>
                <w:szCs w:val="22"/>
                <w:lang w:eastAsia="en-US"/>
              </w:rPr>
              <w:t xml:space="preserve"> Tekniklerin açıklamaları Bölüm 1.10</w:t>
            </w:r>
            <w:r w:rsidR="00E56504" w:rsidRPr="00D53A2B">
              <w:rPr>
                <w:spacing w:val="2"/>
                <w:sz w:val="22"/>
                <w:szCs w:val="22"/>
                <w:lang w:eastAsia="en-US"/>
              </w:rPr>
              <w:t>’</w:t>
            </w:r>
            <w:r w:rsidRPr="00D53A2B">
              <w:rPr>
                <w:spacing w:val="2"/>
                <w:sz w:val="22"/>
                <w:szCs w:val="22"/>
                <w:lang w:eastAsia="en-US"/>
              </w:rPr>
              <w:t>da verilmiştir.</w:t>
            </w:r>
          </w:p>
        </w:tc>
      </w:tr>
      <w:bookmarkEnd w:id="61"/>
    </w:tbl>
    <w:p w14:paraId="63A247E5" w14:textId="77777777" w:rsidR="00374C56" w:rsidRPr="00D53A2B" w:rsidRDefault="00374C56" w:rsidP="00A202FD">
      <w:pPr>
        <w:jc w:val="both"/>
        <w:rPr>
          <w:lang w:eastAsia="en-US"/>
        </w:rPr>
      </w:pPr>
    </w:p>
    <w:p w14:paraId="63AD0F0E" w14:textId="2331EAAF" w:rsidR="00374C56" w:rsidRPr="00D53A2B" w:rsidRDefault="00374C56" w:rsidP="00A202FD">
      <w:pPr>
        <w:pStyle w:val="MET"/>
        <w:rPr>
          <w:szCs w:val="24"/>
        </w:rPr>
      </w:pPr>
      <w:r w:rsidRPr="00D53A2B">
        <w:rPr>
          <w:szCs w:val="24"/>
        </w:rPr>
        <w:t>MET 27</w:t>
      </w:r>
      <w:r w:rsidR="009F7456" w:rsidRPr="00D53A2B">
        <w:rPr>
          <w:szCs w:val="24"/>
        </w:rPr>
        <w:t xml:space="preserve">: </w:t>
      </w:r>
      <w:r w:rsidRPr="00D53A2B">
        <w:rPr>
          <w:b w:val="0"/>
          <w:bCs/>
          <w:szCs w:val="24"/>
        </w:rPr>
        <w:t xml:space="preserve">Birincil ve ikincil bakır üretiminde Peirce-Smith konvertör (PS) fırınından kaynaklanan </w:t>
      </w:r>
      <w:r w:rsidR="00037693" w:rsidRPr="00D53A2B">
        <w:rPr>
          <w:b w:val="0"/>
          <w:bCs/>
          <w:szCs w:val="24"/>
        </w:rPr>
        <w:t>y</w:t>
      </w:r>
      <w:r w:rsidRPr="00D53A2B">
        <w:rPr>
          <w:b w:val="0"/>
          <w:bCs/>
          <w:szCs w:val="24"/>
        </w:rPr>
        <w:t>ayılı emisyonları önlemek veya azaltmak için</w:t>
      </w:r>
      <w:r w:rsidR="009F7456" w:rsidRPr="00D53A2B">
        <w:rPr>
          <w:b w:val="0"/>
          <w:bCs/>
          <w:szCs w:val="24"/>
        </w:rPr>
        <w:t xml:space="preserve">, </w:t>
      </w:r>
      <w:r w:rsidRPr="00D53A2B">
        <w:rPr>
          <w:b w:val="0"/>
          <w:bCs/>
          <w:szCs w:val="24"/>
        </w:rPr>
        <w:t>aşağıda verilen tekniklerin bir kombinasyonu kullan</w:t>
      </w:r>
      <w:r w:rsidR="009F7456" w:rsidRPr="00D53A2B">
        <w:rPr>
          <w:b w:val="0"/>
          <w:bCs/>
          <w:szCs w:val="24"/>
        </w:rPr>
        <w:t>ılır.</w:t>
      </w:r>
    </w:p>
    <w:p w14:paraId="5A8B325D" w14:textId="77777777" w:rsidR="005979A6" w:rsidRPr="00D53A2B" w:rsidRDefault="005979A6" w:rsidP="00A202FD">
      <w:pPr>
        <w:pStyle w:val="MET"/>
        <w:rPr>
          <w:szCs w:val="24"/>
        </w:rPr>
      </w:pPr>
    </w:p>
    <w:tbl>
      <w:tblPr>
        <w:tblW w:w="9072" w:type="dxa"/>
        <w:tblInd w:w="137" w:type="dxa"/>
        <w:tblLayout w:type="fixed"/>
        <w:tblCellMar>
          <w:left w:w="0" w:type="dxa"/>
          <w:right w:w="0" w:type="dxa"/>
        </w:tblCellMar>
        <w:tblLook w:val="01E0" w:firstRow="1" w:lastRow="1" w:firstColumn="1" w:lastColumn="1" w:noHBand="0" w:noVBand="0"/>
      </w:tblPr>
      <w:tblGrid>
        <w:gridCol w:w="284"/>
        <w:gridCol w:w="8788"/>
      </w:tblGrid>
      <w:tr w:rsidR="00374C56" w:rsidRPr="00A467CD" w14:paraId="621BC8A3" w14:textId="77777777" w:rsidTr="005979A6">
        <w:trPr>
          <w:trHeight w:val="283"/>
        </w:trPr>
        <w:tc>
          <w:tcPr>
            <w:tcW w:w="9072" w:type="dxa"/>
            <w:gridSpan w:val="2"/>
            <w:tcBorders>
              <w:top w:val="single" w:sz="4" w:space="0" w:color="000000"/>
              <w:left w:val="single" w:sz="4" w:space="0" w:color="000000"/>
              <w:bottom w:val="single" w:sz="4" w:space="0" w:color="000000"/>
              <w:right w:val="single" w:sz="4" w:space="0" w:color="000000"/>
            </w:tcBorders>
            <w:vAlign w:val="center"/>
          </w:tcPr>
          <w:p w14:paraId="01277763" w14:textId="77777777" w:rsidR="00374C56" w:rsidRPr="009077F5" w:rsidRDefault="00374C56" w:rsidP="00A202FD">
            <w:pPr>
              <w:spacing w:line="264" w:lineRule="auto"/>
              <w:ind w:left="57" w:right="57"/>
              <w:jc w:val="both"/>
              <w:rPr>
                <w:lang w:eastAsia="en-US"/>
              </w:rPr>
            </w:pPr>
            <w:r w:rsidRPr="009077F5">
              <w:rPr>
                <w:b/>
                <w:bCs/>
                <w:lang w:eastAsia="en-US"/>
              </w:rPr>
              <w:t>Teknik</w:t>
            </w:r>
          </w:p>
        </w:tc>
      </w:tr>
      <w:tr w:rsidR="00374C56" w:rsidRPr="00A467CD" w14:paraId="61BCB160" w14:textId="77777777" w:rsidTr="005979A6">
        <w:tc>
          <w:tcPr>
            <w:tcW w:w="284" w:type="dxa"/>
            <w:tcBorders>
              <w:top w:val="single" w:sz="4" w:space="0" w:color="000000"/>
              <w:left w:val="single" w:sz="4" w:space="0" w:color="000000"/>
              <w:bottom w:val="single" w:sz="4" w:space="0" w:color="000000"/>
              <w:right w:val="single" w:sz="4" w:space="0" w:color="000000"/>
            </w:tcBorders>
            <w:vAlign w:val="center"/>
          </w:tcPr>
          <w:p w14:paraId="5EECED7B" w14:textId="77777777" w:rsidR="00374C56" w:rsidRPr="009077F5" w:rsidRDefault="00374C56" w:rsidP="00A202FD">
            <w:pPr>
              <w:spacing w:line="264" w:lineRule="auto"/>
              <w:ind w:left="57" w:right="57"/>
              <w:jc w:val="both"/>
              <w:rPr>
                <w:lang w:eastAsia="en-US"/>
              </w:rPr>
            </w:pPr>
            <w:r w:rsidRPr="009077F5">
              <w:rPr>
                <w:lang w:eastAsia="en-US"/>
              </w:rPr>
              <w:lastRenderedPageBreak/>
              <w:t>a</w:t>
            </w:r>
          </w:p>
        </w:tc>
        <w:tc>
          <w:tcPr>
            <w:tcW w:w="8788" w:type="dxa"/>
            <w:tcBorders>
              <w:top w:val="single" w:sz="4" w:space="0" w:color="000000"/>
              <w:left w:val="single" w:sz="4" w:space="0" w:color="000000"/>
              <w:bottom w:val="single" w:sz="4" w:space="0" w:color="000000"/>
              <w:right w:val="single" w:sz="4" w:space="0" w:color="000000"/>
            </w:tcBorders>
            <w:vAlign w:val="center"/>
          </w:tcPr>
          <w:p w14:paraId="425F6BF0" w14:textId="77777777" w:rsidR="00374C56" w:rsidRPr="009077F5" w:rsidRDefault="00374C56" w:rsidP="00A202FD">
            <w:pPr>
              <w:spacing w:line="264" w:lineRule="auto"/>
              <w:ind w:left="57" w:right="57"/>
              <w:jc w:val="both"/>
              <w:rPr>
                <w:lang w:eastAsia="en-US"/>
              </w:rPr>
            </w:pPr>
            <w:r w:rsidRPr="009077F5">
              <w:rPr>
                <w:lang w:eastAsia="en-US"/>
              </w:rPr>
              <w:t>Fırının ve gaz yolunun negatif basınç altında ve basınç oluşumunu önlemek için yeterli bir gaz tahliye hızında çalıştırılması</w:t>
            </w:r>
          </w:p>
        </w:tc>
      </w:tr>
      <w:tr w:rsidR="00374C56" w:rsidRPr="00A467CD" w14:paraId="4D84C763" w14:textId="77777777" w:rsidTr="005979A6">
        <w:tc>
          <w:tcPr>
            <w:tcW w:w="284" w:type="dxa"/>
            <w:tcBorders>
              <w:top w:val="single" w:sz="4" w:space="0" w:color="000000"/>
              <w:left w:val="single" w:sz="4" w:space="0" w:color="000000"/>
              <w:bottom w:val="single" w:sz="4" w:space="0" w:color="000000"/>
              <w:right w:val="single" w:sz="4" w:space="0" w:color="000000"/>
            </w:tcBorders>
            <w:vAlign w:val="center"/>
          </w:tcPr>
          <w:p w14:paraId="1EED8BE4" w14:textId="77777777" w:rsidR="00374C56" w:rsidRPr="009077F5" w:rsidRDefault="00374C56" w:rsidP="00A202FD">
            <w:pPr>
              <w:spacing w:line="264" w:lineRule="auto"/>
              <w:ind w:left="57" w:right="57"/>
              <w:jc w:val="both"/>
              <w:rPr>
                <w:lang w:eastAsia="en-US"/>
              </w:rPr>
            </w:pPr>
            <w:r w:rsidRPr="009077F5">
              <w:rPr>
                <w:lang w:eastAsia="en-US"/>
              </w:rPr>
              <w:t>b</w:t>
            </w:r>
          </w:p>
        </w:tc>
        <w:tc>
          <w:tcPr>
            <w:tcW w:w="8788" w:type="dxa"/>
            <w:tcBorders>
              <w:top w:val="single" w:sz="4" w:space="0" w:color="000000"/>
              <w:left w:val="single" w:sz="4" w:space="0" w:color="000000"/>
              <w:bottom w:val="single" w:sz="4" w:space="0" w:color="000000"/>
              <w:right w:val="single" w:sz="4" w:space="0" w:color="000000"/>
            </w:tcBorders>
          </w:tcPr>
          <w:p w14:paraId="1A1C5F68" w14:textId="77777777" w:rsidR="00374C56" w:rsidRPr="009077F5" w:rsidRDefault="00374C56" w:rsidP="00A202FD">
            <w:pPr>
              <w:spacing w:line="264" w:lineRule="auto"/>
              <w:ind w:left="57" w:right="57"/>
              <w:jc w:val="both"/>
              <w:rPr>
                <w:lang w:eastAsia="en-US"/>
              </w:rPr>
            </w:pPr>
            <w:r w:rsidRPr="009077F5">
              <w:rPr>
                <w:lang w:eastAsia="en-US"/>
              </w:rPr>
              <w:t>Oksijen zenginleştirme</w:t>
            </w:r>
          </w:p>
        </w:tc>
      </w:tr>
      <w:tr w:rsidR="00374C56" w:rsidRPr="00A467CD" w14:paraId="355E6BB6" w14:textId="77777777" w:rsidTr="005979A6">
        <w:tc>
          <w:tcPr>
            <w:tcW w:w="284" w:type="dxa"/>
            <w:tcBorders>
              <w:top w:val="single" w:sz="4" w:space="0" w:color="000000"/>
              <w:left w:val="single" w:sz="4" w:space="0" w:color="000000"/>
              <w:bottom w:val="single" w:sz="4" w:space="0" w:color="000000"/>
              <w:right w:val="single" w:sz="4" w:space="0" w:color="000000"/>
            </w:tcBorders>
            <w:vAlign w:val="center"/>
          </w:tcPr>
          <w:p w14:paraId="79E1FA0D" w14:textId="77777777" w:rsidR="00374C56" w:rsidRPr="009077F5" w:rsidRDefault="00374C56" w:rsidP="00A202FD">
            <w:pPr>
              <w:spacing w:line="264" w:lineRule="auto"/>
              <w:ind w:left="57" w:right="57"/>
              <w:jc w:val="both"/>
              <w:rPr>
                <w:lang w:eastAsia="en-US"/>
              </w:rPr>
            </w:pPr>
            <w:r w:rsidRPr="009077F5">
              <w:rPr>
                <w:lang w:eastAsia="en-US"/>
              </w:rPr>
              <w:t>c</w:t>
            </w:r>
          </w:p>
        </w:tc>
        <w:tc>
          <w:tcPr>
            <w:tcW w:w="8788" w:type="dxa"/>
            <w:tcBorders>
              <w:top w:val="single" w:sz="4" w:space="0" w:color="000000"/>
              <w:left w:val="single" w:sz="4" w:space="0" w:color="000000"/>
              <w:bottom w:val="single" w:sz="4" w:space="0" w:color="000000"/>
              <w:right w:val="single" w:sz="4" w:space="0" w:color="000000"/>
            </w:tcBorders>
          </w:tcPr>
          <w:p w14:paraId="6D42C3CC" w14:textId="77777777" w:rsidR="00374C56" w:rsidRPr="009077F5" w:rsidRDefault="00374C56" w:rsidP="00A202FD">
            <w:pPr>
              <w:spacing w:line="264" w:lineRule="auto"/>
              <w:ind w:left="57" w:right="57"/>
              <w:jc w:val="both"/>
              <w:rPr>
                <w:lang w:eastAsia="en-US"/>
              </w:rPr>
            </w:pPr>
            <w:r w:rsidRPr="009077F5">
              <w:rPr>
                <w:lang w:eastAsia="en-US"/>
              </w:rPr>
              <w:t>Birincil emisyonları bir azaltma sistemine aktarıp toplamak için konvertörün ağızı üzerine birincil davlumbaz yerleştirilmesi</w:t>
            </w:r>
          </w:p>
        </w:tc>
      </w:tr>
      <w:tr w:rsidR="00374C56" w:rsidRPr="00A467CD" w14:paraId="080C3A8C" w14:textId="77777777" w:rsidTr="005979A6">
        <w:tc>
          <w:tcPr>
            <w:tcW w:w="284" w:type="dxa"/>
            <w:tcBorders>
              <w:top w:val="single" w:sz="4" w:space="0" w:color="000000"/>
              <w:left w:val="single" w:sz="4" w:space="0" w:color="000000"/>
              <w:bottom w:val="single" w:sz="4" w:space="0" w:color="000000"/>
              <w:right w:val="single" w:sz="4" w:space="0" w:color="000000"/>
            </w:tcBorders>
            <w:vAlign w:val="center"/>
          </w:tcPr>
          <w:p w14:paraId="0256EFAD" w14:textId="77777777" w:rsidR="00374C56" w:rsidRPr="009077F5" w:rsidRDefault="00374C56" w:rsidP="00A202FD">
            <w:pPr>
              <w:spacing w:line="264" w:lineRule="auto"/>
              <w:ind w:left="57" w:right="57"/>
              <w:jc w:val="both"/>
              <w:rPr>
                <w:lang w:eastAsia="en-US"/>
              </w:rPr>
            </w:pPr>
            <w:r w:rsidRPr="009077F5">
              <w:rPr>
                <w:lang w:eastAsia="en-US"/>
              </w:rPr>
              <w:t>d</w:t>
            </w:r>
          </w:p>
        </w:tc>
        <w:tc>
          <w:tcPr>
            <w:tcW w:w="8788" w:type="dxa"/>
            <w:tcBorders>
              <w:top w:val="single" w:sz="4" w:space="0" w:color="000000"/>
              <w:left w:val="single" w:sz="4" w:space="0" w:color="000000"/>
              <w:bottom w:val="single" w:sz="4" w:space="0" w:color="000000"/>
              <w:right w:val="single" w:sz="4" w:space="0" w:color="000000"/>
            </w:tcBorders>
          </w:tcPr>
          <w:p w14:paraId="5C35690F" w14:textId="77777777" w:rsidR="00374C56" w:rsidRPr="009077F5" w:rsidRDefault="00374C56" w:rsidP="00A202FD">
            <w:pPr>
              <w:spacing w:line="264" w:lineRule="auto"/>
              <w:ind w:left="57" w:right="57"/>
              <w:jc w:val="both"/>
              <w:rPr>
                <w:lang w:eastAsia="en-US"/>
              </w:rPr>
            </w:pPr>
            <w:r w:rsidRPr="009077F5">
              <w:rPr>
                <w:lang w:eastAsia="en-US"/>
              </w:rPr>
              <w:t>Malzemelerin (</w:t>
            </w:r>
            <w:r w:rsidRPr="009077F5">
              <w:rPr>
                <w:i/>
                <w:lang w:eastAsia="en-US"/>
              </w:rPr>
              <w:t>örn.</w:t>
            </w:r>
            <w:r w:rsidRPr="009077F5">
              <w:rPr>
                <w:lang w:eastAsia="en-US"/>
              </w:rPr>
              <w:t xml:space="preserve"> hurda ve flaks) davlumbazdan doğru eklenmesi</w:t>
            </w:r>
          </w:p>
        </w:tc>
      </w:tr>
      <w:tr w:rsidR="00374C56" w:rsidRPr="00A467CD" w14:paraId="779B9556" w14:textId="77777777" w:rsidTr="005979A6">
        <w:tc>
          <w:tcPr>
            <w:tcW w:w="284" w:type="dxa"/>
            <w:tcBorders>
              <w:top w:val="single" w:sz="4" w:space="0" w:color="000000"/>
              <w:left w:val="single" w:sz="4" w:space="0" w:color="000000"/>
              <w:bottom w:val="single" w:sz="4" w:space="0" w:color="000000"/>
              <w:right w:val="single" w:sz="4" w:space="0" w:color="000000"/>
            </w:tcBorders>
            <w:vAlign w:val="center"/>
          </w:tcPr>
          <w:p w14:paraId="582ECC06" w14:textId="77777777" w:rsidR="00374C56" w:rsidRPr="009077F5" w:rsidRDefault="00374C56" w:rsidP="00A202FD">
            <w:pPr>
              <w:spacing w:line="264" w:lineRule="auto"/>
              <w:ind w:left="57" w:right="57"/>
              <w:jc w:val="both"/>
              <w:rPr>
                <w:lang w:eastAsia="en-US"/>
              </w:rPr>
            </w:pPr>
            <w:r w:rsidRPr="009077F5">
              <w:rPr>
                <w:lang w:eastAsia="en-US"/>
              </w:rPr>
              <w:t>e</w:t>
            </w:r>
          </w:p>
        </w:tc>
        <w:tc>
          <w:tcPr>
            <w:tcW w:w="8788" w:type="dxa"/>
            <w:tcBorders>
              <w:top w:val="single" w:sz="4" w:space="0" w:color="000000"/>
              <w:left w:val="single" w:sz="4" w:space="0" w:color="000000"/>
              <w:bottom w:val="single" w:sz="4" w:space="0" w:color="000000"/>
              <w:right w:val="single" w:sz="4" w:space="0" w:color="000000"/>
            </w:tcBorders>
          </w:tcPr>
          <w:p w14:paraId="1655E0BE" w14:textId="77777777" w:rsidR="00374C56" w:rsidRPr="009077F5" w:rsidRDefault="00374C56" w:rsidP="00A202FD">
            <w:pPr>
              <w:spacing w:line="264" w:lineRule="auto"/>
              <w:ind w:left="57" w:right="57"/>
              <w:jc w:val="both"/>
              <w:rPr>
                <w:lang w:eastAsia="en-US"/>
              </w:rPr>
            </w:pPr>
            <w:r w:rsidRPr="009077F5">
              <w:rPr>
                <w:lang w:eastAsia="en-US"/>
              </w:rPr>
              <w:t>Şarj ve döküm alma işlemleri sırasında emisyonları yakalayan ana tesisata ek olarak ikincil davlumbaz sistemi</w:t>
            </w:r>
          </w:p>
        </w:tc>
      </w:tr>
      <w:tr w:rsidR="00374C56" w:rsidRPr="00A467CD" w14:paraId="04A7F208" w14:textId="77777777" w:rsidTr="005979A6">
        <w:tc>
          <w:tcPr>
            <w:tcW w:w="284" w:type="dxa"/>
            <w:tcBorders>
              <w:top w:val="single" w:sz="4" w:space="0" w:color="000000"/>
              <w:left w:val="single" w:sz="4" w:space="0" w:color="000000"/>
              <w:bottom w:val="single" w:sz="4" w:space="0" w:color="000000"/>
              <w:right w:val="single" w:sz="4" w:space="0" w:color="000000"/>
            </w:tcBorders>
            <w:vAlign w:val="center"/>
          </w:tcPr>
          <w:p w14:paraId="26BD0CEA" w14:textId="77777777" w:rsidR="00374C56" w:rsidRPr="009077F5" w:rsidRDefault="00374C56" w:rsidP="00A202FD">
            <w:pPr>
              <w:spacing w:line="264" w:lineRule="auto"/>
              <w:ind w:left="57" w:right="57"/>
              <w:jc w:val="both"/>
              <w:rPr>
                <w:lang w:eastAsia="en-US"/>
              </w:rPr>
            </w:pPr>
            <w:r w:rsidRPr="009077F5">
              <w:rPr>
                <w:lang w:eastAsia="en-US"/>
              </w:rPr>
              <w:t>f</w:t>
            </w:r>
          </w:p>
        </w:tc>
        <w:tc>
          <w:tcPr>
            <w:tcW w:w="8788" w:type="dxa"/>
            <w:tcBorders>
              <w:top w:val="single" w:sz="4" w:space="0" w:color="000000"/>
              <w:left w:val="single" w:sz="4" w:space="0" w:color="000000"/>
              <w:bottom w:val="single" w:sz="4" w:space="0" w:color="000000"/>
              <w:right w:val="single" w:sz="4" w:space="0" w:color="000000"/>
            </w:tcBorders>
          </w:tcPr>
          <w:p w14:paraId="3DA52C79" w14:textId="77777777" w:rsidR="00374C56" w:rsidRPr="009077F5" w:rsidRDefault="00374C56" w:rsidP="00A202FD">
            <w:pPr>
              <w:spacing w:line="264" w:lineRule="auto"/>
              <w:ind w:left="57" w:right="57"/>
              <w:jc w:val="both"/>
              <w:rPr>
                <w:lang w:eastAsia="en-US"/>
              </w:rPr>
            </w:pPr>
            <w:r w:rsidRPr="009077F5">
              <w:rPr>
                <w:lang w:eastAsia="en-US"/>
              </w:rPr>
              <w:t>Fırının kapalı bir bina içine yerleştirilmesi</w:t>
            </w:r>
          </w:p>
        </w:tc>
      </w:tr>
      <w:tr w:rsidR="00374C56" w:rsidRPr="00A467CD" w14:paraId="763C52F8" w14:textId="77777777" w:rsidTr="005979A6">
        <w:tc>
          <w:tcPr>
            <w:tcW w:w="284" w:type="dxa"/>
            <w:tcBorders>
              <w:top w:val="single" w:sz="4" w:space="0" w:color="000000"/>
              <w:left w:val="single" w:sz="4" w:space="0" w:color="000000"/>
              <w:bottom w:val="single" w:sz="4" w:space="0" w:color="000000"/>
              <w:right w:val="single" w:sz="4" w:space="0" w:color="000000"/>
            </w:tcBorders>
            <w:vAlign w:val="center"/>
          </w:tcPr>
          <w:p w14:paraId="39FCC8BD" w14:textId="77777777" w:rsidR="00374C56" w:rsidRPr="009077F5" w:rsidRDefault="00374C56" w:rsidP="00A202FD">
            <w:pPr>
              <w:spacing w:line="264" w:lineRule="auto"/>
              <w:ind w:left="57" w:right="57"/>
              <w:jc w:val="both"/>
              <w:rPr>
                <w:lang w:eastAsia="en-US"/>
              </w:rPr>
            </w:pPr>
            <w:r w:rsidRPr="009077F5">
              <w:rPr>
                <w:lang w:eastAsia="en-US"/>
              </w:rPr>
              <w:t>g</w:t>
            </w:r>
          </w:p>
        </w:tc>
        <w:tc>
          <w:tcPr>
            <w:tcW w:w="8788" w:type="dxa"/>
            <w:tcBorders>
              <w:top w:val="single" w:sz="4" w:space="0" w:color="000000"/>
              <w:left w:val="single" w:sz="4" w:space="0" w:color="000000"/>
              <w:bottom w:val="single" w:sz="4" w:space="0" w:color="000000"/>
              <w:right w:val="single" w:sz="4" w:space="0" w:color="000000"/>
            </w:tcBorders>
          </w:tcPr>
          <w:p w14:paraId="31ADDE77" w14:textId="77777777" w:rsidR="00374C56" w:rsidRPr="009077F5" w:rsidRDefault="00374C56" w:rsidP="00A202FD">
            <w:pPr>
              <w:spacing w:line="264" w:lineRule="auto"/>
              <w:ind w:left="57" w:right="57"/>
              <w:jc w:val="both"/>
              <w:rPr>
                <w:lang w:eastAsia="en-US"/>
              </w:rPr>
            </w:pPr>
            <w:r w:rsidRPr="009077F5">
              <w:rPr>
                <w:lang w:eastAsia="en-US"/>
              </w:rPr>
              <w:t>İkincil emisyonların toplanmasının verimliliğini artırmak ve prosesin aşamasına göre hareket ettirmek için motorlu ikincil davlumbazlar kullanılması</w:t>
            </w:r>
          </w:p>
        </w:tc>
      </w:tr>
      <w:tr w:rsidR="00374C56" w:rsidRPr="00A467CD" w14:paraId="6153EF04" w14:textId="77777777" w:rsidTr="005979A6">
        <w:tc>
          <w:tcPr>
            <w:tcW w:w="284" w:type="dxa"/>
            <w:tcBorders>
              <w:top w:val="single" w:sz="4" w:space="0" w:color="000000"/>
              <w:left w:val="single" w:sz="4" w:space="0" w:color="000000"/>
              <w:bottom w:val="single" w:sz="4" w:space="0" w:color="000000"/>
              <w:right w:val="single" w:sz="4" w:space="0" w:color="000000"/>
            </w:tcBorders>
            <w:vAlign w:val="center"/>
          </w:tcPr>
          <w:p w14:paraId="0347E8D6" w14:textId="77777777" w:rsidR="00374C56" w:rsidRPr="009077F5" w:rsidRDefault="00374C56" w:rsidP="00A202FD">
            <w:pPr>
              <w:spacing w:line="264" w:lineRule="auto"/>
              <w:ind w:left="57" w:right="57"/>
              <w:jc w:val="both"/>
              <w:rPr>
                <w:lang w:eastAsia="en-US"/>
              </w:rPr>
            </w:pPr>
            <w:r w:rsidRPr="009077F5">
              <w:rPr>
                <w:lang w:eastAsia="en-US"/>
              </w:rPr>
              <w:t>h</w:t>
            </w:r>
          </w:p>
        </w:tc>
        <w:tc>
          <w:tcPr>
            <w:tcW w:w="8788" w:type="dxa"/>
            <w:tcBorders>
              <w:top w:val="single" w:sz="4" w:space="0" w:color="000000"/>
              <w:left w:val="single" w:sz="4" w:space="0" w:color="000000"/>
              <w:bottom w:val="single" w:sz="4" w:space="0" w:color="000000"/>
              <w:right w:val="single" w:sz="4" w:space="0" w:color="000000"/>
            </w:tcBorders>
          </w:tcPr>
          <w:p w14:paraId="78BC0D37" w14:textId="77777777" w:rsidR="00374C56" w:rsidRPr="009077F5" w:rsidRDefault="00374C56" w:rsidP="00A202FD">
            <w:pPr>
              <w:spacing w:line="264" w:lineRule="auto"/>
              <w:ind w:left="57" w:right="57"/>
              <w:jc w:val="both"/>
              <w:rPr>
                <w:lang w:eastAsia="en-US"/>
              </w:rPr>
            </w:pPr>
            <w:r w:rsidRPr="009077F5">
              <w:rPr>
                <w:lang w:eastAsia="en-US"/>
              </w:rPr>
              <w:t xml:space="preserve">Konvertörün döndürülmesi sırasında üflemeyi önlemek için gücü arttırılmış emme sistemleri </w:t>
            </w:r>
            <w:r w:rsidRPr="009077F5">
              <w:rPr>
                <w:b/>
                <w:lang w:eastAsia="en-US"/>
              </w:rPr>
              <w:t>(</w:t>
            </w:r>
            <w:r w:rsidRPr="009077F5">
              <w:rPr>
                <w:b/>
                <w:vertAlign w:val="superscript"/>
                <w:lang w:eastAsia="en-US"/>
              </w:rPr>
              <w:t>1</w:t>
            </w:r>
            <w:r w:rsidRPr="009077F5">
              <w:rPr>
                <w:b/>
                <w:lang w:eastAsia="en-US"/>
              </w:rPr>
              <w:t>)</w:t>
            </w:r>
            <w:r w:rsidRPr="009077F5">
              <w:rPr>
                <w:lang w:eastAsia="en-US"/>
              </w:rPr>
              <w:t xml:space="preserve"> ve otomatik kontrol sistemleri kullanılması</w:t>
            </w:r>
          </w:p>
        </w:tc>
      </w:tr>
      <w:tr w:rsidR="00374C56" w:rsidRPr="00A467CD" w14:paraId="24CA95DD" w14:textId="77777777" w:rsidTr="005979A6">
        <w:tc>
          <w:tcPr>
            <w:tcW w:w="9072" w:type="dxa"/>
            <w:gridSpan w:val="2"/>
            <w:tcBorders>
              <w:top w:val="single" w:sz="4" w:space="0" w:color="000000"/>
              <w:left w:val="single" w:sz="4" w:space="0" w:color="000000"/>
              <w:bottom w:val="single" w:sz="4" w:space="0" w:color="000000"/>
              <w:right w:val="single" w:sz="4" w:space="0" w:color="000000"/>
            </w:tcBorders>
            <w:vAlign w:val="center"/>
          </w:tcPr>
          <w:p w14:paraId="6C055CEB" w14:textId="317D77A8" w:rsidR="00374C56" w:rsidRPr="009077F5" w:rsidRDefault="00374C56" w:rsidP="00A202FD">
            <w:pPr>
              <w:spacing w:line="264" w:lineRule="auto"/>
              <w:ind w:left="57" w:right="57"/>
              <w:jc w:val="both"/>
              <w:rPr>
                <w:sz w:val="20"/>
                <w:szCs w:val="20"/>
                <w:lang w:eastAsia="en-US"/>
              </w:rPr>
            </w:pPr>
            <w:r w:rsidRPr="009077F5">
              <w:rPr>
                <w:b/>
                <w:sz w:val="20"/>
                <w:szCs w:val="20"/>
                <w:lang w:eastAsia="en-US"/>
              </w:rPr>
              <w:t>(</w:t>
            </w:r>
            <w:r w:rsidRPr="009077F5">
              <w:rPr>
                <w:b/>
                <w:sz w:val="20"/>
                <w:szCs w:val="20"/>
                <w:vertAlign w:val="superscript"/>
                <w:lang w:eastAsia="en-US"/>
              </w:rPr>
              <w:t>1</w:t>
            </w:r>
            <w:r w:rsidRPr="009077F5">
              <w:rPr>
                <w:b/>
                <w:sz w:val="20"/>
                <w:szCs w:val="20"/>
                <w:lang w:eastAsia="en-US"/>
              </w:rPr>
              <w:t>) :</w:t>
            </w:r>
            <w:r w:rsidRPr="009077F5">
              <w:rPr>
                <w:sz w:val="20"/>
                <w:szCs w:val="20"/>
                <w:lang w:eastAsia="en-US"/>
              </w:rPr>
              <w:t xml:space="preserve"> Tekniklerin açıklamaları Bölüm 1.10</w:t>
            </w:r>
            <w:r w:rsidR="00E56504" w:rsidRPr="009077F5">
              <w:rPr>
                <w:sz w:val="20"/>
                <w:szCs w:val="20"/>
                <w:lang w:eastAsia="en-US"/>
              </w:rPr>
              <w:t>’</w:t>
            </w:r>
            <w:r w:rsidRPr="009077F5">
              <w:rPr>
                <w:sz w:val="20"/>
                <w:szCs w:val="20"/>
                <w:lang w:eastAsia="en-US"/>
              </w:rPr>
              <w:t>da verilmiştir.</w:t>
            </w:r>
          </w:p>
        </w:tc>
      </w:tr>
    </w:tbl>
    <w:p w14:paraId="0AE407BF" w14:textId="77777777" w:rsidR="00374C56" w:rsidRPr="00D53A2B" w:rsidRDefault="00374C56" w:rsidP="00A202FD">
      <w:pPr>
        <w:jc w:val="both"/>
        <w:rPr>
          <w:lang w:eastAsia="en-US"/>
        </w:rPr>
      </w:pPr>
    </w:p>
    <w:p w14:paraId="6909D04C" w14:textId="79617B04" w:rsidR="00374C56" w:rsidRPr="00D53A2B" w:rsidRDefault="00374C56" w:rsidP="00A202FD">
      <w:pPr>
        <w:pStyle w:val="MET"/>
        <w:rPr>
          <w:b w:val="0"/>
          <w:bCs/>
          <w:szCs w:val="24"/>
        </w:rPr>
      </w:pPr>
      <w:r w:rsidRPr="00D53A2B">
        <w:rPr>
          <w:szCs w:val="24"/>
        </w:rPr>
        <w:t>MET 28</w:t>
      </w:r>
      <w:r w:rsidR="009F7456" w:rsidRPr="00D53A2B">
        <w:rPr>
          <w:szCs w:val="24"/>
        </w:rPr>
        <w:t>:</w:t>
      </w:r>
      <w:r w:rsidR="002C669A" w:rsidRPr="00D53A2B">
        <w:rPr>
          <w:szCs w:val="24"/>
        </w:rPr>
        <w:t xml:space="preserve"> </w:t>
      </w:r>
      <w:r w:rsidR="002C669A" w:rsidRPr="00D53A2B">
        <w:rPr>
          <w:b w:val="0"/>
          <w:bCs/>
          <w:szCs w:val="24"/>
        </w:rPr>
        <w:t>Birincil bakır üretiminde bir Hoboken konvertör fırınından kaynaklanan yayılı emisyonları azaltmak için aşağıda verilen tekniklerin bir kombinasyonu</w:t>
      </w:r>
      <w:r w:rsidR="00037693" w:rsidRPr="00D53A2B">
        <w:rPr>
          <w:b w:val="0"/>
          <w:bCs/>
          <w:szCs w:val="24"/>
        </w:rPr>
        <w:t xml:space="preserve"> kullanılır</w:t>
      </w:r>
      <w:r w:rsidR="002C669A" w:rsidRPr="00D53A2B">
        <w:rPr>
          <w:b w:val="0"/>
          <w:bCs/>
          <w:szCs w:val="24"/>
        </w:rPr>
        <w:t>.</w:t>
      </w:r>
    </w:p>
    <w:p w14:paraId="2BB942F6" w14:textId="77777777" w:rsidR="00282CE4" w:rsidRPr="00D53A2B" w:rsidRDefault="00282CE4" w:rsidP="00A202FD">
      <w:pPr>
        <w:pStyle w:val="MET"/>
        <w:rPr>
          <w:szCs w:val="24"/>
        </w:rPr>
      </w:pPr>
    </w:p>
    <w:tbl>
      <w:tblPr>
        <w:tblW w:w="8784" w:type="dxa"/>
        <w:tblLayout w:type="fixed"/>
        <w:tblCellMar>
          <w:left w:w="0" w:type="dxa"/>
          <w:right w:w="0" w:type="dxa"/>
        </w:tblCellMar>
        <w:tblLook w:val="01E0" w:firstRow="1" w:lastRow="1" w:firstColumn="1" w:lastColumn="1" w:noHBand="0" w:noVBand="0"/>
      </w:tblPr>
      <w:tblGrid>
        <w:gridCol w:w="386"/>
        <w:gridCol w:w="8398"/>
      </w:tblGrid>
      <w:tr w:rsidR="00374C56" w:rsidRPr="00D53A2B" w14:paraId="787A0A2E" w14:textId="77777777" w:rsidTr="00271877">
        <w:trPr>
          <w:trHeight w:val="283"/>
        </w:trPr>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3888F05E" w14:textId="77777777" w:rsidR="00374C56" w:rsidRPr="00D53A2B" w:rsidRDefault="00374C56" w:rsidP="00A202FD">
            <w:pPr>
              <w:spacing w:line="264" w:lineRule="auto"/>
              <w:ind w:left="57" w:right="57"/>
              <w:jc w:val="both"/>
              <w:rPr>
                <w:lang w:eastAsia="en-US"/>
              </w:rPr>
            </w:pPr>
            <w:r w:rsidRPr="00D53A2B">
              <w:rPr>
                <w:b/>
                <w:bCs/>
                <w:lang w:eastAsia="en-US"/>
              </w:rPr>
              <w:t>Teknik</w:t>
            </w:r>
          </w:p>
        </w:tc>
      </w:tr>
      <w:tr w:rsidR="00374C56" w:rsidRPr="00D53A2B" w14:paraId="1358387C"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7CE58436" w14:textId="77777777" w:rsidR="00374C56" w:rsidRPr="00D53A2B" w:rsidRDefault="00374C56" w:rsidP="00A202FD">
            <w:pPr>
              <w:spacing w:line="264" w:lineRule="auto"/>
              <w:ind w:left="57" w:right="57"/>
              <w:jc w:val="both"/>
              <w:rPr>
                <w:lang w:eastAsia="en-US"/>
              </w:rPr>
            </w:pPr>
            <w:r w:rsidRPr="00D53A2B">
              <w:rPr>
                <w:lang w:eastAsia="en-US"/>
              </w:rPr>
              <w:t>a</w:t>
            </w:r>
          </w:p>
        </w:tc>
        <w:tc>
          <w:tcPr>
            <w:tcW w:w="8398" w:type="dxa"/>
            <w:tcBorders>
              <w:top w:val="single" w:sz="4" w:space="0" w:color="000000"/>
              <w:left w:val="single" w:sz="4" w:space="0" w:color="000000"/>
              <w:bottom w:val="single" w:sz="4" w:space="0" w:color="000000"/>
              <w:right w:val="single" w:sz="4" w:space="0" w:color="000000"/>
            </w:tcBorders>
          </w:tcPr>
          <w:p w14:paraId="0C0E156A" w14:textId="77777777" w:rsidR="00374C56" w:rsidRPr="00D53A2B" w:rsidRDefault="00374C56" w:rsidP="00A202FD">
            <w:pPr>
              <w:spacing w:line="264" w:lineRule="auto"/>
              <w:ind w:left="57" w:right="57"/>
              <w:jc w:val="both"/>
              <w:rPr>
                <w:lang w:eastAsia="en-US"/>
              </w:rPr>
            </w:pPr>
            <w:r w:rsidRPr="00D53A2B">
              <w:rPr>
                <w:lang w:eastAsia="en-US"/>
              </w:rPr>
              <w:t>Şarj, sıyırma ve döküm alma işlemleri sırasında fırının ve gaz yolunun negatif basınç altında çalıştırılması</w:t>
            </w:r>
          </w:p>
        </w:tc>
      </w:tr>
      <w:tr w:rsidR="00374C56" w:rsidRPr="00D53A2B" w14:paraId="05857295"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3A7BB0A2" w14:textId="77777777" w:rsidR="00374C56" w:rsidRPr="00D53A2B" w:rsidRDefault="00374C56" w:rsidP="00A202FD">
            <w:pPr>
              <w:spacing w:line="264" w:lineRule="auto"/>
              <w:ind w:left="57" w:right="57"/>
              <w:jc w:val="both"/>
              <w:rPr>
                <w:lang w:eastAsia="en-US"/>
              </w:rPr>
            </w:pPr>
            <w:r w:rsidRPr="00D53A2B">
              <w:rPr>
                <w:lang w:eastAsia="en-US"/>
              </w:rPr>
              <w:t>b</w:t>
            </w:r>
          </w:p>
        </w:tc>
        <w:tc>
          <w:tcPr>
            <w:tcW w:w="8398" w:type="dxa"/>
            <w:tcBorders>
              <w:top w:val="single" w:sz="4" w:space="0" w:color="000000"/>
              <w:left w:val="single" w:sz="4" w:space="0" w:color="000000"/>
              <w:bottom w:val="single" w:sz="4" w:space="0" w:color="000000"/>
              <w:right w:val="single" w:sz="4" w:space="0" w:color="000000"/>
            </w:tcBorders>
          </w:tcPr>
          <w:p w14:paraId="36340A8C" w14:textId="77777777" w:rsidR="00374C56" w:rsidRPr="00D53A2B" w:rsidRDefault="00374C56" w:rsidP="00A202FD">
            <w:pPr>
              <w:spacing w:line="264" w:lineRule="auto"/>
              <w:ind w:left="57" w:right="57"/>
              <w:jc w:val="both"/>
              <w:rPr>
                <w:lang w:eastAsia="en-US"/>
              </w:rPr>
            </w:pPr>
            <w:r w:rsidRPr="00D53A2B">
              <w:rPr>
                <w:lang w:eastAsia="en-US"/>
              </w:rPr>
              <w:t>Oksijen zenginleştirme</w:t>
            </w:r>
          </w:p>
        </w:tc>
      </w:tr>
      <w:tr w:rsidR="00374C56" w:rsidRPr="00D53A2B" w14:paraId="3AA82A18"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6B8969CF" w14:textId="77777777" w:rsidR="00374C56" w:rsidRPr="00D53A2B" w:rsidRDefault="00374C56" w:rsidP="00A202FD">
            <w:pPr>
              <w:spacing w:line="264" w:lineRule="auto"/>
              <w:ind w:left="57" w:right="57"/>
              <w:jc w:val="both"/>
              <w:rPr>
                <w:lang w:eastAsia="en-US"/>
              </w:rPr>
            </w:pPr>
            <w:r w:rsidRPr="00D53A2B">
              <w:rPr>
                <w:lang w:eastAsia="en-US"/>
              </w:rPr>
              <w:t>c</w:t>
            </w:r>
          </w:p>
        </w:tc>
        <w:tc>
          <w:tcPr>
            <w:tcW w:w="8398" w:type="dxa"/>
            <w:tcBorders>
              <w:top w:val="single" w:sz="4" w:space="0" w:color="000000"/>
              <w:left w:val="single" w:sz="4" w:space="0" w:color="000000"/>
              <w:bottom w:val="single" w:sz="4" w:space="0" w:color="000000"/>
              <w:right w:val="single" w:sz="4" w:space="0" w:color="000000"/>
            </w:tcBorders>
          </w:tcPr>
          <w:p w14:paraId="11AD266F" w14:textId="77777777" w:rsidR="00374C56" w:rsidRPr="00D53A2B" w:rsidRDefault="00374C56" w:rsidP="00A202FD">
            <w:pPr>
              <w:spacing w:line="264" w:lineRule="auto"/>
              <w:ind w:left="57" w:right="57"/>
              <w:jc w:val="both"/>
              <w:rPr>
                <w:lang w:eastAsia="en-US"/>
              </w:rPr>
            </w:pPr>
            <w:r w:rsidRPr="00D53A2B">
              <w:rPr>
                <w:lang w:eastAsia="en-US"/>
              </w:rPr>
              <w:t>İşletme sırasında ağıza kapalı kapakların yerleştirilmesi</w:t>
            </w:r>
          </w:p>
        </w:tc>
      </w:tr>
      <w:tr w:rsidR="00374C56" w:rsidRPr="00D53A2B" w14:paraId="0A6F67A4"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6063B648" w14:textId="77777777" w:rsidR="00374C56" w:rsidRPr="00D53A2B" w:rsidRDefault="00374C56" w:rsidP="00A202FD">
            <w:pPr>
              <w:spacing w:line="264" w:lineRule="auto"/>
              <w:ind w:left="57" w:right="57"/>
              <w:jc w:val="both"/>
              <w:rPr>
                <w:lang w:eastAsia="en-US"/>
              </w:rPr>
            </w:pPr>
            <w:r w:rsidRPr="00D53A2B">
              <w:rPr>
                <w:lang w:eastAsia="en-US"/>
              </w:rPr>
              <w:t>d</w:t>
            </w:r>
          </w:p>
        </w:tc>
        <w:tc>
          <w:tcPr>
            <w:tcW w:w="8398" w:type="dxa"/>
            <w:tcBorders>
              <w:top w:val="single" w:sz="4" w:space="0" w:color="000000"/>
              <w:left w:val="single" w:sz="4" w:space="0" w:color="000000"/>
              <w:bottom w:val="single" w:sz="4" w:space="0" w:color="000000"/>
              <w:right w:val="single" w:sz="4" w:space="0" w:color="000000"/>
            </w:tcBorders>
          </w:tcPr>
          <w:p w14:paraId="6C54C0A5" w14:textId="4F67743C" w:rsidR="00374C56" w:rsidRPr="00D53A2B" w:rsidRDefault="002C669A" w:rsidP="00A202FD">
            <w:pPr>
              <w:spacing w:line="264" w:lineRule="auto"/>
              <w:ind w:left="57" w:right="57"/>
              <w:jc w:val="both"/>
              <w:rPr>
                <w:lang w:eastAsia="en-US"/>
              </w:rPr>
            </w:pPr>
            <w:r w:rsidRPr="00D53A2B">
              <w:rPr>
                <w:lang w:eastAsia="en-US"/>
              </w:rPr>
              <w:t>Güçlendirilmiş</w:t>
            </w:r>
            <w:r w:rsidR="00374C56" w:rsidRPr="00D53A2B">
              <w:rPr>
                <w:lang w:eastAsia="en-US"/>
              </w:rPr>
              <w:t xml:space="preserve"> emme sistemleri (</w:t>
            </w:r>
            <w:r w:rsidR="00374C56" w:rsidRPr="00D53A2B">
              <w:rPr>
                <w:vertAlign w:val="superscript"/>
                <w:lang w:eastAsia="en-US"/>
              </w:rPr>
              <w:t>1</w:t>
            </w:r>
            <w:r w:rsidR="00374C56" w:rsidRPr="00D53A2B">
              <w:rPr>
                <w:lang w:eastAsia="en-US"/>
              </w:rPr>
              <w:t>)</w:t>
            </w:r>
          </w:p>
        </w:tc>
      </w:tr>
      <w:tr w:rsidR="00374C56" w:rsidRPr="00D53A2B" w14:paraId="493399EE" w14:textId="77777777" w:rsidTr="00271877">
        <w:tc>
          <w:tcPr>
            <w:tcW w:w="8784" w:type="dxa"/>
            <w:gridSpan w:val="2"/>
            <w:tcBorders>
              <w:top w:val="single" w:sz="4" w:space="0" w:color="000000"/>
              <w:left w:val="single" w:sz="4" w:space="0" w:color="000000"/>
              <w:bottom w:val="single" w:sz="4" w:space="0" w:color="000000"/>
              <w:right w:val="single" w:sz="4" w:space="0" w:color="000000"/>
            </w:tcBorders>
          </w:tcPr>
          <w:p w14:paraId="6EE7AF0E" w14:textId="5F03FEEE" w:rsidR="00374C56" w:rsidRPr="00D53A2B" w:rsidRDefault="00374C56" w:rsidP="00A202FD">
            <w:pPr>
              <w:spacing w:line="264" w:lineRule="auto"/>
              <w:ind w:left="57" w:right="57"/>
              <w:jc w:val="both"/>
              <w:rPr>
                <w:lang w:eastAsia="en-US"/>
              </w:rPr>
            </w:pPr>
            <w:r w:rsidRPr="00D53A2B">
              <w:rPr>
                <w:bCs/>
                <w:lang w:eastAsia="en-US"/>
              </w:rPr>
              <w:t>(</w:t>
            </w:r>
            <w:r w:rsidRPr="00D53A2B">
              <w:rPr>
                <w:bCs/>
                <w:vertAlign w:val="superscript"/>
                <w:lang w:eastAsia="en-US"/>
              </w:rPr>
              <w:t>1</w:t>
            </w:r>
            <w:r w:rsidRPr="00D53A2B">
              <w:rPr>
                <w:bCs/>
                <w:lang w:eastAsia="en-US"/>
              </w:rPr>
              <w:t>) :</w:t>
            </w:r>
            <w:r w:rsidRPr="00D53A2B">
              <w:rPr>
                <w:lang w:eastAsia="en-US"/>
              </w:rPr>
              <w:t xml:space="preserve"> Tekniklerin açıklamaları Bölüm 1.10</w:t>
            </w:r>
            <w:r w:rsidR="00E56504" w:rsidRPr="00D53A2B">
              <w:rPr>
                <w:lang w:eastAsia="en-US"/>
              </w:rPr>
              <w:t>’</w:t>
            </w:r>
            <w:r w:rsidRPr="00D53A2B">
              <w:rPr>
                <w:lang w:eastAsia="en-US"/>
              </w:rPr>
              <w:t>da verilmiştir.</w:t>
            </w:r>
          </w:p>
        </w:tc>
      </w:tr>
    </w:tbl>
    <w:p w14:paraId="5BA52463" w14:textId="77777777" w:rsidR="00374C56" w:rsidRPr="00D53A2B" w:rsidRDefault="00374C56" w:rsidP="00A202FD">
      <w:pPr>
        <w:jc w:val="both"/>
        <w:rPr>
          <w:lang w:eastAsia="en-US"/>
        </w:rPr>
      </w:pPr>
    </w:p>
    <w:p w14:paraId="6971DD81" w14:textId="4B0215CD" w:rsidR="00374C56" w:rsidRPr="00D53A2B" w:rsidRDefault="00374C56" w:rsidP="00A202FD">
      <w:pPr>
        <w:pStyle w:val="MET"/>
        <w:rPr>
          <w:szCs w:val="24"/>
        </w:rPr>
      </w:pPr>
      <w:r w:rsidRPr="00D53A2B">
        <w:rPr>
          <w:szCs w:val="24"/>
        </w:rPr>
        <w:t>MET 29</w:t>
      </w:r>
      <w:r w:rsidR="009F7456" w:rsidRPr="00D53A2B">
        <w:rPr>
          <w:szCs w:val="24"/>
        </w:rPr>
        <w:t>:</w:t>
      </w:r>
      <w:r w:rsidR="002C669A" w:rsidRPr="00D53A2B">
        <w:rPr>
          <w:szCs w:val="24"/>
        </w:rPr>
        <w:t xml:space="preserve"> </w:t>
      </w:r>
      <w:r w:rsidR="002C669A" w:rsidRPr="00D53A2B">
        <w:rPr>
          <w:b w:val="0"/>
          <w:szCs w:val="24"/>
        </w:rPr>
        <w:t>Mat dönüştürme işleminden kaynaklanan yayılı emisyonları azaltmak için bir flaş dönüştürme fırını kullan</w:t>
      </w:r>
      <w:r w:rsidR="00037693" w:rsidRPr="00D53A2B">
        <w:rPr>
          <w:b w:val="0"/>
          <w:szCs w:val="24"/>
        </w:rPr>
        <w:t>ıl</w:t>
      </w:r>
      <w:r w:rsidR="002C669A" w:rsidRPr="00D53A2B">
        <w:rPr>
          <w:b w:val="0"/>
          <w:szCs w:val="24"/>
        </w:rPr>
        <w:t>ır.</w:t>
      </w:r>
    </w:p>
    <w:p w14:paraId="4D502955" w14:textId="77777777" w:rsidR="002C669A" w:rsidRPr="00D53A2B" w:rsidRDefault="002C669A" w:rsidP="00A202FD">
      <w:pPr>
        <w:pStyle w:val="MET"/>
        <w:rPr>
          <w:szCs w:val="24"/>
        </w:rPr>
      </w:pPr>
    </w:p>
    <w:p w14:paraId="504B7B26" w14:textId="77777777" w:rsidR="00374C56" w:rsidRPr="00D53A2B" w:rsidRDefault="00374C56" w:rsidP="00A202FD">
      <w:pPr>
        <w:spacing w:after="40"/>
        <w:jc w:val="both"/>
        <w:rPr>
          <w:b/>
          <w:lang w:eastAsia="en-US"/>
        </w:rPr>
      </w:pPr>
      <w:r w:rsidRPr="00D53A2B">
        <w:rPr>
          <w:b/>
          <w:lang w:eastAsia="en-US"/>
        </w:rPr>
        <w:t>Uygulanabilirlik</w:t>
      </w:r>
    </w:p>
    <w:p w14:paraId="3C68742C" w14:textId="455B3FDE" w:rsidR="00374C56" w:rsidRPr="00D53A2B" w:rsidRDefault="008C1F4F" w:rsidP="00A202FD">
      <w:pPr>
        <w:jc w:val="both"/>
        <w:rPr>
          <w:lang w:eastAsia="en-US"/>
        </w:rPr>
      </w:pPr>
      <w:r w:rsidRPr="00D53A2B">
        <w:rPr>
          <w:lang w:eastAsia="en-US"/>
        </w:rPr>
        <w:t>Yalnızca yeni tesisler veya mevcut tesislerin büyük çaplı iyileştirmeleri için geçerlidir.</w:t>
      </w:r>
    </w:p>
    <w:p w14:paraId="31B8E52D" w14:textId="77777777" w:rsidR="008C1F4F" w:rsidRPr="00D53A2B" w:rsidRDefault="008C1F4F" w:rsidP="00A202FD">
      <w:pPr>
        <w:jc w:val="both"/>
        <w:rPr>
          <w:lang w:eastAsia="en-US"/>
        </w:rPr>
      </w:pPr>
    </w:p>
    <w:p w14:paraId="0E3D9B85" w14:textId="379460E3" w:rsidR="00374C56" w:rsidRPr="00D53A2B" w:rsidRDefault="00374C56" w:rsidP="00A202FD">
      <w:pPr>
        <w:pStyle w:val="MET"/>
        <w:rPr>
          <w:szCs w:val="24"/>
        </w:rPr>
      </w:pPr>
      <w:r w:rsidRPr="00D53A2B">
        <w:rPr>
          <w:szCs w:val="24"/>
        </w:rPr>
        <w:t>MET 30</w:t>
      </w:r>
      <w:r w:rsidR="006F4992" w:rsidRPr="00D53A2B">
        <w:rPr>
          <w:szCs w:val="24"/>
        </w:rPr>
        <w:t xml:space="preserve">: </w:t>
      </w:r>
      <w:r w:rsidR="008C1F4F" w:rsidRPr="00D53A2B">
        <w:rPr>
          <w:b w:val="0"/>
          <w:bCs/>
          <w:szCs w:val="24"/>
        </w:rPr>
        <w:t>İkincil bakır üretiminde üstten üflemeli döner konvertör fırınından kaynaklanan yayılı emisyonları azaltmak için aşağıda verilen tekniklerin bir kombinasyonu</w:t>
      </w:r>
      <w:r w:rsidR="00037693" w:rsidRPr="00D53A2B">
        <w:rPr>
          <w:b w:val="0"/>
          <w:bCs/>
          <w:szCs w:val="24"/>
        </w:rPr>
        <w:t xml:space="preserve"> kullanılır</w:t>
      </w:r>
      <w:r w:rsidR="008C1F4F" w:rsidRPr="00D53A2B">
        <w:rPr>
          <w:b w:val="0"/>
          <w:bCs/>
          <w:szCs w:val="24"/>
        </w:rPr>
        <w:t>.</w:t>
      </w:r>
    </w:p>
    <w:p w14:paraId="4EE39851" w14:textId="77777777" w:rsidR="008C1F4F" w:rsidRPr="00D53A2B" w:rsidRDefault="008C1F4F" w:rsidP="00A202FD">
      <w:pPr>
        <w:pStyle w:val="MET"/>
        <w:rPr>
          <w:szCs w:val="24"/>
        </w:rPr>
      </w:pPr>
    </w:p>
    <w:tbl>
      <w:tblPr>
        <w:tblW w:w="8784" w:type="dxa"/>
        <w:tblLayout w:type="fixed"/>
        <w:tblCellMar>
          <w:left w:w="0" w:type="dxa"/>
          <w:right w:w="0" w:type="dxa"/>
        </w:tblCellMar>
        <w:tblLook w:val="01E0" w:firstRow="1" w:lastRow="1" w:firstColumn="1" w:lastColumn="1" w:noHBand="0" w:noVBand="0"/>
      </w:tblPr>
      <w:tblGrid>
        <w:gridCol w:w="437"/>
        <w:gridCol w:w="4661"/>
        <w:gridCol w:w="3686"/>
      </w:tblGrid>
      <w:tr w:rsidR="00374C56" w:rsidRPr="00D53A2B" w14:paraId="6B8654DF" w14:textId="77777777" w:rsidTr="00271877">
        <w:trPr>
          <w:trHeight w:val="227"/>
        </w:trPr>
        <w:tc>
          <w:tcPr>
            <w:tcW w:w="437" w:type="dxa"/>
            <w:tcBorders>
              <w:top w:val="single" w:sz="4" w:space="0" w:color="000000"/>
              <w:left w:val="single" w:sz="4" w:space="0" w:color="000000"/>
              <w:bottom w:val="single" w:sz="4" w:space="0" w:color="000000"/>
              <w:right w:val="single" w:sz="4" w:space="0" w:color="000000"/>
            </w:tcBorders>
            <w:vAlign w:val="center"/>
          </w:tcPr>
          <w:p w14:paraId="6C84077E" w14:textId="77777777" w:rsidR="00374C56" w:rsidRPr="00D53A2B" w:rsidRDefault="00374C56" w:rsidP="00A202FD">
            <w:pPr>
              <w:spacing w:line="264" w:lineRule="auto"/>
              <w:ind w:left="57" w:right="57"/>
              <w:jc w:val="both"/>
              <w:rPr>
                <w:sz w:val="22"/>
                <w:szCs w:val="22"/>
                <w:lang w:eastAsia="en-US"/>
              </w:rPr>
            </w:pPr>
          </w:p>
        </w:tc>
        <w:tc>
          <w:tcPr>
            <w:tcW w:w="4661" w:type="dxa"/>
            <w:tcBorders>
              <w:top w:val="single" w:sz="4" w:space="0" w:color="000000"/>
              <w:left w:val="single" w:sz="4" w:space="0" w:color="000000"/>
              <w:bottom w:val="single" w:sz="4" w:space="0" w:color="000000"/>
              <w:right w:val="single" w:sz="4" w:space="0" w:color="000000"/>
            </w:tcBorders>
          </w:tcPr>
          <w:p w14:paraId="2020663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3686" w:type="dxa"/>
            <w:tcBorders>
              <w:top w:val="single" w:sz="4" w:space="0" w:color="000000"/>
              <w:left w:val="single" w:sz="4" w:space="0" w:color="000000"/>
              <w:bottom w:val="single" w:sz="4" w:space="0" w:color="000000"/>
              <w:right w:val="single" w:sz="4" w:space="0" w:color="000000"/>
            </w:tcBorders>
          </w:tcPr>
          <w:p w14:paraId="15FED036"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6ECBEB8E" w14:textId="77777777" w:rsidTr="00271877">
        <w:tc>
          <w:tcPr>
            <w:tcW w:w="437" w:type="dxa"/>
            <w:tcBorders>
              <w:top w:val="single" w:sz="4" w:space="0" w:color="000000"/>
              <w:left w:val="single" w:sz="4" w:space="0" w:color="000000"/>
              <w:bottom w:val="single" w:sz="4" w:space="0" w:color="000000"/>
              <w:right w:val="single" w:sz="4" w:space="0" w:color="000000"/>
            </w:tcBorders>
          </w:tcPr>
          <w:p w14:paraId="1B72E42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4661" w:type="dxa"/>
            <w:tcBorders>
              <w:top w:val="single" w:sz="4" w:space="0" w:color="000000"/>
              <w:left w:val="single" w:sz="4" w:space="0" w:color="000000"/>
              <w:bottom w:val="single" w:sz="4" w:space="0" w:color="000000"/>
              <w:right w:val="single" w:sz="4" w:space="0" w:color="000000"/>
            </w:tcBorders>
          </w:tcPr>
          <w:p w14:paraId="21A675D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Fırının ve gaz yolunun negatif basınç altında ve basınç oluşumunu önlemek için yeterli bir gaz tahliye hızında çalıştırılması</w:t>
            </w:r>
          </w:p>
        </w:tc>
        <w:tc>
          <w:tcPr>
            <w:tcW w:w="3686" w:type="dxa"/>
            <w:tcBorders>
              <w:top w:val="single" w:sz="4" w:space="0" w:color="000000"/>
              <w:left w:val="single" w:sz="4" w:space="0" w:color="000000"/>
              <w:bottom w:val="single" w:sz="4" w:space="0" w:color="000000"/>
              <w:right w:val="single" w:sz="4" w:space="0" w:color="000000"/>
            </w:tcBorders>
            <w:vAlign w:val="center"/>
          </w:tcPr>
          <w:p w14:paraId="0A04A21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12B48D75" w14:textId="77777777" w:rsidTr="00271877">
        <w:tc>
          <w:tcPr>
            <w:tcW w:w="437" w:type="dxa"/>
            <w:tcBorders>
              <w:top w:val="single" w:sz="4" w:space="0" w:color="000000"/>
              <w:left w:val="single" w:sz="4" w:space="0" w:color="000000"/>
              <w:bottom w:val="single" w:sz="4" w:space="0" w:color="000000"/>
              <w:right w:val="single" w:sz="4" w:space="0" w:color="000000"/>
            </w:tcBorders>
          </w:tcPr>
          <w:p w14:paraId="2018893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4661" w:type="dxa"/>
            <w:tcBorders>
              <w:top w:val="single" w:sz="4" w:space="0" w:color="000000"/>
              <w:left w:val="single" w:sz="4" w:space="0" w:color="000000"/>
              <w:bottom w:val="single" w:sz="4" w:space="0" w:color="000000"/>
              <w:right w:val="single" w:sz="4" w:space="0" w:color="000000"/>
            </w:tcBorders>
          </w:tcPr>
          <w:p w14:paraId="6853F82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Oksijen zenginleştirme</w:t>
            </w:r>
          </w:p>
        </w:tc>
        <w:tc>
          <w:tcPr>
            <w:tcW w:w="3686" w:type="dxa"/>
            <w:tcBorders>
              <w:top w:val="single" w:sz="4" w:space="0" w:color="000000"/>
              <w:left w:val="single" w:sz="4" w:space="0" w:color="000000"/>
              <w:bottom w:val="single" w:sz="4" w:space="0" w:color="000000"/>
              <w:right w:val="single" w:sz="4" w:space="0" w:color="000000"/>
            </w:tcBorders>
            <w:vAlign w:val="center"/>
          </w:tcPr>
          <w:p w14:paraId="786340A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088AB18F" w14:textId="77777777" w:rsidTr="00271877">
        <w:tc>
          <w:tcPr>
            <w:tcW w:w="437" w:type="dxa"/>
            <w:tcBorders>
              <w:top w:val="single" w:sz="4" w:space="0" w:color="000000"/>
              <w:left w:val="single" w:sz="4" w:space="0" w:color="000000"/>
              <w:bottom w:val="single" w:sz="4" w:space="0" w:color="000000"/>
              <w:right w:val="single" w:sz="4" w:space="0" w:color="000000"/>
            </w:tcBorders>
          </w:tcPr>
          <w:p w14:paraId="33A370E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4661" w:type="dxa"/>
            <w:tcBorders>
              <w:top w:val="single" w:sz="4" w:space="0" w:color="000000"/>
              <w:left w:val="single" w:sz="4" w:space="0" w:color="000000"/>
              <w:bottom w:val="single" w:sz="4" w:space="0" w:color="000000"/>
              <w:right w:val="single" w:sz="4" w:space="0" w:color="000000"/>
            </w:tcBorders>
          </w:tcPr>
          <w:p w14:paraId="203059D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Fırının kapalı bir bina içine yerleştirilmesi ve aynı zamanda şarj ve döküm alma sırasında oluşan Yayılı emisyonların toplanmasını ve bir azaltma sistemine aktarılmasını sağlayan tekniklerinin uygulanması</w:t>
            </w:r>
          </w:p>
        </w:tc>
        <w:tc>
          <w:tcPr>
            <w:tcW w:w="3686" w:type="dxa"/>
            <w:tcBorders>
              <w:top w:val="single" w:sz="4" w:space="0" w:color="000000"/>
              <w:left w:val="single" w:sz="4" w:space="0" w:color="000000"/>
              <w:bottom w:val="single" w:sz="4" w:space="0" w:color="000000"/>
              <w:right w:val="single" w:sz="4" w:space="0" w:color="000000"/>
            </w:tcBorders>
            <w:vAlign w:val="center"/>
          </w:tcPr>
          <w:p w14:paraId="79F35ED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693C618D" w14:textId="77777777" w:rsidTr="00271877">
        <w:tc>
          <w:tcPr>
            <w:tcW w:w="437" w:type="dxa"/>
            <w:tcBorders>
              <w:top w:val="single" w:sz="4" w:space="0" w:color="000000"/>
              <w:left w:val="single" w:sz="4" w:space="0" w:color="000000"/>
              <w:bottom w:val="single" w:sz="4" w:space="0" w:color="000000"/>
              <w:right w:val="single" w:sz="4" w:space="0" w:color="000000"/>
            </w:tcBorders>
          </w:tcPr>
          <w:p w14:paraId="4BCA5ED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lastRenderedPageBreak/>
              <w:t>d</w:t>
            </w:r>
          </w:p>
        </w:tc>
        <w:tc>
          <w:tcPr>
            <w:tcW w:w="4661" w:type="dxa"/>
            <w:tcBorders>
              <w:top w:val="single" w:sz="4" w:space="0" w:color="000000"/>
              <w:left w:val="single" w:sz="4" w:space="0" w:color="000000"/>
              <w:bottom w:val="single" w:sz="4" w:space="0" w:color="000000"/>
              <w:right w:val="single" w:sz="4" w:space="0" w:color="000000"/>
            </w:tcBorders>
          </w:tcPr>
          <w:p w14:paraId="2DA5382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Birincil emisyonların toplanması ve bir azaltma sistemine aktarılması için konvertörün ağzı üzerine birincil davlumbaz yerleştirilmesi</w:t>
            </w:r>
          </w:p>
        </w:tc>
        <w:tc>
          <w:tcPr>
            <w:tcW w:w="3686" w:type="dxa"/>
            <w:tcBorders>
              <w:top w:val="single" w:sz="4" w:space="0" w:color="000000"/>
              <w:left w:val="single" w:sz="4" w:space="0" w:color="000000"/>
              <w:bottom w:val="single" w:sz="4" w:space="0" w:color="000000"/>
              <w:right w:val="single" w:sz="4" w:space="0" w:color="000000"/>
            </w:tcBorders>
            <w:vAlign w:val="center"/>
          </w:tcPr>
          <w:p w14:paraId="3668B03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38625F58" w14:textId="77777777" w:rsidTr="00271877">
        <w:tc>
          <w:tcPr>
            <w:tcW w:w="437" w:type="dxa"/>
            <w:tcBorders>
              <w:top w:val="single" w:sz="4" w:space="0" w:color="000000"/>
              <w:left w:val="single" w:sz="4" w:space="0" w:color="000000"/>
              <w:bottom w:val="single" w:sz="4" w:space="0" w:color="000000"/>
              <w:right w:val="single" w:sz="4" w:space="0" w:color="000000"/>
            </w:tcBorders>
          </w:tcPr>
          <w:p w14:paraId="4C7753E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4661" w:type="dxa"/>
            <w:tcBorders>
              <w:top w:val="single" w:sz="4" w:space="0" w:color="000000"/>
              <w:left w:val="single" w:sz="4" w:space="0" w:color="000000"/>
              <w:bottom w:val="single" w:sz="4" w:space="0" w:color="000000"/>
              <w:right w:val="single" w:sz="4" w:space="0" w:color="000000"/>
            </w:tcBorders>
          </w:tcPr>
          <w:p w14:paraId="18DBDF61" w14:textId="20EB08D9" w:rsidR="00374C56" w:rsidRPr="00D53A2B" w:rsidRDefault="008C1F4F" w:rsidP="00A202FD">
            <w:pPr>
              <w:spacing w:line="264" w:lineRule="auto"/>
              <w:ind w:left="57" w:right="57"/>
              <w:jc w:val="both"/>
              <w:rPr>
                <w:sz w:val="22"/>
                <w:szCs w:val="22"/>
                <w:lang w:eastAsia="en-US"/>
              </w:rPr>
            </w:pPr>
            <w:r w:rsidRPr="00D53A2B">
              <w:rPr>
                <w:sz w:val="22"/>
                <w:szCs w:val="22"/>
                <w:lang w:eastAsia="en-US"/>
              </w:rPr>
              <w:t>Şarj ve kılavuz çekme işlemlerinden kaynaklanan emisyonları toplamak ve bir azaltma sistemine aktarmak için davlumbazlar veya vinç entegre davlumbazı.</w:t>
            </w:r>
          </w:p>
        </w:tc>
        <w:tc>
          <w:tcPr>
            <w:tcW w:w="3686" w:type="dxa"/>
            <w:tcBorders>
              <w:top w:val="single" w:sz="4" w:space="0" w:color="000000"/>
              <w:left w:val="single" w:sz="4" w:space="0" w:color="000000"/>
              <w:bottom w:val="single" w:sz="4" w:space="0" w:color="000000"/>
              <w:right w:val="single" w:sz="4" w:space="0" w:color="000000"/>
            </w:tcBorders>
            <w:vAlign w:val="center"/>
          </w:tcPr>
          <w:p w14:paraId="461540C3" w14:textId="7F6EC172" w:rsidR="00374C56" w:rsidRPr="00D53A2B" w:rsidRDefault="008C1F4F" w:rsidP="00A202FD">
            <w:pPr>
              <w:tabs>
                <w:tab w:val="left" w:pos="620"/>
                <w:tab w:val="left" w:pos="1500"/>
                <w:tab w:val="left" w:pos="2300"/>
                <w:tab w:val="left" w:pos="2640"/>
              </w:tabs>
              <w:spacing w:line="264" w:lineRule="auto"/>
              <w:ind w:left="57" w:right="57"/>
              <w:jc w:val="both"/>
              <w:rPr>
                <w:sz w:val="22"/>
                <w:szCs w:val="22"/>
                <w:lang w:eastAsia="en-US"/>
              </w:rPr>
            </w:pPr>
            <w:r w:rsidRPr="00D53A2B">
              <w:rPr>
                <w:sz w:val="22"/>
                <w:szCs w:val="22"/>
                <w:lang w:eastAsia="en-US"/>
              </w:rPr>
              <w:t>Mevcut tesisler için vinç entegre davlumbaz sadece fırın holünün büyük çaplı yükseltmelerinde uygulanabilir</w:t>
            </w:r>
          </w:p>
        </w:tc>
      </w:tr>
      <w:tr w:rsidR="00374C56" w:rsidRPr="00D53A2B" w14:paraId="14CBFE1E" w14:textId="77777777" w:rsidTr="00271877">
        <w:tc>
          <w:tcPr>
            <w:tcW w:w="437" w:type="dxa"/>
            <w:tcBorders>
              <w:top w:val="single" w:sz="4" w:space="0" w:color="000000"/>
              <w:left w:val="single" w:sz="4" w:space="0" w:color="000000"/>
              <w:bottom w:val="single" w:sz="4" w:space="0" w:color="000000"/>
              <w:right w:val="single" w:sz="4" w:space="0" w:color="000000"/>
            </w:tcBorders>
          </w:tcPr>
          <w:p w14:paraId="30F0790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w:t>
            </w:r>
          </w:p>
        </w:tc>
        <w:tc>
          <w:tcPr>
            <w:tcW w:w="4661" w:type="dxa"/>
            <w:tcBorders>
              <w:top w:val="single" w:sz="4" w:space="0" w:color="000000"/>
              <w:left w:val="single" w:sz="4" w:space="0" w:color="000000"/>
              <w:bottom w:val="single" w:sz="4" w:space="0" w:color="000000"/>
              <w:right w:val="single" w:sz="4" w:space="0" w:color="000000"/>
            </w:tcBorders>
          </w:tcPr>
          <w:p w14:paraId="145FD504" w14:textId="1503BA6B" w:rsidR="00374C56" w:rsidRPr="00D53A2B" w:rsidRDefault="008C1F4F" w:rsidP="00A202FD">
            <w:pPr>
              <w:spacing w:line="264" w:lineRule="auto"/>
              <w:ind w:left="57" w:right="57"/>
              <w:jc w:val="both"/>
              <w:rPr>
                <w:sz w:val="22"/>
                <w:szCs w:val="22"/>
                <w:lang w:eastAsia="en-US"/>
              </w:rPr>
            </w:pPr>
            <w:r w:rsidRPr="00D53A2B">
              <w:rPr>
                <w:sz w:val="22"/>
                <w:szCs w:val="22"/>
                <w:lang w:eastAsia="en-US"/>
              </w:rPr>
              <w:t>Davlumbazın içinden malzeme (örn. hurda ve flaks) eklenmesi</w:t>
            </w:r>
          </w:p>
        </w:tc>
        <w:tc>
          <w:tcPr>
            <w:tcW w:w="3686" w:type="dxa"/>
            <w:tcBorders>
              <w:top w:val="single" w:sz="4" w:space="0" w:color="000000"/>
              <w:left w:val="single" w:sz="4" w:space="0" w:color="000000"/>
              <w:bottom w:val="single" w:sz="4" w:space="0" w:color="000000"/>
              <w:right w:val="single" w:sz="4" w:space="0" w:color="000000"/>
            </w:tcBorders>
            <w:vAlign w:val="center"/>
          </w:tcPr>
          <w:p w14:paraId="3B7BBB4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3F7B0781" w14:textId="77777777" w:rsidTr="00271877">
        <w:tc>
          <w:tcPr>
            <w:tcW w:w="437" w:type="dxa"/>
            <w:tcBorders>
              <w:top w:val="single" w:sz="4" w:space="0" w:color="000000"/>
              <w:left w:val="single" w:sz="4" w:space="0" w:color="000000"/>
              <w:bottom w:val="single" w:sz="4" w:space="0" w:color="000000"/>
              <w:right w:val="single" w:sz="4" w:space="0" w:color="000000"/>
            </w:tcBorders>
          </w:tcPr>
          <w:p w14:paraId="70E0734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w:t>
            </w:r>
          </w:p>
        </w:tc>
        <w:tc>
          <w:tcPr>
            <w:tcW w:w="4661" w:type="dxa"/>
            <w:tcBorders>
              <w:top w:val="single" w:sz="4" w:space="0" w:color="000000"/>
              <w:left w:val="single" w:sz="4" w:space="0" w:color="000000"/>
              <w:bottom w:val="single" w:sz="4" w:space="0" w:color="000000"/>
              <w:right w:val="single" w:sz="4" w:space="0" w:color="000000"/>
            </w:tcBorders>
          </w:tcPr>
          <w:p w14:paraId="6DB35557" w14:textId="59469B70" w:rsidR="00374C56" w:rsidRPr="00D53A2B" w:rsidRDefault="00374C56" w:rsidP="00A202FD">
            <w:pPr>
              <w:spacing w:line="264" w:lineRule="auto"/>
              <w:ind w:left="57" w:right="57"/>
              <w:jc w:val="both"/>
              <w:rPr>
                <w:sz w:val="22"/>
                <w:szCs w:val="22"/>
                <w:lang w:eastAsia="en-US"/>
              </w:rPr>
            </w:pPr>
            <w:r w:rsidRPr="00D53A2B">
              <w:rPr>
                <w:sz w:val="22"/>
                <w:szCs w:val="22"/>
                <w:lang w:eastAsia="en-US"/>
              </w:rPr>
              <w:t>Gü</w:t>
            </w:r>
            <w:r w:rsidR="008C1F4F" w:rsidRPr="00D53A2B">
              <w:rPr>
                <w:sz w:val="22"/>
                <w:szCs w:val="22"/>
                <w:lang w:eastAsia="en-US"/>
              </w:rPr>
              <w:t>çlendirilmiş</w:t>
            </w:r>
            <w:r w:rsidRPr="00D53A2B">
              <w:rPr>
                <w:sz w:val="22"/>
                <w:szCs w:val="22"/>
                <w:lang w:eastAsia="en-US"/>
              </w:rPr>
              <w:t xml:space="preserve"> emme sistemleri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c>
          <w:tcPr>
            <w:tcW w:w="3686" w:type="dxa"/>
            <w:tcBorders>
              <w:top w:val="single" w:sz="4" w:space="0" w:color="000000"/>
              <w:left w:val="single" w:sz="4" w:space="0" w:color="000000"/>
              <w:bottom w:val="single" w:sz="4" w:space="0" w:color="000000"/>
              <w:right w:val="single" w:sz="4" w:space="0" w:color="000000"/>
            </w:tcBorders>
            <w:vAlign w:val="center"/>
          </w:tcPr>
          <w:p w14:paraId="13DDCFD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20872A8A" w14:textId="77777777" w:rsidTr="00271877">
        <w:tc>
          <w:tcPr>
            <w:tcW w:w="8784" w:type="dxa"/>
            <w:gridSpan w:val="3"/>
            <w:tcBorders>
              <w:top w:val="single" w:sz="4" w:space="0" w:color="000000"/>
              <w:left w:val="single" w:sz="4" w:space="0" w:color="000000"/>
              <w:bottom w:val="single" w:sz="4" w:space="0" w:color="000000"/>
              <w:right w:val="single" w:sz="4" w:space="0" w:color="000000"/>
            </w:tcBorders>
          </w:tcPr>
          <w:p w14:paraId="6DDBB3A1" w14:textId="3B8B944B" w:rsidR="00374C56" w:rsidRPr="00D53A2B" w:rsidRDefault="00374C56" w:rsidP="00A202FD">
            <w:pPr>
              <w:spacing w:line="264" w:lineRule="auto"/>
              <w:ind w:left="57" w:right="57"/>
              <w:jc w:val="both"/>
              <w:rPr>
                <w:sz w:val="22"/>
                <w:szCs w:val="22"/>
                <w:lang w:eastAsia="en-US"/>
              </w:rPr>
            </w:pPr>
            <w:r w:rsidRPr="00D53A2B">
              <w:rPr>
                <w:b/>
                <w:sz w:val="22"/>
                <w:szCs w:val="22"/>
                <w:lang w:eastAsia="en-US"/>
              </w:rPr>
              <w:t>(</w:t>
            </w:r>
            <w:r w:rsidRPr="00D53A2B">
              <w:rPr>
                <w:b/>
                <w:sz w:val="22"/>
                <w:szCs w:val="22"/>
                <w:vertAlign w:val="superscript"/>
                <w:lang w:eastAsia="en-US"/>
              </w:rPr>
              <w:t>1</w:t>
            </w:r>
            <w:r w:rsidRPr="00D53A2B">
              <w:rPr>
                <w:b/>
                <w:sz w:val="22"/>
                <w:szCs w:val="22"/>
                <w:lang w:eastAsia="en-US"/>
              </w:rPr>
              <w:t>) :</w:t>
            </w:r>
            <w:r w:rsidRPr="00D53A2B">
              <w:rPr>
                <w:sz w:val="22"/>
                <w:szCs w:val="22"/>
                <w:lang w:eastAsia="en-US"/>
              </w:rPr>
              <w:t xml:space="preserve"> Tekniklerin açıklamaları Bölüm 1.10</w:t>
            </w:r>
            <w:r w:rsidR="00E56504" w:rsidRPr="00D53A2B">
              <w:rPr>
                <w:sz w:val="22"/>
                <w:szCs w:val="22"/>
                <w:lang w:eastAsia="en-US"/>
              </w:rPr>
              <w:t>’</w:t>
            </w:r>
            <w:r w:rsidRPr="00D53A2B">
              <w:rPr>
                <w:sz w:val="22"/>
                <w:szCs w:val="22"/>
                <w:lang w:eastAsia="en-US"/>
              </w:rPr>
              <w:t>da verilmiştir.</w:t>
            </w:r>
          </w:p>
        </w:tc>
      </w:tr>
    </w:tbl>
    <w:p w14:paraId="7C77BE21" w14:textId="77777777" w:rsidR="00374C56" w:rsidRPr="00D53A2B" w:rsidRDefault="00374C56" w:rsidP="00A202FD">
      <w:pPr>
        <w:jc w:val="both"/>
        <w:rPr>
          <w:lang w:eastAsia="en-US"/>
        </w:rPr>
      </w:pPr>
    </w:p>
    <w:p w14:paraId="18C5FB91" w14:textId="51416993" w:rsidR="00374C56" w:rsidRPr="00D53A2B" w:rsidRDefault="00374C56" w:rsidP="00A202FD">
      <w:pPr>
        <w:pStyle w:val="MET"/>
        <w:rPr>
          <w:szCs w:val="24"/>
        </w:rPr>
      </w:pPr>
      <w:r w:rsidRPr="00D53A2B">
        <w:rPr>
          <w:szCs w:val="24"/>
        </w:rPr>
        <w:t>MET 31</w:t>
      </w:r>
      <w:r w:rsidR="006F4992" w:rsidRPr="00D53A2B">
        <w:rPr>
          <w:szCs w:val="24"/>
        </w:rPr>
        <w:t>:</w:t>
      </w:r>
      <w:r w:rsidR="008C1F4F" w:rsidRPr="00D53A2B">
        <w:rPr>
          <w:szCs w:val="24"/>
        </w:rPr>
        <w:t xml:space="preserve"> </w:t>
      </w:r>
      <w:r w:rsidRPr="00D53A2B">
        <w:rPr>
          <w:b w:val="0"/>
          <w:szCs w:val="24"/>
        </w:rPr>
        <w:t xml:space="preserve">Cüruf konsentratörü ile bakır geri kazanımından kaynaklanan </w:t>
      </w:r>
      <w:r w:rsidR="00037693" w:rsidRPr="00D53A2B">
        <w:rPr>
          <w:b w:val="0"/>
          <w:szCs w:val="24"/>
        </w:rPr>
        <w:t>y</w:t>
      </w:r>
      <w:r w:rsidRPr="00D53A2B">
        <w:rPr>
          <w:b w:val="0"/>
          <w:szCs w:val="24"/>
        </w:rPr>
        <w:t>ayılı emisyonları azaltmak için, aşağıda verilen teknikler kullanıl</w:t>
      </w:r>
      <w:r w:rsidR="006F4992" w:rsidRPr="00D53A2B">
        <w:rPr>
          <w:b w:val="0"/>
          <w:szCs w:val="24"/>
        </w:rPr>
        <w:t>ır.</w:t>
      </w:r>
    </w:p>
    <w:p w14:paraId="25C9D9E5" w14:textId="77777777" w:rsidR="008C1F4F" w:rsidRPr="00D53A2B" w:rsidRDefault="008C1F4F" w:rsidP="00A202FD">
      <w:pPr>
        <w:pStyle w:val="MET"/>
        <w:rPr>
          <w:szCs w:val="24"/>
        </w:rPr>
      </w:pPr>
    </w:p>
    <w:tbl>
      <w:tblPr>
        <w:tblW w:w="8784" w:type="dxa"/>
        <w:tblLayout w:type="fixed"/>
        <w:tblCellMar>
          <w:left w:w="0" w:type="dxa"/>
          <w:right w:w="0" w:type="dxa"/>
        </w:tblCellMar>
        <w:tblLook w:val="01E0" w:firstRow="1" w:lastRow="1" w:firstColumn="1" w:lastColumn="1" w:noHBand="0" w:noVBand="0"/>
      </w:tblPr>
      <w:tblGrid>
        <w:gridCol w:w="384"/>
        <w:gridCol w:w="8400"/>
      </w:tblGrid>
      <w:tr w:rsidR="00374C56" w:rsidRPr="00D53A2B" w14:paraId="7570356C" w14:textId="77777777" w:rsidTr="00271877">
        <w:trPr>
          <w:trHeight w:val="283"/>
        </w:trPr>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7E509BA6" w14:textId="77777777" w:rsidR="00374C56" w:rsidRPr="00D53A2B" w:rsidRDefault="00374C56" w:rsidP="00A202FD">
            <w:pPr>
              <w:spacing w:line="264" w:lineRule="auto"/>
              <w:ind w:left="57" w:right="57"/>
              <w:jc w:val="both"/>
              <w:rPr>
                <w:lang w:eastAsia="en-US"/>
              </w:rPr>
            </w:pPr>
            <w:r w:rsidRPr="00D53A2B">
              <w:rPr>
                <w:b/>
                <w:bCs/>
                <w:lang w:eastAsia="en-US"/>
              </w:rPr>
              <w:t>Teknik</w:t>
            </w:r>
          </w:p>
        </w:tc>
      </w:tr>
      <w:tr w:rsidR="00374C56" w:rsidRPr="00D53A2B" w14:paraId="67BE2CE2" w14:textId="77777777" w:rsidTr="00271877">
        <w:tc>
          <w:tcPr>
            <w:tcW w:w="384" w:type="dxa"/>
            <w:tcBorders>
              <w:top w:val="single" w:sz="4" w:space="0" w:color="000000"/>
              <w:left w:val="single" w:sz="4" w:space="0" w:color="000000"/>
              <w:bottom w:val="single" w:sz="4" w:space="0" w:color="000000"/>
              <w:right w:val="single" w:sz="4" w:space="0" w:color="000000"/>
            </w:tcBorders>
            <w:vAlign w:val="center"/>
          </w:tcPr>
          <w:p w14:paraId="6CBE75D4" w14:textId="77777777" w:rsidR="00374C56" w:rsidRPr="00D53A2B" w:rsidRDefault="00374C56" w:rsidP="00A202FD">
            <w:pPr>
              <w:spacing w:line="264" w:lineRule="auto"/>
              <w:ind w:left="57" w:right="57"/>
              <w:jc w:val="both"/>
              <w:rPr>
                <w:lang w:eastAsia="en-US"/>
              </w:rPr>
            </w:pPr>
            <w:r w:rsidRPr="00D53A2B">
              <w:rPr>
                <w:lang w:eastAsia="en-US"/>
              </w:rPr>
              <w:t>a</w:t>
            </w:r>
          </w:p>
        </w:tc>
        <w:tc>
          <w:tcPr>
            <w:tcW w:w="8400" w:type="dxa"/>
            <w:tcBorders>
              <w:top w:val="single" w:sz="4" w:space="0" w:color="000000"/>
              <w:left w:val="single" w:sz="4" w:space="0" w:color="000000"/>
              <w:bottom w:val="single" w:sz="4" w:space="0" w:color="000000"/>
              <w:right w:val="single" w:sz="4" w:space="0" w:color="000000"/>
            </w:tcBorders>
          </w:tcPr>
          <w:p w14:paraId="61BB411F" w14:textId="2AD7E7CD" w:rsidR="00374C56" w:rsidRPr="00D53A2B" w:rsidRDefault="0004395A" w:rsidP="00A202FD">
            <w:pPr>
              <w:spacing w:line="264" w:lineRule="auto"/>
              <w:ind w:left="57" w:right="57"/>
              <w:jc w:val="both"/>
              <w:rPr>
                <w:lang w:eastAsia="en-US"/>
              </w:rPr>
            </w:pPr>
            <w:r w:rsidRPr="00D53A2B">
              <w:rPr>
                <w:lang w:eastAsia="en-US"/>
              </w:rPr>
              <w:t>Cürufun taşınması, depolanması ve ezilmesi için su spreyi gibi toz bastırma teknikleri.</w:t>
            </w:r>
          </w:p>
        </w:tc>
      </w:tr>
      <w:tr w:rsidR="00374C56" w:rsidRPr="00D53A2B" w14:paraId="270C4588" w14:textId="77777777" w:rsidTr="00271877">
        <w:tc>
          <w:tcPr>
            <w:tcW w:w="384" w:type="dxa"/>
            <w:tcBorders>
              <w:top w:val="single" w:sz="4" w:space="0" w:color="000000"/>
              <w:left w:val="single" w:sz="4" w:space="0" w:color="000000"/>
              <w:bottom w:val="single" w:sz="4" w:space="0" w:color="000000"/>
              <w:right w:val="single" w:sz="4" w:space="0" w:color="000000"/>
            </w:tcBorders>
            <w:vAlign w:val="center"/>
          </w:tcPr>
          <w:p w14:paraId="05CCC627" w14:textId="77777777" w:rsidR="00374C56" w:rsidRPr="00D53A2B" w:rsidRDefault="00374C56" w:rsidP="00A202FD">
            <w:pPr>
              <w:spacing w:line="264" w:lineRule="auto"/>
              <w:ind w:left="57" w:right="57"/>
              <w:jc w:val="both"/>
              <w:rPr>
                <w:lang w:eastAsia="en-US"/>
              </w:rPr>
            </w:pPr>
            <w:r w:rsidRPr="00D53A2B">
              <w:rPr>
                <w:lang w:eastAsia="en-US"/>
              </w:rPr>
              <w:t>b</w:t>
            </w:r>
          </w:p>
        </w:tc>
        <w:tc>
          <w:tcPr>
            <w:tcW w:w="8400" w:type="dxa"/>
            <w:tcBorders>
              <w:top w:val="single" w:sz="4" w:space="0" w:color="000000"/>
              <w:left w:val="single" w:sz="4" w:space="0" w:color="000000"/>
              <w:bottom w:val="single" w:sz="4" w:space="0" w:color="000000"/>
              <w:right w:val="single" w:sz="4" w:space="0" w:color="000000"/>
            </w:tcBorders>
          </w:tcPr>
          <w:p w14:paraId="1BDA76CD" w14:textId="5D19C388" w:rsidR="00374C56" w:rsidRPr="00D53A2B" w:rsidRDefault="008C1F4F" w:rsidP="00A202FD">
            <w:pPr>
              <w:spacing w:line="264" w:lineRule="auto"/>
              <w:ind w:left="57" w:right="57"/>
              <w:jc w:val="both"/>
              <w:rPr>
                <w:lang w:eastAsia="en-US"/>
              </w:rPr>
            </w:pPr>
            <w:r w:rsidRPr="00D53A2B">
              <w:rPr>
                <w:lang w:eastAsia="en-US"/>
              </w:rPr>
              <w:t>Su ile yapılan öğütme ve flotasyon</w:t>
            </w:r>
          </w:p>
        </w:tc>
      </w:tr>
      <w:tr w:rsidR="00374C56" w:rsidRPr="00D53A2B" w14:paraId="47E30962" w14:textId="77777777" w:rsidTr="00271877">
        <w:tc>
          <w:tcPr>
            <w:tcW w:w="384" w:type="dxa"/>
            <w:tcBorders>
              <w:top w:val="single" w:sz="4" w:space="0" w:color="000000"/>
              <w:left w:val="single" w:sz="4" w:space="0" w:color="000000"/>
              <w:bottom w:val="single" w:sz="4" w:space="0" w:color="000000"/>
              <w:right w:val="single" w:sz="4" w:space="0" w:color="000000"/>
            </w:tcBorders>
            <w:vAlign w:val="center"/>
          </w:tcPr>
          <w:p w14:paraId="1CD42895" w14:textId="77777777" w:rsidR="00374C56" w:rsidRPr="00D53A2B" w:rsidRDefault="00374C56" w:rsidP="00A202FD">
            <w:pPr>
              <w:spacing w:line="264" w:lineRule="auto"/>
              <w:ind w:left="57" w:right="57"/>
              <w:jc w:val="both"/>
              <w:rPr>
                <w:lang w:eastAsia="en-US"/>
              </w:rPr>
            </w:pPr>
            <w:r w:rsidRPr="00D53A2B">
              <w:rPr>
                <w:lang w:eastAsia="en-US"/>
              </w:rPr>
              <w:t>c</w:t>
            </w:r>
          </w:p>
        </w:tc>
        <w:tc>
          <w:tcPr>
            <w:tcW w:w="8400" w:type="dxa"/>
            <w:tcBorders>
              <w:top w:val="single" w:sz="4" w:space="0" w:color="000000"/>
              <w:left w:val="single" w:sz="4" w:space="0" w:color="000000"/>
              <w:bottom w:val="single" w:sz="4" w:space="0" w:color="000000"/>
              <w:right w:val="single" w:sz="4" w:space="0" w:color="000000"/>
            </w:tcBorders>
          </w:tcPr>
          <w:p w14:paraId="12259C1F" w14:textId="77777777" w:rsidR="00374C56" w:rsidRPr="00D53A2B" w:rsidRDefault="00374C56" w:rsidP="00A202FD">
            <w:pPr>
              <w:spacing w:line="264" w:lineRule="auto"/>
              <w:ind w:left="57" w:right="57"/>
              <w:jc w:val="both"/>
              <w:rPr>
                <w:lang w:eastAsia="en-US"/>
              </w:rPr>
            </w:pPr>
            <w:r w:rsidRPr="00D53A2B">
              <w:rPr>
                <w:lang w:eastAsia="en-US"/>
              </w:rPr>
              <w:t>Kapalı bir boru hattında cürufun nihai depolama alanına su ile aktarılması</w:t>
            </w:r>
          </w:p>
        </w:tc>
      </w:tr>
      <w:tr w:rsidR="00374C56" w:rsidRPr="00D53A2B" w14:paraId="299267F1" w14:textId="77777777" w:rsidTr="00271877">
        <w:tc>
          <w:tcPr>
            <w:tcW w:w="384" w:type="dxa"/>
            <w:tcBorders>
              <w:top w:val="single" w:sz="4" w:space="0" w:color="000000"/>
              <w:left w:val="single" w:sz="4" w:space="0" w:color="000000"/>
              <w:bottom w:val="single" w:sz="4" w:space="0" w:color="000000"/>
              <w:right w:val="single" w:sz="4" w:space="0" w:color="000000"/>
            </w:tcBorders>
            <w:vAlign w:val="center"/>
          </w:tcPr>
          <w:p w14:paraId="6BEBD050" w14:textId="77777777" w:rsidR="00374C56" w:rsidRPr="00D53A2B" w:rsidRDefault="00374C56" w:rsidP="00A202FD">
            <w:pPr>
              <w:spacing w:line="264" w:lineRule="auto"/>
              <w:ind w:left="57" w:right="57"/>
              <w:jc w:val="both"/>
              <w:rPr>
                <w:lang w:eastAsia="en-US"/>
              </w:rPr>
            </w:pPr>
            <w:r w:rsidRPr="00D53A2B">
              <w:rPr>
                <w:lang w:eastAsia="en-US"/>
              </w:rPr>
              <w:t>d</w:t>
            </w:r>
          </w:p>
        </w:tc>
        <w:tc>
          <w:tcPr>
            <w:tcW w:w="8400" w:type="dxa"/>
            <w:tcBorders>
              <w:top w:val="single" w:sz="4" w:space="0" w:color="000000"/>
              <w:left w:val="single" w:sz="4" w:space="0" w:color="000000"/>
              <w:bottom w:val="single" w:sz="4" w:space="0" w:color="000000"/>
              <w:right w:val="single" w:sz="4" w:space="0" w:color="000000"/>
            </w:tcBorders>
          </w:tcPr>
          <w:p w14:paraId="50A3737D" w14:textId="77777777" w:rsidR="00374C56" w:rsidRPr="00D53A2B" w:rsidRDefault="00374C56" w:rsidP="00A202FD">
            <w:pPr>
              <w:spacing w:line="264" w:lineRule="auto"/>
              <w:ind w:left="57" w:right="57"/>
              <w:jc w:val="both"/>
              <w:rPr>
                <w:lang w:eastAsia="en-US"/>
              </w:rPr>
            </w:pPr>
            <w:r w:rsidRPr="00D53A2B">
              <w:rPr>
                <w:lang w:eastAsia="en-US"/>
              </w:rPr>
              <w:t>Gölette bir miktar su bulundurulması veya kuru alanlarda kireç sütü gibi bir toz önleyici kullanılması</w:t>
            </w:r>
          </w:p>
        </w:tc>
      </w:tr>
    </w:tbl>
    <w:p w14:paraId="70AA40BF" w14:textId="77777777" w:rsidR="00374C56" w:rsidRPr="00D53A2B" w:rsidRDefault="00374C56" w:rsidP="00A202FD">
      <w:pPr>
        <w:jc w:val="both"/>
        <w:rPr>
          <w:lang w:eastAsia="en-US"/>
        </w:rPr>
      </w:pPr>
    </w:p>
    <w:p w14:paraId="4E82C211" w14:textId="793840AE" w:rsidR="00374C56" w:rsidRPr="00D53A2B" w:rsidRDefault="00374C56" w:rsidP="00A202FD">
      <w:pPr>
        <w:pStyle w:val="MET"/>
        <w:rPr>
          <w:b w:val="0"/>
          <w:bCs/>
          <w:szCs w:val="24"/>
        </w:rPr>
      </w:pPr>
      <w:r w:rsidRPr="00D53A2B">
        <w:rPr>
          <w:szCs w:val="24"/>
        </w:rPr>
        <w:t>MET 32.</w:t>
      </w:r>
      <w:r w:rsidR="0004395A" w:rsidRPr="00D53A2B">
        <w:rPr>
          <w:szCs w:val="24"/>
        </w:rPr>
        <w:t xml:space="preserve"> </w:t>
      </w:r>
      <w:r w:rsidRPr="00D53A2B">
        <w:rPr>
          <w:b w:val="0"/>
          <w:bCs/>
          <w:szCs w:val="24"/>
        </w:rPr>
        <w:t>Bakırca zengin cüruf fırını arıtmasından kaynaklanan Yayılı emisyonları azaltmak içi</w:t>
      </w:r>
      <w:r w:rsidR="006F4992" w:rsidRPr="00D53A2B">
        <w:rPr>
          <w:b w:val="0"/>
          <w:bCs/>
          <w:szCs w:val="24"/>
        </w:rPr>
        <w:t xml:space="preserve">n, </w:t>
      </w:r>
      <w:r w:rsidRPr="00D53A2B">
        <w:rPr>
          <w:b w:val="0"/>
          <w:bCs/>
          <w:szCs w:val="24"/>
        </w:rPr>
        <w:t>aşağıda verilen tekniklerin bir kombinasyonu kullan</w:t>
      </w:r>
      <w:r w:rsidR="006F4992" w:rsidRPr="00D53A2B">
        <w:rPr>
          <w:b w:val="0"/>
          <w:bCs/>
          <w:szCs w:val="24"/>
        </w:rPr>
        <w:t>ılır.</w:t>
      </w:r>
    </w:p>
    <w:p w14:paraId="7E1649AB" w14:textId="77777777" w:rsidR="00282CE4" w:rsidRPr="00D53A2B" w:rsidRDefault="00282CE4" w:rsidP="00A202FD">
      <w:pPr>
        <w:pStyle w:val="MET"/>
        <w:rPr>
          <w:b w:val="0"/>
          <w:bCs/>
          <w:szCs w:val="24"/>
        </w:rPr>
      </w:pPr>
    </w:p>
    <w:tbl>
      <w:tblPr>
        <w:tblW w:w="8722" w:type="dxa"/>
        <w:tblLayout w:type="fixed"/>
        <w:tblCellMar>
          <w:left w:w="0" w:type="dxa"/>
          <w:right w:w="0" w:type="dxa"/>
        </w:tblCellMar>
        <w:tblLook w:val="01E0" w:firstRow="1" w:lastRow="1" w:firstColumn="1" w:lastColumn="1" w:noHBand="0" w:noVBand="0"/>
      </w:tblPr>
      <w:tblGrid>
        <w:gridCol w:w="392"/>
        <w:gridCol w:w="8330"/>
      </w:tblGrid>
      <w:tr w:rsidR="00374C56" w:rsidRPr="00D53A2B" w14:paraId="55B18B8D" w14:textId="77777777" w:rsidTr="00374C56">
        <w:tc>
          <w:tcPr>
            <w:tcW w:w="392" w:type="dxa"/>
            <w:tcBorders>
              <w:top w:val="single" w:sz="4" w:space="0" w:color="000000"/>
              <w:left w:val="single" w:sz="4" w:space="0" w:color="000000"/>
              <w:bottom w:val="single" w:sz="4" w:space="0" w:color="000000"/>
              <w:right w:val="single" w:sz="4" w:space="0" w:color="000000"/>
            </w:tcBorders>
            <w:vAlign w:val="center"/>
          </w:tcPr>
          <w:p w14:paraId="095BE88F" w14:textId="77777777" w:rsidR="00374C56" w:rsidRPr="00D53A2B" w:rsidRDefault="00374C56" w:rsidP="00A202FD">
            <w:pPr>
              <w:spacing w:line="264" w:lineRule="auto"/>
              <w:ind w:left="57" w:right="57"/>
              <w:jc w:val="both"/>
              <w:rPr>
                <w:sz w:val="22"/>
                <w:szCs w:val="22"/>
                <w:lang w:eastAsia="en-US"/>
              </w:rPr>
            </w:pPr>
          </w:p>
        </w:tc>
        <w:tc>
          <w:tcPr>
            <w:tcW w:w="8330" w:type="dxa"/>
            <w:tcBorders>
              <w:top w:val="single" w:sz="4" w:space="0" w:color="000000"/>
              <w:left w:val="single" w:sz="4" w:space="0" w:color="000000"/>
              <w:bottom w:val="single" w:sz="4" w:space="0" w:color="000000"/>
              <w:right w:val="single" w:sz="4" w:space="0" w:color="000000"/>
            </w:tcBorders>
            <w:vAlign w:val="center"/>
          </w:tcPr>
          <w:p w14:paraId="25F57C62"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042F140C" w14:textId="77777777" w:rsidTr="00374C56">
        <w:tc>
          <w:tcPr>
            <w:tcW w:w="392" w:type="dxa"/>
            <w:tcBorders>
              <w:top w:val="single" w:sz="4" w:space="0" w:color="000000"/>
              <w:left w:val="single" w:sz="4" w:space="0" w:color="000000"/>
              <w:bottom w:val="single" w:sz="4" w:space="0" w:color="000000"/>
              <w:right w:val="single" w:sz="4" w:space="0" w:color="000000"/>
            </w:tcBorders>
            <w:vAlign w:val="center"/>
          </w:tcPr>
          <w:p w14:paraId="174372C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330" w:type="dxa"/>
            <w:tcBorders>
              <w:top w:val="single" w:sz="4" w:space="0" w:color="000000"/>
              <w:left w:val="single" w:sz="4" w:space="0" w:color="000000"/>
              <w:bottom w:val="single" w:sz="4" w:space="0" w:color="000000"/>
              <w:right w:val="single" w:sz="4" w:space="0" w:color="000000"/>
            </w:tcBorders>
            <w:vAlign w:val="center"/>
          </w:tcPr>
          <w:p w14:paraId="1197B608" w14:textId="7AAFA765" w:rsidR="00374C56" w:rsidRPr="00D53A2B" w:rsidRDefault="0004395A" w:rsidP="00A202FD">
            <w:pPr>
              <w:spacing w:line="264" w:lineRule="auto"/>
              <w:ind w:left="57" w:right="57"/>
              <w:jc w:val="both"/>
              <w:rPr>
                <w:sz w:val="22"/>
                <w:szCs w:val="22"/>
                <w:lang w:eastAsia="en-US"/>
              </w:rPr>
            </w:pPr>
            <w:r w:rsidRPr="00D53A2B">
              <w:rPr>
                <w:sz w:val="22"/>
                <w:szCs w:val="22"/>
                <w:lang w:eastAsia="en-US"/>
              </w:rPr>
              <w:t xml:space="preserve">Nihai cürufun taşınması, depolanması </w:t>
            </w:r>
            <w:r w:rsidR="00FC36C6">
              <w:rPr>
                <w:sz w:val="22"/>
                <w:szCs w:val="22"/>
                <w:lang w:eastAsia="en-US"/>
              </w:rPr>
              <w:t>ve öğütülmesi</w:t>
            </w:r>
            <w:r w:rsidRPr="00D53A2B">
              <w:rPr>
                <w:sz w:val="22"/>
                <w:szCs w:val="22"/>
                <w:lang w:eastAsia="en-US"/>
              </w:rPr>
              <w:t xml:space="preserve"> için su spreyi gibi toz bastırma teknikleri.</w:t>
            </w:r>
          </w:p>
        </w:tc>
      </w:tr>
      <w:tr w:rsidR="00374C56" w:rsidRPr="00D53A2B" w14:paraId="0C985BE5" w14:textId="77777777" w:rsidTr="00374C56">
        <w:tc>
          <w:tcPr>
            <w:tcW w:w="392" w:type="dxa"/>
            <w:tcBorders>
              <w:top w:val="single" w:sz="4" w:space="0" w:color="000000"/>
              <w:left w:val="single" w:sz="4" w:space="0" w:color="000000"/>
              <w:bottom w:val="single" w:sz="4" w:space="0" w:color="000000"/>
              <w:right w:val="single" w:sz="4" w:space="0" w:color="000000"/>
            </w:tcBorders>
            <w:vAlign w:val="center"/>
          </w:tcPr>
          <w:p w14:paraId="1D20BA3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330" w:type="dxa"/>
            <w:tcBorders>
              <w:top w:val="single" w:sz="4" w:space="0" w:color="000000"/>
              <w:left w:val="single" w:sz="4" w:space="0" w:color="000000"/>
              <w:bottom w:val="single" w:sz="4" w:space="0" w:color="000000"/>
              <w:right w:val="single" w:sz="4" w:space="0" w:color="000000"/>
            </w:tcBorders>
            <w:vAlign w:val="center"/>
          </w:tcPr>
          <w:p w14:paraId="0B95CAF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Fırının negatif basınçta çalıştırılması</w:t>
            </w:r>
          </w:p>
        </w:tc>
      </w:tr>
      <w:tr w:rsidR="00374C56" w:rsidRPr="00D53A2B" w14:paraId="22D4F619" w14:textId="77777777" w:rsidTr="00374C56">
        <w:tc>
          <w:tcPr>
            <w:tcW w:w="392" w:type="dxa"/>
            <w:tcBorders>
              <w:top w:val="single" w:sz="4" w:space="0" w:color="000000"/>
              <w:left w:val="single" w:sz="4" w:space="0" w:color="000000"/>
              <w:bottom w:val="single" w:sz="4" w:space="0" w:color="000000"/>
              <w:right w:val="single" w:sz="4" w:space="0" w:color="000000"/>
            </w:tcBorders>
            <w:vAlign w:val="center"/>
          </w:tcPr>
          <w:p w14:paraId="4C0A24D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330" w:type="dxa"/>
            <w:tcBorders>
              <w:top w:val="single" w:sz="4" w:space="0" w:color="000000"/>
              <w:left w:val="single" w:sz="4" w:space="0" w:color="000000"/>
              <w:bottom w:val="single" w:sz="4" w:space="0" w:color="000000"/>
              <w:right w:val="single" w:sz="4" w:space="0" w:color="000000"/>
            </w:tcBorders>
            <w:vAlign w:val="center"/>
          </w:tcPr>
          <w:p w14:paraId="3C339B2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Etrafı kapalı fırın</w:t>
            </w:r>
          </w:p>
        </w:tc>
      </w:tr>
      <w:tr w:rsidR="00374C56" w:rsidRPr="00D53A2B" w14:paraId="35D597E4" w14:textId="77777777" w:rsidTr="00374C56">
        <w:tc>
          <w:tcPr>
            <w:tcW w:w="392" w:type="dxa"/>
            <w:tcBorders>
              <w:top w:val="single" w:sz="4" w:space="0" w:color="000000"/>
              <w:left w:val="single" w:sz="4" w:space="0" w:color="000000"/>
              <w:bottom w:val="single" w:sz="4" w:space="0" w:color="000000"/>
              <w:right w:val="single" w:sz="4" w:space="0" w:color="000000"/>
            </w:tcBorders>
            <w:vAlign w:val="center"/>
          </w:tcPr>
          <w:p w14:paraId="5EF1F45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8330" w:type="dxa"/>
            <w:tcBorders>
              <w:top w:val="single" w:sz="4" w:space="0" w:color="000000"/>
              <w:left w:val="single" w:sz="4" w:space="0" w:color="000000"/>
              <w:bottom w:val="single" w:sz="4" w:space="0" w:color="000000"/>
              <w:right w:val="single" w:sz="4" w:space="0" w:color="000000"/>
            </w:tcBorders>
            <w:vAlign w:val="center"/>
          </w:tcPr>
          <w:p w14:paraId="0338D1C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Emisyonları toplamak ve bir azaltma sistemine aktarmak için yuva, muhafaza ve davlumbaz</w:t>
            </w:r>
          </w:p>
        </w:tc>
      </w:tr>
      <w:tr w:rsidR="00374C56" w:rsidRPr="00D53A2B" w14:paraId="1AF872F8" w14:textId="77777777" w:rsidTr="00374C56">
        <w:tc>
          <w:tcPr>
            <w:tcW w:w="392" w:type="dxa"/>
            <w:tcBorders>
              <w:top w:val="single" w:sz="4" w:space="0" w:color="000000"/>
              <w:left w:val="single" w:sz="4" w:space="0" w:color="000000"/>
              <w:bottom w:val="single" w:sz="4" w:space="0" w:color="000000"/>
              <w:right w:val="single" w:sz="4" w:space="0" w:color="000000"/>
            </w:tcBorders>
            <w:vAlign w:val="center"/>
          </w:tcPr>
          <w:p w14:paraId="5E30C75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8330" w:type="dxa"/>
            <w:tcBorders>
              <w:top w:val="single" w:sz="4" w:space="0" w:color="000000"/>
              <w:left w:val="single" w:sz="4" w:space="0" w:color="000000"/>
              <w:bottom w:val="single" w:sz="4" w:space="0" w:color="000000"/>
              <w:right w:val="single" w:sz="4" w:space="0" w:color="000000"/>
            </w:tcBorders>
            <w:vAlign w:val="center"/>
          </w:tcPr>
          <w:p w14:paraId="105B55D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Kapalı oluklar</w:t>
            </w:r>
          </w:p>
        </w:tc>
      </w:tr>
    </w:tbl>
    <w:p w14:paraId="485F5C79" w14:textId="77777777" w:rsidR="00374C56" w:rsidRPr="00D53A2B" w:rsidRDefault="00374C56" w:rsidP="00A202FD">
      <w:pPr>
        <w:jc w:val="both"/>
        <w:rPr>
          <w:lang w:eastAsia="en-US"/>
        </w:rPr>
      </w:pPr>
    </w:p>
    <w:p w14:paraId="0D6B79A2" w14:textId="6A07EE28" w:rsidR="00374C56" w:rsidRPr="00D53A2B" w:rsidRDefault="00374C56" w:rsidP="00A202FD">
      <w:pPr>
        <w:pStyle w:val="MET"/>
        <w:rPr>
          <w:b w:val="0"/>
          <w:bCs/>
          <w:szCs w:val="24"/>
        </w:rPr>
      </w:pPr>
      <w:r w:rsidRPr="00D53A2B">
        <w:rPr>
          <w:szCs w:val="24"/>
        </w:rPr>
        <w:t>MET 33.</w:t>
      </w:r>
      <w:r w:rsidR="0004395A" w:rsidRPr="00D53A2B">
        <w:rPr>
          <w:szCs w:val="24"/>
        </w:rPr>
        <w:t xml:space="preserve"> </w:t>
      </w:r>
      <w:r w:rsidRPr="00D53A2B">
        <w:rPr>
          <w:b w:val="0"/>
          <w:bCs/>
          <w:szCs w:val="24"/>
        </w:rPr>
        <w:t>Birincil ve ikincil bakır üretiminde anot dökümden kaynaklanan Yayılı emisyonları azaltmak için</w:t>
      </w:r>
      <w:r w:rsidR="006F4992" w:rsidRPr="00D53A2B">
        <w:rPr>
          <w:b w:val="0"/>
          <w:bCs/>
          <w:szCs w:val="24"/>
        </w:rPr>
        <w:t xml:space="preserve">, </w:t>
      </w:r>
      <w:r w:rsidRPr="00D53A2B">
        <w:rPr>
          <w:b w:val="0"/>
          <w:bCs/>
          <w:szCs w:val="24"/>
        </w:rPr>
        <w:t>aşağıda verilen tekniklerin birini</w:t>
      </w:r>
      <w:r w:rsidR="006F4992" w:rsidRPr="00D53A2B">
        <w:rPr>
          <w:b w:val="0"/>
          <w:bCs/>
          <w:szCs w:val="24"/>
        </w:rPr>
        <w:t>n</w:t>
      </w:r>
      <w:r w:rsidRPr="00D53A2B">
        <w:rPr>
          <w:b w:val="0"/>
          <w:bCs/>
          <w:szCs w:val="24"/>
        </w:rPr>
        <w:t xml:space="preserve"> veya birkaçının bir kombinasyonu kullan</w:t>
      </w:r>
      <w:r w:rsidR="006F4992" w:rsidRPr="00D53A2B">
        <w:rPr>
          <w:b w:val="0"/>
          <w:bCs/>
          <w:szCs w:val="24"/>
        </w:rPr>
        <w:t>ılır.</w:t>
      </w:r>
    </w:p>
    <w:p w14:paraId="4D486573" w14:textId="77777777" w:rsidR="00282CE4" w:rsidRPr="00D53A2B" w:rsidRDefault="00282CE4" w:rsidP="00A202FD">
      <w:pPr>
        <w:pStyle w:val="MET"/>
        <w:rPr>
          <w:szCs w:val="24"/>
        </w:rPr>
      </w:pPr>
    </w:p>
    <w:tbl>
      <w:tblPr>
        <w:tblW w:w="8784" w:type="dxa"/>
        <w:tblLayout w:type="fixed"/>
        <w:tblCellMar>
          <w:left w:w="0" w:type="dxa"/>
          <w:right w:w="0" w:type="dxa"/>
        </w:tblCellMar>
        <w:tblLook w:val="01E0" w:firstRow="1" w:lastRow="1" w:firstColumn="1" w:lastColumn="1" w:noHBand="0" w:noVBand="0"/>
      </w:tblPr>
      <w:tblGrid>
        <w:gridCol w:w="447"/>
        <w:gridCol w:w="8337"/>
      </w:tblGrid>
      <w:tr w:rsidR="00374C56" w:rsidRPr="00D53A2B" w14:paraId="307432EB" w14:textId="77777777" w:rsidTr="00271877">
        <w:tc>
          <w:tcPr>
            <w:tcW w:w="447" w:type="dxa"/>
            <w:tcBorders>
              <w:top w:val="single" w:sz="4" w:space="0" w:color="000000"/>
              <w:left w:val="single" w:sz="4" w:space="0" w:color="000000"/>
              <w:bottom w:val="single" w:sz="4" w:space="0" w:color="000000"/>
              <w:right w:val="single" w:sz="4" w:space="0" w:color="000000"/>
            </w:tcBorders>
            <w:vAlign w:val="center"/>
          </w:tcPr>
          <w:p w14:paraId="6F25F000" w14:textId="77777777" w:rsidR="00374C56" w:rsidRPr="00D53A2B" w:rsidRDefault="00374C56" w:rsidP="00A202FD">
            <w:pPr>
              <w:spacing w:line="264" w:lineRule="auto"/>
              <w:ind w:left="57" w:right="57"/>
              <w:jc w:val="both"/>
              <w:rPr>
                <w:sz w:val="22"/>
                <w:szCs w:val="22"/>
                <w:lang w:eastAsia="en-US"/>
              </w:rPr>
            </w:pPr>
          </w:p>
        </w:tc>
        <w:tc>
          <w:tcPr>
            <w:tcW w:w="8337" w:type="dxa"/>
            <w:tcBorders>
              <w:top w:val="single" w:sz="4" w:space="0" w:color="000000"/>
              <w:left w:val="single" w:sz="4" w:space="0" w:color="000000"/>
              <w:bottom w:val="single" w:sz="4" w:space="0" w:color="000000"/>
              <w:right w:val="single" w:sz="4" w:space="0" w:color="000000"/>
            </w:tcBorders>
            <w:vAlign w:val="center"/>
          </w:tcPr>
          <w:p w14:paraId="1D751A07"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2D38E035" w14:textId="77777777" w:rsidTr="00271877">
        <w:tc>
          <w:tcPr>
            <w:tcW w:w="447" w:type="dxa"/>
            <w:tcBorders>
              <w:top w:val="single" w:sz="4" w:space="0" w:color="000000"/>
              <w:left w:val="single" w:sz="4" w:space="0" w:color="000000"/>
              <w:bottom w:val="single" w:sz="4" w:space="0" w:color="000000"/>
              <w:right w:val="single" w:sz="4" w:space="0" w:color="000000"/>
            </w:tcBorders>
            <w:vAlign w:val="center"/>
          </w:tcPr>
          <w:p w14:paraId="74D239E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337" w:type="dxa"/>
            <w:tcBorders>
              <w:top w:val="single" w:sz="4" w:space="0" w:color="000000"/>
              <w:left w:val="single" w:sz="4" w:space="0" w:color="000000"/>
              <w:bottom w:val="single" w:sz="4" w:space="0" w:color="000000"/>
              <w:right w:val="single" w:sz="4" w:space="0" w:color="000000"/>
            </w:tcBorders>
            <w:vAlign w:val="center"/>
          </w:tcPr>
          <w:p w14:paraId="40057A7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Kapalı bir döküm teknesi kullanılması</w:t>
            </w:r>
          </w:p>
        </w:tc>
      </w:tr>
      <w:tr w:rsidR="00374C56" w:rsidRPr="00D53A2B" w14:paraId="10AE4CDE" w14:textId="77777777" w:rsidTr="00271877">
        <w:tc>
          <w:tcPr>
            <w:tcW w:w="447" w:type="dxa"/>
            <w:tcBorders>
              <w:top w:val="single" w:sz="4" w:space="0" w:color="000000"/>
              <w:left w:val="single" w:sz="4" w:space="0" w:color="000000"/>
              <w:bottom w:val="single" w:sz="4" w:space="0" w:color="000000"/>
              <w:right w:val="single" w:sz="4" w:space="0" w:color="000000"/>
            </w:tcBorders>
            <w:vAlign w:val="center"/>
          </w:tcPr>
          <w:p w14:paraId="79FE201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337" w:type="dxa"/>
            <w:tcBorders>
              <w:top w:val="single" w:sz="4" w:space="0" w:color="000000"/>
              <w:left w:val="single" w:sz="4" w:space="0" w:color="000000"/>
              <w:bottom w:val="single" w:sz="4" w:space="0" w:color="000000"/>
              <w:right w:val="single" w:sz="4" w:space="0" w:color="000000"/>
            </w:tcBorders>
            <w:vAlign w:val="center"/>
          </w:tcPr>
          <w:p w14:paraId="25217C6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Kapalı bir ara potanın kullanılması</w:t>
            </w:r>
          </w:p>
        </w:tc>
      </w:tr>
      <w:tr w:rsidR="00374C56" w:rsidRPr="00D53A2B" w14:paraId="48335F2E" w14:textId="77777777" w:rsidTr="00271877">
        <w:tc>
          <w:tcPr>
            <w:tcW w:w="447" w:type="dxa"/>
            <w:tcBorders>
              <w:top w:val="single" w:sz="4" w:space="0" w:color="000000"/>
              <w:left w:val="single" w:sz="4" w:space="0" w:color="000000"/>
              <w:bottom w:val="single" w:sz="4" w:space="0" w:color="000000"/>
              <w:right w:val="single" w:sz="4" w:space="0" w:color="000000"/>
            </w:tcBorders>
            <w:vAlign w:val="center"/>
          </w:tcPr>
          <w:p w14:paraId="09C7A52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337" w:type="dxa"/>
            <w:tcBorders>
              <w:top w:val="single" w:sz="4" w:space="0" w:color="000000"/>
              <w:left w:val="single" w:sz="4" w:space="0" w:color="000000"/>
              <w:bottom w:val="single" w:sz="4" w:space="0" w:color="000000"/>
              <w:right w:val="single" w:sz="4" w:space="0" w:color="000000"/>
            </w:tcBorders>
            <w:vAlign w:val="center"/>
          </w:tcPr>
          <w:p w14:paraId="4B16E3F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Döküm potasının ve döküm tamburunun üzerinde tahliye sistemi olan bir davlumbaz kullanılması</w:t>
            </w:r>
          </w:p>
        </w:tc>
      </w:tr>
    </w:tbl>
    <w:p w14:paraId="75D73E40" w14:textId="77777777" w:rsidR="00374C56" w:rsidRPr="00D53A2B" w:rsidRDefault="00374C56" w:rsidP="00A202FD">
      <w:pPr>
        <w:jc w:val="both"/>
        <w:rPr>
          <w:lang w:eastAsia="en-US"/>
        </w:rPr>
      </w:pPr>
    </w:p>
    <w:p w14:paraId="5D7C1595" w14:textId="3FCA5D67" w:rsidR="00374C56" w:rsidRPr="00D53A2B" w:rsidRDefault="00374C56" w:rsidP="00A202FD">
      <w:pPr>
        <w:pStyle w:val="MET"/>
        <w:rPr>
          <w:szCs w:val="24"/>
        </w:rPr>
      </w:pPr>
      <w:r w:rsidRPr="00D53A2B">
        <w:rPr>
          <w:szCs w:val="24"/>
        </w:rPr>
        <w:t>MET 34</w:t>
      </w:r>
      <w:r w:rsidR="006F4992" w:rsidRPr="00D53A2B">
        <w:rPr>
          <w:szCs w:val="24"/>
        </w:rPr>
        <w:t>:</w:t>
      </w:r>
      <w:r w:rsidR="0004395A" w:rsidRPr="00D53A2B">
        <w:rPr>
          <w:szCs w:val="24"/>
        </w:rPr>
        <w:t xml:space="preserve"> </w:t>
      </w:r>
      <w:r w:rsidRPr="00D53A2B">
        <w:rPr>
          <w:b w:val="0"/>
          <w:bCs/>
          <w:szCs w:val="24"/>
        </w:rPr>
        <w:t>Elektroliz hücrelerinden kaynaklanan Yayılı emisyonları azaltmak için</w:t>
      </w:r>
      <w:r w:rsidR="006F4992" w:rsidRPr="00D53A2B">
        <w:rPr>
          <w:b w:val="0"/>
          <w:bCs/>
          <w:szCs w:val="24"/>
        </w:rPr>
        <w:t>,</w:t>
      </w:r>
      <w:r w:rsidRPr="00D53A2B">
        <w:rPr>
          <w:b w:val="0"/>
          <w:bCs/>
          <w:szCs w:val="24"/>
        </w:rPr>
        <w:t xml:space="preserve"> aşağıda verilen tekniklerin birini</w:t>
      </w:r>
      <w:r w:rsidR="006F4992" w:rsidRPr="00D53A2B">
        <w:rPr>
          <w:b w:val="0"/>
          <w:bCs/>
          <w:szCs w:val="24"/>
        </w:rPr>
        <w:t xml:space="preserve">n </w:t>
      </w:r>
      <w:r w:rsidRPr="00D53A2B">
        <w:rPr>
          <w:b w:val="0"/>
          <w:bCs/>
          <w:szCs w:val="24"/>
        </w:rPr>
        <w:t>veya birkaçının bir kombinasyonu kullan</w:t>
      </w:r>
      <w:r w:rsidR="006F4992" w:rsidRPr="00D53A2B">
        <w:rPr>
          <w:b w:val="0"/>
          <w:bCs/>
          <w:szCs w:val="24"/>
        </w:rPr>
        <w:t>ılır.</w:t>
      </w:r>
      <w:r w:rsidR="006F4992" w:rsidRPr="00D53A2B">
        <w:rPr>
          <w:szCs w:val="24"/>
        </w:rPr>
        <w:t xml:space="preserve"> </w:t>
      </w:r>
    </w:p>
    <w:tbl>
      <w:tblPr>
        <w:tblW w:w="8784" w:type="dxa"/>
        <w:tblLayout w:type="fixed"/>
        <w:tblCellMar>
          <w:left w:w="0" w:type="dxa"/>
          <w:right w:w="0" w:type="dxa"/>
        </w:tblCellMar>
        <w:tblLook w:val="01E0" w:firstRow="1" w:lastRow="1" w:firstColumn="1" w:lastColumn="1" w:noHBand="0" w:noVBand="0"/>
      </w:tblPr>
      <w:tblGrid>
        <w:gridCol w:w="437"/>
        <w:gridCol w:w="3386"/>
        <w:gridCol w:w="4961"/>
      </w:tblGrid>
      <w:tr w:rsidR="00374C56" w:rsidRPr="00D53A2B" w14:paraId="79A810CD"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7C54EA8A" w14:textId="77777777" w:rsidR="00374C56" w:rsidRPr="00D53A2B" w:rsidRDefault="00374C56" w:rsidP="00A202FD">
            <w:pPr>
              <w:spacing w:line="264" w:lineRule="auto"/>
              <w:ind w:left="57" w:right="57"/>
              <w:jc w:val="both"/>
              <w:rPr>
                <w:sz w:val="22"/>
                <w:szCs w:val="22"/>
                <w:lang w:eastAsia="en-US"/>
              </w:rPr>
            </w:pPr>
          </w:p>
        </w:tc>
        <w:tc>
          <w:tcPr>
            <w:tcW w:w="3386" w:type="dxa"/>
            <w:tcBorders>
              <w:top w:val="single" w:sz="4" w:space="0" w:color="000000"/>
              <w:left w:val="single" w:sz="4" w:space="0" w:color="000000"/>
              <w:bottom w:val="single" w:sz="4" w:space="0" w:color="000000"/>
              <w:right w:val="single" w:sz="4" w:space="0" w:color="000000"/>
            </w:tcBorders>
            <w:vAlign w:val="center"/>
          </w:tcPr>
          <w:p w14:paraId="60B6A22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4961" w:type="dxa"/>
            <w:tcBorders>
              <w:top w:val="single" w:sz="4" w:space="0" w:color="000000"/>
              <w:left w:val="single" w:sz="4" w:space="0" w:color="000000"/>
              <w:bottom w:val="single" w:sz="4" w:space="0" w:color="000000"/>
              <w:right w:val="single" w:sz="4" w:space="0" w:color="000000"/>
            </w:tcBorders>
            <w:vAlign w:val="center"/>
          </w:tcPr>
          <w:p w14:paraId="59785D81"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525F3328"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3F997AB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3386" w:type="dxa"/>
            <w:tcBorders>
              <w:top w:val="single" w:sz="4" w:space="0" w:color="000000"/>
              <w:left w:val="single" w:sz="4" w:space="0" w:color="000000"/>
              <w:bottom w:val="single" w:sz="4" w:space="0" w:color="000000"/>
              <w:right w:val="single" w:sz="4" w:space="0" w:color="000000"/>
            </w:tcBorders>
          </w:tcPr>
          <w:p w14:paraId="7E067EA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Elektrikli özütleme hücrelerine yüzey aktif maddelerin eklenmesi</w:t>
            </w:r>
          </w:p>
        </w:tc>
        <w:tc>
          <w:tcPr>
            <w:tcW w:w="4961" w:type="dxa"/>
            <w:tcBorders>
              <w:top w:val="single" w:sz="4" w:space="0" w:color="000000"/>
              <w:left w:val="single" w:sz="4" w:space="0" w:color="000000"/>
              <w:bottom w:val="single" w:sz="4" w:space="0" w:color="000000"/>
              <w:right w:val="single" w:sz="4" w:space="0" w:color="000000"/>
            </w:tcBorders>
            <w:vAlign w:val="center"/>
          </w:tcPr>
          <w:p w14:paraId="5A3585E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6FE6E30D"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293A548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lastRenderedPageBreak/>
              <w:t>b</w:t>
            </w:r>
          </w:p>
        </w:tc>
        <w:tc>
          <w:tcPr>
            <w:tcW w:w="3386" w:type="dxa"/>
            <w:tcBorders>
              <w:top w:val="single" w:sz="4" w:space="0" w:color="000000"/>
              <w:left w:val="single" w:sz="4" w:space="0" w:color="000000"/>
              <w:bottom w:val="single" w:sz="4" w:space="0" w:color="000000"/>
              <w:right w:val="single" w:sz="4" w:space="0" w:color="000000"/>
            </w:tcBorders>
          </w:tcPr>
          <w:p w14:paraId="3DC8C3F0" w14:textId="683EBFE2" w:rsidR="00374C56" w:rsidRPr="00D53A2B" w:rsidRDefault="0004395A" w:rsidP="00A202FD">
            <w:pPr>
              <w:spacing w:line="264" w:lineRule="auto"/>
              <w:ind w:left="57" w:right="57"/>
              <w:jc w:val="both"/>
              <w:rPr>
                <w:sz w:val="22"/>
                <w:szCs w:val="22"/>
                <w:lang w:eastAsia="en-US"/>
              </w:rPr>
            </w:pPr>
            <w:r w:rsidRPr="00D53A2B">
              <w:rPr>
                <w:sz w:val="22"/>
                <w:szCs w:val="22"/>
                <w:lang w:eastAsia="en-US"/>
              </w:rPr>
              <w:t>Emisyonları toplamak ve bir azaltma sistemine aktarmak için kapaklar veya bir başlık kullanın.</w:t>
            </w:r>
          </w:p>
        </w:tc>
        <w:tc>
          <w:tcPr>
            <w:tcW w:w="4961" w:type="dxa"/>
            <w:tcBorders>
              <w:top w:val="single" w:sz="4" w:space="0" w:color="000000"/>
              <w:left w:val="single" w:sz="4" w:space="0" w:color="000000"/>
              <w:bottom w:val="single" w:sz="4" w:space="0" w:color="000000"/>
              <w:right w:val="single" w:sz="4" w:space="0" w:color="000000"/>
            </w:tcBorders>
            <w:vAlign w:val="center"/>
          </w:tcPr>
          <w:p w14:paraId="5A119751" w14:textId="39E804B9" w:rsidR="00374C56" w:rsidRPr="00D53A2B" w:rsidRDefault="0004395A" w:rsidP="00A202FD">
            <w:pPr>
              <w:spacing w:line="264" w:lineRule="auto"/>
              <w:ind w:left="57" w:right="57"/>
              <w:jc w:val="both"/>
              <w:rPr>
                <w:sz w:val="22"/>
                <w:szCs w:val="22"/>
                <w:lang w:eastAsia="en-US"/>
              </w:rPr>
            </w:pPr>
            <w:r w:rsidRPr="00D53A2B">
              <w:rPr>
                <w:sz w:val="22"/>
                <w:szCs w:val="22"/>
                <w:lang w:eastAsia="en-US"/>
              </w:rPr>
              <w:t>Yalnızca elektroliz hücreleri veya düşük saflıkta anotlar için rafine hücreler için geçerlidir. Hücre sıcaklığını çalışılabilir seviyelerde (yaklaşık 65 °C) tutmak için hücrenin açık kalması gerektiğinde uygulanamaz.</w:t>
            </w:r>
          </w:p>
        </w:tc>
      </w:tr>
      <w:tr w:rsidR="00374C56" w:rsidRPr="00D53A2B" w14:paraId="7E543320"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07A167C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3386" w:type="dxa"/>
            <w:tcBorders>
              <w:top w:val="single" w:sz="4" w:space="0" w:color="000000"/>
              <w:left w:val="single" w:sz="4" w:space="0" w:color="000000"/>
              <w:bottom w:val="single" w:sz="4" w:space="0" w:color="000000"/>
              <w:right w:val="single" w:sz="4" w:space="0" w:color="000000"/>
            </w:tcBorders>
          </w:tcPr>
          <w:p w14:paraId="56161EA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Elektrolit çözeltilerini aktarmak için kapalı ve sabit boru hatları</w:t>
            </w:r>
          </w:p>
        </w:tc>
        <w:tc>
          <w:tcPr>
            <w:tcW w:w="4961" w:type="dxa"/>
            <w:tcBorders>
              <w:top w:val="single" w:sz="4" w:space="0" w:color="000000"/>
              <w:left w:val="single" w:sz="4" w:space="0" w:color="000000"/>
              <w:bottom w:val="single" w:sz="4" w:space="0" w:color="000000"/>
              <w:right w:val="single" w:sz="4" w:space="0" w:color="000000"/>
            </w:tcBorders>
            <w:vAlign w:val="center"/>
          </w:tcPr>
          <w:p w14:paraId="29A371D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2AC3CA55"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7F3A5EE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3386" w:type="dxa"/>
            <w:tcBorders>
              <w:top w:val="single" w:sz="4" w:space="0" w:color="000000"/>
              <w:left w:val="single" w:sz="4" w:space="0" w:color="000000"/>
              <w:bottom w:val="single" w:sz="4" w:space="0" w:color="000000"/>
              <w:right w:val="single" w:sz="4" w:space="0" w:color="000000"/>
            </w:tcBorders>
          </w:tcPr>
          <w:p w14:paraId="7D572BD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Katot soyma makinesinin yıkama bölmelerinden ve anot hurdası yıkama makinesinden gaz tahliyesi</w:t>
            </w:r>
          </w:p>
        </w:tc>
        <w:tc>
          <w:tcPr>
            <w:tcW w:w="4961" w:type="dxa"/>
            <w:tcBorders>
              <w:top w:val="single" w:sz="4" w:space="0" w:color="000000"/>
              <w:left w:val="single" w:sz="4" w:space="0" w:color="000000"/>
              <w:bottom w:val="single" w:sz="4" w:space="0" w:color="000000"/>
              <w:right w:val="single" w:sz="4" w:space="0" w:color="000000"/>
            </w:tcBorders>
            <w:vAlign w:val="center"/>
          </w:tcPr>
          <w:p w14:paraId="143AB1C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bl>
    <w:p w14:paraId="3435F5F2" w14:textId="77777777" w:rsidR="00374C56" w:rsidRPr="00D53A2B" w:rsidRDefault="00374C56" w:rsidP="00A202FD">
      <w:pPr>
        <w:jc w:val="both"/>
        <w:rPr>
          <w:lang w:eastAsia="en-US"/>
        </w:rPr>
      </w:pPr>
    </w:p>
    <w:p w14:paraId="1529214E" w14:textId="3F64FE8A" w:rsidR="00374C56" w:rsidRPr="00D53A2B" w:rsidRDefault="00374C56" w:rsidP="00A202FD">
      <w:pPr>
        <w:pStyle w:val="MET"/>
        <w:rPr>
          <w:b w:val="0"/>
          <w:bCs/>
          <w:szCs w:val="24"/>
        </w:rPr>
      </w:pPr>
      <w:r w:rsidRPr="00D53A2B">
        <w:rPr>
          <w:szCs w:val="24"/>
        </w:rPr>
        <w:t>MET 35</w:t>
      </w:r>
      <w:r w:rsidR="006F4992" w:rsidRPr="00D53A2B">
        <w:rPr>
          <w:szCs w:val="24"/>
        </w:rPr>
        <w:t>:</w:t>
      </w:r>
      <w:r w:rsidR="0004395A" w:rsidRPr="00D53A2B">
        <w:rPr>
          <w:szCs w:val="24"/>
        </w:rPr>
        <w:t xml:space="preserve"> </w:t>
      </w:r>
      <w:r w:rsidRPr="00D53A2B">
        <w:rPr>
          <w:b w:val="0"/>
          <w:bCs/>
          <w:szCs w:val="24"/>
        </w:rPr>
        <w:t>Bakır alaşımlarının dökümünden kaynaklanan Yayılı emisyonları azaltmak için aşağıda verilen tekniklerin birini</w:t>
      </w:r>
      <w:r w:rsidR="006F4992" w:rsidRPr="00D53A2B">
        <w:rPr>
          <w:b w:val="0"/>
          <w:bCs/>
          <w:szCs w:val="24"/>
        </w:rPr>
        <w:t>n</w:t>
      </w:r>
      <w:r w:rsidRPr="00D53A2B">
        <w:rPr>
          <w:b w:val="0"/>
          <w:bCs/>
          <w:szCs w:val="24"/>
        </w:rPr>
        <w:t xml:space="preserve"> veya birkaçının bir kombinasyonu kullan</w:t>
      </w:r>
      <w:r w:rsidR="006F4992" w:rsidRPr="00D53A2B">
        <w:rPr>
          <w:b w:val="0"/>
          <w:bCs/>
          <w:szCs w:val="24"/>
        </w:rPr>
        <w:t>ılır.</w:t>
      </w:r>
    </w:p>
    <w:p w14:paraId="2085C761" w14:textId="77777777" w:rsidR="00282CE4" w:rsidRPr="00D53A2B" w:rsidRDefault="00282CE4" w:rsidP="00A202FD">
      <w:pPr>
        <w:pStyle w:val="MET"/>
        <w:rPr>
          <w:szCs w:val="24"/>
        </w:rPr>
      </w:pPr>
    </w:p>
    <w:tbl>
      <w:tblPr>
        <w:tblW w:w="8784" w:type="dxa"/>
        <w:tblLayout w:type="fixed"/>
        <w:tblCellMar>
          <w:left w:w="0" w:type="dxa"/>
          <w:right w:w="0" w:type="dxa"/>
        </w:tblCellMar>
        <w:tblLook w:val="01E0" w:firstRow="1" w:lastRow="1" w:firstColumn="1" w:lastColumn="1" w:noHBand="0" w:noVBand="0"/>
      </w:tblPr>
      <w:tblGrid>
        <w:gridCol w:w="386"/>
        <w:gridCol w:w="8398"/>
      </w:tblGrid>
      <w:tr w:rsidR="00374C56" w:rsidRPr="00D53A2B" w14:paraId="35374444"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65EF5F63" w14:textId="77777777" w:rsidR="00374C56" w:rsidRPr="00D53A2B" w:rsidRDefault="00374C56" w:rsidP="00A202FD">
            <w:pPr>
              <w:spacing w:line="264" w:lineRule="auto"/>
              <w:ind w:left="57" w:right="57"/>
              <w:jc w:val="both"/>
              <w:rPr>
                <w:sz w:val="22"/>
                <w:szCs w:val="22"/>
                <w:lang w:eastAsia="en-US"/>
              </w:rPr>
            </w:pPr>
          </w:p>
        </w:tc>
        <w:tc>
          <w:tcPr>
            <w:tcW w:w="8398" w:type="dxa"/>
            <w:tcBorders>
              <w:top w:val="single" w:sz="4" w:space="0" w:color="000000"/>
              <w:left w:val="single" w:sz="4" w:space="0" w:color="000000"/>
              <w:bottom w:val="single" w:sz="4" w:space="0" w:color="000000"/>
              <w:right w:val="single" w:sz="4" w:space="0" w:color="000000"/>
            </w:tcBorders>
            <w:vAlign w:val="center"/>
          </w:tcPr>
          <w:p w14:paraId="2B2B3FB1"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44DA5E58"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2442ABD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398" w:type="dxa"/>
            <w:tcBorders>
              <w:top w:val="single" w:sz="4" w:space="0" w:color="000000"/>
              <w:left w:val="single" w:sz="4" w:space="0" w:color="000000"/>
              <w:bottom w:val="single" w:sz="4" w:space="0" w:color="000000"/>
              <w:right w:val="single" w:sz="4" w:space="0" w:color="000000"/>
            </w:tcBorders>
            <w:vAlign w:val="center"/>
          </w:tcPr>
          <w:p w14:paraId="2CC60C80" w14:textId="60D1AECA" w:rsidR="00374C56" w:rsidRPr="00D53A2B" w:rsidRDefault="00374C56" w:rsidP="00A202FD">
            <w:pPr>
              <w:spacing w:line="264" w:lineRule="auto"/>
              <w:ind w:left="57" w:right="57"/>
              <w:jc w:val="both"/>
              <w:rPr>
                <w:sz w:val="22"/>
                <w:szCs w:val="22"/>
                <w:lang w:eastAsia="en-US"/>
              </w:rPr>
            </w:pPr>
            <w:r w:rsidRPr="00D53A2B">
              <w:rPr>
                <w:sz w:val="22"/>
                <w:szCs w:val="22"/>
                <w:lang w:eastAsia="en-US"/>
              </w:rPr>
              <w:t>Emisyonları toplamak ve bir azaltma sistemine</w:t>
            </w:r>
            <w:r w:rsidR="0004395A" w:rsidRPr="00D53A2B">
              <w:rPr>
                <w:sz w:val="22"/>
                <w:szCs w:val="22"/>
                <w:lang w:eastAsia="en-US"/>
              </w:rPr>
              <w:t xml:space="preserve"> (abatement system)</w:t>
            </w:r>
            <w:r w:rsidRPr="00D53A2B">
              <w:rPr>
                <w:sz w:val="22"/>
                <w:szCs w:val="22"/>
                <w:lang w:eastAsia="en-US"/>
              </w:rPr>
              <w:t xml:space="preserve"> aktarmak için muhafaza veya bir davlumbaz</w:t>
            </w:r>
          </w:p>
        </w:tc>
      </w:tr>
      <w:tr w:rsidR="00374C56" w:rsidRPr="00D53A2B" w14:paraId="0CB11915"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086239A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398" w:type="dxa"/>
            <w:tcBorders>
              <w:top w:val="single" w:sz="4" w:space="0" w:color="000000"/>
              <w:left w:val="single" w:sz="4" w:space="0" w:color="000000"/>
              <w:bottom w:val="single" w:sz="4" w:space="0" w:color="000000"/>
              <w:right w:val="single" w:sz="4" w:space="0" w:color="000000"/>
            </w:tcBorders>
            <w:vAlign w:val="center"/>
          </w:tcPr>
          <w:p w14:paraId="3B4978EE" w14:textId="16A9794E" w:rsidR="00374C56" w:rsidRPr="00D53A2B" w:rsidRDefault="0004395A" w:rsidP="00A202FD">
            <w:pPr>
              <w:spacing w:line="264" w:lineRule="auto"/>
              <w:ind w:left="57" w:right="57"/>
              <w:jc w:val="both"/>
              <w:rPr>
                <w:sz w:val="22"/>
                <w:szCs w:val="22"/>
                <w:lang w:eastAsia="en-US"/>
              </w:rPr>
            </w:pPr>
            <w:r w:rsidRPr="00D53A2B">
              <w:rPr>
                <w:sz w:val="22"/>
                <w:szCs w:val="22"/>
                <w:lang w:eastAsia="en-US"/>
              </w:rPr>
              <w:t>Bekletme ve döküm fırınlarındaki eriyikler için kaplama kullanın</w:t>
            </w:r>
          </w:p>
        </w:tc>
      </w:tr>
      <w:tr w:rsidR="00374C56" w:rsidRPr="00D53A2B" w14:paraId="55647863"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011BED3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398" w:type="dxa"/>
            <w:tcBorders>
              <w:top w:val="single" w:sz="4" w:space="0" w:color="000000"/>
              <w:left w:val="single" w:sz="4" w:space="0" w:color="000000"/>
              <w:bottom w:val="single" w:sz="4" w:space="0" w:color="000000"/>
              <w:right w:val="single" w:sz="4" w:space="0" w:color="000000"/>
            </w:tcBorders>
            <w:vAlign w:val="center"/>
          </w:tcPr>
          <w:p w14:paraId="2767D50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Gücü artırılmış emme sistemleri </w:t>
            </w:r>
            <w:r w:rsidRPr="00D53A2B">
              <w:rPr>
                <w:bCs/>
                <w:sz w:val="22"/>
                <w:szCs w:val="22"/>
                <w:lang w:eastAsia="en-US"/>
              </w:rPr>
              <w:t>(</w:t>
            </w:r>
            <w:r w:rsidRPr="00D53A2B">
              <w:rPr>
                <w:bCs/>
                <w:sz w:val="22"/>
                <w:szCs w:val="22"/>
                <w:vertAlign w:val="superscript"/>
                <w:lang w:eastAsia="en-US"/>
              </w:rPr>
              <w:t>1</w:t>
            </w:r>
            <w:r w:rsidRPr="00D53A2B">
              <w:rPr>
                <w:bCs/>
                <w:sz w:val="22"/>
                <w:szCs w:val="22"/>
                <w:lang w:eastAsia="en-US"/>
              </w:rPr>
              <w:t>)</w:t>
            </w:r>
          </w:p>
        </w:tc>
      </w:tr>
      <w:tr w:rsidR="00374C56" w:rsidRPr="00D53A2B" w14:paraId="4FFDB36C"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0A6B4333" w14:textId="5D136F66" w:rsidR="00374C56" w:rsidRPr="00D53A2B" w:rsidRDefault="00374C56" w:rsidP="00A202FD">
            <w:pPr>
              <w:spacing w:line="264" w:lineRule="auto"/>
              <w:ind w:left="57" w:right="57"/>
              <w:jc w:val="both"/>
              <w:rPr>
                <w:sz w:val="22"/>
                <w:szCs w:val="22"/>
                <w:lang w:eastAsia="en-US"/>
              </w:rPr>
            </w:pPr>
            <w:r w:rsidRPr="00D53A2B">
              <w:rPr>
                <w:bCs/>
                <w:sz w:val="22"/>
                <w:szCs w:val="22"/>
                <w:lang w:eastAsia="en-US"/>
              </w:rPr>
              <w:t>(</w:t>
            </w:r>
            <w:r w:rsidRPr="00D53A2B">
              <w:rPr>
                <w:bCs/>
                <w:sz w:val="22"/>
                <w:szCs w:val="22"/>
                <w:vertAlign w:val="superscript"/>
                <w:lang w:eastAsia="en-US"/>
              </w:rPr>
              <w:t>1</w:t>
            </w:r>
            <w:r w:rsidRPr="00D53A2B">
              <w:rPr>
                <w:bCs/>
                <w:sz w:val="22"/>
                <w:szCs w:val="22"/>
                <w:lang w:eastAsia="en-US"/>
              </w:rPr>
              <w:t>)</w:t>
            </w:r>
            <w:r w:rsidRPr="00D53A2B">
              <w:rPr>
                <w:b/>
                <w:sz w:val="22"/>
                <w:szCs w:val="22"/>
                <w:lang w:eastAsia="en-US"/>
              </w:rPr>
              <w:t xml:space="preserve"> </w:t>
            </w:r>
            <w:r w:rsidRPr="00D53A2B">
              <w:rPr>
                <w:sz w:val="22"/>
                <w:szCs w:val="22"/>
                <w:lang w:eastAsia="en-US"/>
              </w:rPr>
              <w:t>Tekniklerin açıklamaları Bölüm 1.10</w:t>
            </w:r>
            <w:r w:rsidR="00E56504" w:rsidRPr="00D53A2B">
              <w:rPr>
                <w:sz w:val="22"/>
                <w:szCs w:val="22"/>
                <w:lang w:eastAsia="en-US"/>
              </w:rPr>
              <w:t>’</w:t>
            </w:r>
            <w:r w:rsidRPr="00D53A2B">
              <w:rPr>
                <w:sz w:val="22"/>
                <w:szCs w:val="22"/>
                <w:lang w:eastAsia="en-US"/>
              </w:rPr>
              <w:t>da verilmiştir.</w:t>
            </w:r>
          </w:p>
        </w:tc>
      </w:tr>
    </w:tbl>
    <w:p w14:paraId="6F301935" w14:textId="77777777" w:rsidR="00374C56" w:rsidRPr="00D53A2B" w:rsidRDefault="00374C56" w:rsidP="00A202FD">
      <w:pPr>
        <w:jc w:val="both"/>
        <w:rPr>
          <w:lang w:eastAsia="en-US"/>
        </w:rPr>
      </w:pPr>
    </w:p>
    <w:p w14:paraId="2343EA96" w14:textId="119580C3" w:rsidR="00374C56" w:rsidRPr="00D53A2B" w:rsidRDefault="00374C56" w:rsidP="00A202FD">
      <w:pPr>
        <w:pStyle w:val="MET"/>
        <w:rPr>
          <w:b w:val="0"/>
          <w:bCs/>
          <w:szCs w:val="24"/>
        </w:rPr>
      </w:pPr>
      <w:r w:rsidRPr="00D53A2B">
        <w:rPr>
          <w:szCs w:val="24"/>
        </w:rPr>
        <w:t>MET 36</w:t>
      </w:r>
      <w:r w:rsidR="006F4992" w:rsidRPr="00D53A2B">
        <w:rPr>
          <w:szCs w:val="24"/>
        </w:rPr>
        <w:t>:</w:t>
      </w:r>
      <w:r w:rsidR="0004395A" w:rsidRPr="00D53A2B">
        <w:rPr>
          <w:szCs w:val="24"/>
        </w:rPr>
        <w:t xml:space="preserve"> </w:t>
      </w:r>
      <w:r w:rsidR="0004395A" w:rsidRPr="00D53A2B">
        <w:rPr>
          <w:b w:val="0"/>
          <w:bCs/>
          <w:szCs w:val="24"/>
        </w:rPr>
        <w:t xml:space="preserve">Asitsiz ve asitle dekapajdan kaynaklanan yayılı emisyonları azaltmak </w:t>
      </w:r>
      <w:r w:rsidRPr="00D53A2B">
        <w:rPr>
          <w:b w:val="0"/>
          <w:bCs/>
          <w:szCs w:val="24"/>
        </w:rPr>
        <w:t>için</w:t>
      </w:r>
      <w:r w:rsidR="006F4992" w:rsidRPr="00D53A2B">
        <w:rPr>
          <w:b w:val="0"/>
          <w:bCs/>
          <w:szCs w:val="24"/>
        </w:rPr>
        <w:t xml:space="preserve">, </w:t>
      </w:r>
      <w:r w:rsidRPr="00D53A2B">
        <w:rPr>
          <w:b w:val="0"/>
          <w:bCs/>
          <w:szCs w:val="24"/>
        </w:rPr>
        <w:t xml:space="preserve">aşağıda </w:t>
      </w:r>
      <w:r w:rsidR="0004395A" w:rsidRPr="00D53A2B">
        <w:rPr>
          <w:b w:val="0"/>
          <w:bCs/>
          <w:szCs w:val="24"/>
        </w:rPr>
        <w:t>verilen tekniklerden biri</w:t>
      </w:r>
      <w:r w:rsidR="003A678C" w:rsidRPr="00D53A2B">
        <w:rPr>
          <w:b w:val="0"/>
          <w:bCs/>
          <w:szCs w:val="24"/>
        </w:rPr>
        <w:t xml:space="preserve"> kullanılır</w:t>
      </w:r>
      <w:r w:rsidR="0004395A" w:rsidRPr="00D53A2B">
        <w:rPr>
          <w:b w:val="0"/>
          <w:bCs/>
          <w:szCs w:val="24"/>
        </w:rPr>
        <w:t>.</w:t>
      </w:r>
    </w:p>
    <w:p w14:paraId="2F7967F9" w14:textId="77777777" w:rsidR="00282CE4" w:rsidRPr="00D53A2B" w:rsidRDefault="00282CE4" w:rsidP="00A202FD">
      <w:pPr>
        <w:pStyle w:val="MET"/>
        <w:rPr>
          <w:szCs w:val="24"/>
        </w:rPr>
      </w:pPr>
    </w:p>
    <w:tbl>
      <w:tblPr>
        <w:tblW w:w="8784" w:type="dxa"/>
        <w:tblLayout w:type="fixed"/>
        <w:tblCellMar>
          <w:left w:w="0" w:type="dxa"/>
          <w:right w:w="0" w:type="dxa"/>
        </w:tblCellMar>
        <w:tblLook w:val="01E0" w:firstRow="1" w:lastRow="1" w:firstColumn="1" w:lastColumn="1" w:noHBand="0" w:noVBand="0"/>
      </w:tblPr>
      <w:tblGrid>
        <w:gridCol w:w="397"/>
        <w:gridCol w:w="4378"/>
        <w:gridCol w:w="4009"/>
      </w:tblGrid>
      <w:tr w:rsidR="00374C56" w:rsidRPr="00D53A2B" w14:paraId="2C2FC1E6"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7F8B385B" w14:textId="77777777" w:rsidR="00374C56" w:rsidRPr="00D53A2B" w:rsidRDefault="00374C56" w:rsidP="00A202FD">
            <w:pPr>
              <w:spacing w:line="264" w:lineRule="auto"/>
              <w:ind w:left="57" w:right="57"/>
              <w:jc w:val="both"/>
              <w:rPr>
                <w:sz w:val="22"/>
                <w:szCs w:val="22"/>
                <w:lang w:eastAsia="en-US"/>
              </w:rPr>
            </w:pPr>
          </w:p>
        </w:tc>
        <w:tc>
          <w:tcPr>
            <w:tcW w:w="4378" w:type="dxa"/>
            <w:tcBorders>
              <w:top w:val="single" w:sz="4" w:space="0" w:color="000000"/>
              <w:left w:val="single" w:sz="4" w:space="0" w:color="000000"/>
              <w:bottom w:val="single" w:sz="4" w:space="0" w:color="000000"/>
              <w:right w:val="single" w:sz="4" w:space="0" w:color="000000"/>
            </w:tcBorders>
            <w:vAlign w:val="center"/>
          </w:tcPr>
          <w:p w14:paraId="1AFE0049"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4009" w:type="dxa"/>
            <w:tcBorders>
              <w:top w:val="single" w:sz="4" w:space="0" w:color="000000"/>
              <w:left w:val="single" w:sz="4" w:space="0" w:color="000000"/>
              <w:bottom w:val="single" w:sz="4" w:space="0" w:color="000000"/>
              <w:right w:val="single" w:sz="4" w:space="0" w:color="000000"/>
            </w:tcBorders>
            <w:vAlign w:val="center"/>
          </w:tcPr>
          <w:p w14:paraId="1D5DA280"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5FD0D206"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3F2E4D4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4378" w:type="dxa"/>
            <w:tcBorders>
              <w:top w:val="single" w:sz="4" w:space="0" w:color="000000"/>
              <w:left w:val="single" w:sz="4" w:space="0" w:color="000000"/>
              <w:bottom w:val="single" w:sz="4" w:space="0" w:color="000000"/>
              <w:right w:val="single" w:sz="4" w:space="0" w:color="000000"/>
            </w:tcBorders>
            <w:vAlign w:val="center"/>
          </w:tcPr>
          <w:p w14:paraId="6E576386" w14:textId="3A393B94" w:rsidR="00374C56" w:rsidRPr="00D53A2B" w:rsidRDefault="00374C56" w:rsidP="00A202FD">
            <w:pPr>
              <w:spacing w:line="264" w:lineRule="auto"/>
              <w:ind w:left="57" w:right="57"/>
              <w:jc w:val="both"/>
              <w:rPr>
                <w:sz w:val="22"/>
                <w:szCs w:val="22"/>
                <w:lang w:eastAsia="en-US"/>
              </w:rPr>
            </w:pPr>
            <w:r w:rsidRPr="00D53A2B">
              <w:rPr>
                <w:sz w:val="22"/>
                <w:szCs w:val="22"/>
                <w:lang w:eastAsia="en-US"/>
              </w:rPr>
              <w:t>Kapalı bir devre çalışan dekapaj hattının bir izopropanol çözeltisiyle kaplanması</w:t>
            </w:r>
          </w:p>
        </w:tc>
        <w:tc>
          <w:tcPr>
            <w:tcW w:w="4009" w:type="dxa"/>
            <w:tcBorders>
              <w:top w:val="single" w:sz="4" w:space="0" w:color="000000"/>
              <w:left w:val="single" w:sz="4" w:space="0" w:color="000000"/>
              <w:bottom w:val="single" w:sz="4" w:space="0" w:color="000000"/>
              <w:right w:val="single" w:sz="4" w:space="0" w:color="000000"/>
            </w:tcBorders>
            <w:vAlign w:val="center"/>
          </w:tcPr>
          <w:p w14:paraId="2991F781" w14:textId="1A00044F"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Sadece sürekli çalıştırılan bakır filmaşin </w:t>
            </w:r>
            <w:r w:rsidR="0004395A" w:rsidRPr="00D53A2B">
              <w:rPr>
                <w:sz w:val="22"/>
                <w:szCs w:val="22"/>
                <w:lang w:eastAsia="en-US"/>
              </w:rPr>
              <w:t>dekapaj</w:t>
            </w:r>
            <w:r w:rsidRPr="00D53A2B">
              <w:rPr>
                <w:sz w:val="22"/>
                <w:szCs w:val="22"/>
                <w:lang w:eastAsia="en-US"/>
              </w:rPr>
              <w:t xml:space="preserve"> için uygulanabilir</w:t>
            </w:r>
          </w:p>
        </w:tc>
      </w:tr>
      <w:tr w:rsidR="00374C56" w:rsidRPr="00D53A2B" w14:paraId="29E0AE0D"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691618E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4378" w:type="dxa"/>
            <w:tcBorders>
              <w:top w:val="single" w:sz="4" w:space="0" w:color="000000"/>
              <w:left w:val="single" w:sz="4" w:space="0" w:color="000000"/>
              <w:bottom w:val="single" w:sz="4" w:space="0" w:color="000000"/>
              <w:right w:val="single" w:sz="4" w:space="0" w:color="000000"/>
            </w:tcBorders>
            <w:vAlign w:val="center"/>
          </w:tcPr>
          <w:p w14:paraId="0FC739C1" w14:textId="2E32AEF6" w:rsidR="00374C56" w:rsidRPr="00D53A2B" w:rsidRDefault="00374C56" w:rsidP="00A202FD">
            <w:pPr>
              <w:spacing w:line="264" w:lineRule="auto"/>
              <w:ind w:left="57" w:right="57"/>
              <w:jc w:val="both"/>
              <w:rPr>
                <w:sz w:val="22"/>
                <w:szCs w:val="22"/>
                <w:lang w:eastAsia="en-US"/>
              </w:rPr>
            </w:pPr>
            <w:r w:rsidRPr="00D53A2B">
              <w:rPr>
                <w:sz w:val="22"/>
                <w:szCs w:val="22"/>
                <w:lang w:eastAsia="en-US"/>
              </w:rPr>
              <w:t>Emisyonları toplamak ve bir azaltma sistemine aktarmak için dekapaj hattının kapsüllenmesi</w:t>
            </w:r>
          </w:p>
        </w:tc>
        <w:tc>
          <w:tcPr>
            <w:tcW w:w="4009" w:type="dxa"/>
            <w:tcBorders>
              <w:top w:val="single" w:sz="4" w:space="0" w:color="000000"/>
              <w:left w:val="single" w:sz="4" w:space="0" w:color="000000"/>
              <w:bottom w:val="single" w:sz="4" w:space="0" w:color="000000"/>
              <w:right w:val="single" w:sz="4" w:space="0" w:color="000000"/>
            </w:tcBorders>
            <w:vAlign w:val="center"/>
          </w:tcPr>
          <w:p w14:paraId="68FF6C0A" w14:textId="355CCC73"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Sadece sürekli çalıştırılan asitli </w:t>
            </w:r>
            <w:r w:rsidR="0004395A" w:rsidRPr="00D53A2B">
              <w:rPr>
                <w:sz w:val="22"/>
                <w:szCs w:val="22"/>
                <w:lang w:eastAsia="en-US"/>
              </w:rPr>
              <w:t xml:space="preserve">dekapaj </w:t>
            </w:r>
            <w:r w:rsidRPr="00D53A2B">
              <w:rPr>
                <w:sz w:val="22"/>
                <w:szCs w:val="22"/>
                <w:lang w:eastAsia="en-US"/>
              </w:rPr>
              <w:t>için uygulanabilir</w:t>
            </w:r>
          </w:p>
        </w:tc>
      </w:tr>
    </w:tbl>
    <w:p w14:paraId="2B81EA36" w14:textId="77777777" w:rsidR="00374C56" w:rsidRPr="00D53A2B" w:rsidRDefault="00374C56" w:rsidP="00A202FD">
      <w:pPr>
        <w:jc w:val="both"/>
        <w:rPr>
          <w:lang w:eastAsia="en-US"/>
        </w:rPr>
      </w:pPr>
    </w:p>
    <w:p w14:paraId="3202EA04" w14:textId="71AE772D" w:rsidR="00374C56" w:rsidRPr="00D53A2B" w:rsidRDefault="0004395A"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2.3.2.</w:t>
      </w:r>
      <w:r w:rsidR="00E64922" w:rsidRPr="00D53A2B">
        <w:rPr>
          <w:rFonts w:cs="Times New Roman"/>
          <w:lang w:eastAsia="en-US"/>
        </w:rPr>
        <w:t xml:space="preserve"> </w:t>
      </w:r>
      <w:r w:rsidR="00374C56" w:rsidRPr="00D53A2B">
        <w:rPr>
          <w:rFonts w:cs="Times New Roman"/>
          <w:lang w:eastAsia="en-US"/>
        </w:rPr>
        <w:t>Kanalize edilmiş toz emisyonları</w:t>
      </w:r>
    </w:p>
    <w:p w14:paraId="34D87179" w14:textId="605ADBD8" w:rsidR="00374C56" w:rsidRPr="00D53A2B" w:rsidRDefault="00374C56" w:rsidP="00A202FD">
      <w:pPr>
        <w:spacing w:after="240"/>
        <w:jc w:val="both"/>
        <w:rPr>
          <w:lang w:eastAsia="en-US"/>
        </w:rPr>
      </w:pPr>
      <w:r w:rsidRPr="00D53A2B">
        <w:rPr>
          <w:lang w:eastAsia="en-US"/>
        </w:rPr>
        <w:t>Bu bölümde bulunan tekniklerin açıklamaları Bölüm 1.10</w:t>
      </w:r>
      <w:r w:rsidR="00E56504" w:rsidRPr="00D53A2B">
        <w:rPr>
          <w:lang w:eastAsia="en-US"/>
        </w:rPr>
        <w:t>’</w:t>
      </w:r>
      <w:r w:rsidRPr="00D53A2B">
        <w:rPr>
          <w:lang w:eastAsia="en-US"/>
        </w:rPr>
        <w:t>da verilmiştir.</w:t>
      </w:r>
    </w:p>
    <w:p w14:paraId="6E85F683" w14:textId="52BDDDA5" w:rsidR="00374C56" w:rsidRPr="00D53A2B" w:rsidRDefault="00374C56" w:rsidP="00A202FD">
      <w:pPr>
        <w:spacing w:after="240"/>
        <w:jc w:val="both"/>
        <w:rPr>
          <w:lang w:eastAsia="en-US"/>
        </w:rPr>
      </w:pPr>
      <w:r w:rsidRPr="00D53A2B">
        <w:rPr>
          <w:lang w:eastAsia="en-US"/>
        </w:rPr>
        <w:t>MET ile ilişkili emisyon seviyeleri (MET-İES) Tablo 3</w:t>
      </w:r>
      <w:r w:rsidR="00E56504" w:rsidRPr="00D53A2B">
        <w:rPr>
          <w:lang w:eastAsia="en-US"/>
        </w:rPr>
        <w:t>’</w:t>
      </w:r>
      <w:r w:rsidRPr="00D53A2B">
        <w:rPr>
          <w:lang w:eastAsia="en-US"/>
        </w:rPr>
        <w:t>te verilmiştir.</w:t>
      </w:r>
    </w:p>
    <w:p w14:paraId="244EEB57" w14:textId="48522483" w:rsidR="00374C56" w:rsidRPr="00D53A2B" w:rsidRDefault="00374C56" w:rsidP="00A202FD">
      <w:pPr>
        <w:pStyle w:val="MET"/>
        <w:rPr>
          <w:szCs w:val="24"/>
        </w:rPr>
      </w:pPr>
      <w:r w:rsidRPr="00D53A2B">
        <w:rPr>
          <w:szCs w:val="24"/>
        </w:rPr>
        <w:t>MET 37</w:t>
      </w:r>
      <w:r w:rsidR="006F4992" w:rsidRPr="00D53A2B">
        <w:rPr>
          <w:szCs w:val="24"/>
        </w:rPr>
        <w:t>:</w:t>
      </w:r>
      <w:r w:rsidR="00E64922" w:rsidRPr="00D53A2B">
        <w:rPr>
          <w:szCs w:val="24"/>
        </w:rPr>
        <w:t xml:space="preserve"> </w:t>
      </w:r>
      <w:r w:rsidR="00E64922" w:rsidRPr="00D53A2B">
        <w:rPr>
          <w:b w:val="0"/>
          <w:bCs/>
          <w:szCs w:val="24"/>
        </w:rPr>
        <w:t>Birincil ve ikincil bakır üretiminde hammaddelerin alımı, depolanması, taşınması, ölçülmesi, karıştırılması, harmanlanması, ezilmesi, kurutulması, kesilmesi ve elenmesi ile bakır talaşlarının pirolitik işleminden kaynaklanan toz ve metal emisyonlarını azaltmak için torba filtre kullan</w:t>
      </w:r>
      <w:r w:rsidR="003A678C" w:rsidRPr="00D53A2B">
        <w:rPr>
          <w:b w:val="0"/>
          <w:bCs/>
          <w:szCs w:val="24"/>
        </w:rPr>
        <w:t>ılır</w:t>
      </w:r>
      <w:r w:rsidR="00E64922" w:rsidRPr="00D53A2B">
        <w:rPr>
          <w:b w:val="0"/>
          <w:bCs/>
          <w:szCs w:val="24"/>
        </w:rPr>
        <w:t>.</w:t>
      </w:r>
    </w:p>
    <w:p w14:paraId="73D40DF7" w14:textId="77777777" w:rsidR="00E64922" w:rsidRPr="00D53A2B" w:rsidRDefault="00E64922" w:rsidP="00A202FD">
      <w:pPr>
        <w:pStyle w:val="MET"/>
        <w:rPr>
          <w:szCs w:val="24"/>
        </w:rPr>
      </w:pPr>
    </w:p>
    <w:p w14:paraId="02A723E1" w14:textId="4AFA7137" w:rsidR="00374C56" w:rsidRPr="00D53A2B" w:rsidRDefault="00374C56" w:rsidP="00A202FD">
      <w:pPr>
        <w:pStyle w:val="MET"/>
        <w:rPr>
          <w:szCs w:val="24"/>
        </w:rPr>
      </w:pPr>
      <w:r w:rsidRPr="00D53A2B">
        <w:rPr>
          <w:szCs w:val="24"/>
        </w:rPr>
        <w:t>MET 38.</w:t>
      </w:r>
      <w:r w:rsidR="00E64922" w:rsidRPr="00D53A2B">
        <w:rPr>
          <w:szCs w:val="24"/>
        </w:rPr>
        <w:t xml:space="preserve"> </w:t>
      </w:r>
      <w:r w:rsidR="00E64922" w:rsidRPr="00D53A2B">
        <w:rPr>
          <w:b w:val="0"/>
          <w:bCs/>
          <w:szCs w:val="24"/>
        </w:rPr>
        <w:t>Birincil bakır üretiminde konsantre kurutmadan kaynaklanan toz ve metal emisyonlarını azaltmak için torba filtre kullan</w:t>
      </w:r>
      <w:r w:rsidR="003A678C" w:rsidRPr="00D53A2B">
        <w:rPr>
          <w:b w:val="0"/>
          <w:bCs/>
          <w:szCs w:val="24"/>
        </w:rPr>
        <w:t>ılır</w:t>
      </w:r>
      <w:r w:rsidR="00E64922" w:rsidRPr="00D53A2B">
        <w:rPr>
          <w:b w:val="0"/>
          <w:bCs/>
          <w:szCs w:val="24"/>
        </w:rPr>
        <w:t>.</w:t>
      </w:r>
    </w:p>
    <w:p w14:paraId="323428CB" w14:textId="77777777" w:rsidR="00E64922" w:rsidRPr="00D53A2B" w:rsidRDefault="00E64922" w:rsidP="00A202FD">
      <w:pPr>
        <w:pStyle w:val="MET"/>
        <w:rPr>
          <w:szCs w:val="24"/>
        </w:rPr>
      </w:pPr>
    </w:p>
    <w:p w14:paraId="611815D9" w14:textId="77777777" w:rsidR="00374C56" w:rsidRPr="00D53A2B" w:rsidRDefault="00374C56" w:rsidP="00A202FD">
      <w:pPr>
        <w:spacing w:after="40"/>
        <w:jc w:val="both"/>
        <w:rPr>
          <w:b/>
          <w:lang w:eastAsia="en-US"/>
        </w:rPr>
      </w:pPr>
      <w:r w:rsidRPr="00D53A2B">
        <w:rPr>
          <w:b/>
          <w:lang w:eastAsia="en-US"/>
        </w:rPr>
        <w:t>Uygulanabilirlik</w:t>
      </w:r>
    </w:p>
    <w:p w14:paraId="4519C27C" w14:textId="77777777" w:rsidR="00E64922" w:rsidRPr="00D53A2B" w:rsidRDefault="00E64922" w:rsidP="00A202FD">
      <w:pPr>
        <w:tabs>
          <w:tab w:val="left" w:pos="1134"/>
        </w:tabs>
        <w:spacing w:after="200"/>
        <w:jc w:val="both"/>
        <w:rPr>
          <w:lang w:eastAsia="en-US"/>
        </w:rPr>
      </w:pPr>
      <w:r w:rsidRPr="00D53A2B">
        <w:rPr>
          <w:lang w:eastAsia="en-US"/>
        </w:rPr>
        <w:t xml:space="preserve">Konsantrelerde yüksek organik karbon içeriği olması durumunda (örneğin yaklaşık %10 wt-), torba filtreler uygulanamayabilir (torbaların körleşmesi nedeniyle) ve diğer teknikler (örneğin ESP) kullanılabilir. </w:t>
      </w:r>
    </w:p>
    <w:p w14:paraId="69B0DC19" w14:textId="1691C98D" w:rsidR="00374C56" w:rsidRPr="00D53A2B" w:rsidRDefault="00374C56" w:rsidP="00A202FD">
      <w:pPr>
        <w:pStyle w:val="MET"/>
        <w:rPr>
          <w:szCs w:val="24"/>
        </w:rPr>
      </w:pPr>
      <w:r w:rsidRPr="00D53A2B">
        <w:rPr>
          <w:szCs w:val="24"/>
        </w:rPr>
        <w:lastRenderedPageBreak/>
        <w:t>MET 39.</w:t>
      </w:r>
      <w:r w:rsidR="00E64922" w:rsidRPr="00D53A2B">
        <w:rPr>
          <w:szCs w:val="24"/>
        </w:rPr>
        <w:t xml:space="preserve"> </w:t>
      </w:r>
      <w:r w:rsidR="00E64922" w:rsidRPr="00D53A2B">
        <w:rPr>
          <w:b w:val="0"/>
          <w:bCs/>
          <w:szCs w:val="24"/>
        </w:rPr>
        <w:t>Birincil bakır izabe tesisi ve dönüştürücüden havaya toz ve metal emisyonlarını (sülfürik asit veya sıvı SO</w:t>
      </w:r>
      <w:r w:rsidR="00E64922" w:rsidRPr="00D53A2B">
        <w:rPr>
          <w:b w:val="0"/>
          <w:bCs/>
          <w:szCs w:val="24"/>
          <w:vertAlign w:val="subscript"/>
        </w:rPr>
        <w:t>2</w:t>
      </w:r>
      <w:r w:rsidR="00E64922" w:rsidRPr="00D53A2B">
        <w:rPr>
          <w:b w:val="0"/>
          <w:bCs/>
          <w:szCs w:val="24"/>
        </w:rPr>
        <w:t xml:space="preserve"> tesisine veya enerji santraline yönlendirilenler dışında) azaltmak için, bir torba filtre ve/veya bir </w:t>
      </w:r>
      <w:r w:rsidR="003A678C" w:rsidRPr="00D53A2B">
        <w:rPr>
          <w:b w:val="0"/>
          <w:bCs/>
          <w:szCs w:val="24"/>
        </w:rPr>
        <w:t>yaş</w:t>
      </w:r>
      <w:r w:rsidR="00E64922" w:rsidRPr="00D53A2B">
        <w:rPr>
          <w:b w:val="0"/>
          <w:bCs/>
          <w:szCs w:val="24"/>
        </w:rPr>
        <w:t xml:space="preserve"> yıkayıcı kullan</w:t>
      </w:r>
      <w:r w:rsidR="003A678C" w:rsidRPr="00D53A2B">
        <w:rPr>
          <w:b w:val="0"/>
          <w:bCs/>
          <w:szCs w:val="24"/>
        </w:rPr>
        <w:t>ılır</w:t>
      </w:r>
      <w:r w:rsidR="00E64922" w:rsidRPr="00D53A2B">
        <w:rPr>
          <w:b w:val="0"/>
          <w:bCs/>
          <w:szCs w:val="24"/>
        </w:rPr>
        <w:t>.</w:t>
      </w:r>
    </w:p>
    <w:p w14:paraId="0268A091" w14:textId="77777777" w:rsidR="00E64922" w:rsidRPr="00D53A2B" w:rsidRDefault="00E64922" w:rsidP="00A202FD">
      <w:pPr>
        <w:pStyle w:val="MET"/>
        <w:rPr>
          <w:szCs w:val="24"/>
        </w:rPr>
      </w:pPr>
    </w:p>
    <w:p w14:paraId="40F8A597" w14:textId="4CBC9A2A" w:rsidR="00374C56" w:rsidRPr="00D53A2B" w:rsidRDefault="00374C56" w:rsidP="00A202FD">
      <w:pPr>
        <w:pStyle w:val="MET"/>
        <w:rPr>
          <w:szCs w:val="24"/>
        </w:rPr>
      </w:pPr>
      <w:r w:rsidRPr="00D53A2B">
        <w:rPr>
          <w:szCs w:val="24"/>
        </w:rPr>
        <w:t>MET 40.</w:t>
      </w:r>
      <w:r w:rsidR="00E64922" w:rsidRPr="00D53A2B">
        <w:rPr>
          <w:szCs w:val="24"/>
        </w:rPr>
        <w:t xml:space="preserve"> </w:t>
      </w:r>
      <w:r w:rsidR="00E64922" w:rsidRPr="00D53A2B">
        <w:rPr>
          <w:b w:val="0"/>
          <w:bCs/>
          <w:szCs w:val="24"/>
        </w:rPr>
        <w:t>İkincil bakır izabe ve konvertöründen ve ikincil bakır ara ürünlerinin işlenmesinden kaynaklanan havaya toz ve metal emisyonlarını (sülfürik asit tesisine yönlendirilenler dışında) azaltmak için bir torba filtre kullan</w:t>
      </w:r>
      <w:r w:rsidR="003A678C" w:rsidRPr="00D53A2B">
        <w:rPr>
          <w:b w:val="0"/>
          <w:bCs/>
          <w:szCs w:val="24"/>
        </w:rPr>
        <w:t>ılı</w:t>
      </w:r>
      <w:r w:rsidR="00E64922" w:rsidRPr="00D53A2B">
        <w:rPr>
          <w:b w:val="0"/>
          <w:bCs/>
          <w:szCs w:val="24"/>
        </w:rPr>
        <w:t>r.</w:t>
      </w:r>
    </w:p>
    <w:p w14:paraId="4DA5AF9C" w14:textId="77777777" w:rsidR="003A678C" w:rsidRPr="00D53A2B" w:rsidRDefault="003A678C" w:rsidP="00A202FD">
      <w:pPr>
        <w:pStyle w:val="MET"/>
        <w:rPr>
          <w:szCs w:val="24"/>
        </w:rPr>
      </w:pPr>
    </w:p>
    <w:p w14:paraId="1DF56B06" w14:textId="4AEAB085" w:rsidR="00374C56" w:rsidRPr="00D53A2B" w:rsidRDefault="00374C56" w:rsidP="00A202FD">
      <w:pPr>
        <w:pStyle w:val="MET"/>
        <w:rPr>
          <w:szCs w:val="24"/>
        </w:rPr>
      </w:pPr>
      <w:r w:rsidRPr="00D53A2B">
        <w:rPr>
          <w:szCs w:val="24"/>
        </w:rPr>
        <w:t>MET 41.</w:t>
      </w:r>
      <w:r w:rsidR="00E64922" w:rsidRPr="00D53A2B">
        <w:rPr>
          <w:szCs w:val="24"/>
        </w:rPr>
        <w:t xml:space="preserve"> </w:t>
      </w:r>
      <w:r w:rsidR="00E64922" w:rsidRPr="00D53A2B">
        <w:rPr>
          <w:b w:val="0"/>
          <w:bCs/>
          <w:szCs w:val="24"/>
        </w:rPr>
        <w:t>İkincil bakır bekletme fırınından havaya toz ve metal emisyonlarını azaltmak için bir torba filtre kullan</w:t>
      </w:r>
      <w:r w:rsidR="003A678C" w:rsidRPr="00D53A2B">
        <w:rPr>
          <w:b w:val="0"/>
          <w:bCs/>
          <w:szCs w:val="24"/>
        </w:rPr>
        <w:t>ılır</w:t>
      </w:r>
      <w:r w:rsidR="00E64922" w:rsidRPr="00D53A2B">
        <w:rPr>
          <w:b w:val="0"/>
          <w:bCs/>
          <w:szCs w:val="24"/>
        </w:rPr>
        <w:t>.</w:t>
      </w:r>
    </w:p>
    <w:p w14:paraId="6F6B1F5E" w14:textId="77777777" w:rsidR="00E64922" w:rsidRPr="00D53A2B" w:rsidRDefault="00E64922" w:rsidP="00A202FD">
      <w:pPr>
        <w:pStyle w:val="MET"/>
        <w:rPr>
          <w:szCs w:val="24"/>
        </w:rPr>
      </w:pPr>
    </w:p>
    <w:p w14:paraId="6B177E7F" w14:textId="37F9DF5A" w:rsidR="00374C56" w:rsidRPr="00D53A2B" w:rsidRDefault="00374C56" w:rsidP="00A202FD">
      <w:pPr>
        <w:pStyle w:val="MET"/>
        <w:rPr>
          <w:szCs w:val="24"/>
        </w:rPr>
      </w:pPr>
      <w:r w:rsidRPr="00D53A2B">
        <w:rPr>
          <w:szCs w:val="24"/>
        </w:rPr>
        <w:t>MET 42.</w:t>
      </w:r>
      <w:r w:rsidR="00E64922" w:rsidRPr="00D53A2B">
        <w:rPr>
          <w:szCs w:val="24"/>
        </w:rPr>
        <w:t xml:space="preserve"> </w:t>
      </w:r>
      <w:r w:rsidR="00E64922" w:rsidRPr="00D53A2B">
        <w:rPr>
          <w:b w:val="0"/>
          <w:bCs/>
          <w:szCs w:val="24"/>
        </w:rPr>
        <w:t xml:space="preserve">Bakır açısından zengin cüruf fırını işlemesinden kaynaklanan havaya toz ve metal emisyonlarını azaltmak için </w:t>
      </w:r>
      <w:r w:rsidR="0031317B" w:rsidRPr="00D53A2B">
        <w:rPr>
          <w:b w:val="0"/>
          <w:bCs/>
          <w:szCs w:val="24"/>
        </w:rPr>
        <w:t>MET</w:t>
      </w:r>
      <w:r w:rsidR="00E64922" w:rsidRPr="00D53A2B">
        <w:rPr>
          <w:b w:val="0"/>
          <w:bCs/>
          <w:szCs w:val="24"/>
        </w:rPr>
        <w:t>, bir ESP ile birlikte bir torba filtre veya bir yıkayıcı kullan</w:t>
      </w:r>
      <w:r w:rsidR="003A678C" w:rsidRPr="00D53A2B">
        <w:rPr>
          <w:b w:val="0"/>
          <w:bCs/>
          <w:szCs w:val="24"/>
        </w:rPr>
        <w:t>ılır</w:t>
      </w:r>
      <w:r w:rsidR="00E64922" w:rsidRPr="00D53A2B">
        <w:rPr>
          <w:b w:val="0"/>
          <w:bCs/>
          <w:szCs w:val="24"/>
        </w:rPr>
        <w:t>.</w:t>
      </w:r>
    </w:p>
    <w:p w14:paraId="29FA519D" w14:textId="77777777" w:rsidR="00E64922" w:rsidRPr="00D53A2B" w:rsidRDefault="00E64922" w:rsidP="00A202FD">
      <w:pPr>
        <w:pStyle w:val="MET"/>
        <w:rPr>
          <w:szCs w:val="24"/>
        </w:rPr>
      </w:pPr>
    </w:p>
    <w:p w14:paraId="23489FC7" w14:textId="776F4DD1" w:rsidR="00E64922" w:rsidRPr="00D53A2B" w:rsidRDefault="00374C56" w:rsidP="00A202FD">
      <w:pPr>
        <w:pStyle w:val="MET"/>
        <w:rPr>
          <w:szCs w:val="24"/>
        </w:rPr>
      </w:pPr>
      <w:r w:rsidRPr="00D53A2B">
        <w:rPr>
          <w:szCs w:val="24"/>
        </w:rPr>
        <w:t>MET 43.</w:t>
      </w:r>
      <w:r w:rsidR="00E64922" w:rsidRPr="00D53A2B">
        <w:rPr>
          <w:szCs w:val="24"/>
        </w:rPr>
        <w:t xml:space="preserve"> </w:t>
      </w:r>
      <w:r w:rsidR="00E64922" w:rsidRPr="00D53A2B">
        <w:rPr>
          <w:b w:val="0"/>
          <w:bCs/>
          <w:szCs w:val="24"/>
        </w:rPr>
        <w:t xml:space="preserve">Birincil ve ikincil bakır üretiminde anot fırınından havaya toz ve metal emisyonlarını azaltmak için </w:t>
      </w:r>
      <w:r w:rsidR="0031317B" w:rsidRPr="00D53A2B">
        <w:rPr>
          <w:b w:val="0"/>
          <w:bCs/>
          <w:szCs w:val="24"/>
        </w:rPr>
        <w:t>MET</w:t>
      </w:r>
      <w:r w:rsidR="00E64922" w:rsidRPr="00D53A2B">
        <w:rPr>
          <w:b w:val="0"/>
          <w:bCs/>
          <w:szCs w:val="24"/>
        </w:rPr>
        <w:t xml:space="preserve">, bir ESP ile birlikte bir torba filtre veya bir yıkayıcı </w:t>
      </w:r>
      <w:r w:rsidR="003A678C" w:rsidRPr="00D53A2B">
        <w:rPr>
          <w:b w:val="0"/>
          <w:bCs/>
          <w:szCs w:val="24"/>
        </w:rPr>
        <w:t>kullanılır.</w:t>
      </w:r>
    </w:p>
    <w:p w14:paraId="1057D7E9" w14:textId="77777777" w:rsidR="00E64922" w:rsidRPr="00D53A2B" w:rsidRDefault="00E64922" w:rsidP="00A202FD">
      <w:pPr>
        <w:pStyle w:val="MET"/>
        <w:rPr>
          <w:szCs w:val="24"/>
        </w:rPr>
      </w:pPr>
    </w:p>
    <w:p w14:paraId="2E0DE682" w14:textId="3631BC94" w:rsidR="00374C56" w:rsidRPr="00D53A2B" w:rsidRDefault="00374C56" w:rsidP="00A202FD">
      <w:pPr>
        <w:pStyle w:val="MET"/>
        <w:rPr>
          <w:szCs w:val="24"/>
        </w:rPr>
      </w:pPr>
      <w:r w:rsidRPr="00D53A2B">
        <w:rPr>
          <w:szCs w:val="24"/>
        </w:rPr>
        <w:t>MET 44.</w:t>
      </w:r>
      <w:r w:rsidR="00E64922" w:rsidRPr="00D53A2B">
        <w:rPr>
          <w:szCs w:val="24"/>
        </w:rPr>
        <w:t xml:space="preserve"> </w:t>
      </w:r>
      <w:r w:rsidR="00E64922" w:rsidRPr="00D53A2B">
        <w:rPr>
          <w:b w:val="0"/>
          <w:bCs/>
          <w:szCs w:val="24"/>
        </w:rPr>
        <w:t xml:space="preserve">Birincil ve ikincil bakır üretiminde anot dökümünden havaya toz ve metal emisyonlarını azaltmak için bir torba filtre veya çiğlenme noktasına yakın su içeriğine sahip atık gazlar söz konusu olduğunda bir ıslak yıkayıcı veya bir buğu çözücü </w:t>
      </w:r>
      <w:r w:rsidR="003A678C" w:rsidRPr="00D53A2B">
        <w:rPr>
          <w:b w:val="0"/>
          <w:bCs/>
          <w:szCs w:val="24"/>
        </w:rPr>
        <w:t>kullanılır.</w:t>
      </w:r>
    </w:p>
    <w:p w14:paraId="27AF5E78" w14:textId="77777777" w:rsidR="00E64922" w:rsidRPr="00D53A2B" w:rsidRDefault="00E64922" w:rsidP="00A202FD">
      <w:pPr>
        <w:pStyle w:val="MET"/>
        <w:rPr>
          <w:szCs w:val="24"/>
        </w:rPr>
      </w:pPr>
    </w:p>
    <w:p w14:paraId="6650D520" w14:textId="35B3E33A" w:rsidR="00374C56" w:rsidRPr="00D53A2B" w:rsidRDefault="00374C56" w:rsidP="00A202FD">
      <w:pPr>
        <w:pStyle w:val="MET"/>
        <w:rPr>
          <w:szCs w:val="24"/>
        </w:rPr>
      </w:pPr>
      <w:r w:rsidRPr="00D53A2B">
        <w:rPr>
          <w:szCs w:val="24"/>
        </w:rPr>
        <w:t>MET 45.</w:t>
      </w:r>
      <w:r w:rsidR="00E64922" w:rsidRPr="00D53A2B">
        <w:rPr>
          <w:szCs w:val="24"/>
        </w:rPr>
        <w:t xml:space="preserve"> </w:t>
      </w:r>
      <w:r w:rsidR="00E64922" w:rsidRPr="00D53A2B">
        <w:rPr>
          <w:b w:val="0"/>
          <w:bCs/>
          <w:szCs w:val="24"/>
        </w:rPr>
        <w:t>Bir bakır eritme fırınından havaya yayılan toz ve metal emisyonlarını azaltmak için, fırın tipine ve kullanılan azaltma sistemine göre hammaddeler</w:t>
      </w:r>
      <w:r w:rsidR="003A678C" w:rsidRPr="00D53A2B">
        <w:rPr>
          <w:b w:val="0"/>
          <w:bCs/>
          <w:szCs w:val="24"/>
        </w:rPr>
        <w:t xml:space="preserve"> seçilir</w:t>
      </w:r>
      <w:r w:rsidR="00E64922" w:rsidRPr="00D53A2B">
        <w:rPr>
          <w:b w:val="0"/>
          <w:bCs/>
          <w:szCs w:val="24"/>
        </w:rPr>
        <w:t xml:space="preserve"> ve besle</w:t>
      </w:r>
      <w:r w:rsidR="003A678C" w:rsidRPr="00D53A2B">
        <w:rPr>
          <w:b w:val="0"/>
          <w:bCs/>
          <w:szCs w:val="24"/>
        </w:rPr>
        <w:t>nir</w:t>
      </w:r>
      <w:r w:rsidR="00E64922" w:rsidRPr="00D53A2B">
        <w:rPr>
          <w:b w:val="0"/>
          <w:bCs/>
          <w:szCs w:val="24"/>
        </w:rPr>
        <w:t xml:space="preserve"> ve bir torba filtre </w:t>
      </w:r>
      <w:r w:rsidR="003A678C" w:rsidRPr="00D53A2B">
        <w:rPr>
          <w:b w:val="0"/>
          <w:bCs/>
          <w:szCs w:val="24"/>
        </w:rPr>
        <w:t>kullanılır.</w:t>
      </w:r>
    </w:p>
    <w:p w14:paraId="20449EED" w14:textId="77777777" w:rsidR="00E64922" w:rsidRPr="00D53A2B" w:rsidRDefault="00E64922" w:rsidP="00A202FD">
      <w:pPr>
        <w:pStyle w:val="MET"/>
        <w:rPr>
          <w:szCs w:val="24"/>
        </w:rPr>
      </w:pPr>
    </w:p>
    <w:p w14:paraId="172CB2FD" w14:textId="77777777" w:rsidR="001023C7" w:rsidRPr="00D53A2B" w:rsidRDefault="00374C56" w:rsidP="00A202FD">
      <w:pPr>
        <w:jc w:val="both"/>
        <w:rPr>
          <w:lang w:eastAsia="en-US"/>
        </w:rPr>
      </w:pPr>
      <w:bookmarkStart w:id="62" w:name="_Toc531927944"/>
      <w:r w:rsidRPr="00D53A2B">
        <w:rPr>
          <w:lang w:eastAsia="en-US"/>
        </w:rPr>
        <w:t xml:space="preserve">Tablo </w:t>
      </w:r>
      <w:r w:rsidRPr="00D53A2B">
        <w:rPr>
          <w:noProof/>
          <w:lang w:eastAsia="en-US"/>
        </w:rPr>
        <w:t>3</w:t>
      </w:r>
      <w:bookmarkEnd w:id="62"/>
    </w:p>
    <w:p w14:paraId="460D2CE7" w14:textId="2F7784C1" w:rsidR="00374C56" w:rsidRPr="00D53A2B" w:rsidRDefault="00E64922" w:rsidP="00A202FD">
      <w:pPr>
        <w:jc w:val="both"/>
        <w:rPr>
          <w:lang w:eastAsia="en-US"/>
        </w:rPr>
      </w:pPr>
      <w:r w:rsidRPr="00D53A2B">
        <w:rPr>
          <w:lang w:eastAsia="en-US"/>
        </w:rPr>
        <w:t>Bakır üretiminden kaynaklanan havaya toz emisyonları için MET ile ilişkili emisyon seviyeleri</w:t>
      </w:r>
    </w:p>
    <w:tbl>
      <w:tblPr>
        <w:tblW w:w="8784" w:type="dxa"/>
        <w:tblLayout w:type="fixed"/>
        <w:tblCellMar>
          <w:left w:w="0" w:type="dxa"/>
          <w:right w:w="0" w:type="dxa"/>
        </w:tblCellMar>
        <w:tblLook w:val="01E0" w:firstRow="1" w:lastRow="1" w:firstColumn="1" w:lastColumn="1" w:noHBand="0" w:noVBand="0"/>
      </w:tblPr>
      <w:tblGrid>
        <w:gridCol w:w="1271"/>
        <w:gridCol w:w="992"/>
        <w:gridCol w:w="5245"/>
        <w:gridCol w:w="1276"/>
      </w:tblGrid>
      <w:tr w:rsidR="00374C56" w:rsidRPr="00D53A2B" w14:paraId="7C6AE078" w14:textId="77777777" w:rsidTr="00271877">
        <w:tc>
          <w:tcPr>
            <w:tcW w:w="1271" w:type="dxa"/>
            <w:tcBorders>
              <w:top w:val="single" w:sz="4" w:space="0" w:color="000000"/>
              <w:left w:val="single" w:sz="4" w:space="0" w:color="000000"/>
              <w:bottom w:val="single" w:sz="4" w:space="0" w:color="000000"/>
              <w:right w:val="single" w:sz="4" w:space="0" w:color="000000"/>
            </w:tcBorders>
            <w:vAlign w:val="center"/>
          </w:tcPr>
          <w:p w14:paraId="02807290"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992" w:type="dxa"/>
            <w:tcBorders>
              <w:top w:val="single" w:sz="4" w:space="0" w:color="000000"/>
              <w:left w:val="single" w:sz="4" w:space="0" w:color="000000"/>
              <w:bottom w:val="single" w:sz="4" w:space="0" w:color="000000"/>
              <w:right w:val="single" w:sz="4" w:space="0" w:color="000000"/>
            </w:tcBorders>
            <w:vAlign w:val="center"/>
          </w:tcPr>
          <w:p w14:paraId="14B7AD38"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w:t>
            </w:r>
          </w:p>
        </w:tc>
        <w:tc>
          <w:tcPr>
            <w:tcW w:w="5245" w:type="dxa"/>
            <w:tcBorders>
              <w:top w:val="single" w:sz="4" w:space="0" w:color="000000"/>
              <w:left w:val="single" w:sz="4" w:space="0" w:color="000000"/>
              <w:bottom w:val="single" w:sz="4" w:space="0" w:color="000000"/>
              <w:right w:val="single" w:sz="4" w:space="0" w:color="000000"/>
            </w:tcBorders>
            <w:vAlign w:val="center"/>
          </w:tcPr>
          <w:p w14:paraId="657D0BF2"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Proses</w:t>
            </w:r>
          </w:p>
        </w:tc>
        <w:tc>
          <w:tcPr>
            <w:tcW w:w="1276" w:type="dxa"/>
            <w:tcBorders>
              <w:top w:val="single" w:sz="4" w:space="0" w:color="000000"/>
              <w:left w:val="single" w:sz="4" w:space="0" w:color="000000"/>
              <w:bottom w:val="single" w:sz="4" w:space="0" w:color="000000"/>
              <w:right w:val="single" w:sz="4" w:space="0" w:color="000000"/>
            </w:tcBorders>
            <w:vAlign w:val="center"/>
          </w:tcPr>
          <w:p w14:paraId="09402227"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w:t>
            </w:r>
          </w:p>
        </w:tc>
      </w:tr>
      <w:tr w:rsidR="00374C56" w:rsidRPr="00D53A2B" w14:paraId="07DA026C" w14:textId="77777777" w:rsidTr="00271877">
        <w:tc>
          <w:tcPr>
            <w:tcW w:w="1271" w:type="dxa"/>
            <w:vMerge w:val="restart"/>
            <w:tcBorders>
              <w:top w:val="single" w:sz="4" w:space="0" w:color="000000"/>
              <w:left w:val="single" w:sz="4" w:space="0" w:color="000000"/>
              <w:right w:val="single" w:sz="4" w:space="0" w:color="000000"/>
            </w:tcBorders>
            <w:vAlign w:val="center"/>
          </w:tcPr>
          <w:p w14:paraId="2B32658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992" w:type="dxa"/>
            <w:tcBorders>
              <w:top w:val="single" w:sz="4" w:space="0" w:color="000000"/>
              <w:left w:val="single" w:sz="4" w:space="0" w:color="000000"/>
              <w:bottom w:val="single" w:sz="4" w:space="0" w:color="000000"/>
              <w:right w:val="single" w:sz="4" w:space="0" w:color="000000"/>
            </w:tcBorders>
            <w:vAlign w:val="center"/>
          </w:tcPr>
          <w:p w14:paraId="476E220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 37</w:t>
            </w:r>
          </w:p>
        </w:tc>
        <w:tc>
          <w:tcPr>
            <w:tcW w:w="5245" w:type="dxa"/>
            <w:tcBorders>
              <w:top w:val="single" w:sz="4" w:space="0" w:color="000000"/>
              <w:left w:val="single" w:sz="4" w:space="0" w:color="000000"/>
              <w:bottom w:val="single" w:sz="4" w:space="0" w:color="000000"/>
              <w:right w:val="single" w:sz="4" w:space="0" w:color="000000"/>
            </w:tcBorders>
          </w:tcPr>
          <w:p w14:paraId="671CE1B3" w14:textId="391B56B4" w:rsidR="00374C56" w:rsidRPr="00D53A2B" w:rsidRDefault="00581A11" w:rsidP="00A202FD">
            <w:pPr>
              <w:spacing w:line="264" w:lineRule="auto"/>
              <w:ind w:left="57" w:right="57"/>
              <w:jc w:val="both"/>
              <w:rPr>
                <w:sz w:val="22"/>
                <w:szCs w:val="22"/>
                <w:lang w:eastAsia="en-US"/>
              </w:rPr>
            </w:pPr>
            <w:r w:rsidRPr="00D53A2B">
              <w:rPr>
                <w:sz w:val="22"/>
                <w:szCs w:val="22"/>
                <w:lang w:eastAsia="en-US"/>
              </w:rPr>
              <w:t>Birincil ve ikincil bakır üretiminde hammaddelerin alınması, depolanması, taşınması, ölçülmesi, karıştırılması, harmanlanması, kırılması, kurutulması, kesilmesi ve elenmesi ve bakır talaşlarının pirolitik olarak işlenmesi.</w:t>
            </w:r>
          </w:p>
        </w:tc>
        <w:tc>
          <w:tcPr>
            <w:tcW w:w="1276" w:type="dxa"/>
            <w:tcBorders>
              <w:top w:val="single" w:sz="4" w:space="0" w:color="000000"/>
              <w:left w:val="single" w:sz="4" w:space="0" w:color="000000"/>
              <w:bottom w:val="single" w:sz="4" w:space="0" w:color="000000"/>
              <w:right w:val="single" w:sz="4" w:space="0" w:color="000000"/>
            </w:tcBorders>
            <w:vAlign w:val="center"/>
          </w:tcPr>
          <w:p w14:paraId="5A0B8AD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 (</w:t>
            </w:r>
            <w:r w:rsidRPr="00D53A2B">
              <w:rPr>
                <w:sz w:val="22"/>
                <w:szCs w:val="22"/>
                <w:vertAlign w:val="superscript"/>
                <w:lang w:eastAsia="en-US"/>
              </w:rPr>
              <w:t>1</w:t>
            </w:r>
            <w:r w:rsidRPr="00D53A2B">
              <w:rPr>
                <w:sz w:val="22"/>
                <w:szCs w:val="22"/>
                <w:lang w:eastAsia="en-US"/>
              </w:rPr>
              <w:t>)(</w:t>
            </w:r>
            <w:r w:rsidRPr="00D53A2B">
              <w:rPr>
                <w:sz w:val="22"/>
                <w:szCs w:val="22"/>
                <w:vertAlign w:val="superscript"/>
                <w:lang w:eastAsia="en-US"/>
              </w:rPr>
              <w:t>4</w:t>
            </w:r>
            <w:r w:rsidRPr="00D53A2B">
              <w:rPr>
                <w:sz w:val="22"/>
                <w:szCs w:val="22"/>
                <w:lang w:eastAsia="en-US"/>
              </w:rPr>
              <w:t>)</w:t>
            </w:r>
          </w:p>
        </w:tc>
      </w:tr>
      <w:tr w:rsidR="00374C56" w:rsidRPr="00D53A2B" w14:paraId="30F502E3" w14:textId="77777777" w:rsidTr="00271877">
        <w:tc>
          <w:tcPr>
            <w:tcW w:w="1271" w:type="dxa"/>
            <w:vMerge/>
            <w:tcBorders>
              <w:left w:val="single" w:sz="4" w:space="0" w:color="000000"/>
              <w:right w:val="single" w:sz="4" w:space="0" w:color="000000"/>
            </w:tcBorders>
          </w:tcPr>
          <w:p w14:paraId="519B9212" w14:textId="77777777" w:rsidR="00374C56" w:rsidRPr="00D53A2B" w:rsidRDefault="00374C56" w:rsidP="00A202FD">
            <w:pPr>
              <w:spacing w:line="264" w:lineRule="auto"/>
              <w:ind w:left="57" w:right="57"/>
              <w:jc w:val="both"/>
              <w:rPr>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83F962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 38</w:t>
            </w:r>
          </w:p>
        </w:tc>
        <w:tc>
          <w:tcPr>
            <w:tcW w:w="5245" w:type="dxa"/>
            <w:tcBorders>
              <w:top w:val="single" w:sz="4" w:space="0" w:color="000000"/>
              <w:left w:val="single" w:sz="4" w:space="0" w:color="000000"/>
              <w:bottom w:val="single" w:sz="4" w:space="0" w:color="000000"/>
              <w:right w:val="single" w:sz="4" w:space="0" w:color="000000"/>
            </w:tcBorders>
          </w:tcPr>
          <w:p w14:paraId="1A70394D" w14:textId="50FDE5C8" w:rsidR="00374C56" w:rsidRPr="00D53A2B" w:rsidRDefault="00374C56" w:rsidP="00A202FD">
            <w:pPr>
              <w:spacing w:line="264" w:lineRule="auto"/>
              <w:ind w:left="57" w:right="57"/>
              <w:jc w:val="both"/>
              <w:rPr>
                <w:sz w:val="22"/>
                <w:szCs w:val="22"/>
                <w:lang w:eastAsia="en-US"/>
              </w:rPr>
            </w:pPr>
            <w:r w:rsidRPr="00D53A2B">
              <w:rPr>
                <w:sz w:val="22"/>
                <w:szCs w:val="22"/>
                <w:lang w:eastAsia="en-US"/>
              </w:rPr>
              <w:t>Birincil bakır üretiminde konsantre kurutma</w:t>
            </w:r>
          </w:p>
        </w:tc>
        <w:tc>
          <w:tcPr>
            <w:tcW w:w="1276" w:type="dxa"/>
            <w:tcBorders>
              <w:top w:val="single" w:sz="4" w:space="0" w:color="000000"/>
              <w:left w:val="single" w:sz="4" w:space="0" w:color="000000"/>
              <w:bottom w:val="single" w:sz="4" w:space="0" w:color="000000"/>
              <w:right w:val="single" w:sz="4" w:space="0" w:color="000000"/>
            </w:tcBorders>
            <w:vAlign w:val="center"/>
          </w:tcPr>
          <w:p w14:paraId="5E52FE5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3–5 (</w:t>
            </w:r>
            <w:r w:rsidRPr="00D53A2B">
              <w:rPr>
                <w:sz w:val="22"/>
                <w:szCs w:val="22"/>
                <w:vertAlign w:val="superscript"/>
                <w:lang w:eastAsia="en-US"/>
              </w:rPr>
              <w:t>2</w:t>
            </w:r>
            <w:r w:rsidRPr="00D53A2B">
              <w:rPr>
                <w:sz w:val="22"/>
                <w:szCs w:val="22"/>
                <w:lang w:eastAsia="en-US"/>
              </w:rPr>
              <w:t>)(</w:t>
            </w:r>
            <w:r w:rsidRPr="00D53A2B">
              <w:rPr>
                <w:sz w:val="22"/>
                <w:szCs w:val="22"/>
                <w:vertAlign w:val="superscript"/>
                <w:lang w:eastAsia="en-US"/>
              </w:rPr>
              <w:t>4</w:t>
            </w:r>
            <w:r w:rsidRPr="00D53A2B">
              <w:rPr>
                <w:sz w:val="22"/>
                <w:szCs w:val="22"/>
                <w:lang w:eastAsia="en-US"/>
              </w:rPr>
              <w:t>)(</w:t>
            </w:r>
            <w:r w:rsidRPr="00D53A2B">
              <w:rPr>
                <w:sz w:val="22"/>
                <w:szCs w:val="22"/>
                <w:vertAlign w:val="superscript"/>
                <w:lang w:eastAsia="en-US"/>
              </w:rPr>
              <w:t>5</w:t>
            </w:r>
            <w:r w:rsidRPr="00D53A2B">
              <w:rPr>
                <w:sz w:val="22"/>
                <w:szCs w:val="22"/>
                <w:lang w:eastAsia="en-US"/>
              </w:rPr>
              <w:t>)</w:t>
            </w:r>
          </w:p>
        </w:tc>
      </w:tr>
      <w:tr w:rsidR="00374C56" w:rsidRPr="00D53A2B" w14:paraId="528C7E1C" w14:textId="77777777" w:rsidTr="00271877">
        <w:tc>
          <w:tcPr>
            <w:tcW w:w="1271" w:type="dxa"/>
            <w:vMerge/>
            <w:tcBorders>
              <w:left w:val="single" w:sz="4" w:space="0" w:color="000000"/>
              <w:right w:val="single" w:sz="4" w:space="0" w:color="000000"/>
            </w:tcBorders>
          </w:tcPr>
          <w:p w14:paraId="427C94C8" w14:textId="77777777" w:rsidR="00374C56" w:rsidRPr="00D53A2B" w:rsidRDefault="00374C56" w:rsidP="00A202FD">
            <w:pPr>
              <w:spacing w:line="264" w:lineRule="auto"/>
              <w:ind w:left="57" w:right="57"/>
              <w:jc w:val="both"/>
              <w:rPr>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064A01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 39</w:t>
            </w:r>
          </w:p>
        </w:tc>
        <w:tc>
          <w:tcPr>
            <w:tcW w:w="5245" w:type="dxa"/>
            <w:tcBorders>
              <w:top w:val="single" w:sz="4" w:space="0" w:color="000000"/>
              <w:left w:val="single" w:sz="4" w:space="0" w:color="000000"/>
              <w:bottom w:val="single" w:sz="4" w:space="0" w:color="000000"/>
              <w:right w:val="single" w:sz="4" w:space="0" w:color="000000"/>
            </w:tcBorders>
          </w:tcPr>
          <w:p w14:paraId="6F5E4741" w14:textId="2D78EDB4" w:rsidR="00374C56" w:rsidRPr="00D53A2B" w:rsidRDefault="00581A11" w:rsidP="00A202FD">
            <w:pPr>
              <w:spacing w:line="264" w:lineRule="auto"/>
              <w:ind w:left="57" w:right="57"/>
              <w:jc w:val="both"/>
              <w:rPr>
                <w:sz w:val="22"/>
                <w:szCs w:val="22"/>
                <w:lang w:eastAsia="en-US"/>
              </w:rPr>
            </w:pPr>
            <w:r w:rsidRPr="00D53A2B">
              <w:rPr>
                <w:sz w:val="22"/>
                <w:szCs w:val="22"/>
                <w:lang w:eastAsia="en-US"/>
              </w:rPr>
              <w:t>Birincil bakır izabe ve konv</w:t>
            </w:r>
            <w:r w:rsidR="005A6E54" w:rsidRPr="00D53A2B">
              <w:rPr>
                <w:sz w:val="22"/>
                <w:szCs w:val="22"/>
                <w:lang w:eastAsia="en-US"/>
              </w:rPr>
              <w:t xml:space="preserve">entör </w:t>
            </w:r>
            <w:r w:rsidRPr="00D53A2B">
              <w:rPr>
                <w:sz w:val="22"/>
                <w:szCs w:val="22"/>
                <w:lang w:eastAsia="en-US"/>
              </w:rPr>
              <w:t>(sülfürik asit veya sıvı SO</w:t>
            </w:r>
            <w:r w:rsidRPr="00D53A2B">
              <w:rPr>
                <w:sz w:val="22"/>
                <w:szCs w:val="22"/>
                <w:vertAlign w:val="subscript"/>
                <w:lang w:eastAsia="en-US"/>
              </w:rPr>
              <w:t>2</w:t>
            </w:r>
            <w:r w:rsidRPr="00D53A2B">
              <w:rPr>
                <w:sz w:val="22"/>
                <w:szCs w:val="22"/>
                <w:lang w:eastAsia="en-US"/>
              </w:rPr>
              <w:t xml:space="preserve"> tesisine veya enerji santraline yönlendirilenler dışındaki emisyonlar).</w:t>
            </w:r>
          </w:p>
        </w:tc>
        <w:tc>
          <w:tcPr>
            <w:tcW w:w="1276" w:type="dxa"/>
            <w:tcBorders>
              <w:top w:val="single" w:sz="4" w:space="0" w:color="000000"/>
              <w:left w:val="single" w:sz="4" w:space="0" w:color="000000"/>
              <w:bottom w:val="single" w:sz="4" w:space="0" w:color="000000"/>
              <w:right w:val="single" w:sz="4" w:space="0" w:color="000000"/>
            </w:tcBorders>
            <w:vAlign w:val="center"/>
          </w:tcPr>
          <w:p w14:paraId="0EE06B9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 (</w:t>
            </w:r>
            <w:r w:rsidRPr="00D53A2B">
              <w:rPr>
                <w:sz w:val="22"/>
                <w:szCs w:val="22"/>
                <w:vertAlign w:val="superscript"/>
                <w:lang w:eastAsia="en-US"/>
              </w:rPr>
              <w:t>3</w:t>
            </w:r>
            <w:r w:rsidRPr="00D53A2B">
              <w:rPr>
                <w:sz w:val="22"/>
                <w:szCs w:val="22"/>
                <w:lang w:eastAsia="en-US"/>
              </w:rPr>
              <w:t>)(</w:t>
            </w:r>
            <w:r w:rsidRPr="00D53A2B">
              <w:rPr>
                <w:sz w:val="22"/>
                <w:szCs w:val="22"/>
                <w:vertAlign w:val="superscript"/>
                <w:lang w:eastAsia="en-US"/>
              </w:rPr>
              <w:t>4</w:t>
            </w:r>
            <w:r w:rsidRPr="00D53A2B">
              <w:rPr>
                <w:sz w:val="22"/>
                <w:szCs w:val="22"/>
                <w:lang w:eastAsia="en-US"/>
              </w:rPr>
              <w:t>)</w:t>
            </w:r>
          </w:p>
        </w:tc>
      </w:tr>
      <w:tr w:rsidR="00374C56" w:rsidRPr="00D53A2B" w14:paraId="648F2536" w14:textId="77777777" w:rsidTr="00271877">
        <w:tc>
          <w:tcPr>
            <w:tcW w:w="1271" w:type="dxa"/>
            <w:vMerge/>
            <w:tcBorders>
              <w:left w:val="single" w:sz="4" w:space="0" w:color="000000"/>
              <w:right w:val="single" w:sz="4" w:space="0" w:color="000000"/>
            </w:tcBorders>
          </w:tcPr>
          <w:p w14:paraId="72CED47B" w14:textId="77777777" w:rsidR="00374C56" w:rsidRPr="00D53A2B" w:rsidRDefault="00374C56" w:rsidP="00A202FD">
            <w:pPr>
              <w:spacing w:line="264" w:lineRule="auto"/>
              <w:ind w:left="57" w:right="57"/>
              <w:jc w:val="both"/>
              <w:rPr>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3BA6A7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 40</w:t>
            </w:r>
          </w:p>
        </w:tc>
        <w:tc>
          <w:tcPr>
            <w:tcW w:w="5245" w:type="dxa"/>
            <w:tcBorders>
              <w:top w:val="single" w:sz="4" w:space="0" w:color="000000"/>
              <w:left w:val="single" w:sz="4" w:space="0" w:color="000000"/>
              <w:bottom w:val="single" w:sz="4" w:space="0" w:color="000000"/>
              <w:right w:val="single" w:sz="4" w:space="0" w:color="000000"/>
            </w:tcBorders>
          </w:tcPr>
          <w:p w14:paraId="21944EB3" w14:textId="0CBC2C68"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İkincil bakır izabe ve konvertörü, ve ikincil bakır ara </w:t>
            </w:r>
            <w:r w:rsidR="005A6E54" w:rsidRPr="00D53A2B">
              <w:rPr>
                <w:sz w:val="22"/>
                <w:szCs w:val="22"/>
                <w:lang w:eastAsia="en-US"/>
              </w:rPr>
              <w:t>maddelerin</w:t>
            </w:r>
            <w:r w:rsidRPr="00D53A2B">
              <w:rPr>
                <w:sz w:val="22"/>
                <w:szCs w:val="22"/>
                <w:lang w:eastAsia="en-US"/>
              </w:rPr>
              <w:t xml:space="preserve"> işlenmesi (</w:t>
            </w:r>
            <w:r w:rsidR="005A6E54" w:rsidRPr="00D53A2B">
              <w:rPr>
                <w:sz w:val="22"/>
                <w:szCs w:val="22"/>
                <w:lang w:eastAsia="en-US"/>
              </w:rPr>
              <w:t>sülfürik asit tesisine yönlendirilenler dışındaki emisyonlar</w:t>
            </w:r>
            <w:r w:rsidRPr="00D53A2B">
              <w:rPr>
                <w:sz w:val="22"/>
                <w:szCs w:val="22"/>
                <w:lang w:eastAsia="en-US"/>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519BE43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2–4 (</w:t>
            </w:r>
            <w:r w:rsidRPr="00D53A2B">
              <w:rPr>
                <w:sz w:val="22"/>
                <w:szCs w:val="22"/>
                <w:vertAlign w:val="superscript"/>
                <w:lang w:eastAsia="en-US"/>
              </w:rPr>
              <w:t>2</w:t>
            </w:r>
            <w:r w:rsidRPr="00D53A2B">
              <w:rPr>
                <w:sz w:val="22"/>
                <w:szCs w:val="22"/>
                <w:lang w:eastAsia="en-US"/>
              </w:rPr>
              <w:t>)(</w:t>
            </w:r>
            <w:r w:rsidRPr="00D53A2B">
              <w:rPr>
                <w:sz w:val="22"/>
                <w:szCs w:val="22"/>
                <w:vertAlign w:val="superscript"/>
                <w:lang w:eastAsia="en-US"/>
              </w:rPr>
              <w:t>4</w:t>
            </w:r>
            <w:r w:rsidRPr="00D53A2B">
              <w:rPr>
                <w:sz w:val="22"/>
                <w:szCs w:val="22"/>
                <w:lang w:eastAsia="en-US"/>
              </w:rPr>
              <w:t>)</w:t>
            </w:r>
          </w:p>
        </w:tc>
      </w:tr>
      <w:tr w:rsidR="00374C56" w:rsidRPr="00D53A2B" w14:paraId="2792B0C1" w14:textId="77777777" w:rsidTr="00271877">
        <w:tc>
          <w:tcPr>
            <w:tcW w:w="1271" w:type="dxa"/>
            <w:vMerge/>
            <w:tcBorders>
              <w:left w:val="single" w:sz="4" w:space="0" w:color="000000"/>
              <w:right w:val="single" w:sz="4" w:space="0" w:color="000000"/>
            </w:tcBorders>
          </w:tcPr>
          <w:p w14:paraId="629385E5" w14:textId="77777777" w:rsidR="00374C56" w:rsidRPr="00D53A2B" w:rsidRDefault="00374C56" w:rsidP="00A202FD">
            <w:pPr>
              <w:spacing w:line="264" w:lineRule="auto"/>
              <w:ind w:left="57" w:right="57"/>
              <w:jc w:val="both"/>
              <w:rPr>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084970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 41</w:t>
            </w:r>
          </w:p>
        </w:tc>
        <w:tc>
          <w:tcPr>
            <w:tcW w:w="5245" w:type="dxa"/>
            <w:tcBorders>
              <w:top w:val="single" w:sz="4" w:space="0" w:color="000000"/>
              <w:left w:val="single" w:sz="4" w:space="0" w:color="000000"/>
              <w:bottom w:val="single" w:sz="4" w:space="0" w:color="000000"/>
              <w:right w:val="single" w:sz="4" w:space="0" w:color="000000"/>
            </w:tcBorders>
          </w:tcPr>
          <w:p w14:paraId="09A1E20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İkincil bakır bekletme fırını</w:t>
            </w:r>
          </w:p>
        </w:tc>
        <w:tc>
          <w:tcPr>
            <w:tcW w:w="1276" w:type="dxa"/>
            <w:tcBorders>
              <w:top w:val="single" w:sz="4" w:space="0" w:color="000000"/>
              <w:left w:val="single" w:sz="4" w:space="0" w:color="000000"/>
              <w:bottom w:val="single" w:sz="4" w:space="0" w:color="000000"/>
              <w:right w:val="single" w:sz="4" w:space="0" w:color="000000"/>
            </w:tcBorders>
            <w:vAlign w:val="center"/>
          </w:tcPr>
          <w:p w14:paraId="2268BFC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5 (</w:t>
            </w:r>
            <w:r w:rsidRPr="00D53A2B">
              <w:rPr>
                <w:sz w:val="22"/>
                <w:szCs w:val="22"/>
                <w:vertAlign w:val="superscript"/>
                <w:lang w:eastAsia="en-US"/>
              </w:rPr>
              <w:t>1</w:t>
            </w:r>
            <w:r w:rsidRPr="00D53A2B">
              <w:rPr>
                <w:sz w:val="22"/>
                <w:szCs w:val="22"/>
                <w:lang w:eastAsia="en-US"/>
              </w:rPr>
              <w:t>)</w:t>
            </w:r>
          </w:p>
        </w:tc>
      </w:tr>
      <w:tr w:rsidR="00374C56" w:rsidRPr="00D53A2B" w14:paraId="336EACAD" w14:textId="77777777" w:rsidTr="00271877">
        <w:tc>
          <w:tcPr>
            <w:tcW w:w="1271" w:type="dxa"/>
            <w:vMerge/>
            <w:tcBorders>
              <w:left w:val="single" w:sz="4" w:space="0" w:color="000000"/>
              <w:right w:val="single" w:sz="4" w:space="0" w:color="000000"/>
            </w:tcBorders>
          </w:tcPr>
          <w:p w14:paraId="4193A611" w14:textId="77777777" w:rsidR="00374C56" w:rsidRPr="00D53A2B" w:rsidRDefault="00374C56" w:rsidP="00A202FD">
            <w:pPr>
              <w:spacing w:line="264" w:lineRule="auto"/>
              <w:ind w:left="57" w:right="57"/>
              <w:jc w:val="both"/>
              <w:rPr>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856BEB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 42</w:t>
            </w:r>
          </w:p>
        </w:tc>
        <w:tc>
          <w:tcPr>
            <w:tcW w:w="5245" w:type="dxa"/>
            <w:tcBorders>
              <w:top w:val="single" w:sz="4" w:space="0" w:color="000000"/>
              <w:left w:val="single" w:sz="4" w:space="0" w:color="000000"/>
              <w:bottom w:val="single" w:sz="4" w:space="0" w:color="000000"/>
              <w:right w:val="single" w:sz="4" w:space="0" w:color="000000"/>
            </w:tcBorders>
          </w:tcPr>
          <w:p w14:paraId="12DFDCA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Bakırca zengin cürufun fırın işlemleri</w:t>
            </w:r>
          </w:p>
        </w:tc>
        <w:tc>
          <w:tcPr>
            <w:tcW w:w="1276" w:type="dxa"/>
            <w:tcBorders>
              <w:top w:val="single" w:sz="4" w:space="0" w:color="000000"/>
              <w:left w:val="single" w:sz="4" w:space="0" w:color="000000"/>
              <w:bottom w:val="single" w:sz="4" w:space="0" w:color="000000"/>
              <w:right w:val="single" w:sz="4" w:space="0" w:color="000000"/>
            </w:tcBorders>
            <w:vAlign w:val="center"/>
          </w:tcPr>
          <w:p w14:paraId="311FFE6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 (</w:t>
            </w:r>
            <w:r w:rsidRPr="00D53A2B">
              <w:rPr>
                <w:sz w:val="22"/>
                <w:szCs w:val="22"/>
                <w:vertAlign w:val="superscript"/>
                <w:lang w:eastAsia="en-US"/>
              </w:rPr>
              <w:t>1</w:t>
            </w:r>
            <w:r w:rsidRPr="00D53A2B">
              <w:rPr>
                <w:sz w:val="22"/>
                <w:szCs w:val="22"/>
                <w:lang w:eastAsia="en-US"/>
              </w:rPr>
              <w:t>)(</w:t>
            </w:r>
            <w:r w:rsidRPr="00D53A2B">
              <w:rPr>
                <w:sz w:val="22"/>
                <w:szCs w:val="22"/>
                <w:vertAlign w:val="superscript"/>
                <w:lang w:eastAsia="en-US"/>
              </w:rPr>
              <w:t>6</w:t>
            </w:r>
            <w:r w:rsidRPr="00D53A2B">
              <w:rPr>
                <w:sz w:val="22"/>
                <w:szCs w:val="22"/>
                <w:lang w:eastAsia="en-US"/>
              </w:rPr>
              <w:t>)</w:t>
            </w:r>
          </w:p>
        </w:tc>
      </w:tr>
      <w:tr w:rsidR="00374C56" w:rsidRPr="00D53A2B" w14:paraId="51BDB807" w14:textId="77777777" w:rsidTr="00271877">
        <w:tc>
          <w:tcPr>
            <w:tcW w:w="1271" w:type="dxa"/>
            <w:vMerge/>
            <w:tcBorders>
              <w:left w:val="single" w:sz="4" w:space="0" w:color="000000"/>
              <w:right w:val="single" w:sz="4" w:space="0" w:color="000000"/>
            </w:tcBorders>
          </w:tcPr>
          <w:p w14:paraId="37E32FBB" w14:textId="77777777" w:rsidR="00374C56" w:rsidRPr="00D53A2B" w:rsidRDefault="00374C56" w:rsidP="00A202FD">
            <w:pPr>
              <w:spacing w:line="264" w:lineRule="auto"/>
              <w:ind w:left="57" w:right="57"/>
              <w:jc w:val="both"/>
              <w:rPr>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1AAEC5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 43</w:t>
            </w:r>
          </w:p>
        </w:tc>
        <w:tc>
          <w:tcPr>
            <w:tcW w:w="5245" w:type="dxa"/>
            <w:tcBorders>
              <w:top w:val="single" w:sz="4" w:space="0" w:color="000000"/>
              <w:left w:val="single" w:sz="4" w:space="0" w:color="000000"/>
              <w:bottom w:val="single" w:sz="4" w:space="0" w:color="000000"/>
              <w:right w:val="single" w:sz="4" w:space="0" w:color="000000"/>
            </w:tcBorders>
          </w:tcPr>
          <w:p w14:paraId="353932B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Anot fırını (birincil ve ikincil bakır üretiminde)</w:t>
            </w:r>
          </w:p>
        </w:tc>
        <w:tc>
          <w:tcPr>
            <w:tcW w:w="1276" w:type="dxa"/>
            <w:tcBorders>
              <w:top w:val="single" w:sz="4" w:space="0" w:color="000000"/>
              <w:left w:val="single" w:sz="4" w:space="0" w:color="000000"/>
              <w:bottom w:val="single" w:sz="4" w:space="0" w:color="000000"/>
              <w:right w:val="single" w:sz="4" w:space="0" w:color="000000"/>
            </w:tcBorders>
            <w:vAlign w:val="center"/>
          </w:tcPr>
          <w:p w14:paraId="6E5BC5B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 (</w:t>
            </w:r>
            <w:r w:rsidRPr="00D53A2B">
              <w:rPr>
                <w:sz w:val="22"/>
                <w:szCs w:val="22"/>
                <w:vertAlign w:val="superscript"/>
                <w:lang w:eastAsia="en-US"/>
              </w:rPr>
              <w:t>2</w:t>
            </w:r>
            <w:r w:rsidRPr="00D53A2B">
              <w:rPr>
                <w:sz w:val="22"/>
                <w:szCs w:val="22"/>
                <w:lang w:eastAsia="en-US"/>
              </w:rPr>
              <w:t>)(</w:t>
            </w:r>
            <w:r w:rsidRPr="00D53A2B">
              <w:rPr>
                <w:sz w:val="22"/>
                <w:szCs w:val="22"/>
                <w:vertAlign w:val="superscript"/>
                <w:lang w:eastAsia="en-US"/>
              </w:rPr>
              <w:t>4</w:t>
            </w:r>
            <w:r w:rsidRPr="00D53A2B">
              <w:rPr>
                <w:sz w:val="22"/>
                <w:szCs w:val="22"/>
                <w:lang w:eastAsia="en-US"/>
              </w:rPr>
              <w:t>)</w:t>
            </w:r>
          </w:p>
        </w:tc>
      </w:tr>
      <w:tr w:rsidR="00374C56" w:rsidRPr="00D53A2B" w14:paraId="72D3D2DA" w14:textId="77777777" w:rsidTr="00271877">
        <w:tc>
          <w:tcPr>
            <w:tcW w:w="1271" w:type="dxa"/>
            <w:vMerge/>
            <w:tcBorders>
              <w:left w:val="single" w:sz="4" w:space="0" w:color="000000"/>
              <w:right w:val="single" w:sz="4" w:space="0" w:color="000000"/>
            </w:tcBorders>
          </w:tcPr>
          <w:p w14:paraId="7649D2C2" w14:textId="77777777" w:rsidR="00374C56" w:rsidRPr="00D53A2B" w:rsidRDefault="00374C56" w:rsidP="00A202FD">
            <w:pPr>
              <w:spacing w:line="264" w:lineRule="auto"/>
              <w:ind w:left="57" w:right="57"/>
              <w:jc w:val="both"/>
              <w:rPr>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927641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 44</w:t>
            </w:r>
          </w:p>
        </w:tc>
        <w:tc>
          <w:tcPr>
            <w:tcW w:w="5245" w:type="dxa"/>
            <w:tcBorders>
              <w:top w:val="single" w:sz="4" w:space="0" w:color="000000"/>
              <w:left w:val="single" w:sz="4" w:space="0" w:color="000000"/>
              <w:bottom w:val="single" w:sz="4" w:space="0" w:color="000000"/>
              <w:right w:val="single" w:sz="4" w:space="0" w:color="000000"/>
            </w:tcBorders>
          </w:tcPr>
          <w:p w14:paraId="4737E43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Anot döküm (birincil ve ikincil bakır üretiminde)</w:t>
            </w:r>
          </w:p>
        </w:tc>
        <w:tc>
          <w:tcPr>
            <w:tcW w:w="1276" w:type="dxa"/>
            <w:tcBorders>
              <w:top w:val="single" w:sz="4" w:space="0" w:color="000000"/>
              <w:left w:val="single" w:sz="4" w:space="0" w:color="000000"/>
              <w:bottom w:val="single" w:sz="4" w:space="0" w:color="000000"/>
              <w:right w:val="single" w:sz="4" w:space="0" w:color="000000"/>
            </w:tcBorders>
            <w:vAlign w:val="center"/>
          </w:tcPr>
          <w:p w14:paraId="463B7A68" w14:textId="00A0E58A" w:rsidR="00374C56" w:rsidRPr="00D53A2B" w:rsidRDefault="00374C56" w:rsidP="00A202FD">
            <w:pPr>
              <w:spacing w:line="264" w:lineRule="auto"/>
              <w:ind w:left="57" w:right="57"/>
              <w:jc w:val="both"/>
              <w:rPr>
                <w:sz w:val="22"/>
                <w:szCs w:val="22"/>
                <w:lang w:eastAsia="en-US"/>
              </w:rPr>
            </w:pPr>
            <w:r w:rsidRPr="00D53A2B">
              <w:rPr>
                <w:sz w:val="22"/>
                <w:szCs w:val="22"/>
                <w:lang w:eastAsia="en-US"/>
              </w:rPr>
              <w:t>≤5–15 (</w:t>
            </w:r>
            <w:r w:rsidRPr="00D53A2B">
              <w:rPr>
                <w:sz w:val="22"/>
                <w:szCs w:val="22"/>
                <w:vertAlign w:val="superscript"/>
                <w:lang w:eastAsia="en-US"/>
              </w:rPr>
              <w:t>2</w:t>
            </w:r>
            <w:r w:rsidRPr="00D53A2B">
              <w:rPr>
                <w:sz w:val="22"/>
                <w:szCs w:val="22"/>
                <w:lang w:eastAsia="en-US"/>
              </w:rPr>
              <w:t>)(</w:t>
            </w:r>
            <w:r w:rsidRPr="00D53A2B">
              <w:rPr>
                <w:sz w:val="22"/>
                <w:szCs w:val="22"/>
                <w:vertAlign w:val="superscript"/>
                <w:lang w:eastAsia="en-US"/>
              </w:rPr>
              <w:t>7</w:t>
            </w:r>
            <w:r w:rsidRPr="00D53A2B">
              <w:rPr>
                <w:sz w:val="22"/>
                <w:szCs w:val="22"/>
                <w:lang w:eastAsia="en-US"/>
              </w:rPr>
              <w:t>)</w:t>
            </w:r>
          </w:p>
        </w:tc>
      </w:tr>
      <w:tr w:rsidR="00374C56" w:rsidRPr="00D53A2B" w14:paraId="328ED56D" w14:textId="77777777" w:rsidTr="00271877">
        <w:tc>
          <w:tcPr>
            <w:tcW w:w="1271" w:type="dxa"/>
            <w:vMerge/>
            <w:tcBorders>
              <w:left w:val="single" w:sz="4" w:space="0" w:color="000000"/>
              <w:bottom w:val="single" w:sz="4" w:space="0" w:color="000000"/>
              <w:right w:val="single" w:sz="4" w:space="0" w:color="000000"/>
            </w:tcBorders>
          </w:tcPr>
          <w:p w14:paraId="434CE4B0" w14:textId="77777777" w:rsidR="00374C56" w:rsidRPr="00D53A2B" w:rsidRDefault="00374C56" w:rsidP="00A202FD">
            <w:pPr>
              <w:spacing w:line="264" w:lineRule="auto"/>
              <w:ind w:left="57" w:right="57"/>
              <w:jc w:val="both"/>
              <w:rPr>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7EE189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 45</w:t>
            </w:r>
          </w:p>
        </w:tc>
        <w:tc>
          <w:tcPr>
            <w:tcW w:w="5245" w:type="dxa"/>
            <w:tcBorders>
              <w:top w:val="single" w:sz="4" w:space="0" w:color="000000"/>
              <w:left w:val="single" w:sz="4" w:space="0" w:color="000000"/>
              <w:bottom w:val="single" w:sz="4" w:space="0" w:color="000000"/>
              <w:right w:val="single" w:sz="4" w:space="0" w:color="000000"/>
            </w:tcBorders>
          </w:tcPr>
          <w:p w14:paraId="04314A5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Bakır eritme fırını</w:t>
            </w:r>
          </w:p>
        </w:tc>
        <w:tc>
          <w:tcPr>
            <w:tcW w:w="1276" w:type="dxa"/>
            <w:tcBorders>
              <w:top w:val="single" w:sz="4" w:space="0" w:color="000000"/>
              <w:left w:val="single" w:sz="4" w:space="0" w:color="000000"/>
              <w:bottom w:val="single" w:sz="4" w:space="0" w:color="000000"/>
              <w:right w:val="single" w:sz="4" w:space="0" w:color="000000"/>
            </w:tcBorders>
            <w:vAlign w:val="center"/>
          </w:tcPr>
          <w:p w14:paraId="71FDD98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 (</w:t>
            </w:r>
            <w:r w:rsidRPr="00D53A2B">
              <w:rPr>
                <w:sz w:val="22"/>
                <w:szCs w:val="22"/>
                <w:vertAlign w:val="superscript"/>
                <w:lang w:eastAsia="en-US"/>
              </w:rPr>
              <w:t>2</w:t>
            </w:r>
            <w:r w:rsidRPr="00D53A2B">
              <w:rPr>
                <w:sz w:val="22"/>
                <w:szCs w:val="22"/>
                <w:lang w:eastAsia="en-US"/>
              </w:rPr>
              <w:t>)(</w:t>
            </w:r>
            <w:r w:rsidRPr="00D53A2B">
              <w:rPr>
                <w:sz w:val="22"/>
                <w:szCs w:val="22"/>
                <w:vertAlign w:val="superscript"/>
                <w:lang w:eastAsia="en-US"/>
              </w:rPr>
              <w:t>8</w:t>
            </w:r>
            <w:r w:rsidRPr="00D53A2B">
              <w:rPr>
                <w:sz w:val="22"/>
                <w:szCs w:val="22"/>
                <w:lang w:eastAsia="en-US"/>
              </w:rPr>
              <w:t>)</w:t>
            </w:r>
          </w:p>
        </w:tc>
      </w:tr>
      <w:tr w:rsidR="00374C56" w:rsidRPr="00D53A2B" w14:paraId="744F75D5" w14:textId="77777777" w:rsidTr="00271877">
        <w:tc>
          <w:tcPr>
            <w:tcW w:w="8784" w:type="dxa"/>
            <w:gridSpan w:val="4"/>
            <w:tcBorders>
              <w:top w:val="single" w:sz="4" w:space="0" w:color="000000"/>
              <w:left w:val="single" w:sz="4" w:space="0" w:color="000000"/>
              <w:bottom w:val="single" w:sz="4" w:space="0" w:color="000000"/>
              <w:right w:val="single" w:sz="4" w:space="0" w:color="000000"/>
            </w:tcBorders>
          </w:tcPr>
          <w:p w14:paraId="2C9E983B" w14:textId="78969FF4" w:rsidR="00374C56" w:rsidRPr="00D53A2B" w:rsidRDefault="00374C56" w:rsidP="00A202FD">
            <w:pPr>
              <w:spacing w:before="40" w:after="40" w:line="264" w:lineRule="auto"/>
              <w:ind w:left="57" w:right="57"/>
              <w:jc w:val="both"/>
              <w:rPr>
                <w:sz w:val="20"/>
                <w:szCs w:val="20"/>
                <w:lang w:eastAsia="en-US"/>
              </w:rPr>
            </w:pPr>
            <w:r w:rsidRPr="00D53A2B">
              <w:rPr>
                <w:sz w:val="20"/>
                <w:szCs w:val="20"/>
                <w:lang w:eastAsia="en-US"/>
              </w:rPr>
              <w:t>(</w:t>
            </w:r>
            <w:r w:rsidRPr="00D53A2B">
              <w:rPr>
                <w:sz w:val="20"/>
                <w:szCs w:val="20"/>
                <w:vertAlign w:val="superscript"/>
                <w:lang w:eastAsia="en-US"/>
              </w:rPr>
              <w:t>1</w:t>
            </w:r>
            <w:r w:rsidRPr="00D53A2B">
              <w:rPr>
                <w:sz w:val="20"/>
                <w:szCs w:val="20"/>
                <w:lang w:eastAsia="en-US"/>
              </w:rPr>
              <w:t xml:space="preserve">) </w:t>
            </w:r>
            <w:r w:rsidR="007847FF">
              <w:rPr>
                <w:rStyle w:val="Gvdemetni3a"/>
              </w:rPr>
              <w:t>numune alma</w:t>
            </w:r>
            <w:r w:rsidR="007847FF" w:rsidRPr="00D53A2B">
              <w:rPr>
                <w:rStyle w:val="Gvdemetni3a"/>
              </w:rPr>
              <w:t xml:space="preserve"> </w:t>
            </w:r>
            <w:r w:rsidRPr="00D53A2B">
              <w:rPr>
                <w:sz w:val="20"/>
                <w:szCs w:val="20"/>
                <w:lang w:eastAsia="en-US"/>
              </w:rPr>
              <w:t>periyodu boyunca ortalama.</w:t>
            </w:r>
          </w:p>
          <w:p w14:paraId="5B42DCE8" w14:textId="5E23FAF5" w:rsidR="00374C56" w:rsidRPr="00D53A2B" w:rsidRDefault="00374C56" w:rsidP="00A202FD">
            <w:pPr>
              <w:spacing w:before="40" w:after="40" w:line="264" w:lineRule="auto"/>
              <w:ind w:left="57" w:right="57"/>
              <w:jc w:val="both"/>
              <w:rPr>
                <w:sz w:val="20"/>
                <w:szCs w:val="20"/>
                <w:lang w:eastAsia="en-US"/>
              </w:rPr>
            </w:pPr>
            <w:r w:rsidRPr="00D53A2B">
              <w:rPr>
                <w:sz w:val="20"/>
                <w:szCs w:val="20"/>
                <w:lang w:eastAsia="en-US"/>
              </w:rPr>
              <w:t>(</w:t>
            </w:r>
            <w:r w:rsidRPr="00D53A2B">
              <w:rPr>
                <w:sz w:val="20"/>
                <w:szCs w:val="20"/>
                <w:vertAlign w:val="superscript"/>
                <w:lang w:eastAsia="en-US"/>
              </w:rPr>
              <w:t>2</w:t>
            </w:r>
            <w:r w:rsidRPr="00D53A2B">
              <w:rPr>
                <w:sz w:val="20"/>
                <w:szCs w:val="20"/>
                <w:lang w:eastAsia="en-US"/>
              </w:rPr>
              <w:t>) Günlük ortalama ya da örnekleme periyodu boyunca ortalama.</w:t>
            </w:r>
          </w:p>
          <w:p w14:paraId="2F21A971" w14:textId="595113C4" w:rsidR="00374C56" w:rsidRPr="00D53A2B" w:rsidRDefault="00374C56" w:rsidP="00A202FD">
            <w:pPr>
              <w:spacing w:before="40" w:after="40" w:line="264" w:lineRule="auto"/>
              <w:ind w:left="57" w:right="57"/>
              <w:jc w:val="both"/>
              <w:rPr>
                <w:sz w:val="20"/>
                <w:szCs w:val="20"/>
                <w:lang w:eastAsia="en-US"/>
              </w:rPr>
            </w:pPr>
            <w:r w:rsidRPr="00D53A2B">
              <w:rPr>
                <w:sz w:val="20"/>
                <w:szCs w:val="20"/>
                <w:lang w:eastAsia="en-US"/>
              </w:rPr>
              <w:t>(</w:t>
            </w:r>
            <w:r w:rsidRPr="00D53A2B">
              <w:rPr>
                <w:sz w:val="20"/>
                <w:szCs w:val="20"/>
                <w:vertAlign w:val="superscript"/>
                <w:lang w:eastAsia="en-US"/>
              </w:rPr>
              <w:t>3</w:t>
            </w:r>
            <w:r w:rsidRPr="00D53A2B">
              <w:rPr>
                <w:sz w:val="20"/>
                <w:szCs w:val="20"/>
                <w:lang w:eastAsia="en-US"/>
              </w:rPr>
              <w:t>) Günlük ortalama.</w:t>
            </w:r>
          </w:p>
          <w:p w14:paraId="396E22E0" w14:textId="10B5C566" w:rsidR="00374C56" w:rsidRPr="00D53A2B" w:rsidRDefault="00374C56" w:rsidP="00A202FD">
            <w:pPr>
              <w:spacing w:before="40" w:after="40" w:line="264" w:lineRule="auto"/>
              <w:ind w:left="57" w:right="57"/>
              <w:jc w:val="both"/>
              <w:rPr>
                <w:sz w:val="20"/>
                <w:szCs w:val="20"/>
                <w:lang w:eastAsia="en-US"/>
              </w:rPr>
            </w:pPr>
            <w:r w:rsidRPr="00D53A2B">
              <w:rPr>
                <w:sz w:val="20"/>
                <w:szCs w:val="20"/>
                <w:lang w:eastAsia="en-US"/>
              </w:rPr>
              <w:t>(</w:t>
            </w:r>
            <w:r w:rsidRPr="00D53A2B">
              <w:rPr>
                <w:sz w:val="20"/>
                <w:szCs w:val="20"/>
                <w:vertAlign w:val="superscript"/>
                <w:lang w:eastAsia="en-US"/>
              </w:rPr>
              <w:t>4</w:t>
            </w:r>
            <w:r w:rsidRPr="00D53A2B">
              <w:rPr>
                <w:sz w:val="20"/>
                <w:szCs w:val="20"/>
                <w:lang w:eastAsia="en-US"/>
              </w:rPr>
              <w:t xml:space="preserve">) Ağır metal emisyonları aşağıdaki </w:t>
            </w:r>
            <w:r w:rsidR="005A6E54" w:rsidRPr="00D53A2B">
              <w:rPr>
                <w:sz w:val="20"/>
                <w:szCs w:val="20"/>
                <w:lang w:eastAsia="en-US"/>
              </w:rPr>
              <w:t>seviyelerin</w:t>
            </w:r>
            <w:r w:rsidRPr="00D53A2B">
              <w:rPr>
                <w:sz w:val="20"/>
                <w:szCs w:val="20"/>
                <w:lang w:eastAsia="en-US"/>
              </w:rPr>
              <w:t xml:space="preserve"> üzerinde olduğunda, toz emisyonların aralığın alt sınırına doğru olması beklen</w:t>
            </w:r>
            <w:r w:rsidR="005A6E54" w:rsidRPr="00D53A2B">
              <w:rPr>
                <w:sz w:val="20"/>
                <w:szCs w:val="20"/>
                <w:lang w:eastAsia="en-US"/>
              </w:rPr>
              <w:t>mekted</w:t>
            </w:r>
            <w:r w:rsidRPr="00D53A2B">
              <w:rPr>
                <w:sz w:val="20"/>
                <w:szCs w:val="20"/>
                <w:lang w:eastAsia="en-US"/>
              </w:rPr>
              <w:t>ir: kurşun için 1 mg/Nm</w:t>
            </w:r>
            <w:r w:rsidRPr="00D53A2B">
              <w:rPr>
                <w:sz w:val="20"/>
                <w:szCs w:val="20"/>
                <w:vertAlign w:val="superscript"/>
                <w:lang w:eastAsia="en-US"/>
              </w:rPr>
              <w:t>3</w:t>
            </w:r>
            <w:r w:rsidRPr="00D53A2B">
              <w:rPr>
                <w:sz w:val="20"/>
                <w:szCs w:val="20"/>
                <w:lang w:eastAsia="en-US"/>
              </w:rPr>
              <w:t>, bakır için 1 mg/Nm</w:t>
            </w:r>
            <w:r w:rsidRPr="00D53A2B">
              <w:rPr>
                <w:sz w:val="20"/>
                <w:szCs w:val="20"/>
                <w:vertAlign w:val="superscript"/>
                <w:lang w:eastAsia="en-US"/>
              </w:rPr>
              <w:t>3</w:t>
            </w:r>
            <w:r w:rsidRPr="00D53A2B">
              <w:rPr>
                <w:sz w:val="20"/>
                <w:szCs w:val="20"/>
                <w:lang w:eastAsia="en-US"/>
              </w:rPr>
              <w:t>, arsenik için 0,05 mg/Nm</w:t>
            </w:r>
            <w:r w:rsidRPr="00D53A2B">
              <w:rPr>
                <w:sz w:val="20"/>
                <w:szCs w:val="20"/>
                <w:vertAlign w:val="superscript"/>
                <w:lang w:eastAsia="en-US"/>
              </w:rPr>
              <w:t>3</w:t>
            </w:r>
            <w:r w:rsidRPr="00D53A2B">
              <w:rPr>
                <w:sz w:val="20"/>
                <w:szCs w:val="20"/>
                <w:lang w:eastAsia="en-US"/>
              </w:rPr>
              <w:t>, kadmiyum için 0,05 mg/Nm</w:t>
            </w:r>
            <w:r w:rsidRPr="00D53A2B">
              <w:rPr>
                <w:sz w:val="20"/>
                <w:szCs w:val="20"/>
                <w:vertAlign w:val="superscript"/>
                <w:lang w:eastAsia="en-US"/>
              </w:rPr>
              <w:t>3</w:t>
            </w:r>
            <w:r w:rsidRPr="00D53A2B">
              <w:rPr>
                <w:sz w:val="20"/>
                <w:szCs w:val="20"/>
                <w:lang w:eastAsia="en-US"/>
              </w:rPr>
              <w:t>.</w:t>
            </w:r>
          </w:p>
          <w:p w14:paraId="513CC883" w14:textId="11887A36" w:rsidR="00374C56" w:rsidRPr="00D53A2B" w:rsidRDefault="00374C56" w:rsidP="00A202FD">
            <w:pPr>
              <w:spacing w:before="40" w:after="40" w:line="264" w:lineRule="auto"/>
              <w:ind w:left="57" w:right="57"/>
              <w:jc w:val="both"/>
              <w:rPr>
                <w:sz w:val="20"/>
                <w:szCs w:val="20"/>
                <w:lang w:eastAsia="en-US"/>
              </w:rPr>
            </w:pPr>
            <w:r w:rsidRPr="00D53A2B">
              <w:rPr>
                <w:sz w:val="20"/>
                <w:szCs w:val="20"/>
                <w:lang w:eastAsia="en-US"/>
              </w:rPr>
              <w:t>(</w:t>
            </w:r>
            <w:r w:rsidRPr="00D53A2B">
              <w:rPr>
                <w:sz w:val="20"/>
                <w:szCs w:val="20"/>
                <w:vertAlign w:val="superscript"/>
                <w:lang w:eastAsia="en-US"/>
              </w:rPr>
              <w:t>5</w:t>
            </w:r>
            <w:r w:rsidRPr="00D53A2B">
              <w:rPr>
                <w:sz w:val="20"/>
                <w:szCs w:val="20"/>
                <w:lang w:eastAsia="en-US"/>
              </w:rPr>
              <w:t>) Kullanılan konsantreler yüksek bir organik karbon içeriğine (örneğin, ağırlıkça yaklaşık% 10) sahip olduğunda, 10 mg/Nm</w:t>
            </w:r>
            <w:r w:rsidRPr="00D53A2B">
              <w:rPr>
                <w:sz w:val="20"/>
                <w:szCs w:val="20"/>
                <w:vertAlign w:val="superscript"/>
                <w:lang w:eastAsia="en-US"/>
              </w:rPr>
              <w:t>3</w:t>
            </w:r>
            <w:r w:rsidR="00E56504" w:rsidRPr="00D53A2B">
              <w:rPr>
                <w:sz w:val="20"/>
                <w:szCs w:val="20"/>
                <w:lang w:eastAsia="en-US"/>
              </w:rPr>
              <w:t>’</w:t>
            </w:r>
            <w:r w:rsidRPr="00D53A2B">
              <w:rPr>
                <w:sz w:val="20"/>
                <w:szCs w:val="20"/>
                <w:lang w:eastAsia="en-US"/>
              </w:rPr>
              <w:t>e kadar emisyon derişimleri beklenebilir.</w:t>
            </w:r>
          </w:p>
          <w:p w14:paraId="23E51AF7" w14:textId="1530656D" w:rsidR="00374C56" w:rsidRPr="00D53A2B" w:rsidRDefault="00374C56" w:rsidP="00A202FD">
            <w:pPr>
              <w:spacing w:before="40" w:after="40" w:line="264" w:lineRule="auto"/>
              <w:ind w:left="57" w:right="57"/>
              <w:jc w:val="both"/>
              <w:rPr>
                <w:sz w:val="20"/>
                <w:szCs w:val="20"/>
                <w:lang w:eastAsia="en-US"/>
              </w:rPr>
            </w:pPr>
            <w:r w:rsidRPr="00D53A2B">
              <w:rPr>
                <w:sz w:val="20"/>
                <w:szCs w:val="20"/>
                <w:lang w:eastAsia="en-US"/>
              </w:rPr>
              <w:t>(</w:t>
            </w:r>
            <w:r w:rsidRPr="00D53A2B">
              <w:rPr>
                <w:sz w:val="20"/>
                <w:szCs w:val="20"/>
                <w:vertAlign w:val="superscript"/>
                <w:lang w:eastAsia="en-US"/>
              </w:rPr>
              <w:t>6</w:t>
            </w:r>
            <w:r w:rsidRPr="00D53A2B">
              <w:rPr>
                <w:sz w:val="20"/>
                <w:szCs w:val="20"/>
                <w:lang w:eastAsia="en-US"/>
              </w:rPr>
              <w:t>) Kurşun emisyonları 1 mg/Nm</w:t>
            </w:r>
            <w:r w:rsidRPr="00D53A2B">
              <w:rPr>
                <w:sz w:val="20"/>
                <w:szCs w:val="20"/>
                <w:vertAlign w:val="superscript"/>
                <w:lang w:eastAsia="en-US"/>
              </w:rPr>
              <w:t>3</w:t>
            </w:r>
            <w:r w:rsidR="00E56504" w:rsidRPr="00D53A2B">
              <w:rPr>
                <w:sz w:val="20"/>
                <w:szCs w:val="20"/>
                <w:lang w:eastAsia="en-US"/>
              </w:rPr>
              <w:t>’</w:t>
            </w:r>
            <w:r w:rsidRPr="00D53A2B">
              <w:rPr>
                <w:sz w:val="20"/>
                <w:szCs w:val="20"/>
                <w:lang w:eastAsia="en-US"/>
              </w:rPr>
              <w:t>ün üzerinde olduğu zaman toz emisyonlarının, aralığın alt sınırına doğru olması beklenir.</w:t>
            </w:r>
          </w:p>
          <w:p w14:paraId="27483340" w14:textId="21C2BA0B" w:rsidR="00374C56" w:rsidRPr="00D53A2B" w:rsidRDefault="00374C56" w:rsidP="00A202FD">
            <w:pPr>
              <w:spacing w:before="40" w:after="40" w:line="264" w:lineRule="auto"/>
              <w:ind w:left="57" w:right="57"/>
              <w:jc w:val="both"/>
              <w:rPr>
                <w:sz w:val="20"/>
                <w:szCs w:val="20"/>
                <w:lang w:eastAsia="en-US"/>
              </w:rPr>
            </w:pPr>
            <w:r w:rsidRPr="00D53A2B">
              <w:rPr>
                <w:sz w:val="20"/>
                <w:szCs w:val="20"/>
                <w:lang w:eastAsia="en-US"/>
              </w:rPr>
              <w:t>(</w:t>
            </w:r>
            <w:r w:rsidRPr="00D53A2B">
              <w:rPr>
                <w:sz w:val="20"/>
                <w:szCs w:val="20"/>
                <w:vertAlign w:val="superscript"/>
                <w:lang w:eastAsia="en-US"/>
              </w:rPr>
              <w:t>7</w:t>
            </w:r>
            <w:r w:rsidRPr="00D53A2B">
              <w:rPr>
                <w:sz w:val="20"/>
                <w:szCs w:val="20"/>
                <w:lang w:eastAsia="en-US"/>
              </w:rPr>
              <w:t>) Aralığın alt sınırı bir torba filtrenin kullanılması ile ilişkilidir.</w:t>
            </w:r>
          </w:p>
          <w:p w14:paraId="17E2D699" w14:textId="7EBB62F7" w:rsidR="00374C56" w:rsidRPr="00D53A2B" w:rsidRDefault="00374C56" w:rsidP="00A202FD">
            <w:pPr>
              <w:spacing w:before="40" w:after="40" w:line="264" w:lineRule="auto"/>
              <w:ind w:left="57" w:right="57"/>
              <w:jc w:val="both"/>
              <w:rPr>
                <w:sz w:val="22"/>
                <w:szCs w:val="22"/>
                <w:lang w:eastAsia="en-US"/>
              </w:rPr>
            </w:pPr>
            <w:r w:rsidRPr="00D53A2B">
              <w:rPr>
                <w:sz w:val="22"/>
                <w:szCs w:val="22"/>
                <w:lang w:eastAsia="en-US"/>
              </w:rPr>
              <w:t>(</w:t>
            </w:r>
            <w:r w:rsidRPr="00D53A2B">
              <w:rPr>
                <w:sz w:val="20"/>
                <w:szCs w:val="20"/>
                <w:vertAlign w:val="superscript"/>
                <w:lang w:eastAsia="en-US"/>
              </w:rPr>
              <w:t>8</w:t>
            </w:r>
            <w:r w:rsidRPr="00D53A2B">
              <w:rPr>
                <w:sz w:val="20"/>
                <w:szCs w:val="20"/>
                <w:lang w:eastAsia="en-US"/>
              </w:rPr>
              <w:t>) Bakır emisyonları 1 mg/Nm</w:t>
            </w:r>
            <w:r w:rsidRPr="00D53A2B">
              <w:rPr>
                <w:sz w:val="20"/>
                <w:szCs w:val="20"/>
                <w:vertAlign w:val="superscript"/>
                <w:lang w:eastAsia="en-US"/>
              </w:rPr>
              <w:t>3</w:t>
            </w:r>
            <w:r w:rsidR="00E56504" w:rsidRPr="00D53A2B">
              <w:rPr>
                <w:sz w:val="20"/>
                <w:szCs w:val="20"/>
                <w:lang w:eastAsia="en-US"/>
              </w:rPr>
              <w:t>’</w:t>
            </w:r>
            <w:r w:rsidRPr="00D53A2B">
              <w:rPr>
                <w:sz w:val="20"/>
                <w:szCs w:val="20"/>
                <w:lang w:eastAsia="en-US"/>
              </w:rPr>
              <w:t>ün üzerinde olduğu zaman toz emisyonlarının verilen aralığın alt sınırına doğru olması beklenir.</w:t>
            </w:r>
          </w:p>
        </w:tc>
      </w:tr>
    </w:tbl>
    <w:p w14:paraId="27686CCF" w14:textId="77777777" w:rsidR="00374C56" w:rsidRPr="00D53A2B" w:rsidRDefault="00374C56" w:rsidP="00A202FD">
      <w:pPr>
        <w:jc w:val="both"/>
        <w:rPr>
          <w:lang w:eastAsia="en-US"/>
        </w:rPr>
      </w:pPr>
    </w:p>
    <w:p w14:paraId="6C23018F" w14:textId="5DA9BE31" w:rsidR="00374C56" w:rsidRPr="00D53A2B" w:rsidRDefault="00374C56" w:rsidP="00A202FD">
      <w:pPr>
        <w:spacing w:after="240"/>
        <w:jc w:val="both"/>
        <w:rPr>
          <w:lang w:eastAsia="en-US"/>
        </w:rPr>
      </w:pPr>
      <w:r w:rsidRPr="00D53A2B">
        <w:rPr>
          <w:lang w:eastAsia="en-US"/>
        </w:rPr>
        <w:t>İzleme ile ilgili bilgiler MET 10</w:t>
      </w:r>
      <w:r w:rsidR="00E56504" w:rsidRPr="00D53A2B">
        <w:rPr>
          <w:lang w:eastAsia="en-US"/>
        </w:rPr>
        <w:t>’</w:t>
      </w:r>
      <w:r w:rsidRPr="00D53A2B">
        <w:rPr>
          <w:lang w:eastAsia="en-US"/>
        </w:rPr>
        <w:t>dadır.</w:t>
      </w:r>
    </w:p>
    <w:p w14:paraId="15FFCC47" w14:textId="3D04B0F8" w:rsidR="00374C56" w:rsidRPr="00D53A2B" w:rsidRDefault="005A6E54"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2.3.3.</w:t>
      </w:r>
      <w:r w:rsidRPr="00D53A2B">
        <w:rPr>
          <w:rFonts w:cs="Times New Roman"/>
          <w:lang w:eastAsia="en-US"/>
        </w:rPr>
        <w:t xml:space="preserve"> </w:t>
      </w:r>
      <w:r w:rsidR="00374C56" w:rsidRPr="00D53A2B">
        <w:rPr>
          <w:rFonts w:cs="Times New Roman"/>
          <w:lang w:eastAsia="en-US"/>
        </w:rPr>
        <w:t>Organik bileşik emisyonları</w:t>
      </w:r>
    </w:p>
    <w:p w14:paraId="114C870E" w14:textId="5CE0FD88" w:rsidR="00374C56" w:rsidRPr="00D53A2B" w:rsidRDefault="00374C56" w:rsidP="00A202FD">
      <w:pPr>
        <w:pStyle w:val="MET"/>
        <w:rPr>
          <w:b w:val="0"/>
          <w:bCs/>
          <w:szCs w:val="24"/>
        </w:rPr>
      </w:pPr>
      <w:r w:rsidRPr="00D53A2B">
        <w:rPr>
          <w:szCs w:val="24"/>
        </w:rPr>
        <w:t>MET 46.</w:t>
      </w:r>
      <w:r w:rsidR="005A6E54" w:rsidRPr="00D53A2B">
        <w:rPr>
          <w:szCs w:val="24"/>
        </w:rPr>
        <w:t xml:space="preserve"> </w:t>
      </w:r>
      <w:r w:rsidR="005A6E54" w:rsidRPr="00D53A2B">
        <w:rPr>
          <w:b w:val="0"/>
          <w:bCs/>
          <w:szCs w:val="24"/>
        </w:rPr>
        <w:t>Bakır talaşlarının pirolitik işlemden geçirilmesi ve ikincil hammaddelerin kurutulması, eritilmesi ve eritilmesinden kaynaklanan havaya organik bileşik emisyonlarını azaltmak içi</w:t>
      </w:r>
      <w:r w:rsidR="003A678C" w:rsidRPr="00D53A2B">
        <w:rPr>
          <w:b w:val="0"/>
          <w:bCs/>
          <w:szCs w:val="24"/>
        </w:rPr>
        <w:t>n</w:t>
      </w:r>
      <w:r w:rsidR="005A6E54" w:rsidRPr="00D53A2B">
        <w:rPr>
          <w:b w:val="0"/>
          <w:bCs/>
          <w:szCs w:val="24"/>
        </w:rPr>
        <w:t xml:space="preserve"> aşağıda verilen tekniklerden biri</w:t>
      </w:r>
      <w:r w:rsidR="003A678C" w:rsidRPr="00D53A2B">
        <w:rPr>
          <w:b w:val="0"/>
          <w:bCs/>
          <w:szCs w:val="24"/>
        </w:rPr>
        <w:t xml:space="preserve"> kullanılır</w:t>
      </w:r>
      <w:r w:rsidR="005A6E54" w:rsidRPr="00D53A2B">
        <w:rPr>
          <w:b w:val="0"/>
          <w:bCs/>
          <w:szCs w:val="24"/>
        </w:rPr>
        <w:t>.</w:t>
      </w:r>
    </w:p>
    <w:p w14:paraId="3E6B28BE" w14:textId="77777777" w:rsidR="0074065B" w:rsidRPr="00D53A2B" w:rsidRDefault="0074065B" w:rsidP="00A202FD">
      <w:pPr>
        <w:pStyle w:val="MET"/>
        <w:rPr>
          <w:b w:val="0"/>
          <w:bCs/>
          <w:szCs w:val="24"/>
        </w:rPr>
      </w:pPr>
    </w:p>
    <w:tbl>
      <w:tblPr>
        <w:tblW w:w="8674" w:type="dxa"/>
        <w:tblLayout w:type="fixed"/>
        <w:tblCellMar>
          <w:left w:w="0" w:type="dxa"/>
          <w:right w:w="0" w:type="dxa"/>
        </w:tblCellMar>
        <w:tblLook w:val="01E0" w:firstRow="1" w:lastRow="1" w:firstColumn="1" w:lastColumn="1" w:noHBand="0" w:noVBand="0"/>
      </w:tblPr>
      <w:tblGrid>
        <w:gridCol w:w="397"/>
        <w:gridCol w:w="4082"/>
        <w:gridCol w:w="4195"/>
      </w:tblGrid>
      <w:tr w:rsidR="00374C56" w:rsidRPr="00404A26" w14:paraId="5B1D4672"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3FE5CD99" w14:textId="77777777" w:rsidR="00374C56" w:rsidRPr="009077F5" w:rsidRDefault="00374C56" w:rsidP="00A202FD">
            <w:pPr>
              <w:spacing w:line="264" w:lineRule="auto"/>
              <w:ind w:left="57" w:right="57"/>
              <w:jc w:val="both"/>
              <w:rPr>
                <w:lang w:eastAsia="en-US"/>
              </w:rPr>
            </w:pPr>
            <w:bookmarkStart w:id="63" w:name="_Hlk522338037"/>
          </w:p>
        </w:tc>
        <w:tc>
          <w:tcPr>
            <w:tcW w:w="4082" w:type="dxa"/>
            <w:tcBorders>
              <w:top w:val="single" w:sz="4" w:space="0" w:color="000000"/>
              <w:left w:val="single" w:sz="4" w:space="0" w:color="000000"/>
              <w:bottom w:val="single" w:sz="4" w:space="0" w:color="000000"/>
              <w:right w:val="single" w:sz="4" w:space="0" w:color="000000"/>
            </w:tcBorders>
            <w:vAlign w:val="center"/>
          </w:tcPr>
          <w:p w14:paraId="6E0D322F" w14:textId="77777777" w:rsidR="00374C56" w:rsidRPr="009077F5" w:rsidRDefault="00374C56" w:rsidP="00A202FD">
            <w:pPr>
              <w:spacing w:line="264" w:lineRule="auto"/>
              <w:ind w:left="57" w:right="57"/>
              <w:jc w:val="both"/>
              <w:rPr>
                <w:lang w:eastAsia="en-US"/>
              </w:rPr>
            </w:pPr>
            <w:r w:rsidRPr="009077F5">
              <w:rPr>
                <w:b/>
                <w:bCs/>
                <w:lang w:eastAsia="en-US"/>
              </w:rPr>
              <w:t>Teknik (</w:t>
            </w:r>
            <w:r w:rsidRPr="009077F5">
              <w:rPr>
                <w:b/>
                <w:bCs/>
                <w:vertAlign w:val="superscript"/>
                <w:lang w:eastAsia="en-US"/>
              </w:rPr>
              <w:t>1</w:t>
            </w:r>
            <w:r w:rsidRPr="009077F5">
              <w:rPr>
                <w:b/>
                <w:bCs/>
                <w:lang w:eastAsia="en-US"/>
              </w:rPr>
              <w:t>)</w:t>
            </w:r>
          </w:p>
        </w:tc>
        <w:tc>
          <w:tcPr>
            <w:tcW w:w="4195" w:type="dxa"/>
            <w:tcBorders>
              <w:top w:val="single" w:sz="4" w:space="0" w:color="000000"/>
              <w:left w:val="single" w:sz="4" w:space="0" w:color="000000"/>
              <w:bottom w:val="single" w:sz="4" w:space="0" w:color="000000"/>
              <w:right w:val="single" w:sz="4" w:space="0" w:color="000000"/>
            </w:tcBorders>
            <w:vAlign w:val="center"/>
          </w:tcPr>
          <w:p w14:paraId="0B4B197B" w14:textId="77777777" w:rsidR="00374C56" w:rsidRPr="009077F5" w:rsidRDefault="00374C56" w:rsidP="00A202FD">
            <w:pPr>
              <w:spacing w:line="264" w:lineRule="auto"/>
              <w:ind w:left="57" w:right="57"/>
              <w:jc w:val="both"/>
              <w:rPr>
                <w:lang w:eastAsia="en-US"/>
              </w:rPr>
            </w:pPr>
            <w:r w:rsidRPr="009077F5">
              <w:rPr>
                <w:b/>
                <w:bCs/>
                <w:lang w:eastAsia="en-US"/>
              </w:rPr>
              <w:t>Uygulanabilirlik</w:t>
            </w:r>
          </w:p>
        </w:tc>
      </w:tr>
      <w:tr w:rsidR="00374C56" w:rsidRPr="00404A26" w14:paraId="5E2B7572"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0D245730" w14:textId="77777777" w:rsidR="00374C56" w:rsidRPr="009077F5" w:rsidRDefault="00374C56" w:rsidP="00A202FD">
            <w:pPr>
              <w:spacing w:line="264" w:lineRule="auto"/>
              <w:ind w:left="57" w:right="57"/>
              <w:jc w:val="both"/>
              <w:rPr>
                <w:lang w:eastAsia="en-US"/>
              </w:rPr>
            </w:pPr>
            <w:r w:rsidRPr="009077F5">
              <w:rPr>
                <w:lang w:eastAsia="en-US"/>
              </w:rPr>
              <w:t>a</w:t>
            </w:r>
          </w:p>
        </w:tc>
        <w:tc>
          <w:tcPr>
            <w:tcW w:w="4082" w:type="dxa"/>
            <w:tcBorders>
              <w:top w:val="single" w:sz="4" w:space="0" w:color="000000"/>
              <w:left w:val="single" w:sz="4" w:space="0" w:color="000000"/>
              <w:bottom w:val="single" w:sz="4" w:space="0" w:color="000000"/>
              <w:right w:val="single" w:sz="4" w:space="0" w:color="000000"/>
            </w:tcBorders>
            <w:vAlign w:val="center"/>
          </w:tcPr>
          <w:p w14:paraId="463182C3" w14:textId="5BBAFB8F" w:rsidR="00374C56" w:rsidRPr="009077F5" w:rsidRDefault="005A6E54" w:rsidP="00A202FD">
            <w:pPr>
              <w:spacing w:line="264" w:lineRule="auto"/>
              <w:ind w:left="57" w:right="57"/>
              <w:jc w:val="both"/>
              <w:rPr>
                <w:lang w:eastAsia="en-US"/>
              </w:rPr>
            </w:pPr>
            <w:r w:rsidRPr="009077F5">
              <w:rPr>
                <w:lang w:eastAsia="en-US"/>
              </w:rPr>
              <w:t>Son</w:t>
            </w:r>
            <w:r w:rsidR="00374C56" w:rsidRPr="009077F5">
              <w:rPr>
                <w:lang w:eastAsia="en-US"/>
              </w:rPr>
              <w:t xml:space="preserve"> yakıcı veya yanma </w:t>
            </w:r>
            <w:r w:rsidR="00416DA0" w:rsidRPr="009077F5">
              <w:rPr>
                <w:lang w:eastAsia="en-US"/>
              </w:rPr>
              <w:t xml:space="preserve">sonrası </w:t>
            </w:r>
            <w:r w:rsidR="00374C56" w:rsidRPr="009077F5">
              <w:rPr>
                <w:lang w:eastAsia="en-US"/>
              </w:rPr>
              <w:t>odası veya rejeneratif termal oksitleyici kullanılması</w:t>
            </w:r>
          </w:p>
        </w:tc>
        <w:tc>
          <w:tcPr>
            <w:tcW w:w="4195" w:type="dxa"/>
            <w:tcBorders>
              <w:top w:val="single" w:sz="4" w:space="0" w:color="000000"/>
              <w:left w:val="single" w:sz="4" w:space="0" w:color="000000"/>
              <w:bottom w:val="single" w:sz="4" w:space="0" w:color="000000"/>
              <w:right w:val="single" w:sz="4" w:space="0" w:color="000000"/>
            </w:tcBorders>
            <w:vAlign w:val="center"/>
          </w:tcPr>
          <w:p w14:paraId="747240C3" w14:textId="77777777" w:rsidR="00374C56" w:rsidRPr="009077F5" w:rsidRDefault="00374C56" w:rsidP="00A202FD">
            <w:pPr>
              <w:spacing w:line="264" w:lineRule="auto"/>
              <w:ind w:left="57" w:right="57"/>
              <w:jc w:val="both"/>
              <w:rPr>
                <w:lang w:eastAsia="en-US"/>
              </w:rPr>
            </w:pPr>
            <w:r w:rsidRPr="009077F5">
              <w:rPr>
                <w:lang w:eastAsia="en-US"/>
              </w:rPr>
              <w:t>Uygulanabilirlik, daha düşük bir enerji içeriğine sahip atık gazlar daha yüksek yakıt kullanımı gerektirdiğinden, artılması gereken atık gazların enerji içeriği ile sınırlanır.</w:t>
            </w:r>
          </w:p>
        </w:tc>
      </w:tr>
      <w:tr w:rsidR="00374C56" w:rsidRPr="00404A26" w14:paraId="73897C2B"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444572F3" w14:textId="77777777" w:rsidR="00374C56" w:rsidRPr="009077F5" w:rsidRDefault="00374C56" w:rsidP="00A202FD">
            <w:pPr>
              <w:spacing w:line="264" w:lineRule="auto"/>
              <w:ind w:left="57" w:right="57"/>
              <w:jc w:val="both"/>
              <w:rPr>
                <w:lang w:eastAsia="en-US"/>
              </w:rPr>
            </w:pPr>
            <w:r w:rsidRPr="009077F5">
              <w:rPr>
                <w:lang w:eastAsia="en-US"/>
              </w:rPr>
              <w:t>b</w:t>
            </w:r>
          </w:p>
        </w:tc>
        <w:tc>
          <w:tcPr>
            <w:tcW w:w="4082" w:type="dxa"/>
            <w:tcBorders>
              <w:top w:val="single" w:sz="4" w:space="0" w:color="000000"/>
              <w:left w:val="single" w:sz="4" w:space="0" w:color="000000"/>
              <w:bottom w:val="single" w:sz="4" w:space="0" w:color="000000"/>
              <w:right w:val="single" w:sz="4" w:space="0" w:color="000000"/>
            </w:tcBorders>
            <w:vAlign w:val="center"/>
          </w:tcPr>
          <w:p w14:paraId="3757BAA1" w14:textId="77777777" w:rsidR="00374C56" w:rsidRPr="009077F5" w:rsidRDefault="00374C56" w:rsidP="00A202FD">
            <w:pPr>
              <w:spacing w:line="264" w:lineRule="auto"/>
              <w:ind w:left="57" w:right="57"/>
              <w:jc w:val="both"/>
              <w:rPr>
                <w:lang w:eastAsia="en-US"/>
              </w:rPr>
            </w:pPr>
            <w:r w:rsidRPr="009077F5">
              <w:rPr>
                <w:lang w:eastAsia="en-US"/>
              </w:rPr>
              <w:t>Bir torba filtre ile birlikte adsorbant enjeksiyonu kullanılması</w:t>
            </w:r>
          </w:p>
        </w:tc>
        <w:tc>
          <w:tcPr>
            <w:tcW w:w="4195" w:type="dxa"/>
            <w:tcBorders>
              <w:top w:val="single" w:sz="4" w:space="0" w:color="000000"/>
              <w:left w:val="single" w:sz="4" w:space="0" w:color="000000"/>
              <w:bottom w:val="single" w:sz="4" w:space="0" w:color="000000"/>
              <w:right w:val="single" w:sz="4" w:space="0" w:color="000000"/>
            </w:tcBorders>
            <w:vAlign w:val="center"/>
          </w:tcPr>
          <w:p w14:paraId="3B9F90F9"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404A26" w14:paraId="67440CBB"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7C6D640B" w14:textId="77777777" w:rsidR="00374C56" w:rsidRPr="009077F5" w:rsidRDefault="00374C56" w:rsidP="00A202FD">
            <w:pPr>
              <w:spacing w:line="264" w:lineRule="auto"/>
              <w:ind w:left="57" w:right="57"/>
              <w:jc w:val="both"/>
              <w:rPr>
                <w:lang w:eastAsia="en-US"/>
              </w:rPr>
            </w:pPr>
            <w:r w:rsidRPr="009077F5">
              <w:rPr>
                <w:lang w:eastAsia="en-US"/>
              </w:rPr>
              <w:t>c</w:t>
            </w:r>
          </w:p>
        </w:tc>
        <w:tc>
          <w:tcPr>
            <w:tcW w:w="4082" w:type="dxa"/>
            <w:tcBorders>
              <w:top w:val="single" w:sz="4" w:space="0" w:color="000000"/>
              <w:left w:val="single" w:sz="4" w:space="0" w:color="000000"/>
              <w:bottom w:val="single" w:sz="4" w:space="0" w:color="000000"/>
              <w:right w:val="single" w:sz="4" w:space="0" w:color="000000"/>
            </w:tcBorders>
            <w:vAlign w:val="center"/>
          </w:tcPr>
          <w:p w14:paraId="0BA405E4" w14:textId="0FFE1A34" w:rsidR="00374C56" w:rsidRPr="009077F5" w:rsidRDefault="00416DA0" w:rsidP="00A202FD">
            <w:pPr>
              <w:spacing w:line="264" w:lineRule="auto"/>
              <w:ind w:left="57" w:right="57"/>
              <w:jc w:val="both"/>
              <w:rPr>
                <w:lang w:eastAsia="en-US"/>
              </w:rPr>
            </w:pPr>
            <w:r w:rsidRPr="009077F5">
              <w:rPr>
                <w:lang w:eastAsia="en-US"/>
              </w:rPr>
              <w:t>Mevcut hammaddelere göre fırın tasarımı ve azaltım teknikleri</w:t>
            </w:r>
          </w:p>
        </w:tc>
        <w:tc>
          <w:tcPr>
            <w:tcW w:w="4195" w:type="dxa"/>
            <w:tcBorders>
              <w:top w:val="single" w:sz="4" w:space="0" w:color="000000"/>
              <w:left w:val="single" w:sz="4" w:space="0" w:color="000000"/>
              <w:bottom w:val="single" w:sz="4" w:space="0" w:color="000000"/>
              <w:right w:val="single" w:sz="4" w:space="0" w:color="000000"/>
            </w:tcBorders>
            <w:vAlign w:val="center"/>
          </w:tcPr>
          <w:p w14:paraId="2E82B41A" w14:textId="26A5A73A" w:rsidR="00374C56" w:rsidRPr="009077F5" w:rsidRDefault="00416DA0" w:rsidP="00A202FD">
            <w:pPr>
              <w:spacing w:line="264" w:lineRule="auto"/>
              <w:ind w:left="57" w:right="57"/>
              <w:jc w:val="both"/>
              <w:rPr>
                <w:lang w:eastAsia="en-US"/>
              </w:rPr>
            </w:pPr>
            <w:r w:rsidRPr="009077F5">
              <w:rPr>
                <w:lang w:eastAsia="en-US"/>
              </w:rPr>
              <w:t>Sadece yeni fırınlar veya mevcut fırınların büyük ölçüde yükseltilmesi için geçerlidir.</w:t>
            </w:r>
          </w:p>
        </w:tc>
      </w:tr>
      <w:tr w:rsidR="00374C56" w:rsidRPr="00404A26" w14:paraId="73AA423A"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38A9401F" w14:textId="77777777" w:rsidR="00374C56" w:rsidRPr="009077F5" w:rsidRDefault="00374C56" w:rsidP="00A202FD">
            <w:pPr>
              <w:spacing w:line="264" w:lineRule="auto"/>
              <w:ind w:left="57" w:right="57"/>
              <w:jc w:val="both"/>
              <w:rPr>
                <w:lang w:eastAsia="en-US"/>
              </w:rPr>
            </w:pPr>
            <w:r w:rsidRPr="009077F5">
              <w:rPr>
                <w:lang w:eastAsia="en-US"/>
              </w:rPr>
              <w:t>d</w:t>
            </w:r>
          </w:p>
        </w:tc>
        <w:tc>
          <w:tcPr>
            <w:tcW w:w="4082" w:type="dxa"/>
            <w:tcBorders>
              <w:top w:val="single" w:sz="4" w:space="0" w:color="000000"/>
              <w:left w:val="single" w:sz="4" w:space="0" w:color="000000"/>
              <w:bottom w:val="single" w:sz="4" w:space="0" w:color="000000"/>
              <w:right w:val="single" w:sz="4" w:space="0" w:color="000000"/>
            </w:tcBorders>
            <w:vAlign w:val="center"/>
          </w:tcPr>
          <w:p w14:paraId="500DA51A" w14:textId="77777777" w:rsidR="00374C56" w:rsidRPr="009077F5" w:rsidRDefault="00374C56" w:rsidP="00A202FD">
            <w:pPr>
              <w:spacing w:line="264" w:lineRule="auto"/>
              <w:ind w:left="57" w:right="57"/>
              <w:jc w:val="both"/>
              <w:rPr>
                <w:lang w:eastAsia="en-US"/>
              </w:rPr>
            </w:pPr>
            <w:r w:rsidRPr="009077F5">
              <w:rPr>
                <w:lang w:eastAsia="en-US"/>
              </w:rPr>
              <w:t>Hammaddenin fırın tipine ve kullanılan gaz azaltma tekniklerine göre seçilmesi ve beslenmesi</w:t>
            </w:r>
          </w:p>
        </w:tc>
        <w:tc>
          <w:tcPr>
            <w:tcW w:w="4195" w:type="dxa"/>
            <w:tcBorders>
              <w:top w:val="single" w:sz="4" w:space="0" w:color="000000"/>
              <w:left w:val="single" w:sz="4" w:space="0" w:color="000000"/>
              <w:bottom w:val="single" w:sz="4" w:space="0" w:color="000000"/>
              <w:right w:val="single" w:sz="4" w:space="0" w:color="000000"/>
            </w:tcBorders>
            <w:vAlign w:val="center"/>
          </w:tcPr>
          <w:p w14:paraId="3683A6FE"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404A26" w14:paraId="4217C614"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65BB90BF" w14:textId="77777777" w:rsidR="00374C56" w:rsidRPr="009077F5" w:rsidRDefault="00374C56" w:rsidP="00A202FD">
            <w:pPr>
              <w:spacing w:line="264" w:lineRule="auto"/>
              <w:ind w:left="57" w:right="57"/>
              <w:jc w:val="both"/>
              <w:rPr>
                <w:lang w:eastAsia="en-US"/>
              </w:rPr>
            </w:pPr>
            <w:r w:rsidRPr="009077F5">
              <w:rPr>
                <w:lang w:eastAsia="en-US"/>
              </w:rPr>
              <w:t>e</w:t>
            </w:r>
          </w:p>
        </w:tc>
        <w:tc>
          <w:tcPr>
            <w:tcW w:w="4082" w:type="dxa"/>
            <w:tcBorders>
              <w:top w:val="single" w:sz="4" w:space="0" w:color="000000"/>
              <w:left w:val="single" w:sz="4" w:space="0" w:color="000000"/>
              <w:bottom w:val="single" w:sz="4" w:space="0" w:color="000000"/>
              <w:right w:val="single" w:sz="4" w:space="0" w:color="000000"/>
            </w:tcBorders>
            <w:vAlign w:val="center"/>
          </w:tcPr>
          <w:p w14:paraId="67ACDBF5" w14:textId="11FC35D6" w:rsidR="00374C56" w:rsidRPr="009077F5" w:rsidRDefault="00416DA0" w:rsidP="00A202FD">
            <w:pPr>
              <w:spacing w:line="264" w:lineRule="auto"/>
              <w:ind w:left="57" w:right="57"/>
              <w:jc w:val="both"/>
              <w:rPr>
                <w:lang w:eastAsia="en-US"/>
              </w:rPr>
            </w:pPr>
            <w:r w:rsidRPr="009077F5">
              <w:rPr>
                <w:lang w:eastAsia="en-US"/>
              </w:rPr>
              <w:t>Fırında yüksek sıcaklıklarda (&gt; 1 000 °C) TVOC</w:t>
            </w:r>
            <w:r w:rsidR="00E56504" w:rsidRPr="009077F5">
              <w:rPr>
                <w:lang w:eastAsia="en-US"/>
              </w:rPr>
              <w:t>’</w:t>
            </w:r>
            <w:r w:rsidRPr="009077F5">
              <w:rPr>
                <w:lang w:eastAsia="en-US"/>
              </w:rPr>
              <w:t>nin termal yıkımı.</w:t>
            </w:r>
          </w:p>
        </w:tc>
        <w:tc>
          <w:tcPr>
            <w:tcW w:w="4195" w:type="dxa"/>
            <w:tcBorders>
              <w:top w:val="single" w:sz="4" w:space="0" w:color="000000"/>
              <w:left w:val="single" w:sz="4" w:space="0" w:color="000000"/>
              <w:bottom w:val="single" w:sz="4" w:space="0" w:color="000000"/>
              <w:right w:val="single" w:sz="4" w:space="0" w:color="000000"/>
            </w:tcBorders>
            <w:vAlign w:val="center"/>
          </w:tcPr>
          <w:p w14:paraId="6D7F2769"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404A26" w14:paraId="76B01F2A" w14:textId="77777777" w:rsidTr="00374C56">
        <w:tc>
          <w:tcPr>
            <w:tcW w:w="8674" w:type="dxa"/>
            <w:gridSpan w:val="3"/>
            <w:tcBorders>
              <w:top w:val="single" w:sz="4" w:space="0" w:color="000000"/>
              <w:left w:val="single" w:sz="4" w:space="0" w:color="000000"/>
              <w:bottom w:val="single" w:sz="4" w:space="0" w:color="000000"/>
              <w:right w:val="single" w:sz="4" w:space="0" w:color="000000"/>
            </w:tcBorders>
          </w:tcPr>
          <w:p w14:paraId="2516CC80" w14:textId="7B53344F" w:rsidR="00374C56" w:rsidRPr="009077F5" w:rsidRDefault="00374C56" w:rsidP="00A202FD">
            <w:pPr>
              <w:spacing w:line="264" w:lineRule="auto"/>
              <w:ind w:left="57" w:right="57"/>
              <w:jc w:val="both"/>
              <w:rPr>
                <w:lang w:eastAsia="en-US"/>
              </w:rPr>
            </w:pPr>
            <w:r w:rsidRPr="009077F5">
              <w:rPr>
                <w:b/>
                <w:lang w:eastAsia="en-US"/>
              </w:rPr>
              <w:t>(</w:t>
            </w:r>
            <w:r w:rsidRPr="009077F5">
              <w:rPr>
                <w:b/>
                <w:vertAlign w:val="superscript"/>
                <w:lang w:eastAsia="en-US"/>
              </w:rPr>
              <w:t>1</w:t>
            </w:r>
            <w:r w:rsidRPr="009077F5">
              <w:rPr>
                <w:b/>
                <w:lang w:eastAsia="en-US"/>
              </w:rPr>
              <w:t>) :</w:t>
            </w:r>
            <w:r w:rsidRPr="009077F5">
              <w:rPr>
                <w:lang w:eastAsia="en-US"/>
              </w:rPr>
              <w:t xml:space="preserve"> Tekniklerin açıklamaları Bölüm 1.10</w:t>
            </w:r>
            <w:r w:rsidR="00E56504" w:rsidRPr="009077F5">
              <w:rPr>
                <w:lang w:eastAsia="en-US"/>
              </w:rPr>
              <w:t>’</w:t>
            </w:r>
            <w:r w:rsidRPr="009077F5">
              <w:rPr>
                <w:lang w:eastAsia="en-US"/>
              </w:rPr>
              <w:t>da verilmiştir.</w:t>
            </w:r>
          </w:p>
        </w:tc>
      </w:tr>
      <w:bookmarkEnd w:id="63"/>
    </w:tbl>
    <w:p w14:paraId="5DA89833" w14:textId="77777777" w:rsidR="00374C56" w:rsidRPr="00D53A2B" w:rsidRDefault="00374C56" w:rsidP="00A202FD">
      <w:pPr>
        <w:jc w:val="both"/>
        <w:rPr>
          <w:lang w:eastAsia="en-US"/>
        </w:rPr>
      </w:pPr>
    </w:p>
    <w:p w14:paraId="27E3C5CE"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4.</w:t>
      </w:r>
    </w:p>
    <w:p w14:paraId="3ABB0DA9" w14:textId="77777777" w:rsidR="001023C7" w:rsidRPr="00404A26" w:rsidRDefault="00374C56" w:rsidP="00A202FD">
      <w:pPr>
        <w:jc w:val="both"/>
        <w:rPr>
          <w:lang w:eastAsia="en-US"/>
        </w:rPr>
      </w:pPr>
      <w:bookmarkStart w:id="64" w:name="_Toc531927945"/>
      <w:r w:rsidRPr="00404A26">
        <w:rPr>
          <w:lang w:eastAsia="en-US"/>
        </w:rPr>
        <w:t xml:space="preserve">Tablo </w:t>
      </w:r>
      <w:r w:rsidRPr="00404A26">
        <w:rPr>
          <w:noProof/>
          <w:lang w:eastAsia="en-US"/>
        </w:rPr>
        <w:t>4</w:t>
      </w:r>
      <w:bookmarkEnd w:id="64"/>
    </w:p>
    <w:p w14:paraId="68282B2D" w14:textId="57161F09" w:rsidR="00374C56" w:rsidRPr="00BF4451" w:rsidRDefault="00416DA0" w:rsidP="00A202FD">
      <w:pPr>
        <w:jc w:val="both"/>
        <w:rPr>
          <w:lang w:eastAsia="en-US"/>
        </w:rPr>
      </w:pPr>
      <w:r w:rsidRPr="00E73DA3">
        <w:rPr>
          <w:lang w:eastAsia="en-US"/>
        </w:rPr>
        <w:t>Bakır talaşlarının pirolitik işlemden geçirilmesi ve ikincil hammaddelerin kurutulması, eritilmesi ve eritilmesinden kaynaklanan TVOC</w:t>
      </w:r>
      <w:r w:rsidR="00E56504" w:rsidRPr="00BF4451">
        <w:rPr>
          <w:lang w:eastAsia="en-US"/>
        </w:rPr>
        <w:t>’</w:t>
      </w:r>
      <w:r w:rsidRPr="00BF4451">
        <w:rPr>
          <w:lang w:eastAsia="en-US"/>
        </w:rPr>
        <w:t>nin havaya emisyonları için MET ile ilişkili emisyon seviyeleri.</w:t>
      </w:r>
    </w:p>
    <w:p w14:paraId="06B173CA" w14:textId="77777777" w:rsidR="00F33354" w:rsidRPr="00BF4451" w:rsidRDefault="00F33354" w:rsidP="00A202FD">
      <w:pPr>
        <w:jc w:val="both"/>
        <w:rPr>
          <w:lang w:eastAsia="en-US"/>
        </w:rPr>
      </w:pPr>
    </w:p>
    <w:tbl>
      <w:tblPr>
        <w:tblW w:w="0" w:type="auto"/>
        <w:tblLayout w:type="fixed"/>
        <w:tblCellMar>
          <w:left w:w="0" w:type="dxa"/>
          <w:right w:w="0" w:type="dxa"/>
        </w:tblCellMar>
        <w:tblLook w:val="01E0" w:firstRow="1" w:lastRow="1" w:firstColumn="1" w:lastColumn="1" w:noHBand="0" w:noVBand="0"/>
      </w:tblPr>
      <w:tblGrid>
        <w:gridCol w:w="2449"/>
        <w:gridCol w:w="6075"/>
      </w:tblGrid>
      <w:tr w:rsidR="00374C56" w:rsidRPr="00404A26" w14:paraId="6FC95173" w14:textId="77777777" w:rsidTr="00374C56">
        <w:tc>
          <w:tcPr>
            <w:tcW w:w="2449" w:type="dxa"/>
            <w:tcBorders>
              <w:top w:val="single" w:sz="4" w:space="0" w:color="000000"/>
              <w:left w:val="single" w:sz="4" w:space="0" w:color="000000"/>
              <w:bottom w:val="single" w:sz="4" w:space="0" w:color="000000"/>
              <w:right w:val="single" w:sz="4" w:space="0" w:color="000000"/>
            </w:tcBorders>
          </w:tcPr>
          <w:p w14:paraId="680D5827" w14:textId="77777777" w:rsidR="00374C56" w:rsidRPr="009077F5" w:rsidRDefault="00374C56" w:rsidP="00A202FD">
            <w:pPr>
              <w:spacing w:line="264" w:lineRule="auto"/>
              <w:ind w:left="57" w:right="57"/>
              <w:jc w:val="both"/>
              <w:rPr>
                <w:lang w:eastAsia="en-US"/>
              </w:rPr>
            </w:pPr>
            <w:r w:rsidRPr="009077F5">
              <w:rPr>
                <w:b/>
                <w:bCs/>
                <w:lang w:eastAsia="en-US"/>
              </w:rPr>
              <w:t>Parametre</w:t>
            </w:r>
          </w:p>
        </w:tc>
        <w:tc>
          <w:tcPr>
            <w:tcW w:w="6075" w:type="dxa"/>
            <w:tcBorders>
              <w:top w:val="single" w:sz="4" w:space="0" w:color="000000"/>
              <w:left w:val="single" w:sz="4" w:space="0" w:color="000000"/>
              <w:bottom w:val="single" w:sz="4" w:space="0" w:color="000000"/>
              <w:right w:val="single" w:sz="4" w:space="0" w:color="000000"/>
            </w:tcBorders>
          </w:tcPr>
          <w:p w14:paraId="62FBC534" w14:textId="77777777" w:rsidR="00374C56" w:rsidRPr="009077F5" w:rsidRDefault="00374C56" w:rsidP="00A202FD">
            <w:pPr>
              <w:spacing w:line="264" w:lineRule="auto"/>
              <w:ind w:left="57" w:right="57"/>
              <w:jc w:val="both"/>
              <w:rPr>
                <w:lang w:eastAsia="en-US"/>
              </w:rPr>
            </w:pPr>
            <w:r w:rsidRPr="009077F5">
              <w:rPr>
                <w:b/>
                <w:bCs/>
                <w:lang w:eastAsia="en-US"/>
              </w:rPr>
              <w:t>MET-İES (mg/Nm</w:t>
            </w:r>
            <w:r w:rsidRPr="009077F5">
              <w:rPr>
                <w:b/>
                <w:bCs/>
                <w:vertAlign w:val="superscript"/>
                <w:lang w:eastAsia="en-US"/>
              </w:rPr>
              <w:t>3</w:t>
            </w:r>
            <w:r w:rsidRPr="009077F5">
              <w:rPr>
                <w:b/>
                <w:bCs/>
                <w:lang w:eastAsia="en-US"/>
              </w:rPr>
              <w:t>) (</w:t>
            </w:r>
            <w:r w:rsidRPr="009077F5">
              <w:rPr>
                <w:b/>
                <w:bCs/>
                <w:vertAlign w:val="superscript"/>
                <w:lang w:eastAsia="en-US"/>
              </w:rPr>
              <w:t>1</w:t>
            </w:r>
            <w:r w:rsidRPr="009077F5">
              <w:rPr>
                <w:b/>
                <w:bCs/>
                <w:lang w:eastAsia="en-US"/>
              </w:rPr>
              <w:t>)(</w:t>
            </w:r>
            <w:r w:rsidRPr="009077F5">
              <w:rPr>
                <w:b/>
                <w:bCs/>
                <w:vertAlign w:val="superscript"/>
                <w:lang w:eastAsia="en-US"/>
              </w:rPr>
              <w:t>2</w:t>
            </w:r>
            <w:r w:rsidRPr="009077F5">
              <w:rPr>
                <w:b/>
                <w:bCs/>
                <w:lang w:eastAsia="en-US"/>
              </w:rPr>
              <w:t>)</w:t>
            </w:r>
          </w:p>
        </w:tc>
      </w:tr>
      <w:tr w:rsidR="00374C56" w:rsidRPr="00404A26" w14:paraId="08824B48" w14:textId="77777777" w:rsidTr="00374C56">
        <w:tc>
          <w:tcPr>
            <w:tcW w:w="2449" w:type="dxa"/>
            <w:tcBorders>
              <w:top w:val="single" w:sz="4" w:space="0" w:color="000000"/>
              <w:left w:val="single" w:sz="4" w:space="0" w:color="000000"/>
              <w:bottom w:val="single" w:sz="4" w:space="0" w:color="000000"/>
              <w:right w:val="single" w:sz="4" w:space="0" w:color="000000"/>
            </w:tcBorders>
          </w:tcPr>
          <w:p w14:paraId="1946A8C2" w14:textId="77777777" w:rsidR="00374C56" w:rsidRPr="009077F5" w:rsidRDefault="00374C56" w:rsidP="00A202FD">
            <w:pPr>
              <w:spacing w:line="264" w:lineRule="auto"/>
              <w:ind w:left="57" w:right="57"/>
              <w:jc w:val="both"/>
              <w:rPr>
                <w:lang w:eastAsia="en-US"/>
              </w:rPr>
            </w:pPr>
            <w:r w:rsidRPr="009077F5">
              <w:rPr>
                <w:lang w:eastAsia="en-US"/>
              </w:rPr>
              <w:t>TVOC</w:t>
            </w:r>
          </w:p>
        </w:tc>
        <w:tc>
          <w:tcPr>
            <w:tcW w:w="6075" w:type="dxa"/>
            <w:tcBorders>
              <w:top w:val="single" w:sz="4" w:space="0" w:color="000000"/>
              <w:left w:val="single" w:sz="4" w:space="0" w:color="000000"/>
              <w:bottom w:val="single" w:sz="4" w:space="0" w:color="000000"/>
              <w:right w:val="single" w:sz="4" w:space="0" w:color="000000"/>
            </w:tcBorders>
          </w:tcPr>
          <w:p w14:paraId="46C4D73E" w14:textId="77777777" w:rsidR="00374C56" w:rsidRPr="009077F5" w:rsidRDefault="00374C56" w:rsidP="00A202FD">
            <w:pPr>
              <w:spacing w:line="264" w:lineRule="auto"/>
              <w:ind w:left="57" w:right="57"/>
              <w:jc w:val="both"/>
              <w:rPr>
                <w:lang w:eastAsia="en-US"/>
              </w:rPr>
            </w:pPr>
            <w:r w:rsidRPr="009077F5">
              <w:rPr>
                <w:lang w:eastAsia="en-US"/>
              </w:rPr>
              <w:t>3–30</w:t>
            </w:r>
          </w:p>
        </w:tc>
      </w:tr>
      <w:tr w:rsidR="00374C56" w:rsidRPr="00404A26" w14:paraId="6445F0A8" w14:textId="77777777" w:rsidTr="00374C56">
        <w:tc>
          <w:tcPr>
            <w:tcW w:w="8524" w:type="dxa"/>
            <w:gridSpan w:val="2"/>
            <w:tcBorders>
              <w:top w:val="single" w:sz="4" w:space="0" w:color="000000"/>
              <w:left w:val="single" w:sz="4" w:space="0" w:color="000000"/>
              <w:bottom w:val="single" w:sz="4" w:space="0" w:color="000000"/>
              <w:right w:val="single" w:sz="4" w:space="0" w:color="000000"/>
            </w:tcBorders>
          </w:tcPr>
          <w:p w14:paraId="098EAFE6" w14:textId="4F7A25E8" w:rsidR="00374C56" w:rsidRPr="009077F5" w:rsidRDefault="00374C56" w:rsidP="00A202FD">
            <w:pPr>
              <w:jc w:val="both"/>
              <w:rPr>
                <w:spacing w:val="2"/>
                <w:lang w:eastAsia="en-US"/>
              </w:rPr>
            </w:pPr>
            <w:r w:rsidRPr="009077F5">
              <w:rPr>
                <w:bCs/>
                <w:spacing w:val="2"/>
                <w:lang w:eastAsia="en-US"/>
              </w:rPr>
              <w:t>(</w:t>
            </w:r>
            <w:r w:rsidRPr="009077F5">
              <w:rPr>
                <w:bCs/>
                <w:spacing w:val="2"/>
                <w:vertAlign w:val="superscript"/>
                <w:lang w:eastAsia="en-US"/>
              </w:rPr>
              <w:t>1</w:t>
            </w:r>
            <w:r w:rsidRPr="009077F5">
              <w:rPr>
                <w:bCs/>
                <w:spacing w:val="2"/>
                <w:lang w:eastAsia="en-US"/>
              </w:rPr>
              <w:t>)</w:t>
            </w:r>
            <w:r w:rsidRPr="009077F5">
              <w:rPr>
                <w:b/>
                <w:spacing w:val="2"/>
                <w:lang w:eastAsia="en-US"/>
              </w:rPr>
              <w:t xml:space="preserve"> </w:t>
            </w:r>
            <w:r w:rsidRPr="009077F5">
              <w:rPr>
                <w:spacing w:val="2"/>
                <w:lang w:eastAsia="en-US"/>
              </w:rPr>
              <w:t xml:space="preserve">Günlük ortalama ya da </w:t>
            </w:r>
            <w:r w:rsidR="007847FF" w:rsidRPr="00404A26">
              <w:rPr>
                <w:rStyle w:val="Gvdemetni3a"/>
              </w:rPr>
              <w:t xml:space="preserve">numune alma </w:t>
            </w:r>
            <w:r w:rsidR="00416DA0" w:rsidRPr="009077F5">
              <w:rPr>
                <w:spacing w:val="2"/>
                <w:lang w:eastAsia="en-US"/>
              </w:rPr>
              <w:t>dönemi</w:t>
            </w:r>
            <w:r w:rsidRPr="009077F5">
              <w:rPr>
                <w:spacing w:val="2"/>
                <w:lang w:eastAsia="en-US"/>
              </w:rPr>
              <w:t xml:space="preserve"> boyunca ortalama</w:t>
            </w:r>
            <w:r w:rsidR="00416DA0" w:rsidRPr="009077F5">
              <w:rPr>
                <w:spacing w:val="2"/>
                <w:lang w:eastAsia="en-US"/>
              </w:rPr>
              <w:t xml:space="preserve"> olarak</w:t>
            </w:r>
            <w:r w:rsidRPr="009077F5">
              <w:rPr>
                <w:spacing w:val="2"/>
                <w:lang w:eastAsia="en-US"/>
              </w:rPr>
              <w:t>.</w:t>
            </w:r>
          </w:p>
          <w:p w14:paraId="41FEBA82" w14:textId="028EE8E8" w:rsidR="00374C56" w:rsidRPr="009077F5" w:rsidRDefault="00374C56" w:rsidP="00A202FD">
            <w:pPr>
              <w:jc w:val="both"/>
              <w:rPr>
                <w:spacing w:val="2"/>
                <w:lang w:eastAsia="en-US"/>
              </w:rPr>
            </w:pPr>
            <w:r w:rsidRPr="009077F5">
              <w:rPr>
                <w:bCs/>
                <w:spacing w:val="2"/>
                <w:lang w:eastAsia="en-US"/>
              </w:rPr>
              <w:t>(</w:t>
            </w:r>
            <w:r w:rsidRPr="009077F5">
              <w:rPr>
                <w:bCs/>
                <w:spacing w:val="2"/>
                <w:vertAlign w:val="superscript"/>
                <w:lang w:eastAsia="en-US"/>
              </w:rPr>
              <w:t>2</w:t>
            </w:r>
            <w:r w:rsidRPr="009077F5">
              <w:rPr>
                <w:bCs/>
                <w:spacing w:val="2"/>
                <w:lang w:eastAsia="en-US"/>
              </w:rPr>
              <w:t>)</w:t>
            </w:r>
            <w:r w:rsidRPr="009077F5">
              <w:rPr>
                <w:b/>
                <w:spacing w:val="2"/>
                <w:lang w:eastAsia="en-US"/>
              </w:rPr>
              <w:t xml:space="preserve"> </w:t>
            </w:r>
            <w:r w:rsidRPr="009077F5">
              <w:rPr>
                <w:spacing w:val="2"/>
                <w:lang w:eastAsia="en-US"/>
              </w:rPr>
              <w:t>Aralığın alt sınırı bir rejeneratif termal oksitleyici kullanılması ile ilişkilidir.</w:t>
            </w:r>
          </w:p>
        </w:tc>
      </w:tr>
    </w:tbl>
    <w:p w14:paraId="6A2E384B" w14:textId="77777777" w:rsidR="00374C56" w:rsidRPr="00404A26" w:rsidRDefault="00374C56" w:rsidP="00A202FD">
      <w:pPr>
        <w:jc w:val="both"/>
        <w:rPr>
          <w:lang w:eastAsia="en-US"/>
        </w:rPr>
      </w:pPr>
    </w:p>
    <w:p w14:paraId="706979CE" w14:textId="2C565287" w:rsidR="00374C56" w:rsidRPr="00404A26" w:rsidRDefault="00416DA0" w:rsidP="00A202FD">
      <w:pPr>
        <w:jc w:val="both"/>
        <w:rPr>
          <w:lang w:eastAsia="en-US"/>
        </w:rPr>
      </w:pPr>
      <w:r w:rsidRPr="00404A26">
        <w:rPr>
          <w:lang w:eastAsia="en-US"/>
        </w:rPr>
        <w:t>İlgili izleme MET 10</w:t>
      </w:r>
      <w:r w:rsidR="00E56504" w:rsidRPr="00404A26">
        <w:rPr>
          <w:lang w:eastAsia="en-US"/>
        </w:rPr>
        <w:t>’</w:t>
      </w:r>
      <w:r w:rsidRPr="00404A26">
        <w:rPr>
          <w:lang w:eastAsia="en-US"/>
        </w:rPr>
        <w:t>da yer almaktadır.</w:t>
      </w:r>
    </w:p>
    <w:p w14:paraId="519C682B" w14:textId="77777777" w:rsidR="00416DA0" w:rsidRPr="00404A26" w:rsidRDefault="00416DA0" w:rsidP="00A202FD">
      <w:pPr>
        <w:jc w:val="both"/>
        <w:rPr>
          <w:lang w:eastAsia="en-US"/>
        </w:rPr>
      </w:pPr>
    </w:p>
    <w:p w14:paraId="1972CFC5" w14:textId="2799ECBB" w:rsidR="00374C56" w:rsidRPr="00404A26" w:rsidRDefault="00374C56" w:rsidP="00A202FD">
      <w:pPr>
        <w:pStyle w:val="MET"/>
        <w:rPr>
          <w:b w:val="0"/>
          <w:bCs/>
          <w:szCs w:val="24"/>
        </w:rPr>
      </w:pPr>
      <w:r w:rsidRPr="00404A26">
        <w:rPr>
          <w:szCs w:val="24"/>
        </w:rPr>
        <w:t>MET 47</w:t>
      </w:r>
      <w:r w:rsidR="00921606" w:rsidRPr="00404A26">
        <w:rPr>
          <w:szCs w:val="24"/>
        </w:rPr>
        <w:t>:</w:t>
      </w:r>
      <w:r w:rsidR="00416DA0" w:rsidRPr="00404A26">
        <w:rPr>
          <w:szCs w:val="24"/>
        </w:rPr>
        <w:t xml:space="preserve"> </w:t>
      </w:r>
      <w:r w:rsidR="00416DA0" w:rsidRPr="00404A26">
        <w:rPr>
          <w:b w:val="0"/>
          <w:bCs/>
          <w:szCs w:val="24"/>
        </w:rPr>
        <w:t>Hidrometalurjik bakır üretiminde solvent ekstraksiyonundan kaynaklanan havaya organik bileşik emisyonlarını azaltmak için, aşağıda verilen tekniklerin her ikisini de kullanmak ve VOC emisyonlarını yıllık olarak, örneğin kütle dengesi yoluyla belirle</w:t>
      </w:r>
      <w:r w:rsidR="003A678C" w:rsidRPr="00404A26">
        <w:rPr>
          <w:b w:val="0"/>
          <w:bCs/>
          <w:szCs w:val="24"/>
        </w:rPr>
        <w:t>nir</w:t>
      </w:r>
      <w:r w:rsidR="00416DA0" w:rsidRPr="00404A26">
        <w:rPr>
          <w:b w:val="0"/>
          <w:bCs/>
          <w:szCs w:val="24"/>
        </w:rPr>
        <w:t>.</w:t>
      </w:r>
    </w:p>
    <w:p w14:paraId="571B928E" w14:textId="77777777" w:rsidR="00F33354" w:rsidRPr="00404A26" w:rsidRDefault="00F33354" w:rsidP="00A202FD">
      <w:pPr>
        <w:pStyle w:val="MET"/>
        <w:rPr>
          <w:szCs w:val="24"/>
        </w:rPr>
      </w:pPr>
    </w:p>
    <w:tbl>
      <w:tblPr>
        <w:tblW w:w="8720" w:type="dxa"/>
        <w:tblLayout w:type="fixed"/>
        <w:tblCellMar>
          <w:left w:w="0" w:type="dxa"/>
          <w:right w:w="0" w:type="dxa"/>
        </w:tblCellMar>
        <w:tblLook w:val="01E0" w:firstRow="1" w:lastRow="1" w:firstColumn="1" w:lastColumn="1" w:noHBand="0" w:noVBand="0"/>
      </w:tblPr>
      <w:tblGrid>
        <w:gridCol w:w="422"/>
        <w:gridCol w:w="8298"/>
      </w:tblGrid>
      <w:tr w:rsidR="00374C56" w:rsidRPr="00404A26" w14:paraId="67E02804" w14:textId="77777777" w:rsidTr="00374C56">
        <w:tc>
          <w:tcPr>
            <w:tcW w:w="422" w:type="dxa"/>
            <w:tcBorders>
              <w:top w:val="single" w:sz="4" w:space="0" w:color="000000"/>
              <w:left w:val="single" w:sz="4" w:space="0" w:color="000000"/>
              <w:bottom w:val="single" w:sz="4" w:space="0" w:color="000000"/>
              <w:right w:val="single" w:sz="4" w:space="0" w:color="000000"/>
            </w:tcBorders>
            <w:vAlign w:val="center"/>
          </w:tcPr>
          <w:p w14:paraId="64997CD3" w14:textId="77777777" w:rsidR="00374C56" w:rsidRPr="009077F5" w:rsidRDefault="00374C56" w:rsidP="00A202FD">
            <w:pPr>
              <w:spacing w:line="264" w:lineRule="auto"/>
              <w:ind w:left="57" w:right="57"/>
              <w:jc w:val="both"/>
              <w:rPr>
                <w:lang w:eastAsia="en-US"/>
              </w:rPr>
            </w:pPr>
          </w:p>
        </w:tc>
        <w:tc>
          <w:tcPr>
            <w:tcW w:w="8298" w:type="dxa"/>
            <w:tcBorders>
              <w:top w:val="single" w:sz="4" w:space="0" w:color="000000"/>
              <w:left w:val="single" w:sz="4" w:space="0" w:color="000000"/>
              <w:bottom w:val="single" w:sz="4" w:space="0" w:color="000000"/>
              <w:right w:val="single" w:sz="4" w:space="0" w:color="000000"/>
            </w:tcBorders>
            <w:vAlign w:val="center"/>
          </w:tcPr>
          <w:p w14:paraId="6F5696B2" w14:textId="77777777" w:rsidR="00374C56" w:rsidRPr="009077F5" w:rsidRDefault="00374C56" w:rsidP="00A202FD">
            <w:pPr>
              <w:spacing w:line="264" w:lineRule="auto"/>
              <w:ind w:left="57" w:right="57"/>
              <w:jc w:val="both"/>
              <w:rPr>
                <w:lang w:eastAsia="en-US"/>
              </w:rPr>
            </w:pPr>
            <w:r w:rsidRPr="009077F5">
              <w:rPr>
                <w:b/>
                <w:bCs/>
                <w:lang w:eastAsia="en-US"/>
              </w:rPr>
              <w:t>Teknik</w:t>
            </w:r>
          </w:p>
        </w:tc>
      </w:tr>
      <w:tr w:rsidR="00374C56" w:rsidRPr="00404A26" w14:paraId="2CF80420" w14:textId="77777777" w:rsidTr="00374C56">
        <w:tc>
          <w:tcPr>
            <w:tcW w:w="422" w:type="dxa"/>
            <w:tcBorders>
              <w:top w:val="single" w:sz="4" w:space="0" w:color="000000"/>
              <w:left w:val="single" w:sz="4" w:space="0" w:color="000000"/>
              <w:bottom w:val="single" w:sz="4" w:space="0" w:color="000000"/>
              <w:right w:val="single" w:sz="4" w:space="0" w:color="000000"/>
            </w:tcBorders>
            <w:vAlign w:val="center"/>
          </w:tcPr>
          <w:p w14:paraId="1D6C1D50" w14:textId="77777777" w:rsidR="00374C56" w:rsidRPr="009077F5" w:rsidRDefault="00374C56" w:rsidP="00A202FD">
            <w:pPr>
              <w:spacing w:line="264" w:lineRule="auto"/>
              <w:ind w:left="57" w:right="57"/>
              <w:jc w:val="both"/>
              <w:rPr>
                <w:lang w:eastAsia="en-US"/>
              </w:rPr>
            </w:pPr>
            <w:r w:rsidRPr="009077F5">
              <w:rPr>
                <w:lang w:eastAsia="en-US"/>
              </w:rPr>
              <w:t>a</w:t>
            </w:r>
          </w:p>
        </w:tc>
        <w:tc>
          <w:tcPr>
            <w:tcW w:w="8298" w:type="dxa"/>
            <w:tcBorders>
              <w:top w:val="single" w:sz="4" w:space="0" w:color="000000"/>
              <w:left w:val="single" w:sz="4" w:space="0" w:color="000000"/>
              <w:bottom w:val="single" w:sz="4" w:space="0" w:color="000000"/>
              <w:right w:val="single" w:sz="4" w:space="0" w:color="000000"/>
            </w:tcBorders>
          </w:tcPr>
          <w:p w14:paraId="57AD4334" w14:textId="07BA81C2" w:rsidR="00374C56" w:rsidRPr="009077F5" w:rsidRDefault="00374C56" w:rsidP="00A202FD">
            <w:pPr>
              <w:spacing w:line="264" w:lineRule="auto"/>
              <w:ind w:left="57" w:right="57"/>
              <w:jc w:val="both"/>
              <w:rPr>
                <w:lang w:eastAsia="en-US"/>
              </w:rPr>
            </w:pPr>
            <w:r w:rsidRPr="009077F5">
              <w:rPr>
                <w:lang w:eastAsia="en-US"/>
              </w:rPr>
              <w:t>Düşük buhar basıncına sahip bir proses reaktifinin (</w:t>
            </w:r>
            <w:r w:rsidR="00416DA0" w:rsidRPr="009077F5">
              <w:rPr>
                <w:lang w:eastAsia="en-US"/>
              </w:rPr>
              <w:t>solvent</w:t>
            </w:r>
            <w:r w:rsidRPr="009077F5">
              <w:rPr>
                <w:lang w:eastAsia="en-US"/>
              </w:rPr>
              <w:t>) kullanılması</w:t>
            </w:r>
          </w:p>
        </w:tc>
      </w:tr>
      <w:tr w:rsidR="00374C56" w:rsidRPr="00404A26" w14:paraId="243354F7" w14:textId="77777777" w:rsidTr="00374C56">
        <w:tc>
          <w:tcPr>
            <w:tcW w:w="422" w:type="dxa"/>
            <w:tcBorders>
              <w:top w:val="single" w:sz="4" w:space="0" w:color="000000"/>
              <w:left w:val="single" w:sz="4" w:space="0" w:color="000000"/>
              <w:bottom w:val="single" w:sz="4" w:space="0" w:color="000000"/>
              <w:right w:val="single" w:sz="4" w:space="0" w:color="000000"/>
            </w:tcBorders>
            <w:vAlign w:val="center"/>
          </w:tcPr>
          <w:p w14:paraId="41C2F81F" w14:textId="77777777" w:rsidR="00374C56" w:rsidRPr="009077F5" w:rsidRDefault="00374C56" w:rsidP="00A202FD">
            <w:pPr>
              <w:spacing w:line="264" w:lineRule="auto"/>
              <w:ind w:left="57" w:right="57"/>
              <w:jc w:val="both"/>
              <w:rPr>
                <w:lang w:eastAsia="en-US"/>
              </w:rPr>
            </w:pPr>
            <w:r w:rsidRPr="009077F5">
              <w:rPr>
                <w:lang w:eastAsia="en-US"/>
              </w:rPr>
              <w:t>b</w:t>
            </w:r>
          </w:p>
        </w:tc>
        <w:tc>
          <w:tcPr>
            <w:tcW w:w="8298" w:type="dxa"/>
            <w:tcBorders>
              <w:top w:val="single" w:sz="4" w:space="0" w:color="000000"/>
              <w:left w:val="single" w:sz="4" w:space="0" w:color="000000"/>
              <w:bottom w:val="single" w:sz="4" w:space="0" w:color="000000"/>
              <w:right w:val="single" w:sz="4" w:space="0" w:color="000000"/>
            </w:tcBorders>
          </w:tcPr>
          <w:p w14:paraId="6FB59573" w14:textId="77777777" w:rsidR="00374C56" w:rsidRPr="009077F5" w:rsidRDefault="00374C56" w:rsidP="00A202FD">
            <w:pPr>
              <w:spacing w:line="264" w:lineRule="auto"/>
              <w:ind w:left="57" w:right="57"/>
              <w:jc w:val="both"/>
              <w:rPr>
                <w:lang w:eastAsia="en-US"/>
              </w:rPr>
            </w:pPr>
            <w:r w:rsidRPr="009077F5">
              <w:rPr>
                <w:lang w:eastAsia="en-US"/>
              </w:rPr>
              <w:t>Kapalı karıştırma tankları, kapalı çöktürücüler ve kapalı depolama tankları gibi kapalı ekipmanların kullanılması</w:t>
            </w:r>
          </w:p>
        </w:tc>
      </w:tr>
    </w:tbl>
    <w:p w14:paraId="604F48B1" w14:textId="77777777" w:rsidR="00374C56" w:rsidRPr="00404A26" w:rsidRDefault="00374C56" w:rsidP="00A202FD">
      <w:pPr>
        <w:jc w:val="both"/>
        <w:rPr>
          <w:lang w:eastAsia="en-US"/>
        </w:rPr>
      </w:pPr>
    </w:p>
    <w:p w14:paraId="5CA49AA5" w14:textId="25C26DD2" w:rsidR="00374C56" w:rsidRPr="00404A26" w:rsidRDefault="00460967" w:rsidP="00A202FD">
      <w:pPr>
        <w:pStyle w:val="MET"/>
        <w:rPr>
          <w:b w:val="0"/>
          <w:bCs/>
          <w:szCs w:val="24"/>
        </w:rPr>
      </w:pPr>
      <w:r w:rsidRPr="00404A26">
        <w:rPr>
          <w:szCs w:val="24"/>
        </w:rPr>
        <w:t>MET 48:</w:t>
      </w:r>
      <w:r w:rsidR="00416DA0" w:rsidRPr="00404A26">
        <w:rPr>
          <w:szCs w:val="24"/>
        </w:rPr>
        <w:t xml:space="preserve"> </w:t>
      </w:r>
      <w:r w:rsidR="00416DA0" w:rsidRPr="00404A26">
        <w:rPr>
          <w:b w:val="0"/>
          <w:bCs/>
          <w:szCs w:val="24"/>
        </w:rPr>
        <w:t>İkincil bakır üretiminde bakır tornalarının pirolitik işleminden, eritme, eritme, ateşle arıtma ve dönüştürme işlemlerinden havaya PCDD/F emisyonlarını azaltmak için aşağıda verilen tekniklerden birini veya bir kombinasyonu</w:t>
      </w:r>
      <w:r w:rsidR="003A678C" w:rsidRPr="00404A26">
        <w:rPr>
          <w:b w:val="0"/>
          <w:bCs/>
          <w:szCs w:val="24"/>
        </w:rPr>
        <w:t xml:space="preserve"> kullanılır</w:t>
      </w:r>
      <w:r w:rsidR="00416DA0" w:rsidRPr="00404A26">
        <w:rPr>
          <w:b w:val="0"/>
          <w:bCs/>
          <w:szCs w:val="24"/>
        </w:rPr>
        <w:t>.</w:t>
      </w:r>
    </w:p>
    <w:p w14:paraId="2EFBCB96" w14:textId="77777777" w:rsidR="00F33354" w:rsidRPr="00404A26" w:rsidRDefault="00F33354" w:rsidP="00A202FD">
      <w:pPr>
        <w:pStyle w:val="MET"/>
        <w:rPr>
          <w:szCs w:val="24"/>
        </w:rPr>
      </w:pPr>
    </w:p>
    <w:tbl>
      <w:tblPr>
        <w:tblW w:w="8721" w:type="dxa"/>
        <w:tblLayout w:type="fixed"/>
        <w:tblCellMar>
          <w:left w:w="0" w:type="dxa"/>
          <w:right w:w="0" w:type="dxa"/>
        </w:tblCellMar>
        <w:tblLook w:val="01E0" w:firstRow="1" w:lastRow="1" w:firstColumn="1" w:lastColumn="1" w:noHBand="0" w:noVBand="0"/>
      </w:tblPr>
      <w:tblGrid>
        <w:gridCol w:w="521"/>
        <w:gridCol w:w="8200"/>
      </w:tblGrid>
      <w:tr w:rsidR="00374C56" w:rsidRPr="00404A26" w14:paraId="440D6663"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31CD9ECF" w14:textId="77777777" w:rsidR="00374C56" w:rsidRPr="009077F5" w:rsidRDefault="00374C56" w:rsidP="00A202FD">
            <w:pPr>
              <w:ind w:left="57" w:right="57"/>
              <w:jc w:val="both"/>
              <w:rPr>
                <w:lang w:eastAsia="en-US"/>
              </w:rPr>
            </w:pPr>
            <w:bookmarkStart w:id="65" w:name="_Hlk522338325"/>
          </w:p>
        </w:tc>
        <w:tc>
          <w:tcPr>
            <w:tcW w:w="8200" w:type="dxa"/>
            <w:tcBorders>
              <w:top w:val="single" w:sz="4" w:space="0" w:color="000000"/>
              <w:left w:val="single" w:sz="4" w:space="0" w:color="000000"/>
              <w:bottom w:val="single" w:sz="4" w:space="0" w:color="000000"/>
              <w:right w:val="single" w:sz="4" w:space="0" w:color="000000"/>
            </w:tcBorders>
            <w:vAlign w:val="center"/>
          </w:tcPr>
          <w:p w14:paraId="38523022" w14:textId="77777777" w:rsidR="00374C56" w:rsidRPr="009077F5" w:rsidRDefault="00374C56" w:rsidP="00A202FD">
            <w:pPr>
              <w:ind w:left="57" w:right="57"/>
              <w:jc w:val="both"/>
              <w:rPr>
                <w:lang w:eastAsia="en-US"/>
              </w:rPr>
            </w:pPr>
            <w:r w:rsidRPr="009077F5">
              <w:rPr>
                <w:lang w:eastAsia="en-US"/>
              </w:rPr>
              <w:t>Teknik</w:t>
            </w:r>
          </w:p>
        </w:tc>
      </w:tr>
      <w:tr w:rsidR="00374C56" w:rsidRPr="00404A26" w14:paraId="123AF9EA"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511DBC3B" w14:textId="77777777" w:rsidR="00374C56" w:rsidRPr="009077F5" w:rsidRDefault="00374C56" w:rsidP="00A202FD">
            <w:pPr>
              <w:ind w:left="57" w:right="57"/>
              <w:jc w:val="both"/>
              <w:rPr>
                <w:lang w:eastAsia="en-US"/>
              </w:rPr>
            </w:pPr>
            <w:r w:rsidRPr="009077F5">
              <w:rPr>
                <w:lang w:eastAsia="en-US"/>
              </w:rPr>
              <w:t>a</w:t>
            </w:r>
          </w:p>
        </w:tc>
        <w:tc>
          <w:tcPr>
            <w:tcW w:w="8200" w:type="dxa"/>
            <w:tcBorders>
              <w:top w:val="single" w:sz="4" w:space="0" w:color="000000"/>
              <w:left w:val="single" w:sz="4" w:space="0" w:color="000000"/>
              <w:bottom w:val="single" w:sz="4" w:space="0" w:color="000000"/>
              <w:right w:val="single" w:sz="4" w:space="0" w:color="000000"/>
            </w:tcBorders>
          </w:tcPr>
          <w:p w14:paraId="7CCAFC38" w14:textId="77777777" w:rsidR="00374C56" w:rsidRPr="009077F5" w:rsidRDefault="00374C56" w:rsidP="00A202FD">
            <w:pPr>
              <w:ind w:left="57" w:right="57"/>
              <w:jc w:val="both"/>
              <w:rPr>
                <w:lang w:eastAsia="en-US"/>
              </w:rPr>
            </w:pPr>
            <w:r w:rsidRPr="009077F5">
              <w:rPr>
                <w:lang w:eastAsia="en-US"/>
              </w:rPr>
              <w:t>Hammaddenin fırın tipine ve kullanılan gaz azaltma tekniklerine göre seçilmesi ve beslenmesi</w:t>
            </w:r>
          </w:p>
        </w:tc>
      </w:tr>
      <w:tr w:rsidR="00374C56" w:rsidRPr="00404A26" w14:paraId="2CE877D5"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7B924C5D" w14:textId="77777777" w:rsidR="00374C56" w:rsidRPr="009077F5" w:rsidRDefault="00374C56" w:rsidP="00A202FD">
            <w:pPr>
              <w:ind w:left="57" w:right="57"/>
              <w:jc w:val="both"/>
              <w:rPr>
                <w:lang w:eastAsia="en-US"/>
              </w:rPr>
            </w:pPr>
            <w:r w:rsidRPr="009077F5">
              <w:rPr>
                <w:lang w:eastAsia="en-US"/>
              </w:rPr>
              <w:t>b</w:t>
            </w:r>
          </w:p>
        </w:tc>
        <w:tc>
          <w:tcPr>
            <w:tcW w:w="8200" w:type="dxa"/>
            <w:tcBorders>
              <w:top w:val="single" w:sz="4" w:space="0" w:color="000000"/>
              <w:left w:val="single" w:sz="4" w:space="0" w:color="000000"/>
              <w:bottom w:val="single" w:sz="4" w:space="0" w:color="000000"/>
              <w:right w:val="single" w:sz="4" w:space="0" w:color="000000"/>
            </w:tcBorders>
          </w:tcPr>
          <w:p w14:paraId="36887B21" w14:textId="77777777" w:rsidR="00374C56" w:rsidRPr="009077F5" w:rsidRDefault="00374C56" w:rsidP="00A202FD">
            <w:pPr>
              <w:ind w:left="57" w:right="57"/>
              <w:jc w:val="both"/>
              <w:rPr>
                <w:lang w:eastAsia="en-US"/>
              </w:rPr>
            </w:pPr>
            <w:r w:rsidRPr="009077F5">
              <w:rPr>
                <w:lang w:eastAsia="en-US"/>
              </w:rPr>
              <w:t>Organik bileşiklerin emisyonlarını azaltmak için yanma koşullarının optimize edilmesi</w:t>
            </w:r>
          </w:p>
        </w:tc>
      </w:tr>
      <w:tr w:rsidR="00374C56" w:rsidRPr="00404A26" w14:paraId="7F7CB9B4"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6D49EDDC" w14:textId="77777777" w:rsidR="00374C56" w:rsidRPr="009077F5" w:rsidRDefault="00374C56" w:rsidP="00A202FD">
            <w:pPr>
              <w:ind w:left="57" w:right="57"/>
              <w:jc w:val="both"/>
              <w:rPr>
                <w:lang w:eastAsia="en-US"/>
              </w:rPr>
            </w:pPr>
            <w:r w:rsidRPr="009077F5">
              <w:rPr>
                <w:lang w:eastAsia="en-US"/>
              </w:rPr>
              <w:t>c</w:t>
            </w:r>
          </w:p>
        </w:tc>
        <w:tc>
          <w:tcPr>
            <w:tcW w:w="8200" w:type="dxa"/>
            <w:tcBorders>
              <w:top w:val="single" w:sz="4" w:space="0" w:color="000000"/>
              <w:left w:val="single" w:sz="4" w:space="0" w:color="000000"/>
              <w:bottom w:val="single" w:sz="4" w:space="0" w:color="000000"/>
              <w:right w:val="single" w:sz="4" w:space="0" w:color="000000"/>
            </w:tcBorders>
          </w:tcPr>
          <w:p w14:paraId="4836F5B3" w14:textId="747910DC" w:rsidR="00374C56" w:rsidRPr="009077F5" w:rsidRDefault="00785B88" w:rsidP="00A202FD">
            <w:pPr>
              <w:ind w:left="57" w:right="57"/>
              <w:jc w:val="both"/>
              <w:rPr>
                <w:lang w:eastAsia="en-US"/>
              </w:rPr>
            </w:pPr>
            <w:r w:rsidRPr="009077F5">
              <w:rPr>
                <w:lang w:eastAsia="en-US"/>
              </w:rPr>
              <w:t>Yarı kapalı bir fırın için küçük hammadde ilaveleri sağlamak üzere şarj sistemleri kullanın</w:t>
            </w:r>
          </w:p>
        </w:tc>
      </w:tr>
      <w:tr w:rsidR="00374C56" w:rsidRPr="00404A26" w14:paraId="7A85910B"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6EED1AE2" w14:textId="77777777" w:rsidR="00374C56" w:rsidRPr="009077F5" w:rsidRDefault="00374C56" w:rsidP="00A202FD">
            <w:pPr>
              <w:ind w:left="57" w:right="57"/>
              <w:jc w:val="both"/>
              <w:rPr>
                <w:lang w:eastAsia="en-US"/>
              </w:rPr>
            </w:pPr>
            <w:r w:rsidRPr="009077F5">
              <w:rPr>
                <w:lang w:eastAsia="en-US"/>
              </w:rPr>
              <w:t>d</w:t>
            </w:r>
          </w:p>
        </w:tc>
        <w:tc>
          <w:tcPr>
            <w:tcW w:w="8200" w:type="dxa"/>
            <w:tcBorders>
              <w:top w:val="single" w:sz="4" w:space="0" w:color="000000"/>
              <w:left w:val="single" w:sz="4" w:space="0" w:color="000000"/>
              <w:bottom w:val="single" w:sz="4" w:space="0" w:color="000000"/>
              <w:right w:val="single" w:sz="4" w:space="0" w:color="000000"/>
            </w:tcBorders>
          </w:tcPr>
          <w:p w14:paraId="192D50E8" w14:textId="17BA92EE" w:rsidR="00374C56" w:rsidRPr="009077F5" w:rsidRDefault="00785B88" w:rsidP="00A202FD">
            <w:pPr>
              <w:ind w:left="57" w:right="57"/>
              <w:jc w:val="both"/>
              <w:rPr>
                <w:lang w:eastAsia="en-US"/>
              </w:rPr>
            </w:pPr>
            <w:r w:rsidRPr="009077F5">
              <w:rPr>
                <w:lang w:eastAsia="en-US"/>
              </w:rPr>
              <w:t>PCDD/F</w:t>
            </w:r>
            <w:r w:rsidR="00E56504" w:rsidRPr="009077F5">
              <w:rPr>
                <w:lang w:eastAsia="en-US"/>
              </w:rPr>
              <w:t>’</w:t>
            </w:r>
            <w:r w:rsidRPr="009077F5">
              <w:rPr>
                <w:lang w:eastAsia="en-US"/>
              </w:rPr>
              <w:t>nin fırında yüksek sıcaklıklarda (&gt; 850 °C) termal yıkımı</w:t>
            </w:r>
          </w:p>
        </w:tc>
      </w:tr>
      <w:tr w:rsidR="00374C56" w:rsidRPr="00404A26" w14:paraId="22BB0B5A"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711A5F1C" w14:textId="77777777" w:rsidR="00374C56" w:rsidRPr="009077F5" w:rsidRDefault="00374C56" w:rsidP="00A202FD">
            <w:pPr>
              <w:ind w:left="57" w:right="57"/>
              <w:jc w:val="both"/>
              <w:rPr>
                <w:lang w:eastAsia="en-US"/>
              </w:rPr>
            </w:pPr>
            <w:r w:rsidRPr="009077F5">
              <w:rPr>
                <w:lang w:eastAsia="en-US"/>
              </w:rPr>
              <w:t>e</w:t>
            </w:r>
          </w:p>
        </w:tc>
        <w:tc>
          <w:tcPr>
            <w:tcW w:w="8200" w:type="dxa"/>
            <w:tcBorders>
              <w:top w:val="single" w:sz="4" w:space="0" w:color="000000"/>
              <w:left w:val="single" w:sz="4" w:space="0" w:color="000000"/>
              <w:bottom w:val="single" w:sz="4" w:space="0" w:color="000000"/>
              <w:right w:val="single" w:sz="4" w:space="0" w:color="000000"/>
            </w:tcBorders>
          </w:tcPr>
          <w:p w14:paraId="1BBFA8CA" w14:textId="77777777" w:rsidR="00374C56" w:rsidRPr="009077F5" w:rsidRDefault="00374C56" w:rsidP="00A202FD">
            <w:pPr>
              <w:ind w:left="57" w:right="57"/>
              <w:jc w:val="both"/>
              <w:rPr>
                <w:lang w:eastAsia="en-US"/>
              </w:rPr>
            </w:pPr>
            <w:r w:rsidRPr="009077F5">
              <w:rPr>
                <w:lang w:eastAsia="en-US"/>
              </w:rPr>
              <w:t>Oksijen enjeksiyonu fırının üst bölgesinden yapılması</w:t>
            </w:r>
          </w:p>
        </w:tc>
      </w:tr>
      <w:tr w:rsidR="00374C56" w:rsidRPr="00404A26" w14:paraId="6F8FFC5B"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7CAF377C" w14:textId="77777777" w:rsidR="00374C56" w:rsidRPr="009077F5" w:rsidRDefault="00374C56" w:rsidP="00A202FD">
            <w:pPr>
              <w:ind w:left="57" w:right="57"/>
              <w:jc w:val="both"/>
              <w:rPr>
                <w:lang w:eastAsia="en-US"/>
              </w:rPr>
            </w:pPr>
            <w:r w:rsidRPr="009077F5">
              <w:rPr>
                <w:lang w:eastAsia="en-US"/>
              </w:rPr>
              <w:t>f</w:t>
            </w:r>
          </w:p>
        </w:tc>
        <w:tc>
          <w:tcPr>
            <w:tcW w:w="8200" w:type="dxa"/>
            <w:tcBorders>
              <w:top w:val="single" w:sz="4" w:space="0" w:color="000000"/>
              <w:left w:val="single" w:sz="4" w:space="0" w:color="000000"/>
              <w:bottom w:val="single" w:sz="4" w:space="0" w:color="000000"/>
              <w:right w:val="single" w:sz="4" w:space="0" w:color="000000"/>
            </w:tcBorders>
          </w:tcPr>
          <w:p w14:paraId="68F08E4D" w14:textId="77777777" w:rsidR="00374C56" w:rsidRPr="009077F5" w:rsidRDefault="00374C56" w:rsidP="00A202FD">
            <w:pPr>
              <w:ind w:left="57" w:right="57"/>
              <w:jc w:val="both"/>
              <w:rPr>
                <w:lang w:eastAsia="en-US"/>
              </w:rPr>
            </w:pPr>
            <w:r w:rsidRPr="009077F5">
              <w:rPr>
                <w:lang w:eastAsia="en-US"/>
              </w:rPr>
              <w:t>İç brülör sistemi tesis edilmesi</w:t>
            </w:r>
          </w:p>
        </w:tc>
      </w:tr>
      <w:tr w:rsidR="00374C56" w:rsidRPr="00404A26" w14:paraId="15BA4390"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01D12DD7" w14:textId="77777777" w:rsidR="00374C56" w:rsidRPr="009077F5" w:rsidRDefault="00374C56" w:rsidP="00A202FD">
            <w:pPr>
              <w:ind w:left="57" w:right="57"/>
              <w:jc w:val="both"/>
              <w:rPr>
                <w:lang w:eastAsia="en-US"/>
              </w:rPr>
            </w:pPr>
            <w:r w:rsidRPr="009077F5">
              <w:rPr>
                <w:lang w:eastAsia="en-US"/>
              </w:rPr>
              <w:t>g</w:t>
            </w:r>
          </w:p>
        </w:tc>
        <w:tc>
          <w:tcPr>
            <w:tcW w:w="8200" w:type="dxa"/>
            <w:tcBorders>
              <w:top w:val="single" w:sz="4" w:space="0" w:color="000000"/>
              <w:left w:val="single" w:sz="4" w:space="0" w:color="000000"/>
              <w:bottom w:val="single" w:sz="4" w:space="0" w:color="000000"/>
              <w:right w:val="single" w:sz="4" w:space="0" w:color="000000"/>
            </w:tcBorders>
          </w:tcPr>
          <w:p w14:paraId="50D85178" w14:textId="18667366" w:rsidR="00374C56" w:rsidRPr="009077F5" w:rsidRDefault="00785B88" w:rsidP="00A202FD">
            <w:pPr>
              <w:ind w:left="57" w:right="57"/>
              <w:jc w:val="both"/>
              <w:rPr>
                <w:lang w:eastAsia="en-US"/>
              </w:rPr>
            </w:pPr>
            <w:r w:rsidRPr="009077F5">
              <w:rPr>
                <w:lang w:eastAsia="en-US"/>
              </w:rPr>
              <w:t xml:space="preserve">Yanma sonrası odası veya son yakıcı veya rejeneratif termal oksitleyici </w:t>
            </w:r>
            <w:r w:rsidR="00374C56" w:rsidRPr="009077F5">
              <w:rPr>
                <w:lang w:eastAsia="en-US"/>
              </w:rPr>
              <w:t>(</w:t>
            </w:r>
            <w:r w:rsidR="00374C56" w:rsidRPr="009077F5">
              <w:rPr>
                <w:vertAlign w:val="superscript"/>
                <w:lang w:eastAsia="en-US"/>
              </w:rPr>
              <w:t>1</w:t>
            </w:r>
            <w:r w:rsidR="00374C56" w:rsidRPr="009077F5">
              <w:rPr>
                <w:lang w:eastAsia="en-US"/>
              </w:rPr>
              <w:t>)</w:t>
            </w:r>
          </w:p>
        </w:tc>
      </w:tr>
      <w:tr w:rsidR="00374C56" w:rsidRPr="00404A26" w14:paraId="2C1DEF3F"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25BEA310" w14:textId="77777777" w:rsidR="00374C56" w:rsidRPr="009077F5" w:rsidRDefault="00374C56" w:rsidP="00A202FD">
            <w:pPr>
              <w:ind w:left="57" w:right="57"/>
              <w:jc w:val="both"/>
              <w:rPr>
                <w:lang w:eastAsia="en-US"/>
              </w:rPr>
            </w:pPr>
            <w:r w:rsidRPr="009077F5">
              <w:rPr>
                <w:lang w:eastAsia="en-US"/>
              </w:rPr>
              <w:t>h</w:t>
            </w:r>
          </w:p>
        </w:tc>
        <w:tc>
          <w:tcPr>
            <w:tcW w:w="8200" w:type="dxa"/>
            <w:tcBorders>
              <w:top w:val="single" w:sz="4" w:space="0" w:color="000000"/>
              <w:left w:val="single" w:sz="4" w:space="0" w:color="000000"/>
              <w:bottom w:val="single" w:sz="4" w:space="0" w:color="000000"/>
              <w:right w:val="single" w:sz="4" w:space="0" w:color="000000"/>
            </w:tcBorders>
          </w:tcPr>
          <w:p w14:paraId="1D8255AF" w14:textId="77777777" w:rsidR="00374C56" w:rsidRPr="009077F5" w:rsidRDefault="00374C56" w:rsidP="00A202FD">
            <w:pPr>
              <w:ind w:left="57" w:right="57"/>
              <w:jc w:val="both"/>
              <w:rPr>
                <w:lang w:eastAsia="en-US"/>
              </w:rPr>
            </w:pPr>
            <w:r w:rsidRPr="009077F5">
              <w:rPr>
                <w:lang w:eastAsia="en-US"/>
              </w:rPr>
              <w:t>&gt;250 °C sıcaklıklarda, yüksek miktarda toz oluşturan egzoz sistemlerinden kaçınılması</w:t>
            </w:r>
          </w:p>
        </w:tc>
      </w:tr>
      <w:tr w:rsidR="00374C56" w:rsidRPr="00404A26" w14:paraId="218233AF"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1370011B" w14:textId="77777777" w:rsidR="00374C56" w:rsidRPr="009077F5" w:rsidRDefault="00374C56" w:rsidP="00A202FD">
            <w:pPr>
              <w:ind w:left="57" w:right="57"/>
              <w:jc w:val="both"/>
              <w:rPr>
                <w:lang w:eastAsia="en-US"/>
              </w:rPr>
            </w:pPr>
            <w:r w:rsidRPr="009077F5">
              <w:rPr>
                <w:lang w:eastAsia="en-US"/>
              </w:rPr>
              <w:t>i</w:t>
            </w:r>
          </w:p>
        </w:tc>
        <w:tc>
          <w:tcPr>
            <w:tcW w:w="8200" w:type="dxa"/>
            <w:tcBorders>
              <w:top w:val="single" w:sz="4" w:space="0" w:color="000000"/>
              <w:left w:val="single" w:sz="4" w:space="0" w:color="000000"/>
              <w:bottom w:val="single" w:sz="4" w:space="0" w:color="000000"/>
              <w:right w:val="single" w:sz="4" w:space="0" w:color="000000"/>
            </w:tcBorders>
          </w:tcPr>
          <w:p w14:paraId="4AE72BA5" w14:textId="76885972" w:rsidR="00374C56" w:rsidRPr="009077F5" w:rsidRDefault="00374C56" w:rsidP="00A202FD">
            <w:pPr>
              <w:ind w:left="57" w:right="57"/>
              <w:jc w:val="both"/>
              <w:rPr>
                <w:lang w:eastAsia="en-US"/>
              </w:rPr>
            </w:pPr>
            <w:r w:rsidRPr="009077F5">
              <w:rPr>
                <w:lang w:eastAsia="en-US"/>
              </w:rPr>
              <w:t>Hızlı su</w:t>
            </w:r>
            <w:r w:rsidR="00785B88" w:rsidRPr="009077F5">
              <w:rPr>
                <w:lang w:eastAsia="en-US"/>
              </w:rPr>
              <w:t xml:space="preserve"> </w:t>
            </w:r>
            <w:r w:rsidRPr="009077F5">
              <w:rPr>
                <w:lang w:eastAsia="en-US"/>
              </w:rPr>
              <w:t>verme</w:t>
            </w:r>
            <w:r w:rsidR="00785B88" w:rsidRPr="009077F5">
              <w:rPr>
                <w:lang w:eastAsia="en-US"/>
              </w:rPr>
              <w:t xml:space="preserve"> işlemi</w:t>
            </w:r>
            <w:r w:rsidRPr="009077F5">
              <w:rPr>
                <w:lang w:eastAsia="en-US"/>
              </w:rPr>
              <w:t xml:space="preserve"> (</w:t>
            </w:r>
            <w:r w:rsidRPr="009077F5">
              <w:rPr>
                <w:vertAlign w:val="superscript"/>
                <w:lang w:eastAsia="en-US"/>
              </w:rPr>
              <w:t>1</w:t>
            </w:r>
            <w:r w:rsidRPr="009077F5">
              <w:rPr>
                <w:lang w:eastAsia="en-US"/>
              </w:rPr>
              <w:t>)</w:t>
            </w:r>
          </w:p>
        </w:tc>
      </w:tr>
      <w:tr w:rsidR="00374C56" w:rsidRPr="00404A26" w14:paraId="17D03BF1"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1B0572C7" w14:textId="77777777" w:rsidR="00374C56" w:rsidRPr="009077F5" w:rsidRDefault="00374C56" w:rsidP="00A202FD">
            <w:pPr>
              <w:ind w:left="57" w:right="57"/>
              <w:jc w:val="both"/>
              <w:rPr>
                <w:lang w:eastAsia="en-US"/>
              </w:rPr>
            </w:pPr>
            <w:r w:rsidRPr="009077F5">
              <w:rPr>
                <w:lang w:eastAsia="en-US"/>
              </w:rPr>
              <w:t>j</w:t>
            </w:r>
          </w:p>
        </w:tc>
        <w:tc>
          <w:tcPr>
            <w:tcW w:w="8200" w:type="dxa"/>
            <w:tcBorders>
              <w:top w:val="single" w:sz="4" w:space="0" w:color="000000"/>
              <w:left w:val="single" w:sz="4" w:space="0" w:color="000000"/>
              <w:bottom w:val="single" w:sz="4" w:space="0" w:color="000000"/>
              <w:right w:val="single" w:sz="4" w:space="0" w:color="000000"/>
            </w:tcBorders>
          </w:tcPr>
          <w:p w14:paraId="3B110A98" w14:textId="5BACCECA" w:rsidR="00374C56" w:rsidRPr="009077F5" w:rsidRDefault="00374C56" w:rsidP="00A202FD">
            <w:pPr>
              <w:ind w:left="57" w:right="57"/>
              <w:jc w:val="both"/>
              <w:rPr>
                <w:lang w:eastAsia="en-US"/>
              </w:rPr>
            </w:pPr>
            <w:r w:rsidRPr="009077F5">
              <w:rPr>
                <w:lang w:eastAsia="en-US"/>
              </w:rPr>
              <w:t xml:space="preserve">Etkin bir toz toplama sistemi ile birlikte adsorpsiyon </w:t>
            </w:r>
            <w:r w:rsidR="00977A16" w:rsidRPr="009077F5">
              <w:rPr>
                <w:lang w:eastAsia="en-US"/>
              </w:rPr>
              <w:t xml:space="preserve">maddesinin </w:t>
            </w:r>
            <w:r w:rsidRPr="009077F5">
              <w:rPr>
                <w:lang w:eastAsia="en-US"/>
              </w:rPr>
              <w:t>enjeksiyonu (</w:t>
            </w:r>
            <w:r w:rsidRPr="009077F5">
              <w:rPr>
                <w:vertAlign w:val="superscript"/>
                <w:lang w:eastAsia="en-US"/>
              </w:rPr>
              <w:t>1</w:t>
            </w:r>
            <w:r w:rsidRPr="009077F5">
              <w:rPr>
                <w:lang w:eastAsia="en-US"/>
              </w:rPr>
              <w:t>)</w:t>
            </w:r>
          </w:p>
        </w:tc>
      </w:tr>
      <w:tr w:rsidR="00374C56" w:rsidRPr="00404A26" w14:paraId="30EAFB0A" w14:textId="77777777" w:rsidTr="00374C56">
        <w:tc>
          <w:tcPr>
            <w:tcW w:w="8721" w:type="dxa"/>
            <w:gridSpan w:val="2"/>
            <w:tcBorders>
              <w:top w:val="single" w:sz="4" w:space="0" w:color="000000"/>
              <w:left w:val="single" w:sz="4" w:space="0" w:color="000000"/>
              <w:bottom w:val="single" w:sz="4" w:space="0" w:color="000000"/>
              <w:right w:val="single" w:sz="4" w:space="0" w:color="000000"/>
            </w:tcBorders>
            <w:vAlign w:val="center"/>
          </w:tcPr>
          <w:p w14:paraId="2A985469" w14:textId="7A6F0A79" w:rsidR="00374C56" w:rsidRPr="009077F5" w:rsidRDefault="00374C56" w:rsidP="00A202FD">
            <w:pPr>
              <w:ind w:left="57" w:right="57"/>
              <w:jc w:val="both"/>
              <w:rPr>
                <w:lang w:eastAsia="en-US"/>
              </w:rPr>
            </w:pPr>
            <w:r w:rsidRPr="009077F5">
              <w:rPr>
                <w:sz w:val="20"/>
                <w:szCs w:val="20"/>
                <w:lang w:eastAsia="en-US"/>
              </w:rPr>
              <w:t>(</w:t>
            </w:r>
            <w:r w:rsidRPr="009077F5">
              <w:rPr>
                <w:sz w:val="20"/>
                <w:szCs w:val="20"/>
                <w:vertAlign w:val="superscript"/>
                <w:lang w:eastAsia="en-US"/>
              </w:rPr>
              <w:t>1</w:t>
            </w:r>
            <w:r w:rsidRPr="009077F5">
              <w:rPr>
                <w:sz w:val="20"/>
                <w:szCs w:val="20"/>
                <w:lang w:eastAsia="en-US"/>
              </w:rPr>
              <w:t>) : Tekniklerin açıklamaları Bölüm 1.10</w:t>
            </w:r>
            <w:r w:rsidR="00E56504" w:rsidRPr="009077F5">
              <w:rPr>
                <w:sz w:val="20"/>
                <w:szCs w:val="20"/>
                <w:lang w:eastAsia="en-US"/>
              </w:rPr>
              <w:t>’</w:t>
            </w:r>
            <w:r w:rsidRPr="009077F5">
              <w:rPr>
                <w:sz w:val="20"/>
                <w:szCs w:val="20"/>
                <w:lang w:eastAsia="en-US"/>
              </w:rPr>
              <w:t>da verilmiştir</w:t>
            </w:r>
            <w:r w:rsidRPr="009077F5">
              <w:rPr>
                <w:lang w:eastAsia="en-US"/>
              </w:rPr>
              <w:t>.</w:t>
            </w:r>
          </w:p>
        </w:tc>
      </w:tr>
      <w:bookmarkEnd w:id="65"/>
    </w:tbl>
    <w:p w14:paraId="41AD7FA1" w14:textId="77777777" w:rsidR="00374C56" w:rsidRPr="00404A26" w:rsidRDefault="00374C56" w:rsidP="00A202FD">
      <w:pPr>
        <w:jc w:val="both"/>
        <w:rPr>
          <w:lang w:eastAsia="en-US"/>
        </w:rPr>
      </w:pPr>
    </w:p>
    <w:p w14:paraId="38062AE4" w14:textId="77777777" w:rsidR="00374C56" w:rsidRPr="00404A26" w:rsidRDefault="00374C56" w:rsidP="00A202FD">
      <w:pPr>
        <w:jc w:val="both"/>
        <w:rPr>
          <w:lang w:eastAsia="en-US"/>
        </w:rPr>
      </w:pPr>
      <w:r w:rsidRPr="00404A26">
        <w:rPr>
          <w:b/>
          <w:lang w:eastAsia="en-US"/>
        </w:rPr>
        <w:t>MET ile ilişkili emisyon seviyeleri:</w:t>
      </w:r>
      <w:r w:rsidRPr="00404A26">
        <w:rPr>
          <w:lang w:eastAsia="en-US"/>
        </w:rPr>
        <w:t xml:space="preserve"> </w:t>
      </w:r>
      <w:r w:rsidRPr="00404A26">
        <w:rPr>
          <w:i/>
          <w:lang w:eastAsia="en-US"/>
        </w:rPr>
        <w:t>bkz.</w:t>
      </w:r>
      <w:r w:rsidRPr="00404A26">
        <w:rPr>
          <w:lang w:eastAsia="en-US"/>
        </w:rPr>
        <w:t xml:space="preserve"> Tablo 5.</w:t>
      </w:r>
    </w:p>
    <w:p w14:paraId="5FA839C7" w14:textId="77777777" w:rsidR="00374C56" w:rsidRPr="00404A26" w:rsidRDefault="00374C56" w:rsidP="00A202FD">
      <w:pPr>
        <w:jc w:val="both"/>
        <w:rPr>
          <w:lang w:eastAsia="en-US"/>
        </w:rPr>
      </w:pPr>
    </w:p>
    <w:p w14:paraId="1CC6F30D" w14:textId="77777777" w:rsidR="001023C7" w:rsidRPr="00404A26" w:rsidRDefault="00374C56" w:rsidP="00A202FD">
      <w:pPr>
        <w:jc w:val="both"/>
        <w:rPr>
          <w:bCs/>
          <w:iCs/>
          <w:spacing w:val="2"/>
          <w:lang w:eastAsia="en-US"/>
        </w:rPr>
      </w:pPr>
      <w:bookmarkStart w:id="66" w:name="_Toc531927946"/>
      <w:r w:rsidRPr="00404A26">
        <w:rPr>
          <w:bCs/>
          <w:iCs/>
          <w:spacing w:val="2"/>
          <w:lang w:eastAsia="en-US"/>
        </w:rPr>
        <w:t xml:space="preserve">Tablo </w:t>
      </w:r>
      <w:r w:rsidRPr="00404A26">
        <w:rPr>
          <w:bCs/>
          <w:iCs/>
          <w:noProof/>
          <w:spacing w:val="2"/>
          <w:lang w:eastAsia="en-US"/>
        </w:rPr>
        <w:t>5</w:t>
      </w:r>
      <w:bookmarkEnd w:id="66"/>
    </w:p>
    <w:p w14:paraId="53BD7609" w14:textId="4C77DF86" w:rsidR="00374C56" w:rsidRPr="00404A26" w:rsidRDefault="00986619" w:rsidP="00A202FD">
      <w:pPr>
        <w:jc w:val="both"/>
        <w:rPr>
          <w:bCs/>
          <w:iCs/>
          <w:spacing w:val="2"/>
          <w:lang w:eastAsia="en-US"/>
        </w:rPr>
      </w:pPr>
      <w:r w:rsidRPr="00404A26">
        <w:rPr>
          <w:bCs/>
          <w:iCs/>
          <w:spacing w:val="2"/>
          <w:lang w:eastAsia="en-US"/>
        </w:rPr>
        <w:t>İkincil bakır üretiminde bakır talaşlarının pirolitik arıtımı, izabe, eritme, ateşle rafine etme ve dönüştürme işlemlerinden havaya PCDD/F emisyonları için MET ile ilişkili emisyon seviyeleri.</w:t>
      </w:r>
    </w:p>
    <w:p w14:paraId="2DC704B4" w14:textId="77777777" w:rsidR="00F33354" w:rsidRPr="00404A26" w:rsidRDefault="00F33354" w:rsidP="00A202FD">
      <w:pPr>
        <w:jc w:val="both"/>
        <w:rPr>
          <w:bCs/>
          <w:iCs/>
          <w:spacing w:val="2"/>
          <w:lang w:eastAsia="en-US"/>
        </w:rPr>
      </w:pPr>
    </w:p>
    <w:tbl>
      <w:tblPr>
        <w:tblW w:w="0" w:type="auto"/>
        <w:tblLayout w:type="fixed"/>
        <w:tblCellMar>
          <w:left w:w="0" w:type="dxa"/>
          <w:right w:w="0" w:type="dxa"/>
        </w:tblCellMar>
        <w:tblLook w:val="01E0" w:firstRow="1" w:lastRow="1" w:firstColumn="1" w:lastColumn="1" w:noHBand="0" w:noVBand="0"/>
      </w:tblPr>
      <w:tblGrid>
        <w:gridCol w:w="2989"/>
        <w:gridCol w:w="5535"/>
      </w:tblGrid>
      <w:tr w:rsidR="00374C56" w:rsidRPr="00404A26" w14:paraId="2BF419D6" w14:textId="77777777" w:rsidTr="00374C56">
        <w:trPr>
          <w:trHeight w:val="340"/>
        </w:trPr>
        <w:tc>
          <w:tcPr>
            <w:tcW w:w="2989" w:type="dxa"/>
            <w:tcBorders>
              <w:top w:val="single" w:sz="4" w:space="0" w:color="000000"/>
              <w:left w:val="single" w:sz="4" w:space="0" w:color="000000"/>
              <w:bottom w:val="single" w:sz="4" w:space="0" w:color="000000"/>
              <w:right w:val="single" w:sz="4" w:space="0" w:color="000000"/>
            </w:tcBorders>
            <w:vAlign w:val="center"/>
          </w:tcPr>
          <w:p w14:paraId="266622F2" w14:textId="77777777" w:rsidR="00374C56" w:rsidRPr="009077F5" w:rsidRDefault="00374C56" w:rsidP="00A202FD">
            <w:pPr>
              <w:spacing w:line="264" w:lineRule="auto"/>
              <w:ind w:left="57" w:right="57"/>
              <w:jc w:val="both"/>
              <w:rPr>
                <w:lang w:eastAsia="en-US"/>
              </w:rPr>
            </w:pPr>
            <w:r w:rsidRPr="009077F5">
              <w:rPr>
                <w:b/>
                <w:bCs/>
                <w:lang w:eastAsia="en-US"/>
              </w:rPr>
              <w:t>Parametre</w:t>
            </w:r>
          </w:p>
        </w:tc>
        <w:tc>
          <w:tcPr>
            <w:tcW w:w="5535" w:type="dxa"/>
            <w:tcBorders>
              <w:top w:val="single" w:sz="4" w:space="0" w:color="000000"/>
              <w:left w:val="single" w:sz="4" w:space="0" w:color="000000"/>
              <w:bottom w:val="single" w:sz="4" w:space="0" w:color="000000"/>
              <w:right w:val="single" w:sz="4" w:space="0" w:color="000000"/>
            </w:tcBorders>
            <w:vAlign w:val="center"/>
          </w:tcPr>
          <w:p w14:paraId="37575211" w14:textId="77777777" w:rsidR="00374C56" w:rsidRPr="009077F5" w:rsidRDefault="00374C56" w:rsidP="00A202FD">
            <w:pPr>
              <w:spacing w:line="264" w:lineRule="auto"/>
              <w:ind w:left="57" w:right="57"/>
              <w:jc w:val="both"/>
              <w:rPr>
                <w:lang w:eastAsia="en-US"/>
              </w:rPr>
            </w:pPr>
            <w:r w:rsidRPr="009077F5">
              <w:rPr>
                <w:b/>
                <w:bCs/>
                <w:lang w:eastAsia="en-US"/>
              </w:rPr>
              <w:t>MET-İES (ng I-TEQ/Nm</w:t>
            </w:r>
            <w:r w:rsidRPr="009077F5">
              <w:rPr>
                <w:b/>
                <w:bCs/>
                <w:vertAlign w:val="superscript"/>
                <w:lang w:eastAsia="en-US"/>
              </w:rPr>
              <w:t>3</w:t>
            </w:r>
            <w:r w:rsidRPr="009077F5">
              <w:rPr>
                <w:b/>
                <w:bCs/>
                <w:lang w:eastAsia="en-US"/>
              </w:rPr>
              <w:t>) (</w:t>
            </w:r>
            <w:r w:rsidRPr="009077F5">
              <w:rPr>
                <w:b/>
                <w:bCs/>
                <w:vertAlign w:val="superscript"/>
                <w:lang w:eastAsia="en-US"/>
              </w:rPr>
              <w:t>1</w:t>
            </w:r>
            <w:r w:rsidRPr="009077F5">
              <w:rPr>
                <w:b/>
                <w:bCs/>
                <w:lang w:eastAsia="en-US"/>
              </w:rPr>
              <w:t>)</w:t>
            </w:r>
          </w:p>
        </w:tc>
      </w:tr>
      <w:tr w:rsidR="00374C56" w:rsidRPr="00404A26" w14:paraId="6A848FA8" w14:textId="77777777" w:rsidTr="00374C56">
        <w:tc>
          <w:tcPr>
            <w:tcW w:w="2989" w:type="dxa"/>
            <w:tcBorders>
              <w:top w:val="single" w:sz="4" w:space="0" w:color="000000"/>
              <w:left w:val="single" w:sz="4" w:space="0" w:color="000000"/>
              <w:bottom w:val="single" w:sz="4" w:space="0" w:color="000000"/>
              <w:right w:val="single" w:sz="4" w:space="0" w:color="000000"/>
            </w:tcBorders>
            <w:vAlign w:val="center"/>
          </w:tcPr>
          <w:p w14:paraId="4E900168" w14:textId="77777777" w:rsidR="00374C56" w:rsidRPr="009077F5" w:rsidRDefault="00374C56" w:rsidP="00A202FD">
            <w:pPr>
              <w:spacing w:line="264" w:lineRule="auto"/>
              <w:ind w:left="57" w:right="57"/>
              <w:jc w:val="both"/>
              <w:rPr>
                <w:lang w:eastAsia="en-US"/>
              </w:rPr>
            </w:pPr>
            <w:r w:rsidRPr="009077F5">
              <w:rPr>
                <w:lang w:eastAsia="en-US"/>
              </w:rPr>
              <w:t>PCDD/F</w:t>
            </w:r>
          </w:p>
        </w:tc>
        <w:tc>
          <w:tcPr>
            <w:tcW w:w="5535" w:type="dxa"/>
            <w:tcBorders>
              <w:top w:val="single" w:sz="4" w:space="0" w:color="000000"/>
              <w:left w:val="single" w:sz="4" w:space="0" w:color="000000"/>
              <w:bottom w:val="single" w:sz="4" w:space="0" w:color="000000"/>
              <w:right w:val="single" w:sz="4" w:space="0" w:color="000000"/>
            </w:tcBorders>
            <w:vAlign w:val="center"/>
          </w:tcPr>
          <w:p w14:paraId="0592C462" w14:textId="77777777" w:rsidR="00374C56" w:rsidRPr="009077F5" w:rsidRDefault="00374C56" w:rsidP="00A202FD">
            <w:pPr>
              <w:spacing w:line="264" w:lineRule="auto"/>
              <w:ind w:left="57" w:right="57"/>
              <w:jc w:val="both"/>
              <w:rPr>
                <w:lang w:eastAsia="en-US"/>
              </w:rPr>
            </w:pPr>
            <w:r w:rsidRPr="009077F5">
              <w:rPr>
                <w:lang w:eastAsia="en-US"/>
              </w:rPr>
              <w:t>≤ 0,1</w:t>
            </w:r>
          </w:p>
        </w:tc>
      </w:tr>
      <w:tr w:rsidR="00374C56" w:rsidRPr="00404A26" w14:paraId="5229FC67" w14:textId="77777777" w:rsidTr="00374C56">
        <w:tc>
          <w:tcPr>
            <w:tcW w:w="8524" w:type="dxa"/>
            <w:gridSpan w:val="2"/>
            <w:tcBorders>
              <w:top w:val="single" w:sz="4" w:space="0" w:color="000000"/>
              <w:left w:val="single" w:sz="4" w:space="0" w:color="000000"/>
              <w:bottom w:val="single" w:sz="4" w:space="0" w:color="000000"/>
              <w:right w:val="single" w:sz="4" w:space="0" w:color="000000"/>
            </w:tcBorders>
            <w:vAlign w:val="center"/>
          </w:tcPr>
          <w:p w14:paraId="7A8818BD" w14:textId="7E478AA9" w:rsidR="00374C56" w:rsidRPr="009077F5" w:rsidRDefault="00374C56" w:rsidP="00A202FD">
            <w:pPr>
              <w:spacing w:before="40" w:after="40" w:line="264" w:lineRule="auto"/>
              <w:ind w:left="57" w:right="57"/>
              <w:jc w:val="both"/>
              <w:rPr>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w:t>
            </w:r>
            <w:r w:rsidRPr="009077F5">
              <w:rPr>
                <w:sz w:val="20"/>
                <w:szCs w:val="20"/>
                <w:lang w:eastAsia="en-US"/>
              </w:rPr>
              <w:t xml:space="preserve"> En az altı saat boyunca yapılan ölçümlerin ortalaması</w:t>
            </w:r>
          </w:p>
        </w:tc>
      </w:tr>
    </w:tbl>
    <w:p w14:paraId="2FC4CB11" w14:textId="77777777" w:rsidR="00374C56" w:rsidRPr="00E73DA3" w:rsidRDefault="00374C56" w:rsidP="00A202FD">
      <w:pPr>
        <w:jc w:val="both"/>
        <w:rPr>
          <w:lang w:eastAsia="en-US"/>
        </w:rPr>
      </w:pPr>
    </w:p>
    <w:p w14:paraId="2BAF283D" w14:textId="23CBC3FE" w:rsidR="00374C56" w:rsidRPr="00404A26" w:rsidRDefault="00374C56" w:rsidP="00A202FD">
      <w:pPr>
        <w:jc w:val="both"/>
        <w:rPr>
          <w:lang w:eastAsia="en-US"/>
        </w:rPr>
      </w:pPr>
      <w:r w:rsidRPr="00BF4451">
        <w:rPr>
          <w:lang w:eastAsia="en-US"/>
        </w:rPr>
        <w:t>İ</w:t>
      </w:r>
      <w:r w:rsidR="00986619" w:rsidRPr="00BF4451">
        <w:rPr>
          <w:lang w:eastAsia="en-US"/>
        </w:rPr>
        <w:t>lgili i</w:t>
      </w:r>
      <w:r w:rsidRPr="00BF4451">
        <w:rPr>
          <w:lang w:eastAsia="en-US"/>
        </w:rPr>
        <w:t>zleme MET 10</w:t>
      </w:r>
      <w:r w:rsidR="00E56504" w:rsidRPr="00BF4451">
        <w:rPr>
          <w:lang w:eastAsia="en-US"/>
        </w:rPr>
        <w:t>’</w:t>
      </w:r>
      <w:r w:rsidRPr="00CB4CD4">
        <w:rPr>
          <w:lang w:eastAsia="en-US"/>
        </w:rPr>
        <w:t>da</w:t>
      </w:r>
      <w:r w:rsidR="00986619" w:rsidRPr="00404A26">
        <w:rPr>
          <w:lang w:eastAsia="en-US"/>
        </w:rPr>
        <w:t xml:space="preserve"> yer almakta</w:t>
      </w:r>
      <w:r w:rsidRPr="00404A26">
        <w:rPr>
          <w:lang w:eastAsia="en-US"/>
        </w:rPr>
        <w:t>dır.</w:t>
      </w:r>
    </w:p>
    <w:p w14:paraId="79A77690" w14:textId="77777777" w:rsidR="00374C56" w:rsidRPr="00404A26" w:rsidRDefault="00374C56" w:rsidP="00A202FD">
      <w:pPr>
        <w:jc w:val="both"/>
        <w:rPr>
          <w:lang w:eastAsia="en-US"/>
        </w:rPr>
      </w:pPr>
    </w:p>
    <w:p w14:paraId="287C5A51" w14:textId="6D8B8D84" w:rsidR="00374C56" w:rsidRPr="00D53A2B" w:rsidRDefault="00986619"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2.3.4.</w:t>
      </w:r>
      <w:r w:rsidRPr="00D53A2B">
        <w:rPr>
          <w:rFonts w:cs="Times New Roman"/>
          <w:lang w:eastAsia="en-US"/>
        </w:rPr>
        <w:t xml:space="preserve"> </w:t>
      </w:r>
      <w:r w:rsidR="00374C56" w:rsidRPr="00D53A2B">
        <w:rPr>
          <w:rFonts w:eastAsia="Arial" w:cs="Times New Roman"/>
          <w:lang w:eastAsia="en-US"/>
        </w:rPr>
        <w:t>Sülfür dioksit emisyonları</w:t>
      </w:r>
    </w:p>
    <w:p w14:paraId="45A18D66" w14:textId="0DCA1A8E" w:rsidR="00374C56" w:rsidRPr="00D53A2B" w:rsidRDefault="00374C56" w:rsidP="00A202FD">
      <w:pPr>
        <w:spacing w:after="240"/>
        <w:jc w:val="both"/>
        <w:rPr>
          <w:lang w:eastAsia="en-US"/>
        </w:rPr>
      </w:pPr>
      <w:r w:rsidRPr="00D53A2B">
        <w:rPr>
          <w:lang w:eastAsia="en-US"/>
        </w:rPr>
        <w:t>Bu bölümde bulunan tekniklerin açıklamaları Bölüm 1.10</w:t>
      </w:r>
      <w:r w:rsidR="00E56504" w:rsidRPr="00D53A2B">
        <w:rPr>
          <w:lang w:eastAsia="en-US"/>
        </w:rPr>
        <w:t>’</w:t>
      </w:r>
      <w:r w:rsidRPr="00D53A2B">
        <w:rPr>
          <w:lang w:eastAsia="en-US"/>
        </w:rPr>
        <w:t>da verilmiştir.</w:t>
      </w:r>
    </w:p>
    <w:p w14:paraId="61BA4FD4" w14:textId="78D5DBF7" w:rsidR="00374C56" w:rsidRPr="00D53A2B" w:rsidRDefault="00921606" w:rsidP="00A202FD">
      <w:pPr>
        <w:pStyle w:val="MET"/>
        <w:rPr>
          <w:szCs w:val="24"/>
        </w:rPr>
      </w:pPr>
      <w:r w:rsidRPr="00D53A2B">
        <w:rPr>
          <w:szCs w:val="24"/>
        </w:rPr>
        <w:t>MET 49:</w:t>
      </w:r>
      <w:r w:rsidR="001401A9" w:rsidRPr="00D53A2B">
        <w:rPr>
          <w:szCs w:val="24"/>
        </w:rPr>
        <w:t xml:space="preserve"> </w:t>
      </w:r>
      <w:r w:rsidR="001401A9" w:rsidRPr="00D53A2B">
        <w:rPr>
          <w:b w:val="0"/>
          <w:bCs/>
          <w:szCs w:val="24"/>
        </w:rPr>
        <w:t>Birincil ve ikincil bakır üretiminden kaynaklanan SO</w:t>
      </w:r>
      <w:r w:rsidR="001401A9" w:rsidRPr="00D53A2B">
        <w:rPr>
          <w:b w:val="0"/>
          <w:bCs/>
          <w:szCs w:val="24"/>
          <w:vertAlign w:val="subscript"/>
        </w:rPr>
        <w:t>2</w:t>
      </w:r>
      <w:r w:rsidR="001401A9" w:rsidRPr="00D53A2B">
        <w:rPr>
          <w:b w:val="0"/>
          <w:bCs/>
          <w:szCs w:val="24"/>
        </w:rPr>
        <w:t xml:space="preserve"> emisyonlarını (sülfürik asit veya sıvı </w:t>
      </w:r>
      <w:r w:rsidR="003A678C" w:rsidRPr="00D53A2B">
        <w:rPr>
          <w:b w:val="0"/>
          <w:bCs/>
          <w:szCs w:val="24"/>
        </w:rPr>
        <w:t>SO</w:t>
      </w:r>
      <w:r w:rsidR="003A678C" w:rsidRPr="00D53A2B">
        <w:rPr>
          <w:b w:val="0"/>
          <w:bCs/>
          <w:szCs w:val="24"/>
          <w:vertAlign w:val="subscript"/>
        </w:rPr>
        <w:t xml:space="preserve">2 </w:t>
      </w:r>
      <w:r w:rsidR="001401A9" w:rsidRPr="00D53A2B">
        <w:rPr>
          <w:b w:val="0"/>
          <w:bCs/>
          <w:szCs w:val="24"/>
        </w:rPr>
        <w:t>tesisine veya enerji santraline yönlendirilenler hariç) azaltmak için, aşağıda verilen tekniklerden birini veya bir kombinasyonu</w:t>
      </w:r>
      <w:r w:rsidR="003A678C" w:rsidRPr="00D53A2B">
        <w:rPr>
          <w:b w:val="0"/>
          <w:bCs/>
          <w:szCs w:val="24"/>
        </w:rPr>
        <w:t xml:space="preserve"> kullanılır</w:t>
      </w:r>
      <w:r w:rsidR="001401A9" w:rsidRPr="00D53A2B">
        <w:rPr>
          <w:b w:val="0"/>
          <w:bCs/>
          <w:szCs w:val="24"/>
        </w:rPr>
        <w:t>.</w:t>
      </w:r>
    </w:p>
    <w:p w14:paraId="36A79DE0" w14:textId="77777777" w:rsidR="001401A9" w:rsidRPr="00D53A2B" w:rsidRDefault="001401A9" w:rsidP="00A202FD">
      <w:pPr>
        <w:pStyle w:val="MET"/>
        <w:rPr>
          <w:szCs w:val="24"/>
        </w:rPr>
      </w:pPr>
    </w:p>
    <w:tbl>
      <w:tblPr>
        <w:tblW w:w="0" w:type="auto"/>
        <w:tblLayout w:type="fixed"/>
        <w:tblCellMar>
          <w:left w:w="0" w:type="dxa"/>
          <w:right w:w="0" w:type="dxa"/>
        </w:tblCellMar>
        <w:tblLook w:val="01E0" w:firstRow="1" w:lastRow="1" w:firstColumn="1" w:lastColumn="1" w:noHBand="0" w:noVBand="0"/>
      </w:tblPr>
      <w:tblGrid>
        <w:gridCol w:w="437"/>
        <w:gridCol w:w="2677"/>
        <w:gridCol w:w="5377"/>
      </w:tblGrid>
      <w:tr w:rsidR="00374C56" w:rsidRPr="00404A26" w14:paraId="206B0540" w14:textId="77777777" w:rsidTr="00374C56">
        <w:trPr>
          <w:trHeight w:val="283"/>
        </w:trPr>
        <w:tc>
          <w:tcPr>
            <w:tcW w:w="437" w:type="dxa"/>
            <w:tcBorders>
              <w:top w:val="single" w:sz="4" w:space="0" w:color="000000"/>
              <w:left w:val="single" w:sz="4" w:space="0" w:color="000000"/>
              <w:bottom w:val="single" w:sz="4" w:space="0" w:color="000000"/>
              <w:right w:val="single" w:sz="4" w:space="0" w:color="000000"/>
            </w:tcBorders>
            <w:vAlign w:val="center"/>
          </w:tcPr>
          <w:p w14:paraId="439566AF" w14:textId="77777777" w:rsidR="00374C56" w:rsidRPr="009077F5" w:rsidRDefault="00374C56" w:rsidP="00A202FD">
            <w:pPr>
              <w:spacing w:line="264" w:lineRule="auto"/>
              <w:ind w:left="57" w:right="57"/>
              <w:jc w:val="both"/>
              <w:rPr>
                <w:lang w:eastAsia="en-US"/>
              </w:rPr>
            </w:pPr>
          </w:p>
        </w:tc>
        <w:tc>
          <w:tcPr>
            <w:tcW w:w="2677" w:type="dxa"/>
            <w:tcBorders>
              <w:top w:val="single" w:sz="4" w:space="0" w:color="000000"/>
              <w:left w:val="single" w:sz="4" w:space="0" w:color="000000"/>
              <w:bottom w:val="single" w:sz="4" w:space="0" w:color="000000"/>
              <w:right w:val="single" w:sz="4" w:space="0" w:color="000000"/>
            </w:tcBorders>
            <w:vAlign w:val="center"/>
          </w:tcPr>
          <w:p w14:paraId="55912C47" w14:textId="77777777" w:rsidR="00374C56" w:rsidRPr="009077F5" w:rsidRDefault="00374C56" w:rsidP="00A202FD">
            <w:pPr>
              <w:spacing w:line="264" w:lineRule="auto"/>
              <w:ind w:left="57" w:right="57"/>
              <w:jc w:val="both"/>
              <w:rPr>
                <w:lang w:eastAsia="en-US"/>
              </w:rPr>
            </w:pPr>
            <w:r w:rsidRPr="009077F5">
              <w:rPr>
                <w:b/>
                <w:bCs/>
                <w:lang w:eastAsia="en-US"/>
              </w:rPr>
              <w:t>Teknik</w:t>
            </w:r>
          </w:p>
        </w:tc>
        <w:tc>
          <w:tcPr>
            <w:tcW w:w="5377" w:type="dxa"/>
            <w:tcBorders>
              <w:top w:val="single" w:sz="4" w:space="0" w:color="000000"/>
              <w:left w:val="single" w:sz="4" w:space="0" w:color="000000"/>
              <w:bottom w:val="single" w:sz="4" w:space="0" w:color="000000"/>
              <w:right w:val="single" w:sz="4" w:space="0" w:color="000000"/>
            </w:tcBorders>
            <w:vAlign w:val="center"/>
          </w:tcPr>
          <w:p w14:paraId="3D5C7E6E" w14:textId="77777777" w:rsidR="00374C56" w:rsidRPr="009077F5" w:rsidRDefault="00374C56" w:rsidP="00A202FD">
            <w:pPr>
              <w:spacing w:line="264" w:lineRule="auto"/>
              <w:ind w:left="57" w:right="57"/>
              <w:jc w:val="both"/>
              <w:rPr>
                <w:lang w:eastAsia="en-US"/>
              </w:rPr>
            </w:pPr>
            <w:r w:rsidRPr="009077F5">
              <w:rPr>
                <w:b/>
                <w:bCs/>
                <w:lang w:eastAsia="en-US"/>
              </w:rPr>
              <w:t>Uygulanabilirlik</w:t>
            </w:r>
          </w:p>
        </w:tc>
      </w:tr>
      <w:tr w:rsidR="00374C56" w:rsidRPr="00404A26" w14:paraId="7CF84211"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44B52012" w14:textId="77777777" w:rsidR="00374C56" w:rsidRPr="009077F5" w:rsidRDefault="00374C56" w:rsidP="00A202FD">
            <w:pPr>
              <w:spacing w:line="264" w:lineRule="auto"/>
              <w:ind w:left="57" w:right="57"/>
              <w:jc w:val="both"/>
              <w:rPr>
                <w:lang w:eastAsia="en-US"/>
              </w:rPr>
            </w:pPr>
            <w:r w:rsidRPr="009077F5">
              <w:rPr>
                <w:lang w:eastAsia="en-US"/>
              </w:rPr>
              <w:t>a</w:t>
            </w:r>
          </w:p>
        </w:tc>
        <w:tc>
          <w:tcPr>
            <w:tcW w:w="2677" w:type="dxa"/>
            <w:tcBorders>
              <w:top w:val="single" w:sz="4" w:space="0" w:color="000000"/>
              <w:left w:val="single" w:sz="4" w:space="0" w:color="000000"/>
              <w:bottom w:val="single" w:sz="4" w:space="0" w:color="000000"/>
              <w:right w:val="single" w:sz="4" w:space="0" w:color="000000"/>
            </w:tcBorders>
            <w:vAlign w:val="center"/>
          </w:tcPr>
          <w:p w14:paraId="739C38BD" w14:textId="77777777" w:rsidR="00374C56" w:rsidRPr="009077F5" w:rsidRDefault="00374C56" w:rsidP="00A202FD">
            <w:pPr>
              <w:spacing w:line="264" w:lineRule="auto"/>
              <w:ind w:left="57" w:right="57"/>
              <w:jc w:val="both"/>
              <w:rPr>
                <w:lang w:eastAsia="en-US"/>
              </w:rPr>
            </w:pPr>
            <w:r w:rsidRPr="009077F5">
              <w:rPr>
                <w:lang w:eastAsia="en-US"/>
              </w:rPr>
              <w:t>Kuru veya yarı kuru gaz yıkayıcı</w:t>
            </w:r>
          </w:p>
        </w:tc>
        <w:tc>
          <w:tcPr>
            <w:tcW w:w="5377" w:type="dxa"/>
            <w:tcBorders>
              <w:top w:val="single" w:sz="4" w:space="0" w:color="000000"/>
              <w:left w:val="single" w:sz="4" w:space="0" w:color="000000"/>
              <w:bottom w:val="single" w:sz="4" w:space="0" w:color="000000"/>
              <w:right w:val="single" w:sz="4" w:space="0" w:color="000000"/>
            </w:tcBorders>
            <w:vAlign w:val="center"/>
          </w:tcPr>
          <w:p w14:paraId="4B39A192" w14:textId="77777777" w:rsidR="00374C56" w:rsidRPr="009077F5" w:rsidRDefault="00374C56" w:rsidP="00A202FD">
            <w:pPr>
              <w:spacing w:line="264" w:lineRule="auto"/>
              <w:ind w:left="57" w:right="57"/>
              <w:jc w:val="both"/>
              <w:rPr>
                <w:lang w:eastAsia="en-US"/>
              </w:rPr>
            </w:pPr>
            <w:r w:rsidRPr="009077F5">
              <w:rPr>
                <w:lang w:eastAsia="en-US"/>
              </w:rPr>
              <w:t>Genellikle uygulanabilir</w:t>
            </w:r>
          </w:p>
        </w:tc>
      </w:tr>
      <w:tr w:rsidR="00374C56" w:rsidRPr="00404A26" w14:paraId="51A410F6"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5B0B72D2" w14:textId="77777777" w:rsidR="00374C56" w:rsidRPr="009077F5" w:rsidRDefault="00374C56" w:rsidP="00A202FD">
            <w:pPr>
              <w:spacing w:line="264" w:lineRule="auto"/>
              <w:ind w:left="57" w:right="57"/>
              <w:jc w:val="both"/>
              <w:rPr>
                <w:lang w:eastAsia="en-US"/>
              </w:rPr>
            </w:pPr>
            <w:r w:rsidRPr="009077F5">
              <w:rPr>
                <w:lang w:eastAsia="en-US"/>
              </w:rPr>
              <w:t>b</w:t>
            </w:r>
          </w:p>
        </w:tc>
        <w:tc>
          <w:tcPr>
            <w:tcW w:w="2677" w:type="dxa"/>
            <w:tcBorders>
              <w:top w:val="single" w:sz="4" w:space="0" w:color="000000"/>
              <w:left w:val="single" w:sz="4" w:space="0" w:color="000000"/>
              <w:bottom w:val="single" w:sz="4" w:space="0" w:color="000000"/>
              <w:right w:val="single" w:sz="4" w:space="0" w:color="000000"/>
            </w:tcBorders>
            <w:vAlign w:val="center"/>
          </w:tcPr>
          <w:p w14:paraId="6140CAD0" w14:textId="7EE1D22F" w:rsidR="00374C56" w:rsidRPr="009077F5" w:rsidRDefault="001401A9" w:rsidP="00A202FD">
            <w:pPr>
              <w:spacing w:line="264" w:lineRule="auto"/>
              <w:ind w:left="57" w:right="57"/>
              <w:jc w:val="both"/>
              <w:rPr>
                <w:lang w:eastAsia="en-US"/>
              </w:rPr>
            </w:pPr>
            <w:r w:rsidRPr="009077F5">
              <w:rPr>
                <w:lang w:eastAsia="en-US"/>
              </w:rPr>
              <w:t xml:space="preserve">Sulu </w:t>
            </w:r>
            <w:r w:rsidR="00374C56" w:rsidRPr="009077F5">
              <w:rPr>
                <w:lang w:eastAsia="en-US"/>
              </w:rPr>
              <w:t>yıkayıcı</w:t>
            </w:r>
          </w:p>
        </w:tc>
        <w:tc>
          <w:tcPr>
            <w:tcW w:w="5377" w:type="dxa"/>
            <w:tcBorders>
              <w:top w:val="single" w:sz="4" w:space="0" w:color="000000"/>
              <w:left w:val="single" w:sz="4" w:space="0" w:color="000000"/>
              <w:bottom w:val="single" w:sz="4" w:space="0" w:color="000000"/>
              <w:right w:val="single" w:sz="4" w:space="0" w:color="000000"/>
            </w:tcBorders>
            <w:vAlign w:val="center"/>
          </w:tcPr>
          <w:p w14:paraId="0DB17651" w14:textId="77777777" w:rsidR="00374C56" w:rsidRPr="009077F5" w:rsidRDefault="00374C56" w:rsidP="00A202FD">
            <w:pPr>
              <w:spacing w:line="264" w:lineRule="auto"/>
              <w:ind w:left="57" w:right="57"/>
              <w:jc w:val="both"/>
              <w:rPr>
                <w:lang w:eastAsia="en-US"/>
              </w:rPr>
            </w:pPr>
            <w:r w:rsidRPr="009077F5">
              <w:rPr>
                <w:lang w:eastAsia="en-US"/>
              </w:rPr>
              <w:t>Uygulanabilirlik aşağıdaki durumlarda sınırlı olabilir:</w:t>
            </w:r>
          </w:p>
          <w:p w14:paraId="6C14B25A" w14:textId="77777777" w:rsidR="00374C56" w:rsidRPr="009077F5" w:rsidRDefault="00374C56" w:rsidP="00A202FD">
            <w:pPr>
              <w:spacing w:line="264" w:lineRule="auto"/>
              <w:ind w:left="57" w:right="57"/>
              <w:jc w:val="both"/>
              <w:rPr>
                <w:lang w:eastAsia="en-US"/>
              </w:rPr>
            </w:pPr>
            <w:r w:rsidRPr="009077F5">
              <w:rPr>
                <w:lang w:eastAsia="en-US"/>
              </w:rPr>
              <w:t>- Çok yüksek atık gaz debisi (üretilen önemli miktardaki atık ve atıksu nedeniyle)</w:t>
            </w:r>
          </w:p>
          <w:p w14:paraId="710B17FC" w14:textId="77777777" w:rsidR="00374C56" w:rsidRPr="009077F5" w:rsidRDefault="00374C56" w:rsidP="00A202FD">
            <w:pPr>
              <w:spacing w:line="264" w:lineRule="auto"/>
              <w:ind w:left="57" w:right="57"/>
              <w:jc w:val="both"/>
              <w:rPr>
                <w:lang w:eastAsia="en-US"/>
              </w:rPr>
            </w:pPr>
            <w:r w:rsidRPr="009077F5">
              <w:rPr>
                <w:lang w:eastAsia="en-US"/>
              </w:rPr>
              <w:t>- kurak bölgelerde (gerekli olan büyük miktardaki su ve atıksuyun arıtılması ihtiyacı nedeniyle)</w:t>
            </w:r>
          </w:p>
        </w:tc>
      </w:tr>
      <w:tr w:rsidR="00374C56" w:rsidRPr="00404A26" w14:paraId="1C822D57"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1E2B954C" w14:textId="77777777" w:rsidR="00374C56" w:rsidRPr="009077F5" w:rsidRDefault="00374C56" w:rsidP="00A202FD">
            <w:pPr>
              <w:spacing w:line="264" w:lineRule="auto"/>
              <w:ind w:left="57" w:right="57"/>
              <w:jc w:val="both"/>
              <w:rPr>
                <w:lang w:eastAsia="en-US"/>
              </w:rPr>
            </w:pPr>
            <w:r w:rsidRPr="009077F5">
              <w:rPr>
                <w:lang w:eastAsia="en-US"/>
              </w:rPr>
              <w:t>c</w:t>
            </w:r>
          </w:p>
        </w:tc>
        <w:tc>
          <w:tcPr>
            <w:tcW w:w="2677" w:type="dxa"/>
            <w:tcBorders>
              <w:top w:val="single" w:sz="4" w:space="0" w:color="000000"/>
              <w:left w:val="single" w:sz="4" w:space="0" w:color="000000"/>
              <w:bottom w:val="single" w:sz="4" w:space="0" w:color="000000"/>
              <w:right w:val="single" w:sz="4" w:space="0" w:color="000000"/>
            </w:tcBorders>
            <w:vAlign w:val="center"/>
          </w:tcPr>
          <w:p w14:paraId="090B359E" w14:textId="77777777" w:rsidR="00374C56" w:rsidRPr="009077F5" w:rsidRDefault="00374C56" w:rsidP="00A202FD">
            <w:pPr>
              <w:spacing w:line="264" w:lineRule="auto"/>
              <w:ind w:left="57" w:right="57"/>
              <w:jc w:val="both"/>
              <w:rPr>
                <w:lang w:eastAsia="en-US"/>
              </w:rPr>
            </w:pPr>
            <w:r w:rsidRPr="009077F5">
              <w:rPr>
                <w:lang w:eastAsia="en-US"/>
              </w:rPr>
              <w:t>Polieter bazlı adsorpsiyon/desorpsiyon sistemi</w:t>
            </w:r>
          </w:p>
        </w:tc>
        <w:tc>
          <w:tcPr>
            <w:tcW w:w="5377" w:type="dxa"/>
            <w:tcBorders>
              <w:top w:val="single" w:sz="4" w:space="0" w:color="000000"/>
              <w:left w:val="single" w:sz="4" w:space="0" w:color="000000"/>
              <w:bottom w:val="single" w:sz="4" w:space="0" w:color="000000"/>
              <w:right w:val="single" w:sz="4" w:space="0" w:color="000000"/>
            </w:tcBorders>
            <w:vAlign w:val="center"/>
          </w:tcPr>
          <w:p w14:paraId="0E1499EF" w14:textId="77777777" w:rsidR="00374C56" w:rsidRPr="009077F5" w:rsidRDefault="00374C56" w:rsidP="00A202FD">
            <w:pPr>
              <w:spacing w:line="264" w:lineRule="auto"/>
              <w:ind w:left="57" w:right="57"/>
              <w:jc w:val="both"/>
              <w:rPr>
                <w:lang w:eastAsia="en-US"/>
              </w:rPr>
            </w:pPr>
            <w:r w:rsidRPr="009077F5">
              <w:rPr>
                <w:lang w:eastAsia="en-US"/>
              </w:rPr>
              <w:t>İkincil bakır üretiminde uygulanamaz.</w:t>
            </w:r>
          </w:p>
          <w:p w14:paraId="47622DC1" w14:textId="77777777" w:rsidR="00374C56" w:rsidRPr="009077F5" w:rsidRDefault="00374C56" w:rsidP="00A202FD">
            <w:pPr>
              <w:spacing w:line="264" w:lineRule="auto"/>
              <w:ind w:left="57" w:right="57"/>
              <w:jc w:val="both"/>
              <w:rPr>
                <w:lang w:eastAsia="en-US"/>
              </w:rPr>
            </w:pPr>
            <w:r w:rsidRPr="009077F5">
              <w:rPr>
                <w:lang w:eastAsia="en-US"/>
              </w:rPr>
              <w:t>Sülfürik asit veya sıvı SO</w:t>
            </w:r>
            <w:r w:rsidRPr="009077F5">
              <w:rPr>
                <w:vertAlign w:val="subscript"/>
                <w:lang w:eastAsia="en-US"/>
              </w:rPr>
              <w:t>2</w:t>
            </w:r>
            <w:r w:rsidRPr="009077F5">
              <w:rPr>
                <w:lang w:eastAsia="en-US"/>
              </w:rPr>
              <w:t xml:space="preserve"> tesisinin mevcut olmadığı tesislerde uygulanabilir değildir.</w:t>
            </w:r>
          </w:p>
        </w:tc>
      </w:tr>
    </w:tbl>
    <w:p w14:paraId="49122F7B" w14:textId="77777777" w:rsidR="00374C56" w:rsidRPr="00D53A2B" w:rsidRDefault="00374C56" w:rsidP="00A202FD">
      <w:pPr>
        <w:jc w:val="both"/>
        <w:rPr>
          <w:lang w:eastAsia="en-US"/>
        </w:rPr>
      </w:pPr>
    </w:p>
    <w:p w14:paraId="59B46975" w14:textId="77777777" w:rsidR="00374C56" w:rsidRPr="00D53A2B" w:rsidRDefault="00374C56" w:rsidP="00A202FD">
      <w:pPr>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6.</w:t>
      </w:r>
    </w:p>
    <w:p w14:paraId="793E9D4B" w14:textId="77777777" w:rsidR="00374C56" w:rsidRPr="00D53A2B" w:rsidRDefault="00374C56" w:rsidP="00A202FD">
      <w:pPr>
        <w:jc w:val="both"/>
        <w:rPr>
          <w:lang w:eastAsia="en-US"/>
        </w:rPr>
      </w:pPr>
    </w:p>
    <w:p w14:paraId="0F788C54" w14:textId="77777777" w:rsidR="001023C7" w:rsidRPr="00D53A2B" w:rsidRDefault="00374C56" w:rsidP="00A202FD">
      <w:pPr>
        <w:jc w:val="both"/>
        <w:rPr>
          <w:bCs/>
          <w:iCs/>
          <w:spacing w:val="2"/>
          <w:lang w:eastAsia="en-US"/>
        </w:rPr>
      </w:pPr>
      <w:bookmarkStart w:id="67" w:name="_Toc531927947"/>
      <w:r w:rsidRPr="00D53A2B">
        <w:rPr>
          <w:bCs/>
          <w:iCs/>
          <w:spacing w:val="2"/>
          <w:lang w:eastAsia="en-US"/>
        </w:rPr>
        <w:t xml:space="preserve">Tablo </w:t>
      </w:r>
      <w:r w:rsidRPr="00D53A2B">
        <w:rPr>
          <w:bCs/>
          <w:iCs/>
          <w:noProof/>
          <w:spacing w:val="2"/>
          <w:lang w:eastAsia="en-US"/>
        </w:rPr>
        <w:t>6</w:t>
      </w:r>
      <w:bookmarkEnd w:id="67"/>
    </w:p>
    <w:p w14:paraId="722546BF" w14:textId="71597208" w:rsidR="00374C56" w:rsidRPr="00D53A2B" w:rsidRDefault="001401A9" w:rsidP="00A202FD">
      <w:pPr>
        <w:jc w:val="both"/>
        <w:rPr>
          <w:bCs/>
          <w:iCs/>
          <w:spacing w:val="2"/>
          <w:lang w:eastAsia="en-US"/>
        </w:rPr>
      </w:pPr>
      <w:r w:rsidRPr="00D53A2B">
        <w:rPr>
          <w:bCs/>
          <w:iCs/>
          <w:spacing w:val="2"/>
          <w:lang w:eastAsia="en-US"/>
        </w:rPr>
        <w:t xml:space="preserve">Birincil ve ikincil bakır üretiminden kaynaklanan havaya </w:t>
      </w:r>
      <w:r w:rsidR="003A678C" w:rsidRPr="00D53A2B">
        <w:rPr>
          <w:bCs/>
        </w:rPr>
        <w:t>SO</w:t>
      </w:r>
      <w:r w:rsidR="003A678C" w:rsidRPr="00D53A2B">
        <w:rPr>
          <w:bCs/>
          <w:vertAlign w:val="subscript"/>
        </w:rPr>
        <w:t>2</w:t>
      </w:r>
      <w:r w:rsidRPr="00D53A2B">
        <w:rPr>
          <w:bCs/>
          <w:iCs/>
          <w:spacing w:val="2"/>
          <w:lang w:eastAsia="en-US"/>
        </w:rPr>
        <w:t xml:space="preserve"> emisyonları (sülfürik asit veya sıvı </w:t>
      </w:r>
      <w:r w:rsidR="003A678C" w:rsidRPr="00D53A2B">
        <w:rPr>
          <w:bCs/>
        </w:rPr>
        <w:t>SO</w:t>
      </w:r>
      <w:r w:rsidR="003A678C" w:rsidRPr="00D53A2B">
        <w:rPr>
          <w:bCs/>
          <w:vertAlign w:val="subscript"/>
        </w:rPr>
        <w:t>2</w:t>
      </w:r>
      <w:r w:rsidRPr="00D53A2B">
        <w:rPr>
          <w:bCs/>
          <w:iCs/>
          <w:spacing w:val="2"/>
          <w:lang w:eastAsia="en-US"/>
        </w:rPr>
        <w:t xml:space="preserve"> tesisine veya enerji santraline yönlendirilenler hariç) için MET ile ilişkili emisyon seviyeleri.</w:t>
      </w:r>
    </w:p>
    <w:tbl>
      <w:tblPr>
        <w:tblW w:w="0" w:type="auto"/>
        <w:tblLayout w:type="fixed"/>
        <w:tblCellMar>
          <w:left w:w="0" w:type="dxa"/>
          <w:right w:w="0" w:type="dxa"/>
        </w:tblCellMar>
        <w:tblLook w:val="01E0" w:firstRow="1" w:lastRow="1" w:firstColumn="1" w:lastColumn="1" w:noHBand="0" w:noVBand="0"/>
      </w:tblPr>
      <w:tblGrid>
        <w:gridCol w:w="1368"/>
        <w:gridCol w:w="2756"/>
        <w:gridCol w:w="4405"/>
      </w:tblGrid>
      <w:tr w:rsidR="00374C56" w:rsidRPr="00D53A2B" w14:paraId="2C112F28" w14:textId="77777777" w:rsidTr="00374C56">
        <w:trPr>
          <w:trHeight w:val="340"/>
        </w:trPr>
        <w:tc>
          <w:tcPr>
            <w:tcW w:w="1368" w:type="dxa"/>
            <w:tcBorders>
              <w:top w:val="single" w:sz="4" w:space="0" w:color="000000"/>
              <w:left w:val="single" w:sz="4" w:space="0" w:color="000000"/>
              <w:bottom w:val="single" w:sz="4" w:space="0" w:color="000000"/>
              <w:right w:val="single" w:sz="4" w:space="0" w:color="000000"/>
            </w:tcBorders>
            <w:vAlign w:val="center"/>
          </w:tcPr>
          <w:p w14:paraId="1B17FB02" w14:textId="77777777" w:rsidR="00374C56" w:rsidRPr="009077F5" w:rsidRDefault="00374C56" w:rsidP="00A202FD">
            <w:pPr>
              <w:spacing w:line="264" w:lineRule="auto"/>
              <w:ind w:left="57" w:right="57"/>
              <w:jc w:val="both"/>
              <w:rPr>
                <w:lang w:eastAsia="en-US"/>
              </w:rPr>
            </w:pPr>
            <w:r w:rsidRPr="009077F5">
              <w:rPr>
                <w:b/>
                <w:bCs/>
                <w:lang w:eastAsia="en-US"/>
              </w:rPr>
              <w:t>Parametre</w:t>
            </w:r>
          </w:p>
        </w:tc>
        <w:tc>
          <w:tcPr>
            <w:tcW w:w="2756" w:type="dxa"/>
            <w:tcBorders>
              <w:top w:val="single" w:sz="4" w:space="0" w:color="000000"/>
              <w:left w:val="single" w:sz="4" w:space="0" w:color="000000"/>
              <w:bottom w:val="single" w:sz="4" w:space="0" w:color="000000"/>
              <w:right w:val="single" w:sz="4" w:space="0" w:color="000000"/>
            </w:tcBorders>
            <w:vAlign w:val="center"/>
          </w:tcPr>
          <w:p w14:paraId="02054BAE" w14:textId="77777777" w:rsidR="00374C56" w:rsidRPr="009077F5" w:rsidRDefault="00374C56" w:rsidP="00A202FD">
            <w:pPr>
              <w:spacing w:line="264" w:lineRule="auto"/>
              <w:ind w:left="57" w:right="57"/>
              <w:jc w:val="both"/>
              <w:rPr>
                <w:lang w:eastAsia="en-US"/>
              </w:rPr>
            </w:pPr>
            <w:r w:rsidRPr="009077F5">
              <w:rPr>
                <w:b/>
                <w:bCs/>
                <w:lang w:eastAsia="en-US"/>
              </w:rPr>
              <w:t>Proses</w:t>
            </w:r>
          </w:p>
        </w:tc>
        <w:tc>
          <w:tcPr>
            <w:tcW w:w="4405" w:type="dxa"/>
            <w:tcBorders>
              <w:top w:val="single" w:sz="4" w:space="0" w:color="000000"/>
              <w:left w:val="single" w:sz="4" w:space="0" w:color="000000"/>
              <w:bottom w:val="single" w:sz="4" w:space="0" w:color="000000"/>
              <w:right w:val="single" w:sz="4" w:space="0" w:color="000000"/>
            </w:tcBorders>
            <w:vAlign w:val="center"/>
          </w:tcPr>
          <w:p w14:paraId="2034FE6C" w14:textId="77777777" w:rsidR="00374C56" w:rsidRPr="009077F5" w:rsidRDefault="00374C56" w:rsidP="00A202FD">
            <w:pPr>
              <w:spacing w:line="264" w:lineRule="auto"/>
              <w:ind w:left="57" w:right="57"/>
              <w:jc w:val="both"/>
              <w:rPr>
                <w:lang w:eastAsia="en-US"/>
              </w:rPr>
            </w:pPr>
            <w:r w:rsidRPr="009077F5">
              <w:rPr>
                <w:b/>
                <w:bCs/>
                <w:lang w:eastAsia="en-US"/>
              </w:rPr>
              <w:t>MET-İES (mg/Nm</w:t>
            </w:r>
            <w:r w:rsidRPr="009077F5">
              <w:rPr>
                <w:b/>
                <w:bCs/>
                <w:vertAlign w:val="superscript"/>
                <w:lang w:eastAsia="en-US"/>
              </w:rPr>
              <w:t>3</w:t>
            </w:r>
            <w:r w:rsidRPr="009077F5">
              <w:rPr>
                <w:b/>
                <w:bCs/>
                <w:lang w:eastAsia="en-US"/>
              </w:rPr>
              <w:t>) (</w:t>
            </w:r>
            <w:r w:rsidRPr="009077F5">
              <w:rPr>
                <w:b/>
                <w:bCs/>
                <w:vertAlign w:val="superscript"/>
                <w:lang w:eastAsia="en-US"/>
              </w:rPr>
              <w:t>1</w:t>
            </w:r>
            <w:r w:rsidRPr="009077F5">
              <w:rPr>
                <w:b/>
                <w:bCs/>
                <w:lang w:eastAsia="en-US"/>
              </w:rPr>
              <w:t>)</w:t>
            </w:r>
          </w:p>
        </w:tc>
      </w:tr>
      <w:tr w:rsidR="00374C56" w:rsidRPr="00D53A2B" w14:paraId="32044D45" w14:textId="77777777" w:rsidTr="00374C56">
        <w:tc>
          <w:tcPr>
            <w:tcW w:w="1368" w:type="dxa"/>
            <w:vMerge w:val="restart"/>
            <w:tcBorders>
              <w:top w:val="single" w:sz="4" w:space="0" w:color="000000"/>
              <w:left w:val="single" w:sz="4" w:space="0" w:color="000000"/>
              <w:right w:val="single" w:sz="4" w:space="0" w:color="000000"/>
            </w:tcBorders>
            <w:vAlign w:val="center"/>
          </w:tcPr>
          <w:p w14:paraId="2A4AEBAC" w14:textId="77777777" w:rsidR="00374C56" w:rsidRPr="009077F5" w:rsidRDefault="00374C56" w:rsidP="00A202FD">
            <w:pPr>
              <w:spacing w:line="264" w:lineRule="auto"/>
              <w:ind w:left="57" w:right="57"/>
              <w:jc w:val="both"/>
              <w:rPr>
                <w:lang w:eastAsia="en-US"/>
              </w:rPr>
            </w:pPr>
            <w:r w:rsidRPr="009077F5">
              <w:rPr>
                <w:lang w:eastAsia="en-US"/>
              </w:rPr>
              <w:t>SO</w:t>
            </w:r>
            <w:r w:rsidRPr="009077F5">
              <w:rPr>
                <w:vertAlign w:val="subscript"/>
                <w:lang w:eastAsia="en-US"/>
              </w:rPr>
              <w:t>2</w:t>
            </w:r>
          </w:p>
        </w:tc>
        <w:tc>
          <w:tcPr>
            <w:tcW w:w="2756" w:type="dxa"/>
            <w:tcBorders>
              <w:top w:val="single" w:sz="4" w:space="0" w:color="000000"/>
              <w:left w:val="single" w:sz="4" w:space="0" w:color="000000"/>
              <w:bottom w:val="single" w:sz="4" w:space="0" w:color="000000"/>
              <w:right w:val="single" w:sz="4" w:space="0" w:color="000000"/>
            </w:tcBorders>
            <w:vAlign w:val="center"/>
          </w:tcPr>
          <w:p w14:paraId="173FECAB" w14:textId="77777777" w:rsidR="00374C56" w:rsidRPr="009077F5" w:rsidRDefault="00374C56" w:rsidP="00A202FD">
            <w:pPr>
              <w:spacing w:line="264" w:lineRule="auto"/>
              <w:ind w:left="57" w:right="57"/>
              <w:jc w:val="both"/>
              <w:rPr>
                <w:lang w:eastAsia="en-US"/>
              </w:rPr>
            </w:pPr>
            <w:r w:rsidRPr="009077F5">
              <w:rPr>
                <w:lang w:eastAsia="en-US"/>
              </w:rPr>
              <w:t>Birincil bakır üretimi</w:t>
            </w:r>
          </w:p>
        </w:tc>
        <w:tc>
          <w:tcPr>
            <w:tcW w:w="4405" w:type="dxa"/>
            <w:tcBorders>
              <w:top w:val="single" w:sz="4" w:space="0" w:color="000000"/>
              <w:left w:val="single" w:sz="4" w:space="0" w:color="000000"/>
              <w:bottom w:val="single" w:sz="4" w:space="0" w:color="000000"/>
              <w:right w:val="single" w:sz="4" w:space="0" w:color="000000"/>
            </w:tcBorders>
            <w:vAlign w:val="center"/>
          </w:tcPr>
          <w:p w14:paraId="0A672508" w14:textId="77777777" w:rsidR="00374C56" w:rsidRPr="009077F5" w:rsidRDefault="00374C56" w:rsidP="00A202FD">
            <w:pPr>
              <w:spacing w:line="264" w:lineRule="auto"/>
              <w:ind w:left="57" w:right="57"/>
              <w:jc w:val="both"/>
              <w:rPr>
                <w:lang w:eastAsia="en-US"/>
              </w:rPr>
            </w:pPr>
            <w:r w:rsidRPr="009077F5">
              <w:rPr>
                <w:lang w:eastAsia="en-US"/>
              </w:rPr>
              <w:t xml:space="preserve">50–500 </w:t>
            </w:r>
            <w:r w:rsidRPr="009077F5">
              <w:rPr>
                <w:b/>
                <w:bCs/>
                <w:lang w:eastAsia="en-US"/>
              </w:rPr>
              <w:t>(</w:t>
            </w:r>
            <w:r w:rsidRPr="009077F5">
              <w:rPr>
                <w:b/>
                <w:bCs/>
                <w:vertAlign w:val="superscript"/>
                <w:lang w:eastAsia="en-US"/>
              </w:rPr>
              <w:t>2</w:t>
            </w:r>
            <w:r w:rsidRPr="009077F5">
              <w:rPr>
                <w:b/>
                <w:bCs/>
                <w:lang w:eastAsia="en-US"/>
              </w:rPr>
              <w:t>)</w:t>
            </w:r>
          </w:p>
        </w:tc>
      </w:tr>
      <w:tr w:rsidR="00374C56" w:rsidRPr="00D53A2B" w14:paraId="037680E5" w14:textId="77777777" w:rsidTr="00374C56">
        <w:tc>
          <w:tcPr>
            <w:tcW w:w="1368" w:type="dxa"/>
            <w:vMerge/>
            <w:tcBorders>
              <w:left w:val="single" w:sz="4" w:space="0" w:color="000000"/>
              <w:bottom w:val="single" w:sz="4" w:space="0" w:color="000000"/>
              <w:right w:val="single" w:sz="4" w:space="0" w:color="000000"/>
            </w:tcBorders>
            <w:vAlign w:val="center"/>
          </w:tcPr>
          <w:p w14:paraId="6A150DBB" w14:textId="77777777" w:rsidR="00374C56" w:rsidRPr="009077F5" w:rsidRDefault="00374C56" w:rsidP="00A202FD">
            <w:pPr>
              <w:spacing w:line="264" w:lineRule="auto"/>
              <w:ind w:left="57" w:right="57"/>
              <w:jc w:val="both"/>
              <w:rPr>
                <w:lang w:eastAsia="en-US"/>
              </w:rPr>
            </w:pPr>
          </w:p>
        </w:tc>
        <w:tc>
          <w:tcPr>
            <w:tcW w:w="2756" w:type="dxa"/>
            <w:tcBorders>
              <w:top w:val="single" w:sz="4" w:space="0" w:color="000000"/>
              <w:left w:val="single" w:sz="4" w:space="0" w:color="000000"/>
              <w:bottom w:val="single" w:sz="4" w:space="0" w:color="000000"/>
              <w:right w:val="single" w:sz="4" w:space="0" w:color="000000"/>
            </w:tcBorders>
            <w:vAlign w:val="center"/>
          </w:tcPr>
          <w:p w14:paraId="44BCAB94" w14:textId="77777777" w:rsidR="00374C56" w:rsidRPr="009077F5" w:rsidRDefault="00374C56" w:rsidP="00A202FD">
            <w:pPr>
              <w:spacing w:line="264" w:lineRule="auto"/>
              <w:ind w:left="57" w:right="57"/>
              <w:jc w:val="both"/>
              <w:rPr>
                <w:lang w:eastAsia="en-US"/>
              </w:rPr>
            </w:pPr>
            <w:r w:rsidRPr="009077F5">
              <w:rPr>
                <w:lang w:eastAsia="en-US"/>
              </w:rPr>
              <w:t>İkincil bakır üretimi</w:t>
            </w:r>
          </w:p>
        </w:tc>
        <w:tc>
          <w:tcPr>
            <w:tcW w:w="4405" w:type="dxa"/>
            <w:tcBorders>
              <w:top w:val="single" w:sz="4" w:space="0" w:color="000000"/>
              <w:left w:val="single" w:sz="4" w:space="0" w:color="000000"/>
              <w:bottom w:val="single" w:sz="4" w:space="0" w:color="000000"/>
              <w:right w:val="single" w:sz="4" w:space="0" w:color="000000"/>
            </w:tcBorders>
            <w:vAlign w:val="center"/>
          </w:tcPr>
          <w:p w14:paraId="150F3525" w14:textId="77777777" w:rsidR="00374C56" w:rsidRPr="009077F5" w:rsidRDefault="00374C56" w:rsidP="00A202FD">
            <w:pPr>
              <w:spacing w:line="264" w:lineRule="auto"/>
              <w:ind w:left="57" w:right="57"/>
              <w:jc w:val="both"/>
              <w:rPr>
                <w:lang w:eastAsia="en-US"/>
              </w:rPr>
            </w:pPr>
            <w:r w:rsidRPr="009077F5">
              <w:rPr>
                <w:lang w:eastAsia="en-US"/>
              </w:rPr>
              <w:t>50–300</w:t>
            </w:r>
          </w:p>
        </w:tc>
      </w:tr>
      <w:tr w:rsidR="00374C56" w:rsidRPr="00D53A2B" w14:paraId="18FE65FA" w14:textId="77777777" w:rsidTr="00374C56">
        <w:tc>
          <w:tcPr>
            <w:tcW w:w="8529" w:type="dxa"/>
            <w:gridSpan w:val="3"/>
            <w:tcBorders>
              <w:top w:val="single" w:sz="4" w:space="0" w:color="000000"/>
              <w:left w:val="single" w:sz="4" w:space="0" w:color="000000"/>
              <w:bottom w:val="single" w:sz="4" w:space="0" w:color="000000"/>
              <w:right w:val="single" w:sz="4" w:space="0" w:color="000000"/>
            </w:tcBorders>
          </w:tcPr>
          <w:p w14:paraId="743B8A5C" w14:textId="4C7BBB35" w:rsidR="00374C56" w:rsidRPr="00D53A2B" w:rsidRDefault="00374C56" w:rsidP="00A202FD">
            <w:pPr>
              <w:jc w:val="both"/>
              <w:rPr>
                <w:spacing w:val="2"/>
                <w:sz w:val="22"/>
                <w:szCs w:val="22"/>
                <w:lang w:eastAsia="en-US"/>
              </w:rPr>
            </w:pPr>
            <w:r w:rsidRPr="00D53A2B">
              <w:rPr>
                <w:bCs/>
                <w:spacing w:val="2"/>
                <w:sz w:val="22"/>
                <w:szCs w:val="22"/>
                <w:lang w:eastAsia="en-US"/>
              </w:rPr>
              <w:t>(</w:t>
            </w:r>
            <w:r w:rsidRPr="00D53A2B">
              <w:rPr>
                <w:bCs/>
                <w:spacing w:val="2"/>
                <w:sz w:val="22"/>
                <w:szCs w:val="22"/>
                <w:vertAlign w:val="superscript"/>
                <w:lang w:eastAsia="en-US"/>
              </w:rPr>
              <w:t>1</w:t>
            </w:r>
            <w:r w:rsidRPr="00D53A2B">
              <w:rPr>
                <w:bCs/>
                <w:spacing w:val="2"/>
                <w:sz w:val="22"/>
                <w:szCs w:val="22"/>
                <w:lang w:eastAsia="en-US"/>
              </w:rPr>
              <w:t>)</w:t>
            </w:r>
            <w:r w:rsidRPr="00D53A2B">
              <w:rPr>
                <w:b/>
                <w:spacing w:val="2"/>
                <w:sz w:val="22"/>
                <w:szCs w:val="22"/>
                <w:lang w:eastAsia="en-US"/>
              </w:rPr>
              <w:t xml:space="preserve"> </w:t>
            </w:r>
            <w:r w:rsidRPr="00D53A2B">
              <w:rPr>
                <w:spacing w:val="2"/>
                <w:sz w:val="22"/>
                <w:szCs w:val="22"/>
                <w:lang w:eastAsia="en-US"/>
              </w:rPr>
              <w:t xml:space="preserve">Günlük ortalama ya da </w:t>
            </w:r>
            <w:r w:rsidR="007847FF">
              <w:rPr>
                <w:rStyle w:val="Gvdemetni3a"/>
              </w:rPr>
              <w:t>numune alma</w:t>
            </w:r>
            <w:r w:rsidRPr="00D53A2B">
              <w:rPr>
                <w:spacing w:val="2"/>
                <w:sz w:val="22"/>
                <w:szCs w:val="22"/>
                <w:lang w:eastAsia="en-US"/>
              </w:rPr>
              <w:t xml:space="preserve"> periyodu boyunca ortalama.</w:t>
            </w:r>
          </w:p>
          <w:p w14:paraId="2B37DBF7" w14:textId="6E7048AA" w:rsidR="00374C56" w:rsidRPr="00D53A2B" w:rsidRDefault="00374C56" w:rsidP="00A202FD">
            <w:pPr>
              <w:spacing w:line="264" w:lineRule="auto"/>
              <w:ind w:right="57"/>
              <w:jc w:val="both"/>
              <w:rPr>
                <w:sz w:val="22"/>
                <w:szCs w:val="22"/>
                <w:lang w:eastAsia="en-US"/>
              </w:rPr>
            </w:pPr>
            <w:r w:rsidRPr="00D53A2B">
              <w:rPr>
                <w:bCs/>
                <w:sz w:val="22"/>
                <w:szCs w:val="22"/>
                <w:lang w:eastAsia="en-US"/>
              </w:rPr>
              <w:t>(</w:t>
            </w:r>
            <w:r w:rsidRPr="00D53A2B">
              <w:rPr>
                <w:bCs/>
                <w:sz w:val="22"/>
                <w:szCs w:val="22"/>
                <w:vertAlign w:val="superscript"/>
                <w:lang w:eastAsia="en-US"/>
              </w:rPr>
              <w:t>2</w:t>
            </w:r>
            <w:r w:rsidRPr="00D53A2B">
              <w:rPr>
                <w:bCs/>
                <w:sz w:val="22"/>
                <w:szCs w:val="22"/>
                <w:lang w:eastAsia="en-US"/>
              </w:rPr>
              <w:t>)</w:t>
            </w:r>
            <w:r w:rsidRPr="00D53A2B">
              <w:rPr>
                <w:b/>
                <w:sz w:val="22"/>
                <w:szCs w:val="22"/>
                <w:lang w:eastAsia="en-US"/>
              </w:rPr>
              <w:t xml:space="preserve"> </w:t>
            </w:r>
            <w:r w:rsidRPr="00D53A2B">
              <w:rPr>
                <w:sz w:val="22"/>
                <w:szCs w:val="22"/>
                <w:lang w:eastAsia="en-US"/>
              </w:rPr>
              <w:t>Bir ıslak yıkayıcı veya düşük sülfür içeriğine sahip konsantreler kullanıldığında, MET-İES seviyesi 350 mg/Nm</w:t>
            </w:r>
            <w:r w:rsidRPr="00D53A2B">
              <w:rPr>
                <w:sz w:val="22"/>
                <w:szCs w:val="22"/>
                <w:vertAlign w:val="superscript"/>
                <w:lang w:eastAsia="en-US"/>
              </w:rPr>
              <w:t>3</w:t>
            </w:r>
            <w:r w:rsidR="00E56504" w:rsidRPr="00D53A2B">
              <w:rPr>
                <w:sz w:val="22"/>
                <w:szCs w:val="22"/>
                <w:lang w:eastAsia="en-US"/>
              </w:rPr>
              <w:t>’</w:t>
            </w:r>
            <w:r w:rsidRPr="00D53A2B">
              <w:rPr>
                <w:sz w:val="22"/>
                <w:szCs w:val="22"/>
                <w:lang w:eastAsia="en-US"/>
              </w:rPr>
              <w:t>e kadar olabilir.</w:t>
            </w:r>
          </w:p>
        </w:tc>
      </w:tr>
    </w:tbl>
    <w:p w14:paraId="729AFA17" w14:textId="77777777" w:rsidR="00374C56" w:rsidRPr="00D53A2B" w:rsidRDefault="00374C56" w:rsidP="00A202FD">
      <w:pPr>
        <w:spacing w:before="13" w:line="200" w:lineRule="exact"/>
        <w:jc w:val="both"/>
        <w:rPr>
          <w:lang w:eastAsia="en-US"/>
        </w:rPr>
      </w:pPr>
    </w:p>
    <w:p w14:paraId="02AC1EA5" w14:textId="01E24726" w:rsidR="001401A9" w:rsidRPr="00D53A2B" w:rsidRDefault="001401A9"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64E9E802" w14:textId="77777777" w:rsidR="001401A9" w:rsidRPr="00D53A2B" w:rsidRDefault="001401A9" w:rsidP="00A202FD">
      <w:pPr>
        <w:jc w:val="both"/>
        <w:rPr>
          <w:lang w:eastAsia="en-US"/>
        </w:rPr>
      </w:pPr>
    </w:p>
    <w:p w14:paraId="4A11D8AF" w14:textId="0BC34D6A" w:rsidR="00374C56" w:rsidRPr="00D53A2B" w:rsidRDefault="001401A9"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2.3.5.</w:t>
      </w:r>
      <w:r w:rsidRPr="00D53A2B">
        <w:rPr>
          <w:rFonts w:cs="Times New Roman"/>
          <w:lang w:eastAsia="en-US"/>
        </w:rPr>
        <w:t xml:space="preserve"> </w:t>
      </w:r>
      <w:r w:rsidR="00374C56" w:rsidRPr="00D53A2B">
        <w:rPr>
          <w:rFonts w:eastAsia="Arial" w:cs="Times New Roman"/>
          <w:lang w:eastAsia="en-US"/>
        </w:rPr>
        <w:t>Asit emisyonları</w:t>
      </w:r>
    </w:p>
    <w:p w14:paraId="29B2874B" w14:textId="14440B23" w:rsidR="00374C56" w:rsidRPr="00D53A2B" w:rsidRDefault="00921606" w:rsidP="00A202FD">
      <w:pPr>
        <w:tabs>
          <w:tab w:val="left" w:pos="1134"/>
        </w:tabs>
        <w:spacing w:after="240"/>
        <w:jc w:val="both"/>
        <w:rPr>
          <w:lang w:eastAsia="en-US"/>
        </w:rPr>
      </w:pPr>
      <w:r w:rsidRPr="00D53A2B">
        <w:rPr>
          <w:b/>
          <w:lang w:eastAsia="en-US"/>
        </w:rPr>
        <w:t>MET 50:</w:t>
      </w:r>
      <w:r w:rsidR="001401A9" w:rsidRPr="00D53A2B">
        <w:rPr>
          <w:b/>
          <w:lang w:eastAsia="en-US"/>
        </w:rPr>
        <w:t xml:space="preserve"> </w:t>
      </w:r>
      <w:r w:rsidR="001401A9" w:rsidRPr="00D53A2B">
        <w:rPr>
          <w:lang w:eastAsia="en-US"/>
        </w:rPr>
        <w:t>Elektroliz hücrelerinden, elektro rafinasyon hücrelerinden, katot sıyırma makinesinin yıkama odasından ve anot hurda yıkama makinesinden çıkan egzoz gazlarından havaya asit gazı emisyonlarını azaltmak için ıslak bir yıkayıcı veya bir buğu çözücü kullan</w:t>
      </w:r>
      <w:r w:rsidR="003A678C" w:rsidRPr="00D53A2B">
        <w:rPr>
          <w:lang w:eastAsia="en-US"/>
        </w:rPr>
        <w:t>ılır.</w:t>
      </w:r>
    </w:p>
    <w:p w14:paraId="40FD1A4B" w14:textId="74125B5D" w:rsidR="00374C56" w:rsidRPr="00D53A2B" w:rsidRDefault="001401A9" w:rsidP="00A202FD">
      <w:pPr>
        <w:pStyle w:val="Balk3"/>
        <w:rPr>
          <w:rFonts w:cs="Times New Roman"/>
          <w:lang w:eastAsia="en-US"/>
        </w:rPr>
      </w:pPr>
      <w:bookmarkStart w:id="68" w:name="_Toc531927868"/>
      <w:r w:rsidRPr="00D53A2B">
        <w:rPr>
          <w:rFonts w:cs="Times New Roman"/>
          <w:lang w:eastAsia="en-US"/>
        </w:rPr>
        <w:t>1.</w:t>
      </w:r>
      <w:r w:rsidR="00374C56" w:rsidRPr="00D53A2B">
        <w:rPr>
          <w:rFonts w:cs="Times New Roman"/>
          <w:lang w:eastAsia="en-US"/>
        </w:rPr>
        <w:t>2.4.</w:t>
      </w:r>
      <w:r w:rsidRPr="00D53A2B">
        <w:rPr>
          <w:rFonts w:cs="Times New Roman"/>
          <w:lang w:eastAsia="en-US"/>
        </w:rPr>
        <w:t xml:space="preserve"> </w:t>
      </w:r>
      <w:r w:rsidR="00374C56" w:rsidRPr="00D53A2B">
        <w:rPr>
          <w:rFonts w:eastAsia="Arial" w:cs="Times New Roman"/>
          <w:lang w:eastAsia="en-US"/>
        </w:rPr>
        <w:t>Toprak ve yeraltısuyu</w:t>
      </w:r>
      <w:bookmarkEnd w:id="68"/>
    </w:p>
    <w:p w14:paraId="48E6851D" w14:textId="1D130F60" w:rsidR="00374C56" w:rsidRPr="00D53A2B" w:rsidRDefault="00921606" w:rsidP="00A202FD">
      <w:pPr>
        <w:tabs>
          <w:tab w:val="left" w:pos="1134"/>
        </w:tabs>
        <w:jc w:val="both"/>
        <w:rPr>
          <w:lang w:eastAsia="en-US"/>
        </w:rPr>
      </w:pPr>
      <w:r w:rsidRPr="00D53A2B">
        <w:rPr>
          <w:b/>
          <w:lang w:eastAsia="en-US"/>
        </w:rPr>
        <w:t>MET 51:</w:t>
      </w:r>
      <w:r w:rsidR="001401A9" w:rsidRPr="00D53A2B">
        <w:rPr>
          <w:b/>
          <w:lang w:eastAsia="en-US"/>
        </w:rPr>
        <w:t xml:space="preserve"> </w:t>
      </w:r>
      <w:r w:rsidR="001401A9" w:rsidRPr="00D53A2B">
        <w:rPr>
          <w:lang w:eastAsia="en-US"/>
        </w:rPr>
        <w:t>Cüruf konsantratöründe bakır geri kazanımından kaynaklanan toprak ve yeraltı suyu kirliliğini önlemek için soğutma alanlarında bir drenaj sistemi kullanmak ve taşan suyu toplamak ve sıvı sızıntısını önlemek için nihai cüruf depolama alanının doğru bir şekilde tasarlanır.</w:t>
      </w:r>
    </w:p>
    <w:p w14:paraId="4E8D8985" w14:textId="77777777" w:rsidR="00374C56" w:rsidRPr="00D53A2B" w:rsidRDefault="00374C56" w:rsidP="00A202FD">
      <w:pPr>
        <w:jc w:val="both"/>
        <w:rPr>
          <w:lang w:eastAsia="en-US"/>
        </w:rPr>
      </w:pPr>
    </w:p>
    <w:p w14:paraId="26E180F2" w14:textId="5D897533" w:rsidR="00374C56" w:rsidRPr="00404A26" w:rsidRDefault="00921606" w:rsidP="00A202FD">
      <w:pPr>
        <w:pStyle w:val="MET"/>
        <w:rPr>
          <w:b w:val="0"/>
          <w:bCs/>
          <w:szCs w:val="24"/>
        </w:rPr>
      </w:pPr>
      <w:r w:rsidRPr="00404A26">
        <w:rPr>
          <w:szCs w:val="24"/>
        </w:rPr>
        <w:t>MET 52:</w:t>
      </w:r>
      <w:r w:rsidR="001401A9" w:rsidRPr="00404A26">
        <w:rPr>
          <w:szCs w:val="24"/>
        </w:rPr>
        <w:t xml:space="preserve"> </w:t>
      </w:r>
      <w:r w:rsidR="00374C56" w:rsidRPr="00E73DA3">
        <w:rPr>
          <w:b w:val="0"/>
          <w:bCs/>
          <w:szCs w:val="24"/>
        </w:rPr>
        <w:t>Birincil ve ikincil bakır üretiminde elektroliz</w:t>
      </w:r>
      <w:r w:rsidR="001401A9" w:rsidRPr="00DA4333">
        <w:rPr>
          <w:b w:val="0"/>
          <w:bCs/>
          <w:szCs w:val="24"/>
        </w:rPr>
        <w:t xml:space="preserve">den kaynaklanan </w:t>
      </w:r>
      <w:r w:rsidR="00374C56" w:rsidRPr="00BF4451">
        <w:rPr>
          <w:b w:val="0"/>
          <w:bCs/>
          <w:szCs w:val="24"/>
        </w:rPr>
        <w:t>toprak ve yeraltısuyu kirl</w:t>
      </w:r>
      <w:r w:rsidR="001401A9" w:rsidRPr="00BF4451">
        <w:rPr>
          <w:b w:val="0"/>
          <w:bCs/>
          <w:szCs w:val="24"/>
        </w:rPr>
        <w:t xml:space="preserve">iliğini </w:t>
      </w:r>
      <w:r w:rsidR="00374C56" w:rsidRPr="00BF4451">
        <w:rPr>
          <w:b w:val="0"/>
          <w:bCs/>
          <w:szCs w:val="24"/>
        </w:rPr>
        <w:t>önlemek için</w:t>
      </w:r>
      <w:r w:rsidR="00036C60" w:rsidRPr="00BF4451">
        <w:rPr>
          <w:b w:val="0"/>
          <w:bCs/>
          <w:szCs w:val="24"/>
        </w:rPr>
        <w:t xml:space="preserve">, </w:t>
      </w:r>
      <w:r w:rsidR="00374C56" w:rsidRPr="00CB4CD4">
        <w:rPr>
          <w:b w:val="0"/>
          <w:bCs/>
          <w:szCs w:val="24"/>
        </w:rPr>
        <w:t>aşağıda verilen tekniklerin biri veya birkaçı bir kombinasyonu kullan</w:t>
      </w:r>
      <w:r w:rsidR="00036C60" w:rsidRPr="00404A26">
        <w:rPr>
          <w:b w:val="0"/>
          <w:bCs/>
          <w:szCs w:val="24"/>
        </w:rPr>
        <w:t>ılır.</w:t>
      </w:r>
    </w:p>
    <w:p w14:paraId="7D61FB18" w14:textId="77777777" w:rsidR="00F33354" w:rsidRPr="00404A26" w:rsidRDefault="00F33354" w:rsidP="00A202FD">
      <w:pPr>
        <w:pStyle w:val="MET"/>
        <w:rPr>
          <w:szCs w:val="24"/>
        </w:rPr>
      </w:pPr>
    </w:p>
    <w:tbl>
      <w:tblPr>
        <w:tblW w:w="8721" w:type="dxa"/>
        <w:tblLayout w:type="fixed"/>
        <w:tblCellMar>
          <w:left w:w="0" w:type="dxa"/>
          <w:right w:w="0" w:type="dxa"/>
        </w:tblCellMar>
        <w:tblLook w:val="01E0" w:firstRow="1" w:lastRow="1" w:firstColumn="1" w:lastColumn="1" w:noHBand="0" w:noVBand="0"/>
      </w:tblPr>
      <w:tblGrid>
        <w:gridCol w:w="437"/>
        <w:gridCol w:w="8284"/>
      </w:tblGrid>
      <w:tr w:rsidR="00374C56" w:rsidRPr="00404A26" w14:paraId="6D3D2C54"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341C7E49" w14:textId="77777777" w:rsidR="00374C56" w:rsidRPr="009077F5" w:rsidRDefault="00374C56" w:rsidP="00A202FD">
            <w:pPr>
              <w:spacing w:line="264" w:lineRule="auto"/>
              <w:ind w:left="57" w:right="57"/>
              <w:jc w:val="both"/>
              <w:rPr>
                <w:lang w:eastAsia="en-US"/>
              </w:rPr>
            </w:pPr>
          </w:p>
        </w:tc>
        <w:tc>
          <w:tcPr>
            <w:tcW w:w="8284" w:type="dxa"/>
            <w:tcBorders>
              <w:top w:val="single" w:sz="4" w:space="0" w:color="000000"/>
              <w:left w:val="single" w:sz="4" w:space="0" w:color="000000"/>
              <w:bottom w:val="single" w:sz="4" w:space="0" w:color="000000"/>
              <w:right w:val="single" w:sz="4" w:space="0" w:color="000000"/>
            </w:tcBorders>
            <w:vAlign w:val="center"/>
          </w:tcPr>
          <w:p w14:paraId="44257D1A" w14:textId="77777777" w:rsidR="00374C56" w:rsidRPr="009077F5" w:rsidRDefault="00374C56" w:rsidP="00A202FD">
            <w:pPr>
              <w:spacing w:line="264" w:lineRule="auto"/>
              <w:ind w:left="57" w:right="57"/>
              <w:jc w:val="both"/>
              <w:rPr>
                <w:lang w:eastAsia="en-US"/>
              </w:rPr>
            </w:pPr>
            <w:r w:rsidRPr="009077F5">
              <w:rPr>
                <w:b/>
                <w:bCs/>
                <w:lang w:eastAsia="en-US"/>
              </w:rPr>
              <w:t>Teknik</w:t>
            </w:r>
          </w:p>
        </w:tc>
      </w:tr>
      <w:tr w:rsidR="00374C56" w:rsidRPr="00404A26" w14:paraId="121BF7FA"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5EDA8335" w14:textId="77777777" w:rsidR="00374C56" w:rsidRPr="009077F5" w:rsidRDefault="00374C56" w:rsidP="00A202FD">
            <w:pPr>
              <w:spacing w:line="264" w:lineRule="auto"/>
              <w:ind w:left="57" w:right="57"/>
              <w:jc w:val="both"/>
              <w:rPr>
                <w:lang w:eastAsia="en-US"/>
              </w:rPr>
            </w:pPr>
            <w:r w:rsidRPr="009077F5">
              <w:rPr>
                <w:lang w:eastAsia="en-US"/>
              </w:rPr>
              <w:t>a</w:t>
            </w:r>
          </w:p>
        </w:tc>
        <w:tc>
          <w:tcPr>
            <w:tcW w:w="8284" w:type="dxa"/>
            <w:tcBorders>
              <w:top w:val="single" w:sz="4" w:space="0" w:color="000000"/>
              <w:left w:val="single" w:sz="4" w:space="0" w:color="000000"/>
              <w:bottom w:val="single" w:sz="4" w:space="0" w:color="000000"/>
              <w:right w:val="single" w:sz="4" w:space="0" w:color="000000"/>
            </w:tcBorders>
          </w:tcPr>
          <w:p w14:paraId="7FE86948" w14:textId="77777777" w:rsidR="00374C56" w:rsidRPr="009077F5" w:rsidRDefault="00374C56" w:rsidP="00A202FD">
            <w:pPr>
              <w:spacing w:line="264" w:lineRule="auto"/>
              <w:ind w:left="57" w:right="57"/>
              <w:jc w:val="both"/>
              <w:rPr>
                <w:lang w:eastAsia="en-US"/>
              </w:rPr>
            </w:pPr>
            <w:r w:rsidRPr="009077F5">
              <w:rPr>
                <w:lang w:eastAsia="en-US"/>
              </w:rPr>
              <w:t>Sızdırmazlığı sağlanmış bir drenaj sisteminin kullanılması</w:t>
            </w:r>
          </w:p>
        </w:tc>
      </w:tr>
      <w:tr w:rsidR="00374C56" w:rsidRPr="00404A26" w14:paraId="7461A37E"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5604FF5F" w14:textId="77777777" w:rsidR="00374C56" w:rsidRPr="009077F5" w:rsidRDefault="00374C56" w:rsidP="00A202FD">
            <w:pPr>
              <w:spacing w:line="264" w:lineRule="auto"/>
              <w:ind w:left="57" w:right="57"/>
              <w:jc w:val="both"/>
              <w:rPr>
                <w:lang w:eastAsia="en-US"/>
              </w:rPr>
            </w:pPr>
            <w:r w:rsidRPr="009077F5">
              <w:rPr>
                <w:lang w:eastAsia="en-US"/>
              </w:rPr>
              <w:t>b</w:t>
            </w:r>
          </w:p>
        </w:tc>
        <w:tc>
          <w:tcPr>
            <w:tcW w:w="8284" w:type="dxa"/>
            <w:tcBorders>
              <w:top w:val="single" w:sz="4" w:space="0" w:color="000000"/>
              <w:left w:val="single" w:sz="4" w:space="0" w:color="000000"/>
              <w:bottom w:val="single" w:sz="4" w:space="0" w:color="000000"/>
              <w:right w:val="single" w:sz="4" w:space="0" w:color="000000"/>
            </w:tcBorders>
          </w:tcPr>
          <w:p w14:paraId="18C5B947" w14:textId="77777777" w:rsidR="00374C56" w:rsidRPr="009077F5" w:rsidRDefault="00374C56" w:rsidP="00A202FD">
            <w:pPr>
              <w:spacing w:line="264" w:lineRule="auto"/>
              <w:ind w:left="57" w:right="57"/>
              <w:jc w:val="both"/>
              <w:rPr>
                <w:lang w:eastAsia="en-US"/>
              </w:rPr>
            </w:pPr>
            <w:r w:rsidRPr="009077F5">
              <w:rPr>
                <w:lang w:eastAsia="en-US"/>
              </w:rPr>
              <w:t>Geçirimsiz ve aside dayanıklı zeminlerin tesis edilmesi</w:t>
            </w:r>
          </w:p>
        </w:tc>
      </w:tr>
      <w:tr w:rsidR="00374C56" w:rsidRPr="00404A26" w14:paraId="28F2FFCF"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60CA1CA5" w14:textId="77777777" w:rsidR="00374C56" w:rsidRPr="009077F5" w:rsidRDefault="00374C56" w:rsidP="00A202FD">
            <w:pPr>
              <w:spacing w:line="264" w:lineRule="auto"/>
              <w:ind w:left="57" w:right="57"/>
              <w:jc w:val="both"/>
              <w:rPr>
                <w:lang w:eastAsia="en-US"/>
              </w:rPr>
            </w:pPr>
            <w:r w:rsidRPr="009077F5">
              <w:rPr>
                <w:lang w:eastAsia="en-US"/>
              </w:rPr>
              <w:t>c</w:t>
            </w:r>
          </w:p>
        </w:tc>
        <w:tc>
          <w:tcPr>
            <w:tcW w:w="8284" w:type="dxa"/>
            <w:tcBorders>
              <w:top w:val="single" w:sz="4" w:space="0" w:color="000000"/>
              <w:left w:val="single" w:sz="4" w:space="0" w:color="000000"/>
              <w:bottom w:val="single" w:sz="4" w:space="0" w:color="000000"/>
              <w:right w:val="single" w:sz="4" w:space="0" w:color="000000"/>
            </w:tcBorders>
          </w:tcPr>
          <w:p w14:paraId="44B9DA28" w14:textId="6C330547" w:rsidR="00374C56" w:rsidRPr="009077F5" w:rsidRDefault="001401A9" w:rsidP="00A202FD">
            <w:pPr>
              <w:spacing w:line="264" w:lineRule="auto"/>
              <w:ind w:left="57" w:right="57"/>
              <w:jc w:val="both"/>
              <w:rPr>
                <w:lang w:eastAsia="en-US"/>
              </w:rPr>
            </w:pPr>
            <w:r w:rsidRPr="009077F5">
              <w:rPr>
                <w:lang w:eastAsia="en-US"/>
              </w:rPr>
              <w:t>Çift cidarlı tankların kullanılması veya geçirimsiz tabana sahip dayanıklı setlerin içine yerleştirilmesi.</w:t>
            </w:r>
          </w:p>
        </w:tc>
      </w:tr>
    </w:tbl>
    <w:p w14:paraId="0D4C626C" w14:textId="77777777" w:rsidR="00374C56" w:rsidRPr="00404A26" w:rsidRDefault="00374C56" w:rsidP="00A202FD">
      <w:pPr>
        <w:jc w:val="both"/>
        <w:rPr>
          <w:lang w:eastAsia="en-US"/>
        </w:rPr>
      </w:pPr>
    </w:p>
    <w:p w14:paraId="466881E1" w14:textId="0B00C585" w:rsidR="00374C56" w:rsidRPr="00404A26" w:rsidRDefault="001401A9" w:rsidP="00A202FD">
      <w:pPr>
        <w:pStyle w:val="Balk3"/>
        <w:rPr>
          <w:rFonts w:eastAsia="Arial" w:cs="Times New Roman"/>
          <w:lang w:eastAsia="en-US"/>
        </w:rPr>
      </w:pPr>
      <w:bookmarkStart w:id="69" w:name="_Toc531927869"/>
      <w:r w:rsidRPr="00404A26">
        <w:rPr>
          <w:rFonts w:eastAsia="Arial" w:cs="Times New Roman"/>
          <w:lang w:eastAsia="en-US"/>
        </w:rPr>
        <w:t>1.</w:t>
      </w:r>
      <w:r w:rsidR="00374C56" w:rsidRPr="00404A26">
        <w:rPr>
          <w:rFonts w:eastAsia="Arial" w:cs="Times New Roman"/>
          <w:lang w:eastAsia="en-US"/>
        </w:rPr>
        <w:t>2.5.</w:t>
      </w:r>
      <w:r w:rsidRPr="00404A26">
        <w:rPr>
          <w:rFonts w:eastAsia="Arial" w:cs="Times New Roman"/>
          <w:lang w:eastAsia="en-US"/>
        </w:rPr>
        <w:t xml:space="preserve"> </w:t>
      </w:r>
      <w:r w:rsidR="00374C56" w:rsidRPr="00404A26">
        <w:rPr>
          <w:rFonts w:eastAsia="Arial" w:cs="Times New Roman"/>
          <w:lang w:eastAsia="en-US"/>
        </w:rPr>
        <w:t xml:space="preserve">Atıksu </w:t>
      </w:r>
      <w:bookmarkEnd w:id="69"/>
      <w:r w:rsidRPr="00404A26">
        <w:rPr>
          <w:rFonts w:eastAsia="Arial" w:cs="Times New Roman"/>
          <w:lang w:eastAsia="en-US"/>
        </w:rPr>
        <w:t>oluşumu</w:t>
      </w:r>
    </w:p>
    <w:p w14:paraId="0719628B" w14:textId="4E43FE02" w:rsidR="001401A9" w:rsidRPr="00404A26" w:rsidRDefault="00921606" w:rsidP="00A202FD">
      <w:pPr>
        <w:pStyle w:val="MET"/>
        <w:rPr>
          <w:b w:val="0"/>
          <w:bCs/>
          <w:szCs w:val="24"/>
        </w:rPr>
      </w:pPr>
      <w:r w:rsidRPr="00404A26">
        <w:rPr>
          <w:szCs w:val="24"/>
        </w:rPr>
        <w:t>MET 53:</w:t>
      </w:r>
      <w:r w:rsidR="001401A9" w:rsidRPr="00404A26">
        <w:rPr>
          <w:szCs w:val="24"/>
        </w:rPr>
        <w:t xml:space="preserve"> </w:t>
      </w:r>
      <w:r w:rsidR="001401A9" w:rsidRPr="00404A26">
        <w:rPr>
          <w:b w:val="0"/>
          <w:bCs/>
          <w:szCs w:val="24"/>
        </w:rPr>
        <w:t xml:space="preserve">Birincil ve ikincil bakır üretiminden kaynaklanan </w:t>
      </w:r>
      <w:r w:rsidR="00651500" w:rsidRPr="00404A26">
        <w:rPr>
          <w:b w:val="0"/>
          <w:bCs/>
          <w:szCs w:val="24"/>
        </w:rPr>
        <w:t>atıksu</w:t>
      </w:r>
      <w:r w:rsidR="00F33354" w:rsidRPr="00404A26">
        <w:rPr>
          <w:b w:val="0"/>
          <w:bCs/>
          <w:szCs w:val="24"/>
        </w:rPr>
        <w:t xml:space="preserve"> </w:t>
      </w:r>
      <w:r w:rsidR="001401A9" w:rsidRPr="00404A26">
        <w:rPr>
          <w:b w:val="0"/>
          <w:bCs/>
          <w:szCs w:val="24"/>
        </w:rPr>
        <w:t>oluşumunu önlemek için aşağıda verilen tekniklerden biri veya birkaçı bir arada kullanılır.</w:t>
      </w:r>
    </w:p>
    <w:p w14:paraId="1A46A07D" w14:textId="77777777" w:rsidR="00F33354" w:rsidRPr="00404A26" w:rsidRDefault="00F33354" w:rsidP="00A202FD">
      <w:pPr>
        <w:pStyle w:val="MET"/>
        <w:rPr>
          <w:szCs w:val="24"/>
        </w:rPr>
      </w:pPr>
    </w:p>
    <w:tbl>
      <w:tblPr>
        <w:tblW w:w="8784" w:type="dxa"/>
        <w:tblLayout w:type="fixed"/>
        <w:tblCellMar>
          <w:left w:w="0" w:type="dxa"/>
          <w:right w:w="0" w:type="dxa"/>
        </w:tblCellMar>
        <w:tblLook w:val="01E0" w:firstRow="1" w:lastRow="1" w:firstColumn="1" w:lastColumn="1" w:noHBand="0" w:noVBand="0"/>
      </w:tblPr>
      <w:tblGrid>
        <w:gridCol w:w="437"/>
        <w:gridCol w:w="8347"/>
      </w:tblGrid>
      <w:tr w:rsidR="00374C56" w:rsidRPr="00404A26" w14:paraId="70E965BE" w14:textId="77777777" w:rsidTr="00271877">
        <w:trPr>
          <w:trHeight w:val="283"/>
        </w:trPr>
        <w:tc>
          <w:tcPr>
            <w:tcW w:w="437" w:type="dxa"/>
            <w:tcBorders>
              <w:top w:val="single" w:sz="4" w:space="0" w:color="000000"/>
              <w:left w:val="single" w:sz="4" w:space="0" w:color="000000"/>
              <w:bottom w:val="single" w:sz="4" w:space="0" w:color="000000"/>
              <w:right w:val="single" w:sz="4" w:space="0" w:color="000000"/>
            </w:tcBorders>
            <w:vAlign w:val="center"/>
          </w:tcPr>
          <w:p w14:paraId="14B5603B" w14:textId="77777777" w:rsidR="00374C56" w:rsidRPr="009077F5" w:rsidRDefault="00374C56" w:rsidP="00A202FD">
            <w:pPr>
              <w:spacing w:line="264" w:lineRule="auto"/>
              <w:ind w:left="57" w:right="57"/>
              <w:jc w:val="both"/>
              <w:rPr>
                <w:lang w:eastAsia="en-US"/>
              </w:rPr>
            </w:pPr>
          </w:p>
        </w:tc>
        <w:tc>
          <w:tcPr>
            <w:tcW w:w="8347" w:type="dxa"/>
            <w:tcBorders>
              <w:top w:val="single" w:sz="4" w:space="0" w:color="000000"/>
              <w:left w:val="single" w:sz="4" w:space="0" w:color="000000"/>
              <w:bottom w:val="single" w:sz="4" w:space="0" w:color="000000"/>
              <w:right w:val="single" w:sz="4" w:space="0" w:color="000000"/>
            </w:tcBorders>
            <w:vAlign w:val="center"/>
          </w:tcPr>
          <w:p w14:paraId="0D397926" w14:textId="77777777" w:rsidR="00374C56" w:rsidRPr="009077F5" w:rsidRDefault="00374C56" w:rsidP="00A202FD">
            <w:pPr>
              <w:spacing w:line="264" w:lineRule="auto"/>
              <w:ind w:left="57" w:right="57"/>
              <w:jc w:val="both"/>
              <w:rPr>
                <w:lang w:eastAsia="en-US"/>
              </w:rPr>
            </w:pPr>
            <w:r w:rsidRPr="009077F5">
              <w:rPr>
                <w:b/>
                <w:bCs/>
                <w:lang w:eastAsia="en-US"/>
              </w:rPr>
              <w:t>Teknik</w:t>
            </w:r>
          </w:p>
        </w:tc>
      </w:tr>
      <w:tr w:rsidR="00374C56" w:rsidRPr="00404A26" w14:paraId="1B3B0DE7"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44F11A0B" w14:textId="77777777" w:rsidR="00374C56" w:rsidRPr="009077F5" w:rsidRDefault="00374C56" w:rsidP="00A202FD">
            <w:pPr>
              <w:spacing w:line="264" w:lineRule="auto"/>
              <w:ind w:left="57" w:right="57"/>
              <w:jc w:val="both"/>
              <w:rPr>
                <w:lang w:eastAsia="en-US"/>
              </w:rPr>
            </w:pPr>
            <w:r w:rsidRPr="009077F5">
              <w:rPr>
                <w:lang w:eastAsia="en-US"/>
              </w:rPr>
              <w:t>a</w:t>
            </w:r>
          </w:p>
        </w:tc>
        <w:tc>
          <w:tcPr>
            <w:tcW w:w="8347" w:type="dxa"/>
            <w:tcBorders>
              <w:top w:val="single" w:sz="4" w:space="0" w:color="000000"/>
              <w:left w:val="single" w:sz="4" w:space="0" w:color="000000"/>
              <w:bottom w:val="single" w:sz="4" w:space="0" w:color="000000"/>
              <w:right w:val="single" w:sz="4" w:space="0" w:color="000000"/>
            </w:tcBorders>
          </w:tcPr>
          <w:p w14:paraId="7080E0C0" w14:textId="3AE7DF60" w:rsidR="00374C56" w:rsidRPr="009077F5" w:rsidRDefault="001401A9" w:rsidP="00A202FD">
            <w:pPr>
              <w:spacing w:line="264" w:lineRule="auto"/>
              <w:ind w:left="57" w:right="57"/>
              <w:jc w:val="both"/>
              <w:rPr>
                <w:lang w:eastAsia="en-US"/>
              </w:rPr>
            </w:pPr>
            <w:r w:rsidRPr="009077F5">
              <w:rPr>
                <w:lang w:eastAsia="en-US"/>
              </w:rPr>
              <w:t>Buhar kondensatını elektroliz hücrelerini ısıtmak, bakır katotları yıkamak veya buhar kazanına geri göndermek için kullanı</w:t>
            </w:r>
            <w:r w:rsidR="003A678C" w:rsidRPr="009077F5">
              <w:rPr>
                <w:lang w:eastAsia="en-US"/>
              </w:rPr>
              <w:t>lır.</w:t>
            </w:r>
          </w:p>
        </w:tc>
      </w:tr>
      <w:tr w:rsidR="00374C56" w:rsidRPr="00404A26" w14:paraId="05F3DC10"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43911CFA" w14:textId="77777777" w:rsidR="00374C56" w:rsidRPr="009077F5" w:rsidRDefault="00374C56" w:rsidP="00A202FD">
            <w:pPr>
              <w:spacing w:line="264" w:lineRule="auto"/>
              <w:ind w:left="57" w:right="57"/>
              <w:jc w:val="both"/>
              <w:rPr>
                <w:lang w:eastAsia="en-US"/>
              </w:rPr>
            </w:pPr>
            <w:r w:rsidRPr="009077F5">
              <w:rPr>
                <w:lang w:eastAsia="en-US"/>
              </w:rPr>
              <w:t>b</w:t>
            </w:r>
          </w:p>
        </w:tc>
        <w:tc>
          <w:tcPr>
            <w:tcW w:w="8347" w:type="dxa"/>
            <w:tcBorders>
              <w:top w:val="single" w:sz="4" w:space="0" w:color="000000"/>
              <w:left w:val="single" w:sz="4" w:space="0" w:color="000000"/>
              <w:bottom w:val="single" w:sz="4" w:space="0" w:color="000000"/>
              <w:right w:val="single" w:sz="4" w:space="0" w:color="000000"/>
            </w:tcBorders>
          </w:tcPr>
          <w:p w14:paraId="3111764B" w14:textId="62FB5B7B" w:rsidR="00374C56" w:rsidRPr="009077F5" w:rsidRDefault="001401A9" w:rsidP="00A202FD">
            <w:pPr>
              <w:spacing w:line="264" w:lineRule="auto"/>
              <w:ind w:left="57" w:right="57"/>
              <w:jc w:val="both"/>
              <w:rPr>
                <w:lang w:eastAsia="en-US"/>
              </w:rPr>
            </w:pPr>
            <w:r w:rsidRPr="009077F5">
              <w:rPr>
                <w:lang w:eastAsia="en-US"/>
              </w:rPr>
              <w:t>Soğutma alanından toplanan suyun, flotasyon prosesinde ve cüruf konsantre prosesinde son cürufun hidro naklinde tekrar kullanılması.</w:t>
            </w:r>
          </w:p>
        </w:tc>
      </w:tr>
      <w:tr w:rsidR="00374C56" w:rsidRPr="00404A26" w14:paraId="46FB9161"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774E09DB" w14:textId="77777777" w:rsidR="00374C56" w:rsidRPr="009077F5" w:rsidRDefault="00374C56" w:rsidP="00A202FD">
            <w:pPr>
              <w:spacing w:line="264" w:lineRule="auto"/>
              <w:ind w:left="57" w:right="57"/>
              <w:jc w:val="both"/>
              <w:rPr>
                <w:lang w:eastAsia="en-US"/>
              </w:rPr>
            </w:pPr>
            <w:r w:rsidRPr="009077F5">
              <w:rPr>
                <w:lang w:eastAsia="en-US"/>
              </w:rPr>
              <w:t>c</w:t>
            </w:r>
          </w:p>
        </w:tc>
        <w:tc>
          <w:tcPr>
            <w:tcW w:w="8347" w:type="dxa"/>
            <w:tcBorders>
              <w:top w:val="single" w:sz="4" w:space="0" w:color="000000"/>
              <w:left w:val="single" w:sz="4" w:space="0" w:color="000000"/>
              <w:bottom w:val="single" w:sz="4" w:space="0" w:color="000000"/>
              <w:right w:val="single" w:sz="4" w:space="0" w:color="000000"/>
            </w:tcBorders>
          </w:tcPr>
          <w:p w14:paraId="07DD11AB" w14:textId="47F3E9B8" w:rsidR="00374C56" w:rsidRPr="009077F5" w:rsidRDefault="00374C56" w:rsidP="00A202FD">
            <w:pPr>
              <w:spacing w:line="264" w:lineRule="auto"/>
              <w:ind w:left="57" w:right="57"/>
              <w:jc w:val="both"/>
              <w:rPr>
                <w:lang w:eastAsia="en-US"/>
              </w:rPr>
            </w:pPr>
            <w:r w:rsidRPr="009077F5">
              <w:rPr>
                <w:lang w:eastAsia="en-US"/>
              </w:rPr>
              <w:t xml:space="preserve">Asitli </w:t>
            </w:r>
            <w:r w:rsidR="001401A9" w:rsidRPr="009077F5">
              <w:rPr>
                <w:lang w:eastAsia="en-US"/>
              </w:rPr>
              <w:t>dekapaj</w:t>
            </w:r>
            <w:r w:rsidRPr="009077F5">
              <w:rPr>
                <w:lang w:eastAsia="en-US"/>
              </w:rPr>
              <w:t xml:space="preserve"> çözeltilerinin ve durulama suyunun geri kazanılması</w:t>
            </w:r>
          </w:p>
        </w:tc>
      </w:tr>
      <w:tr w:rsidR="00374C56" w:rsidRPr="00404A26" w14:paraId="426F7402"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3C052249" w14:textId="77777777" w:rsidR="00374C56" w:rsidRPr="009077F5" w:rsidRDefault="00374C56" w:rsidP="00A202FD">
            <w:pPr>
              <w:spacing w:line="264" w:lineRule="auto"/>
              <w:ind w:left="57" w:right="57"/>
              <w:jc w:val="both"/>
              <w:rPr>
                <w:lang w:eastAsia="en-US"/>
              </w:rPr>
            </w:pPr>
            <w:r w:rsidRPr="009077F5">
              <w:rPr>
                <w:lang w:eastAsia="en-US"/>
              </w:rPr>
              <w:t>d</w:t>
            </w:r>
          </w:p>
        </w:tc>
        <w:tc>
          <w:tcPr>
            <w:tcW w:w="8347" w:type="dxa"/>
            <w:tcBorders>
              <w:top w:val="single" w:sz="4" w:space="0" w:color="000000"/>
              <w:left w:val="single" w:sz="4" w:space="0" w:color="000000"/>
              <w:bottom w:val="single" w:sz="4" w:space="0" w:color="000000"/>
              <w:right w:val="single" w:sz="4" w:space="0" w:color="000000"/>
            </w:tcBorders>
          </w:tcPr>
          <w:p w14:paraId="2C012183" w14:textId="7096AA4D" w:rsidR="00374C56" w:rsidRPr="009077F5" w:rsidRDefault="001401A9" w:rsidP="00A202FD">
            <w:pPr>
              <w:spacing w:line="264" w:lineRule="auto"/>
              <w:ind w:left="57" w:right="57"/>
              <w:jc w:val="both"/>
              <w:rPr>
                <w:lang w:eastAsia="en-US"/>
              </w:rPr>
            </w:pPr>
            <w:r w:rsidRPr="009077F5">
              <w:rPr>
                <w:lang w:eastAsia="en-US"/>
              </w:rPr>
              <w:t>Hidrometalurjik bakır üretiminde çözücü ekstraksiyon adımından çıkan kalıntıları (ham) işleyerek organik çözelti içeriğini</w:t>
            </w:r>
            <w:r w:rsidR="00D674A1" w:rsidRPr="009077F5">
              <w:rPr>
                <w:lang w:eastAsia="en-US"/>
              </w:rPr>
              <w:t>n</w:t>
            </w:r>
            <w:r w:rsidRPr="009077F5">
              <w:rPr>
                <w:lang w:eastAsia="en-US"/>
              </w:rPr>
              <w:t xml:space="preserve"> geri kazanı</w:t>
            </w:r>
            <w:r w:rsidR="00D674A1" w:rsidRPr="009077F5">
              <w:rPr>
                <w:lang w:eastAsia="en-US"/>
              </w:rPr>
              <w:t>lması</w:t>
            </w:r>
            <w:r w:rsidRPr="009077F5">
              <w:rPr>
                <w:lang w:eastAsia="en-US"/>
              </w:rPr>
              <w:t>.</w:t>
            </w:r>
          </w:p>
        </w:tc>
      </w:tr>
      <w:tr w:rsidR="00374C56" w:rsidRPr="00404A26" w14:paraId="608409C9"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48C24D43" w14:textId="77777777" w:rsidR="00374C56" w:rsidRPr="009077F5" w:rsidRDefault="00374C56" w:rsidP="00A202FD">
            <w:pPr>
              <w:spacing w:line="264" w:lineRule="auto"/>
              <w:ind w:left="57" w:right="57"/>
              <w:jc w:val="both"/>
              <w:rPr>
                <w:lang w:eastAsia="en-US"/>
              </w:rPr>
            </w:pPr>
            <w:r w:rsidRPr="009077F5">
              <w:rPr>
                <w:lang w:eastAsia="en-US"/>
              </w:rPr>
              <w:t>e</w:t>
            </w:r>
          </w:p>
        </w:tc>
        <w:tc>
          <w:tcPr>
            <w:tcW w:w="8347" w:type="dxa"/>
            <w:tcBorders>
              <w:top w:val="single" w:sz="4" w:space="0" w:color="000000"/>
              <w:left w:val="single" w:sz="4" w:space="0" w:color="000000"/>
              <w:bottom w:val="single" w:sz="4" w:space="0" w:color="000000"/>
              <w:right w:val="single" w:sz="4" w:space="0" w:color="000000"/>
            </w:tcBorders>
          </w:tcPr>
          <w:p w14:paraId="611AE9B1" w14:textId="55C43411" w:rsidR="00374C56" w:rsidRPr="009077F5" w:rsidRDefault="001401A9" w:rsidP="00A202FD">
            <w:pPr>
              <w:spacing w:line="264" w:lineRule="auto"/>
              <w:ind w:left="57" w:right="57"/>
              <w:jc w:val="both"/>
              <w:rPr>
                <w:lang w:eastAsia="en-US"/>
              </w:rPr>
            </w:pPr>
            <w:r w:rsidRPr="009077F5">
              <w:rPr>
                <w:lang w:eastAsia="en-US"/>
              </w:rPr>
              <w:t>Hidrometalurjik bakır üretiminde çözücü ekstraksiyon adımından gelen temizleme ve çökel</w:t>
            </w:r>
            <w:r w:rsidR="003A678C" w:rsidRPr="009077F5">
              <w:rPr>
                <w:lang w:eastAsia="en-US"/>
              </w:rPr>
              <w:t>t</w:t>
            </w:r>
            <w:r w:rsidRPr="009077F5">
              <w:rPr>
                <w:lang w:eastAsia="en-US"/>
              </w:rPr>
              <w:t>me çamurunu santrifüjle</w:t>
            </w:r>
            <w:r w:rsidR="003A678C" w:rsidRPr="009077F5">
              <w:rPr>
                <w:lang w:eastAsia="en-US"/>
              </w:rPr>
              <w:t>n</w:t>
            </w:r>
            <w:r w:rsidR="00D674A1" w:rsidRPr="009077F5">
              <w:rPr>
                <w:lang w:eastAsia="en-US"/>
              </w:rPr>
              <w:t>mesi</w:t>
            </w:r>
          </w:p>
        </w:tc>
      </w:tr>
      <w:tr w:rsidR="00374C56" w:rsidRPr="00404A26" w14:paraId="15ECE1E1"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44783FBB" w14:textId="77777777" w:rsidR="00374C56" w:rsidRPr="009077F5" w:rsidRDefault="00374C56" w:rsidP="00A202FD">
            <w:pPr>
              <w:spacing w:line="264" w:lineRule="auto"/>
              <w:ind w:left="57" w:right="57"/>
              <w:jc w:val="both"/>
              <w:rPr>
                <w:lang w:eastAsia="en-US"/>
              </w:rPr>
            </w:pPr>
            <w:r w:rsidRPr="009077F5">
              <w:rPr>
                <w:lang w:eastAsia="en-US"/>
              </w:rPr>
              <w:t>f</w:t>
            </w:r>
          </w:p>
        </w:tc>
        <w:tc>
          <w:tcPr>
            <w:tcW w:w="8347" w:type="dxa"/>
            <w:tcBorders>
              <w:top w:val="single" w:sz="4" w:space="0" w:color="000000"/>
              <w:left w:val="single" w:sz="4" w:space="0" w:color="000000"/>
              <w:bottom w:val="single" w:sz="4" w:space="0" w:color="000000"/>
              <w:right w:val="single" w:sz="4" w:space="0" w:color="000000"/>
            </w:tcBorders>
          </w:tcPr>
          <w:p w14:paraId="5431CF5C" w14:textId="74347430" w:rsidR="00374C56" w:rsidRPr="009077F5" w:rsidRDefault="00DA35AC" w:rsidP="00A202FD">
            <w:pPr>
              <w:spacing w:line="264" w:lineRule="auto"/>
              <w:ind w:left="57" w:right="57"/>
              <w:jc w:val="both"/>
              <w:rPr>
                <w:lang w:eastAsia="en-US"/>
              </w:rPr>
            </w:pPr>
            <w:r w:rsidRPr="009077F5">
              <w:rPr>
                <w:lang w:eastAsia="en-US"/>
              </w:rPr>
              <w:t xml:space="preserve">Metal giderme aşamasından sonra </w:t>
            </w:r>
            <w:r w:rsidR="003A678C" w:rsidRPr="009077F5">
              <w:rPr>
                <w:lang w:eastAsia="en-US"/>
              </w:rPr>
              <w:t>elektrikli özütleme</w:t>
            </w:r>
            <w:r w:rsidRPr="009077F5">
              <w:rPr>
                <w:lang w:eastAsia="en-US"/>
              </w:rPr>
              <w:t xml:space="preserve"> elektroliz ve/veya liç işleminde yeniden kullanı</w:t>
            </w:r>
            <w:r w:rsidR="003A678C" w:rsidRPr="009077F5">
              <w:rPr>
                <w:lang w:eastAsia="en-US"/>
              </w:rPr>
              <w:t>l</w:t>
            </w:r>
            <w:r w:rsidR="00D674A1" w:rsidRPr="009077F5">
              <w:rPr>
                <w:lang w:eastAsia="en-US"/>
              </w:rPr>
              <w:t>ması</w:t>
            </w:r>
          </w:p>
        </w:tc>
      </w:tr>
    </w:tbl>
    <w:p w14:paraId="56975B88" w14:textId="1002E547" w:rsidR="00374C56" w:rsidRPr="00404A26" w:rsidRDefault="00C203EF" w:rsidP="00A202FD">
      <w:pPr>
        <w:pStyle w:val="Balk3"/>
        <w:rPr>
          <w:rFonts w:cs="Times New Roman"/>
          <w:lang w:eastAsia="en-US"/>
        </w:rPr>
      </w:pPr>
      <w:bookmarkStart w:id="70" w:name="_Toc531927870"/>
      <w:r w:rsidRPr="00404A26">
        <w:rPr>
          <w:rFonts w:cs="Times New Roman"/>
          <w:lang w:eastAsia="en-US"/>
        </w:rPr>
        <w:t>1.</w:t>
      </w:r>
      <w:r w:rsidR="00374C56" w:rsidRPr="00404A26">
        <w:rPr>
          <w:rFonts w:cs="Times New Roman"/>
          <w:lang w:eastAsia="en-US"/>
        </w:rPr>
        <w:t>2.6.</w:t>
      </w:r>
      <w:r w:rsidRPr="00404A26">
        <w:rPr>
          <w:rFonts w:cs="Times New Roman"/>
          <w:lang w:eastAsia="en-US"/>
        </w:rPr>
        <w:t xml:space="preserve"> </w:t>
      </w:r>
      <w:r w:rsidR="00374C56" w:rsidRPr="00404A26">
        <w:rPr>
          <w:rFonts w:cs="Times New Roman"/>
          <w:lang w:eastAsia="en-US"/>
        </w:rPr>
        <w:t>Atık</w:t>
      </w:r>
      <w:bookmarkEnd w:id="70"/>
    </w:p>
    <w:p w14:paraId="079F5257" w14:textId="67A3C21D" w:rsidR="00374C56" w:rsidRPr="00D53A2B" w:rsidRDefault="00921606" w:rsidP="00A202FD">
      <w:pPr>
        <w:pStyle w:val="MET"/>
        <w:rPr>
          <w:b w:val="0"/>
          <w:bCs/>
          <w:szCs w:val="24"/>
        </w:rPr>
      </w:pPr>
      <w:r w:rsidRPr="00D53A2B">
        <w:rPr>
          <w:szCs w:val="24"/>
        </w:rPr>
        <w:t>MET 54:</w:t>
      </w:r>
      <w:r w:rsidR="00C203EF" w:rsidRPr="00D53A2B">
        <w:rPr>
          <w:szCs w:val="24"/>
        </w:rPr>
        <w:t xml:space="preserve"> </w:t>
      </w:r>
      <w:r w:rsidR="00C203EF" w:rsidRPr="00D53A2B">
        <w:rPr>
          <w:b w:val="0"/>
          <w:bCs/>
          <w:szCs w:val="24"/>
        </w:rPr>
        <w:t xml:space="preserve">Birincil ve ikincil bakır üretiminden kaynaklanan bertaraf için gönderilen atık miktarını azaltmak amacıyla, aşağıda verilen tekniklerden birini veya bir kombinasyonunu kullanmak da dahil olmak üzere, proses artıklarının yeniden kullanımını veya bu mümkün değilse proses artıklarının geri </w:t>
      </w:r>
      <w:r w:rsidR="00FC36C6">
        <w:rPr>
          <w:b w:val="0"/>
          <w:bCs/>
          <w:szCs w:val="24"/>
        </w:rPr>
        <w:t>kazanımını</w:t>
      </w:r>
      <w:r w:rsidR="00C203EF" w:rsidRPr="00D53A2B">
        <w:rPr>
          <w:b w:val="0"/>
          <w:bCs/>
          <w:szCs w:val="24"/>
        </w:rPr>
        <w:t xml:space="preserve"> kolaylaştıracak şekilde faaliyetleri organize etmektir.</w:t>
      </w:r>
    </w:p>
    <w:p w14:paraId="0B6FDD1A" w14:textId="77777777" w:rsidR="00F33354" w:rsidRPr="00D53A2B" w:rsidRDefault="00F33354" w:rsidP="00A202FD">
      <w:pPr>
        <w:pStyle w:val="MET"/>
        <w:rPr>
          <w:szCs w:val="24"/>
        </w:rPr>
      </w:pPr>
    </w:p>
    <w:tbl>
      <w:tblPr>
        <w:tblStyle w:val="TabloKlavuzu7"/>
        <w:tblW w:w="8789" w:type="dxa"/>
        <w:tblLayout w:type="fixed"/>
        <w:tblLook w:val="01E0" w:firstRow="1" w:lastRow="1" w:firstColumn="1" w:lastColumn="1" w:noHBand="0" w:noVBand="0"/>
      </w:tblPr>
      <w:tblGrid>
        <w:gridCol w:w="425"/>
        <w:gridCol w:w="4867"/>
        <w:gridCol w:w="3497"/>
      </w:tblGrid>
      <w:tr w:rsidR="00374C56" w:rsidRPr="00404A26" w14:paraId="0B7A20FD" w14:textId="77777777" w:rsidTr="00271877">
        <w:tc>
          <w:tcPr>
            <w:tcW w:w="425" w:type="dxa"/>
          </w:tcPr>
          <w:p w14:paraId="06269698" w14:textId="77777777" w:rsidR="00374C56" w:rsidRPr="009077F5" w:rsidRDefault="00374C56" w:rsidP="00A202FD">
            <w:pPr>
              <w:spacing w:line="264" w:lineRule="auto"/>
              <w:ind w:left="57" w:right="57"/>
              <w:jc w:val="both"/>
            </w:pPr>
          </w:p>
        </w:tc>
        <w:tc>
          <w:tcPr>
            <w:tcW w:w="4867" w:type="dxa"/>
          </w:tcPr>
          <w:p w14:paraId="116C0789" w14:textId="77777777" w:rsidR="00374C56" w:rsidRPr="009077F5" w:rsidRDefault="00374C56" w:rsidP="00A202FD">
            <w:pPr>
              <w:spacing w:line="264" w:lineRule="auto"/>
              <w:ind w:left="57" w:right="57"/>
              <w:jc w:val="both"/>
            </w:pPr>
            <w:r w:rsidRPr="009077F5">
              <w:rPr>
                <w:b/>
                <w:bCs/>
              </w:rPr>
              <w:t>Teknik</w:t>
            </w:r>
          </w:p>
        </w:tc>
        <w:tc>
          <w:tcPr>
            <w:tcW w:w="3497" w:type="dxa"/>
          </w:tcPr>
          <w:p w14:paraId="7869BCBA" w14:textId="77777777" w:rsidR="00374C56" w:rsidRPr="009077F5" w:rsidRDefault="00374C56" w:rsidP="00A202FD">
            <w:pPr>
              <w:spacing w:line="264" w:lineRule="auto"/>
              <w:ind w:left="57" w:right="57"/>
              <w:jc w:val="both"/>
            </w:pPr>
            <w:r w:rsidRPr="009077F5">
              <w:rPr>
                <w:b/>
                <w:bCs/>
              </w:rPr>
              <w:t>Uygulanabilirlik</w:t>
            </w:r>
          </w:p>
        </w:tc>
      </w:tr>
      <w:tr w:rsidR="00374C56" w:rsidRPr="00404A26" w14:paraId="094B1828" w14:textId="77777777" w:rsidTr="00271877">
        <w:tc>
          <w:tcPr>
            <w:tcW w:w="425" w:type="dxa"/>
          </w:tcPr>
          <w:p w14:paraId="67502F4C" w14:textId="77777777" w:rsidR="00374C56" w:rsidRPr="009077F5" w:rsidRDefault="00374C56" w:rsidP="00A202FD">
            <w:pPr>
              <w:spacing w:line="264" w:lineRule="auto"/>
              <w:ind w:left="57" w:right="57"/>
              <w:jc w:val="both"/>
            </w:pPr>
            <w:r w:rsidRPr="009077F5">
              <w:t>a</w:t>
            </w:r>
          </w:p>
        </w:tc>
        <w:tc>
          <w:tcPr>
            <w:tcW w:w="4867" w:type="dxa"/>
          </w:tcPr>
          <w:p w14:paraId="714E1328" w14:textId="6BB56109" w:rsidR="00374C56" w:rsidRPr="009077F5" w:rsidRDefault="00C44E8F" w:rsidP="00A202FD">
            <w:pPr>
              <w:spacing w:line="264" w:lineRule="auto"/>
              <w:ind w:left="57" w:right="57"/>
              <w:jc w:val="both"/>
            </w:pPr>
            <w:r w:rsidRPr="009077F5">
              <w:t>Toz azaltma sisteminden gelen toz ve balçıktan metallerin geri kazanılması.</w:t>
            </w:r>
          </w:p>
        </w:tc>
        <w:tc>
          <w:tcPr>
            <w:tcW w:w="3497" w:type="dxa"/>
          </w:tcPr>
          <w:p w14:paraId="5B41E06A" w14:textId="77777777" w:rsidR="00374C56" w:rsidRPr="009077F5" w:rsidRDefault="00374C56" w:rsidP="00A202FD">
            <w:pPr>
              <w:spacing w:line="264" w:lineRule="auto"/>
              <w:ind w:left="57" w:right="57"/>
              <w:jc w:val="both"/>
            </w:pPr>
            <w:r w:rsidRPr="009077F5">
              <w:t>Genellikle uygulanabilir</w:t>
            </w:r>
          </w:p>
        </w:tc>
      </w:tr>
      <w:tr w:rsidR="00374C56" w:rsidRPr="00404A26" w14:paraId="54E41449" w14:textId="77777777" w:rsidTr="00271877">
        <w:tc>
          <w:tcPr>
            <w:tcW w:w="425" w:type="dxa"/>
          </w:tcPr>
          <w:p w14:paraId="20EA5B40" w14:textId="77777777" w:rsidR="00374C56" w:rsidRPr="009077F5" w:rsidRDefault="00374C56" w:rsidP="00A202FD">
            <w:pPr>
              <w:spacing w:line="264" w:lineRule="auto"/>
              <w:ind w:left="57" w:right="57"/>
              <w:jc w:val="both"/>
            </w:pPr>
            <w:r w:rsidRPr="009077F5">
              <w:t>b</w:t>
            </w:r>
          </w:p>
        </w:tc>
        <w:tc>
          <w:tcPr>
            <w:tcW w:w="4867" w:type="dxa"/>
          </w:tcPr>
          <w:p w14:paraId="0373C5FD" w14:textId="236C7708" w:rsidR="00374C56" w:rsidRPr="009077F5" w:rsidRDefault="00374C56" w:rsidP="00A202FD">
            <w:pPr>
              <w:spacing w:line="264" w:lineRule="auto"/>
              <w:ind w:left="57" w:right="57"/>
              <w:jc w:val="both"/>
            </w:pPr>
            <w:r w:rsidRPr="009077F5">
              <w:t>SO</w:t>
            </w:r>
            <w:r w:rsidRPr="009077F5">
              <w:rPr>
                <w:vertAlign w:val="subscript"/>
              </w:rPr>
              <w:t>2</w:t>
            </w:r>
            <w:r w:rsidRPr="009077F5">
              <w:t xml:space="preserve"> azaltma sistemlerinde elde edilen kalsiyum bileşiklerinin (</w:t>
            </w:r>
            <w:r w:rsidRPr="009077F5">
              <w:rPr>
                <w:i/>
              </w:rPr>
              <w:t>örn.</w:t>
            </w:r>
            <w:r w:rsidRPr="009077F5">
              <w:t>, jips/alçıtaşı) yeniden kullanılması veya satılması</w:t>
            </w:r>
          </w:p>
        </w:tc>
        <w:tc>
          <w:tcPr>
            <w:tcW w:w="3497" w:type="dxa"/>
          </w:tcPr>
          <w:p w14:paraId="27D5ECA4" w14:textId="5304B6A3" w:rsidR="00374C56" w:rsidRPr="009077F5" w:rsidRDefault="00C44E8F" w:rsidP="00A202FD">
            <w:pPr>
              <w:spacing w:line="264" w:lineRule="auto"/>
              <w:ind w:left="57" w:right="57"/>
              <w:jc w:val="both"/>
            </w:pPr>
            <w:r w:rsidRPr="009077F5">
              <w:t>Uygulanabilirlik, metal içeriğine ve bir pazarın mevcudiyetine bağlı olarak kısıtlanabilir.</w:t>
            </w:r>
          </w:p>
        </w:tc>
      </w:tr>
      <w:tr w:rsidR="00374C56" w:rsidRPr="00404A26" w14:paraId="58F6EE25" w14:textId="77777777" w:rsidTr="00271877">
        <w:tc>
          <w:tcPr>
            <w:tcW w:w="425" w:type="dxa"/>
          </w:tcPr>
          <w:p w14:paraId="4CEB2403" w14:textId="77777777" w:rsidR="00374C56" w:rsidRPr="009077F5" w:rsidRDefault="00374C56" w:rsidP="00A202FD">
            <w:pPr>
              <w:spacing w:line="264" w:lineRule="auto"/>
              <w:ind w:left="57" w:right="57"/>
              <w:jc w:val="both"/>
            </w:pPr>
            <w:r w:rsidRPr="009077F5">
              <w:t>c</w:t>
            </w:r>
          </w:p>
        </w:tc>
        <w:tc>
          <w:tcPr>
            <w:tcW w:w="4867" w:type="dxa"/>
          </w:tcPr>
          <w:p w14:paraId="73D16BB7" w14:textId="77777777" w:rsidR="00374C56" w:rsidRPr="009077F5" w:rsidRDefault="00374C56" w:rsidP="00A202FD">
            <w:pPr>
              <w:spacing w:line="264" w:lineRule="auto"/>
              <w:ind w:left="57" w:right="57"/>
              <w:jc w:val="both"/>
            </w:pPr>
            <w:r w:rsidRPr="009077F5">
              <w:t>Tükenen katalizörlerin rejenere edilmesi veya geri dönüştürülmesi</w:t>
            </w:r>
          </w:p>
        </w:tc>
        <w:tc>
          <w:tcPr>
            <w:tcW w:w="3497" w:type="dxa"/>
          </w:tcPr>
          <w:p w14:paraId="441E4983" w14:textId="77777777" w:rsidR="00374C56" w:rsidRPr="009077F5" w:rsidRDefault="00374C56" w:rsidP="00A202FD">
            <w:pPr>
              <w:spacing w:line="264" w:lineRule="auto"/>
              <w:ind w:left="57" w:right="57"/>
              <w:jc w:val="both"/>
            </w:pPr>
            <w:r w:rsidRPr="009077F5">
              <w:t>Genellikle uygulanabilir</w:t>
            </w:r>
          </w:p>
        </w:tc>
      </w:tr>
      <w:tr w:rsidR="00374C56" w:rsidRPr="00404A26" w14:paraId="669AA477" w14:textId="77777777" w:rsidTr="00271877">
        <w:tc>
          <w:tcPr>
            <w:tcW w:w="425" w:type="dxa"/>
          </w:tcPr>
          <w:p w14:paraId="141AED31" w14:textId="77777777" w:rsidR="00374C56" w:rsidRPr="009077F5" w:rsidRDefault="00374C56" w:rsidP="00A202FD">
            <w:pPr>
              <w:spacing w:line="264" w:lineRule="auto"/>
              <w:ind w:left="57" w:right="57"/>
              <w:jc w:val="both"/>
            </w:pPr>
            <w:r w:rsidRPr="009077F5">
              <w:t>d</w:t>
            </w:r>
          </w:p>
        </w:tc>
        <w:tc>
          <w:tcPr>
            <w:tcW w:w="4867" w:type="dxa"/>
          </w:tcPr>
          <w:p w14:paraId="680A2BEB" w14:textId="77777777" w:rsidR="00374C56" w:rsidRPr="009077F5" w:rsidRDefault="00374C56" w:rsidP="00A202FD">
            <w:pPr>
              <w:spacing w:line="264" w:lineRule="auto"/>
              <w:ind w:left="57" w:right="57"/>
              <w:jc w:val="both"/>
            </w:pPr>
            <w:r w:rsidRPr="009077F5">
              <w:t>Atıksu arıtma sisteminden çıkan balçıktan metalin geri kazanılması</w:t>
            </w:r>
          </w:p>
        </w:tc>
        <w:tc>
          <w:tcPr>
            <w:tcW w:w="3497" w:type="dxa"/>
          </w:tcPr>
          <w:p w14:paraId="6943BC45" w14:textId="77777777" w:rsidR="00374C56" w:rsidRPr="009077F5" w:rsidRDefault="00374C56" w:rsidP="00A202FD">
            <w:pPr>
              <w:spacing w:line="264" w:lineRule="auto"/>
              <w:ind w:left="57" w:right="57"/>
              <w:jc w:val="both"/>
            </w:pPr>
            <w:r w:rsidRPr="009077F5">
              <w:t>Uygulanabilirlik, metal içeriğine ve malzemenin pazarlanabileceği bir piyasanın veya kullanılabileceği bir prosesin mevcudiyetine bağlı olarak kısıtlanabilir</w:t>
            </w:r>
          </w:p>
        </w:tc>
      </w:tr>
      <w:tr w:rsidR="00374C56" w:rsidRPr="00404A26" w14:paraId="0971D2F0" w14:textId="77777777" w:rsidTr="00271877">
        <w:tc>
          <w:tcPr>
            <w:tcW w:w="425" w:type="dxa"/>
          </w:tcPr>
          <w:p w14:paraId="55A45DAB" w14:textId="77777777" w:rsidR="00374C56" w:rsidRPr="009077F5" w:rsidRDefault="00374C56" w:rsidP="00A202FD">
            <w:pPr>
              <w:spacing w:line="264" w:lineRule="auto"/>
              <w:ind w:left="57" w:right="57"/>
              <w:jc w:val="both"/>
            </w:pPr>
            <w:r w:rsidRPr="009077F5">
              <w:t>e</w:t>
            </w:r>
          </w:p>
        </w:tc>
        <w:tc>
          <w:tcPr>
            <w:tcW w:w="4867" w:type="dxa"/>
          </w:tcPr>
          <w:p w14:paraId="1DAA4D4D" w14:textId="77777777" w:rsidR="00374C56" w:rsidRPr="009077F5" w:rsidRDefault="00374C56" w:rsidP="00A202FD">
            <w:pPr>
              <w:spacing w:line="264" w:lineRule="auto"/>
              <w:ind w:left="57" w:right="57"/>
              <w:jc w:val="both"/>
            </w:pPr>
            <w:r w:rsidRPr="009077F5">
              <w:t>Liç prosesinde veya alçıtaşı üretimi için zayıf asit kullanılması</w:t>
            </w:r>
          </w:p>
        </w:tc>
        <w:tc>
          <w:tcPr>
            <w:tcW w:w="3497" w:type="dxa"/>
            <w:vMerge w:val="restart"/>
          </w:tcPr>
          <w:p w14:paraId="29645732" w14:textId="77777777" w:rsidR="00374C56" w:rsidRPr="009077F5" w:rsidRDefault="00374C56" w:rsidP="00A202FD">
            <w:pPr>
              <w:spacing w:line="264" w:lineRule="auto"/>
              <w:ind w:left="57" w:right="57"/>
              <w:jc w:val="both"/>
            </w:pPr>
            <w:r w:rsidRPr="009077F5">
              <w:t>Genellikle uygulanabilir</w:t>
            </w:r>
          </w:p>
        </w:tc>
      </w:tr>
      <w:tr w:rsidR="00374C56" w:rsidRPr="00404A26" w14:paraId="12DBE775" w14:textId="77777777" w:rsidTr="00271877">
        <w:tc>
          <w:tcPr>
            <w:tcW w:w="425" w:type="dxa"/>
          </w:tcPr>
          <w:p w14:paraId="6EB5F662" w14:textId="77777777" w:rsidR="00374C56" w:rsidRPr="009077F5" w:rsidRDefault="00374C56" w:rsidP="00A202FD">
            <w:pPr>
              <w:spacing w:line="264" w:lineRule="auto"/>
              <w:ind w:left="57" w:right="57"/>
              <w:jc w:val="both"/>
            </w:pPr>
            <w:r w:rsidRPr="009077F5">
              <w:t>f</w:t>
            </w:r>
          </w:p>
        </w:tc>
        <w:tc>
          <w:tcPr>
            <w:tcW w:w="4867" w:type="dxa"/>
          </w:tcPr>
          <w:p w14:paraId="55BA0C74" w14:textId="0277AB67" w:rsidR="00374C56" w:rsidRPr="009077F5" w:rsidRDefault="00C44E8F" w:rsidP="00A202FD">
            <w:pPr>
              <w:spacing w:line="264" w:lineRule="auto"/>
              <w:ind w:left="57" w:right="57"/>
              <w:jc w:val="both"/>
            </w:pPr>
            <w:r w:rsidRPr="009077F5">
              <w:t>Cüruf fırınında veya cüruf flotasyon tesisinde zengin cüruftan bakır içeriğinin geri kazanılması.</w:t>
            </w:r>
          </w:p>
        </w:tc>
        <w:tc>
          <w:tcPr>
            <w:tcW w:w="3497" w:type="dxa"/>
            <w:vMerge/>
          </w:tcPr>
          <w:p w14:paraId="5D7CABE9" w14:textId="77777777" w:rsidR="00374C56" w:rsidRPr="009077F5" w:rsidRDefault="00374C56" w:rsidP="00A202FD">
            <w:pPr>
              <w:spacing w:line="264" w:lineRule="auto"/>
              <w:ind w:left="57" w:right="57"/>
              <w:jc w:val="both"/>
            </w:pPr>
          </w:p>
        </w:tc>
      </w:tr>
      <w:tr w:rsidR="00374C56" w:rsidRPr="00404A26" w14:paraId="2B2C8191" w14:textId="77777777" w:rsidTr="00271877">
        <w:tc>
          <w:tcPr>
            <w:tcW w:w="425" w:type="dxa"/>
          </w:tcPr>
          <w:p w14:paraId="194B36DE" w14:textId="77777777" w:rsidR="00374C56" w:rsidRPr="009077F5" w:rsidRDefault="00374C56" w:rsidP="00A202FD">
            <w:pPr>
              <w:spacing w:line="264" w:lineRule="auto"/>
              <w:ind w:left="57" w:right="57"/>
              <w:jc w:val="both"/>
            </w:pPr>
            <w:r w:rsidRPr="009077F5">
              <w:t>g</w:t>
            </w:r>
          </w:p>
        </w:tc>
        <w:tc>
          <w:tcPr>
            <w:tcW w:w="4867" w:type="dxa"/>
          </w:tcPr>
          <w:p w14:paraId="7584A16F" w14:textId="77777777" w:rsidR="00374C56" w:rsidRPr="009077F5" w:rsidRDefault="00374C56" w:rsidP="00A202FD">
            <w:pPr>
              <w:spacing w:line="264" w:lineRule="auto"/>
              <w:ind w:left="57" w:right="57"/>
              <w:jc w:val="both"/>
            </w:pPr>
            <w:r w:rsidRPr="009077F5">
              <w:t>Fırınlardan çıkan son cürufun, aşındırıcı malzeme olarak veya (yol) inşaat malzemesi olarak veya başka bir uygulamada kullanılması</w:t>
            </w:r>
          </w:p>
        </w:tc>
        <w:tc>
          <w:tcPr>
            <w:tcW w:w="3497" w:type="dxa"/>
            <w:vMerge w:val="restart"/>
          </w:tcPr>
          <w:p w14:paraId="7C3227C4" w14:textId="1A7AAA85" w:rsidR="00374C56" w:rsidRPr="009077F5" w:rsidRDefault="00F9539A" w:rsidP="00A202FD">
            <w:pPr>
              <w:spacing w:line="264" w:lineRule="auto"/>
              <w:ind w:left="57" w:right="57"/>
              <w:jc w:val="both"/>
            </w:pPr>
            <w:r w:rsidRPr="009077F5">
              <w:t>Uygulanabilirlik, metal içeriğine ve bir pazarın mevcudiyetine bağlı olarak kısıtlanabilir.</w:t>
            </w:r>
          </w:p>
        </w:tc>
      </w:tr>
      <w:tr w:rsidR="00374C56" w:rsidRPr="00404A26" w14:paraId="018A3045" w14:textId="77777777" w:rsidTr="00271877">
        <w:tc>
          <w:tcPr>
            <w:tcW w:w="425" w:type="dxa"/>
          </w:tcPr>
          <w:p w14:paraId="657358C9" w14:textId="77777777" w:rsidR="00374C56" w:rsidRPr="009077F5" w:rsidRDefault="00374C56" w:rsidP="00A202FD">
            <w:pPr>
              <w:spacing w:line="264" w:lineRule="auto"/>
              <w:ind w:left="57" w:right="57"/>
              <w:jc w:val="both"/>
            </w:pPr>
            <w:r w:rsidRPr="009077F5">
              <w:t>h</w:t>
            </w:r>
          </w:p>
        </w:tc>
        <w:tc>
          <w:tcPr>
            <w:tcW w:w="4867" w:type="dxa"/>
          </w:tcPr>
          <w:p w14:paraId="1522114E" w14:textId="77777777" w:rsidR="00374C56" w:rsidRPr="009077F5" w:rsidRDefault="00374C56" w:rsidP="00A202FD">
            <w:pPr>
              <w:spacing w:line="264" w:lineRule="auto"/>
              <w:ind w:left="57" w:right="57"/>
              <w:jc w:val="both"/>
            </w:pPr>
            <w:r w:rsidRPr="009077F5">
              <w:t>Fırın astarının metallerin geri kazanımı için kullanılması veya refrakter malzeme olarak tekrar kullanılması</w:t>
            </w:r>
          </w:p>
        </w:tc>
        <w:tc>
          <w:tcPr>
            <w:tcW w:w="3497" w:type="dxa"/>
            <w:vMerge/>
          </w:tcPr>
          <w:p w14:paraId="56FEA198" w14:textId="77777777" w:rsidR="00374C56" w:rsidRPr="009077F5" w:rsidRDefault="00374C56" w:rsidP="00A202FD">
            <w:pPr>
              <w:spacing w:line="264" w:lineRule="auto"/>
              <w:ind w:left="57" w:right="57"/>
              <w:jc w:val="both"/>
            </w:pPr>
          </w:p>
        </w:tc>
      </w:tr>
      <w:tr w:rsidR="00374C56" w:rsidRPr="00404A26" w14:paraId="71F48CCB" w14:textId="77777777" w:rsidTr="00271877">
        <w:tc>
          <w:tcPr>
            <w:tcW w:w="425" w:type="dxa"/>
          </w:tcPr>
          <w:p w14:paraId="2D6A77B2" w14:textId="77777777" w:rsidR="00374C56" w:rsidRPr="009077F5" w:rsidRDefault="00374C56" w:rsidP="00A202FD">
            <w:pPr>
              <w:spacing w:line="264" w:lineRule="auto"/>
              <w:ind w:left="57" w:right="57"/>
              <w:jc w:val="both"/>
            </w:pPr>
            <w:r w:rsidRPr="009077F5">
              <w:t>i</w:t>
            </w:r>
          </w:p>
        </w:tc>
        <w:tc>
          <w:tcPr>
            <w:tcW w:w="4867" w:type="dxa"/>
          </w:tcPr>
          <w:p w14:paraId="687EBD15" w14:textId="77777777" w:rsidR="00374C56" w:rsidRPr="009077F5" w:rsidRDefault="00374C56" w:rsidP="00A202FD">
            <w:pPr>
              <w:spacing w:line="264" w:lineRule="auto"/>
              <w:ind w:left="57" w:right="57"/>
              <w:jc w:val="both"/>
            </w:pPr>
            <w:r w:rsidRPr="009077F5">
              <w:t>Cüruf yüzdürmeden gelen cürufun, aşındırıcı malzeme olarak veya inşaat malzemesi olarak veya başka bir uygulamada kullanılması</w:t>
            </w:r>
          </w:p>
        </w:tc>
        <w:tc>
          <w:tcPr>
            <w:tcW w:w="3497" w:type="dxa"/>
            <w:vMerge/>
          </w:tcPr>
          <w:p w14:paraId="6128B6AA" w14:textId="77777777" w:rsidR="00374C56" w:rsidRPr="009077F5" w:rsidRDefault="00374C56" w:rsidP="00A202FD">
            <w:pPr>
              <w:spacing w:line="264" w:lineRule="auto"/>
              <w:ind w:left="57" w:right="57"/>
              <w:jc w:val="both"/>
            </w:pPr>
          </w:p>
        </w:tc>
      </w:tr>
      <w:tr w:rsidR="00374C56" w:rsidRPr="00404A26" w14:paraId="2E916872" w14:textId="77777777" w:rsidTr="00271877">
        <w:tc>
          <w:tcPr>
            <w:tcW w:w="425" w:type="dxa"/>
          </w:tcPr>
          <w:p w14:paraId="4DCA3D4F" w14:textId="77777777" w:rsidR="00374C56" w:rsidRPr="009077F5" w:rsidRDefault="00374C56" w:rsidP="00A202FD">
            <w:pPr>
              <w:spacing w:line="264" w:lineRule="auto"/>
              <w:ind w:left="57" w:right="57"/>
              <w:jc w:val="both"/>
            </w:pPr>
            <w:r w:rsidRPr="009077F5">
              <w:t>j</w:t>
            </w:r>
          </w:p>
        </w:tc>
        <w:tc>
          <w:tcPr>
            <w:tcW w:w="4867" w:type="dxa"/>
          </w:tcPr>
          <w:p w14:paraId="629ED963" w14:textId="67EB46E0" w:rsidR="00374C56" w:rsidRPr="009077F5" w:rsidRDefault="00C44E8F" w:rsidP="00A202FD">
            <w:pPr>
              <w:spacing w:line="264" w:lineRule="auto"/>
              <w:ind w:left="57" w:right="57"/>
              <w:jc w:val="both"/>
            </w:pPr>
            <w:r w:rsidRPr="009077F5">
              <w:t>Metal içeriğini geri kazanmak için eritme fırınlarından gelen çökelti</w:t>
            </w:r>
            <w:r w:rsidR="00583A07" w:rsidRPr="009077F5">
              <w:t xml:space="preserve">nin </w:t>
            </w:r>
            <w:r w:rsidRPr="009077F5">
              <w:t>kullanı</w:t>
            </w:r>
            <w:r w:rsidR="00583A07" w:rsidRPr="009077F5">
              <w:t>lması</w:t>
            </w:r>
            <w:r w:rsidRPr="009077F5">
              <w:t>.</w:t>
            </w:r>
          </w:p>
        </w:tc>
        <w:tc>
          <w:tcPr>
            <w:tcW w:w="3497" w:type="dxa"/>
            <w:vMerge w:val="restart"/>
          </w:tcPr>
          <w:p w14:paraId="03069511" w14:textId="77777777" w:rsidR="00374C56" w:rsidRPr="009077F5" w:rsidRDefault="00374C56" w:rsidP="00A202FD">
            <w:pPr>
              <w:spacing w:line="264" w:lineRule="auto"/>
              <w:ind w:left="57" w:right="57"/>
              <w:jc w:val="both"/>
            </w:pPr>
            <w:r w:rsidRPr="009077F5">
              <w:t>Genellikle uygulanabilir</w:t>
            </w:r>
          </w:p>
        </w:tc>
      </w:tr>
      <w:tr w:rsidR="00374C56" w:rsidRPr="00404A26" w14:paraId="230FE2D9" w14:textId="77777777" w:rsidTr="00271877">
        <w:tc>
          <w:tcPr>
            <w:tcW w:w="425" w:type="dxa"/>
          </w:tcPr>
          <w:p w14:paraId="1B60AAE5" w14:textId="77777777" w:rsidR="00374C56" w:rsidRPr="009077F5" w:rsidRDefault="00374C56" w:rsidP="00A202FD">
            <w:pPr>
              <w:spacing w:line="264" w:lineRule="auto"/>
              <w:ind w:left="57" w:right="57"/>
              <w:jc w:val="both"/>
            </w:pPr>
            <w:r w:rsidRPr="009077F5">
              <w:t>k</w:t>
            </w:r>
          </w:p>
        </w:tc>
        <w:tc>
          <w:tcPr>
            <w:tcW w:w="4867" w:type="dxa"/>
          </w:tcPr>
          <w:p w14:paraId="6688D6A0" w14:textId="77777777" w:rsidR="00374C56" w:rsidRPr="009077F5" w:rsidRDefault="00374C56" w:rsidP="00A202FD">
            <w:pPr>
              <w:spacing w:line="264" w:lineRule="auto"/>
              <w:ind w:left="57" w:right="57"/>
              <w:jc w:val="both"/>
            </w:pPr>
            <w:r w:rsidRPr="009077F5">
              <w:t>Tükenmiş elektrolit suyundaki bakır ve nikelin geri kazanılması. Geriye kalan asitin yeni elektrolit yapılmasında veya alçıtaşı üretiminde kullanılması</w:t>
            </w:r>
          </w:p>
        </w:tc>
        <w:tc>
          <w:tcPr>
            <w:tcW w:w="3497" w:type="dxa"/>
            <w:vMerge/>
          </w:tcPr>
          <w:p w14:paraId="2A9EA440" w14:textId="77777777" w:rsidR="00374C56" w:rsidRPr="009077F5" w:rsidRDefault="00374C56" w:rsidP="00A202FD">
            <w:pPr>
              <w:spacing w:line="264" w:lineRule="auto"/>
              <w:ind w:left="57" w:right="57"/>
              <w:jc w:val="both"/>
            </w:pPr>
          </w:p>
        </w:tc>
      </w:tr>
      <w:tr w:rsidR="00374C56" w:rsidRPr="00404A26" w14:paraId="33B43FD8" w14:textId="77777777" w:rsidTr="00271877">
        <w:tc>
          <w:tcPr>
            <w:tcW w:w="425" w:type="dxa"/>
          </w:tcPr>
          <w:p w14:paraId="337E7021" w14:textId="77777777" w:rsidR="00374C56" w:rsidRPr="009077F5" w:rsidRDefault="00374C56" w:rsidP="00A202FD">
            <w:pPr>
              <w:spacing w:line="264" w:lineRule="auto"/>
              <w:ind w:left="57" w:right="57"/>
              <w:jc w:val="both"/>
            </w:pPr>
            <w:r w:rsidRPr="009077F5">
              <w:t>l</w:t>
            </w:r>
          </w:p>
        </w:tc>
        <w:tc>
          <w:tcPr>
            <w:tcW w:w="4867" w:type="dxa"/>
          </w:tcPr>
          <w:p w14:paraId="14A07EE7" w14:textId="77777777" w:rsidR="00374C56" w:rsidRPr="009077F5" w:rsidRDefault="00374C56" w:rsidP="00A202FD">
            <w:pPr>
              <w:spacing w:line="264" w:lineRule="auto"/>
              <w:ind w:left="57" w:right="57"/>
              <w:jc w:val="both"/>
            </w:pPr>
            <w:r w:rsidRPr="009077F5">
              <w:t>Tükenen anodun bir soğutma malzemesi olarak pirometalurjik bakır rafinasyonu veya yeniden eritmede kullanılması</w:t>
            </w:r>
          </w:p>
        </w:tc>
        <w:tc>
          <w:tcPr>
            <w:tcW w:w="3497" w:type="dxa"/>
            <w:vMerge/>
          </w:tcPr>
          <w:p w14:paraId="6C312062" w14:textId="77777777" w:rsidR="00374C56" w:rsidRPr="009077F5" w:rsidRDefault="00374C56" w:rsidP="00A202FD">
            <w:pPr>
              <w:spacing w:line="264" w:lineRule="auto"/>
              <w:ind w:left="57" w:right="57"/>
              <w:jc w:val="both"/>
            </w:pPr>
          </w:p>
        </w:tc>
      </w:tr>
      <w:tr w:rsidR="00374C56" w:rsidRPr="00404A26" w14:paraId="162AC6B1" w14:textId="77777777" w:rsidTr="00271877">
        <w:tc>
          <w:tcPr>
            <w:tcW w:w="425" w:type="dxa"/>
          </w:tcPr>
          <w:p w14:paraId="25021F35" w14:textId="77777777" w:rsidR="00374C56" w:rsidRPr="009077F5" w:rsidRDefault="00374C56" w:rsidP="00A202FD">
            <w:pPr>
              <w:spacing w:line="264" w:lineRule="auto"/>
              <w:ind w:left="57" w:right="57"/>
              <w:jc w:val="both"/>
            </w:pPr>
            <w:r w:rsidRPr="009077F5">
              <w:t>m</w:t>
            </w:r>
          </w:p>
        </w:tc>
        <w:tc>
          <w:tcPr>
            <w:tcW w:w="4867" w:type="dxa"/>
          </w:tcPr>
          <w:p w14:paraId="5D73F0A5" w14:textId="77777777" w:rsidR="00374C56" w:rsidRPr="009077F5" w:rsidRDefault="00374C56" w:rsidP="00A202FD">
            <w:pPr>
              <w:spacing w:line="264" w:lineRule="auto"/>
              <w:ind w:left="57" w:right="57"/>
              <w:jc w:val="both"/>
            </w:pPr>
            <w:r w:rsidRPr="009077F5">
              <w:t>Anot balçığından değerli metallerin geri kazanılması</w:t>
            </w:r>
          </w:p>
        </w:tc>
        <w:tc>
          <w:tcPr>
            <w:tcW w:w="3497" w:type="dxa"/>
            <w:vMerge/>
          </w:tcPr>
          <w:p w14:paraId="43E3D337" w14:textId="77777777" w:rsidR="00374C56" w:rsidRPr="009077F5" w:rsidRDefault="00374C56" w:rsidP="00A202FD">
            <w:pPr>
              <w:spacing w:line="264" w:lineRule="auto"/>
              <w:ind w:left="57" w:right="57"/>
              <w:jc w:val="both"/>
            </w:pPr>
          </w:p>
        </w:tc>
      </w:tr>
      <w:tr w:rsidR="00374C56" w:rsidRPr="00404A26" w14:paraId="173902E5" w14:textId="77777777" w:rsidTr="00271877">
        <w:tc>
          <w:tcPr>
            <w:tcW w:w="425" w:type="dxa"/>
          </w:tcPr>
          <w:p w14:paraId="02152263" w14:textId="77777777" w:rsidR="00374C56" w:rsidRPr="009077F5" w:rsidRDefault="00374C56" w:rsidP="00A202FD">
            <w:pPr>
              <w:spacing w:line="264" w:lineRule="auto"/>
              <w:ind w:left="57" w:right="57"/>
              <w:jc w:val="both"/>
            </w:pPr>
            <w:r w:rsidRPr="009077F5">
              <w:t>n</w:t>
            </w:r>
          </w:p>
        </w:tc>
        <w:tc>
          <w:tcPr>
            <w:tcW w:w="4867" w:type="dxa"/>
          </w:tcPr>
          <w:p w14:paraId="7FD4D846" w14:textId="0BCCD6C2" w:rsidR="00374C56" w:rsidRPr="009077F5" w:rsidRDefault="00374C56" w:rsidP="00A202FD">
            <w:pPr>
              <w:spacing w:line="264" w:lineRule="auto"/>
              <w:ind w:left="57" w:right="57"/>
              <w:jc w:val="both"/>
            </w:pPr>
            <w:r w:rsidRPr="009077F5">
              <w:t>Atıksu arıtma tesisinde oluşan alçıtaşının pirometalurjik prosesleride kullanılması veya satılması</w:t>
            </w:r>
          </w:p>
        </w:tc>
        <w:tc>
          <w:tcPr>
            <w:tcW w:w="3497" w:type="dxa"/>
          </w:tcPr>
          <w:p w14:paraId="2379EAFF" w14:textId="77777777" w:rsidR="00374C56" w:rsidRPr="009077F5" w:rsidRDefault="00374C56" w:rsidP="00A202FD">
            <w:pPr>
              <w:spacing w:line="264" w:lineRule="auto"/>
              <w:ind w:left="57" w:right="57"/>
              <w:jc w:val="both"/>
            </w:pPr>
            <w:r w:rsidRPr="009077F5">
              <w:t>Uygulanabilirlik, üretilen alçıtaşının kalitesine bağlı olarak kısıtlanabilir</w:t>
            </w:r>
          </w:p>
        </w:tc>
      </w:tr>
      <w:tr w:rsidR="00374C56" w:rsidRPr="00404A26" w14:paraId="25EC8904" w14:textId="77777777" w:rsidTr="00271877">
        <w:tc>
          <w:tcPr>
            <w:tcW w:w="425" w:type="dxa"/>
          </w:tcPr>
          <w:p w14:paraId="0130BEE5" w14:textId="77777777" w:rsidR="00374C56" w:rsidRPr="009077F5" w:rsidRDefault="00374C56" w:rsidP="00A202FD">
            <w:pPr>
              <w:spacing w:line="264" w:lineRule="auto"/>
              <w:ind w:left="57" w:right="57"/>
              <w:jc w:val="both"/>
            </w:pPr>
            <w:r w:rsidRPr="009077F5">
              <w:t>o</w:t>
            </w:r>
          </w:p>
        </w:tc>
        <w:tc>
          <w:tcPr>
            <w:tcW w:w="4867" w:type="dxa"/>
          </w:tcPr>
          <w:p w14:paraId="46181768" w14:textId="77777777" w:rsidR="00374C56" w:rsidRPr="009077F5" w:rsidRDefault="00374C56" w:rsidP="00A202FD">
            <w:pPr>
              <w:spacing w:line="264" w:lineRule="auto"/>
              <w:ind w:left="57" w:right="57"/>
              <w:jc w:val="both"/>
            </w:pPr>
            <w:r w:rsidRPr="009077F5">
              <w:t>Atıksu arıtma çamurundan metallerin geri kazanılması</w:t>
            </w:r>
          </w:p>
        </w:tc>
        <w:tc>
          <w:tcPr>
            <w:tcW w:w="3497" w:type="dxa"/>
          </w:tcPr>
          <w:p w14:paraId="2546BDD0" w14:textId="77777777" w:rsidR="00374C56" w:rsidRPr="009077F5" w:rsidRDefault="00374C56" w:rsidP="00A202FD">
            <w:pPr>
              <w:spacing w:line="264" w:lineRule="auto"/>
              <w:ind w:left="57" w:right="57"/>
              <w:jc w:val="both"/>
            </w:pPr>
            <w:r w:rsidRPr="009077F5">
              <w:t>Genellikle uygulanabilir</w:t>
            </w:r>
          </w:p>
        </w:tc>
      </w:tr>
      <w:tr w:rsidR="00374C56" w:rsidRPr="00404A26" w14:paraId="0D9C1467" w14:textId="77777777" w:rsidTr="00271877">
        <w:tc>
          <w:tcPr>
            <w:tcW w:w="425" w:type="dxa"/>
          </w:tcPr>
          <w:p w14:paraId="7E51179F" w14:textId="77777777" w:rsidR="00374C56" w:rsidRPr="009077F5" w:rsidRDefault="00374C56" w:rsidP="00A202FD">
            <w:pPr>
              <w:spacing w:line="264" w:lineRule="auto"/>
              <w:ind w:left="57" w:right="57"/>
              <w:jc w:val="both"/>
            </w:pPr>
            <w:r w:rsidRPr="009077F5">
              <w:t>p</w:t>
            </w:r>
          </w:p>
        </w:tc>
        <w:tc>
          <w:tcPr>
            <w:tcW w:w="4867" w:type="dxa"/>
          </w:tcPr>
          <w:p w14:paraId="08041F4F" w14:textId="77777777" w:rsidR="00374C56" w:rsidRPr="009077F5" w:rsidRDefault="00374C56" w:rsidP="00A202FD">
            <w:pPr>
              <w:spacing w:line="264" w:lineRule="auto"/>
              <w:ind w:left="57" w:right="57"/>
              <w:jc w:val="both"/>
            </w:pPr>
            <w:r w:rsidRPr="009077F5">
              <w:t>Hidrometalurjik bakır prosesinde tüketilmiş elektrolitin liç işleminde reaktif olarak tekrar kullanılması</w:t>
            </w:r>
          </w:p>
        </w:tc>
        <w:tc>
          <w:tcPr>
            <w:tcW w:w="3497" w:type="dxa"/>
          </w:tcPr>
          <w:p w14:paraId="2131C695" w14:textId="0118ADC1" w:rsidR="00374C56" w:rsidRPr="009077F5" w:rsidRDefault="00F9539A" w:rsidP="00A202FD">
            <w:pPr>
              <w:spacing w:line="264" w:lineRule="auto"/>
              <w:ind w:left="57" w:right="57"/>
              <w:jc w:val="both"/>
            </w:pPr>
            <w:r w:rsidRPr="009077F5">
              <w:t>Uygulanabilirlik, metal içeriğine ve bir pazarın mevcudiyetine bağlı olarak kısıtlanabilir.</w:t>
            </w:r>
          </w:p>
        </w:tc>
      </w:tr>
      <w:tr w:rsidR="00374C56" w:rsidRPr="00404A26" w14:paraId="2992F3FA" w14:textId="77777777" w:rsidTr="00271877">
        <w:tc>
          <w:tcPr>
            <w:tcW w:w="425" w:type="dxa"/>
          </w:tcPr>
          <w:p w14:paraId="37C777D4" w14:textId="60AB8CD9" w:rsidR="00374C56" w:rsidRPr="009077F5" w:rsidRDefault="00E70268" w:rsidP="00A202FD">
            <w:pPr>
              <w:spacing w:line="264" w:lineRule="auto"/>
              <w:ind w:left="57" w:right="57"/>
              <w:jc w:val="both"/>
            </w:pPr>
            <w:r>
              <w:t>r</w:t>
            </w:r>
          </w:p>
        </w:tc>
        <w:tc>
          <w:tcPr>
            <w:tcW w:w="4867" w:type="dxa"/>
          </w:tcPr>
          <w:p w14:paraId="7A4CD3A2" w14:textId="77777777" w:rsidR="00374C56" w:rsidRPr="009077F5" w:rsidRDefault="00374C56" w:rsidP="00A202FD">
            <w:pPr>
              <w:spacing w:line="264" w:lineRule="auto"/>
              <w:ind w:left="57" w:right="57"/>
              <w:jc w:val="both"/>
            </w:pPr>
            <w:r w:rsidRPr="009077F5">
              <w:t>Haddelemede oluşan bakır pullarının bir bakır izabe fırınında geri dönüştürülmesi</w:t>
            </w:r>
          </w:p>
        </w:tc>
        <w:tc>
          <w:tcPr>
            <w:tcW w:w="3497" w:type="dxa"/>
            <w:vMerge w:val="restart"/>
          </w:tcPr>
          <w:p w14:paraId="705FE2F6" w14:textId="77777777" w:rsidR="00374C56" w:rsidRPr="009077F5" w:rsidRDefault="00374C56" w:rsidP="00A202FD">
            <w:pPr>
              <w:spacing w:line="264" w:lineRule="auto"/>
              <w:ind w:left="57" w:right="57"/>
              <w:jc w:val="both"/>
            </w:pPr>
            <w:r w:rsidRPr="009077F5">
              <w:t>Genellikle uygulanabilir</w:t>
            </w:r>
          </w:p>
        </w:tc>
      </w:tr>
      <w:tr w:rsidR="00374C56" w:rsidRPr="00404A26" w14:paraId="63501962" w14:textId="77777777" w:rsidTr="00271877">
        <w:tc>
          <w:tcPr>
            <w:tcW w:w="425" w:type="dxa"/>
          </w:tcPr>
          <w:p w14:paraId="05A673FF" w14:textId="304758A5" w:rsidR="00374C56" w:rsidRPr="009077F5" w:rsidRDefault="00E70268" w:rsidP="00A202FD">
            <w:pPr>
              <w:spacing w:line="264" w:lineRule="auto"/>
              <w:ind w:left="57" w:right="57"/>
              <w:jc w:val="both"/>
            </w:pPr>
            <w:r>
              <w:t>s</w:t>
            </w:r>
          </w:p>
        </w:tc>
        <w:tc>
          <w:tcPr>
            <w:tcW w:w="4867" w:type="dxa"/>
          </w:tcPr>
          <w:p w14:paraId="5DBCBDA0" w14:textId="77777777" w:rsidR="00374C56" w:rsidRPr="009077F5" w:rsidRDefault="00374C56" w:rsidP="00A202FD">
            <w:pPr>
              <w:spacing w:line="264" w:lineRule="auto"/>
              <w:ind w:left="57" w:right="57"/>
              <w:jc w:val="both"/>
            </w:pPr>
            <w:r w:rsidRPr="009077F5">
              <w:t>Kullanılmış asitli paklama çözeltisinden metallerin geri kazanılması ve temizlenen çözeltinin tekrar kullanılması</w:t>
            </w:r>
          </w:p>
        </w:tc>
        <w:tc>
          <w:tcPr>
            <w:tcW w:w="3497" w:type="dxa"/>
            <w:vMerge/>
          </w:tcPr>
          <w:p w14:paraId="2CC3819C" w14:textId="77777777" w:rsidR="00374C56" w:rsidRPr="009077F5" w:rsidRDefault="00374C56" w:rsidP="00A202FD">
            <w:pPr>
              <w:spacing w:line="264" w:lineRule="auto"/>
              <w:ind w:left="57" w:right="57"/>
              <w:jc w:val="both"/>
            </w:pPr>
          </w:p>
        </w:tc>
      </w:tr>
    </w:tbl>
    <w:p w14:paraId="12EAAB08" w14:textId="77777777" w:rsidR="00374C56" w:rsidRPr="00D53A2B" w:rsidRDefault="00374C56" w:rsidP="00A202FD">
      <w:pPr>
        <w:jc w:val="both"/>
        <w:rPr>
          <w:lang w:eastAsia="en-US"/>
        </w:rPr>
      </w:pPr>
    </w:p>
    <w:p w14:paraId="3088DE3B" w14:textId="6492447A" w:rsidR="00374C56" w:rsidRPr="00D53A2B" w:rsidRDefault="00F9539A" w:rsidP="00A202FD">
      <w:pPr>
        <w:pStyle w:val="Balk2"/>
        <w:rPr>
          <w:rFonts w:cs="Times New Roman"/>
          <w:szCs w:val="24"/>
          <w:lang w:eastAsia="en-US"/>
        </w:rPr>
      </w:pPr>
      <w:bookmarkStart w:id="71" w:name="_Toc531927872"/>
      <w:r w:rsidRPr="00D53A2B">
        <w:rPr>
          <w:rFonts w:cs="Times New Roman"/>
          <w:szCs w:val="24"/>
          <w:lang w:eastAsia="en-US"/>
        </w:rPr>
        <w:t>1.</w:t>
      </w:r>
      <w:r w:rsidR="00201327" w:rsidRPr="00D53A2B">
        <w:rPr>
          <w:rFonts w:cs="Times New Roman"/>
          <w:szCs w:val="24"/>
          <w:lang w:eastAsia="en-US"/>
        </w:rPr>
        <w:t xml:space="preserve">3. </w:t>
      </w:r>
      <w:r w:rsidR="00653CFC" w:rsidRPr="00D53A2B">
        <w:rPr>
          <w:rFonts w:cs="Times New Roman"/>
          <w:szCs w:val="24"/>
          <w:lang w:eastAsia="en-US"/>
        </w:rPr>
        <w:t xml:space="preserve">Alümina </w:t>
      </w:r>
      <w:r w:rsidR="00583A07" w:rsidRPr="00D53A2B">
        <w:rPr>
          <w:rFonts w:cs="Times New Roman"/>
          <w:szCs w:val="24"/>
          <w:lang w:eastAsia="en-US"/>
        </w:rPr>
        <w:t xml:space="preserve">ve Anot Üretimi Dahil Olmak Üzere Alüminyum Üretimi İçin </w:t>
      </w:r>
      <w:r w:rsidR="00653CFC" w:rsidRPr="00D53A2B">
        <w:rPr>
          <w:rFonts w:cs="Times New Roman"/>
          <w:szCs w:val="24"/>
          <w:lang w:eastAsia="en-US"/>
        </w:rPr>
        <w:t xml:space="preserve">MET </w:t>
      </w:r>
      <w:r w:rsidR="00583A07" w:rsidRPr="00D53A2B">
        <w:rPr>
          <w:rFonts w:cs="Times New Roman"/>
          <w:szCs w:val="24"/>
          <w:lang w:eastAsia="en-US"/>
        </w:rPr>
        <w:t>Sonuçları</w:t>
      </w:r>
    </w:p>
    <w:p w14:paraId="0DC23DE0" w14:textId="5B25F875" w:rsidR="00374C56" w:rsidRPr="00D53A2B" w:rsidRDefault="00653CFC" w:rsidP="00A202FD">
      <w:pPr>
        <w:pStyle w:val="Balk3"/>
        <w:rPr>
          <w:rFonts w:cs="Times New Roman"/>
          <w:lang w:eastAsia="en-US"/>
        </w:rPr>
      </w:pPr>
      <w:r w:rsidRPr="00D53A2B">
        <w:rPr>
          <w:rFonts w:cs="Times New Roman"/>
          <w:lang w:eastAsia="en-US"/>
        </w:rPr>
        <w:t>1.</w:t>
      </w:r>
      <w:r w:rsidR="00374C56" w:rsidRPr="00D53A2B">
        <w:rPr>
          <w:rFonts w:cs="Times New Roman"/>
          <w:lang w:eastAsia="en-US"/>
        </w:rPr>
        <w:t>3.1.</w:t>
      </w:r>
      <w:r w:rsidRPr="00D53A2B">
        <w:rPr>
          <w:rFonts w:cs="Times New Roman"/>
          <w:lang w:eastAsia="en-US"/>
        </w:rPr>
        <w:t xml:space="preserve"> </w:t>
      </w:r>
      <w:r w:rsidR="00374C56" w:rsidRPr="00D53A2B">
        <w:rPr>
          <w:rFonts w:cs="Times New Roman"/>
          <w:lang w:eastAsia="en-US"/>
        </w:rPr>
        <w:t>Alümina üretimi</w:t>
      </w:r>
      <w:bookmarkEnd w:id="71"/>
    </w:p>
    <w:p w14:paraId="6FCC75F1" w14:textId="664AC116" w:rsidR="00374C56" w:rsidRPr="00D53A2B" w:rsidRDefault="00653CFC"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3.1.1.</w:t>
      </w:r>
      <w:r w:rsidRPr="00D53A2B">
        <w:rPr>
          <w:rFonts w:cs="Times New Roman"/>
          <w:lang w:eastAsia="en-US"/>
        </w:rPr>
        <w:t xml:space="preserve"> </w:t>
      </w:r>
      <w:r w:rsidR="00374C56" w:rsidRPr="00D53A2B">
        <w:rPr>
          <w:rFonts w:cs="Times New Roman"/>
          <w:lang w:eastAsia="en-US"/>
        </w:rPr>
        <w:t>Enerji</w:t>
      </w:r>
    </w:p>
    <w:p w14:paraId="11D587E7" w14:textId="3B3A4999" w:rsidR="00374C56" w:rsidRPr="00D53A2B" w:rsidRDefault="00921606" w:rsidP="00A202FD">
      <w:pPr>
        <w:pStyle w:val="MET"/>
        <w:rPr>
          <w:szCs w:val="24"/>
        </w:rPr>
      </w:pPr>
      <w:r w:rsidRPr="00D53A2B">
        <w:rPr>
          <w:szCs w:val="24"/>
        </w:rPr>
        <w:t>MET 55:</w:t>
      </w:r>
      <w:r w:rsidR="00653CFC" w:rsidRPr="00D53A2B">
        <w:rPr>
          <w:szCs w:val="24"/>
        </w:rPr>
        <w:t xml:space="preserve"> </w:t>
      </w:r>
      <w:r w:rsidR="00653CFC" w:rsidRPr="00D53A2B">
        <w:rPr>
          <w:b w:val="0"/>
          <w:bCs/>
          <w:szCs w:val="24"/>
        </w:rPr>
        <w:t>Boksitten alümina üretimi sırasında enerjiyi verimli bir şekilde kullanmak için, aşağıda verilen tekniklerden birini veya bir kombinasyonu</w:t>
      </w:r>
      <w:r w:rsidR="00583A07" w:rsidRPr="00D53A2B">
        <w:rPr>
          <w:b w:val="0"/>
          <w:bCs/>
          <w:szCs w:val="24"/>
        </w:rPr>
        <w:t xml:space="preserve"> </w:t>
      </w:r>
      <w:r w:rsidR="00653CFC" w:rsidRPr="00D53A2B">
        <w:rPr>
          <w:b w:val="0"/>
          <w:bCs/>
          <w:szCs w:val="24"/>
        </w:rPr>
        <w:t>kullan</w:t>
      </w:r>
      <w:r w:rsidR="00583A07" w:rsidRPr="00D53A2B">
        <w:rPr>
          <w:b w:val="0"/>
          <w:bCs/>
          <w:szCs w:val="24"/>
        </w:rPr>
        <w:t>ıl</w:t>
      </w:r>
      <w:r w:rsidR="00653CFC" w:rsidRPr="00D53A2B">
        <w:rPr>
          <w:b w:val="0"/>
          <w:bCs/>
          <w:szCs w:val="24"/>
        </w:rPr>
        <w:t>ır.</w:t>
      </w:r>
    </w:p>
    <w:p w14:paraId="3B76CA71" w14:textId="77777777" w:rsidR="00653CFC" w:rsidRPr="00D53A2B" w:rsidRDefault="00653CFC" w:rsidP="00A202FD">
      <w:pPr>
        <w:pStyle w:val="MET"/>
        <w:rPr>
          <w:szCs w:val="24"/>
        </w:rPr>
      </w:pPr>
    </w:p>
    <w:tbl>
      <w:tblPr>
        <w:tblW w:w="8784" w:type="dxa"/>
        <w:tblLayout w:type="fixed"/>
        <w:tblCellMar>
          <w:left w:w="0" w:type="dxa"/>
          <w:right w:w="0" w:type="dxa"/>
        </w:tblCellMar>
        <w:tblLook w:val="01E0" w:firstRow="1" w:lastRow="1" w:firstColumn="1" w:lastColumn="1" w:noHBand="0" w:noVBand="0"/>
      </w:tblPr>
      <w:tblGrid>
        <w:gridCol w:w="317"/>
        <w:gridCol w:w="1493"/>
        <w:gridCol w:w="3687"/>
        <w:gridCol w:w="3287"/>
      </w:tblGrid>
      <w:tr w:rsidR="00374C56" w:rsidRPr="00D53A2B" w14:paraId="744FA1F3" w14:textId="77777777" w:rsidTr="00271877">
        <w:tc>
          <w:tcPr>
            <w:tcW w:w="317" w:type="dxa"/>
            <w:tcBorders>
              <w:top w:val="single" w:sz="4" w:space="0" w:color="000000"/>
              <w:left w:val="single" w:sz="4" w:space="0" w:color="000000"/>
              <w:bottom w:val="single" w:sz="4" w:space="0" w:color="000000"/>
              <w:right w:val="single" w:sz="4" w:space="0" w:color="000000"/>
            </w:tcBorders>
            <w:vAlign w:val="center"/>
          </w:tcPr>
          <w:p w14:paraId="47CB6B61" w14:textId="77777777" w:rsidR="00374C56" w:rsidRPr="00D53A2B" w:rsidRDefault="00374C56" w:rsidP="00A202FD">
            <w:pPr>
              <w:spacing w:line="264" w:lineRule="auto"/>
              <w:ind w:left="57" w:right="57"/>
              <w:jc w:val="both"/>
              <w:rPr>
                <w:sz w:val="22"/>
                <w:szCs w:val="22"/>
                <w:lang w:eastAsia="en-US"/>
              </w:rPr>
            </w:pPr>
          </w:p>
        </w:tc>
        <w:tc>
          <w:tcPr>
            <w:tcW w:w="1493" w:type="dxa"/>
            <w:tcBorders>
              <w:top w:val="single" w:sz="4" w:space="0" w:color="000000"/>
              <w:left w:val="single" w:sz="4" w:space="0" w:color="000000"/>
              <w:bottom w:val="single" w:sz="4" w:space="0" w:color="000000"/>
              <w:right w:val="single" w:sz="4" w:space="0" w:color="000000"/>
            </w:tcBorders>
            <w:vAlign w:val="center"/>
          </w:tcPr>
          <w:p w14:paraId="61E3467F"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3687" w:type="dxa"/>
            <w:tcBorders>
              <w:top w:val="single" w:sz="4" w:space="0" w:color="000000"/>
              <w:left w:val="single" w:sz="4" w:space="0" w:color="000000"/>
              <w:bottom w:val="single" w:sz="4" w:space="0" w:color="000000"/>
              <w:right w:val="single" w:sz="4" w:space="0" w:color="000000"/>
            </w:tcBorders>
            <w:vAlign w:val="center"/>
          </w:tcPr>
          <w:p w14:paraId="6714634E"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Tanım</w:t>
            </w:r>
          </w:p>
        </w:tc>
        <w:tc>
          <w:tcPr>
            <w:tcW w:w="3287" w:type="dxa"/>
            <w:tcBorders>
              <w:top w:val="single" w:sz="4" w:space="0" w:color="000000"/>
              <w:left w:val="single" w:sz="4" w:space="0" w:color="000000"/>
              <w:bottom w:val="single" w:sz="4" w:space="0" w:color="000000"/>
              <w:right w:val="single" w:sz="4" w:space="0" w:color="000000"/>
            </w:tcBorders>
            <w:vAlign w:val="center"/>
          </w:tcPr>
          <w:p w14:paraId="14329A21"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46ADC97B" w14:textId="77777777" w:rsidTr="00271877">
        <w:tc>
          <w:tcPr>
            <w:tcW w:w="317" w:type="dxa"/>
            <w:tcBorders>
              <w:top w:val="single" w:sz="4" w:space="0" w:color="000000"/>
              <w:left w:val="single" w:sz="4" w:space="0" w:color="000000"/>
              <w:bottom w:val="single" w:sz="4" w:space="0" w:color="000000"/>
              <w:right w:val="single" w:sz="4" w:space="0" w:color="000000"/>
            </w:tcBorders>
            <w:vAlign w:val="center"/>
          </w:tcPr>
          <w:p w14:paraId="2E04EFC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1493" w:type="dxa"/>
            <w:tcBorders>
              <w:top w:val="single" w:sz="4" w:space="0" w:color="000000"/>
              <w:left w:val="single" w:sz="4" w:space="0" w:color="000000"/>
              <w:bottom w:val="single" w:sz="4" w:space="0" w:color="000000"/>
              <w:right w:val="single" w:sz="4" w:space="0" w:color="000000"/>
            </w:tcBorders>
          </w:tcPr>
          <w:p w14:paraId="0E703D2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Plakalı ısı değiştirici</w:t>
            </w:r>
          </w:p>
        </w:tc>
        <w:tc>
          <w:tcPr>
            <w:tcW w:w="3687" w:type="dxa"/>
            <w:tcBorders>
              <w:top w:val="single" w:sz="4" w:space="0" w:color="000000"/>
              <w:left w:val="single" w:sz="4" w:space="0" w:color="000000"/>
              <w:bottom w:val="single" w:sz="4" w:space="0" w:color="000000"/>
              <w:right w:val="single" w:sz="4" w:space="0" w:color="000000"/>
            </w:tcBorders>
          </w:tcPr>
          <w:p w14:paraId="02E6C50F" w14:textId="59456870" w:rsidR="00374C56" w:rsidRPr="00D53A2B" w:rsidRDefault="003823F0" w:rsidP="00A202FD">
            <w:pPr>
              <w:spacing w:line="264" w:lineRule="auto"/>
              <w:ind w:left="57" w:right="57"/>
              <w:jc w:val="both"/>
              <w:rPr>
                <w:sz w:val="22"/>
                <w:szCs w:val="22"/>
                <w:lang w:eastAsia="en-US"/>
              </w:rPr>
            </w:pPr>
            <w:r w:rsidRPr="00D53A2B">
              <w:rPr>
                <w:sz w:val="22"/>
                <w:szCs w:val="22"/>
                <w:lang w:eastAsia="en-US"/>
              </w:rPr>
              <w:t>Plakalı ısı eşanjörleri, flaş soğutma tesisleri gibi diğer tekniklere kıyasla çökeltme alanına banyo akışından daha yüksek bir ısı geri kazanımı sağlar.</w:t>
            </w:r>
          </w:p>
        </w:tc>
        <w:tc>
          <w:tcPr>
            <w:tcW w:w="3287" w:type="dxa"/>
            <w:tcBorders>
              <w:top w:val="single" w:sz="4" w:space="0" w:color="000000"/>
              <w:left w:val="single" w:sz="4" w:space="0" w:color="000000"/>
              <w:bottom w:val="single" w:sz="4" w:space="0" w:color="000000"/>
              <w:right w:val="single" w:sz="4" w:space="0" w:color="000000"/>
            </w:tcBorders>
            <w:vAlign w:val="center"/>
          </w:tcPr>
          <w:p w14:paraId="6A22734A" w14:textId="27A728AA" w:rsidR="00374C56" w:rsidRPr="00D53A2B" w:rsidRDefault="003823F0" w:rsidP="00A202FD">
            <w:pPr>
              <w:spacing w:line="264" w:lineRule="auto"/>
              <w:ind w:left="57" w:right="57"/>
              <w:jc w:val="both"/>
              <w:rPr>
                <w:sz w:val="22"/>
                <w:szCs w:val="22"/>
                <w:lang w:eastAsia="en-US"/>
              </w:rPr>
            </w:pPr>
            <w:r w:rsidRPr="00D53A2B">
              <w:rPr>
                <w:sz w:val="22"/>
                <w:szCs w:val="22"/>
                <w:lang w:eastAsia="en-US"/>
              </w:rPr>
              <w:t>Soğutma sıvısından gelen enerji proseste yeniden kullanılabiliyorsa ve yoğuşma dengesi ve banyo koşulları buna izin veriyorsa uygulanabilir.</w:t>
            </w:r>
          </w:p>
        </w:tc>
      </w:tr>
      <w:tr w:rsidR="00374C56" w:rsidRPr="00D53A2B" w14:paraId="31671E62" w14:textId="77777777" w:rsidTr="00271877">
        <w:tc>
          <w:tcPr>
            <w:tcW w:w="317" w:type="dxa"/>
            <w:tcBorders>
              <w:top w:val="single" w:sz="4" w:space="0" w:color="000000"/>
              <w:left w:val="single" w:sz="4" w:space="0" w:color="000000"/>
              <w:bottom w:val="single" w:sz="4" w:space="0" w:color="000000"/>
              <w:right w:val="single" w:sz="4" w:space="0" w:color="000000"/>
            </w:tcBorders>
            <w:vAlign w:val="center"/>
          </w:tcPr>
          <w:p w14:paraId="14175E3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1493" w:type="dxa"/>
            <w:tcBorders>
              <w:top w:val="single" w:sz="4" w:space="0" w:color="000000"/>
              <w:left w:val="single" w:sz="4" w:space="0" w:color="000000"/>
              <w:bottom w:val="single" w:sz="4" w:space="0" w:color="000000"/>
              <w:right w:val="single" w:sz="4" w:space="0" w:color="000000"/>
            </w:tcBorders>
          </w:tcPr>
          <w:p w14:paraId="5F86E283" w14:textId="42B5E352" w:rsidR="00374C56" w:rsidRPr="00D53A2B" w:rsidRDefault="009602D3" w:rsidP="00A202FD">
            <w:pPr>
              <w:spacing w:line="264" w:lineRule="auto"/>
              <w:ind w:left="57" w:right="57"/>
              <w:jc w:val="both"/>
              <w:rPr>
                <w:sz w:val="22"/>
                <w:szCs w:val="22"/>
                <w:lang w:eastAsia="en-US"/>
              </w:rPr>
            </w:pPr>
            <w:r w:rsidRPr="00D53A2B">
              <w:rPr>
                <w:sz w:val="22"/>
                <w:szCs w:val="22"/>
                <w:lang w:eastAsia="en-US"/>
              </w:rPr>
              <w:t>Sirkülasyonlu akışkan yataklı kalsinatörler</w:t>
            </w:r>
          </w:p>
        </w:tc>
        <w:tc>
          <w:tcPr>
            <w:tcW w:w="3687" w:type="dxa"/>
            <w:tcBorders>
              <w:top w:val="single" w:sz="4" w:space="0" w:color="000000"/>
              <w:left w:val="single" w:sz="4" w:space="0" w:color="000000"/>
              <w:bottom w:val="single" w:sz="4" w:space="0" w:color="000000"/>
              <w:right w:val="single" w:sz="4" w:space="0" w:color="000000"/>
            </w:tcBorders>
          </w:tcPr>
          <w:p w14:paraId="54AC96B4" w14:textId="7EA3F208" w:rsidR="00374C56" w:rsidRPr="00D53A2B" w:rsidRDefault="009602D3" w:rsidP="00A202FD">
            <w:pPr>
              <w:spacing w:line="264" w:lineRule="auto"/>
              <w:ind w:left="57" w:right="57"/>
              <w:jc w:val="both"/>
              <w:rPr>
                <w:sz w:val="22"/>
                <w:szCs w:val="22"/>
                <w:lang w:eastAsia="en-US"/>
              </w:rPr>
            </w:pPr>
            <w:r w:rsidRPr="00D53A2B">
              <w:rPr>
                <w:sz w:val="22"/>
                <w:szCs w:val="22"/>
                <w:lang w:eastAsia="en-US"/>
              </w:rPr>
              <w:t>Sirkülasyonlu akışkan yataklı kalsinatörler döner fırınlara göre çok daha yüksek enerji verimliliğine sahiptir, çünkü alümina ve baca gazından ısı geri kazanımı daha fazladır.</w:t>
            </w:r>
          </w:p>
        </w:tc>
        <w:tc>
          <w:tcPr>
            <w:tcW w:w="3287" w:type="dxa"/>
            <w:tcBorders>
              <w:top w:val="single" w:sz="4" w:space="0" w:color="000000"/>
              <w:left w:val="single" w:sz="4" w:space="0" w:color="000000"/>
              <w:bottom w:val="single" w:sz="4" w:space="0" w:color="000000"/>
              <w:right w:val="single" w:sz="4" w:space="0" w:color="000000"/>
            </w:tcBorders>
            <w:vAlign w:val="center"/>
          </w:tcPr>
          <w:p w14:paraId="7C1E4C6E" w14:textId="5CD82DFC" w:rsidR="00374C56" w:rsidRPr="00D53A2B" w:rsidRDefault="009602D3" w:rsidP="00A202FD">
            <w:pPr>
              <w:tabs>
                <w:tab w:val="left" w:pos="1180"/>
                <w:tab w:val="left" w:pos="1800"/>
                <w:tab w:val="left" w:pos="2940"/>
              </w:tabs>
              <w:spacing w:line="264" w:lineRule="auto"/>
              <w:ind w:left="57" w:right="57"/>
              <w:jc w:val="both"/>
              <w:rPr>
                <w:sz w:val="22"/>
                <w:szCs w:val="22"/>
                <w:lang w:eastAsia="en-US"/>
              </w:rPr>
            </w:pPr>
            <w:r w:rsidRPr="00D53A2B">
              <w:rPr>
                <w:sz w:val="22"/>
                <w:szCs w:val="22"/>
                <w:lang w:eastAsia="en-US"/>
              </w:rPr>
              <w:t>Sadece izabe sınıfı alüminalar için geçerlidir. Özel/eritici sınıfı olmayan alüminalar için geçerli değildir, çünkü bunlar şu anda sadece döner fırın ile elde edilebilen daha yüksek bir kalsinasyon seviyesi gerektirmektedir.</w:t>
            </w:r>
          </w:p>
        </w:tc>
      </w:tr>
      <w:tr w:rsidR="00374C56" w:rsidRPr="00D53A2B" w14:paraId="6C818BDC" w14:textId="77777777" w:rsidTr="00271877">
        <w:tc>
          <w:tcPr>
            <w:tcW w:w="317" w:type="dxa"/>
            <w:tcBorders>
              <w:top w:val="single" w:sz="4" w:space="0" w:color="000000"/>
              <w:left w:val="single" w:sz="4" w:space="0" w:color="000000"/>
              <w:bottom w:val="single" w:sz="4" w:space="0" w:color="000000"/>
              <w:right w:val="single" w:sz="4" w:space="0" w:color="000000"/>
            </w:tcBorders>
            <w:vAlign w:val="center"/>
          </w:tcPr>
          <w:p w14:paraId="5C056A5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1493" w:type="dxa"/>
            <w:tcBorders>
              <w:top w:val="single" w:sz="4" w:space="0" w:color="000000"/>
              <w:left w:val="single" w:sz="4" w:space="0" w:color="000000"/>
              <w:bottom w:val="single" w:sz="4" w:space="0" w:color="000000"/>
              <w:right w:val="single" w:sz="4" w:space="0" w:color="000000"/>
            </w:tcBorders>
          </w:tcPr>
          <w:p w14:paraId="56CD9C84" w14:textId="6511DE8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Tek akışlı </w:t>
            </w:r>
            <w:r w:rsidR="009602D3" w:rsidRPr="00D53A2B">
              <w:rPr>
                <w:sz w:val="22"/>
                <w:szCs w:val="22"/>
                <w:lang w:eastAsia="en-US"/>
              </w:rPr>
              <w:t xml:space="preserve">çürütme </w:t>
            </w:r>
            <w:r w:rsidRPr="00D53A2B">
              <w:rPr>
                <w:sz w:val="22"/>
                <w:szCs w:val="22"/>
                <w:lang w:eastAsia="en-US"/>
              </w:rPr>
              <w:t>tasarımı</w:t>
            </w:r>
          </w:p>
        </w:tc>
        <w:tc>
          <w:tcPr>
            <w:tcW w:w="3687" w:type="dxa"/>
            <w:tcBorders>
              <w:top w:val="single" w:sz="4" w:space="0" w:color="000000"/>
              <w:left w:val="single" w:sz="4" w:space="0" w:color="000000"/>
              <w:bottom w:val="single" w:sz="4" w:space="0" w:color="000000"/>
              <w:right w:val="single" w:sz="4" w:space="0" w:color="000000"/>
            </w:tcBorders>
          </w:tcPr>
          <w:p w14:paraId="28FA5908" w14:textId="2A6A5CF7" w:rsidR="00374C56" w:rsidRPr="00D53A2B" w:rsidRDefault="009602D3" w:rsidP="00A202FD">
            <w:pPr>
              <w:spacing w:line="264" w:lineRule="auto"/>
              <w:ind w:left="57" w:right="57"/>
              <w:jc w:val="both"/>
              <w:rPr>
                <w:sz w:val="22"/>
                <w:szCs w:val="22"/>
                <w:lang w:eastAsia="en-US"/>
              </w:rPr>
            </w:pPr>
            <w:r w:rsidRPr="00D53A2B">
              <w:rPr>
                <w:sz w:val="22"/>
                <w:szCs w:val="22"/>
                <w:lang w:eastAsia="en-US"/>
              </w:rPr>
              <w:t>Bulamaç, canlı buhar kullanılmadan ve dolayısıyla bulamaç seyreltilmeden (çift akışlı çürütme tasarımının aksine) tek bir devrede ısıtılır.</w:t>
            </w:r>
          </w:p>
        </w:tc>
        <w:tc>
          <w:tcPr>
            <w:tcW w:w="3287" w:type="dxa"/>
            <w:tcBorders>
              <w:top w:val="single" w:sz="4" w:space="0" w:color="000000"/>
              <w:left w:val="single" w:sz="4" w:space="0" w:color="000000"/>
              <w:bottom w:val="single" w:sz="4" w:space="0" w:color="000000"/>
              <w:right w:val="single" w:sz="4" w:space="0" w:color="000000"/>
            </w:tcBorders>
            <w:vAlign w:val="center"/>
          </w:tcPr>
          <w:p w14:paraId="2736630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yeni tesisler için uygulanabilir</w:t>
            </w:r>
          </w:p>
        </w:tc>
      </w:tr>
      <w:tr w:rsidR="00374C56" w:rsidRPr="00D53A2B" w14:paraId="5EC22701" w14:textId="77777777" w:rsidTr="00271877">
        <w:tc>
          <w:tcPr>
            <w:tcW w:w="317" w:type="dxa"/>
            <w:tcBorders>
              <w:top w:val="single" w:sz="4" w:space="0" w:color="000000"/>
              <w:left w:val="single" w:sz="4" w:space="0" w:color="000000"/>
              <w:bottom w:val="single" w:sz="4" w:space="0" w:color="000000"/>
              <w:right w:val="single" w:sz="4" w:space="0" w:color="000000"/>
            </w:tcBorders>
            <w:vAlign w:val="center"/>
          </w:tcPr>
          <w:p w14:paraId="40DF56F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1493" w:type="dxa"/>
            <w:tcBorders>
              <w:top w:val="single" w:sz="4" w:space="0" w:color="000000"/>
              <w:left w:val="single" w:sz="4" w:space="0" w:color="000000"/>
              <w:bottom w:val="single" w:sz="4" w:space="0" w:color="000000"/>
              <w:right w:val="single" w:sz="4" w:space="0" w:color="000000"/>
            </w:tcBorders>
          </w:tcPr>
          <w:p w14:paraId="5318AFE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Boksit seçimi</w:t>
            </w:r>
          </w:p>
        </w:tc>
        <w:tc>
          <w:tcPr>
            <w:tcW w:w="3687" w:type="dxa"/>
            <w:tcBorders>
              <w:top w:val="single" w:sz="4" w:space="0" w:color="000000"/>
              <w:left w:val="single" w:sz="4" w:space="0" w:color="000000"/>
              <w:bottom w:val="single" w:sz="4" w:space="0" w:color="000000"/>
              <w:right w:val="single" w:sz="4" w:space="0" w:color="000000"/>
            </w:tcBorders>
          </w:tcPr>
          <w:p w14:paraId="752201A5" w14:textId="2B2B75A4" w:rsidR="00374C56" w:rsidRPr="00D53A2B" w:rsidRDefault="009602D3" w:rsidP="00A202FD">
            <w:pPr>
              <w:spacing w:line="264" w:lineRule="auto"/>
              <w:ind w:left="57" w:right="57"/>
              <w:jc w:val="both"/>
              <w:rPr>
                <w:sz w:val="22"/>
                <w:szCs w:val="22"/>
                <w:lang w:eastAsia="en-US"/>
              </w:rPr>
            </w:pPr>
            <w:r w:rsidRPr="00D53A2B">
              <w:rPr>
                <w:sz w:val="22"/>
                <w:szCs w:val="22"/>
                <w:lang w:eastAsia="en-US"/>
              </w:rPr>
              <w:t>Daha yüksek nem içeriğine sahip boksit prosese daha fazla su taşır, bu da buharlaştırma için enerji ihtiyacını artırır. Buna ek olarak, yüksek monohidrat içeriğine sahip boksitler (boehmit ve/veya diaspore) sindirim sürecinde daha yüksek basınç ve sıcaklık gerektirir, bu da daha yüksek enerji tüketimine yol açar.</w:t>
            </w:r>
          </w:p>
        </w:tc>
        <w:tc>
          <w:tcPr>
            <w:tcW w:w="3287" w:type="dxa"/>
            <w:tcBorders>
              <w:top w:val="single" w:sz="4" w:space="0" w:color="000000"/>
              <w:left w:val="single" w:sz="4" w:space="0" w:color="000000"/>
              <w:bottom w:val="single" w:sz="4" w:space="0" w:color="000000"/>
              <w:right w:val="single" w:sz="4" w:space="0" w:color="000000"/>
            </w:tcBorders>
            <w:vAlign w:val="center"/>
          </w:tcPr>
          <w:p w14:paraId="34A5FC05" w14:textId="556E36CE" w:rsidR="00374C56" w:rsidRPr="00D53A2B" w:rsidRDefault="009602D3" w:rsidP="00A202FD">
            <w:pPr>
              <w:spacing w:line="264" w:lineRule="auto"/>
              <w:ind w:left="57" w:right="57"/>
              <w:jc w:val="both"/>
              <w:rPr>
                <w:sz w:val="22"/>
                <w:szCs w:val="22"/>
                <w:lang w:eastAsia="en-US"/>
              </w:rPr>
            </w:pPr>
            <w:r w:rsidRPr="00D53A2B">
              <w:rPr>
                <w:sz w:val="22"/>
                <w:szCs w:val="22"/>
                <w:lang w:eastAsia="en-US"/>
              </w:rPr>
              <w:t>Tesisin özel tasarımıyla ilgili kısıtlamalar dahilinde uygulanabilir, çünkü bazı tesisler belirli bir boksit kalitesi için özel olarak tasarlanmıştır ve bu da alternatif boksit kaynaklarının kullanımını sınırlar.</w:t>
            </w:r>
          </w:p>
        </w:tc>
      </w:tr>
    </w:tbl>
    <w:p w14:paraId="595F2D60" w14:textId="77777777" w:rsidR="00374C56" w:rsidRPr="00D53A2B" w:rsidRDefault="00374C56" w:rsidP="00A202FD">
      <w:pPr>
        <w:jc w:val="both"/>
        <w:rPr>
          <w:lang w:eastAsia="en-US"/>
        </w:rPr>
      </w:pPr>
    </w:p>
    <w:p w14:paraId="335C97D0" w14:textId="3F57EDD7" w:rsidR="00374C56" w:rsidRPr="00D53A2B" w:rsidRDefault="009602D3"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3.1.2.</w:t>
      </w:r>
      <w:r w:rsidRPr="00D53A2B">
        <w:rPr>
          <w:rFonts w:cs="Times New Roman"/>
          <w:lang w:eastAsia="en-US"/>
        </w:rPr>
        <w:t xml:space="preserve"> </w:t>
      </w:r>
      <w:r w:rsidR="00374C56" w:rsidRPr="00D53A2B">
        <w:rPr>
          <w:rFonts w:cs="Times New Roman"/>
          <w:lang w:eastAsia="en-US"/>
        </w:rPr>
        <w:t>Havaya verilen emisyonlar</w:t>
      </w:r>
    </w:p>
    <w:p w14:paraId="0238DB89" w14:textId="41335300" w:rsidR="00374C56" w:rsidRPr="00D53A2B" w:rsidRDefault="00921606" w:rsidP="00A202FD">
      <w:pPr>
        <w:pStyle w:val="MET"/>
        <w:rPr>
          <w:szCs w:val="24"/>
        </w:rPr>
      </w:pPr>
      <w:r w:rsidRPr="00D53A2B">
        <w:rPr>
          <w:szCs w:val="24"/>
        </w:rPr>
        <w:t>MET 56:</w:t>
      </w:r>
      <w:r w:rsidR="009602D3" w:rsidRPr="00D53A2B">
        <w:rPr>
          <w:szCs w:val="24"/>
        </w:rPr>
        <w:t xml:space="preserve"> </w:t>
      </w:r>
      <w:r w:rsidR="009602D3" w:rsidRPr="00D53A2B">
        <w:rPr>
          <w:b w:val="0"/>
          <w:bCs/>
          <w:szCs w:val="24"/>
        </w:rPr>
        <w:t>Alümina kalsinasyonundan kaynaklanan toz ve metal emisyonlarını azaltmak için bir torba filtre veya bir ESP kullan</w:t>
      </w:r>
      <w:r w:rsidR="00583A07" w:rsidRPr="00D53A2B">
        <w:rPr>
          <w:b w:val="0"/>
          <w:bCs/>
          <w:szCs w:val="24"/>
        </w:rPr>
        <w:t>ılır</w:t>
      </w:r>
      <w:r w:rsidR="009602D3" w:rsidRPr="00D53A2B">
        <w:rPr>
          <w:b w:val="0"/>
          <w:bCs/>
          <w:szCs w:val="24"/>
        </w:rPr>
        <w:t>.</w:t>
      </w:r>
    </w:p>
    <w:p w14:paraId="5A4AC97F" w14:textId="77777777" w:rsidR="00374C56" w:rsidRPr="00D53A2B" w:rsidRDefault="00374C56" w:rsidP="00A202FD">
      <w:pPr>
        <w:jc w:val="both"/>
        <w:rPr>
          <w:lang w:eastAsia="en-US"/>
        </w:rPr>
      </w:pPr>
    </w:p>
    <w:p w14:paraId="0220E5DC" w14:textId="53C8D00C" w:rsidR="00374C56" w:rsidRPr="00D53A2B" w:rsidRDefault="009602D3"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3.1.3.</w:t>
      </w:r>
      <w:r w:rsidRPr="00D53A2B">
        <w:rPr>
          <w:rFonts w:cs="Times New Roman"/>
          <w:lang w:eastAsia="en-US"/>
        </w:rPr>
        <w:t xml:space="preserve"> </w:t>
      </w:r>
      <w:r w:rsidR="00374C56" w:rsidRPr="00D53A2B">
        <w:rPr>
          <w:rFonts w:cs="Times New Roman"/>
          <w:lang w:eastAsia="en-US"/>
        </w:rPr>
        <w:t>Atık</w:t>
      </w:r>
    </w:p>
    <w:p w14:paraId="431ECF6F" w14:textId="62629D03" w:rsidR="00374C56" w:rsidRPr="00D53A2B" w:rsidRDefault="00921606" w:rsidP="00A202FD">
      <w:pPr>
        <w:tabs>
          <w:tab w:val="left" w:pos="1134"/>
        </w:tabs>
        <w:spacing w:after="200"/>
        <w:jc w:val="both"/>
        <w:rPr>
          <w:lang w:eastAsia="en-US"/>
        </w:rPr>
      </w:pPr>
      <w:r w:rsidRPr="00D53A2B">
        <w:rPr>
          <w:b/>
          <w:lang w:eastAsia="en-US"/>
        </w:rPr>
        <w:t>MET 57:</w:t>
      </w:r>
      <w:r w:rsidR="00374C56" w:rsidRPr="00D53A2B">
        <w:rPr>
          <w:b/>
          <w:lang w:eastAsia="en-US"/>
        </w:rPr>
        <w:tab/>
      </w:r>
      <w:r w:rsidR="009602D3" w:rsidRPr="00D53A2B">
        <w:rPr>
          <w:lang w:eastAsia="en-US"/>
        </w:rPr>
        <w:t xml:space="preserve">Bertaraf için gönderilen atık miktarını azaltmak ve alümina üretiminden kaynaklanan boksit kalıntılarının bertarafını iyileştirmek </w:t>
      </w:r>
      <w:r w:rsidR="00374C56" w:rsidRPr="00D53A2B">
        <w:rPr>
          <w:lang w:eastAsia="en-US"/>
        </w:rPr>
        <w:t>için</w:t>
      </w:r>
      <w:r w:rsidR="00D457DC" w:rsidRPr="00D53A2B">
        <w:rPr>
          <w:lang w:eastAsia="en-US"/>
        </w:rPr>
        <w:t xml:space="preserve">, </w:t>
      </w:r>
      <w:r w:rsidR="009602D3" w:rsidRPr="00D53A2B">
        <w:rPr>
          <w:lang w:eastAsia="en-US"/>
        </w:rPr>
        <w:t>aşağıda verilen tekniklerden biri veya her ikisi kullan</w:t>
      </w:r>
      <w:r w:rsidR="00583A07" w:rsidRPr="00D53A2B">
        <w:rPr>
          <w:lang w:eastAsia="en-US"/>
        </w:rPr>
        <w:t>ılı</w:t>
      </w:r>
      <w:r w:rsidR="009602D3" w:rsidRPr="00D53A2B">
        <w:rPr>
          <w:lang w:eastAsia="en-US"/>
        </w:rPr>
        <w:t>r.</w:t>
      </w:r>
    </w:p>
    <w:tbl>
      <w:tblPr>
        <w:tblW w:w="0" w:type="auto"/>
        <w:tblLayout w:type="fixed"/>
        <w:tblCellMar>
          <w:left w:w="0" w:type="dxa"/>
          <w:right w:w="0" w:type="dxa"/>
        </w:tblCellMar>
        <w:tblLook w:val="01E0" w:firstRow="1" w:lastRow="1" w:firstColumn="1" w:lastColumn="1" w:noHBand="0" w:noVBand="0"/>
      </w:tblPr>
      <w:tblGrid>
        <w:gridCol w:w="317"/>
        <w:gridCol w:w="8404"/>
      </w:tblGrid>
      <w:tr w:rsidR="00374C56" w:rsidRPr="00D53A2B" w14:paraId="7AE97ECF"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1008BD1B" w14:textId="77777777" w:rsidR="00374C56" w:rsidRPr="00D53A2B" w:rsidRDefault="00374C56" w:rsidP="00A202FD">
            <w:pPr>
              <w:spacing w:line="264" w:lineRule="auto"/>
              <w:ind w:left="57" w:right="57"/>
              <w:jc w:val="both"/>
              <w:rPr>
                <w:sz w:val="22"/>
                <w:szCs w:val="22"/>
                <w:lang w:eastAsia="en-US"/>
              </w:rPr>
            </w:pPr>
          </w:p>
        </w:tc>
        <w:tc>
          <w:tcPr>
            <w:tcW w:w="8404" w:type="dxa"/>
            <w:tcBorders>
              <w:top w:val="single" w:sz="4" w:space="0" w:color="000000"/>
              <w:left w:val="single" w:sz="4" w:space="0" w:color="000000"/>
              <w:bottom w:val="single" w:sz="4" w:space="0" w:color="000000"/>
              <w:right w:val="single" w:sz="4" w:space="0" w:color="000000"/>
            </w:tcBorders>
            <w:vAlign w:val="center"/>
          </w:tcPr>
          <w:p w14:paraId="3A4B6EE1"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5BC6B9A3"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6AB2B99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404" w:type="dxa"/>
            <w:tcBorders>
              <w:top w:val="single" w:sz="4" w:space="0" w:color="000000"/>
              <w:left w:val="single" w:sz="4" w:space="0" w:color="000000"/>
              <w:bottom w:val="single" w:sz="4" w:space="0" w:color="000000"/>
              <w:right w:val="single" w:sz="4" w:space="0" w:color="000000"/>
            </w:tcBorders>
          </w:tcPr>
          <w:p w14:paraId="6585DEF1" w14:textId="78BFBF2B" w:rsidR="00374C56" w:rsidRPr="00D53A2B" w:rsidRDefault="009602D3" w:rsidP="00A202FD">
            <w:pPr>
              <w:spacing w:line="264" w:lineRule="auto"/>
              <w:ind w:left="57" w:right="57"/>
              <w:jc w:val="both"/>
              <w:rPr>
                <w:sz w:val="22"/>
                <w:szCs w:val="22"/>
                <w:lang w:eastAsia="en-US"/>
              </w:rPr>
            </w:pPr>
            <w:r w:rsidRPr="00D53A2B">
              <w:rPr>
                <w:sz w:val="22"/>
                <w:szCs w:val="22"/>
                <w:lang w:eastAsia="en-US"/>
              </w:rPr>
              <w:t>Nem içeriğini en aza indirmek için sıkıştırarak boksit kalıntılarının hacmini azaltın, örneğin yarı kuru bir kek oluşturmak için vakum veya yüksek basınçlı filtreler kullanı</w:t>
            </w:r>
            <w:r w:rsidR="00583A07" w:rsidRPr="00D53A2B">
              <w:rPr>
                <w:sz w:val="22"/>
                <w:szCs w:val="22"/>
                <w:lang w:eastAsia="en-US"/>
              </w:rPr>
              <w:t>lması</w:t>
            </w:r>
            <w:r w:rsidRPr="00D53A2B">
              <w:rPr>
                <w:sz w:val="22"/>
                <w:szCs w:val="22"/>
                <w:lang w:eastAsia="en-US"/>
              </w:rPr>
              <w:t>.</w:t>
            </w:r>
          </w:p>
        </w:tc>
      </w:tr>
      <w:tr w:rsidR="00374C56" w:rsidRPr="00D53A2B" w14:paraId="10D28B26"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71CC863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404" w:type="dxa"/>
            <w:tcBorders>
              <w:top w:val="single" w:sz="4" w:space="0" w:color="000000"/>
              <w:left w:val="single" w:sz="4" w:space="0" w:color="000000"/>
              <w:bottom w:val="single" w:sz="4" w:space="0" w:color="000000"/>
              <w:right w:val="single" w:sz="4" w:space="0" w:color="000000"/>
            </w:tcBorders>
          </w:tcPr>
          <w:p w14:paraId="4E46E52B" w14:textId="0818ED3E" w:rsidR="00374C56" w:rsidRPr="00D53A2B" w:rsidRDefault="009602D3" w:rsidP="00A202FD">
            <w:pPr>
              <w:spacing w:line="264" w:lineRule="auto"/>
              <w:ind w:left="57" w:right="57"/>
              <w:jc w:val="both"/>
              <w:rPr>
                <w:sz w:val="22"/>
                <w:szCs w:val="22"/>
                <w:lang w:eastAsia="en-US"/>
              </w:rPr>
            </w:pPr>
            <w:r w:rsidRPr="00D53A2B">
              <w:rPr>
                <w:sz w:val="22"/>
                <w:szCs w:val="22"/>
                <w:lang w:eastAsia="en-US"/>
              </w:rPr>
              <w:t>Kalıntıların düzenli depolama sahasında bertaraf edilmesini sağlamak için boksit kalıntılarında kalan alkalinitenin azaltılması/minimize edilmesi.</w:t>
            </w:r>
          </w:p>
        </w:tc>
      </w:tr>
    </w:tbl>
    <w:p w14:paraId="08EE7619" w14:textId="77777777" w:rsidR="00374C56" w:rsidRPr="00D53A2B" w:rsidRDefault="00374C56" w:rsidP="00A202FD">
      <w:pPr>
        <w:jc w:val="both"/>
        <w:rPr>
          <w:lang w:eastAsia="en-US"/>
        </w:rPr>
      </w:pPr>
    </w:p>
    <w:p w14:paraId="3F3541B9" w14:textId="7612231B" w:rsidR="00374C56" w:rsidRPr="00D53A2B" w:rsidRDefault="009602D3" w:rsidP="00A202FD">
      <w:pPr>
        <w:pStyle w:val="Balk3"/>
        <w:rPr>
          <w:rFonts w:cs="Times New Roman"/>
          <w:lang w:eastAsia="en-US"/>
        </w:rPr>
      </w:pPr>
      <w:bookmarkStart w:id="72" w:name="_Toc531927873"/>
      <w:r w:rsidRPr="00D53A2B">
        <w:rPr>
          <w:rFonts w:cs="Times New Roman"/>
          <w:lang w:eastAsia="en-US"/>
        </w:rPr>
        <w:t>1.</w:t>
      </w:r>
      <w:r w:rsidR="00374C56" w:rsidRPr="00D53A2B">
        <w:rPr>
          <w:rFonts w:cs="Times New Roman"/>
          <w:lang w:eastAsia="en-US"/>
        </w:rPr>
        <w:t>3.2.</w:t>
      </w:r>
      <w:r w:rsidRPr="00D53A2B">
        <w:rPr>
          <w:rFonts w:cs="Times New Roman"/>
          <w:lang w:eastAsia="en-US"/>
        </w:rPr>
        <w:t xml:space="preserve"> </w:t>
      </w:r>
      <w:r w:rsidR="00374C56" w:rsidRPr="00D53A2B">
        <w:rPr>
          <w:rFonts w:cs="Times New Roman"/>
          <w:lang w:eastAsia="en-US"/>
        </w:rPr>
        <w:t>Anot üretimi</w:t>
      </w:r>
      <w:bookmarkEnd w:id="72"/>
    </w:p>
    <w:p w14:paraId="79272939" w14:textId="7A63B360" w:rsidR="00374C56" w:rsidRPr="00D53A2B" w:rsidRDefault="009602D3"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3.2.1.</w:t>
      </w:r>
      <w:r w:rsidRPr="00D53A2B">
        <w:rPr>
          <w:rFonts w:cs="Times New Roman"/>
          <w:lang w:eastAsia="en-US"/>
        </w:rPr>
        <w:t xml:space="preserve"> </w:t>
      </w:r>
      <w:r w:rsidR="00374C56" w:rsidRPr="00D53A2B">
        <w:rPr>
          <w:rFonts w:cs="Times New Roman"/>
          <w:lang w:eastAsia="en-US"/>
        </w:rPr>
        <w:t>Hava</w:t>
      </w:r>
      <w:r w:rsidRPr="00D53A2B">
        <w:rPr>
          <w:rFonts w:cs="Times New Roman"/>
          <w:lang w:eastAsia="en-US"/>
        </w:rPr>
        <w:t xml:space="preserve"> </w:t>
      </w:r>
      <w:r w:rsidR="00374C56" w:rsidRPr="00D53A2B">
        <w:rPr>
          <w:rFonts w:cs="Times New Roman"/>
          <w:lang w:eastAsia="en-US"/>
        </w:rPr>
        <w:t>emisyonlar</w:t>
      </w:r>
      <w:r w:rsidRPr="00D53A2B">
        <w:rPr>
          <w:rFonts w:cs="Times New Roman"/>
          <w:lang w:eastAsia="en-US"/>
        </w:rPr>
        <w:t>ı</w:t>
      </w:r>
    </w:p>
    <w:p w14:paraId="670509BF" w14:textId="1A5D9DA1" w:rsidR="00D33819" w:rsidRPr="00D53A2B" w:rsidRDefault="00D33819" w:rsidP="00A202FD">
      <w:pPr>
        <w:pStyle w:val="Balk5"/>
        <w:ind w:left="1134" w:hanging="1134"/>
        <w:rPr>
          <w:szCs w:val="24"/>
        </w:rPr>
      </w:pPr>
      <w:r w:rsidRPr="00D53A2B">
        <w:rPr>
          <w:szCs w:val="24"/>
        </w:rPr>
        <w:t>1.</w:t>
      </w:r>
      <w:r w:rsidR="00374C56" w:rsidRPr="00D53A2B">
        <w:rPr>
          <w:szCs w:val="24"/>
        </w:rPr>
        <w:t>3.2.1.1</w:t>
      </w:r>
      <w:r w:rsidRPr="00D53A2B">
        <w:rPr>
          <w:szCs w:val="24"/>
        </w:rPr>
        <w:t>.</w:t>
      </w:r>
      <w:r w:rsidR="00374C56" w:rsidRPr="00D53A2B">
        <w:rPr>
          <w:szCs w:val="24"/>
        </w:rPr>
        <w:t xml:space="preserve"> </w:t>
      </w:r>
      <w:r w:rsidRPr="00D53A2B">
        <w:rPr>
          <w:szCs w:val="24"/>
        </w:rPr>
        <w:t>Macun tesisinden kaynaklanan toz, PAH ve flurid emisyonları</w:t>
      </w:r>
    </w:p>
    <w:p w14:paraId="45FE7E52" w14:textId="1B3998F4" w:rsidR="00374C56" w:rsidRPr="00D53A2B" w:rsidRDefault="00921606" w:rsidP="00A202FD">
      <w:pPr>
        <w:pStyle w:val="MET"/>
        <w:rPr>
          <w:szCs w:val="24"/>
        </w:rPr>
      </w:pPr>
      <w:r w:rsidRPr="00D53A2B">
        <w:rPr>
          <w:szCs w:val="24"/>
        </w:rPr>
        <w:t>MET 58:</w:t>
      </w:r>
      <w:r w:rsidR="00D33819" w:rsidRPr="00D53A2B">
        <w:rPr>
          <w:szCs w:val="24"/>
        </w:rPr>
        <w:t xml:space="preserve"> </w:t>
      </w:r>
      <w:r w:rsidR="00D33819" w:rsidRPr="00D53A2B">
        <w:rPr>
          <w:b w:val="0"/>
          <w:bCs/>
          <w:szCs w:val="24"/>
        </w:rPr>
        <w:t>Bir macun tesisinden havaya yayılan toz emisyonlarını azaltmak için (kok depolama ve öğütme gibi işlemlerden kaynaklanan kok tozunu gidermek), bir torba filtre kullan</w:t>
      </w:r>
      <w:r w:rsidR="00583A07" w:rsidRPr="00D53A2B">
        <w:rPr>
          <w:b w:val="0"/>
          <w:bCs/>
          <w:szCs w:val="24"/>
        </w:rPr>
        <w:t>ılır</w:t>
      </w:r>
      <w:r w:rsidR="00D33819" w:rsidRPr="00D53A2B">
        <w:rPr>
          <w:b w:val="0"/>
          <w:bCs/>
          <w:szCs w:val="24"/>
        </w:rPr>
        <w:t>.</w:t>
      </w:r>
    </w:p>
    <w:p w14:paraId="3B268BA0" w14:textId="77777777" w:rsidR="00D33819" w:rsidRPr="00D53A2B" w:rsidRDefault="00D33819" w:rsidP="00A202FD">
      <w:pPr>
        <w:pStyle w:val="MET"/>
        <w:rPr>
          <w:szCs w:val="24"/>
        </w:rPr>
      </w:pPr>
    </w:p>
    <w:p w14:paraId="4F40E954"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7.</w:t>
      </w:r>
    </w:p>
    <w:p w14:paraId="084417AE" w14:textId="234DF546" w:rsidR="00374C56" w:rsidRPr="00D53A2B" w:rsidRDefault="00921606" w:rsidP="00A202FD">
      <w:pPr>
        <w:pStyle w:val="MET"/>
        <w:rPr>
          <w:b w:val="0"/>
          <w:bCs/>
          <w:szCs w:val="24"/>
        </w:rPr>
      </w:pPr>
      <w:r w:rsidRPr="00D53A2B">
        <w:rPr>
          <w:szCs w:val="24"/>
        </w:rPr>
        <w:t>MET 59:</w:t>
      </w:r>
      <w:r w:rsidR="00D33819" w:rsidRPr="00D53A2B">
        <w:rPr>
          <w:szCs w:val="24"/>
        </w:rPr>
        <w:t xml:space="preserve"> </w:t>
      </w:r>
      <w:r w:rsidR="00D33819" w:rsidRPr="00D53A2B">
        <w:rPr>
          <w:b w:val="0"/>
          <w:bCs/>
          <w:szCs w:val="24"/>
        </w:rPr>
        <w:t>Bir macun tesisinden (sıcak zift depolama, macun karıştırma, soğutma ve şekillendirme) havaya yayılan toz ve PAH emisyonlarını azaltmak için aşağıda verilen tekniklerden biri veya bir kombinasyonu</w:t>
      </w:r>
      <w:r w:rsidR="00583A07" w:rsidRPr="00D53A2B">
        <w:rPr>
          <w:b w:val="0"/>
          <w:bCs/>
          <w:szCs w:val="24"/>
        </w:rPr>
        <w:t xml:space="preserve"> kullanılır</w:t>
      </w:r>
      <w:r w:rsidR="00D33819" w:rsidRPr="00D53A2B">
        <w:rPr>
          <w:b w:val="0"/>
          <w:bCs/>
          <w:szCs w:val="24"/>
        </w:rPr>
        <w:t>.</w:t>
      </w:r>
    </w:p>
    <w:p w14:paraId="00C75593" w14:textId="77777777" w:rsidR="00F33354" w:rsidRPr="00D53A2B" w:rsidRDefault="00F33354" w:rsidP="00A202FD">
      <w:pPr>
        <w:pStyle w:val="MET"/>
        <w:rPr>
          <w:szCs w:val="24"/>
        </w:rPr>
      </w:pPr>
    </w:p>
    <w:tbl>
      <w:tblPr>
        <w:tblW w:w="8784" w:type="dxa"/>
        <w:tblLayout w:type="fixed"/>
        <w:tblCellMar>
          <w:left w:w="0" w:type="dxa"/>
          <w:right w:w="0" w:type="dxa"/>
        </w:tblCellMar>
        <w:tblLook w:val="01E0" w:firstRow="1" w:lastRow="1" w:firstColumn="1" w:lastColumn="1" w:noHBand="0" w:noVBand="0"/>
      </w:tblPr>
      <w:tblGrid>
        <w:gridCol w:w="386"/>
        <w:gridCol w:w="8398"/>
      </w:tblGrid>
      <w:tr w:rsidR="00374C56" w:rsidRPr="00D53A2B" w14:paraId="746F74A9"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374D31B9" w14:textId="77777777" w:rsidR="00374C56" w:rsidRPr="00D53A2B" w:rsidRDefault="00374C56" w:rsidP="00A202FD">
            <w:pPr>
              <w:spacing w:line="264" w:lineRule="auto"/>
              <w:ind w:left="57" w:right="57"/>
              <w:jc w:val="both"/>
              <w:rPr>
                <w:sz w:val="22"/>
                <w:szCs w:val="22"/>
                <w:lang w:eastAsia="en-US"/>
              </w:rPr>
            </w:pPr>
          </w:p>
        </w:tc>
        <w:tc>
          <w:tcPr>
            <w:tcW w:w="8398" w:type="dxa"/>
            <w:tcBorders>
              <w:top w:val="single" w:sz="4" w:space="0" w:color="000000"/>
              <w:left w:val="single" w:sz="4" w:space="0" w:color="000000"/>
              <w:bottom w:val="single" w:sz="4" w:space="0" w:color="000000"/>
              <w:right w:val="single" w:sz="4" w:space="0" w:color="000000"/>
            </w:tcBorders>
            <w:vAlign w:val="center"/>
          </w:tcPr>
          <w:p w14:paraId="277952EF"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 xml:space="preserve">Teknik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4FA312BC"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72DB6F6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398" w:type="dxa"/>
            <w:tcBorders>
              <w:top w:val="single" w:sz="4" w:space="0" w:color="000000"/>
              <w:left w:val="single" w:sz="4" w:space="0" w:color="000000"/>
              <w:bottom w:val="single" w:sz="4" w:space="0" w:color="000000"/>
              <w:right w:val="single" w:sz="4" w:space="0" w:color="000000"/>
            </w:tcBorders>
          </w:tcPr>
          <w:p w14:paraId="674EA880" w14:textId="21DBC30B" w:rsidR="00374C56" w:rsidRPr="00D53A2B" w:rsidRDefault="00D33819" w:rsidP="00A202FD">
            <w:pPr>
              <w:spacing w:line="264" w:lineRule="auto"/>
              <w:ind w:left="57" w:right="57"/>
              <w:jc w:val="both"/>
              <w:rPr>
                <w:sz w:val="22"/>
                <w:szCs w:val="22"/>
                <w:lang w:eastAsia="en-US"/>
              </w:rPr>
            </w:pPr>
            <w:r w:rsidRPr="00D53A2B">
              <w:rPr>
                <w:sz w:val="22"/>
                <w:szCs w:val="22"/>
                <w:lang w:eastAsia="en-US"/>
              </w:rPr>
              <w:t>Adsorban madde olarak kok kömürü kullanan kuru yıkayıcı, ön soğutmalı veya soğutmasız, ardından bir torba filtre</w:t>
            </w:r>
          </w:p>
        </w:tc>
      </w:tr>
      <w:tr w:rsidR="00374C56" w:rsidRPr="00D53A2B" w14:paraId="3E5F8BCA"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3E12A72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398" w:type="dxa"/>
            <w:tcBorders>
              <w:top w:val="single" w:sz="4" w:space="0" w:color="000000"/>
              <w:left w:val="single" w:sz="4" w:space="0" w:color="000000"/>
              <w:bottom w:val="single" w:sz="4" w:space="0" w:color="000000"/>
              <w:right w:val="single" w:sz="4" w:space="0" w:color="000000"/>
            </w:tcBorders>
          </w:tcPr>
          <w:p w14:paraId="6CA2D8A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Rejeneratif termal oksitleyici</w:t>
            </w:r>
          </w:p>
        </w:tc>
      </w:tr>
      <w:tr w:rsidR="00374C56" w:rsidRPr="00D53A2B" w14:paraId="23D155D6" w14:textId="77777777" w:rsidTr="00271877">
        <w:tc>
          <w:tcPr>
            <w:tcW w:w="386" w:type="dxa"/>
            <w:tcBorders>
              <w:top w:val="single" w:sz="4" w:space="0" w:color="000000"/>
              <w:left w:val="single" w:sz="4" w:space="0" w:color="000000"/>
              <w:bottom w:val="single" w:sz="4" w:space="0" w:color="000000"/>
              <w:right w:val="single" w:sz="4" w:space="0" w:color="000000"/>
            </w:tcBorders>
            <w:vAlign w:val="center"/>
          </w:tcPr>
          <w:p w14:paraId="7282928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398" w:type="dxa"/>
            <w:tcBorders>
              <w:top w:val="single" w:sz="4" w:space="0" w:color="000000"/>
              <w:left w:val="single" w:sz="4" w:space="0" w:color="000000"/>
              <w:bottom w:val="single" w:sz="4" w:space="0" w:color="000000"/>
              <w:right w:val="single" w:sz="4" w:space="0" w:color="000000"/>
            </w:tcBorders>
          </w:tcPr>
          <w:p w14:paraId="163C568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Katalitik termal oksitleyici</w:t>
            </w:r>
          </w:p>
        </w:tc>
      </w:tr>
      <w:tr w:rsidR="00374C56" w:rsidRPr="00D53A2B" w14:paraId="38CA0074"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30D6BAD3" w14:textId="2EC7A119" w:rsidR="00374C56" w:rsidRPr="00D53A2B" w:rsidRDefault="00374C56" w:rsidP="00A202FD">
            <w:pPr>
              <w:spacing w:line="264" w:lineRule="auto"/>
              <w:ind w:left="57" w:right="57"/>
              <w:jc w:val="both"/>
              <w:rPr>
                <w:sz w:val="22"/>
                <w:szCs w:val="22"/>
                <w:lang w:eastAsia="en-US"/>
              </w:rPr>
            </w:pPr>
            <w:r w:rsidRPr="00D53A2B">
              <w:rPr>
                <w:bCs/>
                <w:sz w:val="22"/>
                <w:szCs w:val="22"/>
                <w:lang w:eastAsia="en-US"/>
              </w:rPr>
              <w:t>(</w:t>
            </w:r>
            <w:r w:rsidRPr="00D53A2B">
              <w:rPr>
                <w:bCs/>
                <w:sz w:val="22"/>
                <w:szCs w:val="22"/>
                <w:vertAlign w:val="superscript"/>
                <w:lang w:eastAsia="en-US"/>
              </w:rPr>
              <w:t>1</w:t>
            </w:r>
            <w:r w:rsidRPr="00D53A2B">
              <w:rPr>
                <w:bCs/>
                <w:sz w:val="22"/>
                <w:szCs w:val="22"/>
                <w:lang w:eastAsia="en-US"/>
              </w:rPr>
              <w:t>)</w:t>
            </w:r>
            <w:r w:rsidRPr="00D53A2B">
              <w:rPr>
                <w:b/>
                <w:sz w:val="22"/>
                <w:szCs w:val="22"/>
                <w:lang w:eastAsia="en-US"/>
              </w:rPr>
              <w:t xml:space="preserve"> </w:t>
            </w:r>
            <w:r w:rsidRPr="00D53A2B">
              <w:rPr>
                <w:sz w:val="22"/>
                <w:szCs w:val="22"/>
                <w:lang w:eastAsia="en-US"/>
              </w:rPr>
              <w:t>Tekniklerin açıklamaları Bölüm 1.10</w:t>
            </w:r>
            <w:r w:rsidR="00E56504" w:rsidRPr="00D53A2B">
              <w:rPr>
                <w:sz w:val="22"/>
                <w:szCs w:val="22"/>
                <w:lang w:eastAsia="en-US"/>
              </w:rPr>
              <w:t>’</w:t>
            </w:r>
            <w:r w:rsidRPr="00D53A2B">
              <w:rPr>
                <w:sz w:val="22"/>
                <w:szCs w:val="22"/>
                <w:lang w:eastAsia="en-US"/>
              </w:rPr>
              <w:t>da verilmiştir.</w:t>
            </w:r>
          </w:p>
        </w:tc>
      </w:tr>
    </w:tbl>
    <w:p w14:paraId="388026C7" w14:textId="77777777" w:rsidR="00374C56" w:rsidRPr="00D53A2B" w:rsidRDefault="00374C56" w:rsidP="00A202FD">
      <w:pPr>
        <w:jc w:val="both"/>
        <w:rPr>
          <w:lang w:eastAsia="en-US"/>
        </w:rPr>
      </w:pPr>
    </w:p>
    <w:p w14:paraId="275C6275"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7.</w:t>
      </w:r>
    </w:p>
    <w:p w14:paraId="5112B41B" w14:textId="77777777" w:rsidR="001023C7" w:rsidRPr="00D53A2B" w:rsidRDefault="00374C56" w:rsidP="00A202FD">
      <w:pPr>
        <w:jc w:val="both"/>
        <w:rPr>
          <w:lang w:eastAsia="en-US"/>
        </w:rPr>
      </w:pPr>
      <w:bookmarkStart w:id="73" w:name="_Toc531927948"/>
      <w:r w:rsidRPr="00D53A2B">
        <w:rPr>
          <w:lang w:eastAsia="en-US"/>
        </w:rPr>
        <w:t xml:space="preserve">Tablo </w:t>
      </w:r>
      <w:r w:rsidRPr="00D53A2B">
        <w:rPr>
          <w:noProof/>
          <w:lang w:eastAsia="en-US"/>
        </w:rPr>
        <w:t>7</w:t>
      </w:r>
      <w:bookmarkEnd w:id="73"/>
    </w:p>
    <w:p w14:paraId="1E39E4E5" w14:textId="37DA699E" w:rsidR="00374C56" w:rsidRPr="00D53A2B" w:rsidRDefault="003F79A1" w:rsidP="00A202FD">
      <w:pPr>
        <w:jc w:val="both"/>
        <w:rPr>
          <w:lang w:eastAsia="en-US"/>
        </w:rPr>
      </w:pPr>
      <w:r w:rsidRPr="00D53A2B">
        <w:rPr>
          <w:lang w:eastAsia="en-US"/>
        </w:rPr>
        <w:t xml:space="preserve">Bir macun tesisinden havaya salınan toz ve BaP (PAH göstergesi olarak) emisyonları için </w:t>
      </w:r>
      <w:r w:rsidR="00583A07" w:rsidRPr="00D53A2B">
        <w:rPr>
          <w:lang w:eastAsia="en-US"/>
        </w:rPr>
        <w:t>MET</w:t>
      </w:r>
      <w:r w:rsidRPr="00D53A2B">
        <w:rPr>
          <w:lang w:eastAsia="en-US"/>
        </w:rPr>
        <w:t xml:space="preserve"> ile ilişkili emisyon seviyeleri.</w:t>
      </w:r>
    </w:p>
    <w:tbl>
      <w:tblPr>
        <w:tblW w:w="8784" w:type="dxa"/>
        <w:tblLayout w:type="fixed"/>
        <w:tblCellMar>
          <w:left w:w="0" w:type="dxa"/>
          <w:right w:w="0" w:type="dxa"/>
        </w:tblCellMar>
        <w:tblLook w:val="01E0" w:firstRow="1" w:lastRow="1" w:firstColumn="1" w:lastColumn="1" w:noHBand="0" w:noVBand="0"/>
      </w:tblPr>
      <w:tblGrid>
        <w:gridCol w:w="1271"/>
        <w:gridCol w:w="5670"/>
        <w:gridCol w:w="1843"/>
      </w:tblGrid>
      <w:tr w:rsidR="00374C56" w:rsidRPr="00D53A2B" w14:paraId="7E8B680B" w14:textId="77777777" w:rsidTr="00271877">
        <w:tc>
          <w:tcPr>
            <w:tcW w:w="1271" w:type="dxa"/>
            <w:tcBorders>
              <w:top w:val="single" w:sz="4" w:space="0" w:color="000000"/>
              <w:left w:val="single" w:sz="4" w:space="0" w:color="000000"/>
              <w:bottom w:val="single" w:sz="4" w:space="0" w:color="000000"/>
              <w:right w:val="single" w:sz="4" w:space="0" w:color="000000"/>
            </w:tcBorders>
            <w:vAlign w:val="center"/>
          </w:tcPr>
          <w:p w14:paraId="2E0ED61F"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5670" w:type="dxa"/>
            <w:tcBorders>
              <w:top w:val="single" w:sz="4" w:space="0" w:color="000000"/>
              <w:left w:val="single" w:sz="4" w:space="0" w:color="000000"/>
              <w:bottom w:val="single" w:sz="4" w:space="0" w:color="000000"/>
              <w:right w:val="single" w:sz="4" w:space="0" w:color="000000"/>
            </w:tcBorders>
            <w:vAlign w:val="center"/>
          </w:tcPr>
          <w:p w14:paraId="0A392E32"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Proses</w:t>
            </w:r>
          </w:p>
        </w:tc>
        <w:tc>
          <w:tcPr>
            <w:tcW w:w="1843" w:type="dxa"/>
            <w:tcBorders>
              <w:top w:val="single" w:sz="4" w:space="0" w:color="000000"/>
              <w:left w:val="single" w:sz="4" w:space="0" w:color="000000"/>
              <w:bottom w:val="single" w:sz="4" w:space="0" w:color="000000"/>
              <w:right w:val="single" w:sz="4" w:space="0" w:color="000000"/>
            </w:tcBorders>
            <w:vAlign w:val="center"/>
          </w:tcPr>
          <w:p w14:paraId="4EADD9DA"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w:t>
            </w:r>
          </w:p>
        </w:tc>
      </w:tr>
      <w:tr w:rsidR="00374C56" w:rsidRPr="00D53A2B" w14:paraId="3B9A1B0B" w14:textId="77777777" w:rsidTr="00271877">
        <w:tc>
          <w:tcPr>
            <w:tcW w:w="1271" w:type="dxa"/>
            <w:tcBorders>
              <w:top w:val="single" w:sz="4" w:space="0" w:color="000000"/>
              <w:left w:val="single" w:sz="4" w:space="0" w:color="000000"/>
              <w:bottom w:val="single" w:sz="4" w:space="0" w:color="000000"/>
              <w:right w:val="single" w:sz="4" w:space="0" w:color="000000"/>
            </w:tcBorders>
            <w:vAlign w:val="center"/>
          </w:tcPr>
          <w:p w14:paraId="452364C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5670" w:type="dxa"/>
            <w:tcBorders>
              <w:top w:val="single" w:sz="4" w:space="0" w:color="000000"/>
              <w:left w:val="single" w:sz="4" w:space="0" w:color="000000"/>
              <w:bottom w:val="single" w:sz="4" w:space="0" w:color="000000"/>
              <w:right w:val="single" w:sz="4" w:space="0" w:color="000000"/>
            </w:tcBorders>
            <w:vAlign w:val="center"/>
          </w:tcPr>
          <w:p w14:paraId="79DD3C91" w14:textId="46B977EA"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w:t>
            </w:r>
            <w:r w:rsidR="003F79A1" w:rsidRPr="00D53A2B">
              <w:rPr>
                <w:sz w:val="22"/>
                <w:szCs w:val="22"/>
                <w:lang w:eastAsia="en-US"/>
              </w:rPr>
              <w:t>Sıcak zift depolama, macun karıştırma, soğutma ve şekillendirme</w:t>
            </w:r>
          </w:p>
          <w:p w14:paraId="37697B91" w14:textId="08B2C4E6"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w:t>
            </w:r>
            <w:r w:rsidR="003F79A1" w:rsidRPr="00D53A2B">
              <w:rPr>
                <w:bCs/>
                <w:sz w:val="22"/>
                <w:szCs w:val="22"/>
                <w:lang w:eastAsia="en-US"/>
              </w:rPr>
              <w:t>Kok kömürü depolama ve öğütme gibi işlemlerden kaynaklanan kok tozunun giderilmesi</w:t>
            </w:r>
          </w:p>
        </w:tc>
        <w:tc>
          <w:tcPr>
            <w:tcW w:w="1843" w:type="dxa"/>
            <w:tcBorders>
              <w:top w:val="single" w:sz="4" w:space="0" w:color="000000"/>
              <w:left w:val="single" w:sz="4" w:space="0" w:color="000000"/>
              <w:bottom w:val="single" w:sz="4" w:space="0" w:color="000000"/>
              <w:right w:val="single" w:sz="4" w:space="0" w:color="000000"/>
            </w:tcBorders>
            <w:vAlign w:val="center"/>
          </w:tcPr>
          <w:p w14:paraId="64B62AF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2–5 </w:t>
            </w:r>
            <w:r w:rsidRPr="00D53A2B">
              <w:rPr>
                <w:bCs/>
                <w:sz w:val="22"/>
                <w:szCs w:val="22"/>
                <w:lang w:eastAsia="en-US"/>
              </w:rPr>
              <w:t>(</w:t>
            </w:r>
            <w:r w:rsidRPr="00D53A2B">
              <w:rPr>
                <w:bCs/>
                <w:sz w:val="22"/>
                <w:szCs w:val="22"/>
                <w:vertAlign w:val="superscript"/>
                <w:lang w:eastAsia="en-US"/>
              </w:rPr>
              <w:t>1</w:t>
            </w:r>
            <w:r w:rsidRPr="00D53A2B">
              <w:rPr>
                <w:bCs/>
                <w:sz w:val="22"/>
                <w:szCs w:val="22"/>
                <w:lang w:eastAsia="en-US"/>
              </w:rPr>
              <w:t>)</w:t>
            </w:r>
          </w:p>
        </w:tc>
      </w:tr>
      <w:tr w:rsidR="00374C56" w:rsidRPr="00D53A2B" w14:paraId="185FACE6" w14:textId="77777777" w:rsidTr="00271877">
        <w:tc>
          <w:tcPr>
            <w:tcW w:w="1271" w:type="dxa"/>
            <w:tcBorders>
              <w:top w:val="single" w:sz="4" w:space="0" w:color="000000"/>
              <w:left w:val="single" w:sz="4" w:space="0" w:color="000000"/>
              <w:bottom w:val="single" w:sz="4" w:space="0" w:color="000000"/>
              <w:right w:val="single" w:sz="4" w:space="0" w:color="000000"/>
            </w:tcBorders>
            <w:vAlign w:val="center"/>
          </w:tcPr>
          <w:p w14:paraId="220C576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BaP</w:t>
            </w:r>
          </w:p>
        </w:tc>
        <w:tc>
          <w:tcPr>
            <w:tcW w:w="5670" w:type="dxa"/>
            <w:tcBorders>
              <w:top w:val="single" w:sz="4" w:space="0" w:color="000000"/>
              <w:left w:val="single" w:sz="4" w:space="0" w:color="000000"/>
              <w:bottom w:val="single" w:sz="4" w:space="0" w:color="000000"/>
              <w:right w:val="single" w:sz="4" w:space="0" w:color="000000"/>
            </w:tcBorders>
            <w:vAlign w:val="center"/>
          </w:tcPr>
          <w:p w14:paraId="4E80EAAC" w14:textId="3F1CC1AB" w:rsidR="00374C56" w:rsidRPr="00D53A2B" w:rsidRDefault="003F79A1" w:rsidP="00A202FD">
            <w:pPr>
              <w:spacing w:line="264" w:lineRule="auto"/>
              <w:ind w:left="57" w:right="57"/>
              <w:jc w:val="both"/>
              <w:rPr>
                <w:sz w:val="22"/>
                <w:szCs w:val="22"/>
                <w:lang w:eastAsia="en-US"/>
              </w:rPr>
            </w:pPr>
            <w:r w:rsidRPr="00D53A2B">
              <w:rPr>
                <w:sz w:val="22"/>
                <w:szCs w:val="22"/>
                <w:lang w:eastAsia="en-US"/>
              </w:rPr>
              <w:t>Sıcak zift depolama, macun karıştırma, soğutma ve şekillendirme</w:t>
            </w:r>
          </w:p>
        </w:tc>
        <w:tc>
          <w:tcPr>
            <w:tcW w:w="1843" w:type="dxa"/>
            <w:tcBorders>
              <w:top w:val="single" w:sz="4" w:space="0" w:color="000000"/>
              <w:left w:val="single" w:sz="4" w:space="0" w:color="000000"/>
              <w:bottom w:val="single" w:sz="4" w:space="0" w:color="000000"/>
              <w:right w:val="single" w:sz="4" w:space="0" w:color="000000"/>
            </w:tcBorders>
            <w:vAlign w:val="center"/>
          </w:tcPr>
          <w:p w14:paraId="42B7986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0,001–0,01 </w:t>
            </w:r>
            <w:r w:rsidRPr="00D53A2B">
              <w:rPr>
                <w:bCs/>
                <w:sz w:val="22"/>
                <w:szCs w:val="22"/>
                <w:lang w:eastAsia="en-US"/>
              </w:rPr>
              <w:t>(</w:t>
            </w:r>
            <w:r w:rsidRPr="00D53A2B">
              <w:rPr>
                <w:bCs/>
                <w:sz w:val="22"/>
                <w:szCs w:val="22"/>
                <w:vertAlign w:val="superscript"/>
                <w:lang w:eastAsia="en-US"/>
              </w:rPr>
              <w:t>2</w:t>
            </w:r>
            <w:r w:rsidRPr="00D53A2B">
              <w:rPr>
                <w:bCs/>
                <w:sz w:val="22"/>
                <w:szCs w:val="22"/>
                <w:lang w:eastAsia="en-US"/>
              </w:rPr>
              <w:t>)</w:t>
            </w:r>
          </w:p>
        </w:tc>
      </w:tr>
      <w:tr w:rsidR="00374C56" w:rsidRPr="00D53A2B" w14:paraId="4B802CC0" w14:textId="77777777" w:rsidTr="00271877">
        <w:tc>
          <w:tcPr>
            <w:tcW w:w="8784" w:type="dxa"/>
            <w:gridSpan w:val="3"/>
            <w:tcBorders>
              <w:top w:val="single" w:sz="4" w:space="0" w:color="000000"/>
              <w:left w:val="single" w:sz="4" w:space="0" w:color="000000"/>
              <w:bottom w:val="single" w:sz="4" w:space="0" w:color="000000"/>
              <w:right w:val="single" w:sz="4" w:space="0" w:color="000000"/>
            </w:tcBorders>
            <w:vAlign w:val="center"/>
          </w:tcPr>
          <w:p w14:paraId="2978AD7A" w14:textId="714E6F66" w:rsidR="00374C56" w:rsidRPr="00D53A2B" w:rsidRDefault="00374C56" w:rsidP="00A202FD">
            <w:pPr>
              <w:jc w:val="both"/>
              <w:rPr>
                <w:spacing w:val="2"/>
                <w:sz w:val="22"/>
                <w:szCs w:val="22"/>
                <w:lang w:eastAsia="en-US"/>
              </w:rPr>
            </w:pPr>
            <w:r w:rsidRPr="00D53A2B">
              <w:rPr>
                <w:bCs/>
                <w:spacing w:val="2"/>
                <w:sz w:val="22"/>
                <w:szCs w:val="22"/>
                <w:lang w:eastAsia="en-US"/>
              </w:rPr>
              <w:t>(</w:t>
            </w:r>
            <w:r w:rsidRPr="00D53A2B">
              <w:rPr>
                <w:bCs/>
                <w:spacing w:val="2"/>
                <w:sz w:val="22"/>
                <w:szCs w:val="22"/>
                <w:vertAlign w:val="superscript"/>
                <w:lang w:eastAsia="en-US"/>
              </w:rPr>
              <w:t>1</w:t>
            </w:r>
            <w:r w:rsidRPr="00D53A2B">
              <w:rPr>
                <w:bCs/>
                <w:spacing w:val="2"/>
                <w:sz w:val="22"/>
                <w:szCs w:val="22"/>
                <w:lang w:eastAsia="en-US"/>
              </w:rPr>
              <w:t xml:space="preserve">) </w:t>
            </w:r>
            <w:r w:rsidRPr="00D53A2B">
              <w:rPr>
                <w:spacing w:val="2"/>
                <w:sz w:val="22"/>
                <w:szCs w:val="22"/>
                <w:lang w:eastAsia="en-US"/>
              </w:rPr>
              <w:t xml:space="preserve">Günlük ortalama ya da </w:t>
            </w:r>
            <w:r w:rsidR="007847FF">
              <w:rPr>
                <w:rStyle w:val="Gvdemetni3a"/>
              </w:rPr>
              <w:t>numune alma</w:t>
            </w:r>
            <w:r w:rsidRPr="00D53A2B">
              <w:rPr>
                <w:spacing w:val="2"/>
                <w:sz w:val="22"/>
                <w:szCs w:val="22"/>
                <w:lang w:eastAsia="en-US"/>
              </w:rPr>
              <w:t xml:space="preserve"> </w:t>
            </w:r>
            <w:r w:rsidR="003F79A1" w:rsidRPr="00D53A2B">
              <w:rPr>
                <w:spacing w:val="2"/>
                <w:sz w:val="22"/>
                <w:szCs w:val="22"/>
                <w:lang w:eastAsia="en-US"/>
              </w:rPr>
              <w:t>dönemi</w:t>
            </w:r>
            <w:r w:rsidRPr="00D53A2B">
              <w:rPr>
                <w:spacing w:val="2"/>
                <w:sz w:val="22"/>
                <w:szCs w:val="22"/>
                <w:lang w:eastAsia="en-US"/>
              </w:rPr>
              <w:t xml:space="preserve"> boyunca ortalama.</w:t>
            </w:r>
          </w:p>
          <w:p w14:paraId="15A3E475" w14:textId="572B3C6A" w:rsidR="00374C56" w:rsidRPr="00D53A2B" w:rsidRDefault="00374C56" w:rsidP="00A202FD">
            <w:pPr>
              <w:spacing w:line="264" w:lineRule="auto"/>
              <w:ind w:right="57"/>
              <w:jc w:val="both"/>
              <w:rPr>
                <w:sz w:val="22"/>
                <w:szCs w:val="22"/>
                <w:lang w:eastAsia="en-US"/>
              </w:rPr>
            </w:pPr>
            <w:r w:rsidRPr="00D53A2B">
              <w:rPr>
                <w:bCs/>
                <w:sz w:val="22"/>
                <w:szCs w:val="22"/>
                <w:lang w:eastAsia="en-US"/>
              </w:rPr>
              <w:t>(</w:t>
            </w:r>
            <w:r w:rsidRPr="00D53A2B">
              <w:rPr>
                <w:bCs/>
                <w:sz w:val="22"/>
                <w:szCs w:val="22"/>
                <w:vertAlign w:val="superscript"/>
                <w:lang w:eastAsia="en-US"/>
              </w:rPr>
              <w:t>2</w:t>
            </w:r>
            <w:r w:rsidRPr="00D53A2B">
              <w:rPr>
                <w:bCs/>
                <w:sz w:val="22"/>
                <w:szCs w:val="22"/>
                <w:lang w:eastAsia="en-US"/>
              </w:rPr>
              <w:t xml:space="preserve">) </w:t>
            </w:r>
            <w:r w:rsidR="007847FF">
              <w:rPr>
                <w:rStyle w:val="Gvdemetni3a"/>
              </w:rPr>
              <w:t>Numune alma</w:t>
            </w:r>
            <w:r w:rsidR="007847FF" w:rsidRPr="00D53A2B">
              <w:rPr>
                <w:rStyle w:val="Gvdemetni3a"/>
              </w:rPr>
              <w:t xml:space="preserve"> </w:t>
            </w:r>
            <w:r w:rsidR="003F79A1" w:rsidRPr="00D53A2B">
              <w:rPr>
                <w:sz w:val="22"/>
                <w:szCs w:val="22"/>
                <w:lang w:eastAsia="en-US"/>
              </w:rPr>
              <w:t>dönemi</w:t>
            </w:r>
            <w:r w:rsidRPr="00D53A2B">
              <w:rPr>
                <w:sz w:val="22"/>
                <w:szCs w:val="22"/>
                <w:lang w:eastAsia="en-US"/>
              </w:rPr>
              <w:t xml:space="preserve"> boyunca ortalama.</w:t>
            </w:r>
          </w:p>
        </w:tc>
      </w:tr>
    </w:tbl>
    <w:p w14:paraId="0F41B033" w14:textId="77777777" w:rsidR="00374C56" w:rsidRPr="00D53A2B" w:rsidRDefault="00374C56" w:rsidP="00A202FD">
      <w:pPr>
        <w:jc w:val="both"/>
        <w:rPr>
          <w:lang w:eastAsia="en-US"/>
        </w:rPr>
      </w:pPr>
    </w:p>
    <w:p w14:paraId="1386B5D3" w14:textId="207EE623" w:rsidR="003F79A1" w:rsidRPr="00D53A2B" w:rsidRDefault="003F79A1" w:rsidP="00A202FD">
      <w:pPr>
        <w:jc w:val="both"/>
        <w:rPr>
          <w:lang w:eastAsia="en-US"/>
        </w:rPr>
      </w:pPr>
      <w:r w:rsidRPr="00D53A2B">
        <w:rPr>
          <w:lang w:eastAsia="en-US"/>
        </w:rPr>
        <w:t xml:space="preserve">İlgili izleme </w:t>
      </w:r>
      <w:r w:rsidR="00651500" w:rsidRPr="00D53A2B">
        <w:rPr>
          <w:lang w:eastAsia="en-US"/>
        </w:rPr>
        <w:t>MET</w:t>
      </w:r>
      <w:r w:rsidRPr="00D53A2B">
        <w:rPr>
          <w:lang w:eastAsia="en-US"/>
        </w:rPr>
        <w:t>10</w:t>
      </w:r>
      <w:r w:rsidR="00E56504" w:rsidRPr="00D53A2B">
        <w:rPr>
          <w:lang w:eastAsia="en-US"/>
        </w:rPr>
        <w:t>’</w:t>
      </w:r>
      <w:r w:rsidRPr="00D53A2B">
        <w:rPr>
          <w:lang w:eastAsia="en-US"/>
        </w:rPr>
        <w:t>da yer almaktadır.</w:t>
      </w:r>
    </w:p>
    <w:p w14:paraId="3E8E387A" w14:textId="77777777" w:rsidR="004027D1" w:rsidRPr="00D53A2B" w:rsidRDefault="004027D1" w:rsidP="00A202FD">
      <w:pPr>
        <w:jc w:val="both"/>
        <w:rPr>
          <w:lang w:eastAsia="en-US"/>
        </w:rPr>
      </w:pPr>
    </w:p>
    <w:p w14:paraId="3E82F15D" w14:textId="2B11A531" w:rsidR="00374C56" w:rsidRPr="00D53A2B" w:rsidRDefault="004027D1" w:rsidP="00A202FD">
      <w:pPr>
        <w:pStyle w:val="Balk5"/>
        <w:ind w:left="1134" w:hanging="1134"/>
        <w:rPr>
          <w:rFonts w:eastAsia="Arial"/>
          <w:szCs w:val="24"/>
        </w:rPr>
      </w:pPr>
      <w:r w:rsidRPr="00D53A2B">
        <w:rPr>
          <w:szCs w:val="24"/>
        </w:rPr>
        <w:t>1.</w:t>
      </w:r>
      <w:r w:rsidR="00374C56" w:rsidRPr="00D53A2B">
        <w:rPr>
          <w:szCs w:val="24"/>
        </w:rPr>
        <w:t xml:space="preserve">3.2.1.2 </w:t>
      </w:r>
      <w:r w:rsidRPr="00D53A2B">
        <w:rPr>
          <w:szCs w:val="24"/>
        </w:rPr>
        <w:t>Fırınlama tesisinden kaynaklanan toz, sülfür dioksit, PAH ve florür emisyonları</w:t>
      </w:r>
    </w:p>
    <w:p w14:paraId="33867145" w14:textId="77777777" w:rsidR="00583A07" w:rsidRPr="00D53A2B" w:rsidRDefault="00583A07" w:rsidP="00A202FD">
      <w:pPr>
        <w:pStyle w:val="MET"/>
        <w:rPr>
          <w:szCs w:val="24"/>
        </w:rPr>
      </w:pPr>
    </w:p>
    <w:p w14:paraId="4072654F" w14:textId="6C65DA2C" w:rsidR="00374C56" w:rsidRPr="00D53A2B" w:rsidRDefault="00921606" w:rsidP="00A202FD">
      <w:pPr>
        <w:pStyle w:val="MET"/>
        <w:rPr>
          <w:szCs w:val="24"/>
        </w:rPr>
      </w:pPr>
      <w:r w:rsidRPr="00D53A2B">
        <w:rPr>
          <w:szCs w:val="24"/>
        </w:rPr>
        <w:t>MET 60:</w:t>
      </w:r>
      <w:r w:rsidR="00BE56F0" w:rsidRPr="00D53A2B">
        <w:rPr>
          <w:szCs w:val="24"/>
        </w:rPr>
        <w:t xml:space="preserve"> </w:t>
      </w:r>
      <w:r w:rsidR="00BE56F0" w:rsidRPr="00D53A2B">
        <w:rPr>
          <w:b w:val="0"/>
          <w:bCs/>
          <w:szCs w:val="24"/>
        </w:rPr>
        <w:t>Birincil alüminyum izabe tesisi ile entegre bir anot üretim tesisindeki fırınlama tesisinden havaya yayılan toz, sülfür dioksit, PAH ve florür emisyonlarını azaltmak için, aşağıda verilen tekniklerden biri veya bir kombinasyonu kullan</w:t>
      </w:r>
      <w:r w:rsidR="00583A07" w:rsidRPr="00D53A2B">
        <w:rPr>
          <w:b w:val="0"/>
          <w:bCs/>
          <w:szCs w:val="24"/>
        </w:rPr>
        <w:t>ılır</w:t>
      </w:r>
      <w:r w:rsidR="00BE56F0" w:rsidRPr="00D53A2B">
        <w:rPr>
          <w:b w:val="0"/>
          <w:bCs/>
          <w:szCs w:val="24"/>
        </w:rPr>
        <w:t>.</w:t>
      </w:r>
    </w:p>
    <w:p w14:paraId="299210E6" w14:textId="77777777" w:rsidR="00BE56F0" w:rsidRPr="00D53A2B" w:rsidRDefault="00BE56F0" w:rsidP="00A202FD">
      <w:pPr>
        <w:pStyle w:val="MET"/>
        <w:rPr>
          <w:szCs w:val="24"/>
        </w:rPr>
      </w:pPr>
    </w:p>
    <w:tbl>
      <w:tblPr>
        <w:tblW w:w="8784" w:type="dxa"/>
        <w:tblLayout w:type="fixed"/>
        <w:tblCellMar>
          <w:left w:w="0" w:type="dxa"/>
          <w:right w:w="0" w:type="dxa"/>
        </w:tblCellMar>
        <w:tblLook w:val="01E0" w:firstRow="1" w:lastRow="1" w:firstColumn="1" w:lastColumn="1" w:noHBand="0" w:noVBand="0"/>
      </w:tblPr>
      <w:tblGrid>
        <w:gridCol w:w="397"/>
        <w:gridCol w:w="3288"/>
        <w:gridCol w:w="5099"/>
      </w:tblGrid>
      <w:tr w:rsidR="00374C56" w:rsidRPr="00D53A2B" w14:paraId="75AF2B84"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7FA57072" w14:textId="77777777" w:rsidR="00374C56" w:rsidRPr="00D53A2B" w:rsidRDefault="00374C56" w:rsidP="00A202FD">
            <w:pPr>
              <w:spacing w:line="264" w:lineRule="auto"/>
              <w:ind w:left="57" w:right="57"/>
              <w:jc w:val="both"/>
              <w:rPr>
                <w:sz w:val="22"/>
                <w:szCs w:val="22"/>
                <w:lang w:eastAsia="en-US"/>
              </w:rPr>
            </w:pPr>
          </w:p>
        </w:tc>
        <w:tc>
          <w:tcPr>
            <w:tcW w:w="3288" w:type="dxa"/>
            <w:tcBorders>
              <w:top w:val="single" w:sz="4" w:space="0" w:color="000000"/>
              <w:left w:val="single" w:sz="4" w:space="0" w:color="000000"/>
              <w:bottom w:val="single" w:sz="4" w:space="0" w:color="000000"/>
              <w:right w:val="single" w:sz="4" w:space="0" w:color="000000"/>
            </w:tcBorders>
            <w:vAlign w:val="center"/>
          </w:tcPr>
          <w:p w14:paraId="08D7C313"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 (</w:t>
            </w:r>
            <w:r w:rsidRPr="00D53A2B">
              <w:rPr>
                <w:b/>
                <w:bCs/>
                <w:sz w:val="22"/>
                <w:szCs w:val="22"/>
                <w:vertAlign w:val="superscript"/>
                <w:lang w:eastAsia="en-US"/>
              </w:rPr>
              <w:t>1</w:t>
            </w:r>
            <w:r w:rsidRPr="00D53A2B">
              <w:rPr>
                <w:b/>
                <w:bCs/>
                <w:sz w:val="22"/>
                <w:szCs w:val="22"/>
                <w:lang w:eastAsia="en-US"/>
              </w:rPr>
              <w:t>)</w:t>
            </w:r>
          </w:p>
        </w:tc>
        <w:tc>
          <w:tcPr>
            <w:tcW w:w="5099" w:type="dxa"/>
            <w:tcBorders>
              <w:top w:val="single" w:sz="4" w:space="0" w:color="000000"/>
              <w:left w:val="single" w:sz="4" w:space="0" w:color="000000"/>
              <w:bottom w:val="single" w:sz="4" w:space="0" w:color="000000"/>
              <w:right w:val="single" w:sz="4" w:space="0" w:color="000000"/>
            </w:tcBorders>
            <w:vAlign w:val="center"/>
          </w:tcPr>
          <w:p w14:paraId="5863548B"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4A76DC38"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5C254AA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3288" w:type="dxa"/>
            <w:tcBorders>
              <w:top w:val="single" w:sz="4" w:space="0" w:color="000000"/>
              <w:left w:val="single" w:sz="4" w:space="0" w:color="000000"/>
              <w:bottom w:val="single" w:sz="4" w:space="0" w:color="000000"/>
              <w:right w:val="single" w:sz="4" w:space="0" w:color="000000"/>
            </w:tcBorders>
            <w:vAlign w:val="center"/>
          </w:tcPr>
          <w:p w14:paraId="1DAEEC6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Düşük miktarda sülfür içeren hammaddelerin ve yakıtların kullanılması</w:t>
            </w:r>
          </w:p>
        </w:tc>
        <w:tc>
          <w:tcPr>
            <w:tcW w:w="5099" w:type="dxa"/>
            <w:tcBorders>
              <w:top w:val="single" w:sz="4" w:space="0" w:color="000000"/>
              <w:left w:val="single" w:sz="4" w:space="0" w:color="000000"/>
              <w:bottom w:val="single" w:sz="4" w:space="0" w:color="000000"/>
              <w:right w:val="single" w:sz="4" w:space="0" w:color="000000"/>
            </w:tcBorders>
            <w:vAlign w:val="center"/>
          </w:tcPr>
          <w:p w14:paraId="5AB0C4B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SO</w:t>
            </w:r>
            <w:r w:rsidRPr="00D53A2B">
              <w:rPr>
                <w:sz w:val="22"/>
                <w:szCs w:val="22"/>
                <w:vertAlign w:val="subscript"/>
                <w:lang w:eastAsia="en-US"/>
              </w:rPr>
              <w:t>2</w:t>
            </w:r>
            <w:r w:rsidRPr="00D53A2B">
              <w:rPr>
                <w:sz w:val="22"/>
                <w:szCs w:val="22"/>
                <w:lang w:eastAsia="en-US"/>
              </w:rPr>
              <w:t xml:space="preserve"> emisyonlarını azaltmak için genel olarak uygulanabilir</w:t>
            </w:r>
          </w:p>
        </w:tc>
      </w:tr>
      <w:tr w:rsidR="00374C56" w:rsidRPr="00D53A2B" w14:paraId="7FA70D35"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4CEB3E5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3288" w:type="dxa"/>
            <w:tcBorders>
              <w:top w:val="single" w:sz="4" w:space="0" w:color="000000"/>
              <w:left w:val="single" w:sz="4" w:space="0" w:color="000000"/>
              <w:bottom w:val="single" w:sz="4" w:space="0" w:color="000000"/>
              <w:right w:val="single" w:sz="4" w:space="0" w:color="000000"/>
            </w:tcBorders>
            <w:vAlign w:val="center"/>
          </w:tcPr>
          <w:p w14:paraId="77C35BF4" w14:textId="7990A17B" w:rsidR="00374C56" w:rsidRPr="00D53A2B" w:rsidRDefault="00BE56F0" w:rsidP="00A202FD">
            <w:pPr>
              <w:spacing w:line="264" w:lineRule="auto"/>
              <w:ind w:left="57" w:right="57"/>
              <w:jc w:val="both"/>
              <w:rPr>
                <w:sz w:val="22"/>
                <w:szCs w:val="22"/>
                <w:lang w:eastAsia="en-US"/>
              </w:rPr>
            </w:pPr>
            <w:r w:rsidRPr="00D53A2B">
              <w:rPr>
                <w:sz w:val="22"/>
                <w:szCs w:val="22"/>
                <w:lang w:eastAsia="en-US"/>
              </w:rPr>
              <w:t>Adsorban madde olarak alümina kullanan kuru yıkayıcı ve ardından bir torba filtre</w:t>
            </w:r>
          </w:p>
        </w:tc>
        <w:tc>
          <w:tcPr>
            <w:tcW w:w="5099" w:type="dxa"/>
            <w:tcBorders>
              <w:top w:val="single" w:sz="4" w:space="0" w:color="000000"/>
              <w:left w:val="single" w:sz="4" w:space="0" w:color="000000"/>
              <w:bottom w:val="single" w:sz="4" w:space="0" w:color="000000"/>
              <w:right w:val="single" w:sz="4" w:space="0" w:color="000000"/>
            </w:tcBorders>
            <w:vAlign w:val="center"/>
          </w:tcPr>
          <w:p w14:paraId="1CABA35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 PAH ve florür emisyonlarını azaltmak için genel olarak uygulanabilir</w:t>
            </w:r>
          </w:p>
        </w:tc>
      </w:tr>
      <w:tr w:rsidR="00374C56" w:rsidRPr="00D53A2B" w14:paraId="79A6C06D"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46B2B61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3288" w:type="dxa"/>
            <w:tcBorders>
              <w:top w:val="single" w:sz="4" w:space="0" w:color="000000"/>
              <w:left w:val="single" w:sz="4" w:space="0" w:color="000000"/>
              <w:bottom w:val="single" w:sz="4" w:space="0" w:color="000000"/>
              <w:right w:val="single" w:sz="4" w:space="0" w:color="000000"/>
            </w:tcBorders>
            <w:vAlign w:val="center"/>
          </w:tcPr>
          <w:p w14:paraId="50FFA848" w14:textId="23DCD162" w:rsidR="00374C56" w:rsidRPr="00D53A2B" w:rsidRDefault="00BE56F0" w:rsidP="00A202FD">
            <w:pPr>
              <w:spacing w:line="264" w:lineRule="auto"/>
              <w:ind w:left="57" w:right="57"/>
              <w:jc w:val="both"/>
              <w:rPr>
                <w:sz w:val="22"/>
                <w:szCs w:val="22"/>
                <w:lang w:eastAsia="en-US"/>
              </w:rPr>
            </w:pPr>
            <w:r w:rsidRPr="00D53A2B">
              <w:rPr>
                <w:sz w:val="22"/>
                <w:szCs w:val="22"/>
                <w:lang w:eastAsia="en-US"/>
              </w:rPr>
              <w:t>Sulu</w:t>
            </w:r>
            <w:r w:rsidR="00374C56" w:rsidRPr="00D53A2B">
              <w:rPr>
                <w:sz w:val="22"/>
                <w:szCs w:val="22"/>
                <w:lang w:eastAsia="en-US"/>
              </w:rPr>
              <w:t xml:space="preserve"> yıkayıcı</w:t>
            </w:r>
          </w:p>
        </w:tc>
        <w:tc>
          <w:tcPr>
            <w:tcW w:w="5099" w:type="dxa"/>
            <w:tcBorders>
              <w:top w:val="single" w:sz="4" w:space="0" w:color="000000"/>
              <w:left w:val="single" w:sz="4" w:space="0" w:color="000000"/>
              <w:bottom w:val="single" w:sz="4" w:space="0" w:color="000000"/>
              <w:right w:val="single" w:sz="4" w:space="0" w:color="000000"/>
            </w:tcBorders>
            <w:vAlign w:val="center"/>
          </w:tcPr>
          <w:p w14:paraId="7AE7A08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 SO</w:t>
            </w:r>
            <w:r w:rsidRPr="00D53A2B">
              <w:rPr>
                <w:sz w:val="22"/>
                <w:szCs w:val="22"/>
                <w:vertAlign w:val="subscript"/>
                <w:lang w:eastAsia="en-US"/>
              </w:rPr>
              <w:t>2</w:t>
            </w:r>
            <w:r w:rsidRPr="00D53A2B">
              <w:rPr>
                <w:sz w:val="22"/>
                <w:szCs w:val="22"/>
                <w:lang w:eastAsia="en-US"/>
              </w:rPr>
              <w:t>, PAH ve florür emisyonlarının azaltılması için uygulanabilirlik aşağıdaki durumlarda sınırlı olabilir:</w:t>
            </w:r>
          </w:p>
          <w:p w14:paraId="23065B19" w14:textId="74883263"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w:t>
            </w:r>
            <w:r w:rsidR="00BE56F0" w:rsidRPr="00D53A2B">
              <w:rPr>
                <w:sz w:val="22"/>
                <w:szCs w:val="22"/>
                <w:lang w:eastAsia="en-US"/>
              </w:rPr>
              <w:t xml:space="preserve">çok yüksek gaz çıkış debileri (üretilen önemli miktarda atık ve </w:t>
            </w:r>
            <w:r w:rsidR="00651500" w:rsidRPr="00D53A2B">
              <w:rPr>
                <w:sz w:val="22"/>
                <w:szCs w:val="22"/>
                <w:lang w:eastAsia="en-US"/>
              </w:rPr>
              <w:t>atıksu</w:t>
            </w:r>
            <w:r w:rsidR="00BE56F0" w:rsidRPr="00D53A2B">
              <w:rPr>
                <w:sz w:val="22"/>
                <w:szCs w:val="22"/>
                <w:lang w:eastAsia="en-US"/>
              </w:rPr>
              <w:t>nedeniyle).</w:t>
            </w:r>
          </w:p>
          <w:p w14:paraId="45E191E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kurak bölgelerde (gerekli olan büyük miktardaki su ve atıksuyun arıtılması ihtiyacı nedeniyle)</w:t>
            </w:r>
          </w:p>
        </w:tc>
      </w:tr>
      <w:tr w:rsidR="00374C56" w:rsidRPr="00D53A2B" w14:paraId="1DD34DE3"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0D31055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3288" w:type="dxa"/>
            <w:tcBorders>
              <w:top w:val="single" w:sz="4" w:space="0" w:color="000000"/>
              <w:left w:val="single" w:sz="4" w:space="0" w:color="000000"/>
              <w:bottom w:val="single" w:sz="4" w:space="0" w:color="000000"/>
              <w:right w:val="single" w:sz="4" w:space="0" w:color="000000"/>
            </w:tcBorders>
            <w:vAlign w:val="center"/>
          </w:tcPr>
          <w:p w14:paraId="2CA5C7AC" w14:textId="5A0E8E06" w:rsidR="00374C56" w:rsidRPr="00D53A2B" w:rsidRDefault="00BE56F0" w:rsidP="00A202FD">
            <w:pPr>
              <w:spacing w:line="264" w:lineRule="auto"/>
              <w:ind w:left="57" w:right="57"/>
              <w:jc w:val="both"/>
              <w:rPr>
                <w:sz w:val="22"/>
                <w:szCs w:val="22"/>
                <w:lang w:eastAsia="en-US"/>
              </w:rPr>
            </w:pPr>
            <w:r w:rsidRPr="00D53A2B">
              <w:rPr>
                <w:sz w:val="22"/>
                <w:szCs w:val="22"/>
                <w:lang w:eastAsia="en-US"/>
              </w:rPr>
              <w:t>Toz azaltma sistemi ile birlikte rejeneratif termal oksitleyici</w:t>
            </w:r>
          </w:p>
        </w:tc>
        <w:tc>
          <w:tcPr>
            <w:tcW w:w="5099" w:type="dxa"/>
            <w:tcBorders>
              <w:top w:val="single" w:sz="4" w:space="0" w:color="000000"/>
              <w:left w:val="single" w:sz="4" w:space="0" w:color="000000"/>
              <w:bottom w:val="single" w:sz="4" w:space="0" w:color="000000"/>
              <w:right w:val="single" w:sz="4" w:space="0" w:color="000000"/>
            </w:tcBorders>
            <w:vAlign w:val="center"/>
          </w:tcPr>
          <w:p w14:paraId="6EE9E3C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 ve PAH emisyonlarını azaltmak için genel olarak uygulanabilir</w:t>
            </w:r>
          </w:p>
        </w:tc>
      </w:tr>
      <w:tr w:rsidR="00374C56" w:rsidRPr="00D53A2B" w14:paraId="4CE7E79D" w14:textId="77777777" w:rsidTr="00271877">
        <w:tc>
          <w:tcPr>
            <w:tcW w:w="8784" w:type="dxa"/>
            <w:gridSpan w:val="3"/>
            <w:tcBorders>
              <w:top w:val="single" w:sz="4" w:space="0" w:color="000000"/>
              <w:left w:val="single" w:sz="4" w:space="0" w:color="000000"/>
              <w:bottom w:val="single" w:sz="4" w:space="0" w:color="000000"/>
              <w:right w:val="single" w:sz="4" w:space="0" w:color="000000"/>
            </w:tcBorders>
          </w:tcPr>
          <w:p w14:paraId="4E5FD129" w14:textId="68296725" w:rsidR="00374C56" w:rsidRPr="00D53A2B" w:rsidRDefault="00374C56" w:rsidP="00A202FD">
            <w:pPr>
              <w:spacing w:line="264" w:lineRule="auto"/>
              <w:ind w:left="57" w:right="57"/>
              <w:jc w:val="both"/>
              <w:rPr>
                <w:sz w:val="22"/>
                <w:szCs w:val="22"/>
                <w:lang w:eastAsia="en-US"/>
              </w:rPr>
            </w:pPr>
            <w:r w:rsidRPr="00D53A2B">
              <w:rPr>
                <w:b/>
                <w:sz w:val="22"/>
                <w:szCs w:val="22"/>
                <w:lang w:eastAsia="en-US"/>
              </w:rPr>
              <w:t>(</w:t>
            </w:r>
            <w:r w:rsidRPr="00D53A2B">
              <w:rPr>
                <w:b/>
                <w:sz w:val="22"/>
                <w:szCs w:val="22"/>
                <w:vertAlign w:val="superscript"/>
                <w:lang w:eastAsia="en-US"/>
              </w:rPr>
              <w:t>1</w:t>
            </w:r>
            <w:r w:rsidRPr="00D53A2B">
              <w:rPr>
                <w:b/>
                <w:sz w:val="22"/>
                <w:szCs w:val="22"/>
                <w:lang w:eastAsia="en-US"/>
              </w:rPr>
              <w:t>) :</w:t>
            </w:r>
            <w:r w:rsidRPr="00D53A2B">
              <w:rPr>
                <w:sz w:val="22"/>
                <w:szCs w:val="22"/>
                <w:lang w:eastAsia="en-US"/>
              </w:rPr>
              <w:t xml:space="preserve"> Tekniklerin açıklamaları Bölüm 1.10</w:t>
            </w:r>
            <w:r w:rsidR="00E56504" w:rsidRPr="00D53A2B">
              <w:rPr>
                <w:sz w:val="22"/>
                <w:szCs w:val="22"/>
                <w:lang w:eastAsia="en-US"/>
              </w:rPr>
              <w:t>’</w:t>
            </w:r>
            <w:r w:rsidRPr="00D53A2B">
              <w:rPr>
                <w:sz w:val="22"/>
                <w:szCs w:val="22"/>
                <w:lang w:eastAsia="en-US"/>
              </w:rPr>
              <w:t>da verilmiştir.</w:t>
            </w:r>
          </w:p>
        </w:tc>
      </w:tr>
    </w:tbl>
    <w:p w14:paraId="77AD4414" w14:textId="77777777" w:rsidR="00374C56" w:rsidRPr="00D53A2B" w:rsidRDefault="00374C56" w:rsidP="00A202FD">
      <w:pPr>
        <w:jc w:val="both"/>
        <w:rPr>
          <w:lang w:eastAsia="en-US"/>
        </w:rPr>
      </w:pPr>
    </w:p>
    <w:p w14:paraId="4D19AF7F"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8.</w:t>
      </w:r>
    </w:p>
    <w:p w14:paraId="69F7CD3E" w14:textId="77777777" w:rsidR="001023C7" w:rsidRPr="00D53A2B" w:rsidRDefault="00374C56" w:rsidP="00A202FD">
      <w:pPr>
        <w:jc w:val="both"/>
        <w:rPr>
          <w:lang w:eastAsia="en-US"/>
        </w:rPr>
      </w:pPr>
      <w:bookmarkStart w:id="74" w:name="_Toc531927949"/>
      <w:r w:rsidRPr="00D53A2B">
        <w:rPr>
          <w:lang w:eastAsia="en-US"/>
        </w:rPr>
        <w:t xml:space="preserve">Tablo </w:t>
      </w:r>
      <w:r w:rsidRPr="00D53A2B">
        <w:rPr>
          <w:noProof/>
          <w:lang w:eastAsia="en-US"/>
        </w:rPr>
        <w:t>8</w:t>
      </w:r>
      <w:bookmarkEnd w:id="74"/>
    </w:p>
    <w:p w14:paraId="6D6E7B44" w14:textId="2EAE2615" w:rsidR="00374C56" w:rsidRPr="00D53A2B" w:rsidRDefault="00BE56F0" w:rsidP="00A202FD">
      <w:pPr>
        <w:jc w:val="both"/>
        <w:rPr>
          <w:lang w:eastAsia="en-US"/>
        </w:rPr>
      </w:pPr>
      <w:r w:rsidRPr="00D53A2B">
        <w:rPr>
          <w:lang w:eastAsia="en-US"/>
        </w:rPr>
        <w:t xml:space="preserve">Birincil alüminyum izabe tesisi ile entegre bir anot üretim tesisindeki fırınlama tesisinden havaya yayılan toz, BaP (PAH göstergesi olarak) ve florür emisyonları için </w:t>
      </w:r>
      <w:r w:rsidR="00651500" w:rsidRPr="00D53A2B">
        <w:rPr>
          <w:lang w:eastAsia="en-US"/>
        </w:rPr>
        <w:t>MET</w:t>
      </w:r>
      <w:r w:rsidRPr="00D53A2B">
        <w:rPr>
          <w:lang w:eastAsia="en-US"/>
        </w:rPr>
        <w:t>ile ilişkili emisyon seviyeleri</w:t>
      </w:r>
    </w:p>
    <w:tbl>
      <w:tblPr>
        <w:tblW w:w="8784" w:type="dxa"/>
        <w:tblLayout w:type="fixed"/>
        <w:tblCellMar>
          <w:left w:w="0" w:type="dxa"/>
          <w:right w:w="0" w:type="dxa"/>
        </w:tblCellMar>
        <w:tblLook w:val="01E0" w:firstRow="1" w:lastRow="1" w:firstColumn="1" w:lastColumn="1" w:noHBand="0" w:noVBand="0"/>
      </w:tblPr>
      <w:tblGrid>
        <w:gridCol w:w="2098"/>
        <w:gridCol w:w="6686"/>
      </w:tblGrid>
      <w:tr w:rsidR="00374C56" w:rsidRPr="00D53A2B" w14:paraId="7BD6E541"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427BE1A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Parametre</w:t>
            </w:r>
          </w:p>
        </w:tc>
        <w:tc>
          <w:tcPr>
            <w:tcW w:w="6686" w:type="dxa"/>
            <w:tcBorders>
              <w:top w:val="single" w:sz="4" w:space="0" w:color="000000"/>
              <w:left w:val="single" w:sz="4" w:space="0" w:color="000000"/>
              <w:bottom w:val="single" w:sz="4" w:space="0" w:color="000000"/>
              <w:right w:val="single" w:sz="4" w:space="0" w:color="000000"/>
            </w:tcBorders>
            <w:vAlign w:val="center"/>
          </w:tcPr>
          <w:p w14:paraId="258BB62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MET-İES (mg/Nm</w:t>
            </w:r>
            <w:r w:rsidRPr="00D53A2B">
              <w:rPr>
                <w:sz w:val="22"/>
                <w:szCs w:val="22"/>
                <w:vertAlign w:val="superscript"/>
                <w:lang w:eastAsia="en-US"/>
              </w:rPr>
              <w:t>3</w:t>
            </w:r>
            <w:r w:rsidRPr="00D53A2B">
              <w:rPr>
                <w:sz w:val="22"/>
                <w:szCs w:val="22"/>
                <w:lang w:eastAsia="en-US"/>
              </w:rPr>
              <w:t>)</w:t>
            </w:r>
          </w:p>
        </w:tc>
      </w:tr>
      <w:tr w:rsidR="00374C56" w:rsidRPr="00D53A2B" w14:paraId="089D3052"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7E25E39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6686" w:type="dxa"/>
            <w:tcBorders>
              <w:top w:val="single" w:sz="4" w:space="0" w:color="000000"/>
              <w:left w:val="single" w:sz="4" w:space="0" w:color="000000"/>
              <w:bottom w:val="single" w:sz="4" w:space="0" w:color="000000"/>
              <w:right w:val="single" w:sz="4" w:space="0" w:color="000000"/>
            </w:tcBorders>
          </w:tcPr>
          <w:p w14:paraId="0E986D1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 (</w:t>
            </w:r>
            <w:r w:rsidRPr="00D53A2B">
              <w:rPr>
                <w:sz w:val="22"/>
                <w:szCs w:val="22"/>
                <w:vertAlign w:val="superscript"/>
                <w:lang w:eastAsia="en-US"/>
              </w:rPr>
              <w:t>1</w:t>
            </w:r>
            <w:r w:rsidRPr="00D53A2B">
              <w:rPr>
                <w:sz w:val="22"/>
                <w:szCs w:val="22"/>
                <w:lang w:eastAsia="en-US"/>
              </w:rPr>
              <w:t>)</w:t>
            </w:r>
          </w:p>
        </w:tc>
      </w:tr>
      <w:tr w:rsidR="00374C56" w:rsidRPr="00D53A2B" w14:paraId="02EB7C1A"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1153790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BaP</w:t>
            </w:r>
          </w:p>
        </w:tc>
        <w:tc>
          <w:tcPr>
            <w:tcW w:w="6686" w:type="dxa"/>
            <w:tcBorders>
              <w:top w:val="single" w:sz="4" w:space="0" w:color="000000"/>
              <w:left w:val="single" w:sz="4" w:space="0" w:color="000000"/>
              <w:bottom w:val="single" w:sz="4" w:space="0" w:color="000000"/>
              <w:right w:val="single" w:sz="4" w:space="0" w:color="000000"/>
            </w:tcBorders>
          </w:tcPr>
          <w:p w14:paraId="4A56E71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0,001–0,01 (</w:t>
            </w:r>
            <w:r w:rsidRPr="00D53A2B">
              <w:rPr>
                <w:sz w:val="22"/>
                <w:szCs w:val="22"/>
                <w:vertAlign w:val="superscript"/>
                <w:lang w:eastAsia="en-US"/>
              </w:rPr>
              <w:t>2</w:t>
            </w:r>
            <w:r w:rsidRPr="00D53A2B">
              <w:rPr>
                <w:sz w:val="22"/>
                <w:szCs w:val="22"/>
                <w:lang w:eastAsia="en-US"/>
              </w:rPr>
              <w:t>)</w:t>
            </w:r>
          </w:p>
        </w:tc>
      </w:tr>
      <w:tr w:rsidR="00374C56" w:rsidRPr="00D53A2B" w14:paraId="1AC52C46"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1F04ADC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HF</w:t>
            </w:r>
          </w:p>
        </w:tc>
        <w:tc>
          <w:tcPr>
            <w:tcW w:w="6686" w:type="dxa"/>
            <w:tcBorders>
              <w:top w:val="single" w:sz="4" w:space="0" w:color="000000"/>
              <w:left w:val="single" w:sz="4" w:space="0" w:color="000000"/>
              <w:bottom w:val="single" w:sz="4" w:space="0" w:color="000000"/>
              <w:right w:val="single" w:sz="4" w:space="0" w:color="000000"/>
            </w:tcBorders>
          </w:tcPr>
          <w:p w14:paraId="118AF42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0,3–0,5 (</w:t>
            </w:r>
            <w:r w:rsidRPr="00D53A2B">
              <w:rPr>
                <w:sz w:val="22"/>
                <w:szCs w:val="22"/>
                <w:vertAlign w:val="superscript"/>
                <w:lang w:eastAsia="en-US"/>
              </w:rPr>
              <w:t>1</w:t>
            </w:r>
            <w:r w:rsidRPr="00D53A2B">
              <w:rPr>
                <w:sz w:val="22"/>
                <w:szCs w:val="22"/>
                <w:lang w:eastAsia="en-US"/>
              </w:rPr>
              <w:t>)</w:t>
            </w:r>
          </w:p>
        </w:tc>
      </w:tr>
      <w:tr w:rsidR="00374C56" w:rsidRPr="00D53A2B" w14:paraId="55D4F8B3"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1940447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Toplam Florürler</w:t>
            </w:r>
          </w:p>
        </w:tc>
        <w:tc>
          <w:tcPr>
            <w:tcW w:w="6686" w:type="dxa"/>
            <w:tcBorders>
              <w:top w:val="single" w:sz="4" w:space="0" w:color="000000"/>
              <w:left w:val="single" w:sz="4" w:space="0" w:color="000000"/>
              <w:bottom w:val="single" w:sz="4" w:space="0" w:color="000000"/>
              <w:right w:val="single" w:sz="4" w:space="0" w:color="000000"/>
            </w:tcBorders>
          </w:tcPr>
          <w:p w14:paraId="518E295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0,8 (</w:t>
            </w:r>
            <w:r w:rsidRPr="00D53A2B">
              <w:rPr>
                <w:sz w:val="22"/>
                <w:szCs w:val="22"/>
                <w:vertAlign w:val="superscript"/>
                <w:lang w:eastAsia="en-US"/>
              </w:rPr>
              <w:t>2</w:t>
            </w:r>
            <w:r w:rsidRPr="00D53A2B">
              <w:rPr>
                <w:sz w:val="22"/>
                <w:szCs w:val="22"/>
                <w:lang w:eastAsia="en-US"/>
              </w:rPr>
              <w:t>)</w:t>
            </w:r>
          </w:p>
        </w:tc>
      </w:tr>
      <w:tr w:rsidR="00374C56" w:rsidRPr="00D53A2B" w14:paraId="19DDF869"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6655BBCC" w14:textId="31005AC7" w:rsidR="00374C56" w:rsidRPr="009077F5" w:rsidRDefault="00374C56" w:rsidP="00A202FD">
            <w:pPr>
              <w:jc w:val="both"/>
              <w:rPr>
                <w:spacing w:val="2"/>
                <w:sz w:val="20"/>
                <w:szCs w:val="20"/>
                <w:lang w:eastAsia="en-US"/>
              </w:rPr>
            </w:pPr>
            <w:r w:rsidRPr="009077F5">
              <w:rPr>
                <w:spacing w:val="2"/>
                <w:sz w:val="20"/>
                <w:szCs w:val="20"/>
                <w:lang w:eastAsia="en-US"/>
              </w:rPr>
              <w:t>(</w:t>
            </w:r>
            <w:r w:rsidRPr="009077F5">
              <w:rPr>
                <w:spacing w:val="2"/>
                <w:sz w:val="20"/>
                <w:szCs w:val="20"/>
                <w:vertAlign w:val="superscript"/>
                <w:lang w:eastAsia="en-US"/>
              </w:rPr>
              <w:t>1</w:t>
            </w:r>
            <w:r w:rsidRPr="009077F5">
              <w:rPr>
                <w:spacing w:val="2"/>
                <w:sz w:val="20"/>
                <w:szCs w:val="20"/>
                <w:lang w:eastAsia="en-US"/>
              </w:rPr>
              <w:t xml:space="preserve">) Günlük ortalama ya da </w:t>
            </w:r>
            <w:r w:rsidR="007847FF" w:rsidRPr="009077F5">
              <w:rPr>
                <w:rStyle w:val="Gvdemetni3a"/>
                <w:sz w:val="20"/>
                <w:szCs w:val="20"/>
              </w:rPr>
              <w:t xml:space="preserve">numune alma </w:t>
            </w:r>
            <w:r w:rsidR="00BE56F0" w:rsidRPr="009077F5">
              <w:rPr>
                <w:spacing w:val="2"/>
                <w:sz w:val="20"/>
                <w:szCs w:val="20"/>
                <w:lang w:eastAsia="en-US"/>
              </w:rPr>
              <w:t>dönemi</w:t>
            </w:r>
            <w:r w:rsidRPr="009077F5">
              <w:rPr>
                <w:spacing w:val="2"/>
                <w:sz w:val="20"/>
                <w:szCs w:val="20"/>
                <w:lang w:eastAsia="en-US"/>
              </w:rPr>
              <w:t xml:space="preserve"> boyunca ortalama.</w:t>
            </w:r>
          </w:p>
          <w:p w14:paraId="021279F9" w14:textId="0988BD03" w:rsidR="00374C56" w:rsidRPr="00D53A2B" w:rsidRDefault="00374C56" w:rsidP="00A202FD">
            <w:pPr>
              <w:spacing w:line="264" w:lineRule="auto"/>
              <w:ind w:right="57"/>
              <w:jc w:val="both"/>
              <w:rPr>
                <w:sz w:val="22"/>
                <w:szCs w:val="22"/>
                <w:lang w:eastAsia="en-US"/>
              </w:rPr>
            </w:pPr>
            <w:r w:rsidRPr="009077F5">
              <w:rPr>
                <w:sz w:val="20"/>
                <w:szCs w:val="20"/>
                <w:lang w:eastAsia="en-US"/>
              </w:rPr>
              <w:t>(</w:t>
            </w:r>
            <w:r w:rsidRPr="009077F5">
              <w:rPr>
                <w:sz w:val="20"/>
                <w:szCs w:val="20"/>
                <w:vertAlign w:val="superscript"/>
                <w:lang w:eastAsia="en-US"/>
              </w:rPr>
              <w:t>2</w:t>
            </w:r>
            <w:r w:rsidRPr="009077F5">
              <w:rPr>
                <w:sz w:val="20"/>
                <w:szCs w:val="20"/>
                <w:lang w:eastAsia="en-US"/>
              </w:rPr>
              <w:t xml:space="preserve">) </w:t>
            </w:r>
            <w:r w:rsidR="007847FF" w:rsidRPr="009077F5">
              <w:rPr>
                <w:rStyle w:val="Gvdemetni3a"/>
                <w:sz w:val="20"/>
                <w:szCs w:val="20"/>
              </w:rPr>
              <w:t>numune alma</w:t>
            </w:r>
            <w:r w:rsidRPr="009077F5">
              <w:rPr>
                <w:sz w:val="20"/>
                <w:szCs w:val="20"/>
                <w:lang w:eastAsia="en-US"/>
              </w:rPr>
              <w:t xml:space="preserve"> </w:t>
            </w:r>
            <w:r w:rsidR="00BE56F0" w:rsidRPr="009077F5">
              <w:rPr>
                <w:sz w:val="20"/>
                <w:szCs w:val="20"/>
                <w:lang w:eastAsia="en-US"/>
              </w:rPr>
              <w:t>dönemi</w:t>
            </w:r>
            <w:r w:rsidRPr="009077F5">
              <w:rPr>
                <w:sz w:val="20"/>
                <w:szCs w:val="20"/>
                <w:lang w:eastAsia="en-US"/>
              </w:rPr>
              <w:t xml:space="preserve"> boyunca ortalama.</w:t>
            </w:r>
          </w:p>
        </w:tc>
      </w:tr>
    </w:tbl>
    <w:p w14:paraId="738F9B67" w14:textId="77777777" w:rsidR="00374C56" w:rsidRPr="00D53A2B" w:rsidRDefault="00374C56" w:rsidP="00A202FD">
      <w:pPr>
        <w:jc w:val="both"/>
        <w:rPr>
          <w:lang w:eastAsia="en-US"/>
        </w:rPr>
      </w:pPr>
    </w:p>
    <w:p w14:paraId="6749A54B" w14:textId="5EA1A835" w:rsidR="00374C56" w:rsidRPr="00D53A2B" w:rsidRDefault="00374C56" w:rsidP="00A202FD">
      <w:pPr>
        <w:spacing w:after="240" w:line="360" w:lineRule="auto"/>
        <w:jc w:val="both"/>
        <w:rPr>
          <w:lang w:eastAsia="en-US"/>
        </w:rPr>
      </w:pPr>
      <w:r w:rsidRPr="00D53A2B">
        <w:rPr>
          <w:lang w:eastAsia="en-US"/>
        </w:rPr>
        <w:t>İzleme ile ilgili bilgiler MET 10</w:t>
      </w:r>
      <w:r w:rsidR="00E56504" w:rsidRPr="00D53A2B">
        <w:rPr>
          <w:lang w:eastAsia="en-US"/>
        </w:rPr>
        <w:t>’</w:t>
      </w:r>
      <w:r w:rsidRPr="00D53A2B">
        <w:rPr>
          <w:lang w:eastAsia="en-US"/>
        </w:rPr>
        <w:t>dadır.</w:t>
      </w:r>
    </w:p>
    <w:p w14:paraId="0F571739" w14:textId="23A5B516" w:rsidR="00374C56" w:rsidRPr="00D53A2B" w:rsidRDefault="00921606" w:rsidP="00A202FD">
      <w:pPr>
        <w:pStyle w:val="MET"/>
        <w:rPr>
          <w:b w:val="0"/>
          <w:bCs/>
          <w:szCs w:val="24"/>
        </w:rPr>
      </w:pPr>
      <w:r w:rsidRPr="00D53A2B">
        <w:rPr>
          <w:szCs w:val="24"/>
        </w:rPr>
        <w:t>MET 61:</w:t>
      </w:r>
      <w:r w:rsidR="00DF5BE2" w:rsidRPr="00D53A2B">
        <w:rPr>
          <w:szCs w:val="24"/>
        </w:rPr>
        <w:t xml:space="preserve"> </w:t>
      </w:r>
      <w:r w:rsidR="00BE56F0" w:rsidRPr="00D53A2B">
        <w:rPr>
          <w:b w:val="0"/>
          <w:bCs/>
          <w:szCs w:val="24"/>
        </w:rPr>
        <w:t>Bağımsız bir anot üretim tesisinde bir fırınlama tesisinden havaya toz, PAH ve florür emisyonlarını azaltmak için, bir ön filtreleme ünitesi ve rejeneratif bir termal oksitleyici ve ardından bir kuru yıkayıcı (örn. kireç yatağı) kullan</w:t>
      </w:r>
      <w:r w:rsidR="00DF5BE2" w:rsidRPr="00D53A2B">
        <w:rPr>
          <w:b w:val="0"/>
          <w:bCs/>
          <w:szCs w:val="24"/>
        </w:rPr>
        <w:t>ılır</w:t>
      </w:r>
      <w:r w:rsidR="00BE56F0" w:rsidRPr="00D53A2B">
        <w:rPr>
          <w:b w:val="0"/>
          <w:bCs/>
          <w:szCs w:val="24"/>
        </w:rPr>
        <w:t>.</w:t>
      </w:r>
    </w:p>
    <w:p w14:paraId="1B22AB8B"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9.</w:t>
      </w:r>
    </w:p>
    <w:p w14:paraId="6E6BCF8F" w14:textId="77777777" w:rsidR="001023C7" w:rsidRPr="00D53A2B" w:rsidRDefault="00374C56" w:rsidP="00A202FD">
      <w:pPr>
        <w:jc w:val="both"/>
        <w:rPr>
          <w:lang w:eastAsia="en-US"/>
        </w:rPr>
      </w:pPr>
      <w:bookmarkStart w:id="75" w:name="_Toc531927950"/>
      <w:r w:rsidRPr="00D53A2B">
        <w:rPr>
          <w:lang w:eastAsia="en-US"/>
        </w:rPr>
        <w:t xml:space="preserve">Tablo </w:t>
      </w:r>
      <w:r w:rsidRPr="00D53A2B">
        <w:rPr>
          <w:noProof/>
          <w:lang w:eastAsia="en-US"/>
        </w:rPr>
        <w:t>9</w:t>
      </w:r>
      <w:bookmarkEnd w:id="75"/>
    </w:p>
    <w:p w14:paraId="1C1BB210" w14:textId="708D0E55" w:rsidR="00374C56" w:rsidRPr="00D53A2B" w:rsidRDefault="00BE56F0" w:rsidP="00A202FD">
      <w:pPr>
        <w:jc w:val="both"/>
        <w:rPr>
          <w:lang w:eastAsia="en-US"/>
        </w:rPr>
      </w:pPr>
      <w:r w:rsidRPr="00D53A2B">
        <w:rPr>
          <w:lang w:eastAsia="en-US"/>
        </w:rPr>
        <w:t>Bağımsız bir anot üretim tesisindeki fırınlama tesisinden havaya salınan toz, BaP (PAH</w:t>
      </w:r>
      <w:r w:rsidR="00DF5BE2" w:rsidRPr="00D53A2B">
        <w:rPr>
          <w:lang w:eastAsia="en-US"/>
        </w:rPr>
        <w:t xml:space="preserve"> </w:t>
      </w:r>
      <w:r w:rsidRPr="00D53A2B">
        <w:rPr>
          <w:lang w:eastAsia="en-US"/>
        </w:rPr>
        <w:t xml:space="preserve">göstergesi olarak) ve florür emisyonları için </w:t>
      </w:r>
      <w:r w:rsidR="00DF5BE2" w:rsidRPr="00D53A2B">
        <w:rPr>
          <w:lang w:eastAsia="en-US"/>
        </w:rPr>
        <w:t>MET</w:t>
      </w:r>
      <w:r w:rsidRPr="00D53A2B">
        <w:rPr>
          <w:lang w:eastAsia="en-US"/>
        </w:rPr>
        <w:t>ile ilişkili emisyon seviyeleri</w:t>
      </w:r>
    </w:p>
    <w:tbl>
      <w:tblPr>
        <w:tblW w:w="8784" w:type="dxa"/>
        <w:tblLayout w:type="fixed"/>
        <w:tblCellMar>
          <w:left w:w="0" w:type="dxa"/>
          <w:right w:w="0" w:type="dxa"/>
        </w:tblCellMar>
        <w:tblLook w:val="01E0" w:firstRow="1" w:lastRow="1" w:firstColumn="1" w:lastColumn="1" w:noHBand="0" w:noVBand="0"/>
      </w:tblPr>
      <w:tblGrid>
        <w:gridCol w:w="2098"/>
        <w:gridCol w:w="6686"/>
      </w:tblGrid>
      <w:tr w:rsidR="00374C56" w:rsidRPr="00D53A2B" w14:paraId="3083648D"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6D8ADCF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686" w:type="dxa"/>
            <w:tcBorders>
              <w:top w:val="single" w:sz="4" w:space="0" w:color="000000"/>
              <w:left w:val="single" w:sz="4" w:space="0" w:color="000000"/>
              <w:bottom w:val="single" w:sz="4" w:space="0" w:color="000000"/>
              <w:right w:val="single" w:sz="4" w:space="0" w:color="000000"/>
            </w:tcBorders>
            <w:vAlign w:val="center"/>
          </w:tcPr>
          <w:p w14:paraId="034CB333"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w:t>
            </w:r>
          </w:p>
        </w:tc>
      </w:tr>
      <w:tr w:rsidR="00374C56" w:rsidRPr="00D53A2B" w14:paraId="3C4B85EC"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3BB5317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6686" w:type="dxa"/>
            <w:tcBorders>
              <w:top w:val="single" w:sz="4" w:space="0" w:color="000000"/>
              <w:left w:val="single" w:sz="4" w:space="0" w:color="000000"/>
              <w:bottom w:val="single" w:sz="4" w:space="0" w:color="000000"/>
              <w:right w:val="single" w:sz="4" w:space="0" w:color="000000"/>
            </w:tcBorders>
          </w:tcPr>
          <w:p w14:paraId="3137949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2–5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543EF10E"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385D834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BaP</w:t>
            </w:r>
          </w:p>
        </w:tc>
        <w:tc>
          <w:tcPr>
            <w:tcW w:w="6686" w:type="dxa"/>
            <w:tcBorders>
              <w:top w:val="single" w:sz="4" w:space="0" w:color="000000"/>
              <w:left w:val="single" w:sz="4" w:space="0" w:color="000000"/>
              <w:bottom w:val="single" w:sz="4" w:space="0" w:color="000000"/>
              <w:right w:val="single" w:sz="4" w:space="0" w:color="000000"/>
            </w:tcBorders>
          </w:tcPr>
          <w:p w14:paraId="76812A4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0,001–0,01 </w:t>
            </w:r>
            <w:r w:rsidRPr="00D53A2B">
              <w:rPr>
                <w:b/>
                <w:sz w:val="22"/>
                <w:szCs w:val="22"/>
                <w:lang w:eastAsia="en-US"/>
              </w:rPr>
              <w:t>(</w:t>
            </w:r>
            <w:r w:rsidRPr="00D53A2B">
              <w:rPr>
                <w:b/>
                <w:sz w:val="22"/>
                <w:szCs w:val="22"/>
                <w:vertAlign w:val="superscript"/>
                <w:lang w:eastAsia="en-US"/>
              </w:rPr>
              <w:t>2</w:t>
            </w:r>
            <w:r w:rsidRPr="00D53A2B">
              <w:rPr>
                <w:b/>
                <w:sz w:val="22"/>
                <w:szCs w:val="22"/>
                <w:lang w:eastAsia="en-US"/>
              </w:rPr>
              <w:t>)</w:t>
            </w:r>
          </w:p>
        </w:tc>
      </w:tr>
      <w:tr w:rsidR="00374C56" w:rsidRPr="00D53A2B" w14:paraId="2B599E85"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0DB2803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HF</w:t>
            </w:r>
          </w:p>
        </w:tc>
        <w:tc>
          <w:tcPr>
            <w:tcW w:w="6686" w:type="dxa"/>
            <w:tcBorders>
              <w:top w:val="single" w:sz="4" w:space="0" w:color="000000"/>
              <w:left w:val="single" w:sz="4" w:space="0" w:color="000000"/>
              <w:bottom w:val="single" w:sz="4" w:space="0" w:color="000000"/>
              <w:right w:val="single" w:sz="4" w:space="0" w:color="000000"/>
            </w:tcBorders>
          </w:tcPr>
          <w:p w14:paraId="13EDF84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3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633D7B0A"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3B300DE8" w14:textId="77777777" w:rsidR="00DF5BE2" w:rsidRPr="009077F5" w:rsidRDefault="00DF5BE2" w:rsidP="00A202FD">
            <w:pPr>
              <w:jc w:val="both"/>
              <w:rPr>
                <w:spacing w:val="2"/>
                <w:sz w:val="20"/>
                <w:szCs w:val="20"/>
                <w:lang w:eastAsia="en-US"/>
              </w:rPr>
            </w:pPr>
            <w:r w:rsidRPr="009077F5">
              <w:rPr>
                <w:spacing w:val="2"/>
                <w:sz w:val="20"/>
                <w:szCs w:val="20"/>
                <w:lang w:eastAsia="en-US"/>
              </w:rPr>
              <w:t>(</w:t>
            </w:r>
            <w:r w:rsidRPr="009077F5">
              <w:rPr>
                <w:spacing w:val="2"/>
                <w:sz w:val="20"/>
                <w:szCs w:val="20"/>
                <w:vertAlign w:val="superscript"/>
                <w:lang w:eastAsia="en-US"/>
              </w:rPr>
              <w:t>1</w:t>
            </w:r>
            <w:r w:rsidRPr="009077F5">
              <w:rPr>
                <w:spacing w:val="2"/>
                <w:sz w:val="20"/>
                <w:szCs w:val="20"/>
                <w:lang w:eastAsia="en-US"/>
              </w:rPr>
              <w:t>) Günlük ortalama.</w:t>
            </w:r>
          </w:p>
          <w:p w14:paraId="672A77A9" w14:textId="4E94C3AE" w:rsidR="00374C56" w:rsidRPr="00D53A2B" w:rsidRDefault="00DF5BE2" w:rsidP="00A202FD">
            <w:pPr>
              <w:jc w:val="both"/>
              <w:rPr>
                <w:spacing w:val="2"/>
                <w:sz w:val="22"/>
                <w:szCs w:val="22"/>
                <w:lang w:eastAsia="en-US"/>
              </w:rPr>
            </w:pPr>
            <w:r w:rsidRPr="009077F5">
              <w:rPr>
                <w:sz w:val="20"/>
                <w:szCs w:val="20"/>
                <w:lang w:eastAsia="en-US"/>
              </w:rPr>
              <w:t>(</w:t>
            </w:r>
            <w:r w:rsidRPr="009077F5">
              <w:rPr>
                <w:sz w:val="20"/>
                <w:szCs w:val="20"/>
                <w:vertAlign w:val="superscript"/>
                <w:lang w:eastAsia="en-US"/>
              </w:rPr>
              <w:t>2</w:t>
            </w:r>
            <w:r w:rsidRPr="009077F5">
              <w:rPr>
                <w:sz w:val="20"/>
                <w:szCs w:val="20"/>
                <w:lang w:eastAsia="en-US"/>
              </w:rPr>
              <w:t xml:space="preserve">) </w:t>
            </w:r>
            <w:r w:rsidR="007847FF" w:rsidRPr="009077F5">
              <w:rPr>
                <w:rStyle w:val="Gvdemetni3a"/>
                <w:sz w:val="20"/>
                <w:szCs w:val="20"/>
              </w:rPr>
              <w:t>Numune alma</w:t>
            </w:r>
            <w:r w:rsidRPr="009077F5">
              <w:rPr>
                <w:sz w:val="20"/>
                <w:szCs w:val="20"/>
                <w:lang w:eastAsia="en-US"/>
              </w:rPr>
              <w:t xml:space="preserve"> dönemi boyunca ortalama.</w:t>
            </w:r>
          </w:p>
        </w:tc>
      </w:tr>
    </w:tbl>
    <w:p w14:paraId="48A61702" w14:textId="77777777" w:rsidR="00374C56" w:rsidRPr="00D53A2B" w:rsidRDefault="00374C56" w:rsidP="00A202FD">
      <w:pPr>
        <w:jc w:val="both"/>
        <w:rPr>
          <w:lang w:eastAsia="en-US"/>
        </w:rPr>
      </w:pPr>
    </w:p>
    <w:p w14:paraId="3C018236" w14:textId="059852B0" w:rsidR="00BE56F0" w:rsidRPr="00D53A2B" w:rsidRDefault="00BE56F0" w:rsidP="00A202FD">
      <w:pPr>
        <w:jc w:val="both"/>
        <w:rPr>
          <w:lang w:eastAsia="en-US"/>
        </w:rPr>
      </w:pPr>
      <w:r w:rsidRPr="00D53A2B">
        <w:rPr>
          <w:lang w:eastAsia="en-US"/>
        </w:rPr>
        <w:t xml:space="preserve">İlgili izleme </w:t>
      </w:r>
      <w:r w:rsidR="00DF5BE2" w:rsidRPr="00D53A2B">
        <w:rPr>
          <w:lang w:eastAsia="en-US"/>
        </w:rPr>
        <w:t>MET</w:t>
      </w:r>
      <w:r w:rsidRPr="00D53A2B">
        <w:rPr>
          <w:lang w:eastAsia="en-US"/>
        </w:rPr>
        <w:t xml:space="preserve"> 10</w:t>
      </w:r>
      <w:r w:rsidR="00E56504" w:rsidRPr="00D53A2B">
        <w:rPr>
          <w:lang w:eastAsia="en-US"/>
        </w:rPr>
        <w:t>’</w:t>
      </w:r>
      <w:r w:rsidRPr="00D53A2B">
        <w:rPr>
          <w:lang w:eastAsia="en-US"/>
        </w:rPr>
        <w:t>da yer almaktadır.</w:t>
      </w:r>
    </w:p>
    <w:p w14:paraId="0584CFCE" w14:textId="77777777" w:rsidR="00BE56F0" w:rsidRPr="00D53A2B" w:rsidRDefault="00BE56F0" w:rsidP="00A202FD">
      <w:pPr>
        <w:jc w:val="both"/>
        <w:rPr>
          <w:lang w:eastAsia="en-US"/>
        </w:rPr>
      </w:pPr>
    </w:p>
    <w:p w14:paraId="3515C7AB" w14:textId="169F743B" w:rsidR="00374C56" w:rsidRPr="00D53A2B" w:rsidRDefault="00BE56F0"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3.2.2.</w:t>
      </w:r>
      <w:r w:rsidRPr="00D53A2B">
        <w:rPr>
          <w:rFonts w:cs="Times New Roman"/>
          <w:lang w:eastAsia="en-US"/>
        </w:rPr>
        <w:t xml:space="preserve"> </w:t>
      </w:r>
      <w:r w:rsidR="00374C56" w:rsidRPr="00D53A2B">
        <w:rPr>
          <w:rFonts w:cs="Times New Roman"/>
          <w:lang w:eastAsia="en-US"/>
        </w:rPr>
        <w:t>Atıksu Üretimi</w:t>
      </w:r>
    </w:p>
    <w:p w14:paraId="1F99B54D" w14:textId="6FA7E51F" w:rsidR="00374C56" w:rsidRPr="00D53A2B" w:rsidRDefault="00921606" w:rsidP="00A202FD">
      <w:pPr>
        <w:pStyle w:val="MET"/>
        <w:rPr>
          <w:szCs w:val="24"/>
        </w:rPr>
      </w:pPr>
      <w:r w:rsidRPr="00D53A2B">
        <w:rPr>
          <w:szCs w:val="24"/>
        </w:rPr>
        <w:t>MET 62:</w:t>
      </w:r>
      <w:r w:rsidR="00BE56F0" w:rsidRPr="00D53A2B">
        <w:rPr>
          <w:szCs w:val="24"/>
        </w:rPr>
        <w:t xml:space="preserve"> </w:t>
      </w:r>
      <w:r w:rsidR="00BE56F0" w:rsidRPr="00D53A2B">
        <w:rPr>
          <w:b w:val="0"/>
          <w:bCs/>
          <w:szCs w:val="24"/>
        </w:rPr>
        <w:t xml:space="preserve">Anot pişirmeden kaynaklanan </w:t>
      </w:r>
      <w:r w:rsidR="00651500" w:rsidRPr="00D53A2B">
        <w:rPr>
          <w:b w:val="0"/>
          <w:bCs/>
          <w:szCs w:val="24"/>
        </w:rPr>
        <w:t>atıksu</w:t>
      </w:r>
      <w:r w:rsidR="00BE56F0" w:rsidRPr="00D53A2B">
        <w:rPr>
          <w:b w:val="0"/>
          <w:bCs/>
          <w:szCs w:val="24"/>
        </w:rPr>
        <w:t>oluşumunu önlemek için kapalı bir su döngüsü kullan</w:t>
      </w:r>
      <w:r w:rsidR="00DF5BE2" w:rsidRPr="00D53A2B">
        <w:rPr>
          <w:b w:val="0"/>
          <w:bCs/>
          <w:szCs w:val="24"/>
        </w:rPr>
        <w:t>ılır</w:t>
      </w:r>
      <w:r w:rsidR="00BE56F0" w:rsidRPr="00D53A2B">
        <w:rPr>
          <w:b w:val="0"/>
          <w:bCs/>
          <w:szCs w:val="24"/>
        </w:rPr>
        <w:t>.</w:t>
      </w:r>
    </w:p>
    <w:p w14:paraId="10FA4690" w14:textId="77777777" w:rsidR="00BE56F0" w:rsidRPr="00D53A2B" w:rsidRDefault="00BE56F0" w:rsidP="00A202FD">
      <w:pPr>
        <w:pStyle w:val="MET"/>
        <w:rPr>
          <w:szCs w:val="24"/>
        </w:rPr>
      </w:pPr>
    </w:p>
    <w:p w14:paraId="66CD1E11" w14:textId="77777777" w:rsidR="00374C56" w:rsidRPr="00D53A2B" w:rsidRDefault="00374C56" w:rsidP="00A202FD">
      <w:pPr>
        <w:spacing w:after="40"/>
        <w:jc w:val="both"/>
        <w:rPr>
          <w:b/>
          <w:lang w:eastAsia="en-US"/>
        </w:rPr>
      </w:pPr>
      <w:r w:rsidRPr="00D53A2B">
        <w:rPr>
          <w:b/>
          <w:lang w:eastAsia="en-US"/>
        </w:rPr>
        <w:t>Uygulanabilirlik</w:t>
      </w:r>
    </w:p>
    <w:p w14:paraId="4382CA07" w14:textId="13458C3C" w:rsidR="00374C56" w:rsidRPr="00D53A2B" w:rsidRDefault="00BE56F0" w:rsidP="00A202FD">
      <w:pPr>
        <w:jc w:val="both"/>
        <w:rPr>
          <w:lang w:eastAsia="en-US"/>
        </w:rPr>
      </w:pPr>
      <w:r w:rsidRPr="00D53A2B">
        <w:rPr>
          <w:lang w:eastAsia="en-US"/>
        </w:rPr>
        <w:t>Genel olarak yeni tesisler ve büyük iyileştirmeler için geçerlidir. Uygulanabilirlik, su kalitesi ve/veya ürün kalitesi gereklilikleri nedeniyle sınırlı olabilir.</w:t>
      </w:r>
    </w:p>
    <w:p w14:paraId="32BDED3F" w14:textId="77777777" w:rsidR="00BE56F0" w:rsidRPr="00D53A2B" w:rsidRDefault="00BE56F0" w:rsidP="00A202FD">
      <w:pPr>
        <w:jc w:val="both"/>
        <w:rPr>
          <w:lang w:eastAsia="en-US"/>
        </w:rPr>
      </w:pPr>
    </w:p>
    <w:p w14:paraId="0B8D416B" w14:textId="75A8F8CF" w:rsidR="00374C56" w:rsidRPr="00D53A2B" w:rsidRDefault="00BE56F0"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3.2.3.</w:t>
      </w:r>
      <w:r w:rsidRPr="00D53A2B">
        <w:rPr>
          <w:rFonts w:cs="Times New Roman"/>
          <w:lang w:eastAsia="en-US"/>
        </w:rPr>
        <w:t xml:space="preserve"> </w:t>
      </w:r>
      <w:r w:rsidR="00374C56" w:rsidRPr="00D53A2B">
        <w:rPr>
          <w:rFonts w:cs="Times New Roman"/>
          <w:lang w:eastAsia="en-US"/>
        </w:rPr>
        <w:t>Atık</w:t>
      </w:r>
    </w:p>
    <w:p w14:paraId="4513554D" w14:textId="263B9886" w:rsidR="00374C56" w:rsidRPr="00D53A2B" w:rsidRDefault="00921606" w:rsidP="00A202FD">
      <w:pPr>
        <w:tabs>
          <w:tab w:val="left" w:pos="1134"/>
        </w:tabs>
        <w:spacing w:before="120" w:after="200"/>
        <w:jc w:val="both"/>
        <w:rPr>
          <w:lang w:eastAsia="en-US"/>
        </w:rPr>
      </w:pPr>
      <w:r w:rsidRPr="00D53A2B">
        <w:rPr>
          <w:b/>
          <w:lang w:eastAsia="en-US"/>
        </w:rPr>
        <w:t>MET 63:</w:t>
      </w:r>
      <w:r w:rsidR="00BE56F0" w:rsidRPr="00D53A2B">
        <w:rPr>
          <w:b/>
          <w:lang w:eastAsia="en-US"/>
        </w:rPr>
        <w:t xml:space="preserve"> </w:t>
      </w:r>
      <w:r w:rsidR="00BE56F0" w:rsidRPr="00D53A2B">
        <w:rPr>
          <w:lang w:eastAsia="en-US"/>
        </w:rPr>
        <w:t>Bertaraf için gönderilen atık miktarını azaltmak amacıyla kok filtresinden çıkan karbon tozunu yıkama aracı olarak geri dönüştürmektir.</w:t>
      </w:r>
    </w:p>
    <w:p w14:paraId="11BC43FE" w14:textId="77777777" w:rsidR="00374C56" w:rsidRPr="00D53A2B" w:rsidRDefault="00374C56" w:rsidP="00A202FD">
      <w:pPr>
        <w:spacing w:after="40"/>
        <w:jc w:val="both"/>
        <w:rPr>
          <w:b/>
          <w:lang w:eastAsia="en-US"/>
        </w:rPr>
      </w:pPr>
      <w:r w:rsidRPr="00D53A2B">
        <w:rPr>
          <w:b/>
          <w:lang w:eastAsia="en-US"/>
        </w:rPr>
        <w:t>Uygulanabilirlik</w:t>
      </w:r>
    </w:p>
    <w:p w14:paraId="1CF91C74" w14:textId="77777777" w:rsidR="00BE56F0" w:rsidRPr="00D53A2B" w:rsidRDefault="00BE56F0" w:rsidP="00A202FD">
      <w:pPr>
        <w:jc w:val="both"/>
        <w:rPr>
          <w:lang w:eastAsia="en-US"/>
        </w:rPr>
      </w:pPr>
      <w:bookmarkStart w:id="76" w:name="_Toc531927874"/>
      <w:r w:rsidRPr="00D53A2B">
        <w:rPr>
          <w:lang w:eastAsia="en-US"/>
        </w:rPr>
        <w:t>Karbon tozunun kül içeriğine bağlı olarak uygulanabilirlik konusunda kısıtlamalar olabilir.</w:t>
      </w:r>
    </w:p>
    <w:p w14:paraId="57FF6F65" w14:textId="77777777" w:rsidR="00BE56F0" w:rsidRPr="00D53A2B" w:rsidRDefault="00BE56F0" w:rsidP="00A202FD">
      <w:pPr>
        <w:jc w:val="both"/>
        <w:rPr>
          <w:lang w:eastAsia="en-US"/>
        </w:rPr>
      </w:pPr>
    </w:p>
    <w:p w14:paraId="6B9D9763" w14:textId="328E37CA" w:rsidR="00374C56" w:rsidRPr="00D53A2B" w:rsidRDefault="00BE56F0" w:rsidP="00A202FD">
      <w:pPr>
        <w:pStyle w:val="Balk3"/>
        <w:rPr>
          <w:rFonts w:eastAsia="Arial" w:cs="Times New Roman"/>
          <w:lang w:eastAsia="en-US"/>
        </w:rPr>
      </w:pPr>
      <w:r w:rsidRPr="00D53A2B">
        <w:rPr>
          <w:rFonts w:eastAsia="Arial" w:cs="Times New Roman"/>
          <w:lang w:eastAsia="en-US"/>
        </w:rPr>
        <w:t>1.</w:t>
      </w:r>
      <w:r w:rsidR="00374C56" w:rsidRPr="00D53A2B">
        <w:rPr>
          <w:rFonts w:eastAsia="Arial" w:cs="Times New Roman"/>
          <w:lang w:eastAsia="en-US"/>
        </w:rPr>
        <w:t>3.3.</w:t>
      </w:r>
      <w:r w:rsidR="00374C56" w:rsidRPr="00D53A2B">
        <w:rPr>
          <w:rFonts w:eastAsia="Arial" w:cs="Times New Roman"/>
          <w:lang w:eastAsia="en-US"/>
        </w:rPr>
        <w:tab/>
        <w:t>Birincil alüminyum üretimi</w:t>
      </w:r>
      <w:bookmarkEnd w:id="76"/>
    </w:p>
    <w:p w14:paraId="17C5A196" w14:textId="30AF9AFB" w:rsidR="00374C56" w:rsidRPr="00D53A2B" w:rsidRDefault="00BE56F0" w:rsidP="00A202FD">
      <w:pPr>
        <w:pStyle w:val="Balk4"/>
        <w:rPr>
          <w:rFonts w:eastAsia="Arial" w:cs="Times New Roman"/>
          <w:lang w:eastAsia="en-US"/>
        </w:rPr>
      </w:pPr>
      <w:r w:rsidRPr="00D53A2B">
        <w:rPr>
          <w:rFonts w:eastAsia="Arial" w:cs="Times New Roman"/>
          <w:lang w:eastAsia="en-US"/>
        </w:rPr>
        <w:t>1.</w:t>
      </w:r>
      <w:r w:rsidR="00374C56" w:rsidRPr="00D53A2B">
        <w:rPr>
          <w:rFonts w:eastAsia="Arial" w:cs="Times New Roman"/>
          <w:lang w:eastAsia="en-US"/>
        </w:rPr>
        <w:t>3.3.1.</w:t>
      </w:r>
      <w:r w:rsidRPr="00D53A2B">
        <w:rPr>
          <w:rFonts w:eastAsia="Arial" w:cs="Times New Roman"/>
          <w:lang w:eastAsia="en-US"/>
        </w:rPr>
        <w:t xml:space="preserve"> </w:t>
      </w:r>
      <w:r w:rsidR="00374C56" w:rsidRPr="00D53A2B">
        <w:rPr>
          <w:rFonts w:eastAsia="Arial" w:cs="Times New Roman"/>
          <w:lang w:eastAsia="en-US"/>
        </w:rPr>
        <w:t>Hava emisyonlar</w:t>
      </w:r>
      <w:r w:rsidRPr="00D53A2B">
        <w:rPr>
          <w:rFonts w:eastAsia="Arial" w:cs="Times New Roman"/>
          <w:lang w:eastAsia="en-US"/>
        </w:rPr>
        <w:t>ı</w:t>
      </w:r>
    </w:p>
    <w:p w14:paraId="13D4AB45" w14:textId="0F90A2EE" w:rsidR="00374C56" w:rsidRPr="00D53A2B" w:rsidRDefault="00374C56" w:rsidP="00A202FD">
      <w:pPr>
        <w:pStyle w:val="MET"/>
        <w:rPr>
          <w:szCs w:val="24"/>
        </w:rPr>
      </w:pPr>
      <w:r w:rsidRPr="00D53A2B">
        <w:rPr>
          <w:szCs w:val="24"/>
        </w:rPr>
        <w:t>MET 64</w:t>
      </w:r>
      <w:r w:rsidR="00921606" w:rsidRPr="00D53A2B">
        <w:rPr>
          <w:szCs w:val="24"/>
        </w:rPr>
        <w:t>:</w:t>
      </w:r>
      <w:r w:rsidR="004836E7" w:rsidRPr="00D53A2B">
        <w:rPr>
          <w:szCs w:val="24"/>
        </w:rPr>
        <w:t xml:space="preserve"> </w:t>
      </w:r>
      <w:r w:rsidR="00BE56F0" w:rsidRPr="00D53A2B">
        <w:rPr>
          <w:b w:val="0"/>
          <w:bCs/>
          <w:szCs w:val="24"/>
        </w:rPr>
        <w:t>Søderberg teknolojisini kullanan birincil alüminyum üretiminde elektrolitik hücrelerden kaynaklanan yayılı emisyonları önlemek veya toplamak için, aşağıda verilen tekniklerin bir kombinasyonu</w:t>
      </w:r>
      <w:r w:rsidR="004836E7" w:rsidRPr="00D53A2B">
        <w:rPr>
          <w:b w:val="0"/>
          <w:bCs/>
          <w:szCs w:val="24"/>
        </w:rPr>
        <w:t xml:space="preserve"> kullanılır</w:t>
      </w:r>
      <w:r w:rsidR="00BE56F0" w:rsidRPr="00D53A2B">
        <w:rPr>
          <w:b w:val="0"/>
          <w:bCs/>
          <w:szCs w:val="24"/>
        </w:rPr>
        <w:t>.</w:t>
      </w:r>
    </w:p>
    <w:tbl>
      <w:tblPr>
        <w:tblW w:w="8784" w:type="dxa"/>
        <w:tblLayout w:type="fixed"/>
        <w:tblCellMar>
          <w:left w:w="0" w:type="dxa"/>
          <w:right w:w="0" w:type="dxa"/>
        </w:tblCellMar>
        <w:tblLook w:val="01E0" w:firstRow="1" w:lastRow="1" w:firstColumn="1" w:lastColumn="1" w:noHBand="0" w:noVBand="0"/>
      </w:tblPr>
      <w:tblGrid>
        <w:gridCol w:w="437"/>
        <w:gridCol w:w="8347"/>
      </w:tblGrid>
      <w:tr w:rsidR="00374C56" w:rsidRPr="00D53A2B" w14:paraId="767F9341" w14:textId="77777777" w:rsidTr="00271877">
        <w:trPr>
          <w:trHeight w:val="283"/>
        </w:trPr>
        <w:tc>
          <w:tcPr>
            <w:tcW w:w="437" w:type="dxa"/>
            <w:tcBorders>
              <w:top w:val="single" w:sz="4" w:space="0" w:color="000000"/>
              <w:left w:val="single" w:sz="4" w:space="0" w:color="000000"/>
              <w:bottom w:val="single" w:sz="4" w:space="0" w:color="000000"/>
              <w:right w:val="single" w:sz="4" w:space="0" w:color="000000"/>
            </w:tcBorders>
            <w:vAlign w:val="center"/>
          </w:tcPr>
          <w:p w14:paraId="60BB3D3F" w14:textId="77777777" w:rsidR="00374C56" w:rsidRPr="00D53A2B" w:rsidRDefault="00374C56" w:rsidP="00A202FD">
            <w:pPr>
              <w:spacing w:line="264" w:lineRule="auto"/>
              <w:ind w:left="57" w:right="57"/>
              <w:jc w:val="both"/>
              <w:rPr>
                <w:sz w:val="22"/>
                <w:szCs w:val="22"/>
                <w:lang w:eastAsia="en-US"/>
              </w:rPr>
            </w:pPr>
          </w:p>
        </w:tc>
        <w:tc>
          <w:tcPr>
            <w:tcW w:w="8347" w:type="dxa"/>
            <w:tcBorders>
              <w:top w:val="single" w:sz="4" w:space="0" w:color="000000"/>
              <w:left w:val="single" w:sz="4" w:space="0" w:color="000000"/>
              <w:bottom w:val="single" w:sz="4" w:space="0" w:color="000000"/>
              <w:right w:val="single" w:sz="4" w:space="0" w:color="000000"/>
            </w:tcBorders>
            <w:vAlign w:val="center"/>
          </w:tcPr>
          <w:p w14:paraId="0A298929"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45AF1AF4"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174108A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347" w:type="dxa"/>
            <w:tcBorders>
              <w:top w:val="single" w:sz="4" w:space="0" w:color="000000"/>
              <w:left w:val="single" w:sz="4" w:space="0" w:color="000000"/>
              <w:bottom w:val="single" w:sz="4" w:space="0" w:color="000000"/>
              <w:right w:val="single" w:sz="4" w:space="0" w:color="000000"/>
            </w:tcBorders>
          </w:tcPr>
          <w:p w14:paraId="34F5684D" w14:textId="3C223711" w:rsidR="00374C56" w:rsidRPr="00D53A2B" w:rsidRDefault="001A78CA" w:rsidP="00A202FD">
            <w:pPr>
              <w:spacing w:line="264" w:lineRule="auto"/>
              <w:ind w:left="57" w:right="57"/>
              <w:jc w:val="both"/>
              <w:rPr>
                <w:sz w:val="22"/>
                <w:szCs w:val="22"/>
                <w:lang w:eastAsia="en-US"/>
              </w:rPr>
            </w:pPr>
            <w:r w:rsidRPr="00D53A2B">
              <w:rPr>
                <w:sz w:val="22"/>
                <w:szCs w:val="22"/>
                <w:lang w:eastAsia="en-US"/>
              </w:rPr>
              <w:t>Zift içeriği %25 ile %28 arasında olan macun kullanımı (kuru macun)</w:t>
            </w:r>
          </w:p>
        </w:tc>
      </w:tr>
      <w:tr w:rsidR="00374C56" w:rsidRPr="00D53A2B" w14:paraId="0331190B"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69A9D95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347" w:type="dxa"/>
            <w:tcBorders>
              <w:top w:val="single" w:sz="4" w:space="0" w:color="000000"/>
              <w:left w:val="single" w:sz="4" w:space="0" w:color="000000"/>
              <w:bottom w:val="single" w:sz="4" w:space="0" w:color="000000"/>
              <w:right w:val="single" w:sz="4" w:space="0" w:color="000000"/>
            </w:tcBorders>
          </w:tcPr>
          <w:p w14:paraId="340371CA" w14:textId="0076C30F" w:rsidR="00374C56" w:rsidRPr="00D53A2B" w:rsidRDefault="001A78CA" w:rsidP="00A202FD">
            <w:pPr>
              <w:spacing w:line="264" w:lineRule="auto"/>
              <w:ind w:left="57" w:right="57"/>
              <w:jc w:val="both"/>
              <w:rPr>
                <w:sz w:val="22"/>
                <w:szCs w:val="22"/>
                <w:lang w:eastAsia="en-US"/>
              </w:rPr>
            </w:pPr>
            <w:r w:rsidRPr="00D53A2B">
              <w:rPr>
                <w:sz w:val="22"/>
                <w:szCs w:val="22"/>
                <w:lang w:eastAsia="en-US"/>
              </w:rPr>
              <w:t>Kapalı noktadan besleme işlemlerine ve gelişmiş gaz toplama verimliliğine olanak sağlamak için manifold tasarımının yükseltilmesi</w:t>
            </w:r>
          </w:p>
        </w:tc>
      </w:tr>
      <w:tr w:rsidR="00374C56" w:rsidRPr="00D53A2B" w14:paraId="235A83CF"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0D9A797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347" w:type="dxa"/>
            <w:tcBorders>
              <w:top w:val="single" w:sz="4" w:space="0" w:color="000000"/>
              <w:left w:val="single" w:sz="4" w:space="0" w:color="000000"/>
              <w:bottom w:val="single" w:sz="4" w:space="0" w:color="000000"/>
              <w:right w:val="single" w:sz="4" w:space="0" w:color="000000"/>
            </w:tcBorders>
          </w:tcPr>
          <w:p w14:paraId="7A33769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Nokta alümina besleme</w:t>
            </w:r>
          </w:p>
        </w:tc>
      </w:tr>
      <w:tr w:rsidR="00374C56" w:rsidRPr="00D53A2B" w14:paraId="23361A6A"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627F722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8347" w:type="dxa"/>
            <w:tcBorders>
              <w:top w:val="single" w:sz="4" w:space="0" w:color="000000"/>
              <w:left w:val="single" w:sz="4" w:space="0" w:color="000000"/>
              <w:bottom w:val="single" w:sz="4" w:space="0" w:color="000000"/>
              <w:right w:val="single" w:sz="4" w:space="0" w:color="000000"/>
            </w:tcBorders>
          </w:tcPr>
          <w:p w14:paraId="4E4AB607" w14:textId="4C9EF90A" w:rsidR="00374C56" w:rsidRPr="00D53A2B" w:rsidRDefault="004836E7" w:rsidP="00A202FD">
            <w:pPr>
              <w:spacing w:line="264" w:lineRule="auto"/>
              <w:ind w:left="57" w:right="57"/>
              <w:jc w:val="both"/>
              <w:rPr>
                <w:sz w:val="22"/>
                <w:szCs w:val="22"/>
                <w:lang w:eastAsia="en-US"/>
              </w:rPr>
            </w:pPr>
            <w:r w:rsidRPr="00D53A2B">
              <w:rPr>
                <w:sz w:val="22"/>
                <w:szCs w:val="22"/>
                <w:lang w:eastAsia="en-US"/>
              </w:rPr>
              <w:t>MET 67</w:t>
            </w:r>
            <w:r w:rsidR="00E56504" w:rsidRPr="00D53A2B">
              <w:rPr>
                <w:sz w:val="22"/>
                <w:szCs w:val="22"/>
                <w:lang w:eastAsia="en-US"/>
              </w:rPr>
              <w:t>’</w:t>
            </w:r>
            <w:r w:rsidRPr="00D53A2B">
              <w:rPr>
                <w:sz w:val="22"/>
                <w:szCs w:val="22"/>
                <w:lang w:eastAsia="en-US"/>
              </w:rPr>
              <w:t>deki</w:t>
            </w:r>
            <w:r w:rsidR="001A78CA" w:rsidRPr="00D53A2B">
              <w:rPr>
                <w:sz w:val="22"/>
                <w:szCs w:val="22"/>
                <w:lang w:eastAsia="en-US"/>
              </w:rPr>
              <w:t xml:space="preserve"> işlemle birlikte artan anot yüksekliği.</w:t>
            </w:r>
          </w:p>
        </w:tc>
      </w:tr>
      <w:tr w:rsidR="00374C56" w:rsidRPr="00D53A2B" w14:paraId="3811FD34"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6DA00F4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8347" w:type="dxa"/>
            <w:tcBorders>
              <w:top w:val="single" w:sz="4" w:space="0" w:color="000000"/>
              <w:left w:val="single" w:sz="4" w:space="0" w:color="000000"/>
              <w:bottom w:val="single" w:sz="4" w:space="0" w:color="000000"/>
              <w:right w:val="single" w:sz="4" w:space="0" w:color="000000"/>
            </w:tcBorders>
          </w:tcPr>
          <w:p w14:paraId="3075F3AD" w14:textId="615C6528" w:rsidR="00374C56" w:rsidRPr="00D53A2B" w:rsidRDefault="004836E7" w:rsidP="00A202FD">
            <w:pPr>
              <w:spacing w:line="264" w:lineRule="auto"/>
              <w:ind w:left="57" w:right="57"/>
              <w:jc w:val="both"/>
              <w:rPr>
                <w:sz w:val="22"/>
                <w:szCs w:val="22"/>
                <w:lang w:eastAsia="en-US"/>
              </w:rPr>
            </w:pPr>
            <w:r w:rsidRPr="00D53A2B">
              <w:rPr>
                <w:sz w:val="22"/>
                <w:szCs w:val="22"/>
                <w:lang w:eastAsia="en-US"/>
              </w:rPr>
              <w:t>MET 67</w:t>
            </w:r>
            <w:r w:rsidR="00E56504" w:rsidRPr="00D53A2B">
              <w:rPr>
                <w:sz w:val="22"/>
                <w:szCs w:val="22"/>
                <w:lang w:eastAsia="en-US"/>
              </w:rPr>
              <w:t>’</w:t>
            </w:r>
            <w:r w:rsidRPr="00D53A2B">
              <w:rPr>
                <w:sz w:val="22"/>
                <w:szCs w:val="22"/>
                <w:lang w:eastAsia="en-US"/>
              </w:rPr>
              <w:t xml:space="preserve">deki </w:t>
            </w:r>
            <w:r w:rsidR="001A78CA" w:rsidRPr="00D53A2B">
              <w:rPr>
                <w:sz w:val="22"/>
                <w:szCs w:val="22"/>
                <w:lang w:eastAsia="en-US"/>
              </w:rPr>
              <w:t>arıtmaya bağlı yüksek akım yoğunluklu anotlar kullanıldığında anot üst başlığı.</w:t>
            </w:r>
          </w:p>
        </w:tc>
      </w:tr>
    </w:tbl>
    <w:p w14:paraId="252B8710" w14:textId="77777777" w:rsidR="00374C56" w:rsidRPr="00D53A2B" w:rsidRDefault="00374C56" w:rsidP="00A202FD">
      <w:pPr>
        <w:jc w:val="both"/>
        <w:rPr>
          <w:lang w:eastAsia="en-US"/>
        </w:rPr>
      </w:pPr>
    </w:p>
    <w:p w14:paraId="11E93C1E" w14:textId="77777777" w:rsidR="00374C56" w:rsidRPr="00D53A2B" w:rsidRDefault="00374C56" w:rsidP="00A202FD">
      <w:pPr>
        <w:spacing w:after="40"/>
        <w:jc w:val="both"/>
        <w:rPr>
          <w:b/>
          <w:lang w:eastAsia="en-US"/>
        </w:rPr>
      </w:pPr>
      <w:r w:rsidRPr="00D53A2B">
        <w:rPr>
          <w:b/>
          <w:lang w:eastAsia="en-US"/>
        </w:rPr>
        <w:t>Açıklama</w:t>
      </w:r>
    </w:p>
    <w:p w14:paraId="3BB4136E" w14:textId="6473F4BF" w:rsidR="00374C56" w:rsidRPr="00D53A2B" w:rsidRDefault="00374C56" w:rsidP="00A202FD">
      <w:pPr>
        <w:pStyle w:val="MET"/>
        <w:rPr>
          <w:szCs w:val="24"/>
        </w:rPr>
      </w:pPr>
      <w:r w:rsidRPr="00D53A2B">
        <w:rPr>
          <w:szCs w:val="24"/>
        </w:rPr>
        <w:t xml:space="preserve">MET 64.c: </w:t>
      </w:r>
      <w:r w:rsidR="001A78CA" w:rsidRPr="00D53A2B">
        <w:rPr>
          <w:b w:val="0"/>
          <w:bCs/>
          <w:szCs w:val="24"/>
        </w:rPr>
        <w:t>Alüminanın noktasal beslenmesi, düzenli kabuk kırma işlemini (manuel yan besleme veya çubuk kırık besleme sırasında olduğu gibi) önler ve böylece ilgili florür ve toz emisyonlarını azaltır.</w:t>
      </w:r>
    </w:p>
    <w:p w14:paraId="53E98547" w14:textId="77777777" w:rsidR="001A78CA" w:rsidRPr="00D53A2B" w:rsidRDefault="001A78CA" w:rsidP="00A202FD">
      <w:pPr>
        <w:pStyle w:val="MET"/>
        <w:rPr>
          <w:szCs w:val="24"/>
        </w:rPr>
      </w:pPr>
    </w:p>
    <w:p w14:paraId="1DC84AE8" w14:textId="4CE118E4" w:rsidR="001A78CA" w:rsidRPr="00D53A2B" w:rsidRDefault="00374C56" w:rsidP="00A202FD">
      <w:pPr>
        <w:pStyle w:val="MET"/>
        <w:rPr>
          <w:b w:val="0"/>
          <w:bCs/>
          <w:szCs w:val="24"/>
        </w:rPr>
      </w:pPr>
      <w:r w:rsidRPr="00D53A2B">
        <w:rPr>
          <w:szCs w:val="24"/>
        </w:rPr>
        <w:t xml:space="preserve">MET 64.d: </w:t>
      </w:r>
      <w:r w:rsidR="001A78CA" w:rsidRPr="00D53A2B">
        <w:rPr>
          <w:b w:val="0"/>
          <w:bCs/>
          <w:szCs w:val="24"/>
        </w:rPr>
        <w:t>Artan anot yüksekliği, anot tepesinde daha düşük sıcaklıklar elde edilmesine yardımcı olarak havaya daha düşük emisyonlar verilmesini sağlar.</w:t>
      </w:r>
    </w:p>
    <w:p w14:paraId="67C58F1F" w14:textId="77777777" w:rsidR="004836E7" w:rsidRPr="00D53A2B" w:rsidRDefault="004836E7" w:rsidP="00A202FD">
      <w:pPr>
        <w:pStyle w:val="MET"/>
        <w:rPr>
          <w:szCs w:val="24"/>
        </w:rPr>
      </w:pPr>
    </w:p>
    <w:p w14:paraId="67503C73" w14:textId="211080CA"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12.</w:t>
      </w:r>
    </w:p>
    <w:p w14:paraId="0C2C01C4" w14:textId="6B75479D" w:rsidR="00374C56" w:rsidRPr="00D53A2B" w:rsidRDefault="00921606" w:rsidP="00A202FD">
      <w:pPr>
        <w:pStyle w:val="MET"/>
        <w:rPr>
          <w:szCs w:val="24"/>
        </w:rPr>
      </w:pPr>
      <w:r w:rsidRPr="00D53A2B">
        <w:rPr>
          <w:szCs w:val="24"/>
        </w:rPr>
        <w:t>MET 65:</w:t>
      </w:r>
      <w:r w:rsidR="001A78CA" w:rsidRPr="00D53A2B">
        <w:rPr>
          <w:szCs w:val="24"/>
        </w:rPr>
        <w:t xml:space="preserve"> </w:t>
      </w:r>
      <w:r w:rsidR="001A78CA" w:rsidRPr="00D53A2B">
        <w:rPr>
          <w:b w:val="0"/>
          <w:bCs/>
          <w:szCs w:val="24"/>
        </w:rPr>
        <w:t>Önceden pişirilmiş anotların kullanıldığı birincil alüminyum üretiminde elektrolitik hücrelerden yayılan emisyonları önlemek veya toplamak için, aşağıda verilen tekniklerin bir kombinasyonu</w:t>
      </w:r>
      <w:r w:rsidR="004836E7" w:rsidRPr="00D53A2B">
        <w:rPr>
          <w:b w:val="0"/>
          <w:bCs/>
          <w:szCs w:val="24"/>
        </w:rPr>
        <w:t xml:space="preserve"> kullanılır</w:t>
      </w:r>
      <w:r w:rsidR="001A78CA" w:rsidRPr="00D53A2B">
        <w:rPr>
          <w:b w:val="0"/>
          <w:bCs/>
          <w:szCs w:val="24"/>
        </w:rPr>
        <w:t>.</w:t>
      </w:r>
    </w:p>
    <w:p w14:paraId="17653CDD" w14:textId="77777777" w:rsidR="001A78CA" w:rsidRPr="00D53A2B" w:rsidRDefault="001A78CA" w:rsidP="00A202FD">
      <w:pPr>
        <w:pStyle w:val="MET"/>
        <w:rPr>
          <w:szCs w:val="24"/>
        </w:rPr>
      </w:pPr>
    </w:p>
    <w:tbl>
      <w:tblPr>
        <w:tblW w:w="8721" w:type="dxa"/>
        <w:tblLayout w:type="fixed"/>
        <w:tblCellMar>
          <w:left w:w="0" w:type="dxa"/>
          <w:right w:w="0" w:type="dxa"/>
        </w:tblCellMar>
        <w:tblLook w:val="01E0" w:firstRow="1" w:lastRow="1" w:firstColumn="1" w:lastColumn="1" w:noHBand="0" w:noVBand="0"/>
      </w:tblPr>
      <w:tblGrid>
        <w:gridCol w:w="437"/>
        <w:gridCol w:w="8284"/>
      </w:tblGrid>
      <w:tr w:rsidR="00374C56" w:rsidRPr="00D53A2B" w14:paraId="3F687AAC" w14:textId="77777777" w:rsidTr="00374C56">
        <w:trPr>
          <w:trHeight w:val="283"/>
        </w:trPr>
        <w:tc>
          <w:tcPr>
            <w:tcW w:w="437" w:type="dxa"/>
            <w:tcBorders>
              <w:top w:val="single" w:sz="4" w:space="0" w:color="000000"/>
              <w:left w:val="single" w:sz="4" w:space="0" w:color="000000"/>
              <w:bottom w:val="single" w:sz="4" w:space="0" w:color="000000"/>
              <w:right w:val="single" w:sz="4" w:space="0" w:color="000000"/>
            </w:tcBorders>
            <w:vAlign w:val="center"/>
          </w:tcPr>
          <w:p w14:paraId="0F4C6498" w14:textId="77777777" w:rsidR="00374C56" w:rsidRPr="00D53A2B" w:rsidRDefault="00374C56" w:rsidP="00A202FD">
            <w:pPr>
              <w:spacing w:line="264" w:lineRule="auto"/>
              <w:ind w:left="57" w:right="57"/>
              <w:jc w:val="both"/>
              <w:rPr>
                <w:sz w:val="22"/>
                <w:szCs w:val="22"/>
                <w:lang w:eastAsia="en-US"/>
              </w:rPr>
            </w:pPr>
          </w:p>
        </w:tc>
        <w:tc>
          <w:tcPr>
            <w:tcW w:w="8284" w:type="dxa"/>
            <w:tcBorders>
              <w:top w:val="single" w:sz="4" w:space="0" w:color="000000"/>
              <w:left w:val="single" w:sz="4" w:space="0" w:color="000000"/>
              <w:bottom w:val="single" w:sz="4" w:space="0" w:color="000000"/>
              <w:right w:val="single" w:sz="4" w:space="0" w:color="000000"/>
            </w:tcBorders>
            <w:vAlign w:val="center"/>
          </w:tcPr>
          <w:p w14:paraId="00BBCB07"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66003F26"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2636FBF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284" w:type="dxa"/>
            <w:tcBorders>
              <w:top w:val="single" w:sz="4" w:space="0" w:color="000000"/>
              <w:left w:val="single" w:sz="4" w:space="0" w:color="000000"/>
              <w:bottom w:val="single" w:sz="4" w:space="0" w:color="000000"/>
              <w:right w:val="single" w:sz="4" w:space="0" w:color="000000"/>
            </w:tcBorders>
          </w:tcPr>
          <w:p w14:paraId="266E069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Otomatik çok noktadan alümina beslemesi</w:t>
            </w:r>
          </w:p>
        </w:tc>
      </w:tr>
      <w:tr w:rsidR="00374C56" w:rsidRPr="00D53A2B" w14:paraId="5141AE3B"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328382A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284" w:type="dxa"/>
            <w:tcBorders>
              <w:top w:val="single" w:sz="4" w:space="0" w:color="000000"/>
              <w:left w:val="single" w:sz="4" w:space="0" w:color="000000"/>
              <w:bottom w:val="single" w:sz="4" w:space="0" w:color="000000"/>
              <w:right w:val="single" w:sz="4" w:space="0" w:color="000000"/>
            </w:tcBorders>
          </w:tcPr>
          <w:p w14:paraId="7A37FF14" w14:textId="441F2525" w:rsidR="00374C56" w:rsidRPr="00D53A2B" w:rsidRDefault="00957B7C" w:rsidP="00A202FD">
            <w:pPr>
              <w:spacing w:line="264" w:lineRule="auto"/>
              <w:ind w:left="57" w:right="57"/>
              <w:jc w:val="both"/>
              <w:rPr>
                <w:sz w:val="22"/>
                <w:szCs w:val="22"/>
                <w:lang w:eastAsia="en-US"/>
              </w:rPr>
            </w:pPr>
            <w:r w:rsidRPr="00D53A2B">
              <w:rPr>
                <w:sz w:val="22"/>
                <w:szCs w:val="22"/>
                <w:lang w:eastAsia="en-US"/>
              </w:rPr>
              <w:t xml:space="preserve">Banyo ve karbon anot tüketiminden kaynaklanan florür oluşumunu dikkate alarak hücrenin tam kaput kapsamı ve yeterli çıkış gazı çıkarma oranları (çıkış gazını </w:t>
            </w:r>
            <w:r w:rsidR="00651500" w:rsidRPr="00D53A2B">
              <w:rPr>
                <w:sz w:val="22"/>
                <w:szCs w:val="22"/>
                <w:lang w:eastAsia="en-US"/>
              </w:rPr>
              <w:t>MET</w:t>
            </w:r>
            <w:r w:rsidRPr="00D53A2B">
              <w:rPr>
                <w:sz w:val="22"/>
                <w:szCs w:val="22"/>
                <w:lang w:eastAsia="en-US"/>
              </w:rPr>
              <w:t>67</w:t>
            </w:r>
            <w:r w:rsidR="00E56504" w:rsidRPr="00D53A2B">
              <w:rPr>
                <w:sz w:val="22"/>
                <w:szCs w:val="22"/>
                <w:lang w:eastAsia="en-US"/>
              </w:rPr>
              <w:t>’</w:t>
            </w:r>
            <w:r w:rsidRPr="00D53A2B">
              <w:rPr>
                <w:sz w:val="22"/>
                <w:szCs w:val="22"/>
                <w:lang w:eastAsia="en-US"/>
              </w:rPr>
              <w:t>deki arıtmaya yönlendirmek için).</w:t>
            </w:r>
          </w:p>
        </w:tc>
      </w:tr>
      <w:tr w:rsidR="00374C56" w:rsidRPr="00D53A2B" w14:paraId="421857C7"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5FC5F2F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284" w:type="dxa"/>
            <w:tcBorders>
              <w:top w:val="single" w:sz="4" w:space="0" w:color="000000"/>
              <w:left w:val="single" w:sz="4" w:space="0" w:color="000000"/>
              <w:bottom w:val="single" w:sz="4" w:space="0" w:color="000000"/>
              <w:right w:val="single" w:sz="4" w:space="0" w:color="000000"/>
            </w:tcBorders>
          </w:tcPr>
          <w:p w14:paraId="4806A5ED" w14:textId="4013AAA4"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 67</w:t>
            </w:r>
            <w:r w:rsidR="00E56504" w:rsidRPr="00D53A2B">
              <w:rPr>
                <w:sz w:val="22"/>
                <w:szCs w:val="22"/>
                <w:lang w:eastAsia="en-US"/>
              </w:rPr>
              <w:t>’</w:t>
            </w:r>
            <w:r w:rsidRPr="00D53A2B">
              <w:rPr>
                <w:sz w:val="22"/>
                <w:szCs w:val="22"/>
                <w:lang w:eastAsia="en-US"/>
              </w:rPr>
              <w:t xml:space="preserve">de listelenen azaltma tekniklerine bağlantısı yapılmış </w:t>
            </w:r>
            <w:r w:rsidR="00957B7C" w:rsidRPr="00D53A2B">
              <w:rPr>
                <w:sz w:val="22"/>
                <w:szCs w:val="22"/>
                <w:lang w:eastAsia="en-US"/>
              </w:rPr>
              <w:t>güçlendirilmiş</w:t>
            </w:r>
            <w:r w:rsidRPr="00D53A2B">
              <w:rPr>
                <w:sz w:val="22"/>
                <w:szCs w:val="22"/>
                <w:lang w:eastAsia="en-US"/>
              </w:rPr>
              <w:t xml:space="preserve"> emme sistemi</w:t>
            </w:r>
          </w:p>
        </w:tc>
      </w:tr>
      <w:tr w:rsidR="00374C56" w:rsidRPr="00D53A2B" w14:paraId="734F3E36"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3AEC4F9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8284" w:type="dxa"/>
            <w:tcBorders>
              <w:top w:val="single" w:sz="4" w:space="0" w:color="000000"/>
              <w:left w:val="single" w:sz="4" w:space="0" w:color="000000"/>
              <w:bottom w:val="single" w:sz="4" w:space="0" w:color="000000"/>
              <w:right w:val="single" w:sz="4" w:space="0" w:color="000000"/>
            </w:tcBorders>
          </w:tcPr>
          <w:p w14:paraId="16B6866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Anotların değiştirilmesi ve hücre kapaklarının açılmasını gerektiren diğer faaliyetlerin süresinin en aza indirilmesi</w:t>
            </w:r>
          </w:p>
        </w:tc>
      </w:tr>
      <w:tr w:rsidR="00374C56" w:rsidRPr="00D53A2B" w14:paraId="5E992FC7"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4212962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8284" w:type="dxa"/>
            <w:tcBorders>
              <w:top w:val="single" w:sz="4" w:space="0" w:color="000000"/>
              <w:left w:val="single" w:sz="4" w:space="0" w:color="000000"/>
              <w:bottom w:val="single" w:sz="4" w:space="0" w:color="000000"/>
              <w:right w:val="single" w:sz="4" w:space="0" w:color="000000"/>
            </w:tcBorders>
          </w:tcPr>
          <w:p w14:paraId="5E18203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Hücre evrimi ve emisyon artışına yol açabilecek proses sapmalarının önleyebilen verimli proses kontrol sistemi</w:t>
            </w:r>
          </w:p>
        </w:tc>
      </w:tr>
      <w:tr w:rsidR="00374C56" w:rsidRPr="00D53A2B" w14:paraId="791C7754"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35CAD5E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w:t>
            </w:r>
          </w:p>
        </w:tc>
        <w:tc>
          <w:tcPr>
            <w:tcW w:w="8284" w:type="dxa"/>
            <w:tcBorders>
              <w:top w:val="single" w:sz="4" w:space="0" w:color="000000"/>
              <w:left w:val="single" w:sz="4" w:space="0" w:color="000000"/>
              <w:bottom w:val="single" w:sz="4" w:space="0" w:color="000000"/>
              <w:right w:val="single" w:sz="4" w:space="0" w:color="000000"/>
            </w:tcBorders>
          </w:tcPr>
          <w:p w14:paraId="417D25B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Hücre işlemleri ve bakımı için programlanmış bir sistemin kullanılması</w:t>
            </w:r>
          </w:p>
        </w:tc>
      </w:tr>
      <w:tr w:rsidR="00374C56" w:rsidRPr="00D53A2B" w14:paraId="12F7530B"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541AC4E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w:t>
            </w:r>
          </w:p>
        </w:tc>
        <w:tc>
          <w:tcPr>
            <w:tcW w:w="8284" w:type="dxa"/>
            <w:tcBorders>
              <w:top w:val="single" w:sz="4" w:space="0" w:color="000000"/>
              <w:left w:val="single" w:sz="4" w:space="0" w:color="000000"/>
              <w:bottom w:val="single" w:sz="4" w:space="0" w:color="000000"/>
              <w:right w:val="single" w:sz="4" w:space="0" w:color="000000"/>
            </w:tcBorders>
          </w:tcPr>
          <w:p w14:paraId="2200C7A2" w14:textId="6E15D8E8" w:rsidR="00374C56" w:rsidRPr="00D53A2B" w:rsidRDefault="00957B7C" w:rsidP="00A202FD">
            <w:pPr>
              <w:spacing w:line="264" w:lineRule="auto"/>
              <w:ind w:left="57" w:right="57"/>
              <w:jc w:val="both"/>
              <w:rPr>
                <w:sz w:val="22"/>
                <w:szCs w:val="22"/>
                <w:lang w:eastAsia="en-US"/>
              </w:rPr>
            </w:pPr>
            <w:r w:rsidRPr="00D53A2B">
              <w:rPr>
                <w:sz w:val="22"/>
                <w:szCs w:val="22"/>
                <w:lang w:eastAsia="en-US"/>
              </w:rPr>
              <w:t>Florür ve karbonu geri kazanmak için çubuklama tesisinde yerleşik verimli temizleme yöntemlerinin kullanılması.</w:t>
            </w:r>
          </w:p>
        </w:tc>
      </w:tr>
      <w:tr w:rsidR="00374C56" w:rsidRPr="00D53A2B" w14:paraId="52F48B59"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3539818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w:t>
            </w:r>
          </w:p>
        </w:tc>
        <w:tc>
          <w:tcPr>
            <w:tcW w:w="8284" w:type="dxa"/>
            <w:tcBorders>
              <w:top w:val="single" w:sz="4" w:space="0" w:color="000000"/>
              <w:left w:val="single" w:sz="4" w:space="0" w:color="000000"/>
              <w:bottom w:val="single" w:sz="4" w:space="0" w:color="000000"/>
              <w:right w:val="single" w:sz="4" w:space="0" w:color="000000"/>
            </w:tcBorders>
          </w:tcPr>
          <w:p w14:paraId="7A2AB1D1" w14:textId="2F90F0A6" w:rsidR="00374C56" w:rsidRPr="00D53A2B" w:rsidRDefault="00374C56" w:rsidP="00A202FD">
            <w:pPr>
              <w:spacing w:line="264" w:lineRule="auto"/>
              <w:ind w:left="57" w:right="57"/>
              <w:jc w:val="both"/>
              <w:rPr>
                <w:sz w:val="22"/>
                <w:szCs w:val="22"/>
                <w:lang w:eastAsia="en-US"/>
              </w:rPr>
            </w:pPr>
            <w:r w:rsidRPr="00D53A2B">
              <w:rPr>
                <w:sz w:val="22"/>
                <w:szCs w:val="22"/>
                <w:lang w:eastAsia="en-US"/>
              </w:rPr>
              <w:t>Çıkarılmış anotların MET 67</w:t>
            </w:r>
            <w:r w:rsidR="00E56504" w:rsidRPr="00D53A2B">
              <w:rPr>
                <w:sz w:val="22"/>
                <w:szCs w:val="22"/>
                <w:lang w:eastAsia="en-US"/>
              </w:rPr>
              <w:t>’</w:t>
            </w:r>
            <w:r w:rsidRPr="00D53A2B">
              <w:rPr>
                <w:sz w:val="22"/>
                <w:szCs w:val="22"/>
                <w:lang w:eastAsia="en-US"/>
              </w:rPr>
              <w:t>de açıklanan arıtmaya bağlantısı yapılmış hücre yakınındaki bir bölmede depolanması veya kapalı kutularda depolanması</w:t>
            </w:r>
          </w:p>
        </w:tc>
      </w:tr>
    </w:tbl>
    <w:p w14:paraId="0A92A8E1" w14:textId="77777777" w:rsidR="00374C56" w:rsidRPr="00D53A2B" w:rsidRDefault="00374C56" w:rsidP="00A202FD">
      <w:pPr>
        <w:jc w:val="both"/>
        <w:rPr>
          <w:lang w:eastAsia="en-US"/>
        </w:rPr>
      </w:pPr>
    </w:p>
    <w:p w14:paraId="37658785" w14:textId="77777777" w:rsidR="00374C56" w:rsidRPr="00D53A2B" w:rsidRDefault="00374C56" w:rsidP="00A202FD">
      <w:pPr>
        <w:spacing w:after="40"/>
        <w:jc w:val="both"/>
        <w:rPr>
          <w:b/>
          <w:lang w:eastAsia="en-US"/>
        </w:rPr>
      </w:pPr>
      <w:r w:rsidRPr="00D53A2B">
        <w:rPr>
          <w:b/>
          <w:lang w:eastAsia="en-US"/>
        </w:rPr>
        <w:t>Uygulanabilirlik</w:t>
      </w:r>
    </w:p>
    <w:p w14:paraId="4D0CD39B" w14:textId="4879F3F6" w:rsidR="00374C56" w:rsidRPr="00D53A2B" w:rsidRDefault="00374C56" w:rsidP="00A202FD">
      <w:pPr>
        <w:spacing w:after="240"/>
        <w:jc w:val="both"/>
        <w:rPr>
          <w:lang w:eastAsia="en-US"/>
        </w:rPr>
      </w:pPr>
      <w:r w:rsidRPr="00D53A2B">
        <w:rPr>
          <w:lang w:eastAsia="en-US"/>
        </w:rPr>
        <w:t xml:space="preserve">MET 65.c ve h, mevcut tesislerde </w:t>
      </w:r>
      <w:r w:rsidR="00957B7C" w:rsidRPr="00D53A2B">
        <w:rPr>
          <w:lang w:eastAsia="en-US"/>
        </w:rPr>
        <w:t>geçerli değildir</w:t>
      </w:r>
      <w:r w:rsidRPr="00D53A2B">
        <w:rPr>
          <w:lang w:eastAsia="en-US"/>
        </w:rPr>
        <w:t>.</w:t>
      </w:r>
    </w:p>
    <w:p w14:paraId="001EB66E"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12.</w:t>
      </w:r>
    </w:p>
    <w:p w14:paraId="35495AA0" w14:textId="68C20DCF" w:rsidR="00374C56" w:rsidRPr="00D53A2B" w:rsidRDefault="00957B7C" w:rsidP="00A202FD">
      <w:pPr>
        <w:pStyle w:val="Balk5"/>
        <w:ind w:left="1134" w:hanging="1134"/>
        <w:rPr>
          <w:szCs w:val="24"/>
        </w:rPr>
      </w:pPr>
      <w:r w:rsidRPr="00D53A2B">
        <w:rPr>
          <w:bCs/>
          <w:szCs w:val="24"/>
        </w:rPr>
        <w:t>1.</w:t>
      </w:r>
      <w:r w:rsidR="00374C56" w:rsidRPr="00D53A2B">
        <w:rPr>
          <w:bCs/>
          <w:szCs w:val="24"/>
        </w:rPr>
        <w:t>3.3.1.1</w:t>
      </w:r>
      <w:r w:rsidRPr="00D53A2B">
        <w:rPr>
          <w:bCs/>
          <w:szCs w:val="24"/>
        </w:rPr>
        <w:t xml:space="preserve">. </w:t>
      </w:r>
      <w:r w:rsidR="00374C56" w:rsidRPr="00D53A2B">
        <w:rPr>
          <w:szCs w:val="24"/>
        </w:rPr>
        <w:t>Kanalize edilmiş toz ve florür emisyonları</w:t>
      </w:r>
    </w:p>
    <w:p w14:paraId="18DA39F8" w14:textId="77777777" w:rsidR="00957B7C" w:rsidRPr="00D53A2B" w:rsidRDefault="00957B7C" w:rsidP="00A202FD">
      <w:pPr>
        <w:jc w:val="both"/>
        <w:rPr>
          <w:lang w:val="en-US" w:eastAsia="en-US"/>
        </w:rPr>
      </w:pPr>
    </w:p>
    <w:p w14:paraId="5A267C99" w14:textId="6D880373" w:rsidR="00374C56" w:rsidRPr="00D53A2B" w:rsidRDefault="00921606" w:rsidP="00A202FD">
      <w:pPr>
        <w:pStyle w:val="MET"/>
        <w:rPr>
          <w:szCs w:val="24"/>
        </w:rPr>
      </w:pPr>
      <w:r w:rsidRPr="00D53A2B">
        <w:rPr>
          <w:szCs w:val="24"/>
        </w:rPr>
        <w:t>MET 66:</w:t>
      </w:r>
      <w:r w:rsidR="00957B7C" w:rsidRPr="00D53A2B">
        <w:rPr>
          <w:szCs w:val="24"/>
        </w:rPr>
        <w:t xml:space="preserve"> </w:t>
      </w:r>
      <w:r w:rsidR="00374C56" w:rsidRPr="00D53A2B">
        <w:rPr>
          <w:b w:val="0"/>
          <w:bCs/>
          <w:szCs w:val="24"/>
        </w:rPr>
        <w:t>Hammaddelerin depolanması, taşınması ve nakliyesinden kaynaklanan toz emisyonlarını azaltmak için</w:t>
      </w:r>
      <w:r w:rsidR="004F119D" w:rsidRPr="00D53A2B">
        <w:rPr>
          <w:b w:val="0"/>
          <w:bCs/>
          <w:szCs w:val="24"/>
        </w:rPr>
        <w:t xml:space="preserve">, </w:t>
      </w:r>
      <w:r w:rsidR="00374C56" w:rsidRPr="00D53A2B">
        <w:rPr>
          <w:b w:val="0"/>
          <w:bCs/>
          <w:szCs w:val="24"/>
        </w:rPr>
        <w:t>bir torba filtre kullanıl</w:t>
      </w:r>
      <w:r w:rsidR="004F119D" w:rsidRPr="00D53A2B">
        <w:rPr>
          <w:b w:val="0"/>
          <w:bCs/>
          <w:szCs w:val="24"/>
        </w:rPr>
        <w:t>ır.</w:t>
      </w:r>
    </w:p>
    <w:p w14:paraId="1186E4F5"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10,</w:t>
      </w:r>
    </w:p>
    <w:p w14:paraId="4427F564" w14:textId="77777777" w:rsidR="001023C7" w:rsidRPr="00D53A2B" w:rsidRDefault="00374C56" w:rsidP="00A202FD">
      <w:pPr>
        <w:jc w:val="both"/>
        <w:rPr>
          <w:lang w:eastAsia="en-US"/>
        </w:rPr>
      </w:pPr>
      <w:bookmarkStart w:id="77" w:name="_Toc531927951"/>
      <w:r w:rsidRPr="00D53A2B">
        <w:rPr>
          <w:lang w:eastAsia="en-US"/>
        </w:rPr>
        <w:t xml:space="preserve">Tablo </w:t>
      </w:r>
      <w:r w:rsidRPr="00D53A2B">
        <w:rPr>
          <w:noProof/>
          <w:lang w:eastAsia="en-US"/>
        </w:rPr>
        <w:t>10</w:t>
      </w:r>
    </w:p>
    <w:p w14:paraId="7F0A49A4" w14:textId="167FE95B" w:rsidR="00374C56" w:rsidRPr="00D53A2B" w:rsidRDefault="00374C56" w:rsidP="00A202FD">
      <w:pPr>
        <w:jc w:val="both"/>
        <w:rPr>
          <w:lang w:eastAsia="en-US"/>
        </w:rPr>
      </w:pPr>
      <w:r w:rsidRPr="00D53A2B">
        <w:rPr>
          <w:lang w:eastAsia="en-US"/>
        </w:rPr>
        <w:t>Hammaddelerin depolanması, taşınması ve nakliyesinden kaynaklanan toz emisyonları için MET ile ilişkili emisyon seviyeleri.</w:t>
      </w:r>
      <w:bookmarkEnd w:id="77"/>
    </w:p>
    <w:tbl>
      <w:tblPr>
        <w:tblW w:w="8784" w:type="dxa"/>
        <w:tblLayout w:type="fixed"/>
        <w:tblCellMar>
          <w:left w:w="0" w:type="dxa"/>
          <w:right w:w="0" w:type="dxa"/>
        </w:tblCellMar>
        <w:tblLook w:val="01E0" w:firstRow="1" w:lastRow="1" w:firstColumn="1" w:lastColumn="1" w:noHBand="0" w:noVBand="0"/>
      </w:tblPr>
      <w:tblGrid>
        <w:gridCol w:w="2098"/>
        <w:gridCol w:w="6686"/>
      </w:tblGrid>
      <w:tr w:rsidR="00374C56" w:rsidRPr="00D53A2B" w14:paraId="00FF1A17"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48B81316"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686" w:type="dxa"/>
            <w:tcBorders>
              <w:top w:val="single" w:sz="4" w:space="0" w:color="000000"/>
              <w:left w:val="single" w:sz="4" w:space="0" w:color="000000"/>
              <w:bottom w:val="single" w:sz="4" w:space="0" w:color="000000"/>
              <w:right w:val="single" w:sz="4" w:space="0" w:color="000000"/>
            </w:tcBorders>
            <w:vAlign w:val="center"/>
          </w:tcPr>
          <w:p w14:paraId="58C10C3B"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xml:space="preserve">)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0A32CC1C"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559891F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6686" w:type="dxa"/>
            <w:tcBorders>
              <w:top w:val="single" w:sz="4" w:space="0" w:color="000000"/>
              <w:left w:val="single" w:sz="4" w:space="0" w:color="000000"/>
              <w:bottom w:val="single" w:sz="4" w:space="0" w:color="000000"/>
              <w:right w:val="single" w:sz="4" w:space="0" w:color="000000"/>
            </w:tcBorders>
          </w:tcPr>
          <w:p w14:paraId="5925622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5–10 </w:t>
            </w:r>
            <w:r w:rsidRPr="00D53A2B">
              <w:rPr>
                <w:bCs/>
                <w:sz w:val="22"/>
                <w:szCs w:val="22"/>
                <w:lang w:eastAsia="en-US"/>
              </w:rPr>
              <w:t>(</w:t>
            </w:r>
            <w:r w:rsidRPr="00D53A2B">
              <w:rPr>
                <w:bCs/>
                <w:sz w:val="22"/>
                <w:szCs w:val="22"/>
                <w:vertAlign w:val="superscript"/>
                <w:lang w:eastAsia="en-US"/>
              </w:rPr>
              <w:t>1</w:t>
            </w:r>
            <w:r w:rsidRPr="00D53A2B">
              <w:rPr>
                <w:bCs/>
                <w:sz w:val="22"/>
                <w:szCs w:val="22"/>
                <w:lang w:eastAsia="en-US"/>
              </w:rPr>
              <w:t>)</w:t>
            </w:r>
          </w:p>
        </w:tc>
      </w:tr>
      <w:tr w:rsidR="00374C56" w:rsidRPr="00D53A2B" w14:paraId="2732A116"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59CCF728" w14:textId="454CDF90" w:rsidR="00374C56" w:rsidRPr="00D53A2B" w:rsidRDefault="00374C56" w:rsidP="00A202FD">
            <w:pPr>
              <w:jc w:val="both"/>
              <w:rPr>
                <w:bCs/>
                <w:spacing w:val="2"/>
                <w:sz w:val="22"/>
                <w:szCs w:val="22"/>
                <w:lang w:eastAsia="en-US"/>
              </w:rPr>
            </w:pPr>
            <w:r w:rsidRPr="00D53A2B">
              <w:rPr>
                <w:bCs/>
                <w:spacing w:val="2"/>
                <w:sz w:val="22"/>
                <w:szCs w:val="22"/>
                <w:lang w:eastAsia="en-US"/>
              </w:rPr>
              <w:t>(</w:t>
            </w:r>
            <w:r w:rsidRPr="00D53A2B">
              <w:rPr>
                <w:bCs/>
                <w:spacing w:val="2"/>
                <w:sz w:val="22"/>
                <w:szCs w:val="22"/>
                <w:vertAlign w:val="superscript"/>
                <w:lang w:eastAsia="en-US"/>
              </w:rPr>
              <w:t>1</w:t>
            </w:r>
            <w:r w:rsidRPr="00D53A2B">
              <w:rPr>
                <w:bCs/>
                <w:spacing w:val="2"/>
                <w:sz w:val="22"/>
                <w:szCs w:val="22"/>
                <w:lang w:eastAsia="en-US"/>
              </w:rPr>
              <w:t xml:space="preserve">) </w:t>
            </w:r>
            <w:r w:rsidR="007847FF">
              <w:rPr>
                <w:rStyle w:val="Gvdemetni3a"/>
              </w:rPr>
              <w:t>numune alma</w:t>
            </w:r>
            <w:r w:rsidRPr="00D53A2B">
              <w:rPr>
                <w:bCs/>
                <w:spacing w:val="2"/>
                <w:sz w:val="22"/>
                <w:szCs w:val="22"/>
                <w:lang w:eastAsia="en-US"/>
              </w:rPr>
              <w:t xml:space="preserve"> periyodu boyunca ortalama.</w:t>
            </w:r>
          </w:p>
        </w:tc>
      </w:tr>
    </w:tbl>
    <w:p w14:paraId="5C5A7D84" w14:textId="77777777" w:rsidR="00374C56" w:rsidRPr="00D53A2B" w:rsidRDefault="00374C56" w:rsidP="00A202FD">
      <w:pPr>
        <w:jc w:val="both"/>
        <w:rPr>
          <w:lang w:eastAsia="en-US"/>
        </w:rPr>
      </w:pPr>
    </w:p>
    <w:p w14:paraId="7C74EE61" w14:textId="78E13BD2" w:rsidR="009B35E1" w:rsidRPr="00D53A2B" w:rsidRDefault="009B35E1" w:rsidP="00A202FD">
      <w:pPr>
        <w:tabs>
          <w:tab w:val="left" w:pos="1134"/>
        </w:tabs>
        <w:spacing w:before="120" w:after="200"/>
        <w:jc w:val="both"/>
        <w:rPr>
          <w:lang w:eastAsia="en-US"/>
        </w:rPr>
      </w:pPr>
      <w:r w:rsidRPr="00D53A2B">
        <w:rPr>
          <w:lang w:eastAsia="en-US"/>
        </w:rPr>
        <w:t xml:space="preserve">İlgili izleme </w:t>
      </w:r>
      <w:r w:rsidR="004836E7" w:rsidRPr="00D53A2B">
        <w:rPr>
          <w:lang w:eastAsia="en-US"/>
        </w:rPr>
        <w:t xml:space="preserve">MET </w:t>
      </w:r>
      <w:r w:rsidRPr="00D53A2B">
        <w:rPr>
          <w:lang w:eastAsia="en-US"/>
        </w:rPr>
        <w:t>10</w:t>
      </w:r>
      <w:r w:rsidR="00E56504" w:rsidRPr="00D53A2B">
        <w:rPr>
          <w:lang w:eastAsia="en-US"/>
        </w:rPr>
        <w:t>’</w:t>
      </w:r>
      <w:r w:rsidRPr="00D53A2B">
        <w:rPr>
          <w:lang w:eastAsia="en-US"/>
        </w:rPr>
        <w:t>da yer almaktadır.</w:t>
      </w:r>
    </w:p>
    <w:p w14:paraId="6426A98F" w14:textId="76357921" w:rsidR="00374C56" w:rsidRPr="00D53A2B" w:rsidRDefault="00921606" w:rsidP="00A202FD">
      <w:pPr>
        <w:tabs>
          <w:tab w:val="left" w:pos="1134"/>
        </w:tabs>
        <w:spacing w:before="120" w:after="200"/>
        <w:jc w:val="both"/>
        <w:rPr>
          <w:lang w:eastAsia="en-US"/>
        </w:rPr>
      </w:pPr>
      <w:r w:rsidRPr="00D53A2B">
        <w:rPr>
          <w:b/>
          <w:lang w:eastAsia="en-US"/>
        </w:rPr>
        <w:t>MET 67:</w:t>
      </w:r>
      <w:r w:rsidR="00374C56" w:rsidRPr="00D53A2B">
        <w:rPr>
          <w:b/>
          <w:lang w:eastAsia="en-US"/>
        </w:rPr>
        <w:tab/>
      </w:r>
      <w:r w:rsidR="00374C56" w:rsidRPr="00D53A2B">
        <w:rPr>
          <w:lang w:eastAsia="en-US"/>
        </w:rPr>
        <w:t>Elektrolitik hücrelerden çıkan toz, metal ve florür emisyonlarını azaltmak için</w:t>
      </w:r>
      <w:r w:rsidR="004F119D" w:rsidRPr="00D53A2B">
        <w:rPr>
          <w:lang w:eastAsia="en-US"/>
        </w:rPr>
        <w:t xml:space="preserve">, </w:t>
      </w:r>
      <w:r w:rsidR="00374C56" w:rsidRPr="00D53A2B">
        <w:rPr>
          <w:lang w:eastAsia="en-US"/>
        </w:rPr>
        <w:t>aşağıdaki tekniklerden biri kullanıl</w:t>
      </w:r>
      <w:r w:rsidR="004F119D" w:rsidRPr="00D53A2B">
        <w:rPr>
          <w:lang w:eastAsia="en-US"/>
        </w:rPr>
        <w:t>ır.</w:t>
      </w:r>
    </w:p>
    <w:tbl>
      <w:tblPr>
        <w:tblW w:w="8784" w:type="dxa"/>
        <w:tblLayout w:type="fixed"/>
        <w:tblCellMar>
          <w:left w:w="0" w:type="dxa"/>
          <w:right w:w="0" w:type="dxa"/>
        </w:tblCellMar>
        <w:tblLook w:val="01E0" w:firstRow="1" w:lastRow="1" w:firstColumn="1" w:lastColumn="1" w:noHBand="0" w:noVBand="0"/>
      </w:tblPr>
      <w:tblGrid>
        <w:gridCol w:w="397"/>
        <w:gridCol w:w="3288"/>
        <w:gridCol w:w="5099"/>
      </w:tblGrid>
      <w:tr w:rsidR="00374C56" w:rsidRPr="00D53A2B" w14:paraId="3B453221"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3A43CCC9" w14:textId="77777777" w:rsidR="00374C56" w:rsidRPr="00D53A2B" w:rsidRDefault="00374C56" w:rsidP="00A202FD">
            <w:pPr>
              <w:spacing w:line="264" w:lineRule="auto"/>
              <w:ind w:left="57" w:right="57"/>
              <w:jc w:val="both"/>
              <w:rPr>
                <w:sz w:val="22"/>
                <w:szCs w:val="22"/>
                <w:lang w:eastAsia="en-US"/>
              </w:rPr>
            </w:pPr>
          </w:p>
        </w:tc>
        <w:tc>
          <w:tcPr>
            <w:tcW w:w="3288" w:type="dxa"/>
            <w:tcBorders>
              <w:top w:val="single" w:sz="4" w:space="0" w:color="000000"/>
              <w:left w:val="single" w:sz="4" w:space="0" w:color="000000"/>
              <w:bottom w:val="single" w:sz="4" w:space="0" w:color="000000"/>
              <w:right w:val="single" w:sz="4" w:space="0" w:color="000000"/>
            </w:tcBorders>
            <w:vAlign w:val="center"/>
          </w:tcPr>
          <w:p w14:paraId="5613FBD5"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 (</w:t>
            </w:r>
            <w:r w:rsidRPr="00D53A2B">
              <w:rPr>
                <w:b/>
                <w:bCs/>
                <w:sz w:val="22"/>
                <w:szCs w:val="22"/>
                <w:vertAlign w:val="superscript"/>
                <w:lang w:eastAsia="en-US"/>
              </w:rPr>
              <w:t>1</w:t>
            </w:r>
            <w:r w:rsidRPr="00D53A2B">
              <w:rPr>
                <w:b/>
                <w:bCs/>
                <w:sz w:val="22"/>
                <w:szCs w:val="22"/>
                <w:lang w:eastAsia="en-US"/>
              </w:rPr>
              <w:t>)</w:t>
            </w:r>
          </w:p>
        </w:tc>
        <w:tc>
          <w:tcPr>
            <w:tcW w:w="5099" w:type="dxa"/>
            <w:tcBorders>
              <w:top w:val="single" w:sz="4" w:space="0" w:color="000000"/>
              <w:left w:val="single" w:sz="4" w:space="0" w:color="000000"/>
              <w:bottom w:val="single" w:sz="4" w:space="0" w:color="000000"/>
              <w:right w:val="single" w:sz="4" w:space="0" w:color="000000"/>
            </w:tcBorders>
            <w:vAlign w:val="center"/>
          </w:tcPr>
          <w:p w14:paraId="57B0F8CA"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75F51E23"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68A0E02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3288" w:type="dxa"/>
            <w:tcBorders>
              <w:top w:val="single" w:sz="4" w:space="0" w:color="000000"/>
              <w:left w:val="single" w:sz="4" w:space="0" w:color="000000"/>
              <w:bottom w:val="single" w:sz="4" w:space="0" w:color="000000"/>
              <w:right w:val="single" w:sz="4" w:space="0" w:color="000000"/>
            </w:tcBorders>
            <w:vAlign w:val="center"/>
          </w:tcPr>
          <w:p w14:paraId="7EC4DD0F" w14:textId="493F792E" w:rsidR="00374C56" w:rsidRPr="00D53A2B" w:rsidRDefault="009C6FF0" w:rsidP="00A202FD">
            <w:pPr>
              <w:spacing w:line="264" w:lineRule="auto"/>
              <w:ind w:left="57" w:right="57"/>
              <w:jc w:val="both"/>
              <w:rPr>
                <w:sz w:val="22"/>
                <w:szCs w:val="22"/>
                <w:lang w:eastAsia="en-US"/>
              </w:rPr>
            </w:pPr>
            <w:r w:rsidRPr="00D53A2B">
              <w:rPr>
                <w:sz w:val="22"/>
                <w:szCs w:val="22"/>
                <w:lang w:eastAsia="en-US"/>
              </w:rPr>
              <w:t>Adsorban madde olarak alümina kullanan kuru yıkayıcı ve ardından bir torba filtre</w:t>
            </w:r>
          </w:p>
        </w:tc>
        <w:tc>
          <w:tcPr>
            <w:tcW w:w="5099" w:type="dxa"/>
            <w:tcBorders>
              <w:top w:val="single" w:sz="4" w:space="0" w:color="000000"/>
              <w:left w:val="single" w:sz="4" w:space="0" w:color="000000"/>
              <w:bottom w:val="single" w:sz="4" w:space="0" w:color="000000"/>
              <w:right w:val="single" w:sz="4" w:space="0" w:color="000000"/>
            </w:tcBorders>
            <w:vAlign w:val="center"/>
          </w:tcPr>
          <w:p w14:paraId="616189E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0BE8168A"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57922B2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3288" w:type="dxa"/>
            <w:tcBorders>
              <w:top w:val="single" w:sz="4" w:space="0" w:color="000000"/>
              <w:left w:val="single" w:sz="4" w:space="0" w:color="000000"/>
              <w:bottom w:val="single" w:sz="4" w:space="0" w:color="000000"/>
              <w:right w:val="single" w:sz="4" w:space="0" w:color="000000"/>
            </w:tcBorders>
            <w:vAlign w:val="center"/>
          </w:tcPr>
          <w:p w14:paraId="1D8DB276" w14:textId="78B7CFE9" w:rsidR="00374C56" w:rsidRPr="00D53A2B" w:rsidRDefault="009C6FF0" w:rsidP="00A202FD">
            <w:pPr>
              <w:spacing w:line="264" w:lineRule="auto"/>
              <w:ind w:left="57" w:right="57"/>
              <w:jc w:val="both"/>
              <w:rPr>
                <w:sz w:val="22"/>
                <w:szCs w:val="22"/>
                <w:lang w:eastAsia="en-US"/>
              </w:rPr>
            </w:pPr>
            <w:r w:rsidRPr="00D53A2B">
              <w:rPr>
                <w:sz w:val="22"/>
                <w:szCs w:val="22"/>
                <w:lang w:eastAsia="en-US"/>
              </w:rPr>
              <w:t>Adsorban madde olarak alümina kullanan kuru yıkayıcı, ardından bir torba filtre ve bir sulu yıkayıcı.</w:t>
            </w:r>
          </w:p>
        </w:tc>
        <w:tc>
          <w:tcPr>
            <w:tcW w:w="5099" w:type="dxa"/>
            <w:tcBorders>
              <w:top w:val="single" w:sz="4" w:space="0" w:color="000000"/>
              <w:left w:val="single" w:sz="4" w:space="0" w:color="000000"/>
              <w:bottom w:val="single" w:sz="4" w:space="0" w:color="000000"/>
              <w:right w:val="single" w:sz="4" w:space="0" w:color="000000"/>
            </w:tcBorders>
            <w:vAlign w:val="center"/>
          </w:tcPr>
          <w:p w14:paraId="60041D0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Uygulanabilirlik aşağıdaki durumlarda sınırlı olabilir:</w:t>
            </w:r>
          </w:p>
          <w:p w14:paraId="18DB60CE" w14:textId="077695BD"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w:t>
            </w:r>
            <w:r w:rsidR="009C6FF0" w:rsidRPr="00D53A2B">
              <w:rPr>
                <w:sz w:val="22"/>
                <w:szCs w:val="22"/>
                <w:lang w:eastAsia="en-US"/>
              </w:rPr>
              <w:t xml:space="preserve">çok yüksek çıkış gazı akış hızları (önemli miktarda atık ve </w:t>
            </w:r>
            <w:r w:rsidR="00651500" w:rsidRPr="00D53A2B">
              <w:rPr>
                <w:sz w:val="22"/>
                <w:szCs w:val="22"/>
                <w:lang w:eastAsia="en-US"/>
              </w:rPr>
              <w:t>atıksu</w:t>
            </w:r>
            <w:r w:rsidR="009C6FF0" w:rsidRPr="00D53A2B">
              <w:rPr>
                <w:sz w:val="22"/>
                <w:szCs w:val="22"/>
                <w:lang w:eastAsia="en-US"/>
              </w:rPr>
              <w:t>oluşumu nedeniyle)</w:t>
            </w:r>
          </w:p>
          <w:p w14:paraId="331D7396" w14:textId="242CCD8D"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w:t>
            </w:r>
            <w:r w:rsidR="009C6FF0" w:rsidRPr="00D53A2B">
              <w:rPr>
                <w:sz w:val="22"/>
                <w:szCs w:val="22"/>
                <w:lang w:eastAsia="en-US"/>
              </w:rPr>
              <w:t xml:space="preserve">kurak bölgelerde (gerekli olan büyük su hacmi ve </w:t>
            </w:r>
            <w:r w:rsidR="00651500" w:rsidRPr="00D53A2B">
              <w:rPr>
                <w:sz w:val="22"/>
                <w:szCs w:val="22"/>
                <w:lang w:eastAsia="en-US"/>
              </w:rPr>
              <w:t>atıksu</w:t>
            </w:r>
            <w:r w:rsidR="009C6FF0" w:rsidRPr="00D53A2B">
              <w:rPr>
                <w:sz w:val="22"/>
                <w:szCs w:val="22"/>
                <w:lang w:eastAsia="en-US"/>
              </w:rPr>
              <w:t>arıtma ihtiyacı nedeniyle</w:t>
            </w:r>
          </w:p>
        </w:tc>
      </w:tr>
      <w:tr w:rsidR="00374C56" w:rsidRPr="00D53A2B" w14:paraId="07104A9D" w14:textId="77777777" w:rsidTr="00271877">
        <w:tc>
          <w:tcPr>
            <w:tcW w:w="8784" w:type="dxa"/>
            <w:gridSpan w:val="3"/>
            <w:tcBorders>
              <w:top w:val="single" w:sz="4" w:space="0" w:color="000000"/>
              <w:left w:val="single" w:sz="4" w:space="0" w:color="000000"/>
              <w:bottom w:val="single" w:sz="4" w:space="0" w:color="000000"/>
              <w:right w:val="single" w:sz="4" w:space="0" w:color="000000"/>
            </w:tcBorders>
          </w:tcPr>
          <w:p w14:paraId="61B565D3" w14:textId="498C2962" w:rsidR="00374C56" w:rsidRPr="00D53A2B" w:rsidRDefault="00374C56" w:rsidP="00A202FD">
            <w:pPr>
              <w:spacing w:line="264" w:lineRule="auto"/>
              <w:ind w:left="57" w:right="57"/>
              <w:jc w:val="both"/>
              <w:rPr>
                <w:sz w:val="22"/>
                <w:szCs w:val="22"/>
                <w:lang w:eastAsia="en-US"/>
              </w:rPr>
            </w:pPr>
            <w:r w:rsidRPr="00D53A2B">
              <w:rPr>
                <w:bCs/>
                <w:sz w:val="22"/>
                <w:szCs w:val="22"/>
                <w:lang w:eastAsia="en-US"/>
              </w:rPr>
              <w:t>(</w:t>
            </w:r>
            <w:r w:rsidRPr="00D53A2B">
              <w:rPr>
                <w:bCs/>
                <w:sz w:val="22"/>
                <w:szCs w:val="22"/>
                <w:vertAlign w:val="superscript"/>
                <w:lang w:eastAsia="en-US"/>
              </w:rPr>
              <w:t>1</w:t>
            </w:r>
            <w:r w:rsidRPr="00D53A2B">
              <w:rPr>
                <w:bCs/>
                <w:sz w:val="22"/>
                <w:szCs w:val="22"/>
                <w:lang w:eastAsia="en-US"/>
              </w:rPr>
              <w:t>)</w:t>
            </w:r>
            <w:r w:rsidRPr="00D53A2B">
              <w:rPr>
                <w:b/>
                <w:sz w:val="22"/>
                <w:szCs w:val="22"/>
                <w:lang w:eastAsia="en-US"/>
              </w:rPr>
              <w:t xml:space="preserve"> </w:t>
            </w:r>
            <w:r w:rsidRPr="00D53A2B">
              <w:rPr>
                <w:sz w:val="22"/>
                <w:szCs w:val="22"/>
                <w:lang w:eastAsia="en-US"/>
              </w:rPr>
              <w:t>Tekniklerin açıklamaları Bölüm 1.10</w:t>
            </w:r>
            <w:r w:rsidR="00E56504" w:rsidRPr="00D53A2B">
              <w:rPr>
                <w:sz w:val="22"/>
                <w:szCs w:val="22"/>
                <w:lang w:eastAsia="en-US"/>
              </w:rPr>
              <w:t>’</w:t>
            </w:r>
            <w:r w:rsidRPr="00D53A2B">
              <w:rPr>
                <w:sz w:val="22"/>
                <w:szCs w:val="22"/>
                <w:lang w:eastAsia="en-US"/>
              </w:rPr>
              <w:t>da verilmiştir.</w:t>
            </w:r>
          </w:p>
        </w:tc>
      </w:tr>
    </w:tbl>
    <w:p w14:paraId="170B1F49" w14:textId="77777777" w:rsidR="00374C56" w:rsidRPr="00D53A2B" w:rsidRDefault="00374C56" w:rsidP="00A202FD">
      <w:pPr>
        <w:jc w:val="both"/>
        <w:rPr>
          <w:lang w:eastAsia="en-US"/>
        </w:rPr>
      </w:pPr>
    </w:p>
    <w:p w14:paraId="20BBFA7B"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11 ve Tablo 12.</w:t>
      </w:r>
    </w:p>
    <w:p w14:paraId="4947CC4A" w14:textId="77777777" w:rsidR="001023C7" w:rsidRPr="00D53A2B" w:rsidRDefault="00374C56" w:rsidP="00A202FD">
      <w:pPr>
        <w:jc w:val="both"/>
        <w:rPr>
          <w:lang w:eastAsia="en-US"/>
        </w:rPr>
      </w:pPr>
      <w:bookmarkStart w:id="78" w:name="_Toc531927952"/>
      <w:r w:rsidRPr="00D53A2B">
        <w:rPr>
          <w:lang w:eastAsia="en-US"/>
        </w:rPr>
        <w:t xml:space="preserve">Tablo </w:t>
      </w:r>
      <w:r w:rsidRPr="00D53A2B">
        <w:rPr>
          <w:noProof/>
          <w:lang w:eastAsia="en-US"/>
        </w:rPr>
        <w:t>11</w:t>
      </w:r>
    </w:p>
    <w:p w14:paraId="6684F4AF" w14:textId="16F17CA7" w:rsidR="00374C56" w:rsidRPr="00D53A2B" w:rsidRDefault="00374C56" w:rsidP="00A202FD">
      <w:pPr>
        <w:jc w:val="both"/>
        <w:rPr>
          <w:lang w:eastAsia="en-US"/>
        </w:rPr>
      </w:pPr>
      <w:r w:rsidRPr="00D53A2B">
        <w:rPr>
          <w:lang w:eastAsia="en-US"/>
        </w:rPr>
        <w:t>Elektrolitik hücrelerden çıkan toz ve florür emisyonları için MET ile ilişkili emisyon seviyeleri.</w:t>
      </w:r>
      <w:bookmarkEnd w:id="78"/>
    </w:p>
    <w:tbl>
      <w:tblPr>
        <w:tblW w:w="8784" w:type="dxa"/>
        <w:tblLayout w:type="fixed"/>
        <w:tblCellMar>
          <w:left w:w="0" w:type="dxa"/>
          <w:right w:w="0" w:type="dxa"/>
        </w:tblCellMar>
        <w:tblLook w:val="01E0" w:firstRow="1" w:lastRow="1" w:firstColumn="1" w:lastColumn="1" w:noHBand="0" w:noVBand="0"/>
      </w:tblPr>
      <w:tblGrid>
        <w:gridCol w:w="2098"/>
        <w:gridCol w:w="6686"/>
      </w:tblGrid>
      <w:tr w:rsidR="00374C56" w:rsidRPr="00D53A2B" w14:paraId="766739D1"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15ABB9AA"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686" w:type="dxa"/>
            <w:tcBorders>
              <w:top w:val="single" w:sz="4" w:space="0" w:color="000000"/>
              <w:left w:val="single" w:sz="4" w:space="0" w:color="000000"/>
              <w:bottom w:val="single" w:sz="4" w:space="0" w:color="000000"/>
              <w:right w:val="single" w:sz="4" w:space="0" w:color="000000"/>
            </w:tcBorders>
            <w:vAlign w:val="center"/>
          </w:tcPr>
          <w:p w14:paraId="77FE6B4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w:t>
            </w:r>
          </w:p>
        </w:tc>
      </w:tr>
      <w:tr w:rsidR="00374C56" w:rsidRPr="00D53A2B" w14:paraId="0657BB2C"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712206D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6686" w:type="dxa"/>
            <w:tcBorders>
              <w:top w:val="single" w:sz="4" w:space="0" w:color="000000"/>
              <w:left w:val="single" w:sz="4" w:space="0" w:color="000000"/>
              <w:bottom w:val="single" w:sz="4" w:space="0" w:color="000000"/>
              <w:right w:val="single" w:sz="4" w:space="0" w:color="000000"/>
            </w:tcBorders>
          </w:tcPr>
          <w:p w14:paraId="416CCF4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2–5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38DAE694"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6EB4303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HF</w:t>
            </w:r>
          </w:p>
        </w:tc>
        <w:tc>
          <w:tcPr>
            <w:tcW w:w="6686" w:type="dxa"/>
            <w:tcBorders>
              <w:top w:val="single" w:sz="4" w:space="0" w:color="000000"/>
              <w:left w:val="single" w:sz="4" w:space="0" w:color="000000"/>
              <w:bottom w:val="single" w:sz="4" w:space="0" w:color="000000"/>
              <w:right w:val="single" w:sz="4" w:space="0" w:color="000000"/>
            </w:tcBorders>
          </w:tcPr>
          <w:p w14:paraId="11A9C44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1,0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2BEB3E45"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40CC83F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Toplam Florürler</w:t>
            </w:r>
          </w:p>
        </w:tc>
        <w:tc>
          <w:tcPr>
            <w:tcW w:w="6686" w:type="dxa"/>
            <w:tcBorders>
              <w:top w:val="single" w:sz="4" w:space="0" w:color="000000"/>
              <w:left w:val="single" w:sz="4" w:space="0" w:color="000000"/>
              <w:bottom w:val="single" w:sz="4" w:space="0" w:color="000000"/>
              <w:right w:val="single" w:sz="4" w:space="0" w:color="000000"/>
            </w:tcBorders>
          </w:tcPr>
          <w:p w14:paraId="00F0AB6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1,5 </w:t>
            </w:r>
            <w:r w:rsidRPr="00D53A2B">
              <w:rPr>
                <w:b/>
                <w:sz w:val="22"/>
                <w:szCs w:val="22"/>
                <w:lang w:eastAsia="en-US"/>
              </w:rPr>
              <w:t>(</w:t>
            </w:r>
            <w:r w:rsidRPr="00D53A2B">
              <w:rPr>
                <w:b/>
                <w:sz w:val="22"/>
                <w:szCs w:val="22"/>
                <w:vertAlign w:val="superscript"/>
                <w:lang w:eastAsia="en-US"/>
              </w:rPr>
              <w:t>2</w:t>
            </w:r>
            <w:r w:rsidRPr="00D53A2B">
              <w:rPr>
                <w:b/>
                <w:sz w:val="22"/>
                <w:szCs w:val="22"/>
                <w:lang w:eastAsia="en-US"/>
              </w:rPr>
              <w:t>)</w:t>
            </w:r>
          </w:p>
        </w:tc>
      </w:tr>
      <w:tr w:rsidR="00374C56" w:rsidRPr="00D53A2B" w14:paraId="2ED41AAD"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2C0C72BE" w14:textId="0825224E" w:rsidR="004836E7" w:rsidRPr="00D53A2B" w:rsidRDefault="004836E7" w:rsidP="00A202FD">
            <w:pPr>
              <w:jc w:val="both"/>
              <w:rPr>
                <w:spacing w:val="2"/>
                <w:sz w:val="22"/>
                <w:szCs w:val="22"/>
                <w:lang w:eastAsia="en-US"/>
              </w:rPr>
            </w:pPr>
            <w:r w:rsidRPr="00D53A2B">
              <w:rPr>
                <w:spacing w:val="2"/>
                <w:sz w:val="22"/>
                <w:szCs w:val="22"/>
                <w:lang w:eastAsia="en-US"/>
              </w:rPr>
              <w:t>(</w:t>
            </w:r>
            <w:r w:rsidRPr="00D53A2B">
              <w:rPr>
                <w:spacing w:val="2"/>
                <w:sz w:val="22"/>
                <w:szCs w:val="22"/>
                <w:vertAlign w:val="superscript"/>
                <w:lang w:eastAsia="en-US"/>
              </w:rPr>
              <w:t>1</w:t>
            </w:r>
            <w:r w:rsidRPr="00D53A2B">
              <w:rPr>
                <w:spacing w:val="2"/>
                <w:sz w:val="22"/>
                <w:szCs w:val="22"/>
                <w:lang w:eastAsia="en-US"/>
              </w:rPr>
              <w:t xml:space="preserve">) Günlük ortalama ya da </w:t>
            </w:r>
            <w:r w:rsidR="007847FF">
              <w:rPr>
                <w:rStyle w:val="Gvdemetni3a"/>
              </w:rPr>
              <w:t>numune alma</w:t>
            </w:r>
            <w:r w:rsidRPr="00D53A2B">
              <w:rPr>
                <w:spacing w:val="2"/>
                <w:sz w:val="22"/>
                <w:szCs w:val="22"/>
                <w:lang w:eastAsia="en-US"/>
              </w:rPr>
              <w:t xml:space="preserve"> dönemi boyunca ortalama.</w:t>
            </w:r>
          </w:p>
          <w:p w14:paraId="4AC62707" w14:textId="28FA2F14" w:rsidR="00374C56" w:rsidRPr="00D53A2B" w:rsidRDefault="004836E7"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2</w:t>
            </w:r>
            <w:r w:rsidRPr="00D53A2B">
              <w:rPr>
                <w:sz w:val="22"/>
                <w:szCs w:val="22"/>
                <w:lang w:eastAsia="en-US"/>
              </w:rPr>
              <w:t xml:space="preserve">) </w:t>
            </w:r>
            <w:r w:rsidR="007847FF">
              <w:rPr>
                <w:rStyle w:val="Gvdemetni3a"/>
              </w:rPr>
              <w:t>numune alma</w:t>
            </w:r>
            <w:r w:rsidRPr="00D53A2B">
              <w:rPr>
                <w:sz w:val="22"/>
                <w:szCs w:val="22"/>
                <w:lang w:eastAsia="en-US"/>
              </w:rPr>
              <w:t xml:space="preserve"> dönemi boyunca ortalama.</w:t>
            </w:r>
          </w:p>
        </w:tc>
      </w:tr>
    </w:tbl>
    <w:p w14:paraId="1A101E3D" w14:textId="77777777" w:rsidR="00374C56" w:rsidRPr="00D53A2B" w:rsidRDefault="00374C56" w:rsidP="00A202FD">
      <w:pPr>
        <w:jc w:val="both"/>
        <w:rPr>
          <w:lang w:eastAsia="en-US"/>
        </w:rPr>
      </w:pPr>
    </w:p>
    <w:p w14:paraId="21E93BC0" w14:textId="5BE529CA" w:rsidR="009C6FF0" w:rsidRPr="00D53A2B" w:rsidRDefault="009C6FF0" w:rsidP="00A202FD">
      <w:pPr>
        <w:jc w:val="both"/>
        <w:rPr>
          <w:lang w:eastAsia="en-US"/>
        </w:rPr>
      </w:pPr>
      <w:r w:rsidRPr="00D53A2B">
        <w:rPr>
          <w:lang w:eastAsia="en-US"/>
        </w:rPr>
        <w:t xml:space="preserve">İlgili izleme </w:t>
      </w:r>
      <w:r w:rsidR="004836E7" w:rsidRPr="00D53A2B">
        <w:rPr>
          <w:lang w:eastAsia="en-US"/>
        </w:rPr>
        <w:t>MET</w:t>
      </w:r>
      <w:r w:rsidRPr="00D53A2B">
        <w:rPr>
          <w:lang w:eastAsia="en-US"/>
        </w:rPr>
        <w:t xml:space="preserve"> 10</w:t>
      </w:r>
      <w:r w:rsidR="00E56504" w:rsidRPr="00D53A2B">
        <w:rPr>
          <w:lang w:eastAsia="en-US"/>
        </w:rPr>
        <w:t>’</w:t>
      </w:r>
      <w:r w:rsidRPr="00D53A2B">
        <w:rPr>
          <w:lang w:eastAsia="en-US"/>
        </w:rPr>
        <w:t>da yer almaktadır.</w:t>
      </w:r>
    </w:p>
    <w:p w14:paraId="40E04829" w14:textId="77777777" w:rsidR="009C6FF0" w:rsidRPr="00D53A2B" w:rsidRDefault="009C6FF0" w:rsidP="00A202FD">
      <w:pPr>
        <w:jc w:val="both"/>
        <w:rPr>
          <w:lang w:eastAsia="en-US"/>
        </w:rPr>
      </w:pPr>
    </w:p>
    <w:p w14:paraId="72A2FBA8" w14:textId="68F4B8CC" w:rsidR="00374C56" w:rsidRPr="00D53A2B" w:rsidRDefault="009C6FF0" w:rsidP="00A202FD">
      <w:pPr>
        <w:pStyle w:val="Balk5"/>
        <w:ind w:left="1134" w:hanging="1134"/>
        <w:rPr>
          <w:szCs w:val="24"/>
        </w:rPr>
      </w:pPr>
      <w:r w:rsidRPr="00D53A2B">
        <w:rPr>
          <w:bCs/>
          <w:szCs w:val="24"/>
        </w:rPr>
        <w:t>1.</w:t>
      </w:r>
      <w:r w:rsidR="00374C56" w:rsidRPr="00D53A2B">
        <w:rPr>
          <w:bCs/>
          <w:szCs w:val="24"/>
        </w:rPr>
        <w:t>3.3.1.2</w:t>
      </w:r>
      <w:r w:rsidRPr="00D53A2B">
        <w:rPr>
          <w:bCs/>
          <w:szCs w:val="24"/>
        </w:rPr>
        <w:t>.</w:t>
      </w:r>
      <w:r w:rsidR="00374C56" w:rsidRPr="00D53A2B">
        <w:rPr>
          <w:bCs/>
          <w:szCs w:val="24"/>
        </w:rPr>
        <w:t xml:space="preserve"> </w:t>
      </w:r>
      <w:r w:rsidR="00374C56" w:rsidRPr="00D53A2B">
        <w:rPr>
          <w:szCs w:val="24"/>
        </w:rPr>
        <w:t>Toplam toz ve florür emisyonları</w:t>
      </w:r>
    </w:p>
    <w:p w14:paraId="74C5EDF4" w14:textId="4EF60015" w:rsidR="009C6FF0" w:rsidRPr="00D53A2B" w:rsidRDefault="009C6FF0" w:rsidP="00A202FD">
      <w:pPr>
        <w:jc w:val="both"/>
        <w:rPr>
          <w:lang w:eastAsia="en-US"/>
        </w:rPr>
      </w:pPr>
      <w:bookmarkStart w:id="79" w:name="_Toc531927953"/>
      <w:r w:rsidRPr="00D53A2B">
        <w:rPr>
          <w:lang w:eastAsia="en-US"/>
        </w:rPr>
        <w:t xml:space="preserve">Elektrolizhaneden havaya yayılan toplam toz ve florür emisyonları için </w:t>
      </w:r>
      <w:r w:rsidR="00651500" w:rsidRPr="00D53A2B">
        <w:rPr>
          <w:lang w:eastAsia="en-US"/>
        </w:rPr>
        <w:t>MET</w:t>
      </w:r>
      <w:r w:rsidRPr="00D53A2B">
        <w:rPr>
          <w:lang w:eastAsia="en-US"/>
        </w:rPr>
        <w:t>ile ilişkili emisyon seviyeleri (elektrolitik hücrelerden ve çatı havalandırmalarından toplanan): Tablo 12</w:t>
      </w:r>
      <w:r w:rsidR="00E56504" w:rsidRPr="00D53A2B">
        <w:rPr>
          <w:lang w:eastAsia="en-US"/>
        </w:rPr>
        <w:t>’</w:t>
      </w:r>
      <w:r w:rsidRPr="00D53A2B">
        <w:rPr>
          <w:lang w:eastAsia="en-US"/>
        </w:rPr>
        <w:t>ye bakınız.</w:t>
      </w:r>
    </w:p>
    <w:p w14:paraId="58FF0254" w14:textId="77777777" w:rsidR="009C6FF0" w:rsidRPr="00D53A2B" w:rsidRDefault="009C6FF0" w:rsidP="00A202FD">
      <w:pPr>
        <w:jc w:val="both"/>
        <w:rPr>
          <w:lang w:eastAsia="en-US"/>
        </w:rPr>
      </w:pPr>
    </w:p>
    <w:p w14:paraId="434AF22A" w14:textId="77777777" w:rsidR="001023C7" w:rsidRPr="00D53A2B" w:rsidRDefault="00374C56" w:rsidP="00A202FD">
      <w:pPr>
        <w:jc w:val="both"/>
        <w:rPr>
          <w:lang w:eastAsia="en-US"/>
        </w:rPr>
      </w:pPr>
      <w:r w:rsidRPr="00D53A2B">
        <w:rPr>
          <w:lang w:eastAsia="en-US"/>
        </w:rPr>
        <w:t xml:space="preserve">Tablo </w:t>
      </w:r>
      <w:r w:rsidRPr="00D53A2B">
        <w:rPr>
          <w:noProof/>
          <w:lang w:eastAsia="en-US"/>
        </w:rPr>
        <w:t>12</w:t>
      </w:r>
      <w:bookmarkEnd w:id="79"/>
    </w:p>
    <w:p w14:paraId="38986D35" w14:textId="7251B2F2" w:rsidR="00374C56" w:rsidRPr="00D53A2B" w:rsidRDefault="009C6FF0" w:rsidP="00A202FD">
      <w:pPr>
        <w:jc w:val="both"/>
        <w:rPr>
          <w:lang w:eastAsia="en-US"/>
        </w:rPr>
      </w:pPr>
      <w:r w:rsidRPr="00D53A2B">
        <w:rPr>
          <w:lang w:eastAsia="en-US"/>
        </w:rPr>
        <w:t xml:space="preserve">Elektrolizhaneden havaya yayılan toplam toz ve florür emisyonları için </w:t>
      </w:r>
      <w:r w:rsidR="00651500" w:rsidRPr="00D53A2B">
        <w:rPr>
          <w:lang w:eastAsia="en-US"/>
        </w:rPr>
        <w:t>MET</w:t>
      </w:r>
      <w:r w:rsidRPr="00D53A2B">
        <w:rPr>
          <w:lang w:eastAsia="en-US"/>
        </w:rPr>
        <w:t>ile ilişkili emisyon seviyeleri (elektrolitik hücrelerden ve çatı havalandırmalarından toplanan)</w:t>
      </w:r>
    </w:p>
    <w:tbl>
      <w:tblPr>
        <w:tblW w:w="8731" w:type="dxa"/>
        <w:tblLayout w:type="fixed"/>
        <w:tblCellMar>
          <w:left w:w="0" w:type="dxa"/>
          <w:right w:w="0" w:type="dxa"/>
        </w:tblCellMar>
        <w:tblLook w:val="01E0" w:firstRow="1" w:lastRow="1" w:firstColumn="1" w:lastColumn="1" w:noHBand="0" w:noVBand="0"/>
      </w:tblPr>
      <w:tblGrid>
        <w:gridCol w:w="1529"/>
        <w:gridCol w:w="2264"/>
        <w:gridCol w:w="2608"/>
        <w:gridCol w:w="2324"/>
        <w:gridCol w:w="6"/>
      </w:tblGrid>
      <w:tr w:rsidR="00374C56" w:rsidRPr="00D53A2B" w14:paraId="377F00BE" w14:textId="77777777" w:rsidTr="00374C56">
        <w:trPr>
          <w:gridAfter w:val="1"/>
          <w:wAfter w:w="6" w:type="dxa"/>
        </w:trPr>
        <w:tc>
          <w:tcPr>
            <w:tcW w:w="1529" w:type="dxa"/>
            <w:tcBorders>
              <w:top w:val="single" w:sz="4" w:space="0" w:color="000000"/>
              <w:left w:val="single" w:sz="4" w:space="0" w:color="000000"/>
              <w:bottom w:val="single" w:sz="4" w:space="0" w:color="000000"/>
              <w:right w:val="single" w:sz="4" w:space="0" w:color="000000"/>
            </w:tcBorders>
            <w:vAlign w:val="center"/>
          </w:tcPr>
          <w:p w14:paraId="4AA24DEA"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2264" w:type="dxa"/>
            <w:tcBorders>
              <w:top w:val="single" w:sz="4" w:space="0" w:color="000000"/>
              <w:left w:val="single" w:sz="4" w:space="0" w:color="000000"/>
              <w:bottom w:val="single" w:sz="4" w:space="0" w:color="000000"/>
              <w:right w:val="single" w:sz="4" w:space="0" w:color="000000"/>
            </w:tcBorders>
            <w:vAlign w:val="center"/>
          </w:tcPr>
          <w:p w14:paraId="4F93E4A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w:t>
            </w:r>
          </w:p>
        </w:tc>
        <w:tc>
          <w:tcPr>
            <w:tcW w:w="2608" w:type="dxa"/>
            <w:tcBorders>
              <w:top w:val="single" w:sz="4" w:space="0" w:color="000000"/>
              <w:left w:val="single" w:sz="4" w:space="0" w:color="000000"/>
              <w:bottom w:val="single" w:sz="4" w:space="0" w:color="000000"/>
              <w:right w:val="single" w:sz="4" w:space="0" w:color="000000"/>
            </w:tcBorders>
            <w:vAlign w:val="center"/>
          </w:tcPr>
          <w:p w14:paraId="77B86C14" w14:textId="77777777" w:rsidR="00374C56" w:rsidRPr="00D53A2B" w:rsidRDefault="00374C56" w:rsidP="00A202FD">
            <w:pPr>
              <w:spacing w:line="264" w:lineRule="auto"/>
              <w:ind w:left="57" w:right="57"/>
              <w:jc w:val="both"/>
              <w:rPr>
                <w:b/>
                <w:bCs/>
                <w:sz w:val="22"/>
                <w:szCs w:val="22"/>
                <w:lang w:eastAsia="en-US"/>
              </w:rPr>
            </w:pPr>
            <w:r w:rsidRPr="00D53A2B">
              <w:rPr>
                <w:b/>
                <w:bCs/>
                <w:sz w:val="22"/>
                <w:szCs w:val="22"/>
                <w:lang w:eastAsia="en-US"/>
              </w:rPr>
              <w:t>Mevcut tesisler için</w:t>
            </w:r>
          </w:p>
          <w:p w14:paraId="7917340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(kg/t Al) (</w:t>
            </w:r>
            <w:r w:rsidRPr="00D53A2B">
              <w:rPr>
                <w:b/>
                <w:bCs/>
                <w:sz w:val="22"/>
                <w:szCs w:val="22"/>
                <w:vertAlign w:val="superscript"/>
                <w:lang w:eastAsia="en-US"/>
              </w:rPr>
              <w:t>1</w:t>
            </w:r>
            <w:r w:rsidRPr="00D53A2B">
              <w:rPr>
                <w:b/>
                <w:bCs/>
                <w:sz w:val="22"/>
                <w:szCs w:val="22"/>
                <w:lang w:eastAsia="en-US"/>
              </w:rPr>
              <w:t>)(</w:t>
            </w:r>
            <w:r w:rsidRPr="00D53A2B">
              <w:rPr>
                <w:b/>
                <w:bCs/>
                <w:sz w:val="22"/>
                <w:szCs w:val="22"/>
                <w:vertAlign w:val="superscript"/>
                <w:lang w:eastAsia="en-US"/>
              </w:rPr>
              <w:t>2</w:t>
            </w:r>
            <w:r w:rsidRPr="00D53A2B">
              <w:rPr>
                <w:b/>
                <w:bCs/>
                <w:sz w:val="22"/>
                <w:szCs w:val="22"/>
                <w:lang w:eastAsia="en-US"/>
              </w:rPr>
              <w:t>)</w:t>
            </w:r>
          </w:p>
        </w:tc>
        <w:tc>
          <w:tcPr>
            <w:tcW w:w="2324" w:type="dxa"/>
            <w:tcBorders>
              <w:top w:val="single" w:sz="4" w:space="0" w:color="000000"/>
              <w:left w:val="single" w:sz="4" w:space="0" w:color="000000"/>
              <w:bottom w:val="single" w:sz="4" w:space="0" w:color="000000"/>
              <w:right w:val="single" w:sz="4" w:space="0" w:color="000000"/>
            </w:tcBorders>
            <w:vAlign w:val="center"/>
          </w:tcPr>
          <w:p w14:paraId="0A34A913" w14:textId="77777777" w:rsidR="00374C56" w:rsidRPr="00D53A2B" w:rsidRDefault="00374C56" w:rsidP="00A202FD">
            <w:pPr>
              <w:spacing w:line="264" w:lineRule="auto"/>
              <w:ind w:left="57" w:right="57"/>
              <w:jc w:val="both"/>
              <w:rPr>
                <w:b/>
                <w:bCs/>
                <w:sz w:val="22"/>
                <w:szCs w:val="22"/>
                <w:lang w:eastAsia="en-US"/>
              </w:rPr>
            </w:pPr>
            <w:r w:rsidRPr="00D53A2B">
              <w:rPr>
                <w:b/>
                <w:bCs/>
                <w:sz w:val="22"/>
                <w:szCs w:val="22"/>
                <w:lang w:eastAsia="en-US"/>
              </w:rPr>
              <w:t>Yeni tesisler için</w:t>
            </w:r>
          </w:p>
          <w:p w14:paraId="2146E2FE"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(kg/t Al) (</w:t>
            </w:r>
            <w:r w:rsidRPr="00D53A2B">
              <w:rPr>
                <w:b/>
                <w:bCs/>
                <w:sz w:val="22"/>
                <w:szCs w:val="22"/>
                <w:vertAlign w:val="superscript"/>
                <w:lang w:eastAsia="en-US"/>
              </w:rPr>
              <w:t>1</w:t>
            </w:r>
            <w:r w:rsidRPr="00D53A2B">
              <w:rPr>
                <w:b/>
                <w:bCs/>
                <w:sz w:val="22"/>
                <w:szCs w:val="22"/>
                <w:lang w:eastAsia="en-US"/>
              </w:rPr>
              <w:t>)</w:t>
            </w:r>
          </w:p>
        </w:tc>
      </w:tr>
      <w:tr w:rsidR="00374C56" w:rsidRPr="00D53A2B" w14:paraId="73B72CEE" w14:textId="77777777" w:rsidTr="00374C56">
        <w:trPr>
          <w:gridAfter w:val="1"/>
          <w:wAfter w:w="6" w:type="dxa"/>
        </w:trPr>
        <w:tc>
          <w:tcPr>
            <w:tcW w:w="1529" w:type="dxa"/>
            <w:tcBorders>
              <w:top w:val="single" w:sz="4" w:space="0" w:color="000000"/>
              <w:left w:val="single" w:sz="4" w:space="0" w:color="000000"/>
              <w:bottom w:val="single" w:sz="4" w:space="0" w:color="000000"/>
              <w:right w:val="single" w:sz="4" w:space="0" w:color="000000"/>
            </w:tcBorders>
            <w:vAlign w:val="center"/>
          </w:tcPr>
          <w:p w14:paraId="1E4C440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2264" w:type="dxa"/>
            <w:vMerge w:val="restart"/>
            <w:tcBorders>
              <w:top w:val="single" w:sz="4" w:space="0" w:color="000000"/>
              <w:left w:val="single" w:sz="4" w:space="0" w:color="000000"/>
              <w:right w:val="single" w:sz="4" w:space="0" w:color="000000"/>
            </w:tcBorders>
            <w:vAlign w:val="center"/>
          </w:tcPr>
          <w:p w14:paraId="6EDA9390" w14:textId="0B946253" w:rsidR="00374C56" w:rsidRPr="00D53A2B" w:rsidRDefault="00651500" w:rsidP="00A202FD">
            <w:pPr>
              <w:spacing w:line="264" w:lineRule="auto"/>
              <w:ind w:left="57" w:right="57"/>
              <w:jc w:val="both"/>
              <w:rPr>
                <w:sz w:val="22"/>
                <w:szCs w:val="22"/>
                <w:lang w:eastAsia="en-US"/>
              </w:rPr>
            </w:pPr>
            <w:r w:rsidRPr="00D53A2B">
              <w:rPr>
                <w:sz w:val="22"/>
                <w:szCs w:val="22"/>
                <w:lang w:eastAsia="en-US"/>
              </w:rPr>
              <w:t>MET</w:t>
            </w:r>
            <w:r w:rsidR="00374C56" w:rsidRPr="00D53A2B">
              <w:rPr>
                <w:sz w:val="22"/>
                <w:szCs w:val="22"/>
                <w:lang w:eastAsia="en-US"/>
              </w:rPr>
              <w:t xml:space="preserve">64, </w:t>
            </w:r>
            <w:r w:rsidRPr="00D53A2B">
              <w:rPr>
                <w:sz w:val="22"/>
                <w:szCs w:val="22"/>
                <w:lang w:eastAsia="en-US"/>
              </w:rPr>
              <w:t>MET</w:t>
            </w:r>
            <w:r w:rsidR="00374C56" w:rsidRPr="00D53A2B">
              <w:rPr>
                <w:sz w:val="22"/>
                <w:szCs w:val="22"/>
                <w:lang w:eastAsia="en-US"/>
              </w:rPr>
              <w:t xml:space="preserve">65 ve </w:t>
            </w:r>
            <w:r w:rsidRPr="00D53A2B">
              <w:rPr>
                <w:sz w:val="22"/>
                <w:szCs w:val="22"/>
                <w:lang w:eastAsia="en-US"/>
              </w:rPr>
              <w:t>MET</w:t>
            </w:r>
            <w:r w:rsidR="00374C56" w:rsidRPr="00D53A2B">
              <w:rPr>
                <w:sz w:val="22"/>
                <w:szCs w:val="22"/>
                <w:lang w:eastAsia="en-US"/>
              </w:rPr>
              <w:t>67 kombinasyonu</w:t>
            </w:r>
          </w:p>
        </w:tc>
        <w:tc>
          <w:tcPr>
            <w:tcW w:w="2608" w:type="dxa"/>
            <w:tcBorders>
              <w:top w:val="single" w:sz="4" w:space="0" w:color="000000"/>
              <w:left w:val="single" w:sz="4" w:space="0" w:color="000000"/>
              <w:bottom w:val="single" w:sz="4" w:space="0" w:color="000000"/>
              <w:right w:val="single" w:sz="4" w:space="0" w:color="000000"/>
            </w:tcBorders>
            <w:vAlign w:val="center"/>
          </w:tcPr>
          <w:p w14:paraId="525BDF0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1,2</w:t>
            </w:r>
          </w:p>
        </w:tc>
        <w:tc>
          <w:tcPr>
            <w:tcW w:w="2324" w:type="dxa"/>
            <w:tcBorders>
              <w:top w:val="single" w:sz="4" w:space="0" w:color="000000"/>
              <w:left w:val="single" w:sz="4" w:space="0" w:color="000000"/>
              <w:bottom w:val="single" w:sz="4" w:space="0" w:color="000000"/>
              <w:right w:val="single" w:sz="4" w:space="0" w:color="000000"/>
            </w:tcBorders>
            <w:vAlign w:val="center"/>
          </w:tcPr>
          <w:p w14:paraId="298879D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0,6</w:t>
            </w:r>
          </w:p>
        </w:tc>
      </w:tr>
      <w:tr w:rsidR="00374C56" w:rsidRPr="00D53A2B" w14:paraId="7735ECCF" w14:textId="77777777" w:rsidTr="00374C56">
        <w:trPr>
          <w:gridAfter w:val="1"/>
          <w:wAfter w:w="6" w:type="dxa"/>
        </w:trPr>
        <w:tc>
          <w:tcPr>
            <w:tcW w:w="1529" w:type="dxa"/>
            <w:tcBorders>
              <w:top w:val="single" w:sz="4" w:space="0" w:color="000000"/>
              <w:left w:val="single" w:sz="4" w:space="0" w:color="000000"/>
              <w:bottom w:val="single" w:sz="4" w:space="0" w:color="000000"/>
              <w:right w:val="single" w:sz="4" w:space="0" w:color="000000"/>
            </w:tcBorders>
            <w:vAlign w:val="center"/>
          </w:tcPr>
          <w:p w14:paraId="5543A20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Toplam Florürler</w:t>
            </w:r>
          </w:p>
        </w:tc>
        <w:tc>
          <w:tcPr>
            <w:tcW w:w="2264" w:type="dxa"/>
            <w:vMerge/>
            <w:tcBorders>
              <w:left w:val="single" w:sz="4" w:space="0" w:color="000000"/>
              <w:bottom w:val="single" w:sz="4" w:space="0" w:color="000000"/>
              <w:right w:val="single" w:sz="4" w:space="0" w:color="000000"/>
            </w:tcBorders>
            <w:vAlign w:val="center"/>
          </w:tcPr>
          <w:p w14:paraId="1EAB6186" w14:textId="77777777" w:rsidR="00374C56" w:rsidRPr="00D53A2B" w:rsidRDefault="00374C56" w:rsidP="00A202FD">
            <w:pPr>
              <w:spacing w:line="264" w:lineRule="auto"/>
              <w:ind w:left="57" w:right="57"/>
              <w:jc w:val="both"/>
              <w:rPr>
                <w:sz w:val="22"/>
                <w:szCs w:val="22"/>
                <w:lang w:eastAsia="en-US"/>
              </w:rPr>
            </w:pPr>
          </w:p>
        </w:tc>
        <w:tc>
          <w:tcPr>
            <w:tcW w:w="2608" w:type="dxa"/>
            <w:tcBorders>
              <w:top w:val="single" w:sz="4" w:space="0" w:color="000000"/>
              <w:left w:val="single" w:sz="4" w:space="0" w:color="000000"/>
              <w:bottom w:val="single" w:sz="4" w:space="0" w:color="000000"/>
              <w:right w:val="single" w:sz="4" w:space="0" w:color="000000"/>
            </w:tcBorders>
            <w:vAlign w:val="center"/>
          </w:tcPr>
          <w:p w14:paraId="2FC9250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0,6</w:t>
            </w:r>
          </w:p>
        </w:tc>
        <w:tc>
          <w:tcPr>
            <w:tcW w:w="2324" w:type="dxa"/>
            <w:tcBorders>
              <w:top w:val="single" w:sz="4" w:space="0" w:color="000000"/>
              <w:left w:val="single" w:sz="4" w:space="0" w:color="000000"/>
              <w:bottom w:val="single" w:sz="4" w:space="0" w:color="000000"/>
              <w:right w:val="single" w:sz="4" w:space="0" w:color="000000"/>
            </w:tcBorders>
            <w:vAlign w:val="center"/>
          </w:tcPr>
          <w:p w14:paraId="529D4A3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0,35</w:t>
            </w:r>
          </w:p>
        </w:tc>
      </w:tr>
      <w:tr w:rsidR="00374C56" w:rsidRPr="00D53A2B" w14:paraId="15370E39" w14:textId="77777777" w:rsidTr="00374C56">
        <w:tc>
          <w:tcPr>
            <w:tcW w:w="8731" w:type="dxa"/>
            <w:gridSpan w:val="5"/>
            <w:tcBorders>
              <w:top w:val="single" w:sz="4" w:space="0" w:color="000000"/>
              <w:left w:val="single" w:sz="4" w:space="0" w:color="000000"/>
              <w:bottom w:val="single" w:sz="4" w:space="0" w:color="000000"/>
              <w:right w:val="single" w:sz="4" w:space="0" w:color="000000"/>
            </w:tcBorders>
            <w:vAlign w:val="center"/>
          </w:tcPr>
          <w:p w14:paraId="6ACABB8E" w14:textId="44740124" w:rsidR="00374C56" w:rsidRPr="009077F5" w:rsidRDefault="00374C56" w:rsidP="00A202FD">
            <w:pPr>
              <w:spacing w:line="264" w:lineRule="auto"/>
              <w:ind w:left="57" w:right="57"/>
              <w:jc w:val="both"/>
              <w:rPr>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 xml:space="preserve">) </w:t>
            </w:r>
            <w:r w:rsidR="002377FC" w:rsidRPr="009077F5">
              <w:rPr>
                <w:sz w:val="20"/>
                <w:szCs w:val="20"/>
                <w:lang w:eastAsia="en-US"/>
              </w:rPr>
              <w:t>Bir yıl boyunca elektroliz ünitesinden yayılan kirletici kütlesinin aynı yıl içinde üretilen sıvı alüminyum kütlesine bölünmesiyle elde edilir.</w:t>
            </w:r>
          </w:p>
          <w:p w14:paraId="7E8A2840" w14:textId="48FE963B" w:rsidR="00374C56" w:rsidRPr="00D53A2B" w:rsidRDefault="00374C56" w:rsidP="00A202FD">
            <w:pPr>
              <w:spacing w:line="264" w:lineRule="auto"/>
              <w:ind w:left="57" w:right="57"/>
              <w:jc w:val="both"/>
              <w:rPr>
                <w:sz w:val="22"/>
                <w:szCs w:val="22"/>
                <w:lang w:eastAsia="en-US"/>
              </w:rPr>
            </w:pPr>
            <w:r w:rsidRPr="009077F5">
              <w:rPr>
                <w:bCs/>
                <w:sz w:val="20"/>
                <w:szCs w:val="20"/>
                <w:lang w:eastAsia="en-US"/>
              </w:rPr>
              <w:t>(</w:t>
            </w:r>
            <w:r w:rsidRPr="009077F5">
              <w:rPr>
                <w:bCs/>
                <w:sz w:val="20"/>
                <w:szCs w:val="20"/>
                <w:vertAlign w:val="superscript"/>
                <w:lang w:eastAsia="en-US"/>
              </w:rPr>
              <w:t>2</w:t>
            </w:r>
            <w:r w:rsidRPr="009077F5">
              <w:rPr>
                <w:bCs/>
                <w:sz w:val="20"/>
                <w:szCs w:val="20"/>
                <w:lang w:eastAsia="en-US"/>
              </w:rPr>
              <w:t xml:space="preserve">) </w:t>
            </w:r>
            <w:r w:rsidRPr="009077F5">
              <w:rPr>
                <w:sz w:val="20"/>
                <w:szCs w:val="20"/>
                <w:lang w:eastAsia="en-US"/>
              </w:rPr>
              <w:t xml:space="preserve">Bu </w:t>
            </w:r>
            <w:r w:rsidRPr="009077F5">
              <w:rPr>
                <w:bCs/>
                <w:sz w:val="20"/>
                <w:szCs w:val="20"/>
                <w:lang w:eastAsia="en-US"/>
              </w:rPr>
              <w:t>MET-İES</w:t>
            </w:r>
            <w:r w:rsidR="00E56504" w:rsidRPr="009077F5">
              <w:rPr>
                <w:bCs/>
                <w:sz w:val="20"/>
                <w:szCs w:val="20"/>
                <w:lang w:eastAsia="en-US"/>
              </w:rPr>
              <w:t>’</w:t>
            </w:r>
            <w:r w:rsidRPr="009077F5">
              <w:rPr>
                <w:sz w:val="20"/>
                <w:szCs w:val="20"/>
                <w:lang w:eastAsia="en-US"/>
              </w:rPr>
              <w:t>ler, konfigürasyonları nedeniyle çatı emisyonlarının ölçülemediği tesislerde uygulanamaz.</w:t>
            </w:r>
          </w:p>
        </w:tc>
      </w:tr>
    </w:tbl>
    <w:p w14:paraId="7C2954A1" w14:textId="77777777" w:rsidR="00374C56" w:rsidRPr="00D53A2B" w:rsidRDefault="00374C56" w:rsidP="00A202FD">
      <w:pPr>
        <w:jc w:val="both"/>
        <w:rPr>
          <w:lang w:eastAsia="en-US"/>
        </w:rPr>
      </w:pPr>
    </w:p>
    <w:p w14:paraId="55A4CBF0" w14:textId="630EF168" w:rsidR="002377FC" w:rsidRPr="00D53A2B" w:rsidRDefault="002377FC" w:rsidP="00A202FD">
      <w:pPr>
        <w:jc w:val="both"/>
        <w:rPr>
          <w:lang w:eastAsia="en-US"/>
        </w:rPr>
      </w:pPr>
      <w:r w:rsidRPr="00D53A2B">
        <w:rPr>
          <w:lang w:eastAsia="en-US"/>
        </w:rPr>
        <w:t xml:space="preserve">İlgili izleme </w:t>
      </w:r>
      <w:r w:rsidR="004836E7" w:rsidRPr="00D53A2B">
        <w:rPr>
          <w:lang w:eastAsia="en-US"/>
        </w:rPr>
        <w:t>ME</w:t>
      </w:r>
      <w:r w:rsidRPr="00D53A2B">
        <w:rPr>
          <w:lang w:eastAsia="en-US"/>
        </w:rPr>
        <w:t>T 10</w:t>
      </w:r>
      <w:r w:rsidR="00E56504" w:rsidRPr="00D53A2B">
        <w:rPr>
          <w:lang w:eastAsia="en-US"/>
        </w:rPr>
        <w:t>’</w:t>
      </w:r>
      <w:r w:rsidRPr="00D53A2B">
        <w:rPr>
          <w:lang w:eastAsia="en-US"/>
        </w:rPr>
        <w:t>da yer almaktadır.</w:t>
      </w:r>
    </w:p>
    <w:p w14:paraId="1A8CEEB1" w14:textId="77777777" w:rsidR="00B31497" w:rsidRPr="00D53A2B" w:rsidRDefault="00B31497" w:rsidP="00A202FD">
      <w:pPr>
        <w:jc w:val="both"/>
        <w:rPr>
          <w:lang w:eastAsia="en-US"/>
        </w:rPr>
      </w:pPr>
    </w:p>
    <w:p w14:paraId="2525D41F" w14:textId="2B74EEA1" w:rsidR="00374C56" w:rsidRPr="00D53A2B" w:rsidRDefault="00921606" w:rsidP="00A202FD">
      <w:pPr>
        <w:pStyle w:val="MET"/>
        <w:rPr>
          <w:szCs w:val="24"/>
        </w:rPr>
      </w:pPr>
      <w:r w:rsidRPr="00D53A2B">
        <w:rPr>
          <w:szCs w:val="24"/>
        </w:rPr>
        <w:t>MET 68:</w:t>
      </w:r>
      <w:r w:rsidR="004836E7" w:rsidRPr="00D53A2B">
        <w:rPr>
          <w:szCs w:val="24"/>
        </w:rPr>
        <w:t xml:space="preserve"> </w:t>
      </w:r>
      <w:r w:rsidR="00374C56" w:rsidRPr="00D53A2B">
        <w:rPr>
          <w:b w:val="0"/>
          <w:bCs/>
          <w:szCs w:val="24"/>
        </w:rPr>
        <w:t>Birincil alüminyum üretiminde eritme ve erimiş metal işleme ve dökümden kaynaklana</w:t>
      </w:r>
      <w:r w:rsidR="00B31497" w:rsidRPr="00D53A2B">
        <w:rPr>
          <w:b w:val="0"/>
          <w:bCs/>
          <w:szCs w:val="24"/>
        </w:rPr>
        <w:t xml:space="preserve">n </w:t>
      </w:r>
      <w:r w:rsidR="00374C56" w:rsidRPr="00D53A2B">
        <w:rPr>
          <w:b w:val="0"/>
          <w:bCs/>
          <w:szCs w:val="24"/>
        </w:rPr>
        <w:t xml:space="preserve">toz ve metal emisyonlarını önlemek veya azaltmak </w:t>
      </w:r>
      <w:r w:rsidR="004F119D" w:rsidRPr="00D53A2B">
        <w:rPr>
          <w:b w:val="0"/>
          <w:bCs/>
          <w:szCs w:val="24"/>
        </w:rPr>
        <w:t>için,</w:t>
      </w:r>
      <w:r w:rsidR="00374C56" w:rsidRPr="00D53A2B">
        <w:rPr>
          <w:b w:val="0"/>
          <w:bCs/>
          <w:szCs w:val="24"/>
        </w:rPr>
        <w:t xml:space="preserve"> aşağıda verilen tekniklerin biri ya da her ikisi kullanıl</w:t>
      </w:r>
      <w:r w:rsidR="004F119D" w:rsidRPr="00D53A2B">
        <w:rPr>
          <w:b w:val="0"/>
          <w:bCs/>
          <w:szCs w:val="24"/>
        </w:rPr>
        <w:t>ır.</w:t>
      </w:r>
    </w:p>
    <w:tbl>
      <w:tblPr>
        <w:tblW w:w="8731" w:type="dxa"/>
        <w:tblLayout w:type="fixed"/>
        <w:tblCellMar>
          <w:left w:w="0" w:type="dxa"/>
          <w:right w:w="0" w:type="dxa"/>
        </w:tblCellMar>
        <w:tblLook w:val="01E0" w:firstRow="1" w:lastRow="1" w:firstColumn="1" w:lastColumn="1" w:noHBand="0" w:noVBand="0"/>
      </w:tblPr>
      <w:tblGrid>
        <w:gridCol w:w="397"/>
        <w:gridCol w:w="8334"/>
      </w:tblGrid>
      <w:tr w:rsidR="00374C56" w:rsidRPr="00D53A2B" w14:paraId="02C8F9F6"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374779BC" w14:textId="77777777" w:rsidR="00374C56" w:rsidRPr="00D53A2B" w:rsidRDefault="00374C56" w:rsidP="00A202FD">
            <w:pPr>
              <w:spacing w:line="264" w:lineRule="auto"/>
              <w:ind w:left="57" w:right="57"/>
              <w:jc w:val="both"/>
              <w:rPr>
                <w:sz w:val="22"/>
                <w:szCs w:val="22"/>
                <w:lang w:eastAsia="en-US"/>
              </w:rPr>
            </w:pPr>
          </w:p>
        </w:tc>
        <w:tc>
          <w:tcPr>
            <w:tcW w:w="8334" w:type="dxa"/>
            <w:tcBorders>
              <w:top w:val="single" w:sz="4" w:space="0" w:color="000000"/>
              <w:left w:val="single" w:sz="4" w:space="0" w:color="000000"/>
              <w:bottom w:val="single" w:sz="4" w:space="0" w:color="000000"/>
              <w:right w:val="single" w:sz="4" w:space="0" w:color="000000"/>
            </w:tcBorders>
            <w:vAlign w:val="center"/>
          </w:tcPr>
          <w:p w14:paraId="4C15FE48"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6A94D7D8"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7329F1C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334" w:type="dxa"/>
            <w:tcBorders>
              <w:top w:val="single" w:sz="4" w:space="0" w:color="000000"/>
              <w:left w:val="single" w:sz="4" w:space="0" w:color="000000"/>
              <w:bottom w:val="single" w:sz="4" w:space="0" w:color="000000"/>
              <w:right w:val="single" w:sz="4" w:space="0" w:color="000000"/>
            </w:tcBorders>
          </w:tcPr>
          <w:p w14:paraId="2B2CA3CE" w14:textId="0F621A7E" w:rsidR="00374C56" w:rsidRPr="00D53A2B" w:rsidRDefault="00B31497" w:rsidP="00A202FD">
            <w:pPr>
              <w:spacing w:line="264" w:lineRule="auto"/>
              <w:ind w:left="57" w:right="57"/>
              <w:jc w:val="both"/>
              <w:rPr>
                <w:sz w:val="22"/>
                <w:szCs w:val="22"/>
                <w:lang w:eastAsia="en-US"/>
              </w:rPr>
            </w:pPr>
            <w:r w:rsidRPr="00D53A2B">
              <w:rPr>
                <w:sz w:val="22"/>
                <w:szCs w:val="22"/>
                <w:lang w:eastAsia="en-US"/>
              </w:rPr>
              <w:t>Elektrolizden elde edilen sıvı metal ve kirlenmemiş alüminyum malzeme, yani boya, plastik veya yağ gibi maddelerden arındırılmış katı malzeme kullanımı (örneğin kalite nedeniyle kesilen kütüklerin üst ve alt kısmı).</w:t>
            </w:r>
          </w:p>
        </w:tc>
      </w:tr>
      <w:tr w:rsidR="00374C56" w:rsidRPr="00D53A2B" w14:paraId="55207193"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6B297AA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334" w:type="dxa"/>
            <w:tcBorders>
              <w:top w:val="single" w:sz="4" w:space="0" w:color="000000"/>
              <w:left w:val="single" w:sz="4" w:space="0" w:color="000000"/>
              <w:bottom w:val="single" w:sz="4" w:space="0" w:color="000000"/>
              <w:right w:val="single" w:sz="4" w:space="0" w:color="000000"/>
            </w:tcBorders>
          </w:tcPr>
          <w:p w14:paraId="3152EB7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Torba filtre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3D1631CF" w14:textId="77777777" w:rsidTr="00374C56">
        <w:tc>
          <w:tcPr>
            <w:tcW w:w="8731" w:type="dxa"/>
            <w:gridSpan w:val="2"/>
            <w:tcBorders>
              <w:top w:val="single" w:sz="4" w:space="0" w:color="000000"/>
              <w:left w:val="single" w:sz="4" w:space="0" w:color="000000"/>
              <w:bottom w:val="single" w:sz="4" w:space="0" w:color="000000"/>
              <w:right w:val="single" w:sz="4" w:space="0" w:color="000000"/>
            </w:tcBorders>
            <w:vAlign w:val="center"/>
          </w:tcPr>
          <w:p w14:paraId="58B1EE77" w14:textId="4BB7C4A1" w:rsidR="00374C56" w:rsidRPr="009077F5" w:rsidRDefault="00374C56" w:rsidP="00A202FD">
            <w:pPr>
              <w:spacing w:line="264" w:lineRule="auto"/>
              <w:ind w:left="57" w:right="57"/>
              <w:jc w:val="both"/>
              <w:rPr>
                <w:bCs/>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 Tekniklerin açıklamaları Bölüm 1.10</w:t>
            </w:r>
            <w:r w:rsidR="00E56504" w:rsidRPr="009077F5">
              <w:rPr>
                <w:bCs/>
                <w:sz w:val="20"/>
                <w:szCs w:val="20"/>
                <w:lang w:eastAsia="en-US"/>
              </w:rPr>
              <w:t>’</w:t>
            </w:r>
            <w:r w:rsidRPr="009077F5">
              <w:rPr>
                <w:bCs/>
                <w:sz w:val="20"/>
                <w:szCs w:val="20"/>
                <w:lang w:eastAsia="en-US"/>
              </w:rPr>
              <w:t>da verilmiştir.</w:t>
            </w:r>
          </w:p>
        </w:tc>
      </w:tr>
    </w:tbl>
    <w:p w14:paraId="17819F3A" w14:textId="77777777" w:rsidR="00374C56" w:rsidRPr="00D53A2B" w:rsidRDefault="00374C56" w:rsidP="00A202FD">
      <w:pPr>
        <w:jc w:val="both"/>
        <w:rPr>
          <w:lang w:eastAsia="en-US"/>
        </w:rPr>
      </w:pPr>
    </w:p>
    <w:p w14:paraId="62C6436B"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13.</w:t>
      </w:r>
    </w:p>
    <w:p w14:paraId="42488565" w14:textId="77777777" w:rsidR="001023C7" w:rsidRPr="00D53A2B" w:rsidRDefault="00374C56" w:rsidP="00A202FD">
      <w:pPr>
        <w:jc w:val="both"/>
        <w:rPr>
          <w:lang w:eastAsia="en-US"/>
        </w:rPr>
      </w:pPr>
      <w:bookmarkStart w:id="80" w:name="_Toc531927954"/>
      <w:r w:rsidRPr="00D53A2B">
        <w:rPr>
          <w:lang w:eastAsia="en-US"/>
        </w:rPr>
        <w:t xml:space="preserve">Tablo </w:t>
      </w:r>
      <w:r w:rsidRPr="00D53A2B">
        <w:rPr>
          <w:noProof/>
          <w:lang w:eastAsia="en-US"/>
        </w:rPr>
        <w:t>13</w:t>
      </w:r>
      <w:bookmarkEnd w:id="80"/>
    </w:p>
    <w:p w14:paraId="6B15476B" w14:textId="7BC4A706" w:rsidR="00374C56" w:rsidRPr="00D53A2B" w:rsidRDefault="00B31497" w:rsidP="00A202FD">
      <w:pPr>
        <w:jc w:val="both"/>
        <w:rPr>
          <w:lang w:eastAsia="en-US"/>
        </w:rPr>
      </w:pPr>
      <w:r w:rsidRPr="00D53A2B">
        <w:rPr>
          <w:lang w:eastAsia="en-US"/>
        </w:rPr>
        <w:t>Birincil alüminyum üretiminde eritme ve erimiş metal işleme ve dökümden kaynaklanan havaya toz emisyonları için MET ile ilişkili emisyon seviyeleri</w:t>
      </w:r>
    </w:p>
    <w:tbl>
      <w:tblPr>
        <w:tblW w:w="0" w:type="auto"/>
        <w:tblLayout w:type="fixed"/>
        <w:tblCellMar>
          <w:left w:w="0" w:type="dxa"/>
          <w:right w:w="0" w:type="dxa"/>
        </w:tblCellMar>
        <w:tblLook w:val="01E0" w:firstRow="1" w:lastRow="1" w:firstColumn="1" w:lastColumn="1" w:noHBand="0" w:noVBand="0"/>
      </w:tblPr>
      <w:tblGrid>
        <w:gridCol w:w="2098"/>
        <w:gridCol w:w="6463"/>
      </w:tblGrid>
      <w:tr w:rsidR="00374C56" w:rsidRPr="00D53A2B" w14:paraId="773FC121"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2A61D520"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463" w:type="dxa"/>
            <w:tcBorders>
              <w:top w:val="single" w:sz="4" w:space="0" w:color="000000"/>
              <w:left w:val="single" w:sz="4" w:space="0" w:color="000000"/>
              <w:bottom w:val="single" w:sz="4" w:space="0" w:color="000000"/>
              <w:right w:val="single" w:sz="4" w:space="0" w:color="000000"/>
            </w:tcBorders>
            <w:vAlign w:val="center"/>
          </w:tcPr>
          <w:p w14:paraId="0639ECD8"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xml:space="preserve">)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r w:rsidRPr="00D53A2B">
              <w:rPr>
                <w:b/>
                <w:sz w:val="22"/>
                <w:szCs w:val="22"/>
                <w:vertAlign w:val="superscript"/>
                <w:lang w:eastAsia="en-US"/>
              </w:rPr>
              <w:t>2</w:t>
            </w:r>
            <w:r w:rsidRPr="00D53A2B">
              <w:rPr>
                <w:b/>
                <w:sz w:val="22"/>
                <w:szCs w:val="22"/>
                <w:lang w:eastAsia="en-US"/>
              </w:rPr>
              <w:t>)</w:t>
            </w:r>
          </w:p>
        </w:tc>
      </w:tr>
      <w:tr w:rsidR="00374C56" w:rsidRPr="00D53A2B" w14:paraId="65D09E86"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63E104B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6463" w:type="dxa"/>
            <w:tcBorders>
              <w:top w:val="single" w:sz="4" w:space="0" w:color="000000"/>
              <w:left w:val="single" w:sz="4" w:space="0" w:color="000000"/>
              <w:bottom w:val="single" w:sz="4" w:space="0" w:color="000000"/>
              <w:right w:val="single" w:sz="4" w:space="0" w:color="000000"/>
            </w:tcBorders>
          </w:tcPr>
          <w:p w14:paraId="4A7E2EA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2–25</w:t>
            </w:r>
          </w:p>
        </w:tc>
      </w:tr>
      <w:tr w:rsidR="00374C56" w:rsidRPr="00D53A2B" w14:paraId="4EE141D6" w14:textId="77777777" w:rsidTr="00374C56">
        <w:tc>
          <w:tcPr>
            <w:tcW w:w="8561" w:type="dxa"/>
            <w:gridSpan w:val="2"/>
            <w:tcBorders>
              <w:top w:val="single" w:sz="4" w:space="0" w:color="000000"/>
              <w:left w:val="single" w:sz="4" w:space="0" w:color="000000"/>
              <w:bottom w:val="single" w:sz="4" w:space="0" w:color="000000"/>
              <w:right w:val="single" w:sz="4" w:space="0" w:color="000000"/>
            </w:tcBorders>
            <w:vAlign w:val="center"/>
          </w:tcPr>
          <w:p w14:paraId="0F5E5D10" w14:textId="49330A84" w:rsidR="00374C56" w:rsidRPr="009077F5" w:rsidRDefault="00374C56" w:rsidP="00A202FD">
            <w:pPr>
              <w:jc w:val="both"/>
              <w:rPr>
                <w:bCs/>
                <w:spacing w:val="2"/>
                <w:sz w:val="20"/>
                <w:szCs w:val="20"/>
                <w:lang w:eastAsia="en-US"/>
              </w:rPr>
            </w:pPr>
            <w:r w:rsidRPr="009077F5">
              <w:rPr>
                <w:bCs/>
                <w:spacing w:val="2"/>
                <w:sz w:val="20"/>
                <w:szCs w:val="20"/>
                <w:lang w:eastAsia="en-US"/>
              </w:rPr>
              <w:t>(</w:t>
            </w:r>
            <w:r w:rsidRPr="009077F5">
              <w:rPr>
                <w:bCs/>
                <w:spacing w:val="2"/>
                <w:sz w:val="20"/>
                <w:szCs w:val="20"/>
                <w:vertAlign w:val="superscript"/>
                <w:lang w:eastAsia="en-US"/>
              </w:rPr>
              <w:t>1</w:t>
            </w:r>
            <w:r w:rsidRPr="009077F5">
              <w:rPr>
                <w:bCs/>
                <w:spacing w:val="2"/>
                <w:sz w:val="20"/>
                <w:szCs w:val="20"/>
                <w:lang w:eastAsia="en-US"/>
              </w:rPr>
              <w:t xml:space="preserve">) Bir yıl boyunca </w:t>
            </w:r>
            <w:r w:rsidR="007847FF" w:rsidRPr="009077F5">
              <w:rPr>
                <w:bCs/>
                <w:spacing w:val="2"/>
                <w:sz w:val="20"/>
                <w:szCs w:val="20"/>
                <w:lang w:eastAsia="en-US"/>
              </w:rPr>
              <w:t>alınan</w:t>
            </w:r>
            <w:r w:rsidRPr="009077F5">
              <w:rPr>
                <w:bCs/>
                <w:spacing w:val="2"/>
                <w:sz w:val="20"/>
                <w:szCs w:val="20"/>
                <w:lang w:eastAsia="en-US"/>
              </w:rPr>
              <w:t xml:space="preserve"> numunelerin ortalaması.</w:t>
            </w:r>
          </w:p>
          <w:p w14:paraId="3224F53F" w14:textId="3520D30F" w:rsidR="00374C56" w:rsidRPr="00D53A2B" w:rsidRDefault="00374C56" w:rsidP="00A202FD">
            <w:pPr>
              <w:spacing w:line="264" w:lineRule="auto"/>
              <w:ind w:right="57"/>
              <w:jc w:val="both"/>
              <w:rPr>
                <w:sz w:val="22"/>
                <w:szCs w:val="22"/>
                <w:lang w:eastAsia="en-US"/>
              </w:rPr>
            </w:pPr>
            <w:r w:rsidRPr="009077F5">
              <w:rPr>
                <w:bCs/>
                <w:sz w:val="20"/>
                <w:szCs w:val="20"/>
                <w:lang w:eastAsia="en-US"/>
              </w:rPr>
              <w:t>(</w:t>
            </w:r>
            <w:r w:rsidRPr="009077F5">
              <w:rPr>
                <w:bCs/>
                <w:sz w:val="20"/>
                <w:szCs w:val="20"/>
                <w:vertAlign w:val="superscript"/>
                <w:lang w:eastAsia="en-US"/>
              </w:rPr>
              <w:t>2</w:t>
            </w:r>
            <w:r w:rsidRPr="009077F5">
              <w:rPr>
                <w:bCs/>
                <w:sz w:val="20"/>
                <w:szCs w:val="20"/>
                <w:lang w:eastAsia="en-US"/>
              </w:rPr>
              <w:t>) Aralığın alt sınırı bir torba filtrenin kullanılması ile ilişkilidir.</w:t>
            </w:r>
          </w:p>
        </w:tc>
      </w:tr>
    </w:tbl>
    <w:p w14:paraId="32A78150" w14:textId="77777777" w:rsidR="00374C56" w:rsidRPr="00D53A2B" w:rsidRDefault="00374C56" w:rsidP="00A202FD">
      <w:pPr>
        <w:jc w:val="both"/>
        <w:rPr>
          <w:lang w:eastAsia="en-US"/>
        </w:rPr>
      </w:pPr>
    </w:p>
    <w:p w14:paraId="7555C2A6" w14:textId="51A966C7" w:rsidR="00292FE9" w:rsidRPr="00D53A2B" w:rsidRDefault="00292FE9"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52B1AB78" w14:textId="77777777" w:rsidR="00374C56" w:rsidRPr="00D53A2B" w:rsidRDefault="00374C56" w:rsidP="00A202FD">
      <w:pPr>
        <w:jc w:val="both"/>
        <w:rPr>
          <w:lang w:eastAsia="en-US"/>
        </w:rPr>
      </w:pPr>
    </w:p>
    <w:p w14:paraId="050BEAD9" w14:textId="6A768DBA" w:rsidR="00374C56" w:rsidRPr="00D53A2B" w:rsidRDefault="00B31497" w:rsidP="00A202FD">
      <w:pPr>
        <w:pStyle w:val="Balk5"/>
        <w:ind w:left="1134" w:hanging="1134"/>
        <w:rPr>
          <w:szCs w:val="24"/>
        </w:rPr>
      </w:pPr>
      <w:r w:rsidRPr="00D53A2B">
        <w:rPr>
          <w:bCs/>
          <w:szCs w:val="24"/>
        </w:rPr>
        <w:t>1.</w:t>
      </w:r>
      <w:r w:rsidR="00374C56" w:rsidRPr="00D53A2B">
        <w:rPr>
          <w:bCs/>
          <w:szCs w:val="24"/>
        </w:rPr>
        <w:t>3.3.1.3</w:t>
      </w:r>
      <w:r w:rsidRPr="00D53A2B">
        <w:rPr>
          <w:bCs/>
          <w:szCs w:val="24"/>
        </w:rPr>
        <w:t>.</w:t>
      </w:r>
      <w:r w:rsidR="00374C56" w:rsidRPr="00D53A2B">
        <w:rPr>
          <w:bCs/>
          <w:szCs w:val="24"/>
        </w:rPr>
        <w:t xml:space="preserve"> </w:t>
      </w:r>
      <w:r w:rsidR="00374C56" w:rsidRPr="00D53A2B">
        <w:rPr>
          <w:szCs w:val="24"/>
        </w:rPr>
        <w:t>Kükürt dioksit emisyonları</w:t>
      </w:r>
    </w:p>
    <w:p w14:paraId="353D288D" w14:textId="13527536" w:rsidR="00374C56" w:rsidRPr="00D53A2B" w:rsidRDefault="00921606" w:rsidP="00A202FD">
      <w:pPr>
        <w:tabs>
          <w:tab w:val="left" w:pos="1134"/>
        </w:tabs>
        <w:spacing w:before="120" w:after="200"/>
        <w:jc w:val="both"/>
        <w:rPr>
          <w:lang w:eastAsia="en-US"/>
        </w:rPr>
      </w:pPr>
      <w:r w:rsidRPr="00D53A2B">
        <w:rPr>
          <w:b/>
          <w:lang w:eastAsia="en-US"/>
        </w:rPr>
        <w:t>MET 69:</w:t>
      </w:r>
      <w:r w:rsidR="00374C56" w:rsidRPr="00D53A2B">
        <w:rPr>
          <w:b/>
          <w:lang w:eastAsia="en-US"/>
        </w:rPr>
        <w:tab/>
      </w:r>
      <w:r w:rsidR="00374C56" w:rsidRPr="00D53A2B">
        <w:rPr>
          <w:lang w:eastAsia="en-US"/>
        </w:rPr>
        <w:t xml:space="preserve">Elektrolitik hücrelerden havaya </w:t>
      </w:r>
      <w:r w:rsidR="00B31497" w:rsidRPr="00D53A2B">
        <w:rPr>
          <w:lang w:eastAsia="en-US"/>
        </w:rPr>
        <w:t>salınan</w:t>
      </w:r>
      <w:r w:rsidR="00374C56" w:rsidRPr="00D53A2B">
        <w:rPr>
          <w:lang w:eastAsia="en-US"/>
        </w:rPr>
        <w:t xml:space="preserve"> emisyonları azaltmak içi</w:t>
      </w:r>
      <w:r w:rsidR="004F119D" w:rsidRPr="00D53A2B">
        <w:rPr>
          <w:lang w:eastAsia="en-US"/>
        </w:rPr>
        <w:t>n</w:t>
      </w:r>
      <w:r w:rsidR="00374C56" w:rsidRPr="00D53A2B">
        <w:rPr>
          <w:lang w:eastAsia="en-US"/>
        </w:rPr>
        <w:t>, aşağıda verilen tekniklerin biri ya da her ikisi kullanıl</w:t>
      </w:r>
      <w:r w:rsidR="004F119D" w:rsidRPr="00D53A2B">
        <w:rPr>
          <w:lang w:eastAsia="en-US"/>
        </w:rPr>
        <w:t>ır.</w:t>
      </w:r>
    </w:p>
    <w:tbl>
      <w:tblPr>
        <w:tblW w:w="8674" w:type="dxa"/>
        <w:tblLayout w:type="fixed"/>
        <w:tblCellMar>
          <w:left w:w="0" w:type="dxa"/>
          <w:right w:w="0" w:type="dxa"/>
        </w:tblCellMar>
        <w:tblLook w:val="01E0" w:firstRow="1" w:lastRow="1" w:firstColumn="1" w:lastColumn="1" w:noHBand="0" w:noVBand="0"/>
      </w:tblPr>
      <w:tblGrid>
        <w:gridCol w:w="397"/>
        <w:gridCol w:w="3288"/>
        <w:gridCol w:w="4989"/>
      </w:tblGrid>
      <w:tr w:rsidR="00374C56" w:rsidRPr="00D53A2B" w14:paraId="703F4FBD"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06497906" w14:textId="77777777" w:rsidR="00374C56" w:rsidRPr="00D53A2B" w:rsidRDefault="00374C56" w:rsidP="00A202FD">
            <w:pPr>
              <w:spacing w:line="264" w:lineRule="auto"/>
              <w:ind w:left="57" w:right="57"/>
              <w:jc w:val="both"/>
              <w:rPr>
                <w:sz w:val="22"/>
                <w:szCs w:val="22"/>
                <w:lang w:eastAsia="en-US"/>
              </w:rPr>
            </w:pPr>
          </w:p>
        </w:tc>
        <w:tc>
          <w:tcPr>
            <w:tcW w:w="3288" w:type="dxa"/>
            <w:tcBorders>
              <w:top w:val="single" w:sz="4" w:space="0" w:color="000000"/>
              <w:left w:val="single" w:sz="4" w:space="0" w:color="000000"/>
              <w:bottom w:val="single" w:sz="4" w:space="0" w:color="000000"/>
              <w:right w:val="single" w:sz="4" w:space="0" w:color="000000"/>
            </w:tcBorders>
            <w:vAlign w:val="center"/>
          </w:tcPr>
          <w:p w14:paraId="4BB49FD0"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 (</w:t>
            </w:r>
            <w:r w:rsidRPr="00D53A2B">
              <w:rPr>
                <w:b/>
                <w:bCs/>
                <w:sz w:val="22"/>
                <w:szCs w:val="22"/>
                <w:vertAlign w:val="superscript"/>
                <w:lang w:eastAsia="en-US"/>
              </w:rPr>
              <w:t>1</w:t>
            </w:r>
            <w:r w:rsidRPr="00D53A2B">
              <w:rPr>
                <w:b/>
                <w:bCs/>
                <w:sz w:val="22"/>
                <w:szCs w:val="22"/>
                <w:lang w:eastAsia="en-US"/>
              </w:rPr>
              <w:t>)</w:t>
            </w:r>
          </w:p>
        </w:tc>
        <w:tc>
          <w:tcPr>
            <w:tcW w:w="4989" w:type="dxa"/>
            <w:tcBorders>
              <w:top w:val="single" w:sz="4" w:space="0" w:color="000000"/>
              <w:left w:val="single" w:sz="4" w:space="0" w:color="000000"/>
              <w:bottom w:val="single" w:sz="4" w:space="0" w:color="000000"/>
              <w:right w:val="single" w:sz="4" w:space="0" w:color="000000"/>
            </w:tcBorders>
            <w:vAlign w:val="center"/>
          </w:tcPr>
          <w:p w14:paraId="6B63D716"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50146478"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47E3037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3288" w:type="dxa"/>
            <w:tcBorders>
              <w:top w:val="single" w:sz="4" w:space="0" w:color="000000"/>
              <w:left w:val="single" w:sz="4" w:space="0" w:color="000000"/>
              <w:bottom w:val="single" w:sz="4" w:space="0" w:color="000000"/>
              <w:right w:val="single" w:sz="4" w:space="0" w:color="000000"/>
            </w:tcBorders>
            <w:vAlign w:val="center"/>
          </w:tcPr>
          <w:p w14:paraId="6B08C52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Düşük sulfur içeriğine sahip anotların kullanılması</w:t>
            </w:r>
          </w:p>
        </w:tc>
        <w:tc>
          <w:tcPr>
            <w:tcW w:w="4989" w:type="dxa"/>
            <w:tcBorders>
              <w:top w:val="single" w:sz="4" w:space="0" w:color="000000"/>
              <w:left w:val="single" w:sz="4" w:space="0" w:color="000000"/>
              <w:bottom w:val="single" w:sz="4" w:space="0" w:color="000000"/>
              <w:right w:val="single" w:sz="4" w:space="0" w:color="000000"/>
            </w:tcBorders>
            <w:vAlign w:val="center"/>
          </w:tcPr>
          <w:p w14:paraId="4A80F3C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01BF407C"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395F274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3288" w:type="dxa"/>
            <w:tcBorders>
              <w:top w:val="single" w:sz="4" w:space="0" w:color="000000"/>
              <w:left w:val="single" w:sz="4" w:space="0" w:color="000000"/>
              <w:bottom w:val="single" w:sz="4" w:space="0" w:color="000000"/>
              <w:right w:val="single" w:sz="4" w:space="0" w:color="000000"/>
            </w:tcBorders>
            <w:vAlign w:val="center"/>
          </w:tcPr>
          <w:p w14:paraId="68BD7FAF" w14:textId="77777777" w:rsidR="00374C56" w:rsidRPr="00D53A2B" w:rsidRDefault="00B31497" w:rsidP="00A202FD">
            <w:pPr>
              <w:spacing w:line="264" w:lineRule="auto"/>
              <w:ind w:left="57" w:right="57"/>
              <w:jc w:val="both"/>
              <w:rPr>
                <w:sz w:val="22"/>
                <w:szCs w:val="22"/>
                <w:lang w:eastAsia="en-US"/>
              </w:rPr>
            </w:pPr>
            <w:r w:rsidRPr="00D53A2B">
              <w:rPr>
                <w:sz w:val="22"/>
                <w:szCs w:val="22"/>
                <w:lang w:eastAsia="en-US"/>
              </w:rPr>
              <w:t>Sulu</w:t>
            </w:r>
            <w:r w:rsidR="00374C56" w:rsidRPr="00D53A2B">
              <w:rPr>
                <w:sz w:val="22"/>
                <w:szCs w:val="22"/>
                <w:lang w:eastAsia="en-US"/>
              </w:rPr>
              <w:t xml:space="preserve"> yıkayıcı</w:t>
            </w:r>
          </w:p>
          <w:p w14:paraId="1271FCC0" w14:textId="49AFDF85" w:rsidR="00B31497" w:rsidRPr="00D53A2B" w:rsidRDefault="00B31497" w:rsidP="00A202FD">
            <w:pPr>
              <w:spacing w:line="264" w:lineRule="auto"/>
              <w:ind w:left="57" w:right="57"/>
              <w:jc w:val="both"/>
              <w:rPr>
                <w:sz w:val="22"/>
                <w:szCs w:val="22"/>
                <w:lang w:eastAsia="en-US"/>
              </w:rPr>
            </w:pPr>
          </w:p>
        </w:tc>
        <w:tc>
          <w:tcPr>
            <w:tcW w:w="4989" w:type="dxa"/>
            <w:tcBorders>
              <w:top w:val="single" w:sz="4" w:space="0" w:color="000000"/>
              <w:left w:val="single" w:sz="4" w:space="0" w:color="000000"/>
              <w:bottom w:val="single" w:sz="4" w:space="0" w:color="000000"/>
              <w:right w:val="single" w:sz="4" w:space="0" w:color="000000"/>
            </w:tcBorders>
            <w:vAlign w:val="center"/>
          </w:tcPr>
          <w:p w14:paraId="39FA093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Uygulanabilirlik aşağıdaki durumlarda sınırlı olabilir:</w:t>
            </w:r>
          </w:p>
          <w:p w14:paraId="7C7FD15A" w14:textId="6C49BCD9" w:rsidR="00596C59"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w:t>
            </w:r>
            <w:r w:rsidR="00596C59" w:rsidRPr="00D53A2B">
              <w:rPr>
                <w:sz w:val="22"/>
                <w:szCs w:val="22"/>
                <w:lang w:eastAsia="en-US"/>
              </w:rPr>
              <w:t xml:space="preserve">çok yüksek gaz çıkış debileri (üretilen önemli miktarda atık ve </w:t>
            </w:r>
            <w:r w:rsidR="00651500" w:rsidRPr="00D53A2B">
              <w:rPr>
                <w:sz w:val="22"/>
                <w:szCs w:val="22"/>
                <w:lang w:eastAsia="en-US"/>
              </w:rPr>
              <w:t>atıksu</w:t>
            </w:r>
            <w:r w:rsidR="00596C59" w:rsidRPr="00D53A2B">
              <w:rPr>
                <w:sz w:val="22"/>
                <w:szCs w:val="22"/>
                <w:lang w:eastAsia="en-US"/>
              </w:rPr>
              <w:t>nedeniyle).</w:t>
            </w:r>
          </w:p>
          <w:p w14:paraId="4DD8659E" w14:textId="4E8F5E6F" w:rsidR="00374C56" w:rsidRPr="00D53A2B" w:rsidRDefault="00596C59" w:rsidP="00A202FD">
            <w:pPr>
              <w:spacing w:line="264" w:lineRule="auto"/>
              <w:ind w:left="57" w:right="57"/>
              <w:jc w:val="both"/>
              <w:rPr>
                <w:sz w:val="22"/>
                <w:szCs w:val="22"/>
                <w:lang w:eastAsia="en-US"/>
              </w:rPr>
            </w:pPr>
            <w:r w:rsidRPr="00D53A2B">
              <w:rPr>
                <w:sz w:val="22"/>
                <w:szCs w:val="22"/>
                <w:lang w:eastAsia="en-US"/>
              </w:rPr>
              <w:t>- kurak bölgelerde (gerekli olan büyük miktardaki su ve atıksuyun arıtılması ihtiyacı nedeniyle)</w:t>
            </w:r>
          </w:p>
        </w:tc>
      </w:tr>
      <w:tr w:rsidR="00374C56" w:rsidRPr="00D53A2B" w14:paraId="6A413DBE" w14:textId="77777777" w:rsidTr="00374C56">
        <w:tc>
          <w:tcPr>
            <w:tcW w:w="8674" w:type="dxa"/>
            <w:gridSpan w:val="3"/>
            <w:tcBorders>
              <w:top w:val="single" w:sz="4" w:space="0" w:color="000000"/>
              <w:left w:val="single" w:sz="4" w:space="0" w:color="000000"/>
              <w:bottom w:val="single" w:sz="4" w:space="0" w:color="000000"/>
              <w:right w:val="single" w:sz="4" w:space="0" w:color="000000"/>
            </w:tcBorders>
          </w:tcPr>
          <w:p w14:paraId="21197F9C" w14:textId="1A8B77F2" w:rsidR="00374C56" w:rsidRPr="009077F5" w:rsidRDefault="00374C56" w:rsidP="00A202FD">
            <w:pPr>
              <w:spacing w:line="264" w:lineRule="auto"/>
              <w:ind w:left="57" w:right="57"/>
              <w:jc w:val="both"/>
              <w:rPr>
                <w:bCs/>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 Tekniklerin açıklamaları Bölüm 1.10</w:t>
            </w:r>
            <w:r w:rsidR="00E56504" w:rsidRPr="009077F5">
              <w:rPr>
                <w:bCs/>
                <w:sz w:val="20"/>
                <w:szCs w:val="20"/>
                <w:lang w:eastAsia="en-US"/>
              </w:rPr>
              <w:t>’</w:t>
            </w:r>
            <w:r w:rsidRPr="009077F5">
              <w:rPr>
                <w:bCs/>
                <w:sz w:val="20"/>
                <w:szCs w:val="20"/>
                <w:lang w:eastAsia="en-US"/>
              </w:rPr>
              <w:t>da verilmiştir.</w:t>
            </w:r>
          </w:p>
        </w:tc>
      </w:tr>
    </w:tbl>
    <w:p w14:paraId="63EA8A19" w14:textId="77777777" w:rsidR="00374C56" w:rsidRPr="00D53A2B" w:rsidRDefault="00374C56" w:rsidP="00A202FD">
      <w:pPr>
        <w:jc w:val="both"/>
        <w:rPr>
          <w:lang w:eastAsia="en-US"/>
        </w:rPr>
      </w:pPr>
    </w:p>
    <w:p w14:paraId="37C0C663" w14:textId="77777777" w:rsidR="00374C56" w:rsidRPr="00D53A2B" w:rsidRDefault="00374C56" w:rsidP="00A202FD">
      <w:pPr>
        <w:spacing w:after="40"/>
        <w:jc w:val="both"/>
        <w:rPr>
          <w:b/>
          <w:lang w:eastAsia="en-US"/>
        </w:rPr>
      </w:pPr>
      <w:r w:rsidRPr="00D53A2B">
        <w:rPr>
          <w:b/>
          <w:lang w:eastAsia="en-US"/>
        </w:rPr>
        <w:t>Açıklama</w:t>
      </w:r>
    </w:p>
    <w:p w14:paraId="79878D9E" w14:textId="008C7996" w:rsidR="00374C56" w:rsidRPr="00D53A2B" w:rsidRDefault="00374C56" w:rsidP="00A202FD">
      <w:pPr>
        <w:pStyle w:val="MET"/>
        <w:rPr>
          <w:szCs w:val="24"/>
        </w:rPr>
      </w:pPr>
      <w:r w:rsidRPr="00D53A2B">
        <w:rPr>
          <w:szCs w:val="24"/>
        </w:rPr>
        <w:t xml:space="preserve">MET 69.a: </w:t>
      </w:r>
      <w:r w:rsidRPr="00D53A2B">
        <w:rPr>
          <w:b w:val="0"/>
          <w:bCs/>
          <w:szCs w:val="24"/>
        </w:rPr>
        <w:t>Yıllık ortalaması %1,5</w:t>
      </w:r>
      <w:r w:rsidR="00E56504" w:rsidRPr="00D53A2B">
        <w:rPr>
          <w:b w:val="0"/>
          <w:bCs/>
          <w:szCs w:val="24"/>
        </w:rPr>
        <w:t>’</w:t>
      </w:r>
      <w:r w:rsidRPr="00D53A2B">
        <w:rPr>
          <w:b w:val="0"/>
          <w:bCs/>
          <w:szCs w:val="24"/>
        </w:rPr>
        <w:t xml:space="preserve">ten az sülfür içeren anotlar, kullanılan hammaddelerin uygun bir </w:t>
      </w:r>
      <w:r w:rsidR="00596C59" w:rsidRPr="00D53A2B">
        <w:rPr>
          <w:b w:val="0"/>
          <w:bCs/>
          <w:szCs w:val="24"/>
        </w:rPr>
        <w:t xml:space="preserve">kombinasyonu ile üretilebilir. </w:t>
      </w:r>
      <w:r w:rsidRPr="00D53A2B">
        <w:rPr>
          <w:b w:val="0"/>
          <w:bCs/>
          <w:szCs w:val="24"/>
        </w:rPr>
        <w:t>Elektrolitik işlemin yürütülebilmesi için yıllık ortalama olarak %0,9</w:t>
      </w:r>
      <w:r w:rsidR="00E56504" w:rsidRPr="00D53A2B">
        <w:rPr>
          <w:b w:val="0"/>
          <w:bCs/>
          <w:szCs w:val="24"/>
        </w:rPr>
        <w:t>’</w:t>
      </w:r>
      <w:r w:rsidRPr="00D53A2B">
        <w:rPr>
          <w:b w:val="0"/>
          <w:bCs/>
          <w:szCs w:val="24"/>
        </w:rPr>
        <w:t>luk kükürt içeriği gerek</w:t>
      </w:r>
      <w:r w:rsidR="004F119D" w:rsidRPr="00D53A2B">
        <w:rPr>
          <w:b w:val="0"/>
          <w:bCs/>
          <w:szCs w:val="24"/>
        </w:rPr>
        <w:t>ir.</w:t>
      </w:r>
    </w:p>
    <w:p w14:paraId="6050D571"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14.</w:t>
      </w:r>
    </w:p>
    <w:p w14:paraId="5C1CE29C" w14:textId="77777777" w:rsidR="001023C7" w:rsidRPr="00D53A2B" w:rsidRDefault="00374C56" w:rsidP="00A202FD">
      <w:pPr>
        <w:jc w:val="both"/>
        <w:rPr>
          <w:lang w:eastAsia="en-US"/>
        </w:rPr>
      </w:pPr>
      <w:bookmarkStart w:id="81" w:name="_Toc531927955"/>
      <w:r w:rsidRPr="00D53A2B">
        <w:rPr>
          <w:lang w:eastAsia="en-US"/>
        </w:rPr>
        <w:t xml:space="preserve">Tablo </w:t>
      </w:r>
      <w:r w:rsidRPr="00D53A2B">
        <w:rPr>
          <w:noProof/>
          <w:lang w:eastAsia="en-US"/>
        </w:rPr>
        <w:t>14</w:t>
      </w:r>
    </w:p>
    <w:p w14:paraId="18193163" w14:textId="1D86EC1D" w:rsidR="00374C56" w:rsidRPr="00D53A2B" w:rsidRDefault="00374C56" w:rsidP="00A202FD">
      <w:pPr>
        <w:jc w:val="both"/>
        <w:rPr>
          <w:lang w:eastAsia="en-US"/>
        </w:rPr>
      </w:pPr>
      <w:r w:rsidRPr="00D53A2B">
        <w:rPr>
          <w:lang w:eastAsia="en-US"/>
        </w:rPr>
        <w:t>Elektrolitik hücrelerden havaya verilen SO</w:t>
      </w:r>
      <w:r w:rsidRPr="00D53A2B">
        <w:rPr>
          <w:vertAlign w:val="subscript"/>
          <w:lang w:eastAsia="en-US"/>
        </w:rPr>
        <w:t>2</w:t>
      </w:r>
      <w:r w:rsidRPr="00D53A2B">
        <w:rPr>
          <w:lang w:eastAsia="en-US"/>
        </w:rPr>
        <w:t xml:space="preserve"> emisyonları için MET ile ilişkili emisyon seviyeleri</w:t>
      </w:r>
      <w:bookmarkEnd w:id="81"/>
    </w:p>
    <w:tbl>
      <w:tblPr>
        <w:tblW w:w="8784" w:type="dxa"/>
        <w:tblLayout w:type="fixed"/>
        <w:tblCellMar>
          <w:left w:w="0" w:type="dxa"/>
          <w:right w:w="0" w:type="dxa"/>
        </w:tblCellMar>
        <w:tblLook w:val="01E0" w:firstRow="1" w:lastRow="1" w:firstColumn="1" w:lastColumn="1" w:noHBand="0" w:noVBand="0"/>
      </w:tblPr>
      <w:tblGrid>
        <w:gridCol w:w="2098"/>
        <w:gridCol w:w="6686"/>
      </w:tblGrid>
      <w:tr w:rsidR="00374C56" w:rsidRPr="00D53A2B" w14:paraId="78208154"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19885492"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6686" w:type="dxa"/>
            <w:tcBorders>
              <w:top w:val="single" w:sz="4" w:space="0" w:color="000000"/>
              <w:left w:val="single" w:sz="4" w:space="0" w:color="000000"/>
              <w:bottom w:val="single" w:sz="4" w:space="0" w:color="000000"/>
              <w:right w:val="single" w:sz="4" w:space="0" w:color="000000"/>
            </w:tcBorders>
            <w:vAlign w:val="center"/>
          </w:tcPr>
          <w:p w14:paraId="1E2121F5" w14:textId="77777777" w:rsidR="00374C56" w:rsidRPr="00D53A2B" w:rsidRDefault="00374C56" w:rsidP="00A202FD">
            <w:pPr>
              <w:spacing w:line="264" w:lineRule="auto"/>
              <w:ind w:left="57" w:right="57"/>
              <w:jc w:val="both"/>
              <w:rPr>
                <w:lang w:eastAsia="en-US"/>
              </w:rPr>
            </w:pPr>
            <w:r w:rsidRPr="00D53A2B">
              <w:rPr>
                <w:b/>
                <w:bCs/>
                <w:lang w:eastAsia="en-US"/>
              </w:rPr>
              <w:t xml:space="preserve">MET-İES (kg/t Al) </w:t>
            </w:r>
            <w:r w:rsidRPr="00D53A2B">
              <w:rPr>
                <w:b/>
                <w:lang w:eastAsia="en-US"/>
              </w:rPr>
              <w:t>(</w:t>
            </w:r>
            <w:r w:rsidRPr="00D53A2B">
              <w:rPr>
                <w:b/>
                <w:vertAlign w:val="superscript"/>
                <w:lang w:eastAsia="en-US"/>
              </w:rPr>
              <w:t>1</w:t>
            </w:r>
            <w:r w:rsidRPr="00D53A2B">
              <w:rPr>
                <w:b/>
                <w:lang w:eastAsia="en-US"/>
              </w:rPr>
              <w:t>)(</w:t>
            </w:r>
            <w:r w:rsidRPr="00D53A2B">
              <w:rPr>
                <w:b/>
                <w:vertAlign w:val="superscript"/>
                <w:lang w:eastAsia="en-US"/>
              </w:rPr>
              <w:t>2</w:t>
            </w:r>
            <w:r w:rsidRPr="00D53A2B">
              <w:rPr>
                <w:b/>
                <w:lang w:eastAsia="en-US"/>
              </w:rPr>
              <w:t>)</w:t>
            </w:r>
          </w:p>
        </w:tc>
      </w:tr>
      <w:tr w:rsidR="00374C56" w:rsidRPr="00D53A2B" w14:paraId="7FE34ED3"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120E5EBE" w14:textId="77777777" w:rsidR="00374C56" w:rsidRPr="00D53A2B" w:rsidRDefault="00374C56" w:rsidP="00A202FD">
            <w:pPr>
              <w:spacing w:line="264" w:lineRule="auto"/>
              <w:ind w:left="57" w:right="57"/>
              <w:jc w:val="both"/>
              <w:rPr>
                <w:lang w:eastAsia="en-US"/>
              </w:rPr>
            </w:pPr>
            <w:r w:rsidRPr="00D53A2B">
              <w:rPr>
                <w:lang w:eastAsia="en-US"/>
              </w:rPr>
              <w:t>SO</w:t>
            </w:r>
            <w:r w:rsidRPr="00D53A2B">
              <w:rPr>
                <w:vertAlign w:val="subscript"/>
                <w:lang w:eastAsia="en-US"/>
              </w:rPr>
              <w:t>2</w:t>
            </w:r>
          </w:p>
        </w:tc>
        <w:tc>
          <w:tcPr>
            <w:tcW w:w="6686" w:type="dxa"/>
            <w:tcBorders>
              <w:top w:val="single" w:sz="4" w:space="0" w:color="000000"/>
              <w:left w:val="single" w:sz="4" w:space="0" w:color="000000"/>
              <w:bottom w:val="single" w:sz="4" w:space="0" w:color="000000"/>
              <w:right w:val="single" w:sz="4" w:space="0" w:color="000000"/>
            </w:tcBorders>
          </w:tcPr>
          <w:p w14:paraId="4C554FCD" w14:textId="77777777" w:rsidR="00374C56" w:rsidRPr="00D53A2B" w:rsidRDefault="00374C56" w:rsidP="00A202FD">
            <w:pPr>
              <w:spacing w:line="264" w:lineRule="auto"/>
              <w:ind w:left="57" w:right="57"/>
              <w:jc w:val="both"/>
              <w:rPr>
                <w:lang w:eastAsia="en-US"/>
              </w:rPr>
            </w:pPr>
            <w:r w:rsidRPr="00D53A2B">
              <w:rPr>
                <w:lang w:eastAsia="en-US"/>
              </w:rPr>
              <w:t xml:space="preserve">≤ 2,5–15 </w:t>
            </w:r>
            <w:r w:rsidRPr="00D53A2B">
              <w:rPr>
                <w:b/>
                <w:lang w:eastAsia="en-US"/>
              </w:rPr>
              <w:t>(</w:t>
            </w:r>
            <w:r w:rsidRPr="00D53A2B">
              <w:rPr>
                <w:b/>
                <w:vertAlign w:val="superscript"/>
                <w:lang w:eastAsia="en-US"/>
              </w:rPr>
              <w:t>1</w:t>
            </w:r>
            <w:r w:rsidRPr="00D53A2B">
              <w:rPr>
                <w:b/>
                <w:lang w:eastAsia="en-US"/>
              </w:rPr>
              <w:t>)</w:t>
            </w:r>
          </w:p>
        </w:tc>
      </w:tr>
      <w:tr w:rsidR="00374C56" w:rsidRPr="00D53A2B" w14:paraId="6792BFC8"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4E53EF4F" w14:textId="5012270D" w:rsidR="00374C56" w:rsidRPr="009077F5" w:rsidRDefault="00374C56" w:rsidP="00A202FD">
            <w:pPr>
              <w:spacing w:line="264" w:lineRule="auto"/>
              <w:ind w:left="57" w:right="57"/>
              <w:jc w:val="both"/>
              <w:rPr>
                <w:bCs/>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 Bir yıl boyunca salınan kirletici kütlesi aynı yıl içinde üretilen sıvı alüminyum kütlesi ile bölünerek hesaplanır.</w:t>
            </w:r>
          </w:p>
          <w:p w14:paraId="051090E1" w14:textId="001DFDC1" w:rsidR="00374C56" w:rsidRPr="00D53A2B" w:rsidRDefault="00374C56" w:rsidP="00A202FD">
            <w:pPr>
              <w:spacing w:line="264" w:lineRule="auto"/>
              <w:ind w:left="57" w:right="57"/>
              <w:jc w:val="both"/>
              <w:rPr>
                <w:lang w:eastAsia="en-US"/>
              </w:rPr>
            </w:pPr>
            <w:r w:rsidRPr="009077F5">
              <w:rPr>
                <w:bCs/>
                <w:sz w:val="20"/>
                <w:szCs w:val="20"/>
                <w:lang w:eastAsia="en-US"/>
              </w:rPr>
              <w:t>(</w:t>
            </w:r>
            <w:r w:rsidRPr="009077F5">
              <w:rPr>
                <w:bCs/>
                <w:sz w:val="20"/>
                <w:szCs w:val="20"/>
                <w:vertAlign w:val="superscript"/>
                <w:lang w:eastAsia="en-US"/>
              </w:rPr>
              <w:t>2</w:t>
            </w:r>
            <w:r w:rsidRPr="009077F5">
              <w:rPr>
                <w:bCs/>
                <w:sz w:val="20"/>
                <w:szCs w:val="20"/>
                <w:lang w:eastAsia="en-US"/>
              </w:rPr>
              <w:t>) Aralığın alt sınırı, ıslak gaz yıkayıcı kullanımı ile ilişkilidir. Aralığın üst sınırı, düşük kükürt anotlarının kullanımı ile ilişkilidir.</w:t>
            </w:r>
          </w:p>
        </w:tc>
      </w:tr>
    </w:tbl>
    <w:p w14:paraId="03D456C4" w14:textId="77777777" w:rsidR="00374C56" w:rsidRPr="00D53A2B" w:rsidRDefault="00374C56" w:rsidP="00A202FD">
      <w:pPr>
        <w:jc w:val="both"/>
        <w:rPr>
          <w:lang w:eastAsia="en-US"/>
        </w:rPr>
      </w:pPr>
    </w:p>
    <w:p w14:paraId="1EC73750" w14:textId="18A3A8A7" w:rsidR="00596C59" w:rsidRPr="00D53A2B" w:rsidRDefault="00596C59" w:rsidP="00A202FD">
      <w:pPr>
        <w:jc w:val="both"/>
        <w:rPr>
          <w:lang w:eastAsia="en-US"/>
        </w:rPr>
      </w:pPr>
      <w:r w:rsidRPr="00D53A2B">
        <w:rPr>
          <w:lang w:eastAsia="en-US"/>
        </w:rPr>
        <w:t xml:space="preserve">İlgili izleme </w:t>
      </w:r>
      <w:r w:rsidR="00651500" w:rsidRPr="00D53A2B">
        <w:rPr>
          <w:lang w:eastAsia="en-US"/>
        </w:rPr>
        <w:t>MET</w:t>
      </w:r>
      <w:r w:rsidRPr="00D53A2B">
        <w:rPr>
          <w:lang w:eastAsia="en-US"/>
        </w:rPr>
        <w:t>10</w:t>
      </w:r>
      <w:r w:rsidR="00E56504" w:rsidRPr="00D53A2B">
        <w:rPr>
          <w:lang w:eastAsia="en-US"/>
        </w:rPr>
        <w:t>’</w:t>
      </w:r>
      <w:r w:rsidRPr="00D53A2B">
        <w:rPr>
          <w:lang w:eastAsia="en-US"/>
        </w:rPr>
        <w:t>da yer almaktadır.</w:t>
      </w:r>
    </w:p>
    <w:p w14:paraId="29D1F80B" w14:textId="77777777" w:rsidR="00374C56" w:rsidRPr="00D53A2B" w:rsidRDefault="00374C56" w:rsidP="00A202FD">
      <w:pPr>
        <w:jc w:val="both"/>
        <w:rPr>
          <w:lang w:eastAsia="en-US"/>
        </w:rPr>
      </w:pPr>
    </w:p>
    <w:p w14:paraId="7725991B" w14:textId="011BFCF9" w:rsidR="00374C56" w:rsidRPr="00D53A2B" w:rsidRDefault="00596C59" w:rsidP="00A202FD">
      <w:pPr>
        <w:pStyle w:val="Balk5"/>
        <w:ind w:left="1134" w:hanging="1134"/>
        <w:rPr>
          <w:szCs w:val="24"/>
        </w:rPr>
      </w:pPr>
      <w:r w:rsidRPr="00D53A2B">
        <w:rPr>
          <w:bCs/>
          <w:szCs w:val="24"/>
        </w:rPr>
        <w:t>1.</w:t>
      </w:r>
      <w:r w:rsidR="00374C56" w:rsidRPr="00D53A2B">
        <w:rPr>
          <w:bCs/>
          <w:szCs w:val="24"/>
        </w:rPr>
        <w:t>3.3.1.4</w:t>
      </w:r>
      <w:r w:rsidRPr="00D53A2B">
        <w:rPr>
          <w:bCs/>
          <w:szCs w:val="24"/>
        </w:rPr>
        <w:t>.</w:t>
      </w:r>
      <w:r w:rsidR="00374C56" w:rsidRPr="00D53A2B">
        <w:rPr>
          <w:bCs/>
          <w:szCs w:val="24"/>
        </w:rPr>
        <w:t xml:space="preserve"> </w:t>
      </w:r>
      <w:r w:rsidR="00374C56" w:rsidRPr="00D53A2B">
        <w:rPr>
          <w:szCs w:val="24"/>
        </w:rPr>
        <w:t>Perflorokarbon emisyonları</w:t>
      </w:r>
    </w:p>
    <w:p w14:paraId="786F9C36" w14:textId="3670A9FF" w:rsidR="00374C56" w:rsidRPr="00D53A2B" w:rsidRDefault="00921606" w:rsidP="00A202FD">
      <w:pPr>
        <w:pStyle w:val="MET"/>
        <w:rPr>
          <w:szCs w:val="24"/>
        </w:rPr>
      </w:pPr>
      <w:r w:rsidRPr="00D53A2B">
        <w:rPr>
          <w:szCs w:val="24"/>
        </w:rPr>
        <w:t>MET 70:</w:t>
      </w:r>
      <w:r w:rsidR="00596C59" w:rsidRPr="00D53A2B">
        <w:rPr>
          <w:szCs w:val="24"/>
        </w:rPr>
        <w:t xml:space="preserve"> </w:t>
      </w:r>
      <w:r w:rsidR="00374C56" w:rsidRPr="00D53A2B">
        <w:rPr>
          <w:b w:val="0"/>
          <w:bCs/>
          <w:szCs w:val="24"/>
        </w:rPr>
        <w:t>Birincil alüminyum üretiminden havaya verilen perflorokarbon emisyonlarını azaltmak için, aşağıda verilen tekniklerin hepsi bir arada kullanıl</w:t>
      </w:r>
      <w:r w:rsidR="004F119D" w:rsidRPr="00D53A2B">
        <w:rPr>
          <w:b w:val="0"/>
          <w:bCs/>
          <w:szCs w:val="24"/>
        </w:rPr>
        <w:t>ır.</w:t>
      </w:r>
    </w:p>
    <w:tbl>
      <w:tblPr>
        <w:tblW w:w="8674" w:type="dxa"/>
        <w:tblLayout w:type="fixed"/>
        <w:tblCellMar>
          <w:left w:w="0" w:type="dxa"/>
          <w:right w:w="0" w:type="dxa"/>
        </w:tblCellMar>
        <w:tblLook w:val="01E0" w:firstRow="1" w:lastRow="1" w:firstColumn="1" w:lastColumn="1" w:noHBand="0" w:noVBand="0"/>
      </w:tblPr>
      <w:tblGrid>
        <w:gridCol w:w="397"/>
        <w:gridCol w:w="4082"/>
        <w:gridCol w:w="4195"/>
      </w:tblGrid>
      <w:tr w:rsidR="00374C56" w:rsidRPr="00D53A2B" w14:paraId="107EB993"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6CC8CA1C" w14:textId="77777777" w:rsidR="00374C56" w:rsidRPr="00D53A2B" w:rsidRDefault="00374C56" w:rsidP="00A202FD">
            <w:pPr>
              <w:spacing w:line="264" w:lineRule="auto"/>
              <w:ind w:left="57" w:right="57"/>
              <w:jc w:val="both"/>
              <w:rPr>
                <w:lang w:eastAsia="en-US"/>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6DFE962C" w14:textId="77777777" w:rsidR="00374C56" w:rsidRPr="00D53A2B" w:rsidRDefault="00374C56" w:rsidP="00A202FD">
            <w:pPr>
              <w:spacing w:line="264" w:lineRule="auto"/>
              <w:ind w:left="57" w:right="57"/>
              <w:jc w:val="both"/>
              <w:rPr>
                <w:lang w:eastAsia="en-US"/>
              </w:rPr>
            </w:pPr>
            <w:r w:rsidRPr="00D53A2B">
              <w:rPr>
                <w:b/>
                <w:bCs/>
                <w:lang w:eastAsia="en-US"/>
              </w:rPr>
              <w:t>Teknik</w:t>
            </w:r>
          </w:p>
        </w:tc>
        <w:tc>
          <w:tcPr>
            <w:tcW w:w="4195" w:type="dxa"/>
            <w:tcBorders>
              <w:top w:val="single" w:sz="4" w:space="0" w:color="000000"/>
              <w:left w:val="single" w:sz="4" w:space="0" w:color="000000"/>
              <w:bottom w:val="single" w:sz="4" w:space="0" w:color="000000"/>
              <w:right w:val="single" w:sz="4" w:space="0" w:color="000000"/>
            </w:tcBorders>
            <w:vAlign w:val="center"/>
          </w:tcPr>
          <w:p w14:paraId="5AD3F584" w14:textId="77777777" w:rsidR="00374C56" w:rsidRPr="00D53A2B" w:rsidRDefault="00374C56" w:rsidP="00A202FD">
            <w:pPr>
              <w:spacing w:line="264" w:lineRule="auto"/>
              <w:ind w:left="57" w:right="57"/>
              <w:jc w:val="both"/>
              <w:rPr>
                <w:lang w:eastAsia="en-US"/>
              </w:rPr>
            </w:pPr>
            <w:r w:rsidRPr="00D53A2B">
              <w:rPr>
                <w:b/>
                <w:bCs/>
                <w:lang w:eastAsia="en-US"/>
              </w:rPr>
              <w:t>Uygulanabilirlik</w:t>
            </w:r>
          </w:p>
        </w:tc>
      </w:tr>
      <w:tr w:rsidR="00374C56" w:rsidRPr="00D53A2B" w14:paraId="3116A39B"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68A1F01A" w14:textId="77777777" w:rsidR="00374C56" w:rsidRPr="00D53A2B" w:rsidRDefault="00374C56" w:rsidP="00A202FD">
            <w:pPr>
              <w:spacing w:line="264" w:lineRule="auto"/>
              <w:ind w:left="57" w:right="57"/>
              <w:jc w:val="both"/>
              <w:rPr>
                <w:lang w:eastAsia="en-US"/>
              </w:rPr>
            </w:pPr>
            <w:r w:rsidRPr="00D53A2B">
              <w:rPr>
                <w:lang w:eastAsia="en-US"/>
              </w:rPr>
              <w:t>a</w:t>
            </w:r>
          </w:p>
        </w:tc>
        <w:tc>
          <w:tcPr>
            <w:tcW w:w="4082" w:type="dxa"/>
            <w:tcBorders>
              <w:top w:val="single" w:sz="4" w:space="0" w:color="000000"/>
              <w:left w:val="single" w:sz="4" w:space="0" w:color="000000"/>
              <w:bottom w:val="single" w:sz="4" w:space="0" w:color="000000"/>
              <w:right w:val="single" w:sz="4" w:space="0" w:color="000000"/>
            </w:tcBorders>
            <w:vAlign w:val="center"/>
          </w:tcPr>
          <w:p w14:paraId="2784FC06" w14:textId="77777777" w:rsidR="00374C56" w:rsidRPr="00D53A2B" w:rsidRDefault="00374C56" w:rsidP="00A202FD">
            <w:pPr>
              <w:spacing w:line="264" w:lineRule="auto"/>
              <w:ind w:left="57" w:right="57"/>
              <w:jc w:val="both"/>
              <w:rPr>
                <w:lang w:eastAsia="en-US"/>
              </w:rPr>
            </w:pPr>
            <w:r w:rsidRPr="00D53A2B">
              <w:rPr>
                <w:lang w:eastAsia="en-US"/>
              </w:rPr>
              <w:t>Otomatik çoklu nokta alümina beslemesi</w:t>
            </w:r>
          </w:p>
        </w:tc>
        <w:tc>
          <w:tcPr>
            <w:tcW w:w="4195" w:type="dxa"/>
            <w:tcBorders>
              <w:top w:val="single" w:sz="4" w:space="0" w:color="000000"/>
              <w:left w:val="single" w:sz="4" w:space="0" w:color="000000"/>
              <w:bottom w:val="single" w:sz="4" w:space="0" w:color="000000"/>
              <w:right w:val="single" w:sz="4" w:space="0" w:color="000000"/>
            </w:tcBorders>
            <w:vAlign w:val="center"/>
          </w:tcPr>
          <w:p w14:paraId="33C53F35" w14:textId="77777777" w:rsidR="00374C56" w:rsidRPr="00D53A2B" w:rsidRDefault="00374C56" w:rsidP="00A202FD">
            <w:pPr>
              <w:spacing w:line="264" w:lineRule="auto"/>
              <w:ind w:left="57" w:right="57"/>
              <w:jc w:val="both"/>
              <w:rPr>
                <w:lang w:eastAsia="en-US"/>
              </w:rPr>
            </w:pPr>
            <w:r w:rsidRPr="00D53A2B">
              <w:rPr>
                <w:lang w:eastAsia="en-US"/>
              </w:rPr>
              <w:t>Genellikle uygulanabilir</w:t>
            </w:r>
          </w:p>
        </w:tc>
      </w:tr>
      <w:tr w:rsidR="00374C56" w:rsidRPr="00D53A2B" w14:paraId="42EE50A2"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4C8F327F" w14:textId="77777777" w:rsidR="00374C56" w:rsidRPr="00D53A2B" w:rsidRDefault="00374C56" w:rsidP="00A202FD">
            <w:pPr>
              <w:spacing w:line="264" w:lineRule="auto"/>
              <w:ind w:left="57" w:right="57"/>
              <w:jc w:val="both"/>
              <w:rPr>
                <w:lang w:eastAsia="en-US"/>
              </w:rPr>
            </w:pPr>
            <w:r w:rsidRPr="00D53A2B">
              <w:rPr>
                <w:lang w:eastAsia="en-US"/>
              </w:rPr>
              <w:t>b</w:t>
            </w:r>
          </w:p>
        </w:tc>
        <w:tc>
          <w:tcPr>
            <w:tcW w:w="4082" w:type="dxa"/>
            <w:tcBorders>
              <w:top w:val="single" w:sz="4" w:space="0" w:color="000000"/>
              <w:left w:val="single" w:sz="4" w:space="0" w:color="000000"/>
              <w:bottom w:val="single" w:sz="4" w:space="0" w:color="000000"/>
              <w:right w:val="single" w:sz="4" w:space="0" w:color="000000"/>
            </w:tcBorders>
            <w:vAlign w:val="center"/>
          </w:tcPr>
          <w:p w14:paraId="2C910D07" w14:textId="4F09CDB9" w:rsidR="00374C56" w:rsidRPr="00D53A2B" w:rsidRDefault="00596C59" w:rsidP="00A202FD">
            <w:pPr>
              <w:spacing w:line="264" w:lineRule="auto"/>
              <w:ind w:left="57" w:right="57"/>
              <w:jc w:val="both"/>
              <w:rPr>
                <w:lang w:eastAsia="en-US"/>
              </w:rPr>
            </w:pPr>
            <w:r w:rsidRPr="00D53A2B">
              <w:rPr>
                <w:lang w:eastAsia="en-US"/>
              </w:rPr>
              <w:t>Aktif hücre veri tabanlarına dayalı elektroliz sürecinin bilgisayar kontrolü ve hücre çalışma parametrelerinin izlenmesi.</w:t>
            </w:r>
          </w:p>
        </w:tc>
        <w:tc>
          <w:tcPr>
            <w:tcW w:w="4195" w:type="dxa"/>
            <w:tcBorders>
              <w:top w:val="single" w:sz="4" w:space="0" w:color="000000"/>
              <w:left w:val="single" w:sz="4" w:space="0" w:color="000000"/>
              <w:bottom w:val="single" w:sz="4" w:space="0" w:color="000000"/>
              <w:right w:val="single" w:sz="4" w:space="0" w:color="000000"/>
            </w:tcBorders>
            <w:vAlign w:val="center"/>
          </w:tcPr>
          <w:p w14:paraId="53AD85AE" w14:textId="77777777" w:rsidR="00374C56" w:rsidRPr="00D53A2B" w:rsidRDefault="00374C56" w:rsidP="00A202FD">
            <w:pPr>
              <w:spacing w:line="264" w:lineRule="auto"/>
              <w:ind w:left="57" w:right="57"/>
              <w:jc w:val="both"/>
              <w:rPr>
                <w:lang w:eastAsia="en-US"/>
              </w:rPr>
            </w:pPr>
            <w:r w:rsidRPr="00D53A2B">
              <w:rPr>
                <w:lang w:eastAsia="en-US"/>
              </w:rPr>
              <w:t>Genellikle uygulanabilir</w:t>
            </w:r>
          </w:p>
        </w:tc>
      </w:tr>
      <w:tr w:rsidR="00374C56" w:rsidRPr="00D53A2B" w14:paraId="0BBCD5D3"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4B982A52" w14:textId="77777777" w:rsidR="00374C56" w:rsidRPr="00D53A2B" w:rsidRDefault="00374C56" w:rsidP="00A202FD">
            <w:pPr>
              <w:spacing w:line="264" w:lineRule="auto"/>
              <w:ind w:left="57" w:right="57"/>
              <w:jc w:val="both"/>
              <w:rPr>
                <w:lang w:eastAsia="en-US"/>
              </w:rPr>
            </w:pPr>
            <w:r w:rsidRPr="00D53A2B">
              <w:rPr>
                <w:lang w:eastAsia="en-US"/>
              </w:rPr>
              <w:t>c</w:t>
            </w:r>
          </w:p>
        </w:tc>
        <w:tc>
          <w:tcPr>
            <w:tcW w:w="4082" w:type="dxa"/>
            <w:tcBorders>
              <w:top w:val="single" w:sz="4" w:space="0" w:color="000000"/>
              <w:left w:val="single" w:sz="4" w:space="0" w:color="000000"/>
              <w:bottom w:val="single" w:sz="4" w:space="0" w:color="000000"/>
              <w:right w:val="single" w:sz="4" w:space="0" w:color="000000"/>
            </w:tcBorders>
            <w:vAlign w:val="center"/>
          </w:tcPr>
          <w:p w14:paraId="279C72F8" w14:textId="188492F4" w:rsidR="00374C56" w:rsidRPr="00D53A2B" w:rsidRDefault="00596C59" w:rsidP="00A202FD">
            <w:pPr>
              <w:spacing w:line="264" w:lineRule="auto"/>
              <w:ind w:left="57" w:right="57"/>
              <w:jc w:val="both"/>
              <w:rPr>
                <w:lang w:eastAsia="en-US"/>
              </w:rPr>
            </w:pPr>
            <w:r w:rsidRPr="00D53A2B">
              <w:rPr>
                <w:lang w:eastAsia="en-US"/>
              </w:rPr>
              <w:t>Otomatik anot etkisi bastırma</w:t>
            </w:r>
          </w:p>
        </w:tc>
        <w:tc>
          <w:tcPr>
            <w:tcW w:w="4195" w:type="dxa"/>
            <w:tcBorders>
              <w:top w:val="single" w:sz="4" w:space="0" w:color="000000"/>
              <w:left w:val="single" w:sz="4" w:space="0" w:color="000000"/>
              <w:bottom w:val="single" w:sz="4" w:space="0" w:color="000000"/>
              <w:right w:val="single" w:sz="4" w:space="0" w:color="000000"/>
            </w:tcBorders>
            <w:vAlign w:val="center"/>
          </w:tcPr>
          <w:p w14:paraId="37F34C24" w14:textId="17784B50" w:rsidR="00374C56" w:rsidRPr="00D53A2B" w:rsidRDefault="00596C59" w:rsidP="00A202FD">
            <w:pPr>
              <w:spacing w:line="264" w:lineRule="auto"/>
              <w:ind w:left="57" w:right="57"/>
              <w:jc w:val="both"/>
              <w:rPr>
                <w:lang w:eastAsia="en-US"/>
              </w:rPr>
            </w:pPr>
            <w:r w:rsidRPr="00D53A2B">
              <w:rPr>
                <w:lang w:eastAsia="en-US"/>
              </w:rPr>
              <w:t>Søderberg hücreleri için geçerli değildir çünkü anot tasarımı (sadece tek parça) bu teknikle ilişkili banyo akışına izin vermez</w:t>
            </w:r>
          </w:p>
        </w:tc>
      </w:tr>
    </w:tbl>
    <w:p w14:paraId="6663C3D6" w14:textId="77777777" w:rsidR="00374C56" w:rsidRPr="00D53A2B" w:rsidRDefault="00374C56" w:rsidP="00A202FD">
      <w:pPr>
        <w:jc w:val="both"/>
        <w:rPr>
          <w:lang w:eastAsia="en-US"/>
        </w:rPr>
      </w:pPr>
    </w:p>
    <w:p w14:paraId="1C5CCDD3" w14:textId="77777777" w:rsidR="00374C56" w:rsidRPr="00D53A2B" w:rsidRDefault="00374C56" w:rsidP="00A202FD">
      <w:pPr>
        <w:spacing w:after="40"/>
        <w:jc w:val="both"/>
        <w:rPr>
          <w:b/>
          <w:lang w:eastAsia="en-US"/>
        </w:rPr>
      </w:pPr>
      <w:r w:rsidRPr="00D53A2B">
        <w:rPr>
          <w:b/>
          <w:lang w:eastAsia="en-US"/>
        </w:rPr>
        <w:t>Açıklama</w:t>
      </w:r>
    </w:p>
    <w:p w14:paraId="2F50CC67" w14:textId="14C028FE" w:rsidR="00374C56" w:rsidRPr="00D53A2B" w:rsidRDefault="00374C56" w:rsidP="00A202FD">
      <w:pPr>
        <w:pStyle w:val="MET"/>
        <w:rPr>
          <w:szCs w:val="24"/>
        </w:rPr>
      </w:pPr>
      <w:r w:rsidRPr="00D53A2B">
        <w:rPr>
          <w:szCs w:val="24"/>
        </w:rPr>
        <w:t xml:space="preserve">MET 70.c: </w:t>
      </w:r>
      <w:r w:rsidR="00596C59" w:rsidRPr="00D53A2B">
        <w:rPr>
          <w:b w:val="0"/>
          <w:bCs/>
          <w:szCs w:val="24"/>
        </w:rPr>
        <w:t>Anot etkisi, elektrolitin alümina içeriği %1-2</w:t>
      </w:r>
      <w:r w:rsidR="00E56504" w:rsidRPr="00D53A2B">
        <w:rPr>
          <w:b w:val="0"/>
          <w:bCs/>
          <w:szCs w:val="24"/>
        </w:rPr>
        <w:t>’</w:t>
      </w:r>
      <w:r w:rsidR="00596C59" w:rsidRPr="00D53A2B">
        <w:rPr>
          <w:b w:val="0"/>
          <w:bCs/>
          <w:szCs w:val="24"/>
        </w:rPr>
        <w:t>nin altına düştüğünde gerçekleşir. Anot etkileri sırasında, alüminayı ayrıştırmak yerine, kriyolit banyosu metal ve florür iyonlarına ayrışır, ikincisi karbon anot ile reaksiyona giren gaz halindeki perflorokarbonları oluşturur.</w:t>
      </w:r>
    </w:p>
    <w:p w14:paraId="77EA172F" w14:textId="77777777" w:rsidR="00596C59" w:rsidRPr="00D53A2B" w:rsidRDefault="00596C59" w:rsidP="00A202FD">
      <w:pPr>
        <w:pStyle w:val="MET"/>
        <w:rPr>
          <w:szCs w:val="24"/>
        </w:rPr>
      </w:pPr>
    </w:p>
    <w:p w14:paraId="4F167BDA" w14:textId="199C9435" w:rsidR="00596C59" w:rsidRPr="00D53A2B" w:rsidRDefault="00596C59" w:rsidP="00A202FD">
      <w:pPr>
        <w:pStyle w:val="Balk5"/>
        <w:ind w:left="1134" w:hanging="1134"/>
        <w:rPr>
          <w:szCs w:val="24"/>
        </w:rPr>
      </w:pPr>
      <w:r w:rsidRPr="00D53A2B">
        <w:rPr>
          <w:szCs w:val="24"/>
        </w:rPr>
        <w:t>1.</w:t>
      </w:r>
      <w:r w:rsidR="00374C56" w:rsidRPr="00D53A2B">
        <w:rPr>
          <w:bCs/>
          <w:szCs w:val="24"/>
        </w:rPr>
        <w:t>3.3.1.5</w:t>
      </w:r>
      <w:r w:rsidRPr="00D53A2B">
        <w:rPr>
          <w:bCs/>
          <w:szCs w:val="24"/>
        </w:rPr>
        <w:t>.</w:t>
      </w:r>
      <w:r w:rsidR="00374C56" w:rsidRPr="00D53A2B">
        <w:rPr>
          <w:bCs/>
          <w:szCs w:val="24"/>
        </w:rPr>
        <w:t xml:space="preserve"> </w:t>
      </w:r>
      <w:r w:rsidR="00374C56" w:rsidRPr="00D53A2B">
        <w:rPr>
          <w:szCs w:val="24"/>
        </w:rPr>
        <w:t>PAH ve CO emisyonları</w:t>
      </w:r>
    </w:p>
    <w:p w14:paraId="22DE71DB" w14:textId="77777777" w:rsidR="00292FE9" w:rsidRPr="00D53A2B" w:rsidRDefault="00292FE9" w:rsidP="00A202FD">
      <w:pPr>
        <w:jc w:val="both"/>
        <w:rPr>
          <w:lang w:val="en-US" w:eastAsia="en-US"/>
        </w:rPr>
      </w:pPr>
    </w:p>
    <w:p w14:paraId="4052B8EA" w14:textId="271581AC" w:rsidR="00374C56" w:rsidRPr="00D53A2B" w:rsidRDefault="00921606" w:rsidP="00A202FD">
      <w:pPr>
        <w:pStyle w:val="MET"/>
        <w:rPr>
          <w:szCs w:val="24"/>
        </w:rPr>
      </w:pPr>
      <w:r w:rsidRPr="00D53A2B">
        <w:rPr>
          <w:szCs w:val="24"/>
        </w:rPr>
        <w:t>MET 71:</w:t>
      </w:r>
      <w:r w:rsidR="00292FE9" w:rsidRPr="00D53A2B">
        <w:rPr>
          <w:szCs w:val="24"/>
        </w:rPr>
        <w:t xml:space="preserve"> </w:t>
      </w:r>
      <w:r w:rsidR="00374C56" w:rsidRPr="00D53A2B">
        <w:rPr>
          <w:b w:val="0"/>
          <w:bCs/>
          <w:szCs w:val="24"/>
        </w:rPr>
        <w:t>Søderberg teknolojisini kullanan birincil alüminyum üretiminden havaya verilen CO ve PAH emisyonlarını azaltmak içi</w:t>
      </w:r>
      <w:r w:rsidR="004F119D" w:rsidRPr="00D53A2B">
        <w:rPr>
          <w:b w:val="0"/>
          <w:bCs/>
          <w:szCs w:val="24"/>
        </w:rPr>
        <w:t>n</w:t>
      </w:r>
      <w:r w:rsidR="00374C56" w:rsidRPr="00D53A2B">
        <w:rPr>
          <w:b w:val="0"/>
          <w:bCs/>
          <w:szCs w:val="24"/>
        </w:rPr>
        <w:t>, hücreden çıkan gazın içindeki CO ve PAH yakıl</w:t>
      </w:r>
      <w:r w:rsidR="004F119D" w:rsidRPr="00D53A2B">
        <w:rPr>
          <w:b w:val="0"/>
          <w:bCs/>
          <w:szCs w:val="24"/>
        </w:rPr>
        <w:t>ır.</w:t>
      </w:r>
    </w:p>
    <w:p w14:paraId="408CAFF7" w14:textId="77777777" w:rsidR="00374C56" w:rsidRPr="00D53A2B" w:rsidRDefault="00374C56" w:rsidP="00A202FD">
      <w:pPr>
        <w:jc w:val="both"/>
        <w:rPr>
          <w:lang w:eastAsia="en-US"/>
        </w:rPr>
      </w:pPr>
    </w:p>
    <w:p w14:paraId="70477117" w14:textId="2065A925" w:rsidR="00374C56" w:rsidRPr="00D53A2B" w:rsidRDefault="003936CE"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3.3.2.</w:t>
      </w:r>
      <w:r w:rsidRPr="00D53A2B">
        <w:rPr>
          <w:rFonts w:cs="Times New Roman"/>
          <w:lang w:eastAsia="en-US"/>
        </w:rPr>
        <w:t xml:space="preserve"> </w:t>
      </w:r>
      <w:r w:rsidR="00374C56" w:rsidRPr="00D53A2B">
        <w:rPr>
          <w:rFonts w:cs="Times New Roman"/>
          <w:lang w:eastAsia="en-US"/>
        </w:rPr>
        <w:t>Atıksu üretimi</w:t>
      </w:r>
    </w:p>
    <w:p w14:paraId="7FCA81CD" w14:textId="5FAAC330" w:rsidR="00374C56" w:rsidRPr="00D53A2B" w:rsidRDefault="00921606" w:rsidP="00A202FD">
      <w:pPr>
        <w:pStyle w:val="MET"/>
        <w:rPr>
          <w:szCs w:val="24"/>
        </w:rPr>
      </w:pPr>
      <w:r w:rsidRPr="00D53A2B">
        <w:rPr>
          <w:szCs w:val="24"/>
        </w:rPr>
        <w:t>MET 72:</w:t>
      </w:r>
      <w:r w:rsidR="003936CE" w:rsidRPr="00D53A2B">
        <w:rPr>
          <w:szCs w:val="24"/>
        </w:rPr>
        <w:t xml:space="preserve"> </w:t>
      </w:r>
      <w:r w:rsidR="003936CE" w:rsidRPr="00D53A2B">
        <w:rPr>
          <w:b w:val="0"/>
          <w:bCs/>
          <w:szCs w:val="24"/>
        </w:rPr>
        <w:t>Atıksu oluşumunu önlemek için MET, soğutma suyunu ve yağmur suyu da dahil olmak üzere arıtılmış atıksuyu proses içinde yeniden kullan</w:t>
      </w:r>
      <w:r w:rsidR="00292FE9" w:rsidRPr="00D53A2B">
        <w:rPr>
          <w:b w:val="0"/>
          <w:bCs/>
          <w:szCs w:val="24"/>
        </w:rPr>
        <w:t>ılır</w:t>
      </w:r>
      <w:r w:rsidR="003936CE" w:rsidRPr="00D53A2B">
        <w:rPr>
          <w:b w:val="0"/>
          <w:bCs/>
          <w:szCs w:val="24"/>
        </w:rPr>
        <w:t xml:space="preserve"> veya geri </w:t>
      </w:r>
      <w:r w:rsidR="00D674A1">
        <w:rPr>
          <w:b w:val="0"/>
          <w:bCs/>
          <w:szCs w:val="24"/>
        </w:rPr>
        <w:t>kazanılır</w:t>
      </w:r>
      <w:r w:rsidR="003936CE" w:rsidRPr="00D53A2B">
        <w:rPr>
          <w:b w:val="0"/>
          <w:bCs/>
          <w:szCs w:val="24"/>
        </w:rPr>
        <w:t>.</w:t>
      </w:r>
    </w:p>
    <w:p w14:paraId="1938BA38" w14:textId="77777777" w:rsidR="003936CE" w:rsidRPr="00D53A2B" w:rsidRDefault="003936CE" w:rsidP="00A202FD">
      <w:pPr>
        <w:pStyle w:val="MET"/>
        <w:rPr>
          <w:szCs w:val="24"/>
        </w:rPr>
      </w:pPr>
    </w:p>
    <w:p w14:paraId="16E29ED2" w14:textId="77777777" w:rsidR="00374C56" w:rsidRPr="00D53A2B" w:rsidRDefault="00374C56" w:rsidP="00A202FD">
      <w:pPr>
        <w:spacing w:after="40"/>
        <w:jc w:val="both"/>
        <w:rPr>
          <w:b/>
          <w:lang w:eastAsia="en-US"/>
        </w:rPr>
      </w:pPr>
      <w:r w:rsidRPr="00D53A2B">
        <w:rPr>
          <w:b/>
          <w:lang w:eastAsia="en-US"/>
        </w:rPr>
        <w:t>Uygulanabilirlik</w:t>
      </w:r>
    </w:p>
    <w:p w14:paraId="683C79C2" w14:textId="350F03EC" w:rsidR="003D436C" w:rsidRPr="00D53A2B" w:rsidRDefault="003D436C" w:rsidP="00A202FD">
      <w:pPr>
        <w:jc w:val="both"/>
        <w:rPr>
          <w:lang w:eastAsia="en-US"/>
        </w:rPr>
      </w:pPr>
      <w:r w:rsidRPr="00D53A2B">
        <w:rPr>
          <w:lang w:eastAsia="en-US"/>
        </w:rPr>
        <w:t xml:space="preserve">Genel olarak yeni tesisler ve büyük iyileştirmeler için geçerlidir. Su kalitesi ve/veya ürün kalitesi gereklilikleri nedeniyle uygulanabilirlik sınırlı olabilir. Yeniden kullanılan veya geri dönüştürülen soğutma suyu, arıtılmış </w:t>
      </w:r>
      <w:r w:rsidR="00651500" w:rsidRPr="00D53A2B">
        <w:rPr>
          <w:lang w:eastAsia="en-US"/>
        </w:rPr>
        <w:t>atıksu</w:t>
      </w:r>
      <w:r w:rsidR="00D674A1">
        <w:rPr>
          <w:lang w:eastAsia="en-US"/>
        </w:rPr>
        <w:t xml:space="preserve"> </w:t>
      </w:r>
      <w:r w:rsidRPr="00D53A2B">
        <w:rPr>
          <w:lang w:eastAsia="en-US"/>
        </w:rPr>
        <w:t>ve yağmur suyu miktarı, proses için gereken su miktarından fazla olamaz.</w:t>
      </w:r>
    </w:p>
    <w:p w14:paraId="427DB7AF" w14:textId="77777777" w:rsidR="003D436C" w:rsidRPr="00D53A2B" w:rsidRDefault="003D436C" w:rsidP="00A202FD">
      <w:pPr>
        <w:jc w:val="both"/>
        <w:rPr>
          <w:lang w:eastAsia="en-US"/>
        </w:rPr>
      </w:pPr>
    </w:p>
    <w:p w14:paraId="30E1213D" w14:textId="49738D4C" w:rsidR="00374C56" w:rsidRPr="00D53A2B" w:rsidRDefault="003D436C"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3.3.3.</w:t>
      </w:r>
      <w:r w:rsidRPr="00D53A2B">
        <w:rPr>
          <w:rFonts w:cs="Times New Roman"/>
          <w:lang w:eastAsia="en-US"/>
        </w:rPr>
        <w:t xml:space="preserve"> </w:t>
      </w:r>
      <w:r w:rsidR="00374C56" w:rsidRPr="00D53A2B">
        <w:rPr>
          <w:rFonts w:cs="Times New Roman"/>
          <w:lang w:eastAsia="en-US"/>
        </w:rPr>
        <w:t>Atık</w:t>
      </w:r>
    </w:p>
    <w:p w14:paraId="47C4F29B" w14:textId="2962BB8E" w:rsidR="00374C56" w:rsidRPr="00D53A2B" w:rsidRDefault="00921606" w:rsidP="00A202FD">
      <w:pPr>
        <w:pStyle w:val="MET"/>
        <w:rPr>
          <w:szCs w:val="24"/>
        </w:rPr>
      </w:pPr>
      <w:r w:rsidRPr="00D53A2B">
        <w:rPr>
          <w:szCs w:val="24"/>
        </w:rPr>
        <w:t>MET 73:</w:t>
      </w:r>
      <w:r w:rsidR="00292FE9" w:rsidRPr="00D53A2B">
        <w:rPr>
          <w:szCs w:val="24"/>
        </w:rPr>
        <w:t xml:space="preserve"> </w:t>
      </w:r>
      <w:r w:rsidR="00374C56" w:rsidRPr="00D53A2B">
        <w:rPr>
          <w:b w:val="0"/>
          <w:bCs/>
          <w:szCs w:val="24"/>
        </w:rPr>
        <w:t>Bertaraf edilmesi gereken tükenmiş pota astarının miktarını azaltmak için</w:t>
      </w:r>
      <w:r w:rsidR="004F119D" w:rsidRPr="00D53A2B">
        <w:rPr>
          <w:b w:val="0"/>
          <w:bCs/>
          <w:szCs w:val="24"/>
        </w:rPr>
        <w:t xml:space="preserve">, </w:t>
      </w:r>
      <w:r w:rsidR="00374C56" w:rsidRPr="00D53A2B">
        <w:rPr>
          <w:b w:val="0"/>
          <w:bCs/>
          <w:szCs w:val="24"/>
        </w:rPr>
        <w:t>sahadaki işlemlerin düzenlenerek son tüketicinin gereksinimlerine göre; çimento üretiminde, tuzlu cüruf geri kazanımı prosesinde, karbonlaştırıcı olarak çelik veya ferro alaşım sanayiinde veya ikincil hammadde (</w:t>
      </w:r>
      <w:r w:rsidR="00374C56" w:rsidRPr="00D53A2B">
        <w:rPr>
          <w:b w:val="0"/>
          <w:bCs/>
          <w:i/>
          <w:szCs w:val="24"/>
        </w:rPr>
        <w:t>örn.</w:t>
      </w:r>
      <w:r w:rsidR="00374C56" w:rsidRPr="00D53A2B">
        <w:rPr>
          <w:b w:val="0"/>
          <w:bCs/>
          <w:szCs w:val="24"/>
        </w:rPr>
        <w:t xml:space="preserve"> taş yünü) olarak tesis dışında geri </w:t>
      </w:r>
      <w:r w:rsidR="00D03324">
        <w:rPr>
          <w:b w:val="0"/>
          <w:bCs/>
          <w:szCs w:val="24"/>
        </w:rPr>
        <w:t>kazanımını</w:t>
      </w:r>
      <w:r w:rsidR="00374C56" w:rsidRPr="00D53A2B">
        <w:rPr>
          <w:b w:val="0"/>
          <w:bCs/>
          <w:szCs w:val="24"/>
        </w:rPr>
        <w:t xml:space="preserve"> kolaylaştır</w:t>
      </w:r>
      <w:r w:rsidR="004F119D" w:rsidRPr="00D53A2B">
        <w:rPr>
          <w:b w:val="0"/>
          <w:bCs/>
          <w:szCs w:val="24"/>
        </w:rPr>
        <w:t>ılır.</w:t>
      </w:r>
    </w:p>
    <w:p w14:paraId="6D763AE1" w14:textId="77777777" w:rsidR="00D957B3" w:rsidRPr="00D53A2B" w:rsidRDefault="00D957B3" w:rsidP="00A202FD">
      <w:pPr>
        <w:pStyle w:val="MET"/>
        <w:rPr>
          <w:szCs w:val="24"/>
          <w:lang w:val="en-US"/>
        </w:rPr>
      </w:pPr>
    </w:p>
    <w:p w14:paraId="699C0F27" w14:textId="2062B8E5" w:rsidR="00374C56" w:rsidRPr="00D53A2B" w:rsidRDefault="00D957B3" w:rsidP="00A202FD">
      <w:pPr>
        <w:pStyle w:val="Balk3"/>
        <w:rPr>
          <w:rFonts w:cs="Times New Roman"/>
          <w:lang w:eastAsia="en-US"/>
        </w:rPr>
      </w:pPr>
      <w:bookmarkStart w:id="82" w:name="_Toc531927875"/>
      <w:r w:rsidRPr="00D53A2B">
        <w:rPr>
          <w:rFonts w:cs="Times New Roman"/>
          <w:lang w:eastAsia="en-US"/>
        </w:rPr>
        <w:t>1.</w:t>
      </w:r>
      <w:r w:rsidR="00374C56" w:rsidRPr="00D53A2B">
        <w:rPr>
          <w:rFonts w:cs="Times New Roman"/>
          <w:lang w:eastAsia="en-US"/>
        </w:rPr>
        <w:t>3.4.</w:t>
      </w:r>
      <w:r w:rsidRPr="00D53A2B">
        <w:rPr>
          <w:rFonts w:cs="Times New Roman"/>
          <w:lang w:eastAsia="en-US"/>
        </w:rPr>
        <w:t xml:space="preserve"> </w:t>
      </w:r>
      <w:r w:rsidR="00374C56" w:rsidRPr="00D53A2B">
        <w:rPr>
          <w:rFonts w:cs="Times New Roman"/>
          <w:lang w:eastAsia="en-US"/>
        </w:rPr>
        <w:t>İkincil alüminyum üretimi</w:t>
      </w:r>
      <w:bookmarkEnd w:id="82"/>
    </w:p>
    <w:p w14:paraId="22FE4C1F" w14:textId="387E1D01" w:rsidR="00374C56" w:rsidRPr="00D53A2B" w:rsidRDefault="00D957B3"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3.4.1.</w:t>
      </w:r>
      <w:r w:rsidRPr="00D53A2B">
        <w:rPr>
          <w:rFonts w:cs="Times New Roman"/>
          <w:lang w:eastAsia="en-US"/>
        </w:rPr>
        <w:t xml:space="preserve"> </w:t>
      </w:r>
      <w:r w:rsidR="00374C56" w:rsidRPr="00D53A2B">
        <w:rPr>
          <w:rFonts w:cs="Times New Roman"/>
          <w:lang w:eastAsia="en-US"/>
        </w:rPr>
        <w:t>İkincil malzemeler</w:t>
      </w:r>
    </w:p>
    <w:p w14:paraId="10BB0BE5" w14:textId="3BC8F5C8" w:rsidR="00374C56" w:rsidRPr="00D53A2B" w:rsidRDefault="00921606" w:rsidP="00A202FD">
      <w:pPr>
        <w:pStyle w:val="MET"/>
        <w:rPr>
          <w:szCs w:val="24"/>
        </w:rPr>
      </w:pPr>
      <w:r w:rsidRPr="00D53A2B">
        <w:rPr>
          <w:szCs w:val="24"/>
        </w:rPr>
        <w:t>MET 74:</w:t>
      </w:r>
      <w:r w:rsidR="00292FE9" w:rsidRPr="00D53A2B">
        <w:rPr>
          <w:szCs w:val="24"/>
        </w:rPr>
        <w:t xml:space="preserve"> </w:t>
      </w:r>
      <w:r w:rsidR="00374C56" w:rsidRPr="00D53A2B">
        <w:rPr>
          <w:b w:val="0"/>
          <w:bCs/>
          <w:szCs w:val="24"/>
        </w:rPr>
        <w:t>Hammaddelerin verimini arttırmak için MET, metal olmayan bileşenleri ve alüminyum dışındaki metalleri, işlenen malzemelerin bileşenlerine bağlı olarak aşağıda verilen tekniklerin biri ya da bir kombinasyonu kullanılarak ayrıl</w:t>
      </w:r>
      <w:r w:rsidR="004F119D" w:rsidRPr="00D53A2B">
        <w:rPr>
          <w:b w:val="0"/>
          <w:bCs/>
          <w:szCs w:val="24"/>
        </w:rPr>
        <w:t>ır.</w:t>
      </w:r>
    </w:p>
    <w:tbl>
      <w:tblPr>
        <w:tblW w:w="0" w:type="auto"/>
        <w:tblLayout w:type="fixed"/>
        <w:tblCellMar>
          <w:left w:w="0" w:type="dxa"/>
          <w:right w:w="0" w:type="dxa"/>
        </w:tblCellMar>
        <w:tblLook w:val="01E0" w:firstRow="1" w:lastRow="1" w:firstColumn="1" w:lastColumn="1" w:noHBand="0" w:noVBand="0"/>
      </w:tblPr>
      <w:tblGrid>
        <w:gridCol w:w="437"/>
        <w:gridCol w:w="8284"/>
      </w:tblGrid>
      <w:tr w:rsidR="00374C56" w:rsidRPr="00D53A2B" w14:paraId="47EB7A19"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72C4005E" w14:textId="77777777" w:rsidR="00374C56" w:rsidRPr="00D53A2B" w:rsidRDefault="00374C56" w:rsidP="00A202FD">
            <w:pPr>
              <w:spacing w:line="264" w:lineRule="auto"/>
              <w:ind w:left="57" w:right="57"/>
              <w:jc w:val="both"/>
              <w:rPr>
                <w:sz w:val="22"/>
                <w:szCs w:val="22"/>
                <w:lang w:eastAsia="en-US"/>
              </w:rPr>
            </w:pPr>
          </w:p>
        </w:tc>
        <w:tc>
          <w:tcPr>
            <w:tcW w:w="8284" w:type="dxa"/>
            <w:tcBorders>
              <w:top w:val="single" w:sz="4" w:space="0" w:color="000000"/>
              <w:left w:val="single" w:sz="4" w:space="0" w:color="000000"/>
              <w:bottom w:val="single" w:sz="4" w:space="0" w:color="000000"/>
              <w:right w:val="single" w:sz="4" w:space="0" w:color="000000"/>
            </w:tcBorders>
            <w:vAlign w:val="center"/>
          </w:tcPr>
          <w:p w14:paraId="644F0E7B"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0DC40ED7"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2FB7DCC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284" w:type="dxa"/>
            <w:tcBorders>
              <w:top w:val="single" w:sz="4" w:space="0" w:color="000000"/>
              <w:left w:val="single" w:sz="4" w:space="0" w:color="000000"/>
              <w:bottom w:val="single" w:sz="4" w:space="0" w:color="000000"/>
              <w:right w:val="single" w:sz="4" w:space="0" w:color="000000"/>
            </w:tcBorders>
          </w:tcPr>
          <w:p w14:paraId="3B9CE9D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Ferro metallerin manyetik olarak ayrılması</w:t>
            </w:r>
          </w:p>
        </w:tc>
      </w:tr>
      <w:tr w:rsidR="00374C56" w:rsidRPr="00D53A2B" w14:paraId="400E5C2C"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3579FBE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284" w:type="dxa"/>
            <w:tcBorders>
              <w:top w:val="single" w:sz="4" w:space="0" w:color="000000"/>
              <w:left w:val="single" w:sz="4" w:space="0" w:color="000000"/>
              <w:bottom w:val="single" w:sz="4" w:space="0" w:color="000000"/>
              <w:right w:val="single" w:sz="4" w:space="0" w:color="000000"/>
            </w:tcBorders>
          </w:tcPr>
          <w:p w14:paraId="23C10CA2" w14:textId="4BDC1B44" w:rsidR="00374C56" w:rsidRPr="00D53A2B" w:rsidRDefault="00D957B3" w:rsidP="00A202FD">
            <w:pPr>
              <w:spacing w:line="264" w:lineRule="auto"/>
              <w:ind w:left="57" w:right="57"/>
              <w:jc w:val="both"/>
              <w:rPr>
                <w:sz w:val="22"/>
                <w:szCs w:val="22"/>
                <w:lang w:eastAsia="en-US"/>
              </w:rPr>
            </w:pPr>
            <w:r w:rsidRPr="00D53A2B">
              <w:rPr>
                <w:sz w:val="22"/>
                <w:szCs w:val="22"/>
                <w:lang w:eastAsia="en-US"/>
              </w:rPr>
              <w:t>Alüminyumun diğer bileşenlerden Eddy akımıyla ayrılması (hareketli elektromanyetik alanlar kullanılarak).</w:t>
            </w:r>
          </w:p>
        </w:tc>
      </w:tr>
      <w:tr w:rsidR="00374C56" w:rsidRPr="00D53A2B" w14:paraId="6262FB0F"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01F2DC1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284" w:type="dxa"/>
            <w:tcBorders>
              <w:top w:val="single" w:sz="4" w:space="0" w:color="000000"/>
              <w:left w:val="single" w:sz="4" w:space="0" w:color="000000"/>
              <w:bottom w:val="single" w:sz="4" w:space="0" w:color="000000"/>
              <w:right w:val="single" w:sz="4" w:space="0" w:color="000000"/>
            </w:tcBorders>
          </w:tcPr>
          <w:p w14:paraId="5CF29C4C" w14:textId="3DEFE1D1" w:rsidR="00374C56" w:rsidRPr="00D53A2B" w:rsidRDefault="00D957B3" w:rsidP="00A202FD">
            <w:pPr>
              <w:spacing w:line="264" w:lineRule="auto"/>
              <w:ind w:left="57" w:right="57"/>
              <w:jc w:val="both"/>
              <w:rPr>
                <w:sz w:val="22"/>
                <w:szCs w:val="22"/>
                <w:lang w:eastAsia="en-US"/>
              </w:rPr>
            </w:pPr>
            <w:r w:rsidRPr="00D53A2B">
              <w:rPr>
                <w:sz w:val="22"/>
                <w:szCs w:val="22"/>
                <w:lang w:eastAsia="en-US"/>
              </w:rPr>
              <w:t>Farklı metallerin ve metal olmayan bileşenlerin bağıl yoğunluk ayrımı (farklı yoğunluğa sahip bir sıvı kullanarak).</w:t>
            </w:r>
          </w:p>
        </w:tc>
      </w:tr>
    </w:tbl>
    <w:p w14:paraId="0A464B10" w14:textId="77777777" w:rsidR="00374C56" w:rsidRPr="00D53A2B" w:rsidRDefault="00374C56" w:rsidP="00A202FD">
      <w:pPr>
        <w:jc w:val="both"/>
        <w:rPr>
          <w:lang w:eastAsia="en-US"/>
        </w:rPr>
      </w:pPr>
    </w:p>
    <w:p w14:paraId="45BA6BC5" w14:textId="03E5A1CB" w:rsidR="00374C56" w:rsidRPr="00D53A2B" w:rsidRDefault="00D957B3"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3.4.2.</w:t>
      </w:r>
      <w:r w:rsidRPr="00D53A2B">
        <w:rPr>
          <w:rFonts w:cs="Times New Roman"/>
          <w:lang w:eastAsia="en-US"/>
        </w:rPr>
        <w:t xml:space="preserve"> </w:t>
      </w:r>
      <w:r w:rsidR="00374C56" w:rsidRPr="00D53A2B">
        <w:rPr>
          <w:rFonts w:cs="Times New Roman"/>
          <w:lang w:eastAsia="en-US"/>
        </w:rPr>
        <w:t>Enerji</w:t>
      </w:r>
    </w:p>
    <w:p w14:paraId="1BC53EEF" w14:textId="45EC98F6" w:rsidR="00374C56" w:rsidRPr="00D53A2B" w:rsidRDefault="00921606" w:rsidP="00A202FD">
      <w:pPr>
        <w:tabs>
          <w:tab w:val="left" w:pos="1134"/>
        </w:tabs>
        <w:spacing w:before="120" w:after="200"/>
        <w:jc w:val="both"/>
        <w:rPr>
          <w:lang w:eastAsia="en-US"/>
        </w:rPr>
      </w:pPr>
      <w:r w:rsidRPr="00D53A2B">
        <w:rPr>
          <w:b/>
          <w:lang w:eastAsia="en-US"/>
        </w:rPr>
        <w:t>MET 75:</w:t>
      </w:r>
      <w:r w:rsidR="00374C56" w:rsidRPr="00D53A2B">
        <w:rPr>
          <w:b/>
          <w:lang w:eastAsia="en-US"/>
        </w:rPr>
        <w:tab/>
      </w:r>
      <w:r w:rsidR="00374C56" w:rsidRPr="00D53A2B">
        <w:rPr>
          <w:lang w:eastAsia="en-US"/>
        </w:rPr>
        <w:t xml:space="preserve">Enerjiyi verimli kullanmak </w:t>
      </w:r>
      <w:r w:rsidR="004F119D" w:rsidRPr="00D53A2B">
        <w:rPr>
          <w:lang w:eastAsia="en-US"/>
        </w:rPr>
        <w:t>için,</w:t>
      </w:r>
      <w:r w:rsidR="00374C56" w:rsidRPr="00D53A2B">
        <w:rPr>
          <w:lang w:eastAsia="en-US"/>
        </w:rPr>
        <w:t xml:space="preserve"> aşağıda verilen tekniklerin biri veya bir kombinasyonu kullanıl</w:t>
      </w:r>
      <w:r w:rsidR="004F119D" w:rsidRPr="00D53A2B">
        <w:rPr>
          <w:lang w:eastAsia="en-US"/>
        </w:rPr>
        <w:t>ır.</w:t>
      </w:r>
    </w:p>
    <w:tbl>
      <w:tblPr>
        <w:tblW w:w="8674" w:type="dxa"/>
        <w:tblLayout w:type="fixed"/>
        <w:tblCellMar>
          <w:left w:w="0" w:type="dxa"/>
          <w:right w:w="0" w:type="dxa"/>
        </w:tblCellMar>
        <w:tblLook w:val="01E0" w:firstRow="1" w:lastRow="1" w:firstColumn="1" w:lastColumn="1" w:noHBand="0" w:noVBand="0"/>
      </w:tblPr>
      <w:tblGrid>
        <w:gridCol w:w="397"/>
        <w:gridCol w:w="4082"/>
        <w:gridCol w:w="4195"/>
      </w:tblGrid>
      <w:tr w:rsidR="00374C56" w:rsidRPr="00D53A2B" w14:paraId="17DDFD31"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790C0C8B" w14:textId="77777777" w:rsidR="00374C56" w:rsidRPr="00D53A2B" w:rsidRDefault="00374C56" w:rsidP="00A202FD">
            <w:pPr>
              <w:spacing w:line="264" w:lineRule="auto"/>
              <w:ind w:left="57" w:right="57"/>
              <w:jc w:val="both"/>
              <w:rPr>
                <w:sz w:val="22"/>
                <w:szCs w:val="22"/>
                <w:lang w:eastAsia="en-US"/>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5E4A39C3"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4195" w:type="dxa"/>
            <w:tcBorders>
              <w:top w:val="single" w:sz="4" w:space="0" w:color="000000"/>
              <w:left w:val="single" w:sz="4" w:space="0" w:color="000000"/>
              <w:bottom w:val="single" w:sz="4" w:space="0" w:color="000000"/>
              <w:right w:val="single" w:sz="4" w:space="0" w:color="000000"/>
            </w:tcBorders>
            <w:vAlign w:val="center"/>
          </w:tcPr>
          <w:p w14:paraId="6096E50D"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46710C6A"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3A46EFA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4082" w:type="dxa"/>
            <w:tcBorders>
              <w:top w:val="single" w:sz="4" w:space="0" w:color="000000"/>
              <w:left w:val="single" w:sz="4" w:space="0" w:color="000000"/>
              <w:bottom w:val="single" w:sz="4" w:space="0" w:color="000000"/>
              <w:right w:val="single" w:sz="4" w:space="0" w:color="000000"/>
            </w:tcBorders>
            <w:vAlign w:val="center"/>
          </w:tcPr>
          <w:p w14:paraId="4E63E17C" w14:textId="2DB686D2" w:rsidR="00374C56" w:rsidRPr="00D53A2B" w:rsidRDefault="00374C56" w:rsidP="00A202FD">
            <w:pPr>
              <w:spacing w:line="264" w:lineRule="auto"/>
              <w:ind w:left="57" w:right="57"/>
              <w:jc w:val="both"/>
              <w:rPr>
                <w:sz w:val="22"/>
                <w:szCs w:val="22"/>
                <w:lang w:eastAsia="en-US"/>
              </w:rPr>
            </w:pPr>
            <w:r w:rsidRPr="00D53A2B">
              <w:rPr>
                <w:sz w:val="22"/>
                <w:szCs w:val="22"/>
                <w:lang w:eastAsia="en-US"/>
              </w:rPr>
              <w:t>Fırın şarjını</w:t>
            </w:r>
            <w:r w:rsidR="00D957B3" w:rsidRPr="00D53A2B">
              <w:rPr>
                <w:sz w:val="22"/>
                <w:szCs w:val="22"/>
                <w:lang w:eastAsia="en-US"/>
              </w:rPr>
              <w:t>n</w:t>
            </w:r>
            <w:r w:rsidRPr="00D53A2B">
              <w:rPr>
                <w:sz w:val="22"/>
                <w:szCs w:val="22"/>
                <w:lang w:eastAsia="en-US"/>
              </w:rPr>
              <w:t xml:space="preserve"> egzoz gazı ile ön ısıtılması</w:t>
            </w:r>
          </w:p>
        </w:tc>
        <w:tc>
          <w:tcPr>
            <w:tcW w:w="4195" w:type="dxa"/>
            <w:tcBorders>
              <w:top w:val="single" w:sz="4" w:space="0" w:color="000000"/>
              <w:left w:val="single" w:sz="4" w:space="0" w:color="000000"/>
              <w:bottom w:val="single" w:sz="4" w:space="0" w:color="000000"/>
              <w:right w:val="single" w:sz="4" w:space="0" w:color="000000"/>
            </w:tcBorders>
            <w:vAlign w:val="center"/>
          </w:tcPr>
          <w:p w14:paraId="68CE1E6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döner olmayan fırınlar için geçerlidir</w:t>
            </w:r>
          </w:p>
        </w:tc>
      </w:tr>
      <w:tr w:rsidR="00374C56" w:rsidRPr="00D53A2B" w14:paraId="5BD83F12"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79F624C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4082" w:type="dxa"/>
            <w:tcBorders>
              <w:top w:val="single" w:sz="4" w:space="0" w:color="000000"/>
              <w:left w:val="single" w:sz="4" w:space="0" w:color="000000"/>
              <w:bottom w:val="single" w:sz="4" w:space="0" w:color="000000"/>
              <w:right w:val="single" w:sz="4" w:space="0" w:color="000000"/>
            </w:tcBorders>
            <w:vAlign w:val="center"/>
          </w:tcPr>
          <w:p w14:paraId="72EE0A8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Yanmamış hidrokarbonlu gazların brülör sistemine devridaim edilmesi</w:t>
            </w:r>
          </w:p>
        </w:tc>
        <w:tc>
          <w:tcPr>
            <w:tcW w:w="4195" w:type="dxa"/>
            <w:tcBorders>
              <w:top w:val="single" w:sz="4" w:space="0" w:color="000000"/>
              <w:left w:val="single" w:sz="4" w:space="0" w:color="000000"/>
              <w:bottom w:val="single" w:sz="4" w:space="0" w:color="000000"/>
              <w:right w:val="single" w:sz="4" w:space="0" w:color="000000"/>
            </w:tcBorders>
            <w:vAlign w:val="center"/>
          </w:tcPr>
          <w:p w14:paraId="3117099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Yalnızca yalama yalazlı fırınlar ve kurutucular için geçerlidir</w:t>
            </w:r>
          </w:p>
        </w:tc>
      </w:tr>
      <w:tr w:rsidR="00374C56" w:rsidRPr="00D53A2B" w14:paraId="6CEE9C4F"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11F8857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4082" w:type="dxa"/>
            <w:tcBorders>
              <w:top w:val="single" w:sz="4" w:space="0" w:color="000000"/>
              <w:left w:val="single" w:sz="4" w:space="0" w:color="000000"/>
              <w:bottom w:val="single" w:sz="4" w:space="0" w:color="000000"/>
              <w:right w:val="single" w:sz="4" w:space="0" w:color="000000"/>
            </w:tcBorders>
            <w:vAlign w:val="center"/>
          </w:tcPr>
          <w:p w14:paraId="0625A7C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Doğrudan kalıplama için sıvı metal tedariği</w:t>
            </w:r>
          </w:p>
        </w:tc>
        <w:tc>
          <w:tcPr>
            <w:tcW w:w="4195" w:type="dxa"/>
            <w:tcBorders>
              <w:top w:val="single" w:sz="4" w:space="0" w:color="000000"/>
              <w:left w:val="single" w:sz="4" w:space="0" w:color="000000"/>
              <w:bottom w:val="single" w:sz="4" w:space="0" w:color="000000"/>
              <w:right w:val="single" w:sz="4" w:space="0" w:color="000000"/>
            </w:tcBorders>
            <w:vAlign w:val="center"/>
          </w:tcPr>
          <w:p w14:paraId="6DA1A2C7" w14:textId="6B3EC199"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Uygulanabilirlik, </w:t>
            </w:r>
            <w:r w:rsidR="00D957B3" w:rsidRPr="00D53A2B">
              <w:rPr>
                <w:sz w:val="22"/>
                <w:szCs w:val="22"/>
                <w:lang w:eastAsia="en-US"/>
              </w:rPr>
              <w:t>nakliye</w:t>
            </w:r>
            <w:r w:rsidRPr="00D53A2B">
              <w:rPr>
                <w:sz w:val="22"/>
                <w:szCs w:val="22"/>
                <w:lang w:eastAsia="en-US"/>
              </w:rPr>
              <w:t xml:space="preserve"> için gereken süre</w:t>
            </w:r>
            <w:r w:rsidR="00D957B3" w:rsidRPr="00D53A2B">
              <w:rPr>
                <w:sz w:val="22"/>
                <w:szCs w:val="22"/>
                <w:lang w:eastAsia="en-US"/>
              </w:rPr>
              <w:t xml:space="preserve"> ile</w:t>
            </w:r>
            <w:r w:rsidRPr="00D53A2B">
              <w:rPr>
                <w:sz w:val="22"/>
                <w:szCs w:val="22"/>
                <w:lang w:eastAsia="en-US"/>
              </w:rPr>
              <w:t xml:space="preserve"> sınırlıdır (</w:t>
            </w:r>
            <w:r w:rsidR="00D957B3" w:rsidRPr="00D53A2B">
              <w:rPr>
                <w:sz w:val="22"/>
                <w:szCs w:val="22"/>
                <w:lang w:eastAsia="en-US"/>
              </w:rPr>
              <w:t>maksimum</w:t>
            </w:r>
            <w:r w:rsidRPr="00D53A2B">
              <w:rPr>
                <w:sz w:val="22"/>
                <w:szCs w:val="22"/>
                <w:lang w:eastAsia="en-US"/>
              </w:rPr>
              <w:t xml:space="preserve"> 4–5 saat)</w:t>
            </w:r>
          </w:p>
        </w:tc>
      </w:tr>
    </w:tbl>
    <w:p w14:paraId="18EF71D2" w14:textId="77777777" w:rsidR="00374C56" w:rsidRPr="00D53A2B" w:rsidRDefault="00374C56" w:rsidP="00A202FD">
      <w:pPr>
        <w:jc w:val="both"/>
        <w:rPr>
          <w:lang w:eastAsia="en-US"/>
        </w:rPr>
      </w:pPr>
    </w:p>
    <w:p w14:paraId="34EE4727" w14:textId="4217DB4A" w:rsidR="00374C56" w:rsidRPr="00D53A2B" w:rsidRDefault="00D957B3"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3.4.3.</w:t>
      </w:r>
      <w:r w:rsidRPr="00D53A2B">
        <w:rPr>
          <w:rFonts w:cs="Times New Roman"/>
          <w:lang w:eastAsia="en-US"/>
        </w:rPr>
        <w:t xml:space="preserve"> </w:t>
      </w:r>
      <w:r w:rsidR="00374C56" w:rsidRPr="00D53A2B">
        <w:rPr>
          <w:rFonts w:cs="Times New Roman"/>
          <w:lang w:eastAsia="en-US"/>
        </w:rPr>
        <w:t>Havaya verilen emisyonlar</w:t>
      </w:r>
    </w:p>
    <w:p w14:paraId="342C700C" w14:textId="64384C36" w:rsidR="00374C56" w:rsidRPr="00D53A2B" w:rsidRDefault="00921606" w:rsidP="00A202FD">
      <w:pPr>
        <w:pStyle w:val="MET"/>
        <w:rPr>
          <w:szCs w:val="24"/>
        </w:rPr>
      </w:pPr>
      <w:r w:rsidRPr="00D53A2B">
        <w:rPr>
          <w:szCs w:val="24"/>
        </w:rPr>
        <w:t>MET 76:</w:t>
      </w:r>
      <w:r w:rsidR="00292FE9" w:rsidRPr="00D53A2B">
        <w:rPr>
          <w:szCs w:val="24"/>
        </w:rPr>
        <w:t xml:space="preserve"> </w:t>
      </w:r>
      <w:r w:rsidR="00374C56" w:rsidRPr="00D53A2B">
        <w:rPr>
          <w:b w:val="0"/>
          <w:bCs/>
          <w:szCs w:val="24"/>
        </w:rPr>
        <w:t>Havaya verilen emisyonları önlemek veya azaltmak için</w:t>
      </w:r>
      <w:r w:rsidR="004F119D" w:rsidRPr="00D53A2B">
        <w:rPr>
          <w:b w:val="0"/>
          <w:bCs/>
          <w:szCs w:val="24"/>
        </w:rPr>
        <w:t xml:space="preserve">, </w:t>
      </w:r>
      <w:r w:rsidR="00374C56" w:rsidRPr="00D53A2B">
        <w:rPr>
          <w:b w:val="0"/>
          <w:bCs/>
          <w:szCs w:val="24"/>
        </w:rPr>
        <w:t>santrifüjleme ve/veya kurutma (</w:t>
      </w:r>
      <w:r w:rsidR="00374C56" w:rsidRPr="00D53A2B">
        <w:rPr>
          <w:b w:val="0"/>
          <w:bCs/>
          <w:szCs w:val="24"/>
          <w:vertAlign w:val="superscript"/>
        </w:rPr>
        <w:t>1</w:t>
      </w:r>
      <w:r w:rsidR="00374C56" w:rsidRPr="00D53A2B">
        <w:rPr>
          <w:b w:val="0"/>
          <w:bCs/>
          <w:szCs w:val="24"/>
        </w:rPr>
        <w:t>) kullanarak, eritme aşamasından önce yağ ve organik bileşikler talaştan uzaklaştırıl</w:t>
      </w:r>
      <w:r w:rsidR="004F119D" w:rsidRPr="00D53A2B">
        <w:rPr>
          <w:b w:val="0"/>
          <w:bCs/>
          <w:szCs w:val="24"/>
        </w:rPr>
        <w:t>ır.</w:t>
      </w:r>
    </w:p>
    <w:p w14:paraId="27D33DC6" w14:textId="0635F374" w:rsidR="00374C56" w:rsidRPr="00D53A2B" w:rsidRDefault="00374C56" w:rsidP="00A202FD">
      <w:pPr>
        <w:spacing w:after="240"/>
        <w:jc w:val="both"/>
        <w:rPr>
          <w:bCs/>
          <w:lang w:eastAsia="en-US"/>
        </w:rPr>
      </w:pPr>
      <w:r w:rsidRPr="00D53A2B">
        <w:rPr>
          <w:bCs/>
          <w:lang w:eastAsia="en-US"/>
        </w:rPr>
        <w:t xml:space="preserve"> (</w:t>
      </w:r>
      <w:r w:rsidRPr="00D53A2B">
        <w:rPr>
          <w:bCs/>
          <w:vertAlign w:val="superscript"/>
          <w:lang w:eastAsia="en-US"/>
        </w:rPr>
        <w:t>1</w:t>
      </w:r>
      <w:r w:rsidRPr="00D53A2B">
        <w:rPr>
          <w:bCs/>
          <w:lang w:eastAsia="en-US"/>
        </w:rPr>
        <w:t>) : Tekniklerin açıklamaları Bölüm 11.10</w:t>
      </w:r>
      <w:r w:rsidR="00E56504" w:rsidRPr="00D53A2B">
        <w:rPr>
          <w:bCs/>
          <w:lang w:eastAsia="en-US"/>
        </w:rPr>
        <w:t>’</w:t>
      </w:r>
      <w:r w:rsidRPr="00D53A2B">
        <w:rPr>
          <w:bCs/>
          <w:lang w:eastAsia="en-US"/>
        </w:rPr>
        <w:t>da verilmiştir.</w:t>
      </w:r>
    </w:p>
    <w:p w14:paraId="6DF59E5B" w14:textId="77777777" w:rsidR="00374C56" w:rsidRPr="00D53A2B" w:rsidRDefault="00374C56" w:rsidP="00A202FD">
      <w:pPr>
        <w:spacing w:after="40"/>
        <w:jc w:val="both"/>
        <w:rPr>
          <w:b/>
          <w:lang w:eastAsia="en-US"/>
        </w:rPr>
      </w:pPr>
      <w:r w:rsidRPr="00D53A2B">
        <w:rPr>
          <w:b/>
          <w:lang w:eastAsia="en-US"/>
        </w:rPr>
        <w:t>Uygulanabilirlik</w:t>
      </w:r>
    </w:p>
    <w:p w14:paraId="7580A091" w14:textId="462F8A2D" w:rsidR="00374C56" w:rsidRPr="00D53A2B" w:rsidRDefault="00374C56" w:rsidP="00A202FD">
      <w:pPr>
        <w:spacing w:after="240"/>
        <w:jc w:val="both"/>
        <w:rPr>
          <w:lang w:eastAsia="en-US"/>
        </w:rPr>
      </w:pPr>
      <w:r w:rsidRPr="00D53A2B">
        <w:rPr>
          <w:lang w:eastAsia="en-US"/>
        </w:rPr>
        <w:t>Santrifüjleme, sadece kurutmadan önce uygulandığında yüksek oranda yağ ile kirlenmiş talaşa uygulanabilir. Fırın ve emisyon azaltma sistemi organik malzeme ile baş edebilecek şekilde tasarlanmışsa, yağ ve organik bileşiklerin uzaklaştırılması gerekli olmayabilir.</w:t>
      </w:r>
    </w:p>
    <w:p w14:paraId="629CD0EA" w14:textId="2982CD27" w:rsidR="00374C56" w:rsidRPr="00D53A2B" w:rsidRDefault="00D957B3" w:rsidP="00A202FD">
      <w:pPr>
        <w:pStyle w:val="Balk5"/>
        <w:ind w:left="1134" w:hanging="1134"/>
        <w:rPr>
          <w:szCs w:val="24"/>
        </w:rPr>
      </w:pPr>
      <w:r w:rsidRPr="00D53A2B">
        <w:rPr>
          <w:bCs/>
          <w:szCs w:val="24"/>
        </w:rPr>
        <w:t>1.</w:t>
      </w:r>
      <w:r w:rsidR="00374C56" w:rsidRPr="00D53A2B">
        <w:rPr>
          <w:bCs/>
          <w:szCs w:val="24"/>
        </w:rPr>
        <w:t>3.4.3.1</w:t>
      </w:r>
      <w:r w:rsidRPr="00D53A2B">
        <w:rPr>
          <w:bCs/>
          <w:szCs w:val="24"/>
        </w:rPr>
        <w:t xml:space="preserve">. </w:t>
      </w:r>
      <w:r w:rsidR="00374C56" w:rsidRPr="00D53A2B">
        <w:rPr>
          <w:szCs w:val="24"/>
        </w:rPr>
        <w:t>Yayılı emisyonlar</w:t>
      </w:r>
    </w:p>
    <w:p w14:paraId="683E813A" w14:textId="77777777" w:rsidR="00D957B3" w:rsidRPr="00D53A2B" w:rsidRDefault="00D957B3" w:rsidP="00A202FD">
      <w:pPr>
        <w:jc w:val="both"/>
        <w:rPr>
          <w:lang w:val="en-US" w:eastAsia="en-US"/>
        </w:rPr>
      </w:pPr>
    </w:p>
    <w:p w14:paraId="350783B0" w14:textId="1F06146A" w:rsidR="00374C56" w:rsidRPr="00D53A2B" w:rsidRDefault="00374C56" w:rsidP="00A202FD">
      <w:pPr>
        <w:pStyle w:val="MET"/>
        <w:rPr>
          <w:szCs w:val="24"/>
        </w:rPr>
      </w:pPr>
      <w:r w:rsidRPr="00D53A2B">
        <w:rPr>
          <w:szCs w:val="24"/>
        </w:rPr>
        <w:t>MET 77</w:t>
      </w:r>
      <w:r w:rsidR="00921606" w:rsidRPr="00D53A2B">
        <w:rPr>
          <w:szCs w:val="24"/>
        </w:rPr>
        <w:t>:</w:t>
      </w:r>
      <w:r w:rsidR="00D957B3" w:rsidRPr="00D53A2B">
        <w:rPr>
          <w:szCs w:val="24"/>
        </w:rPr>
        <w:t xml:space="preserve"> </w:t>
      </w:r>
      <w:r w:rsidR="00D957B3" w:rsidRPr="00D53A2B">
        <w:rPr>
          <w:b w:val="0"/>
          <w:bCs/>
          <w:szCs w:val="24"/>
        </w:rPr>
        <w:t>Hurdaların ön arıtılmasından kaynaklanan yayılı emisyonları önlemek veya azaltmak için aşağıda verilen tekniklerden biri veya her ikisi kullan</w:t>
      </w:r>
      <w:r w:rsidR="00292FE9" w:rsidRPr="00D53A2B">
        <w:rPr>
          <w:b w:val="0"/>
          <w:bCs/>
          <w:szCs w:val="24"/>
        </w:rPr>
        <w:t>ılır</w:t>
      </w:r>
      <w:r w:rsidR="00D957B3" w:rsidRPr="00D53A2B">
        <w:rPr>
          <w:b w:val="0"/>
          <w:bCs/>
          <w:szCs w:val="24"/>
        </w:rPr>
        <w:t>.</w:t>
      </w:r>
    </w:p>
    <w:tbl>
      <w:tblPr>
        <w:tblW w:w="8784" w:type="dxa"/>
        <w:tblLayout w:type="fixed"/>
        <w:tblCellMar>
          <w:left w:w="0" w:type="dxa"/>
          <w:right w:w="0" w:type="dxa"/>
        </w:tblCellMar>
        <w:tblLook w:val="01E0" w:firstRow="1" w:lastRow="1" w:firstColumn="1" w:lastColumn="1" w:noHBand="0" w:noVBand="0"/>
      </w:tblPr>
      <w:tblGrid>
        <w:gridCol w:w="437"/>
        <w:gridCol w:w="8347"/>
      </w:tblGrid>
      <w:tr w:rsidR="00374C56" w:rsidRPr="00D53A2B" w14:paraId="295421D7"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7C53D93D" w14:textId="77777777" w:rsidR="00374C56" w:rsidRPr="00D53A2B" w:rsidRDefault="00374C56" w:rsidP="00A202FD">
            <w:pPr>
              <w:spacing w:line="264" w:lineRule="auto"/>
              <w:ind w:left="57" w:right="57"/>
              <w:jc w:val="both"/>
              <w:rPr>
                <w:sz w:val="22"/>
                <w:szCs w:val="22"/>
                <w:lang w:eastAsia="en-US"/>
              </w:rPr>
            </w:pPr>
          </w:p>
        </w:tc>
        <w:tc>
          <w:tcPr>
            <w:tcW w:w="8347" w:type="dxa"/>
            <w:tcBorders>
              <w:top w:val="single" w:sz="4" w:space="0" w:color="000000"/>
              <w:left w:val="single" w:sz="4" w:space="0" w:color="000000"/>
              <w:bottom w:val="single" w:sz="4" w:space="0" w:color="000000"/>
              <w:right w:val="single" w:sz="4" w:space="0" w:color="000000"/>
            </w:tcBorders>
            <w:vAlign w:val="center"/>
          </w:tcPr>
          <w:p w14:paraId="37C2055A"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6AF839DD"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1BA30E4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347" w:type="dxa"/>
            <w:tcBorders>
              <w:top w:val="single" w:sz="4" w:space="0" w:color="000000"/>
              <w:left w:val="single" w:sz="4" w:space="0" w:color="000000"/>
              <w:bottom w:val="single" w:sz="4" w:space="0" w:color="000000"/>
              <w:right w:val="single" w:sz="4" w:space="0" w:color="000000"/>
            </w:tcBorders>
          </w:tcPr>
          <w:p w14:paraId="59674CC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Hava tahliye sistemi olan kapalı veya pnömatik konveyörler</w:t>
            </w:r>
          </w:p>
        </w:tc>
      </w:tr>
      <w:tr w:rsidR="00374C56" w:rsidRPr="00D53A2B" w14:paraId="413108C2" w14:textId="77777777" w:rsidTr="00271877">
        <w:tc>
          <w:tcPr>
            <w:tcW w:w="437" w:type="dxa"/>
            <w:tcBorders>
              <w:top w:val="single" w:sz="4" w:space="0" w:color="000000"/>
              <w:left w:val="single" w:sz="4" w:space="0" w:color="000000"/>
              <w:bottom w:val="single" w:sz="4" w:space="0" w:color="000000"/>
              <w:right w:val="single" w:sz="4" w:space="0" w:color="000000"/>
            </w:tcBorders>
            <w:vAlign w:val="center"/>
          </w:tcPr>
          <w:p w14:paraId="4FD0C48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347" w:type="dxa"/>
            <w:tcBorders>
              <w:top w:val="single" w:sz="4" w:space="0" w:color="000000"/>
              <w:left w:val="single" w:sz="4" w:space="0" w:color="000000"/>
              <w:bottom w:val="single" w:sz="4" w:space="0" w:color="000000"/>
              <w:right w:val="single" w:sz="4" w:space="0" w:color="000000"/>
            </w:tcBorders>
          </w:tcPr>
          <w:p w14:paraId="170F4E0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Hava tahliye sistemi olan şarj ve deşarj noktaları için muhafaza veya davlumbazlar</w:t>
            </w:r>
          </w:p>
        </w:tc>
      </w:tr>
    </w:tbl>
    <w:p w14:paraId="1129C662" w14:textId="77777777" w:rsidR="00374C56" w:rsidRPr="00D53A2B" w:rsidRDefault="00374C56" w:rsidP="00A202FD">
      <w:pPr>
        <w:jc w:val="both"/>
        <w:rPr>
          <w:lang w:eastAsia="en-US"/>
        </w:rPr>
      </w:pPr>
    </w:p>
    <w:p w14:paraId="0AAC5128" w14:textId="00FD3FBD" w:rsidR="00374C56" w:rsidRPr="00D53A2B" w:rsidRDefault="00921606" w:rsidP="00A202FD">
      <w:pPr>
        <w:pStyle w:val="MET"/>
        <w:rPr>
          <w:szCs w:val="24"/>
        </w:rPr>
      </w:pPr>
      <w:r w:rsidRPr="00D53A2B">
        <w:rPr>
          <w:szCs w:val="24"/>
        </w:rPr>
        <w:t>MET 78:</w:t>
      </w:r>
      <w:r w:rsidR="00D957B3" w:rsidRPr="00D53A2B">
        <w:rPr>
          <w:szCs w:val="24"/>
        </w:rPr>
        <w:t xml:space="preserve"> </w:t>
      </w:r>
      <w:r w:rsidR="00374C56" w:rsidRPr="00D53A2B">
        <w:rPr>
          <w:b w:val="0"/>
          <w:bCs/>
          <w:szCs w:val="24"/>
        </w:rPr>
        <w:t>Eritme fırınlarında doldurma ve boşaltılma/döküm alınma sırasında açığa çıkan Yayılı emisyonları önlemek veya azaltmak için</w:t>
      </w:r>
      <w:r w:rsidR="004F119D" w:rsidRPr="00D53A2B">
        <w:rPr>
          <w:b w:val="0"/>
          <w:bCs/>
          <w:szCs w:val="24"/>
        </w:rPr>
        <w:t>,</w:t>
      </w:r>
      <w:r w:rsidR="00374C56" w:rsidRPr="00D53A2B">
        <w:rPr>
          <w:b w:val="0"/>
          <w:bCs/>
          <w:szCs w:val="24"/>
        </w:rPr>
        <w:t xml:space="preserve"> aşağıda verilen tekniklerin biri veya bir kombinasyonu</w:t>
      </w:r>
      <w:r w:rsidR="004F119D" w:rsidRPr="00D53A2B">
        <w:rPr>
          <w:b w:val="0"/>
          <w:bCs/>
          <w:szCs w:val="24"/>
        </w:rPr>
        <w:t xml:space="preserve"> </w:t>
      </w:r>
      <w:r w:rsidR="00374C56" w:rsidRPr="00D53A2B">
        <w:rPr>
          <w:b w:val="0"/>
          <w:bCs/>
          <w:szCs w:val="24"/>
        </w:rPr>
        <w:t>kullanıl</w:t>
      </w:r>
      <w:r w:rsidR="004F119D" w:rsidRPr="00D53A2B">
        <w:rPr>
          <w:b w:val="0"/>
          <w:bCs/>
          <w:szCs w:val="24"/>
        </w:rPr>
        <w:t>ır.</w:t>
      </w:r>
    </w:p>
    <w:tbl>
      <w:tblPr>
        <w:tblW w:w="8784" w:type="dxa"/>
        <w:tblLayout w:type="fixed"/>
        <w:tblCellMar>
          <w:left w:w="0" w:type="dxa"/>
          <w:right w:w="0" w:type="dxa"/>
        </w:tblCellMar>
        <w:tblLook w:val="01E0" w:firstRow="1" w:lastRow="1" w:firstColumn="1" w:lastColumn="1" w:noHBand="0" w:noVBand="0"/>
      </w:tblPr>
      <w:tblGrid>
        <w:gridCol w:w="397"/>
        <w:gridCol w:w="4706"/>
        <w:gridCol w:w="3681"/>
      </w:tblGrid>
      <w:tr w:rsidR="00374C56" w:rsidRPr="00D53A2B" w14:paraId="3EC26365"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0FB21DD0" w14:textId="77777777" w:rsidR="00374C56" w:rsidRPr="00D53A2B" w:rsidRDefault="00374C56" w:rsidP="00A202FD">
            <w:pPr>
              <w:spacing w:line="264" w:lineRule="auto"/>
              <w:ind w:left="57" w:right="57"/>
              <w:jc w:val="both"/>
              <w:rPr>
                <w:sz w:val="22"/>
                <w:szCs w:val="22"/>
                <w:lang w:eastAsia="en-US"/>
              </w:rPr>
            </w:pPr>
          </w:p>
        </w:tc>
        <w:tc>
          <w:tcPr>
            <w:tcW w:w="4706" w:type="dxa"/>
            <w:tcBorders>
              <w:top w:val="single" w:sz="4" w:space="0" w:color="000000"/>
              <w:left w:val="single" w:sz="4" w:space="0" w:color="000000"/>
              <w:bottom w:val="single" w:sz="4" w:space="0" w:color="000000"/>
              <w:right w:val="single" w:sz="4" w:space="0" w:color="000000"/>
            </w:tcBorders>
            <w:vAlign w:val="center"/>
          </w:tcPr>
          <w:p w14:paraId="3F2E6378"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3681" w:type="dxa"/>
            <w:tcBorders>
              <w:top w:val="single" w:sz="4" w:space="0" w:color="000000"/>
              <w:left w:val="single" w:sz="4" w:space="0" w:color="000000"/>
              <w:bottom w:val="single" w:sz="4" w:space="0" w:color="000000"/>
              <w:right w:val="single" w:sz="4" w:space="0" w:color="000000"/>
            </w:tcBorders>
            <w:vAlign w:val="center"/>
          </w:tcPr>
          <w:p w14:paraId="71AAC131"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3D2387CD"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426BF76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4706" w:type="dxa"/>
            <w:tcBorders>
              <w:top w:val="single" w:sz="4" w:space="0" w:color="000000"/>
              <w:left w:val="single" w:sz="4" w:space="0" w:color="000000"/>
              <w:bottom w:val="single" w:sz="4" w:space="0" w:color="000000"/>
              <w:right w:val="single" w:sz="4" w:space="0" w:color="000000"/>
            </w:tcBorders>
          </w:tcPr>
          <w:p w14:paraId="42FFF35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Fırın kapağının ve fırın döküm deliğinin üstüne filtreleme sistemine bağlı atık gaz tahliye tesisatı olan bir davlumbaz yerleştirilmesi</w:t>
            </w:r>
          </w:p>
        </w:tc>
        <w:tc>
          <w:tcPr>
            <w:tcW w:w="3681" w:type="dxa"/>
            <w:tcBorders>
              <w:top w:val="single" w:sz="4" w:space="0" w:color="000000"/>
              <w:left w:val="single" w:sz="4" w:space="0" w:color="000000"/>
              <w:bottom w:val="single" w:sz="4" w:space="0" w:color="000000"/>
              <w:right w:val="single" w:sz="4" w:space="0" w:color="000000"/>
            </w:tcBorders>
            <w:vAlign w:val="center"/>
          </w:tcPr>
          <w:p w14:paraId="7027ACF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68213F90"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171D97E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4706" w:type="dxa"/>
            <w:tcBorders>
              <w:top w:val="single" w:sz="4" w:space="0" w:color="000000"/>
              <w:left w:val="single" w:sz="4" w:space="0" w:color="000000"/>
              <w:bottom w:val="single" w:sz="4" w:space="0" w:color="000000"/>
              <w:right w:val="single" w:sz="4" w:space="0" w:color="000000"/>
            </w:tcBorders>
          </w:tcPr>
          <w:p w14:paraId="6559E10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Hem şarj hem de döküm alma alanlarını kapsayan duman toplama tesisatı</w:t>
            </w:r>
          </w:p>
        </w:tc>
        <w:tc>
          <w:tcPr>
            <w:tcW w:w="3681" w:type="dxa"/>
            <w:tcBorders>
              <w:top w:val="single" w:sz="4" w:space="0" w:color="000000"/>
              <w:left w:val="single" w:sz="4" w:space="0" w:color="000000"/>
              <w:bottom w:val="single" w:sz="4" w:space="0" w:color="000000"/>
              <w:right w:val="single" w:sz="4" w:space="0" w:color="000000"/>
            </w:tcBorders>
            <w:vAlign w:val="center"/>
          </w:tcPr>
          <w:p w14:paraId="441B588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hareketsiz tamburlu fırınlarda uygulanabilir</w:t>
            </w:r>
          </w:p>
        </w:tc>
      </w:tr>
      <w:tr w:rsidR="00374C56" w:rsidRPr="00D53A2B" w14:paraId="3E812281"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5E905A7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4706" w:type="dxa"/>
            <w:tcBorders>
              <w:top w:val="single" w:sz="4" w:space="0" w:color="000000"/>
              <w:left w:val="single" w:sz="4" w:space="0" w:color="000000"/>
              <w:bottom w:val="single" w:sz="4" w:space="0" w:color="000000"/>
              <w:right w:val="single" w:sz="4" w:space="0" w:color="000000"/>
            </w:tcBorders>
          </w:tcPr>
          <w:p w14:paraId="62EA86C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Sızdırmaz fırın kapağı </w:t>
            </w:r>
            <w:r w:rsidRPr="00D53A2B">
              <w:rPr>
                <w:b/>
                <w:bCs/>
                <w:sz w:val="22"/>
                <w:szCs w:val="22"/>
                <w:lang w:eastAsia="en-US"/>
              </w:rPr>
              <w:t>(</w:t>
            </w:r>
            <w:r w:rsidRPr="00D53A2B">
              <w:rPr>
                <w:b/>
                <w:bCs/>
                <w:sz w:val="22"/>
                <w:szCs w:val="22"/>
                <w:vertAlign w:val="superscript"/>
                <w:lang w:eastAsia="en-US"/>
              </w:rPr>
              <w:t>1</w:t>
            </w:r>
            <w:r w:rsidRPr="00D53A2B">
              <w:rPr>
                <w:b/>
                <w:bCs/>
                <w:sz w:val="22"/>
                <w:szCs w:val="22"/>
                <w:lang w:eastAsia="en-US"/>
              </w:rPr>
              <w:t>)</w:t>
            </w:r>
          </w:p>
        </w:tc>
        <w:tc>
          <w:tcPr>
            <w:tcW w:w="3681" w:type="dxa"/>
            <w:tcBorders>
              <w:top w:val="single" w:sz="4" w:space="0" w:color="000000"/>
              <w:left w:val="single" w:sz="4" w:space="0" w:color="000000"/>
              <w:bottom w:val="single" w:sz="4" w:space="0" w:color="000000"/>
              <w:right w:val="single" w:sz="4" w:space="0" w:color="000000"/>
            </w:tcBorders>
            <w:vAlign w:val="center"/>
          </w:tcPr>
          <w:p w14:paraId="5A4259F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52EF60CF"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7B15924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4706" w:type="dxa"/>
            <w:tcBorders>
              <w:top w:val="single" w:sz="4" w:space="0" w:color="000000"/>
              <w:left w:val="single" w:sz="4" w:space="0" w:color="000000"/>
              <w:bottom w:val="single" w:sz="4" w:space="0" w:color="000000"/>
              <w:right w:val="single" w:sz="4" w:space="0" w:color="000000"/>
            </w:tcBorders>
          </w:tcPr>
          <w:p w14:paraId="059A2283" w14:textId="77777777" w:rsidR="00374C56" w:rsidRPr="00D53A2B" w:rsidRDefault="00374C56" w:rsidP="00A202FD">
            <w:pPr>
              <w:spacing w:line="264" w:lineRule="auto"/>
              <w:ind w:right="57"/>
              <w:jc w:val="both"/>
              <w:rPr>
                <w:sz w:val="22"/>
                <w:szCs w:val="22"/>
                <w:lang w:eastAsia="en-US"/>
              </w:rPr>
            </w:pPr>
            <w:r w:rsidRPr="00D53A2B">
              <w:rPr>
                <w:sz w:val="22"/>
                <w:szCs w:val="22"/>
                <w:lang w:eastAsia="en-US"/>
              </w:rPr>
              <w:t>Sızdırmazlıklı şarj arabası (vagoneti)</w:t>
            </w:r>
          </w:p>
        </w:tc>
        <w:tc>
          <w:tcPr>
            <w:tcW w:w="3681" w:type="dxa"/>
            <w:tcBorders>
              <w:top w:val="single" w:sz="4" w:space="0" w:color="000000"/>
              <w:left w:val="single" w:sz="4" w:space="0" w:color="000000"/>
              <w:bottom w:val="single" w:sz="4" w:space="0" w:color="000000"/>
              <w:right w:val="single" w:sz="4" w:space="0" w:color="000000"/>
            </w:tcBorders>
            <w:vAlign w:val="center"/>
          </w:tcPr>
          <w:p w14:paraId="052AB85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dönmeyen tamburlu fırınlarda uygulanabilir</w:t>
            </w:r>
          </w:p>
        </w:tc>
      </w:tr>
      <w:tr w:rsidR="00374C56" w:rsidRPr="00D53A2B" w14:paraId="5E86EC37"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4461D8A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4706" w:type="dxa"/>
            <w:tcBorders>
              <w:top w:val="single" w:sz="4" w:space="0" w:color="000000"/>
              <w:left w:val="single" w:sz="4" w:space="0" w:color="000000"/>
              <w:bottom w:val="single" w:sz="4" w:space="0" w:color="000000"/>
              <w:right w:val="single" w:sz="4" w:space="0" w:color="000000"/>
            </w:tcBorders>
          </w:tcPr>
          <w:p w14:paraId="78C1C812" w14:textId="4DF29EA9"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İhtiyaç duyulan prosese göre modifiye edilebilen </w:t>
            </w:r>
            <w:r w:rsidR="00B7728D" w:rsidRPr="00D53A2B">
              <w:rPr>
                <w:sz w:val="22"/>
                <w:szCs w:val="22"/>
                <w:lang w:eastAsia="en-US"/>
              </w:rPr>
              <w:t>güçlendirilmiş</w:t>
            </w:r>
            <w:r w:rsidRPr="00D53A2B">
              <w:rPr>
                <w:sz w:val="22"/>
                <w:szCs w:val="22"/>
                <w:lang w:eastAsia="en-US"/>
              </w:rPr>
              <w:t xml:space="preserve"> emme sistemi (</w:t>
            </w:r>
            <w:r w:rsidRPr="00D53A2B">
              <w:rPr>
                <w:sz w:val="22"/>
                <w:szCs w:val="22"/>
                <w:vertAlign w:val="superscript"/>
                <w:lang w:eastAsia="en-US"/>
              </w:rPr>
              <w:t>1</w:t>
            </w:r>
            <w:r w:rsidRPr="00D53A2B">
              <w:rPr>
                <w:sz w:val="22"/>
                <w:szCs w:val="22"/>
                <w:lang w:eastAsia="en-US"/>
              </w:rPr>
              <w:t>)</w:t>
            </w:r>
          </w:p>
        </w:tc>
        <w:tc>
          <w:tcPr>
            <w:tcW w:w="3681" w:type="dxa"/>
            <w:tcBorders>
              <w:top w:val="single" w:sz="4" w:space="0" w:color="000000"/>
              <w:left w:val="single" w:sz="4" w:space="0" w:color="000000"/>
              <w:bottom w:val="single" w:sz="4" w:space="0" w:color="000000"/>
              <w:right w:val="single" w:sz="4" w:space="0" w:color="000000"/>
            </w:tcBorders>
            <w:vAlign w:val="center"/>
          </w:tcPr>
          <w:p w14:paraId="3D25645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7DD4F527" w14:textId="77777777" w:rsidTr="00271877">
        <w:tc>
          <w:tcPr>
            <w:tcW w:w="8784" w:type="dxa"/>
            <w:gridSpan w:val="3"/>
            <w:tcBorders>
              <w:top w:val="single" w:sz="4" w:space="0" w:color="000000"/>
              <w:left w:val="single" w:sz="4" w:space="0" w:color="000000"/>
              <w:bottom w:val="single" w:sz="4" w:space="0" w:color="000000"/>
              <w:right w:val="single" w:sz="4" w:space="0" w:color="000000"/>
            </w:tcBorders>
          </w:tcPr>
          <w:p w14:paraId="7920E3ED" w14:textId="6B2CEB03" w:rsidR="00374C56" w:rsidRPr="009077F5" w:rsidRDefault="00374C56" w:rsidP="00A202FD">
            <w:pPr>
              <w:spacing w:line="264" w:lineRule="auto"/>
              <w:ind w:left="57" w:right="57"/>
              <w:jc w:val="both"/>
              <w:rPr>
                <w:bCs/>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 Tekniklerin açıklamaları Bölüm 1.10</w:t>
            </w:r>
            <w:r w:rsidR="00E56504" w:rsidRPr="009077F5">
              <w:rPr>
                <w:bCs/>
                <w:sz w:val="20"/>
                <w:szCs w:val="20"/>
                <w:lang w:eastAsia="en-US"/>
              </w:rPr>
              <w:t>’</w:t>
            </w:r>
            <w:r w:rsidRPr="009077F5">
              <w:rPr>
                <w:bCs/>
                <w:sz w:val="20"/>
                <w:szCs w:val="20"/>
                <w:lang w:eastAsia="en-US"/>
              </w:rPr>
              <w:t>da verilmiştir.</w:t>
            </w:r>
          </w:p>
        </w:tc>
      </w:tr>
    </w:tbl>
    <w:p w14:paraId="6DCDD552" w14:textId="77777777" w:rsidR="00374C56" w:rsidRPr="00D53A2B" w:rsidRDefault="00374C56" w:rsidP="00A202FD">
      <w:pPr>
        <w:jc w:val="both"/>
        <w:rPr>
          <w:lang w:eastAsia="en-US"/>
        </w:rPr>
      </w:pPr>
    </w:p>
    <w:p w14:paraId="0C7DAA3F" w14:textId="77777777" w:rsidR="00374C56" w:rsidRPr="00D53A2B" w:rsidRDefault="00374C56" w:rsidP="00A202FD">
      <w:pPr>
        <w:spacing w:after="40"/>
        <w:jc w:val="both"/>
        <w:rPr>
          <w:b/>
          <w:lang w:eastAsia="en-US"/>
        </w:rPr>
      </w:pPr>
      <w:r w:rsidRPr="00D53A2B">
        <w:rPr>
          <w:b/>
          <w:lang w:eastAsia="en-US"/>
        </w:rPr>
        <w:t>Açıklama</w:t>
      </w:r>
    </w:p>
    <w:p w14:paraId="4BF8E550" w14:textId="4491ABCF" w:rsidR="00374C56" w:rsidRPr="00D53A2B" w:rsidRDefault="00374C56" w:rsidP="00A202FD">
      <w:pPr>
        <w:pStyle w:val="MET"/>
        <w:rPr>
          <w:szCs w:val="24"/>
        </w:rPr>
      </w:pPr>
      <w:r w:rsidRPr="00D53A2B">
        <w:rPr>
          <w:szCs w:val="24"/>
        </w:rPr>
        <w:t xml:space="preserve">MET 78.a ve b: </w:t>
      </w:r>
      <w:r w:rsidR="00B7728D" w:rsidRPr="00D53A2B">
        <w:rPr>
          <w:b w:val="0"/>
          <w:bCs/>
          <w:szCs w:val="24"/>
        </w:rPr>
        <w:t>Prosesten çıkan gazları toplamak ve işlemek için ekstraksiyonlu bir kaplama uygulanmasından oluşur.</w:t>
      </w:r>
    </w:p>
    <w:p w14:paraId="26821145" w14:textId="4D032B92" w:rsidR="00374C56" w:rsidRPr="00D53A2B" w:rsidRDefault="00374C56" w:rsidP="00A202FD">
      <w:pPr>
        <w:pStyle w:val="MET"/>
        <w:rPr>
          <w:szCs w:val="24"/>
        </w:rPr>
      </w:pPr>
      <w:r w:rsidRPr="00D53A2B">
        <w:rPr>
          <w:szCs w:val="24"/>
        </w:rPr>
        <w:t xml:space="preserve">MET 78.d: </w:t>
      </w:r>
      <w:r w:rsidR="00292FE9" w:rsidRPr="00D53A2B">
        <w:rPr>
          <w:b w:val="0"/>
          <w:bCs/>
          <w:szCs w:val="24"/>
        </w:rPr>
        <w:t>H</w:t>
      </w:r>
      <w:r w:rsidR="00B7728D" w:rsidRPr="00D53A2B">
        <w:rPr>
          <w:b w:val="0"/>
          <w:bCs/>
          <w:szCs w:val="24"/>
        </w:rPr>
        <w:t>urdanın boşaltılması sırasında açık fırın kapısına karşı sızdırmazlık sağlar ve bu aşamada fırın sızdırmazlığını korur.</w:t>
      </w:r>
    </w:p>
    <w:p w14:paraId="66DD4A6C" w14:textId="77777777" w:rsidR="00374C56" w:rsidRPr="00D53A2B" w:rsidRDefault="00374C56" w:rsidP="00A202FD">
      <w:pPr>
        <w:jc w:val="both"/>
        <w:rPr>
          <w:lang w:eastAsia="en-US"/>
        </w:rPr>
      </w:pPr>
    </w:p>
    <w:p w14:paraId="527D0094" w14:textId="18E6C6E0" w:rsidR="00374C56" w:rsidRPr="00D53A2B" w:rsidRDefault="00921606" w:rsidP="00A202FD">
      <w:pPr>
        <w:pStyle w:val="MET"/>
        <w:rPr>
          <w:szCs w:val="24"/>
        </w:rPr>
      </w:pPr>
      <w:r w:rsidRPr="00D53A2B">
        <w:rPr>
          <w:szCs w:val="24"/>
        </w:rPr>
        <w:t>MET 79:</w:t>
      </w:r>
      <w:r w:rsidR="00B7728D" w:rsidRPr="00D53A2B">
        <w:rPr>
          <w:szCs w:val="24"/>
        </w:rPr>
        <w:t xml:space="preserve"> </w:t>
      </w:r>
      <w:r w:rsidR="00292FE9" w:rsidRPr="00D53A2B">
        <w:rPr>
          <w:b w:val="0"/>
          <w:bCs/>
          <w:szCs w:val="24"/>
        </w:rPr>
        <w:t>Cüruf/kül</w:t>
      </w:r>
      <w:r w:rsidR="00B7728D" w:rsidRPr="00D53A2B">
        <w:rPr>
          <w:b w:val="0"/>
          <w:bCs/>
          <w:szCs w:val="24"/>
        </w:rPr>
        <w:t xml:space="preserve"> </w:t>
      </w:r>
      <w:r w:rsidR="009A1D1F">
        <w:rPr>
          <w:b w:val="0"/>
          <w:bCs/>
          <w:szCs w:val="24"/>
        </w:rPr>
        <w:t>işlenmesinden</w:t>
      </w:r>
      <w:r w:rsidR="00B7728D" w:rsidRPr="00D53A2B">
        <w:rPr>
          <w:b w:val="0"/>
          <w:bCs/>
          <w:szCs w:val="24"/>
        </w:rPr>
        <w:t xml:space="preserve"> kaynaklanan emisyonları azaltmak için aşağıda verilen tekniklerden biri</w:t>
      </w:r>
      <w:r w:rsidR="00292FE9" w:rsidRPr="00D53A2B">
        <w:rPr>
          <w:b w:val="0"/>
          <w:bCs/>
          <w:szCs w:val="24"/>
        </w:rPr>
        <w:t xml:space="preserve"> </w:t>
      </w:r>
      <w:r w:rsidR="00B7728D" w:rsidRPr="00D53A2B">
        <w:rPr>
          <w:b w:val="0"/>
          <w:bCs/>
          <w:szCs w:val="24"/>
        </w:rPr>
        <w:t>veya bir kombinasyonu kullan</w:t>
      </w:r>
      <w:r w:rsidR="00292FE9" w:rsidRPr="00D53A2B">
        <w:rPr>
          <w:b w:val="0"/>
          <w:bCs/>
          <w:szCs w:val="24"/>
        </w:rPr>
        <w:t>ılır</w:t>
      </w:r>
      <w:r w:rsidR="00B7728D" w:rsidRPr="00D53A2B">
        <w:rPr>
          <w:b w:val="0"/>
          <w:bCs/>
          <w:szCs w:val="24"/>
        </w:rPr>
        <w:t>.</w:t>
      </w:r>
    </w:p>
    <w:tbl>
      <w:tblPr>
        <w:tblW w:w="8721" w:type="dxa"/>
        <w:tblLayout w:type="fixed"/>
        <w:tblCellMar>
          <w:left w:w="0" w:type="dxa"/>
          <w:right w:w="0" w:type="dxa"/>
        </w:tblCellMar>
        <w:tblLook w:val="01E0" w:firstRow="1" w:lastRow="1" w:firstColumn="1" w:lastColumn="1" w:noHBand="0" w:noVBand="0"/>
      </w:tblPr>
      <w:tblGrid>
        <w:gridCol w:w="437"/>
        <w:gridCol w:w="8284"/>
      </w:tblGrid>
      <w:tr w:rsidR="00374C56" w:rsidRPr="00D53A2B" w14:paraId="617B952A" w14:textId="77777777" w:rsidTr="00292FE9">
        <w:tc>
          <w:tcPr>
            <w:tcW w:w="437" w:type="dxa"/>
            <w:tcBorders>
              <w:top w:val="single" w:sz="4" w:space="0" w:color="000000"/>
              <w:left w:val="single" w:sz="4" w:space="0" w:color="000000"/>
              <w:bottom w:val="single" w:sz="4" w:space="0" w:color="000000"/>
              <w:right w:val="single" w:sz="4" w:space="0" w:color="000000"/>
            </w:tcBorders>
            <w:vAlign w:val="center"/>
          </w:tcPr>
          <w:p w14:paraId="208C0476" w14:textId="77777777" w:rsidR="00374C56" w:rsidRPr="00D53A2B" w:rsidRDefault="00374C56" w:rsidP="00A202FD">
            <w:pPr>
              <w:spacing w:line="264" w:lineRule="auto"/>
              <w:ind w:left="57" w:right="57"/>
              <w:jc w:val="both"/>
              <w:rPr>
                <w:sz w:val="22"/>
                <w:szCs w:val="22"/>
                <w:lang w:eastAsia="en-US"/>
              </w:rPr>
            </w:pPr>
          </w:p>
        </w:tc>
        <w:tc>
          <w:tcPr>
            <w:tcW w:w="8284" w:type="dxa"/>
            <w:tcBorders>
              <w:top w:val="single" w:sz="4" w:space="0" w:color="000000"/>
              <w:left w:val="single" w:sz="4" w:space="0" w:color="000000"/>
              <w:bottom w:val="single" w:sz="4" w:space="0" w:color="000000"/>
              <w:right w:val="single" w:sz="4" w:space="0" w:color="000000"/>
            </w:tcBorders>
            <w:vAlign w:val="center"/>
          </w:tcPr>
          <w:p w14:paraId="3693DC6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Teknik</w:t>
            </w:r>
          </w:p>
        </w:tc>
      </w:tr>
      <w:tr w:rsidR="00374C56" w:rsidRPr="00D53A2B" w14:paraId="7A27D96D" w14:textId="77777777" w:rsidTr="00292FE9">
        <w:tc>
          <w:tcPr>
            <w:tcW w:w="437" w:type="dxa"/>
            <w:tcBorders>
              <w:top w:val="single" w:sz="4" w:space="0" w:color="000000"/>
              <w:left w:val="single" w:sz="4" w:space="0" w:color="000000"/>
              <w:bottom w:val="single" w:sz="4" w:space="0" w:color="000000"/>
              <w:right w:val="single" w:sz="4" w:space="0" w:color="000000"/>
            </w:tcBorders>
            <w:vAlign w:val="center"/>
          </w:tcPr>
          <w:p w14:paraId="5D16511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284" w:type="dxa"/>
            <w:tcBorders>
              <w:top w:val="single" w:sz="4" w:space="0" w:color="000000"/>
              <w:left w:val="single" w:sz="4" w:space="0" w:color="000000"/>
              <w:bottom w:val="single" w:sz="4" w:space="0" w:color="000000"/>
              <w:right w:val="single" w:sz="4" w:space="0" w:color="000000"/>
            </w:tcBorders>
          </w:tcPr>
          <w:p w14:paraId="3C328BBE" w14:textId="23B92C3D" w:rsidR="00374C56" w:rsidRPr="00D53A2B" w:rsidRDefault="00B7728D" w:rsidP="00A202FD">
            <w:pPr>
              <w:spacing w:line="264" w:lineRule="auto"/>
              <w:ind w:left="57" w:right="57"/>
              <w:jc w:val="both"/>
              <w:rPr>
                <w:sz w:val="22"/>
                <w:szCs w:val="22"/>
                <w:lang w:eastAsia="en-US"/>
              </w:rPr>
            </w:pPr>
            <w:r w:rsidRPr="00D53A2B">
              <w:rPr>
                <w:sz w:val="22"/>
                <w:szCs w:val="22"/>
                <w:lang w:eastAsia="en-US"/>
              </w:rPr>
              <w:t xml:space="preserve">Fırından sıyrılır sıyrılmaz, inert gaz altında kapalı kaplarda </w:t>
            </w:r>
            <w:r w:rsidR="001341B7" w:rsidRPr="00D53A2B">
              <w:rPr>
                <w:sz w:val="22"/>
                <w:szCs w:val="22"/>
              </w:rPr>
              <w:t xml:space="preserve">cüruf/kül </w:t>
            </w:r>
            <w:r w:rsidRPr="00D53A2B">
              <w:rPr>
                <w:sz w:val="22"/>
                <w:szCs w:val="22"/>
                <w:lang w:eastAsia="en-US"/>
              </w:rPr>
              <w:t>soğutulması.</w:t>
            </w:r>
          </w:p>
        </w:tc>
      </w:tr>
      <w:tr w:rsidR="00374C56" w:rsidRPr="00D53A2B" w14:paraId="772E8143" w14:textId="77777777" w:rsidTr="00292FE9">
        <w:tc>
          <w:tcPr>
            <w:tcW w:w="437" w:type="dxa"/>
            <w:tcBorders>
              <w:top w:val="single" w:sz="4" w:space="0" w:color="000000"/>
              <w:left w:val="single" w:sz="4" w:space="0" w:color="000000"/>
              <w:bottom w:val="single" w:sz="4" w:space="0" w:color="000000"/>
              <w:right w:val="single" w:sz="4" w:space="0" w:color="000000"/>
            </w:tcBorders>
            <w:vAlign w:val="center"/>
          </w:tcPr>
          <w:p w14:paraId="65CD2FE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284" w:type="dxa"/>
            <w:tcBorders>
              <w:top w:val="single" w:sz="4" w:space="0" w:color="000000"/>
              <w:left w:val="single" w:sz="4" w:space="0" w:color="000000"/>
              <w:bottom w:val="single" w:sz="4" w:space="0" w:color="000000"/>
              <w:right w:val="single" w:sz="4" w:space="0" w:color="000000"/>
            </w:tcBorders>
          </w:tcPr>
          <w:p w14:paraId="0BB3436E" w14:textId="785CF8E8" w:rsidR="00374C56" w:rsidRPr="00D53A2B" w:rsidRDefault="001341B7" w:rsidP="00A202FD">
            <w:pPr>
              <w:spacing w:line="264" w:lineRule="auto"/>
              <w:ind w:left="57" w:right="57"/>
              <w:jc w:val="both"/>
              <w:rPr>
                <w:sz w:val="22"/>
                <w:szCs w:val="22"/>
                <w:lang w:eastAsia="en-US"/>
              </w:rPr>
            </w:pPr>
            <w:r w:rsidRPr="00D53A2B">
              <w:rPr>
                <w:sz w:val="22"/>
                <w:szCs w:val="22"/>
              </w:rPr>
              <w:t xml:space="preserve">Cüruf/kül </w:t>
            </w:r>
            <w:r w:rsidR="00B7728D" w:rsidRPr="00D53A2B">
              <w:rPr>
                <w:sz w:val="22"/>
                <w:szCs w:val="22"/>
                <w:lang w:eastAsia="en-US"/>
              </w:rPr>
              <w:t>ıslanmasının önlenmesi</w:t>
            </w:r>
          </w:p>
        </w:tc>
      </w:tr>
      <w:tr w:rsidR="00374C56" w:rsidRPr="00D53A2B" w14:paraId="2DDE9DAB" w14:textId="77777777" w:rsidTr="00292FE9">
        <w:tc>
          <w:tcPr>
            <w:tcW w:w="437" w:type="dxa"/>
            <w:tcBorders>
              <w:top w:val="single" w:sz="4" w:space="0" w:color="000000"/>
              <w:left w:val="single" w:sz="4" w:space="0" w:color="000000"/>
              <w:bottom w:val="single" w:sz="4" w:space="0" w:color="000000"/>
              <w:right w:val="single" w:sz="4" w:space="0" w:color="000000"/>
            </w:tcBorders>
            <w:vAlign w:val="center"/>
          </w:tcPr>
          <w:p w14:paraId="4E21F14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284" w:type="dxa"/>
            <w:tcBorders>
              <w:top w:val="single" w:sz="4" w:space="0" w:color="000000"/>
              <w:left w:val="single" w:sz="4" w:space="0" w:color="000000"/>
              <w:bottom w:val="single" w:sz="4" w:space="0" w:color="000000"/>
              <w:right w:val="single" w:sz="4" w:space="0" w:color="000000"/>
            </w:tcBorders>
          </w:tcPr>
          <w:p w14:paraId="0732406F" w14:textId="471FD767" w:rsidR="00374C56" w:rsidRPr="00D53A2B" w:rsidRDefault="00B7728D" w:rsidP="00A202FD">
            <w:pPr>
              <w:spacing w:line="264" w:lineRule="auto"/>
              <w:ind w:left="57" w:right="57"/>
              <w:jc w:val="both"/>
              <w:rPr>
                <w:sz w:val="22"/>
                <w:szCs w:val="22"/>
                <w:lang w:eastAsia="en-US"/>
              </w:rPr>
            </w:pPr>
            <w:r w:rsidRPr="00D53A2B">
              <w:rPr>
                <w:sz w:val="22"/>
                <w:szCs w:val="22"/>
                <w:lang w:eastAsia="en-US"/>
              </w:rPr>
              <w:t xml:space="preserve">Hava tahliyesi ve toz azaltma sistemi ile </w:t>
            </w:r>
            <w:r w:rsidR="001341B7" w:rsidRPr="00D53A2B">
              <w:rPr>
                <w:sz w:val="22"/>
                <w:szCs w:val="22"/>
              </w:rPr>
              <w:t xml:space="preserve">cüruf/kül </w:t>
            </w:r>
            <w:r w:rsidRPr="00D53A2B">
              <w:rPr>
                <w:sz w:val="22"/>
                <w:szCs w:val="22"/>
                <w:lang w:eastAsia="en-US"/>
              </w:rPr>
              <w:t>sıkıştırılması</w:t>
            </w:r>
          </w:p>
        </w:tc>
      </w:tr>
    </w:tbl>
    <w:p w14:paraId="50537D91" w14:textId="77777777" w:rsidR="00374C56" w:rsidRPr="00D53A2B" w:rsidRDefault="00374C56" w:rsidP="00A202FD">
      <w:pPr>
        <w:spacing w:after="240"/>
        <w:jc w:val="both"/>
        <w:rPr>
          <w:lang w:eastAsia="en-US"/>
        </w:rPr>
      </w:pPr>
    </w:p>
    <w:p w14:paraId="2E04F25A" w14:textId="3436EB70" w:rsidR="00374C56" w:rsidRPr="00D53A2B" w:rsidRDefault="00C65C3A" w:rsidP="00A202FD">
      <w:pPr>
        <w:pStyle w:val="Balk5"/>
        <w:ind w:left="1134" w:hanging="1134"/>
        <w:rPr>
          <w:szCs w:val="24"/>
        </w:rPr>
      </w:pPr>
      <w:r w:rsidRPr="00D53A2B">
        <w:rPr>
          <w:szCs w:val="24"/>
        </w:rPr>
        <w:t>1.</w:t>
      </w:r>
      <w:r w:rsidR="00374C56" w:rsidRPr="00D53A2B">
        <w:rPr>
          <w:szCs w:val="24"/>
        </w:rPr>
        <w:t>3.4.3.2</w:t>
      </w:r>
      <w:r w:rsidRPr="00D53A2B">
        <w:rPr>
          <w:szCs w:val="24"/>
        </w:rPr>
        <w:t>.</w:t>
      </w:r>
      <w:r w:rsidR="00374C56" w:rsidRPr="00D53A2B">
        <w:rPr>
          <w:szCs w:val="24"/>
        </w:rPr>
        <w:t xml:space="preserve"> Kanalize edilmiş toz emisyonları</w:t>
      </w:r>
    </w:p>
    <w:p w14:paraId="0ED235E6" w14:textId="40D07178" w:rsidR="00374C56" w:rsidRPr="00D53A2B" w:rsidRDefault="00921606" w:rsidP="00A202FD">
      <w:pPr>
        <w:pStyle w:val="MET"/>
        <w:rPr>
          <w:szCs w:val="24"/>
        </w:rPr>
      </w:pPr>
      <w:r w:rsidRPr="00D53A2B">
        <w:rPr>
          <w:szCs w:val="24"/>
        </w:rPr>
        <w:t>MET 80:</w:t>
      </w:r>
      <w:r w:rsidR="00C65C3A" w:rsidRPr="00D53A2B">
        <w:rPr>
          <w:szCs w:val="24"/>
        </w:rPr>
        <w:t xml:space="preserve"> </w:t>
      </w:r>
      <w:r w:rsidR="00C65C3A" w:rsidRPr="00D53A2B">
        <w:rPr>
          <w:b w:val="0"/>
          <w:bCs/>
          <w:szCs w:val="24"/>
        </w:rPr>
        <w:t>Talaş kurutma ve talaştan yağ ve organik bileşiklerin uzaklaştırılması, metalik olmayan bileşenlerin ve alüminyum dışındaki metallerin kırılması, öğütülmesi ve kuru ayrıştırılmasından ve ikincil alüminyum üretiminde depolama, taşıma ve nakliyeden kaynaklanan toz ve metal emisyonlarını azaltmak için bir torba filtre kullan</w:t>
      </w:r>
      <w:r w:rsidR="001341B7" w:rsidRPr="00D53A2B">
        <w:rPr>
          <w:b w:val="0"/>
          <w:bCs/>
          <w:szCs w:val="24"/>
        </w:rPr>
        <w:t>ılır</w:t>
      </w:r>
      <w:r w:rsidR="00C65C3A" w:rsidRPr="00D53A2B">
        <w:rPr>
          <w:b w:val="0"/>
          <w:bCs/>
          <w:szCs w:val="24"/>
        </w:rPr>
        <w:t>.</w:t>
      </w:r>
    </w:p>
    <w:p w14:paraId="316A6BCF" w14:textId="77777777" w:rsidR="00374C56" w:rsidRPr="00D53A2B" w:rsidRDefault="00374C56" w:rsidP="00A202FD">
      <w:pPr>
        <w:spacing w:after="240"/>
        <w:ind w:left="567" w:hanging="567"/>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15.</w:t>
      </w:r>
    </w:p>
    <w:p w14:paraId="53C4C08A" w14:textId="77777777" w:rsidR="001023C7" w:rsidRPr="00D53A2B" w:rsidRDefault="00374C56" w:rsidP="00A202FD">
      <w:pPr>
        <w:jc w:val="both"/>
        <w:rPr>
          <w:lang w:eastAsia="en-US"/>
        </w:rPr>
      </w:pPr>
      <w:bookmarkStart w:id="83" w:name="_Toc531927956"/>
      <w:r w:rsidRPr="00D53A2B">
        <w:rPr>
          <w:lang w:eastAsia="en-US"/>
        </w:rPr>
        <w:t xml:space="preserve">Tablo </w:t>
      </w:r>
      <w:r w:rsidRPr="00D53A2B">
        <w:rPr>
          <w:noProof/>
          <w:lang w:eastAsia="en-US"/>
        </w:rPr>
        <w:t>15</w:t>
      </w:r>
      <w:bookmarkEnd w:id="83"/>
    </w:p>
    <w:p w14:paraId="5AB6A0F7" w14:textId="3E1B52E9" w:rsidR="00374C56" w:rsidRPr="00D53A2B" w:rsidRDefault="00C65C3A" w:rsidP="00A202FD">
      <w:pPr>
        <w:jc w:val="both"/>
        <w:rPr>
          <w:lang w:eastAsia="en-US"/>
        </w:rPr>
      </w:pPr>
      <w:r w:rsidRPr="00D53A2B">
        <w:rPr>
          <w:lang w:eastAsia="en-US"/>
        </w:rPr>
        <w:t>Talaş kurutma ve talaştan yağ ve organik bileşiklerin uzaklaştırılması, metalik olmayan bileşenlerin ve alüminyum dışındaki metallerin kırılması, öğütülmesi ve kuru ayrıştırılması ve ikincil alüminyum üretiminde depolama, taşıma ve nakliyeden kaynaklanan havaya toz emisyonları için MET ile ilişkili emisyon seviyeleri.</w:t>
      </w:r>
    </w:p>
    <w:tbl>
      <w:tblPr>
        <w:tblW w:w="0" w:type="auto"/>
        <w:tblLayout w:type="fixed"/>
        <w:tblCellMar>
          <w:left w:w="0" w:type="dxa"/>
          <w:right w:w="0" w:type="dxa"/>
        </w:tblCellMar>
        <w:tblLook w:val="01E0" w:firstRow="1" w:lastRow="1" w:firstColumn="1" w:lastColumn="1" w:noHBand="0" w:noVBand="0"/>
      </w:tblPr>
      <w:tblGrid>
        <w:gridCol w:w="2098"/>
        <w:gridCol w:w="6463"/>
      </w:tblGrid>
      <w:tr w:rsidR="00374C56" w:rsidRPr="00D53A2B" w14:paraId="7ACB331E"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2B4A097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463" w:type="dxa"/>
            <w:tcBorders>
              <w:top w:val="single" w:sz="4" w:space="0" w:color="000000"/>
              <w:left w:val="single" w:sz="4" w:space="0" w:color="000000"/>
              <w:bottom w:val="single" w:sz="4" w:space="0" w:color="000000"/>
              <w:right w:val="single" w:sz="4" w:space="0" w:color="000000"/>
            </w:tcBorders>
            <w:vAlign w:val="center"/>
          </w:tcPr>
          <w:p w14:paraId="525AA726"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xml:space="preserve">)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29D55B2A"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60750FB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6463" w:type="dxa"/>
            <w:tcBorders>
              <w:top w:val="single" w:sz="4" w:space="0" w:color="000000"/>
              <w:left w:val="single" w:sz="4" w:space="0" w:color="000000"/>
              <w:bottom w:val="single" w:sz="4" w:space="0" w:color="000000"/>
              <w:right w:val="single" w:sz="4" w:space="0" w:color="000000"/>
            </w:tcBorders>
          </w:tcPr>
          <w:p w14:paraId="05E7D4A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5</w:t>
            </w:r>
          </w:p>
        </w:tc>
      </w:tr>
      <w:tr w:rsidR="00374C56" w:rsidRPr="00D53A2B" w14:paraId="094ABF5D" w14:textId="77777777" w:rsidTr="00374C56">
        <w:tc>
          <w:tcPr>
            <w:tcW w:w="8561" w:type="dxa"/>
            <w:gridSpan w:val="2"/>
            <w:tcBorders>
              <w:top w:val="single" w:sz="4" w:space="0" w:color="000000"/>
              <w:left w:val="single" w:sz="4" w:space="0" w:color="000000"/>
              <w:bottom w:val="single" w:sz="4" w:space="0" w:color="000000"/>
              <w:right w:val="single" w:sz="4" w:space="0" w:color="000000"/>
            </w:tcBorders>
            <w:vAlign w:val="center"/>
          </w:tcPr>
          <w:p w14:paraId="79172DF3" w14:textId="554D0920" w:rsidR="00374C56" w:rsidRPr="009077F5" w:rsidRDefault="00374C56" w:rsidP="00A202FD">
            <w:pPr>
              <w:jc w:val="both"/>
              <w:rPr>
                <w:bCs/>
                <w:spacing w:val="2"/>
                <w:sz w:val="20"/>
                <w:szCs w:val="20"/>
                <w:lang w:eastAsia="en-US"/>
              </w:rPr>
            </w:pPr>
            <w:r w:rsidRPr="009077F5">
              <w:rPr>
                <w:bCs/>
                <w:spacing w:val="2"/>
                <w:sz w:val="20"/>
                <w:szCs w:val="20"/>
                <w:lang w:eastAsia="en-US"/>
              </w:rPr>
              <w:t>(</w:t>
            </w:r>
            <w:r w:rsidRPr="009077F5">
              <w:rPr>
                <w:bCs/>
                <w:spacing w:val="2"/>
                <w:sz w:val="20"/>
                <w:szCs w:val="20"/>
                <w:vertAlign w:val="superscript"/>
                <w:lang w:eastAsia="en-US"/>
              </w:rPr>
              <w:t>1</w:t>
            </w:r>
            <w:r w:rsidRPr="009077F5">
              <w:rPr>
                <w:bCs/>
                <w:spacing w:val="2"/>
                <w:sz w:val="20"/>
                <w:szCs w:val="20"/>
                <w:lang w:eastAsia="en-US"/>
              </w:rPr>
              <w:t>)</w:t>
            </w:r>
            <w:r w:rsidR="007847FF" w:rsidRPr="009077F5">
              <w:rPr>
                <w:rStyle w:val="Gvdemetni3a"/>
                <w:sz w:val="20"/>
                <w:szCs w:val="20"/>
              </w:rPr>
              <w:t xml:space="preserve"> numune alma </w:t>
            </w:r>
            <w:r w:rsidRPr="009077F5">
              <w:rPr>
                <w:bCs/>
                <w:spacing w:val="2"/>
                <w:sz w:val="20"/>
                <w:szCs w:val="20"/>
                <w:lang w:eastAsia="en-US"/>
              </w:rPr>
              <w:t>periyodu boyunca ortalama.</w:t>
            </w:r>
          </w:p>
        </w:tc>
      </w:tr>
    </w:tbl>
    <w:p w14:paraId="139BFE79" w14:textId="77777777" w:rsidR="00374C56" w:rsidRPr="00D53A2B" w:rsidRDefault="00374C56" w:rsidP="00A202FD">
      <w:pPr>
        <w:jc w:val="both"/>
        <w:rPr>
          <w:lang w:eastAsia="en-US"/>
        </w:rPr>
      </w:pPr>
    </w:p>
    <w:p w14:paraId="0B280BFC" w14:textId="101018C2" w:rsidR="00C65C3A" w:rsidRPr="00D53A2B" w:rsidRDefault="00C65C3A" w:rsidP="00A202FD">
      <w:pPr>
        <w:jc w:val="both"/>
        <w:rPr>
          <w:lang w:eastAsia="en-US"/>
        </w:rPr>
      </w:pPr>
      <w:r w:rsidRPr="00D53A2B">
        <w:rPr>
          <w:lang w:eastAsia="en-US"/>
        </w:rPr>
        <w:t xml:space="preserve">İlgili izleme </w:t>
      </w:r>
      <w:r w:rsidR="00D50D71" w:rsidRPr="00D53A2B">
        <w:rPr>
          <w:lang w:eastAsia="en-US"/>
        </w:rPr>
        <w:t>MET</w:t>
      </w:r>
      <w:r w:rsidRPr="00D53A2B">
        <w:rPr>
          <w:lang w:eastAsia="en-US"/>
        </w:rPr>
        <w:t xml:space="preserve"> 10</w:t>
      </w:r>
      <w:r w:rsidR="00E56504" w:rsidRPr="00D53A2B">
        <w:rPr>
          <w:lang w:eastAsia="en-US"/>
        </w:rPr>
        <w:t>’</w:t>
      </w:r>
      <w:r w:rsidRPr="00D53A2B">
        <w:rPr>
          <w:lang w:eastAsia="en-US"/>
        </w:rPr>
        <w:t>da yer almaktadır.</w:t>
      </w:r>
    </w:p>
    <w:p w14:paraId="1A56E9DA" w14:textId="3606CDF0" w:rsidR="00374C56" w:rsidRPr="00D53A2B" w:rsidRDefault="00921606" w:rsidP="00A202FD">
      <w:pPr>
        <w:tabs>
          <w:tab w:val="left" w:pos="1134"/>
        </w:tabs>
        <w:spacing w:before="120" w:after="200"/>
        <w:jc w:val="both"/>
        <w:rPr>
          <w:b/>
          <w:lang w:eastAsia="en-US"/>
        </w:rPr>
      </w:pPr>
      <w:r w:rsidRPr="00D53A2B">
        <w:rPr>
          <w:rStyle w:val="METChar"/>
          <w:szCs w:val="24"/>
        </w:rPr>
        <w:t>MET 81:</w:t>
      </w:r>
      <w:r w:rsidR="00C65C3A" w:rsidRPr="00D53A2B">
        <w:rPr>
          <w:rStyle w:val="METChar"/>
          <w:szCs w:val="24"/>
        </w:rPr>
        <w:t xml:space="preserve"> </w:t>
      </w:r>
      <w:r w:rsidR="00374C56" w:rsidRPr="00D53A2B">
        <w:rPr>
          <w:rStyle w:val="METChar"/>
          <w:b w:val="0"/>
          <w:bCs/>
          <w:szCs w:val="24"/>
        </w:rPr>
        <w:t>İkincil alüminyum üretiminde şarj, eritme, döküm alma ve erimiş metalin işlenmesi gibi fırın proseslerinden kaynaklanan toz ve metal emisyonlarını azaltmak için</w:t>
      </w:r>
      <w:r w:rsidR="004F119D" w:rsidRPr="00D53A2B">
        <w:rPr>
          <w:rStyle w:val="METChar"/>
          <w:b w:val="0"/>
          <w:bCs/>
          <w:szCs w:val="24"/>
        </w:rPr>
        <w:t xml:space="preserve">, </w:t>
      </w:r>
      <w:r w:rsidR="00374C56" w:rsidRPr="00D53A2B">
        <w:rPr>
          <w:rStyle w:val="METChar"/>
          <w:b w:val="0"/>
          <w:bCs/>
          <w:szCs w:val="24"/>
        </w:rPr>
        <w:t>torba filtre kullanıl</w:t>
      </w:r>
      <w:r w:rsidR="004F119D" w:rsidRPr="00D53A2B">
        <w:rPr>
          <w:rStyle w:val="METChar"/>
          <w:b w:val="0"/>
          <w:bCs/>
          <w:szCs w:val="24"/>
        </w:rPr>
        <w:t>ır</w:t>
      </w:r>
      <w:r w:rsidR="004F119D" w:rsidRPr="00D53A2B">
        <w:rPr>
          <w:b/>
          <w:bCs/>
          <w:lang w:eastAsia="en-US"/>
        </w:rPr>
        <w:t>.</w:t>
      </w:r>
    </w:p>
    <w:p w14:paraId="13561DD3"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16.</w:t>
      </w:r>
    </w:p>
    <w:p w14:paraId="54089ADD" w14:textId="77777777" w:rsidR="001023C7" w:rsidRPr="00D53A2B" w:rsidRDefault="00374C56" w:rsidP="00A202FD">
      <w:pPr>
        <w:jc w:val="both"/>
        <w:rPr>
          <w:lang w:eastAsia="en-US"/>
        </w:rPr>
      </w:pPr>
      <w:bookmarkStart w:id="84" w:name="_Toc531927957"/>
      <w:r w:rsidRPr="00D53A2B">
        <w:rPr>
          <w:lang w:eastAsia="en-US"/>
        </w:rPr>
        <w:t xml:space="preserve">Tablo </w:t>
      </w:r>
      <w:r w:rsidRPr="00D53A2B">
        <w:rPr>
          <w:noProof/>
          <w:lang w:eastAsia="en-US"/>
        </w:rPr>
        <w:t>16</w:t>
      </w:r>
    </w:p>
    <w:p w14:paraId="69C2E205" w14:textId="69EA13DB" w:rsidR="00374C56" w:rsidRPr="00D53A2B" w:rsidRDefault="00374C56" w:rsidP="00A202FD">
      <w:pPr>
        <w:jc w:val="both"/>
        <w:rPr>
          <w:lang w:eastAsia="en-US"/>
        </w:rPr>
      </w:pPr>
      <w:r w:rsidRPr="00D53A2B">
        <w:rPr>
          <w:lang w:eastAsia="en-US"/>
        </w:rPr>
        <w:t>İkincil alüminyum üretiminde şarj, eritme, döküm alma ve erimiş metalin işlenmesi gibi fırın proseslerinden kaynaklanan toz emisyonları için MET ile ilişkili emisyon seviyeleri</w:t>
      </w:r>
      <w:bookmarkEnd w:id="84"/>
    </w:p>
    <w:tbl>
      <w:tblPr>
        <w:tblW w:w="0" w:type="auto"/>
        <w:tblLayout w:type="fixed"/>
        <w:tblCellMar>
          <w:left w:w="0" w:type="dxa"/>
          <w:right w:w="0" w:type="dxa"/>
        </w:tblCellMar>
        <w:tblLook w:val="01E0" w:firstRow="1" w:lastRow="1" w:firstColumn="1" w:lastColumn="1" w:noHBand="0" w:noVBand="0"/>
      </w:tblPr>
      <w:tblGrid>
        <w:gridCol w:w="2098"/>
        <w:gridCol w:w="6463"/>
      </w:tblGrid>
      <w:tr w:rsidR="00374C56" w:rsidRPr="00D53A2B" w14:paraId="79CD1DF9"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7465C6C2"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6463" w:type="dxa"/>
            <w:tcBorders>
              <w:top w:val="single" w:sz="4" w:space="0" w:color="000000"/>
              <w:left w:val="single" w:sz="4" w:space="0" w:color="000000"/>
              <w:bottom w:val="single" w:sz="4" w:space="0" w:color="000000"/>
              <w:right w:val="single" w:sz="4" w:space="0" w:color="000000"/>
            </w:tcBorders>
            <w:vAlign w:val="center"/>
          </w:tcPr>
          <w:p w14:paraId="7F8704B9"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xml:space="preserve">) </w:t>
            </w:r>
            <w:r w:rsidRPr="00D53A2B">
              <w:rPr>
                <w:b/>
                <w:lang w:eastAsia="en-US"/>
              </w:rPr>
              <w:t>(</w:t>
            </w:r>
            <w:r w:rsidRPr="00D53A2B">
              <w:rPr>
                <w:b/>
                <w:vertAlign w:val="superscript"/>
                <w:lang w:eastAsia="en-US"/>
              </w:rPr>
              <w:t>1</w:t>
            </w:r>
            <w:r w:rsidRPr="00D53A2B">
              <w:rPr>
                <w:b/>
                <w:lang w:eastAsia="en-US"/>
              </w:rPr>
              <w:t>)</w:t>
            </w:r>
          </w:p>
        </w:tc>
      </w:tr>
      <w:tr w:rsidR="00374C56" w:rsidRPr="00D53A2B" w14:paraId="2314E6A5"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4D03C188" w14:textId="77777777" w:rsidR="00374C56" w:rsidRPr="00D53A2B" w:rsidRDefault="00374C56" w:rsidP="00A202FD">
            <w:pPr>
              <w:spacing w:line="264" w:lineRule="auto"/>
              <w:ind w:left="57" w:right="57"/>
              <w:jc w:val="both"/>
              <w:rPr>
                <w:lang w:eastAsia="en-US"/>
              </w:rPr>
            </w:pPr>
            <w:r w:rsidRPr="00D53A2B">
              <w:rPr>
                <w:lang w:eastAsia="en-US"/>
              </w:rPr>
              <w:t>Toz</w:t>
            </w:r>
          </w:p>
        </w:tc>
        <w:tc>
          <w:tcPr>
            <w:tcW w:w="6463" w:type="dxa"/>
            <w:tcBorders>
              <w:top w:val="single" w:sz="4" w:space="0" w:color="000000"/>
              <w:left w:val="single" w:sz="4" w:space="0" w:color="000000"/>
              <w:bottom w:val="single" w:sz="4" w:space="0" w:color="000000"/>
              <w:right w:val="single" w:sz="4" w:space="0" w:color="000000"/>
            </w:tcBorders>
          </w:tcPr>
          <w:p w14:paraId="242463C9" w14:textId="77777777" w:rsidR="00374C56" w:rsidRPr="00D53A2B" w:rsidRDefault="00374C56" w:rsidP="00A202FD">
            <w:pPr>
              <w:spacing w:line="264" w:lineRule="auto"/>
              <w:ind w:left="57" w:right="57"/>
              <w:jc w:val="both"/>
              <w:rPr>
                <w:lang w:eastAsia="en-US"/>
              </w:rPr>
            </w:pPr>
            <w:r w:rsidRPr="00D53A2B">
              <w:rPr>
                <w:lang w:eastAsia="en-US"/>
              </w:rPr>
              <w:t>2–5</w:t>
            </w:r>
          </w:p>
        </w:tc>
      </w:tr>
      <w:tr w:rsidR="00374C56" w:rsidRPr="00D53A2B" w14:paraId="1BA96C0F" w14:textId="77777777" w:rsidTr="00374C56">
        <w:tc>
          <w:tcPr>
            <w:tcW w:w="8561" w:type="dxa"/>
            <w:gridSpan w:val="2"/>
            <w:tcBorders>
              <w:top w:val="single" w:sz="4" w:space="0" w:color="000000"/>
              <w:left w:val="single" w:sz="4" w:space="0" w:color="000000"/>
              <w:bottom w:val="single" w:sz="4" w:space="0" w:color="000000"/>
              <w:right w:val="single" w:sz="4" w:space="0" w:color="000000"/>
            </w:tcBorders>
            <w:vAlign w:val="center"/>
          </w:tcPr>
          <w:p w14:paraId="73E10C7F" w14:textId="0C63F21A" w:rsidR="00374C56" w:rsidRPr="009077F5" w:rsidRDefault="00374C56" w:rsidP="00A202FD">
            <w:pPr>
              <w:jc w:val="both"/>
              <w:rPr>
                <w:bCs/>
                <w:spacing w:val="2"/>
                <w:sz w:val="20"/>
                <w:szCs w:val="20"/>
                <w:lang w:eastAsia="en-US"/>
              </w:rPr>
            </w:pPr>
            <w:r w:rsidRPr="009077F5">
              <w:rPr>
                <w:bCs/>
                <w:spacing w:val="2"/>
                <w:sz w:val="20"/>
                <w:szCs w:val="20"/>
                <w:lang w:eastAsia="en-US"/>
              </w:rPr>
              <w:t>(</w:t>
            </w:r>
            <w:r w:rsidRPr="009077F5">
              <w:rPr>
                <w:bCs/>
                <w:spacing w:val="2"/>
                <w:sz w:val="20"/>
                <w:szCs w:val="20"/>
                <w:vertAlign w:val="superscript"/>
                <w:lang w:eastAsia="en-US"/>
              </w:rPr>
              <w:t>1</w:t>
            </w:r>
            <w:r w:rsidRPr="009077F5">
              <w:rPr>
                <w:bCs/>
                <w:spacing w:val="2"/>
                <w:sz w:val="20"/>
                <w:szCs w:val="20"/>
                <w:lang w:eastAsia="en-US"/>
              </w:rPr>
              <w:t xml:space="preserve">) Günlük ortalama ya da </w:t>
            </w:r>
            <w:r w:rsidR="007847FF" w:rsidRPr="009077F5">
              <w:rPr>
                <w:rStyle w:val="Gvdemetni3a"/>
                <w:sz w:val="20"/>
                <w:szCs w:val="20"/>
              </w:rPr>
              <w:t>numune alma</w:t>
            </w:r>
            <w:r w:rsidRPr="009077F5">
              <w:rPr>
                <w:bCs/>
                <w:spacing w:val="2"/>
                <w:sz w:val="20"/>
                <w:szCs w:val="20"/>
                <w:lang w:eastAsia="en-US"/>
              </w:rPr>
              <w:t xml:space="preserve"> periyodu boyunca ortalama.</w:t>
            </w:r>
          </w:p>
        </w:tc>
      </w:tr>
    </w:tbl>
    <w:p w14:paraId="4DA3421B" w14:textId="77777777" w:rsidR="00374C56" w:rsidRPr="00D53A2B" w:rsidRDefault="00374C56" w:rsidP="00A202FD">
      <w:pPr>
        <w:jc w:val="both"/>
        <w:rPr>
          <w:lang w:eastAsia="en-US"/>
        </w:rPr>
      </w:pPr>
    </w:p>
    <w:p w14:paraId="2BAE84BE" w14:textId="1111012C" w:rsidR="00C65C3A" w:rsidRPr="00D53A2B" w:rsidRDefault="00C65C3A" w:rsidP="00A202FD">
      <w:pPr>
        <w:jc w:val="both"/>
        <w:rPr>
          <w:lang w:eastAsia="en-US"/>
        </w:rPr>
      </w:pPr>
      <w:r w:rsidRPr="00D53A2B">
        <w:rPr>
          <w:lang w:eastAsia="en-US"/>
        </w:rPr>
        <w:t xml:space="preserve">İlgili izleme </w:t>
      </w:r>
      <w:r w:rsidR="00D50D71" w:rsidRPr="00D53A2B">
        <w:rPr>
          <w:lang w:eastAsia="en-US"/>
        </w:rPr>
        <w:t>ME</w:t>
      </w:r>
      <w:r w:rsidRPr="00D53A2B">
        <w:rPr>
          <w:lang w:eastAsia="en-US"/>
        </w:rPr>
        <w:t>T 10</w:t>
      </w:r>
      <w:r w:rsidR="00E56504" w:rsidRPr="00D53A2B">
        <w:rPr>
          <w:lang w:eastAsia="en-US"/>
        </w:rPr>
        <w:t>’</w:t>
      </w:r>
      <w:r w:rsidRPr="00D53A2B">
        <w:rPr>
          <w:lang w:eastAsia="en-US"/>
        </w:rPr>
        <w:t>da yer almaktadır.</w:t>
      </w:r>
    </w:p>
    <w:p w14:paraId="6E7D682A" w14:textId="77777777" w:rsidR="00C65C3A" w:rsidRPr="00D53A2B" w:rsidRDefault="00C65C3A" w:rsidP="00A202FD">
      <w:pPr>
        <w:jc w:val="both"/>
        <w:rPr>
          <w:lang w:eastAsia="en-US"/>
        </w:rPr>
      </w:pPr>
    </w:p>
    <w:p w14:paraId="2ED641F8" w14:textId="3CE8E2F5" w:rsidR="00374C56" w:rsidRPr="00D53A2B" w:rsidRDefault="00921606" w:rsidP="00A202FD">
      <w:pPr>
        <w:pStyle w:val="MET"/>
        <w:rPr>
          <w:szCs w:val="24"/>
        </w:rPr>
      </w:pPr>
      <w:r w:rsidRPr="00D53A2B">
        <w:rPr>
          <w:szCs w:val="24"/>
        </w:rPr>
        <w:t>MET 82:</w:t>
      </w:r>
      <w:r w:rsidR="00C65C3A" w:rsidRPr="00D53A2B">
        <w:rPr>
          <w:szCs w:val="24"/>
        </w:rPr>
        <w:t xml:space="preserve"> </w:t>
      </w:r>
      <w:r w:rsidR="00374C56" w:rsidRPr="00D53A2B">
        <w:rPr>
          <w:b w:val="0"/>
          <w:bCs/>
          <w:szCs w:val="24"/>
        </w:rPr>
        <w:t>İkincil alüminyum üretiminde yeniden eritmeden kaynaklanarak havaya verilen toz ve metal emisyonlarını azaltmak içi</w:t>
      </w:r>
      <w:r w:rsidR="004F119D" w:rsidRPr="00D53A2B">
        <w:rPr>
          <w:b w:val="0"/>
          <w:bCs/>
          <w:szCs w:val="24"/>
        </w:rPr>
        <w:t>n</w:t>
      </w:r>
      <w:r w:rsidR="00374C56" w:rsidRPr="00D53A2B">
        <w:rPr>
          <w:b w:val="0"/>
          <w:bCs/>
          <w:szCs w:val="24"/>
        </w:rPr>
        <w:t>, aşağıda verilen tekniklerin biri ya da her ikisi kullanıl</w:t>
      </w:r>
      <w:r w:rsidR="004F119D" w:rsidRPr="00D53A2B">
        <w:rPr>
          <w:b w:val="0"/>
          <w:bCs/>
          <w:szCs w:val="24"/>
        </w:rPr>
        <w:t>ır.</w:t>
      </w:r>
    </w:p>
    <w:tbl>
      <w:tblPr>
        <w:tblW w:w="8731" w:type="dxa"/>
        <w:tblLayout w:type="fixed"/>
        <w:tblCellMar>
          <w:left w:w="0" w:type="dxa"/>
          <w:right w:w="0" w:type="dxa"/>
        </w:tblCellMar>
        <w:tblLook w:val="01E0" w:firstRow="1" w:lastRow="1" w:firstColumn="1" w:lastColumn="1" w:noHBand="0" w:noVBand="0"/>
      </w:tblPr>
      <w:tblGrid>
        <w:gridCol w:w="397"/>
        <w:gridCol w:w="8334"/>
      </w:tblGrid>
      <w:tr w:rsidR="00374C56" w:rsidRPr="00D53A2B" w14:paraId="0C3D5A8B"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6CAD8223" w14:textId="77777777" w:rsidR="00374C56" w:rsidRPr="00D53A2B" w:rsidRDefault="00374C56" w:rsidP="00A202FD">
            <w:pPr>
              <w:spacing w:line="264" w:lineRule="auto"/>
              <w:ind w:left="57" w:right="57"/>
              <w:jc w:val="both"/>
              <w:rPr>
                <w:lang w:eastAsia="en-US"/>
              </w:rPr>
            </w:pPr>
          </w:p>
        </w:tc>
        <w:tc>
          <w:tcPr>
            <w:tcW w:w="8334" w:type="dxa"/>
            <w:tcBorders>
              <w:top w:val="single" w:sz="4" w:space="0" w:color="000000"/>
              <w:left w:val="single" w:sz="4" w:space="0" w:color="000000"/>
              <w:bottom w:val="single" w:sz="4" w:space="0" w:color="000000"/>
              <w:right w:val="single" w:sz="4" w:space="0" w:color="000000"/>
            </w:tcBorders>
            <w:vAlign w:val="center"/>
          </w:tcPr>
          <w:p w14:paraId="576657A6" w14:textId="77777777" w:rsidR="00374C56" w:rsidRPr="00D53A2B" w:rsidRDefault="00374C56" w:rsidP="00A202FD">
            <w:pPr>
              <w:spacing w:line="264" w:lineRule="auto"/>
              <w:ind w:left="57" w:right="57"/>
              <w:jc w:val="both"/>
              <w:rPr>
                <w:lang w:eastAsia="en-US"/>
              </w:rPr>
            </w:pPr>
            <w:r w:rsidRPr="00D53A2B">
              <w:rPr>
                <w:b/>
                <w:bCs/>
                <w:lang w:eastAsia="en-US"/>
              </w:rPr>
              <w:t>Teknik</w:t>
            </w:r>
          </w:p>
        </w:tc>
      </w:tr>
      <w:tr w:rsidR="00374C56" w:rsidRPr="00D53A2B" w14:paraId="54DA5BEC"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28C734CE" w14:textId="77777777" w:rsidR="00374C56" w:rsidRPr="00D53A2B" w:rsidRDefault="00374C56" w:rsidP="00A202FD">
            <w:pPr>
              <w:spacing w:line="264" w:lineRule="auto"/>
              <w:ind w:left="57" w:right="57"/>
              <w:jc w:val="both"/>
              <w:rPr>
                <w:lang w:eastAsia="en-US"/>
              </w:rPr>
            </w:pPr>
            <w:r w:rsidRPr="00D53A2B">
              <w:rPr>
                <w:lang w:eastAsia="en-US"/>
              </w:rPr>
              <w:t>a</w:t>
            </w:r>
          </w:p>
        </w:tc>
        <w:tc>
          <w:tcPr>
            <w:tcW w:w="8334" w:type="dxa"/>
            <w:tcBorders>
              <w:top w:val="single" w:sz="4" w:space="0" w:color="000000"/>
              <w:left w:val="single" w:sz="4" w:space="0" w:color="000000"/>
              <w:bottom w:val="single" w:sz="4" w:space="0" w:color="000000"/>
              <w:right w:val="single" w:sz="4" w:space="0" w:color="000000"/>
            </w:tcBorders>
          </w:tcPr>
          <w:p w14:paraId="7D41800D" w14:textId="77777777" w:rsidR="00374C56" w:rsidRPr="00D53A2B" w:rsidRDefault="00374C56" w:rsidP="00A202FD">
            <w:pPr>
              <w:spacing w:line="264" w:lineRule="auto"/>
              <w:ind w:left="57" w:right="57"/>
              <w:jc w:val="both"/>
              <w:rPr>
                <w:lang w:eastAsia="en-US"/>
              </w:rPr>
            </w:pPr>
            <w:r w:rsidRPr="00D53A2B">
              <w:rPr>
                <w:lang w:eastAsia="en-US"/>
              </w:rPr>
              <w:t>Boya, plastik veya yağ gibi maddeler içermeyen kontamine olmamış alüminyum malzemelerin (</w:t>
            </w:r>
            <w:r w:rsidRPr="00D53A2B">
              <w:rPr>
                <w:i/>
                <w:lang w:eastAsia="en-US"/>
              </w:rPr>
              <w:t>örn.</w:t>
            </w:r>
            <w:r w:rsidRPr="00D53A2B">
              <w:rPr>
                <w:lang w:eastAsia="en-US"/>
              </w:rPr>
              <w:t xml:space="preserve"> alüminyum kütükleri) kullanılması</w:t>
            </w:r>
          </w:p>
        </w:tc>
      </w:tr>
      <w:tr w:rsidR="00374C56" w:rsidRPr="00D53A2B" w14:paraId="090D73FC"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58054779" w14:textId="77777777" w:rsidR="00374C56" w:rsidRPr="00D53A2B" w:rsidRDefault="00374C56" w:rsidP="00A202FD">
            <w:pPr>
              <w:spacing w:line="264" w:lineRule="auto"/>
              <w:ind w:left="57" w:right="57"/>
              <w:jc w:val="both"/>
              <w:rPr>
                <w:lang w:eastAsia="en-US"/>
              </w:rPr>
            </w:pPr>
            <w:r w:rsidRPr="00D53A2B">
              <w:rPr>
                <w:lang w:eastAsia="en-US"/>
              </w:rPr>
              <w:t>b</w:t>
            </w:r>
          </w:p>
        </w:tc>
        <w:tc>
          <w:tcPr>
            <w:tcW w:w="8334" w:type="dxa"/>
            <w:tcBorders>
              <w:top w:val="single" w:sz="4" w:space="0" w:color="000000"/>
              <w:left w:val="single" w:sz="4" w:space="0" w:color="000000"/>
              <w:bottom w:val="single" w:sz="4" w:space="0" w:color="000000"/>
              <w:right w:val="single" w:sz="4" w:space="0" w:color="000000"/>
            </w:tcBorders>
          </w:tcPr>
          <w:p w14:paraId="5D93C585" w14:textId="77777777" w:rsidR="00374C56" w:rsidRPr="00D53A2B" w:rsidRDefault="00374C56" w:rsidP="00A202FD">
            <w:pPr>
              <w:spacing w:line="264" w:lineRule="auto"/>
              <w:ind w:left="57" w:right="57"/>
              <w:jc w:val="both"/>
              <w:rPr>
                <w:lang w:eastAsia="en-US"/>
              </w:rPr>
            </w:pPr>
            <w:r w:rsidRPr="00D53A2B">
              <w:rPr>
                <w:lang w:eastAsia="en-US"/>
              </w:rPr>
              <w:t>Toz emisyonlarını azaltmak için yanma koşullarının optimize edilmesi</w:t>
            </w:r>
          </w:p>
        </w:tc>
      </w:tr>
      <w:tr w:rsidR="00374C56" w:rsidRPr="00D53A2B" w14:paraId="69C761F8"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642736E7" w14:textId="77777777" w:rsidR="00374C56" w:rsidRPr="00D53A2B" w:rsidRDefault="00374C56" w:rsidP="00A202FD">
            <w:pPr>
              <w:spacing w:line="264" w:lineRule="auto"/>
              <w:ind w:left="57" w:right="57"/>
              <w:jc w:val="both"/>
              <w:rPr>
                <w:lang w:eastAsia="en-US"/>
              </w:rPr>
            </w:pPr>
            <w:r w:rsidRPr="00D53A2B">
              <w:rPr>
                <w:lang w:eastAsia="en-US"/>
              </w:rPr>
              <w:t>c</w:t>
            </w:r>
          </w:p>
        </w:tc>
        <w:tc>
          <w:tcPr>
            <w:tcW w:w="8334" w:type="dxa"/>
            <w:tcBorders>
              <w:top w:val="single" w:sz="4" w:space="0" w:color="000000"/>
              <w:left w:val="single" w:sz="4" w:space="0" w:color="000000"/>
              <w:bottom w:val="single" w:sz="4" w:space="0" w:color="000000"/>
              <w:right w:val="single" w:sz="4" w:space="0" w:color="000000"/>
            </w:tcBorders>
          </w:tcPr>
          <w:p w14:paraId="4F722A23" w14:textId="77777777" w:rsidR="00374C56" w:rsidRPr="00D53A2B" w:rsidRDefault="00374C56" w:rsidP="00A202FD">
            <w:pPr>
              <w:spacing w:line="264" w:lineRule="auto"/>
              <w:ind w:left="57" w:right="57"/>
              <w:jc w:val="both"/>
              <w:rPr>
                <w:lang w:eastAsia="en-US"/>
              </w:rPr>
            </w:pPr>
            <w:r w:rsidRPr="00D53A2B">
              <w:rPr>
                <w:lang w:eastAsia="en-US"/>
              </w:rPr>
              <w:t>Torba filtre</w:t>
            </w:r>
          </w:p>
        </w:tc>
      </w:tr>
    </w:tbl>
    <w:p w14:paraId="21065E75" w14:textId="77777777" w:rsidR="00374C56" w:rsidRPr="00D53A2B" w:rsidRDefault="00374C56" w:rsidP="00A202FD">
      <w:pPr>
        <w:jc w:val="both"/>
        <w:rPr>
          <w:lang w:eastAsia="en-US"/>
        </w:rPr>
      </w:pPr>
    </w:p>
    <w:p w14:paraId="0C626F8C"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17.</w:t>
      </w:r>
    </w:p>
    <w:p w14:paraId="7827A3E0" w14:textId="77777777" w:rsidR="001023C7" w:rsidRPr="00D53A2B" w:rsidRDefault="00374C56" w:rsidP="00A202FD">
      <w:pPr>
        <w:spacing w:before="120" w:after="120"/>
        <w:jc w:val="both"/>
        <w:rPr>
          <w:bCs/>
          <w:iCs/>
          <w:spacing w:val="2"/>
          <w:lang w:eastAsia="en-US"/>
        </w:rPr>
      </w:pPr>
      <w:bookmarkStart w:id="85" w:name="_Toc531927958"/>
      <w:r w:rsidRPr="00D53A2B">
        <w:rPr>
          <w:bCs/>
          <w:iCs/>
          <w:spacing w:val="2"/>
          <w:lang w:eastAsia="en-US"/>
        </w:rPr>
        <w:t xml:space="preserve">Tablo </w:t>
      </w:r>
      <w:r w:rsidRPr="00D53A2B">
        <w:rPr>
          <w:bCs/>
          <w:iCs/>
          <w:noProof/>
          <w:spacing w:val="2"/>
          <w:lang w:eastAsia="en-US"/>
        </w:rPr>
        <w:t>17</w:t>
      </w:r>
    </w:p>
    <w:p w14:paraId="375DF473" w14:textId="034138AB" w:rsidR="00374C56" w:rsidRPr="00D53A2B" w:rsidRDefault="00374C56" w:rsidP="00A202FD">
      <w:pPr>
        <w:spacing w:before="120" w:after="120"/>
        <w:jc w:val="both"/>
        <w:rPr>
          <w:bCs/>
          <w:iCs/>
          <w:spacing w:val="2"/>
          <w:lang w:eastAsia="en-US"/>
        </w:rPr>
      </w:pPr>
      <w:r w:rsidRPr="00D53A2B">
        <w:rPr>
          <w:bCs/>
          <w:iCs/>
          <w:spacing w:val="2"/>
          <w:lang w:eastAsia="en-US"/>
        </w:rPr>
        <w:t>İkincil alüminyum üretiminde yeniden eritmeden kaynaklanarak havaya verilen toz</w:t>
      </w:r>
      <w:r w:rsidR="00D50D71" w:rsidRPr="00D53A2B">
        <w:rPr>
          <w:bCs/>
          <w:iCs/>
          <w:spacing w:val="2"/>
          <w:lang w:eastAsia="en-US"/>
        </w:rPr>
        <w:t xml:space="preserve"> </w:t>
      </w:r>
      <w:r w:rsidRPr="00D53A2B">
        <w:rPr>
          <w:bCs/>
          <w:iCs/>
          <w:spacing w:val="2"/>
          <w:lang w:eastAsia="en-US"/>
        </w:rPr>
        <w:t>emisyonları için MET ile ilişkili emisyon seviyeleri</w:t>
      </w:r>
      <w:bookmarkEnd w:id="85"/>
    </w:p>
    <w:tbl>
      <w:tblPr>
        <w:tblW w:w="0" w:type="auto"/>
        <w:tblLayout w:type="fixed"/>
        <w:tblCellMar>
          <w:left w:w="0" w:type="dxa"/>
          <w:right w:w="0" w:type="dxa"/>
        </w:tblCellMar>
        <w:tblLook w:val="01E0" w:firstRow="1" w:lastRow="1" w:firstColumn="1" w:lastColumn="1" w:noHBand="0" w:noVBand="0"/>
      </w:tblPr>
      <w:tblGrid>
        <w:gridCol w:w="2098"/>
        <w:gridCol w:w="6463"/>
      </w:tblGrid>
      <w:tr w:rsidR="00374C56" w:rsidRPr="00D53A2B" w14:paraId="46AA8F67"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2A77A829"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6463" w:type="dxa"/>
            <w:tcBorders>
              <w:top w:val="single" w:sz="4" w:space="0" w:color="000000"/>
              <w:left w:val="single" w:sz="4" w:space="0" w:color="000000"/>
              <w:bottom w:val="single" w:sz="4" w:space="0" w:color="000000"/>
              <w:right w:val="single" w:sz="4" w:space="0" w:color="000000"/>
            </w:tcBorders>
            <w:vAlign w:val="center"/>
          </w:tcPr>
          <w:p w14:paraId="4B7AF234"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xml:space="preserve">) </w:t>
            </w:r>
            <w:r w:rsidRPr="00D53A2B">
              <w:rPr>
                <w:b/>
                <w:lang w:eastAsia="en-US"/>
              </w:rPr>
              <w:t>(</w:t>
            </w:r>
            <w:r w:rsidRPr="00D53A2B">
              <w:rPr>
                <w:b/>
                <w:vertAlign w:val="superscript"/>
                <w:lang w:eastAsia="en-US"/>
              </w:rPr>
              <w:t>1</w:t>
            </w:r>
            <w:r w:rsidRPr="00D53A2B">
              <w:rPr>
                <w:b/>
                <w:lang w:eastAsia="en-US"/>
              </w:rPr>
              <w:t>)(</w:t>
            </w:r>
            <w:r w:rsidRPr="00D53A2B">
              <w:rPr>
                <w:b/>
                <w:vertAlign w:val="superscript"/>
                <w:lang w:eastAsia="en-US"/>
              </w:rPr>
              <w:t>2</w:t>
            </w:r>
            <w:r w:rsidRPr="00D53A2B">
              <w:rPr>
                <w:b/>
                <w:lang w:eastAsia="en-US"/>
              </w:rPr>
              <w:t>)</w:t>
            </w:r>
          </w:p>
        </w:tc>
      </w:tr>
      <w:tr w:rsidR="00374C56" w:rsidRPr="00D53A2B" w14:paraId="7CD3EF13"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184C4C72" w14:textId="77777777" w:rsidR="00374C56" w:rsidRPr="00D53A2B" w:rsidRDefault="00374C56" w:rsidP="00A202FD">
            <w:pPr>
              <w:spacing w:line="264" w:lineRule="auto"/>
              <w:ind w:left="57" w:right="57"/>
              <w:jc w:val="both"/>
              <w:rPr>
                <w:lang w:eastAsia="en-US"/>
              </w:rPr>
            </w:pPr>
            <w:r w:rsidRPr="00D53A2B">
              <w:rPr>
                <w:lang w:eastAsia="en-US"/>
              </w:rPr>
              <w:t>Toz</w:t>
            </w:r>
          </w:p>
        </w:tc>
        <w:tc>
          <w:tcPr>
            <w:tcW w:w="6463" w:type="dxa"/>
            <w:tcBorders>
              <w:top w:val="single" w:sz="4" w:space="0" w:color="000000"/>
              <w:left w:val="single" w:sz="4" w:space="0" w:color="000000"/>
              <w:bottom w:val="single" w:sz="4" w:space="0" w:color="000000"/>
              <w:right w:val="single" w:sz="4" w:space="0" w:color="000000"/>
            </w:tcBorders>
          </w:tcPr>
          <w:p w14:paraId="421D65B7" w14:textId="77777777" w:rsidR="00374C56" w:rsidRPr="00D53A2B" w:rsidRDefault="00374C56" w:rsidP="00A202FD">
            <w:pPr>
              <w:spacing w:line="264" w:lineRule="auto"/>
              <w:ind w:left="57" w:right="57"/>
              <w:jc w:val="both"/>
              <w:rPr>
                <w:lang w:eastAsia="en-US"/>
              </w:rPr>
            </w:pPr>
            <w:r w:rsidRPr="00D53A2B">
              <w:rPr>
                <w:lang w:eastAsia="en-US"/>
              </w:rPr>
              <w:t>2–5</w:t>
            </w:r>
          </w:p>
        </w:tc>
      </w:tr>
      <w:tr w:rsidR="00374C56" w:rsidRPr="00D53A2B" w14:paraId="2554A9E6" w14:textId="77777777" w:rsidTr="00374C56">
        <w:tc>
          <w:tcPr>
            <w:tcW w:w="8561" w:type="dxa"/>
            <w:gridSpan w:val="2"/>
            <w:tcBorders>
              <w:top w:val="single" w:sz="4" w:space="0" w:color="000000"/>
              <w:left w:val="single" w:sz="4" w:space="0" w:color="000000"/>
              <w:bottom w:val="single" w:sz="4" w:space="0" w:color="000000"/>
              <w:right w:val="single" w:sz="4" w:space="0" w:color="000000"/>
            </w:tcBorders>
            <w:vAlign w:val="center"/>
          </w:tcPr>
          <w:p w14:paraId="6987A4AF" w14:textId="7E86A59D" w:rsidR="00374C56" w:rsidRPr="009077F5" w:rsidRDefault="00374C56" w:rsidP="00A202FD">
            <w:pPr>
              <w:jc w:val="both"/>
              <w:rPr>
                <w:bCs/>
                <w:spacing w:val="2"/>
                <w:sz w:val="20"/>
                <w:szCs w:val="20"/>
                <w:lang w:eastAsia="en-US"/>
              </w:rPr>
            </w:pPr>
            <w:r w:rsidRPr="009077F5">
              <w:rPr>
                <w:bCs/>
                <w:spacing w:val="2"/>
                <w:sz w:val="20"/>
                <w:szCs w:val="20"/>
                <w:lang w:eastAsia="en-US"/>
              </w:rPr>
              <w:t>(</w:t>
            </w:r>
            <w:r w:rsidRPr="009077F5">
              <w:rPr>
                <w:bCs/>
                <w:spacing w:val="2"/>
                <w:sz w:val="20"/>
                <w:szCs w:val="20"/>
                <w:vertAlign w:val="superscript"/>
                <w:lang w:eastAsia="en-US"/>
              </w:rPr>
              <w:t>1</w:t>
            </w:r>
            <w:r w:rsidRPr="009077F5">
              <w:rPr>
                <w:bCs/>
                <w:spacing w:val="2"/>
                <w:sz w:val="20"/>
                <w:szCs w:val="20"/>
                <w:lang w:eastAsia="en-US"/>
              </w:rPr>
              <w:t>) Örnekleme periyodu boyunca ortalama.</w:t>
            </w:r>
          </w:p>
          <w:p w14:paraId="13C5C649" w14:textId="01CF94B7" w:rsidR="00374C56" w:rsidRPr="009077F5" w:rsidRDefault="00374C56" w:rsidP="00A202FD">
            <w:pPr>
              <w:spacing w:line="264" w:lineRule="auto"/>
              <w:ind w:right="57"/>
              <w:jc w:val="both"/>
              <w:rPr>
                <w:sz w:val="20"/>
                <w:szCs w:val="20"/>
                <w:lang w:eastAsia="en-US"/>
              </w:rPr>
            </w:pPr>
            <w:r w:rsidRPr="009077F5">
              <w:rPr>
                <w:bCs/>
                <w:sz w:val="20"/>
                <w:szCs w:val="20"/>
                <w:lang w:eastAsia="en-US"/>
              </w:rPr>
              <w:t>(</w:t>
            </w:r>
            <w:r w:rsidRPr="009077F5">
              <w:rPr>
                <w:bCs/>
                <w:sz w:val="20"/>
                <w:szCs w:val="20"/>
                <w:vertAlign w:val="superscript"/>
                <w:lang w:eastAsia="en-US"/>
              </w:rPr>
              <w:t>2</w:t>
            </w:r>
            <w:r w:rsidRPr="009077F5">
              <w:rPr>
                <w:bCs/>
                <w:sz w:val="20"/>
                <w:szCs w:val="20"/>
                <w:lang w:eastAsia="en-US"/>
              </w:rPr>
              <w:t>) Toz emisyonu 1 kg/saat</w:t>
            </w:r>
            <w:r w:rsidR="00E56504" w:rsidRPr="009077F5">
              <w:rPr>
                <w:bCs/>
                <w:sz w:val="20"/>
                <w:szCs w:val="20"/>
                <w:lang w:eastAsia="en-US"/>
              </w:rPr>
              <w:t>’</w:t>
            </w:r>
            <w:r w:rsidRPr="009077F5">
              <w:rPr>
                <w:bCs/>
                <w:sz w:val="20"/>
                <w:szCs w:val="20"/>
                <w:lang w:eastAsia="en-US"/>
              </w:rPr>
              <w:t>in altında olan, sadece kirlenmemiş hammaddeyi kullanmak için tasarlanmış ve kullanan fırınlarda bir yıl boyunca elde edilen numunelerin ortalaması olarak aralığın üst sınırı 25 mg/Nm</w:t>
            </w:r>
            <w:r w:rsidRPr="009077F5">
              <w:rPr>
                <w:bCs/>
                <w:sz w:val="20"/>
                <w:szCs w:val="20"/>
                <w:vertAlign w:val="superscript"/>
                <w:lang w:eastAsia="en-US"/>
              </w:rPr>
              <w:t>3</w:t>
            </w:r>
            <w:r w:rsidR="00E56504" w:rsidRPr="009077F5">
              <w:rPr>
                <w:bCs/>
                <w:sz w:val="20"/>
                <w:szCs w:val="20"/>
                <w:lang w:eastAsia="en-US"/>
              </w:rPr>
              <w:t>’</w:t>
            </w:r>
            <w:r w:rsidRPr="009077F5">
              <w:rPr>
                <w:bCs/>
                <w:sz w:val="20"/>
                <w:szCs w:val="20"/>
                <w:lang w:eastAsia="en-US"/>
              </w:rPr>
              <w:t>tür.</w:t>
            </w:r>
          </w:p>
        </w:tc>
      </w:tr>
    </w:tbl>
    <w:p w14:paraId="3C06AC0E" w14:textId="77777777" w:rsidR="00374C56" w:rsidRPr="00D53A2B" w:rsidRDefault="00374C56" w:rsidP="00A202FD">
      <w:pPr>
        <w:jc w:val="both"/>
        <w:rPr>
          <w:lang w:eastAsia="en-US"/>
        </w:rPr>
      </w:pPr>
    </w:p>
    <w:p w14:paraId="4D57B675" w14:textId="02EC1EB8" w:rsidR="00C65C3A" w:rsidRPr="00D53A2B" w:rsidRDefault="00C65C3A" w:rsidP="00A202FD">
      <w:pPr>
        <w:jc w:val="both"/>
        <w:rPr>
          <w:lang w:eastAsia="en-US"/>
        </w:rPr>
      </w:pPr>
      <w:r w:rsidRPr="00D53A2B">
        <w:rPr>
          <w:lang w:eastAsia="en-US"/>
        </w:rPr>
        <w:t xml:space="preserve">İlgili izleme </w:t>
      </w:r>
      <w:r w:rsidR="00D50D71" w:rsidRPr="00D53A2B">
        <w:rPr>
          <w:lang w:eastAsia="en-US"/>
        </w:rPr>
        <w:t xml:space="preserve">MET </w:t>
      </w:r>
      <w:r w:rsidRPr="00D53A2B">
        <w:rPr>
          <w:lang w:eastAsia="en-US"/>
        </w:rPr>
        <w:t>10</w:t>
      </w:r>
      <w:r w:rsidR="00E56504" w:rsidRPr="00D53A2B">
        <w:rPr>
          <w:lang w:eastAsia="en-US"/>
        </w:rPr>
        <w:t>’</w:t>
      </w:r>
      <w:r w:rsidRPr="00D53A2B">
        <w:rPr>
          <w:lang w:eastAsia="en-US"/>
        </w:rPr>
        <w:t>da yer almaktadır.</w:t>
      </w:r>
    </w:p>
    <w:p w14:paraId="5C42911F" w14:textId="77777777" w:rsidR="00C65C3A" w:rsidRPr="00D53A2B" w:rsidRDefault="00C65C3A" w:rsidP="00A202FD">
      <w:pPr>
        <w:jc w:val="both"/>
        <w:rPr>
          <w:lang w:eastAsia="en-US"/>
        </w:rPr>
      </w:pPr>
    </w:p>
    <w:p w14:paraId="08283E44" w14:textId="4598E13F" w:rsidR="00374C56" w:rsidRPr="00D53A2B" w:rsidRDefault="00C65C3A" w:rsidP="00A202FD">
      <w:pPr>
        <w:pStyle w:val="Balk5"/>
        <w:ind w:left="1134" w:hanging="1134"/>
        <w:rPr>
          <w:szCs w:val="24"/>
        </w:rPr>
      </w:pPr>
      <w:r w:rsidRPr="00D53A2B">
        <w:rPr>
          <w:bCs/>
          <w:szCs w:val="24"/>
        </w:rPr>
        <w:t>1.</w:t>
      </w:r>
      <w:r w:rsidR="00374C56" w:rsidRPr="00D53A2B">
        <w:rPr>
          <w:bCs/>
          <w:szCs w:val="24"/>
        </w:rPr>
        <w:t>3.4.3.3</w:t>
      </w:r>
      <w:r w:rsidRPr="00D53A2B">
        <w:rPr>
          <w:bCs/>
          <w:szCs w:val="24"/>
        </w:rPr>
        <w:t>.</w:t>
      </w:r>
      <w:r w:rsidR="00374C56" w:rsidRPr="00D53A2B">
        <w:rPr>
          <w:bCs/>
          <w:szCs w:val="24"/>
        </w:rPr>
        <w:t xml:space="preserve"> </w:t>
      </w:r>
      <w:r w:rsidR="00374C56" w:rsidRPr="00D53A2B">
        <w:rPr>
          <w:szCs w:val="24"/>
        </w:rPr>
        <w:t>Organik bileşik emisyonları</w:t>
      </w:r>
    </w:p>
    <w:p w14:paraId="0AE97798" w14:textId="74C75F05" w:rsidR="00374C56" w:rsidRPr="00D53A2B" w:rsidRDefault="00921606" w:rsidP="00A202FD">
      <w:pPr>
        <w:pStyle w:val="MET"/>
        <w:rPr>
          <w:szCs w:val="24"/>
        </w:rPr>
      </w:pPr>
      <w:r w:rsidRPr="00D53A2B">
        <w:rPr>
          <w:szCs w:val="24"/>
        </w:rPr>
        <w:t>MET 83:</w:t>
      </w:r>
      <w:r w:rsidR="00BE6A03" w:rsidRPr="00D53A2B">
        <w:rPr>
          <w:szCs w:val="24"/>
        </w:rPr>
        <w:t xml:space="preserve"> </w:t>
      </w:r>
      <w:r w:rsidR="00374C56" w:rsidRPr="00D53A2B">
        <w:rPr>
          <w:b w:val="0"/>
          <w:bCs/>
          <w:szCs w:val="24"/>
        </w:rPr>
        <w:t xml:space="preserve">Kontamine olmuş </w:t>
      </w:r>
      <w:r w:rsidR="00BE6A03" w:rsidRPr="00D53A2B">
        <w:rPr>
          <w:b w:val="0"/>
          <w:bCs/>
          <w:szCs w:val="24"/>
        </w:rPr>
        <w:t>hammaddelerin (örneğin talaş) ve eritme fırınının ısıl işleminden kaynaklanan havaya organik bileşiklerin ve PCDD/F</w:t>
      </w:r>
      <w:r w:rsidR="00E56504" w:rsidRPr="00D53A2B">
        <w:rPr>
          <w:b w:val="0"/>
          <w:bCs/>
          <w:szCs w:val="24"/>
        </w:rPr>
        <w:t>’</w:t>
      </w:r>
      <w:r w:rsidR="00BE6A03" w:rsidRPr="00D53A2B">
        <w:rPr>
          <w:b w:val="0"/>
          <w:bCs/>
          <w:szCs w:val="24"/>
        </w:rPr>
        <w:t>nin emisyonlarını azaltmak için aşağıda verilen tekniklerden en az biriyle birlikte bir torba filtre</w:t>
      </w:r>
      <w:r w:rsidR="00D50D71" w:rsidRPr="00D53A2B">
        <w:rPr>
          <w:b w:val="0"/>
          <w:bCs/>
          <w:szCs w:val="24"/>
        </w:rPr>
        <w:t xml:space="preserve"> kullanılabilir</w:t>
      </w:r>
      <w:r w:rsidR="00BE6A03" w:rsidRPr="00D53A2B">
        <w:rPr>
          <w:b w:val="0"/>
          <w:bCs/>
          <w:szCs w:val="24"/>
        </w:rPr>
        <w:t>.</w:t>
      </w:r>
    </w:p>
    <w:tbl>
      <w:tblPr>
        <w:tblW w:w="8721" w:type="dxa"/>
        <w:tblLayout w:type="fixed"/>
        <w:tblCellMar>
          <w:left w:w="0" w:type="dxa"/>
          <w:right w:w="0" w:type="dxa"/>
        </w:tblCellMar>
        <w:tblLook w:val="01E0" w:firstRow="1" w:lastRow="1" w:firstColumn="1" w:lastColumn="1" w:noHBand="0" w:noVBand="0"/>
      </w:tblPr>
      <w:tblGrid>
        <w:gridCol w:w="521"/>
        <w:gridCol w:w="8200"/>
      </w:tblGrid>
      <w:tr w:rsidR="00374C56" w:rsidRPr="00D53A2B" w14:paraId="61F652CB"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399DC13C" w14:textId="77777777" w:rsidR="00374C56" w:rsidRPr="00D53A2B" w:rsidRDefault="00374C56" w:rsidP="00A202FD">
            <w:pPr>
              <w:spacing w:line="264" w:lineRule="auto"/>
              <w:ind w:left="57" w:right="57"/>
              <w:jc w:val="both"/>
              <w:rPr>
                <w:sz w:val="22"/>
                <w:szCs w:val="22"/>
                <w:lang w:eastAsia="en-US"/>
              </w:rPr>
            </w:pPr>
          </w:p>
        </w:tc>
        <w:tc>
          <w:tcPr>
            <w:tcW w:w="8200" w:type="dxa"/>
            <w:tcBorders>
              <w:top w:val="single" w:sz="4" w:space="0" w:color="000000"/>
              <w:left w:val="single" w:sz="4" w:space="0" w:color="000000"/>
              <w:bottom w:val="single" w:sz="4" w:space="0" w:color="000000"/>
              <w:right w:val="single" w:sz="4" w:space="0" w:color="000000"/>
            </w:tcBorders>
            <w:vAlign w:val="center"/>
          </w:tcPr>
          <w:p w14:paraId="740AEB6B"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 xml:space="preserve">Teknik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32928C47"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41D3176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200" w:type="dxa"/>
            <w:tcBorders>
              <w:top w:val="single" w:sz="4" w:space="0" w:color="000000"/>
              <w:left w:val="single" w:sz="4" w:space="0" w:color="000000"/>
              <w:bottom w:val="single" w:sz="4" w:space="0" w:color="000000"/>
              <w:right w:val="single" w:sz="4" w:space="0" w:color="000000"/>
            </w:tcBorders>
          </w:tcPr>
          <w:p w14:paraId="5A34B1B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Hammaddenin fırın tipine ve kullanılan gaz azaltma tekniklerine göre seçilmesi ve beslenmesi</w:t>
            </w:r>
          </w:p>
        </w:tc>
      </w:tr>
      <w:tr w:rsidR="00374C56" w:rsidRPr="00D53A2B" w14:paraId="64B2B924"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3B1C4E9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200" w:type="dxa"/>
            <w:tcBorders>
              <w:top w:val="single" w:sz="4" w:space="0" w:color="000000"/>
              <w:left w:val="single" w:sz="4" w:space="0" w:color="000000"/>
              <w:bottom w:val="single" w:sz="4" w:space="0" w:color="000000"/>
              <w:right w:val="single" w:sz="4" w:space="0" w:color="000000"/>
            </w:tcBorders>
          </w:tcPr>
          <w:p w14:paraId="4800E08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Eritme fırınında bir iç brülör sisteminin tesis edilmesi</w:t>
            </w:r>
          </w:p>
        </w:tc>
      </w:tr>
      <w:tr w:rsidR="00374C56" w:rsidRPr="00D53A2B" w14:paraId="63D17CBC"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37757DF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200" w:type="dxa"/>
            <w:tcBorders>
              <w:top w:val="single" w:sz="4" w:space="0" w:color="000000"/>
              <w:left w:val="single" w:sz="4" w:space="0" w:color="000000"/>
              <w:bottom w:val="single" w:sz="4" w:space="0" w:color="000000"/>
              <w:right w:val="single" w:sz="4" w:space="0" w:color="000000"/>
            </w:tcBorders>
          </w:tcPr>
          <w:p w14:paraId="316DFEB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Art yakıcı</w:t>
            </w:r>
          </w:p>
        </w:tc>
      </w:tr>
      <w:tr w:rsidR="00374C56" w:rsidRPr="00D53A2B" w14:paraId="5079DF1A"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76AB125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8200" w:type="dxa"/>
            <w:tcBorders>
              <w:top w:val="single" w:sz="4" w:space="0" w:color="000000"/>
              <w:left w:val="single" w:sz="4" w:space="0" w:color="000000"/>
              <w:bottom w:val="single" w:sz="4" w:space="0" w:color="000000"/>
              <w:right w:val="single" w:sz="4" w:space="0" w:color="000000"/>
            </w:tcBorders>
          </w:tcPr>
          <w:p w14:paraId="1BEC3A0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Hızlı suverme</w:t>
            </w:r>
          </w:p>
        </w:tc>
      </w:tr>
      <w:tr w:rsidR="00374C56" w:rsidRPr="00D53A2B" w14:paraId="6E568C67"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6E70BEC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8200" w:type="dxa"/>
            <w:tcBorders>
              <w:top w:val="single" w:sz="4" w:space="0" w:color="000000"/>
              <w:left w:val="single" w:sz="4" w:space="0" w:color="000000"/>
              <w:bottom w:val="single" w:sz="4" w:space="0" w:color="000000"/>
              <w:right w:val="single" w:sz="4" w:space="0" w:color="000000"/>
            </w:tcBorders>
          </w:tcPr>
          <w:p w14:paraId="7653224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Aktif karbon enjeksiyonu</w:t>
            </w:r>
          </w:p>
        </w:tc>
      </w:tr>
      <w:tr w:rsidR="00374C56" w:rsidRPr="00D53A2B" w14:paraId="24F00ACA" w14:textId="77777777" w:rsidTr="00374C56">
        <w:tc>
          <w:tcPr>
            <w:tcW w:w="8721" w:type="dxa"/>
            <w:gridSpan w:val="2"/>
            <w:tcBorders>
              <w:top w:val="single" w:sz="4" w:space="0" w:color="000000"/>
              <w:left w:val="single" w:sz="4" w:space="0" w:color="000000"/>
              <w:bottom w:val="single" w:sz="4" w:space="0" w:color="000000"/>
              <w:right w:val="single" w:sz="4" w:space="0" w:color="000000"/>
            </w:tcBorders>
            <w:vAlign w:val="center"/>
          </w:tcPr>
          <w:p w14:paraId="09553572" w14:textId="381CD7E6" w:rsidR="00374C56" w:rsidRPr="009077F5" w:rsidRDefault="00374C56" w:rsidP="00A202FD">
            <w:pPr>
              <w:spacing w:line="264" w:lineRule="auto"/>
              <w:ind w:left="57" w:right="57"/>
              <w:jc w:val="both"/>
              <w:rPr>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 Tekniklerin açıklamaları Bölüm 1.10</w:t>
            </w:r>
            <w:r w:rsidR="00E56504" w:rsidRPr="009077F5">
              <w:rPr>
                <w:bCs/>
                <w:sz w:val="20"/>
                <w:szCs w:val="20"/>
                <w:lang w:eastAsia="en-US"/>
              </w:rPr>
              <w:t>’</w:t>
            </w:r>
            <w:r w:rsidRPr="009077F5">
              <w:rPr>
                <w:bCs/>
                <w:sz w:val="20"/>
                <w:szCs w:val="20"/>
                <w:lang w:eastAsia="en-US"/>
              </w:rPr>
              <w:t>da verilmiştir</w:t>
            </w:r>
            <w:r w:rsidRPr="009077F5">
              <w:rPr>
                <w:sz w:val="20"/>
                <w:szCs w:val="20"/>
                <w:lang w:eastAsia="en-US"/>
              </w:rPr>
              <w:t>.</w:t>
            </w:r>
          </w:p>
        </w:tc>
      </w:tr>
    </w:tbl>
    <w:p w14:paraId="27DABFF3" w14:textId="77777777" w:rsidR="00374C56" w:rsidRPr="00D53A2B" w:rsidRDefault="00374C56" w:rsidP="00A202FD">
      <w:pPr>
        <w:jc w:val="both"/>
        <w:rPr>
          <w:lang w:eastAsia="en-US"/>
        </w:rPr>
      </w:pPr>
    </w:p>
    <w:p w14:paraId="0E029B95"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18.</w:t>
      </w:r>
    </w:p>
    <w:p w14:paraId="5A1C4B09" w14:textId="77777777" w:rsidR="001023C7" w:rsidRPr="00D53A2B" w:rsidRDefault="00374C56" w:rsidP="00A202FD">
      <w:pPr>
        <w:jc w:val="both"/>
        <w:rPr>
          <w:lang w:eastAsia="en-US"/>
        </w:rPr>
      </w:pPr>
      <w:bookmarkStart w:id="86" w:name="_Toc531927959"/>
      <w:r w:rsidRPr="00D53A2B">
        <w:rPr>
          <w:lang w:eastAsia="en-US"/>
        </w:rPr>
        <w:t xml:space="preserve">Tablo </w:t>
      </w:r>
      <w:r w:rsidRPr="00D53A2B">
        <w:rPr>
          <w:noProof/>
          <w:lang w:eastAsia="en-US"/>
        </w:rPr>
        <w:t>18</w:t>
      </w:r>
    </w:p>
    <w:p w14:paraId="15174F7D" w14:textId="77DC50FF" w:rsidR="00374C56" w:rsidRPr="00D53A2B" w:rsidRDefault="00374C56" w:rsidP="00A202FD">
      <w:pPr>
        <w:jc w:val="both"/>
        <w:rPr>
          <w:lang w:eastAsia="en-US"/>
        </w:rPr>
      </w:pPr>
      <w:r w:rsidRPr="00D53A2B">
        <w:rPr>
          <w:lang w:eastAsia="en-US"/>
        </w:rPr>
        <w:t xml:space="preserve">Kontamine </w:t>
      </w:r>
      <w:bookmarkEnd w:id="86"/>
      <w:r w:rsidR="002E1276" w:rsidRPr="00D53A2B">
        <w:rPr>
          <w:lang w:eastAsia="en-US"/>
        </w:rPr>
        <w:t>olmuş ikincil hammaddelerin (örneğin talaş) ısıl işleminden ve eritme fırınından kaynaklanan TVOC ve PCDD/F</w:t>
      </w:r>
      <w:r w:rsidR="00E56504" w:rsidRPr="00D53A2B">
        <w:rPr>
          <w:lang w:eastAsia="en-US"/>
        </w:rPr>
        <w:t>’</w:t>
      </w:r>
      <w:r w:rsidR="002E1276" w:rsidRPr="00D53A2B">
        <w:rPr>
          <w:lang w:eastAsia="en-US"/>
        </w:rPr>
        <w:t xml:space="preserve">nin havaya emisyonları için </w:t>
      </w:r>
      <w:r w:rsidR="00D50D71" w:rsidRPr="00D53A2B">
        <w:rPr>
          <w:lang w:eastAsia="en-US"/>
        </w:rPr>
        <w:t>MET</w:t>
      </w:r>
      <w:r w:rsidR="002E1276" w:rsidRPr="00D53A2B">
        <w:rPr>
          <w:lang w:eastAsia="en-US"/>
        </w:rPr>
        <w:t xml:space="preserve"> ile ilişkili emisyon seviyeleri.</w:t>
      </w:r>
    </w:p>
    <w:tbl>
      <w:tblPr>
        <w:tblW w:w="0" w:type="auto"/>
        <w:tblLayout w:type="fixed"/>
        <w:tblCellMar>
          <w:left w:w="0" w:type="dxa"/>
          <w:right w:w="0" w:type="dxa"/>
        </w:tblCellMar>
        <w:tblLook w:val="01E0" w:firstRow="1" w:lastRow="1" w:firstColumn="1" w:lastColumn="1" w:noHBand="0" w:noVBand="0"/>
      </w:tblPr>
      <w:tblGrid>
        <w:gridCol w:w="2098"/>
        <w:gridCol w:w="3231"/>
        <w:gridCol w:w="3232"/>
      </w:tblGrid>
      <w:tr w:rsidR="00374C56" w:rsidRPr="00D53A2B" w14:paraId="6F6A742F"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3A513644"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3231" w:type="dxa"/>
            <w:tcBorders>
              <w:top w:val="single" w:sz="4" w:space="0" w:color="000000"/>
              <w:left w:val="single" w:sz="4" w:space="0" w:color="000000"/>
              <w:bottom w:val="single" w:sz="4" w:space="0" w:color="000000"/>
              <w:right w:val="single" w:sz="4" w:space="0" w:color="000000"/>
            </w:tcBorders>
            <w:vAlign w:val="center"/>
          </w:tcPr>
          <w:p w14:paraId="589BAFF5" w14:textId="77777777" w:rsidR="00374C56" w:rsidRPr="00D53A2B" w:rsidRDefault="00374C56" w:rsidP="00A202FD">
            <w:pPr>
              <w:spacing w:line="264" w:lineRule="auto"/>
              <w:ind w:left="57" w:right="57"/>
              <w:jc w:val="both"/>
              <w:rPr>
                <w:lang w:eastAsia="en-US"/>
              </w:rPr>
            </w:pPr>
            <w:r w:rsidRPr="00D53A2B">
              <w:rPr>
                <w:b/>
                <w:bCs/>
                <w:lang w:eastAsia="en-US"/>
              </w:rPr>
              <w:t>Birim</w:t>
            </w:r>
          </w:p>
        </w:tc>
        <w:tc>
          <w:tcPr>
            <w:tcW w:w="3232" w:type="dxa"/>
            <w:tcBorders>
              <w:top w:val="single" w:sz="4" w:space="0" w:color="000000"/>
              <w:left w:val="single" w:sz="4" w:space="0" w:color="000000"/>
              <w:bottom w:val="single" w:sz="4" w:space="0" w:color="000000"/>
              <w:right w:val="single" w:sz="4" w:space="0" w:color="000000"/>
            </w:tcBorders>
            <w:vAlign w:val="center"/>
          </w:tcPr>
          <w:p w14:paraId="67BA415D" w14:textId="77777777" w:rsidR="00374C56" w:rsidRPr="00D53A2B" w:rsidRDefault="00374C56" w:rsidP="00A202FD">
            <w:pPr>
              <w:spacing w:line="264" w:lineRule="auto"/>
              <w:ind w:left="57" w:right="57"/>
              <w:jc w:val="both"/>
              <w:rPr>
                <w:lang w:eastAsia="en-US"/>
              </w:rPr>
            </w:pPr>
            <w:r w:rsidRPr="00D53A2B">
              <w:rPr>
                <w:b/>
                <w:bCs/>
                <w:lang w:eastAsia="en-US"/>
              </w:rPr>
              <w:t>MET-İES</w:t>
            </w:r>
          </w:p>
        </w:tc>
      </w:tr>
      <w:tr w:rsidR="00374C56" w:rsidRPr="00D53A2B" w14:paraId="277B2701" w14:textId="77777777" w:rsidTr="00374C56">
        <w:tc>
          <w:tcPr>
            <w:tcW w:w="2098" w:type="dxa"/>
            <w:tcBorders>
              <w:top w:val="single" w:sz="4" w:space="0" w:color="000000"/>
              <w:left w:val="single" w:sz="4" w:space="0" w:color="000000"/>
              <w:bottom w:val="single" w:sz="4" w:space="0" w:color="000000"/>
              <w:right w:val="single" w:sz="4" w:space="0" w:color="000000"/>
            </w:tcBorders>
          </w:tcPr>
          <w:p w14:paraId="61F82263" w14:textId="77777777" w:rsidR="00374C56" w:rsidRPr="00D53A2B" w:rsidRDefault="00374C56" w:rsidP="00A202FD">
            <w:pPr>
              <w:spacing w:line="264" w:lineRule="auto"/>
              <w:ind w:left="57" w:right="57"/>
              <w:jc w:val="both"/>
              <w:rPr>
                <w:lang w:eastAsia="en-US"/>
              </w:rPr>
            </w:pPr>
            <w:r w:rsidRPr="00D53A2B">
              <w:rPr>
                <w:lang w:eastAsia="en-US"/>
              </w:rPr>
              <w:t>TVOC</w:t>
            </w:r>
          </w:p>
        </w:tc>
        <w:tc>
          <w:tcPr>
            <w:tcW w:w="3231" w:type="dxa"/>
            <w:tcBorders>
              <w:top w:val="single" w:sz="4" w:space="0" w:color="000000"/>
              <w:left w:val="single" w:sz="4" w:space="0" w:color="000000"/>
              <w:bottom w:val="single" w:sz="4" w:space="0" w:color="000000"/>
              <w:right w:val="single" w:sz="4" w:space="0" w:color="000000"/>
            </w:tcBorders>
          </w:tcPr>
          <w:p w14:paraId="074C1ECA" w14:textId="77777777" w:rsidR="00374C56" w:rsidRPr="00D53A2B" w:rsidRDefault="00374C56" w:rsidP="00A202FD">
            <w:pPr>
              <w:spacing w:line="264" w:lineRule="auto"/>
              <w:ind w:left="57" w:right="57"/>
              <w:jc w:val="both"/>
              <w:rPr>
                <w:lang w:eastAsia="en-US"/>
              </w:rPr>
            </w:pPr>
            <w:r w:rsidRPr="00D53A2B">
              <w:rPr>
                <w:lang w:eastAsia="en-US"/>
              </w:rPr>
              <w:t>mg/Nm</w:t>
            </w:r>
            <w:r w:rsidRPr="00D53A2B">
              <w:rPr>
                <w:vertAlign w:val="superscript"/>
                <w:lang w:eastAsia="en-US"/>
              </w:rPr>
              <w:t>3</w:t>
            </w:r>
          </w:p>
        </w:tc>
        <w:tc>
          <w:tcPr>
            <w:tcW w:w="3232" w:type="dxa"/>
            <w:tcBorders>
              <w:top w:val="single" w:sz="4" w:space="0" w:color="000000"/>
              <w:left w:val="single" w:sz="4" w:space="0" w:color="000000"/>
              <w:bottom w:val="single" w:sz="4" w:space="0" w:color="000000"/>
              <w:right w:val="single" w:sz="4" w:space="0" w:color="000000"/>
            </w:tcBorders>
          </w:tcPr>
          <w:p w14:paraId="0E45D14D" w14:textId="77777777" w:rsidR="00374C56" w:rsidRPr="00D53A2B" w:rsidRDefault="00374C56" w:rsidP="00A202FD">
            <w:pPr>
              <w:spacing w:line="264" w:lineRule="auto"/>
              <w:ind w:left="57" w:right="57"/>
              <w:jc w:val="both"/>
              <w:rPr>
                <w:lang w:eastAsia="en-US"/>
              </w:rPr>
            </w:pPr>
            <w:r w:rsidRPr="00D53A2B">
              <w:rPr>
                <w:lang w:eastAsia="en-US"/>
              </w:rPr>
              <w:t>≤ 10–30</w:t>
            </w:r>
            <w:r w:rsidRPr="00D53A2B">
              <w:rPr>
                <w:b/>
                <w:lang w:eastAsia="en-US"/>
              </w:rPr>
              <w:t xml:space="preserve"> (</w:t>
            </w:r>
            <w:r w:rsidRPr="00D53A2B">
              <w:rPr>
                <w:b/>
                <w:vertAlign w:val="superscript"/>
                <w:lang w:eastAsia="en-US"/>
              </w:rPr>
              <w:t>1</w:t>
            </w:r>
            <w:r w:rsidRPr="00D53A2B">
              <w:rPr>
                <w:b/>
                <w:lang w:eastAsia="en-US"/>
              </w:rPr>
              <w:t>)</w:t>
            </w:r>
          </w:p>
        </w:tc>
      </w:tr>
      <w:tr w:rsidR="00374C56" w:rsidRPr="00D53A2B" w14:paraId="08EF889D" w14:textId="77777777" w:rsidTr="00374C56">
        <w:tc>
          <w:tcPr>
            <w:tcW w:w="2098" w:type="dxa"/>
            <w:tcBorders>
              <w:top w:val="single" w:sz="4" w:space="0" w:color="000000"/>
              <w:left w:val="single" w:sz="4" w:space="0" w:color="000000"/>
              <w:bottom w:val="single" w:sz="4" w:space="0" w:color="000000"/>
              <w:right w:val="single" w:sz="4" w:space="0" w:color="000000"/>
            </w:tcBorders>
          </w:tcPr>
          <w:p w14:paraId="3A941566" w14:textId="77777777" w:rsidR="00374C56" w:rsidRPr="00D53A2B" w:rsidRDefault="00374C56" w:rsidP="00A202FD">
            <w:pPr>
              <w:spacing w:line="264" w:lineRule="auto"/>
              <w:ind w:left="57" w:right="57"/>
              <w:jc w:val="both"/>
              <w:rPr>
                <w:lang w:eastAsia="en-US"/>
              </w:rPr>
            </w:pPr>
            <w:r w:rsidRPr="00D53A2B">
              <w:rPr>
                <w:lang w:eastAsia="en-US"/>
              </w:rPr>
              <w:t>PCDD/F</w:t>
            </w:r>
          </w:p>
        </w:tc>
        <w:tc>
          <w:tcPr>
            <w:tcW w:w="3231" w:type="dxa"/>
            <w:tcBorders>
              <w:top w:val="single" w:sz="4" w:space="0" w:color="000000"/>
              <w:left w:val="single" w:sz="4" w:space="0" w:color="000000"/>
              <w:bottom w:val="single" w:sz="4" w:space="0" w:color="000000"/>
              <w:right w:val="single" w:sz="4" w:space="0" w:color="000000"/>
            </w:tcBorders>
          </w:tcPr>
          <w:p w14:paraId="5E05C132" w14:textId="77777777" w:rsidR="00374C56" w:rsidRPr="00D53A2B" w:rsidRDefault="00374C56" w:rsidP="00A202FD">
            <w:pPr>
              <w:spacing w:line="264" w:lineRule="auto"/>
              <w:ind w:left="57" w:right="57"/>
              <w:jc w:val="both"/>
              <w:rPr>
                <w:lang w:eastAsia="en-US"/>
              </w:rPr>
            </w:pPr>
            <w:r w:rsidRPr="00D53A2B">
              <w:rPr>
                <w:lang w:eastAsia="en-US"/>
              </w:rPr>
              <w:t>ng I-TEQ/Nm</w:t>
            </w:r>
            <w:r w:rsidRPr="00D53A2B">
              <w:rPr>
                <w:vertAlign w:val="superscript"/>
                <w:lang w:eastAsia="en-US"/>
              </w:rPr>
              <w:t>3</w:t>
            </w:r>
          </w:p>
        </w:tc>
        <w:tc>
          <w:tcPr>
            <w:tcW w:w="3232" w:type="dxa"/>
            <w:tcBorders>
              <w:top w:val="single" w:sz="4" w:space="0" w:color="000000"/>
              <w:left w:val="single" w:sz="4" w:space="0" w:color="000000"/>
              <w:bottom w:val="single" w:sz="4" w:space="0" w:color="000000"/>
              <w:right w:val="single" w:sz="4" w:space="0" w:color="000000"/>
            </w:tcBorders>
          </w:tcPr>
          <w:p w14:paraId="1DD17E85" w14:textId="12A7BB2D" w:rsidR="00374C56" w:rsidRPr="00D53A2B" w:rsidRDefault="00374C56" w:rsidP="00A202FD">
            <w:pPr>
              <w:spacing w:line="264" w:lineRule="auto"/>
              <w:ind w:left="57" w:right="57"/>
              <w:jc w:val="both"/>
              <w:rPr>
                <w:lang w:eastAsia="en-US"/>
              </w:rPr>
            </w:pPr>
            <w:r w:rsidRPr="00D53A2B">
              <w:rPr>
                <w:lang w:eastAsia="en-US"/>
              </w:rPr>
              <w:t>≤ 0</w:t>
            </w:r>
            <w:r w:rsidR="002E1276" w:rsidRPr="00D53A2B">
              <w:rPr>
                <w:lang w:eastAsia="en-US"/>
              </w:rPr>
              <w:t>,</w:t>
            </w:r>
            <w:r w:rsidRPr="00D53A2B">
              <w:rPr>
                <w:lang w:eastAsia="en-US"/>
              </w:rPr>
              <w:t xml:space="preserve">1 </w:t>
            </w:r>
            <w:r w:rsidRPr="00D53A2B">
              <w:rPr>
                <w:b/>
                <w:lang w:eastAsia="en-US"/>
              </w:rPr>
              <w:t>(</w:t>
            </w:r>
            <w:r w:rsidRPr="00D53A2B">
              <w:rPr>
                <w:b/>
                <w:vertAlign w:val="superscript"/>
                <w:lang w:eastAsia="en-US"/>
              </w:rPr>
              <w:t>2</w:t>
            </w:r>
            <w:r w:rsidRPr="00D53A2B">
              <w:rPr>
                <w:b/>
                <w:lang w:eastAsia="en-US"/>
              </w:rPr>
              <w:t>)</w:t>
            </w:r>
          </w:p>
        </w:tc>
      </w:tr>
      <w:tr w:rsidR="00374C56" w:rsidRPr="00D53A2B" w14:paraId="40D31360" w14:textId="77777777" w:rsidTr="00374C56">
        <w:tc>
          <w:tcPr>
            <w:tcW w:w="8561" w:type="dxa"/>
            <w:gridSpan w:val="3"/>
            <w:tcBorders>
              <w:top w:val="single" w:sz="4" w:space="0" w:color="000000"/>
              <w:left w:val="single" w:sz="4" w:space="0" w:color="000000"/>
              <w:bottom w:val="single" w:sz="4" w:space="0" w:color="000000"/>
              <w:right w:val="single" w:sz="4" w:space="0" w:color="000000"/>
            </w:tcBorders>
            <w:vAlign w:val="center"/>
          </w:tcPr>
          <w:p w14:paraId="6858AFC5" w14:textId="7C03C5B5" w:rsidR="00374C56" w:rsidRPr="009077F5" w:rsidRDefault="00374C56" w:rsidP="00A202FD">
            <w:pPr>
              <w:jc w:val="both"/>
              <w:rPr>
                <w:bCs/>
                <w:spacing w:val="2"/>
                <w:sz w:val="20"/>
                <w:szCs w:val="20"/>
                <w:lang w:eastAsia="en-US"/>
              </w:rPr>
            </w:pPr>
            <w:r w:rsidRPr="009077F5">
              <w:rPr>
                <w:bCs/>
                <w:spacing w:val="2"/>
                <w:sz w:val="20"/>
                <w:szCs w:val="20"/>
                <w:lang w:eastAsia="en-US"/>
              </w:rPr>
              <w:t>(</w:t>
            </w:r>
            <w:r w:rsidRPr="009077F5">
              <w:rPr>
                <w:bCs/>
                <w:spacing w:val="2"/>
                <w:sz w:val="20"/>
                <w:szCs w:val="20"/>
                <w:vertAlign w:val="superscript"/>
                <w:lang w:eastAsia="en-US"/>
              </w:rPr>
              <w:t>1</w:t>
            </w:r>
            <w:r w:rsidRPr="009077F5">
              <w:rPr>
                <w:bCs/>
                <w:spacing w:val="2"/>
                <w:sz w:val="20"/>
                <w:szCs w:val="20"/>
                <w:lang w:eastAsia="en-US"/>
              </w:rPr>
              <w:t xml:space="preserve">) Günlük ortalama ya da </w:t>
            </w:r>
            <w:r w:rsidR="007847FF" w:rsidRPr="009077F5">
              <w:rPr>
                <w:rStyle w:val="Gvdemetni3a"/>
                <w:sz w:val="20"/>
                <w:szCs w:val="20"/>
              </w:rPr>
              <w:t xml:space="preserve">numune alma </w:t>
            </w:r>
            <w:r w:rsidRPr="009077F5">
              <w:rPr>
                <w:bCs/>
                <w:spacing w:val="2"/>
                <w:sz w:val="20"/>
                <w:szCs w:val="20"/>
                <w:lang w:eastAsia="en-US"/>
              </w:rPr>
              <w:t>periyodu boyunca ortalama.</w:t>
            </w:r>
          </w:p>
          <w:p w14:paraId="2D5C165F" w14:textId="332C4959" w:rsidR="00374C56" w:rsidRPr="00D53A2B" w:rsidRDefault="00374C56" w:rsidP="00A202FD">
            <w:pPr>
              <w:spacing w:line="264" w:lineRule="auto"/>
              <w:ind w:right="57"/>
              <w:jc w:val="both"/>
              <w:rPr>
                <w:lang w:eastAsia="en-US"/>
              </w:rPr>
            </w:pPr>
            <w:r w:rsidRPr="009077F5">
              <w:rPr>
                <w:bCs/>
                <w:sz w:val="20"/>
                <w:szCs w:val="20"/>
                <w:lang w:eastAsia="en-US"/>
              </w:rPr>
              <w:t>(</w:t>
            </w:r>
            <w:r w:rsidRPr="009077F5">
              <w:rPr>
                <w:bCs/>
                <w:sz w:val="20"/>
                <w:szCs w:val="20"/>
                <w:vertAlign w:val="superscript"/>
                <w:lang w:eastAsia="en-US"/>
              </w:rPr>
              <w:t>2</w:t>
            </w:r>
            <w:r w:rsidRPr="009077F5">
              <w:rPr>
                <w:bCs/>
                <w:sz w:val="20"/>
                <w:szCs w:val="20"/>
                <w:lang w:eastAsia="en-US"/>
              </w:rPr>
              <w:t>) En az altı saat boyunca yapılan ölçümlerin ortalaması</w:t>
            </w:r>
          </w:p>
        </w:tc>
      </w:tr>
    </w:tbl>
    <w:p w14:paraId="5E0B7936" w14:textId="77777777" w:rsidR="00D50D71" w:rsidRPr="00D53A2B" w:rsidRDefault="00D50D71" w:rsidP="00A202FD">
      <w:pPr>
        <w:jc w:val="both"/>
        <w:rPr>
          <w:lang w:eastAsia="en-US"/>
        </w:rPr>
      </w:pPr>
    </w:p>
    <w:p w14:paraId="2965B007" w14:textId="0E95DC40" w:rsidR="00D50D71" w:rsidRPr="00D53A2B" w:rsidRDefault="00D50D71"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3D892E27" w14:textId="77777777" w:rsidR="002E1276" w:rsidRPr="00D53A2B" w:rsidRDefault="002E1276" w:rsidP="00A202FD">
      <w:pPr>
        <w:jc w:val="both"/>
        <w:rPr>
          <w:lang w:eastAsia="en-US"/>
        </w:rPr>
      </w:pPr>
    </w:p>
    <w:p w14:paraId="5580DEB9" w14:textId="27985D60" w:rsidR="00374C56" w:rsidRPr="00D53A2B" w:rsidRDefault="002E1276" w:rsidP="00A202FD">
      <w:pPr>
        <w:pStyle w:val="Balk5"/>
        <w:ind w:left="1134" w:hanging="1134"/>
        <w:rPr>
          <w:szCs w:val="24"/>
        </w:rPr>
      </w:pPr>
      <w:r w:rsidRPr="00D53A2B">
        <w:rPr>
          <w:bCs/>
          <w:szCs w:val="24"/>
        </w:rPr>
        <w:t>1.</w:t>
      </w:r>
      <w:r w:rsidR="00374C56" w:rsidRPr="00D53A2B">
        <w:rPr>
          <w:bCs/>
          <w:szCs w:val="24"/>
        </w:rPr>
        <w:t>3.4.3.4</w:t>
      </w:r>
      <w:r w:rsidRPr="00D53A2B">
        <w:rPr>
          <w:bCs/>
          <w:szCs w:val="24"/>
        </w:rPr>
        <w:t>.</w:t>
      </w:r>
      <w:r w:rsidR="00374C56" w:rsidRPr="00D53A2B">
        <w:rPr>
          <w:bCs/>
          <w:szCs w:val="24"/>
        </w:rPr>
        <w:t xml:space="preserve"> </w:t>
      </w:r>
      <w:r w:rsidR="00374C56" w:rsidRPr="00D53A2B">
        <w:rPr>
          <w:szCs w:val="24"/>
        </w:rPr>
        <w:t>Asit emisyonları</w:t>
      </w:r>
    </w:p>
    <w:p w14:paraId="4BED3261" w14:textId="226411BC" w:rsidR="00374C56" w:rsidRPr="00D53A2B" w:rsidRDefault="00921606" w:rsidP="00A202FD">
      <w:pPr>
        <w:tabs>
          <w:tab w:val="left" w:pos="1134"/>
        </w:tabs>
        <w:spacing w:before="120" w:after="200"/>
        <w:jc w:val="both"/>
        <w:rPr>
          <w:b/>
          <w:lang w:eastAsia="en-US"/>
        </w:rPr>
      </w:pPr>
      <w:r w:rsidRPr="00D53A2B">
        <w:rPr>
          <w:b/>
          <w:lang w:eastAsia="en-US"/>
        </w:rPr>
        <w:t>MET 84:</w:t>
      </w:r>
      <w:r w:rsidR="00BE6A03" w:rsidRPr="00D53A2B">
        <w:rPr>
          <w:b/>
          <w:lang w:eastAsia="en-US"/>
        </w:rPr>
        <w:t xml:space="preserve"> </w:t>
      </w:r>
      <w:r w:rsidR="00BE6A03" w:rsidRPr="00D53A2B">
        <w:rPr>
          <w:rStyle w:val="METChar"/>
          <w:b w:val="0"/>
          <w:bCs/>
          <w:szCs w:val="24"/>
        </w:rPr>
        <w:t>Kontamine olmuş ikincil hammaddelerin (örneğin talaş) ısıl işlemi, eritme fırını ve yeniden eritme ve erimiş metal işlemi sırasında havaya salınan HCl, Cl</w:t>
      </w:r>
      <w:r w:rsidR="00BE6A03" w:rsidRPr="00D53A2B">
        <w:rPr>
          <w:rStyle w:val="METChar"/>
          <w:b w:val="0"/>
          <w:bCs/>
          <w:szCs w:val="24"/>
          <w:vertAlign w:val="subscript"/>
        </w:rPr>
        <w:t>2</w:t>
      </w:r>
      <w:r w:rsidR="00BE6A03" w:rsidRPr="00D53A2B">
        <w:rPr>
          <w:rStyle w:val="METChar"/>
          <w:b w:val="0"/>
          <w:bCs/>
          <w:szCs w:val="24"/>
        </w:rPr>
        <w:t xml:space="preserve"> ve HF emisyonlarını azaltmak amacıyla,</w:t>
      </w:r>
      <w:r w:rsidR="00D50D71" w:rsidRPr="00D53A2B">
        <w:rPr>
          <w:rStyle w:val="METChar"/>
          <w:b w:val="0"/>
          <w:bCs/>
          <w:szCs w:val="24"/>
        </w:rPr>
        <w:t xml:space="preserve"> </w:t>
      </w:r>
      <w:r w:rsidR="00BE6A03" w:rsidRPr="00D53A2B">
        <w:rPr>
          <w:rStyle w:val="METChar"/>
          <w:b w:val="0"/>
          <w:bCs/>
          <w:szCs w:val="24"/>
        </w:rPr>
        <w:t>aşağıda verilen tekniklerden biri veya bir kombinasyonu kullanıl</w:t>
      </w:r>
      <w:r w:rsidR="00D50D71" w:rsidRPr="00D53A2B">
        <w:rPr>
          <w:rStyle w:val="METChar"/>
          <w:b w:val="0"/>
          <w:bCs/>
          <w:szCs w:val="24"/>
        </w:rPr>
        <w:t>ır</w:t>
      </w:r>
      <w:r w:rsidR="00BE6A03" w:rsidRPr="00D53A2B">
        <w:rPr>
          <w:rStyle w:val="METChar"/>
          <w:b w:val="0"/>
          <w:bCs/>
          <w:szCs w:val="24"/>
        </w:rPr>
        <w:t>.</w:t>
      </w:r>
    </w:p>
    <w:tbl>
      <w:tblPr>
        <w:tblW w:w="8721" w:type="dxa"/>
        <w:tblLayout w:type="fixed"/>
        <w:tblCellMar>
          <w:left w:w="0" w:type="dxa"/>
          <w:right w:w="0" w:type="dxa"/>
        </w:tblCellMar>
        <w:tblLook w:val="01E0" w:firstRow="1" w:lastRow="1" w:firstColumn="1" w:lastColumn="1" w:noHBand="0" w:noVBand="0"/>
      </w:tblPr>
      <w:tblGrid>
        <w:gridCol w:w="521"/>
        <w:gridCol w:w="8200"/>
      </w:tblGrid>
      <w:tr w:rsidR="00374C56" w:rsidRPr="00D53A2B" w14:paraId="15BCD6CB"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65B27E8A" w14:textId="77777777" w:rsidR="00374C56" w:rsidRPr="00D53A2B" w:rsidRDefault="00374C56" w:rsidP="00A202FD">
            <w:pPr>
              <w:spacing w:line="264" w:lineRule="auto"/>
              <w:ind w:left="57" w:right="57"/>
              <w:jc w:val="both"/>
              <w:rPr>
                <w:lang w:eastAsia="en-US"/>
              </w:rPr>
            </w:pPr>
          </w:p>
        </w:tc>
        <w:tc>
          <w:tcPr>
            <w:tcW w:w="8200" w:type="dxa"/>
            <w:tcBorders>
              <w:top w:val="single" w:sz="4" w:space="0" w:color="000000"/>
              <w:left w:val="single" w:sz="4" w:space="0" w:color="000000"/>
              <w:bottom w:val="single" w:sz="4" w:space="0" w:color="000000"/>
              <w:right w:val="single" w:sz="4" w:space="0" w:color="000000"/>
            </w:tcBorders>
            <w:vAlign w:val="center"/>
          </w:tcPr>
          <w:p w14:paraId="0BAD6308" w14:textId="77777777" w:rsidR="00374C56" w:rsidRPr="00D53A2B" w:rsidRDefault="00374C56" w:rsidP="00A202FD">
            <w:pPr>
              <w:spacing w:line="264" w:lineRule="auto"/>
              <w:ind w:left="57" w:right="57"/>
              <w:jc w:val="both"/>
              <w:rPr>
                <w:lang w:eastAsia="en-US"/>
              </w:rPr>
            </w:pPr>
            <w:r w:rsidRPr="00D53A2B">
              <w:rPr>
                <w:b/>
                <w:bCs/>
                <w:lang w:eastAsia="en-US"/>
              </w:rPr>
              <w:t>Teknik</w:t>
            </w:r>
          </w:p>
        </w:tc>
      </w:tr>
      <w:tr w:rsidR="00374C56" w:rsidRPr="00D53A2B" w14:paraId="3D5C8CAC"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0888D5A8" w14:textId="77777777" w:rsidR="00374C56" w:rsidRPr="00D53A2B" w:rsidRDefault="00374C56" w:rsidP="00A202FD">
            <w:pPr>
              <w:spacing w:line="264" w:lineRule="auto"/>
              <w:ind w:left="57" w:right="57"/>
              <w:jc w:val="both"/>
              <w:rPr>
                <w:lang w:eastAsia="en-US"/>
              </w:rPr>
            </w:pPr>
            <w:r w:rsidRPr="00D53A2B">
              <w:rPr>
                <w:lang w:eastAsia="en-US"/>
              </w:rPr>
              <w:t>a</w:t>
            </w:r>
          </w:p>
        </w:tc>
        <w:tc>
          <w:tcPr>
            <w:tcW w:w="8200" w:type="dxa"/>
            <w:tcBorders>
              <w:top w:val="single" w:sz="4" w:space="0" w:color="000000"/>
              <w:left w:val="single" w:sz="4" w:space="0" w:color="000000"/>
              <w:bottom w:val="single" w:sz="4" w:space="0" w:color="000000"/>
              <w:right w:val="single" w:sz="4" w:space="0" w:color="000000"/>
            </w:tcBorders>
          </w:tcPr>
          <w:p w14:paraId="04795272" w14:textId="77777777" w:rsidR="00374C56" w:rsidRPr="00D53A2B" w:rsidRDefault="00374C56" w:rsidP="00A202FD">
            <w:pPr>
              <w:spacing w:line="264" w:lineRule="auto"/>
              <w:ind w:left="57" w:right="57"/>
              <w:jc w:val="both"/>
              <w:rPr>
                <w:lang w:eastAsia="en-US"/>
              </w:rPr>
            </w:pPr>
            <w:r w:rsidRPr="00D53A2B">
              <w:rPr>
                <w:lang w:eastAsia="en-US"/>
              </w:rPr>
              <w:t xml:space="preserve">Hammaddenin fırın tipine ve kullanılan gaz azaltma tekniklerine göre seçilmesi ve beslenmesi </w:t>
            </w:r>
            <w:r w:rsidRPr="00D53A2B">
              <w:rPr>
                <w:b/>
                <w:lang w:eastAsia="en-US"/>
              </w:rPr>
              <w:t>(</w:t>
            </w:r>
            <w:r w:rsidRPr="00D53A2B">
              <w:rPr>
                <w:b/>
                <w:vertAlign w:val="superscript"/>
                <w:lang w:eastAsia="en-US"/>
              </w:rPr>
              <w:t>1</w:t>
            </w:r>
            <w:r w:rsidRPr="00D53A2B">
              <w:rPr>
                <w:b/>
                <w:lang w:eastAsia="en-US"/>
              </w:rPr>
              <w:t>)</w:t>
            </w:r>
          </w:p>
        </w:tc>
      </w:tr>
      <w:tr w:rsidR="00374C56" w:rsidRPr="00D53A2B" w14:paraId="0BEC393A"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228D713C" w14:textId="77777777" w:rsidR="00374C56" w:rsidRPr="00D53A2B" w:rsidRDefault="00374C56" w:rsidP="00A202FD">
            <w:pPr>
              <w:spacing w:line="264" w:lineRule="auto"/>
              <w:ind w:left="57" w:right="57"/>
              <w:jc w:val="both"/>
              <w:rPr>
                <w:lang w:eastAsia="en-US"/>
              </w:rPr>
            </w:pPr>
            <w:r w:rsidRPr="00D53A2B">
              <w:rPr>
                <w:lang w:eastAsia="en-US"/>
              </w:rPr>
              <w:t>b</w:t>
            </w:r>
          </w:p>
        </w:tc>
        <w:tc>
          <w:tcPr>
            <w:tcW w:w="8200" w:type="dxa"/>
            <w:tcBorders>
              <w:top w:val="single" w:sz="4" w:space="0" w:color="000000"/>
              <w:left w:val="single" w:sz="4" w:space="0" w:color="000000"/>
              <w:bottom w:val="single" w:sz="4" w:space="0" w:color="000000"/>
              <w:right w:val="single" w:sz="4" w:space="0" w:color="000000"/>
            </w:tcBorders>
          </w:tcPr>
          <w:p w14:paraId="273DE0F7" w14:textId="77777777" w:rsidR="00374C56" w:rsidRPr="00D53A2B" w:rsidRDefault="00374C56" w:rsidP="00A202FD">
            <w:pPr>
              <w:spacing w:line="264" w:lineRule="auto"/>
              <w:ind w:left="57" w:right="57"/>
              <w:jc w:val="both"/>
              <w:rPr>
                <w:lang w:eastAsia="en-US"/>
              </w:rPr>
            </w:pPr>
            <w:r w:rsidRPr="00D53A2B">
              <w:rPr>
                <w:lang w:eastAsia="en-US"/>
              </w:rPr>
              <w:t>Torba filtreyle birlikte ayrıca Ca(OH)</w:t>
            </w:r>
            <w:r w:rsidRPr="00D53A2B">
              <w:rPr>
                <w:vertAlign w:val="subscript"/>
                <w:lang w:eastAsia="en-US"/>
              </w:rPr>
              <w:t>2</w:t>
            </w:r>
            <w:r w:rsidRPr="00D53A2B">
              <w:rPr>
                <w:lang w:eastAsia="en-US"/>
              </w:rPr>
              <w:t xml:space="preserve"> veya sodyum bikarbonat enjeksiyonu </w:t>
            </w:r>
            <w:r w:rsidRPr="00D53A2B">
              <w:rPr>
                <w:b/>
                <w:lang w:eastAsia="en-US"/>
              </w:rPr>
              <w:t>(</w:t>
            </w:r>
            <w:r w:rsidRPr="00D53A2B">
              <w:rPr>
                <w:b/>
                <w:vertAlign w:val="superscript"/>
                <w:lang w:eastAsia="en-US"/>
              </w:rPr>
              <w:t>1</w:t>
            </w:r>
            <w:r w:rsidRPr="00D53A2B">
              <w:rPr>
                <w:b/>
                <w:lang w:eastAsia="en-US"/>
              </w:rPr>
              <w:t>)</w:t>
            </w:r>
          </w:p>
        </w:tc>
      </w:tr>
      <w:tr w:rsidR="00374C56" w:rsidRPr="00D53A2B" w14:paraId="79F053B1"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005C2337" w14:textId="77777777" w:rsidR="00374C56" w:rsidRPr="00D53A2B" w:rsidRDefault="00374C56" w:rsidP="00A202FD">
            <w:pPr>
              <w:spacing w:line="264" w:lineRule="auto"/>
              <w:ind w:left="57" w:right="57"/>
              <w:jc w:val="both"/>
              <w:rPr>
                <w:lang w:eastAsia="en-US"/>
              </w:rPr>
            </w:pPr>
            <w:r w:rsidRPr="00D53A2B">
              <w:rPr>
                <w:lang w:eastAsia="en-US"/>
              </w:rPr>
              <w:t>c</w:t>
            </w:r>
          </w:p>
        </w:tc>
        <w:tc>
          <w:tcPr>
            <w:tcW w:w="8200" w:type="dxa"/>
            <w:tcBorders>
              <w:top w:val="single" w:sz="4" w:space="0" w:color="000000"/>
              <w:left w:val="single" w:sz="4" w:space="0" w:color="000000"/>
              <w:bottom w:val="single" w:sz="4" w:space="0" w:color="000000"/>
              <w:right w:val="single" w:sz="4" w:space="0" w:color="000000"/>
            </w:tcBorders>
          </w:tcPr>
          <w:p w14:paraId="69BFB0D9" w14:textId="77777777" w:rsidR="00374C56" w:rsidRPr="00D53A2B" w:rsidRDefault="00374C56" w:rsidP="00A202FD">
            <w:pPr>
              <w:spacing w:line="264" w:lineRule="auto"/>
              <w:ind w:left="57" w:right="57"/>
              <w:jc w:val="both"/>
              <w:rPr>
                <w:lang w:eastAsia="en-US"/>
              </w:rPr>
            </w:pPr>
            <w:r w:rsidRPr="00D53A2B">
              <w:rPr>
                <w:lang w:eastAsia="en-US"/>
              </w:rPr>
              <w:t>Erimiş metallerde bulunan kirletici maddelerin giderilmesi için rafinasyonda kullanılan gazın miktarının uyarlanarak rafinasyon prosesinin kontrol edilmesi</w:t>
            </w:r>
          </w:p>
        </w:tc>
      </w:tr>
      <w:tr w:rsidR="00374C56" w:rsidRPr="00D53A2B" w14:paraId="6EE46D6C"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13C793E1" w14:textId="77777777" w:rsidR="00374C56" w:rsidRPr="00D53A2B" w:rsidRDefault="00374C56" w:rsidP="00A202FD">
            <w:pPr>
              <w:spacing w:line="264" w:lineRule="auto"/>
              <w:ind w:left="57" w:right="57"/>
              <w:jc w:val="both"/>
              <w:rPr>
                <w:lang w:eastAsia="en-US"/>
              </w:rPr>
            </w:pPr>
            <w:r w:rsidRPr="00D53A2B">
              <w:rPr>
                <w:lang w:eastAsia="en-US"/>
              </w:rPr>
              <w:t>d</w:t>
            </w:r>
          </w:p>
        </w:tc>
        <w:tc>
          <w:tcPr>
            <w:tcW w:w="8200" w:type="dxa"/>
            <w:tcBorders>
              <w:top w:val="single" w:sz="4" w:space="0" w:color="000000"/>
              <w:left w:val="single" w:sz="4" w:space="0" w:color="000000"/>
              <w:bottom w:val="single" w:sz="4" w:space="0" w:color="000000"/>
              <w:right w:val="single" w:sz="4" w:space="0" w:color="000000"/>
            </w:tcBorders>
          </w:tcPr>
          <w:p w14:paraId="6A80EBD6" w14:textId="77777777" w:rsidR="00374C56" w:rsidRPr="00D53A2B" w:rsidRDefault="00374C56" w:rsidP="00A202FD">
            <w:pPr>
              <w:spacing w:line="264" w:lineRule="auto"/>
              <w:ind w:left="57" w:right="57"/>
              <w:jc w:val="both"/>
              <w:rPr>
                <w:lang w:eastAsia="en-US"/>
              </w:rPr>
            </w:pPr>
            <w:r w:rsidRPr="00D53A2B">
              <w:rPr>
                <w:lang w:eastAsia="en-US"/>
              </w:rPr>
              <w:t>Rafinasyon prosesinde inert gaz ile seyreltilmiş klorin kullanılması</w:t>
            </w:r>
          </w:p>
        </w:tc>
      </w:tr>
      <w:tr w:rsidR="00374C56" w:rsidRPr="00D53A2B" w14:paraId="4E347418" w14:textId="77777777" w:rsidTr="00374C56">
        <w:tc>
          <w:tcPr>
            <w:tcW w:w="8721" w:type="dxa"/>
            <w:gridSpan w:val="2"/>
            <w:tcBorders>
              <w:top w:val="single" w:sz="4" w:space="0" w:color="000000"/>
              <w:left w:val="single" w:sz="4" w:space="0" w:color="000000"/>
              <w:bottom w:val="single" w:sz="4" w:space="0" w:color="000000"/>
              <w:right w:val="single" w:sz="4" w:space="0" w:color="000000"/>
            </w:tcBorders>
            <w:vAlign w:val="center"/>
          </w:tcPr>
          <w:p w14:paraId="4C46ABAA" w14:textId="7B08BE1D" w:rsidR="00374C56" w:rsidRPr="009077F5" w:rsidRDefault="00374C56" w:rsidP="00A202FD">
            <w:pPr>
              <w:spacing w:line="264" w:lineRule="auto"/>
              <w:ind w:left="57" w:right="57"/>
              <w:jc w:val="both"/>
              <w:rPr>
                <w:bCs/>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 Tekniklerin açıklamaları Bölüm 1.10</w:t>
            </w:r>
            <w:r w:rsidR="00E56504" w:rsidRPr="009077F5">
              <w:rPr>
                <w:bCs/>
                <w:sz w:val="20"/>
                <w:szCs w:val="20"/>
                <w:lang w:eastAsia="en-US"/>
              </w:rPr>
              <w:t>’</w:t>
            </w:r>
            <w:r w:rsidRPr="009077F5">
              <w:rPr>
                <w:bCs/>
                <w:sz w:val="20"/>
                <w:szCs w:val="20"/>
                <w:lang w:eastAsia="en-US"/>
              </w:rPr>
              <w:t>da verilmiştir.</w:t>
            </w:r>
          </w:p>
        </w:tc>
      </w:tr>
    </w:tbl>
    <w:p w14:paraId="4D56A6AB" w14:textId="77777777" w:rsidR="00374C56" w:rsidRPr="00D53A2B" w:rsidRDefault="00374C56" w:rsidP="00A202FD">
      <w:pPr>
        <w:jc w:val="both"/>
        <w:rPr>
          <w:lang w:eastAsia="en-US"/>
        </w:rPr>
      </w:pPr>
    </w:p>
    <w:p w14:paraId="1044C1D2" w14:textId="77777777" w:rsidR="00374C56" w:rsidRPr="00D53A2B" w:rsidRDefault="00374C56" w:rsidP="00A202FD">
      <w:pPr>
        <w:spacing w:after="40"/>
        <w:jc w:val="both"/>
        <w:rPr>
          <w:b/>
          <w:lang w:eastAsia="en-US"/>
        </w:rPr>
      </w:pPr>
      <w:r w:rsidRPr="00D53A2B">
        <w:rPr>
          <w:b/>
          <w:lang w:eastAsia="en-US"/>
        </w:rPr>
        <w:t>Açıklama</w:t>
      </w:r>
    </w:p>
    <w:p w14:paraId="38CC44A5" w14:textId="0888AD69" w:rsidR="00374C56" w:rsidRPr="00D53A2B" w:rsidRDefault="00374C56" w:rsidP="00A202FD">
      <w:pPr>
        <w:pStyle w:val="MET"/>
        <w:rPr>
          <w:szCs w:val="24"/>
        </w:rPr>
      </w:pPr>
      <w:r w:rsidRPr="00D53A2B">
        <w:rPr>
          <w:szCs w:val="24"/>
        </w:rPr>
        <w:t xml:space="preserve">MET 84.d: </w:t>
      </w:r>
      <w:r w:rsidR="00BE6A03" w:rsidRPr="00D53A2B">
        <w:rPr>
          <w:b w:val="0"/>
          <w:bCs/>
          <w:szCs w:val="24"/>
        </w:rPr>
        <w:t>Klor emisyonunu azaltmak için sadece saf klor yerine inert gazla seyreltilmiş klor kullanıl</w:t>
      </w:r>
      <w:r w:rsidR="00D50D71" w:rsidRPr="00D53A2B">
        <w:rPr>
          <w:b w:val="0"/>
          <w:bCs/>
          <w:szCs w:val="24"/>
        </w:rPr>
        <w:t>ır</w:t>
      </w:r>
      <w:r w:rsidR="00BE6A03" w:rsidRPr="00D53A2B">
        <w:rPr>
          <w:b w:val="0"/>
          <w:bCs/>
          <w:szCs w:val="24"/>
        </w:rPr>
        <w:t>. Rafinasyon sadece inert gaz kullanılarak da yapılabilir.</w:t>
      </w:r>
    </w:p>
    <w:p w14:paraId="09346777" w14:textId="77777777" w:rsidR="00BE6A03" w:rsidRPr="00D53A2B" w:rsidRDefault="00BE6A03" w:rsidP="00A202FD">
      <w:pPr>
        <w:pStyle w:val="MET"/>
        <w:rPr>
          <w:szCs w:val="24"/>
        </w:rPr>
      </w:pPr>
    </w:p>
    <w:p w14:paraId="2D0DA2C8" w14:textId="0C570CA1"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19.</w:t>
      </w:r>
    </w:p>
    <w:p w14:paraId="76C61217" w14:textId="77777777" w:rsidR="001023C7" w:rsidRPr="00D53A2B" w:rsidRDefault="00374C56" w:rsidP="00A202FD">
      <w:pPr>
        <w:jc w:val="both"/>
        <w:rPr>
          <w:lang w:eastAsia="en-US"/>
        </w:rPr>
      </w:pPr>
      <w:bookmarkStart w:id="87" w:name="_Toc531927960"/>
      <w:r w:rsidRPr="00D53A2B">
        <w:rPr>
          <w:lang w:eastAsia="en-US"/>
        </w:rPr>
        <w:t xml:space="preserve">Tablo </w:t>
      </w:r>
      <w:r w:rsidRPr="00D53A2B">
        <w:rPr>
          <w:noProof/>
          <w:lang w:eastAsia="en-US"/>
        </w:rPr>
        <w:t>19</w:t>
      </w:r>
    </w:p>
    <w:p w14:paraId="7F2A8C46" w14:textId="73E70C9F" w:rsidR="00374C56" w:rsidRPr="00D53A2B" w:rsidRDefault="00374C56" w:rsidP="00A202FD">
      <w:pPr>
        <w:jc w:val="both"/>
        <w:rPr>
          <w:lang w:eastAsia="en-US"/>
        </w:rPr>
      </w:pPr>
      <w:r w:rsidRPr="00D53A2B">
        <w:rPr>
          <w:lang w:eastAsia="en-US"/>
        </w:rPr>
        <w:t xml:space="preserve">Kontamine olmuş </w:t>
      </w:r>
      <w:bookmarkEnd w:id="87"/>
      <w:r w:rsidR="00BE6A03" w:rsidRPr="00D53A2B">
        <w:rPr>
          <w:lang w:eastAsia="en-US"/>
        </w:rPr>
        <w:t>ikincil hammaddelerin (örneğin talaş) termal işlenmesi, eritme fırını ve yeniden eritme ve erimiş metal işlenmesinden kaynaklanan havaya HCl, Cl</w:t>
      </w:r>
      <w:r w:rsidR="00BE6A03" w:rsidRPr="00D53A2B">
        <w:rPr>
          <w:vertAlign w:val="subscript"/>
          <w:lang w:eastAsia="en-US"/>
        </w:rPr>
        <w:t>2</w:t>
      </w:r>
      <w:r w:rsidR="00BE6A03" w:rsidRPr="00D53A2B">
        <w:rPr>
          <w:lang w:eastAsia="en-US"/>
        </w:rPr>
        <w:t xml:space="preserve"> ve HF emisyonları için </w:t>
      </w:r>
      <w:r w:rsidR="00A46E11" w:rsidRPr="00D53A2B">
        <w:rPr>
          <w:lang w:eastAsia="en-US"/>
        </w:rPr>
        <w:t>MET</w:t>
      </w:r>
      <w:r w:rsidR="00BE6A03" w:rsidRPr="00D53A2B">
        <w:rPr>
          <w:lang w:eastAsia="en-US"/>
        </w:rPr>
        <w:t xml:space="preserve"> ile ilişkili emisyon seviyeleri.</w:t>
      </w:r>
    </w:p>
    <w:p w14:paraId="01DC2A46" w14:textId="77777777" w:rsidR="00F33354" w:rsidRPr="00D53A2B" w:rsidRDefault="00F33354" w:rsidP="00A202FD">
      <w:pPr>
        <w:jc w:val="both"/>
        <w:rPr>
          <w:lang w:eastAsia="en-US"/>
        </w:rPr>
      </w:pPr>
    </w:p>
    <w:tbl>
      <w:tblPr>
        <w:tblW w:w="0" w:type="auto"/>
        <w:tblLayout w:type="fixed"/>
        <w:tblCellMar>
          <w:left w:w="0" w:type="dxa"/>
          <w:right w:w="0" w:type="dxa"/>
        </w:tblCellMar>
        <w:tblLook w:val="01E0" w:firstRow="1" w:lastRow="1" w:firstColumn="1" w:lastColumn="1" w:noHBand="0" w:noVBand="0"/>
      </w:tblPr>
      <w:tblGrid>
        <w:gridCol w:w="2098"/>
        <w:gridCol w:w="6463"/>
      </w:tblGrid>
      <w:tr w:rsidR="00374C56" w:rsidRPr="00D53A2B" w14:paraId="3F441AE4"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1E544D6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463" w:type="dxa"/>
            <w:tcBorders>
              <w:top w:val="single" w:sz="4" w:space="0" w:color="000000"/>
              <w:left w:val="single" w:sz="4" w:space="0" w:color="000000"/>
              <w:bottom w:val="single" w:sz="4" w:space="0" w:color="000000"/>
              <w:right w:val="single" w:sz="4" w:space="0" w:color="000000"/>
            </w:tcBorders>
            <w:vAlign w:val="center"/>
          </w:tcPr>
          <w:p w14:paraId="232AE29B"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w:t>
            </w:r>
          </w:p>
        </w:tc>
      </w:tr>
      <w:tr w:rsidR="00374C56" w:rsidRPr="00D53A2B" w14:paraId="58454E3B"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32C87AB7" w14:textId="77777777" w:rsidR="00374C56" w:rsidRPr="00D53A2B" w:rsidRDefault="00374C56" w:rsidP="00A202FD">
            <w:pPr>
              <w:spacing w:line="264" w:lineRule="auto"/>
              <w:ind w:right="57"/>
              <w:jc w:val="both"/>
              <w:rPr>
                <w:sz w:val="22"/>
                <w:szCs w:val="22"/>
                <w:lang w:eastAsia="en-US"/>
              </w:rPr>
            </w:pPr>
            <w:r w:rsidRPr="00D53A2B">
              <w:rPr>
                <w:sz w:val="22"/>
                <w:szCs w:val="22"/>
                <w:lang w:eastAsia="en-US"/>
              </w:rPr>
              <w:t>HCl</w:t>
            </w:r>
          </w:p>
        </w:tc>
        <w:tc>
          <w:tcPr>
            <w:tcW w:w="6463" w:type="dxa"/>
            <w:tcBorders>
              <w:top w:val="single" w:sz="4" w:space="0" w:color="000000"/>
              <w:left w:val="single" w:sz="4" w:space="0" w:color="000000"/>
              <w:bottom w:val="single" w:sz="4" w:space="0" w:color="000000"/>
              <w:right w:val="single" w:sz="4" w:space="0" w:color="000000"/>
            </w:tcBorders>
          </w:tcPr>
          <w:p w14:paraId="501888C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5–10 (</w:t>
            </w:r>
            <w:r w:rsidRPr="00D53A2B">
              <w:rPr>
                <w:sz w:val="22"/>
                <w:szCs w:val="22"/>
                <w:vertAlign w:val="superscript"/>
                <w:lang w:eastAsia="en-US"/>
              </w:rPr>
              <w:t>1</w:t>
            </w:r>
            <w:r w:rsidRPr="00D53A2B">
              <w:rPr>
                <w:sz w:val="22"/>
                <w:szCs w:val="22"/>
                <w:lang w:eastAsia="en-US"/>
              </w:rPr>
              <w:t>)</w:t>
            </w:r>
          </w:p>
        </w:tc>
      </w:tr>
      <w:tr w:rsidR="00374C56" w:rsidRPr="00D53A2B" w14:paraId="70E38255"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75D70FE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Cl</w:t>
            </w:r>
            <w:r w:rsidRPr="00D53A2B">
              <w:rPr>
                <w:sz w:val="22"/>
                <w:szCs w:val="22"/>
                <w:vertAlign w:val="subscript"/>
                <w:lang w:eastAsia="en-US"/>
              </w:rPr>
              <w:t>2</w:t>
            </w:r>
          </w:p>
        </w:tc>
        <w:tc>
          <w:tcPr>
            <w:tcW w:w="6463" w:type="dxa"/>
            <w:tcBorders>
              <w:top w:val="single" w:sz="4" w:space="0" w:color="000000"/>
              <w:left w:val="single" w:sz="4" w:space="0" w:color="000000"/>
              <w:bottom w:val="single" w:sz="4" w:space="0" w:color="000000"/>
              <w:right w:val="single" w:sz="4" w:space="0" w:color="000000"/>
            </w:tcBorders>
          </w:tcPr>
          <w:p w14:paraId="56896B3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1 (</w:t>
            </w:r>
            <w:r w:rsidRPr="00D53A2B">
              <w:rPr>
                <w:sz w:val="22"/>
                <w:szCs w:val="22"/>
                <w:vertAlign w:val="superscript"/>
                <w:lang w:eastAsia="en-US"/>
              </w:rPr>
              <w:t>2</w:t>
            </w:r>
            <w:r w:rsidRPr="00D53A2B">
              <w:rPr>
                <w:sz w:val="22"/>
                <w:szCs w:val="22"/>
                <w:lang w:eastAsia="en-US"/>
              </w:rPr>
              <w:t>)(</w:t>
            </w:r>
            <w:r w:rsidRPr="00D53A2B">
              <w:rPr>
                <w:sz w:val="22"/>
                <w:szCs w:val="22"/>
                <w:vertAlign w:val="superscript"/>
                <w:lang w:eastAsia="en-US"/>
              </w:rPr>
              <w:t>3</w:t>
            </w:r>
            <w:r w:rsidRPr="00D53A2B">
              <w:rPr>
                <w:sz w:val="22"/>
                <w:szCs w:val="22"/>
                <w:lang w:eastAsia="en-US"/>
              </w:rPr>
              <w:t>)</w:t>
            </w:r>
          </w:p>
        </w:tc>
      </w:tr>
      <w:tr w:rsidR="00374C56" w:rsidRPr="00D53A2B" w14:paraId="1F957741"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630BF72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HF</w:t>
            </w:r>
          </w:p>
        </w:tc>
        <w:tc>
          <w:tcPr>
            <w:tcW w:w="6463" w:type="dxa"/>
            <w:tcBorders>
              <w:top w:val="single" w:sz="4" w:space="0" w:color="000000"/>
              <w:left w:val="single" w:sz="4" w:space="0" w:color="000000"/>
              <w:bottom w:val="single" w:sz="4" w:space="0" w:color="000000"/>
              <w:right w:val="single" w:sz="4" w:space="0" w:color="000000"/>
            </w:tcBorders>
          </w:tcPr>
          <w:p w14:paraId="5D15922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1 (</w:t>
            </w:r>
            <w:r w:rsidRPr="00D53A2B">
              <w:rPr>
                <w:sz w:val="22"/>
                <w:szCs w:val="22"/>
                <w:vertAlign w:val="superscript"/>
                <w:lang w:eastAsia="en-US"/>
              </w:rPr>
              <w:t>4</w:t>
            </w:r>
            <w:r w:rsidRPr="00D53A2B">
              <w:rPr>
                <w:sz w:val="22"/>
                <w:szCs w:val="22"/>
                <w:lang w:eastAsia="en-US"/>
              </w:rPr>
              <w:t>)</w:t>
            </w:r>
          </w:p>
        </w:tc>
      </w:tr>
      <w:tr w:rsidR="00374C56" w:rsidRPr="00D53A2B" w14:paraId="5DBA9A0D" w14:textId="77777777" w:rsidTr="00374C56">
        <w:tc>
          <w:tcPr>
            <w:tcW w:w="8561" w:type="dxa"/>
            <w:gridSpan w:val="2"/>
            <w:tcBorders>
              <w:top w:val="single" w:sz="4" w:space="0" w:color="000000"/>
              <w:left w:val="single" w:sz="4" w:space="0" w:color="000000"/>
              <w:bottom w:val="single" w:sz="4" w:space="0" w:color="000000"/>
              <w:right w:val="single" w:sz="4" w:space="0" w:color="000000"/>
            </w:tcBorders>
            <w:vAlign w:val="center"/>
          </w:tcPr>
          <w:p w14:paraId="440CC737" w14:textId="1FF0A5F7" w:rsidR="00374C56" w:rsidRPr="00D53A2B" w:rsidRDefault="00374C56" w:rsidP="00A202FD">
            <w:pPr>
              <w:spacing w:line="264" w:lineRule="auto"/>
              <w:ind w:left="57" w:right="57"/>
              <w:jc w:val="both"/>
              <w:rPr>
                <w:bCs/>
                <w:sz w:val="20"/>
                <w:szCs w:val="20"/>
                <w:lang w:eastAsia="en-US"/>
              </w:rPr>
            </w:pPr>
            <w:r w:rsidRPr="00D53A2B">
              <w:rPr>
                <w:bCs/>
                <w:sz w:val="20"/>
                <w:szCs w:val="20"/>
                <w:lang w:eastAsia="en-US"/>
              </w:rPr>
              <w:t>(</w:t>
            </w:r>
            <w:r w:rsidRPr="00D53A2B">
              <w:rPr>
                <w:bCs/>
                <w:sz w:val="20"/>
                <w:szCs w:val="20"/>
                <w:vertAlign w:val="superscript"/>
                <w:lang w:eastAsia="en-US"/>
              </w:rPr>
              <w:t>1</w:t>
            </w:r>
            <w:r w:rsidRPr="00D53A2B">
              <w:rPr>
                <w:bCs/>
                <w:sz w:val="20"/>
                <w:szCs w:val="20"/>
                <w:lang w:eastAsia="en-US"/>
              </w:rPr>
              <w:t xml:space="preserve">) Günlük ortalama ya da </w:t>
            </w:r>
            <w:r w:rsidR="007847FF" w:rsidRPr="007847FF">
              <w:rPr>
                <w:bCs/>
                <w:sz w:val="20"/>
                <w:szCs w:val="20"/>
                <w:lang w:eastAsia="en-US"/>
              </w:rPr>
              <w:t>numune alma</w:t>
            </w:r>
            <w:r w:rsidRPr="00D53A2B">
              <w:rPr>
                <w:bCs/>
                <w:sz w:val="20"/>
                <w:szCs w:val="20"/>
                <w:lang w:eastAsia="en-US"/>
              </w:rPr>
              <w:t xml:space="preserve"> periyodu boyunca ortalama. Klor içeren kimyasallarla yapılan rafinasyon için, MET-İES klorlama sırasındaki ortalama derişime karşılık gelir.</w:t>
            </w:r>
          </w:p>
          <w:p w14:paraId="39435136" w14:textId="70563F53" w:rsidR="00374C56" w:rsidRPr="00D53A2B" w:rsidRDefault="00374C56" w:rsidP="00A202FD">
            <w:pPr>
              <w:spacing w:line="264" w:lineRule="auto"/>
              <w:ind w:left="57" w:right="57"/>
              <w:jc w:val="both"/>
              <w:rPr>
                <w:bCs/>
                <w:sz w:val="20"/>
                <w:szCs w:val="20"/>
                <w:lang w:eastAsia="en-US"/>
              </w:rPr>
            </w:pPr>
            <w:r w:rsidRPr="00D53A2B">
              <w:rPr>
                <w:bCs/>
                <w:sz w:val="20"/>
                <w:szCs w:val="20"/>
                <w:lang w:eastAsia="en-US"/>
              </w:rPr>
              <w:t>(</w:t>
            </w:r>
            <w:r w:rsidRPr="007847FF">
              <w:rPr>
                <w:bCs/>
                <w:sz w:val="20"/>
                <w:szCs w:val="20"/>
                <w:lang w:eastAsia="en-US"/>
              </w:rPr>
              <w:t>2</w:t>
            </w:r>
            <w:r w:rsidRPr="00D53A2B">
              <w:rPr>
                <w:bCs/>
                <w:sz w:val="20"/>
                <w:szCs w:val="20"/>
                <w:lang w:eastAsia="en-US"/>
              </w:rPr>
              <w:t xml:space="preserve">) </w:t>
            </w:r>
            <w:r w:rsidR="007847FF" w:rsidRPr="007847FF">
              <w:rPr>
                <w:bCs/>
                <w:sz w:val="20"/>
                <w:szCs w:val="20"/>
                <w:lang w:eastAsia="en-US"/>
              </w:rPr>
              <w:t>numune alma</w:t>
            </w:r>
            <w:r w:rsidRPr="00D53A2B">
              <w:rPr>
                <w:bCs/>
                <w:sz w:val="20"/>
                <w:szCs w:val="20"/>
                <w:lang w:eastAsia="en-US"/>
              </w:rPr>
              <w:t xml:space="preserve"> periyodu boyunca ortalama. Klor içeren kimyasallarla yapılan rafinasyon için, MET-İES klorlama sırasındaki ortalama derişime karşılık gelir</w:t>
            </w:r>
          </w:p>
          <w:p w14:paraId="668F625A" w14:textId="17709441" w:rsidR="00374C56" w:rsidRPr="00D53A2B" w:rsidRDefault="00374C56" w:rsidP="00A202FD">
            <w:pPr>
              <w:spacing w:line="264" w:lineRule="auto"/>
              <w:ind w:left="57" w:right="57"/>
              <w:jc w:val="both"/>
              <w:rPr>
                <w:bCs/>
                <w:sz w:val="20"/>
                <w:szCs w:val="20"/>
                <w:lang w:eastAsia="en-US"/>
              </w:rPr>
            </w:pPr>
            <w:r w:rsidRPr="00D53A2B">
              <w:rPr>
                <w:bCs/>
                <w:sz w:val="20"/>
                <w:szCs w:val="20"/>
                <w:lang w:eastAsia="en-US"/>
              </w:rPr>
              <w:t>(</w:t>
            </w:r>
            <w:r w:rsidRPr="007847FF">
              <w:rPr>
                <w:bCs/>
                <w:sz w:val="20"/>
                <w:szCs w:val="20"/>
                <w:lang w:eastAsia="en-US"/>
              </w:rPr>
              <w:t>3</w:t>
            </w:r>
            <w:r w:rsidRPr="00D53A2B">
              <w:rPr>
                <w:bCs/>
                <w:sz w:val="20"/>
                <w:szCs w:val="20"/>
                <w:lang w:eastAsia="en-US"/>
              </w:rPr>
              <w:t>) Sadece klor içeren kimyasallarla yapılan rafinasyon işlemlerinden kaynaklanan emisyonlar için geçerlidir.</w:t>
            </w:r>
          </w:p>
          <w:p w14:paraId="25BCF974" w14:textId="44CB3DD3" w:rsidR="00374C56" w:rsidRPr="00D53A2B" w:rsidRDefault="00374C56" w:rsidP="00A202FD">
            <w:pPr>
              <w:spacing w:line="264" w:lineRule="auto"/>
              <w:ind w:left="57" w:right="57"/>
              <w:jc w:val="both"/>
              <w:rPr>
                <w:sz w:val="22"/>
                <w:szCs w:val="22"/>
                <w:lang w:eastAsia="en-US"/>
              </w:rPr>
            </w:pPr>
            <w:r w:rsidRPr="00D53A2B">
              <w:rPr>
                <w:bCs/>
                <w:sz w:val="20"/>
                <w:szCs w:val="20"/>
                <w:lang w:eastAsia="en-US"/>
              </w:rPr>
              <w:t>(</w:t>
            </w:r>
            <w:r w:rsidRPr="007847FF">
              <w:rPr>
                <w:bCs/>
                <w:sz w:val="20"/>
                <w:szCs w:val="20"/>
                <w:lang w:eastAsia="en-US"/>
              </w:rPr>
              <w:t>4</w:t>
            </w:r>
            <w:r w:rsidRPr="00D53A2B">
              <w:rPr>
                <w:bCs/>
                <w:sz w:val="20"/>
                <w:szCs w:val="20"/>
                <w:lang w:eastAsia="en-US"/>
              </w:rPr>
              <w:t xml:space="preserve">) </w:t>
            </w:r>
            <w:r w:rsidR="007847FF" w:rsidRPr="007847FF">
              <w:rPr>
                <w:bCs/>
                <w:sz w:val="20"/>
                <w:szCs w:val="20"/>
                <w:lang w:eastAsia="en-US"/>
              </w:rPr>
              <w:t>numune alma</w:t>
            </w:r>
            <w:r w:rsidRPr="00D53A2B">
              <w:rPr>
                <w:bCs/>
                <w:sz w:val="20"/>
                <w:szCs w:val="20"/>
                <w:lang w:eastAsia="en-US"/>
              </w:rPr>
              <w:t xml:space="preserve"> periyodu boyunca ortalama.</w:t>
            </w:r>
          </w:p>
        </w:tc>
      </w:tr>
    </w:tbl>
    <w:p w14:paraId="5AB4C66E" w14:textId="77777777" w:rsidR="00374C56" w:rsidRPr="00D53A2B" w:rsidRDefault="00374C56" w:rsidP="00A202FD">
      <w:pPr>
        <w:jc w:val="both"/>
        <w:rPr>
          <w:lang w:eastAsia="en-US"/>
        </w:rPr>
      </w:pPr>
    </w:p>
    <w:p w14:paraId="09084001" w14:textId="4FE09610" w:rsidR="00A46E11" w:rsidRPr="00D53A2B" w:rsidRDefault="00A46E11"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340F3C18" w14:textId="77777777" w:rsidR="00BE6A03" w:rsidRPr="00D53A2B" w:rsidRDefault="00BE6A03" w:rsidP="00A202FD">
      <w:pPr>
        <w:jc w:val="both"/>
        <w:rPr>
          <w:lang w:eastAsia="en-US"/>
        </w:rPr>
      </w:pPr>
    </w:p>
    <w:p w14:paraId="36BFEA75" w14:textId="2C4D5BC9" w:rsidR="00374C56" w:rsidRPr="00D53A2B" w:rsidRDefault="00BE6A03"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3.4.4.</w:t>
      </w:r>
      <w:r w:rsidRPr="00D53A2B">
        <w:rPr>
          <w:rFonts w:cs="Times New Roman"/>
          <w:lang w:eastAsia="en-US"/>
        </w:rPr>
        <w:t xml:space="preserve"> </w:t>
      </w:r>
      <w:r w:rsidR="00374C56" w:rsidRPr="00D53A2B">
        <w:rPr>
          <w:rFonts w:cs="Times New Roman"/>
          <w:lang w:eastAsia="en-US"/>
        </w:rPr>
        <w:t>Atık</w:t>
      </w:r>
    </w:p>
    <w:p w14:paraId="7B9259B3" w14:textId="1DEBC8D1" w:rsidR="00374C56" w:rsidRPr="00D53A2B" w:rsidRDefault="00921606" w:rsidP="00A202FD">
      <w:pPr>
        <w:pStyle w:val="MET"/>
        <w:rPr>
          <w:szCs w:val="24"/>
        </w:rPr>
      </w:pPr>
      <w:bookmarkStart w:id="88" w:name="_Hlk522310405"/>
      <w:r w:rsidRPr="00D53A2B">
        <w:rPr>
          <w:szCs w:val="24"/>
        </w:rPr>
        <w:t>MET 85:</w:t>
      </w:r>
      <w:r w:rsidR="00A46E11" w:rsidRPr="00D53A2B">
        <w:rPr>
          <w:szCs w:val="24"/>
        </w:rPr>
        <w:t xml:space="preserve"> </w:t>
      </w:r>
      <w:r w:rsidR="00B623E9" w:rsidRPr="00D53A2B">
        <w:rPr>
          <w:b w:val="0"/>
          <w:bCs/>
          <w:szCs w:val="24"/>
        </w:rPr>
        <w:t xml:space="preserve">İkincil alüminyum üretiminde bertarafa gönderilen atık miktarını azaltmak için, proses kalıntılarının yeniden kullanımını veya bunun mümkün olmaması durumunda proses kalıntılarının geri </w:t>
      </w:r>
      <w:r w:rsidR="00E72713">
        <w:rPr>
          <w:b w:val="0"/>
          <w:bCs/>
          <w:szCs w:val="24"/>
        </w:rPr>
        <w:t>kazanımını</w:t>
      </w:r>
      <w:r w:rsidR="00B623E9" w:rsidRPr="00D53A2B">
        <w:rPr>
          <w:b w:val="0"/>
          <w:bCs/>
          <w:szCs w:val="24"/>
        </w:rPr>
        <w:t xml:space="preserve"> kolaylaştırmak için sahada operasyonlar düzenle</w:t>
      </w:r>
      <w:r w:rsidR="00A46E11" w:rsidRPr="00D53A2B">
        <w:rPr>
          <w:b w:val="0"/>
          <w:bCs/>
          <w:szCs w:val="24"/>
        </w:rPr>
        <w:t>nir</w:t>
      </w:r>
      <w:r w:rsidR="00B623E9" w:rsidRPr="00D53A2B">
        <w:rPr>
          <w:b w:val="0"/>
          <w:bCs/>
          <w:szCs w:val="24"/>
        </w:rPr>
        <w:t>; buna aşağıda verilen tekniklerden biri veya birkaçının kombinasyonu da dahildir.</w:t>
      </w:r>
    </w:p>
    <w:bookmarkEnd w:id="88"/>
    <w:tbl>
      <w:tblPr>
        <w:tblW w:w="8721" w:type="dxa"/>
        <w:tblLayout w:type="fixed"/>
        <w:tblCellMar>
          <w:left w:w="0" w:type="dxa"/>
          <w:right w:w="0" w:type="dxa"/>
        </w:tblCellMar>
        <w:tblLook w:val="01E0" w:firstRow="1" w:lastRow="1" w:firstColumn="1" w:lastColumn="1" w:noHBand="0" w:noVBand="0"/>
      </w:tblPr>
      <w:tblGrid>
        <w:gridCol w:w="521"/>
        <w:gridCol w:w="8200"/>
      </w:tblGrid>
      <w:tr w:rsidR="00374C56" w:rsidRPr="00D53A2B" w14:paraId="1EA17487"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38882801" w14:textId="77777777" w:rsidR="00374C56" w:rsidRPr="00D53A2B" w:rsidRDefault="00374C56" w:rsidP="00A202FD">
            <w:pPr>
              <w:spacing w:line="264" w:lineRule="auto"/>
              <w:ind w:left="57" w:right="57"/>
              <w:jc w:val="both"/>
              <w:rPr>
                <w:sz w:val="22"/>
                <w:szCs w:val="22"/>
                <w:lang w:eastAsia="en-US"/>
              </w:rPr>
            </w:pPr>
          </w:p>
        </w:tc>
        <w:tc>
          <w:tcPr>
            <w:tcW w:w="8200" w:type="dxa"/>
            <w:tcBorders>
              <w:top w:val="single" w:sz="4" w:space="0" w:color="000000"/>
              <w:left w:val="single" w:sz="4" w:space="0" w:color="000000"/>
              <w:bottom w:val="single" w:sz="4" w:space="0" w:color="000000"/>
              <w:right w:val="single" w:sz="4" w:space="0" w:color="000000"/>
            </w:tcBorders>
            <w:vAlign w:val="center"/>
          </w:tcPr>
          <w:p w14:paraId="5A73917E"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2ADBBEE8"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33002C2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200" w:type="dxa"/>
            <w:tcBorders>
              <w:top w:val="single" w:sz="4" w:space="0" w:color="000000"/>
              <w:left w:val="single" w:sz="4" w:space="0" w:color="000000"/>
              <w:bottom w:val="single" w:sz="4" w:space="0" w:color="000000"/>
              <w:right w:val="single" w:sz="4" w:space="0" w:color="000000"/>
            </w:tcBorders>
          </w:tcPr>
          <w:p w14:paraId="28AA5DC3" w14:textId="20BA9D3F" w:rsidR="00374C56" w:rsidRPr="00D53A2B" w:rsidRDefault="00B623E9" w:rsidP="00A202FD">
            <w:pPr>
              <w:spacing w:line="264" w:lineRule="auto"/>
              <w:ind w:left="57" w:right="57"/>
              <w:jc w:val="both"/>
              <w:rPr>
                <w:sz w:val="22"/>
                <w:szCs w:val="22"/>
                <w:lang w:eastAsia="en-US"/>
              </w:rPr>
            </w:pPr>
            <w:r w:rsidRPr="00D53A2B">
              <w:rPr>
                <w:sz w:val="22"/>
                <w:szCs w:val="22"/>
                <w:lang w:eastAsia="en-US"/>
              </w:rPr>
              <w:t>Toplanan tozu, tuz örtüsü kullanan eritme fırını prosesinde veya tuz cürufu geri kazanım prosesinde tekrar kullanı</w:t>
            </w:r>
            <w:r w:rsidR="00A46E11" w:rsidRPr="00D53A2B">
              <w:rPr>
                <w:sz w:val="22"/>
                <w:szCs w:val="22"/>
                <w:lang w:eastAsia="en-US"/>
              </w:rPr>
              <w:t>lması</w:t>
            </w:r>
          </w:p>
        </w:tc>
      </w:tr>
      <w:tr w:rsidR="00374C56" w:rsidRPr="00D53A2B" w14:paraId="360A2823"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4B37A58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200" w:type="dxa"/>
            <w:tcBorders>
              <w:top w:val="single" w:sz="4" w:space="0" w:color="000000"/>
              <w:left w:val="single" w:sz="4" w:space="0" w:color="000000"/>
              <w:bottom w:val="single" w:sz="4" w:space="0" w:color="000000"/>
              <w:right w:val="single" w:sz="4" w:space="0" w:color="000000"/>
            </w:tcBorders>
          </w:tcPr>
          <w:p w14:paraId="30D6A87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Tuzlu cürufunun tamamen geri dönüştrülmesi</w:t>
            </w:r>
          </w:p>
        </w:tc>
      </w:tr>
      <w:tr w:rsidR="00374C56" w:rsidRPr="00D53A2B" w14:paraId="280EA0EE"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3EB29C0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200" w:type="dxa"/>
            <w:tcBorders>
              <w:top w:val="single" w:sz="4" w:space="0" w:color="000000"/>
              <w:left w:val="single" w:sz="4" w:space="0" w:color="000000"/>
              <w:bottom w:val="single" w:sz="4" w:space="0" w:color="000000"/>
              <w:right w:val="single" w:sz="4" w:space="0" w:color="000000"/>
            </w:tcBorders>
          </w:tcPr>
          <w:p w14:paraId="6519C104" w14:textId="01178938"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Tuz örtü kullanılmayan fırınlarda alüminyumun geri kazanılması için </w:t>
            </w:r>
            <w:r w:rsidR="00AE2751">
              <w:rPr>
                <w:sz w:val="22"/>
                <w:szCs w:val="22"/>
                <w:lang w:eastAsia="en-US"/>
              </w:rPr>
              <w:t>cürüf ve külün işlenmesi</w:t>
            </w:r>
          </w:p>
        </w:tc>
      </w:tr>
    </w:tbl>
    <w:p w14:paraId="54408235" w14:textId="77777777" w:rsidR="00374C56" w:rsidRPr="00D53A2B" w:rsidRDefault="00374C56" w:rsidP="00A202FD">
      <w:pPr>
        <w:jc w:val="both"/>
        <w:rPr>
          <w:lang w:eastAsia="en-US"/>
        </w:rPr>
      </w:pPr>
    </w:p>
    <w:p w14:paraId="49D00A7D" w14:textId="6859CC0F" w:rsidR="00374C56" w:rsidRPr="00D53A2B" w:rsidRDefault="00921606" w:rsidP="00A202FD">
      <w:pPr>
        <w:pStyle w:val="MET"/>
        <w:rPr>
          <w:szCs w:val="24"/>
        </w:rPr>
      </w:pPr>
      <w:r w:rsidRPr="00D53A2B">
        <w:rPr>
          <w:szCs w:val="24"/>
        </w:rPr>
        <w:t>MET 86:</w:t>
      </w:r>
      <w:r w:rsidR="00B623E9" w:rsidRPr="00D53A2B">
        <w:rPr>
          <w:szCs w:val="24"/>
        </w:rPr>
        <w:t xml:space="preserve"> </w:t>
      </w:r>
      <w:r w:rsidR="00374C56" w:rsidRPr="00D53A2B">
        <w:rPr>
          <w:b w:val="0"/>
          <w:bCs/>
          <w:szCs w:val="24"/>
        </w:rPr>
        <w:t>İkincil alüminyum üretiminde üretilen tuz cüruf miktarını azaltmak için</w:t>
      </w:r>
      <w:r w:rsidR="003B684B" w:rsidRPr="00D53A2B">
        <w:rPr>
          <w:b w:val="0"/>
          <w:bCs/>
          <w:szCs w:val="24"/>
        </w:rPr>
        <w:t>,</w:t>
      </w:r>
      <w:r w:rsidR="00374C56" w:rsidRPr="00D53A2B">
        <w:rPr>
          <w:b w:val="0"/>
          <w:bCs/>
          <w:szCs w:val="24"/>
        </w:rPr>
        <w:t xml:space="preserve"> aşağıda verilen tekniklerin biri veya bir kombinasyonu</w:t>
      </w:r>
      <w:r w:rsidR="00A46E11" w:rsidRPr="00D53A2B">
        <w:rPr>
          <w:b w:val="0"/>
          <w:bCs/>
          <w:szCs w:val="24"/>
        </w:rPr>
        <w:t xml:space="preserve"> kullanılır</w:t>
      </w:r>
      <w:r w:rsidR="00374C56" w:rsidRPr="00D53A2B">
        <w:rPr>
          <w:b w:val="0"/>
          <w:bCs/>
          <w:szCs w:val="24"/>
        </w:rPr>
        <w:t>.</w:t>
      </w:r>
    </w:p>
    <w:tbl>
      <w:tblPr>
        <w:tblW w:w="8675" w:type="dxa"/>
        <w:tblLayout w:type="fixed"/>
        <w:tblCellMar>
          <w:left w:w="0" w:type="dxa"/>
          <w:right w:w="0" w:type="dxa"/>
        </w:tblCellMar>
        <w:tblLook w:val="01E0" w:firstRow="1" w:lastRow="1" w:firstColumn="1" w:lastColumn="1" w:noHBand="0" w:noVBand="0"/>
      </w:tblPr>
      <w:tblGrid>
        <w:gridCol w:w="397"/>
        <w:gridCol w:w="4706"/>
        <w:gridCol w:w="3572"/>
      </w:tblGrid>
      <w:tr w:rsidR="00374C56" w:rsidRPr="00D53A2B" w14:paraId="6171B1DC"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4D2F3214" w14:textId="77777777" w:rsidR="00374C56" w:rsidRPr="00D53A2B" w:rsidRDefault="00374C56" w:rsidP="00A202FD">
            <w:pPr>
              <w:spacing w:line="264" w:lineRule="auto"/>
              <w:ind w:left="57" w:right="57"/>
              <w:jc w:val="both"/>
              <w:rPr>
                <w:sz w:val="22"/>
                <w:szCs w:val="22"/>
                <w:lang w:eastAsia="en-US"/>
              </w:rPr>
            </w:pPr>
          </w:p>
        </w:tc>
        <w:tc>
          <w:tcPr>
            <w:tcW w:w="4706" w:type="dxa"/>
            <w:tcBorders>
              <w:top w:val="single" w:sz="4" w:space="0" w:color="000000"/>
              <w:left w:val="single" w:sz="4" w:space="0" w:color="000000"/>
              <w:bottom w:val="single" w:sz="4" w:space="0" w:color="000000"/>
              <w:right w:val="single" w:sz="4" w:space="0" w:color="000000"/>
            </w:tcBorders>
            <w:vAlign w:val="center"/>
          </w:tcPr>
          <w:p w14:paraId="26A10CD9"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3572" w:type="dxa"/>
            <w:tcBorders>
              <w:top w:val="single" w:sz="4" w:space="0" w:color="000000"/>
              <w:left w:val="single" w:sz="4" w:space="0" w:color="000000"/>
              <w:bottom w:val="single" w:sz="4" w:space="0" w:color="000000"/>
              <w:right w:val="single" w:sz="4" w:space="0" w:color="000000"/>
            </w:tcBorders>
            <w:vAlign w:val="center"/>
          </w:tcPr>
          <w:p w14:paraId="0B76A3A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65A2D9F6"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61C11D7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4706" w:type="dxa"/>
            <w:tcBorders>
              <w:top w:val="single" w:sz="4" w:space="0" w:color="000000"/>
              <w:left w:val="single" w:sz="4" w:space="0" w:color="000000"/>
              <w:bottom w:val="single" w:sz="4" w:space="0" w:color="000000"/>
              <w:right w:val="single" w:sz="4" w:space="0" w:color="000000"/>
            </w:tcBorders>
            <w:vAlign w:val="center"/>
          </w:tcPr>
          <w:p w14:paraId="489512B6" w14:textId="35CFA980" w:rsidR="00374C56" w:rsidRPr="00D53A2B" w:rsidRDefault="00B623E9" w:rsidP="00A202FD">
            <w:pPr>
              <w:spacing w:line="264" w:lineRule="auto"/>
              <w:ind w:left="57" w:right="57"/>
              <w:jc w:val="both"/>
              <w:rPr>
                <w:sz w:val="22"/>
                <w:szCs w:val="22"/>
                <w:lang w:eastAsia="en-US"/>
              </w:rPr>
            </w:pPr>
            <w:r w:rsidRPr="00D53A2B">
              <w:rPr>
                <w:sz w:val="22"/>
                <w:szCs w:val="22"/>
                <w:lang w:eastAsia="en-US"/>
              </w:rPr>
              <w:t>Alüminyumun diğer bileşenlerle karıştırıldığı hurdalarda, alüminyum dışındaki metaller ile metalik olmayan bileşenlerin ayrılması yoluyla kullanılan hammaddenin kalitesinin artırılması.</w:t>
            </w:r>
          </w:p>
        </w:tc>
        <w:tc>
          <w:tcPr>
            <w:tcW w:w="3572" w:type="dxa"/>
            <w:tcBorders>
              <w:top w:val="single" w:sz="4" w:space="0" w:color="000000"/>
              <w:left w:val="single" w:sz="4" w:space="0" w:color="000000"/>
              <w:bottom w:val="single" w:sz="4" w:space="0" w:color="000000"/>
              <w:right w:val="single" w:sz="4" w:space="0" w:color="000000"/>
            </w:tcBorders>
            <w:vAlign w:val="center"/>
          </w:tcPr>
          <w:p w14:paraId="19FBA2D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17BB64B6"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339093A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4706" w:type="dxa"/>
            <w:tcBorders>
              <w:top w:val="single" w:sz="4" w:space="0" w:color="000000"/>
              <w:left w:val="single" w:sz="4" w:space="0" w:color="000000"/>
              <w:bottom w:val="single" w:sz="4" w:space="0" w:color="000000"/>
              <w:right w:val="single" w:sz="4" w:space="0" w:color="000000"/>
            </w:tcBorders>
            <w:vAlign w:val="center"/>
          </w:tcPr>
          <w:p w14:paraId="4C7C321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Eritmeden önce kontamine talaşlardan yağ ve organik bileşenlerin çıkarılması</w:t>
            </w:r>
          </w:p>
        </w:tc>
        <w:tc>
          <w:tcPr>
            <w:tcW w:w="3572" w:type="dxa"/>
            <w:tcBorders>
              <w:top w:val="single" w:sz="4" w:space="0" w:color="000000"/>
              <w:left w:val="single" w:sz="4" w:space="0" w:color="000000"/>
              <w:bottom w:val="single" w:sz="4" w:space="0" w:color="000000"/>
              <w:right w:val="single" w:sz="4" w:space="0" w:color="000000"/>
            </w:tcBorders>
            <w:vAlign w:val="center"/>
          </w:tcPr>
          <w:p w14:paraId="539BB6A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4E9FE824"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0B13628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4706" w:type="dxa"/>
            <w:tcBorders>
              <w:top w:val="single" w:sz="4" w:space="0" w:color="000000"/>
              <w:left w:val="single" w:sz="4" w:space="0" w:color="000000"/>
              <w:bottom w:val="single" w:sz="4" w:space="0" w:color="000000"/>
              <w:right w:val="single" w:sz="4" w:space="0" w:color="000000"/>
            </w:tcBorders>
            <w:vAlign w:val="center"/>
          </w:tcPr>
          <w:p w14:paraId="01B68DD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Metal pompalama veya karıştırma</w:t>
            </w:r>
          </w:p>
        </w:tc>
        <w:tc>
          <w:tcPr>
            <w:tcW w:w="3572" w:type="dxa"/>
            <w:tcBorders>
              <w:top w:val="single" w:sz="4" w:space="0" w:color="000000"/>
              <w:left w:val="single" w:sz="4" w:space="0" w:color="000000"/>
              <w:bottom w:val="single" w:sz="4" w:space="0" w:color="000000"/>
              <w:right w:val="single" w:sz="4" w:space="0" w:color="000000"/>
            </w:tcBorders>
            <w:vAlign w:val="center"/>
          </w:tcPr>
          <w:p w14:paraId="536B18B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Döner fırınlarda uygulanamaz</w:t>
            </w:r>
          </w:p>
        </w:tc>
      </w:tr>
      <w:tr w:rsidR="00374C56" w:rsidRPr="00D53A2B" w14:paraId="1E1116AC"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67999EB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4706" w:type="dxa"/>
            <w:tcBorders>
              <w:top w:val="single" w:sz="4" w:space="0" w:color="000000"/>
              <w:left w:val="single" w:sz="4" w:space="0" w:color="000000"/>
              <w:bottom w:val="single" w:sz="4" w:space="0" w:color="000000"/>
              <w:right w:val="single" w:sz="4" w:space="0" w:color="000000"/>
            </w:tcBorders>
            <w:vAlign w:val="center"/>
          </w:tcPr>
          <w:p w14:paraId="0B6BCDEC" w14:textId="4BC855C2" w:rsidR="00374C56" w:rsidRPr="00D53A2B" w:rsidRDefault="00B623E9" w:rsidP="00A202FD">
            <w:pPr>
              <w:spacing w:line="264" w:lineRule="auto"/>
              <w:ind w:left="57" w:right="57"/>
              <w:jc w:val="both"/>
              <w:rPr>
                <w:sz w:val="22"/>
                <w:szCs w:val="22"/>
                <w:lang w:eastAsia="en-US"/>
              </w:rPr>
            </w:pPr>
            <w:r w:rsidRPr="00D53A2B">
              <w:rPr>
                <w:sz w:val="22"/>
                <w:szCs w:val="22"/>
                <w:lang w:eastAsia="en-US"/>
              </w:rPr>
              <w:t xml:space="preserve">Eğimli </w:t>
            </w:r>
            <w:r w:rsidR="00374C56" w:rsidRPr="00D53A2B">
              <w:rPr>
                <w:sz w:val="22"/>
                <w:szCs w:val="22"/>
                <w:lang w:eastAsia="en-US"/>
              </w:rPr>
              <w:t>döner fırın</w:t>
            </w:r>
          </w:p>
        </w:tc>
        <w:tc>
          <w:tcPr>
            <w:tcW w:w="3572" w:type="dxa"/>
            <w:tcBorders>
              <w:top w:val="single" w:sz="4" w:space="0" w:color="000000"/>
              <w:left w:val="single" w:sz="4" w:space="0" w:color="000000"/>
              <w:bottom w:val="single" w:sz="4" w:space="0" w:color="000000"/>
              <w:right w:val="single" w:sz="4" w:space="0" w:color="000000"/>
            </w:tcBorders>
            <w:vAlign w:val="center"/>
          </w:tcPr>
          <w:p w14:paraId="41C7839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Bu fırının kullanımında, beslemen malzemelerinin boyutları nedeniyle kısıtlamalar olabilir.</w:t>
            </w:r>
          </w:p>
        </w:tc>
      </w:tr>
    </w:tbl>
    <w:p w14:paraId="109F88E6" w14:textId="77777777" w:rsidR="00374C56" w:rsidRPr="00D53A2B" w:rsidRDefault="00374C56" w:rsidP="00A202FD">
      <w:pPr>
        <w:jc w:val="both"/>
        <w:rPr>
          <w:lang w:eastAsia="en-US"/>
        </w:rPr>
      </w:pPr>
    </w:p>
    <w:p w14:paraId="53538CCF" w14:textId="01357D4E" w:rsidR="00374C56" w:rsidRPr="00D53A2B" w:rsidRDefault="00B623E9" w:rsidP="00A202FD">
      <w:pPr>
        <w:pStyle w:val="Balk3"/>
        <w:rPr>
          <w:rFonts w:cs="Times New Roman"/>
          <w:lang w:eastAsia="en-US"/>
        </w:rPr>
      </w:pPr>
      <w:r w:rsidRPr="00D53A2B">
        <w:rPr>
          <w:rFonts w:cs="Times New Roman"/>
          <w:lang w:eastAsia="en-US"/>
        </w:rPr>
        <w:t>1.</w:t>
      </w:r>
      <w:r w:rsidR="00374C56" w:rsidRPr="00D53A2B">
        <w:rPr>
          <w:rFonts w:cs="Times New Roman"/>
          <w:lang w:eastAsia="en-US"/>
        </w:rPr>
        <w:t>3.5.</w:t>
      </w:r>
      <w:r w:rsidRPr="00D53A2B">
        <w:rPr>
          <w:rFonts w:cs="Times New Roman"/>
          <w:lang w:eastAsia="en-US"/>
        </w:rPr>
        <w:t xml:space="preserve"> </w:t>
      </w:r>
      <w:r w:rsidR="00374C56" w:rsidRPr="00D53A2B">
        <w:rPr>
          <w:rFonts w:cs="Times New Roman"/>
          <w:lang w:eastAsia="en-US"/>
        </w:rPr>
        <w:t>Tuz cüruf</w:t>
      </w:r>
      <w:r w:rsidRPr="00D53A2B">
        <w:rPr>
          <w:rFonts w:cs="Times New Roman"/>
          <w:lang w:eastAsia="en-US"/>
        </w:rPr>
        <w:t>u</w:t>
      </w:r>
      <w:r w:rsidR="00374C56" w:rsidRPr="00D53A2B">
        <w:rPr>
          <w:rFonts w:cs="Times New Roman"/>
          <w:lang w:eastAsia="en-US"/>
        </w:rPr>
        <w:t xml:space="preserve"> geri </w:t>
      </w:r>
      <w:r w:rsidR="0032547C">
        <w:rPr>
          <w:rFonts w:cs="Times New Roman"/>
          <w:lang w:eastAsia="en-US"/>
        </w:rPr>
        <w:t>kazanım</w:t>
      </w:r>
      <w:r w:rsidR="00374C56" w:rsidRPr="00D53A2B">
        <w:rPr>
          <w:rFonts w:cs="Times New Roman"/>
          <w:lang w:eastAsia="en-US"/>
        </w:rPr>
        <w:t xml:space="preserve"> prosesi</w:t>
      </w:r>
    </w:p>
    <w:p w14:paraId="02454497" w14:textId="5392D42E" w:rsidR="00B623E9" w:rsidRPr="00D53A2B" w:rsidRDefault="00B623E9"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3.5.1.</w:t>
      </w:r>
      <w:r w:rsidRPr="00D53A2B">
        <w:rPr>
          <w:rFonts w:cs="Times New Roman"/>
          <w:lang w:eastAsia="en-US"/>
        </w:rPr>
        <w:t xml:space="preserve"> </w:t>
      </w:r>
      <w:r w:rsidR="00374C56" w:rsidRPr="00D53A2B">
        <w:rPr>
          <w:rFonts w:cs="Times New Roman"/>
          <w:lang w:eastAsia="en-US"/>
        </w:rPr>
        <w:t>Yayılı emisyonları</w:t>
      </w:r>
    </w:p>
    <w:p w14:paraId="1023913C" w14:textId="31034AD7" w:rsidR="00374C56" w:rsidRPr="00D53A2B" w:rsidRDefault="00921606" w:rsidP="00A202FD">
      <w:pPr>
        <w:pStyle w:val="MET"/>
        <w:rPr>
          <w:szCs w:val="24"/>
        </w:rPr>
      </w:pPr>
      <w:r w:rsidRPr="00D53A2B">
        <w:rPr>
          <w:szCs w:val="24"/>
        </w:rPr>
        <w:t>MET 87:</w:t>
      </w:r>
      <w:r w:rsidR="00B623E9" w:rsidRPr="00D53A2B">
        <w:rPr>
          <w:szCs w:val="24"/>
        </w:rPr>
        <w:t xml:space="preserve"> </w:t>
      </w:r>
      <w:r w:rsidR="00374C56" w:rsidRPr="00D53A2B">
        <w:rPr>
          <w:b w:val="0"/>
          <w:bCs/>
          <w:szCs w:val="24"/>
        </w:rPr>
        <w:t>Tuz</w:t>
      </w:r>
      <w:r w:rsidR="00B623E9" w:rsidRPr="00D53A2B">
        <w:rPr>
          <w:b w:val="0"/>
          <w:bCs/>
          <w:szCs w:val="24"/>
        </w:rPr>
        <w:t xml:space="preserve"> </w:t>
      </w:r>
      <w:r w:rsidR="00374C56" w:rsidRPr="00D53A2B">
        <w:rPr>
          <w:b w:val="0"/>
          <w:bCs/>
          <w:szCs w:val="24"/>
        </w:rPr>
        <w:t xml:space="preserve">cürufun geri </w:t>
      </w:r>
      <w:r w:rsidR="0032547C">
        <w:rPr>
          <w:b w:val="0"/>
          <w:bCs/>
          <w:szCs w:val="24"/>
        </w:rPr>
        <w:t>kazanılması</w:t>
      </w:r>
      <w:r w:rsidR="00374C56" w:rsidRPr="00D53A2B">
        <w:rPr>
          <w:b w:val="0"/>
          <w:bCs/>
          <w:szCs w:val="24"/>
        </w:rPr>
        <w:t xml:space="preserve"> sırasında oluşan Yayılı emisyonlarını azaltmak için aşağıda verilen tekniklerin biri ya da her ikisi kullanılır.</w:t>
      </w:r>
    </w:p>
    <w:tbl>
      <w:tblPr>
        <w:tblW w:w="8721" w:type="dxa"/>
        <w:tblLayout w:type="fixed"/>
        <w:tblCellMar>
          <w:left w:w="0" w:type="dxa"/>
          <w:right w:w="0" w:type="dxa"/>
        </w:tblCellMar>
        <w:tblLook w:val="01E0" w:firstRow="1" w:lastRow="1" w:firstColumn="1" w:lastColumn="1" w:noHBand="0" w:noVBand="0"/>
      </w:tblPr>
      <w:tblGrid>
        <w:gridCol w:w="521"/>
        <w:gridCol w:w="8200"/>
      </w:tblGrid>
      <w:tr w:rsidR="00374C56" w:rsidRPr="00D53A2B" w14:paraId="5FFD422D"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3F8759ED" w14:textId="77777777" w:rsidR="00374C56" w:rsidRPr="00D53A2B" w:rsidRDefault="00374C56" w:rsidP="00A202FD">
            <w:pPr>
              <w:spacing w:line="264" w:lineRule="auto"/>
              <w:ind w:left="57" w:right="57"/>
              <w:jc w:val="both"/>
              <w:rPr>
                <w:sz w:val="22"/>
                <w:szCs w:val="22"/>
                <w:lang w:eastAsia="en-US"/>
              </w:rPr>
            </w:pPr>
          </w:p>
        </w:tc>
        <w:tc>
          <w:tcPr>
            <w:tcW w:w="8200" w:type="dxa"/>
            <w:tcBorders>
              <w:top w:val="single" w:sz="4" w:space="0" w:color="000000"/>
              <w:left w:val="single" w:sz="4" w:space="0" w:color="000000"/>
              <w:bottom w:val="single" w:sz="4" w:space="0" w:color="000000"/>
              <w:right w:val="single" w:sz="4" w:space="0" w:color="000000"/>
            </w:tcBorders>
            <w:vAlign w:val="center"/>
          </w:tcPr>
          <w:p w14:paraId="4691BC9A"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09527B3D"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11E0973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200" w:type="dxa"/>
            <w:tcBorders>
              <w:top w:val="single" w:sz="4" w:space="0" w:color="000000"/>
              <w:left w:val="single" w:sz="4" w:space="0" w:color="000000"/>
              <w:bottom w:val="single" w:sz="4" w:space="0" w:color="000000"/>
              <w:right w:val="single" w:sz="4" w:space="0" w:color="000000"/>
            </w:tcBorders>
          </w:tcPr>
          <w:p w14:paraId="7015A47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Tesisatın etrafının bir filtreleme sistemine bağlı hava tahliye sistemi olacak şekilde kapatılması</w:t>
            </w:r>
          </w:p>
        </w:tc>
      </w:tr>
      <w:tr w:rsidR="00374C56" w:rsidRPr="00D53A2B" w14:paraId="55020E2C" w14:textId="77777777" w:rsidTr="00374C56">
        <w:tc>
          <w:tcPr>
            <w:tcW w:w="521" w:type="dxa"/>
            <w:tcBorders>
              <w:top w:val="single" w:sz="4" w:space="0" w:color="000000"/>
              <w:left w:val="single" w:sz="4" w:space="0" w:color="000000"/>
              <w:bottom w:val="single" w:sz="4" w:space="0" w:color="000000"/>
              <w:right w:val="single" w:sz="4" w:space="0" w:color="000000"/>
            </w:tcBorders>
            <w:vAlign w:val="center"/>
          </w:tcPr>
          <w:p w14:paraId="3C4E942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200" w:type="dxa"/>
            <w:tcBorders>
              <w:top w:val="single" w:sz="4" w:space="0" w:color="000000"/>
              <w:left w:val="single" w:sz="4" w:space="0" w:color="000000"/>
              <w:bottom w:val="single" w:sz="4" w:space="0" w:color="000000"/>
              <w:right w:val="single" w:sz="4" w:space="0" w:color="000000"/>
            </w:tcBorders>
          </w:tcPr>
          <w:p w14:paraId="2D95559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Bir filtreleme sistemine bağlı hava tahliye sistemi olan davlumbaz</w:t>
            </w:r>
          </w:p>
        </w:tc>
      </w:tr>
    </w:tbl>
    <w:p w14:paraId="4AE69948" w14:textId="77777777" w:rsidR="00374C56" w:rsidRPr="00D53A2B" w:rsidRDefault="00374C56" w:rsidP="00A202FD">
      <w:pPr>
        <w:jc w:val="both"/>
        <w:rPr>
          <w:lang w:eastAsia="en-US"/>
        </w:rPr>
      </w:pPr>
    </w:p>
    <w:p w14:paraId="0B933D32" w14:textId="413C2E18" w:rsidR="00374C56" w:rsidRPr="00D53A2B" w:rsidRDefault="00B623E9"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3.5.2.</w:t>
      </w:r>
      <w:r w:rsidRPr="00D53A2B">
        <w:rPr>
          <w:rFonts w:cs="Times New Roman"/>
          <w:lang w:eastAsia="en-US"/>
        </w:rPr>
        <w:t xml:space="preserve"> </w:t>
      </w:r>
      <w:r w:rsidR="00374C56" w:rsidRPr="00D53A2B">
        <w:rPr>
          <w:rFonts w:cs="Times New Roman"/>
          <w:lang w:eastAsia="en-US"/>
        </w:rPr>
        <w:t>Kanalize edilmiş toz emisyonları</w:t>
      </w:r>
    </w:p>
    <w:p w14:paraId="2A9F5911" w14:textId="10A88D7C" w:rsidR="00374C56" w:rsidRPr="00D53A2B" w:rsidRDefault="00921606" w:rsidP="00A202FD">
      <w:pPr>
        <w:pStyle w:val="MET"/>
        <w:rPr>
          <w:szCs w:val="24"/>
        </w:rPr>
      </w:pPr>
      <w:r w:rsidRPr="00D53A2B">
        <w:rPr>
          <w:szCs w:val="24"/>
        </w:rPr>
        <w:t>MET 88:</w:t>
      </w:r>
      <w:r w:rsidR="00B623E9" w:rsidRPr="00D53A2B">
        <w:rPr>
          <w:szCs w:val="24"/>
        </w:rPr>
        <w:t xml:space="preserve"> </w:t>
      </w:r>
      <w:r w:rsidR="00B623E9" w:rsidRPr="00D53A2B">
        <w:rPr>
          <w:b w:val="0"/>
          <w:bCs/>
          <w:szCs w:val="24"/>
        </w:rPr>
        <w:t>Tuz cürufu geri kazanımı prosesiyle ilişkili kırma ve kuru öğütme işlemlerinden kaynaklanan toz ve metal emisyonlarını havaya azaltmak için torba filtre kullan</w:t>
      </w:r>
      <w:r w:rsidR="004F4B70" w:rsidRPr="00D53A2B">
        <w:rPr>
          <w:b w:val="0"/>
          <w:bCs/>
          <w:szCs w:val="24"/>
        </w:rPr>
        <w:t>ılır</w:t>
      </w:r>
      <w:r w:rsidR="00B623E9" w:rsidRPr="00D53A2B">
        <w:rPr>
          <w:b w:val="0"/>
          <w:bCs/>
          <w:szCs w:val="24"/>
        </w:rPr>
        <w:t>.</w:t>
      </w:r>
    </w:p>
    <w:p w14:paraId="3E28B9F7"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20.</w:t>
      </w:r>
    </w:p>
    <w:p w14:paraId="2D001522" w14:textId="77777777" w:rsidR="001023C7" w:rsidRPr="00D53A2B" w:rsidRDefault="00374C56" w:rsidP="00A202FD">
      <w:pPr>
        <w:jc w:val="both"/>
        <w:rPr>
          <w:lang w:eastAsia="en-US"/>
        </w:rPr>
      </w:pPr>
      <w:bookmarkStart w:id="89" w:name="_Toc531927961"/>
      <w:r w:rsidRPr="00D53A2B">
        <w:rPr>
          <w:lang w:eastAsia="en-US"/>
        </w:rPr>
        <w:t xml:space="preserve">Tablo </w:t>
      </w:r>
      <w:r w:rsidRPr="00D53A2B">
        <w:rPr>
          <w:noProof/>
          <w:lang w:eastAsia="en-US"/>
        </w:rPr>
        <w:t>20</w:t>
      </w:r>
      <w:bookmarkEnd w:id="89"/>
    </w:p>
    <w:p w14:paraId="3B731BF0" w14:textId="3923C9C3" w:rsidR="00374C56" w:rsidRPr="00D53A2B" w:rsidRDefault="00A55731" w:rsidP="00A202FD">
      <w:pPr>
        <w:jc w:val="both"/>
        <w:rPr>
          <w:lang w:eastAsia="en-US"/>
        </w:rPr>
      </w:pPr>
      <w:r w:rsidRPr="00D53A2B">
        <w:rPr>
          <w:lang w:eastAsia="en-US"/>
        </w:rPr>
        <w:t xml:space="preserve">Tuz cürufu geri kazanımı prosesiyle ilişkili kırma ve kuru öğütme işlemlerinden kaynaklanan havaya toz emisyonları için </w:t>
      </w:r>
      <w:r w:rsidR="004F4B70" w:rsidRPr="00D53A2B">
        <w:rPr>
          <w:lang w:eastAsia="en-US"/>
        </w:rPr>
        <w:t>MET</w:t>
      </w:r>
      <w:r w:rsidRPr="00D53A2B">
        <w:rPr>
          <w:lang w:eastAsia="en-US"/>
        </w:rPr>
        <w:t xml:space="preserve"> ile ilişkili emisyon seviyeleri.</w:t>
      </w:r>
    </w:p>
    <w:tbl>
      <w:tblPr>
        <w:tblW w:w="0" w:type="auto"/>
        <w:tblLayout w:type="fixed"/>
        <w:tblCellMar>
          <w:left w:w="0" w:type="dxa"/>
          <w:right w:w="0" w:type="dxa"/>
        </w:tblCellMar>
        <w:tblLook w:val="01E0" w:firstRow="1" w:lastRow="1" w:firstColumn="1" w:lastColumn="1" w:noHBand="0" w:noVBand="0"/>
      </w:tblPr>
      <w:tblGrid>
        <w:gridCol w:w="2098"/>
        <w:gridCol w:w="6463"/>
      </w:tblGrid>
      <w:tr w:rsidR="00374C56" w:rsidRPr="00D53A2B" w14:paraId="2887D1CD"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4A038C8B"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463" w:type="dxa"/>
            <w:tcBorders>
              <w:top w:val="single" w:sz="4" w:space="0" w:color="000000"/>
              <w:left w:val="single" w:sz="4" w:space="0" w:color="000000"/>
              <w:bottom w:val="single" w:sz="4" w:space="0" w:color="000000"/>
              <w:right w:val="single" w:sz="4" w:space="0" w:color="000000"/>
            </w:tcBorders>
            <w:vAlign w:val="center"/>
          </w:tcPr>
          <w:p w14:paraId="05339FD8"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xml:space="preserve">)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10224BE4"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7D885F0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6463" w:type="dxa"/>
            <w:tcBorders>
              <w:top w:val="single" w:sz="4" w:space="0" w:color="000000"/>
              <w:left w:val="single" w:sz="4" w:space="0" w:color="000000"/>
              <w:bottom w:val="single" w:sz="4" w:space="0" w:color="000000"/>
              <w:right w:val="single" w:sz="4" w:space="0" w:color="000000"/>
            </w:tcBorders>
          </w:tcPr>
          <w:p w14:paraId="73B2097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w:t>
            </w:r>
          </w:p>
        </w:tc>
      </w:tr>
      <w:tr w:rsidR="00374C56" w:rsidRPr="00D53A2B" w14:paraId="5F7C20BC" w14:textId="77777777" w:rsidTr="00374C56">
        <w:tc>
          <w:tcPr>
            <w:tcW w:w="8561" w:type="dxa"/>
            <w:gridSpan w:val="2"/>
            <w:tcBorders>
              <w:top w:val="single" w:sz="4" w:space="0" w:color="000000"/>
              <w:left w:val="single" w:sz="4" w:space="0" w:color="000000"/>
              <w:bottom w:val="single" w:sz="4" w:space="0" w:color="000000"/>
              <w:right w:val="single" w:sz="4" w:space="0" w:color="000000"/>
            </w:tcBorders>
            <w:vAlign w:val="center"/>
          </w:tcPr>
          <w:p w14:paraId="0EC610B8" w14:textId="10E0C555" w:rsidR="00374C56" w:rsidRPr="009077F5" w:rsidRDefault="00374C56" w:rsidP="00A202FD">
            <w:pPr>
              <w:jc w:val="both"/>
              <w:rPr>
                <w:bCs/>
                <w:spacing w:val="2"/>
                <w:sz w:val="20"/>
                <w:szCs w:val="20"/>
                <w:lang w:eastAsia="en-US"/>
              </w:rPr>
            </w:pPr>
            <w:r w:rsidRPr="009077F5">
              <w:rPr>
                <w:bCs/>
                <w:spacing w:val="2"/>
                <w:sz w:val="20"/>
                <w:szCs w:val="20"/>
                <w:lang w:eastAsia="en-US"/>
              </w:rPr>
              <w:t>(</w:t>
            </w:r>
            <w:r w:rsidRPr="009077F5">
              <w:rPr>
                <w:bCs/>
                <w:spacing w:val="2"/>
                <w:sz w:val="20"/>
                <w:szCs w:val="20"/>
                <w:vertAlign w:val="superscript"/>
                <w:lang w:eastAsia="en-US"/>
              </w:rPr>
              <w:t>1</w:t>
            </w:r>
            <w:r w:rsidRPr="009077F5">
              <w:rPr>
                <w:bCs/>
                <w:spacing w:val="2"/>
                <w:sz w:val="20"/>
                <w:szCs w:val="20"/>
                <w:lang w:eastAsia="en-US"/>
              </w:rPr>
              <w:t xml:space="preserve">) Günlük ortalama ya da </w:t>
            </w:r>
            <w:r w:rsidR="007847FF" w:rsidRPr="009077F5">
              <w:rPr>
                <w:rStyle w:val="Gvdemetni3a"/>
                <w:sz w:val="20"/>
                <w:szCs w:val="20"/>
              </w:rPr>
              <w:t>numune alma</w:t>
            </w:r>
            <w:r w:rsidRPr="009077F5">
              <w:rPr>
                <w:bCs/>
                <w:spacing w:val="2"/>
                <w:sz w:val="20"/>
                <w:szCs w:val="20"/>
                <w:lang w:eastAsia="en-US"/>
              </w:rPr>
              <w:t xml:space="preserve"> periyodu boyunca ortalama.</w:t>
            </w:r>
          </w:p>
        </w:tc>
      </w:tr>
    </w:tbl>
    <w:p w14:paraId="3800A77C" w14:textId="77777777" w:rsidR="00374C56" w:rsidRPr="00D53A2B" w:rsidRDefault="00374C56" w:rsidP="00A202FD">
      <w:pPr>
        <w:jc w:val="both"/>
        <w:rPr>
          <w:lang w:eastAsia="en-US"/>
        </w:rPr>
      </w:pPr>
    </w:p>
    <w:p w14:paraId="31FAE2A9" w14:textId="264AFCBE" w:rsidR="004F4B70" w:rsidRPr="00D53A2B" w:rsidRDefault="004F4B70"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2D0F4763" w14:textId="77777777" w:rsidR="00374C56" w:rsidRPr="00D53A2B" w:rsidRDefault="00374C56" w:rsidP="00A202FD">
      <w:pPr>
        <w:jc w:val="both"/>
        <w:rPr>
          <w:lang w:eastAsia="en-US"/>
        </w:rPr>
      </w:pPr>
    </w:p>
    <w:p w14:paraId="3E3275EF" w14:textId="2D059D6D" w:rsidR="00374C56" w:rsidRPr="00D53A2B" w:rsidRDefault="005D2D13" w:rsidP="00A202FD">
      <w:pPr>
        <w:pStyle w:val="Balk4"/>
        <w:rPr>
          <w:rFonts w:eastAsia="Arial" w:cs="Times New Roman"/>
          <w:lang w:eastAsia="en-US"/>
        </w:rPr>
      </w:pPr>
      <w:r w:rsidRPr="00D53A2B">
        <w:rPr>
          <w:rFonts w:eastAsia="Arial" w:cs="Times New Roman"/>
          <w:lang w:eastAsia="en-US"/>
        </w:rPr>
        <w:t>1.</w:t>
      </w:r>
      <w:r w:rsidR="00374C56" w:rsidRPr="00D53A2B">
        <w:rPr>
          <w:rFonts w:eastAsia="Arial" w:cs="Times New Roman"/>
          <w:lang w:eastAsia="en-US"/>
        </w:rPr>
        <w:t>3.5.3.</w:t>
      </w:r>
      <w:r w:rsidRPr="00D53A2B">
        <w:rPr>
          <w:rFonts w:eastAsia="Arial" w:cs="Times New Roman"/>
          <w:lang w:eastAsia="en-US"/>
        </w:rPr>
        <w:t xml:space="preserve"> </w:t>
      </w:r>
      <w:r w:rsidR="00374C56" w:rsidRPr="00D53A2B">
        <w:rPr>
          <w:rFonts w:eastAsia="Arial" w:cs="Times New Roman"/>
          <w:lang w:eastAsia="en-US"/>
        </w:rPr>
        <w:t>Gaz halindeki bileşikler</w:t>
      </w:r>
    </w:p>
    <w:p w14:paraId="30E32AEA" w14:textId="606F809D" w:rsidR="00374C56" w:rsidRPr="00D53A2B" w:rsidRDefault="00921606" w:rsidP="00A202FD">
      <w:pPr>
        <w:pStyle w:val="MET"/>
        <w:rPr>
          <w:szCs w:val="24"/>
        </w:rPr>
      </w:pPr>
      <w:r w:rsidRPr="00D53A2B">
        <w:rPr>
          <w:szCs w:val="24"/>
        </w:rPr>
        <w:t>MET 89:</w:t>
      </w:r>
      <w:r w:rsidR="005D2D13" w:rsidRPr="00D53A2B">
        <w:rPr>
          <w:szCs w:val="24"/>
        </w:rPr>
        <w:t xml:space="preserve"> </w:t>
      </w:r>
      <w:r w:rsidR="00374C56" w:rsidRPr="00D53A2B">
        <w:rPr>
          <w:b w:val="0"/>
          <w:bCs/>
          <w:szCs w:val="24"/>
        </w:rPr>
        <w:t>Tuz cürufun geri kazanılmasındaki ıslak öğütme ve liç prosesleri sırasında ortaya çık</w:t>
      </w:r>
      <w:r w:rsidR="005D2D13" w:rsidRPr="00D53A2B">
        <w:rPr>
          <w:b w:val="0"/>
          <w:bCs/>
          <w:szCs w:val="24"/>
        </w:rPr>
        <w:t>an</w:t>
      </w:r>
      <w:r w:rsidR="00374C56" w:rsidRPr="00D53A2B">
        <w:rPr>
          <w:b w:val="0"/>
          <w:bCs/>
          <w:szCs w:val="24"/>
        </w:rPr>
        <w:t xml:space="preserve"> havaya </w:t>
      </w:r>
      <w:r w:rsidR="005D2D13" w:rsidRPr="00D53A2B">
        <w:rPr>
          <w:b w:val="0"/>
          <w:bCs/>
          <w:szCs w:val="24"/>
        </w:rPr>
        <w:t>salınan</w:t>
      </w:r>
      <w:r w:rsidR="00374C56" w:rsidRPr="00D53A2B">
        <w:rPr>
          <w:b w:val="0"/>
          <w:bCs/>
          <w:szCs w:val="24"/>
        </w:rPr>
        <w:t xml:space="preserve"> gaz emisyonların azaltılması için aşağıda verilen tekniklerin biri veya bir kombinasyonu kullanıl</w:t>
      </w:r>
      <w:r w:rsidR="004F4B70" w:rsidRPr="00D53A2B">
        <w:rPr>
          <w:b w:val="0"/>
          <w:bCs/>
          <w:szCs w:val="24"/>
        </w:rPr>
        <w:t>ı</w:t>
      </w:r>
      <w:r w:rsidR="00374C56" w:rsidRPr="00D53A2B">
        <w:rPr>
          <w:b w:val="0"/>
          <w:bCs/>
          <w:szCs w:val="24"/>
        </w:rPr>
        <w:t>r.</w:t>
      </w:r>
    </w:p>
    <w:tbl>
      <w:tblPr>
        <w:tblW w:w="8500" w:type="dxa"/>
        <w:tblLayout w:type="fixed"/>
        <w:tblCellMar>
          <w:left w:w="0" w:type="dxa"/>
          <w:right w:w="0" w:type="dxa"/>
        </w:tblCellMar>
        <w:tblLook w:val="01E0" w:firstRow="1" w:lastRow="1" w:firstColumn="1" w:lastColumn="1" w:noHBand="0" w:noVBand="0"/>
      </w:tblPr>
      <w:tblGrid>
        <w:gridCol w:w="468"/>
        <w:gridCol w:w="8032"/>
      </w:tblGrid>
      <w:tr w:rsidR="00374C56" w:rsidRPr="00D53A2B" w14:paraId="18DCC3E5" w14:textId="77777777" w:rsidTr="00374C56">
        <w:tc>
          <w:tcPr>
            <w:tcW w:w="468" w:type="dxa"/>
            <w:tcBorders>
              <w:top w:val="single" w:sz="4" w:space="0" w:color="000000"/>
              <w:left w:val="single" w:sz="4" w:space="0" w:color="000000"/>
              <w:bottom w:val="single" w:sz="4" w:space="0" w:color="000000"/>
              <w:right w:val="single" w:sz="4" w:space="0" w:color="000000"/>
            </w:tcBorders>
          </w:tcPr>
          <w:p w14:paraId="15F22BBA" w14:textId="77777777" w:rsidR="00374C56" w:rsidRPr="00D53A2B" w:rsidRDefault="00374C56" w:rsidP="00A202FD">
            <w:pPr>
              <w:spacing w:line="264" w:lineRule="auto"/>
              <w:ind w:left="57" w:right="57"/>
              <w:jc w:val="both"/>
              <w:rPr>
                <w:sz w:val="22"/>
                <w:szCs w:val="22"/>
                <w:lang w:eastAsia="en-US"/>
              </w:rPr>
            </w:pPr>
          </w:p>
        </w:tc>
        <w:tc>
          <w:tcPr>
            <w:tcW w:w="8032" w:type="dxa"/>
            <w:tcBorders>
              <w:top w:val="single" w:sz="4" w:space="0" w:color="000000"/>
              <w:left w:val="single" w:sz="4" w:space="0" w:color="000000"/>
              <w:bottom w:val="single" w:sz="4" w:space="0" w:color="000000"/>
              <w:right w:val="single" w:sz="4" w:space="0" w:color="000000"/>
            </w:tcBorders>
            <w:vAlign w:val="center"/>
          </w:tcPr>
          <w:p w14:paraId="06843473"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 (</w:t>
            </w:r>
            <w:r w:rsidRPr="00D53A2B">
              <w:rPr>
                <w:b/>
                <w:bCs/>
                <w:sz w:val="22"/>
                <w:szCs w:val="22"/>
                <w:vertAlign w:val="superscript"/>
                <w:lang w:eastAsia="en-US"/>
              </w:rPr>
              <w:t>1</w:t>
            </w:r>
            <w:r w:rsidRPr="00D53A2B">
              <w:rPr>
                <w:b/>
                <w:bCs/>
                <w:sz w:val="22"/>
                <w:szCs w:val="22"/>
                <w:lang w:eastAsia="en-US"/>
              </w:rPr>
              <w:t>)</w:t>
            </w:r>
          </w:p>
        </w:tc>
      </w:tr>
      <w:tr w:rsidR="00374C56" w:rsidRPr="00D53A2B" w14:paraId="5DFEEA4D" w14:textId="77777777" w:rsidTr="00374C56">
        <w:tc>
          <w:tcPr>
            <w:tcW w:w="468" w:type="dxa"/>
            <w:tcBorders>
              <w:top w:val="single" w:sz="4" w:space="0" w:color="000000"/>
              <w:left w:val="single" w:sz="4" w:space="0" w:color="000000"/>
              <w:bottom w:val="single" w:sz="4" w:space="0" w:color="000000"/>
              <w:right w:val="single" w:sz="4" w:space="0" w:color="000000"/>
            </w:tcBorders>
            <w:vAlign w:val="center"/>
          </w:tcPr>
          <w:p w14:paraId="6853F0C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032" w:type="dxa"/>
            <w:tcBorders>
              <w:top w:val="single" w:sz="4" w:space="0" w:color="000000"/>
              <w:left w:val="single" w:sz="4" w:space="0" w:color="000000"/>
              <w:bottom w:val="single" w:sz="4" w:space="0" w:color="000000"/>
              <w:right w:val="single" w:sz="4" w:space="0" w:color="000000"/>
            </w:tcBorders>
          </w:tcPr>
          <w:p w14:paraId="77499C5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Aktif karbon enjeksiyonu</w:t>
            </w:r>
          </w:p>
        </w:tc>
      </w:tr>
      <w:tr w:rsidR="00374C56" w:rsidRPr="00D53A2B" w14:paraId="707603D1" w14:textId="77777777" w:rsidTr="00374C56">
        <w:tc>
          <w:tcPr>
            <w:tcW w:w="468" w:type="dxa"/>
            <w:tcBorders>
              <w:top w:val="single" w:sz="4" w:space="0" w:color="000000"/>
              <w:left w:val="single" w:sz="4" w:space="0" w:color="000000"/>
              <w:bottom w:val="single" w:sz="4" w:space="0" w:color="000000"/>
              <w:right w:val="single" w:sz="4" w:space="0" w:color="000000"/>
            </w:tcBorders>
            <w:vAlign w:val="center"/>
          </w:tcPr>
          <w:p w14:paraId="176F773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032" w:type="dxa"/>
            <w:tcBorders>
              <w:top w:val="single" w:sz="4" w:space="0" w:color="000000"/>
              <w:left w:val="single" w:sz="4" w:space="0" w:color="000000"/>
              <w:bottom w:val="single" w:sz="4" w:space="0" w:color="000000"/>
              <w:right w:val="single" w:sz="4" w:space="0" w:color="000000"/>
            </w:tcBorders>
          </w:tcPr>
          <w:p w14:paraId="2A3C903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Art-yakıcı</w:t>
            </w:r>
          </w:p>
        </w:tc>
      </w:tr>
      <w:tr w:rsidR="00374C56" w:rsidRPr="00D53A2B" w14:paraId="7E4E98EF" w14:textId="77777777" w:rsidTr="00374C56">
        <w:tc>
          <w:tcPr>
            <w:tcW w:w="468" w:type="dxa"/>
            <w:tcBorders>
              <w:top w:val="single" w:sz="4" w:space="0" w:color="000000"/>
              <w:left w:val="single" w:sz="4" w:space="0" w:color="000000"/>
              <w:bottom w:val="single" w:sz="4" w:space="0" w:color="000000"/>
              <w:right w:val="single" w:sz="4" w:space="0" w:color="000000"/>
            </w:tcBorders>
            <w:vAlign w:val="center"/>
          </w:tcPr>
          <w:p w14:paraId="7A7D67B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032" w:type="dxa"/>
            <w:tcBorders>
              <w:top w:val="single" w:sz="4" w:space="0" w:color="000000"/>
              <w:left w:val="single" w:sz="4" w:space="0" w:color="000000"/>
              <w:bottom w:val="single" w:sz="4" w:space="0" w:color="000000"/>
              <w:right w:val="single" w:sz="4" w:space="0" w:color="000000"/>
            </w:tcBorders>
          </w:tcPr>
          <w:p w14:paraId="38004B1E" w14:textId="30A5E778" w:rsidR="00374C56" w:rsidRPr="00D53A2B" w:rsidRDefault="00374C56" w:rsidP="00A202FD">
            <w:pPr>
              <w:spacing w:line="264" w:lineRule="auto"/>
              <w:ind w:left="57" w:right="57"/>
              <w:jc w:val="both"/>
              <w:rPr>
                <w:sz w:val="22"/>
                <w:szCs w:val="22"/>
                <w:lang w:eastAsia="en-US"/>
              </w:rPr>
            </w:pPr>
            <w:r w:rsidRPr="00D53A2B">
              <w:rPr>
                <w:sz w:val="22"/>
                <w:szCs w:val="22"/>
                <w:lang w:eastAsia="en-US"/>
              </w:rPr>
              <w:t>H</w:t>
            </w:r>
            <w:r w:rsidRPr="00D53A2B">
              <w:rPr>
                <w:sz w:val="22"/>
                <w:szCs w:val="22"/>
                <w:vertAlign w:val="subscript"/>
                <w:lang w:eastAsia="en-US"/>
              </w:rPr>
              <w:t>2</w:t>
            </w:r>
            <w:r w:rsidRPr="00D53A2B">
              <w:rPr>
                <w:sz w:val="22"/>
                <w:szCs w:val="22"/>
                <w:lang w:eastAsia="en-US"/>
              </w:rPr>
              <w:t>SO</w:t>
            </w:r>
            <w:r w:rsidRPr="00D53A2B">
              <w:rPr>
                <w:sz w:val="22"/>
                <w:szCs w:val="22"/>
                <w:vertAlign w:val="subscript"/>
                <w:lang w:eastAsia="en-US"/>
              </w:rPr>
              <w:t>4</w:t>
            </w:r>
            <w:r w:rsidRPr="00D53A2B">
              <w:rPr>
                <w:sz w:val="22"/>
                <w:szCs w:val="22"/>
                <w:lang w:eastAsia="en-US"/>
              </w:rPr>
              <w:t xml:space="preserve"> çözeltisinin ıslak gaz yıkayıcıda kulla</w:t>
            </w:r>
            <w:r w:rsidR="004F4B70" w:rsidRPr="00D53A2B">
              <w:rPr>
                <w:sz w:val="22"/>
                <w:szCs w:val="22"/>
                <w:lang w:eastAsia="en-US"/>
              </w:rPr>
              <w:t>n</w:t>
            </w:r>
            <w:r w:rsidRPr="00D53A2B">
              <w:rPr>
                <w:sz w:val="22"/>
                <w:szCs w:val="22"/>
                <w:lang w:eastAsia="en-US"/>
              </w:rPr>
              <w:t>ılması</w:t>
            </w:r>
          </w:p>
        </w:tc>
      </w:tr>
      <w:tr w:rsidR="00374C56" w:rsidRPr="00D53A2B" w14:paraId="52F9D7AB" w14:textId="77777777" w:rsidTr="00374C56">
        <w:tc>
          <w:tcPr>
            <w:tcW w:w="8500" w:type="dxa"/>
            <w:gridSpan w:val="2"/>
            <w:tcBorders>
              <w:top w:val="single" w:sz="4" w:space="0" w:color="000000"/>
              <w:left w:val="single" w:sz="4" w:space="0" w:color="000000"/>
              <w:bottom w:val="single" w:sz="4" w:space="0" w:color="000000"/>
              <w:right w:val="single" w:sz="4" w:space="0" w:color="000000"/>
            </w:tcBorders>
            <w:vAlign w:val="center"/>
          </w:tcPr>
          <w:p w14:paraId="284DFD44" w14:textId="09ECF11E" w:rsidR="00374C56" w:rsidRPr="009077F5" w:rsidRDefault="00374C56" w:rsidP="00A202FD">
            <w:pPr>
              <w:spacing w:line="264" w:lineRule="auto"/>
              <w:ind w:left="57" w:right="57"/>
              <w:jc w:val="both"/>
              <w:rPr>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 xml:space="preserve">) </w:t>
            </w:r>
            <w:r w:rsidRPr="009077F5">
              <w:rPr>
                <w:sz w:val="20"/>
                <w:szCs w:val="20"/>
                <w:lang w:eastAsia="en-US"/>
              </w:rPr>
              <w:t>Tekniklerin açıklamaları Bölüm 1.10</w:t>
            </w:r>
            <w:r w:rsidR="00E56504" w:rsidRPr="009077F5">
              <w:rPr>
                <w:sz w:val="20"/>
                <w:szCs w:val="20"/>
                <w:lang w:eastAsia="en-US"/>
              </w:rPr>
              <w:t>’</w:t>
            </w:r>
            <w:r w:rsidRPr="009077F5">
              <w:rPr>
                <w:sz w:val="20"/>
                <w:szCs w:val="20"/>
                <w:lang w:eastAsia="en-US"/>
              </w:rPr>
              <w:t>da verilmiştir.</w:t>
            </w:r>
          </w:p>
        </w:tc>
      </w:tr>
    </w:tbl>
    <w:p w14:paraId="55D39D47" w14:textId="77777777" w:rsidR="00374C56" w:rsidRPr="00D53A2B" w:rsidRDefault="00374C56" w:rsidP="00A202FD">
      <w:pPr>
        <w:jc w:val="both"/>
        <w:rPr>
          <w:lang w:eastAsia="en-US"/>
        </w:rPr>
      </w:pPr>
    </w:p>
    <w:p w14:paraId="324584AF" w14:textId="77777777" w:rsidR="00374C56" w:rsidRPr="00D53A2B" w:rsidRDefault="00374C56" w:rsidP="00A202FD">
      <w:pPr>
        <w:spacing w:after="30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21.</w:t>
      </w:r>
    </w:p>
    <w:p w14:paraId="2254EB14" w14:textId="77777777" w:rsidR="001023C7" w:rsidRPr="00D53A2B" w:rsidRDefault="00374C56" w:rsidP="00A202FD">
      <w:pPr>
        <w:jc w:val="both"/>
        <w:rPr>
          <w:lang w:eastAsia="en-US"/>
        </w:rPr>
      </w:pPr>
      <w:bookmarkStart w:id="90" w:name="_Toc531927962"/>
      <w:r w:rsidRPr="00D53A2B">
        <w:rPr>
          <w:lang w:eastAsia="en-US"/>
        </w:rPr>
        <w:t xml:space="preserve">Tablo </w:t>
      </w:r>
      <w:r w:rsidRPr="00D53A2B">
        <w:rPr>
          <w:noProof/>
          <w:lang w:eastAsia="en-US"/>
        </w:rPr>
        <w:t>21</w:t>
      </w:r>
    </w:p>
    <w:p w14:paraId="300009E3" w14:textId="05F4FB2F" w:rsidR="00374C56" w:rsidRPr="00D53A2B" w:rsidRDefault="00374C56" w:rsidP="00A202FD">
      <w:pPr>
        <w:jc w:val="both"/>
        <w:rPr>
          <w:lang w:eastAsia="en-US"/>
        </w:rPr>
      </w:pPr>
      <w:r w:rsidRPr="00D53A2B">
        <w:rPr>
          <w:lang w:eastAsia="en-US"/>
        </w:rPr>
        <w:t>Tuz cürufun geri kazanılmasındaki ıslak öğütme ve liç prosesleri sırasında ortaya çıkıp havaya verilen gaz emisyonları için MET ile ilişkili emisyon seviyeleri</w:t>
      </w:r>
      <w:bookmarkEnd w:id="90"/>
    </w:p>
    <w:tbl>
      <w:tblPr>
        <w:tblW w:w="0" w:type="auto"/>
        <w:tblLayout w:type="fixed"/>
        <w:tblCellMar>
          <w:left w:w="0" w:type="dxa"/>
          <w:right w:w="0" w:type="dxa"/>
        </w:tblCellMar>
        <w:tblLook w:val="01E0" w:firstRow="1" w:lastRow="1" w:firstColumn="1" w:lastColumn="1" w:noHBand="0" w:noVBand="0"/>
      </w:tblPr>
      <w:tblGrid>
        <w:gridCol w:w="3980"/>
        <w:gridCol w:w="4544"/>
      </w:tblGrid>
      <w:tr w:rsidR="00374C56" w:rsidRPr="00D53A2B" w14:paraId="4D2C875C" w14:textId="77777777" w:rsidTr="00374C56">
        <w:tc>
          <w:tcPr>
            <w:tcW w:w="3980" w:type="dxa"/>
            <w:tcBorders>
              <w:top w:val="single" w:sz="4" w:space="0" w:color="000000"/>
              <w:left w:val="single" w:sz="4" w:space="0" w:color="000000"/>
              <w:bottom w:val="single" w:sz="4" w:space="0" w:color="000000"/>
              <w:right w:val="single" w:sz="4" w:space="0" w:color="000000"/>
            </w:tcBorders>
            <w:vAlign w:val="center"/>
          </w:tcPr>
          <w:p w14:paraId="0C881AEA"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4544" w:type="dxa"/>
            <w:tcBorders>
              <w:top w:val="single" w:sz="4" w:space="0" w:color="000000"/>
              <w:left w:val="single" w:sz="4" w:space="0" w:color="000000"/>
              <w:bottom w:val="single" w:sz="4" w:space="0" w:color="000000"/>
              <w:right w:val="single" w:sz="4" w:space="0" w:color="000000"/>
            </w:tcBorders>
            <w:vAlign w:val="center"/>
          </w:tcPr>
          <w:p w14:paraId="5C7D477E"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w:t>
            </w:r>
            <w:r w:rsidRPr="00D53A2B">
              <w:rPr>
                <w:b/>
                <w:bCs/>
                <w:sz w:val="22"/>
                <w:szCs w:val="22"/>
                <w:vertAlign w:val="superscript"/>
                <w:lang w:eastAsia="en-US"/>
              </w:rPr>
              <w:t>1</w:t>
            </w:r>
            <w:r w:rsidRPr="00D53A2B">
              <w:rPr>
                <w:b/>
                <w:bCs/>
                <w:sz w:val="22"/>
                <w:szCs w:val="22"/>
                <w:lang w:eastAsia="en-US"/>
              </w:rPr>
              <w:t>)</w:t>
            </w:r>
          </w:p>
        </w:tc>
      </w:tr>
      <w:tr w:rsidR="00374C56" w:rsidRPr="00D53A2B" w14:paraId="1198A6B3" w14:textId="77777777" w:rsidTr="00374C56">
        <w:tc>
          <w:tcPr>
            <w:tcW w:w="3980" w:type="dxa"/>
            <w:tcBorders>
              <w:top w:val="single" w:sz="4" w:space="0" w:color="000000"/>
              <w:left w:val="single" w:sz="4" w:space="0" w:color="000000"/>
              <w:bottom w:val="single" w:sz="4" w:space="0" w:color="000000"/>
              <w:right w:val="single" w:sz="4" w:space="0" w:color="000000"/>
            </w:tcBorders>
            <w:vAlign w:val="center"/>
          </w:tcPr>
          <w:p w14:paraId="4051C56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NH</w:t>
            </w:r>
            <w:r w:rsidRPr="00D53A2B">
              <w:rPr>
                <w:sz w:val="22"/>
                <w:szCs w:val="22"/>
                <w:vertAlign w:val="subscript"/>
                <w:lang w:eastAsia="en-US"/>
              </w:rPr>
              <w:t>3</w:t>
            </w:r>
          </w:p>
        </w:tc>
        <w:tc>
          <w:tcPr>
            <w:tcW w:w="4544" w:type="dxa"/>
            <w:tcBorders>
              <w:top w:val="single" w:sz="4" w:space="0" w:color="000000"/>
              <w:left w:val="single" w:sz="4" w:space="0" w:color="000000"/>
              <w:bottom w:val="single" w:sz="4" w:space="0" w:color="000000"/>
              <w:right w:val="single" w:sz="4" w:space="0" w:color="000000"/>
            </w:tcBorders>
            <w:vAlign w:val="center"/>
          </w:tcPr>
          <w:p w14:paraId="1C0F4A0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10</w:t>
            </w:r>
          </w:p>
        </w:tc>
      </w:tr>
      <w:tr w:rsidR="00374C56" w:rsidRPr="00D53A2B" w14:paraId="3CEC3F1F" w14:textId="77777777" w:rsidTr="00374C56">
        <w:tc>
          <w:tcPr>
            <w:tcW w:w="3980" w:type="dxa"/>
            <w:tcBorders>
              <w:top w:val="single" w:sz="4" w:space="0" w:color="000000"/>
              <w:left w:val="single" w:sz="4" w:space="0" w:color="000000"/>
              <w:bottom w:val="single" w:sz="4" w:space="0" w:color="000000"/>
              <w:right w:val="single" w:sz="4" w:space="0" w:color="000000"/>
            </w:tcBorders>
            <w:vAlign w:val="center"/>
          </w:tcPr>
          <w:p w14:paraId="283FC99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PH</w:t>
            </w:r>
            <w:r w:rsidRPr="00D53A2B">
              <w:rPr>
                <w:sz w:val="22"/>
                <w:szCs w:val="22"/>
                <w:vertAlign w:val="subscript"/>
                <w:lang w:eastAsia="en-US"/>
              </w:rPr>
              <w:t>3</w:t>
            </w:r>
          </w:p>
        </w:tc>
        <w:tc>
          <w:tcPr>
            <w:tcW w:w="4544" w:type="dxa"/>
            <w:tcBorders>
              <w:top w:val="single" w:sz="4" w:space="0" w:color="000000"/>
              <w:left w:val="single" w:sz="4" w:space="0" w:color="000000"/>
              <w:bottom w:val="single" w:sz="4" w:space="0" w:color="000000"/>
              <w:right w:val="single" w:sz="4" w:space="0" w:color="000000"/>
            </w:tcBorders>
            <w:vAlign w:val="center"/>
          </w:tcPr>
          <w:p w14:paraId="32247D6B" w14:textId="4259C6DF" w:rsidR="00374C56" w:rsidRPr="00D53A2B" w:rsidRDefault="00374C56" w:rsidP="00A202FD">
            <w:pPr>
              <w:spacing w:line="264" w:lineRule="auto"/>
              <w:ind w:left="57" w:right="57"/>
              <w:jc w:val="both"/>
              <w:rPr>
                <w:sz w:val="22"/>
                <w:szCs w:val="22"/>
                <w:lang w:eastAsia="en-US"/>
              </w:rPr>
            </w:pPr>
            <w:r w:rsidRPr="00D53A2B">
              <w:rPr>
                <w:sz w:val="22"/>
                <w:szCs w:val="22"/>
                <w:lang w:eastAsia="en-US"/>
              </w:rPr>
              <w:t>≤ 0</w:t>
            </w:r>
            <w:r w:rsidR="00F0439D" w:rsidRPr="00D53A2B">
              <w:rPr>
                <w:sz w:val="22"/>
                <w:szCs w:val="22"/>
                <w:lang w:eastAsia="en-US"/>
              </w:rPr>
              <w:t>,</w:t>
            </w:r>
            <w:r w:rsidRPr="00D53A2B">
              <w:rPr>
                <w:sz w:val="22"/>
                <w:szCs w:val="22"/>
                <w:lang w:eastAsia="en-US"/>
              </w:rPr>
              <w:t>5</w:t>
            </w:r>
          </w:p>
        </w:tc>
      </w:tr>
      <w:tr w:rsidR="00374C56" w:rsidRPr="00D53A2B" w14:paraId="66DE4417" w14:textId="77777777" w:rsidTr="00374C56">
        <w:tc>
          <w:tcPr>
            <w:tcW w:w="3980" w:type="dxa"/>
            <w:tcBorders>
              <w:top w:val="single" w:sz="4" w:space="0" w:color="000000"/>
              <w:left w:val="single" w:sz="4" w:space="0" w:color="000000"/>
              <w:bottom w:val="single" w:sz="4" w:space="0" w:color="000000"/>
              <w:right w:val="single" w:sz="4" w:space="0" w:color="000000"/>
            </w:tcBorders>
            <w:vAlign w:val="center"/>
          </w:tcPr>
          <w:p w14:paraId="4E3E6C8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w:t>
            </w:r>
            <w:r w:rsidRPr="00D53A2B">
              <w:rPr>
                <w:sz w:val="22"/>
                <w:szCs w:val="22"/>
                <w:vertAlign w:val="subscript"/>
                <w:lang w:eastAsia="en-US"/>
              </w:rPr>
              <w:t>2</w:t>
            </w:r>
            <w:r w:rsidRPr="00D53A2B">
              <w:rPr>
                <w:sz w:val="22"/>
                <w:szCs w:val="22"/>
                <w:lang w:eastAsia="en-US"/>
              </w:rPr>
              <w:t>S</w:t>
            </w:r>
          </w:p>
        </w:tc>
        <w:tc>
          <w:tcPr>
            <w:tcW w:w="4544" w:type="dxa"/>
            <w:tcBorders>
              <w:top w:val="single" w:sz="4" w:space="0" w:color="000000"/>
              <w:left w:val="single" w:sz="4" w:space="0" w:color="000000"/>
              <w:bottom w:val="single" w:sz="4" w:space="0" w:color="000000"/>
              <w:right w:val="single" w:sz="4" w:space="0" w:color="000000"/>
            </w:tcBorders>
            <w:vAlign w:val="center"/>
          </w:tcPr>
          <w:p w14:paraId="4BD5DF2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2</w:t>
            </w:r>
          </w:p>
        </w:tc>
      </w:tr>
      <w:tr w:rsidR="00374C56" w:rsidRPr="00D53A2B" w14:paraId="744FCC36" w14:textId="77777777" w:rsidTr="00374C56">
        <w:tc>
          <w:tcPr>
            <w:tcW w:w="8524" w:type="dxa"/>
            <w:gridSpan w:val="2"/>
            <w:tcBorders>
              <w:top w:val="single" w:sz="4" w:space="0" w:color="000000"/>
              <w:left w:val="single" w:sz="4" w:space="0" w:color="000000"/>
              <w:bottom w:val="single" w:sz="4" w:space="0" w:color="000000"/>
              <w:right w:val="single" w:sz="4" w:space="0" w:color="000000"/>
            </w:tcBorders>
            <w:vAlign w:val="center"/>
          </w:tcPr>
          <w:p w14:paraId="77E7024A" w14:textId="41DC1F38" w:rsidR="00374C56" w:rsidRPr="009077F5" w:rsidRDefault="00374C56" w:rsidP="00A202FD">
            <w:pPr>
              <w:spacing w:line="264" w:lineRule="auto"/>
              <w:ind w:left="57" w:right="57"/>
              <w:jc w:val="both"/>
              <w:rPr>
                <w:bCs/>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 Örnekleme periyodu boyunca ortalama</w:t>
            </w:r>
          </w:p>
        </w:tc>
      </w:tr>
    </w:tbl>
    <w:p w14:paraId="345A3339" w14:textId="77777777" w:rsidR="00374C56" w:rsidRPr="00D53A2B" w:rsidRDefault="00374C56" w:rsidP="00A202FD">
      <w:pPr>
        <w:spacing w:before="15" w:line="200" w:lineRule="exact"/>
        <w:jc w:val="both"/>
        <w:rPr>
          <w:lang w:eastAsia="en-US"/>
        </w:rPr>
      </w:pPr>
    </w:p>
    <w:p w14:paraId="738B702C" w14:textId="08E17357" w:rsidR="00FA207A" w:rsidRPr="00D53A2B" w:rsidRDefault="00FA207A"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75645B50" w14:textId="77777777" w:rsidR="00F0439D" w:rsidRPr="00D53A2B" w:rsidRDefault="00F0439D" w:rsidP="00A202FD">
      <w:pPr>
        <w:jc w:val="both"/>
        <w:rPr>
          <w:lang w:eastAsia="en-US"/>
        </w:rPr>
      </w:pPr>
    </w:p>
    <w:p w14:paraId="366636F9" w14:textId="444D4C45" w:rsidR="00374C56" w:rsidRPr="00D53A2B" w:rsidRDefault="00F0439D" w:rsidP="00A202FD">
      <w:pPr>
        <w:pStyle w:val="Balk2"/>
        <w:rPr>
          <w:rFonts w:cs="Times New Roman"/>
          <w:szCs w:val="24"/>
          <w:lang w:eastAsia="en-US"/>
        </w:rPr>
      </w:pPr>
      <w:r w:rsidRPr="00D53A2B">
        <w:rPr>
          <w:rFonts w:cs="Times New Roman"/>
          <w:szCs w:val="24"/>
          <w:lang w:eastAsia="en-US"/>
        </w:rPr>
        <w:t>1.</w:t>
      </w:r>
      <w:r w:rsidR="000D5E21" w:rsidRPr="00D53A2B">
        <w:rPr>
          <w:rFonts w:cs="Times New Roman"/>
          <w:szCs w:val="24"/>
          <w:lang w:eastAsia="en-US"/>
        </w:rPr>
        <w:t xml:space="preserve">4. </w:t>
      </w:r>
      <w:r w:rsidR="001E7558" w:rsidRPr="00D53A2B">
        <w:rPr>
          <w:rFonts w:cs="Times New Roman"/>
          <w:szCs w:val="24"/>
          <w:lang w:val="en-US" w:eastAsia="en-US"/>
        </w:rPr>
        <w:t>Kurşun ve/veya Kalay Üretimi İçin MET Sonuçlari</w:t>
      </w:r>
    </w:p>
    <w:p w14:paraId="0A57B066" w14:textId="10880045" w:rsidR="00374C56" w:rsidRPr="00D53A2B" w:rsidRDefault="00F0439D" w:rsidP="00A202FD">
      <w:pPr>
        <w:pStyle w:val="Balk3"/>
        <w:rPr>
          <w:rFonts w:cs="Times New Roman"/>
          <w:lang w:eastAsia="en-US"/>
        </w:rPr>
      </w:pPr>
      <w:bookmarkStart w:id="91" w:name="_Toc531927877"/>
      <w:r w:rsidRPr="00D53A2B">
        <w:rPr>
          <w:rFonts w:cs="Times New Roman"/>
          <w:lang w:eastAsia="en-US"/>
        </w:rPr>
        <w:t>1.</w:t>
      </w:r>
      <w:r w:rsidR="00374C56" w:rsidRPr="00D53A2B">
        <w:rPr>
          <w:rFonts w:cs="Times New Roman"/>
          <w:lang w:eastAsia="en-US"/>
        </w:rPr>
        <w:t>4.1.</w:t>
      </w:r>
      <w:r w:rsidRPr="00D53A2B">
        <w:rPr>
          <w:rFonts w:cs="Times New Roman"/>
          <w:lang w:eastAsia="en-US"/>
        </w:rPr>
        <w:t xml:space="preserve"> </w:t>
      </w:r>
      <w:r w:rsidR="00374C56" w:rsidRPr="00D53A2B">
        <w:rPr>
          <w:rFonts w:cs="Times New Roman"/>
          <w:lang w:eastAsia="en-US"/>
        </w:rPr>
        <w:t>Hava emisyonları</w:t>
      </w:r>
      <w:bookmarkEnd w:id="91"/>
    </w:p>
    <w:p w14:paraId="6116E689" w14:textId="59C8C433" w:rsidR="00374C56" w:rsidRPr="00D53A2B" w:rsidRDefault="00F0439D"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4.1.1.</w:t>
      </w:r>
      <w:r w:rsidRPr="00D53A2B">
        <w:rPr>
          <w:rFonts w:cs="Times New Roman"/>
          <w:lang w:eastAsia="en-US"/>
        </w:rPr>
        <w:t xml:space="preserve"> </w:t>
      </w:r>
      <w:r w:rsidR="00374C56" w:rsidRPr="00D53A2B">
        <w:rPr>
          <w:rFonts w:cs="Times New Roman"/>
          <w:lang w:eastAsia="en-US"/>
        </w:rPr>
        <w:t>Yayılı emisyonları</w:t>
      </w:r>
    </w:p>
    <w:p w14:paraId="4696F96D" w14:textId="1D0C7C65" w:rsidR="00374C56" w:rsidRPr="00D53A2B" w:rsidRDefault="00921606" w:rsidP="00A202FD">
      <w:pPr>
        <w:pStyle w:val="MET"/>
        <w:rPr>
          <w:szCs w:val="24"/>
        </w:rPr>
      </w:pPr>
      <w:r w:rsidRPr="00D53A2B">
        <w:rPr>
          <w:szCs w:val="24"/>
        </w:rPr>
        <w:t>MET 90:</w:t>
      </w:r>
      <w:r w:rsidR="00F0439D" w:rsidRPr="00D53A2B">
        <w:rPr>
          <w:szCs w:val="24"/>
        </w:rPr>
        <w:t xml:space="preserve"> </w:t>
      </w:r>
      <w:r w:rsidR="00374C56" w:rsidRPr="00D53A2B">
        <w:rPr>
          <w:b w:val="0"/>
          <w:bCs/>
          <w:szCs w:val="24"/>
        </w:rPr>
        <w:t>Birincil ve ikincil malzemelerin (bataryalar/aküler hariç) hazırlanması işlemlerinden (ölç</w:t>
      </w:r>
      <w:r w:rsidR="005460ED" w:rsidRPr="00D53A2B">
        <w:rPr>
          <w:b w:val="0"/>
          <w:bCs/>
          <w:szCs w:val="24"/>
        </w:rPr>
        <w:t>me</w:t>
      </w:r>
      <w:r w:rsidR="00374C56" w:rsidRPr="00D53A2B">
        <w:rPr>
          <w:b w:val="0"/>
          <w:bCs/>
          <w:szCs w:val="24"/>
        </w:rPr>
        <w:t xml:space="preserve">, karıştırma, </w:t>
      </w:r>
      <w:r w:rsidR="005460ED" w:rsidRPr="00D53A2B">
        <w:rPr>
          <w:b w:val="0"/>
          <w:bCs/>
          <w:szCs w:val="24"/>
        </w:rPr>
        <w:t>harmanlama</w:t>
      </w:r>
      <w:r w:rsidR="00374C56" w:rsidRPr="00D53A2B">
        <w:rPr>
          <w:b w:val="0"/>
          <w:bCs/>
          <w:szCs w:val="24"/>
        </w:rPr>
        <w:t xml:space="preserve">, </w:t>
      </w:r>
      <w:r w:rsidR="005460ED" w:rsidRPr="00D53A2B">
        <w:rPr>
          <w:b w:val="0"/>
          <w:bCs/>
          <w:szCs w:val="24"/>
        </w:rPr>
        <w:t>kırma</w:t>
      </w:r>
      <w:r w:rsidR="00374C56" w:rsidRPr="00D53A2B">
        <w:rPr>
          <w:b w:val="0"/>
          <w:bCs/>
          <w:szCs w:val="24"/>
        </w:rPr>
        <w:t>, kesme, eleme gibi) kaynaklanan Yayılı emisyonları önlemek veya azaltmak için aşağıda verilen tekniklerin biri veya bir kombinasyonu kullanılır.</w:t>
      </w:r>
    </w:p>
    <w:tbl>
      <w:tblPr>
        <w:tblW w:w="8674" w:type="dxa"/>
        <w:tblLayout w:type="fixed"/>
        <w:tblCellMar>
          <w:left w:w="0" w:type="dxa"/>
          <w:right w:w="0" w:type="dxa"/>
        </w:tblCellMar>
        <w:tblLook w:val="01E0" w:firstRow="1" w:lastRow="1" w:firstColumn="1" w:lastColumn="1" w:noHBand="0" w:noVBand="0"/>
      </w:tblPr>
      <w:tblGrid>
        <w:gridCol w:w="397"/>
        <w:gridCol w:w="4082"/>
        <w:gridCol w:w="4195"/>
      </w:tblGrid>
      <w:tr w:rsidR="00374C56" w:rsidRPr="00D53A2B" w14:paraId="41C3E679"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28EB9467" w14:textId="77777777" w:rsidR="00374C56" w:rsidRPr="00D53A2B" w:rsidRDefault="00374C56" w:rsidP="00A202FD">
            <w:pPr>
              <w:spacing w:line="264" w:lineRule="auto"/>
              <w:ind w:left="57" w:right="57"/>
              <w:jc w:val="both"/>
              <w:rPr>
                <w:sz w:val="22"/>
                <w:szCs w:val="22"/>
                <w:lang w:eastAsia="en-US"/>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70A90A08"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4195" w:type="dxa"/>
            <w:tcBorders>
              <w:top w:val="single" w:sz="4" w:space="0" w:color="000000"/>
              <w:left w:val="single" w:sz="4" w:space="0" w:color="000000"/>
              <w:bottom w:val="single" w:sz="4" w:space="0" w:color="000000"/>
              <w:right w:val="single" w:sz="4" w:space="0" w:color="000000"/>
            </w:tcBorders>
            <w:vAlign w:val="center"/>
          </w:tcPr>
          <w:p w14:paraId="1FF2D436"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5C89846B"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136D750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4082" w:type="dxa"/>
            <w:tcBorders>
              <w:top w:val="single" w:sz="4" w:space="0" w:color="000000"/>
              <w:left w:val="single" w:sz="4" w:space="0" w:color="000000"/>
              <w:bottom w:val="single" w:sz="4" w:space="0" w:color="000000"/>
              <w:right w:val="single" w:sz="4" w:space="0" w:color="000000"/>
            </w:tcBorders>
            <w:vAlign w:val="center"/>
          </w:tcPr>
          <w:p w14:paraId="692FEC9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Tozlu malzemeler için etrafı kapalı konveyörler veya pnömatik transfer sistemlerinin kullanılması</w:t>
            </w:r>
          </w:p>
        </w:tc>
        <w:tc>
          <w:tcPr>
            <w:tcW w:w="4195" w:type="dxa"/>
            <w:tcBorders>
              <w:top w:val="single" w:sz="4" w:space="0" w:color="000000"/>
              <w:left w:val="single" w:sz="4" w:space="0" w:color="000000"/>
              <w:bottom w:val="single" w:sz="4" w:space="0" w:color="000000"/>
              <w:right w:val="single" w:sz="4" w:space="0" w:color="000000"/>
            </w:tcBorders>
            <w:vAlign w:val="center"/>
          </w:tcPr>
          <w:p w14:paraId="6E94C65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1CC8A3A5"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22A9D91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4082" w:type="dxa"/>
            <w:tcBorders>
              <w:top w:val="single" w:sz="4" w:space="0" w:color="000000"/>
              <w:left w:val="single" w:sz="4" w:space="0" w:color="000000"/>
              <w:bottom w:val="single" w:sz="4" w:space="0" w:color="000000"/>
              <w:right w:val="single" w:sz="4" w:space="0" w:color="000000"/>
            </w:tcBorders>
            <w:vAlign w:val="center"/>
          </w:tcPr>
          <w:p w14:paraId="68FAD1A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Etrafı kapalı donanım kullanılması. Tozlu malzemeler kullanıldığında, emisyonlar toplanır ve bir azaltma sistemine gönderilir.</w:t>
            </w:r>
          </w:p>
        </w:tc>
        <w:tc>
          <w:tcPr>
            <w:tcW w:w="4195" w:type="dxa"/>
            <w:tcBorders>
              <w:top w:val="single" w:sz="4" w:space="0" w:color="000000"/>
              <w:left w:val="single" w:sz="4" w:space="0" w:color="000000"/>
              <w:bottom w:val="single" w:sz="4" w:space="0" w:color="000000"/>
              <w:right w:val="single" w:sz="4" w:space="0" w:color="000000"/>
            </w:tcBorders>
            <w:vAlign w:val="center"/>
          </w:tcPr>
          <w:p w14:paraId="7949BC4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dozlama silosu veya azalan ağırlık (</w:t>
            </w:r>
            <w:r w:rsidRPr="00D53A2B">
              <w:rPr>
                <w:i/>
                <w:sz w:val="22"/>
                <w:szCs w:val="22"/>
                <w:lang w:eastAsia="en-US"/>
              </w:rPr>
              <w:t>ing.</w:t>
            </w:r>
            <w:r w:rsidRPr="00D53A2B">
              <w:rPr>
                <w:sz w:val="22"/>
                <w:szCs w:val="22"/>
                <w:lang w:eastAsia="en-US"/>
              </w:rPr>
              <w:t xml:space="preserve"> loss-in-weight) besleme sistemi ile hazırlanan besleme karışımları için geçerlidir</w:t>
            </w:r>
          </w:p>
        </w:tc>
      </w:tr>
      <w:tr w:rsidR="00374C56" w:rsidRPr="00D53A2B" w14:paraId="7E1691DF"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583ABF1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4082" w:type="dxa"/>
            <w:tcBorders>
              <w:top w:val="single" w:sz="4" w:space="0" w:color="000000"/>
              <w:left w:val="single" w:sz="4" w:space="0" w:color="000000"/>
              <w:bottom w:val="single" w:sz="4" w:space="0" w:color="000000"/>
              <w:right w:val="single" w:sz="4" w:space="0" w:color="000000"/>
            </w:tcBorders>
            <w:vAlign w:val="center"/>
          </w:tcPr>
          <w:p w14:paraId="60C1C08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Hammaddelerin kapalı bir binada karıştırılması</w:t>
            </w:r>
          </w:p>
        </w:tc>
        <w:tc>
          <w:tcPr>
            <w:tcW w:w="4195" w:type="dxa"/>
            <w:tcBorders>
              <w:top w:val="single" w:sz="4" w:space="0" w:color="000000"/>
              <w:left w:val="single" w:sz="4" w:space="0" w:color="000000"/>
              <w:bottom w:val="single" w:sz="4" w:space="0" w:color="000000"/>
              <w:right w:val="single" w:sz="4" w:space="0" w:color="000000"/>
            </w:tcBorders>
            <w:vAlign w:val="center"/>
          </w:tcPr>
          <w:p w14:paraId="0402E4F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tozlu materyaller için geçerlidir. Mevcut tesislerde alan gereksinimleri nedeniyle uygulama zorlaşabilir</w:t>
            </w:r>
          </w:p>
        </w:tc>
      </w:tr>
      <w:tr w:rsidR="00374C56" w:rsidRPr="00D53A2B" w14:paraId="580F91B3"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42E7166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4082" w:type="dxa"/>
            <w:tcBorders>
              <w:top w:val="single" w:sz="4" w:space="0" w:color="000000"/>
              <w:left w:val="single" w:sz="4" w:space="0" w:color="000000"/>
              <w:bottom w:val="single" w:sz="4" w:space="0" w:color="000000"/>
              <w:right w:val="single" w:sz="4" w:space="0" w:color="000000"/>
            </w:tcBorders>
            <w:vAlign w:val="center"/>
          </w:tcPr>
          <w:p w14:paraId="3653CAD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Su spreyleri gibi toz bastırma sistemleri</w:t>
            </w:r>
          </w:p>
        </w:tc>
        <w:tc>
          <w:tcPr>
            <w:tcW w:w="4195" w:type="dxa"/>
            <w:tcBorders>
              <w:top w:val="single" w:sz="4" w:space="0" w:color="000000"/>
              <w:left w:val="single" w:sz="4" w:space="0" w:color="000000"/>
              <w:bottom w:val="single" w:sz="4" w:space="0" w:color="000000"/>
              <w:right w:val="single" w:sz="4" w:space="0" w:color="000000"/>
            </w:tcBorders>
            <w:vAlign w:val="center"/>
          </w:tcPr>
          <w:p w14:paraId="47991D8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açık alanda yürütülen karıştırma için geçerlidir</w:t>
            </w:r>
          </w:p>
        </w:tc>
      </w:tr>
      <w:tr w:rsidR="00374C56" w:rsidRPr="00D53A2B" w14:paraId="037AACEC"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685553F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4082" w:type="dxa"/>
            <w:tcBorders>
              <w:top w:val="single" w:sz="4" w:space="0" w:color="000000"/>
              <w:left w:val="single" w:sz="4" w:space="0" w:color="000000"/>
              <w:bottom w:val="single" w:sz="4" w:space="0" w:color="000000"/>
              <w:right w:val="single" w:sz="4" w:space="0" w:color="000000"/>
            </w:tcBorders>
            <w:vAlign w:val="center"/>
          </w:tcPr>
          <w:p w14:paraId="2C82558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Hammaddelerin peletlenmesi</w:t>
            </w:r>
          </w:p>
        </w:tc>
        <w:tc>
          <w:tcPr>
            <w:tcW w:w="4195" w:type="dxa"/>
            <w:tcBorders>
              <w:top w:val="single" w:sz="4" w:space="0" w:color="000000"/>
              <w:left w:val="single" w:sz="4" w:space="0" w:color="000000"/>
              <w:bottom w:val="single" w:sz="4" w:space="0" w:color="000000"/>
              <w:right w:val="single" w:sz="4" w:space="0" w:color="000000"/>
            </w:tcBorders>
            <w:vAlign w:val="center"/>
          </w:tcPr>
          <w:p w14:paraId="1F1854D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proses ve fırın peletlenmiş hammaddeleri kullanabildiğinde uygulanabilir</w:t>
            </w:r>
          </w:p>
        </w:tc>
      </w:tr>
    </w:tbl>
    <w:p w14:paraId="144888CB" w14:textId="77777777" w:rsidR="00374C56" w:rsidRPr="00D53A2B" w:rsidRDefault="00374C56" w:rsidP="00A202FD">
      <w:pPr>
        <w:jc w:val="both"/>
        <w:rPr>
          <w:lang w:eastAsia="en-US"/>
        </w:rPr>
      </w:pPr>
    </w:p>
    <w:p w14:paraId="3DB489EB" w14:textId="7DE043F4" w:rsidR="00374C56" w:rsidRPr="00D53A2B" w:rsidRDefault="00921606" w:rsidP="00A202FD">
      <w:pPr>
        <w:pStyle w:val="MET"/>
        <w:rPr>
          <w:b w:val="0"/>
          <w:bCs/>
          <w:szCs w:val="24"/>
        </w:rPr>
      </w:pPr>
      <w:r w:rsidRPr="00D53A2B">
        <w:rPr>
          <w:szCs w:val="24"/>
        </w:rPr>
        <w:t>MET 91:</w:t>
      </w:r>
      <w:r w:rsidR="003B7731" w:rsidRPr="00D53A2B">
        <w:rPr>
          <w:szCs w:val="24"/>
        </w:rPr>
        <w:t xml:space="preserve"> </w:t>
      </w:r>
      <w:r w:rsidR="00374C56" w:rsidRPr="00D53A2B">
        <w:rPr>
          <w:b w:val="0"/>
          <w:bCs/>
          <w:color w:val="000000" w:themeColor="text1"/>
          <w:szCs w:val="24"/>
        </w:rPr>
        <w:t xml:space="preserve">Birincil kurşun ve </w:t>
      </w:r>
      <w:r w:rsidR="00374C56" w:rsidRPr="00D53A2B">
        <w:rPr>
          <w:b w:val="0"/>
          <w:bCs/>
          <w:szCs w:val="24"/>
        </w:rPr>
        <w:t xml:space="preserve">ikincil kurşun ve/veya kalay üretiminde malzemelere uygulanan ön işlemlerinden (kurutma, demontaj, sinterleme, briketleme, peletleme ve batarya kırma, eleme ve sınıflandırma gibi) kaynaklanan </w:t>
      </w:r>
      <w:r w:rsidR="000D5E21" w:rsidRPr="00D53A2B">
        <w:rPr>
          <w:b w:val="0"/>
          <w:bCs/>
          <w:szCs w:val="24"/>
        </w:rPr>
        <w:t>y</w:t>
      </w:r>
      <w:r w:rsidR="00374C56" w:rsidRPr="00D53A2B">
        <w:rPr>
          <w:b w:val="0"/>
          <w:bCs/>
          <w:szCs w:val="24"/>
        </w:rPr>
        <w:t>ayılı emisyonları önlemek veya azaltmak için, aşağıda verilen tekniklerin biri veya her ikisi kullanılır.</w:t>
      </w:r>
    </w:p>
    <w:tbl>
      <w:tblPr>
        <w:tblW w:w="8500" w:type="dxa"/>
        <w:tblLayout w:type="fixed"/>
        <w:tblCellMar>
          <w:left w:w="0" w:type="dxa"/>
          <w:right w:w="0" w:type="dxa"/>
        </w:tblCellMar>
        <w:tblLook w:val="01E0" w:firstRow="1" w:lastRow="1" w:firstColumn="1" w:lastColumn="1" w:noHBand="0" w:noVBand="0"/>
      </w:tblPr>
      <w:tblGrid>
        <w:gridCol w:w="468"/>
        <w:gridCol w:w="8032"/>
      </w:tblGrid>
      <w:tr w:rsidR="00374C56" w:rsidRPr="00D53A2B" w14:paraId="2B0EAF04" w14:textId="77777777" w:rsidTr="00374C56">
        <w:tc>
          <w:tcPr>
            <w:tcW w:w="468" w:type="dxa"/>
            <w:tcBorders>
              <w:top w:val="single" w:sz="4" w:space="0" w:color="000000"/>
              <w:left w:val="single" w:sz="4" w:space="0" w:color="000000"/>
              <w:bottom w:val="single" w:sz="4" w:space="0" w:color="000000"/>
              <w:right w:val="single" w:sz="4" w:space="0" w:color="000000"/>
            </w:tcBorders>
          </w:tcPr>
          <w:p w14:paraId="521BE2B9" w14:textId="77777777" w:rsidR="00374C56" w:rsidRPr="00D53A2B" w:rsidRDefault="00374C56" w:rsidP="00A202FD">
            <w:pPr>
              <w:spacing w:line="264" w:lineRule="auto"/>
              <w:ind w:left="57" w:right="57"/>
              <w:jc w:val="both"/>
              <w:rPr>
                <w:sz w:val="22"/>
                <w:szCs w:val="22"/>
                <w:lang w:eastAsia="en-US"/>
              </w:rPr>
            </w:pPr>
          </w:p>
        </w:tc>
        <w:tc>
          <w:tcPr>
            <w:tcW w:w="8032" w:type="dxa"/>
            <w:tcBorders>
              <w:top w:val="single" w:sz="4" w:space="0" w:color="000000"/>
              <w:left w:val="single" w:sz="4" w:space="0" w:color="000000"/>
              <w:bottom w:val="single" w:sz="4" w:space="0" w:color="000000"/>
              <w:right w:val="single" w:sz="4" w:space="0" w:color="000000"/>
            </w:tcBorders>
            <w:vAlign w:val="center"/>
          </w:tcPr>
          <w:p w14:paraId="12D5B1B2"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5BDA9285" w14:textId="77777777" w:rsidTr="00374C56">
        <w:tc>
          <w:tcPr>
            <w:tcW w:w="468" w:type="dxa"/>
            <w:tcBorders>
              <w:top w:val="single" w:sz="4" w:space="0" w:color="000000"/>
              <w:left w:val="single" w:sz="4" w:space="0" w:color="000000"/>
              <w:bottom w:val="single" w:sz="4" w:space="0" w:color="000000"/>
              <w:right w:val="single" w:sz="4" w:space="0" w:color="000000"/>
            </w:tcBorders>
            <w:vAlign w:val="center"/>
          </w:tcPr>
          <w:p w14:paraId="6D5CEC8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032" w:type="dxa"/>
            <w:tcBorders>
              <w:top w:val="single" w:sz="4" w:space="0" w:color="000000"/>
              <w:left w:val="single" w:sz="4" w:space="0" w:color="000000"/>
              <w:bottom w:val="single" w:sz="4" w:space="0" w:color="000000"/>
              <w:right w:val="single" w:sz="4" w:space="0" w:color="000000"/>
            </w:tcBorders>
            <w:vAlign w:val="center"/>
          </w:tcPr>
          <w:p w14:paraId="20EA696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Tozlu malzeme için kapalı konveyör veya pnömatik transfer sistemi</w:t>
            </w:r>
          </w:p>
        </w:tc>
      </w:tr>
      <w:tr w:rsidR="00374C56" w:rsidRPr="00D53A2B" w14:paraId="7C42951A" w14:textId="77777777" w:rsidTr="00374C56">
        <w:tc>
          <w:tcPr>
            <w:tcW w:w="468" w:type="dxa"/>
            <w:tcBorders>
              <w:top w:val="single" w:sz="4" w:space="0" w:color="000000"/>
              <w:left w:val="single" w:sz="4" w:space="0" w:color="000000"/>
              <w:bottom w:val="single" w:sz="4" w:space="0" w:color="000000"/>
              <w:right w:val="single" w:sz="4" w:space="0" w:color="000000"/>
            </w:tcBorders>
            <w:vAlign w:val="center"/>
          </w:tcPr>
          <w:p w14:paraId="6B33ED0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032" w:type="dxa"/>
            <w:tcBorders>
              <w:top w:val="single" w:sz="4" w:space="0" w:color="000000"/>
              <w:left w:val="single" w:sz="4" w:space="0" w:color="000000"/>
              <w:bottom w:val="single" w:sz="4" w:space="0" w:color="000000"/>
              <w:right w:val="single" w:sz="4" w:space="0" w:color="000000"/>
            </w:tcBorders>
            <w:vAlign w:val="center"/>
          </w:tcPr>
          <w:p w14:paraId="421A0BC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Kapalı donanım Tozlu materyaller kullanıldığında, emisyonlar toplanır ve bir azaltma sistemine gönderilir.</w:t>
            </w:r>
          </w:p>
        </w:tc>
      </w:tr>
    </w:tbl>
    <w:p w14:paraId="215EEF0C" w14:textId="77777777" w:rsidR="00374C56" w:rsidRPr="00D53A2B" w:rsidRDefault="00374C56" w:rsidP="00A202FD">
      <w:pPr>
        <w:jc w:val="both"/>
        <w:rPr>
          <w:lang w:eastAsia="en-US"/>
        </w:rPr>
      </w:pPr>
    </w:p>
    <w:p w14:paraId="520568B7" w14:textId="25467CE0" w:rsidR="00374C56" w:rsidRPr="00D53A2B" w:rsidRDefault="00921606" w:rsidP="00A202FD">
      <w:pPr>
        <w:pStyle w:val="MET"/>
        <w:rPr>
          <w:szCs w:val="24"/>
        </w:rPr>
      </w:pPr>
      <w:r w:rsidRPr="00D53A2B">
        <w:rPr>
          <w:szCs w:val="24"/>
        </w:rPr>
        <w:t>MET 92:</w:t>
      </w:r>
      <w:r w:rsidR="007A43C8" w:rsidRPr="00D53A2B">
        <w:rPr>
          <w:szCs w:val="24"/>
        </w:rPr>
        <w:t xml:space="preserve"> </w:t>
      </w:r>
      <w:r w:rsidR="00374C56" w:rsidRPr="00D53A2B">
        <w:rPr>
          <w:b w:val="0"/>
          <w:bCs/>
          <w:szCs w:val="24"/>
        </w:rPr>
        <w:t>Kurşun ve/veya kalay retiminde şarj, ergitme ve döküm alma işlemlerinden; ve birincil kurşun üretiminde ön bakırsızlaştırma işlemlerinden kaynaklanan Yayılı emisyonlarını önlemek ve azaltmek için, aşağıda verilen tekniklerin uygun bir kombinasyonu kullanılır.</w:t>
      </w:r>
    </w:p>
    <w:tbl>
      <w:tblPr>
        <w:tblW w:w="8784" w:type="dxa"/>
        <w:tblLayout w:type="fixed"/>
        <w:tblCellMar>
          <w:left w:w="0" w:type="dxa"/>
          <w:right w:w="0" w:type="dxa"/>
        </w:tblCellMar>
        <w:tblLook w:val="01E0" w:firstRow="1" w:lastRow="1" w:firstColumn="1" w:lastColumn="1" w:noHBand="0" w:noVBand="0"/>
      </w:tblPr>
      <w:tblGrid>
        <w:gridCol w:w="397"/>
        <w:gridCol w:w="4817"/>
        <w:gridCol w:w="3570"/>
      </w:tblGrid>
      <w:tr w:rsidR="00374C56" w:rsidRPr="00D53A2B" w14:paraId="2036B128"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348F07A7" w14:textId="77777777" w:rsidR="00374C56" w:rsidRPr="00D53A2B" w:rsidRDefault="00374C56" w:rsidP="00A202FD">
            <w:pPr>
              <w:spacing w:line="264" w:lineRule="auto"/>
              <w:ind w:left="57" w:right="57"/>
              <w:jc w:val="both"/>
              <w:rPr>
                <w:sz w:val="22"/>
                <w:szCs w:val="22"/>
                <w:lang w:eastAsia="en-US"/>
              </w:rPr>
            </w:pPr>
          </w:p>
        </w:tc>
        <w:tc>
          <w:tcPr>
            <w:tcW w:w="4817" w:type="dxa"/>
            <w:tcBorders>
              <w:top w:val="single" w:sz="4" w:space="0" w:color="000000"/>
              <w:left w:val="single" w:sz="4" w:space="0" w:color="000000"/>
              <w:bottom w:val="single" w:sz="4" w:space="0" w:color="000000"/>
              <w:right w:val="single" w:sz="4" w:space="0" w:color="000000"/>
            </w:tcBorders>
            <w:vAlign w:val="center"/>
          </w:tcPr>
          <w:p w14:paraId="6E255CF8"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3570" w:type="dxa"/>
            <w:tcBorders>
              <w:top w:val="single" w:sz="4" w:space="0" w:color="000000"/>
              <w:left w:val="single" w:sz="4" w:space="0" w:color="000000"/>
              <w:bottom w:val="single" w:sz="4" w:space="0" w:color="000000"/>
              <w:right w:val="single" w:sz="4" w:space="0" w:color="000000"/>
            </w:tcBorders>
            <w:vAlign w:val="center"/>
          </w:tcPr>
          <w:p w14:paraId="2A6C84FD"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01A769ED"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6D371DC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4817" w:type="dxa"/>
            <w:tcBorders>
              <w:top w:val="single" w:sz="4" w:space="0" w:color="000000"/>
              <w:left w:val="single" w:sz="4" w:space="0" w:color="000000"/>
              <w:bottom w:val="single" w:sz="4" w:space="0" w:color="000000"/>
              <w:right w:val="single" w:sz="4" w:space="0" w:color="000000"/>
            </w:tcBorders>
            <w:vAlign w:val="center"/>
          </w:tcPr>
          <w:p w14:paraId="767F2C3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Bir hava tahliye sistemi ile donanıp kapsüllenmiş bir şarj sistemi</w:t>
            </w:r>
          </w:p>
        </w:tc>
        <w:tc>
          <w:tcPr>
            <w:tcW w:w="3570" w:type="dxa"/>
            <w:tcBorders>
              <w:top w:val="single" w:sz="4" w:space="0" w:color="000000"/>
              <w:left w:val="single" w:sz="4" w:space="0" w:color="000000"/>
              <w:bottom w:val="single" w:sz="4" w:space="0" w:color="000000"/>
              <w:right w:val="single" w:sz="4" w:space="0" w:color="000000"/>
            </w:tcBorders>
            <w:vAlign w:val="center"/>
          </w:tcPr>
          <w:p w14:paraId="07D1409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6E0FAC59"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0E975BC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4817" w:type="dxa"/>
            <w:tcBorders>
              <w:top w:val="single" w:sz="4" w:space="0" w:color="000000"/>
              <w:left w:val="single" w:sz="4" w:space="0" w:color="000000"/>
              <w:bottom w:val="single" w:sz="4" w:space="0" w:color="000000"/>
              <w:right w:val="single" w:sz="4" w:space="0" w:color="000000"/>
            </w:tcBorders>
            <w:vAlign w:val="center"/>
          </w:tcPr>
          <w:p w14:paraId="5FA7A67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Kesintili besleme ve boşaltma yapılan prosesler için sızdırmaz kapısı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r w:rsidRPr="00D53A2B">
              <w:rPr>
                <w:sz w:val="22"/>
                <w:szCs w:val="22"/>
                <w:lang w:eastAsia="en-US"/>
              </w:rPr>
              <w:t xml:space="preserve"> olan sızdırmaz veya etrafı kapalı fırınlar</w:t>
            </w:r>
          </w:p>
        </w:tc>
        <w:tc>
          <w:tcPr>
            <w:tcW w:w="3570" w:type="dxa"/>
            <w:tcBorders>
              <w:top w:val="single" w:sz="4" w:space="0" w:color="000000"/>
              <w:left w:val="single" w:sz="4" w:space="0" w:color="000000"/>
              <w:bottom w:val="single" w:sz="4" w:space="0" w:color="000000"/>
              <w:right w:val="single" w:sz="4" w:space="0" w:color="000000"/>
            </w:tcBorders>
            <w:vAlign w:val="center"/>
          </w:tcPr>
          <w:p w14:paraId="3DAB41F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3106D0A8"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6A53D4E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4817" w:type="dxa"/>
            <w:tcBorders>
              <w:top w:val="single" w:sz="4" w:space="0" w:color="000000"/>
              <w:left w:val="single" w:sz="4" w:space="0" w:color="000000"/>
              <w:bottom w:val="single" w:sz="4" w:space="0" w:color="000000"/>
              <w:right w:val="single" w:sz="4" w:space="0" w:color="000000"/>
            </w:tcBorders>
            <w:vAlign w:val="center"/>
          </w:tcPr>
          <w:p w14:paraId="2D1C9F6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Fırının ve gaz yolunun negatif basınç altında ve basınç oluşumunu önlemek için yeterli bir gaz tahliye hızında çalıştırılması</w:t>
            </w:r>
          </w:p>
        </w:tc>
        <w:tc>
          <w:tcPr>
            <w:tcW w:w="3570" w:type="dxa"/>
            <w:tcBorders>
              <w:top w:val="single" w:sz="4" w:space="0" w:color="000000"/>
              <w:left w:val="single" w:sz="4" w:space="0" w:color="000000"/>
              <w:bottom w:val="single" w:sz="4" w:space="0" w:color="000000"/>
              <w:right w:val="single" w:sz="4" w:space="0" w:color="000000"/>
            </w:tcBorders>
            <w:vAlign w:val="center"/>
          </w:tcPr>
          <w:p w14:paraId="3E1B1BD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0355F736"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6D7F8B8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4817" w:type="dxa"/>
            <w:tcBorders>
              <w:top w:val="single" w:sz="4" w:space="0" w:color="000000"/>
              <w:left w:val="single" w:sz="4" w:space="0" w:color="000000"/>
              <w:bottom w:val="single" w:sz="4" w:space="0" w:color="000000"/>
              <w:right w:val="single" w:sz="4" w:space="0" w:color="000000"/>
            </w:tcBorders>
            <w:vAlign w:val="center"/>
          </w:tcPr>
          <w:p w14:paraId="5119AE3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Şarj etme ve döküm çekme noktalarında yakalama davlumbazı/muhafazalar kullanılması</w:t>
            </w:r>
          </w:p>
        </w:tc>
        <w:tc>
          <w:tcPr>
            <w:tcW w:w="3570" w:type="dxa"/>
            <w:tcBorders>
              <w:top w:val="single" w:sz="4" w:space="0" w:color="000000"/>
              <w:left w:val="single" w:sz="4" w:space="0" w:color="000000"/>
              <w:bottom w:val="single" w:sz="4" w:space="0" w:color="000000"/>
              <w:right w:val="single" w:sz="4" w:space="0" w:color="000000"/>
            </w:tcBorders>
            <w:vAlign w:val="center"/>
          </w:tcPr>
          <w:p w14:paraId="613D2F8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5D9DA237"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13F994E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4817" w:type="dxa"/>
            <w:tcBorders>
              <w:top w:val="single" w:sz="4" w:space="0" w:color="000000"/>
              <w:left w:val="single" w:sz="4" w:space="0" w:color="000000"/>
              <w:bottom w:val="single" w:sz="4" w:space="0" w:color="000000"/>
              <w:right w:val="single" w:sz="4" w:space="0" w:color="000000"/>
            </w:tcBorders>
            <w:vAlign w:val="center"/>
          </w:tcPr>
          <w:p w14:paraId="68D33EC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KProseslerin kapalı bir binada yapılması</w:t>
            </w:r>
          </w:p>
        </w:tc>
        <w:tc>
          <w:tcPr>
            <w:tcW w:w="3570" w:type="dxa"/>
            <w:tcBorders>
              <w:top w:val="single" w:sz="4" w:space="0" w:color="000000"/>
              <w:left w:val="single" w:sz="4" w:space="0" w:color="000000"/>
              <w:bottom w:val="single" w:sz="4" w:space="0" w:color="000000"/>
              <w:right w:val="single" w:sz="4" w:space="0" w:color="000000"/>
            </w:tcBorders>
            <w:vAlign w:val="center"/>
          </w:tcPr>
          <w:p w14:paraId="0B1C741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6FE95425"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0365035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w:t>
            </w:r>
          </w:p>
        </w:tc>
        <w:tc>
          <w:tcPr>
            <w:tcW w:w="4817" w:type="dxa"/>
            <w:tcBorders>
              <w:top w:val="single" w:sz="4" w:space="0" w:color="000000"/>
              <w:left w:val="single" w:sz="4" w:space="0" w:color="000000"/>
              <w:bottom w:val="single" w:sz="4" w:space="0" w:color="000000"/>
              <w:right w:val="single" w:sz="4" w:space="0" w:color="000000"/>
            </w:tcBorders>
            <w:vAlign w:val="center"/>
          </w:tcPr>
          <w:p w14:paraId="553E78B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Bir hava tahliye sistemi olan bir davlumbaz ile tamamen örtme</w:t>
            </w:r>
          </w:p>
        </w:tc>
        <w:tc>
          <w:tcPr>
            <w:tcW w:w="3570" w:type="dxa"/>
            <w:tcBorders>
              <w:top w:val="single" w:sz="4" w:space="0" w:color="000000"/>
              <w:left w:val="single" w:sz="4" w:space="0" w:color="000000"/>
              <w:bottom w:val="single" w:sz="4" w:space="0" w:color="000000"/>
              <w:right w:val="single" w:sz="4" w:space="0" w:color="000000"/>
            </w:tcBorders>
            <w:vAlign w:val="center"/>
          </w:tcPr>
          <w:p w14:paraId="58A93F2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Mevcut tesislerde veya mevcut tesislerin büyük güncellemelerinde, alan gereksinimleri nedeniyle uygulama zor olabilir</w:t>
            </w:r>
          </w:p>
        </w:tc>
      </w:tr>
      <w:tr w:rsidR="00374C56" w:rsidRPr="00D53A2B" w14:paraId="5D724B87"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654E157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w:t>
            </w:r>
          </w:p>
        </w:tc>
        <w:tc>
          <w:tcPr>
            <w:tcW w:w="4817" w:type="dxa"/>
            <w:tcBorders>
              <w:top w:val="single" w:sz="4" w:space="0" w:color="000000"/>
              <w:left w:val="single" w:sz="4" w:space="0" w:color="000000"/>
              <w:bottom w:val="single" w:sz="4" w:space="0" w:color="000000"/>
              <w:right w:val="single" w:sz="4" w:space="0" w:color="000000"/>
            </w:tcBorders>
            <w:vAlign w:val="center"/>
          </w:tcPr>
          <w:p w14:paraId="7F9B349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Fırının sızdırmaz olmasının sağlanması</w:t>
            </w:r>
          </w:p>
        </w:tc>
        <w:tc>
          <w:tcPr>
            <w:tcW w:w="3570" w:type="dxa"/>
            <w:tcBorders>
              <w:top w:val="single" w:sz="4" w:space="0" w:color="000000"/>
              <w:left w:val="single" w:sz="4" w:space="0" w:color="000000"/>
              <w:bottom w:val="single" w:sz="4" w:space="0" w:color="000000"/>
              <w:right w:val="single" w:sz="4" w:space="0" w:color="000000"/>
            </w:tcBorders>
            <w:vAlign w:val="center"/>
          </w:tcPr>
          <w:p w14:paraId="003DC9C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0E563C1C"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04C8666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w:t>
            </w:r>
          </w:p>
        </w:tc>
        <w:tc>
          <w:tcPr>
            <w:tcW w:w="4817" w:type="dxa"/>
            <w:tcBorders>
              <w:top w:val="single" w:sz="4" w:space="0" w:color="000000"/>
              <w:left w:val="single" w:sz="4" w:space="0" w:color="000000"/>
              <w:bottom w:val="single" w:sz="4" w:space="0" w:color="000000"/>
              <w:right w:val="single" w:sz="4" w:space="0" w:color="000000"/>
            </w:tcBorders>
            <w:vAlign w:val="center"/>
          </w:tcPr>
          <w:p w14:paraId="170CE53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Fırındaki sıcaklığın mümkün olan en düşük seviyede tutulması</w:t>
            </w:r>
          </w:p>
        </w:tc>
        <w:tc>
          <w:tcPr>
            <w:tcW w:w="3570" w:type="dxa"/>
            <w:tcBorders>
              <w:top w:val="single" w:sz="4" w:space="0" w:color="000000"/>
              <w:left w:val="single" w:sz="4" w:space="0" w:color="000000"/>
              <w:bottom w:val="single" w:sz="4" w:space="0" w:color="000000"/>
              <w:right w:val="single" w:sz="4" w:space="0" w:color="000000"/>
            </w:tcBorders>
            <w:vAlign w:val="center"/>
          </w:tcPr>
          <w:p w14:paraId="64C2557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6EF1C29B"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1D4CAB4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i</w:t>
            </w:r>
          </w:p>
        </w:tc>
        <w:tc>
          <w:tcPr>
            <w:tcW w:w="4817" w:type="dxa"/>
            <w:tcBorders>
              <w:top w:val="single" w:sz="4" w:space="0" w:color="000000"/>
              <w:left w:val="single" w:sz="4" w:space="0" w:color="000000"/>
              <w:bottom w:val="single" w:sz="4" w:space="0" w:color="000000"/>
              <w:right w:val="single" w:sz="4" w:space="0" w:color="000000"/>
            </w:tcBorders>
            <w:vAlign w:val="center"/>
          </w:tcPr>
          <w:p w14:paraId="2153A9F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Döküm alma noktaları, potalar ve cüruf çekme alanlarına hava tahliye sistemi olan bir davlumbaz konulması</w:t>
            </w:r>
          </w:p>
        </w:tc>
        <w:tc>
          <w:tcPr>
            <w:tcW w:w="3570" w:type="dxa"/>
            <w:tcBorders>
              <w:top w:val="single" w:sz="4" w:space="0" w:color="000000"/>
              <w:left w:val="single" w:sz="4" w:space="0" w:color="000000"/>
              <w:bottom w:val="single" w:sz="4" w:space="0" w:color="000000"/>
              <w:right w:val="single" w:sz="4" w:space="0" w:color="000000"/>
            </w:tcBorders>
            <w:vAlign w:val="center"/>
          </w:tcPr>
          <w:p w14:paraId="21AC6D8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45656357"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4BC39ED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j</w:t>
            </w:r>
          </w:p>
        </w:tc>
        <w:tc>
          <w:tcPr>
            <w:tcW w:w="4817" w:type="dxa"/>
            <w:tcBorders>
              <w:top w:val="single" w:sz="4" w:space="0" w:color="000000"/>
              <w:left w:val="single" w:sz="4" w:space="0" w:color="000000"/>
              <w:bottom w:val="single" w:sz="4" w:space="0" w:color="000000"/>
              <w:right w:val="single" w:sz="4" w:space="0" w:color="000000"/>
            </w:tcBorders>
            <w:vAlign w:val="center"/>
          </w:tcPr>
          <w:p w14:paraId="2AB21CC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Tozlu hammaddelerin, peletleme gibi, ön işlemden geçirilmesi</w:t>
            </w:r>
          </w:p>
        </w:tc>
        <w:tc>
          <w:tcPr>
            <w:tcW w:w="3570" w:type="dxa"/>
            <w:tcBorders>
              <w:top w:val="single" w:sz="4" w:space="0" w:color="000000"/>
              <w:left w:val="single" w:sz="4" w:space="0" w:color="000000"/>
              <w:bottom w:val="single" w:sz="4" w:space="0" w:color="000000"/>
              <w:right w:val="single" w:sz="4" w:space="0" w:color="000000"/>
            </w:tcBorders>
            <w:vAlign w:val="center"/>
          </w:tcPr>
          <w:p w14:paraId="0E07341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proses ve fırın peletlenmiş hammaddeleri kullanabildiğinde uygulanabilir</w:t>
            </w:r>
          </w:p>
        </w:tc>
      </w:tr>
      <w:tr w:rsidR="00374C56" w:rsidRPr="00D53A2B" w14:paraId="6BA9B2D5"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5DA0E16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w:t>
            </w:r>
          </w:p>
        </w:tc>
        <w:tc>
          <w:tcPr>
            <w:tcW w:w="4817" w:type="dxa"/>
            <w:tcBorders>
              <w:top w:val="single" w:sz="4" w:space="0" w:color="000000"/>
              <w:left w:val="single" w:sz="4" w:space="0" w:color="000000"/>
              <w:bottom w:val="single" w:sz="4" w:space="0" w:color="000000"/>
              <w:right w:val="single" w:sz="4" w:space="0" w:color="000000"/>
            </w:tcBorders>
            <w:vAlign w:val="center"/>
          </w:tcPr>
          <w:p w14:paraId="7FF46D0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Döküm sırasında potalarını örtmek için bir muhafazalı teçhizat (</w:t>
            </w:r>
            <w:r w:rsidRPr="00D53A2B">
              <w:rPr>
                <w:i/>
                <w:sz w:val="22"/>
                <w:szCs w:val="22"/>
                <w:lang w:eastAsia="en-US"/>
              </w:rPr>
              <w:t>örn.</w:t>
            </w:r>
            <w:r w:rsidRPr="00D53A2B">
              <w:rPr>
                <w:sz w:val="22"/>
                <w:szCs w:val="22"/>
                <w:lang w:eastAsia="en-US"/>
              </w:rPr>
              <w:t xml:space="preserve"> </w:t>
            </w:r>
            <w:r w:rsidRPr="00D53A2B">
              <w:rPr>
                <w:i/>
                <w:sz w:val="22"/>
                <w:szCs w:val="22"/>
                <w:lang w:eastAsia="en-US"/>
              </w:rPr>
              <w:t>ing.</w:t>
            </w:r>
            <w:r w:rsidRPr="00D53A2B">
              <w:rPr>
                <w:sz w:val="22"/>
                <w:szCs w:val="22"/>
                <w:lang w:eastAsia="en-US"/>
              </w:rPr>
              <w:t xml:space="preserve"> doghouse) kullanılması</w:t>
            </w:r>
          </w:p>
        </w:tc>
        <w:tc>
          <w:tcPr>
            <w:tcW w:w="3570" w:type="dxa"/>
            <w:tcBorders>
              <w:top w:val="single" w:sz="4" w:space="0" w:color="000000"/>
              <w:left w:val="single" w:sz="4" w:space="0" w:color="000000"/>
              <w:bottom w:val="single" w:sz="4" w:space="0" w:color="000000"/>
              <w:right w:val="single" w:sz="4" w:space="0" w:color="000000"/>
            </w:tcBorders>
            <w:vAlign w:val="center"/>
          </w:tcPr>
          <w:p w14:paraId="5F08B23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550B9B20"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683E80D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l</w:t>
            </w:r>
          </w:p>
        </w:tc>
        <w:tc>
          <w:tcPr>
            <w:tcW w:w="4817" w:type="dxa"/>
            <w:tcBorders>
              <w:top w:val="single" w:sz="4" w:space="0" w:color="000000"/>
              <w:left w:val="single" w:sz="4" w:space="0" w:color="000000"/>
              <w:bottom w:val="single" w:sz="4" w:space="0" w:color="000000"/>
              <w:right w:val="single" w:sz="4" w:space="0" w:color="000000"/>
            </w:tcBorders>
            <w:vAlign w:val="center"/>
          </w:tcPr>
          <w:p w14:paraId="40E10AC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Şarj ve döküm alma alanlarında bir filtrasyon sistemine bağlı olan hava emme sistemi</w:t>
            </w:r>
          </w:p>
        </w:tc>
        <w:tc>
          <w:tcPr>
            <w:tcW w:w="3570" w:type="dxa"/>
            <w:tcBorders>
              <w:top w:val="single" w:sz="4" w:space="0" w:color="000000"/>
              <w:left w:val="single" w:sz="4" w:space="0" w:color="000000"/>
              <w:bottom w:val="single" w:sz="4" w:space="0" w:color="000000"/>
              <w:right w:val="single" w:sz="4" w:space="0" w:color="000000"/>
            </w:tcBorders>
            <w:vAlign w:val="center"/>
          </w:tcPr>
          <w:p w14:paraId="14672BE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0C07259A" w14:textId="77777777" w:rsidTr="00271877">
        <w:tc>
          <w:tcPr>
            <w:tcW w:w="8784" w:type="dxa"/>
            <w:gridSpan w:val="3"/>
            <w:tcBorders>
              <w:top w:val="single" w:sz="4" w:space="0" w:color="000000"/>
              <w:left w:val="single" w:sz="4" w:space="0" w:color="000000"/>
              <w:bottom w:val="single" w:sz="4" w:space="0" w:color="000000"/>
              <w:right w:val="single" w:sz="4" w:space="0" w:color="000000"/>
            </w:tcBorders>
          </w:tcPr>
          <w:p w14:paraId="394AF789" w14:textId="7CDDB13F" w:rsidR="00374C56" w:rsidRPr="00D53A2B" w:rsidRDefault="00374C56" w:rsidP="00A202FD">
            <w:pPr>
              <w:jc w:val="both"/>
              <w:rPr>
                <w:bCs/>
                <w:spacing w:val="2"/>
                <w:sz w:val="22"/>
                <w:szCs w:val="22"/>
                <w:lang w:eastAsia="en-US"/>
              </w:rPr>
            </w:pPr>
            <w:r w:rsidRPr="00D53A2B">
              <w:rPr>
                <w:bCs/>
                <w:spacing w:val="2"/>
                <w:sz w:val="22"/>
                <w:szCs w:val="22"/>
                <w:lang w:eastAsia="en-US"/>
              </w:rPr>
              <w:t>(</w:t>
            </w:r>
            <w:r w:rsidRPr="00D53A2B">
              <w:rPr>
                <w:bCs/>
                <w:spacing w:val="2"/>
                <w:sz w:val="22"/>
                <w:szCs w:val="22"/>
                <w:vertAlign w:val="superscript"/>
                <w:lang w:eastAsia="en-US"/>
              </w:rPr>
              <w:t>1</w:t>
            </w:r>
            <w:r w:rsidRPr="00D53A2B">
              <w:rPr>
                <w:bCs/>
                <w:spacing w:val="2"/>
                <w:sz w:val="22"/>
                <w:szCs w:val="22"/>
                <w:lang w:eastAsia="en-US"/>
              </w:rPr>
              <w:t>) Tekniklerin açıklamaları Bölüm 1.10</w:t>
            </w:r>
            <w:r w:rsidR="00E56504" w:rsidRPr="00D53A2B">
              <w:rPr>
                <w:bCs/>
                <w:spacing w:val="2"/>
                <w:sz w:val="22"/>
                <w:szCs w:val="22"/>
                <w:lang w:eastAsia="en-US"/>
              </w:rPr>
              <w:t>’</w:t>
            </w:r>
            <w:r w:rsidRPr="00D53A2B">
              <w:rPr>
                <w:bCs/>
                <w:spacing w:val="2"/>
                <w:sz w:val="22"/>
                <w:szCs w:val="22"/>
                <w:lang w:eastAsia="en-US"/>
              </w:rPr>
              <w:t>da verilmiştir.</w:t>
            </w:r>
          </w:p>
        </w:tc>
      </w:tr>
    </w:tbl>
    <w:p w14:paraId="093A4ED4" w14:textId="77777777" w:rsidR="00374C56" w:rsidRPr="00D53A2B" w:rsidRDefault="00374C56" w:rsidP="00A202FD">
      <w:pPr>
        <w:jc w:val="both"/>
        <w:rPr>
          <w:lang w:eastAsia="en-US"/>
        </w:rPr>
      </w:pPr>
    </w:p>
    <w:p w14:paraId="1CEED23E" w14:textId="74C4E44C" w:rsidR="00374C56" w:rsidRPr="00D53A2B" w:rsidRDefault="00921606" w:rsidP="00A202FD">
      <w:pPr>
        <w:pStyle w:val="MET"/>
        <w:rPr>
          <w:szCs w:val="24"/>
        </w:rPr>
      </w:pPr>
      <w:r w:rsidRPr="00D53A2B">
        <w:rPr>
          <w:szCs w:val="24"/>
        </w:rPr>
        <w:t>MET 93:</w:t>
      </w:r>
      <w:r w:rsidR="005460ED" w:rsidRPr="00D53A2B">
        <w:rPr>
          <w:szCs w:val="24"/>
        </w:rPr>
        <w:t xml:space="preserve"> </w:t>
      </w:r>
      <w:r w:rsidR="00374C56" w:rsidRPr="00D53A2B">
        <w:rPr>
          <w:b w:val="0"/>
          <w:bCs/>
          <w:szCs w:val="24"/>
        </w:rPr>
        <w:t xml:space="preserve">Birincil ve ikincil kurşun ve/veya kalay üretiminde yeniden eritmesi, rafinasyon ve döküm işlemlerinden kaynaklanan </w:t>
      </w:r>
      <w:r w:rsidR="009E541C" w:rsidRPr="00D53A2B">
        <w:rPr>
          <w:b w:val="0"/>
          <w:bCs/>
          <w:szCs w:val="24"/>
        </w:rPr>
        <w:t xml:space="preserve">yayılı </w:t>
      </w:r>
      <w:r w:rsidR="00374C56" w:rsidRPr="00D53A2B">
        <w:rPr>
          <w:b w:val="0"/>
          <w:bCs/>
          <w:szCs w:val="24"/>
        </w:rPr>
        <w:t>emisyonlarını önlemek veya azaltmak için, aşağıda verilen tekniklerin bir kombinasyonu kullanılır.</w:t>
      </w:r>
    </w:p>
    <w:tbl>
      <w:tblPr>
        <w:tblW w:w="8784" w:type="dxa"/>
        <w:tblLayout w:type="fixed"/>
        <w:tblCellMar>
          <w:left w:w="0" w:type="dxa"/>
          <w:right w:w="0" w:type="dxa"/>
        </w:tblCellMar>
        <w:tblLook w:val="01E0" w:firstRow="1" w:lastRow="1" w:firstColumn="1" w:lastColumn="1" w:noHBand="0" w:noVBand="0"/>
      </w:tblPr>
      <w:tblGrid>
        <w:gridCol w:w="397"/>
        <w:gridCol w:w="8387"/>
      </w:tblGrid>
      <w:tr w:rsidR="00374C56" w:rsidRPr="00D53A2B" w14:paraId="36EB5E33"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110442FB" w14:textId="77777777" w:rsidR="00374C56" w:rsidRPr="00D53A2B" w:rsidRDefault="00374C56" w:rsidP="00A202FD">
            <w:pPr>
              <w:spacing w:line="264" w:lineRule="auto"/>
              <w:ind w:left="57" w:right="57"/>
              <w:jc w:val="both"/>
              <w:rPr>
                <w:sz w:val="22"/>
                <w:szCs w:val="22"/>
                <w:lang w:eastAsia="en-US"/>
              </w:rPr>
            </w:pPr>
          </w:p>
        </w:tc>
        <w:tc>
          <w:tcPr>
            <w:tcW w:w="8387" w:type="dxa"/>
            <w:tcBorders>
              <w:top w:val="single" w:sz="4" w:space="0" w:color="000000"/>
              <w:left w:val="single" w:sz="4" w:space="0" w:color="000000"/>
              <w:bottom w:val="single" w:sz="4" w:space="0" w:color="000000"/>
              <w:right w:val="single" w:sz="4" w:space="0" w:color="000000"/>
            </w:tcBorders>
            <w:vAlign w:val="center"/>
          </w:tcPr>
          <w:p w14:paraId="6B8A6256"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1CFBEE35"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7E89A62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387" w:type="dxa"/>
            <w:tcBorders>
              <w:top w:val="single" w:sz="4" w:space="0" w:color="000000"/>
              <w:left w:val="single" w:sz="4" w:space="0" w:color="000000"/>
              <w:bottom w:val="single" w:sz="4" w:space="0" w:color="000000"/>
              <w:right w:val="single" w:sz="4" w:space="0" w:color="000000"/>
            </w:tcBorders>
          </w:tcPr>
          <w:p w14:paraId="01B878B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Pota ocağı veya rafinasyon kazanı üzerine hava tahliye sistemli davlumbaz yerleştirilmesi</w:t>
            </w:r>
          </w:p>
        </w:tc>
      </w:tr>
      <w:tr w:rsidR="00374C56" w:rsidRPr="00D53A2B" w14:paraId="0103867D"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07EE260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387" w:type="dxa"/>
            <w:tcBorders>
              <w:top w:val="single" w:sz="4" w:space="0" w:color="000000"/>
              <w:left w:val="single" w:sz="4" w:space="0" w:color="000000"/>
              <w:bottom w:val="single" w:sz="4" w:space="0" w:color="000000"/>
              <w:right w:val="single" w:sz="4" w:space="0" w:color="000000"/>
            </w:tcBorders>
          </w:tcPr>
          <w:p w14:paraId="56366D1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Rafinasyon reaksiyonları ve kimyasal eklenmesi sırasında rafinasyon kazanını kapatmaya yarayan kapaklar</w:t>
            </w:r>
          </w:p>
        </w:tc>
      </w:tr>
      <w:tr w:rsidR="00374C56" w:rsidRPr="00D53A2B" w14:paraId="5DB9D0E4"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7F4B244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387" w:type="dxa"/>
            <w:tcBorders>
              <w:top w:val="single" w:sz="4" w:space="0" w:color="000000"/>
              <w:left w:val="single" w:sz="4" w:space="0" w:color="000000"/>
              <w:bottom w:val="single" w:sz="4" w:space="0" w:color="000000"/>
              <w:right w:val="single" w:sz="4" w:space="0" w:color="000000"/>
            </w:tcBorders>
          </w:tcPr>
          <w:p w14:paraId="00BC955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Döküm alma noktaları ve oluklara hava tahliye sistemli davlumbaz yerleştirilmesi</w:t>
            </w:r>
          </w:p>
        </w:tc>
      </w:tr>
      <w:tr w:rsidR="00374C56" w:rsidRPr="00D53A2B" w14:paraId="24DEA28A"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3C8FB41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8387" w:type="dxa"/>
            <w:tcBorders>
              <w:top w:val="single" w:sz="4" w:space="0" w:color="000000"/>
              <w:left w:val="single" w:sz="4" w:space="0" w:color="000000"/>
              <w:bottom w:val="single" w:sz="4" w:space="0" w:color="000000"/>
              <w:right w:val="single" w:sz="4" w:space="0" w:color="000000"/>
            </w:tcBorders>
          </w:tcPr>
          <w:p w14:paraId="6FFBAB1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Eriyin sıcaklığının kontrolü</w:t>
            </w:r>
          </w:p>
        </w:tc>
      </w:tr>
      <w:tr w:rsidR="00374C56" w:rsidRPr="00D53A2B" w14:paraId="3A76CE76" w14:textId="77777777" w:rsidTr="00271877">
        <w:trPr>
          <w:trHeight w:val="56"/>
        </w:trPr>
        <w:tc>
          <w:tcPr>
            <w:tcW w:w="397" w:type="dxa"/>
            <w:tcBorders>
              <w:top w:val="single" w:sz="4" w:space="0" w:color="000000"/>
              <w:left w:val="single" w:sz="4" w:space="0" w:color="000000"/>
              <w:bottom w:val="single" w:sz="4" w:space="0" w:color="000000"/>
              <w:right w:val="single" w:sz="4" w:space="0" w:color="000000"/>
            </w:tcBorders>
            <w:vAlign w:val="center"/>
          </w:tcPr>
          <w:p w14:paraId="0C0E494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8387" w:type="dxa"/>
            <w:tcBorders>
              <w:top w:val="single" w:sz="4" w:space="0" w:color="000000"/>
              <w:left w:val="single" w:sz="4" w:space="0" w:color="000000"/>
              <w:bottom w:val="single" w:sz="4" w:space="0" w:color="000000"/>
              <w:right w:val="single" w:sz="4" w:space="0" w:color="000000"/>
            </w:tcBorders>
          </w:tcPr>
          <w:p w14:paraId="1B1CC9C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Tozlu cüruf/kül dışıklarının giderilmesi için etrafı kapalı mekanik sıyırıcılar</w:t>
            </w:r>
          </w:p>
        </w:tc>
      </w:tr>
    </w:tbl>
    <w:p w14:paraId="7ADB4A8C" w14:textId="77777777" w:rsidR="00374C56" w:rsidRPr="00D53A2B" w:rsidRDefault="00374C56" w:rsidP="00A202FD">
      <w:pPr>
        <w:jc w:val="both"/>
      </w:pPr>
    </w:p>
    <w:p w14:paraId="49C7DA37" w14:textId="1A6B132D" w:rsidR="00374C56" w:rsidRPr="00D53A2B" w:rsidRDefault="005460ED"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4.1.2.</w:t>
      </w:r>
      <w:r w:rsidRPr="00D53A2B">
        <w:rPr>
          <w:rFonts w:cs="Times New Roman"/>
          <w:lang w:eastAsia="en-US"/>
        </w:rPr>
        <w:t xml:space="preserve"> </w:t>
      </w:r>
      <w:r w:rsidR="00374C56" w:rsidRPr="00D53A2B">
        <w:rPr>
          <w:rFonts w:cs="Times New Roman"/>
          <w:lang w:eastAsia="en-US"/>
        </w:rPr>
        <w:t>Kanalize edilmiş toz emisyonları</w:t>
      </w:r>
    </w:p>
    <w:p w14:paraId="130B457A" w14:textId="4BCF2D64" w:rsidR="00374C56" w:rsidRPr="00D53A2B" w:rsidRDefault="00921606" w:rsidP="00A202FD">
      <w:pPr>
        <w:pStyle w:val="MET"/>
        <w:rPr>
          <w:szCs w:val="24"/>
        </w:rPr>
      </w:pPr>
      <w:r w:rsidRPr="00D53A2B">
        <w:rPr>
          <w:szCs w:val="24"/>
        </w:rPr>
        <w:t>MET 94:</w:t>
      </w:r>
      <w:r w:rsidR="005460ED" w:rsidRPr="00D53A2B">
        <w:rPr>
          <w:szCs w:val="24"/>
        </w:rPr>
        <w:t xml:space="preserve"> </w:t>
      </w:r>
      <w:r w:rsidR="00374C56" w:rsidRPr="00D53A2B">
        <w:rPr>
          <w:b w:val="0"/>
          <w:bCs/>
          <w:szCs w:val="24"/>
        </w:rPr>
        <w:t>Birincil ve ikincil kurşun ve/veya kalay üretiminde hammaddelerin hazırlanması işlemleri (teslimat, taşıma, depolama, ölçme, karıştırma, harmanlama, kurutma, parçalama, kesme ve eleme gibi) sırasında ortaya çıkıp havaya verilen toz ve metal emisyonlarının azaltılması için, torba filtre kullanılır.</w:t>
      </w:r>
    </w:p>
    <w:p w14:paraId="32751677"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22.</w:t>
      </w:r>
    </w:p>
    <w:p w14:paraId="28A236A3" w14:textId="77777777" w:rsidR="001023C7" w:rsidRPr="00D53A2B" w:rsidRDefault="00374C56" w:rsidP="00A202FD">
      <w:pPr>
        <w:jc w:val="both"/>
        <w:rPr>
          <w:lang w:eastAsia="en-US"/>
        </w:rPr>
      </w:pPr>
      <w:bookmarkStart w:id="92" w:name="_Toc531927963"/>
      <w:r w:rsidRPr="00D53A2B">
        <w:rPr>
          <w:lang w:eastAsia="en-US"/>
        </w:rPr>
        <w:t xml:space="preserve">Tablo </w:t>
      </w:r>
      <w:r w:rsidRPr="00D53A2B">
        <w:rPr>
          <w:noProof/>
          <w:lang w:eastAsia="en-US"/>
        </w:rPr>
        <w:t>22</w:t>
      </w:r>
    </w:p>
    <w:p w14:paraId="50EB8F19" w14:textId="55CCB0A9" w:rsidR="00374C56" w:rsidRPr="00D53A2B" w:rsidRDefault="00374C56" w:rsidP="00A202FD">
      <w:pPr>
        <w:jc w:val="both"/>
        <w:rPr>
          <w:lang w:eastAsia="en-US"/>
        </w:rPr>
      </w:pPr>
      <w:r w:rsidRPr="00D53A2B">
        <w:rPr>
          <w:lang w:eastAsia="en-US"/>
        </w:rPr>
        <w:t>Birincil ve ikincil kurşun ve/veya kalay üretiminde hammaddelerin hazırlanması işlemleri sırasında havaya verilen toz emisyonları için MET ile ilişkili emisyon seviyeleri</w:t>
      </w:r>
      <w:bookmarkEnd w:id="92"/>
    </w:p>
    <w:tbl>
      <w:tblPr>
        <w:tblW w:w="0" w:type="auto"/>
        <w:tblLayout w:type="fixed"/>
        <w:tblCellMar>
          <w:left w:w="0" w:type="dxa"/>
          <w:right w:w="0" w:type="dxa"/>
        </w:tblCellMar>
        <w:tblLook w:val="01E0" w:firstRow="1" w:lastRow="1" w:firstColumn="1" w:lastColumn="1" w:noHBand="0" w:noVBand="0"/>
      </w:tblPr>
      <w:tblGrid>
        <w:gridCol w:w="2098"/>
        <w:gridCol w:w="6463"/>
      </w:tblGrid>
      <w:tr w:rsidR="00374C56" w:rsidRPr="00D53A2B" w14:paraId="60965BEB"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77DD90F0"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463" w:type="dxa"/>
            <w:tcBorders>
              <w:top w:val="single" w:sz="4" w:space="0" w:color="000000"/>
              <w:left w:val="single" w:sz="4" w:space="0" w:color="000000"/>
              <w:bottom w:val="single" w:sz="4" w:space="0" w:color="000000"/>
              <w:right w:val="single" w:sz="4" w:space="0" w:color="000000"/>
            </w:tcBorders>
            <w:vAlign w:val="center"/>
          </w:tcPr>
          <w:p w14:paraId="0A0E45BF"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xml:space="preserve">)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04AFA16E" w14:textId="77777777" w:rsidTr="00374C56">
        <w:tc>
          <w:tcPr>
            <w:tcW w:w="2098" w:type="dxa"/>
            <w:tcBorders>
              <w:top w:val="single" w:sz="4" w:space="0" w:color="000000"/>
              <w:left w:val="single" w:sz="4" w:space="0" w:color="000000"/>
              <w:bottom w:val="single" w:sz="4" w:space="0" w:color="000000"/>
              <w:right w:val="single" w:sz="4" w:space="0" w:color="000000"/>
            </w:tcBorders>
            <w:vAlign w:val="center"/>
          </w:tcPr>
          <w:p w14:paraId="035134A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6463" w:type="dxa"/>
            <w:tcBorders>
              <w:top w:val="single" w:sz="4" w:space="0" w:color="000000"/>
              <w:left w:val="single" w:sz="4" w:space="0" w:color="000000"/>
              <w:bottom w:val="single" w:sz="4" w:space="0" w:color="000000"/>
              <w:right w:val="single" w:sz="4" w:space="0" w:color="000000"/>
            </w:tcBorders>
          </w:tcPr>
          <w:p w14:paraId="5D5E45F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5</w:t>
            </w:r>
          </w:p>
        </w:tc>
      </w:tr>
      <w:tr w:rsidR="00374C56" w:rsidRPr="00D53A2B" w14:paraId="403D78D1" w14:textId="77777777" w:rsidTr="00374C56">
        <w:tc>
          <w:tcPr>
            <w:tcW w:w="8561" w:type="dxa"/>
            <w:gridSpan w:val="2"/>
            <w:tcBorders>
              <w:top w:val="single" w:sz="4" w:space="0" w:color="000000"/>
              <w:left w:val="single" w:sz="4" w:space="0" w:color="000000"/>
              <w:bottom w:val="single" w:sz="4" w:space="0" w:color="000000"/>
              <w:right w:val="single" w:sz="4" w:space="0" w:color="000000"/>
            </w:tcBorders>
            <w:vAlign w:val="center"/>
          </w:tcPr>
          <w:p w14:paraId="60D0AB03" w14:textId="212DE96F" w:rsidR="00374C56" w:rsidRPr="009077F5" w:rsidRDefault="00374C56" w:rsidP="00A202FD">
            <w:pPr>
              <w:jc w:val="both"/>
              <w:rPr>
                <w:bCs/>
                <w:spacing w:val="2"/>
                <w:sz w:val="20"/>
                <w:szCs w:val="20"/>
                <w:lang w:eastAsia="en-US"/>
              </w:rPr>
            </w:pPr>
            <w:r w:rsidRPr="009077F5">
              <w:rPr>
                <w:bCs/>
                <w:spacing w:val="2"/>
                <w:sz w:val="20"/>
                <w:szCs w:val="20"/>
                <w:lang w:eastAsia="en-US"/>
              </w:rPr>
              <w:t>(</w:t>
            </w:r>
            <w:r w:rsidRPr="009077F5">
              <w:rPr>
                <w:bCs/>
                <w:spacing w:val="2"/>
                <w:sz w:val="20"/>
                <w:szCs w:val="20"/>
                <w:vertAlign w:val="superscript"/>
                <w:lang w:eastAsia="en-US"/>
              </w:rPr>
              <w:t>1</w:t>
            </w:r>
            <w:r w:rsidRPr="009077F5">
              <w:rPr>
                <w:bCs/>
                <w:spacing w:val="2"/>
                <w:sz w:val="20"/>
                <w:szCs w:val="20"/>
                <w:lang w:eastAsia="en-US"/>
              </w:rPr>
              <w:t>) Günlük ortalama ya da örnekleme periyodu boyunca ortalama.</w:t>
            </w:r>
          </w:p>
        </w:tc>
      </w:tr>
    </w:tbl>
    <w:p w14:paraId="794B2E04" w14:textId="77777777" w:rsidR="007A43C8" w:rsidRPr="00D53A2B" w:rsidRDefault="007A43C8" w:rsidP="00A202FD">
      <w:pPr>
        <w:jc w:val="both"/>
        <w:rPr>
          <w:lang w:eastAsia="en-US"/>
        </w:rPr>
      </w:pPr>
    </w:p>
    <w:p w14:paraId="726ACA21" w14:textId="0B52CEC3" w:rsidR="007A43C8" w:rsidRPr="00D53A2B" w:rsidRDefault="007A43C8"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68222A1F" w14:textId="15D50FAE" w:rsidR="00374C56" w:rsidRPr="00D53A2B" w:rsidRDefault="00921606" w:rsidP="00A202FD">
      <w:pPr>
        <w:tabs>
          <w:tab w:val="left" w:pos="1134"/>
        </w:tabs>
        <w:spacing w:before="120" w:after="200"/>
        <w:jc w:val="both"/>
        <w:rPr>
          <w:b/>
          <w:lang w:eastAsia="en-US"/>
        </w:rPr>
      </w:pPr>
      <w:r w:rsidRPr="00D53A2B">
        <w:rPr>
          <w:b/>
          <w:lang w:eastAsia="en-US"/>
        </w:rPr>
        <w:t>MET 95:</w:t>
      </w:r>
      <w:r w:rsidR="00374C56" w:rsidRPr="00D53A2B">
        <w:rPr>
          <w:b/>
          <w:lang w:eastAsia="en-US"/>
        </w:rPr>
        <w:tab/>
      </w:r>
      <w:r w:rsidR="00374C56" w:rsidRPr="00D53A2B">
        <w:rPr>
          <w:bCs/>
          <w:lang w:eastAsia="en-US"/>
        </w:rPr>
        <w:t>Pillerin hazırlanması (</w:t>
      </w:r>
      <w:r w:rsidR="005460ED" w:rsidRPr="00D53A2B">
        <w:rPr>
          <w:bCs/>
          <w:lang w:eastAsia="en-US"/>
        </w:rPr>
        <w:t>kırma</w:t>
      </w:r>
      <w:r w:rsidR="00374C56" w:rsidRPr="00D53A2B">
        <w:rPr>
          <w:bCs/>
          <w:lang w:eastAsia="en-US"/>
        </w:rPr>
        <w:t>, eleme ve sınıflandırma) sırasında açığa çıkan toz ve metal emisyonlarını azaltmak için</w:t>
      </w:r>
      <w:r w:rsidR="007A43C8" w:rsidRPr="00D53A2B">
        <w:rPr>
          <w:bCs/>
          <w:lang w:eastAsia="en-US"/>
        </w:rPr>
        <w:t xml:space="preserve"> </w:t>
      </w:r>
      <w:r w:rsidR="00374C56" w:rsidRPr="00D53A2B">
        <w:rPr>
          <w:bCs/>
          <w:lang w:eastAsia="en-US"/>
        </w:rPr>
        <w:t>torba filtre veya ıslak yıkayıcı kullanılır.</w:t>
      </w:r>
    </w:p>
    <w:p w14:paraId="01B6E179"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23.</w:t>
      </w:r>
    </w:p>
    <w:p w14:paraId="0EB0E283" w14:textId="32EE82D9" w:rsidR="001023C7" w:rsidRPr="00D53A2B" w:rsidRDefault="00374C56" w:rsidP="00A202FD">
      <w:pPr>
        <w:tabs>
          <w:tab w:val="left" w:pos="1134"/>
        </w:tabs>
        <w:ind w:left="1134" w:hanging="1134"/>
        <w:jc w:val="both"/>
        <w:rPr>
          <w:bCs/>
          <w:iCs/>
          <w:spacing w:val="2"/>
          <w:lang w:eastAsia="en-US"/>
        </w:rPr>
      </w:pPr>
      <w:bookmarkStart w:id="93" w:name="_Toc531927964"/>
      <w:r w:rsidRPr="00D53A2B">
        <w:rPr>
          <w:bCs/>
          <w:iCs/>
          <w:spacing w:val="2"/>
          <w:lang w:eastAsia="en-US"/>
        </w:rPr>
        <w:t xml:space="preserve">Tablo </w:t>
      </w:r>
      <w:r w:rsidRPr="00D53A2B">
        <w:rPr>
          <w:bCs/>
          <w:iCs/>
          <w:noProof/>
          <w:spacing w:val="2"/>
          <w:lang w:eastAsia="en-US"/>
        </w:rPr>
        <w:t>23</w:t>
      </w:r>
    </w:p>
    <w:p w14:paraId="5FF49C3F" w14:textId="6FB505EA" w:rsidR="00374C56" w:rsidRPr="00D53A2B" w:rsidRDefault="00374C56" w:rsidP="00A202FD">
      <w:pPr>
        <w:jc w:val="both"/>
        <w:rPr>
          <w:bCs/>
          <w:iCs/>
          <w:spacing w:val="2"/>
          <w:lang w:eastAsia="en-US"/>
        </w:rPr>
      </w:pPr>
      <w:r w:rsidRPr="00D53A2B">
        <w:rPr>
          <w:bCs/>
          <w:iCs/>
          <w:spacing w:val="2"/>
          <w:lang w:eastAsia="en-US"/>
        </w:rPr>
        <w:t>Pillerin hazırlanması (</w:t>
      </w:r>
      <w:r w:rsidR="005460ED" w:rsidRPr="00D53A2B">
        <w:rPr>
          <w:bCs/>
          <w:iCs/>
          <w:spacing w:val="2"/>
          <w:lang w:eastAsia="en-US"/>
        </w:rPr>
        <w:t>kırma</w:t>
      </w:r>
      <w:r w:rsidRPr="00D53A2B">
        <w:rPr>
          <w:bCs/>
          <w:iCs/>
          <w:spacing w:val="2"/>
          <w:lang w:eastAsia="en-US"/>
        </w:rPr>
        <w:t>, eleme ve sınıflandırma) sırasında açığa çıkan toz emisyonları için MET ile ilişkili emisyon seviyeleri</w:t>
      </w:r>
      <w:bookmarkEnd w:id="93"/>
    </w:p>
    <w:tbl>
      <w:tblPr>
        <w:tblW w:w="8784" w:type="dxa"/>
        <w:tblLayout w:type="fixed"/>
        <w:tblCellMar>
          <w:left w:w="0" w:type="dxa"/>
          <w:right w:w="0" w:type="dxa"/>
        </w:tblCellMar>
        <w:tblLook w:val="01E0" w:firstRow="1" w:lastRow="1" w:firstColumn="1" w:lastColumn="1" w:noHBand="0" w:noVBand="0"/>
      </w:tblPr>
      <w:tblGrid>
        <w:gridCol w:w="2098"/>
        <w:gridCol w:w="6686"/>
      </w:tblGrid>
      <w:tr w:rsidR="00374C56" w:rsidRPr="00D53A2B" w14:paraId="615752A0"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461B0D0F"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686" w:type="dxa"/>
            <w:tcBorders>
              <w:top w:val="single" w:sz="4" w:space="0" w:color="000000"/>
              <w:left w:val="single" w:sz="4" w:space="0" w:color="000000"/>
              <w:bottom w:val="single" w:sz="4" w:space="0" w:color="000000"/>
              <w:right w:val="single" w:sz="4" w:space="0" w:color="000000"/>
            </w:tcBorders>
            <w:vAlign w:val="center"/>
          </w:tcPr>
          <w:p w14:paraId="16D0BFB5"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xml:space="preserve">)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37DB1F9A"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6E09B61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6686" w:type="dxa"/>
            <w:tcBorders>
              <w:top w:val="single" w:sz="4" w:space="0" w:color="000000"/>
              <w:left w:val="single" w:sz="4" w:space="0" w:color="000000"/>
              <w:bottom w:val="single" w:sz="4" w:space="0" w:color="000000"/>
              <w:right w:val="single" w:sz="4" w:space="0" w:color="000000"/>
            </w:tcBorders>
          </w:tcPr>
          <w:p w14:paraId="059B74C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5</w:t>
            </w:r>
          </w:p>
        </w:tc>
      </w:tr>
      <w:tr w:rsidR="00374C56" w:rsidRPr="00D53A2B" w14:paraId="0D6B8B2C"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6C582AB6" w14:textId="0EAF9639" w:rsidR="00374C56" w:rsidRPr="009077F5" w:rsidRDefault="007A43C8" w:rsidP="00A202FD">
            <w:pPr>
              <w:jc w:val="both"/>
              <w:rPr>
                <w:spacing w:val="2"/>
                <w:sz w:val="20"/>
                <w:szCs w:val="20"/>
                <w:lang w:eastAsia="en-US"/>
              </w:rPr>
            </w:pPr>
            <w:r w:rsidRPr="009077F5">
              <w:rPr>
                <w:bCs/>
                <w:spacing w:val="2"/>
                <w:sz w:val="20"/>
                <w:szCs w:val="20"/>
                <w:lang w:eastAsia="en-US"/>
              </w:rPr>
              <w:t>(</w:t>
            </w:r>
            <w:r w:rsidRPr="009077F5">
              <w:rPr>
                <w:bCs/>
                <w:spacing w:val="2"/>
                <w:sz w:val="20"/>
                <w:szCs w:val="20"/>
                <w:vertAlign w:val="superscript"/>
                <w:lang w:eastAsia="en-US"/>
              </w:rPr>
              <w:t>1</w:t>
            </w:r>
            <w:r w:rsidRPr="009077F5">
              <w:rPr>
                <w:bCs/>
                <w:spacing w:val="2"/>
                <w:sz w:val="20"/>
                <w:szCs w:val="20"/>
                <w:lang w:eastAsia="en-US"/>
              </w:rPr>
              <w:t>) Örnekleme periyodu boyunca ortalama.</w:t>
            </w:r>
          </w:p>
        </w:tc>
      </w:tr>
    </w:tbl>
    <w:p w14:paraId="71C6BE9E" w14:textId="77777777" w:rsidR="00374C56" w:rsidRPr="00D53A2B" w:rsidRDefault="00374C56" w:rsidP="00A202FD">
      <w:pPr>
        <w:jc w:val="both"/>
        <w:rPr>
          <w:lang w:eastAsia="en-US"/>
        </w:rPr>
      </w:pPr>
    </w:p>
    <w:p w14:paraId="54313C19" w14:textId="6AAC0CA3" w:rsidR="007A43C8" w:rsidRPr="00D53A2B" w:rsidRDefault="007A43C8"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3E99A4B8" w14:textId="77777777" w:rsidR="00D81D05" w:rsidRPr="00D53A2B" w:rsidRDefault="00D81D05" w:rsidP="00A202FD">
      <w:pPr>
        <w:pStyle w:val="MET"/>
        <w:rPr>
          <w:szCs w:val="24"/>
        </w:rPr>
      </w:pPr>
    </w:p>
    <w:p w14:paraId="02B505E7" w14:textId="799EE229" w:rsidR="005460ED" w:rsidRPr="00D53A2B" w:rsidRDefault="00921606" w:rsidP="00A202FD">
      <w:pPr>
        <w:pStyle w:val="MET"/>
        <w:rPr>
          <w:b w:val="0"/>
          <w:bCs/>
          <w:szCs w:val="24"/>
        </w:rPr>
      </w:pPr>
      <w:r w:rsidRPr="00D53A2B">
        <w:rPr>
          <w:szCs w:val="24"/>
        </w:rPr>
        <w:t>MET 96:</w:t>
      </w:r>
      <w:r w:rsidR="005460ED" w:rsidRPr="00D53A2B">
        <w:rPr>
          <w:szCs w:val="24"/>
        </w:rPr>
        <w:t xml:space="preserve"> </w:t>
      </w:r>
      <w:r w:rsidR="00374C56" w:rsidRPr="00D53A2B">
        <w:rPr>
          <w:b w:val="0"/>
          <w:bCs/>
          <w:szCs w:val="24"/>
        </w:rPr>
        <w:t>Birincil ve ikincil kurşun ve/veya kalay üretiminde şarj, ergitme ve döküm alma sırasında ortaya çıkıp havaya verilen toz ve metal emisyonlarının (sülfürik asit veya sıvı SO</w:t>
      </w:r>
      <w:r w:rsidR="00374C56" w:rsidRPr="00D53A2B">
        <w:rPr>
          <w:b w:val="0"/>
          <w:bCs/>
          <w:szCs w:val="24"/>
          <w:vertAlign w:val="subscript"/>
        </w:rPr>
        <w:t>2</w:t>
      </w:r>
      <w:r w:rsidR="00374C56" w:rsidRPr="00D53A2B">
        <w:rPr>
          <w:b w:val="0"/>
          <w:bCs/>
          <w:szCs w:val="24"/>
        </w:rPr>
        <w:t xml:space="preserve"> tesisine </w:t>
      </w:r>
      <w:r w:rsidR="005460ED" w:rsidRPr="00D53A2B">
        <w:rPr>
          <w:b w:val="0"/>
          <w:bCs/>
          <w:szCs w:val="24"/>
        </w:rPr>
        <w:t>yönlendirilenler</w:t>
      </w:r>
      <w:r w:rsidR="00374C56" w:rsidRPr="00D53A2B">
        <w:rPr>
          <w:b w:val="0"/>
          <w:bCs/>
          <w:szCs w:val="24"/>
        </w:rPr>
        <w:t xml:space="preserve"> hariç) azaltılması için, torba filtre kullanılır.</w:t>
      </w:r>
    </w:p>
    <w:p w14:paraId="2F564843" w14:textId="77777777" w:rsidR="007A43C8" w:rsidRPr="00D53A2B" w:rsidRDefault="007A43C8" w:rsidP="00A202FD">
      <w:pPr>
        <w:pStyle w:val="MET"/>
        <w:rPr>
          <w:szCs w:val="24"/>
        </w:rPr>
      </w:pPr>
    </w:p>
    <w:p w14:paraId="3B63DFF1" w14:textId="5EDA95E3"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24.</w:t>
      </w:r>
    </w:p>
    <w:p w14:paraId="63E698AF" w14:textId="77777777" w:rsidR="001023C7" w:rsidRPr="00D53A2B" w:rsidRDefault="00374C56" w:rsidP="00A202FD">
      <w:pPr>
        <w:jc w:val="both"/>
        <w:rPr>
          <w:lang w:eastAsia="en-US"/>
        </w:rPr>
      </w:pPr>
      <w:bookmarkStart w:id="94" w:name="_Toc531927965"/>
      <w:r w:rsidRPr="00D53A2B">
        <w:rPr>
          <w:lang w:eastAsia="en-US"/>
        </w:rPr>
        <w:t xml:space="preserve">Tablo </w:t>
      </w:r>
      <w:r w:rsidRPr="00D53A2B">
        <w:rPr>
          <w:noProof/>
          <w:lang w:eastAsia="en-US"/>
        </w:rPr>
        <w:t>24</w:t>
      </w:r>
    </w:p>
    <w:p w14:paraId="0193069B" w14:textId="6640ED90" w:rsidR="00374C56" w:rsidRPr="00D53A2B" w:rsidRDefault="00374C56" w:rsidP="00A202FD">
      <w:pPr>
        <w:jc w:val="both"/>
        <w:rPr>
          <w:lang w:eastAsia="en-US"/>
        </w:rPr>
      </w:pPr>
      <w:r w:rsidRPr="00D53A2B">
        <w:rPr>
          <w:lang w:eastAsia="en-US"/>
        </w:rPr>
        <w:t>Birincil ve ikincil kurşun ve/veya kalay üretiminde şarj, ergitme ve döküm alma sırasında ortaya çıkıp havaya verilen toz ve kurşun emisyonları (sülfürik asit veya sıvı SO</w:t>
      </w:r>
      <w:r w:rsidRPr="00D53A2B">
        <w:rPr>
          <w:vertAlign w:val="subscript"/>
          <w:lang w:eastAsia="en-US"/>
        </w:rPr>
        <w:t>2</w:t>
      </w:r>
      <w:r w:rsidRPr="00D53A2B">
        <w:rPr>
          <w:lang w:eastAsia="en-US"/>
        </w:rPr>
        <w:t xml:space="preserve"> tesisine </w:t>
      </w:r>
      <w:r w:rsidR="005460ED" w:rsidRPr="00D53A2B">
        <w:rPr>
          <w:lang w:eastAsia="en-US"/>
        </w:rPr>
        <w:t>yönlendirilenler</w:t>
      </w:r>
      <w:r w:rsidRPr="00D53A2B">
        <w:rPr>
          <w:lang w:eastAsia="en-US"/>
        </w:rPr>
        <w:t xml:space="preserve"> hariç) için MET ile ilişkili emisyon seviyeleri</w:t>
      </w:r>
      <w:bookmarkEnd w:id="94"/>
    </w:p>
    <w:tbl>
      <w:tblPr>
        <w:tblW w:w="8784" w:type="dxa"/>
        <w:tblLayout w:type="fixed"/>
        <w:tblCellMar>
          <w:left w:w="0" w:type="dxa"/>
          <w:right w:w="0" w:type="dxa"/>
        </w:tblCellMar>
        <w:tblLook w:val="01E0" w:firstRow="1" w:lastRow="1" w:firstColumn="1" w:lastColumn="1" w:noHBand="0" w:noVBand="0"/>
      </w:tblPr>
      <w:tblGrid>
        <w:gridCol w:w="2098"/>
        <w:gridCol w:w="6686"/>
      </w:tblGrid>
      <w:tr w:rsidR="00374C56" w:rsidRPr="00D53A2B" w14:paraId="5BAD5C1A"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00712AED"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686" w:type="dxa"/>
            <w:tcBorders>
              <w:top w:val="single" w:sz="4" w:space="0" w:color="000000"/>
              <w:left w:val="single" w:sz="4" w:space="0" w:color="000000"/>
              <w:bottom w:val="single" w:sz="4" w:space="0" w:color="000000"/>
              <w:right w:val="single" w:sz="4" w:space="0" w:color="000000"/>
            </w:tcBorders>
            <w:vAlign w:val="center"/>
          </w:tcPr>
          <w:p w14:paraId="10886592"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w:t>
            </w:r>
          </w:p>
        </w:tc>
      </w:tr>
      <w:tr w:rsidR="00374C56" w:rsidRPr="00D53A2B" w14:paraId="5E9B9FD0" w14:textId="77777777" w:rsidTr="00271877">
        <w:tc>
          <w:tcPr>
            <w:tcW w:w="2098" w:type="dxa"/>
            <w:tcBorders>
              <w:top w:val="single" w:sz="4" w:space="0" w:color="000000"/>
              <w:left w:val="single" w:sz="4" w:space="0" w:color="000000"/>
              <w:bottom w:val="single" w:sz="4" w:space="0" w:color="000000"/>
              <w:right w:val="single" w:sz="4" w:space="0" w:color="000000"/>
            </w:tcBorders>
          </w:tcPr>
          <w:p w14:paraId="24B33CA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6686" w:type="dxa"/>
            <w:tcBorders>
              <w:top w:val="single" w:sz="4" w:space="0" w:color="000000"/>
              <w:left w:val="single" w:sz="4" w:space="0" w:color="000000"/>
              <w:bottom w:val="single" w:sz="4" w:space="0" w:color="000000"/>
              <w:right w:val="single" w:sz="4" w:space="0" w:color="000000"/>
            </w:tcBorders>
          </w:tcPr>
          <w:p w14:paraId="0B29D34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2–4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r w:rsidRPr="00D53A2B">
              <w:rPr>
                <w:b/>
                <w:sz w:val="22"/>
                <w:szCs w:val="22"/>
                <w:vertAlign w:val="superscript"/>
                <w:lang w:eastAsia="en-US"/>
              </w:rPr>
              <w:t>2</w:t>
            </w:r>
            <w:r w:rsidRPr="00D53A2B">
              <w:rPr>
                <w:b/>
                <w:sz w:val="22"/>
                <w:szCs w:val="22"/>
                <w:lang w:eastAsia="en-US"/>
              </w:rPr>
              <w:t>)</w:t>
            </w:r>
          </w:p>
        </w:tc>
      </w:tr>
      <w:tr w:rsidR="00374C56" w:rsidRPr="00D53A2B" w14:paraId="5B6C901C" w14:textId="77777777" w:rsidTr="00271877">
        <w:tc>
          <w:tcPr>
            <w:tcW w:w="2098" w:type="dxa"/>
            <w:tcBorders>
              <w:top w:val="single" w:sz="4" w:space="0" w:color="000000"/>
              <w:left w:val="single" w:sz="4" w:space="0" w:color="000000"/>
              <w:bottom w:val="single" w:sz="4" w:space="0" w:color="000000"/>
              <w:right w:val="single" w:sz="4" w:space="0" w:color="000000"/>
            </w:tcBorders>
          </w:tcPr>
          <w:p w14:paraId="134ED7E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Pb</w:t>
            </w:r>
          </w:p>
        </w:tc>
        <w:tc>
          <w:tcPr>
            <w:tcW w:w="6686" w:type="dxa"/>
            <w:tcBorders>
              <w:top w:val="single" w:sz="4" w:space="0" w:color="000000"/>
              <w:left w:val="single" w:sz="4" w:space="0" w:color="000000"/>
              <w:bottom w:val="single" w:sz="4" w:space="0" w:color="000000"/>
              <w:right w:val="single" w:sz="4" w:space="0" w:color="000000"/>
            </w:tcBorders>
          </w:tcPr>
          <w:p w14:paraId="52BDEE5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1 </w:t>
            </w:r>
            <w:r w:rsidRPr="00D53A2B">
              <w:rPr>
                <w:b/>
                <w:sz w:val="22"/>
                <w:szCs w:val="22"/>
                <w:lang w:eastAsia="en-US"/>
              </w:rPr>
              <w:t>(</w:t>
            </w:r>
            <w:r w:rsidRPr="00D53A2B">
              <w:rPr>
                <w:b/>
                <w:sz w:val="22"/>
                <w:szCs w:val="22"/>
                <w:vertAlign w:val="superscript"/>
                <w:lang w:eastAsia="en-US"/>
              </w:rPr>
              <w:t>3</w:t>
            </w:r>
            <w:r w:rsidRPr="00D53A2B">
              <w:rPr>
                <w:b/>
                <w:sz w:val="22"/>
                <w:szCs w:val="22"/>
                <w:lang w:eastAsia="en-US"/>
              </w:rPr>
              <w:t>)</w:t>
            </w:r>
          </w:p>
        </w:tc>
      </w:tr>
      <w:tr w:rsidR="00374C56" w:rsidRPr="00D53A2B" w14:paraId="48A86A05"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6EE17795" w14:textId="525C28B9" w:rsidR="00374C56" w:rsidRPr="009077F5" w:rsidRDefault="00374C56" w:rsidP="00A202FD">
            <w:pPr>
              <w:jc w:val="both"/>
              <w:rPr>
                <w:bCs/>
                <w:spacing w:val="2"/>
                <w:sz w:val="20"/>
                <w:szCs w:val="20"/>
                <w:lang w:eastAsia="en-US"/>
              </w:rPr>
            </w:pPr>
            <w:r w:rsidRPr="009077F5">
              <w:rPr>
                <w:bCs/>
                <w:spacing w:val="2"/>
                <w:sz w:val="20"/>
                <w:szCs w:val="20"/>
                <w:lang w:eastAsia="en-US"/>
              </w:rPr>
              <w:t>(</w:t>
            </w:r>
            <w:r w:rsidRPr="009077F5">
              <w:rPr>
                <w:bCs/>
                <w:spacing w:val="2"/>
                <w:sz w:val="20"/>
                <w:szCs w:val="20"/>
                <w:vertAlign w:val="superscript"/>
                <w:lang w:eastAsia="en-US"/>
              </w:rPr>
              <w:t>1</w:t>
            </w:r>
            <w:r w:rsidRPr="009077F5">
              <w:rPr>
                <w:bCs/>
                <w:spacing w:val="2"/>
                <w:sz w:val="20"/>
                <w:szCs w:val="20"/>
                <w:lang w:eastAsia="en-US"/>
              </w:rPr>
              <w:t>) Günlük ortalama ya da örnekleme periyodu boyunca ortalama.</w:t>
            </w:r>
          </w:p>
          <w:p w14:paraId="5AB5812B" w14:textId="0ABDCA52" w:rsidR="00374C56" w:rsidRPr="009077F5" w:rsidRDefault="00374C56" w:rsidP="00A202FD">
            <w:pPr>
              <w:jc w:val="both"/>
              <w:rPr>
                <w:bCs/>
                <w:spacing w:val="2"/>
                <w:sz w:val="20"/>
                <w:szCs w:val="20"/>
                <w:lang w:eastAsia="en-US"/>
              </w:rPr>
            </w:pPr>
            <w:r w:rsidRPr="009077F5">
              <w:rPr>
                <w:bCs/>
                <w:spacing w:val="2"/>
                <w:sz w:val="20"/>
                <w:szCs w:val="20"/>
                <w:lang w:eastAsia="en-US"/>
              </w:rPr>
              <w:t>(</w:t>
            </w:r>
            <w:r w:rsidRPr="009077F5">
              <w:rPr>
                <w:bCs/>
                <w:spacing w:val="2"/>
                <w:sz w:val="20"/>
                <w:szCs w:val="20"/>
                <w:vertAlign w:val="superscript"/>
                <w:lang w:eastAsia="en-US"/>
              </w:rPr>
              <w:t>2</w:t>
            </w:r>
            <w:r w:rsidRPr="009077F5">
              <w:rPr>
                <w:bCs/>
                <w:spacing w:val="2"/>
                <w:sz w:val="20"/>
                <w:szCs w:val="20"/>
                <w:lang w:eastAsia="en-US"/>
              </w:rPr>
              <w:t>) Emisyonlardaki bakır, arsenik ve kadmiyum derişimleri aşağıdaki seviyelerin üzerinde olduğunda toz emisyonlarının verilen aralığın alt sınırına doğru olması beklenir: bakır için 1 mg/Nm</w:t>
            </w:r>
            <w:r w:rsidRPr="009077F5">
              <w:rPr>
                <w:bCs/>
                <w:spacing w:val="2"/>
                <w:sz w:val="20"/>
                <w:szCs w:val="20"/>
                <w:vertAlign w:val="superscript"/>
                <w:lang w:eastAsia="en-US"/>
              </w:rPr>
              <w:t>3</w:t>
            </w:r>
            <w:r w:rsidRPr="009077F5">
              <w:rPr>
                <w:bCs/>
                <w:spacing w:val="2"/>
                <w:sz w:val="20"/>
                <w:szCs w:val="20"/>
                <w:lang w:eastAsia="en-US"/>
              </w:rPr>
              <w:t>, arsenik için 0</w:t>
            </w:r>
            <w:r w:rsidR="005460ED" w:rsidRPr="009077F5">
              <w:rPr>
                <w:bCs/>
                <w:spacing w:val="2"/>
                <w:sz w:val="20"/>
                <w:szCs w:val="20"/>
                <w:lang w:eastAsia="en-US"/>
              </w:rPr>
              <w:t>,</w:t>
            </w:r>
            <w:r w:rsidRPr="009077F5">
              <w:rPr>
                <w:bCs/>
                <w:spacing w:val="2"/>
                <w:sz w:val="20"/>
                <w:szCs w:val="20"/>
                <w:lang w:eastAsia="en-US"/>
              </w:rPr>
              <w:t>05 mg/Nm</w:t>
            </w:r>
            <w:r w:rsidRPr="009077F5">
              <w:rPr>
                <w:bCs/>
                <w:spacing w:val="2"/>
                <w:sz w:val="20"/>
                <w:szCs w:val="20"/>
                <w:vertAlign w:val="superscript"/>
                <w:lang w:eastAsia="en-US"/>
              </w:rPr>
              <w:t>3</w:t>
            </w:r>
            <w:r w:rsidRPr="009077F5">
              <w:rPr>
                <w:bCs/>
                <w:spacing w:val="2"/>
                <w:sz w:val="20"/>
                <w:szCs w:val="20"/>
                <w:lang w:eastAsia="en-US"/>
              </w:rPr>
              <w:t>, kadmiyum için 0</w:t>
            </w:r>
            <w:r w:rsidR="005460ED" w:rsidRPr="009077F5">
              <w:rPr>
                <w:bCs/>
                <w:spacing w:val="2"/>
                <w:sz w:val="20"/>
                <w:szCs w:val="20"/>
                <w:lang w:eastAsia="en-US"/>
              </w:rPr>
              <w:t>,</w:t>
            </w:r>
            <w:r w:rsidRPr="009077F5">
              <w:rPr>
                <w:bCs/>
                <w:spacing w:val="2"/>
                <w:sz w:val="20"/>
                <w:szCs w:val="20"/>
                <w:lang w:eastAsia="en-US"/>
              </w:rPr>
              <w:t>05 mg/Nm</w:t>
            </w:r>
            <w:r w:rsidRPr="009077F5">
              <w:rPr>
                <w:bCs/>
                <w:spacing w:val="2"/>
                <w:sz w:val="20"/>
                <w:szCs w:val="20"/>
                <w:vertAlign w:val="superscript"/>
                <w:lang w:eastAsia="en-US"/>
              </w:rPr>
              <w:t>3</w:t>
            </w:r>
            <w:r w:rsidRPr="009077F5">
              <w:rPr>
                <w:bCs/>
                <w:spacing w:val="2"/>
                <w:sz w:val="20"/>
                <w:szCs w:val="20"/>
                <w:lang w:eastAsia="en-US"/>
              </w:rPr>
              <w:t>.</w:t>
            </w:r>
          </w:p>
          <w:p w14:paraId="00293A26" w14:textId="6A54B717" w:rsidR="00374C56" w:rsidRPr="00D53A2B" w:rsidRDefault="00374C56" w:rsidP="00A202FD">
            <w:pPr>
              <w:jc w:val="both"/>
              <w:rPr>
                <w:spacing w:val="2"/>
                <w:sz w:val="22"/>
                <w:szCs w:val="22"/>
                <w:lang w:eastAsia="en-US"/>
              </w:rPr>
            </w:pPr>
            <w:r w:rsidRPr="009077F5">
              <w:rPr>
                <w:bCs/>
                <w:spacing w:val="2"/>
                <w:sz w:val="20"/>
                <w:szCs w:val="20"/>
                <w:lang w:eastAsia="en-US"/>
              </w:rPr>
              <w:t>(</w:t>
            </w:r>
            <w:r w:rsidRPr="009077F5">
              <w:rPr>
                <w:bCs/>
                <w:spacing w:val="2"/>
                <w:sz w:val="20"/>
                <w:szCs w:val="20"/>
                <w:vertAlign w:val="superscript"/>
                <w:lang w:eastAsia="en-US"/>
              </w:rPr>
              <w:t>3</w:t>
            </w:r>
            <w:r w:rsidRPr="009077F5">
              <w:rPr>
                <w:bCs/>
                <w:spacing w:val="2"/>
                <w:sz w:val="20"/>
                <w:szCs w:val="20"/>
                <w:lang w:eastAsia="en-US"/>
              </w:rPr>
              <w:t>) Örnekleme periyodu boyunca ortalama.</w:t>
            </w:r>
          </w:p>
        </w:tc>
      </w:tr>
    </w:tbl>
    <w:p w14:paraId="7FF80DB7" w14:textId="77777777" w:rsidR="00374C56" w:rsidRPr="00D53A2B" w:rsidRDefault="00374C56" w:rsidP="00A202FD">
      <w:pPr>
        <w:jc w:val="both"/>
        <w:rPr>
          <w:lang w:eastAsia="en-US"/>
        </w:rPr>
      </w:pPr>
    </w:p>
    <w:p w14:paraId="4F00E23E" w14:textId="3F875A0A" w:rsidR="007A43C8" w:rsidRPr="00D53A2B" w:rsidRDefault="007A43C8"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26762B2D" w14:textId="6D344E19" w:rsidR="00374C56" w:rsidRPr="00D53A2B" w:rsidRDefault="00921606" w:rsidP="00A202FD">
      <w:pPr>
        <w:tabs>
          <w:tab w:val="left" w:pos="1134"/>
        </w:tabs>
        <w:spacing w:before="120" w:after="200"/>
        <w:jc w:val="both"/>
        <w:rPr>
          <w:b/>
          <w:lang w:eastAsia="en-US"/>
        </w:rPr>
      </w:pPr>
      <w:r w:rsidRPr="00D53A2B">
        <w:rPr>
          <w:b/>
          <w:lang w:eastAsia="en-US"/>
        </w:rPr>
        <w:t>MET 97:</w:t>
      </w:r>
      <w:r w:rsidR="00374C56" w:rsidRPr="00D53A2B">
        <w:rPr>
          <w:b/>
          <w:lang w:eastAsia="en-US"/>
        </w:rPr>
        <w:tab/>
      </w:r>
      <w:r w:rsidR="00374C56" w:rsidRPr="00D53A2B">
        <w:rPr>
          <w:bCs/>
          <w:lang w:eastAsia="en-US"/>
        </w:rPr>
        <w:t>Birincil ve ikincil kurşun ve/veya kalay üretiminde yeniden eritilmesi, rafine edilmesi ve döküm işlemleri sırasında ortaya çıkıp havaya verilen toz ve metal emisyonlarının azaltılması için aşağıda verilen teknikler kullanılır.</w:t>
      </w:r>
    </w:p>
    <w:tbl>
      <w:tblPr>
        <w:tblW w:w="8784" w:type="dxa"/>
        <w:tblLayout w:type="fixed"/>
        <w:tblCellMar>
          <w:left w:w="0" w:type="dxa"/>
          <w:right w:w="0" w:type="dxa"/>
        </w:tblCellMar>
        <w:tblLook w:val="01E0" w:firstRow="1" w:lastRow="1" w:firstColumn="1" w:lastColumn="1" w:noHBand="0" w:noVBand="0"/>
      </w:tblPr>
      <w:tblGrid>
        <w:gridCol w:w="397"/>
        <w:gridCol w:w="8387"/>
      </w:tblGrid>
      <w:tr w:rsidR="00374C56" w:rsidRPr="00D53A2B" w14:paraId="5F6CCCF5"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1E632728" w14:textId="77777777" w:rsidR="00374C56" w:rsidRPr="00D53A2B" w:rsidRDefault="00374C56" w:rsidP="00A202FD">
            <w:pPr>
              <w:spacing w:line="264" w:lineRule="auto"/>
              <w:ind w:left="57" w:right="57"/>
              <w:jc w:val="both"/>
              <w:rPr>
                <w:sz w:val="22"/>
                <w:szCs w:val="22"/>
                <w:lang w:eastAsia="en-US"/>
              </w:rPr>
            </w:pPr>
          </w:p>
        </w:tc>
        <w:tc>
          <w:tcPr>
            <w:tcW w:w="8387" w:type="dxa"/>
            <w:tcBorders>
              <w:top w:val="single" w:sz="4" w:space="0" w:color="000000"/>
              <w:left w:val="single" w:sz="4" w:space="0" w:color="000000"/>
              <w:bottom w:val="single" w:sz="4" w:space="0" w:color="000000"/>
              <w:right w:val="single" w:sz="4" w:space="0" w:color="000000"/>
            </w:tcBorders>
            <w:vAlign w:val="center"/>
          </w:tcPr>
          <w:p w14:paraId="5CE1D9C9"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08E15E8B"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6BFFC42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387" w:type="dxa"/>
            <w:tcBorders>
              <w:top w:val="single" w:sz="4" w:space="0" w:color="000000"/>
              <w:left w:val="single" w:sz="4" w:space="0" w:color="000000"/>
              <w:bottom w:val="single" w:sz="4" w:space="0" w:color="000000"/>
              <w:right w:val="single" w:sz="4" w:space="0" w:color="000000"/>
            </w:tcBorders>
          </w:tcPr>
          <w:p w14:paraId="4E14A3E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Pirometalurjik prosesler için: torba filtre kullanılması ve prosesin aşamasına göre eriyik banyosunun sıcaklığının mümkün olan en düşük seviyede tutulması</w:t>
            </w:r>
          </w:p>
        </w:tc>
      </w:tr>
      <w:tr w:rsidR="00374C56" w:rsidRPr="00D53A2B" w14:paraId="66553114"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48F4AAC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387" w:type="dxa"/>
            <w:tcBorders>
              <w:top w:val="single" w:sz="4" w:space="0" w:color="000000"/>
              <w:left w:val="single" w:sz="4" w:space="0" w:color="000000"/>
              <w:bottom w:val="single" w:sz="4" w:space="0" w:color="000000"/>
              <w:right w:val="single" w:sz="4" w:space="0" w:color="000000"/>
            </w:tcBorders>
          </w:tcPr>
          <w:p w14:paraId="6D4760B0" w14:textId="787807AD" w:rsidR="00374C56" w:rsidRPr="00D53A2B" w:rsidRDefault="00374C56" w:rsidP="00A202FD">
            <w:pPr>
              <w:spacing w:line="264" w:lineRule="auto"/>
              <w:ind w:left="57" w:right="57"/>
              <w:jc w:val="both"/>
              <w:rPr>
                <w:sz w:val="22"/>
                <w:szCs w:val="22"/>
                <w:lang w:eastAsia="en-US"/>
              </w:rPr>
            </w:pPr>
            <w:r w:rsidRPr="00D53A2B">
              <w:rPr>
                <w:sz w:val="22"/>
                <w:szCs w:val="22"/>
                <w:lang w:eastAsia="en-US"/>
              </w:rPr>
              <w:t>Hidrometalurjik prosesler için: ıslak yıkayıcı kullanılması</w:t>
            </w:r>
          </w:p>
        </w:tc>
      </w:tr>
    </w:tbl>
    <w:p w14:paraId="6D48B0E4" w14:textId="77777777" w:rsidR="00374C56" w:rsidRPr="00D53A2B" w:rsidRDefault="00374C56" w:rsidP="00A202FD">
      <w:pPr>
        <w:jc w:val="both"/>
        <w:rPr>
          <w:lang w:eastAsia="en-US"/>
        </w:rPr>
      </w:pPr>
    </w:p>
    <w:p w14:paraId="18B718DC"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25.</w:t>
      </w:r>
    </w:p>
    <w:p w14:paraId="1F4E32E3" w14:textId="77777777" w:rsidR="001023C7" w:rsidRPr="00D53A2B" w:rsidRDefault="00374C56" w:rsidP="00A202FD">
      <w:pPr>
        <w:jc w:val="both"/>
        <w:rPr>
          <w:bCs/>
          <w:iCs/>
          <w:spacing w:val="2"/>
          <w:lang w:eastAsia="en-US"/>
        </w:rPr>
      </w:pPr>
      <w:bookmarkStart w:id="95" w:name="_Toc531927966"/>
      <w:r w:rsidRPr="00D53A2B">
        <w:rPr>
          <w:bCs/>
          <w:iCs/>
          <w:spacing w:val="2"/>
          <w:lang w:eastAsia="en-US"/>
        </w:rPr>
        <w:t xml:space="preserve">Tablo </w:t>
      </w:r>
      <w:r w:rsidRPr="00D53A2B">
        <w:rPr>
          <w:bCs/>
          <w:iCs/>
          <w:noProof/>
          <w:spacing w:val="2"/>
          <w:lang w:eastAsia="en-US"/>
        </w:rPr>
        <w:t>25</w:t>
      </w:r>
    </w:p>
    <w:p w14:paraId="4341777B" w14:textId="202AA6D0" w:rsidR="00374C56" w:rsidRPr="00D53A2B" w:rsidRDefault="00374C56" w:rsidP="00A202FD">
      <w:pPr>
        <w:jc w:val="both"/>
        <w:rPr>
          <w:bCs/>
          <w:iCs/>
          <w:spacing w:val="2"/>
          <w:lang w:eastAsia="en-US"/>
        </w:rPr>
      </w:pPr>
      <w:r w:rsidRPr="00D53A2B">
        <w:rPr>
          <w:bCs/>
          <w:iCs/>
          <w:spacing w:val="2"/>
          <w:lang w:eastAsia="en-US"/>
        </w:rPr>
        <w:t>Birincil ve ikincil kurşun ve/veya kalay üretiminde yeniden eritilmesi, rafine edilmesi ve döküm işlemleri sırasında ortaya çıkıp havaya verilen toz ve kurşun emisyonları için MET ile ilişkili emisyon seviyeleri</w:t>
      </w:r>
      <w:bookmarkEnd w:id="95"/>
    </w:p>
    <w:tbl>
      <w:tblPr>
        <w:tblW w:w="8784" w:type="dxa"/>
        <w:tblLayout w:type="fixed"/>
        <w:tblCellMar>
          <w:left w:w="0" w:type="dxa"/>
          <w:right w:w="0" w:type="dxa"/>
        </w:tblCellMar>
        <w:tblLook w:val="01E0" w:firstRow="1" w:lastRow="1" w:firstColumn="1" w:lastColumn="1" w:noHBand="0" w:noVBand="0"/>
      </w:tblPr>
      <w:tblGrid>
        <w:gridCol w:w="2098"/>
        <w:gridCol w:w="6686"/>
      </w:tblGrid>
      <w:tr w:rsidR="00374C56" w:rsidRPr="00D53A2B" w14:paraId="6511D2EF"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41916F11"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686" w:type="dxa"/>
            <w:tcBorders>
              <w:top w:val="single" w:sz="4" w:space="0" w:color="000000"/>
              <w:left w:val="single" w:sz="4" w:space="0" w:color="000000"/>
              <w:bottom w:val="single" w:sz="4" w:space="0" w:color="000000"/>
              <w:right w:val="single" w:sz="4" w:space="0" w:color="000000"/>
            </w:tcBorders>
            <w:vAlign w:val="center"/>
          </w:tcPr>
          <w:p w14:paraId="035EC0A9"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w:t>
            </w:r>
          </w:p>
        </w:tc>
      </w:tr>
      <w:tr w:rsidR="00374C56" w:rsidRPr="00D53A2B" w14:paraId="23AFC6C1" w14:textId="77777777" w:rsidTr="00271877">
        <w:tc>
          <w:tcPr>
            <w:tcW w:w="2098" w:type="dxa"/>
            <w:tcBorders>
              <w:top w:val="single" w:sz="4" w:space="0" w:color="000000"/>
              <w:left w:val="single" w:sz="4" w:space="0" w:color="000000"/>
              <w:bottom w:val="single" w:sz="4" w:space="0" w:color="000000"/>
              <w:right w:val="single" w:sz="4" w:space="0" w:color="000000"/>
            </w:tcBorders>
          </w:tcPr>
          <w:p w14:paraId="77D5F5D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6686" w:type="dxa"/>
            <w:tcBorders>
              <w:top w:val="single" w:sz="4" w:space="0" w:color="000000"/>
              <w:left w:val="single" w:sz="4" w:space="0" w:color="000000"/>
              <w:bottom w:val="single" w:sz="4" w:space="0" w:color="000000"/>
              <w:right w:val="single" w:sz="4" w:space="0" w:color="000000"/>
            </w:tcBorders>
          </w:tcPr>
          <w:p w14:paraId="6645ED5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2–4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r w:rsidRPr="00D53A2B">
              <w:rPr>
                <w:b/>
                <w:sz w:val="22"/>
                <w:szCs w:val="22"/>
                <w:vertAlign w:val="superscript"/>
                <w:lang w:eastAsia="en-US"/>
              </w:rPr>
              <w:t>2</w:t>
            </w:r>
            <w:r w:rsidRPr="00D53A2B">
              <w:rPr>
                <w:b/>
                <w:sz w:val="22"/>
                <w:szCs w:val="22"/>
                <w:lang w:eastAsia="en-US"/>
              </w:rPr>
              <w:t>)</w:t>
            </w:r>
          </w:p>
        </w:tc>
      </w:tr>
      <w:tr w:rsidR="00374C56" w:rsidRPr="00D53A2B" w14:paraId="70A51D4B" w14:textId="77777777" w:rsidTr="00271877">
        <w:tc>
          <w:tcPr>
            <w:tcW w:w="2098" w:type="dxa"/>
            <w:tcBorders>
              <w:top w:val="single" w:sz="4" w:space="0" w:color="000000"/>
              <w:left w:val="single" w:sz="4" w:space="0" w:color="000000"/>
              <w:bottom w:val="single" w:sz="4" w:space="0" w:color="000000"/>
              <w:right w:val="single" w:sz="4" w:space="0" w:color="000000"/>
            </w:tcBorders>
          </w:tcPr>
          <w:p w14:paraId="296895E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Pb</w:t>
            </w:r>
          </w:p>
        </w:tc>
        <w:tc>
          <w:tcPr>
            <w:tcW w:w="6686" w:type="dxa"/>
            <w:tcBorders>
              <w:top w:val="single" w:sz="4" w:space="0" w:color="000000"/>
              <w:left w:val="single" w:sz="4" w:space="0" w:color="000000"/>
              <w:bottom w:val="single" w:sz="4" w:space="0" w:color="000000"/>
              <w:right w:val="single" w:sz="4" w:space="0" w:color="000000"/>
            </w:tcBorders>
          </w:tcPr>
          <w:p w14:paraId="2C4BBD2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 1 </w:t>
            </w:r>
            <w:r w:rsidRPr="00D53A2B">
              <w:rPr>
                <w:b/>
                <w:sz w:val="22"/>
                <w:szCs w:val="22"/>
                <w:lang w:eastAsia="en-US"/>
              </w:rPr>
              <w:t>(</w:t>
            </w:r>
            <w:r w:rsidRPr="00D53A2B">
              <w:rPr>
                <w:b/>
                <w:sz w:val="22"/>
                <w:szCs w:val="22"/>
                <w:vertAlign w:val="superscript"/>
                <w:lang w:eastAsia="en-US"/>
              </w:rPr>
              <w:t>3</w:t>
            </w:r>
            <w:r w:rsidRPr="00D53A2B">
              <w:rPr>
                <w:b/>
                <w:sz w:val="22"/>
                <w:szCs w:val="22"/>
                <w:lang w:eastAsia="en-US"/>
              </w:rPr>
              <w:t>)</w:t>
            </w:r>
          </w:p>
        </w:tc>
      </w:tr>
      <w:tr w:rsidR="00374C56" w:rsidRPr="00D53A2B" w14:paraId="59CC4707"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0961BE0F" w14:textId="6489531B" w:rsidR="00374C56" w:rsidRPr="00D53A2B" w:rsidRDefault="00374C56" w:rsidP="00A202FD">
            <w:pPr>
              <w:jc w:val="both"/>
              <w:rPr>
                <w:bCs/>
                <w:spacing w:val="2"/>
                <w:sz w:val="20"/>
                <w:szCs w:val="20"/>
                <w:lang w:eastAsia="en-US"/>
              </w:rPr>
            </w:pPr>
            <w:r w:rsidRPr="00D53A2B">
              <w:rPr>
                <w:bCs/>
                <w:spacing w:val="2"/>
                <w:sz w:val="22"/>
                <w:szCs w:val="22"/>
                <w:lang w:eastAsia="en-US"/>
              </w:rPr>
              <w:t>(</w:t>
            </w:r>
            <w:r w:rsidRPr="00D53A2B">
              <w:rPr>
                <w:bCs/>
                <w:spacing w:val="2"/>
                <w:sz w:val="20"/>
                <w:szCs w:val="20"/>
                <w:vertAlign w:val="superscript"/>
                <w:lang w:eastAsia="en-US"/>
              </w:rPr>
              <w:t>1</w:t>
            </w:r>
            <w:r w:rsidRPr="00D53A2B">
              <w:rPr>
                <w:bCs/>
                <w:spacing w:val="2"/>
                <w:sz w:val="20"/>
                <w:szCs w:val="20"/>
                <w:lang w:eastAsia="en-US"/>
              </w:rPr>
              <w:t>) Günlük ortalama ya da örnekleme periyodu boyunca ortalama.</w:t>
            </w:r>
          </w:p>
          <w:p w14:paraId="05C50A03" w14:textId="322F04AB" w:rsidR="00374C56" w:rsidRPr="00D53A2B" w:rsidRDefault="00374C56" w:rsidP="00A202FD">
            <w:pPr>
              <w:jc w:val="both"/>
              <w:rPr>
                <w:bCs/>
                <w:spacing w:val="2"/>
                <w:sz w:val="20"/>
                <w:szCs w:val="20"/>
                <w:lang w:eastAsia="en-US"/>
              </w:rPr>
            </w:pPr>
            <w:r w:rsidRPr="00D53A2B">
              <w:rPr>
                <w:bCs/>
                <w:spacing w:val="2"/>
                <w:sz w:val="20"/>
                <w:szCs w:val="20"/>
                <w:lang w:eastAsia="en-US"/>
              </w:rPr>
              <w:t>(</w:t>
            </w:r>
            <w:r w:rsidRPr="00D53A2B">
              <w:rPr>
                <w:bCs/>
                <w:spacing w:val="2"/>
                <w:sz w:val="20"/>
                <w:szCs w:val="20"/>
                <w:vertAlign w:val="superscript"/>
                <w:lang w:eastAsia="en-US"/>
              </w:rPr>
              <w:t>2</w:t>
            </w:r>
            <w:r w:rsidRPr="00D53A2B">
              <w:rPr>
                <w:bCs/>
                <w:spacing w:val="2"/>
                <w:sz w:val="20"/>
                <w:szCs w:val="20"/>
                <w:lang w:eastAsia="en-US"/>
              </w:rPr>
              <w:t>) Emisyonlardaki bakır, arsenik ve kadmiyum derişimleri aşağıdaki seviyelerin üzerinde olduğunda toz emisyonlarının verilen aralığın alt sınırına doğru olması beklenir: bakır için 1 mg/Nm</w:t>
            </w:r>
            <w:r w:rsidRPr="00D53A2B">
              <w:rPr>
                <w:bCs/>
                <w:spacing w:val="2"/>
                <w:sz w:val="20"/>
                <w:szCs w:val="20"/>
                <w:vertAlign w:val="superscript"/>
                <w:lang w:eastAsia="en-US"/>
              </w:rPr>
              <w:t>3</w:t>
            </w:r>
            <w:r w:rsidRPr="00D53A2B">
              <w:rPr>
                <w:bCs/>
                <w:spacing w:val="2"/>
                <w:sz w:val="20"/>
                <w:szCs w:val="20"/>
                <w:lang w:eastAsia="en-US"/>
              </w:rPr>
              <w:t>, antimon için 1 mg/Nm</w:t>
            </w:r>
            <w:r w:rsidRPr="00D53A2B">
              <w:rPr>
                <w:bCs/>
                <w:spacing w:val="2"/>
                <w:sz w:val="20"/>
                <w:szCs w:val="20"/>
                <w:vertAlign w:val="superscript"/>
                <w:lang w:eastAsia="en-US"/>
              </w:rPr>
              <w:t>3</w:t>
            </w:r>
            <w:r w:rsidRPr="00D53A2B">
              <w:rPr>
                <w:bCs/>
                <w:spacing w:val="2"/>
                <w:sz w:val="20"/>
                <w:szCs w:val="20"/>
                <w:lang w:eastAsia="en-US"/>
              </w:rPr>
              <w:t>, arsenik için 0.05 mg/Nm</w:t>
            </w:r>
            <w:r w:rsidRPr="00D53A2B">
              <w:rPr>
                <w:bCs/>
                <w:spacing w:val="2"/>
                <w:sz w:val="20"/>
                <w:szCs w:val="20"/>
                <w:vertAlign w:val="superscript"/>
                <w:lang w:eastAsia="en-US"/>
              </w:rPr>
              <w:t>3</w:t>
            </w:r>
            <w:r w:rsidRPr="00D53A2B">
              <w:rPr>
                <w:bCs/>
                <w:spacing w:val="2"/>
                <w:sz w:val="20"/>
                <w:szCs w:val="20"/>
                <w:lang w:eastAsia="en-US"/>
              </w:rPr>
              <w:t>, kadmiyum için 0.05 mg/Nm</w:t>
            </w:r>
            <w:r w:rsidRPr="00D53A2B">
              <w:rPr>
                <w:bCs/>
                <w:spacing w:val="2"/>
                <w:sz w:val="20"/>
                <w:szCs w:val="20"/>
                <w:vertAlign w:val="superscript"/>
                <w:lang w:eastAsia="en-US"/>
              </w:rPr>
              <w:t>3</w:t>
            </w:r>
            <w:r w:rsidRPr="00D53A2B">
              <w:rPr>
                <w:bCs/>
                <w:spacing w:val="2"/>
                <w:sz w:val="20"/>
                <w:szCs w:val="20"/>
                <w:lang w:eastAsia="en-US"/>
              </w:rPr>
              <w:t>.</w:t>
            </w:r>
          </w:p>
          <w:p w14:paraId="731DD048" w14:textId="42B5D072" w:rsidR="00374C56" w:rsidRPr="00D53A2B" w:rsidRDefault="00374C56" w:rsidP="00A202FD">
            <w:pPr>
              <w:jc w:val="both"/>
              <w:rPr>
                <w:spacing w:val="2"/>
                <w:sz w:val="22"/>
                <w:szCs w:val="22"/>
                <w:lang w:eastAsia="en-US"/>
              </w:rPr>
            </w:pPr>
            <w:r w:rsidRPr="00D53A2B">
              <w:rPr>
                <w:bCs/>
                <w:spacing w:val="2"/>
                <w:sz w:val="20"/>
                <w:szCs w:val="20"/>
                <w:lang w:eastAsia="en-US"/>
              </w:rPr>
              <w:t>(</w:t>
            </w:r>
            <w:r w:rsidRPr="00D53A2B">
              <w:rPr>
                <w:bCs/>
                <w:spacing w:val="2"/>
                <w:sz w:val="20"/>
                <w:szCs w:val="20"/>
                <w:vertAlign w:val="superscript"/>
                <w:lang w:eastAsia="en-US"/>
              </w:rPr>
              <w:t>3</w:t>
            </w:r>
            <w:r w:rsidRPr="00D53A2B">
              <w:rPr>
                <w:bCs/>
                <w:spacing w:val="2"/>
                <w:sz w:val="20"/>
                <w:szCs w:val="20"/>
                <w:lang w:eastAsia="en-US"/>
              </w:rPr>
              <w:t>) Örnekleme periyodu boyunca ortalama.</w:t>
            </w:r>
          </w:p>
        </w:tc>
      </w:tr>
    </w:tbl>
    <w:p w14:paraId="0CCDAE8A" w14:textId="77777777" w:rsidR="00374C56" w:rsidRPr="00D53A2B" w:rsidRDefault="00374C56" w:rsidP="00A202FD">
      <w:pPr>
        <w:jc w:val="both"/>
        <w:rPr>
          <w:lang w:eastAsia="en-US"/>
        </w:rPr>
      </w:pPr>
    </w:p>
    <w:p w14:paraId="540A7716" w14:textId="034349A7" w:rsidR="007A43C8" w:rsidRPr="00D53A2B" w:rsidRDefault="007A43C8"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22F474FA" w14:textId="77777777" w:rsidR="00374C56" w:rsidRPr="00D53A2B" w:rsidRDefault="00374C56" w:rsidP="00A202FD">
      <w:pPr>
        <w:jc w:val="both"/>
        <w:rPr>
          <w:lang w:val="en-US" w:eastAsia="en-US"/>
        </w:rPr>
      </w:pPr>
    </w:p>
    <w:p w14:paraId="17385AD0" w14:textId="5D253B6E" w:rsidR="00374C56" w:rsidRPr="00D53A2B" w:rsidRDefault="00D81D05"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4.1.3.</w:t>
      </w:r>
      <w:r w:rsidRPr="00D53A2B">
        <w:rPr>
          <w:rFonts w:cs="Times New Roman"/>
          <w:lang w:eastAsia="en-US"/>
        </w:rPr>
        <w:t xml:space="preserve"> </w:t>
      </w:r>
      <w:r w:rsidR="00374C56" w:rsidRPr="00D53A2B">
        <w:rPr>
          <w:rFonts w:cs="Times New Roman"/>
          <w:lang w:eastAsia="en-US"/>
        </w:rPr>
        <w:t>Organik bileşik emisyonları</w:t>
      </w:r>
    </w:p>
    <w:p w14:paraId="680095AF" w14:textId="13CDA99B" w:rsidR="00374C56" w:rsidRPr="00D53A2B" w:rsidRDefault="00374C56" w:rsidP="00A202FD">
      <w:pPr>
        <w:pStyle w:val="MET"/>
        <w:rPr>
          <w:szCs w:val="24"/>
        </w:rPr>
      </w:pPr>
      <w:r w:rsidRPr="00D53A2B">
        <w:rPr>
          <w:szCs w:val="24"/>
        </w:rPr>
        <w:t>ME</w:t>
      </w:r>
      <w:r w:rsidR="00921606" w:rsidRPr="00D53A2B">
        <w:rPr>
          <w:szCs w:val="24"/>
        </w:rPr>
        <w:t>T 98:</w:t>
      </w:r>
      <w:r w:rsidRPr="00D53A2B">
        <w:rPr>
          <w:szCs w:val="24"/>
        </w:rPr>
        <w:tab/>
      </w:r>
      <w:r w:rsidRPr="00D53A2B">
        <w:rPr>
          <w:b w:val="0"/>
          <w:bCs/>
          <w:szCs w:val="24"/>
        </w:rPr>
        <w:t>Birincil ve ikincil kurşun ve/veya kalay üretiminde hammadelerin kurutulması ve ergitilmesi işlemleri sırasında ortaya çıkıp havaya verilen organik bileşik emisyonlarının azaltılması için aşağıda verilen tekniklerin biri veya bir kombinasyonu kullanılır.</w:t>
      </w:r>
    </w:p>
    <w:tbl>
      <w:tblPr>
        <w:tblW w:w="8784" w:type="dxa"/>
        <w:tblLayout w:type="fixed"/>
        <w:tblCellMar>
          <w:left w:w="0" w:type="dxa"/>
          <w:right w:w="0" w:type="dxa"/>
        </w:tblCellMar>
        <w:tblLook w:val="01E0" w:firstRow="1" w:lastRow="1" w:firstColumn="1" w:lastColumn="1" w:noHBand="0" w:noVBand="0"/>
      </w:tblPr>
      <w:tblGrid>
        <w:gridCol w:w="397"/>
        <w:gridCol w:w="4817"/>
        <w:gridCol w:w="3570"/>
      </w:tblGrid>
      <w:tr w:rsidR="00374C56" w:rsidRPr="00D53A2B" w14:paraId="745CC69B"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797B3649" w14:textId="77777777" w:rsidR="00374C56" w:rsidRPr="00D53A2B" w:rsidRDefault="00374C56" w:rsidP="00A202FD">
            <w:pPr>
              <w:spacing w:line="264" w:lineRule="auto"/>
              <w:ind w:left="57" w:right="57"/>
              <w:jc w:val="both"/>
              <w:rPr>
                <w:sz w:val="22"/>
                <w:szCs w:val="22"/>
                <w:lang w:eastAsia="en-US"/>
              </w:rPr>
            </w:pPr>
          </w:p>
        </w:tc>
        <w:tc>
          <w:tcPr>
            <w:tcW w:w="4817" w:type="dxa"/>
            <w:tcBorders>
              <w:top w:val="single" w:sz="4" w:space="0" w:color="000000"/>
              <w:left w:val="single" w:sz="4" w:space="0" w:color="000000"/>
              <w:bottom w:val="single" w:sz="4" w:space="0" w:color="000000"/>
              <w:right w:val="single" w:sz="4" w:space="0" w:color="000000"/>
            </w:tcBorders>
            <w:vAlign w:val="center"/>
          </w:tcPr>
          <w:p w14:paraId="06DE74F3"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 xml:space="preserve">Teknik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c>
          <w:tcPr>
            <w:tcW w:w="3570" w:type="dxa"/>
            <w:tcBorders>
              <w:top w:val="single" w:sz="4" w:space="0" w:color="000000"/>
              <w:left w:val="single" w:sz="4" w:space="0" w:color="000000"/>
              <w:bottom w:val="single" w:sz="4" w:space="0" w:color="000000"/>
              <w:right w:val="single" w:sz="4" w:space="0" w:color="000000"/>
            </w:tcBorders>
            <w:vAlign w:val="center"/>
          </w:tcPr>
          <w:p w14:paraId="1F394D72"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106CBFFB"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263C315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4817" w:type="dxa"/>
            <w:tcBorders>
              <w:top w:val="single" w:sz="4" w:space="0" w:color="000000"/>
              <w:left w:val="single" w:sz="4" w:space="0" w:color="000000"/>
              <w:bottom w:val="single" w:sz="4" w:space="0" w:color="000000"/>
              <w:right w:val="single" w:sz="4" w:space="0" w:color="000000"/>
            </w:tcBorders>
            <w:vAlign w:val="center"/>
          </w:tcPr>
          <w:p w14:paraId="6E3E2C1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Hammaddenin fırın tipine ve kullanılan gaz azaltma tekniklerine göre seçilmesi ve beslenmesi</w:t>
            </w:r>
          </w:p>
        </w:tc>
        <w:tc>
          <w:tcPr>
            <w:tcW w:w="3570" w:type="dxa"/>
            <w:tcBorders>
              <w:top w:val="single" w:sz="4" w:space="0" w:color="000000"/>
              <w:left w:val="single" w:sz="4" w:space="0" w:color="000000"/>
              <w:bottom w:val="single" w:sz="4" w:space="0" w:color="000000"/>
              <w:right w:val="single" w:sz="4" w:space="0" w:color="000000"/>
            </w:tcBorders>
            <w:vAlign w:val="center"/>
          </w:tcPr>
          <w:p w14:paraId="622DC1B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5E2E623B"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370DAC6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4817" w:type="dxa"/>
            <w:tcBorders>
              <w:top w:val="single" w:sz="4" w:space="0" w:color="000000"/>
              <w:left w:val="single" w:sz="4" w:space="0" w:color="000000"/>
              <w:bottom w:val="single" w:sz="4" w:space="0" w:color="000000"/>
              <w:right w:val="single" w:sz="4" w:space="0" w:color="000000"/>
            </w:tcBorders>
            <w:vAlign w:val="center"/>
          </w:tcPr>
          <w:p w14:paraId="229B589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Organik bileşiklerin emisyonlarını azaltmak için yanma koşullarının optimize edilmesi</w:t>
            </w:r>
          </w:p>
        </w:tc>
        <w:tc>
          <w:tcPr>
            <w:tcW w:w="3570" w:type="dxa"/>
            <w:tcBorders>
              <w:top w:val="single" w:sz="4" w:space="0" w:color="000000"/>
              <w:left w:val="single" w:sz="4" w:space="0" w:color="000000"/>
              <w:bottom w:val="single" w:sz="4" w:space="0" w:color="000000"/>
              <w:right w:val="single" w:sz="4" w:space="0" w:color="000000"/>
            </w:tcBorders>
            <w:vAlign w:val="center"/>
          </w:tcPr>
          <w:p w14:paraId="3CA3422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0D108BBB" w14:textId="77777777" w:rsidTr="00271877">
        <w:tc>
          <w:tcPr>
            <w:tcW w:w="397" w:type="dxa"/>
            <w:tcBorders>
              <w:top w:val="single" w:sz="4" w:space="0" w:color="000000"/>
              <w:left w:val="single" w:sz="4" w:space="0" w:color="000000"/>
              <w:bottom w:val="single" w:sz="4" w:space="0" w:color="000000"/>
              <w:right w:val="single" w:sz="4" w:space="0" w:color="000000"/>
            </w:tcBorders>
            <w:vAlign w:val="center"/>
          </w:tcPr>
          <w:p w14:paraId="347B5FE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4817" w:type="dxa"/>
            <w:tcBorders>
              <w:top w:val="single" w:sz="4" w:space="0" w:color="000000"/>
              <w:left w:val="single" w:sz="4" w:space="0" w:color="000000"/>
              <w:bottom w:val="single" w:sz="4" w:space="0" w:color="000000"/>
              <w:right w:val="single" w:sz="4" w:space="0" w:color="000000"/>
            </w:tcBorders>
            <w:vAlign w:val="center"/>
          </w:tcPr>
          <w:p w14:paraId="7C1A0A8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Art yakıcı veya rejeneratif termal oksitleyici kullanılması</w:t>
            </w:r>
          </w:p>
        </w:tc>
        <w:tc>
          <w:tcPr>
            <w:tcW w:w="3570" w:type="dxa"/>
            <w:tcBorders>
              <w:top w:val="single" w:sz="4" w:space="0" w:color="000000"/>
              <w:left w:val="single" w:sz="4" w:space="0" w:color="000000"/>
              <w:bottom w:val="single" w:sz="4" w:space="0" w:color="000000"/>
              <w:right w:val="single" w:sz="4" w:space="0" w:color="000000"/>
            </w:tcBorders>
            <w:vAlign w:val="center"/>
          </w:tcPr>
          <w:p w14:paraId="0E1314C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Uygulanabilirlik, daha düşük bir enerji içeriğine sahip atık gazlar daha yüksek yakıt kullanımı gerektirdiğinden, artılması gereken atık gazların enerji içeriği ile sınırlanır.</w:t>
            </w:r>
          </w:p>
        </w:tc>
      </w:tr>
      <w:tr w:rsidR="00374C56" w:rsidRPr="00D53A2B" w14:paraId="3435EC15" w14:textId="77777777" w:rsidTr="00271877">
        <w:tc>
          <w:tcPr>
            <w:tcW w:w="8784" w:type="dxa"/>
            <w:gridSpan w:val="3"/>
            <w:tcBorders>
              <w:top w:val="single" w:sz="4" w:space="0" w:color="000000"/>
              <w:left w:val="single" w:sz="4" w:space="0" w:color="000000"/>
              <w:bottom w:val="single" w:sz="4" w:space="0" w:color="000000"/>
              <w:right w:val="single" w:sz="4" w:space="0" w:color="000000"/>
            </w:tcBorders>
          </w:tcPr>
          <w:p w14:paraId="4ECD4752" w14:textId="45BD38E0" w:rsidR="00374C56" w:rsidRPr="00D53A2B" w:rsidRDefault="00374C56" w:rsidP="00A202FD">
            <w:pPr>
              <w:jc w:val="both"/>
              <w:rPr>
                <w:bCs/>
                <w:spacing w:val="2"/>
                <w:sz w:val="22"/>
                <w:szCs w:val="22"/>
                <w:lang w:eastAsia="en-US"/>
              </w:rPr>
            </w:pPr>
            <w:r w:rsidRPr="00D53A2B">
              <w:rPr>
                <w:bCs/>
                <w:spacing w:val="2"/>
                <w:sz w:val="22"/>
                <w:szCs w:val="22"/>
                <w:lang w:eastAsia="en-US"/>
              </w:rPr>
              <w:t>(</w:t>
            </w:r>
            <w:r w:rsidRPr="00D53A2B">
              <w:rPr>
                <w:bCs/>
                <w:spacing w:val="2"/>
                <w:sz w:val="22"/>
                <w:szCs w:val="22"/>
                <w:vertAlign w:val="superscript"/>
                <w:lang w:eastAsia="en-US"/>
              </w:rPr>
              <w:t>1</w:t>
            </w:r>
            <w:r w:rsidRPr="00D53A2B">
              <w:rPr>
                <w:bCs/>
                <w:spacing w:val="2"/>
                <w:sz w:val="22"/>
                <w:szCs w:val="22"/>
                <w:lang w:eastAsia="en-US"/>
              </w:rPr>
              <w:t>) Tekniklerin açıklamaları Bölüm 1.10</w:t>
            </w:r>
            <w:r w:rsidR="00E56504" w:rsidRPr="00D53A2B">
              <w:rPr>
                <w:bCs/>
                <w:spacing w:val="2"/>
                <w:sz w:val="22"/>
                <w:szCs w:val="22"/>
                <w:lang w:eastAsia="en-US"/>
              </w:rPr>
              <w:t>’</w:t>
            </w:r>
            <w:r w:rsidRPr="00D53A2B">
              <w:rPr>
                <w:bCs/>
                <w:spacing w:val="2"/>
                <w:sz w:val="22"/>
                <w:szCs w:val="22"/>
                <w:lang w:eastAsia="en-US"/>
              </w:rPr>
              <w:t>da verilmiştir.</w:t>
            </w:r>
          </w:p>
        </w:tc>
      </w:tr>
    </w:tbl>
    <w:p w14:paraId="13AEAC8F" w14:textId="77777777" w:rsidR="00374C56" w:rsidRPr="00D53A2B" w:rsidRDefault="00374C56" w:rsidP="00A202FD">
      <w:pPr>
        <w:jc w:val="both"/>
        <w:rPr>
          <w:lang w:eastAsia="en-US"/>
        </w:rPr>
      </w:pPr>
    </w:p>
    <w:p w14:paraId="2F1EB601" w14:textId="77777777" w:rsidR="00374C56" w:rsidRPr="00D53A2B" w:rsidRDefault="00374C56" w:rsidP="00A202FD">
      <w:pPr>
        <w:spacing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26.</w:t>
      </w:r>
    </w:p>
    <w:p w14:paraId="0B037623" w14:textId="77777777" w:rsidR="001023C7" w:rsidRPr="00D53A2B" w:rsidRDefault="00374C56" w:rsidP="00A202FD">
      <w:pPr>
        <w:jc w:val="both"/>
        <w:rPr>
          <w:lang w:eastAsia="en-US"/>
        </w:rPr>
      </w:pPr>
      <w:bookmarkStart w:id="96" w:name="_Toc531927967"/>
      <w:r w:rsidRPr="00D53A2B">
        <w:rPr>
          <w:lang w:eastAsia="en-US"/>
        </w:rPr>
        <w:t xml:space="preserve">Tablo </w:t>
      </w:r>
      <w:r w:rsidRPr="00D53A2B">
        <w:rPr>
          <w:noProof/>
          <w:lang w:eastAsia="en-US"/>
        </w:rPr>
        <w:t>26</w:t>
      </w:r>
    </w:p>
    <w:p w14:paraId="483905DA" w14:textId="48F5712C" w:rsidR="00374C56" w:rsidRPr="00D53A2B" w:rsidRDefault="00374C56" w:rsidP="00A202FD">
      <w:pPr>
        <w:jc w:val="both"/>
        <w:rPr>
          <w:lang w:eastAsia="en-US"/>
        </w:rPr>
      </w:pPr>
      <w:r w:rsidRPr="00D53A2B">
        <w:rPr>
          <w:lang w:eastAsia="en-US"/>
        </w:rPr>
        <w:t>Birincil ve ikincil kurşun ve/veya kalay üretiminde hammadelerin kurutulması ve ergitilmesi işlemleri sırasında ortaya çıkıp havaya verilen organik bileşik emisyonları için MET ile ilişkili emisyon seviyeleri</w:t>
      </w:r>
      <w:bookmarkEnd w:id="96"/>
    </w:p>
    <w:tbl>
      <w:tblPr>
        <w:tblW w:w="8784" w:type="dxa"/>
        <w:tblLayout w:type="fixed"/>
        <w:tblCellMar>
          <w:left w:w="0" w:type="dxa"/>
          <w:right w:w="0" w:type="dxa"/>
        </w:tblCellMar>
        <w:tblLook w:val="01E0" w:firstRow="1" w:lastRow="1" w:firstColumn="1" w:lastColumn="1" w:noHBand="0" w:noVBand="0"/>
      </w:tblPr>
      <w:tblGrid>
        <w:gridCol w:w="2098"/>
        <w:gridCol w:w="6686"/>
      </w:tblGrid>
      <w:tr w:rsidR="00374C56" w:rsidRPr="00D53A2B" w14:paraId="03DDA0B8" w14:textId="77777777" w:rsidTr="00271877">
        <w:tc>
          <w:tcPr>
            <w:tcW w:w="2098" w:type="dxa"/>
            <w:tcBorders>
              <w:top w:val="single" w:sz="4" w:space="0" w:color="000000"/>
              <w:left w:val="single" w:sz="4" w:space="0" w:color="000000"/>
              <w:bottom w:val="single" w:sz="4" w:space="0" w:color="000000"/>
              <w:right w:val="single" w:sz="4" w:space="0" w:color="000000"/>
            </w:tcBorders>
            <w:vAlign w:val="center"/>
          </w:tcPr>
          <w:p w14:paraId="4EA24C98"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6686" w:type="dxa"/>
            <w:tcBorders>
              <w:top w:val="single" w:sz="4" w:space="0" w:color="000000"/>
              <w:left w:val="single" w:sz="4" w:space="0" w:color="000000"/>
              <w:bottom w:val="single" w:sz="4" w:space="0" w:color="000000"/>
              <w:right w:val="single" w:sz="4" w:space="0" w:color="000000"/>
            </w:tcBorders>
            <w:vAlign w:val="center"/>
          </w:tcPr>
          <w:p w14:paraId="4361393D"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xml:space="preserve">)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019D4921" w14:textId="77777777" w:rsidTr="00271877">
        <w:tc>
          <w:tcPr>
            <w:tcW w:w="2098" w:type="dxa"/>
            <w:tcBorders>
              <w:top w:val="single" w:sz="4" w:space="0" w:color="000000"/>
              <w:left w:val="single" w:sz="4" w:space="0" w:color="000000"/>
              <w:bottom w:val="single" w:sz="4" w:space="0" w:color="000000"/>
              <w:right w:val="single" w:sz="4" w:space="0" w:color="000000"/>
            </w:tcBorders>
          </w:tcPr>
          <w:p w14:paraId="686B783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TVOC</w:t>
            </w:r>
          </w:p>
        </w:tc>
        <w:tc>
          <w:tcPr>
            <w:tcW w:w="6686" w:type="dxa"/>
            <w:tcBorders>
              <w:top w:val="single" w:sz="4" w:space="0" w:color="000000"/>
              <w:left w:val="single" w:sz="4" w:space="0" w:color="000000"/>
              <w:bottom w:val="single" w:sz="4" w:space="0" w:color="000000"/>
              <w:right w:val="single" w:sz="4" w:space="0" w:color="000000"/>
            </w:tcBorders>
          </w:tcPr>
          <w:p w14:paraId="7DF02A8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10–40</w:t>
            </w:r>
          </w:p>
        </w:tc>
      </w:tr>
      <w:tr w:rsidR="00374C56" w:rsidRPr="00D53A2B" w14:paraId="6996E6D5"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0A0B2BAB" w14:textId="69C7146A" w:rsidR="00374C56" w:rsidRPr="009077F5" w:rsidRDefault="00374C56" w:rsidP="00A202FD">
            <w:pPr>
              <w:jc w:val="both"/>
              <w:rPr>
                <w:bCs/>
                <w:spacing w:val="2"/>
                <w:sz w:val="20"/>
                <w:szCs w:val="20"/>
                <w:lang w:eastAsia="en-US"/>
              </w:rPr>
            </w:pPr>
            <w:r w:rsidRPr="009077F5">
              <w:rPr>
                <w:bCs/>
                <w:spacing w:val="2"/>
                <w:sz w:val="20"/>
                <w:szCs w:val="20"/>
                <w:lang w:eastAsia="en-US"/>
              </w:rPr>
              <w:t>(</w:t>
            </w:r>
            <w:r w:rsidRPr="009077F5">
              <w:rPr>
                <w:bCs/>
                <w:spacing w:val="2"/>
                <w:sz w:val="20"/>
                <w:szCs w:val="20"/>
                <w:vertAlign w:val="superscript"/>
                <w:lang w:eastAsia="en-US"/>
              </w:rPr>
              <w:t>1</w:t>
            </w:r>
            <w:r w:rsidRPr="009077F5">
              <w:rPr>
                <w:bCs/>
                <w:spacing w:val="2"/>
                <w:sz w:val="20"/>
                <w:szCs w:val="20"/>
                <w:lang w:eastAsia="en-US"/>
              </w:rPr>
              <w:t>) Günlük ortalama ya da örnekleme periyodu boyunca ortalama.</w:t>
            </w:r>
          </w:p>
        </w:tc>
      </w:tr>
    </w:tbl>
    <w:p w14:paraId="5D22690F" w14:textId="77777777" w:rsidR="00374C56" w:rsidRPr="00D53A2B" w:rsidRDefault="00374C56" w:rsidP="00A202FD">
      <w:pPr>
        <w:jc w:val="both"/>
        <w:rPr>
          <w:lang w:eastAsia="en-US"/>
        </w:rPr>
      </w:pPr>
    </w:p>
    <w:p w14:paraId="156712A2" w14:textId="184762FA" w:rsidR="007A43C8" w:rsidRPr="00D53A2B" w:rsidRDefault="007A43C8"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74072668" w14:textId="77777777" w:rsidR="00D81D05" w:rsidRPr="00D53A2B" w:rsidRDefault="00D81D05" w:rsidP="00A202FD">
      <w:pPr>
        <w:jc w:val="both"/>
        <w:rPr>
          <w:lang w:eastAsia="en-US"/>
        </w:rPr>
      </w:pPr>
    </w:p>
    <w:p w14:paraId="0D2F3EE9" w14:textId="1548DC8B" w:rsidR="00374C56" w:rsidRPr="00D53A2B" w:rsidRDefault="00921606" w:rsidP="00A202FD">
      <w:pPr>
        <w:pStyle w:val="MET"/>
        <w:rPr>
          <w:szCs w:val="24"/>
        </w:rPr>
      </w:pPr>
      <w:r w:rsidRPr="00D53A2B">
        <w:rPr>
          <w:szCs w:val="24"/>
        </w:rPr>
        <w:t>MET 99:</w:t>
      </w:r>
      <w:r w:rsidR="007A43C8" w:rsidRPr="00D53A2B">
        <w:rPr>
          <w:szCs w:val="24"/>
        </w:rPr>
        <w:t xml:space="preserve"> </w:t>
      </w:r>
      <w:r w:rsidR="00374C56" w:rsidRPr="00D53A2B">
        <w:rPr>
          <w:b w:val="0"/>
          <w:bCs/>
          <w:szCs w:val="24"/>
        </w:rPr>
        <w:t xml:space="preserve">İkincil kurşun ve/veya kalay hammaddelerinin </w:t>
      </w:r>
      <w:r w:rsidR="00D81D05" w:rsidRPr="00D53A2B">
        <w:rPr>
          <w:b w:val="0"/>
          <w:bCs/>
          <w:szCs w:val="24"/>
        </w:rPr>
        <w:t>izabesinden</w:t>
      </w:r>
      <w:r w:rsidR="00374C56" w:rsidRPr="00D53A2B">
        <w:rPr>
          <w:b w:val="0"/>
          <w:bCs/>
          <w:szCs w:val="24"/>
        </w:rPr>
        <w:t xml:space="preserve"> kaynaklanıp havaya verilen PCDD/F emisyonlarının azaltılması için MET, aşağıda verilen tekniklerin birini veya birkaçının bir kombinasyonu kullan</w:t>
      </w:r>
      <w:r w:rsidR="007A43C8" w:rsidRPr="00D53A2B">
        <w:rPr>
          <w:b w:val="0"/>
          <w:bCs/>
          <w:szCs w:val="24"/>
        </w:rPr>
        <w:t>l</w:t>
      </w:r>
      <w:r w:rsidR="00374C56" w:rsidRPr="00D53A2B">
        <w:rPr>
          <w:b w:val="0"/>
          <w:bCs/>
          <w:szCs w:val="24"/>
        </w:rPr>
        <w:t>ır.</w:t>
      </w:r>
    </w:p>
    <w:tbl>
      <w:tblPr>
        <w:tblW w:w="8784" w:type="dxa"/>
        <w:tblLayout w:type="fixed"/>
        <w:tblCellMar>
          <w:left w:w="0" w:type="dxa"/>
          <w:right w:w="0" w:type="dxa"/>
        </w:tblCellMar>
        <w:tblLook w:val="01E0" w:firstRow="1" w:lastRow="1" w:firstColumn="1" w:lastColumn="1" w:noHBand="0" w:noVBand="0"/>
      </w:tblPr>
      <w:tblGrid>
        <w:gridCol w:w="521"/>
        <w:gridCol w:w="8263"/>
      </w:tblGrid>
      <w:tr w:rsidR="00374C56" w:rsidRPr="00D53A2B" w14:paraId="0711BAC4" w14:textId="77777777" w:rsidTr="00271877">
        <w:tc>
          <w:tcPr>
            <w:tcW w:w="521" w:type="dxa"/>
            <w:tcBorders>
              <w:top w:val="single" w:sz="4" w:space="0" w:color="000000"/>
              <w:left w:val="single" w:sz="4" w:space="0" w:color="000000"/>
              <w:bottom w:val="single" w:sz="4" w:space="0" w:color="000000"/>
              <w:right w:val="single" w:sz="4" w:space="0" w:color="000000"/>
            </w:tcBorders>
            <w:vAlign w:val="center"/>
          </w:tcPr>
          <w:p w14:paraId="688D23BE" w14:textId="77777777" w:rsidR="00374C56" w:rsidRPr="00D53A2B" w:rsidRDefault="00374C56" w:rsidP="00A202FD">
            <w:pPr>
              <w:spacing w:line="264" w:lineRule="auto"/>
              <w:ind w:left="57" w:right="57"/>
              <w:jc w:val="both"/>
              <w:rPr>
                <w:sz w:val="22"/>
                <w:szCs w:val="22"/>
                <w:lang w:eastAsia="en-US"/>
              </w:rPr>
            </w:pPr>
          </w:p>
        </w:tc>
        <w:tc>
          <w:tcPr>
            <w:tcW w:w="8263" w:type="dxa"/>
            <w:tcBorders>
              <w:top w:val="single" w:sz="4" w:space="0" w:color="000000"/>
              <w:left w:val="single" w:sz="4" w:space="0" w:color="000000"/>
              <w:bottom w:val="single" w:sz="4" w:space="0" w:color="000000"/>
              <w:right w:val="single" w:sz="4" w:space="0" w:color="000000"/>
            </w:tcBorders>
            <w:vAlign w:val="center"/>
          </w:tcPr>
          <w:p w14:paraId="09A12B95"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509FDB2C" w14:textId="77777777" w:rsidTr="00271877">
        <w:tc>
          <w:tcPr>
            <w:tcW w:w="521" w:type="dxa"/>
            <w:tcBorders>
              <w:top w:val="single" w:sz="4" w:space="0" w:color="000000"/>
              <w:left w:val="single" w:sz="4" w:space="0" w:color="000000"/>
              <w:bottom w:val="single" w:sz="4" w:space="0" w:color="000000"/>
              <w:right w:val="single" w:sz="4" w:space="0" w:color="000000"/>
            </w:tcBorders>
            <w:vAlign w:val="center"/>
          </w:tcPr>
          <w:p w14:paraId="4E36973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263" w:type="dxa"/>
            <w:tcBorders>
              <w:top w:val="single" w:sz="4" w:space="0" w:color="000000"/>
              <w:left w:val="single" w:sz="4" w:space="0" w:color="000000"/>
              <w:bottom w:val="single" w:sz="4" w:space="0" w:color="000000"/>
              <w:right w:val="single" w:sz="4" w:space="0" w:color="000000"/>
            </w:tcBorders>
          </w:tcPr>
          <w:p w14:paraId="1F53102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Hammaddenin fırın tipine ve kullanılan gaz azaltma tekniklerine göre seçilmesi ve beslenmesi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1B3F26EF" w14:textId="77777777" w:rsidTr="00271877">
        <w:tc>
          <w:tcPr>
            <w:tcW w:w="521" w:type="dxa"/>
            <w:tcBorders>
              <w:top w:val="single" w:sz="4" w:space="0" w:color="000000"/>
              <w:left w:val="single" w:sz="4" w:space="0" w:color="000000"/>
              <w:bottom w:val="single" w:sz="4" w:space="0" w:color="000000"/>
              <w:right w:val="single" w:sz="4" w:space="0" w:color="000000"/>
            </w:tcBorders>
            <w:vAlign w:val="center"/>
          </w:tcPr>
          <w:p w14:paraId="1FA7FE8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263" w:type="dxa"/>
            <w:tcBorders>
              <w:top w:val="single" w:sz="4" w:space="0" w:color="000000"/>
              <w:left w:val="single" w:sz="4" w:space="0" w:color="000000"/>
              <w:bottom w:val="single" w:sz="4" w:space="0" w:color="000000"/>
              <w:right w:val="single" w:sz="4" w:space="0" w:color="000000"/>
            </w:tcBorders>
          </w:tcPr>
          <w:p w14:paraId="0ADB545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Küçük bir hammadde eklemesi sağlamak için yarı kapalı bir fırın için şarj sistemlerini kullanılması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6A87923E" w14:textId="77777777" w:rsidTr="00271877">
        <w:tc>
          <w:tcPr>
            <w:tcW w:w="521" w:type="dxa"/>
            <w:tcBorders>
              <w:top w:val="single" w:sz="4" w:space="0" w:color="000000"/>
              <w:left w:val="single" w:sz="4" w:space="0" w:color="000000"/>
              <w:bottom w:val="single" w:sz="4" w:space="0" w:color="000000"/>
              <w:right w:val="single" w:sz="4" w:space="0" w:color="000000"/>
            </w:tcBorders>
            <w:vAlign w:val="center"/>
          </w:tcPr>
          <w:p w14:paraId="60C5616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263" w:type="dxa"/>
            <w:tcBorders>
              <w:top w:val="single" w:sz="4" w:space="0" w:color="000000"/>
              <w:left w:val="single" w:sz="4" w:space="0" w:color="000000"/>
              <w:bottom w:val="single" w:sz="4" w:space="0" w:color="000000"/>
              <w:right w:val="single" w:sz="4" w:space="0" w:color="000000"/>
            </w:tcBorders>
          </w:tcPr>
          <w:p w14:paraId="0F37CB8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Eritme fırınları için bir iç brülör sistemi tesis edilmesi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7A807D76" w14:textId="77777777" w:rsidTr="00271877">
        <w:tc>
          <w:tcPr>
            <w:tcW w:w="521" w:type="dxa"/>
            <w:tcBorders>
              <w:top w:val="single" w:sz="4" w:space="0" w:color="000000"/>
              <w:left w:val="single" w:sz="4" w:space="0" w:color="000000"/>
              <w:bottom w:val="single" w:sz="4" w:space="0" w:color="000000"/>
              <w:right w:val="single" w:sz="4" w:space="0" w:color="000000"/>
            </w:tcBorders>
            <w:vAlign w:val="center"/>
          </w:tcPr>
          <w:p w14:paraId="6E02480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8263" w:type="dxa"/>
            <w:tcBorders>
              <w:top w:val="single" w:sz="4" w:space="0" w:color="000000"/>
              <w:left w:val="single" w:sz="4" w:space="0" w:color="000000"/>
              <w:bottom w:val="single" w:sz="4" w:space="0" w:color="000000"/>
              <w:right w:val="single" w:sz="4" w:space="0" w:color="000000"/>
            </w:tcBorders>
          </w:tcPr>
          <w:p w14:paraId="68936B1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Afterburner veya rejeneratif termal oksitleyici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73F32236" w14:textId="77777777" w:rsidTr="00271877">
        <w:tc>
          <w:tcPr>
            <w:tcW w:w="521" w:type="dxa"/>
            <w:tcBorders>
              <w:top w:val="single" w:sz="4" w:space="0" w:color="000000"/>
              <w:left w:val="single" w:sz="4" w:space="0" w:color="000000"/>
              <w:bottom w:val="single" w:sz="4" w:space="0" w:color="000000"/>
              <w:right w:val="single" w:sz="4" w:space="0" w:color="000000"/>
            </w:tcBorders>
            <w:vAlign w:val="center"/>
          </w:tcPr>
          <w:p w14:paraId="2E5A20D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8263" w:type="dxa"/>
            <w:tcBorders>
              <w:top w:val="single" w:sz="4" w:space="0" w:color="000000"/>
              <w:left w:val="single" w:sz="4" w:space="0" w:color="000000"/>
              <w:bottom w:val="single" w:sz="4" w:space="0" w:color="000000"/>
              <w:right w:val="single" w:sz="4" w:space="0" w:color="000000"/>
            </w:tcBorders>
          </w:tcPr>
          <w:p w14:paraId="52AA8D1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&gt;250 °C sıcaklıklarda, yüksek miktarda toz oluşturan egzoz sistemlerinden kaçınılması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756CE997" w14:textId="77777777" w:rsidTr="00271877">
        <w:tc>
          <w:tcPr>
            <w:tcW w:w="521" w:type="dxa"/>
            <w:tcBorders>
              <w:top w:val="single" w:sz="4" w:space="0" w:color="000000"/>
              <w:left w:val="single" w:sz="4" w:space="0" w:color="000000"/>
              <w:bottom w:val="single" w:sz="4" w:space="0" w:color="000000"/>
              <w:right w:val="single" w:sz="4" w:space="0" w:color="000000"/>
            </w:tcBorders>
            <w:vAlign w:val="center"/>
          </w:tcPr>
          <w:p w14:paraId="51746BA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w:t>
            </w:r>
          </w:p>
        </w:tc>
        <w:tc>
          <w:tcPr>
            <w:tcW w:w="8263" w:type="dxa"/>
            <w:tcBorders>
              <w:top w:val="single" w:sz="4" w:space="0" w:color="000000"/>
              <w:left w:val="single" w:sz="4" w:space="0" w:color="000000"/>
              <w:bottom w:val="single" w:sz="4" w:space="0" w:color="000000"/>
              <w:right w:val="single" w:sz="4" w:space="0" w:color="000000"/>
            </w:tcBorders>
          </w:tcPr>
          <w:p w14:paraId="7A53A1A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Hızlı suverme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4E5DD568" w14:textId="77777777" w:rsidTr="00271877">
        <w:tc>
          <w:tcPr>
            <w:tcW w:w="521" w:type="dxa"/>
            <w:tcBorders>
              <w:top w:val="single" w:sz="4" w:space="0" w:color="000000"/>
              <w:left w:val="single" w:sz="4" w:space="0" w:color="000000"/>
              <w:bottom w:val="single" w:sz="4" w:space="0" w:color="000000"/>
              <w:right w:val="single" w:sz="4" w:space="0" w:color="000000"/>
            </w:tcBorders>
            <w:vAlign w:val="center"/>
          </w:tcPr>
          <w:p w14:paraId="6E4A3DF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w:t>
            </w:r>
          </w:p>
        </w:tc>
        <w:tc>
          <w:tcPr>
            <w:tcW w:w="8263" w:type="dxa"/>
            <w:tcBorders>
              <w:top w:val="single" w:sz="4" w:space="0" w:color="000000"/>
              <w:left w:val="single" w:sz="4" w:space="0" w:color="000000"/>
              <w:bottom w:val="single" w:sz="4" w:space="0" w:color="000000"/>
              <w:right w:val="single" w:sz="4" w:space="0" w:color="000000"/>
            </w:tcBorders>
          </w:tcPr>
          <w:p w14:paraId="31380D2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Etkin bir toz toplama sistemi ile birlikte adsorpsiyon kimayasalının enjeksiyonu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6F8CC291" w14:textId="77777777" w:rsidTr="00271877">
        <w:tc>
          <w:tcPr>
            <w:tcW w:w="521" w:type="dxa"/>
            <w:tcBorders>
              <w:top w:val="single" w:sz="4" w:space="0" w:color="000000"/>
              <w:left w:val="single" w:sz="4" w:space="0" w:color="000000"/>
              <w:bottom w:val="single" w:sz="4" w:space="0" w:color="000000"/>
              <w:right w:val="single" w:sz="4" w:space="0" w:color="000000"/>
            </w:tcBorders>
            <w:vAlign w:val="center"/>
          </w:tcPr>
          <w:p w14:paraId="00D0C5C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w:t>
            </w:r>
          </w:p>
        </w:tc>
        <w:tc>
          <w:tcPr>
            <w:tcW w:w="8263" w:type="dxa"/>
            <w:tcBorders>
              <w:top w:val="single" w:sz="4" w:space="0" w:color="000000"/>
              <w:left w:val="single" w:sz="4" w:space="0" w:color="000000"/>
              <w:bottom w:val="single" w:sz="4" w:space="0" w:color="000000"/>
              <w:right w:val="single" w:sz="4" w:space="0" w:color="000000"/>
            </w:tcBorders>
          </w:tcPr>
          <w:p w14:paraId="643F682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Verimli toz toplama sisteminin kullanılması</w:t>
            </w:r>
          </w:p>
        </w:tc>
      </w:tr>
      <w:tr w:rsidR="00374C56" w:rsidRPr="00D53A2B" w14:paraId="091D400C" w14:textId="77777777" w:rsidTr="00271877">
        <w:tc>
          <w:tcPr>
            <w:tcW w:w="521" w:type="dxa"/>
            <w:tcBorders>
              <w:top w:val="single" w:sz="4" w:space="0" w:color="000000"/>
              <w:left w:val="single" w:sz="4" w:space="0" w:color="000000"/>
              <w:bottom w:val="single" w:sz="4" w:space="0" w:color="000000"/>
              <w:right w:val="single" w:sz="4" w:space="0" w:color="000000"/>
            </w:tcBorders>
            <w:vAlign w:val="center"/>
          </w:tcPr>
          <w:p w14:paraId="061124C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i</w:t>
            </w:r>
          </w:p>
        </w:tc>
        <w:tc>
          <w:tcPr>
            <w:tcW w:w="8263" w:type="dxa"/>
            <w:tcBorders>
              <w:top w:val="single" w:sz="4" w:space="0" w:color="000000"/>
              <w:left w:val="single" w:sz="4" w:space="0" w:color="000000"/>
              <w:bottom w:val="single" w:sz="4" w:space="0" w:color="000000"/>
              <w:right w:val="single" w:sz="4" w:space="0" w:color="000000"/>
            </w:tcBorders>
          </w:tcPr>
          <w:p w14:paraId="5ABC693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Fırının üst bölgesinde oksijen enjeksiyonunun tesis edilmesi</w:t>
            </w:r>
          </w:p>
        </w:tc>
      </w:tr>
      <w:tr w:rsidR="00374C56" w:rsidRPr="00D53A2B" w14:paraId="622AF46B" w14:textId="77777777" w:rsidTr="00271877">
        <w:tc>
          <w:tcPr>
            <w:tcW w:w="521" w:type="dxa"/>
            <w:tcBorders>
              <w:top w:val="single" w:sz="4" w:space="0" w:color="000000"/>
              <w:left w:val="single" w:sz="4" w:space="0" w:color="000000"/>
              <w:bottom w:val="single" w:sz="4" w:space="0" w:color="000000"/>
              <w:right w:val="single" w:sz="4" w:space="0" w:color="000000"/>
            </w:tcBorders>
            <w:vAlign w:val="center"/>
          </w:tcPr>
          <w:p w14:paraId="422EB06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j</w:t>
            </w:r>
          </w:p>
        </w:tc>
        <w:tc>
          <w:tcPr>
            <w:tcW w:w="8263" w:type="dxa"/>
            <w:tcBorders>
              <w:top w:val="single" w:sz="4" w:space="0" w:color="000000"/>
              <w:left w:val="single" w:sz="4" w:space="0" w:color="000000"/>
              <w:bottom w:val="single" w:sz="4" w:space="0" w:color="000000"/>
              <w:right w:val="single" w:sz="4" w:space="0" w:color="000000"/>
            </w:tcBorders>
          </w:tcPr>
          <w:p w14:paraId="1432210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Organik bileşiklerin emisyonlarını azaltmak için yanma koşullarının optimize edilmesi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r>
      <w:tr w:rsidR="00374C56" w:rsidRPr="00D53A2B" w14:paraId="1800B866"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24EFA103" w14:textId="52E76745" w:rsidR="00374C56" w:rsidRPr="00D53A2B" w:rsidRDefault="00374C56" w:rsidP="00A202FD">
            <w:pPr>
              <w:spacing w:line="264" w:lineRule="auto"/>
              <w:ind w:left="57" w:right="57"/>
              <w:jc w:val="both"/>
              <w:rPr>
                <w:bCs/>
                <w:sz w:val="22"/>
                <w:szCs w:val="22"/>
                <w:lang w:eastAsia="en-US"/>
              </w:rPr>
            </w:pPr>
            <w:r w:rsidRPr="00D53A2B">
              <w:rPr>
                <w:bCs/>
                <w:sz w:val="22"/>
                <w:szCs w:val="22"/>
                <w:lang w:eastAsia="en-US"/>
              </w:rPr>
              <w:t>(</w:t>
            </w:r>
            <w:r w:rsidRPr="00D53A2B">
              <w:rPr>
                <w:bCs/>
                <w:sz w:val="22"/>
                <w:szCs w:val="22"/>
                <w:vertAlign w:val="superscript"/>
                <w:lang w:eastAsia="en-US"/>
              </w:rPr>
              <w:t>1</w:t>
            </w:r>
            <w:r w:rsidRPr="00D53A2B">
              <w:rPr>
                <w:bCs/>
                <w:sz w:val="22"/>
                <w:szCs w:val="22"/>
                <w:lang w:eastAsia="en-US"/>
              </w:rPr>
              <w:t>) Tekniklerin açıklamaları Bölüm 11.10</w:t>
            </w:r>
            <w:r w:rsidR="00E56504" w:rsidRPr="00D53A2B">
              <w:rPr>
                <w:bCs/>
                <w:sz w:val="22"/>
                <w:szCs w:val="22"/>
                <w:lang w:eastAsia="en-US"/>
              </w:rPr>
              <w:t>’</w:t>
            </w:r>
            <w:r w:rsidRPr="00D53A2B">
              <w:rPr>
                <w:bCs/>
                <w:sz w:val="22"/>
                <w:szCs w:val="22"/>
                <w:lang w:eastAsia="en-US"/>
              </w:rPr>
              <w:t>da verilmiştir.</w:t>
            </w:r>
          </w:p>
        </w:tc>
      </w:tr>
    </w:tbl>
    <w:p w14:paraId="6EAEDF64" w14:textId="77777777" w:rsidR="00374C56" w:rsidRPr="00D53A2B" w:rsidRDefault="00374C56" w:rsidP="00A202FD">
      <w:pPr>
        <w:jc w:val="both"/>
        <w:rPr>
          <w:lang w:eastAsia="en-US"/>
        </w:rPr>
      </w:pPr>
    </w:p>
    <w:p w14:paraId="7FF5EF86" w14:textId="43186514" w:rsidR="00374C56" w:rsidRPr="00D53A2B" w:rsidRDefault="00374C56" w:rsidP="00A202FD">
      <w:pPr>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27.</w:t>
      </w:r>
    </w:p>
    <w:p w14:paraId="18F2F047" w14:textId="40773CC2" w:rsidR="00374C56" w:rsidRPr="00D53A2B" w:rsidRDefault="00374C56" w:rsidP="00A202FD">
      <w:pPr>
        <w:jc w:val="both"/>
        <w:rPr>
          <w:bCs/>
          <w:iCs/>
          <w:spacing w:val="2"/>
          <w:lang w:eastAsia="en-US"/>
        </w:rPr>
      </w:pPr>
      <w:bookmarkStart w:id="97" w:name="_Toc531927968"/>
      <w:r w:rsidRPr="00D53A2B">
        <w:rPr>
          <w:bCs/>
          <w:iCs/>
          <w:spacing w:val="2"/>
          <w:lang w:eastAsia="en-US"/>
        </w:rPr>
        <w:t xml:space="preserve">Tablo </w:t>
      </w:r>
      <w:r w:rsidRPr="00D53A2B">
        <w:rPr>
          <w:bCs/>
          <w:iCs/>
          <w:noProof/>
          <w:spacing w:val="2"/>
          <w:lang w:eastAsia="en-US"/>
        </w:rPr>
        <w:t>27</w:t>
      </w:r>
      <w:r w:rsidRPr="00D53A2B">
        <w:rPr>
          <w:bCs/>
          <w:iCs/>
          <w:spacing w:val="2"/>
          <w:lang w:eastAsia="en-US"/>
        </w:rPr>
        <w:t>İkincil kurşun ve/veya kalay hammaddelerinin ergitilmesinden kaynaklanıp havaya verilen PCDD/F emisyonları için MET ile ilişkili emisyon seviyeleri.</w:t>
      </w:r>
      <w:bookmarkEnd w:id="97"/>
    </w:p>
    <w:tbl>
      <w:tblPr>
        <w:tblW w:w="8784" w:type="dxa"/>
        <w:tblLayout w:type="fixed"/>
        <w:tblCellMar>
          <w:left w:w="0" w:type="dxa"/>
          <w:right w:w="0" w:type="dxa"/>
        </w:tblCellMar>
        <w:tblLook w:val="01E0" w:firstRow="1" w:lastRow="1" w:firstColumn="1" w:lastColumn="1" w:noHBand="0" w:noVBand="0"/>
      </w:tblPr>
      <w:tblGrid>
        <w:gridCol w:w="2989"/>
        <w:gridCol w:w="5795"/>
      </w:tblGrid>
      <w:tr w:rsidR="00374C56" w:rsidRPr="00D53A2B" w14:paraId="2F03D39E" w14:textId="77777777" w:rsidTr="00271877">
        <w:trPr>
          <w:trHeight w:val="340"/>
        </w:trPr>
        <w:tc>
          <w:tcPr>
            <w:tcW w:w="2989" w:type="dxa"/>
            <w:tcBorders>
              <w:top w:val="single" w:sz="4" w:space="0" w:color="000000"/>
              <w:left w:val="single" w:sz="4" w:space="0" w:color="000000"/>
              <w:bottom w:val="single" w:sz="4" w:space="0" w:color="000000"/>
              <w:right w:val="single" w:sz="4" w:space="0" w:color="000000"/>
            </w:tcBorders>
            <w:vAlign w:val="center"/>
          </w:tcPr>
          <w:p w14:paraId="3AF88C5D"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5795" w:type="dxa"/>
            <w:tcBorders>
              <w:top w:val="single" w:sz="4" w:space="0" w:color="000000"/>
              <w:left w:val="single" w:sz="4" w:space="0" w:color="000000"/>
              <w:bottom w:val="single" w:sz="4" w:space="0" w:color="000000"/>
              <w:right w:val="single" w:sz="4" w:space="0" w:color="000000"/>
            </w:tcBorders>
            <w:vAlign w:val="center"/>
          </w:tcPr>
          <w:p w14:paraId="6C2DAAF1"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(ng I-TEQ/Nm</w:t>
            </w:r>
            <w:r w:rsidRPr="00D53A2B">
              <w:rPr>
                <w:b/>
                <w:bCs/>
                <w:sz w:val="22"/>
                <w:szCs w:val="22"/>
                <w:vertAlign w:val="superscript"/>
                <w:lang w:eastAsia="en-US"/>
              </w:rPr>
              <w:t>3</w:t>
            </w:r>
            <w:r w:rsidRPr="00D53A2B">
              <w:rPr>
                <w:b/>
                <w:bCs/>
                <w:sz w:val="22"/>
                <w:szCs w:val="22"/>
                <w:lang w:eastAsia="en-US"/>
              </w:rPr>
              <w:t>) (</w:t>
            </w:r>
            <w:r w:rsidRPr="00D53A2B">
              <w:rPr>
                <w:b/>
                <w:bCs/>
                <w:sz w:val="22"/>
                <w:szCs w:val="22"/>
                <w:vertAlign w:val="superscript"/>
                <w:lang w:eastAsia="en-US"/>
              </w:rPr>
              <w:t>1</w:t>
            </w:r>
            <w:r w:rsidRPr="00D53A2B">
              <w:rPr>
                <w:b/>
                <w:bCs/>
                <w:sz w:val="22"/>
                <w:szCs w:val="22"/>
                <w:lang w:eastAsia="en-US"/>
              </w:rPr>
              <w:t>)</w:t>
            </w:r>
          </w:p>
        </w:tc>
      </w:tr>
      <w:tr w:rsidR="00374C56" w:rsidRPr="00D53A2B" w14:paraId="181E0B6A" w14:textId="77777777" w:rsidTr="00271877">
        <w:tc>
          <w:tcPr>
            <w:tcW w:w="2989" w:type="dxa"/>
            <w:tcBorders>
              <w:top w:val="single" w:sz="4" w:space="0" w:color="000000"/>
              <w:left w:val="single" w:sz="4" w:space="0" w:color="000000"/>
              <w:bottom w:val="single" w:sz="4" w:space="0" w:color="000000"/>
              <w:right w:val="single" w:sz="4" w:space="0" w:color="000000"/>
            </w:tcBorders>
            <w:vAlign w:val="center"/>
          </w:tcPr>
          <w:p w14:paraId="40DA15D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PCDD/F</w:t>
            </w:r>
          </w:p>
        </w:tc>
        <w:tc>
          <w:tcPr>
            <w:tcW w:w="5795" w:type="dxa"/>
            <w:tcBorders>
              <w:top w:val="single" w:sz="4" w:space="0" w:color="000000"/>
              <w:left w:val="single" w:sz="4" w:space="0" w:color="000000"/>
              <w:bottom w:val="single" w:sz="4" w:space="0" w:color="000000"/>
              <w:right w:val="single" w:sz="4" w:space="0" w:color="000000"/>
            </w:tcBorders>
            <w:vAlign w:val="center"/>
          </w:tcPr>
          <w:p w14:paraId="098395F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r>
      <w:tr w:rsidR="00374C56" w:rsidRPr="00D53A2B" w14:paraId="085C5736"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53A8A8B0" w14:textId="6E963651" w:rsidR="00374C56" w:rsidRPr="00D53A2B" w:rsidRDefault="00374C56" w:rsidP="00A202FD">
            <w:pPr>
              <w:spacing w:before="40" w:after="40" w:line="264" w:lineRule="auto"/>
              <w:ind w:left="57" w:right="57"/>
              <w:jc w:val="both"/>
              <w:rPr>
                <w:bCs/>
                <w:sz w:val="22"/>
                <w:szCs w:val="22"/>
                <w:lang w:eastAsia="en-US"/>
              </w:rPr>
            </w:pPr>
            <w:r w:rsidRPr="00D53A2B">
              <w:rPr>
                <w:bCs/>
                <w:sz w:val="22"/>
                <w:szCs w:val="22"/>
                <w:lang w:eastAsia="en-US"/>
              </w:rPr>
              <w:t>(</w:t>
            </w:r>
            <w:r w:rsidRPr="00D53A2B">
              <w:rPr>
                <w:bCs/>
                <w:sz w:val="22"/>
                <w:szCs w:val="22"/>
                <w:vertAlign w:val="superscript"/>
                <w:lang w:eastAsia="en-US"/>
              </w:rPr>
              <w:t>1</w:t>
            </w:r>
            <w:r w:rsidRPr="00D53A2B">
              <w:rPr>
                <w:bCs/>
                <w:sz w:val="22"/>
                <w:szCs w:val="22"/>
                <w:lang w:eastAsia="en-US"/>
              </w:rPr>
              <w:t>) En az altı saat boyunca yapılan ölçümlerin ortalaması</w:t>
            </w:r>
          </w:p>
        </w:tc>
      </w:tr>
    </w:tbl>
    <w:p w14:paraId="598A5BFA" w14:textId="77777777" w:rsidR="00374C56" w:rsidRPr="00D53A2B" w:rsidRDefault="00374C56" w:rsidP="00A202FD">
      <w:pPr>
        <w:jc w:val="both"/>
        <w:rPr>
          <w:lang w:eastAsia="en-US"/>
        </w:rPr>
      </w:pPr>
    </w:p>
    <w:p w14:paraId="13AEC24E" w14:textId="29F2D66A" w:rsidR="007A43C8" w:rsidRPr="00D53A2B" w:rsidRDefault="007A43C8" w:rsidP="00A202FD">
      <w:pPr>
        <w:jc w:val="both"/>
        <w:rPr>
          <w:lang w:eastAsia="en-US"/>
        </w:rPr>
      </w:pPr>
      <w:r w:rsidRPr="00D53A2B">
        <w:rPr>
          <w:lang w:eastAsia="en-US"/>
        </w:rPr>
        <w:t>İlgili izleme MET 10</w:t>
      </w:r>
      <w:r w:rsidR="00E56504" w:rsidRPr="00D53A2B">
        <w:rPr>
          <w:lang w:eastAsia="en-US"/>
        </w:rPr>
        <w:t>’</w:t>
      </w:r>
      <w:r w:rsidRPr="00D53A2B">
        <w:rPr>
          <w:lang w:eastAsia="en-US"/>
        </w:rPr>
        <w:t>da yer almaktadır.</w:t>
      </w:r>
    </w:p>
    <w:p w14:paraId="4B972A4D" w14:textId="77777777" w:rsidR="007A43C8" w:rsidRPr="00D53A2B" w:rsidRDefault="007A43C8" w:rsidP="00A202FD">
      <w:pPr>
        <w:jc w:val="both"/>
        <w:rPr>
          <w:lang w:eastAsia="en-US"/>
        </w:rPr>
      </w:pPr>
    </w:p>
    <w:p w14:paraId="3E2DAEB2" w14:textId="3260EDFF" w:rsidR="00374C56" w:rsidRPr="00D53A2B" w:rsidRDefault="00D81D05"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4.1.4.</w:t>
      </w:r>
      <w:r w:rsidRPr="00D53A2B">
        <w:rPr>
          <w:rFonts w:cs="Times New Roman"/>
          <w:lang w:eastAsia="en-US"/>
        </w:rPr>
        <w:t xml:space="preserve"> </w:t>
      </w:r>
      <w:r w:rsidR="00374C56" w:rsidRPr="00D53A2B">
        <w:rPr>
          <w:rFonts w:eastAsia="Arial" w:cs="Times New Roman"/>
          <w:lang w:eastAsia="en-US"/>
        </w:rPr>
        <w:t>Sülfür dioksit emisyonları</w:t>
      </w:r>
    </w:p>
    <w:p w14:paraId="7993BD79" w14:textId="0721BF33" w:rsidR="00374C56" w:rsidRPr="00D53A2B" w:rsidRDefault="00921606" w:rsidP="00A202FD">
      <w:pPr>
        <w:tabs>
          <w:tab w:val="left" w:pos="1134"/>
        </w:tabs>
        <w:spacing w:after="200"/>
        <w:jc w:val="both"/>
        <w:rPr>
          <w:lang w:eastAsia="en-US"/>
        </w:rPr>
      </w:pPr>
      <w:r w:rsidRPr="00D53A2B">
        <w:rPr>
          <w:b/>
          <w:lang w:eastAsia="en-US"/>
        </w:rPr>
        <w:t>MET 100:</w:t>
      </w:r>
      <w:r w:rsidR="00374C56" w:rsidRPr="00D53A2B">
        <w:rPr>
          <w:b/>
          <w:lang w:eastAsia="en-US"/>
        </w:rPr>
        <w:tab/>
      </w:r>
      <w:r w:rsidR="00374C56" w:rsidRPr="00D53A2B">
        <w:rPr>
          <w:bCs/>
          <w:lang w:eastAsia="en-US"/>
        </w:rPr>
        <w:t>Birincil ve ikincil kurşun ve/veya kalay üretiminde şarj, ergitme ve döküm alma sırasında ortaya çıkıp havaya verilen SO</w:t>
      </w:r>
      <w:r w:rsidR="00374C56" w:rsidRPr="00D53A2B">
        <w:rPr>
          <w:bCs/>
          <w:vertAlign w:val="subscript"/>
          <w:lang w:eastAsia="en-US"/>
        </w:rPr>
        <w:t>2</w:t>
      </w:r>
      <w:r w:rsidR="00374C56" w:rsidRPr="00D53A2B">
        <w:rPr>
          <w:bCs/>
          <w:lang w:eastAsia="en-US"/>
        </w:rPr>
        <w:t xml:space="preserve"> emisyonlarını (sülfürik asit ya da sıvı SO</w:t>
      </w:r>
      <w:r w:rsidR="00374C56" w:rsidRPr="00D53A2B">
        <w:rPr>
          <w:bCs/>
          <w:vertAlign w:val="subscript"/>
          <w:lang w:eastAsia="en-US"/>
        </w:rPr>
        <w:t>2</w:t>
      </w:r>
      <w:r w:rsidR="00374C56" w:rsidRPr="00D53A2B">
        <w:rPr>
          <w:bCs/>
          <w:lang w:eastAsia="en-US"/>
        </w:rPr>
        <w:t xml:space="preserve"> tesisine yönlendirilenler dışındakiler) önlemek ve azaltmak için aşağıda verilen tekniklerin biri veya birkaçının bir kombinasyonu kullan</w:t>
      </w:r>
      <w:r w:rsidR="007A43C8" w:rsidRPr="00D53A2B">
        <w:rPr>
          <w:bCs/>
          <w:lang w:eastAsia="en-US"/>
        </w:rPr>
        <w:t>ıl</w:t>
      </w:r>
      <w:r w:rsidR="00374C56" w:rsidRPr="00D53A2B">
        <w:rPr>
          <w:bCs/>
          <w:lang w:eastAsia="en-US"/>
        </w:rPr>
        <w:t>ır.</w:t>
      </w:r>
    </w:p>
    <w:tbl>
      <w:tblPr>
        <w:tblW w:w="0" w:type="auto"/>
        <w:tblLayout w:type="fixed"/>
        <w:tblCellMar>
          <w:left w:w="0" w:type="dxa"/>
          <w:right w:w="0" w:type="dxa"/>
        </w:tblCellMar>
        <w:tblLook w:val="01E0" w:firstRow="1" w:lastRow="1" w:firstColumn="1" w:lastColumn="1" w:noHBand="0" w:noVBand="0"/>
      </w:tblPr>
      <w:tblGrid>
        <w:gridCol w:w="437"/>
        <w:gridCol w:w="2677"/>
        <w:gridCol w:w="5377"/>
      </w:tblGrid>
      <w:tr w:rsidR="00374C56" w:rsidRPr="00D53A2B" w14:paraId="7FDA74B3" w14:textId="77777777" w:rsidTr="00374C56">
        <w:trPr>
          <w:trHeight w:val="283"/>
        </w:trPr>
        <w:tc>
          <w:tcPr>
            <w:tcW w:w="437" w:type="dxa"/>
            <w:tcBorders>
              <w:top w:val="single" w:sz="4" w:space="0" w:color="000000"/>
              <w:left w:val="single" w:sz="4" w:space="0" w:color="000000"/>
              <w:bottom w:val="single" w:sz="4" w:space="0" w:color="000000"/>
              <w:right w:val="single" w:sz="4" w:space="0" w:color="000000"/>
            </w:tcBorders>
            <w:vAlign w:val="center"/>
          </w:tcPr>
          <w:p w14:paraId="33D8D0DB" w14:textId="77777777" w:rsidR="00374C56" w:rsidRPr="00D53A2B" w:rsidRDefault="00374C56" w:rsidP="00A202FD">
            <w:pPr>
              <w:spacing w:line="264" w:lineRule="auto"/>
              <w:ind w:left="57" w:right="57"/>
              <w:jc w:val="both"/>
              <w:rPr>
                <w:sz w:val="22"/>
                <w:szCs w:val="22"/>
                <w:lang w:eastAsia="en-US"/>
              </w:rPr>
            </w:pPr>
          </w:p>
        </w:tc>
        <w:tc>
          <w:tcPr>
            <w:tcW w:w="2677" w:type="dxa"/>
            <w:tcBorders>
              <w:top w:val="single" w:sz="4" w:space="0" w:color="000000"/>
              <w:left w:val="single" w:sz="4" w:space="0" w:color="000000"/>
              <w:bottom w:val="single" w:sz="4" w:space="0" w:color="000000"/>
              <w:right w:val="single" w:sz="4" w:space="0" w:color="000000"/>
            </w:tcBorders>
            <w:vAlign w:val="center"/>
          </w:tcPr>
          <w:p w14:paraId="1FD12BD1"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5377" w:type="dxa"/>
            <w:tcBorders>
              <w:top w:val="single" w:sz="4" w:space="0" w:color="000000"/>
              <w:left w:val="single" w:sz="4" w:space="0" w:color="000000"/>
              <w:bottom w:val="single" w:sz="4" w:space="0" w:color="000000"/>
              <w:right w:val="single" w:sz="4" w:space="0" w:color="000000"/>
            </w:tcBorders>
            <w:vAlign w:val="center"/>
          </w:tcPr>
          <w:p w14:paraId="368AA4A1"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6AA974F3"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7ABBEA6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2677" w:type="dxa"/>
            <w:tcBorders>
              <w:top w:val="single" w:sz="4" w:space="0" w:color="000000"/>
              <w:left w:val="single" w:sz="4" w:space="0" w:color="000000"/>
              <w:bottom w:val="single" w:sz="4" w:space="0" w:color="000000"/>
              <w:right w:val="single" w:sz="4" w:space="0" w:color="000000"/>
            </w:tcBorders>
            <w:vAlign w:val="center"/>
          </w:tcPr>
          <w:p w14:paraId="161CDA3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Sülfat formunda sülfür içeren hammaddelere alkali özütleme (liç) prosesinin uygulanması</w:t>
            </w:r>
          </w:p>
        </w:tc>
        <w:tc>
          <w:tcPr>
            <w:tcW w:w="5377" w:type="dxa"/>
            <w:tcBorders>
              <w:top w:val="single" w:sz="4" w:space="0" w:color="000000"/>
              <w:left w:val="single" w:sz="4" w:space="0" w:color="000000"/>
              <w:bottom w:val="single" w:sz="4" w:space="0" w:color="000000"/>
              <w:right w:val="single" w:sz="4" w:space="0" w:color="000000"/>
            </w:tcBorders>
            <w:vAlign w:val="center"/>
          </w:tcPr>
          <w:p w14:paraId="6BEC7DF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28AD22B6"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01F870D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2677" w:type="dxa"/>
            <w:tcBorders>
              <w:top w:val="single" w:sz="4" w:space="0" w:color="000000"/>
              <w:left w:val="single" w:sz="4" w:space="0" w:color="000000"/>
              <w:bottom w:val="single" w:sz="4" w:space="0" w:color="000000"/>
              <w:right w:val="single" w:sz="4" w:space="0" w:color="000000"/>
            </w:tcBorders>
            <w:vAlign w:val="center"/>
          </w:tcPr>
          <w:p w14:paraId="330C899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Kuru veya yarı kuru gaz yıkayıcı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c>
          <w:tcPr>
            <w:tcW w:w="5377" w:type="dxa"/>
            <w:tcBorders>
              <w:top w:val="single" w:sz="4" w:space="0" w:color="000000"/>
              <w:left w:val="single" w:sz="4" w:space="0" w:color="000000"/>
              <w:bottom w:val="single" w:sz="4" w:space="0" w:color="000000"/>
              <w:right w:val="single" w:sz="4" w:space="0" w:color="000000"/>
            </w:tcBorders>
            <w:vAlign w:val="center"/>
          </w:tcPr>
          <w:p w14:paraId="03066DC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2C6817EA"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1519704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2677" w:type="dxa"/>
            <w:tcBorders>
              <w:top w:val="single" w:sz="4" w:space="0" w:color="000000"/>
              <w:left w:val="single" w:sz="4" w:space="0" w:color="000000"/>
              <w:bottom w:val="single" w:sz="4" w:space="0" w:color="000000"/>
              <w:right w:val="single" w:sz="4" w:space="0" w:color="000000"/>
            </w:tcBorders>
            <w:vAlign w:val="center"/>
          </w:tcPr>
          <w:p w14:paraId="0BF5C55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Islak gaz yıkayıcı </w:t>
            </w:r>
            <w:r w:rsidRPr="00D53A2B">
              <w:rPr>
                <w:b/>
                <w:sz w:val="22"/>
                <w:szCs w:val="22"/>
                <w:lang w:eastAsia="en-US"/>
              </w:rPr>
              <w:t>(</w:t>
            </w:r>
            <w:r w:rsidRPr="00D53A2B">
              <w:rPr>
                <w:b/>
                <w:sz w:val="22"/>
                <w:szCs w:val="22"/>
                <w:vertAlign w:val="superscript"/>
                <w:lang w:eastAsia="en-US"/>
              </w:rPr>
              <w:t>1</w:t>
            </w:r>
            <w:r w:rsidRPr="00D53A2B">
              <w:rPr>
                <w:b/>
                <w:sz w:val="22"/>
                <w:szCs w:val="22"/>
                <w:lang w:eastAsia="en-US"/>
              </w:rPr>
              <w:t>)</w:t>
            </w:r>
          </w:p>
        </w:tc>
        <w:tc>
          <w:tcPr>
            <w:tcW w:w="5377" w:type="dxa"/>
            <w:tcBorders>
              <w:top w:val="single" w:sz="4" w:space="0" w:color="000000"/>
              <w:left w:val="single" w:sz="4" w:space="0" w:color="000000"/>
              <w:bottom w:val="single" w:sz="4" w:space="0" w:color="000000"/>
              <w:right w:val="single" w:sz="4" w:space="0" w:color="000000"/>
            </w:tcBorders>
            <w:vAlign w:val="center"/>
          </w:tcPr>
          <w:p w14:paraId="6EA14BA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Uygulanabilirlik aşağıdaki durumlarda sınırlı olabilir:</w:t>
            </w:r>
          </w:p>
          <w:p w14:paraId="3CDF97A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Çok yüksek atık gaz debisi (üretilen önemli miktardaki atık ve atıksu nedeniyle)</w:t>
            </w:r>
          </w:p>
          <w:p w14:paraId="68CA1A8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kurak bölgelerde (gerekli olan büyük miktardaki su ve atıksuyun arıtılması ihtiyacı nedeniyle)</w:t>
            </w:r>
          </w:p>
        </w:tc>
      </w:tr>
      <w:tr w:rsidR="00374C56" w:rsidRPr="00D53A2B" w14:paraId="14B169CD"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306A3D4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2677" w:type="dxa"/>
            <w:tcBorders>
              <w:top w:val="single" w:sz="4" w:space="0" w:color="000000"/>
              <w:left w:val="single" w:sz="4" w:space="0" w:color="000000"/>
              <w:bottom w:val="single" w:sz="4" w:space="0" w:color="000000"/>
              <w:right w:val="single" w:sz="4" w:space="0" w:color="000000"/>
            </w:tcBorders>
            <w:vAlign w:val="center"/>
          </w:tcPr>
          <w:p w14:paraId="76BEB63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Ergitme aşamasında sülfürün bağlanması</w:t>
            </w:r>
          </w:p>
        </w:tc>
        <w:tc>
          <w:tcPr>
            <w:tcW w:w="5377" w:type="dxa"/>
            <w:tcBorders>
              <w:top w:val="single" w:sz="4" w:space="0" w:color="000000"/>
              <w:left w:val="single" w:sz="4" w:space="0" w:color="000000"/>
              <w:bottom w:val="single" w:sz="4" w:space="0" w:color="000000"/>
              <w:right w:val="single" w:sz="4" w:space="0" w:color="000000"/>
            </w:tcBorders>
            <w:vAlign w:val="center"/>
          </w:tcPr>
          <w:p w14:paraId="0D6271B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ikincil kurşun üretiminde uygulanabilir</w:t>
            </w:r>
          </w:p>
        </w:tc>
      </w:tr>
      <w:tr w:rsidR="00374C56" w:rsidRPr="00D53A2B" w14:paraId="7E449974" w14:textId="77777777" w:rsidTr="00374C56">
        <w:tc>
          <w:tcPr>
            <w:tcW w:w="8491" w:type="dxa"/>
            <w:gridSpan w:val="3"/>
            <w:tcBorders>
              <w:top w:val="single" w:sz="4" w:space="0" w:color="000000"/>
              <w:left w:val="single" w:sz="4" w:space="0" w:color="000000"/>
              <w:bottom w:val="single" w:sz="4" w:space="0" w:color="000000"/>
              <w:right w:val="single" w:sz="4" w:space="0" w:color="000000"/>
            </w:tcBorders>
            <w:vAlign w:val="center"/>
          </w:tcPr>
          <w:p w14:paraId="75349BA9" w14:textId="172C3BC3" w:rsidR="00374C56" w:rsidRPr="009077F5" w:rsidRDefault="00374C56" w:rsidP="00A202FD">
            <w:pPr>
              <w:spacing w:line="264" w:lineRule="auto"/>
              <w:ind w:left="57" w:right="57"/>
              <w:jc w:val="both"/>
              <w:rPr>
                <w:bCs/>
                <w:sz w:val="20"/>
                <w:szCs w:val="20"/>
                <w:lang w:eastAsia="en-US"/>
              </w:rPr>
            </w:pPr>
            <w:r w:rsidRPr="009077F5">
              <w:rPr>
                <w:bCs/>
                <w:sz w:val="20"/>
                <w:szCs w:val="20"/>
                <w:lang w:eastAsia="en-US"/>
              </w:rPr>
              <w:t>(</w:t>
            </w:r>
            <w:r w:rsidRPr="009077F5">
              <w:rPr>
                <w:bCs/>
                <w:sz w:val="20"/>
                <w:szCs w:val="20"/>
                <w:vertAlign w:val="superscript"/>
                <w:lang w:eastAsia="en-US"/>
              </w:rPr>
              <w:t>1</w:t>
            </w:r>
            <w:r w:rsidRPr="009077F5">
              <w:rPr>
                <w:bCs/>
                <w:sz w:val="20"/>
                <w:szCs w:val="20"/>
                <w:lang w:eastAsia="en-US"/>
              </w:rPr>
              <w:t>) Tekniklerin açıklamaları Bölüm 1.10</w:t>
            </w:r>
            <w:r w:rsidR="00E56504" w:rsidRPr="009077F5">
              <w:rPr>
                <w:bCs/>
                <w:sz w:val="20"/>
                <w:szCs w:val="20"/>
                <w:lang w:eastAsia="en-US"/>
              </w:rPr>
              <w:t>’</w:t>
            </w:r>
            <w:r w:rsidRPr="009077F5">
              <w:rPr>
                <w:bCs/>
                <w:sz w:val="20"/>
                <w:szCs w:val="20"/>
                <w:lang w:eastAsia="en-US"/>
              </w:rPr>
              <w:t>da verilmiştir.</w:t>
            </w:r>
          </w:p>
        </w:tc>
      </w:tr>
    </w:tbl>
    <w:p w14:paraId="28BFE91C" w14:textId="77777777" w:rsidR="00374C56" w:rsidRPr="00D53A2B" w:rsidRDefault="00374C56" w:rsidP="00A202FD">
      <w:pPr>
        <w:jc w:val="both"/>
        <w:rPr>
          <w:lang w:eastAsia="en-US"/>
        </w:rPr>
      </w:pPr>
    </w:p>
    <w:p w14:paraId="655E9549" w14:textId="77777777" w:rsidR="00374C56" w:rsidRPr="00D53A2B" w:rsidRDefault="00374C56" w:rsidP="00A202FD">
      <w:pPr>
        <w:spacing w:after="40"/>
        <w:jc w:val="both"/>
        <w:rPr>
          <w:b/>
          <w:lang w:eastAsia="en-US"/>
        </w:rPr>
      </w:pPr>
      <w:r w:rsidRPr="00D53A2B">
        <w:rPr>
          <w:b/>
          <w:lang w:eastAsia="en-US"/>
        </w:rPr>
        <w:t>Açıklama</w:t>
      </w:r>
    </w:p>
    <w:p w14:paraId="7892019C" w14:textId="77777777" w:rsidR="00374C56" w:rsidRPr="00D53A2B" w:rsidRDefault="00374C56" w:rsidP="00A202FD">
      <w:pPr>
        <w:spacing w:after="240"/>
        <w:jc w:val="both"/>
        <w:rPr>
          <w:lang w:eastAsia="en-US"/>
        </w:rPr>
      </w:pPr>
      <w:r w:rsidRPr="00D53A2B">
        <w:rPr>
          <w:b/>
          <w:bCs/>
          <w:lang w:eastAsia="en-US"/>
        </w:rPr>
        <w:t>MET 100.a:</w:t>
      </w:r>
      <w:r w:rsidRPr="00D53A2B">
        <w:rPr>
          <w:lang w:eastAsia="en-US"/>
        </w:rPr>
        <w:t xml:space="preserve"> Alkali tuzu çözeltisi, ergitme işleminden önce ikincil malzemelerden sülfatları uzaklaştırmak için kullanılır.</w:t>
      </w:r>
    </w:p>
    <w:p w14:paraId="1454B3B0" w14:textId="77777777" w:rsidR="00374C56" w:rsidRPr="00D53A2B" w:rsidRDefault="00374C56" w:rsidP="00A202FD">
      <w:pPr>
        <w:spacing w:after="240"/>
        <w:jc w:val="both"/>
        <w:rPr>
          <w:lang w:eastAsia="en-US"/>
        </w:rPr>
      </w:pPr>
      <w:r w:rsidRPr="00D53A2B">
        <w:rPr>
          <w:b/>
          <w:bCs/>
          <w:lang w:eastAsia="en-US"/>
        </w:rPr>
        <w:t>MET 100.d:</w:t>
      </w:r>
      <w:r w:rsidRPr="00D53A2B">
        <w:rPr>
          <w:lang w:eastAsia="en-US"/>
        </w:rPr>
        <w:t xml:space="preserve"> Sülfürün ergitme fazında sabitlenmesi/bağlanması, izabe fırınına ilave edilen demir ve hafif sodanın (Na</w:t>
      </w:r>
      <w:r w:rsidRPr="00D53A2B">
        <w:rPr>
          <w:vertAlign w:val="subscript"/>
          <w:lang w:eastAsia="en-US"/>
        </w:rPr>
        <w:t>2</w:t>
      </w:r>
      <w:r w:rsidRPr="00D53A2B">
        <w:rPr>
          <w:lang w:eastAsia="en-US"/>
        </w:rPr>
        <w:t>CO</w:t>
      </w:r>
      <w:r w:rsidRPr="00D53A2B">
        <w:rPr>
          <w:vertAlign w:val="subscript"/>
          <w:lang w:eastAsia="en-US"/>
        </w:rPr>
        <w:t>3</w:t>
      </w:r>
      <w:r w:rsidRPr="00D53A2B">
        <w:rPr>
          <w:lang w:eastAsia="en-US"/>
        </w:rPr>
        <w:t>) içeriğinde sülfür bulunan hammaddelerle ile reaksiyona girip Na</w:t>
      </w:r>
      <w:r w:rsidRPr="00D53A2B">
        <w:rPr>
          <w:vertAlign w:val="subscript"/>
          <w:lang w:eastAsia="en-US"/>
        </w:rPr>
        <w:t>2</w:t>
      </w:r>
      <w:r w:rsidRPr="00D53A2B">
        <w:rPr>
          <w:lang w:eastAsia="en-US"/>
        </w:rPr>
        <w:t>S-FeS cürufu oluşturulması ile sağlanır.</w:t>
      </w:r>
    </w:p>
    <w:p w14:paraId="5146A07D" w14:textId="77777777" w:rsidR="00374C56" w:rsidRPr="00D53A2B" w:rsidRDefault="00374C56" w:rsidP="00A202FD">
      <w:pPr>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28.</w:t>
      </w:r>
    </w:p>
    <w:p w14:paraId="1D87BF4B" w14:textId="77777777" w:rsidR="00374C56" w:rsidRPr="00D53A2B" w:rsidRDefault="00374C56" w:rsidP="00A202FD">
      <w:pPr>
        <w:jc w:val="both"/>
        <w:rPr>
          <w:lang w:eastAsia="en-US"/>
        </w:rPr>
      </w:pPr>
    </w:p>
    <w:p w14:paraId="58A8C07C" w14:textId="77777777" w:rsidR="001023C7" w:rsidRPr="00D53A2B" w:rsidRDefault="00374C56" w:rsidP="00A202FD">
      <w:pPr>
        <w:spacing w:before="120" w:after="120"/>
        <w:jc w:val="both"/>
        <w:rPr>
          <w:bCs/>
          <w:iCs/>
          <w:spacing w:val="2"/>
          <w:lang w:eastAsia="en-US"/>
        </w:rPr>
      </w:pPr>
      <w:bookmarkStart w:id="98" w:name="_Toc531927969"/>
      <w:bookmarkStart w:id="99" w:name="_Hlk522350049"/>
      <w:r w:rsidRPr="00D53A2B">
        <w:rPr>
          <w:bCs/>
          <w:iCs/>
          <w:spacing w:val="2"/>
          <w:lang w:eastAsia="en-US"/>
        </w:rPr>
        <w:t xml:space="preserve">Tablo </w:t>
      </w:r>
      <w:r w:rsidRPr="00D53A2B">
        <w:rPr>
          <w:bCs/>
          <w:iCs/>
          <w:noProof/>
          <w:spacing w:val="2"/>
          <w:lang w:eastAsia="en-US"/>
        </w:rPr>
        <w:t>28</w:t>
      </w:r>
    </w:p>
    <w:p w14:paraId="7BC25897" w14:textId="67D7B0DB" w:rsidR="00374C56" w:rsidRPr="00D53A2B" w:rsidRDefault="00374C56" w:rsidP="00A202FD">
      <w:pPr>
        <w:spacing w:before="120" w:after="120"/>
        <w:jc w:val="both"/>
        <w:rPr>
          <w:bCs/>
          <w:iCs/>
          <w:spacing w:val="2"/>
          <w:lang w:eastAsia="en-US"/>
        </w:rPr>
      </w:pPr>
      <w:r w:rsidRPr="00D53A2B">
        <w:rPr>
          <w:bCs/>
          <w:iCs/>
          <w:spacing w:val="2"/>
          <w:lang w:eastAsia="en-US"/>
        </w:rPr>
        <w:t>Birincil ve ikincil kurşun ve/veya kalay üretiminde şarj, ergitme ve döküm alma sırasında ortaya çıkıp havaya verilen SO</w:t>
      </w:r>
      <w:r w:rsidRPr="00D53A2B">
        <w:rPr>
          <w:bCs/>
          <w:iCs/>
          <w:spacing w:val="2"/>
          <w:vertAlign w:val="subscript"/>
          <w:lang w:eastAsia="en-US"/>
        </w:rPr>
        <w:t>2</w:t>
      </w:r>
      <w:r w:rsidRPr="00D53A2B">
        <w:rPr>
          <w:bCs/>
          <w:iCs/>
          <w:spacing w:val="2"/>
          <w:lang w:eastAsia="en-US"/>
        </w:rPr>
        <w:t xml:space="preserve"> emisyonları (sülfürik asit ya da sıvı SO</w:t>
      </w:r>
      <w:r w:rsidRPr="00D53A2B">
        <w:rPr>
          <w:bCs/>
          <w:iCs/>
          <w:spacing w:val="2"/>
          <w:vertAlign w:val="subscript"/>
          <w:lang w:eastAsia="en-US"/>
        </w:rPr>
        <w:t>2</w:t>
      </w:r>
      <w:r w:rsidRPr="00D53A2B">
        <w:rPr>
          <w:bCs/>
          <w:iCs/>
          <w:spacing w:val="2"/>
          <w:lang w:eastAsia="en-US"/>
        </w:rPr>
        <w:t xml:space="preserve"> tesisine yönlendirilenler dışındakiler) için MET ile ilişkili emisyon seviyeleri.</w:t>
      </w:r>
      <w:bookmarkEnd w:id="98"/>
    </w:p>
    <w:tbl>
      <w:tblPr>
        <w:tblW w:w="8784" w:type="dxa"/>
        <w:tblLayout w:type="fixed"/>
        <w:tblCellMar>
          <w:left w:w="0" w:type="dxa"/>
          <w:right w:w="0" w:type="dxa"/>
        </w:tblCellMar>
        <w:tblLook w:val="01E0" w:firstRow="1" w:lastRow="1" w:firstColumn="1" w:lastColumn="1" w:noHBand="0" w:noVBand="0"/>
      </w:tblPr>
      <w:tblGrid>
        <w:gridCol w:w="4124"/>
        <w:gridCol w:w="4660"/>
      </w:tblGrid>
      <w:tr w:rsidR="00374C56" w:rsidRPr="00D53A2B" w14:paraId="163FA344" w14:textId="77777777" w:rsidTr="00271877">
        <w:trPr>
          <w:trHeight w:val="340"/>
        </w:trPr>
        <w:tc>
          <w:tcPr>
            <w:tcW w:w="4124" w:type="dxa"/>
            <w:tcBorders>
              <w:top w:val="single" w:sz="4" w:space="0" w:color="000000"/>
              <w:left w:val="single" w:sz="4" w:space="0" w:color="000000"/>
              <w:bottom w:val="single" w:sz="4" w:space="0" w:color="000000"/>
              <w:right w:val="single" w:sz="4" w:space="0" w:color="000000"/>
            </w:tcBorders>
            <w:vAlign w:val="center"/>
          </w:tcPr>
          <w:bookmarkEnd w:id="99"/>
          <w:p w14:paraId="69CD8978"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4660" w:type="dxa"/>
            <w:tcBorders>
              <w:top w:val="single" w:sz="4" w:space="0" w:color="000000"/>
              <w:left w:val="single" w:sz="4" w:space="0" w:color="000000"/>
              <w:bottom w:val="single" w:sz="4" w:space="0" w:color="000000"/>
              <w:right w:val="single" w:sz="4" w:space="0" w:color="000000"/>
            </w:tcBorders>
            <w:vAlign w:val="center"/>
          </w:tcPr>
          <w:p w14:paraId="0D1FC119"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w:t>
            </w:r>
            <w:r w:rsidRPr="00D53A2B">
              <w:rPr>
                <w:b/>
                <w:bCs/>
                <w:sz w:val="22"/>
                <w:szCs w:val="22"/>
                <w:vertAlign w:val="superscript"/>
                <w:lang w:eastAsia="en-US"/>
              </w:rPr>
              <w:t>1</w:t>
            </w:r>
            <w:r w:rsidRPr="00D53A2B">
              <w:rPr>
                <w:b/>
                <w:bCs/>
                <w:sz w:val="22"/>
                <w:szCs w:val="22"/>
                <w:lang w:eastAsia="en-US"/>
              </w:rPr>
              <w:t>)(</w:t>
            </w:r>
            <w:r w:rsidRPr="00D53A2B">
              <w:rPr>
                <w:b/>
                <w:bCs/>
                <w:sz w:val="22"/>
                <w:szCs w:val="22"/>
                <w:vertAlign w:val="superscript"/>
                <w:lang w:eastAsia="en-US"/>
              </w:rPr>
              <w:t>2</w:t>
            </w:r>
            <w:r w:rsidRPr="00D53A2B">
              <w:rPr>
                <w:b/>
                <w:bCs/>
                <w:sz w:val="22"/>
                <w:szCs w:val="22"/>
                <w:lang w:eastAsia="en-US"/>
              </w:rPr>
              <w:t>)</w:t>
            </w:r>
          </w:p>
        </w:tc>
      </w:tr>
      <w:tr w:rsidR="00374C56" w:rsidRPr="00D53A2B" w14:paraId="57D626B8" w14:textId="77777777" w:rsidTr="00271877">
        <w:trPr>
          <w:trHeight w:val="340"/>
        </w:trPr>
        <w:tc>
          <w:tcPr>
            <w:tcW w:w="4124" w:type="dxa"/>
            <w:tcBorders>
              <w:top w:val="single" w:sz="4" w:space="0" w:color="000000"/>
              <w:left w:val="single" w:sz="4" w:space="0" w:color="000000"/>
              <w:right w:val="single" w:sz="4" w:space="0" w:color="000000"/>
            </w:tcBorders>
            <w:vAlign w:val="center"/>
          </w:tcPr>
          <w:p w14:paraId="2267309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SO</w:t>
            </w:r>
            <w:r w:rsidRPr="00D53A2B">
              <w:rPr>
                <w:sz w:val="22"/>
                <w:szCs w:val="22"/>
                <w:vertAlign w:val="subscript"/>
                <w:lang w:eastAsia="en-US"/>
              </w:rPr>
              <w:t>2</w:t>
            </w:r>
          </w:p>
        </w:tc>
        <w:tc>
          <w:tcPr>
            <w:tcW w:w="4660" w:type="dxa"/>
            <w:tcBorders>
              <w:top w:val="single" w:sz="4" w:space="0" w:color="000000"/>
              <w:left w:val="single" w:sz="4" w:space="0" w:color="000000"/>
              <w:right w:val="single" w:sz="4" w:space="0" w:color="000000"/>
            </w:tcBorders>
            <w:vAlign w:val="center"/>
          </w:tcPr>
          <w:p w14:paraId="6BC0A06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50–350</w:t>
            </w:r>
          </w:p>
        </w:tc>
      </w:tr>
      <w:tr w:rsidR="00374C56" w:rsidRPr="00D53A2B" w14:paraId="668F0FB9" w14:textId="77777777" w:rsidTr="00271877">
        <w:tc>
          <w:tcPr>
            <w:tcW w:w="8784" w:type="dxa"/>
            <w:gridSpan w:val="2"/>
            <w:tcBorders>
              <w:top w:val="single" w:sz="4" w:space="0" w:color="000000"/>
              <w:left w:val="single" w:sz="4" w:space="0" w:color="000000"/>
              <w:bottom w:val="single" w:sz="4" w:space="0" w:color="000000"/>
              <w:right w:val="single" w:sz="4" w:space="0" w:color="000000"/>
            </w:tcBorders>
          </w:tcPr>
          <w:p w14:paraId="4D984D90" w14:textId="4CD4A9F7" w:rsidR="00374C56" w:rsidRPr="00D53A2B" w:rsidRDefault="00374C56" w:rsidP="00A202FD">
            <w:pPr>
              <w:jc w:val="both"/>
              <w:rPr>
                <w:bCs/>
                <w:spacing w:val="2"/>
                <w:sz w:val="22"/>
                <w:szCs w:val="22"/>
                <w:lang w:eastAsia="en-US"/>
              </w:rPr>
            </w:pPr>
            <w:r w:rsidRPr="00D53A2B">
              <w:rPr>
                <w:bCs/>
                <w:spacing w:val="2"/>
                <w:sz w:val="22"/>
                <w:szCs w:val="22"/>
                <w:lang w:eastAsia="en-US"/>
              </w:rPr>
              <w:t>(</w:t>
            </w:r>
            <w:r w:rsidRPr="00D53A2B">
              <w:rPr>
                <w:bCs/>
                <w:spacing w:val="2"/>
                <w:sz w:val="22"/>
                <w:szCs w:val="22"/>
                <w:vertAlign w:val="superscript"/>
                <w:lang w:eastAsia="en-US"/>
              </w:rPr>
              <w:t>1</w:t>
            </w:r>
            <w:r w:rsidRPr="00D53A2B">
              <w:rPr>
                <w:bCs/>
                <w:spacing w:val="2"/>
                <w:sz w:val="22"/>
                <w:szCs w:val="22"/>
                <w:lang w:eastAsia="en-US"/>
              </w:rPr>
              <w:t>) Günlük ortalama ya da örnekleme periyodu boyunca ortalama.</w:t>
            </w:r>
          </w:p>
          <w:p w14:paraId="66E47CA7" w14:textId="4FFC337E" w:rsidR="00374C56" w:rsidRPr="00D53A2B" w:rsidRDefault="00374C56" w:rsidP="00A202FD">
            <w:pPr>
              <w:spacing w:line="264" w:lineRule="auto"/>
              <w:ind w:right="57"/>
              <w:jc w:val="both"/>
              <w:rPr>
                <w:sz w:val="22"/>
                <w:szCs w:val="22"/>
                <w:lang w:eastAsia="en-US"/>
              </w:rPr>
            </w:pPr>
            <w:r w:rsidRPr="00D53A2B">
              <w:rPr>
                <w:bCs/>
                <w:sz w:val="22"/>
                <w:szCs w:val="22"/>
                <w:lang w:eastAsia="en-US"/>
              </w:rPr>
              <w:t>(</w:t>
            </w:r>
            <w:r w:rsidRPr="00D53A2B">
              <w:rPr>
                <w:bCs/>
                <w:sz w:val="22"/>
                <w:szCs w:val="22"/>
                <w:vertAlign w:val="superscript"/>
                <w:lang w:eastAsia="en-US"/>
              </w:rPr>
              <w:t>2</w:t>
            </w:r>
            <w:r w:rsidRPr="00D53A2B">
              <w:rPr>
                <w:bCs/>
                <w:sz w:val="22"/>
                <w:szCs w:val="22"/>
                <w:lang w:eastAsia="en-US"/>
              </w:rPr>
              <w:t>) Bir ıslak gaz yıkayıcı kullanılmadığında, MET-İES üst seviyesi 500 mg/Nm</w:t>
            </w:r>
            <w:r w:rsidRPr="00D53A2B">
              <w:rPr>
                <w:bCs/>
                <w:sz w:val="22"/>
                <w:szCs w:val="22"/>
                <w:vertAlign w:val="superscript"/>
                <w:lang w:eastAsia="en-US"/>
              </w:rPr>
              <w:t>3</w:t>
            </w:r>
            <w:r w:rsidRPr="00D53A2B">
              <w:rPr>
                <w:bCs/>
                <w:sz w:val="22"/>
                <w:szCs w:val="22"/>
                <w:lang w:eastAsia="en-US"/>
              </w:rPr>
              <w:t xml:space="preserve"> olabilir.</w:t>
            </w:r>
          </w:p>
        </w:tc>
      </w:tr>
    </w:tbl>
    <w:p w14:paraId="195B0C1E" w14:textId="77777777" w:rsidR="00374C56" w:rsidRPr="00D53A2B" w:rsidRDefault="00374C56" w:rsidP="00A202FD">
      <w:pPr>
        <w:spacing w:before="13" w:line="200" w:lineRule="exact"/>
        <w:jc w:val="both"/>
        <w:rPr>
          <w:lang w:eastAsia="en-US"/>
        </w:rPr>
      </w:pPr>
    </w:p>
    <w:p w14:paraId="19504430" w14:textId="10CA626B" w:rsidR="007A43C8" w:rsidRPr="00D53A2B" w:rsidRDefault="007A43C8" w:rsidP="00A202FD">
      <w:pPr>
        <w:jc w:val="both"/>
        <w:rPr>
          <w:lang w:eastAsia="en-US"/>
        </w:rPr>
      </w:pPr>
      <w:bookmarkStart w:id="100" w:name="_Toc531927878"/>
      <w:r w:rsidRPr="00D53A2B">
        <w:rPr>
          <w:lang w:eastAsia="en-US"/>
        </w:rPr>
        <w:t>İlgili izleme MET 10</w:t>
      </w:r>
      <w:r w:rsidR="00E56504" w:rsidRPr="00D53A2B">
        <w:rPr>
          <w:lang w:eastAsia="en-US"/>
        </w:rPr>
        <w:t>’</w:t>
      </w:r>
      <w:r w:rsidRPr="00D53A2B">
        <w:rPr>
          <w:lang w:eastAsia="en-US"/>
        </w:rPr>
        <w:t>da yer almaktadır.</w:t>
      </w:r>
    </w:p>
    <w:p w14:paraId="46F072D9" w14:textId="77777777" w:rsidR="007A43C8" w:rsidRPr="00D53A2B" w:rsidRDefault="007A43C8" w:rsidP="00A202FD">
      <w:pPr>
        <w:jc w:val="both"/>
        <w:rPr>
          <w:lang w:eastAsia="en-US"/>
        </w:rPr>
      </w:pPr>
    </w:p>
    <w:p w14:paraId="14FEA971" w14:textId="5D9AB525" w:rsidR="00374C56" w:rsidRPr="00D53A2B" w:rsidRDefault="009B7293" w:rsidP="00A202FD">
      <w:pPr>
        <w:pStyle w:val="Balk3"/>
        <w:rPr>
          <w:rFonts w:cs="Times New Roman"/>
          <w:lang w:eastAsia="en-US"/>
        </w:rPr>
      </w:pPr>
      <w:r w:rsidRPr="00D53A2B">
        <w:rPr>
          <w:rFonts w:cs="Times New Roman"/>
          <w:lang w:eastAsia="en-US"/>
        </w:rPr>
        <w:t>1.</w:t>
      </w:r>
      <w:r w:rsidR="00374C56" w:rsidRPr="00D53A2B">
        <w:rPr>
          <w:rFonts w:cs="Times New Roman"/>
          <w:lang w:eastAsia="en-US"/>
        </w:rPr>
        <w:t>4.2.</w:t>
      </w:r>
      <w:r w:rsidR="00374C56" w:rsidRPr="00D53A2B">
        <w:rPr>
          <w:rFonts w:cs="Times New Roman"/>
          <w:lang w:eastAsia="en-US"/>
        </w:rPr>
        <w:tab/>
      </w:r>
      <w:r w:rsidR="00374C56" w:rsidRPr="00D53A2B">
        <w:rPr>
          <w:rFonts w:eastAsia="Arial" w:cs="Times New Roman"/>
          <w:lang w:eastAsia="en-US"/>
        </w:rPr>
        <w:t xml:space="preserve">Toprak ve </w:t>
      </w:r>
      <w:r w:rsidR="000D5E21" w:rsidRPr="00D53A2B">
        <w:rPr>
          <w:rFonts w:eastAsia="Arial" w:cs="Times New Roman"/>
          <w:lang w:eastAsia="en-US"/>
        </w:rPr>
        <w:t>yeraltı suyunun</w:t>
      </w:r>
      <w:r w:rsidR="00374C56" w:rsidRPr="00D53A2B">
        <w:rPr>
          <w:rFonts w:eastAsia="Arial" w:cs="Times New Roman"/>
          <w:lang w:eastAsia="en-US"/>
        </w:rPr>
        <w:t xml:space="preserve"> korunması</w:t>
      </w:r>
      <w:bookmarkEnd w:id="100"/>
    </w:p>
    <w:p w14:paraId="0477F90E" w14:textId="53AD163D" w:rsidR="00921606" w:rsidRPr="00D53A2B" w:rsidRDefault="00921606" w:rsidP="00A202FD">
      <w:pPr>
        <w:tabs>
          <w:tab w:val="left" w:pos="1134"/>
        </w:tabs>
        <w:spacing w:after="200"/>
        <w:jc w:val="both"/>
        <w:rPr>
          <w:b/>
          <w:lang w:eastAsia="en-US"/>
        </w:rPr>
      </w:pPr>
      <w:r w:rsidRPr="00D53A2B">
        <w:rPr>
          <w:b/>
          <w:lang w:eastAsia="en-US"/>
        </w:rPr>
        <w:t>MET 101:</w:t>
      </w:r>
      <w:r w:rsidR="00374C56" w:rsidRPr="00D53A2B">
        <w:rPr>
          <w:b/>
          <w:lang w:eastAsia="en-US"/>
        </w:rPr>
        <w:tab/>
      </w:r>
      <w:r w:rsidR="00374C56" w:rsidRPr="00D53A2B">
        <w:rPr>
          <w:bCs/>
          <w:lang w:eastAsia="en-US"/>
        </w:rPr>
        <w:t xml:space="preserve">Toprak ve </w:t>
      </w:r>
      <w:r w:rsidR="000D5E21" w:rsidRPr="00D53A2B">
        <w:rPr>
          <w:bCs/>
          <w:lang w:eastAsia="en-US"/>
        </w:rPr>
        <w:t>yeraltı suyunun</w:t>
      </w:r>
      <w:r w:rsidR="00374C56" w:rsidRPr="00D53A2B">
        <w:rPr>
          <w:bCs/>
          <w:lang w:eastAsia="en-US"/>
        </w:rPr>
        <w:t xml:space="preserve"> batarya depolama, parçalama, eleme ve sınıflandırma işlemleri sonucu kirlenmesinin önlenmesi için, aside dayanıklı zemin yüzeylerinin inşa edilmesi ve dökülen asidi toplayan bir sistem</w:t>
      </w:r>
      <w:r w:rsidR="009B7293" w:rsidRPr="00D53A2B">
        <w:rPr>
          <w:bCs/>
          <w:lang w:eastAsia="en-US"/>
        </w:rPr>
        <w:t xml:space="preserve"> kullanılır</w:t>
      </w:r>
      <w:r w:rsidR="00374C56" w:rsidRPr="00D53A2B">
        <w:rPr>
          <w:bCs/>
          <w:lang w:eastAsia="en-US"/>
        </w:rPr>
        <w:t>.</w:t>
      </w:r>
      <w:r w:rsidRPr="00D53A2B">
        <w:rPr>
          <w:b/>
          <w:lang w:eastAsia="en-US"/>
        </w:rPr>
        <w:t xml:space="preserve"> </w:t>
      </w:r>
      <w:bookmarkStart w:id="101" w:name="_Toc531927879"/>
    </w:p>
    <w:p w14:paraId="3F948989" w14:textId="42F098AD" w:rsidR="00374C56" w:rsidRPr="00D53A2B" w:rsidRDefault="009B7293" w:rsidP="00A202FD">
      <w:pPr>
        <w:pStyle w:val="Balk3"/>
        <w:rPr>
          <w:rFonts w:eastAsia="Arial" w:cs="Times New Roman"/>
          <w:lang w:eastAsia="en-US"/>
        </w:rPr>
      </w:pPr>
      <w:r w:rsidRPr="00D53A2B">
        <w:rPr>
          <w:rFonts w:eastAsia="Arial" w:cs="Times New Roman"/>
          <w:lang w:eastAsia="en-US"/>
        </w:rPr>
        <w:t>1.</w:t>
      </w:r>
      <w:r w:rsidR="00374C56" w:rsidRPr="00D53A2B">
        <w:rPr>
          <w:rFonts w:eastAsia="Arial" w:cs="Times New Roman"/>
          <w:lang w:eastAsia="en-US"/>
        </w:rPr>
        <w:t>4.3.</w:t>
      </w:r>
      <w:r w:rsidRPr="00D53A2B">
        <w:rPr>
          <w:rFonts w:eastAsia="Arial" w:cs="Times New Roman"/>
          <w:lang w:eastAsia="en-US"/>
        </w:rPr>
        <w:t xml:space="preserve"> </w:t>
      </w:r>
      <w:r w:rsidR="00374C56" w:rsidRPr="00D53A2B">
        <w:rPr>
          <w:rFonts w:eastAsia="Arial" w:cs="Times New Roman"/>
          <w:lang w:eastAsia="en-US"/>
        </w:rPr>
        <w:t>Atıksu üretimi ve arıt</w:t>
      </w:r>
      <w:r w:rsidRPr="00D53A2B">
        <w:rPr>
          <w:rFonts w:eastAsia="Arial" w:cs="Times New Roman"/>
          <w:lang w:eastAsia="en-US"/>
        </w:rPr>
        <w:t>ımı</w:t>
      </w:r>
      <w:bookmarkEnd w:id="101"/>
    </w:p>
    <w:p w14:paraId="373DF708" w14:textId="3A63FB51" w:rsidR="00374C56" w:rsidRPr="00D53A2B" w:rsidRDefault="00921606" w:rsidP="00A202FD">
      <w:pPr>
        <w:pStyle w:val="MET"/>
        <w:rPr>
          <w:szCs w:val="24"/>
        </w:rPr>
      </w:pPr>
      <w:r w:rsidRPr="00D53A2B">
        <w:rPr>
          <w:szCs w:val="24"/>
        </w:rPr>
        <w:t>MET 102:</w:t>
      </w:r>
      <w:r w:rsidR="009B7293" w:rsidRPr="00D53A2B">
        <w:rPr>
          <w:szCs w:val="24"/>
        </w:rPr>
        <w:t xml:space="preserve"> </w:t>
      </w:r>
      <w:r w:rsidR="00374C56" w:rsidRPr="00D53A2B">
        <w:rPr>
          <w:b w:val="0"/>
          <w:bCs/>
          <w:szCs w:val="24"/>
        </w:rPr>
        <w:t>Alkali özütleme işleminde atıksu üretilmesini önlemek için alkali tuz çözeltisinin sodyum sülfat kristalizasyonu prosesinin suyu yeniden kullanılır.</w:t>
      </w:r>
    </w:p>
    <w:p w14:paraId="7D4163F7" w14:textId="77777777" w:rsidR="009B7293" w:rsidRPr="00D53A2B" w:rsidRDefault="009B7293" w:rsidP="00A202FD">
      <w:pPr>
        <w:pStyle w:val="MET"/>
        <w:rPr>
          <w:spacing w:val="0"/>
          <w:szCs w:val="24"/>
        </w:rPr>
      </w:pPr>
    </w:p>
    <w:p w14:paraId="6E836B3E" w14:textId="37BA07B5" w:rsidR="00374C56" w:rsidRPr="00D53A2B" w:rsidRDefault="00921606" w:rsidP="00A202FD">
      <w:pPr>
        <w:pStyle w:val="MET"/>
        <w:rPr>
          <w:szCs w:val="24"/>
        </w:rPr>
      </w:pPr>
      <w:r w:rsidRPr="00D53A2B">
        <w:rPr>
          <w:szCs w:val="24"/>
        </w:rPr>
        <w:t>MET 103:</w:t>
      </w:r>
      <w:r w:rsidR="009B7293" w:rsidRPr="00D53A2B">
        <w:rPr>
          <w:szCs w:val="24"/>
        </w:rPr>
        <w:t xml:space="preserve"> </w:t>
      </w:r>
      <w:r w:rsidR="009B7293" w:rsidRPr="00D53A2B">
        <w:rPr>
          <w:b w:val="0"/>
          <w:bCs/>
          <w:szCs w:val="24"/>
        </w:rPr>
        <w:t xml:space="preserve">Asit buharının </w:t>
      </w:r>
      <w:r w:rsidR="00651500" w:rsidRPr="00D53A2B">
        <w:rPr>
          <w:b w:val="0"/>
          <w:bCs/>
          <w:szCs w:val="24"/>
        </w:rPr>
        <w:t>atıksu</w:t>
      </w:r>
      <w:r w:rsidR="009B7293" w:rsidRPr="00D53A2B">
        <w:rPr>
          <w:b w:val="0"/>
          <w:bCs/>
          <w:szCs w:val="24"/>
        </w:rPr>
        <w:t xml:space="preserve">arıtma tesisine gönderilmesi sırasında pil hazırlamadan kaynaklanan suya emisyonları azaltmak için bu akışta bulunan kirleticileri azaltmak için uygun şekilde tasarlanmış bir </w:t>
      </w:r>
      <w:r w:rsidR="00651500" w:rsidRPr="00D53A2B">
        <w:rPr>
          <w:b w:val="0"/>
          <w:bCs/>
          <w:szCs w:val="24"/>
        </w:rPr>
        <w:t>atıksu</w:t>
      </w:r>
      <w:r w:rsidR="009B7293" w:rsidRPr="00D53A2B">
        <w:rPr>
          <w:b w:val="0"/>
          <w:bCs/>
          <w:szCs w:val="24"/>
        </w:rPr>
        <w:t>arıtma tesisi işlet</w:t>
      </w:r>
      <w:r w:rsidR="007B1E3A" w:rsidRPr="00D53A2B">
        <w:rPr>
          <w:b w:val="0"/>
          <w:bCs/>
          <w:szCs w:val="24"/>
        </w:rPr>
        <w:t>ilir</w:t>
      </w:r>
      <w:r w:rsidR="009B7293" w:rsidRPr="00D53A2B">
        <w:rPr>
          <w:b w:val="0"/>
          <w:bCs/>
          <w:szCs w:val="24"/>
        </w:rPr>
        <w:t>.</w:t>
      </w:r>
    </w:p>
    <w:p w14:paraId="1EAB0BC4" w14:textId="77777777" w:rsidR="009B7293" w:rsidRPr="00D53A2B" w:rsidRDefault="009B7293" w:rsidP="00A202FD">
      <w:pPr>
        <w:pStyle w:val="MET"/>
        <w:rPr>
          <w:szCs w:val="24"/>
        </w:rPr>
      </w:pPr>
    </w:p>
    <w:p w14:paraId="42B62AA0" w14:textId="24C4B89A" w:rsidR="00374C56" w:rsidRPr="00D53A2B" w:rsidRDefault="009B7293" w:rsidP="00A202FD">
      <w:pPr>
        <w:pStyle w:val="Balk3"/>
        <w:rPr>
          <w:rFonts w:cs="Times New Roman"/>
          <w:lang w:eastAsia="en-US"/>
        </w:rPr>
      </w:pPr>
      <w:bookmarkStart w:id="102" w:name="_Toc531927880"/>
      <w:r w:rsidRPr="00D53A2B">
        <w:rPr>
          <w:rFonts w:cs="Times New Roman"/>
          <w:lang w:eastAsia="en-US"/>
        </w:rPr>
        <w:t>1.</w:t>
      </w:r>
      <w:r w:rsidR="00374C56" w:rsidRPr="00D53A2B">
        <w:rPr>
          <w:rFonts w:cs="Times New Roman"/>
          <w:lang w:eastAsia="en-US"/>
        </w:rPr>
        <w:t>4.4.</w:t>
      </w:r>
      <w:r w:rsidRPr="00D53A2B">
        <w:rPr>
          <w:rFonts w:cs="Times New Roman"/>
          <w:lang w:eastAsia="en-US"/>
        </w:rPr>
        <w:t xml:space="preserve"> </w:t>
      </w:r>
      <w:r w:rsidR="00374C56" w:rsidRPr="00D53A2B">
        <w:rPr>
          <w:rFonts w:cs="Times New Roman"/>
          <w:lang w:eastAsia="en-US"/>
        </w:rPr>
        <w:t>Atık</w:t>
      </w:r>
      <w:bookmarkEnd w:id="102"/>
    </w:p>
    <w:p w14:paraId="618E14C3" w14:textId="06695FEC" w:rsidR="00374C56" w:rsidRPr="00D53A2B" w:rsidRDefault="00921606" w:rsidP="00A202FD">
      <w:pPr>
        <w:pStyle w:val="MET"/>
        <w:rPr>
          <w:szCs w:val="24"/>
        </w:rPr>
      </w:pPr>
      <w:r w:rsidRPr="00D53A2B">
        <w:rPr>
          <w:szCs w:val="24"/>
        </w:rPr>
        <w:t>MET 104:</w:t>
      </w:r>
      <w:r w:rsidR="007B1E3A" w:rsidRPr="00D53A2B">
        <w:rPr>
          <w:szCs w:val="24"/>
        </w:rPr>
        <w:t xml:space="preserve"> </w:t>
      </w:r>
      <w:r w:rsidR="009B7293" w:rsidRPr="00D53A2B">
        <w:rPr>
          <w:b w:val="0"/>
          <w:bCs/>
          <w:szCs w:val="24"/>
        </w:rPr>
        <w:t>Birincil kurşun üretiminden kaynaklanan bertaraf için gönderilen atık miktarını azaltmak için aşağıda verilen tekniklerden birini veya bir kombinasyonunu kullanmak da dahil olmak üzere, proses artıklarının yeniden kullanımını veya bu mümkün değilse proses artıklarının geri dönüşümünü kolaylaştıracak şekilde sahadaki operasyonları düzenle</w:t>
      </w:r>
      <w:r w:rsidR="007B1E3A" w:rsidRPr="00D53A2B">
        <w:rPr>
          <w:b w:val="0"/>
          <w:bCs/>
          <w:szCs w:val="24"/>
        </w:rPr>
        <w:t>nir</w:t>
      </w:r>
      <w:r w:rsidR="009B7293" w:rsidRPr="00D53A2B">
        <w:rPr>
          <w:b w:val="0"/>
          <w:bCs/>
          <w:szCs w:val="24"/>
        </w:rPr>
        <w:t>.</w:t>
      </w:r>
    </w:p>
    <w:tbl>
      <w:tblPr>
        <w:tblW w:w="8674" w:type="dxa"/>
        <w:tblLayout w:type="fixed"/>
        <w:tblCellMar>
          <w:left w:w="0" w:type="dxa"/>
          <w:right w:w="0" w:type="dxa"/>
        </w:tblCellMar>
        <w:tblLook w:val="01E0" w:firstRow="1" w:lastRow="1" w:firstColumn="1" w:lastColumn="1" w:noHBand="0" w:noVBand="0"/>
      </w:tblPr>
      <w:tblGrid>
        <w:gridCol w:w="397"/>
        <w:gridCol w:w="4082"/>
        <w:gridCol w:w="4195"/>
      </w:tblGrid>
      <w:tr w:rsidR="00374C56" w:rsidRPr="00D53A2B" w14:paraId="687D2872"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22BF7879" w14:textId="77777777" w:rsidR="00374C56" w:rsidRPr="00D53A2B" w:rsidRDefault="00374C56" w:rsidP="00A202FD">
            <w:pPr>
              <w:spacing w:line="264" w:lineRule="auto"/>
              <w:ind w:left="57" w:right="57"/>
              <w:jc w:val="both"/>
              <w:rPr>
                <w:sz w:val="22"/>
                <w:szCs w:val="22"/>
                <w:lang w:eastAsia="en-US"/>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267D888F"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4195" w:type="dxa"/>
            <w:tcBorders>
              <w:top w:val="single" w:sz="4" w:space="0" w:color="000000"/>
              <w:left w:val="single" w:sz="4" w:space="0" w:color="000000"/>
              <w:bottom w:val="single" w:sz="4" w:space="0" w:color="000000"/>
              <w:right w:val="single" w:sz="4" w:space="0" w:color="000000"/>
            </w:tcBorders>
            <w:vAlign w:val="center"/>
          </w:tcPr>
          <w:p w14:paraId="38EC9E2E"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30FFA000"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2485802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4082" w:type="dxa"/>
            <w:tcBorders>
              <w:top w:val="single" w:sz="4" w:space="0" w:color="000000"/>
              <w:left w:val="single" w:sz="4" w:space="0" w:color="000000"/>
              <w:bottom w:val="single" w:sz="4" w:space="0" w:color="000000"/>
              <w:right w:val="single" w:sz="4" w:space="0" w:color="000000"/>
            </w:tcBorders>
            <w:vAlign w:val="center"/>
          </w:tcPr>
          <w:p w14:paraId="3092DAE6"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Kurşun üretim prosesindeki toz giderme sisteminde toplanan tozun tekrar kullanılması</w:t>
            </w:r>
          </w:p>
        </w:tc>
        <w:tc>
          <w:tcPr>
            <w:tcW w:w="4195" w:type="dxa"/>
            <w:tcBorders>
              <w:top w:val="single" w:sz="4" w:space="0" w:color="000000"/>
              <w:left w:val="single" w:sz="4" w:space="0" w:color="000000"/>
              <w:bottom w:val="single" w:sz="4" w:space="0" w:color="000000"/>
              <w:right w:val="single" w:sz="4" w:space="0" w:color="000000"/>
            </w:tcBorders>
            <w:vAlign w:val="center"/>
          </w:tcPr>
          <w:p w14:paraId="0CE464E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76796696"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59A9EEA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4082" w:type="dxa"/>
            <w:tcBorders>
              <w:top w:val="single" w:sz="4" w:space="0" w:color="000000"/>
              <w:left w:val="single" w:sz="4" w:space="0" w:color="000000"/>
              <w:bottom w:val="single" w:sz="4" w:space="0" w:color="000000"/>
              <w:right w:val="single" w:sz="4" w:space="0" w:color="000000"/>
            </w:tcBorders>
            <w:vAlign w:val="center"/>
          </w:tcPr>
          <w:p w14:paraId="6736320B" w14:textId="131FFDF6" w:rsidR="00374C56" w:rsidRPr="00D53A2B" w:rsidRDefault="009B7293" w:rsidP="00A202FD">
            <w:pPr>
              <w:spacing w:line="264" w:lineRule="auto"/>
              <w:ind w:left="57" w:right="57"/>
              <w:jc w:val="both"/>
              <w:rPr>
                <w:sz w:val="22"/>
                <w:szCs w:val="22"/>
                <w:lang w:eastAsia="en-US"/>
              </w:rPr>
            </w:pPr>
            <w:r w:rsidRPr="00D53A2B">
              <w:rPr>
                <w:spacing w:val="2"/>
                <w:sz w:val="22"/>
                <w:szCs w:val="22"/>
                <w:lang w:eastAsia="en-US"/>
              </w:rPr>
              <w:t>Islak veya kuru gaz temizleme tozu/çamurundan Se ve Te geri kazanımı</w:t>
            </w:r>
          </w:p>
        </w:tc>
        <w:tc>
          <w:tcPr>
            <w:tcW w:w="4195" w:type="dxa"/>
            <w:tcBorders>
              <w:top w:val="single" w:sz="4" w:space="0" w:color="000000"/>
              <w:left w:val="single" w:sz="4" w:space="0" w:color="000000"/>
              <w:bottom w:val="single" w:sz="4" w:space="0" w:color="000000"/>
              <w:right w:val="single" w:sz="4" w:space="0" w:color="000000"/>
            </w:tcBorders>
            <w:vAlign w:val="center"/>
          </w:tcPr>
          <w:p w14:paraId="252ACFF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Uygulanabilirlik, mevcut cıva içeriğinin miktarı ile sınırlabilir</w:t>
            </w:r>
          </w:p>
        </w:tc>
      </w:tr>
      <w:tr w:rsidR="00374C56" w:rsidRPr="00D53A2B" w14:paraId="2FE8336F"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2A616E3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4082" w:type="dxa"/>
            <w:tcBorders>
              <w:top w:val="single" w:sz="4" w:space="0" w:color="000000"/>
              <w:left w:val="single" w:sz="4" w:space="0" w:color="000000"/>
              <w:bottom w:val="single" w:sz="4" w:space="0" w:color="000000"/>
              <w:right w:val="single" w:sz="4" w:space="0" w:color="000000"/>
            </w:tcBorders>
            <w:vAlign w:val="center"/>
          </w:tcPr>
          <w:p w14:paraId="76CF3423"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Cürufun rafinasyonunda Ag, Au, Bi, Sb ve Cu geri kazanılması</w:t>
            </w:r>
          </w:p>
        </w:tc>
        <w:tc>
          <w:tcPr>
            <w:tcW w:w="4195" w:type="dxa"/>
            <w:tcBorders>
              <w:top w:val="single" w:sz="4" w:space="0" w:color="000000"/>
              <w:left w:val="single" w:sz="4" w:space="0" w:color="000000"/>
              <w:bottom w:val="single" w:sz="4" w:space="0" w:color="000000"/>
              <w:right w:val="single" w:sz="4" w:space="0" w:color="000000"/>
            </w:tcBorders>
            <w:vAlign w:val="center"/>
          </w:tcPr>
          <w:p w14:paraId="061006F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4AEFEF12"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7A09ECE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4082" w:type="dxa"/>
            <w:tcBorders>
              <w:top w:val="single" w:sz="4" w:space="0" w:color="000000"/>
              <w:left w:val="single" w:sz="4" w:space="0" w:color="000000"/>
              <w:bottom w:val="single" w:sz="4" w:space="0" w:color="000000"/>
              <w:right w:val="single" w:sz="4" w:space="0" w:color="000000"/>
            </w:tcBorders>
            <w:vAlign w:val="center"/>
          </w:tcPr>
          <w:p w14:paraId="69D27A56"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Atıksu arıtma çamurlarından metallerin geri kazanılması</w:t>
            </w:r>
          </w:p>
        </w:tc>
        <w:tc>
          <w:tcPr>
            <w:tcW w:w="4195" w:type="dxa"/>
            <w:tcBorders>
              <w:top w:val="single" w:sz="4" w:space="0" w:color="000000"/>
              <w:left w:val="single" w:sz="4" w:space="0" w:color="000000"/>
              <w:bottom w:val="single" w:sz="4" w:space="0" w:color="000000"/>
              <w:right w:val="single" w:sz="4" w:space="0" w:color="000000"/>
            </w:tcBorders>
            <w:vAlign w:val="center"/>
          </w:tcPr>
          <w:p w14:paraId="4AAC316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Atıksu arıtma tesisi çamurunun doğrudan ergitilmesi, As, Tl ve Cd gibi elementlerin içerikte bulunması ile sınırlanabilir</w:t>
            </w:r>
          </w:p>
        </w:tc>
      </w:tr>
      <w:tr w:rsidR="00374C56" w:rsidRPr="00D53A2B" w14:paraId="75F8CA56"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71B3574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4082" w:type="dxa"/>
            <w:tcBorders>
              <w:top w:val="single" w:sz="4" w:space="0" w:color="000000"/>
              <w:left w:val="single" w:sz="4" w:space="0" w:color="000000"/>
              <w:bottom w:val="single" w:sz="4" w:space="0" w:color="000000"/>
              <w:right w:val="single" w:sz="4" w:space="0" w:color="000000"/>
            </w:tcBorders>
            <w:vAlign w:val="center"/>
          </w:tcPr>
          <w:p w14:paraId="08286BE2"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Cürufa flaks madddelerinin eklenmesi ile cürufun başka yerlerde daha kolay kullanılabilir hale getirilmesi</w:t>
            </w:r>
          </w:p>
        </w:tc>
        <w:tc>
          <w:tcPr>
            <w:tcW w:w="4195" w:type="dxa"/>
            <w:tcBorders>
              <w:top w:val="single" w:sz="4" w:space="0" w:color="000000"/>
              <w:left w:val="single" w:sz="4" w:space="0" w:color="000000"/>
              <w:bottom w:val="single" w:sz="4" w:space="0" w:color="000000"/>
              <w:right w:val="single" w:sz="4" w:space="0" w:color="000000"/>
            </w:tcBorders>
            <w:vAlign w:val="center"/>
          </w:tcPr>
          <w:p w14:paraId="11BF60F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bl>
    <w:p w14:paraId="784647FD" w14:textId="77777777" w:rsidR="007D6F3E" w:rsidRPr="00D53A2B" w:rsidRDefault="007D6F3E" w:rsidP="00A202FD">
      <w:pPr>
        <w:tabs>
          <w:tab w:val="left" w:pos="1134"/>
        </w:tabs>
        <w:jc w:val="both"/>
        <w:rPr>
          <w:b/>
          <w:lang w:eastAsia="en-US"/>
        </w:rPr>
      </w:pPr>
    </w:p>
    <w:p w14:paraId="4AD8E464" w14:textId="00C3B473" w:rsidR="00374C56" w:rsidRPr="00D53A2B" w:rsidRDefault="00921606" w:rsidP="00A202FD">
      <w:pPr>
        <w:tabs>
          <w:tab w:val="left" w:pos="1134"/>
        </w:tabs>
        <w:spacing w:after="200"/>
        <w:jc w:val="both"/>
        <w:rPr>
          <w:b/>
          <w:lang w:eastAsia="en-US"/>
        </w:rPr>
      </w:pPr>
      <w:r w:rsidRPr="00D53A2B">
        <w:rPr>
          <w:b/>
          <w:lang w:eastAsia="en-US"/>
        </w:rPr>
        <w:t>MET 105:</w:t>
      </w:r>
      <w:r w:rsidR="00374C56" w:rsidRPr="00D53A2B">
        <w:rPr>
          <w:b/>
          <w:lang w:eastAsia="en-US"/>
        </w:rPr>
        <w:tab/>
      </w:r>
      <w:r w:rsidR="00374C56" w:rsidRPr="00D53A2B">
        <w:rPr>
          <w:bCs/>
          <w:lang w:eastAsia="en-US"/>
        </w:rPr>
        <w:t>Kurşun içeren bataryalardan polipropilen ve polietilen içeriğinin geri kazanılmasını sağlamak için ergitme işleminden önce bunlar bataryadan ayırılır.</w:t>
      </w:r>
    </w:p>
    <w:p w14:paraId="7DBEA6A4" w14:textId="77777777" w:rsidR="00374C56" w:rsidRPr="00D53A2B" w:rsidRDefault="00374C56" w:rsidP="00A202FD">
      <w:pPr>
        <w:spacing w:after="40"/>
        <w:jc w:val="both"/>
        <w:rPr>
          <w:b/>
          <w:spacing w:val="2"/>
          <w:lang w:eastAsia="en-US"/>
        </w:rPr>
      </w:pPr>
      <w:r w:rsidRPr="00D53A2B">
        <w:rPr>
          <w:b/>
          <w:spacing w:val="2"/>
          <w:lang w:eastAsia="en-US"/>
        </w:rPr>
        <w:t>Uygulanabilirlik</w:t>
      </w:r>
    </w:p>
    <w:p w14:paraId="6A494CC7" w14:textId="6491A50C" w:rsidR="00374C56" w:rsidRPr="00D53A2B" w:rsidRDefault="00425D76" w:rsidP="00A202FD">
      <w:pPr>
        <w:tabs>
          <w:tab w:val="left" w:pos="1134"/>
        </w:tabs>
        <w:spacing w:after="200"/>
        <w:jc w:val="both"/>
        <w:rPr>
          <w:lang w:eastAsia="en-US"/>
        </w:rPr>
      </w:pPr>
      <w:r w:rsidRPr="00D53A2B">
        <w:rPr>
          <w:lang w:eastAsia="en-US"/>
        </w:rPr>
        <w:t>Fırın operasyonlarının gerektirdiği, sökülmemiş (bütün) bataryaların sağladığı gaz geçirgenliği nedeniyle bu durum şaft fırınları için geçerli olmayabilir.</w:t>
      </w:r>
    </w:p>
    <w:p w14:paraId="1913685B" w14:textId="0A1DA2E9" w:rsidR="00374C56" w:rsidRPr="00D53A2B" w:rsidRDefault="00921606" w:rsidP="00A202FD">
      <w:pPr>
        <w:pStyle w:val="MET"/>
        <w:rPr>
          <w:szCs w:val="24"/>
        </w:rPr>
      </w:pPr>
      <w:r w:rsidRPr="00D53A2B">
        <w:rPr>
          <w:szCs w:val="24"/>
        </w:rPr>
        <w:t>MET 106:</w:t>
      </w:r>
      <w:r w:rsidR="007D6F3E" w:rsidRPr="00D53A2B">
        <w:rPr>
          <w:szCs w:val="24"/>
        </w:rPr>
        <w:t xml:space="preserve"> </w:t>
      </w:r>
      <w:r w:rsidR="00425D76" w:rsidRPr="00D53A2B">
        <w:rPr>
          <w:b w:val="0"/>
          <w:bCs/>
          <w:szCs w:val="24"/>
        </w:rPr>
        <w:t>Batarya geri kazanım prosesinde toplanan sülfürik asidin tekrar kullanılması veya geri kazanılması için</w:t>
      </w:r>
      <w:r w:rsidR="007D6F3E" w:rsidRPr="00D53A2B">
        <w:rPr>
          <w:b w:val="0"/>
          <w:bCs/>
          <w:szCs w:val="24"/>
        </w:rPr>
        <w:t xml:space="preserve">, </w:t>
      </w:r>
      <w:r w:rsidR="00425D76" w:rsidRPr="00D53A2B">
        <w:rPr>
          <w:b w:val="0"/>
          <w:bCs/>
          <w:szCs w:val="24"/>
        </w:rPr>
        <w:t>aşağıda verilen tekniklerin birini veya birkaçının bir kombinasyonunu kullanarak tesisteki işlemlerin düzenlenip tesis içinde ya da dışında toplanan asidin tekrar kullanılması ya da geri dönüştürülmesi sağlanır.</w:t>
      </w:r>
    </w:p>
    <w:tbl>
      <w:tblPr>
        <w:tblW w:w="8674" w:type="dxa"/>
        <w:tblLayout w:type="fixed"/>
        <w:tblCellMar>
          <w:left w:w="0" w:type="dxa"/>
          <w:right w:w="0" w:type="dxa"/>
        </w:tblCellMar>
        <w:tblLook w:val="01E0" w:firstRow="1" w:lastRow="1" w:firstColumn="1" w:lastColumn="1" w:noHBand="0" w:noVBand="0"/>
      </w:tblPr>
      <w:tblGrid>
        <w:gridCol w:w="397"/>
        <w:gridCol w:w="3515"/>
        <w:gridCol w:w="4762"/>
      </w:tblGrid>
      <w:tr w:rsidR="00374C56" w:rsidRPr="00D53A2B" w14:paraId="4281A146"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18971A6A" w14:textId="77777777" w:rsidR="00374C56" w:rsidRPr="00D53A2B" w:rsidRDefault="00374C56" w:rsidP="00A202FD">
            <w:pPr>
              <w:spacing w:line="264" w:lineRule="auto"/>
              <w:ind w:left="57" w:right="57"/>
              <w:jc w:val="both"/>
              <w:rPr>
                <w:sz w:val="22"/>
                <w:szCs w:val="22"/>
                <w:lang w:eastAsia="en-US"/>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77DD268D"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4762" w:type="dxa"/>
            <w:tcBorders>
              <w:top w:val="single" w:sz="4" w:space="0" w:color="000000"/>
              <w:left w:val="single" w:sz="4" w:space="0" w:color="000000"/>
              <w:bottom w:val="single" w:sz="4" w:space="0" w:color="000000"/>
              <w:right w:val="single" w:sz="4" w:space="0" w:color="000000"/>
            </w:tcBorders>
            <w:vAlign w:val="center"/>
          </w:tcPr>
          <w:p w14:paraId="7A1CEB73"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2671E4D2"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0214D61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3515" w:type="dxa"/>
            <w:tcBorders>
              <w:top w:val="single" w:sz="4" w:space="0" w:color="000000"/>
              <w:left w:val="single" w:sz="4" w:space="0" w:color="000000"/>
              <w:bottom w:val="single" w:sz="4" w:space="0" w:color="000000"/>
              <w:right w:val="single" w:sz="4" w:space="0" w:color="000000"/>
            </w:tcBorders>
            <w:vAlign w:val="center"/>
          </w:tcPr>
          <w:p w14:paraId="746529A2" w14:textId="1FEB1CC4" w:rsidR="00374C56" w:rsidRPr="00D53A2B" w:rsidRDefault="00425D76" w:rsidP="00A202FD">
            <w:pPr>
              <w:spacing w:line="264" w:lineRule="auto"/>
              <w:ind w:left="57" w:right="57"/>
              <w:jc w:val="both"/>
              <w:rPr>
                <w:sz w:val="22"/>
                <w:szCs w:val="22"/>
                <w:lang w:eastAsia="en-US"/>
              </w:rPr>
            </w:pPr>
            <w:r w:rsidRPr="00D53A2B">
              <w:rPr>
                <w:spacing w:val="2"/>
                <w:sz w:val="22"/>
                <w:szCs w:val="22"/>
                <w:lang w:eastAsia="en-US"/>
              </w:rPr>
              <w:t>D</w:t>
            </w:r>
            <w:r w:rsidR="00374C56" w:rsidRPr="00D53A2B">
              <w:rPr>
                <w:spacing w:val="2"/>
                <w:sz w:val="22"/>
                <w:szCs w:val="22"/>
                <w:lang w:eastAsia="en-US"/>
              </w:rPr>
              <w:t>ekapaj kimyasalı olarak yeniden kullanılması</w:t>
            </w:r>
          </w:p>
        </w:tc>
        <w:tc>
          <w:tcPr>
            <w:tcW w:w="4762" w:type="dxa"/>
            <w:tcBorders>
              <w:top w:val="single" w:sz="4" w:space="0" w:color="000000"/>
              <w:left w:val="single" w:sz="4" w:space="0" w:color="000000"/>
              <w:bottom w:val="single" w:sz="4" w:space="0" w:color="000000"/>
              <w:right w:val="single" w:sz="4" w:space="0" w:color="000000"/>
            </w:tcBorders>
            <w:vAlign w:val="center"/>
          </w:tcPr>
          <w:p w14:paraId="67FB156D" w14:textId="41A4E6C5"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 xml:space="preserve">Asit </w:t>
            </w:r>
            <w:r w:rsidR="00425D76" w:rsidRPr="00D53A2B">
              <w:rPr>
                <w:spacing w:val="2"/>
                <w:sz w:val="22"/>
                <w:szCs w:val="22"/>
                <w:lang w:eastAsia="en-US"/>
              </w:rPr>
              <w:t>dekapaj</w:t>
            </w:r>
            <w:r w:rsidRPr="00D53A2B">
              <w:rPr>
                <w:spacing w:val="2"/>
                <w:sz w:val="22"/>
                <w:szCs w:val="22"/>
                <w:lang w:eastAsia="en-US"/>
              </w:rPr>
              <w:t xml:space="preserve"> işleminin varlığı ve asitte bulunan safsızlıkların prosesle uyumluluğu gibi koşullara bağlı olarak genellikle uygulanabilir.</w:t>
            </w:r>
          </w:p>
        </w:tc>
      </w:tr>
      <w:tr w:rsidR="00374C56" w:rsidRPr="00D53A2B" w14:paraId="1F043E60"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7A64072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3515" w:type="dxa"/>
            <w:tcBorders>
              <w:top w:val="single" w:sz="4" w:space="0" w:color="000000"/>
              <w:left w:val="single" w:sz="4" w:space="0" w:color="000000"/>
              <w:bottom w:val="single" w:sz="4" w:space="0" w:color="000000"/>
              <w:right w:val="single" w:sz="4" w:space="0" w:color="000000"/>
            </w:tcBorders>
            <w:vAlign w:val="center"/>
          </w:tcPr>
          <w:p w14:paraId="6A746712"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Bir kimya tesisinde hammadde olarak yeniden kullanılması</w:t>
            </w:r>
          </w:p>
        </w:tc>
        <w:tc>
          <w:tcPr>
            <w:tcW w:w="4762" w:type="dxa"/>
            <w:tcBorders>
              <w:top w:val="single" w:sz="4" w:space="0" w:color="000000"/>
              <w:left w:val="single" w:sz="4" w:space="0" w:color="000000"/>
              <w:bottom w:val="single" w:sz="4" w:space="0" w:color="000000"/>
              <w:right w:val="single" w:sz="4" w:space="0" w:color="000000"/>
            </w:tcBorders>
            <w:vAlign w:val="center"/>
          </w:tcPr>
          <w:p w14:paraId="0EA30505"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Uygulanabilirlik, bir kimyas tesisinin yerel mevcudiyetine bağlı olarak kısıtlanabilir</w:t>
            </w:r>
          </w:p>
        </w:tc>
      </w:tr>
      <w:tr w:rsidR="00374C56" w:rsidRPr="00D53A2B" w14:paraId="5587D23E"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00D9AD2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3515" w:type="dxa"/>
            <w:tcBorders>
              <w:top w:val="single" w:sz="4" w:space="0" w:color="000000"/>
              <w:left w:val="single" w:sz="4" w:space="0" w:color="000000"/>
              <w:bottom w:val="single" w:sz="4" w:space="0" w:color="000000"/>
              <w:right w:val="single" w:sz="4" w:space="0" w:color="000000"/>
            </w:tcBorders>
            <w:vAlign w:val="center"/>
          </w:tcPr>
          <w:p w14:paraId="39D3DD66"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Asitin çatlamasıyla rejenere edilmesi</w:t>
            </w:r>
          </w:p>
        </w:tc>
        <w:tc>
          <w:tcPr>
            <w:tcW w:w="4762" w:type="dxa"/>
            <w:tcBorders>
              <w:top w:val="single" w:sz="4" w:space="0" w:color="000000"/>
              <w:left w:val="single" w:sz="4" w:space="0" w:color="000000"/>
              <w:bottom w:val="single" w:sz="4" w:space="0" w:color="000000"/>
              <w:right w:val="single" w:sz="4" w:space="0" w:color="000000"/>
            </w:tcBorders>
            <w:vAlign w:val="center"/>
          </w:tcPr>
          <w:p w14:paraId="0FE1690D"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Sadece sülfürik asit veya sıvı sülfür dioksit tesisi mevcut olduğunda uygulanabilir</w:t>
            </w:r>
          </w:p>
        </w:tc>
      </w:tr>
      <w:tr w:rsidR="00374C56" w:rsidRPr="00D53A2B" w14:paraId="4DE1CD05" w14:textId="77777777" w:rsidTr="00374C56">
        <w:trPr>
          <w:trHeight w:val="56"/>
        </w:trPr>
        <w:tc>
          <w:tcPr>
            <w:tcW w:w="397" w:type="dxa"/>
            <w:tcBorders>
              <w:top w:val="single" w:sz="4" w:space="0" w:color="000000"/>
              <w:left w:val="single" w:sz="4" w:space="0" w:color="000000"/>
              <w:bottom w:val="single" w:sz="4" w:space="0" w:color="000000"/>
              <w:right w:val="single" w:sz="4" w:space="0" w:color="000000"/>
            </w:tcBorders>
            <w:vAlign w:val="center"/>
          </w:tcPr>
          <w:p w14:paraId="5699690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3515" w:type="dxa"/>
            <w:tcBorders>
              <w:top w:val="single" w:sz="4" w:space="0" w:color="000000"/>
              <w:left w:val="single" w:sz="4" w:space="0" w:color="000000"/>
              <w:bottom w:val="single" w:sz="4" w:space="0" w:color="000000"/>
              <w:right w:val="single" w:sz="4" w:space="0" w:color="000000"/>
            </w:tcBorders>
            <w:vAlign w:val="center"/>
          </w:tcPr>
          <w:p w14:paraId="565FA0A3"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Alçıtaşı (jips) üretimi</w:t>
            </w:r>
          </w:p>
        </w:tc>
        <w:tc>
          <w:tcPr>
            <w:tcW w:w="4762" w:type="dxa"/>
            <w:tcBorders>
              <w:top w:val="single" w:sz="4" w:space="0" w:color="000000"/>
              <w:left w:val="single" w:sz="4" w:space="0" w:color="000000"/>
              <w:bottom w:val="single" w:sz="4" w:space="0" w:color="000000"/>
              <w:right w:val="single" w:sz="4" w:space="0" w:color="000000"/>
            </w:tcBorders>
            <w:vAlign w:val="center"/>
          </w:tcPr>
          <w:p w14:paraId="2DA27EA8"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Sadece, geri kazanım asidinde bulunan safsızlıklar alçı kalitesini etkilemezse veya daha düşük kalitede alçıtaşı flaks maddesi gibi başka amaçlar için kullanılabilirse uygulanabilir.</w:t>
            </w:r>
          </w:p>
        </w:tc>
      </w:tr>
      <w:tr w:rsidR="00374C56" w:rsidRPr="00D53A2B" w14:paraId="0FBBF87F" w14:textId="77777777" w:rsidTr="00374C56">
        <w:tc>
          <w:tcPr>
            <w:tcW w:w="397" w:type="dxa"/>
            <w:tcBorders>
              <w:top w:val="single" w:sz="4" w:space="0" w:color="000000"/>
              <w:left w:val="single" w:sz="4" w:space="0" w:color="000000"/>
              <w:bottom w:val="single" w:sz="4" w:space="0" w:color="000000"/>
              <w:right w:val="single" w:sz="4" w:space="0" w:color="000000"/>
            </w:tcBorders>
            <w:vAlign w:val="center"/>
          </w:tcPr>
          <w:p w14:paraId="6A83186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3515" w:type="dxa"/>
            <w:tcBorders>
              <w:top w:val="single" w:sz="4" w:space="0" w:color="000000"/>
              <w:left w:val="single" w:sz="4" w:space="0" w:color="000000"/>
              <w:bottom w:val="single" w:sz="4" w:space="0" w:color="000000"/>
              <w:right w:val="single" w:sz="4" w:space="0" w:color="000000"/>
            </w:tcBorders>
            <w:vAlign w:val="center"/>
          </w:tcPr>
          <w:p w14:paraId="424CDEBF"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Sodyum sülfat üretimi</w:t>
            </w:r>
          </w:p>
        </w:tc>
        <w:tc>
          <w:tcPr>
            <w:tcW w:w="4762" w:type="dxa"/>
            <w:tcBorders>
              <w:top w:val="single" w:sz="4" w:space="0" w:color="000000"/>
              <w:left w:val="single" w:sz="4" w:space="0" w:color="000000"/>
              <w:bottom w:val="single" w:sz="4" w:space="0" w:color="000000"/>
              <w:right w:val="single" w:sz="4" w:space="0" w:color="000000"/>
            </w:tcBorders>
            <w:vAlign w:val="center"/>
          </w:tcPr>
          <w:p w14:paraId="1A0A145D" w14:textId="77777777" w:rsidR="00374C56" w:rsidRPr="00D53A2B" w:rsidRDefault="00374C56" w:rsidP="00A202FD">
            <w:pPr>
              <w:spacing w:line="264" w:lineRule="auto"/>
              <w:ind w:left="57" w:right="57"/>
              <w:jc w:val="both"/>
              <w:rPr>
                <w:sz w:val="22"/>
                <w:szCs w:val="22"/>
                <w:lang w:eastAsia="en-US"/>
              </w:rPr>
            </w:pPr>
            <w:r w:rsidRPr="00D53A2B">
              <w:rPr>
                <w:spacing w:val="2"/>
                <w:sz w:val="22"/>
                <w:szCs w:val="22"/>
                <w:lang w:eastAsia="en-US"/>
              </w:rPr>
              <w:t>Sadece alkali liç işlemi için uygulanabilir</w:t>
            </w:r>
          </w:p>
        </w:tc>
      </w:tr>
    </w:tbl>
    <w:p w14:paraId="3938E944" w14:textId="77777777" w:rsidR="00374C56" w:rsidRPr="00D53A2B" w:rsidRDefault="00374C56" w:rsidP="00A202FD">
      <w:pPr>
        <w:tabs>
          <w:tab w:val="left" w:pos="1134"/>
        </w:tabs>
        <w:jc w:val="both"/>
        <w:rPr>
          <w:lang w:eastAsia="en-US"/>
        </w:rPr>
      </w:pPr>
    </w:p>
    <w:p w14:paraId="5759BA55" w14:textId="231CEC78" w:rsidR="00374C56" w:rsidRPr="00D53A2B" w:rsidRDefault="00921606" w:rsidP="00A202FD">
      <w:pPr>
        <w:pStyle w:val="MET"/>
        <w:rPr>
          <w:szCs w:val="24"/>
        </w:rPr>
      </w:pPr>
      <w:r w:rsidRPr="00D53A2B">
        <w:rPr>
          <w:szCs w:val="24"/>
        </w:rPr>
        <w:t>MET 107:</w:t>
      </w:r>
      <w:r w:rsidR="00425D76" w:rsidRPr="00D53A2B">
        <w:rPr>
          <w:szCs w:val="24"/>
        </w:rPr>
        <w:t xml:space="preserve"> </w:t>
      </w:r>
      <w:r w:rsidR="00374C56" w:rsidRPr="00D53A2B">
        <w:rPr>
          <w:b w:val="0"/>
          <w:bCs/>
          <w:szCs w:val="24"/>
        </w:rPr>
        <w:t xml:space="preserve">İkincil kurşun ve/veya kurşun üretiminden kaynaklanıp bertarafa gönderilen atık miktarının azaltılması için, aşağıda verilen tekniklerin birini veya birkaçının bir kombinasyonunu kullanarak tesisteki işlemlerin düzenlenip proses artıklarının tekrar kullanılmasın sağlanır; ya da </w:t>
      </w:r>
      <w:r w:rsidR="00C224A7">
        <w:rPr>
          <w:b w:val="0"/>
          <w:bCs/>
          <w:szCs w:val="24"/>
        </w:rPr>
        <w:t>mümkün olmaması halinde</w:t>
      </w:r>
      <w:r w:rsidR="00374C56" w:rsidRPr="00D53A2B">
        <w:rPr>
          <w:b w:val="0"/>
          <w:bCs/>
          <w:szCs w:val="24"/>
        </w:rPr>
        <w:t xml:space="preserve"> proses atıkları geri </w:t>
      </w:r>
      <w:r w:rsidR="00C224A7">
        <w:rPr>
          <w:b w:val="0"/>
          <w:bCs/>
          <w:szCs w:val="24"/>
        </w:rPr>
        <w:t>kazanılır</w:t>
      </w:r>
      <w:r w:rsidR="00374C56" w:rsidRPr="00D53A2B">
        <w:rPr>
          <w:b w:val="0"/>
          <w:bCs/>
          <w:szCs w:val="24"/>
        </w:rPr>
        <w:t>.</w:t>
      </w:r>
    </w:p>
    <w:p w14:paraId="143629D1" w14:textId="77777777" w:rsidR="00425D76" w:rsidRPr="00D53A2B" w:rsidRDefault="00425D76" w:rsidP="00A202FD">
      <w:pPr>
        <w:pStyle w:val="MET"/>
        <w:rPr>
          <w:szCs w:val="24"/>
        </w:rPr>
      </w:pPr>
    </w:p>
    <w:tbl>
      <w:tblPr>
        <w:tblW w:w="8721" w:type="dxa"/>
        <w:tblLayout w:type="fixed"/>
        <w:tblCellMar>
          <w:left w:w="0" w:type="dxa"/>
          <w:right w:w="0" w:type="dxa"/>
        </w:tblCellMar>
        <w:tblLook w:val="01E0" w:firstRow="1" w:lastRow="1" w:firstColumn="1" w:lastColumn="1" w:noHBand="0" w:noVBand="0"/>
      </w:tblPr>
      <w:tblGrid>
        <w:gridCol w:w="437"/>
        <w:gridCol w:w="8284"/>
      </w:tblGrid>
      <w:tr w:rsidR="00374C56" w:rsidRPr="00D53A2B" w14:paraId="2A905E84"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284E268C" w14:textId="77777777" w:rsidR="00374C56" w:rsidRPr="00D53A2B" w:rsidRDefault="00374C56" w:rsidP="00A202FD">
            <w:pPr>
              <w:spacing w:line="264" w:lineRule="auto"/>
              <w:ind w:left="57" w:right="57"/>
              <w:jc w:val="both"/>
              <w:rPr>
                <w:sz w:val="22"/>
                <w:szCs w:val="22"/>
                <w:lang w:eastAsia="en-US"/>
              </w:rPr>
            </w:pPr>
          </w:p>
        </w:tc>
        <w:tc>
          <w:tcPr>
            <w:tcW w:w="8284" w:type="dxa"/>
            <w:tcBorders>
              <w:top w:val="single" w:sz="4" w:space="0" w:color="000000"/>
              <w:left w:val="single" w:sz="4" w:space="0" w:color="000000"/>
              <w:bottom w:val="single" w:sz="4" w:space="0" w:color="000000"/>
              <w:right w:val="single" w:sz="4" w:space="0" w:color="000000"/>
            </w:tcBorders>
            <w:vAlign w:val="center"/>
          </w:tcPr>
          <w:p w14:paraId="59299044"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45193336"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7F86B14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284" w:type="dxa"/>
            <w:tcBorders>
              <w:top w:val="single" w:sz="4" w:space="0" w:color="000000"/>
              <w:left w:val="single" w:sz="4" w:space="0" w:color="000000"/>
              <w:bottom w:val="single" w:sz="4" w:space="0" w:color="000000"/>
              <w:right w:val="single" w:sz="4" w:space="0" w:color="000000"/>
            </w:tcBorders>
          </w:tcPr>
          <w:p w14:paraId="6D4D2F37" w14:textId="4556451A" w:rsidR="00374C56" w:rsidRPr="00D53A2B" w:rsidRDefault="00425D76" w:rsidP="00A202FD">
            <w:pPr>
              <w:spacing w:line="264" w:lineRule="auto"/>
              <w:ind w:left="57" w:right="57"/>
              <w:jc w:val="both"/>
              <w:rPr>
                <w:sz w:val="22"/>
                <w:szCs w:val="22"/>
                <w:lang w:eastAsia="en-US"/>
              </w:rPr>
            </w:pPr>
            <w:r w:rsidRPr="00D53A2B">
              <w:rPr>
                <w:spacing w:val="2"/>
                <w:sz w:val="22"/>
                <w:szCs w:val="22"/>
                <w:lang w:eastAsia="en-US"/>
              </w:rPr>
              <w:t>Eritme işleminde ortaya çıkan kalıntıları tekrar kullanarak kurşun ve diğer metalleri geri kazanın.</w:t>
            </w:r>
          </w:p>
        </w:tc>
      </w:tr>
      <w:tr w:rsidR="00374C56" w:rsidRPr="00D53A2B" w14:paraId="5BDEA273"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72CE7D8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284" w:type="dxa"/>
            <w:tcBorders>
              <w:top w:val="single" w:sz="4" w:space="0" w:color="000000"/>
              <w:left w:val="single" w:sz="4" w:space="0" w:color="000000"/>
              <w:bottom w:val="single" w:sz="4" w:space="0" w:color="000000"/>
              <w:right w:val="single" w:sz="4" w:space="0" w:color="000000"/>
            </w:tcBorders>
          </w:tcPr>
          <w:p w14:paraId="76B36961" w14:textId="0C5CA85E" w:rsidR="00374C56" w:rsidRPr="00D53A2B" w:rsidRDefault="00425D76" w:rsidP="00A202FD">
            <w:pPr>
              <w:spacing w:line="264" w:lineRule="auto"/>
              <w:ind w:left="57" w:right="57"/>
              <w:jc w:val="both"/>
              <w:rPr>
                <w:sz w:val="22"/>
                <w:szCs w:val="22"/>
                <w:lang w:eastAsia="en-US"/>
              </w:rPr>
            </w:pPr>
            <w:r w:rsidRPr="00D53A2B">
              <w:rPr>
                <w:spacing w:val="2"/>
                <w:sz w:val="22"/>
                <w:szCs w:val="22"/>
                <w:lang w:eastAsia="en-US"/>
              </w:rPr>
              <w:t>Artıkları ve atıkları, özel tesislerde işleyerek malzeme geri kazanımı sağlayın.</w:t>
            </w:r>
          </w:p>
        </w:tc>
      </w:tr>
      <w:tr w:rsidR="00374C56" w:rsidRPr="00D53A2B" w14:paraId="0B863542" w14:textId="77777777" w:rsidTr="00374C56">
        <w:tc>
          <w:tcPr>
            <w:tcW w:w="437" w:type="dxa"/>
            <w:tcBorders>
              <w:top w:val="single" w:sz="4" w:space="0" w:color="000000"/>
              <w:left w:val="single" w:sz="4" w:space="0" w:color="000000"/>
              <w:bottom w:val="single" w:sz="4" w:space="0" w:color="000000"/>
              <w:right w:val="single" w:sz="4" w:space="0" w:color="000000"/>
            </w:tcBorders>
            <w:vAlign w:val="center"/>
          </w:tcPr>
          <w:p w14:paraId="070B0B7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284" w:type="dxa"/>
            <w:tcBorders>
              <w:top w:val="single" w:sz="4" w:space="0" w:color="000000"/>
              <w:left w:val="single" w:sz="4" w:space="0" w:color="000000"/>
              <w:bottom w:val="single" w:sz="4" w:space="0" w:color="000000"/>
              <w:right w:val="single" w:sz="4" w:space="0" w:color="000000"/>
            </w:tcBorders>
          </w:tcPr>
          <w:p w14:paraId="4DC4A1F6" w14:textId="52931336" w:rsidR="00374C56" w:rsidRPr="00D53A2B" w:rsidRDefault="00425D76" w:rsidP="00A202FD">
            <w:pPr>
              <w:spacing w:line="264" w:lineRule="auto"/>
              <w:ind w:left="57" w:right="57"/>
              <w:jc w:val="both"/>
              <w:rPr>
                <w:sz w:val="22"/>
                <w:szCs w:val="22"/>
                <w:lang w:eastAsia="en-US"/>
              </w:rPr>
            </w:pPr>
            <w:r w:rsidRPr="00D53A2B">
              <w:rPr>
                <w:spacing w:val="2"/>
                <w:sz w:val="22"/>
                <w:szCs w:val="22"/>
                <w:lang w:eastAsia="en-US"/>
              </w:rPr>
              <w:t>Artıkları ve atıkları başka uygulamalarda kullanılabilecek şekilde işleyin.</w:t>
            </w:r>
          </w:p>
        </w:tc>
      </w:tr>
    </w:tbl>
    <w:p w14:paraId="36B5E51E" w14:textId="77777777" w:rsidR="00374C56" w:rsidRPr="00D53A2B" w:rsidRDefault="00374C56" w:rsidP="00A202FD">
      <w:pPr>
        <w:jc w:val="both"/>
        <w:rPr>
          <w:lang w:eastAsia="en-US"/>
        </w:rPr>
      </w:pPr>
    </w:p>
    <w:p w14:paraId="1A710B7A" w14:textId="213314FF" w:rsidR="00374C56" w:rsidRPr="00D53A2B" w:rsidRDefault="00583CFA" w:rsidP="00A202FD">
      <w:pPr>
        <w:pStyle w:val="Balk2"/>
        <w:rPr>
          <w:rFonts w:cs="Times New Roman"/>
          <w:szCs w:val="24"/>
          <w:lang w:eastAsia="en-US"/>
        </w:rPr>
      </w:pPr>
      <w:r w:rsidRPr="00D53A2B">
        <w:rPr>
          <w:rFonts w:cs="Times New Roman"/>
          <w:szCs w:val="24"/>
          <w:lang w:val="en-US" w:eastAsia="en-US"/>
        </w:rPr>
        <w:t>1.</w:t>
      </w:r>
      <w:r w:rsidR="000A48EC" w:rsidRPr="00D53A2B">
        <w:rPr>
          <w:rFonts w:cs="Times New Roman"/>
          <w:szCs w:val="24"/>
          <w:lang w:val="en-US" w:eastAsia="en-US"/>
        </w:rPr>
        <w:t xml:space="preserve">5. </w:t>
      </w:r>
      <w:r w:rsidRPr="00D53A2B">
        <w:rPr>
          <w:rFonts w:cs="Times New Roman"/>
          <w:szCs w:val="24"/>
          <w:lang w:val="en-US" w:eastAsia="en-US"/>
        </w:rPr>
        <w:t>Çinko ve/veya kadmiyum üretimi için MET sonuçları</w:t>
      </w:r>
    </w:p>
    <w:p w14:paraId="7DD20848" w14:textId="4B2090FB" w:rsidR="00374C56" w:rsidRPr="00D53A2B" w:rsidRDefault="001461BF" w:rsidP="00A202FD">
      <w:pPr>
        <w:pStyle w:val="Balk3"/>
        <w:rPr>
          <w:rFonts w:cs="Times New Roman"/>
          <w:lang w:eastAsia="en-US"/>
        </w:rPr>
      </w:pPr>
      <w:bookmarkStart w:id="103" w:name="_Toc527940726"/>
      <w:bookmarkStart w:id="104" w:name="_Toc531927882"/>
      <w:r w:rsidRPr="00D53A2B">
        <w:rPr>
          <w:rFonts w:cs="Times New Roman"/>
          <w:lang w:eastAsia="en-US"/>
        </w:rPr>
        <w:t>1.</w:t>
      </w:r>
      <w:r w:rsidR="00374C56" w:rsidRPr="00D53A2B">
        <w:rPr>
          <w:rFonts w:cs="Times New Roman"/>
          <w:lang w:eastAsia="en-US"/>
        </w:rPr>
        <w:t>5.1.</w:t>
      </w:r>
      <w:r w:rsidRPr="00D53A2B">
        <w:rPr>
          <w:rFonts w:cs="Times New Roman"/>
          <w:lang w:eastAsia="en-US"/>
        </w:rPr>
        <w:t xml:space="preserve"> </w:t>
      </w:r>
      <w:r w:rsidR="00374C56" w:rsidRPr="00D53A2B">
        <w:rPr>
          <w:rFonts w:cs="Times New Roman"/>
          <w:lang w:eastAsia="en-US"/>
        </w:rPr>
        <w:t>Birincil çinko üretimi</w:t>
      </w:r>
      <w:bookmarkEnd w:id="103"/>
      <w:bookmarkEnd w:id="104"/>
    </w:p>
    <w:p w14:paraId="7D949E80" w14:textId="68E5A88E" w:rsidR="00374C56" w:rsidRPr="00D53A2B" w:rsidRDefault="001461BF" w:rsidP="00A202FD">
      <w:pPr>
        <w:pStyle w:val="Balk4"/>
        <w:rPr>
          <w:rFonts w:cs="Times New Roman"/>
          <w:lang w:eastAsia="en-US"/>
        </w:rPr>
      </w:pPr>
      <w:bookmarkStart w:id="105" w:name="_Toc527940727"/>
      <w:bookmarkStart w:id="106" w:name="_Toc531927883"/>
      <w:r w:rsidRPr="00D53A2B">
        <w:rPr>
          <w:rFonts w:cs="Times New Roman"/>
          <w:lang w:eastAsia="en-US"/>
        </w:rPr>
        <w:t>1.</w:t>
      </w:r>
      <w:r w:rsidR="00374C56" w:rsidRPr="00D53A2B">
        <w:rPr>
          <w:rFonts w:cs="Times New Roman"/>
          <w:lang w:eastAsia="en-US"/>
        </w:rPr>
        <w:t>5.2.1.</w:t>
      </w:r>
      <w:r w:rsidRPr="00D53A2B">
        <w:rPr>
          <w:rFonts w:cs="Times New Roman"/>
          <w:lang w:eastAsia="en-US"/>
        </w:rPr>
        <w:t xml:space="preserve"> </w:t>
      </w:r>
      <w:r w:rsidR="00374C56" w:rsidRPr="00D53A2B">
        <w:rPr>
          <w:rFonts w:cs="Times New Roman"/>
          <w:lang w:eastAsia="en-US"/>
        </w:rPr>
        <w:t>Hidrometalurjik çinko üretimi</w:t>
      </w:r>
      <w:bookmarkEnd w:id="105"/>
      <w:bookmarkEnd w:id="106"/>
    </w:p>
    <w:p w14:paraId="49918784" w14:textId="30C62CF5" w:rsidR="00374C56" w:rsidRPr="00D53A2B" w:rsidRDefault="001461BF" w:rsidP="00A202FD">
      <w:pPr>
        <w:pStyle w:val="Balk5"/>
        <w:ind w:left="1134" w:hanging="1134"/>
        <w:rPr>
          <w:szCs w:val="24"/>
        </w:rPr>
      </w:pPr>
      <w:r w:rsidRPr="00D53A2B">
        <w:rPr>
          <w:szCs w:val="24"/>
        </w:rPr>
        <w:t>1.</w:t>
      </w:r>
      <w:r w:rsidR="00374C56" w:rsidRPr="00D53A2B">
        <w:rPr>
          <w:szCs w:val="24"/>
        </w:rPr>
        <w:t>5.1.1.1. Enerji</w:t>
      </w:r>
    </w:p>
    <w:p w14:paraId="6F08A5E5" w14:textId="73515E78" w:rsidR="00374C56" w:rsidRPr="00D53A2B" w:rsidRDefault="000A48EC" w:rsidP="00A202FD">
      <w:pPr>
        <w:tabs>
          <w:tab w:val="left" w:pos="1134"/>
        </w:tabs>
        <w:spacing w:after="200"/>
        <w:jc w:val="both"/>
        <w:rPr>
          <w:b/>
          <w:lang w:eastAsia="en-US"/>
        </w:rPr>
      </w:pPr>
      <w:r w:rsidRPr="00D53A2B">
        <w:rPr>
          <w:b/>
          <w:lang w:eastAsia="en-US"/>
        </w:rPr>
        <w:t>MET 108:</w:t>
      </w:r>
      <w:r w:rsidR="00374C56" w:rsidRPr="00D53A2B">
        <w:rPr>
          <w:b/>
          <w:lang w:eastAsia="en-US"/>
        </w:rPr>
        <w:tab/>
      </w:r>
      <w:r w:rsidR="00374C56" w:rsidRPr="00D53A2B">
        <w:rPr>
          <w:bCs/>
          <w:lang w:eastAsia="en-US"/>
        </w:rPr>
        <w:t>Enerjinin verimli bir şekilde kullanılması için aşağıda verilen tekniklerin birini veya bir kombinasyonunu kullanarak kavurucuda üretilen çıkış gazlarındaki ısının geri kazanılmasıdır.</w:t>
      </w:r>
    </w:p>
    <w:tbl>
      <w:tblPr>
        <w:tblW w:w="8784" w:type="dxa"/>
        <w:tblLayout w:type="fixed"/>
        <w:tblCellMar>
          <w:left w:w="0" w:type="dxa"/>
          <w:right w:w="0" w:type="dxa"/>
        </w:tblCellMar>
        <w:tblLook w:val="01E0" w:firstRow="1" w:lastRow="1" w:firstColumn="1" w:lastColumn="1" w:noHBand="0" w:noVBand="0"/>
      </w:tblPr>
      <w:tblGrid>
        <w:gridCol w:w="315"/>
        <w:gridCol w:w="4849"/>
        <w:gridCol w:w="3620"/>
      </w:tblGrid>
      <w:tr w:rsidR="00374C56" w:rsidRPr="00D53A2B" w14:paraId="084120A8" w14:textId="77777777" w:rsidTr="00271877">
        <w:tc>
          <w:tcPr>
            <w:tcW w:w="5164" w:type="dxa"/>
            <w:gridSpan w:val="2"/>
            <w:tcBorders>
              <w:top w:val="single" w:sz="4" w:space="0" w:color="000000"/>
              <w:left w:val="single" w:sz="4" w:space="0" w:color="000000"/>
              <w:bottom w:val="single" w:sz="4" w:space="0" w:color="000000"/>
              <w:right w:val="single" w:sz="4" w:space="0" w:color="000000"/>
            </w:tcBorders>
            <w:vAlign w:val="center"/>
          </w:tcPr>
          <w:p w14:paraId="39D14551"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3620" w:type="dxa"/>
            <w:tcBorders>
              <w:top w:val="single" w:sz="4" w:space="0" w:color="000000"/>
              <w:left w:val="single" w:sz="4" w:space="0" w:color="000000"/>
              <w:bottom w:val="single" w:sz="4" w:space="0" w:color="000000"/>
              <w:right w:val="single" w:sz="4" w:space="0" w:color="000000"/>
            </w:tcBorders>
            <w:vAlign w:val="center"/>
          </w:tcPr>
          <w:p w14:paraId="2C5D0979"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22A35FF3" w14:textId="77777777" w:rsidTr="00271877">
        <w:tc>
          <w:tcPr>
            <w:tcW w:w="315" w:type="dxa"/>
            <w:tcBorders>
              <w:top w:val="single" w:sz="4" w:space="0" w:color="000000"/>
              <w:left w:val="single" w:sz="4" w:space="0" w:color="000000"/>
              <w:bottom w:val="single" w:sz="4" w:space="0" w:color="000000"/>
              <w:right w:val="single" w:sz="4" w:space="0" w:color="000000"/>
            </w:tcBorders>
            <w:vAlign w:val="center"/>
          </w:tcPr>
          <w:p w14:paraId="458E7B4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4849" w:type="dxa"/>
            <w:tcBorders>
              <w:top w:val="single" w:sz="4" w:space="0" w:color="000000"/>
              <w:left w:val="single" w:sz="4" w:space="0" w:color="000000"/>
              <w:bottom w:val="single" w:sz="4" w:space="0" w:color="000000"/>
              <w:right w:val="single" w:sz="4" w:space="0" w:color="000000"/>
            </w:tcBorders>
            <w:vAlign w:val="center"/>
          </w:tcPr>
          <w:p w14:paraId="061B95F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Elektrik üretmek için atık ısı kazanı ve türbin kullanımı</w:t>
            </w:r>
          </w:p>
        </w:tc>
        <w:tc>
          <w:tcPr>
            <w:tcW w:w="3620" w:type="dxa"/>
            <w:tcBorders>
              <w:top w:val="single" w:sz="4" w:space="0" w:color="000000"/>
              <w:left w:val="single" w:sz="4" w:space="0" w:color="000000"/>
              <w:bottom w:val="single" w:sz="4" w:space="0" w:color="000000"/>
              <w:right w:val="single" w:sz="4" w:space="0" w:color="000000"/>
            </w:tcBorders>
            <w:vAlign w:val="center"/>
          </w:tcPr>
          <w:p w14:paraId="6B54789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Uygulanabilirlik, enerji fiyatlarına ve Üye Devletin enerji politikasına bağlı olarak kısıtlanabilir.</w:t>
            </w:r>
          </w:p>
        </w:tc>
      </w:tr>
      <w:tr w:rsidR="00374C56" w:rsidRPr="00D53A2B" w14:paraId="1B9DEDAD" w14:textId="77777777" w:rsidTr="00271877">
        <w:tc>
          <w:tcPr>
            <w:tcW w:w="315" w:type="dxa"/>
            <w:tcBorders>
              <w:top w:val="single" w:sz="4" w:space="0" w:color="000000"/>
              <w:left w:val="single" w:sz="4" w:space="0" w:color="000000"/>
              <w:bottom w:val="single" w:sz="4" w:space="0" w:color="000000"/>
              <w:right w:val="single" w:sz="4" w:space="0" w:color="000000"/>
            </w:tcBorders>
            <w:vAlign w:val="center"/>
          </w:tcPr>
          <w:p w14:paraId="70A4A32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4849" w:type="dxa"/>
            <w:tcBorders>
              <w:top w:val="single" w:sz="4" w:space="0" w:color="000000"/>
              <w:left w:val="single" w:sz="4" w:space="0" w:color="000000"/>
              <w:bottom w:val="single" w:sz="4" w:space="0" w:color="000000"/>
              <w:right w:val="single" w:sz="4" w:space="0" w:color="000000"/>
            </w:tcBorders>
            <w:vAlign w:val="center"/>
          </w:tcPr>
          <w:p w14:paraId="7713D9A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Proseste kullanılmak üzere mekanik enerji üretmek için atık ısı kazanı ve türbin kullanımı</w:t>
            </w:r>
          </w:p>
        </w:tc>
        <w:tc>
          <w:tcPr>
            <w:tcW w:w="3620" w:type="dxa"/>
            <w:tcBorders>
              <w:top w:val="single" w:sz="4" w:space="0" w:color="000000"/>
              <w:left w:val="single" w:sz="4" w:space="0" w:color="000000"/>
              <w:bottom w:val="single" w:sz="4" w:space="0" w:color="000000"/>
              <w:right w:val="single" w:sz="4" w:space="0" w:color="000000"/>
            </w:tcBorders>
            <w:vAlign w:val="center"/>
          </w:tcPr>
          <w:p w14:paraId="4F917E0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27EFE6F6" w14:textId="77777777" w:rsidTr="00271877">
        <w:tc>
          <w:tcPr>
            <w:tcW w:w="315" w:type="dxa"/>
            <w:tcBorders>
              <w:top w:val="single" w:sz="4" w:space="0" w:color="000000"/>
              <w:left w:val="single" w:sz="4" w:space="0" w:color="000000"/>
              <w:bottom w:val="single" w:sz="4" w:space="0" w:color="000000"/>
              <w:right w:val="single" w:sz="4" w:space="0" w:color="000000"/>
            </w:tcBorders>
            <w:vAlign w:val="center"/>
          </w:tcPr>
          <w:p w14:paraId="14B3D2B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4849" w:type="dxa"/>
            <w:tcBorders>
              <w:top w:val="single" w:sz="4" w:space="0" w:color="000000"/>
              <w:left w:val="single" w:sz="4" w:space="0" w:color="000000"/>
              <w:bottom w:val="single" w:sz="4" w:space="0" w:color="000000"/>
              <w:right w:val="single" w:sz="4" w:space="0" w:color="000000"/>
            </w:tcBorders>
            <w:vAlign w:val="center"/>
          </w:tcPr>
          <w:p w14:paraId="51A7EAF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Proseste ve/veya ofis ısıtmasında kullanılmak üzere ısı üretmek için atık ısı kazanı kullanımı</w:t>
            </w:r>
          </w:p>
        </w:tc>
        <w:tc>
          <w:tcPr>
            <w:tcW w:w="3620" w:type="dxa"/>
            <w:tcBorders>
              <w:top w:val="single" w:sz="4" w:space="0" w:color="000000"/>
              <w:left w:val="single" w:sz="4" w:space="0" w:color="000000"/>
              <w:bottom w:val="single" w:sz="4" w:space="0" w:color="000000"/>
              <w:right w:val="single" w:sz="4" w:space="0" w:color="000000"/>
            </w:tcBorders>
            <w:vAlign w:val="center"/>
          </w:tcPr>
          <w:p w14:paraId="31EE8EF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bl>
    <w:p w14:paraId="540D63C9" w14:textId="77777777" w:rsidR="001461BF" w:rsidRPr="00D53A2B" w:rsidRDefault="001461BF" w:rsidP="00A202FD">
      <w:pPr>
        <w:jc w:val="both"/>
      </w:pPr>
    </w:p>
    <w:p w14:paraId="397C328D" w14:textId="4369FCA0" w:rsidR="00374C56" w:rsidRPr="00D53A2B" w:rsidRDefault="001461BF" w:rsidP="00A202FD">
      <w:pPr>
        <w:pStyle w:val="Balk5"/>
        <w:ind w:left="1134" w:hanging="1134"/>
        <w:rPr>
          <w:szCs w:val="24"/>
        </w:rPr>
      </w:pPr>
      <w:r w:rsidRPr="00D53A2B">
        <w:rPr>
          <w:szCs w:val="24"/>
        </w:rPr>
        <w:t>1.</w:t>
      </w:r>
      <w:r w:rsidR="00374C56" w:rsidRPr="00D53A2B">
        <w:rPr>
          <w:szCs w:val="24"/>
        </w:rPr>
        <w:t>5.1.1.2. Havaya salınan emisyonlar</w:t>
      </w:r>
    </w:p>
    <w:p w14:paraId="6CAC1420" w14:textId="701CE5C7" w:rsidR="00374C56" w:rsidRPr="00D53A2B" w:rsidRDefault="001461BF" w:rsidP="00A202FD">
      <w:pPr>
        <w:pStyle w:val="Balk7"/>
        <w:jc w:val="both"/>
        <w:rPr>
          <w:rFonts w:cs="Times New Roman"/>
          <w:szCs w:val="24"/>
        </w:rPr>
      </w:pPr>
      <w:r w:rsidRPr="00D53A2B">
        <w:rPr>
          <w:rFonts w:cs="Times New Roman"/>
          <w:szCs w:val="24"/>
        </w:rPr>
        <w:t>1.</w:t>
      </w:r>
      <w:r w:rsidR="00374C56" w:rsidRPr="00D53A2B">
        <w:rPr>
          <w:rFonts w:cs="Times New Roman"/>
          <w:szCs w:val="24"/>
        </w:rPr>
        <w:t>5.1.1.2.1.</w:t>
      </w:r>
      <w:r w:rsidRPr="00D53A2B">
        <w:rPr>
          <w:rFonts w:cs="Times New Roman"/>
          <w:szCs w:val="24"/>
        </w:rPr>
        <w:t xml:space="preserve"> </w:t>
      </w:r>
      <w:r w:rsidR="00374C56" w:rsidRPr="00D53A2B">
        <w:rPr>
          <w:rFonts w:cs="Times New Roman"/>
          <w:szCs w:val="24"/>
        </w:rPr>
        <w:t xml:space="preserve">Yayılı emisyonlar </w:t>
      </w:r>
    </w:p>
    <w:p w14:paraId="208D05B7" w14:textId="6FB8B1EB" w:rsidR="00374C56" w:rsidRPr="00D53A2B" w:rsidRDefault="000A48EC" w:rsidP="00A202FD">
      <w:pPr>
        <w:pStyle w:val="MET"/>
        <w:rPr>
          <w:szCs w:val="24"/>
        </w:rPr>
      </w:pPr>
      <w:r w:rsidRPr="00D53A2B">
        <w:rPr>
          <w:szCs w:val="24"/>
        </w:rPr>
        <w:t xml:space="preserve">MET 109: </w:t>
      </w:r>
      <w:r w:rsidR="00374C56" w:rsidRPr="00D53A2B">
        <w:rPr>
          <w:b w:val="0"/>
          <w:bCs/>
          <w:szCs w:val="24"/>
        </w:rPr>
        <w:t>Kavurucu besleme malzemesinin hazırlanması ve kavurucunun beslenmesi sırasında havaya salınan toz emisyonlarının azaltılması için, aşağıda verilen tekniklerden biri veya her ikisi de kullanılır.</w:t>
      </w:r>
    </w:p>
    <w:tbl>
      <w:tblPr>
        <w:tblW w:w="8784" w:type="dxa"/>
        <w:tblLayout w:type="fixed"/>
        <w:tblCellMar>
          <w:left w:w="0" w:type="dxa"/>
          <w:right w:w="0" w:type="dxa"/>
        </w:tblCellMar>
        <w:tblLook w:val="01E0" w:firstRow="1" w:lastRow="1" w:firstColumn="1" w:lastColumn="1" w:noHBand="0" w:noVBand="0"/>
      </w:tblPr>
      <w:tblGrid>
        <w:gridCol w:w="314"/>
        <w:gridCol w:w="8470"/>
      </w:tblGrid>
      <w:tr w:rsidR="00374C56" w:rsidRPr="00DA4333" w14:paraId="554FA716" w14:textId="77777777" w:rsidTr="00271877">
        <w:tc>
          <w:tcPr>
            <w:tcW w:w="8784" w:type="dxa"/>
            <w:gridSpan w:val="2"/>
            <w:tcBorders>
              <w:top w:val="single" w:sz="4" w:space="0" w:color="000000"/>
              <w:left w:val="single" w:sz="4" w:space="0" w:color="000000"/>
              <w:bottom w:val="single" w:sz="4" w:space="0" w:color="000000"/>
              <w:right w:val="single" w:sz="4" w:space="0" w:color="000000"/>
            </w:tcBorders>
            <w:vAlign w:val="center"/>
          </w:tcPr>
          <w:p w14:paraId="5D20FB25" w14:textId="77777777" w:rsidR="00374C56" w:rsidRPr="009077F5" w:rsidRDefault="00374C56" w:rsidP="00A202FD">
            <w:pPr>
              <w:spacing w:line="264" w:lineRule="auto"/>
              <w:ind w:left="57" w:right="57"/>
              <w:jc w:val="both"/>
              <w:rPr>
                <w:lang w:eastAsia="en-US"/>
              </w:rPr>
            </w:pPr>
            <w:r w:rsidRPr="009077F5">
              <w:rPr>
                <w:b/>
                <w:bCs/>
                <w:lang w:eastAsia="en-US"/>
              </w:rPr>
              <w:t>Teknik</w:t>
            </w:r>
          </w:p>
        </w:tc>
      </w:tr>
      <w:tr w:rsidR="00374C56" w:rsidRPr="00DA4333" w14:paraId="7FBE03E6" w14:textId="77777777" w:rsidTr="00271877">
        <w:tc>
          <w:tcPr>
            <w:tcW w:w="314" w:type="dxa"/>
            <w:tcBorders>
              <w:top w:val="single" w:sz="4" w:space="0" w:color="000000"/>
              <w:left w:val="single" w:sz="4" w:space="0" w:color="000000"/>
              <w:bottom w:val="single" w:sz="4" w:space="0" w:color="000000"/>
              <w:right w:val="single" w:sz="4" w:space="0" w:color="000000"/>
            </w:tcBorders>
          </w:tcPr>
          <w:p w14:paraId="6BC9DF5D" w14:textId="77777777" w:rsidR="00374C56" w:rsidRPr="009077F5" w:rsidRDefault="00374C56" w:rsidP="00A202FD">
            <w:pPr>
              <w:spacing w:line="264" w:lineRule="auto"/>
              <w:ind w:left="57" w:right="57"/>
              <w:jc w:val="both"/>
              <w:rPr>
                <w:lang w:eastAsia="en-US"/>
              </w:rPr>
            </w:pPr>
            <w:r w:rsidRPr="009077F5">
              <w:rPr>
                <w:lang w:eastAsia="en-US"/>
              </w:rPr>
              <w:t>a</w:t>
            </w:r>
          </w:p>
        </w:tc>
        <w:tc>
          <w:tcPr>
            <w:tcW w:w="8470" w:type="dxa"/>
            <w:tcBorders>
              <w:top w:val="single" w:sz="4" w:space="0" w:color="000000"/>
              <w:left w:val="single" w:sz="4" w:space="0" w:color="000000"/>
              <w:bottom w:val="single" w:sz="4" w:space="0" w:color="000000"/>
              <w:right w:val="single" w:sz="4" w:space="0" w:color="000000"/>
            </w:tcBorders>
          </w:tcPr>
          <w:p w14:paraId="3A8AF3F6" w14:textId="77777777" w:rsidR="00374C56" w:rsidRPr="009077F5" w:rsidRDefault="00374C56" w:rsidP="00A202FD">
            <w:pPr>
              <w:spacing w:line="264" w:lineRule="auto"/>
              <w:ind w:left="57" w:right="57"/>
              <w:jc w:val="both"/>
              <w:rPr>
                <w:lang w:eastAsia="en-US"/>
              </w:rPr>
            </w:pPr>
            <w:r w:rsidRPr="009077F5">
              <w:rPr>
                <w:lang w:eastAsia="en-US"/>
              </w:rPr>
              <w:t>Islak besleme</w:t>
            </w:r>
          </w:p>
        </w:tc>
      </w:tr>
      <w:tr w:rsidR="00374C56" w:rsidRPr="00DA4333" w14:paraId="3FD929CA" w14:textId="77777777" w:rsidTr="00271877">
        <w:tc>
          <w:tcPr>
            <w:tcW w:w="314" w:type="dxa"/>
            <w:tcBorders>
              <w:top w:val="single" w:sz="4" w:space="0" w:color="000000"/>
              <w:left w:val="single" w:sz="4" w:space="0" w:color="000000"/>
              <w:bottom w:val="single" w:sz="4" w:space="0" w:color="000000"/>
              <w:right w:val="single" w:sz="4" w:space="0" w:color="000000"/>
            </w:tcBorders>
          </w:tcPr>
          <w:p w14:paraId="37A87F19" w14:textId="77777777" w:rsidR="00374C56" w:rsidRPr="009077F5" w:rsidRDefault="00374C56" w:rsidP="00A202FD">
            <w:pPr>
              <w:spacing w:line="264" w:lineRule="auto"/>
              <w:ind w:left="57" w:right="57"/>
              <w:jc w:val="both"/>
              <w:rPr>
                <w:lang w:eastAsia="en-US"/>
              </w:rPr>
            </w:pPr>
            <w:r w:rsidRPr="009077F5">
              <w:rPr>
                <w:lang w:eastAsia="en-US"/>
              </w:rPr>
              <w:t>b</w:t>
            </w:r>
          </w:p>
        </w:tc>
        <w:tc>
          <w:tcPr>
            <w:tcW w:w="8470" w:type="dxa"/>
            <w:tcBorders>
              <w:top w:val="single" w:sz="4" w:space="0" w:color="000000"/>
              <w:left w:val="single" w:sz="4" w:space="0" w:color="000000"/>
              <w:bottom w:val="single" w:sz="4" w:space="0" w:color="000000"/>
              <w:right w:val="single" w:sz="4" w:space="0" w:color="000000"/>
            </w:tcBorders>
          </w:tcPr>
          <w:p w14:paraId="5620B554" w14:textId="77777777" w:rsidR="00374C56" w:rsidRPr="009077F5" w:rsidRDefault="00374C56" w:rsidP="00A202FD">
            <w:pPr>
              <w:spacing w:line="264" w:lineRule="auto"/>
              <w:ind w:left="57" w:right="57"/>
              <w:jc w:val="both"/>
              <w:rPr>
                <w:lang w:eastAsia="en-US"/>
              </w:rPr>
            </w:pPr>
            <w:r w:rsidRPr="009077F5">
              <w:rPr>
                <w:lang w:eastAsia="en-US"/>
              </w:rPr>
              <w:t>Bir azaltım sistemine bağlı tamamen kapalı proses ekipmanı</w:t>
            </w:r>
          </w:p>
        </w:tc>
      </w:tr>
    </w:tbl>
    <w:p w14:paraId="0924EECC" w14:textId="77777777" w:rsidR="00374C56" w:rsidRPr="00D53A2B" w:rsidRDefault="00374C56" w:rsidP="00A202FD">
      <w:pPr>
        <w:jc w:val="both"/>
        <w:rPr>
          <w:b/>
          <w:lang w:eastAsia="en-US"/>
        </w:rPr>
      </w:pPr>
    </w:p>
    <w:p w14:paraId="68E9B55D" w14:textId="21ED06DC" w:rsidR="00374C56" w:rsidRPr="00D53A2B" w:rsidRDefault="000A48EC" w:rsidP="00A202FD">
      <w:pPr>
        <w:pStyle w:val="MET"/>
        <w:rPr>
          <w:szCs w:val="24"/>
        </w:rPr>
      </w:pPr>
      <w:r w:rsidRPr="00D53A2B">
        <w:rPr>
          <w:szCs w:val="24"/>
        </w:rPr>
        <w:t>MET 110:</w:t>
      </w:r>
      <w:r w:rsidR="00374C56" w:rsidRPr="00D53A2B">
        <w:rPr>
          <w:szCs w:val="24"/>
        </w:rPr>
        <w:t xml:space="preserve"> </w:t>
      </w:r>
      <w:r w:rsidR="00374C56" w:rsidRPr="00D53A2B">
        <w:rPr>
          <w:b w:val="0"/>
          <w:bCs/>
          <w:szCs w:val="24"/>
        </w:rPr>
        <w:t>Kalsinasyon</w:t>
      </w:r>
      <w:r w:rsidR="001461BF" w:rsidRPr="00D53A2B">
        <w:rPr>
          <w:b w:val="0"/>
          <w:bCs/>
          <w:szCs w:val="24"/>
        </w:rPr>
        <w:t xml:space="preserve"> işleminden</w:t>
      </w:r>
      <w:r w:rsidR="00374C56" w:rsidRPr="00D53A2B">
        <w:rPr>
          <w:b w:val="0"/>
          <w:bCs/>
          <w:szCs w:val="24"/>
        </w:rPr>
        <w:t xml:space="preserve"> kaynaklanan ve havaya </w:t>
      </w:r>
      <w:r w:rsidR="001461BF" w:rsidRPr="00D53A2B">
        <w:rPr>
          <w:b w:val="0"/>
          <w:bCs/>
          <w:szCs w:val="24"/>
        </w:rPr>
        <w:t>yayılan</w:t>
      </w:r>
      <w:r w:rsidR="00374C56" w:rsidRPr="00D53A2B">
        <w:rPr>
          <w:b w:val="0"/>
          <w:bCs/>
          <w:szCs w:val="24"/>
        </w:rPr>
        <w:t xml:space="preserve"> toz emisyonlarının azaltılması için aşağıda verilen </w:t>
      </w:r>
      <w:r w:rsidR="007D6F3E" w:rsidRPr="00D53A2B">
        <w:rPr>
          <w:b w:val="0"/>
          <w:bCs/>
          <w:szCs w:val="24"/>
        </w:rPr>
        <w:t>tekniklerden biri veya her ikisi de kullanılır.</w:t>
      </w:r>
    </w:p>
    <w:tbl>
      <w:tblPr>
        <w:tblW w:w="8784" w:type="dxa"/>
        <w:tblLayout w:type="fixed"/>
        <w:tblCellMar>
          <w:left w:w="0" w:type="dxa"/>
          <w:right w:w="0" w:type="dxa"/>
        </w:tblCellMar>
        <w:tblLook w:val="01E0" w:firstRow="1" w:lastRow="1" w:firstColumn="1" w:lastColumn="1" w:noHBand="0" w:noVBand="0"/>
      </w:tblPr>
      <w:tblGrid>
        <w:gridCol w:w="314"/>
        <w:gridCol w:w="8470"/>
      </w:tblGrid>
      <w:tr w:rsidR="00374C56" w:rsidRPr="00D53A2B" w14:paraId="66EC3EB8" w14:textId="77777777" w:rsidTr="00271877">
        <w:trPr>
          <w:trHeight w:hRule="exact" w:val="240"/>
        </w:trPr>
        <w:tc>
          <w:tcPr>
            <w:tcW w:w="8784" w:type="dxa"/>
            <w:gridSpan w:val="2"/>
            <w:tcBorders>
              <w:top w:val="single" w:sz="4" w:space="0" w:color="000000"/>
              <w:left w:val="single" w:sz="4" w:space="0" w:color="000000"/>
              <w:bottom w:val="single" w:sz="4" w:space="0" w:color="000000"/>
              <w:right w:val="single" w:sz="4" w:space="0" w:color="000000"/>
            </w:tcBorders>
          </w:tcPr>
          <w:p w14:paraId="68DFA5E5" w14:textId="77777777" w:rsidR="00374C56" w:rsidRPr="00D53A2B" w:rsidRDefault="00374C56" w:rsidP="00A202FD">
            <w:pPr>
              <w:ind w:left="113" w:right="113"/>
              <w:jc w:val="both"/>
              <w:rPr>
                <w:sz w:val="22"/>
                <w:szCs w:val="22"/>
                <w:lang w:eastAsia="en-US"/>
              </w:rPr>
            </w:pPr>
            <w:r w:rsidRPr="00D53A2B">
              <w:rPr>
                <w:b/>
                <w:bCs/>
                <w:sz w:val="22"/>
                <w:szCs w:val="22"/>
                <w:lang w:eastAsia="en-US"/>
              </w:rPr>
              <w:t>Teknik</w:t>
            </w:r>
          </w:p>
        </w:tc>
      </w:tr>
      <w:tr w:rsidR="00374C56" w:rsidRPr="00D53A2B" w14:paraId="404D15A3" w14:textId="77777777" w:rsidTr="00271877">
        <w:trPr>
          <w:trHeight w:hRule="exact" w:val="240"/>
        </w:trPr>
        <w:tc>
          <w:tcPr>
            <w:tcW w:w="314" w:type="dxa"/>
            <w:tcBorders>
              <w:top w:val="single" w:sz="4" w:space="0" w:color="000000"/>
              <w:left w:val="single" w:sz="4" w:space="0" w:color="000000"/>
              <w:bottom w:val="single" w:sz="4" w:space="0" w:color="000000"/>
              <w:right w:val="single" w:sz="4" w:space="0" w:color="000000"/>
            </w:tcBorders>
          </w:tcPr>
          <w:p w14:paraId="102F14B4" w14:textId="77777777" w:rsidR="00374C56" w:rsidRPr="00D53A2B" w:rsidRDefault="00374C56" w:rsidP="00A202FD">
            <w:pPr>
              <w:ind w:left="113" w:right="113"/>
              <w:jc w:val="both"/>
              <w:rPr>
                <w:sz w:val="22"/>
                <w:szCs w:val="22"/>
                <w:lang w:eastAsia="en-US"/>
              </w:rPr>
            </w:pPr>
            <w:r w:rsidRPr="00D53A2B">
              <w:rPr>
                <w:sz w:val="22"/>
                <w:szCs w:val="22"/>
                <w:lang w:eastAsia="en-US"/>
              </w:rPr>
              <w:t>a</w:t>
            </w:r>
          </w:p>
        </w:tc>
        <w:tc>
          <w:tcPr>
            <w:tcW w:w="8470" w:type="dxa"/>
            <w:tcBorders>
              <w:top w:val="single" w:sz="4" w:space="0" w:color="000000"/>
              <w:left w:val="single" w:sz="4" w:space="0" w:color="000000"/>
              <w:bottom w:val="single" w:sz="4" w:space="0" w:color="000000"/>
              <w:right w:val="single" w:sz="4" w:space="0" w:color="000000"/>
            </w:tcBorders>
          </w:tcPr>
          <w:p w14:paraId="7939FA87" w14:textId="77777777" w:rsidR="00374C56" w:rsidRPr="00D53A2B" w:rsidRDefault="00374C56" w:rsidP="00A202FD">
            <w:pPr>
              <w:ind w:left="113" w:right="113"/>
              <w:jc w:val="both"/>
              <w:rPr>
                <w:sz w:val="22"/>
                <w:szCs w:val="22"/>
                <w:lang w:eastAsia="en-US"/>
              </w:rPr>
            </w:pPr>
            <w:r w:rsidRPr="00D53A2B">
              <w:rPr>
                <w:sz w:val="22"/>
                <w:szCs w:val="22"/>
                <w:lang w:eastAsia="en-US"/>
              </w:rPr>
              <w:t>İşlemlerin negatif basınç altında gerçekleştirilmesi</w:t>
            </w:r>
          </w:p>
        </w:tc>
      </w:tr>
      <w:tr w:rsidR="00374C56" w:rsidRPr="00D53A2B" w14:paraId="089E366F" w14:textId="77777777" w:rsidTr="00271877">
        <w:trPr>
          <w:trHeight w:hRule="exact" w:val="241"/>
        </w:trPr>
        <w:tc>
          <w:tcPr>
            <w:tcW w:w="314" w:type="dxa"/>
            <w:tcBorders>
              <w:top w:val="single" w:sz="4" w:space="0" w:color="000000"/>
              <w:left w:val="single" w:sz="4" w:space="0" w:color="000000"/>
              <w:bottom w:val="single" w:sz="4" w:space="0" w:color="000000"/>
              <w:right w:val="single" w:sz="4" w:space="0" w:color="000000"/>
            </w:tcBorders>
          </w:tcPr>
          <w:p w14:paraId="6843ED26" w14:textId="77777777" w:rsidR="00374C56" w:rsidRPr="00D53A2B" w:rsidRDefault="00374C56" w:rsidP="00A202FD">
            <w:pPr>
              <w:ind w:left="113" w:right="113"/>
              <w:jc w:val="both"/>
              <w:rPr>
                <w:sz w:val="22"/>
                <w:szCs w:val="22"/>
                <w:lang w:eastAsia="en-US"/>
              </w:rPr>
            </w:pPr>
            <w:r w:rsidRPr="00D53A2B">
              <w:rPr>
                <w:sz w:val="22"/>
                <w:szCs w:val="22"/>
                <w:lang w:eastAsia="en-US"/>
              </w:rPr>
              <w:t>b</w:t>
            </w:r>
          </w:p>
        </w:tc>
        <w:tc>
          <w:tcPr>
            <w:tcW w:w="8470" w:type="dxa"/>
            <w:tcBorders>
              <w:top w:val="single" w:sz="4" w:space="0" w:color="000000"/>
              <w:left w:val="single" w:sz="4" w:space="0" w:color="000000"/>
              <w:bottom w:val="single" w:sz="4" w:space="0" w:color="000000"/>
              <w:right w:val="single" w:sz="4" w:space="0" w:color="000000"/>
            </w:tcBorders>
          </w:tcPr>
          <w:p w14:paraId="10EDA9F8" w14:textId="77777777" w:rsidR="00374C56" w:rsidRPr="00D53A2B" w:rsidRDefault="00374C56" w:rsidP="00A202FD">
            <w:pPr>
              <w:ind w:left="113" w:right="113"/>
              <w:jc w:val="both"/>
              <w:rPr>
                <w:sz w:val="22"/>
                <w:szCs w:val="22"/>
                <w:lang w:eastAsia="en-US"/>
              </w:rPr>
            </w:pPr>
            <w:r w:rsidRPr="00D53A2B">
              <w:rPr>
                <w:sz w:val="22"/>
                <w:szCs w:val="22"/>
                <w:lang w:eastAsia="en-US"/>
              </w:rPr>
              <w:t>Bir azaltım sistemine bağlı, tamamen kapalı proses ekipmanı</w:t>
            </w:r>
          </w:p>
        </w:tc>
      </w:tr>
    </w:tbl>
    <w:p w14:paraId="389B01AA" w14:textId="77777777" w:rsidR="00374C56" w:rsidRPr="00D53A2B" w:rsidRDefault="00374C56" w:rsidP="00A202FD">
      <w:pPr>
        <w:jc w:val="both"/>
        <w:rPr>
          <w:b/>
          <w:lang w:eastAsia="en-US"/>
        </w:rPr>
      </w:pPr>
    </w:p>
    <w:p w14:paraId="2D9B9938" w14:textId="72F31AEC" w:rsidR="00374C56" w:rsidRPr="00D53A2B" w:rsidRDefault="000A48EC" w:rsidP="00A202FD">
      <w:pPr>
        <w:spacing w:after="240"/>
        <w:jc w:val="both"/>
        <w:rPr>
          <w:b/>
          <w:lang w:eastAsia="en-US"/>
        </w:rPr>
      </w:pPr>
      <w:r w:rsidRPr="00D53A2B">
        <w:rPr>
          <w:b/>
          <w:lang w:eastAsia="en-US"/>
        </w:rPr>
        <w:t>MET 111:</w:t>
      </w:r>
      <w:r w:rsidR="00374C56" w:rsidRPr="00D53A2B">
        <w:rPr>
          <w:b/>
          <w:lang w:eastAsia="en-US"/>
        </w:rPr>
        <w:t xml:space="preserve"> </w:t>
      </w:r>
      <w:r w:rsidR="00374C56" w:rsidRPr="00D53A2B">
        <w:rPr>
          <w:bCs/>
          <w:lang w:eastAsia="en-US"/>
        </w:rPr>
        <w:t>Liç, katı-sıvı ayrımı ve saflaştırma proseslerinden kaynaklanan ve havaya salınan yayılı emisyonların azaltılması için aşağıda verilen tekniklerden birinin veya bunların bir kombinasyonu kullanıl</w:t>
      </w:r>
      <w:r w:rsidR="007D6F3E" w:rsidRPr="00D53A2B">
        <w:rPr>
          <w:bCs/>
          <w:lang w:eastAsia="en-US"/>
        </w:rPr>
        <w:t>ı</w:t>
      </w:r>
      <w:r w:rsidR="00374C56" w:rsidRPr="00D53A2B">
        <w:rPr>
          <w:bCs/>
          <w:lang w:eastAsia="en-US"/>
        </w:rPr>
        <w:t>r.</w:t>
      </w:r>
    </w:p>
    <w:tbl>
      <w:tblPr>
        <w:tblW w:w="0" w:type="auto"/>
        <w:tblInd w:w="94" w:type="dxa"/>
        <w:tblLayout w:type="fixed"/>
        <w:tblCellMar>
          <w:left w:w="0" w:type="dxa"/>
          <w:right w:w="0" w:type="dxa"/>
        </w:tblCellMar>
        <w:tblLook w:val="01E0" w:firstRow="1" w:lastRow="1" w:firstColumn="1" w:lastColumn="1" w:noHBand="0" w:noVBand="0"/>
      </w:tblPr>
      <w:tblGrid>
        <w:gridCol w:w="317"/>
        <w:gridCol w:w="4278"/>
        <w:gridCol w:w="4127"/>
      </w:tblGrid>
      <w:tr w:rsidR="00374C56" w:rsidRPr="00D53A2B" w14:paraId="11487754" w14:textId="77777777" w:rsidTr="00374C56">
        <w:tc>
          <w:tcPr>
            <w:tcW w:w="4595" w:type="dxa"/>
            <w:gridSpan w:val="2"/>
            <w:tcBorders>
              <w:top w:val="single" w:sz="4" w:space="0" w:color="000000"/>
              <w:left w:val="single" w:sz="4" w:space="0" w:color="000000"/>
              <w:bottom w:val="single" w:sz="4" w:space="0" w:color="000000"/>
              <w:right w:val="single" w:sz="4" w:space="0" w:color="000000"/>
            </w:tcBorders>
            <w:vAlign w:val="center"/>
          </w:tcPr>
          <w:p w14:paraId="4551D79B"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4127" w:type="dxa"/>
            <w:tcBorders>
              <w:top w:val="single" w:sz="4" w:space="0" w:color="000000"/>
              <w:left w:val="single" w:sz="4" w:space="0" w:color="000000"/>
              <w:bottom w:val="single" w:sz="4" w:space="0" w:color="000000"/>
              <w:right w:val="single" w:sz="4" w:space="0" w:color="000000"/>
            </w:tcBorders>
            <w:vAlign w:val="center"/>
          </w:tcPr>
          <w:p w14:paraId="6FC91C1D"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759A20F2"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24168F7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4278" w:type="dxa"/>
            <w:tcBorders>
              <w:top w:val="single" w:sz="4" w:space="0" w:color="000000"/>
              <w:left w:val="single" w:sz="4" w:space="0" w:color="000000"/>
              <w:bottom w:val="single" w:sz="4" w:space="0" w:color="000000"/>
              <w:right w:val="single" w:sz="4" w:space="0" w:color="000000"/>
            </w:tcBorders>
            <w:vAlign w:val="center"/>
          </w:tcPr>
          <w:p w14:paraId="108B43D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Tankların bir kapak ile kapatılması</w:t>
            </w:r>
          </w:p>
        </w:tc>
        <w:tc>
          <w:tcPr>
            <w:tcW w:w="4127" w:type="dxa"/>
            <w:tcBorders>
              <w:top w:val="single" w:sz="4" w:space="0" w:color="000000"/>
              <w:left w:val="single" w:sz="4" w:space="0" w:color="000000"/>
              <w:bottom w:val="single" w:sz="4" w:space="0" w:color="000000"/>
              <w:right w:val="single" w:sz="4" w:space="0" w:color="000000"/>
            </w:tcBorders>
            <w:vAlign w:val="center"/>
          </w:tcPr>
          <w:p w14:paraId="49B666F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6AAC735D"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34EEDBB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4278" w:type="dxa"/>
            <w:tcBorders>
              <w:top w:val="single" w:sz="4" w:space="0" w:color="000000"/>
              <w:left w:val="single" w:sz="4" w:space="0" w:color="000000"/>
              <w:bottom w:val="single" w:sz="4" w:space="0" w:color="000000"/>
              <w:right w:val="single" w:sz="4" w:space="0" w:color="000000"/>
            </w:tcBorders>
            <w:vAlign w:val="center"/>
          </w:tcPr>
          <w:p w14:paraId="4A70332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Proseste kullanılan sıvıların giriş ve çıkış oluklarının kapatılması</w:t>
            </w:r>
          </w:p>
        </w:tc>
        <w:tc>
          <w:tcPr>
            <w:tcW w:w="4127" w:type="dxa"/>
            <w:tcBorders>
              <w:top w:val="single" w:sz="4" w:space="0" w:color="000000"/>
              <w:left w:val="single" w:sz="4" w:space="0" w:color="000000"/>
              <w:bottom w:val="single" w:sz="4" w:space="0" w:color="000000"/>
              <w:right w:val="single" w:sz="4" w:space="0" w:color="000000"/>
            </w:tcBorders>
            <w:vAlign w:val="center"/>
          </w:tcPr>
          <w:p w14:paraId="4D665A8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49E118C0"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5252BEA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4278" w:type="dxa"/>
            <w:tcBorders>
              <w:top w:val="single" w:sz="4" w:space="0" w:color="000000"/>
              <w:left w:val="single" w:sz="4" w:space="0" w:color="000000"/>
              <w:bottom w:val="single" w:sz="4" w:space="0" w:color="000000"/>
              <w:right w:val="single" w:sz="4" w:space="0" w:color="000000"/>
            </w:tcBorders>
            <w:vAlign w:val="center"/>
          </w:tcPr>
          <w:p w14:paraId="4B67E0D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Tankların, merkezi hava akımlı mekanik azaltım sistemine veya tek bir tank azaltım sistemine bağlanması</w:t>
            </w:r>
          </w:p>
        </w:tc>
        <w:tc>
          <w:tcPr>
            <w:tcW w:w="4127" w:type="dxa"/>
            <w:tcBorders>
              <w:top w:val="single" w:sz="4" w:space="0" w:color="000000"/>
              <w:left w:val="single" w:sz="4" w:space="0" w:color="000000"/>
              <w:bottom w:val="single" w:sz="4" w:space="0" w:color="000000"/>
              <w:right w:val="single" w:sz="4" w:space="0" w:color="000000"/>
            </w:tcBorders>
            <w:vAlign w:val="center"/>
          </w:tcPr>
          <w:p w14:paraId="6B2A1E8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207B43F7"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3CFFE82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4278" w:type="dxa"/>
            <w:tcBorders>
              <w:top w:val="single" w:sz="4" w:space="0" w:color="000000"/>
              <w:left w:val="single" w:sz="4" w:space="0" w:color="000000"/>
              <w:bottom w:val="single" w:sz="4" w:space="0" w:color="000000"/>
              <w:right w:val="single" w:sz="4" w:space="0" w:color="000000"/>
            </w:tcBorders>
            <w:vAlign w:val="center"/>
          </w:tcPr>
          <w:p w14:paraId="407A97F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Vakum filtrelerinin, davlumbazlar ile kapatılıp bir azaltım sistemine bağlanması</w:t>
            </w:r>
          </w:p>
        </w:tc>
        <w:tc>
          <w:tcPr>
            <w:tcW w:w="4127" w:type="dxa"/>
            <w:tcBorders>
              <w:top w:val="single" w:sz="4" w:space="0" w:color="000000"/>
              <w:left w:val="single" w:sz="4" w:space="0" w:color="000000"/>
              <w:bottom w:val="single" w:sz="4" w:space="0" w:color="000000"/>
              <w:right w:val="single" w:sz="4" w:space="0" w:color="000000"/>
            </w:tcBorders>
            <w:vAlign w:val="center"/>
          </w:tcPr>
          <w:p w14:paraId="3A245FC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liç ve katı-sıvı ayırma aşamalarındaki sıcak suyun filtrasyonunda uygulanabilir</w:t>
            </w:r>
          </w:p>
        </w:tc>
      </w:tr>
    </w:tbl>
    <w:p w14:paraId="33EB1912" w14:textId="77777777" w:rsidR="00374C56" w:rsidRPr="00D53A2B" w:rsidRDefault="00374C56" w:rsidP="00A202FD">
      <w:pPr>
        <w:jc w:val="both"/>
      </w:pPr>
    </w:p>
    <w:p w14:paraId="3B4CCFA2" w14:textId="30A8FDC3" w:rsidR="00374C56" w:rsidRPr="00D53A2B" w:rsidRDefault="000A48EC" w:rsidP="00A202FD">
      <w:pPr>
        <w:pStyle w:val="MET"/>
        <w:rPr>
          <w:szCs w:val="24"/>
        </w:rPr>
      </w:pPr>
      <w:r w:rsidRPr="00D53A2B">
        <w:rPr>
          <w:szCs w:val="24"/>
        </w:rPr>
        <w:t xml:space="preserve">MET 112: </w:t>
      </w:r>
      <w:r w:rsidR="00701FB4" w:rsidRPr="00D53A2B">
        <w:rPr>
          <w:b w:val="0"/>
          <w:bCs/>
          <w:szCs w:val="24"/>
        </w:rPr>
        <w:t>Elektrolitik ayırma işleminden kaynaklanan ve havaya salınan yayılı emisyonların azaltılması için kullanılan MET</w:t>
      </w:r>
      <w:r w:rsidR="007D6F3E" w:rsidRPr="00D53A2B">
        <w:rPr>
          <w:b w:val="0"/>
          <w:bCs/>
          <w:szCs w:val="24"/>
        </w:rPr>
        <w:t>,</w:t>
      </w:r>
      <w:r w:rsidR="00701FB4" w:rsidRPr="00D53A2B">
        <w:rPr>
          <w:b w:val="0"/>
          <w:bCs/>
          <w:szCs w:val="24"/>
        </w:rPr>
        <w:t xml:space="preserve"> elektrolitik ayırma hücrelerinde katkı maddeleri, özellikle de köpürtücü maddeler kullanılmasıdır.</w:t>
      </w:r>
    </w:p>
    <w:p w14:paraId="6EAA710C" w14:textId="77777777" w:rsidR="00701FB4" w:rsidRPr="00D53A2B" w:rsidRDefault="00701FB4" w:rsidP="00A202FD">
      <w:pPr>
        <w:pStyle w:val="MET"/>
        <w:rPr>
          <w:szCs w:val="24"/>
        </w:rPr>
      </w:pPr>
    </w:p>
    <w:p w14:paraId="0CC6580A" w14:textId="6B8957FC" w:rsidR="00374C56" w:rsidRPr="00D53A2B" w:rsidRDefault="00701FB4" w:rsidP="00A202FD">
      <w:pPr>
        <w:pStyle w:val="Balk7"/>
        <w:jc w:val="both"/>
        <w:rPr>
          <w:rFonts w:cs="Times New Roman"/>
          <w:szCs w:val="24"/>
        </w:rPr>
      </w:pPr>
      <w:r w:rsidRPr="00D53A2B">
        <w:rPr>
          <w:rFonts w:cs="Times New Roman"/>
          <w:szCs w:val="24"/>
        </w:rPr>
        <w:t>1.</w:t>
      </w:r>
      <w:r w:rsidR="00374C56" w:rsidRPr="00D53A2B">
        <w:rPr>
          <w:rFonts w:cs="Times New Roman"/>
          <w:szCs w:val="24"/>
        </w:rPr>
        <w:t>5.1.1.2.2.</w:t>
      </w:r>
      <w:r w:rsidRPr="00D53A2B">
        <w:rPr>
          <w:rFonts w:cs="Times New Roman"/>
          <w:szCs w:val="24"/>
        </w:rPr>
        <w:t xml:space="preserve"> Baca gazı</w:t>
      </w:r>
      <w:r w:rsidR="00374C56" w:rsidRPr="00D53A2B">
        <w:rPr>
          <w:rFonts w:cs="Times New Roman"/>
          <w:szCs w:val="24"/>
        </w:rPr>
        <w:t xml:space="preserve"> emisyonlar</w:t>
      </w:r>
      <w:r w:rsidRPr="00D53A2B">
        <w:rPr>
          <w:rFonts w:cs="Times New Roman"/>
          <w:szCs w:val="24"/>
        </w:rPr>
        <w:t>ı</w:t>
      </w:r>
    </w:p>
    <w:p w14:paraId="302C3779" w14:textId="07D84F05" w:rsidR="00374C56" w:rsidRPr="00D53A2B" w:rsidRDefault="000A48EC" w:rsidP="00A202FD">
      <w:pPr>
        <w:spacing w:after="240"/>
        <w:jc w:val="both"/>
        <w:rPr>
          <w:b/>
          <w:lang w:eastAsia="en-US"/>
        </w:rPr>
      </w:pPr>
      <w:r w:rsidRPr="00D53A2B">
        <w:rPr>
          <w:b/>
          <w:lang w:eastAsia="en-US"/>
        </w:rPr>
        <w:t>MET 113:</w:t>
      </w:r>
      <w:r w:rsidR="00374C56" w:rsidRPr="00D53A2B">
        <w:rPr>
          <w:b/>
          <w:lang w:eastAsia="en-US"/>
        </w:rPr>
        <w:t xml:space="preserve"> </w:t>
      </w:r>
      <w:r w:rsidR="00374C56" w:rsidRPr="00D53A2B">
        <w:rPr>
          <w:bCs/>
          <w:lang w:eastAsia="en-US"/>
        </w:rPr>
        <w:t>Hammaddelerin taşınması ve depolanması, kuru kavurucu besleme malzemesinin hazırlanması, kavurucunun beslenmesi ve kalsinasyon proseslerinden kaynaklanan ve havaya salınan toz ve metal emisyonlarının azaltılması için bir torba filtrenin kullanılır.</w:t>
      </w:r>
    </w:p>
    <w:p w14:paraId="2B58ED82" w14:textId="77777777" w:rsidR="00374C56" w:rsidRPr="00D53A2B" w:rsidRDefault="00374C56" w:rsidP="00A202FD">
      <w:pPr>
        <w:spacing w:before="240" w:after="240"/>
        <w:jc w:val="both"/>
        <w:rPr>
          <w:lang w:eastAsia="en-US"/>
        </w:rPr>
      </w:pPr>
      <w:r w:rsidRPr="00D53A2B">
        <w:rPr>
          <w:b/>
          <w:lang w:eastAsia="en-US"/>
        </w:rPr>
        <w:t>MET ile ilişkili emisyon seviyeleri:</w:t>
      </w:r>
      <w:r w:rsidRPr="00D53A2B">
        <w:rPr>
          <w:lang w:eastAsia="en-US"/>
        </w:rPr>
        <w:t xml:space="preserve"> bkz. Tablo 29.</w:t>
      </w:r>
    </w:p>
    <w:p w14:paraId="5941A69F" w14:textId="77777777" w:rsidR="001023C7" w:rsidRPr="00D53A2B" w:rsidRDefault="00374C56" w:rsidP="00A202FD">
      <w:pPr>
        <w:spacing w:before="120" w:after="120"/>
        <w:jc w:val="both"/>
        <w:rPr>
          <w:bCs/>
          <w:iCs/>
          <w:spacing w:val="2"/>
          <w:lang w:eastAsia="en-US"/>
        </w:rPr>
      </w:pPr>
      <w:bookmarkStart w:id="107" w:name="_Toc527941347"/>
      <w:bookmarkStart w:id="108" w:name="_Toc531927970"/>
      <w:r w:rsidRPr="00D53A2B">
        <w:rPr>
          <w:bCs/>
          <w:iCs/>
          <w:spacing w:val="2"/>
          <w:lang w:eastAsia="en-US"/>
        </w:rPr>
        <w:t xml:space="preserve">Tablo </w:t>
      </w:r>
      <w:r w:rsidRPr="00D53A2B">
        <w:rPr>
          <w:bCs/>
          <w:iCs/>
          <w:noProof/>
          <w:spacing w:val="2"/>
          <w:lang w:eastAsia="en-US"/>
        </w:rPr>
        <w:t>29</w:t>
      </w:r>
    </w:p>
    <w:p w14:paraId="0D9C51D2" w14:textId="088108F7" w:rsidR="00374C56" w:rsidRPr="00D53A2B" w:rsidRDefault="00701FB4" w:rsidP="00A202FD">
      <w:pPr>
        <w:spacing w:before="120" w:after="120"/>
        <w:jc w:val="both"/>
        <w:rPr>
          <w:bCs/>
          <w:iCs/>
          <w:spacing w:val="2"/>
          <w:lang w:eastAsia="en-US"/>
        </w:rPr>
      </w:pPr>
      <w:r w:rsidRPr="00D53A2B">
        <w:rPr>
          <w:bCs/>
          <w:iCs/>
          <w:spacing w:val="2"/>
          <w:lang w:eastAsia="en-US"/>
        </w:rPr>
        <w:t xml:space="preserve">Hammaddelerin taşınması ve depolanması, kuru kavurucu besleme malzemesinin hazırlanması, kavurucunun beslenmesi ve </w:t>
      </w:r>
      <w:r w:rsidR="00374C56" w:rsidRPr="00D53A2B">
        <w:rPr>
          <w:bCs/>
          <w:iCs/>
          <w:spacing w:val="2"/>
          <w:lang w:eastAsia="en-US"/>
        </w:rPr>
        <w:t>kalsinasyon proseslerinden kaynaklanan ve havaya salınan toz emisyonları ile ilgili MET için emisyon seviyeleri</w:t>
      </w:r>
      <w:bookmarkEnd w:id="107"/>
      <w:bookmarkEnd w:id="108"/>
    </w:p>
    <w:tbl>
      <w:tblPr>
        <w:tblW w:w="8721" w:type="dxa"/>
        <w:tblInd w:w="5" w:type="dxa"/>
        <w:tblLayout w:type="fixed"/>
        <w:tblCellMar>
          <w:left w:w="0" w:type="dxa"/>
          <w:right w:w="0" w:type="dxa"/>
        </w:tblCellMar>
        <w:tblLook w:val="01E0" w:firstRow="1" w:lastRow="1" w:firstColumn="1" w:lastColumn="1" w:noHBand="0" w:noVBand="0"/>
      </w:tblPr>
      <w:tblGrid>
        <w:gridCol w:w="3937"/>
        <w:gridCol w:w="4784"/>
      </w:tblGrid>
      <w:tr w:rsidR="00374C56" w:rsidRPr="00D53A2B" w14:paraId="78D98D7C" w14:textId="77777777" w:rsidTr="00374C56">
        <w:trPr>
          <w:trHeight w:hRule="exact" w:val="240"/>
        </w:trPr>
        <w:tc>
          <w:tcPr>
            <w:tcW w:w="3937" w:type="dxa"/>
            <w:tcBorders>
              <w:top w:val="single" w:sz="4" w:space="0" w:color="000000"/>
              <w:left w:val="single" w:sz="4" w:space="0" w:color="000000"/>
              <w:bottom w:val="single" w:sz="4" w:space="0" w:color="000000"/>
              <w:right w:val="single" w:sz="4" w:space="0" w:color="000000"/>
            </w:tcBorders>
          </w:tcPr>
          <w:p w14:paraId="40FBA49B" w14:textId="77777777" w:rsidR="00374C56" w:rsidRPr="00D53A2B" w:rsidRDefault="00374C56" w:rsidP="00A202FD">
            <w:pPr>
              <w:spacing w:after="240"/>
              <w:ind w:left="113" w:right="113"/>
              <w:jc w:val="both"/>
              <w:rPr>
                <w:lang w:eastAsia="en-US"/>
              </w:rPr>
            </w:pPr>
            <w:r w:rsidRPr="00D53A2B">
              <w:rPr>
                <w:b/>
                <w:bCs/>
                <w:lang w:eastAsia="en-US"/>
              </w:rPr>
              <w:t>Parametre</w:t>
            </w:r>
          </w:p>
        </w:tc>
        <w:tc>
          <w:tcPr>
            <w:tcW w:w="4784" w:type="dxa"/>
            <w:tcBorders>
              <w:top w:val="single" w:sz="4" w:space="0" w:color="000000"/>
              <w:left w:val="single" w:sz="4" w:space="0" w:color="000000"/>
              <w:bottom w:val="single" w:sz="4" w:space="0" w:color="000000"/>
              <w:right w:val="single" w:sz="4" w:space="0" w:color="000000"/>
            </w:tcBorders>
          </w:tcPr>
          <w:p w14:paraId="10E69472" w14:textId="77777777" w:rsidR="00374C56" w:rsidRPr="00D53A2B" w:rsidRDefault="00374C56" w:rsidP="00A202FD">
            <w:pPr>
              <w:spacing w:after="240"/>
              <w:ind w:left="113" w:right="113"/>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xml:space="preserve">) </w:t>
            </w:r>
            <w:r w:rsidRPr="00D53A2B">
              <w:rPr>
                <w:b/>
                <w:bCs/>
                <w:vertAlign w:val="superscript"/>
                <w:lang w:eastAsia="en-US"/>
              </w:rPr>
              <w:t>(1)</w:t>
            </w:r>
          </w:p>
        </w:tc>
      </w:tr>
      <w:tr w:rsidR="00374C56" w:rsidRPr="00D53A2B" w14:paraId="12D35D6B" w14:textId="77777777" w:rsidTr="00374C56">
        <w:trPr>
          <w:trHeight w:hRule="exact" w:val="240"/>
        </w:trPr>
        <w:tc>
          <w:tcPr>
            <w:tcW w:w="3937" w:type="dxa"/>
            <w:tcBorders>
              <w:top w:val="single" w:sz="4" w:space="0" w:color="000000"/>
              <w:left w:val="single" w:sz="4" w:space="0" w:color="000000"/>
              <w:bottom w:val="single" w:sz="4" w:space="0" w:color="000000"/>
              <w:right w:val="single" w:sz="4" w:space="0" w:color="000000"/>
            </w:tcBorders>
          </w:tcPr>
          <w:p w14:paraId="4D15D777" w14:textId="77777777" w:rsidR="00374C56" w:rsidRPr="00D53A2B" w:rsidRDefault="00374C56" w:rsidP="00A202FD">
            <w:pPr>
              <w:spacing w:after="240"/>
              <w:ind w:left="113" w:right="113"/>
              <w:jc w:val="both"/>
              <w:rPr>
                <w:lang w:eastAsia="en-US"/>
              </w:rPr>
            </w:pPr>
            <w:r w:rsidRPr="00D53A2B">
              <w:rPr>
                <w:lang w:eastAsia="en-US"/>
              </w:rPr>
              <w:t>Toz</w:t>
            </w:r>
          </w:p>
        </w:tc>
        <w:tc>
          <w:tcPr>
            <w:tcW w:w="4784" w:type="dxa"/>
            <w:tcBorders>
              <w:top w:val="single" w:sz="4" w:space="0" w:color="000000"/>
              <w:left w:val="single" w:sz="4" w:space="0" w:color="000000"/>
              <w:bottom w:val="single" w:sz="4" w:space="0" w:color="000000"/>
              <w:right w:val="single" w:sz="4" w:space="0" w:color="000000"/>
            </w:tcBorders>
          </w:tcPr>
          <w:p w14:paraId="59F7CF2A" w14:textId="77777777" w:rsidR="00374C56" w:rsidRPr="00D53A2B" w:rsidRDefault="00374C56" w:rsidP="00A202FD">
            <w:pPr>
              <w:spacing w:after="240"/>
              <w:ind w:left="113" w:right="113"/>
              <w:jc w:val="both"/>
              <w:rPr>
                <w:lang w:eastAsia="en-US"/>
              </w:rPr>
            </w:pPr>
            <w:r w:rsidRPr="00D53A2B">
              <w:rPr>
                <w:lang w:eastAsia="en-US"/>
              </w:rPr>
              <w:t>≤ 5</w:t>
            </w:r>
          </w:p>
        </w:tc>
      </w:tr>
      <w:tr w:rsidR="00374C56" w:rsidRPr="00D53A2B" w14:paraId="72FD8BBD" w14:textId="77777777" w:rsidTr="00374C56">
        <w:trPr>
          <w:trHeight w:hRule="exact" w:val="277"/>
        </w:trPr>
        <w:tc>
          <w:tcPr>
            <w:tcW w:w="8721" w:type="dxa"/>
            <w:gridSpan w:val="2"/>
            <w:tcBorders>
              <w:top w:val="single" w:sz="4" w:space="0" w:color="000000"/>
              <w:left w:val="single" w:sz="4" w:space="0" w:color="000000"/>
              <w:bottom w:val="single" w:sz="4" w:space="0" w:color="000000"/>
              <w:right w:val="single" w:sz="4" w:space="0" w:color="000000"/>
            </w:tcBorders>
          </w:tcPr>
          <w:p w14:paraId="51B39F92" w14:textId="77777777" w:rsidR="00374C56" w:rsidRPr="009077F5" w:rsidRDefault="00374C56" w:rsidP="00A202FD">
            <w:pPr>
              <w:spacing w:after="240"/>
              <w:ind w:left="113" w:right="113"/>
              <w:jc w:val="both"/>
              <w:rPr>
                <w:sz w:val="20"/>
                <w:szCs w:val="20"/>
                <w:lang w:eastAsia="en-US"/>
              </w:rPr>
            </w:pPr>
            <w:r w:rsidRPr="009077F5">
              <w:rPr>
                <w:sz w:val="20"/>
                <w:szCs w:val="20"/>
                <w:lang w:eastAsia="en-US"/>
              </w:rPr>
              <w:t>(</w:t>
            </w:r>
            <w:r w:rsidRPr="009077F5">
              <w:rPr>
                <w:sz w:val="20"/>
                <w:szCs w:val="20"/>
                <w:vertAlign w:val="superscript"/>
                <w:lang w:eastAsia="en-US"/>
              </w:rPr>
              <w:t>1</w:t>
            </w:r>
            <w:r w:rsidRPr="009077F5">
              <w:rPr>
                <w:sz w:val="20"/>
                <w:szCs w:val="20"/>
                <w:lang w:eastAsia="en-US"/>
              </w:rPr>
              <w:t>) Örnekleme boyunca alınan değerlerin ortalaması</w:t>
            </w:r>
          </w:p>
        </w:tc>
      </w:tr>
    </w:tbl>
    <w:p w14:paraId="03E6BA7D" w14:textId="731A5ED1"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458D0562" w14:textId="3E805ED2" w:rsidR="00374C56" w:rsidRPr="00D53A2B" w:rsidRDefault="000A48EC" w:rsidP="00A202FD">
      <w:pPr>
        <w:spacing w:after="240"/>
        <w:jc w:val="both"/>
        <w:rPr>
          <w:b/>
          <w:lang w:eastAsia="en-US"/>
        </w:rPr>
      </w:pPr>
      <w:r w:rsidRPr="00D53A2B">
        <w:rPr>
          <w:b/>
          <w:lang w:eastAsia="en-US"/>
        </w:rPr>
        <w:t>MET 114:</w:t>
      </w:r>
      <w:r w:rsidR="00374C56" w:rsidRPr="00D53A2B">
        <w:rPr>
          <w:b/>
          <w:lang w:eastAsia="en-US"/>
        </w:rPr>
        <w:t xml:space="preserve"> </w:t>
      </w:r>
      <w:r w:rsidR="00374C56" w:rsidRPr="00D53A2B">
        <w:rPr>
          <w:bCs/>
          <w:lang w:eastAsia="en-US"/>
        </w:rPr>
        <w:t>Liç, saflaştırma ve elektrolizten kaynaklanan çinko ve sülfürik asit emisyonlarının ve saflaştırmadan kaynaklanan, arsin ve stibin emisyonlarının azaltılması için aşağıda verilen tekniklerden birinin veya bunların bir kombinasyonu kullanılır.</w:t>
      </w:r>
    </w:p>
    <w:tbl>
      <w:tblPr>
        <w:tblW w:w="8721" w:type="dxa"/>
        <w:tblInd w:w="5" w:type="dxa"/>
        <w:tblLayout w:type="fixed"/>
        <w:tblCellMar>
          <w:left w:w="0" w:type="dxa"/>
          <w:right w:w="0" w:type="dxa"/>
        </w:tblCellMar>
        <w:tblLook w:val="01E0" w:firstRow="1" w:lastRow="1" w:firstColumn="1" w:lastColumn="1" w:noHBand="0" w:noVBand="0"/>
      </w:tblPr>
      <w:tblGrid>
        <w:gridCol w:w="437"/>
        <w:gridCol w:w="8284"/>
      </w:tblGrid>
      <w:tr w:rsidR="00374C56" w:rsidRPr="00D53A2B" w14:paraId="7F9B6432" w14:textId="77777777" w:rsidTr="00374C56">
        <w:trPr>
          <w:trHeight w:hRule="exact" w:val="240"/>
        </w:trPr>
        <w:tc>
          <w:tcPr>
            <w:tcW w:w="437" w:type="dxa"/>
            <w:tcBorders>
              <w:top w:val="single" w:sz="4" w:space="0" w:color="000000"/>
              <w:left w:val="single" w:sz="4" w:space="0" w:color="000000"/>
              <w:bottom w:val="single" w:sz="4" w:space="0" w:color="000000"/>
              <w:right w:val="single" w:sz="4" w:space="0" w:color="000000"/>
            </w:tcBorders>
          </w:tcPr>
          <w:p w14:paraId="4E144E60" w14:textId="77777777" w:rsidR="00374C56" w:rsidRPr="00D53A2B" w:rsidRDefault="00374C56" w:rsidP="00A202FD">
            <w:pPr>
              <w:ind w:left="113" w:right="113"/>
              <w:jc w:val="both"/>
              <w:rPr>
                <w:lang w:eastAsia="en-US"/>
              </w:rPr>
            </w:pPr>
          </w:p>
        </w:tc>
        <w:tc>
          <w:tcPr>
            <w:tcW w:w="8284" w:type="dxa"/>
            <w:tcBorders>
              <w:top w:val="single" w:sz="4" w:space="0" w:color="000000"/>
              <w:left w:val="single" w:sz="4" w:space="0" w:color="000000"/>
              <w:bottom w:val="single" w:sz="4" w:space="0" w:color="000000"/>
              <w:right w:val="single" w:sz="4" w:space="0" w:color="000000"/>
            </w:tcBorders>
          </w:tcPr>
          <w:p w14:paraId="7C0FA78A" w14:textId="77777777" w:rsidR="00374C56" w:rsidRPr="00D53A2B" w:rsidRDefault="00374C56" w:rsidP="00A202FD">
            <w:pPr>
              <w:ind w:left="113" w:right="113"/>
              <w:jc w:val="both"/>
              <w:rPr>
                <w:lang w:eastAsia="en-US"/>
              </w:rPr>
            </w:pPr>
            <w:r w:rsidRPr="00D53A2B">
              <w:rPr>
                <w:b/>
                <w:bCs/>
                <w:lang w:eastAsia="en-US"/>
              </w:rPr>
              <w:t xml:space="preserve">Teknik </w:t>
            </w:r>
            <w:r w:rsidRPr="00D53A2B">
              <w:rPr>
                <w:b/>
                <w:bCs/>
                <w:vertAlign w:val="superscript"/>
                <w:lang w:eastAsia="en-US"/>
              </w:rPr>
              <w:t>(1)</w:t>
            </w:r>
          </w:p>
        </w:tc>
      </w:tr>
      <w:tr w:rsidR="00374C56" w:rsidRPr="00D53A2B" w14:paraId="3A1F778D" w14:textId="77777777" w:rsidTr="00374C56">
        <w:trPr>
          <w:trHeight w:hRule="exact" w:val="240"/>
        </w:trPr>
        <w:tc>
          <w:tcPr>
            <w:tcW w:w="437" w:type="dxa"/>
            <w:tcBorders>
              <w:top w:val="single" w:sz="4" w:space="0" w:color="000000"/>
              <w:left w:val="single" w:sz="4" w:space="0" w:color="000000"/>
              <w:bottom w:val="single" w:sz="4" w:space="0" w:color="000000"/>
              <w:right w:val="single" w:sz="4" w:space="0" w:color="000000"/>
            </w:tcBorders>
          </w:tcPr>
          <w:p w14:paraId="075FD72A" w14:textId="77777777" w:rsidR="00374C56" w:rsidRPr="00D53A2B" w:rsidRDefault="00374C56" w:rsidP="00A202FD">
            <w:pPr>
              <w:ind w:left="113" w:right="113"/>
              <w:jc w:val="both"/>
              <w:rPr>
                <w:lang w:eastAsia="en-US"/>
              </w:rPr>
            </w:pPr>
            <w:r w:rsidRPr="00D53A2B">
              <w:rPr>
                <w:lang w:eastAsia="en-US"/>
              </w:rPr>
              <w:t>a</w:t>
            </w:r>
          </w:p>
        </w:tc>
        <w:tc>
          <w:tcPr>
            <w:tcW w:w="8284" w:type="dxa"/>
            <w:tcBorders>
              <w:top w:val="single" w:sz="4" w:space="0" w:color="000000"/>
              <w:left w:val="single" w:sz="4" w:space="0" w:color="000000"/>
              <w:bottom w:val="single" w:sz="4" w:space="0" w:color="000000"/>
              <w:right w:val="single" w:sz="4" w:space="0" w:color="000000"/>
            </w:tcBorders>
          </w:tcPr>
          <w:p w14:paraId="02CE299F" w14:textId="4C4432BF" w:rsidR="00374C56" w:rsidRPr="00D53A2B" w:rsidRDefault="00374C56" w:rsidP="00A202FD">
            <w:pPr>
              <w:ind w:left="113" w:right="113"/>
              <w:jc w:val="both"/>
              <w:rPr>
                <w:lang w:eastAsia="en-US"/>
              </w:rPr>
            </w:pPr>
            <w:r w:rsidRPr="00D53A2B">
              <w:rPr>
                <w:lang w:eastAsia="en-US"/>
              </w:rPr>
              <w:t xml:space="preserve">Islak </w:t>
            </w:r>
            <w:r w:rsidR="00701FB4" w:rsidRPr="00D53A2B">
              <w:rPr>
                <w:lang w:eastAsia="en-US"/>
              </w:rPr>
              <w:t>yıkama</w:t>
            </w:r>
            <w:r w:rsidRPr="00D53A2B">
              <w:rPr>
                <w:lang w:eastAsia="en-US"/>
              </w:rPr>
              <w:t xml:space="preserve"> </w:t>
            </w:r>
          </w:p>
        </w:tc>
      </w:tr>
      <w:tr w:rsidR="00374C56" w:rsidRPr="00D53A2B" w14:paraId="0D16C7B6" w14:textId="77777777" w:rsidTr="00374C56">
        <w:trPr>
          <w:trHeight w:hRule="exact" w:val="240"/>
        </w:trPr>
        <w:tc>
          <w:tcPr>
            <w:tcW w:w="437" w:type="dxa"/>
            <w:tcBorders>
              <w:top w:val="single" w:sz="4" w:space="0" w:color="000000"/>
              <w:left w:val="single" w:sz="4" w:space="0" w:color="000000"/>
              <w:bottom w:val="single" w:sz="4" w:space="0" w:color="000000"/>
              <w:right w:val="single" w:sz="4" w:space="0" w:color="000000"/>
            </w:tcBorders>
          </w:tcPr>
          <w:p w14:paraId="643A3E4E" w14:textId="77777777" w:rsidR="00374C56" w:rsidRPr="00D53A2B" w:rsidRDefault="00374C56" w:rsidP="00A202FD">
            <w:pPr>
              <w:ind w:left="113" w:right="113"/>
              <w:jc w:val="both"/>
              <w:rPr>
                <w:lang w:eastAsia="en-US"/>
              </w:rPr>
            </w:pPr>
            <w:r w:rsidRPr="00D53A2B">
              <w:rPr>
                <w:lang w:eastAsia="en-US"/>
              </w:rPr>
              <w:t>b</w:t>
            </w:r>
          </w:p>
        </w:tc>
        <w:tc>
          <w:tcPr>
            <w:tcW w:w="8284" w:type="dxa"/>
            <w:tcBorders>
              <w:top w:val="single" w:sz="4" w:space="0" w:color="000000"/>
              <w:left w:val="single" w:sz="4" w:space="0" w:color="000000"/>
              <w:bottom w:val="single" w:sz="4" w:space="0" w:color="000000"/>
              <w:right w:val="single" w:sz="4" w:space="0" w:color="000000"/>
            </w:tcBorders>
          </w:tcPr>
          <w:p w14:paraId="29751E43" w14:textId="11C65BC4" w:rsidR="00374C56" w:rsidRPr="00D53A2B" w:rsidRDefault="00374C56" w:rsidP="00A202FD">
            <w:pPr>
              <w:ind w:left="113" w:right="113"/>
              <w:jc w:val="both"/>
              <w:rPr>
                <w:lang w:eastAsia="en-US"/>
              </w:rPr>
            </w:pPr>
            <w:r w:rsidRPr="00D53A2B">
              <w:rPr>
                <w:lang w:eastAsia="en-US"/>
              </w:rPr>
              <w:t xml:space="preserve">Buğu giderici </w:t>
            </w:r>
          </w:p>
        </w:tc>
      </w:tr>
      <w:tr w:rsidR="00374C56" w:rsidRPr="00D53A2B" w14:paraId="44A6C7CF" w14:textId="77777777" w:rsidTr="00374C56">
        <w:trPr>
          <w:trHeight w:hRule="exact" w:val="240"/>
        </w:trPr>
        <w:tc>
          <w:tcPr>
            <w:tcW w:w="437" w:type="dxa"/>
            <w:tcBorders>
              <w:top w:val="single" w:sz="4" w:space="0" w:color="000000"/>
              <w:left w:val="single" w:sz="4" w:space="0" w:color="000000"/>
              <w:bottom w:val="single" w:sz="4" w:space="0" w:color="000000"/>
              <w:right w:val="single" w:sz="4" w:space="0" w:color="000000"/>
            </w:tcBorders>
          </w:tcPr>
          <w:p w14:paraId="3DF83CA7" w14:textId="77777777" w:rsidR="00374C56" w:rsidRPr="00D53A2B" w:rsidRDefault="00374C56" w:rsidP="00A202FD">
            <w:pPr>
              <w:ind w:left="113" w:right="113"/>
              <w:jc w:val="both"/>
              <w:rPr>
                <w:lang w:eastAsia="en-US"/>
              </w:rPr>
            </w:pPr>
            <w:r w:rsidRPr="00D53A2B">
              <w:rPr>
                <w:lang w:eastAsia="en-US"/>
              </w:rPr>
              <w:t>c</w:t>
            </w:r>
          </w:p>
        </w:tc>
        <w:tc>
          <w:tcPr>
            <w:tcW w:w="8284" w:type="dxa"/>
            <w:tcBorders>
              <w:top w:val="single" w:sz="4" w:space="0" w:color="000000"/>
              <w:left w:val="single" w:sz="4" w:space="0" w:color="000000"/>
              <w:bottom w:val="single" w:sz="4" w:space="0" w:color="000000"/>
              <w:right w:val="single" w:sz="4" w:space="0" w:color="000000"/>
            </w:tcBorders>
          </w:tcPr>
          <w:p w14:paraId="773B9A99" w14:textId="77777777" w:rsidR="00374C56" w:rsidRPr="00D53A2B" w:rsidRDefault="00374C56" w:rsidP="00A202FD">
            <w:pPr>
              <w:ind w:left="113" w:right="113"/>
              <w:jc w:val="both"/>
              <w:rPr>
                <w:lang w:eastAsia="en-US"/>
              </w:rPr>
            </w:pPr>
            <w:r w:rsidRPr="00D53A2B">
              <w:rPr>
                <w:lang w:eastAsia="en-US"/>
              </w:rPr>
              <w:t>Santrifüj sistemi</w:t>
            </w:r>
          </w:p>
        </w:tc>
      </w:tr>
      <w:tr w:rsidR="00374C56" w:rsidRPr="00D53A2B" w14:paraId="7C07298C" w14:textId="77777777" w:rsidTr="00374C56">
        <w:trPr>
          <w:trHeight w:hRule="exact" w:val="262"/>
        </w:trPr>
        <w:tc>
          <w:tcPr>
            <w:tcW w:w="8721" w:type="dxa"/>
            <w:gridSpan w:val="2"/>
            <w:tcBorders>
              <w:top w:val="single" w:sz="4" w:space="0" w:color="000000"/>
              <w:left w:val="single" w:sz="4" w:space="0" w:color="000000"/>
              <w:bottom w:val="single" w:sz="4" w:space="0" w:color="000000"/>
              <w:right w:val="single" w:sz="4" w:space="0" w:color="000000"/>
            </w:tcBorders>
          </w:tcPr>
          <w:p w14:paraId="4D4C1D26" w14:textId="043860C8" w:rsidR="00374C56" w:rsidRPr="009077F5" w:rsidRDefault="00374C56" w:rsidP="00A202FD">
            <w:pPr>
              <w:ind w:left="127" w:right="113"/>
              <w:jc w:val="both"/>
              <w:rPr>
                <w:sz w:val="20"/>
                <w:szCs w:val="20"/>
                <w:lang w:eastAsia="en-US"/>
              </w:rPr>
            </w:pPr>
            <w:r w:rsidRPr="009077F5">
              <w:rPr>
                <w:sz w:val="20"/>
                <w:szCs w:val="20"/>
                <w:lang w:eastAsia="en-US"/>
              </w:rPr>
              <w:t>(1) Tekniklerin açıklamaları Bölüm 1.10</w:t>
            </w:r>
            <w:r w:rsidR="00E56504" w:rsidRPr="009077F5">
              <w:rPr>
                <w:sz w:val="20"/>
                <w:szCs w:val="20"/>
                <w:lang w:eastAsia="en-US"/>
              </w:rPr>
              <w:t>’</w:t>
            </w:r>
            <w:r w:rsidRPr="009077F5">
              <w:rPr>
                <w:sz w:val="20"/>
                <w:szCs w:val="20"/>
                <w:lang w:eastAsia="en-US"/>
              </w:rPr>
              <w:t>da verilmiştir.</w:t>
            </w:r>
          </w:p>
        </w:tc>
      </w:tr>
    </w:tbl>
    <w:p w14:paraId="39D1CB88" w14:textId="77777777" w:rsidR="00374C56" w:rsidRPr="00D53A2B" w:rsidRDefault="00374C56" w:rsidP="00A202FD">
      <w:pPr>
        <w:jc w:val="both"/>
        <w:rPr>
          <w:b/>
          <w:lang w:eastAsia="en-US"/>
        </w:rPr>
      </w:pPr>
    </w:p>
    <w:p w14:paraId="4079FAFF" w14:textId="77777777" w:rsidR="00374C56" w:rsidRPr="00D53A2B" w:rsidRDefault="00374C56" w:rsidP="00A202FD">
      <w:pPr>
        <w:jc w:val="both"/>
        <w:rPr>
          <w:lang w:eastAsia="en-US"/>
        </w:rPr>
      </w:pPr>
      <w:r w:rsidRPr="00D53A2B">
        <w:rPr>
          <w:b/>
          <w:lang w:eastAsia="en-US"/>
        </w:rPr>
        <w:t xml:space="preserve">MET ile ilişkili emisyon seviyeleri: </w:t>
      </w:r>
      <w:r w:rsidRPr="00D53A2B">
        <w:rPr>
          <w:lang w:eastAsia="en-US"/>
        </w:rPr>
        <w:t>Bkz. Tablo 30.</w:t>
      </w:r>
    </w:p>
    <w:p w14:paraId="6F48E57F" w14:textId="77777777" w:rsidR="001023C7" w:rsidRPr="00D53A2B" w:rsidRDefault="00374C56" w:rsidP="00A202FD">
      <w:pPr>
        <w:jc w:val="both"/>
        <w:rPr>
          <w:bCs/>
          <w:iCs/>
          <w:spacing w:val="2"/>
          <w:lang w:eastAsia="en-US"/>
        </w:rPr>
      </w:pPr>
      <w:bookmarkStart w:id="109" w:name="_Toc527941348"/>
      <w:bookmarkStart w:id="110" w:name="_Toc531927971"/>
      <w:r w:rsidRPr="00D53A2B">
        <w:rPr>
          <w:bCs/>
          <w:iCs/>
          <w:spacing w:val="2"/>
          <w:lang w:eastAsia="en-US"/>
        </w:rPr>
        <w:t xml:space="preserve">Tablo </w:t>
      </w:r>
      <w:r w:rsidRPr="00D53A2B">
        <w:rPr>
          <w:bCs/>
          <w:iCs/>
          <w:noProof/>
          <w:spacing w:val="2"/>
          <w:lang w:eastAsia="en-US"/>
        </w:rPr>
        <w:t>30</w:t>
      </w:r>
    </w:p>
    <w:p w14:paraId="229ED344" w14:textId="5408C3B5" w:rsidR="00374C56" w:rsidRPr="00D53A2B" w:rsidRDefault="00374C56" w:rsidP="00A202FD">
      <w:pPr>
        <w:jc w:val="both"/>
        <w:rPr>
          <w:bCs/>
          <w:iCs/>
          <w:spacing w:val="2"/>
          <w:lang w:eastAsia="en-US"/>
        </w:rPr>
      </w:pPr>
      <w:r w:rsidRPr="00D53A2B">
        <w:rPr>
          <w:bCs/>
          <w:iCs/>
          <w:spacing w:val="2"/>
          <w:lang w:eastAsia="en-US"/>
        </w:rPr>
        <w:t>Liç, saflaştırma ve elektrolizten kaynaklanan çinko ve sülfürik asit emisyonlarının ve saflaştırmadan kaynaklanan arsin ve stibin emisyonları ile ilgili MET için emisyon seviyeleri</w:t>
      </w:r>
      <w:bookmarkEnd w:id="109"/>
      <w:bookmarkEnd w:id="110"/>
    </w:p>
    <w:tbl>
      <w:tblPr>
        <w:tblW w:w="0" w:type="auto"/>
        <w:tblInd w:w="5" w:type="dxa"/>
        <w:tblLayout w:type="fixed"/>
        <w:tblCellMar>
          <w:left w:w="0" w:type="dxa"/>
          <w:right w:w="0" w:type="dxa"/>
        </w:tblCellMar>
        <w:tblLook w:val="01E0" w:firstRow="1" w:lastRow="1" w:firstColumn="1" w:lastColumn="1" w:noHBand="0" w:noVBand="0"/>
      </w:tblPr>
      <w:tblGrid>
        <w:gridCol w:w="4220"/>
        <w:gridCol w:w="4501"/>
      </w:tblGrid>
      <w:tr w:rsidR="00374C56" w:rsidRPr="00D53A2B" w14:paraId="69415ED2" w14:textId="77777777" w:rsidTr="00374C56">
        <w:tc>
          <w:tcPr>
            <w:tcW w:w="4220" w:type="dxa"/>
            <w:tcBorders>
              <w:top w:val="single" w:sz="4" w:space="0" w:color="000000"/>
              <w:left w:val="single" w:sz="4" w:space="0" w:color="000000"/>
              <w:bottom w:val="single" w:sz="4" w:space="0" w:color="000000"/>
              <w:right w:val="single" w:sz="4" w:space="0" w:color="000000"/>
            </w:tcBorders>
          </w:tcPr>
          <w:p w14:paraId="421BAE3F"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4501" w:type="dxa"/>
            <w:tcBorders>
              <w:top w:val="single" w:sz="4" w:space="0" w:color="000000"/>
              <w:left w:val="single" w:sz="4" w:space="0" w:color="000000"/>
              <w:bottom w:val="single" w:sz="4" w:space="0" w:color="000000"/>
              <w:right w:val="single" w:sz="4" w:space="0" w:color="000000"/>
            </w:tcBorders>
          </w:tcPr>
          <w:p w14:paraId="3AF878D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w:t>
            </w:r>
            <w:r w:rsidRPr="00D53A2B">
              <w:rPr>
                <w:b/>
                <w:bCs/>
                <w:sz w:val="22"/>
                <w:szCs w:val="22"/>
                <w:vertAlign w:val="superscript"/>
                <w:lang w:eastAsia="en-US"/>
              </w:rPr>
              <w:t>1</w:t>
            </w:r>
            <w:r w:rsidRPr="00D53A2B">
              <w:rPr>
                <w:b/>
                <w:bCs/>
                <w:sz w:val="22"/>
                <w:szCs w:val="22"/>
                <w:lang w:eastAsia="en-US"/>
              </w:rPr>
              <w:t>)</w:t>
            </w:r>
          </w:p>
        </w:tc>
      </w:tr>
      <w:tr w:rsidR="00374C56" w:rsidRPr="00D53A2B" w14:paraId="6D47E6CD" w14:textId="77777777" w:rsidTr="00374C56">
        <w:tc>
          <w:tcPr>
            <w:tcW w:w="4220" w:type="dxa"/>
            <w:tcBorders>
              <w:top w:val="single" w:sz="4" w:space="0" w:color="000000"/>
              <w:left w:val="single" w:sz="4" w:space="0" w:color="000000"/>
              <w:bottom w:val="single" w:sz="4" w:space="0" w:color="000000"/>
              <w:right w:val="single" w:sz="4" w:space="0" w:color="000000"/>
            </w:tcBorders>
          </w:tcPr>
          <w:p w14:paraId="0BDF826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Zn</w:t>
            </w:r>
          </w:p>
        </w:tc>
        <w:tc>
          <w:tcPr>
            <w:tcW w:w="4501" w:type="dxa"/>
            <w:tcBorders>
              <w:top w:val="single" w:sz="4" w:space="0" w:color="000000"/>
              <w:left w:val="single" w:sz="4" w:space="0" w:color="000000"/>
              <w:bottom w:val="single" w:sz="4" w:space="0" w:color="000000"/>
              <w:right w:val="single" w:sz="4" w:space="0" w:color="000000"/>
            </w:tcBorders>
          </w:tcPr>
          <w:p w14:paraId="189A29F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1</w:t>
            </w:r>
          </w:p>
        </w:tc>
      </w:tr>
      <w:tr w:rsidR="00374C56" w:rsidRPr="00D53A2B" w14:paraId="3DA115AF" w14:textId="77777777" w:rsidTr="00374C56">
        <w:tc>
          <w:tcPr>
            <w:tcW w:w="4220" w:type="dxa"/>
            <w:tcBorders>
              <w:top w:val="single" w:sz="4" w:space="0" w:color="000000"/>
              <w:left w:val="single" w:sz="4" w:space="0" w:color="000000"/>
              <w:bottom w:val="single" w:sz="4" w:space="0" w:color="000000"/>
              <w:right w:val="single" w:sz="4" w:space="0" w:color="000000"/>
            </w:tcBorders>
          </w:tcPr>
          <w:p w14:paraId="7A6E480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w:t>
            </w:r>
            <w:r w:rsidRPr="00D53A2B">
              <w:rPr>
                <w:sz w:val="22"/>
                <w:szCs w:val="22"/>
                <w:vertAlign w:val="subscript"/>
                <w:lang w:eastAsia="en-US"/>
              </w:rPr>
              <w:t>2</w:t>
            </w:r>
            <w:r w:rsidRPr="00D53A2B">
              <w:rPr>
                <w:sz w:val="22"/>
                <w:szCs w:val="22"/>
                <w:lang w:eastAsia="en-US"/>
              </w:rPr>
              <w:t>SO</w:t>
            </w:r>
            <w:r w:rsidRPr="00D53A2B">
              <w:rPr>
                <w:sz w:val="22"/>
                <w:szCs w:val="22"/>
                <w:vertAlign w:val="subscript"/>
                <w:lang w:eastAsia="en-US"/>
              </w:rPr>
              <w:t>4</w:t>
            </w:r>
          </w:p>
        </w:tc>
        <w:tc>
          <w:tcPr>
            <w:tcW w:w="4501" w:type="dxa"/>
            <w:tcBorders>
              <w:top w:val="single" w:sz="4" w:space="0" w:color="000000"/>
              <w:left w:val="single" w:sz="4" w:space="0" w:color="000000"/>
              <w:bottom w:val="single" w:sz="4" w:space="0" w:color="000000"/>
              <w:right w:val="single" w:sz="4" w:space="0" w:color="000000"/>
            </w:tcBorders>
          </w:tcPr>
          <w:p w14:paraId="73CDEA4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&lt;10</w:t>
            </w:r>
          </w:p>
        </w:tc>
      </w:tr>
      <w:tr w:rsidR="00374C56" w:rsidRPr="00D53A2B" w14:paraId="3754B4F2" w14:textId="77777777" w:rsidTr="00374C56">
        <w:tc>
          <w:tcPr>
            <w:tcW w:w="4220" w:type="dxa"/>
            <w:tcBorders>
              <w:top w:val="single" w:sz="4" w:space="0" w:color="000000"/>
              <w:left w:val="single" w:sz="4" w:space="0" w:color="000000"/>
              <w:bottom w:val="single" w:sz="4" w:space="0" w:color="000000"/>
              <w:right w:val="single" w:sz="4" w:space="0" w:color="000000"/>
            </w:tcBorders>
          </w:tcPr>
          <w:p w14:paraId="67C9B27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AsH</w:t>
            </w:r>
            <w:r w:rsidRPr="00D53A2B">
              <w:rPr>
                <w:sz w:val="22"/>
                <w:szCs w:val="22"/>
                <w:vertAlign w:val="subscript"/>
                <w:lang w:eastAsia="en-US"/>
              </w:rPr>
              <w:t>3</w:t>
            </w:r>
            <w:r w:rsidRPr="00D53A2B">
              <w:rPr>
                <w:sz w:val="22"/>
                <w:szCs w:val="22"/>
                <w:lang w:eastAsia="en-US"/>
              </w:rPr>
              <w:t xml:space="preserve"> ve SbH</w:t>
            </w:r>
            <w:r w:rsidRPr="00D53A2B">
              <w:rPr>
                <w:sz w:val="22"/>
                <w:szCs w:val="22"/>
                <w:vertAlign w:val="subscript"/>
                <w:lang w:eastAsia="en-US"/>
              </w:rPr>
              <w:t>3</w:t>
            </w:r>
            <w:r w:rsidRPr="00D53A2B">
              <w:rPr>
                <w:sz w:val="22"/>
                <w:szCs w:val="22"/>
                <w:lang w:eastAsia="en-US"/>
              </w:rPr>
              <w:t xml:space="preserve"> toplamı</w:t>
            </w:r>
          </w:p>
        </w:tc>
        <w:tc>
          <w:tcPr>
            <w:tcW w:w="4501" w:type="dxa"/>
            <w:tcBorders>
              <w:top w:val="single" w:sz="4" w:space="0" w:color="000000"/>
              <w:left w:val="single" w:sz="4" w:space="0" w:color="000000"/>
              <w:bottom w:val="single" w:sz="4" w:space="0" w:color="000000"/>
              <w:right w:val="single" w:sz="4" w:space="0" w:color="000000"/>
            </w:tcBorders>
          </w:tcPr>
          <w:p w14:paraId="3FD05B8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0,5</w:t>
            </w:r>
          </w:p>
        </w:tc>
      </w:tr>
      <w:tr w:rsidR="00374C56" w:rsidRPr="00D53A2B" w14:paraId="09815FA6"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47AE6C6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1</w:t>
            </w:r>
            <w:r w:rsidRPr="00D53A2B">
              <w:rPr>
                <w:sz w:val="22"/>
                <w:szCs w:val="22"/>
                <w:lang w:eastAsia="en-US"/>
              </w:rPr>
              <w:t>) Örnekleme boyunca alınan değerlerin ortalaması</w:t>
            </w:r>
          </w:p>
        </w:tc>
      </w:tr>
    </w:tbl>
    <w:p w14:paraId="64124294" w14:textId="5D32720D"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2B91201A" w14:textId="1B3CCDDB" w:rsidR="00374C56" w:rsidRPr="00D53A2B" w:rsidRDefault="008B751F" w:rsidP="00A202FD">
      <w:pPr>
        <w:pStyle w:val="Balk5"/>
        <w:ind w:left="1134" w:hanging="1134"/>
        <w:rPr>
          <w:szCs w:val="24"/>
        </w:rPr>
      </w:pPr>
      <w:r w:rsidRPr="00D53A2B">
        <w:rPr>
          <w:szCs w:val="24"/>
        </w:rPr>
        <w:t>1.</w:t>
      </w:r>
      <w:r w:rsidR="00374C56" w:rsidRPr="00D53A2B">
        <w:rPr>
          <w:szCs w:val="24"/>
        </w:rPr>
        <w:t>5.1.1.3. Toprak ve yeraltısuyunun korunması</w:t>
      </w:r>
    </w:p>
    <w:p w14:paraId="35045A5F" w14:textId="5FD744CB" w:rsidR="008B751F" w:rsidRPr="00D53A2B" w:rsidRDefault="00374C56" w:rsidP="00A202FD">
      <w:pPr>
        <w:pStyle w:val="MET"/>
        <w:rPr>
          <w:szCs w:val="24"/>
        </w:rPr>
      </w:pPr>
      <w:r w:rsidRPr="00D53A2B">
        <w:rPr>
          <w:szCs w:val="24"/>
        </w:rPr>
        <w:t xml:space="preserve">MET </w:t>
      </w:r>
      <w:r w:rsidR="000A48EC" w:rsidRPr="00D53A2B">
        <w:rPr>
          <w:szCs w:val="24"/>
        </w:rPr>
        <w:t>115:</w:t>
      </w:r>
      <w:r w:rsidRPr="00D53A2B">
        <w:rPr>
          <w:szCs w:val="24"/>
        </w:rPr>
        <w:t xml:space="preserve"> </w:t>
      </w:r>
      <w:r w:rsidR="008B751F" w:rsidRPr="00D53A2B">
        <w:rPr>
          <w:b w:val="0"/>
          <w:bCs/>
          <w:szCs w:val="24"/>
        </w:rPr>
        <w:t>Toprak ve yeraltı suyu kirlenmesini önlemek için yıkama veya arıtma sırasında kullanılan tanklar için su geçirmez bir setle çevrili alan ve hücre evlerinin ikincil bir tutma sistemi kullan</w:t>
      </w:r>
      <w:r w:rsidR="007D6F3E" w:rsidRPr="00D53A2B">
        <w:rPr>
          <w:b w:val="0"/>
          <w:bCs/>
          <w:szCs w:val="24"/>
        </w:rPr>
        <w:t>ılı</w:t>
      </w:r>
      <w:r w:rsidR="008B751F" w:rsidRPr="00D53A2B">
        <w:rPr>
          <w:b w:val="0"/>
          <w:bCs/>
          <w:szCs w:val="24"/>
        </w:rPr>
        <w:t>r.</w:t>
      </w:r>
      <w:r w:rsidR="008B751F" w:rsidRPr="00D53A2B">
        <w:rPr>
          <w:szCs w:val="24"/>
        </w:rPr>
        <w:t xml:space="preserve"> </w:t>
      </w:r>
    </w:p>
    <w:p w14:paraId="0BE4E4DF" w14:textId="77777777" w:rsidR="008B751F" w:rsidRPr="00D53A2B" w:rsidRDefault="008B751F" w:rsidP="00A202FD">
      <w:pPr>
        <w:pStyle w:val="MET"/>
        <w:rPr>
          <w:szCs w:val="24"/>
        </w:rPr>
      </w:pPr>
    </w:p>
    <w:p w14:paraId="4E57DE27" w14:textId="2AABE9C7" w:rsidR="00374C56" w:rsidRPr="00D53A2B" w:rsidRDefault="008B751F" w:rsidP="00A202FD">
      <w:pPr>
        <w:pStyle w:val="Balk5"/>
        <w:ind w:left="1134" w:hanging="1134"/>
        <w:rPr>
          <w:szCs w:val="24"/>
        </w:rPr>
      </w:pPr>
      <w:r w:rsidRPr="00D53A2B">
        <w:rPr>
          <w:szCs w:val="24"/>
        </w:rPr>
        <w:t>1.</w:t>
      </w:r>
      <w:r w:rsidR="00374C56" w:rsidRPr="00D53A2B">
        <w:rPr>
          <w:szCs w:val="24"/>
        </w:rPr>
        <w:t xml:space="preserve">5.1.1.4. Atıksu üretimi </w:t>
      </w:r>
    </w:p>
    <w:p w14:paraId="1BF2626D" w14:textId="0201CE6E" w:rsidR="00374C56" w:rsidRPr="00D53A2B" w:rsidRDefault="000A48EC" w:rsidP="00A202FD">
      <w:pPr>
        <w:pStyle w:val="MET"/>
        <w:rPr>
          <w:szCs w:val="24"/>
        </w:rPr>
      </w:pPr>
      <w:r w:rsidRPr="00D53A2B">
        <w:rPr>
          <w:szCs w:val="24"/>
        </w:rPr>
        <w:t>MET 116:</w:t>
      </w:r>
      <w:r w:rsidR="00374C56" w:rsidRPr="00D53A2B">
        <w:rPr>
          <w:szCs w:val="24"/>
        </w:rPr>
        <w:t xml:space="preserve"> </w:t>
      </w:r>
      <w:r w:rsidR="00374C56" w:rsidRPr="00D53A2B">
        <w:rPr>
          <w:b w:val="0"/>
          <w:bCs/>
          <w:szCs w:val="24"/>
        </w:rPr>
        <w:t xml:space="preserve">Temiz su kullanımını azaltmak ve atıksu </w:t>
      </w:r>
      <w:r w:rsidR="008B751F" w:rsidRPr="00D53A2B">
        <w:rPr>
          <w:b w:val="0"/>
          <w:bCs/>
          <w:szCs w:val="24"/>
        </w:rPr>
        <w:t>oluşumunu</w:t>
      </w:r>
      <w:r w:rsidR="00374C56" w:rsidRPr="00D53A2B">
        <w:rPr>
          <w:b w:val="0"/>
          <w:bCs/>
          <w:szCs w:val="24"/>
        </w:rPr>
        <w:t xml:space="preserve"> önlemek için aşağıda verilen tekniklerden biri veya bunların bir kombinasyonu kullanılır.</w:t>
      </w:r>
    </w:p>
    <w:tbl>
      <w:tblPr>
        <w:tblW w:w="0" w:type="auto"/>
        <w:tblInd w:w="94" w:type="dxa"/>
        <w:tblLayout w:type="fixed"/>
        <w:tblCellMar>
          <w:left w:w="0" w:type="dxa"/>
          <w:right w:w="0" w:type="dxa"/>
        </w:tblCellMar>
        <w:tblLook w:val="01E0" w:firstRow="1" w:lastRow="1" w:firstColumn="1" w:lastColumn="1" w:noHBand="0" w:noVBand="0"/>
      </w:tblPr>
      <w:tblGrid>
        <w:gridCol w:w="317"/>
        <w:gridCol w:w="8404"/>
      </w:tblGrid>
      <w:tr w:rsidR="00374C56" w:rsidRPr="00D53A2B" w14:paraId="22C00FD3" w14:textId="77777777" w:rsidTr="00374C56">
        <w:tc>
          <w:tcPr>
            <w:tcW w:w="317" w:type="dxa"/>
            <w:tcBorders>
              <w:top w:val="single" w:sz="4" w:space="0" w:color="000000"/>
              <w:left w:val="single" w:sz="4" w:space="0" w:color="000000"/>
              <w:bottom w:val="single" w:sz="4" w:space="0" w:color="000000"/>
              <w:right w:val="single" w:sz="4" w:space="0" w:color="000000"/>
            </w:tcBorders>
          </w:tcPr>
          <w:p w14:paraId="3CB6A46C" w14:textId="77777777" w:rsidR="00374C56" w:rsidRPr="00D53A2B" w:rsidRDefault="00374C56" w:rsidP="00A202FD">
            <w:pPr>
              <w:spacing w:line="264" w:lineRule="auto"/>
              <w:ind w:left="57" w:right="57"/>
              <w:jc w:val="both"/>
              <w:rPr>
                <w:lang w:eastAsia="en-US"/>
              </w:rPr>
            </w:pPr>
          </w:p>
        </w:tc>
        <w:tc>
          <w:tcPr>
            <w:tcW w:w="8404" w:type="dxa"/>
            <w:tcBorders>
              <w:top w:val="single" w:sz="4" w:space="0" w:color="000000"/>
              <w:left w:val="single" w:sz="4" w:space="0" w:color="000000"/>
              <w:bottom w:val="single" w:sz="4" w:space="0" w:color="000000"/>
              <w:right w:val="single" w:sz="4" w:space="0" w:color="000000"/>
            </w:tcBorders>
          </w:tcPr>
          <w:p w14:paraId="45CE9F3F" w14:textId="77777777" w:rsidR="00374C56" w:rsidRPr="00D53A2B" w:rsidRDefault="00374C56" w:rsidP="00A202FD">
            <w:pPr>
              <w:spacing w:line="264" w:lineRule="auto"/>
              <w:ind w:left="57" w:right="57"/>
              <w:jc w:val="both"/>
              <w:rPr>
                <w:lang w:eastAsia="en-US"/>
              </w:rPr>
            </w:pPr>
            <w:r w:rsidRPr="00D53A2B">
              <w:rPr>
                <w:b/>
                <w:bCs/>
                <w:lang w:eastAsia="en-US"/>
              </w:rPr>
              <w:t>Teknik</w:t>
            </w:r>
          </w:p>
        </w:tc>
      </w:tr>
      <w:tr w:rsidR="00374C56" w:rsidRPr="00D53A2B" w14:paraId="027CE7E3" w14:textId="77777777" w:rsidTr="00374C56">
        <w:tc>
          <w:tcPr>
            <w:tcW w:w="317" w:type="dxa"/>
            <w:tcBorders>
              <w:top w:val="single" w:sz="4" w:space="0" w:color="000000"/>
              <w:left w:val="single" w:sz="4" w:space="0" w:color="000000"/>
              <w:bottom w:val="single" w:sz="4" w:space="0" w:color="000000"/>
              <w:right w:val="single" w:sz="4" w:space="0" w:color="000000"/>
            </w:tcBorders>
          </w:tcPr>
          <w:p w14:paraId="583B3ADA" w14:textId="77777777" w:rsidR="00374C56" w:rsidRPr="00D53A2B" w:rsidRDefault="00374C56" w:rsidP="00A202FD">
            <w:pPr>
              <w:spacing w:line="264" w:lineRule="auto"/>
              <w:ind w:left="57" w:right="57"/>
              <w:jc w:val="both"/>
              <w:rPr>
                <w:lang w:eastAsia="en-US"/>
              </w:rPr>
            </w:pPr>
            <w:r w:rsidRPr="00D53A2B">
              <w:rPr>
                <w:lang w:eastAsia="en-US"/>
              </w:rPr>
              <w:t>a</w:t>
            </w:r>
          </w:p>
        </w:tc>
        <w:tc>
          <w:tcPr>
            <w:tcW w:w="8404" w:type="dxa"/>
            <w:tcBorders>
              <w:top w:val="single" w:sz="4" w:space="0" w:color="000000"/>
              <w:left w:val="single" w:sz="4" w:space="0" w:color="000000"/>
              <w:bottom w:val="single" w:sz="4" w:space="0" w:color="000000"/>
              <w:right w:val="single" w:sz="4" w:space="0" w:color="000000"/>
            </w:tcBorders>
          </w:tcPr>
          <w:p w14:paraId="734D95E8" w14:textId="6D3604BE" w:rsidR="00374C56" w:rsidRPr="00D53A2B" w:rsidRDefault="008B751F" w:rsidP="00A202FD">
            <w:pPr>
              <w:spacing w:line="264" w:lineRule="auto"/>
              <w:ind w:left="57" w:right="57"/>
              <w:jc w:val="both"/>
              <w:rPr>
                <w:lang w:eastAsia="en-US"/>
              </w:rPr>
            </w:pPr>
            <w:r w:rsidRPr="00D53A2B">
              <w:rPr>
                <w:lang w:eastAsia="en-US"/>
              </w:rPr>
              <w:t>Kazandan gelen sızıntının ve kavur</w:t>
            </w:r>
            <w:r w:rsidR="007D6F3E" w:rsidRPr="00D53A2B">
              <w:rPr>
                <w:lang w:eastAsia="en-US"/>
              </w:rPr>
              <w:t>ucu</w:t>
            </w:r>
            <w:r w:rsidRPr="00D53A2B">
              <w:rPr>
                <w:lang w:eastAsia="en-US"/>
              </w:rPr>
              <w:t xml:space="preserve"> makinesinin kapalı soğutma devrelerinden gelen suyun ıslak gaz temizliğine veya liç aşamasına geri dönüşü.</w:t>
            </w:r>
          </w:p>
        </w:tc>
      </w:tr>
      <w:tr w:rsidR="00374C56" w:rsidRPr="00D53A2B" w14:paraId="50F9E561" w14:textId="77777777" w:rsidTr="00374C56">
        <w:tc>
          <w:tcPr>
            <w:tcW w:w="317" w:type="dxa"/>
            <w:tcBorders>
              <w:top w:val="single" w:sz="4" w:space="0" w:color="000000"/>
              <w:left w:val="single" w:sz="4" w:space="0" w:color="000000"/>
              <w:bottom w:val="single" w:sz="4" w:space="0" w:color="000000"/>
              <w:right w:val="single" w:sz="4" w:space="0" w:color="000000"/>
            </w:tcBorders>
          </w:tcPr>
          <w:p w14:paraId="6BA5639B" w14:textId="77777777" w:rsidR="00374C56" w:rsidRPr="00D53A2B" w:rsidRDefault="00374C56" w:rsidP="00A202FD">
            <w:pPr>
              <w:spacing w:line="264" w:lineRule="auto"/>
              <w:ind w:left="57" w:right="57"/>
              <w:jc w:val="both"/>
              <w:rPr>
                <w:lang w:eastAsia="en-US"/>
              </w:rPr>
            </w:pPr>
            <w:r w:rsidRPr="00D53A2B">
              <w:rPr>
                <w:lang w:eastAsia="en-US"/>
              </w:rPr>
              <w:t>b</w:t>
            </w:r>
          </w:p>
        </w:tc>
        <w:tc>
          <w:tcPr>
            <w:tcW w:w="8404" w:type="dxa"/>
            <w:tcBorders>
              <w:top w:val="single" w:sz="4" w:space="0" w:color="000000"/>
              <w:left w:val="single" w:sz="4" w:space="0" w:color="000000"/>
              <w:bottom w:val="single" w:sz="4" w:space="0" w:color="000000"/>
              <w:right w:val="single" w:sz="4" w:space="0" w:color="000000"/>
            </w:tcBorders>
          </w:tcPr>
          <w:p w14:paraId="42EB1E65" w14:textId="77777777" w:rsidR="00374C56" w:rsidRPr="00D53A2B" w:rsidRDefault="00374C56" w:rsidP="00A202FD">
            <w:pPr>
              <w:spacing w:line="264" w:lineRule="auto"/>
              <w:ind w:left="57" w:right="57"/>
              <w:jc w:val="both"/>
              <w:rPr>
                <w:lang w:eastAsia="en-US"/>
              </w:rPr>
            </w:pPr>
            <w:r w:rsidRPr="00D53A2B">
              <w:rPr>
                <w:lang w:eastAsia="en-US"/>
              </w:rPr>
              <w:t>Temizleme işlemlerinden/kavurucu, elektroliz ve dökümden kaynaklanan atıksuların, liç aşamasına geri gönderilmesi</w:t>
            </w:r>
          </w:p>
        </w:tc>
      </w:tr>
      <w:tr w:rsidR="00374C56" w:rsidRPr="00D53A2B" w14:paraId="175AEFE7" w14:textId="77777777" w:rsidTr="00374C56">
        <w:tc>
          <w:tcPr>
            <w:tcW w:w="317" w:type="dxa"/>
            <w:tcBorders>
              <w:top w:val="single" w:sz="4" w:space="0" w:color="000000"/>
              <w:left w:val="single" w:sz="4" w:space="0" w:color="000000"/>
              <w:bottom w:val="single" w:sz="4" w:space="0" w:color="000000"/>
              <w:right w:val="single" w:sz="4" w:space="0" w:color="000000"/>
            </w:tcBorders>
          </w:tcPr>
          <w:p w14:paraId="7031897F" w14:textId="77777777" w:rsidR="00374C56" w:rsidRPr="00D53A2B" w:rsidRDefault="00374C56" w:rsidP="00A202FD">
            <w:pPr>
              <w:spacing w:line="264" w:lineRule="auto"/>
              <w:ind w:left="57" w:right="57"/>
              <w:jc w:val="both"/>
              <w:rPr>
                <w:lang w:eastAsia="en-US"/>
              </w:rPr>
            </w:pPr>
            <w:r w:rsidRPr="00D53A2B">
              <w:rPr>
                <w:lang w:eastAsia="en-US"/>
              </w:rPr>
              <w:t>c</w:t>
            </w:r>
          </w:p>
        </w:tc>
        <w:tc>
          <w:tcPr>
            <w:tcW w:w="8404" w:type="dxa"/>
            <w:tcBorders>
              <w:top w:val="single" w:sz="4" w:space="0" w:color="000000"/>
              <w:left w:val="single" w:sz="4" w:space="0" w:color="000000"/>
              <w:bottom w:val="single" w:sz="4" w:space="0" w:color="000000"/>
              <w:right w:val="single" w:sz="4" w:space="0" w:color="000000"/>
            </w:tcBorders>
          </w:tcPr>
          <w:p w14:paraId="3774CFF6" w14:textId="77777777" w:rsidR="00374C56" w:rsidRPr="00D53A2B" w:rsidRDefault="00374C56" w:rsidP="00A202FD">
            <w:pPr>
              <w:spacing w:line="264" w:lineRule="auto"/>
              <w:ind w:left="57" w:right="57"/>
              <w:jc w:val="both"/>
              <w:rPr>
                <w:lang w:eastAsia="en-US"/>
              </w:rPr>
            </w:pPr>
            <w:r w:rsidRPr="00D53A2B">
              <w:rPr>
                <w:lang w:eastAsia="en-US"/>
              </w:rPr>
              <w:t>Temizleme işlemlerinden/liç ve saflaştırma, filtre keki yıkama ve ıslak gaz temizleme işlemlerinden kaynaklanan atıksuların, liç ve/veya saflaştırma aşamalarına geri gönderilmesi</w:t>
            </w:r>
          </w:p>
        </w:tc>
      </w:tr>
    </w:tbl>
    <w:p w14:paraId="16B23B1A" w14:textId="77777777" w:rsidR="00374C56" w:rsidRPr="00D53A2B" w:rsidRDefault="00374C56" w:rsidP="00A202FD">
      <w:pPr>
        <w:jc w:val="both"/>
        <w:rPr>
          <w:lang w:eastAsia="en-US"/>
        </w:rPr>
      </w:pPr>
    </w:p>
    <w:p w14:paraId="4E92012D" w14:textId="2716B6EC" w:rsidR="00374C56" w:rsidRPr="00D53A2B" w:rsidRDefault="008B751F" w:rsidP="00A202FD">
      <w:pPr>
        <w:pStyle w:val="Balk5"/>
        <w:ind w:left="1134" w:hanging="1134"/>
        <w:rPr>
          <w:szCs w:val="24"/>
        </w:rPr>
      </w:pPr>
      <w:r w:rsidRPr="00D53A2B">
        <w:rPr>
          <w:szCs w:val="24"/>
        </w:rPr>
        <w:t>1.</w:t>
      </w:r>
      <w:r w:rsidR="00374C56" w:rsidRPr="00D53A2B">
        <w:rPr>
          <w:szCs w:val="24"/>
        </w:rPr>
        <w:t>5.1.1.5. Atık</w:t>
      </w:r>
    </w:p>
    <w:p w14:paraId="5244060B" w14:textId="3F98EA3A" w:rsidR="00374C56" w:rsidRPr="00D53A2B" w:rsidRDefault="000A48EC" w:rsidP="00A202FD">
      <w:pPr>
        <w:spacing w:after="240"/>
        <w:jc w:val="both"/>
        <w:rPr>
          <w:b/>
          <w:lang w:eastAsia="en-US"/>
        </w:rPr>
      </w:pPr>
      <w:r w:rsidRPr="00D53A2B">
        <w:rPr>
          <w:b/>
          <w:lang w:eastAsia="en-US"/>
        </w:rPr>
        <w:t>MET 117:</w:t>
      </w:r>
      <w:r w:rsidR="00374C56" w:rsidRPr="00D53A2B">
        <w:rPr>
          <w:b/>
          <w:lang w:eastAsia="en-US"/>
        </w:rPr>
        <w:t xml:space="preserve"> </w:t>
      </w:r>
      <w:r w:rsidR="00374C56" w:rsidRPr="00D53A2B">
        <w:rPr>
          <w:bCs/>
          <w:lang w:eastAsia="en-US"/>
        </w:rPr>
        <w:t xml:space="preserve">Bertaraf etmek için gönderilen atık miktarının azaltılması için kullanılan, proses artıklarının yeniden kullanımını kolaylaştıracak veya proses artıklarını geri </w:t>
      </w:r>
      <w:r w:rsidR="00C224A7">
        <w:rPr>
          <w:bCs/>
          <w:lang w:eastAsia="en-US"/>
        </w:rPr>
        <w:t>kazanıma gerek kalmayacak</w:t>
      </w:r>
      <w:r w:rsidR="00374C56" w:rsidRPr="00D53A2B">
        <w:rPr>
          <w:bCs/>
          <w:lang w:eastAsia="en-US"/>
        </w:rPr>
        <w:t xml:space="preserve"> şekilde, aşağıda verilen tekniklerin birini ya da bir kombinasyonu kullanılarak sahadaki faaliyetler organize e</w:t>
      </w:r>
      <w:r w:rsidR="007D6F3E" w:rsidRPr="00D53A2B">
        <w:rPr>
          <w:bCs/>
          <w:lang w:eastAsia="en-US"/>
        </w:rPr>
        <w:t>dilir</w:t>
      </w:r>
      <w:r w:rsidR="00374C56" w:rsidRPr="00D53A2B">
        <w:rPr>
          <w:bCs/>
          <w:lang w:eastAsia="en-US"/>
        </w:rPr>
        <w:t>.</w:t>
      </w:r>
    </w:p>
    <w:tbl>
      <w:tblPr>
        <w:tblW w:w="0" w:type="auto"/>
        <w:tblLayout w:type="fixed"/>
        <w:tblCellMar>
          <w:left w:w="0" w:type="dxa"/>
          <w:right w:w="0" w:type="dxa"/>
        </w:tblCellMar>
        <w:tblLook w:val="01E0" w:firstRow="1" w:lastRow="1" w:firstColumn="1" w:lastColumn="1" w:noHBand="0" w:noVBand="0"/>
      </w:tblPr>
      <w:tblGrid>
        <w:gridCol w:w="327"/>
        <w:gridCol w:w="5372"/>
        <w:gridCol w:w="3022"/>
      </w:tblGrid>
      <w:tr w:rsidR="00374C56" w:rsidRPr="00D53A2B" w14:paraId="32D314E9" w14:textId="77777777" w:rsidTr="00374C56">
        <w:tc>
          <w:tcPr>
            <w:tcW w:w="327" w:type="dxa"/>
            <w:tcBorders>
              <w:top w:val="single" w:sz="4" w:space="0" w:color="000000"/>
              <w:left w:val="single" w:sz="4" w:space="0" w:color="000000"/>
              <w:bottom w:val="single" w:sz="4" w:space="0" w:color="000000"/>
              <w:right w:val="single" w:sz="4" w:space="0" w:color="000000"/>
            </w:tcBorders>
            <w:vAlign w:val="center"/>
          </w:tcPr>
          <w:p w14:paraId="16A8C704" w14:textId="77777777" w:rsidR="00374C56" w:rsidRPr="00D53A2B" w:rsidRDefault="00374C56" w:rsidP="00A202FD">
            <w:pPr>
              <w:spacing w:line="264" w:lineRule="auto"/>
              <w:ind w:left="57" w:right="57"/>
              <w:jc w:val="both"/>
              <w:rPr>
                <w:lang w:eastAsia="en-US"/>
              </w:rPr>
            </w:pPr>
          </w:p>
        </w:tc>
        <w:tc>
          <w:tcPr>
            <w:tcW w:w="5372" w:type="dxa"/>
            <w:tcBorders>
              <w:top w:val="single" w:sz="4" w:space="0" w:color="000000"/>
              <w:left w:val="single" w:sz="4" w:space="0" w:color="000000"/>
              <w:bottom w:val="single" w:sz="4" w:space="0" w:color="000000"/>
              <w:right w:val="single" w:sz="4" w:space="0" w:color="000000"/>
            </w:tcBorders>
            <w:vAlign w:val="center"/>
          </w:tcPr>
          <w:p w14:paraId="63E790F5" w14:textId="77777777" w:rsidR="00374C56" w:rsidRPr="00D53A2B" w:rsidRDefault="00374C56" w:rsidP="00A202FD">
            <w:pPr>
              <w:spacing w:line="264" w:lineRule="auto"/>
              <w:ind w:left="57" w:right="57"/>
              <w:jc w:val="both"/>
              <w:rPr>
                <w:lang w:eastAsia="en-US"/>
              </w:rPr>
            </w:pPr>
            <w:r w:rsidRPr="00D53A2B">
              <w:rPr>
                <w:b/>
                <w:bCs/>
                <w:lang w:eastAsia="en-US"/>
              </w:rPr>
              <w:t>Teknik</w:t>
            </w:r>
          </w:p>
        </w:tc>
        <w:tc>
          <w:tcPr>
            <w:tcW w:w="3022" w:type="dxa"/>
            <w:tcBorders>
              <w:top w:val="single" w:sz="4" w:space="0" w:color="000000"/>
              <w:left w:val="single" w:sz="4" w:space="0" w:color="000000"/>
              <w:bottom w:val="single" w:sz="4" w:space="0" w:color="000000"/>
              <w:right w:val="single" w:sz="4" w:space="0" w:color="000000"/>
            </w:tcBorders>
            <w:vAlign w:val="center"/>
          </w:tcPr>
          <w:p w14:paraId="45B10329" w14:textId="77777777" w:rsidR="00374C56" w:rsidRPr="00D53A2B" w:rsidRDefault="00374C56" w:rsidP="00A202FD">
            <w:pPr>
              <w:spacing w:line="264" w:lineRule="auto"/>
              <w:ind w:left="57" w:right="57"/>
              <w:jc w:val="both"/>
              <w:rPr>
                <w:lang w:eastAsia="en-US"/>
              </w:rPr>
            </w:pPr>
            <w:r w:rsidRPr="00D53A2B">
              <w:rPr>
                <w:b/>
                <w:bCs/>
                <w:lang w:eastAsia="en-US"/>
              </w:rPr>
              <w:t>Uygulanabilirlik</w:t>
            </w:r>
          </w:p>
        </w:tc>
      </w:tr>
      <w:tr w:rsidR="00374C56" w:rsidRPr="00D53A2B" w14:paraId="78FE701F" w14:textId="77777777" w:rsidTr="00374C56">
        <w:tc>
          <w:tcPr>
            <w:tcW w:w="327" w:type="dxa"/>
            <w:tcBorders>
              <w:top w:val="single" w:sz="4" w:space="0" w:color="000000"/>
              <w:left w:val="single" w:sz="4" w:space="0" w:color="000000"/>
              <w:bottom w:val="single" w:sz="4" w:space="0" w:color="000000"/>
              <w:right w:val="single" w:sz="4" w:space="0" w:color="000000"/>
            </w:tcBorders>
            <w:vAlign w:val="center"/>
          </w:tcPr>
          <w:p w14:paraId="66D60064" w14:textId="77777777" w:rsidR="00374C56" w:rsidRPr="00D53A2B" w:rsidRDefault="00374C56" w:rsidP="00A202FD">
            <w:pPr>
              <w:spacing w:line="264" w:lineRule="auto"/>
              <w:ind w:left="57" w:right="57"/>
              <w:jc w:val="both"/>
              <w:rPr>
                <w:lang w:eastAsia="en-US"/>
              </w:rPr>
            </w:pPr>
            <w:r w:rsidRPr="00D53A2B">
              <w:rPr>
                <w:lang w:eastAsia="en-US"/>
              </w:rPr>
              <w:t>a</w:t>
            </w:r>
          </w:p>
        </w:tc>
        <w:tc>
          <w:tcPr>
            <w:tcW w:w="5372" w:type="dxa"/>
            <w:tcBorders>
              <w:top w:val="single" w:sz="4" w:space="0" w:color="000000"/>
              <w:left w:val="single" w:sz="4" w:space="0" w:color="000000"/>
              <w:bottom w:val="single" w:sz="4" w:space="0" w:color="000000"/>
              <w:right w:val="single" w:sz="4" w:space="0" w:color="000000"/>
            </w:tcBorders>
            <w:vAlign w:val="center"/>
          </w:tcPr>
          <w:p w14:paraId="3AD9DCB0" w14:textId="77777777" w:rsidR="00374C56" w:rsidRPr="00D53A2B" w:rsidRDefault="00374C56" w:rsidP="00A202FD">
            <w:pPr>
              <w:spacing w:line="264" w:lineRule="auto"/>
              <w:ind w:left="57" w:right="57"/>
              <w:jc w:val="both"/>
              <w:rPr>
                <w:lang w:eastAsia="en-US"/>
              </w:rPr>
            </w:pPr>
            <w:r w:rsidRPr="00D53A2B">
              <w:rPr>
                <w:lang w:eastAsia="en-US"/>
              </w:rPr>
              <w:t>Konsantre depolamada ve proseste taşıma işlemlerinde toplanan tozun, tekrar kullanımı (konsantre besleme ile birlikte)</w:t>
            </w:r>
          </w:p>
        </w:tc>
        <w:tc>
          <w:tcPr>
            <w:tcW w:w="3022" w:type="dxa"/>
            <w:tcBorders>
              <w:top w:val="single" w:sz="4" w:space="0" w:color="000000"/>
              <w:left w:val="single" w:sz="4" w:space="0" w:color="000000"/>
              <w:bottom w:val="single" w:sz="4" w:space="0" w:color="000000"/>
              <w:right w:val="single" w:sz="4" w:space="0" w:color="000000"/>
            </w:tcBorders>
            <w:vAlign w:val="center"/>
          </w:tcPr>
          <w:p w14:paraId="52F4160A" w14:textId="77777777" w:rsidR="00374C56" w:rsidRPr="00D53A2B" w:rsidRDefault="00374C56" w:rsidP="00A202FD">
            <w:pPr>
              <w:spacing w:line="264" w:lineRule="auto"/>
              <w:ind w:left="57" w:right="57"/>
              <w:jc w:val="both"/>
              <w:rPr>
                <w:lang w:eastAsia="en-US"/>
              </w:rPr>
            </w:pPr>
            <w:r w:rsidRPr="00D53A2B">
              <w:rPr>
                <w:lang w:eastAsia="en-US"/>
              </w:rPr>
              <w:t>Genellikle uygulanabilir</w:t>
            </w:r>
          </w:p>
        </w:tc>
      </w:tr>
      <w:tr w:rsidR="00374C56" w:rsidRPr="00D53A2B" w14:paraId="33C699ED" w14:textId="77777777" w:rsidTr="00374C56">
        <w:tc>
          <w:tcPr>
            <w:tcW w:w="327" w:type="dxa"/>
            <w:tcBorders>
              <w:top w:val="single" w:sz="4" w:space="0" w:color="000000"/>
              <w:left w:val="single" w:sz="4" w:space="0" w:color="000000"/>
              <w:bottom w:val="single" w:sz="4" w:space="0" w:color="000000"/>
              <w:right w:val="single" w:sz="4" w:space="0" w:color="000000"/>
            </w:tcBorders>
            <w:vAlign w:val="center"/>
          </w:tcPr>
          <w:p w14:paraId="54204414" w14:textId="77777777" w:rsidR="00374C56" w:rsidRPr="00D53A2B" w:rsidRDefault="00374C56" w:rsidP="00A202FD">
            <w:pPr>
              <w:spacing w:line="264" w:lineRule="auto"/>
              <w:ind w:left="57" w:right="57"/>
              <w:jc w:val="both"/>
              <w:rPr>
                <w:lang w:eastAsia="en-US"/>
              </w:rPr>
            </w:pPr>
            <w:r w:rsidRPr="00D53A2B">
              <w:rPr>
                <w:lang w:eastAsia="en-US"/>
              </w:rPr>
              <w:t>b</w:t>
            </w:r>
          </w:p>
        </w:tc>
        <w:tc>
          <w:tcPr>
            <w:tcW w:w="5372" w:type="dxa"/>
            <w:tcBorders>
              <w:top w:val="single" w:sz="4" w:space="0" w:color="000000"/>
              <w:left w:val="single" w:sz="4" w:space="0" w:color="000000"/>
              <w:bottom w:val="single" w:sz="4" w:space="0" w:color="000000"/>
              <w:right w:val="single" w:sz="4" w:space="0" w:color="000000"/>
            </w:tcBorders>
            <w:vAlign w:val="center"/>
          </w:tcPr>
          <w:p w14:paraId="74E0A5FA" w14:textId="77777777" w:rsidR="00374C56" w:rsidRPr="00D53A2B" w:rsidRDefault="00374C56" w:rsidP="00A202FD">
            <w:pPr>
              <w:spacing w:line="264" w:lineRule="auto"/>
              <w:ind w:left="57" w:right="57"/>
              <w:jc w:val="both"/>
              <w:rPr>
                <w:lang w:eastAsia="en-US"/>
              </w:rPr>
            </w:pPr>
            <w:r w:rsidRPr="00D53A2B">
              <w:rPr>
                <w:lang w:eastAsia="en-US"/>
              </w:rPr>
              <w:t>Kavurma prosesinde, kalsine silosundan toplanan tozun yeniden kullanımı</w:t>
            </w:r>
          </w:p>
        </w:tc>
        <w:tc>
          <w:tcPr>
            <w:tcW w:w="3022" w:type="dxa"/>
            <w:tcBorders>
              <w:top w:val="single" w:sz="4" w:space="0" w:color="000000"/>
              <w:left w:val="single" w:sz="4" w:space="0" w:color="000000"/>
              <w:bottom w:val="single" w:sz="4" w:space="0" w:color="000000"/>
              <w:right w:val="single" w:sz="4" w:space="0" w:color="000000"/>
            </w:tcBorders>
            <w:vAlign w:val="center"/>
          </w:tcPr>
          <w:p w14:paraId="694C6B8B" w14:textId="77777777" w:rsidR="00374C56" w:rsidRPr="00D53A2B" w:rsidRDefault="00374C56" w:rsidP="00A202FD">
            <w:pPr>
              <w:spacing w:line="264" w:lineRule="auto"/>
              <w:ind w:left="57" w:right="57"/>
              <w:jc w:val="both"/>
              <w:rPr>
                <w:lang w:eastAsia="en-US"/>
              </w:rPr>
            </w:pPr>
            <w:r w:rsidRPr="00D53A2B">
              <w:rPr>
                <w:lang w:eastAsia="en-US"/>
              </w:rPr>
              <w:t>Genellikle uygulanabilir</w:t>
            </w:r>
          </w:p>
        </w:tc>
      </w:tr>
      <w:tr w:rsidR="00374C56" w:rsidRPr="00D53A2B" w14:paraId="0798A1E7" w14:textId="77777777" w:rsidTr="00374C56">
        <w:tc>
          <w:tcPr>
            <w:tcW w:w="327" w:type="dxa"/>
            <w:tcBorders>
              <w:top w:val="single" w:sz="4" w:space="0" w:color="000000"/>
              <w:left w:val="single" w:sz="4" w:space="0" w:color="000000"/>
              <w:bottom w:val="single" w:sz="4" w:space="0" w:color="000000"/>
              <w:right w:val="single" w:sz="4" w:space="0" w:color="000000"/>
            </w:tcBorders>
            <w:vAlign w:val="center"/>
          </w:tcPr>
          <w:p w14:paraId="650BD82F" w14:textId="77777777" w:rsidR="00374C56" w:rsidRPr="00D53A2B" w:rsidRDefault="00374C56" w:rsidP="00A202FD">
            <w:pPr>
              <w:spacing w:line="264" w:lineRule="auto"/>
              <w:ind w:left="57" w:right="57"/>
              <w:jc w:val="both"/>
              <w:rPr>
                <w:lang w:eastAsia="en-US"/>
              </w:rPr>
            </w:pPr>
            <w:r w:rsidRPr="00D53A2B">
              <w:rPr>
                <w:lang w:eastAsia="en-US"/>
              </w:rPr>
              <w:t>c</w:t>
            </w:r>
          </w:p>
        </w:tc>
        <w:tc>
          <w:tcPr>
            <w:tcW w:w="5372" w:type="dxa"/>
            <w:tcBorders>
              <w:top w:val="single" w:sz="4" w:space="0" w:color="000000"/>
              <w:left w:val="single" w:sz="4" w:space="0" w:color="000000"/>
              <w:bottom w:val="single" w:sz="4" w:space="0" w:color="000000"/>
              <w:right w:val="single" w:sz="4" w:space="0" w:color="000000"/>
            </w:tcBorders>
            <w:vAlign w:val="center"/>
          </w:tcPr>
          <w:p w14:paraId="12718108" w14:textId="77777777" w:rsidR="00374C56" w:rsidRPr="00D53A2B" w:rsidRDefault="00374C56" w:rsidP="00A202FD">
            <w:pPr>
              <w:spacing w:line="264" w:lineRule="auto"/>
              <w:ind w:left="57" w:right="57"/>
              <w:jc w:val="both"/>
              <w:rPr>
                <w:lang w:eastAsia="en-US"/>
              </w:rPr>
            </w:pPr>
            <w:r w:rsidRPr="00D53A2B">
              <w:rPr>
                <w:lang w:eastAsia="en-US"/>
              </w:rPr>
              <w:t>Kurşun ve gümüş içeren artık maddelerin, başka bir tesiste hammadde olarak kullanılması için geri dönüştürülmesi</w:t>
            </w:r>
          </w:p>
        </w:tc>
        <w:tc>
          <w:tcPr>
            <w:tcW w:w="3022" w:type="dxa"/>
            <w:tcBorders>
              <w:top w:val="single" w:sz="4" w:space="0" w:color="000000"/>
              <w:left w:val="single" w:sz="4" w:space="0" w:color="000000"/>
              <w:bottom w:val="single" w:sz="4" w:space="0" w:color="000000"/>
              <w:right w:val="single" w:sz="4" w:space="0" w:color="000000"/>
            </w:tcBorders>
            <w:vAlign w:val="center"/>
          </w:tcPr>
          <w:p w14:paraId="276FD059" w14:textId="77777777" w:rsidR="00374C56" w:rsidRPr="00D53A2B" w:rsidRDefault="00374C56" w:rsidP="00A202FD">
            <w:pPr>
              <w:spacing w:line="264" w:lineRule="auto"/>
              <w:ind w:left="57" w:right="57"/>
              <w:jc w:val="both"/>
              <w:rPr>
                <w:lang w:eastAsia="en-US"/>
              </w:rPr>
            </w:pPr>
            <w:r w:rsidRPr="00D53A2B">
              <w:rPr>
                <w:lang w:eastAsia="en-US"/>
              </w:rPr>
              <w:t>Metal içeriğine ve piyasa/prosesin bulunmasına bağlı olarak uygulanabilir</w:t>
            </w:r>
          </w:p>
        </w:tc>
      </w:tr>
      <w:tr w:rsidR="00374C56" w:rsidRPr="00D53A2B" w14:paraId="0F07058C" w14:textId="77777777" w:rsidTr="00374C56">
        <w:tc>
          <w:tcPr>
            <w:tcW w:w="327" w:type="dxa"/>
            <w:tcBorders>
              <w:top w:val="single" w:sz="4" w:space="0" w:color="000000"/>
              <w:left w:val="single" w:sz="4" w:space="0" w:color="000000"/>
              <w:bottom w:val="single" w:sz="4" w:space="0" w:color="000000"/>
              <w:right w:val="single" w:sz="4" w:space="0" w:color="000000"/>
            </w:tcBorders>
            <w:vAlign w:val="center"/>
          </w:tcPr>
          <w:p w14:paraId="0587DDE8" w14:textId="77777777" w:rsidR="00374C56" w:rsidRPr="00D53A2B" w:rsidRDefault="00374C56" w:rsidP="00A202FD">
            <w:pPr>
              <w:spacing w:line="264" w:lineRule="auto"/>
              <w:ind w:left="57" w:right="57"/>
              <w:jc w:val="both"/>
              <w:rPr>
                <w:lang w:eastAsia="en-US"/>
              </w:rPr>
            </w:pPr>
            <w:r w:rsidRPr="00D53A2B">
              <w:rPr>
                <w:lang w:eastAsia="en-US"/>
              </w:rPr>
              <w:t>d</w:t>
            </w:r>
          </w:p>
        </w:tc>
        <w:tc>
          <w:tcPr>
            <w:tcW w:w="5372" w:type="dxa"/>
            <w:tcBorders>
              <w:top w:val="single" w:sz="4" w:space="0" w:color="000000"/>
              <w:left w:val="single" w:sz="4" w:space="0" w:color="000000"/>
              <w:bottom w:val="single" w:sz="4" w:space="0" w:color="000000"/>
              <w:right w:val="single" w:sz="4" w:space="0" w:color="000000"/>
            </w:tcBorders>
            <w:vAlign w:val="center"/>
          </w:tcPr>
          <w:p w14:paraId="4858CF98" w14:textId="119978D6" w:rsidR="00374C56" w:rsidRPr="00D53A2B" w:rsidRDefault="00374C56" w:rsidP="00A202FD">
            <w:pPr>
              <w:spacing w:line="264" w:lineRule="auto"/>
              <w:ind w:left="57" w:right="57"/>
              <w:jc w:val="both"/>
              <w:rPr>
                <w:lang w:eastAsia="en-US"/>
              </w:rPr>
            </w:pPr>
            <w:r w:rsidRPr="00D53A2B">
              <w:rPr>
                <w:lang w:eastAsia="en-US"/>
              </w:rPr>
              <w:t xml:space="preserve">Cu, Co, Ni, Cd, Mn içeren artıkların, satılabilir birer ürün elde edebilmek için başka bir tesiste hammadde olarak kullanılması için geri </w:t>
            </w:r>
            <w:r w:rsidR="00C224A7">
              <w:rPr>
                <w:lang w:eastAsia="en-US"/>
              </w:rPr>
              <w:t>kazanılması</w:t>
            </w:r>
          </w:p>
        </w:tc>
        <w:tc>
          <w:tcPr>
            <w:tcW w:w="3022" w:type="dxa"/>
            <w:tcBorders>
              <w:top w:val="single" w:sz="4" w:space="0" w:color="000000"/>
              <w:left w:val="single" w:sz="4" w:space="0" w:color="000000"/>
              <w:bottom w:val="single" w:sz="4" w:space="0" w:color="000000"/>
              <w:right w:val="single" w:sz="4" w:space="0" w:color="000000"/>
            </w:tcBorders>
            <w:vAlign w:val="center"/>
          </w:tcPr>
          <w:p w14:paraId="1220CA8C" w14:textId="77777777" w:rsidR="00374C56" w:rsidRPr="00D53A2B" w:rsidRDefault="00374C56" w:rsidP="00A202FD">
            <w:pPr>
              <w:spacing w:line="264" w:lineRule="auto"/>
              <w:ind w:left="57" w:right="57"/>
              <w:jc w:val="both"/>
              <w:rPr>
                <w:lang w:eastAsia="en-US"/>
              </w:rPr>
            </w:pPr>
            <w:r w:rsidRPr="00D53A2B">
              <w:rPr>
                <w:lang w:eastAsia="en-US"/>
              </w:rPr>
              <w:t>Metal içeriğine ve piyasa/prosesin bulunmasına bağlı olarak uygulanabilir</w:t>
            </w:r>
          </w:p>
        </w:tc>
      </w:tr>
    </w:tbl>
    <w:p w14:paraId="1B6C978A" w14:textId="77777777" w:rsidR="00374C56" w:rsidRPr="00D53A2B" w:rsidRDefault="00374C56" w:rsidP="00A202FD">
      <w:pPr>
        <w:jc w:val="both"/>
        <w:rPr>
          <w:lang w:eastAsia="en-US"/>
        </w:rPr>
      </w:pPr>
    </w:p>
    <w:p w14:paraId="2FFE4E25" w14:textId="56B4CD9D" w:rsidR="00374C56" w:rsidRPr="00D53A2B" w:rsidRDefault="000A48EC" w:rsidP="00A202FD">
      <w:pPr>
        <w:spacing w:after="240"/>
        <w:jc w:val="both"/>
        <w:rPr>
          <w:b/>
          <w:lang w:eastAsia="en-US"/>
        </w:rPr>
      </w:pPr>
      <w:r w:rsidRPr="00D53A2B">
        <w:rPr>
          <w:b/>
          <w:lang w:eastAsia="en-US"/>
        </w:rPr>
        <w:t>MET 118:</w:t>
      </w:r>
      <w:r w:rsidR="00374C56" w:rsidRPr="00D53A2B">
        <w:rPr>
          <w:b/>
          <w:lang w:eastAsia="en-US"/>
        </w:rPr>
        <w:t xml:space="preserve"> </w:t>
      </w:r>
      <w:r w:rsidR="00374C56" w:rsidRPr="00D53A2B">
        <w:rPr>
          <w:bCs/>
          <w:lang w:eastAsia="en-US"/>
        </w:rPr>
        <w:t>Liç atığının nihai bertarafa uygun hale getirilebilmesi için aşağıda verilen tekniklerden birisi kullanılır.</w:t>
      </w:r>
      <w:r w:rsidR="00374C56" w:rsidRPr="00D53A2B">
        <w:rPr>
          <w:b/>
          <w:lang w:eastAsia="en-US"/>
        </w:rPr>
        <w:t xml:space="preserve"> </w:t>
      </w:r>
    </w:p>
    <w:tbl>
      <w:tblPr>
        <w:tblW w:w="0" w:type="auto"/>
        <w:tblInd w:w="94" w:type="dxa"/>
        <w:tblLayout w:type="fixed"/>
        <w:tblCellMar>
          <w:left w:w="0" w:type="dxa"/>
          <w:right w:w="0" w:type="dxa"/>
        </w:tblCellMar>
        <w:tblLook w:val="01E0" w:firstRow="1" w:lastRow="1" w:firstColumn="1" w:lastColumn="1" w:noHBand="0" w:noVBand="0"/>
      </w:tblPr>
      <w:tblGrid>
        <w:gridCol w:w="317"/>
        <w:gridCol w:w="2376"/>
        <w:gridCol w:w="6028"/>
      </w:tblGrid>
      <w:tr w:rsidR="00374C56" w:rsidRPr="00D53A2B" w14:paraId="29CB6A67"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4A08A015" w14:textId="77777777" w:rsidR="00374C56" w:rsidRPr="00D53A2B" w:rsidRDefault="00374C56" w:rsidP="00A202FD">
            <w:pPr>
              <w:spacing w:line="264" w:lineRule="auto"/>
              <w:ind w:left="57" w:right="57"/>
              <w:jc w:val="both"/>
              <w:rPr>
                <w:sz w:val="22"/>
                <w:szCs w:val="22"/>
                <w:lang w:eastAsia="en-US"/>
              </w:rPr>
            </w:pPr>
          </w:p>
        </w:tc>
        <w:tc>
          <w:tcPr>
            <w:tcW w:w="2376" w:type="dxa"/>
            <w:tcBorders>
              <w:top w:val="single" w:sz="4" w:space="0" w:color="000000"/>
              <w:left w:val="single" w:sz="4" w:space="0" w:color="000000"/>
              <w:bottom w:val="single" w:sz="4" w:space="0" w:color="000000"/>
              <w:right w:val="single" w:sz="4" w:space="0" w:color="000000"/>
            </w:tcBorders>
            <w:vAlign w:val="center"/>
          </w:tcPr>
          <w:p w14:paraId="47F219C6"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6028" w:type="dxa"/>
            <w:tcBorders>
              <w:top w:val="single" w:sz="4" w:space="0" w:color="000000"/>
              <w:left w:val="single" w:sz="4" w:space="0" w:color="000000"/>
              <w:bottom w:val="single" w:sz="4" w:space="0" w:color="000000"/>
              <w:right w:val="single" w:sz="4" w:space="0" w:color="000000"/>
            </w:tcBorders>
            <w:vAlign w:val="center"/>
          </w:tcPr>
          <w:p w14:paraId="2DD39A19"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5B3B6F18"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7BBDC98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2376" w:type="dxa"/>
            <w:tcBorders>
              <w:top w:val="single" w:sz="4" w:space="0" w:color="000000"/>
              <w:left w:val="single" w:sz="4" w:space="0" w:color="000000"/>
              <w:bottom w:val="single" w:sz="4" w:space="0" w:color="000000"/>
              <w:right w:val="single" w:sz="4" w:space="0" w:color="000000"/>
            </w:tcBorders>
            <w:vAlign w:val="center"/>
          </w:tcPr>
          <w:p w14:paraId="3AE957A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Bir Waelz fırında pirometalurjik işleme</w:t>
            </w:r>
          </w:p>
        </w:tc>
        <w:tc>
          <w:tcPr>
            <w:tcW w:w="6028" w:type="dxa"/>
            <w:tcBorders>
              <w:top w:val="single" w:sz="4" w:space="0" w:color="000000"/>
              <w:left w:val="single" w:sz="4" w:space="0" w:color="000000"/>
              <w:bottom w:val="single" w:sz="4" w:space="0" w:color="000000"/>
              <w:right w:val="single" w:sz="4" w:space="0" w:color="000000"/>
            </w:tcBorders>
            <w:vAlign w:val="center"/>
          </w:tcPr>
          <w:p w14:paraId="24D35A4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çok fazla çinko ferrit içermeyen ve/veya yüksek konsantrasyonda değerli metal içermeyen nötr özütleme atıklarına uygulanabilir.</w:t>
            </w:r>
          </w:p>
        </w:tc>
      </w:tr>
      <w:tr w:rsidR="00374C56" w:rsidRPr="00D53A2B" w14:paraId="4F38F17F"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1221DDF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2376" w:type="dxa"/>
            <w:tcBorders>
              <w:top w:val="single" w:sz="4" w:space="0" w:color="000000"/>
              <w:left w:val="single" w:sz="4" w:space="0" w:color="000000"/>
              <w:bottom w:val="single" w:sz="4" w:space="0" w:color="000000"/>
              <w:right w:val="single" w:sz="4" w:space="0" w:color="000000"/>
            </w:tcBorders>
            <w:vAlign w:val="center"/>
          </w:tcPr>
          <w:p w14:paraId="384DE67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Jarofix prosesi</w:t>
            </w:r>
          </w:p>
        </w:tc>
        <w:tc>
          <w:tcPr>
            <w:tcW w:w="6028" w:type="dxa"/>
            <w:tcBorders>
              <w:top w:val="single" w:sz="4" w:space="0" w:color="000000"/>
              <w:left w:val="single" w:sz="4" w:space="0" w:color="000000"/>
              <w:bottom w:val="single" w:sz="4" w:space="0" w:color="000000"/>
              <w:right w:val="single" w:sz="4" w:space="0" w:color="000000"/>
            </w:tcBorders>
            <w:vAlign w:val="center"/>
          </w:tcPr>
          <w:p w14:paraId="1F8F158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jarosit demir artıklarına uygulanabilir. Mevcut bir patent nedeniyle uygulanabilirliği sınırlıdır.</w:t>
            </w:r>
          </w:p>
        </w:tc>
      </w:tr>
      <w:tr w:rsidR="00374C56" w:rsidRPr="00D53A2B" w14:paraId="0722B812"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569563B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2376" w:type="dxa"/>
            <w:tcBorders>
              <w:top w:val="single" w:sz="4" w:space="0" w:color="000000"/>
              <w:left w:val="single" w:sz="4" w:space="0" w:color="000000"/>
              <w:bottom w:val="single" w:sz="4" w:space="0" w:color="000000"/>
              <w:right w:val="single" w:sz="4" w:space="0" w:color="000000"/>
            </w:tcBorders>
            <w:vAlign w:val="center"/>
          </w:tcPr>
          <w:p w14:paraId="3C2011E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Sülfidasyon prosesi</w:t>
            </w:r>
          </w:p>
        </w:tc>
        <w:tc>
          <w:tcPr>
            <w:tcW w:w="6028" w:type="dxa"/>
            <w:tcBorders>
              <w:top w:val="single" w:sz="4" w:space="0" w:color="000000"/>
              <w:left w:val="single" w:sz="4" w:space="0" w:color="000000"/>
              <w:bottom w:val="single" w:sz="4" w:space="0" w:color="000000"/>
              <w:right w:val="single" w:sz="4" w:space="0" w:color="000000"/>
            </w:tcBorders>
            <w:vAlign w:val="center"/>
          </w:tcPr>
          <w:p w14:paraId="355B359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jarosit demir artıkları ve doğrudan özütleme artıkları için uygulanabilir.</w:t>
            </w:r>
          </w:p>
        </w:tc>
      </w:tr>
      <w:tr w:rsidR="00374C56" w:rsidRPr="00D53A2B" w14:paraId="1D421B73"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59FC4D7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2376" w:type="dxa"/>
            <w:tcBorders>
              <w:top w:val="single" w:sz="4" w:space="0" w:color="000000"/>
              <w:left w:val="single" w:sz="4" w:space="0" w:color="000000"/>
              <w:bottom w:val="single" w:sz="4" w:space="0" w:color="000000"/>
              <w:right w:val="single" w:sz="4" w:space="0" w:color="000000"/>
            </w:tcBorders>
            <w:vAlign w:val="center"/>
          </w:tcPr>
          <w:p w14:paraId="3F34167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Demir artıklarının sıkıştırılması</w:t>
            </w:r>
          </w:p>
        </w:tc>
        <w:tc>
          <w:tcPr>
            <w:tcW w:w="6028" w:type="dxa"/>
            <w:tcBorders>
              <w:top w:val="single" w:sz="4" w:space="0" w:color="000000"/>
              <w:left w:val="single" w:sz="4" w:space="0" w:color="000000"/>
              <w:bottom w:val="single" w:sz="4" w:space="0" w:color="000000"/>
              <w:right w:val="single" w:sz="4" w:space="0" w:color="000000"/>
            </w:tcBorders>
            <w:vAlign w:val="center"/>
          </w:tcPr>
          <w:p w14:paraId="4C4F677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götit artıklarına ve jips bakımından zengin atıksu arıtma tesisi çamurlarına uygulanabilir.</w:t>
            </w:r>
          </w:p>
        </w:tc>
      </w:tr>
    </w:tbl>
    <w:p w14:paraId="0C23D9FB" w14:textId="77777777" w:rsidR="00374C56" w:rsidRPr="00D53A2B" w:rsidRDefault="00374C56" w:rsidP="00A202FD">
      <w:pPr>
        <w:jc w:val="both"/>
        <w:rPr>
          <w:spacing w:val="2"/>
          <w:lang w:eastAsia="en-US"/>
        </w:rPr>
      </w:pPr>
    </w:p>
    <w:p w14:paraId="566E256F" w14:textId="77777777" w:rsidR="00374C56" w:rsidRPr="00D53A2B" w:rsidRDefault="00374C56" w:rsidP="00A202FD">
      <w:pPr>
        <w:spacing w:after="40"/>
        <w:jc w:val="both"/>
        <w:rPr>
          <w:b/>
          <w:spacing w:val="2"/>
          <w:lang w:eastAsia="en-US"/>
        </w:rPr>
      </w:pPr>
      <w:r w:rsidRPr="00D53A2B">
        <w:rPr>
          <w:b/>
          <w:spacing w:val="2"/>
          <w:lang w:eastAsia="en-US"/>
        </w:rPr>
        <w:t>Açıklama</w:t>
      </w:r>
    </w:p>
    <w:p w14:paraId="5A9EF674" w14:textId="77777777" w:rsidR="00374C56" w:rsidRPr="00D53A2B" w:rsidRDefault="00374C56" w:rsidP="00A202FD">
      <w:pPr>
        <w:spacing w:after="240"/>
        <w:jc w:val="both"/>
        <w:rPr>
          <w:lang w:eastAsia="en-US"/>
        </w:rPr>
      </w:pPr>
      <w:r w:rsidRPr="00D53A2B">
        <w:rPr>
          <w:b/>
          <w:bCs/>
          <w:lang w:eastAsia="en-US"/>
        </w:rPr>
        <w:t>MET 118(b):</w:t>
      </w:r>
      <w:r w:rsidRPr="00D53A2B">
        <w:rPr>
          <w:lang w:eastAsia="en-US"/>
        </w:rPr>
        <w:t xml:space="preserve"> Jarofix prosesi, jarosit çökeltilerinin Portland çimentosu, kireç ve su ile karıştırılmasından oluşur. </w:t>
      </w:r>
    </w:p>
    <w:p w14:paraId="1F61A5E5" w14:textId="38A8B5CD" w:rsidR="00374C56" w:rsidRPr="00D53A2B" w:rsidRDefault="00374C56" w:rsidP="00A202FD">
      <w:pPr>
        <w:spacing w:after="240"/>
        <w:jc w:val="both"/>
        <w:rPr>
          <w:lang w:eastAsia="en-US"/>
        </w:rPr>
      </w:pPr>
      <w:r w:rsidRPr="00D53A2B">
        <w:rPr>
          <w:b/>
          <w:bCs/>
          <w:lang w:eastAsia="en-US"/>
        </w:rPr>
        <w:t>MET 118(c):</w:t>
      </w:r>
      <w:r w:rsidRPr="00D53A2B">
        <w:rPr>
          <w:lang w:eastAsia="en-US"/>
        </w:rPr>
        <w:t xml:space="preserve"> Sülfidasyon prosesi, </w:t>
      </w:r>
      <w:r w:rsidR="00BD08FC" w:rsidRPr="00D53A2B">
        <w:rPr>
          <w:lang w:eastAsia="en-US"/>
        </w:rPr>
        <w:t>kalıntılara</w:t>
      </w:r>
      <w:r w:rsidRPr="00D53A2B">
        <w:rPr>
          <w:lang w:eastAsia="en-US"/>
        </w:rPr>
        <w:t xml:space="preserve"> bir yıkama tankında ve sülfidasyon reaktöründe NaOH ve Na</w:t>
      </w:r>
      <w:r w:rsidRPr="00D53A2B">
        <w:rPr>
          <w:vertAlign w:val="subscript"/>
          <w:lang w:eastAsia="en-US"/>
        </w:rPr>
        <w:t>2</w:t>
      </w:r>
      <w:r w:rsidRPr="00D53A2B">
        <w:rPr>
          <w:lang w:eastAsia="en-US"/>
        </w:rPr>
        <w:t xml:space="preserve">S eklenmesinden oluşur. </w:t>
      </w:r>
    </w:p>
    <w:p w14:paraId="4F258690" w14:textId="609491AD" w:rsidR="00374C56" w:rsidRPr="00D53A2B" w:rsidRDefault="00374C56" w:rsidP="00A202FD">
      <w:pPr>
        <w:spacing w:after="240"/>
        <w:jc w:val="both"/>
        <w:rPr>
          <w:lang w:eastAsia="en-US"/>
        </w:rPr>
      </w:pPr>
      <w:r w:rsidRPr="00D53A2B">
        <w:rPr>
          <w:b/>
          <w:bCs/>
          <w:lang w:eastAsia="en-US"/>
        </w:rPr>
        <w:t>MET118(d):</w:t>
      </w:r>
      <w:r w:rsidRPr="00D53A2B">
        <w:rPr>
          <w:lang w:eastAsia="en-US"/>
        </w:rPr>
        <w:t xml:space="preserve"> Demir </w:t>
      </w:r>
      <w:r w:rsidR="00BD08FC" w:rsidRPr="00D53A2B">
        <w:rPr>
          <w:lang w:eastAsia="en-US"/>
        </w:rPr>
        <w:t>kalıntılarının</w:t>
      </w:r>
      <w:r w:rsidRPr="00D53A2B">
        <w:rPr>
          <w:lang w:eastAsia="en-US"/>
        </w:rPr>
        <w:t xml:space="preserve"> sıkıştırılması işlemi, filtreler yardımıyla ve kireç ya da diğer maddelerin eklenmesi yoluyla nem i</w:t>
      </w:r>
      <w:r w:rsidR="000A48EC" w:rsidRPr="00D53A2B">
        <w:rPr>
          <w:lang w:eastAsia="en-US"/>
        </w:rPr>
        <w:t>çeriğinin azaltılmasını içerir.</w:t>
      </w:r>
    </w:p>
    <w:p w14:paraId="6DA825BE" w14:textId="3D3B7624" w:rsidR="00374C56" w:rsidRPr="00D53A2B" w:rsidRDefault="00BD08FC" w:rsidP="00A202FD">
      <w:pPr>
        <w:pStyle w:val="Balk4"/>
        <w:rPr>
          <w:rFonts w:cs="Times New Roman"/>
          <w:lang w:eastAsia="en-US"/>
        </w:rPr>
      </w:pPr>
      <w:bookmarkStart w:id="111" w:name="_Toc527940728"/>
      <w:bookmarkStart w:id="112" w:name="_Toc531927884"/>
      <w:r w:rsidRPr="00D53A2B">
        <w:rPr>
          <w:rFonts w:cs="Times New Roman"/>
          <w:lang w:eastAsia="en-US"/>
        </w:rPr>
        <w:t>1.</w:t>
      </w:r>
      <w:r w:rsidR="00374C56" w:rsidRPr="00D53A2B">
        <w:rPr>
          <w:rFonts w:cs="Times New Roman"/>
          <w:lang w:eastAsia="en-US"/>
        </w:rPr>
        <w:t>5.1.2. Pirometalurjik çinko üretimi</w:t>
      </w:r>
      <w:bookmarkEnd w:id="111"/>
      <w:bookmarkEnd w:id="112"/>
    </w:p>
    <w:p w14:paraId="66BCD3AC" w14:textId="647DF7C7" w:rsidR="00374C56" w:rsidRPr="00D53A2B" w:rsidRDefault="00BD08FC" w:rsidP="00A202FD">
      <w:pPr>
        <w:pStyle w:val="Balk5"/>
        <w:ind w:left="1134" w:hanging="1134"/>
        <w:rPr>
          <w:szCs w:val="24"/>
        </w:rPr>
      </w:pPr>
      <w:r w:rsidRPr="00D53A2B">
        <w:rPr>
          <w:szCs w:val="24"/>
        </w:rPr>
        <w:t>1.</w:t>
      </w:r>
      <w:r w:rsidR="00374C56" w:rsidRPr="00D53A2B">
        <w:rPr>
          <w:szCs w:val="24"/>
        </w:rPr>
        <w:t>5.1.2.1.</w:t>
      </w:r>
      <w:r w:rsidRPr="00D53A2B">
        <w:rPr>
          <w:szCs w:val="24"/>
        </w:rPr>
        <w:t xml:space="preserve"> </w:t>
      </w:r>
      <w:r w:rsidR="00374C56" w:rsidRPr="00D53A2B">
        <w:rPr>
          <w:szCs w:val="24"/>
        </w:rPr>
        <w:t>Havaya salınan emisyonlar</w:t>
      </w:r>
    </w:p>
    <w:p w14:paraId="75114BD1" w14:textId="1C288F9A" w:rsidR="00374C56" w:rsidRPr="00D53A2B" w:rsidRDefault="00BD08FC" w:rsidP="00A202FD">
      <w:pPr>
        <w:keepNext/>
        <w:keepLines/>
        <w:spacing w:before="40"/>
        <w:ind w:left="1418" w:hanging="1418"/>
        <w:jc w:val="both"/>
        <w:outlineLvl w:val="6"/>
        <w:rPr>
          <w:b/>
          <w:iCs/>
          <w:lang w:eastAsia="en-US"/>
        </w:rPr>
      </w:pPr>
      <w:r w:rsidRPr="00D53A2B">
        <w:rPr>
          <w:b/>
          <w:iCs/>
          <w:lang w:eastAsia="en-US"/>
        </w:rPr>
        <w:t>1.</w:t>
      </w:r>
      <w:r w:rsidR="00374C56" w:rsidRPr="00D53A2B">
        <w:rPr>
          <w:b/>
          <w:iCs/>
          <w:lang w:eastAsia="en-US"/>
        </w:rPr>
        <w:t>5.1.2.1.1.</w:t>
      </w:r>
      <w:r w:rsidRPr="00D53A2B">
        <w:rPr>
          <w:b/>
          <w:iCs/>
          <w:lang w:eastAsia="en-US"/>
        </w:rPr>
        <w:t xml:space="preserve"> Bacagazı</w:t>
      </w:r>
      <w:r w:rsidR="00374C56" w:rsidRPr="00D53A2B">
        <w:rPr>
          <w:b/>
          <w:iCs/>
          <w:lang w:eastAsia="en-US"/>
        </w:rPr>
        <w:t xml:space="preserve"> toz emisyonları</w:t>
      </w:r>
    </w:p>
    <w:p w14:paraId="33968511" w14:textId="094856D6" w:rsidR="00374C56" w:rsidRPr="00D53A2B" w:rsidRDefault="000A48EC" w:rsidP="00A202FD">
      <w:pPr>
        <w:pStyle w:val="MET"/>
        <w:rPr>
          <w:szCs w:val="24"/>
        </w:rPr>
      </w:pPr>
      <w:r w:rsidRPr="00D53A2B">
        <w:rPr>
          <w:szCs w:val="24"/>
        </w:rPr>
        <w:t>MET 119:</w:t>
      </w:r>
      <w:r w:rsidR="00374C56" w:rsidRPr="00D53A2B">
        <w:rPr>
          <w:szCs w:val="24"/>
        </w:rPr>
        <w:t xml:space="preserve"> </w:t>
      </w:r>
      <w:r w:rsidR="00374C56" w:rsidRPr="00D53A2B">
        <w:rPr>
          <w:b w:val="0"/>
          <w:bCs/>
          <w:szCs w:val="24"/>
        </w:rPr>
        <w:t>Pirometalurjik çinko üretiminden kaynaklanan ve havaya salınan toz ve metal emisyonlarının (sülfürik asit tesisine yönlendirilenler hariç) azaltılması için torba filtre kullanılır.</w:t>
      </w:r>
      <w:r w:rsidR="00374C56" w:rsidRPr="00D53A2B">
        <w:rPr>
          <w:szCs w:val="24"/>
        </w:rPr>
        <w:t xml:space="preserve"> </w:t>
      </w:r>
    </w:p>
    <w:p w14:paraId="307BA5A2" w14:textId="77777777" w:rsidR="00374C56" w:rsidRPr="00D53A2B" w:rsidRDefault="00374C56" w:rsidP="00A202FD">
      <w:pPr>
        <w:spacing w:after="40"/>
        <w:jc w:val="both"/>
        <w:rPr>
          <w:b/>
          <w:spacing w:val="2"/>
          <w:lang w:eastAsia="en-US"/>
        </w:rPr>
      </w:pPr>
      <w:r w:rsidRPr="00D53A2B">
        <w:rPr>
          <w:b/>
          <w:spacing w:val="2"/>
          <w:lang w:eastAsia="en-US"/>
        </w:rPr>
        <w:t>Uygulanabilirlik</w:t>
      </w:r>
    </w:p>
    <w:p w14:paraId="128E0422" w14:textId="23AA126D" w:rsidR="00374C56" w:rsidRPr="00D53A2B" w:rsidRDefault="00374C56" w:rsidP="00A202FD">
      <w:pPr>
        <w:spacing w:after="240"/>
        <w:jc w:val="both"/>
        <w:rPr>
          <w:lang w:eastAsia="en-US"/>
        </w:rPr>
      </w:pPr>
      <w:r w:rsidRPr="00D53A2B">
        <w:rPr>
          <w:lang w:eastAsia="en-US"/>
        </w:rPr>
        <w:t xml:space="preserve">Konsantrelerdeki organik karbon içeriğinin yüksek olması durumunda (örneğin ağırlıkça yaklaşık %10), torbaların tıkanması nedeniyle torba filtrelerin kullanılması uygun olmayabilir ve diğer teknikler (örneğin ıslak </w:t>
      </w:r>
      <w:r w:rsidR="00BD08FC" w:rsidRPr="00D53A2B">
        <w:rPr>
          <w:lang w:eastAsia="en-US"/>
        </w:rPr>
        <w:t>yıkama</w:t>
      </w:r>
      <w:r w:rsidRPr="00D53A2B">
        <w:rPr>
          <w:lang w:eastAsia="en-US"/>
        </w:rPr>
        <w:t>) kullanılabilir.</w:t>
      </w:r>
    </w:p>
    <w:p w14:paraId="6D413C61" w14:textId="77777777" w:rsidR="00374C56" w:rsidRPr="00D53A2B" w:rsidRDefault="00374C56" w:rsidP="00A202FD">
      <w:pPr>
        <w:spacing w:after="240"/>
        <w:jc w:val="both"/>
        <w:rPr>
          <w:lang w:eastAsia="en-US"/>
        </w:rPr>
      </w:pPr>
      <w:r w:rsidRPr="00D53A2B">
        <w:rPr>
          <w:b/>
          <w:lang w:eastAsia="en-US"/>
        </w:rPr>
        <w:t xml:space="preserve">MET ile ilişkili emisyon seviyeleri: </w:t>
      </w:r>
      <w:r w:rsidRPr="00D53A2B">
        <w:rPr>
          <w:lang w:eastAsia="en-US"/>
        </w:rPr>
        <w:t>Bkz. Tablo 31.</w:t>
      </w:r>
    </w:p>
    <w:p w14:paraId="220BCEE8" w14:textId="77777777" w:rsidR="00070FEA" w:rsidRPr="00D53A2B" w:rsidRDefault="00374C56" w:rsidP="00A202FD">
      <w:pPr>
        <w:spacing w:before="120" w:after="120"/>
        <w:jc w:val="both"/>
        <w:rPr>
          <w:bCs/>
          <w:iCs/>
          <w:spacing w:val="2"/>
          <w:lang w:eastAsia="en-US"/>
        </w:rPr>
      </w:pPr>
      <w:bookmarkStart w:id="113" w:name="_Toc527941349"/>
      <w:bookmarkStart w:id="114" w:name="_Toc531927972"/>
      <w:r w:rsidRPr="00D53A2B">
        <w:rPr>
          <w:bCs/>
          <w:iCs/>
          <w:spacing w:val="2"/>
          <w:lang w:eastAsia="en-US"/>
        </w:rPr>
        <w:t xml:space="preserve">Tablo </w:t>
      </w:r>
      <w:r w:rsidRPr="00D53A2B">
        <w:rPr>
          <w:bCs/>
          <w:iCs/>
          <w:noProof/>
          <w:spacing w:val="2"/>
          <w:lang w:eastAsia="en-US"/>
        </w:rPr>
        <w:t>31</w:t>
      </w:r>
    </w:p>
    <w:p w14:paraId="7AB63FA2" w14:textId="09BC90CD" w:rsidR="00374C56" w:rsidRPr="00D53A2B" w:rsidRDefault="00374C56" w:rsidP="00A202FD">
      <w:pPr>
        <w:spacing w:before="120" w:after="120"/>
        <w:jc w:val="both"/>
        <w:rPr>
          <w:bCs/>
          <w:iCs/>
          <w:spacing w:val="2"/>
          <w:lang w:eastAsia="en-US"/>
        </w:rPr>
      </w:pPr>
      <w:r w:rsidRPr="00D53A2B">
        <w:rPr>
          <w:bCs/>
          <w:iCs/>
          <w:spacing w:val="2"/>
          <w:lang w:eastAsia="en-US"/>
        </w:rPr>
        <w:t>Pirometalurjik çinko üretiminden kaynaklanan ve havaya salınan toz emisyonları (sülfürik asit tesisine yönlendirilenler hariç) ile ilgili MET için emisyon seviyeleri</w:t>
      </w:r>
      <w:bookmarkEnd w:id="113"/>
      <w:bookmarkEnd w:id="114"/>
    </w:p>
    <w:tbl>
      <w:tblPr>
        <w:tblW w:w="8721" w:type="dxa"/>
        <w:tblInd w:w="5" w:type="dxa"/>
        <w:tblLayout w:type="fixed"/>
        <w:tblCellMar>
          <w:left w:w="0" w:type="dxa"/>
          <w:right w:w="0" w:type="dxa"/>
        </w:tblCellMar>
        <w:tblLook w:val="01E0" w:firstRow="1" w:lastRow="1" w:firstColumn="1" w:lastColumn="1" w:noHBand="0" w:noVBand="0"/>
      </w:tblPr>
      <w:tblGrid>
        <w:gridCol w:w="4220"/>
        <w:gridCol w:w="4501"/>
      </w:tblGrid>
      <w:tr w:rsidR="00374C56" w:rsidRPr="00D53A2B" w14:paraId="26E3E3AD" w14:textId="77777777" w:rsidTr="00374C56">
        <w:tc>
          <w:tcPr>
            <w:tcW w:w="4220" w:type="dxa"/>
            <w:tcBorders>
              <w:top w:val="single" w:sz="4" w:space="0" w:color="000000"/>
              <w:left w:val="single" w:sz="4" w:space="0" w:color="000000"/>
              <w:bottom w:val="single" w:sz="4" w:space="0" w:color="000000"/>
              <w:right w:val="single" w:sz="4" w:space="0" w:color="000000"/>
            </w:tcBorders>
          </w:tcPr>
          <w:p w14:paraId="3CB4275B"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4501" w:type="dxa"/>
            <w:tcBorders>
              <w:top w:val="single" w:sz="4" w:space="0" w:color="000000"/>
              <w:left w:val="single" w:sz="4" w:space="0" w:color="000000"/>
              <w:bottom w:val="single" w:sz="4" w:space="0" w:color="000000"/>
              <w:right w:val="single" w:sz="4" w:space="0" w:color="000000"/>
            </w:tcBorders>
          </w:tcPr>
          <w:p w14:paraId="6656B17D"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w:t>
            </w:r>
            <w:r w:rsidRPr="00D53A2B">
              <w:rPr>
                <w:b/>
                <w:bCs/>
                <w:sz w:val="22"/>
                <w:szCs w:val="22"/>
                <w:vertAlign w:val="superscript"/>
                <w:lang w:eastAsia="en-US"/>
              </w:rPr>
              <w:t>1</w:t>
            </w:r>
            <w:r w:rsidRPr="00D53A2B">
              <w:rPr>
                <w:b/>
                <w:bCs/>
                <w:sz w:val="22"/>
                <w:szCs w:val="22"/>
                <w:lang w:eastAsia="en-US"/>
              </w:rPr>
              <w:t>)(</w:t>
            </w:r>
            <w:r w:rsidRPr="00D53A2B">
              <w:rPr>
                <w:b/>
                <w:bCs/>
                <w:sz w:val="22"/>
                <w:szCs w:val="22"/>
                <w:vertAlign w:val="superscript"/>
                <w:lang w:eastAsia="en-US"/>
              </w:rPr>
              <w:t>2</w:t>
            </w:r>
            <w:r w:rsidRPr="00D53A2B">
              <w:rPr>
                <w:b/>
                <w:bCs/>
                <w:sz w:val="22"/>
                <w:szCs w:val="22"/>
                <w:lang w:eastAsia="en-US"/>
              </w:rPr>
              <w:t>)</w:t>
            </w:r>
          </w:p>
        </w:tc>
      </w:tr>
      <w:tr w:rsidR="00374C56" w:rsidRPr="00D53A2B" w14:paraId="5ACC9AB4" w14:textId="77777777" w:rsidTr="00374C56">
        <w:tc>
          <w:tcPr>
            <w:tcW w:w="4220" w:type="dxa"/>
            <w:tcBorders>
              <w:top w:val="single" w:sz="4" w:space="0" w:color="000000"/>
              <w:left w:val="single" w:sz="4" w:space="0" w:color="000000"/>
              <w:bottom w:val="single" w:sz="4" w:space="0" w:color="000000"/>
              <w:right w:val="single" w:sz="4" w:space="0" w:color="000000"/>
            </w:tcBorders>
          </w:tcPr>
          <w:p w14:paraId="0FA2207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4501" w:type="dxa"/>
            <w:tcBorders>
              <w:top w:val="single" w:sz="4" w:space="0" w:color="000000"/>
              <w:left w:val="single" w:sz="4" w:space="0" w:color="000000"/>
              <w:bottom w:val="single" w:sz="4" w:space="0" w:color="000000"/>
              <w:right w:val="single" w:sz="4" w:space="0" w:color="000000"/>
            </w:tcBorders>
          </w:tcPr>
          <w:p w14:paraId="59C44D0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w:t>
            </w:r>
          </w:p>
        </w:tc>
      </w:tr>
      <w:tr w:rsidR="00374C56" w:rsidRPr="00D53A2B" w14:paraId="4DB26381"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7657C0F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1</w:t>
            </w:r>
            <w:r w:rsidRPr="00D53A2B">
              <w:rPr>
                <w:sz w:val="22"/>
                <w:szCs w:val="22"/>
                <w:lang w:eastAsia="en-US"/>
              </w:rPr>
              <w:t>) Günlük değerlerin veya örnekleme dönemi boyunca alınan değerlerin ortalaması</w:t>
            </w:r>
          </w:p>
          <w:p w14:paraId="1F92617B" w14:textId="1A707C6A"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2</w:t>
            </w:r>
            <w:r w:rsidRPr="00D53A2B">
              <w:rPr>
                <w:sz w:val="22"/>
                <w:szCs w:val="22"/>
                <w:lang w:eastAsia="en-US"/>
              </w:rPr>
              <w:t>) Bir torba filtre uygulanamadığı zaman, aralığın üst sınırı 10 mg/Nm</w:t>
            </w:r>
            <w:r w:rsidRPr="00D53A2B">
              <w:rPr>
                <w:sz w:val="22"/>
                <w:szCs w:val="22"/>
                <w:vertAlign w:val="superscript"/>
                <w:lang w:eastAsia="en-US"/>
              </w:rPr>
              <w:t>3</w:t>
            </w:r>
            <w:r w:rsidR="00E56504" w:rsidRPr="00D53A2B">
              <w:rPr>
                <w:sz w:val="22"/>
                <w:szCs w:val="22"/>
                <w:lang w:eastAsia="en-US"/>
              </w:rPr>
              <w:t>’</w:t>
            </w:r>
            <w:r w:rsidRPr="00D53A2B">
              <w:rPr>
                <w:sz w:val="22"/>
                <w:szCs w:val="22"/>
                <w:lang w:eastAsia="en-US"/>
              </w:rPr>
              <w:t>dır.</w:t>
            </w:r>
          </w:p>
        </w:tc>
      </w:tr>
    </w:tbl>
    <w:p w14:paraId="4FA03211" w14:textId="0434165C"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4FAD86B9" w14:textId="2EA9B5E3" w:rsidR="00374C56" w:rsidRPr="00D53A2B" w:rsidRDefault="000A48EC" w:rsidP="00A202FD">
      <w:pPr>
        <w:pStyle w:val="MET"/>
        <w:rPr>
          <w:szCs w:val="24"/>
        </w:rPr>
      </w:pPr>
      <w:r w:rsidRPr="00D53A2B">
        <w:rPr>
          <w:szCs w:val="24"/>
        </w:rPr>
        <w:t>MET 120:</w:t>
      </w:r>
      <w:r w:rsidR="00374C56" w:rsidRPr="00D53A2B">
        <w:rPr>
          <w:szCs w:val="24"/>
        </w:rPr>
        <w:t xml:space="preserve"> </w:t>
      </w:r>
      <w:r w:rsidR="00374C56" w:rsidRPr="00D53A2B">
        <w:rPr>
          <w:b w:val="0"/>
          <w:bCs/>
          <w:szCs w:val="24"/>
        </w:rPr>
        <w:t>Pirometalurjik çinko üretiminden kaynaklanan ve havaya salınan SO</w:t>
      </w:r>
      <w:r w:rsidR="00374C56" w:rsidRPr="00D53A2B">
        <w:rPr>
          <w:b w:val="0"/>
          <w:bCs/>
          <w:szCs w:val="24"/>
          <w:vertAlign w:val="subscript"/>
        </w:rPr>
        <w:t>2</w:t>
      </w:r>
      <w:r w:rsidR="00374C56" w:rsidRPr="00D53A2B">
        <w:rPr>
          <w:b w:val="0"/>
          <w:bCs/>
          <w:szCs w:val="24"/>
        </w:rPr>
        <w:t xml:space="preserve"> emisyonlarının (sülfürik asit tesisine yönlendirilenler hariç) azaltılması için kullanılan MET ıslak desülfürizasyon tekniği kullanılır.</w:t>
      </w:r>
    </w:p>
    <w:p w14:paraId="4F164B29" w14:textId="77777777" w:rsidR="00374C56" w:rsidRPr="00D53A2B" w:rsidRDefault="00374C56" w:rsidP="00A202FD">
      <w:pPr>
        <w:spacing w:after="240"/>
        <w:jc w:val="both"/>
        <w:rPr>
          <w:lang w:eastAsia="en-US"/>
        </w:rPr>
      </w:pPr>
      <w:r w:rsidRPr="00D53A2B">
        <w:rPr>
          <w:b/>
          <w:lang w:eastAsia="en-US"/>
        </w:rPr>
        <w:t xml:space="preserve">MET ile ilişkili emisyon seviyeleri: </w:t>
      </w:r>
      <w:r w:rsidRPr="00D53A2B">
        <w:rPr>
          <w:lang w:eastAsia="en-US"/>
        </w:rPr>
        <w:t>Bkz. Tablo 32.</w:t>
      </w:r>
      <w:bookmarkStart w:id="115" w:name="_Hlk522350081"/>
      <w:bookmarkStart w:id="116" w:name="_Toc527941350"/>
      <w:bookmarkStart w:id="117" w:name="_Toc531927973"/>
    </w:p>
    <w:p w14:paraId="715C5D70" w14:textId="77777777" w:rsidR="00070FEA" w:rsidRPr="00D53A2B" w:rsidRDefault="00374C56" w:rsidP="00A202FD">
      <w:pPr>
        <w:jc w:val="both"/>
        <w:rPr>
          <w:bCs/>
          <w:iCs/>
          <w:spacing w:val="2"/>
          <w:lang w:eastAsia="en-US"/>
        </w:rPr>
      </w:pPr>
      <w:r w:rsidRPr="00D53A2B">
        <w:rPr>
          <w:bCs/>
          <w:iCs/>
          <w:spacing w:val="2"/>
          <w:lang w:eastAsia="en-US"/>
        </w:rPr>
        <w:t>Tablo 32</w:t>
      </w:r>
      <w:bookmarkEnd w:id="115"/>
    </w:p>
    <w:p w14:paraId="254E4993" w14:textId="3AF202A6" w:rsidR="00374C56" w:rsidRPr="00D53A2B" w:rsidRDefault="00374C56" w:rsidP="00A202FD">
      <w:pPr>
        <w:jc w:val="both"/>
        <w:rPr>
          <w:bCs/>
          <w:spacing w:val="2"/>
          <w:lang w:eastAsia="en-US"/>
        </w:rPr>
      </w:pPr>
      <w:r w:rsidRPr="00D53A2B">
        <w:rPr>
          <w:bCs/>
          <w:iCs/>
          <w:spacing w:val="2"/>
          <w:lang w:eastAsia="en-US"/>
        </w:rPr>
        <w:t>Pirometalurjik çinko üretiminden kaynaklanan ve havaya salınan SO</w:t>
      </w:r>
      <w:r w:rsidRPr="00D53A2B">
        <w:rPr>
          <w:bCs/>
          <w:iCs/>
          <w:spacing w:val="2"/>
          <w:vertAlign w:val="subscript"/>
          <w:lang w:eastAsia="en-US"/>
        </w:rPr>
        <w:t>2</w:t>
      </w:r>
      <w:r w:rsidRPr="00D53A2B">
        <w:rPr>
          <w:bCs/>
          <w:iCs/>
          <w:spacing w:val="2"/>
          <w:lang w:eastAsia="en-US"/>
        </w:rPr>
        <w:t xml:space="preserve"> emisyonları (sülfürik asit tesisine yönlendirilenler hariç) ile ilgili MET için emisyon seviyeleri</w:t>
      </w:r>
      <w:bookmarkEnd w:id="116"/>
      <w:bookmarkEnd w:id="117"/>
    </w:p>
    <w:tbl>
      <w:tblPr>
        <w:tblW w:w="0" w:type="auto"/>
        <w:tblInd w:w="5" w:type="dxa"/>
        <w:tblLayout w:type="fixed"/>
        <w:tblCellMar>
          <w:left w:w="0" w:type="dxa"/>
          <w:right w:w="0" w:type="dxa"/>
        </w:tblCellMar>
        <w:tblLook w:val="01E0" w:firstRow="1" w:lastRow="1" w:firstColumn="1" w:lastColumn="1" w:noHBand="0" w:noVBand="0"/>
      </w:tblPr>
      <w:tblGrid>
        <w:gridCol w:w="4220"/>
        <w:gridCol w:w="4501"/>
      </w:tblGrid>
      <w:tr w:rsidR="00374C56" w:rsidRPr="00D53A2B" w14:paraId="6BFCD04F" w14:textId="77777777" w:rsidTr="00374C56">
        <w:tc>
          <w:tcPr>
            <w:tcW w:w="4220" w:type="dxa"/>
            <w:tcBorders>
              <w:top w:val="single" w:sz="4" w:space="0" w:color="000000"/>
              <w:left w:val="single" w:sz="4" w:space="0" w:color="000000"/>
              <w:bottom w:val="single" w:sz="4" w:space="0" w:color="000000"/>
              <w:right w:val="single" w:sz="4" w:space="0" w:color="000000"/>
            </w:tcBorders>
          </w:tcPr>
          <w:p w14:paraId="47695289"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4501" w:type="dxa"/>
            <w:tcBorders>
              <w:top w:val="single" w:sz="4" w:space="0" w:color="000000"/>
              <w:left w:val="single" w:sz="4" w:space="0" w:color="000000"/>
              <w:bottom w:val="single" w:sz="4" w:space="0" w:color="000000"/>
              <w:right w:val="single" w:sz="4" w:space="0" w:color="000000"/>
            </w:tcBorders>
          </w:tcPr>
          <w:p w14:paraId="2E902C36"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(1)</w:t>
            </w:r>
          </w:p>
        </w:tc>
      </w:tr>
      <w:tr w:rsidR="00374C56" w:rsidRPr="00D53A2B" w14:paraId="3C1D47E1" w14:textId="77777777" w:rsidTr="00374C56">
        <w:tc>
          <w:tcPr>
            <w:tcW w:w="4220" w:type="dxa"/>
            <w:tcBorders>
              <w:top w:val="single" w:sz="4" w:space="0" w:color="000000"/>
              <w:left w:val="single" w:sz="4" w:space="0" w:color="000000"/>
              <w:bottom w:val="single" w:sz="4" w:space="0" w:color="000000"/>
              <w:right w:val="single" w:sz="4" w:space="0" w:color="000000"/>
            </w:tcBorders>
          </w:tcPr>
          <w:p w14:paraId="5CD0457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SO</w:t>
            </w:r>
            <w:r w:rsidRPr="00D53A2B">
              <w:rPr>
                <w:sz w:val="22"/>
                <w:szCs w:val="22"/>
                <w:vertAlign w:val="subscript"/>
                <w:lang w:eastAsia="en-US"/>
              </w:rPr>
              <w:t>2</w:t>
            </w:r>
          </w:p>
        </w:tc>
        <w:tc>
          <w:tcPr>
            <w:tcW w:w="4501" w:type="dxa"/>
            <w:tcBorders>
              <w:top w:val="single" w:sz="4" w:space="0" w:color="000000"/>
              <w:left w:val="single" w:sz="4" w:space="0" w:color="000000"/>
              <w:bottom w:val="single" w:sz="4" w:space="0" w:color="000000"/>
              <w:right w:val="single" w:sz="4" w:space="0" w:color="000000"/>
            </w:tcBorders>
          </w:tcPr>
          <w:p w14:paraId="3D06775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500</w:t>
            </w:r>
          </w:p>
        </w:tc>
      </w:tr>
      <w:tr w:rsidR="00374C56" w:rsidRPr="00D53A2B" w14:paraId="2F545BEB"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4A5B659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1</w:t>
            </w:r>
            <w:r w:rsidRPr="00D53A2B">
              <w:rPr>
                <w:sz w:val="22"/>
                <w:szCs w:val="22"/>
                <w:lang w:eastAsia="en-US"/>
              </w:rPr>
              <w:t>) Günlük değerlerin ortalaması</w:t>
            </w:r>
          </w:p>
        </w:tc>
      </w:tr>
    </w:tbl>
    <w:p w14:paraId="525723F5" w14:textId="77777777" w:rsidR="00374C56" w:rsidRPr="00D53A2B" w:rsidRDefault="00374C56" w:rsidP="00A202FD">
      <w:pPr>
        <w:jc w:val="both"/>
        <w:rPr>
          <w:spacing w:val="2"/>
          <w:lang w:eastAsia="en-US"/>
        </w:rPr>
      </w:pPr>
    </w:p>
    <w:p w14:paraId="740B42D2" w14:textId="0FCC3F09" w:rsidR="00374C56" w:rsidRPr="00D53A2B" w:rsidRDefault="00374C56" w:rsidP="00A202FD">
      <w:pPr>
        <w:spacing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6F0F63CE" w14:textId="134F0845" w:rsidR="00374C56" w:rsidRPr="00D53A2B" w:rsidRDefault="00BD08FC" w:rsidP="00A202FD">
      <w:pPr>
        <w:pStyle w:val="Balk3"/>
        <w:rPr>
          <w:rFonts w:cs="Times New Roman"/>
          <w:lang w:eastAsia="en-US"/>
        </w:rPr>
      </w:pPr>
      <w:bookmarkStart w:id="118" w:name="_Toc527940729"/>
      <w:bookmarkStart w:id="119" w:name="_Toc531927885"/>
      <w:r w:rsidRPr="00D53A2B">
        <w:rPr>
          <w:rFonts w:cs="Times New Roman"/>
          <w:lang w:eastAsia="en-US"/>
        </w:rPr>
        <w:t>1.</w:t>
      </w:r>
      <w:r w:rsidR="00374C56" w:rsidRPr="00D53A2B">
        <w:rPr>
          <w:rFonts w:cs="Times New Roman"/>
          <w:lang w:eastAsia="en-US"/>
        </w:rPr>
        <w:t>5.2.</w:t>
      </w:r>
      <w:r w:rsidRPr="00D53A2B">
        <w:rPr>
          <w:rFonts w:cs="Times New Roman"/>
          <w:lang w:eastAsia="en-US"/>
        </w:rPr>
        <w:t xml:space="preserve"> </w:t>
      </w:r>
      <w:r w:rsidR="00374C56" w:rsidRPr="00D53A2B">
        <w:rPr>
          <w:rFonts w:cs="Times New Roman"/>
          <w:lang w:eastAsia="en-US"/>
        </w:rPr>
        <w:t>İkincil çinko üretimi</w:t>
      </w:r>
      <w:bookmarkEnd w:id="118"/>
      <w:bookmarkEnd w:id="119"/>
      <w:r w:rsidR="00374C56" w:rsidRPr="00D53A2B">
        <w:rPr>
          <w:rFonts w:cs="Times New Roman"/>
          <w:lang w:eastAsia="en-US"/>
        </w:rPr>
        <w:t xml:space="preserve"> </w:t>
      </w:r>
    </w:p>
    <w:p w14:paraId="3C74B6DE" w14:textId="335D6E59" w:rsidR="00374C56" w:rsidRPr="00D53A2B" w:rsidRDefault="00BD08FC" w:rsidP="00A202FD">
      <w:pPr>
        <w:pStyle w:val="Balk4"/>
        <w:rPr>
          <w:rFonts w:cs="Times New Roman"/>
          <w:lang w:eastAsia="en-US"/>
        </w:rPr>
      </w:pPr>
      <w:bookmarkStart w:id="120" w:name="_Toc527940730"/>
      <w:bookmarkStart w:id="121" w:name="_Toc531927886"/>
      <w:r w:rsidRPr="00D53A2B">
        <w:rPr>
          <w:rFonts w:cs="Times New Roman"/>
          <w:lang w:eastAsia="en-US"/>
        </w:rPr>
        <w:t>1.</w:t>
      </w:r>
      <w:r w:rsidR="00374C56" w:rsidRPr="00D53A2B">
        <w:rPr>
          <w:rFonts w:cs="Times New Roman"/>
          <w:lang w:eastAsia="en-US"/>
        </w:rPr>
        <w:t>5.2.1.</w:t>
      </w:r>
      <w:r w:rsidRPr="00D53A2B">
        <w:rPr>
          <w:rFonts w:cs="Times New Roman"/>
          <w:lang w:eastAsia="en-US"/>
        </w:rPr>
        <w:t xml:space="preserve"> </w:t>
      </w:r>
      <w:r w:rsidR="00374C56" w:rsidRPr="00D53A2B">
        <w:rPr>
          <w:rFonts w:cs="Times New Roman"/>
          <w:lang w:eastAsia="en-US"/>
        </w:rPr>
        <w:t>Havaya salınan emisyonlar</w:t>
      </w:r>
      <w:bookmarkEnd w:id="120"/>
      <w:bookmarkEnd w:id="121"/>
    </w:p>
    <w:p w14:paraId="6498452D" w14:textId="7B10468B" w:rsidR="00374C56" w:rsidRPr="00D53A2B" w:rsidRDefault="00BD08FC" w:rsidP="00A202FD">
      <w:pPr>
        <w:pStyle w:val="Balk5"/>
        <w:ind w:left="1134" w:hanging="1134"/>
        <w:rPr>
          <w:szCs w:val="24"/>
        </w:rPr>
      </w:pPr>
      <w:r w:rsidRPr="00D53A2B">
        <w:rPr>
          <w:szCs w:val="24"/>
        </w:rPr>
        <w:t>1.</w:t>
      </w:r>
      <w:r w:rsidR="00374C56" w:rsidRPr="00D53A2B">
        <w:rPr>
          <w:szCs w:val="24"/>
        </w:rPr>
        <w:t>5.2.1.1.</w:t>
      </w:r>
      <w:r w:rsidR="00626B45" w:rsidRPr="00D53A2B">
        <w:rPr>
          <w:szCs w:val="24"/>
        </w:rPr>
        <w:t>Kanalize</w:t>
      </w:r>
      <w:r w:rsidR="00374C56" w:rsidRPr="00D53A2B">
        <w:rPr>
          <w:szCs w:val="24"/>
        </w:rPr>
        <w:t xml:space="preserve"> toz emisyonları</w:t>
      </w:r>
    </w:p>
    <w:p w14:paraId="40A2CA15" w14:textId="36BFF47E" w:rsidR="00374C56" w:rsidRPr="00D53A2B" w:rsidRDefault="000A48EC" w:rsidP="00A202FD">
      <w:pPr>
        <w:spacing w:after="240"/>
        <w:jc w:val="both"/>
        <w:rPr>
          <w:b/>
          <w:lang w:eastAsia="en-US"/>
        </w:rPr>
      </w:pPr>
      <w:r w:rsidRPr="00D53A2B">
        <w:rPr>
          <w:b/>
          <w:lang w:eastAsia="en-US"/>
        </w:rPr>
        <w:t>MET 121:</w:t>
      </w:r>
      <w:r w:rsidR="00374C56" w:rsidRPr="00D53A2B">
        <w:rPr>
          <w:b/>
          <w:lang w:eastAsia="en-US"/>
        </w:rPr>
        <w:t xml:space="preserve"> </w:t>
      </w:r>
      <w:r w:rsidR="00374C56" w:rsidRPr="00D53A2B">
        <w:rPr>
          <w:bCs/>
          <w:lang w:eastAsia="en-US"/>
        </w:rPr>
        <w:t>Peletleme ve cüruf işleme proseslerinden kaynaklanan ve havaya salınan toz ve metal emisyonlarının azaltılması için torba filtre kullanılır.</w:t>
      </w:r>
      <w:r w:rsidR="00374C56" w:rsidRPr="00D53A2B">
        <w:rPr>
          <w:b/>
          <w:lang w:eastAsia="en-US"/>
        </w:rPr>
        <w:t xml:space="preserve"> </w:t>
      </w:r>
    </w:p>
    <w:p w14:paraId="402F4F56" w14:textId="77777777" w:rsidR="00374C56" w:rsidRPr="00D53A2B" w:rsidRDefault="00374C56" w:rsidP="00A202FD">
      <w:pPr>
        <w:spacing w:after="240"/>
        <w:jc w:val="both"/>
        <w:rPr>
          <w:lang w:eastAsia="en-US"/>
        </w:rPr>
      </w:pPr>
      <w:r w:rsidRPr="00D53A2B">
        <w:rPr>
          <w:b/>
          <w:lang w:eastAsia="en-US"/>
        </w:rPr>
        <w:t xml:space="preserve">MET ile ilişkili emisyon seviyeleri: </w:t>
      </w:r>
      <w:r w:rsidRPr="00D53A2B">
        <w:rPr>
          <w:lang w:eastAsia="en-US"/>
        </w:rPr>
        <w:t>Bkz. Tablo 33.</w:t>
      </w:r>
    </w:p>
    <w:p w14:paraId="35232F57" w14:textId="77777777" w:rsidR="00070FEA" w:rsidRPr="00D53A2B" w:rsidRDefault="00374C56" w:rsidP="00A202FD">
      <w:pPr>
        <w:jc w:val="both"/>
        <w:rPr>
          <w:bCs/>
          <w:iCs/>
          <w:spacing w:val="2"/>
          <w:lang w:eastAsia="en-US"/>
        </w:rPr>
      </w:pPr>
      <w:bookmarkStart w:id="122" w:name="_Toc527941351"/>
      <w:bookmarkStart w:id="123" w:name="_Toc531927974"/>
      <w:r w:rsidRPr="00D53A2B">
        <w:rPr>
          <w:bCs/>
          <w:iCs/>
          <w:spacing w:val="2"/>
          <w:lang w:eastAsia="en-US"/>
        </w:rPr>
        <w:t xml:space="preserve">Tablo </w:t>
      </w:r>
      <w:r w:rsidRPr="00D53A2B">
        <w:rPr>
          <w:bCs/>
          <w:iCs/>
          <w:noProof/>
          <w:spacing w:val="2"/>
          <w:lang w:eastAsia="en-US"/>
        </w:rPr>
        <w:t>33</w:t>
      </w:r>
    </w:p>
    <w:p w14:paraId="7203698F" w14:textId="57D8D9AA" w:rsidR="00374C56" w:rsidRPr="00D53A2B" w:rsidRDefault="00374C56" w:rsidP="00A202FD">
      <w:pPr>
        <w:jc w:val="both"/>
        <w:rPr>
          <w:bCs/>
          <w:iCs/>
          <w:spacing w:val="2"/>
          <w:lang w:eastAsia="en-US"/>
        </w:rPr>
      </w:pPr>
      <w:r w:rsidRPr="00D53A2B">
        <w:rPr>
          <w:bCs/>
          <w:iCs/>
          <w:spacing w:val="2"/>
          <w:lang w:eastAsia="en-US"/>
        </w:rPr>
        <w:t>Peletleme ve cüruf işleme proseslerinden kaynaklanan ve havaya salınan toz emisyonları ile ilgili MET için emisyon seviyeleri</w:t>
      </w:r>
      <w:bookmarkEnd w:id="122"/>
      <w:bookmarkEnd w:id="123"/>
    </w:p>
    <w:tbl>
      <w:tblPr>
        <w:tblW w:w="0" w:type="auto"/>
        <w:tblInd w:w="94" w:type="dxa"/>
        <w:tblLayout w:type="fixed"/>
        <w:tblCellMar>
          <w:left w:w="0" w:type="dxa"/>
          <w:right w:w="0" w:type="dxa"/>
        </w:tblCellMar>
        <w:tblLook w:val="01E0" w:firstRow="1" w:lastRow="1" w:firstColumn="1" w:lastColumn="1" w:noHBand="0" w:noVBand="0"/>
      </w:tblPr>
      <w:tblGrid>
        <w:gridCol w:w="4220"/>
        <w:gridCol w:w="4501"/>
      </w:tblGrid>
      <w:tr w:rsidR="00374C56" w:rsidRPr="00D53A2B" w14:paraId="7E31723D" w14:textId="77777777" w:rsidTr="00374C56">
        <w:tc>
          <w:tcPr>
            <w:tcW w:w="4220" w:type="dxa"/>
            <w:tcBorders>
              <w:top w:val="single" w:sz="4" w:space="0" w:color="000000"/>
              <w:left w:val="single" w:sz="4" w:space="0" w:color="000000"/>
              <w:bottom w:val="single" w:sz="4" w:space="0" w:color="000000"/>
              <w:right w:val="single" w:sz="4" w:space="0" w:color="000000"/>
            </w:tcBorders>
          </w:tcPr>
          <w:p w14:paraId="07F5928E"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4501" w:type="dxa"/>
            <w:tcBorders>
              <w:top w:val="single" w:sz="4" w:space="0" w:color="000000"/>
              <w:left w:val="single" w:sz="4" w:space="0" w:color="000000"/>
              <w:bottom w:val="single" w:sz="4" w:space="0" w:color="000000"/>
              <w:right w:val="single" w:sz="4" w:space="0" w:color="000000"/>
            </w:tcBorders>
          </w:tcPr>
          <w:p w14:paraId="730411F2"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w:t>
            </w:r>
            <w:r w:rsidRPr="00D53A2B">
              <w:rPr>
                <w:b/>
                <w:bCs/>
                <w:sz w:val="22"/>
                <w:szCs w:val="22"/>
                <w:vertAlign w:val="superscript"/>
                <w:lang w:eastAsia="en-US"/>
              </w:rPr>
              <w:t>1</w:t>
            </w:r>
            <w:r w:rsidRPr="00D53A2B">
              <w:rPr>
                <w:b/>
                <w:bCs/>
                <w:sz w:val="22"/>
                <w:szCs w:val="22"/>
                <w:lang w:eastAsia="en-US"/>
              </w:rPr>
              <w:t>)</w:t>
            </w:r>
          </w:p>
        </w:tc>
      </w:tr>
      <w:tr w:rsidR="00374C56" w:rsidRPr="00D53A2B" w14:paraId="1F4647E2" w14:textId="77777777" w:rsidTr="00374C56">
        <w:tc>
          <w:tcPr>
            <w:tcW w:w="4220" w:type="dxa"/>
            <w:tcBorders>
              <w:top w:val="single" w:sz="4" w:space="0" w:color="000000"/>
              <w:left w:val="single" w:sz="4" w:space="0" w:color="000000"/>
              <w:bottom w:val="single" w:sz="4" w:space="0" w:color="000000"/>
              <w:right w:val="single" w:sz="4" w:space="0" w:color="000000"/>
            </w:tcBorders>
          </w:tcPr>
          <w:p w14:paraId="49F87BC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4501" w:type="dxa"/>
            <w:tcBorders>
              <w:top w:val="single" w:sz="4" w:space="0" w:color="000000"/>
              <w:left w:val="single" w:sz="4" w:space="0" w:color="000000"/>
              <w:bottom w:val="single" w:sz="4" w:space="0" w:color="000000"/>
              <w:right w:val="single" w:sz="4" w:space="0" w:color="000000"/>
            </w:tcBorders>
          </w:tcPr>
          <w:p w14:paraId="5CB1779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5</w:t>
            </w:r>
          </w:p>
        </w:tc>
      </w:tr>
      <w:tr w:rsidR="00374C56" w:rsidRPr="00D53A2B" w14:paraId="4F23A051"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6640630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1</w:t>
            </w:r>
            <w:r w:rsidRPr="00D53A2B">
              <w:rPr>
                <w:sz w:val="22"/>
                <w:szCs w:val="22"/>
                <w:lang w:eastAsia="en-US"/>
              </w:rPr>
              <w:t>) Örnekleme dönemi boyunca alınan değerlerin ortalaması</w:t>
            </w:r>
          </w:p>
        </w:tc>
      </w:tr>
    </w:tbl>
    <w:p w14:paraId="24CA13AD" w14:textId="77777777" w:rsidR="00374C56" w:rsidRPr="00D53A2B" w:rsidRDefault="00374C56" w:rsidP="00A202FD">
      <w:pPr>
        <w:jc w:val="both"/>
        <w:rPr>
          <w:spacing w:val="2"/>
          <w:lang w:eastAsia="en-US"/>
        </w:rPr>
      </w:pPr>
    </w:p>
    <w:p w14:paraId="76A7C942" w14:textId="3B339E4C" w:rsidR="00374C56" w:rsidRPr="00D53A2B" w:rsidRDefault="00374C56" w:rsidP="00A202FD">
      <w:pPr>
        <w:spacing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1DE0D40D" w14:textId="2D987F09" w:rsidR="00374C56" w:rsidRPr="00D53A2B" w:rsidRDefault="000A48EC" w:rsidP="00A202FD">
      <w:pPr>
        <w:spacing w:after="240"/>
        <w:jc w:val="both"/>
        <w:rPr>
          <w:b/>
          <w:lang w:eastAsia="en-US"/>
        </w:rPr>
      </w:pPr>
      <w:r w:rsidRPr="00D53A2B">
        <w:rPr>
          <w:b/>
          <w:lang w:eastAsia="en-US"/>
        </w:rPr>
        <w:t>MET 122:</w:t>
      </w:r>
      <w:r w:rsidR="00374C56" w:rsidRPr="00D53A2B">
        <w:rPr>
          <w:b/>
          <w:lang w:eastAsia="en-US"/>
        </w:rPr>
        <w:t xml:space="preserve"> </w:t>
      </w:r>
      <w:r w:rsidR="00374C56" w:rsidRPr="00D53A2B">
        <w:rPr>
          <w:bCs/>
          <w:lang w:eastAsia="en-US"/>
        </w:rPr>
        <w:t>Metalik ve karışık metalik/oksidik akımların ergitilmesinden, cüruf dumanlaştırma fırınından ve Waelz fırınından gelen ve havaya salınan toz ve metal emisyonlarını azaltmak için torba filtre kullan</w:t>
      </w:r>
      <w:r w:rsidR="00914012" w:rsidRPr="00D53A2B">
        <w:rPr>
          <w:bCs/>
          <w:lang w:eastAsia="en-US"/>
        </w:rPr>
        <w:t>ıl</w:t>
      </w:r>
      <w:r w:rsidR="00374C56" w:rsidRPr="00D53A2B">
        <w:rPr>
          <w:bCs/>
          <w:lang w:eastAsia="en-US"/>
        </w:rPr>
        <w:t>ır.</w:t>
      </w:r>
    </w:p>
    <w:p w14:paraId="5533BFED" w14:textId="77777777" w:rsidR="00374C56" w:rsidRPr="00D53A2B" w:rsidRDefault="00374C56" w:rsidP="00A202FD">
      <w:pPr>
        <w:spacing w:after="240"/>
        <w:jc w:val="both"/>
        <w:rPr>
          <w:b/>
          <w:lang w:eastAsia="en-US"/>
        </w:rPr>
      </w:pPr>
      <w:r w:rsidRPr="00D53A2B">
        <w:rPr>
          <w:b/>
          <w:lang w:eastAsia="en-US"/>
        </w:rPr>
        <w:t xml:space="preserve">Uygulanabilirlik </w:t>
      </w:r>
    </w:p>
    <w:p w14:paraId="3D56D2B2" w14:textId="77777777" w:rsidR="00374C56" w:rsidRPr="00D53A2B" w:rsidRDefault="00374C56" w:rsidP="00A202FD">
      <w:pPr>
        <w:spacing w:after="240"/>
        <w:jc w:val="both"/>
        <w:rPr>
          <w:lang w:eastAsia="en-US"/>
        </w:rPr>
      </w:pPr>
      <w:r w:rsidRPr="00D53A2B">
        <w:rPr>
          <w:lang w:eastAsia="en-US"/>
        </w:rPr>
        <w:t>Klinker işlemi için bir torba filtre kullanılması uygun olmayabilir (metal oksitlerin yerine klorürlerin azaltılması gerektiği için)</w:t>
      </w:r>
    </w:p>
    <w:p w14:paraId="46DDCA36" w14:textId="77777777" w:rsidR="00374C56" w:rsidRPr="00D53A2B" w:rsidRDefault="00374C56" w:rsidP="00A202FD">
      <w:pPr>
        <w:spacing w:after="240"/>
        <w:jc w:val="both"/>
        <w:rPr>
          <w:lang w:eastAsia="en-US"/>
        </w:rPr>
      </w:pPr>
      <w:r w:rsidRPr="00D53A2B">
        <w:rPr>
          <w:b/>
          <w:lang w:eastAsia="en-US"/>
        </w:rPr>
        <w:t xml:space="preserve">MET ile ilişkili emisyon seviyeleri: </w:t>
      </w:r>
      <w:r w:rsidRPr="00D53A2B">
        <w:rPr>
          <w:lang w:eastAsia="en-US"/>
        </w:rPr>
        <w:t>Bkz. Tablo 34.</w:t>
      </w:r>
    </w:p>
    <w:p w14:paraId="5D453EEE" w14:textId="77777777" w:rsidR="00070FEA" w:rsidRPr="00D53A2B" w:rsidRDefault="00374C56" w:rsidP="00A202FD">
      <w:pPr>
        <w:spacing w:before="120" w:after="120"/>
        <w:jc w:val="both"/>
        <w:rPr>
          <w:bCs/>
          <w:iCs/>
          <w:spacing w:val="2"/>
          <w:lang w:eastAsia="en-US"/>
        </w:rPr>
      </w:pPr>
      <w:bookmarkStart w:id="124" w:name="_Toc527941352"/>
      <w:bookmarkStart w:id="125" w:name="_Toc531927975"/>
      <w:r w:rsidRPr="00D53A2B">
        <w:rPr>
          <w:bCs/>
          <w:iCs/>
          <w:spacing w:val="2"/>
          <w:lang w:eastAsia="en-US"/>
        </w:rPr>
        <w:t xml:space="preserve">Tablo </w:t>
      </w:r>
      <w:r w:rsidRPr="00D53A2B">
        <w:rPr>
          <w:bCs/>
          <w:iCs/>
          <w:noProof/>
          <w:spacing w:val="2"/>
          <w:lang w:eastAsia="en-US"/>
        </w:rPr>
        <w:t>34</w:t>
      </w:r>
    </w:p>
    <w:p w14:paraId="45A34166" w14:textId="3CD1F232" w:rsidR="00374C56" w:rsidRPr="00D53A2B" w:rsidRDefault="00374C56" w:rsidP="00A202FD">
      <w:pPr>
        <w:spacing w:before="120" w:after="120"/>
        <w:jc w:val="both"/>
        <w:rPr>
          <w:bCs/>
          <w:iCs/>
          <w:spacing w:val="2"/>
          <w:lang w:eastAsia="en-US"/>
        </w:rPr>
      </w:pPr>
      <w:r w:rsidRPr="00D53A2B">
        <w:rPr>
          <w:bCs/>
          <w:iCs/>
          <w:spacing w:val="2"/>
          <w:lang w:eastAsia="en-US"/>
        </w:rPr>
        <w:t>Metalik ve karışık metalik/oksidik akımların ergitilmesinden, cüruf dumanlaştırma fırınından ve Waelz fırınından gelen ve havaya salınan toz ve metal emisyonları ile ilgili MET için emisyon seviyeleri</w:t>
      </w:r>
      <w:bookmarkEnd w:id="124"/>
      <w:bookmarkEnd w:id="125"/>
    </w:p>
    <w:tbl>
      <w:tblPr>
        <w:tblW w:w="0" w:type="auto"/>
        <w:tblInd w:w="135" w:type="dxa"/>
        <w:tblLayout w:type="fixed"/>
        <w:tblCellMar>
          <w:left w:w="0" w:type="dxa"/>
          <w:right w:w="0" w:type="dxa"/>
        </w:tblCellMar>
        <w:tblLook w:val="01E0" w:firstRow="1" w:lastRow="1" w:firstColumn="1" w:lastColumn="1" w:noHBand="0" w:noVBand="0"/>
      </w:tblPr>
      <w:tblGrid>
        <w:gridCol w:w="2885"/>
        <w:gridCol w:w="5755"/>
      </w:tblGrid>
      <w:tr w:rsidR="00374C56" w:rsidRPr="00D53A2B" w14:paraId="7628C404" w14:textId="77777777" w:rsidTr="00374C56">
        <w:tc>
          <w:tcPr>
            <w:tcW w:w="2885" w:type="dxa"/>
            <w:tcBorders>
              <w:top w:val="single" w:sz="4" w:space="0" w:color="000000"/>
              <w:left w:val="single" w:sz="4" w:space="0" w:color="000000"/>
              <w:bottom w:val="single" w:sz="4" w:space="0" w:color="000000"/>
              <w:right w:val="single" w:sz="4" w:space="0" w:color="000000"/>
            </w:tcBorders>
          </w:tcPr>
          <w:p w14:paraId="2310C058"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5755" w:type="dxa"/>
            <w:tcBorders>
              <w:top w:val="single" w:sz="4" w:space="0" w:color="000000"/>
              <w:left w:val="single" w:sz="4" w:space="0" w:color="000000"/>
              <w:bottom w:val="single" w:sz="4" w:space="0" w:color="000000"/>
              <w:right w:val="single" w:sz="4" w:space="0" w:color="000000"/>
            </w:tcBorders>
          </w:tcPr>
          <w:p w14:paraId="54AFC516"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w:t>
            </w:r>
            <w:r w:rsidRPr="00D53A2B">
              <w:rPr>
                <w:b/>
                <w:bCs/>
                <w:sz w:val="22"/>
                <w:szCs w:val="22"/>
                <w:vertAlign w:val="superscript"/>
                <w:lang w:eastAsia="en-US"/>
              </w:rPr>
              <w:t>1</w:t>
            </w:r>
            <w:r w:rsidRPr="00D53A2B">
              <w:rPr>
                <w:b/>
                <w:bCs/>
                <w:sz w:val="22"/>
                <w:szCs w:val="22"/>
                <w:lang w:eastAsia="en-US"/>
              </w:rPr>
              <w:t>)(</w:t>
            </w:r>
            <w:r w:rsidRPr="00D53A2B">
              <w:rPr>
                <w:b/>
                <w:bCs/>
                <w:sz w:val="22"/>
                <w:szCs w:val="22"/>
                <w:vertAlign w:val="superscript"/>
                <w:lang w:eastAsia="en-US"/>
              </w:rPr>
              <w:t>2</w:t>
            </w:r>
            <w:r w:rsidRPr="00D53A2B">
              <w:rPr>
                <w:b/>
                <w:bCs/>
                <w:sz w:val="22"/>
                <w:szCs w:val="22"/>
                <w:lang w:eastAsia="en-US"/>
              </w:rPr>
              <w:t>)(</w:t>
            </w:r>
            <w:r w:rsidRPr="00D53A2B">
              <w:rPr>
                <w:b/>
                <w:bCs/>
                <w:sz w:val="22"/>
                <w:szCs w:val="22"/>
                <w:vertAlign w:val="superscript"/>
                <w:lang w:eastAsia="en-US"/>
              </w:rPr>
              <w:t>3</w:t>
            </w:r>
            <w:r w:rsidRPr="00D53A2B">
              <w:rPr>
                <w:b/>
                <w:bCs/>
                <w:sz w:val="22"/>
                <w:szCs w:val="22"/>
                <w:lang w:eastAsia="en-US"/>
              </w:rPr>
              <w:t>)</w:t>
            </w:r>
          </w:p>
        </w:tc>
      </w:tr>
      <w:tr w:rsidR="00374C56" w:rsidRPr="00D53A2B" w14:paraId="65DB1930" w14:textId="77777777" w:rsidTr="00374C56">
        <w:tc>
          <w:tcPr>
            <w:tcW w:w="2885" w:type="dxa"/>
            <w:tcBorders>
              <w:top w:val="single" w:sz="4" w:space="0" w:color="000000"/>
              <w:left w:val="single" w:sz="4" w:space="0" w:color="000000"/>
              <w:bottom w:val="single" w:sz="4" w:space="0" w:color="000000"/>
              <w:right w:val="single" w:sz="4" w:space="0" w:color="000000"/>
            </w:tcBorders>
          </w:tcPr>
          <w:p w14:paraId="14F4C44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5755" w:type="dxa"/>
            <w:tcBorders>
              <w:top w:val="single" w:sz="4" w:space="0" w:color="000000"/>
              <w:left w:val="single" w:sz="4" w:space="0" w:color="000000"/>
              <w:bottom w:val="single" w:sz="4" w:space="0" w:color="000000"/>
              <w:right w:val="single" w:sz="4" w:space="0" w:color="000000"/>
            </w:tcBorders>
          </w:tcPr>
          <w:p w14:paraId="0D1B280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w:t>
            </w:r>
          </w:p>
        </w:tc>
      </w:tr>
      <w:tr w:rsidR="00374C56" w:rsidRPr="00D53A2B" w14:paraId="4EC65028" w14:textId="77777777" w:rsidTr="00374C56">
        <w:tc>
          <w:tcPr>
            <w:tcW w:w="8640" w:type="dxa"/>
            <w:gridSpan w:val="2"/>
            <w:tcBorders>
              <w:top w:val="single" w:sz="4" w:space="0" w:color="000000"/>
              <w:left w:val="single" w:sz="4" w:space="0" w:color="000000"/>
              <w:bottom w:val="single" w:sz="4" w:space="0" w:color="000000"/>
              <w:right w:val="single" w:sz="4" w:space="0" w:color="000000"/>
            </w:tcBorders>
          </w:tcPr>
          <w:p w14:paraId="21622A5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1</w:t>
            </w:r>
            <w:r w:rsidRPr="00D53A2B">
              <w:rPr>
                <w:sz w:val="22"/>
                <w:szCs w:val="22"/>
                <w:lang w:eastAsia="en-US"/>
              </w:rPr>
              <w:t>) Günlük değerlerin veya örnekleme dönemi boyunca alınan değerlerin ortalaması.</w:t>
            </w:r>
          </w:p>
          <w:p w14:paraId="4DFE4422" w14:textId="02F99D8B"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2</w:t>
            </w:r>
            <w:r w:rsidRPr="00D53A2B">
              <w:rPr>
                <w:sz w:val="22"/>
                <w:szCs w:val="22"/>
                <w:lang w:eastAsia="en-US"/>
              </w:rPr>
              <w:t>) Bir torba filtre uygulanamadığı zaman, aralığın üst sınırı 15 mg/Nm</w:t>
            </w:r>
            <w:r w:rsidRPr="00D53A2B">
              <w:rPr>
                <w:sz w:val="22"/>
                <w:szCs w:val="22"/>
                <w:vertAlign w:val="superscript"/>
                <w:lang w:eastAsia="en-US"/>
              </w:rPr>
              <w:t>3</w:t>
            </w:r>
            <w:r w:rsidR="00E56504" w:rsidRPr="00D53A2B">
              <w:rPr>
                <w:sz w:val="22"/>
                <w:szCs w:val="22"/>
                <w:lang w:eastAsia="en-US"/>
              </w:rPr>
              <w:t>’</w:t>
            </w:r>
            <w:r w:rsidRPr="00D53A2B">
              <w:rPr>
                <w:sz w:val="22"/>
                <w:szCs w:val="22"/>
                <w:lang w:eastAsia="en-US"/>
              </w:rPr>
              <w:t>e kadar yükselebilir.</w:t>
            </w:r>
          </w:p>
          <w:p w14:paraId="2E88BCF8" w14:textId="31527D83"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3</w:t>
            </w:r>
            <w:r w:rsidRPr="00D53A2B">
              <w:rPr>
                <w:sz w:val="22"/>
                <w:szCs w:val="22"/>
                <w:lang w:eastAsia="en-US"/>
              </w:rPr>
              <w:t>) Arsenik veya kadmiyum emisyonları 0,05 mg/Nm</w:t>
            </w:r>
            <w:r w:rsidRPr="00D53A2B">
              <w:rPr>
                <w:sz w:val="22"/>
                <w:szCs w:val="22"/>
                <w:vertAlign w:val="superscript"/>
                <w:lang w:eastAsia="en-US"/>
              </w:rPr>
              <w:t>3</w:t>
            </w:r>
            <w:r w:rsidR="00E56504" w:rsidRPr="00D53A2B">
              <w:rPr>
                <w:sz w:val="22"/>
                <w:szCs w:val="22"/>
                <w:lang w:eastAsia="en-US"/>
              </w:rPr>
              <w:t>’</w:t>
            </w:r>
            <w:r w:rsidRPr="00D53A2B">
              <w:rPr>
                <w:sz w:val="22"/>
                <w:szCs w:val="22"/>
                <w:lang w:eastAsia="en-US"/>
              </w:rPr>
              <w:t>ün üzerinde olduğu zaman Toz emisyonlarının, bu aralığının alt seviyelerine doğru inmesi beklenir.</w:t>
            </w:r>
          </w:p>
        </w:tc>
      </w:tr>
    </w:tbl>
    <w:p w14:paraId="28FDF51C" w14:textId="2B757EEB"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31B10033" w14:textId="19E9CE98" w:rsidR="00374C56" w:rsidRPr="00D53A2B" w:rsidRDefault="00FF3880" w:rsidP="00A202FD">
      <w:pPr>
        <w:pStyle w:val="Balk5"/>
        <w:ind w:left="1134" w:hanging="1134"/>
        <w:rPr>
          <w:szCs w:val="24"/>
        </w:rPr>
      </w:pPr>
      <w:r w:rsidRPr="00D53A2B">
        <w:rPr>
          <w:szCs w:val="24"/>
        </w:rPr>
        <w:t>1.</w:t>
      </w:r>
      <w:r w:rsidR="00374C56" w:rsidRPr="00D53A2B">
        <w:rPr>
          <w:szCs w:val="24"/>
        </w:rPr>
        <w:t>5.2.1.2. Organik bileşik emisyonları</w:t>
      </w:r>
    </w:p>
    <w:p w14:paraId="6E6173E0" w14:textId="33D0D28B" w:rsidR="00374C56" w:rsidRPr="00D53A2B" w:rsidRDefault="000A48EC" w:rsidP="00A202FD">
      <w:pPr>
        <w:spacing w:after="240"/>
        <w:jc w:val="both"/>
        <w:rPr>
          <w:b/>
          <w:lang w:eastAsia="en-US"/>
        </w:rPr>
      </w:pPr>
      <w:r w:rsidRPr="00D53A2B">
        <w:rPr>
          <w:b/>
          <w:lang w:eastAsia="en-US"/>
        </w:rPr>
        <w:t>MET 123:</w:t>
      </w:r>
      <w:r w:rsidR="00374C56" w:rsidRPr="00D53A2B">
        <w:rPr>
          <w:b/>
          <w:lang w:eastAsia="en-US"/>
        </w:rPr>
        <w:t xml:space="preserve"> </w:t>
      </w:r>
      <w:r w:rsidR="00FF3880" w:rsidRPr="00D53A2B">
        <w:rPr>
          <w:bCs/>
          <w:lang w:eastAsia="en-US"/>
        </w:rPr>
        <w:t>Metalik ve karışık metalik/oksidik akımların ergitilmesinden, cüruf dumanlaştırma fırınından ve Waelz fırınından gelen ve havaya salınan organik bileşik emisyonlarını azaltmak için kullanılan MET aşağıda verilen tekniklerden birinin veya bunların bir kombinasyonu kullanılır.</w:t>
      </w:r>
    </w:p>
    <w:tbl>
      <w:tblPr>
        <w:tblW w:w="0" w:type="auto"/>
        <w:tblInd w:w="94" w:type="dxa"/>
        <w:tblLayout w:type="fixed"/>
        <w:tblCellMar>
          <w:left w:w="0" w:type="dxa"/>
          <w:right w:w="0" w:type="dxa"/>
        </w:tblCellMar>
        <w:tblLook w:val="01E0" w:firstRow="1" w:lastRow="1" w:firstColumn="1" w:lastColumn="1" w:noHBand="0" w:noVBand="0"/>
      </w:tblPr>
      <w:tblGrid>
        <w:gridCol w:w="317"/>
        <w:gridCol w:w="5475"/>
        <w:gridCol w:w="2929"/>
      </w:tblGrid>
      <w:tr w:rsidR="00374C56" w:rsidRPr="00D53A2B" w14:paraId="7F1B578F" w14:textId="77777777" w:rsidTr="00374C56">
        <w:tc>
          <w:tcPr>
            <w:tcW w:w="317" w:type="dxa"/>
            <w:tcBorders>
              <w:top w:val="single" w:sz="4" w:space="0" w:color="000000"/>
              <w:left w:val="single" w:sz="4" w:space="0" w:color="000000"/>
              <w:bottom w:val="single" w:sz="4" w:space="0" w:color="000000"/>
              <w:right w:val="single" w:sz="4" w:space="0" w:color="000000"/>
            </w:tcBorders>
          </w:tcPr>
          <w:p w14:paraId="2BA73FED" w14:textId="77777777" w:rsidR="00374C56" w:rsidRPr="00D53A2B" w:rsidRDefault="00374C56" w:rsidP="00A202FD">
            <w:pPr>
              <w:spacing w:line="264" w:lineRule="auto"/>
              <w:ind w:left="57" w:right="57"/>
              <w:jc w:val="both"/>
              <w:rPr>
                <w:sz w:val="22"/>
                <w:szCs w:val="22"/>
                <w:lang w:eastAsia="en-US"/>
              </w:rPr>
            </w:pPr>
          </w:p>
        </w:tc>
        <w:tc>
          <w:tcPr>
            <w:tcW w:w="5475" w:type="dxa"/>
            <w:tcBorders>
              <w:top w:val="single" w:sz="4" w:space="0" w:color="000000"/>
              <w:left w:val="single" w:sz="4" w:space="0" w:color="000000"/>
              <w:bottom w:val="single" w:sz="4" w:space="0" w:color="000000"/>
              <w:right w:val="single" w:sz="4" w:space="0" w:color="000000"/>
            </w:tcBorders>
          </w:tcPr>
          <w:p w14:paraId="4A4C4223"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 (</w:t>
            </w:r>
            <w:r w:rsidRPr="00D53A2B">
              <w:rPr>
                <w:b/>
                <w:bCs/>
                <w:sz w:val="22"/>
                <w:szCs w:val="22"/>
                <w:vertAlign w:val="superscript"/>
                <w:lang w:eastAsia="en-US"/>
              </w:rPr>
              <w:t>1</w:t>
            </w:r>
            <w:r w:rsidRPr="00D53A2B">
              <w:rPr>
                <w:b/>
                <w:bCs/>
                <w:sz w:val="22"/>
                <w:szCs w:val="22"/>
                <w:lang w:eastAsia="en-US"/>
              </w:rPr>
              <w:t>)</w:t>
            </w:r>
          </w:p>
        </w:tc>
        <w:tc>
          <w:tcPr>
            <w:tcW w:w="2929" w:type="dxa"/>
            <w:tcBorders>
              <w:top w:val="single" w:sz="4" w:space="0" w:color="000000"/>
              <w:left w:val="single" w:sz="4" w:space="0" w:color="000000"/>
              <w:bottom w:val="single" w:sz="4" w:space="0" w:color="000000"/>
              <w:right w:val="single" w:sz="4" w:space="0" w:color="000000"/>
            </w:tcBorders>
          </w:tcPr>
          <w:p w14:paraId="6A9206CA"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1004624F" w14:textId="77777777" w:rsidTr="00374C56">
        <w:tc>
          <w:tcPr>
            <w:tcW w:w="317" w:type="dxa"/>
            <w:tcBorders>
              <w:top w:val="single" w:sz="4" w:space="0" w:color="000000"/>
              <w:left w:val="single" w:sz="4" w:space="0" w:color="000000"/>
              <w:bottom w:val="single" w:sz="4" w:space="0" w:color="000000"/>
              <w:right w:val="single" w:sz="4" w:space="0" w:color="000000"/>
            </w:tcBorders>
          </w:tcPr>
          <w:p w14:paraId="56FB038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5475" w:type="dxa"/>
            <w:tcBorders>
              <w:top w:val="single" w:sz="4" w:space="0" w:color="000000"/>
              <w:left w:val="single" w:sz="4" w:space="0" w:color="000000"/>
              <w:bottom w:val="single" w:sz="4" w:space="0" w:color="000000"/>
              <w:right w:val="single" w:sz="4" w:space="0" w:color="000000"/>
            </w:tcBorders>
          </w:tcPr>
          <w:p w14:paraId="76C3588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Adsorban (aktif karbon veya linyit kok) enjeksiyonunu takiben bir torba filtre veya ESP kullanılması</w:t>
            </w:r>
          </w:p>
        </w:tc>
        <w:tc>
          <w:tcPr>
            <w:tcW w:w="2929" w:type="dxa"/>
            <w:tcBorders>
              <w:top w:val="single" w:sz="4" w:space="0" w:color="000000"/>
              <w:left w:val="single" w:sz="4" w:space="0" w:color="000000"/>
              <w:bottom w:val="single" w:sz="4" w:space="0" w:color="000000"/>
              <w:right w:val="single" w:sz="4" w:space="0" w:color="000000"/>
            </w:tcBorders>
            <w:vAlign w:val="center"/>
          </w:tcPr>
          <w:p w14:paraId="3F2881B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5684FC1C" w14:textId="77777777" w:rsidTr="00374C56">
        <w:tc>
          <w:tcPr>
            <w:tcW w:w="317" w:type="dxa"/>
            <w:tcBorders>
              <w:top w:val="single" w:sz="4" w:space="0" w:color="000000"/>
              <w:left w:val="single" w:sz="4" w:space="0" w:color="000000"/>
              <w:bottom w:val="single" w:sz="4" w:space="0" w:color="000000"/>
              <w:right w:val="single" w:sz="4" w:space="0" w:color="000000"/>
            </w:tcBorders>
          </w:tcPr>
          <w:p w14:paraId="133C1F9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5475" w:type="dxa"/>
            <w:tcBorders>
              <w:top w:val="single" w:sz="4" w:space="0" w:color="000000"/>
              <w:left w:val="single" w:sz="4" w:space="0" w:color="000000"/>
              <w:bottom w:val="single" w:sz="4" w:space="0" w:color="000000"/>
              <w:right w:val="single" w:sz="4" w:space="0" w:color="000000"/>
            </w:tcBorders>
          </w:tcPr>
          <w:p w14:paraId="04954BE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Termal oksitleyici</w:t>
            </w:r>
          </w:p>
        </w:tc>
        <w:tc>
          <w:tcPr>
            <w:tcW w:w="2929" w:type="dxa"/>
            <w:tcBorders>
              <w:top w:val="single" w:sz="4" w:space="0" w:color="000000"/>
              <w:left w:val="single" w:sz="4" w:space="0" w:color="000000"/>
              <w:bottom w:val="single" w:sz="4" w:space="0" w:color="000000"/>
              <w:right w:val="single" w:sz="4" w:space="0" w:color="000000"/>
            </w:tcBorders>
            <w:vAlign w:val="center"/>
          </w:tcPr>
          <w:p w14:paraId="6E8DF1D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691923FD" w14:textId="77777777" w:rsidTr="00374C56">
        <w:tc>
          <w:tcPr>
            <w:tcW w:w="317" w:type="dxa"/>
            <w:tcBorders>
              <w:top w:val="single" w:sz="4" w:space="0" w:color="000000"/>
              <w:left w:val="single" w:sz="4" w:space="0" w:color="000000"/>
              <w:bottom w:val="single" w:sz="4" w:space="0" w:color="000000"/>
              <w:right w:val="single" w:sz="4" w:space="0" w:color="000000"/>
            </w:tcBorders>
          </w:tcPr>
          <w:p w14:paraId="46C8A10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5475" w:type="dxa"/>
            <w:tcBorders>
              <w:top w:val="single" w:sz="4" w:space="0" w:color="000000"/>
              <w:left w:val="single" w:sz="4" w:space="0" w:color="000000"/>
              <w:bottom w:val="single" w:sz="4" w:space="0" w:color="000000"/>
              <w:right w:val="single" w:sz="4" w:space="0" w:color="000000"/>
            </w:tcBorders>
          </w:tcPr>
          <w:p w14:paraId="19D56D3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Rejeneratif termal oksitleyici</w:t>
            </w:r>
          </w:p>
        </w:tc>
        <w:tc>
          <w:tcPr>
            <w:tcW w:w="2929" w:type="dxa"/>
            <w:tcBorders>
              <w:top w:val="single" w:sz="4" w:space="0" w:color="000000"/>
              <w:left w:val="single" w:sz="4" w:space="0" w:color="000000"/>
              <w:bottom w:val="single" w:sz="4" w:space="0" w:color="000000"/>
              <w:right w:val="single" w:sz="4" w:space="0" w:color="000000"/>
            </w:tcBorders>
          </w:tcPr>
          <w:p w14:paraId="2BCCC11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Güvenlik sebepleriyle uygulanamayabilir</w:t>
            </w:r>
          </w:p>
        </w:tc>
      </w:tr>
      <w:tr w:rsidR="00374C56" w:rsidRPr="00D53A2B" w14:paraId="39AC408E" w14:textId="77777777" w:rsidTr="00374C56">
        <w:tc>
          <w:tcPr>
            <w:tcW w:w="8721" w:type="dxa"/>
            <w:gridSpan w:val="3"/>
            <w:tcBorders>
              <w:top w:val="single" w:sz="4" w:space="0" w:color="000000"/>
              <w:left w:val="single" w:sz="4" w:space="0" w:color="000000"/>
              <w:bottom w:val="single" w:sz="4" w:space="0" w:color="000000"/>
              <w:right w:val="single" w:sz="4" w:space="0" w:color="000000"/>
            </w:tcBorders>
          </w:tcPr>
          <w:p w14:paraId="0486926E" w14:textId="7BCD3601"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1</w:t>
            </w:r>
            <w:r w:rsidRPr="00D53A2B">
              <w:rPr>
                <w:sz w:val="22"/>
                <w:szCs w:val="22"/>
                <w:lang w:eastAsia="en-US"/>
              </w:rPr>
              <w:t>) Tekniklerin açıklamaları Bölüm 1.10</w:t>
            </w:r>
            <w:r w:rsidR="00E56504" w:rsidRPr="00D53A2B">
              <w:rPr>
                <w:sz w:val="22"/>
                <w:szCs w:val="22"/>
                <w:lang w:eastAsia="en-US"/>
              </w:rPr>
              <w:t>’</w:t>
            </w:r>
            <w:r w:rsidRPr="00D53A2B">
              <w:rPr>
                <w:sz w:val="22"/>
                <w:szCs w:val="22"/>
                <w:lang w:eastAsia="en-US"/>
              </w:rPr>
              <w:t>da verilmiştir.</w:t>
            </w:r>
          </w:p>
        </w:tc>
      </w:tr>
    </w:tbl>
    <w:p w14:paraId="20356313"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35.</w:t>
      </w:r>
    </w:p>
    <w:p w14:paraId="6C4B1A62" w14:textId="77777777" w:rsidR="00070FEA" w:rsidRPr="00D53A2B" w:rsidRDefault="00374C56" w:rsidP="00A202FD">
      <w:pPr>
        <w:spacing w:before="120" w:after="120"/>
        <w:jc w:val="both"/>
        <w:rPr>
          <w:bCs/>
          <w:iCs/>
          <w:spacing w:val="2"/>
          <w:lang w:eastAsia="en-US"/>
        </w:rPr>
      </w:pPr>
      <w:bookmarkStart w:id="126" w:name="_Toc527941353"/>
      <w:bookmarkStart w:id="127" w:name="_Toc531927976"/>
      <w:r w:rsidRPr="00D53A2B">
        <w:rPr>
          <w:bCs/>
          <w:iCs/>
          <w:spacing w:val="2"/>
          <w:lang w:eastAsia="en-US"/>
        </w:rPr>
        <w:t xml:space="preserve">Tablo </w:t>
      </w:r>
      <w:r w:rsidRPr="00D53A2B">
        <w:rPr>
          <w:bCs/>
          <w:iCs/>
          <w:noProof/>
          <w:spacing w:val="2"/>
          <w:lang w:eastAsia="en-US"/>
        </w:rPr>
        <w:t>35</w:t>
      </w:r>
    </w:p>
    <w:p w14:paraId="3B26A16D" w14:textId="2FB2754F" w:rsidR="00374C56" w:rsidRPr="00D53A2B" w:rsidRDefault="00374C56" w:rsidP="00A202FD">
      <w:pPr>
        <w:spacing w:before="120" w:after="120"/>
        <w:jc w:val="both"/>
        <w:rPr>
          <w:bCs/>
          <w:iCs/>
          <w:spacing w:val="2"/>
          <w:lang w:eastAsia="en-US"/>
        </w:rPr>
      </w:pPr>
      <w:r w:rsidRPr="00D53A2B">
        <w:rPr>
          <w:bCs/>
          <w:iCs/>
          <w:spacing w:val="2"/>
          <w:lang w:eastAsia="en-US"/>
        </w:rPr>
        <w:t>Metalik ve karışık metalik/oksidik akımların ergitilmesinden, cüruf dumanlaştırma fırınından ve Waelz fırınından gelen ve havaya salınan TVOC ve PCDD/F emisyonları ile ilgili MET için emisyon seviyeleri</w:t>
      </w:r>
      <w:bookmarkEnd w:id="126"/>
      <w:bookmarkEnd w:id="127"/>
    </w:p>
    <w:tbl>
      <w:tblPr>
        <w:tblW w:w="0" w:type="auto"/>
        <w:tblInd w:w="94" w:type="dxa"/>
        <w:tblLayout w:type="fixed"/>
        <w:tblCellMar>
          <w:left w:w="0" w:type="dxa"/>
          <w:right w:w="0" w:type="dxa"/>
        </w:tblCellMar>
        <w:tblLook w:val="01E0" w:firstRow="1" w:lastRow="1" w:firstColumn="1" w:lastColumn="1" w:noHBand="0" w:noVBand="0"/>
      </w:tblPr>
      <w:tblGrid>
        <w:gridCol w:w="2907"/>
        <w:gridCol w:w="2907"/>
        <w:gridCol w:w="2907"/>
      </w:tblGrid>
      <w:tr w:rsidR="00374C56" w:rsidRPr="00D53A2B" w14:paraId="0032F2DC" w14:textId="77777777" w:rsidTr="00374C56">
        <w:tc>
          <w:tcPr>
            <w:tcW w:w="2907" w:type="dxa"/>
            <w:tcBorders>
              <w:top w:val="single" w:sz="4" w:space="0" w:color="000000"/>
              <w:left w:val="single" w:sz="4" w:space="0" w:color="000000"/>
              <w:bottom w:val="single" w:sz="4" w:space="0" w:color="000000"/>
              <w:right w:val="single" w:sz="4" w:space="0" w:color="000000"/>
            </w:tcBorders>
          </w:tcPr>
          <w:p w14:paraId="540B9E0D"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2907" w:type="dxa"/>
            <w:tcBorders>
              <w:top w:val="single" w:sz="4" w:space="0" w:color="000000"/>
              <w:left w:val="single" w:sz="4" w:space="0" w:color="000000"/>
              <w:bottom w:val="single" w:sz="4" w:space="0" w:color="000000"/>
              <w:right w:val="single" w:sz="4" w:space="0" w:color="000000"/>
            </w:tcBorders>
          </w:tcPr>
          <w:p w14:paraId="5CBB2F30"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Birim</w:t>
            </w:r>
          </w:p>
        </w:tc>
        <w:tc>
          <w:tcPr>
            <w:tcW w:w="2907" w:type="dxa"/>
            <w:tcBorders>
              <w:top w:val="single" w:sz="4" w:space="0" w:color="000000"/>
              <w:left w:val="single" w:sz="4" w:space="0" w:color="000000"/>
              <w:bottom w:val="single" w:sz="4" w:space="0" w:color="000000"/>
              <w:right w:val="single" w:sz="4" w:space="0" w:color="000000"/>
            </w:tcBorders>
          </w:tcPr>
          <w:p w14:paraId="140E35CF"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w:t>
            </w:r>
          </w:p>
        </w:tc>
      </w:tr>
      <w:tr w:rsidR="00374C56" w:rsidRPr="00D53A2B" w14:paraId="37821887" w14:textId="77777777" w:rsidTr="00374C56">
        <w:tc>
          <w:tcPr>
            <w:tcW w:w="2907" w:type="dxa"/>
            <w:tcBorders>
              <w:top w:val="single" w:sz="4" w:space="0" w:color="000000"/>
              <w:left w:val="single" w:sz="4" w:space="0" w:color="000000"/>
              <w:bottom w:val="single" w:sz="4" w:space="0" w:color="000000"/>
              <w:right w:val="single" w:sz="4" w:space="0" w:color="000000"/>
            </w:tcBorders>
          </w:tcPr>
          <w:p w14:paraId="3D9B9F4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TVOC</w:t>
            </w:r>
          </w:p>
        </w:tc>
        <w:tc>
          <w:tcPr>
            <w:tcW w:w="2907" w:type="dxa"/>
            <w:tcBorders>
              <w:top w:val="single" w:sz="4" w:space="0" w:color="000000"/>
              <w:left w:val="single" w:sz="4" w:space="0" w:color="000000"/>
              <w:bottom w:val="single" w:sz="4" w:space="0" w:color="000000"/>
              <w:right w:val="single" w:sz="4" w:space="0" w:color="000000"/>
            </w:tcBorders>
          </w:tcPr>
          <w:p w14:paraId="163AAAA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mg/Nm</w:t>
            </w:r>
            <w:r w:rsidRPr="00D53A2B">
              <w:rPr>
                <w:sz w:val="22"/>
                <w:szCs w:val="22"/>
                <w:vertAlign w:val="superscript"/>
                <w:lang w:eastAsia="en-US"/>
              </w:rPr>
              <w:t>3</w:t>
            </w:r>
          </w:p>
        </w:tc>
        <w:tc>
          <w:tcPr>
            <w:tcW w:w="2907" w:type="dxa"/>
            <w:tcBorders>
              <w:top w:val="single" w:sz="4" w:space="0" w:color="000000"/>
              <w:left w:val="single" w:sz="4" w:space="0" w:color="000000"/>
              <w:bottom w:val="single" w:sz="4" w:space="0" w:color="000000"/>
              <w:right w:val="single" w:sz="4" w:space="0" w:color="000000"/>
            </w:tcBorders>
          </w:tcPr>
          <w:p w14:paraId="63B1CFE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2–20 (</w:t>
            </w:r>
            <w:r w:rsidRPr="00D53A2B">
              <w:rPr>
                <w:sz w:val="22"/>
                <w:szCs w:val="22"/>
                <w:vertAlign w:val="superscript"/>
                <w:lang w:eastAsia="en-US"/>
              </w:rPr>
              <w:t>1</w:t>
            </w:r>
            <w:r w:rsidRPr="00D53A2B">
              <w:rPr>
                <w:sz w:val="22"/>
                <w:szCs w:val="22"/>
                <w:lang w:eastAsia="en-US"/>
              </w:rPr>
              <w:t>)</w:t>
            </w:r>
          </w:p>
        </w:tc>
      </w:tr>
      <w:tr w:rsidR="00374C56" w:rsidRPr="00D53A2B" w14:paraId="749540A8" w14:textId="77777777" w:rsidTr="00374C56">
        <w:tc>
          <w:tcPr>
            <w:tcW w:w="2907" w:type="dxa"/>
            <w:tcBorders>
              <w:top w:val="single" w:sz="4" w:space="0" w:color="000000"/>
              <w:left w:val="single" w:sz="4" w:space="0" w:color="000000"/>
              <w:bottom w:val="single" w:sz="4" w:space="0" w:color="000000"/>
              <w:right w:val="single" w:sz="4" w:space="0" w:color="000000"/>
            </w:tcBorders>
          </w:tcPr>
          <w:p w14:paraId="14F3C8B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PCDD/F</w:t>
            </w:r>
          </w:p>
        </w:tc>
        <w:tc>
          <w:tcPr>
            <w:tcW w:w="2907" w:type="dxa"/>
            <w:tcBorders>
              <w:top w:val="single" w:sz="4" w:space="0" w:color="000000"/>
              <w:left w:val="single" w:sz="4" w:space="0" w:color="000000"/>
              <w:bottom w:val="single" w:sz="4" w:space="0" w:color="000000"/>
              <w:right w:val="single" w:sz="4" w:space="0" w:color="000000"/>
            </w:tcBorders>
          </w:tcPr>
          <w:p w14:paraId="6766D30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ng I-TEQ/Nm</w:t>
            </w:r>
            <w:r w:rsidRPr="00D53A2B">
              <w:rPr>
                <w:sz w:val="22"/>
                <w:szCs w:val="22"/>
                <w:vertAlign w:val="superscript"/>
                <w:lang w:eastAsia="en-US"/>
              </w:rPr>
              <w:t>3</w:t>
            </w:r>
          </w:p>
        </w:tc>
        <w:tc>
          <w:tcPr>
            <w:tcW w:w="2907" w:type="dxa"/>
            <w:tcBorders>
              <w:top w:val="single" w:sz="4" w:space="0" w:color="000000"/>
              <w:left w:val="single" w:sz="4" w:space="0" w:color="000000"/>
              <w:bottom w:val="single" w:sz="4" w:space="0" w:color="000000"/>
              <w:right w:val="single" w:sz="4" w:space="0" w:color="000000"/>
            </w:tcBorders>
          </w:tcPr>
          <w:p w14:paraId="6EBA1A7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 (</w:t>
            </w:r>
            <w:r w:rsidRPr="00D53A2B">
              <w:rPr>
                <w:sz w:val="22"/>
                <w:szCs w:val="22"/>
                <w:vertAlign w:val="superscript"/>
                <w:lang w:eastAsia="en-US"/>
              </w:rPr>
              <w:t>2</w:t>
            </w:r>
            <w:r w:rsidRPr="00D53A2B">
              <w:rPr>
                <w:sz w:val="22"/>
                <w:szCs w:val="22"/>
                <w:lang w:eastAsia="en-US"/>
              </w:rPr>
              <w:t>)</w:t>
            </w:r>
          </w:p>
        </w:tc>
      </w:tr>
      <w:tr w:rsidR="00374C56" w:rsidRPr="00D53A2B" w14:paraId="6AFC8189" w14:textId="77777777" w:rsidTr="00374C56">
        <w:tc>
          <w:tcPr>
            <w:tcW w:w="8721" w:type="dxa"/>
            <w:gridSpan w:val="3"/>
            <w:tcBorders>
              <w:top w:val="single" w:sz="4" w:space="0" w:color="000000"/>
              <w:left w:val="single" w:sz="4" w:space="0" w:color="000000"/>
              <w:bottom w:val="single" w:sz="4" w:space="0" w:color="000000"/>
              <w:right w:val="single" w:sz="4" w:space="0" w:color="000000"/>
            </w:tcBorders>
          </w:tcPr>
          <w:p w14:paraId="1CDE648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(1) Günlük değerlerin veya örnekleme dönemi boyunca alınan değerlerin ortalaması.</w:t>
            </w:r>
          </w:p>
          <w:p w14:paraId="1AC3F78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 En az altı saatlik bir örnekleme süresi boyunca alınan değerlerin ortalaması.</w:t>
            </w:r>
          </w:p>
        </w:tc>
      </w:tr>
    </w:tbl>
    <w:p w14:paraId="17C95A29" w14:textId="5FD8B3E0"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22948BB9" w14:textId="4C2B533E" w:rsidR="00374C56" w:rsidRPr="00D53A2B" w:rsidRDefault="008146F2" w:rsidP="00A202FD">
      <w:pPr>
        <w:pStyle w:val="Balk5"/>
        <w:ind w:left="1134" w:hanging="1134"/>
        <w:rPr>
          <w:szCs w:val="24"/>
        </w:rPr>
      </w:pPr>
      <w:r w:rsidRPr="00D53A2B">
        <w:rPr>
          <w:szCs w:val="24"/>
        </w:rPr>
        <w:t>1.</w:t>
      </w:r>
      <w:r w:rsidR="00374C56" w:rsidRPr="00D53A2B">
        <w:rPr>
          <w:szCs w:val="24"/>
        </w:rPr>
        <w:t>5.2.1.3. Asit emisyonları</w:t>
      </w:r>
    </w:p>
    <w:p w14:paraId="37C0EDDB" w14:textId="681D4342" w:rsidR="00374C56" w:rsidRPr="00D53A2B" w:rsidRDefault="000A48EC" w:rsidP="00A202FD">
      <w:pPr>
        <w:spacing w:after="240"/>
        <w:jc w:val="both"/>
        <w:rPr>
          <w:b/>
          <w:lang w:eastAsia="en-US"/>
        </w:rPr>
      </w:pPr>
      <w:r w:rsidRPr="00D53A2B">
        <w:rPr>
          <w:b/>
          <w:lang w:eastAsia="en-US"/>
        </w:rPr>
        <w:t>MET 124:</w:t>
      </w:r>
      <w:r w:rsidR="00374C56" w:rsidRPr="00D53A2B">
        <w:rPr>
          <w:b/>
          <w:lang w:eastAsia="en-US"/>
        </w:rPr>
        <w:t xml:space="preserve"> </w:t>
      </w:r>
      <w:r w:rsidR="00FA1EDE" w:rsidRPr="00D53A2B">
        <w:rPr>
          <w:bCs/>
          <w:lang w:eastAsia="en-US"/>
        </w:rPr>
        <w:t>Metalik ve karışık metalik/oksidik akımların ergitilmesinden, cüruf dumanlaştırma fırınından ve Waelz fırınından gelen ve havaya salınan HCI ve HF emisyonlarını azaltmak için aşağıda verilen tekniklerden birisi kullanılır.</w:t>
      </w:r>
    </w:p>
    <w:tbl>
      <w:tblPr>
        <w:tblW w:w="0" w:type="auto"/>
        <w:tblInd w:w="5" w:type="dxa"/>
        <w:tblLayout w:type="fixed"/>
        <w:tblCellMar>
          <w:left w:w="0" w:type="dxa"/>
          <w:right w:w="0" w:type="dxa"/>
        </w:tblCellMar>
        <w:tblLook w:val="01E0" w:firstRow="1" w:lastRow="1" w:firstColumn="1" w:lastColumn="1" w:noHBand="0" w:noVBand="0"/>
      </w:tblPr>
      <w:tblGrid>
        <w:gridCol w:w="317"/>
        <w:gridCol w:w="3337"/>
        <w:gridCol w:w="5067"/>
      </w:tblGrid>
      <w:tr w:rsidR="00374C56" w:rsidRPr="00D53A2B" w14:paraId="39464703"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7F71C67E" w14:textId="77777777" w:rsidR="00374C56" w:rsidRPr="00D53A2B" w:rsidRDefault="00374C56" w:rsidP="00A202FD">
            <w:pPr>
              <w:spacing w:line="264" w:lineRule="auto"/>
              <w:ind w:left="57" w:right="57"/>
              <w:jc w:val="both"/>
              <w:rPr>
                <w:sz w:val="22"/>
                <w:szCs w:val="22"/>
                <w:lang w:eastAsia="en-US"/>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4AD8CB1B"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 (</w:t>
            </w:r>
            <w:r w:rsidRPr="00D53A2B">
              <w:rPr>
                <w:b/>
                <w:bCs/>
                <w:sz w:val="22"/>
                <w:szCs w:val="22"/>
                <w:vertAlign w:val="superscript"/>
                <w:lang w:eastAsia="en-US"/>
              </w:rPr>
              <w:t>1</w:t>
            </w:r>
            <w:r w:rsidRPr="00D53A2B">
              <w:rPr>
                <w:b/>
                <w:bCs/>
                <w:sz w:val="22"/>
                <w:szCs w:val="22"/>
                <w:lang w:eastAsia="en-US"/>
              </w:rPr>
              <w:t>)</w:t>
            </w:r>
          </w:p>
        </w:tc>
        <w:tc>
          <w:tcPr>
            <w:tcW w:w="5067" w:type="dxa"/>
            <w:tcBorders>
              <w:top w:val="single" w:sz="4" w:space="0" w:color="000000"/>
              <w:left w:val="single" w:sz="4" w:space="0" w:color="000000"/>
              <w:bottom w:val="single" w:sz="4" w:space="0" w:color="000000"/>
              <w:right w:val="single" w:sz="4" w:space="0" w:color="000000"/>
            </w:tcBorders>
            <w:vAlign w:val="center"/>
          </w:tcPr>
          <w:p w14:paraId="79F4A40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Proses</w:t>
            </w:r>
          </w:p>
        </w:tc>
      </w:tr>
      <w:tr w:rsidR="00374C56" w:rsidRPr="00D53A2B" w14:paraId="6157A9F5"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581F123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3337" w:type="dxa"/>
            <w:tcBorders>
              <w:top w:val="single" w:sz="4" w:space="0" w:color="000000"/>
              <w:left w:val="single" w:sz="4" w:space="0" w:color="000000"/>
              <w:bottom w:val="single" w:sz="4" w:space="0" w:color="000000"/>
              <w:right w:val="single" w:sz="4" w:space="0" w:color="000000"/>
            </w:tcBorders>
            <w:vAlign w:val="center"/>
          </w:tcPr>
          <w:p w14:paraId="3B0B60F6"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Adsorban enjeksiyonunu takiben bir torba filtre kullanılması</w:t>
            </w:r>
          </w:p>
        </w:tc>
        <w:tc>
          <w:tcPr>
            <w:tcW w:w="5067" w:type="dxa"/>
            <w:tcBorders>
              <w:top w:val="single" w:sz="4" w:space="0" w:color="000000"/>
              <w:left w:val="single" w:sz="4" w:space="0" w:color="000000"/>
              <w:bottom w:val="single" w:sz="4" w:space="0" w:color="000000"/>
              <w:right w:val="single" w:sz="4" w:space="0" w:color="000000"/>
            </w:tcBorders>
            <w:vAlign w:val="center"/>
          </w:tcPr>
          <w:p w14:paraId="3E939D0D" w14:textId="45AA19E9" w:rsidR="00374C56" w:rsidRPr="00D53A2B" w:rsidRDefault="00374C56" w:rsidP="00A202FD">
            <w:pPr>
              <w:spacing w:line="264" w:lineRule="auto"/>
              <w:ind w:left="57" w:right="57"/>
              <w:jc w:val="both"/>
              <w:rPr>
                <w:sz w:val="22"/>
                <w:szCs w:val="22"/>
                <w:lang w:eastAsia="en-US"/>
              </w:rPr>
            </w:pPr>
            <w:r w:rsidRPr="00D53A2B">
              <w:rPr>
                <w:sz w:val="22"/>
                <w:szCs w:val="22"/>
                <w:lang w:eastAsia="en-US"/>
              </w:rPr>
              <w:t>-Metalik ve karışık metalik/oksidik akımların ergitilmesi</w:t>
            </w:r>
          </w:p>
          <w:p w14:paraId="3FFCD3D7" w14:textId="29B0DECE" w:rsidR="00374C56" w:rsidRPr="00D53A2B" w:rsidRDefault="00374C56" w:rsidP="00A202FD">
            <w:pPr>
              <w:spacing w:line="264" w:lineRule="auto"/>
              <w:ind w:left="57" w:right="57"/>
              <w:jc w:val="both"/>
              <w:rPr>
                <w:sz w:val="22"/>
                <w:szCs w:val="22"/>
                <w:lang w:eastAsia="en-US"/>
              </w:rPr>
            </w:pPr>
            <w:r w:rsidRPr="00D53A2B">
              <w:rPr>
                <w:sz w:val="22"/>
                <w:szCs w:val="22"/>
                <w:lang w:eastAsia="en-US"/>
              </w:rPr>
              <w:t>-Waelz fırını</w:t>
            </w:r>
          </w:p>
        </w:tc>
      </w:tr>
      <w:tr w:rsidR="00374C56" w:rsidRPr="00D53A2B" w14:paraId="7DF64856"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7B20077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3337" w:type="dxa"/>
            <w:tcBorders>
              <w:top w:val="single" w:sz="4" w:space="0" w:color="000000"/>
              <w:left w:val="single" w:sz="4" w:space="0" w:color="000000"/>
              <w:bottom w:val="single" w:sz="4" w:space="0" w:color="000000"/>
              <w:right w:val="single" w:sz="4" w:space="0" w:color="000000"/>
            </w:tcBorders>
            <w:vAlign w:val="center"/>
          </w:tcPr>
          <w:p w14:paraId="16CAB2C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Islak gaz yıkayıcı </w:t>
            </w:r>
          </w:p>
        </w:tc>
        <w:tc>
          <w:tcPr>
            <w:tcW w:w="5067" w:type="dxa"/>
            <w:tcBorders>
              <w:top w:val="single" w:sz="4" w:space="0" w:color="000000"/>
              <w:left w:val="single" w:sz="4" w:space="0" w:color="000000"/>
              <w:bottom w:val="single" w:sz="4" w:space="0" w:color="000000"/>
              <w:right w:val="single" w:sz="4" w:space="0" w:color="000000"/>
            </w:tcBorders>
            <w:vAlign w:val="center"/>
          </w:tcPr>
          <w:p w14:paraId="79383FD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Cüruf uçurma fırını</w:t>
            </w:r>
          </w:p>
        </w:tc>
      </w:tr>
      <w:tr w:rsidR="00374C56" w:rsidRPr="00D53A2B" w14:paraId="3C78E944" w14:textId="77777777" w:rsidTr="00374C56">
        <w:tc>
          <w:tcPr>
            <w:tcW w:w="8721" w:type="dxa"/>
            <w:gridSpan w:val="3"/>
            <w:tcBorders>
              <w:top w:val="single" w:sz="4" w:space="0" w:color="000000"/>
              <w:left w:val="single" w:sz="4" w:space="0" w:color="000000"/>
              <w:bottom w:val="single" w:sz="4" w:space="0" w:color="000000"/>
              <w:right w:val="single" w:sz="4" w:space="0" w:color="000000"/>
            </w:tcBorders>
          </w:tcPr>
          <w:p w14:paraId="6C4209A5" w14:textId="2A530BD1"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1</w:t>
            </w:r>
            <w:r w:rsidRPr="00D53A2B">
              <w:rPr>
                <w:sz w:val="22"/>
                <w:szCs w:val="22"/>
                <w:lang w:eastAsia="en-US"/>
              </w:rPr>
              <w:t>) Tekniklerin açıklamaları Bölüm 1.10</w:t>
            </w:r>
            <w:r w:rsidR="00E56504" w:rsidRPr="00D53A2B">
              <w:rPr>
                <w:sz w:val="22"/>
                <w:szCs w:val="22"/>
                <w:lang w:eastAsia="en-US"/>
              </w:rPr>
              <w:t>’</w:t>
            </w:r>
            <w:r w:rsidRPr="00D53A2B">
              <w:rPr>
                <w:sz w:val="22"/>
                <w:szCs w:val="22"/>
                <w:lang w:eastAsia="en-US"/>
              </w:rPr>
              <w:t>da verilmiştir.</w:t>
            </w:r>
          </w:p>
        </w:tc>
      </w:tr>
    </w:tbl>
    <w:p w14:paraId="0599A5F5"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36.</w:t>
      </w:r>
    </w:p>
    <w:p w14:paraId="1F08BB3C" w14:textId="77777777" w:rsidR="00070FEA" w:rsidRPr="00D53A2B" w:rsidRDefault="00374C56" w:rsidP="00A202FD">
      <w:pPr>
        <w:spacing w:before="120" w:after="120"/>
        <w:jc w:val="both"/>
        <w:rPr>
          <w:bCs/>
          <w:iCs/>
          <w:spacing w:val="2"/>
          <w:lang w:eastAsia="en-US"/>
        </w:rPr>
      </w:pPr>
      <w:bookmarkStart w:id="128" w:name="_Toc527941354"/>
      <w:bookmarkStart w:id="129" w:name="_Toc531927977"/>
      <w:r w:rsidRPr="00D53A2B">
        <w:rPr>
          <w:bCs/>
          <w:iCs/>
          <w:spacing w:val="2"/>
          <w:lang w:eastAsia="en-US"/>
        </w:rPr>
        <w:t>Tablo 36</w:t>
      </w:r>
    </w:p>
    <w:p w14:paraId="728049B8" w14:textId="03FD1484" w:rsidR="00374C56" w:rsidRPr="00D53A2B" w:rsidRDefault="00374C56" w:rsidP="00A202FD">
      <w:pPr>
        <w:spacing w:before="120" w:after="120"/>
        <w:jc w:val="both"/>
        <w:rPr>
          <w:bCs/>
          <w:iCs/>
          <w:spacing w:val="2"/>
          <w:lang w:eastAsia="en-US"/>
        </w:rPr>
      </w:pPr>
      <w:r w:rsidRPr="00D53A2B">
        <w:rPr>
          <w:bCs/>
          <w:iCs/>
          <w:spacing w:val="2"/>
          <w:lang w:eastAsia="en-US"/>
        </w:rPr>
        <w:t>Metalik ve karışık metalik/oksidik akımların ergitilmesinden, cüruf dumanlaştırma fırınından ve Waelz fırınından gelen ve havaya salınan HCI ve HF emisyonları ile ilgili MET için emisyon seviyeleri</w:t>
      </w:r>
      <w:bookmarkEnd w:id="128"/>
      <w:bookmarkEnd w:id="129"/>
    </w:p>
    <w:tbl>
      <w:tblPr>
        <w:tblW w:w="0" w:type="auto"/>
        <w:tblInd w:w="5" w:type="dxa"/>
        <w:tblLayout w:type="fixed"/>
        <w:tblCellMar>
          <w:left w:w="0" w:type="dxa"/>
          <w:right w:w="0" w:type="dxa"/>
        </w:tblCellMar>
        <w:tblLook w:val="01E0" w:firstRow="1" w:lastRow="1" w:firstColumn="1" w:lastColumn="1" w:noHBand="0" w:noVBand="0"/>
      </w:tblPr>
      <w:tblGrid>
        <w:gridCol w:w="3653"/>
        <w:gridCol w:w="5068"/>
      </w:tblGrid>
      <w:tr w:rsidR="00374C56" w:rsidRPr="00D53A2B" w14:paraId="76E4BCD1" w14:textId="77777777" w:rsidTr="00374C56">
        <w:tc>
          <w:tcPr>
            <w:tcW w:w="3653" w:type="dxa"/>
            <w:tcBorders>
              <w:top w:val="single" w:sz="4" w:space="0" w:color="000000"/>
              <w:left w:val="single" w:sz="4" w:space="0" w:color="000000"/>
              <w:bottom w:val="single" w:sz="4" w:space="0" w:color="000000"/>
              <w:right w:val="single" w:sz="4" w:space="0" w:color="000000"/>
            </w:tcBorders>
          </w:tcPr>
          <w:p w14:paraId="3E990E02"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5068" w:type="dxa"/>
            <w:tcBorders>
              <w:top w:val="single" w:sz="4" w:space="0" w:color="000000"/>
              <w:left w:val="single" w:sz="4" w:space="0" w:color="000000"/>
              <w:bottom w:val="single" w:sz="4" w:space="0" w:color="000000"/>
              <w:right w:val="single" w:sz="4" w:space="0" w:color="000000"/>
            </w:tcBorders>
          </w:tcPr>
          <w:p w14:paraId="10BB2770"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w:t>
            </w:r>
            <w:r w:rsidRPr="00D53A2B">
              <w:rPr>
                <w:b/>
                <w:bCs/>
                <w:sz w:val="22"/>
                <w:szCs w:val="22"/>
                <w:vertAlign w:val="superscript"/>
                <w:lang w:eastAsia="en-US"/>
              </w:rPr>
              <w:t>1</w:t>
            </w:r>
            <w:r w:rsidRPr="00D53A2B">
              <w:rPr>
                <w:b/>
                <w:bCs/>
                <w:sz w:val="22"/>
                <w:szCs w:val="22"/>
                <w:lang w:eastAsia="en-US"/>
              </w:rPr>
              <w:t>)</w:t>
            </w:r>
          </w:p>
        </w:tc>
      </w:tr>
      <w:tr w:rsidR="00374C56" w:rsidRPr="00D53A2B" w14:paraId="4404B9E4" w14:textId="77777777" w:rsidTr="00374C56">
        <w:tc>
          <w:tcPr>
            <w:tcW w:w="3653" w:type="dxa"/>
            <w:tcBorders>
              <w:top w:val="single" w:sz="4" w:space="0" w:color="000000"/>
              <w:left w:val="single" w:sz="4" w:space="0" w:color="000000"/>
              <w:bottom w:val="single" w:sz="4" w:space="0" w:color="000000"/>
              <w:right w:val="single" w:sz="4" w:space="0" w:color="000000"/>
            </w:tcBorders>
          </w:tcPr>
          <w:p w14:paraId="402C828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HCl</w:t>
            </w:r>
          </w:p>
        </w:tc>
        <w:tc>
          <w:tcPr>
            <w:tcW w:w="5068" w:type="dxa"/>
            <w:tcBorders>
              <w:top w:val="single" w:sz="4" w:space="0" w:color="000000"/>
              <w:left w:val="single" w:sz="4" w:space="0" w:color="000000"/>
              <w:bottom w:val="single" w:sz="4" w:space="0" w:color="000000"/>
              <w:right w:val="single" w:sz="4" w:space="0" w:color="000000"/>
            </w:tcBorders>
          </w:tcPr>
          <w:p w14:paraId="0699595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1,5</w:t>
            </w:r>
          </w:p>
        </w:tc>
      </w:tr>
      <w:tr w:rsidR="00374C56" w:rsidRPr="00D53A2B" w14:paraId="59D93F5A" w14:textId="77777777" w:rsidTr="00374C56">
        <w:tc>
          <w:tcPr>
            <w:tcW w:w="3653" w:type="dxa"/>
            <w:tcBorders>
              <w:top w:val="single" w:sz="4" w:space="0" w:color="000000"/>
              <w:left w:val="single" w:sz="4" w:space="0" w:color="000000"/>
              <w:bottom w:val="single" w:sz="4" w:space="0" w:color="000000"/>
              <w:right w:val="single" w:sz="4" w:space="0" w:color="000000"/>
            </w:tcBorders>
          </w:tcPr>
          <w:p w14:paraId="045C398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HF</w:t>
            </w:r>
          </w:p>
        </w:tc>
        <w:tc>
          <w:tcPr>
            <w:tcW w:w="5068" w:type="dxa"/>
            <w:tcBorders>
              <w:top w:val="single" w:sz="4" w:space="0" w:color="000000"/>
              <w:left w:val="single" w:sz="4" w:space="0" w:color="000000"/>
              <w:bottom w:val="single" w:sz="4" w:space="0" w:color="000000"/>
              <w:right w:val="single" w:sz="4" w:space="0" w:color="000000"/>
            </w:tcBorders>
          </w:tcPr>
          <w:p w14:paraId="6117670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0,3</w:t>
            </w:r>
          </w:p>
        </w:tc>
      </w:tr>
      <w:tr w:rsidR="00374C56" w:rsidRPr="00D53A2B" w14:paraId="50718191"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7E60538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1</w:t>
            </w:r>
            <w:r w:rsidRPr="00D53A2B">
              <w:rPr>
                <w:sz w:val="22"/>
                <w:szCs w:val="22"/>
                <w:lang w:eastAsia="en-US"/>
              </w:rPr>
              <w:t>) Örnekleme dönemi boyunca alınan değerlerin ortalaması.</w:t>
            </w:r>
          </w:p>
        </w:tc>
      </w:tr>
    </w:tbl>
    <w:p w14:paraId="2D846694" w14:textId="4501F45F"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4B5FF982" w14:textId="072F3C06" w:rsidR="00374C56" w:rsidRPr="00D53A2B" w:rsidRDefault="00FA1EDE" w:rsidP="00A202FD">
      <w:pPr>
        <w:pStyle w:val="Balk4"/>
        <w:rPr>
          <w:rFonts w:cs="Times New Roman"/>
          <w:lang w:eastAsia="en-US"/>
        </w:rPr>
      </w:pPr>
      <w:bookmarkStart w:id="130" w:name="_Toc527940731"/>
      <w:bookmarkStart w:id="131" w:name="_Toc531927887"/>
      <w:r w:rsidRPr="00D53A2B">
        <w:rPr>
          <w:rFonts w:cs="Times New Roman"/>
          <w:lang w:eastAsia="en-US"/>
        </w:rPr>
        <w:t>1.</w:t>
      </w:r>
      <w:r w:rsidR="00374C56" w:rsidRPr="00D53A2B">
        <w:rPr>
          <w:rFonts w:cs="Times New Roman"/>
          <w:lang w:eastAsia="en-US"/>
        </w:rPr>
        <w:t>5.2.2.</w:t>
      </w:r>
      <w:r w:rsidRPr="00D53A2B">
        <w:rPr>
          <w:rFonts w:cs="Times New Roman"/>
          <w:lang w:eastAsia="en-US"/>
        </w:rPr>
        <w:t xml:space="preserve"> </w:t>
      </w:r>
      <w:r w:rsidR="00374C56" w:rsidRPr="00D53A2B">
        <w:rPr>
          <w:rFonts w:cs="Times New Roman"/>
          <w:lang w:eastAsia="en-US"/>
        </w:rPr>
        <w:t>Atıksu oluşumu ve arıtımı</w:t>
      </w:r>
      <w:bookmarkEnd w:id="130"/>
      <w:bookmarkEnd w:id="131"/>
    </w:p>
    <w:p w14:paraId="3BF3BD7A" w14:textId="7882AF6E" w:rsidR="00374C56" w:rsidRPr="00D53A2B" w:rsidRDefault="000A48EC" w:rsidP="00A202FD">
      <w:pPr>
        <w:spacing w:after="240"/>
        <w:jc w:val="both"/>
        <w:rPr>
          <w:b/>
          <w:lang w:eastAsia="en-US"/>
        </w:rPr>
      </w:pPr>
      <w:r w:rsidRPr="00D53A2B">
        <w:rPr>
          <w:b/>
          <w:lang w:eastAsia="en-US"/>
        </w:rPr>
        <w:t>MET 125:</w:t>
      </w:r>
      <w:r w:rsidR="00374C56" w:rsidRPr="00D53A2B">
        <w:rPr>
          <w:b/>
          <w:lang w:eastAsia="en-US"/>
        </w:rPr>
        <w:t xml:space="preserve"> </w:t>
      </w:r>
      <w:r w:rsidR="00374C56" w:rsidRPr="00D53A2B">
        <w:rPr>
          <w:bCs/>
          <w:lang w:eastAsia="en-US"/>
        </w:rPr>
        <w:t>Waelz fırın prosesinde temiz su tüketim miktarını azaltmak için çok kademeli karşı akımlı yıkamadır.</w:t>
      </w:r>
      <w:r w:rsidR="00374C56" w:rsidRPr="00D53A2B">
        <w:rPr>
          <w:b/>
          <w:lang w:eastAsia="en-US"/>
        </w:rPr>
        <w:t xml:space="preserve"> </w:t>
      </w:r>
    </w:p>
    <w:p w14:paraId="10B8D594" w14:textId="77777777" w:rsidR="00374C56" w:rsidRPr="00D53A2B" w:rsidRDefault="00374C56" w:rsidP="00A202FD">
      <w:pPr>
        <w:spacing w:after="40"/>
        <w:jc w:val="both"/>
        <w:rPr>
          <w:b/>
          <w:spacing w:val="2"/>
          <w:lang w:eastAsia="en-US"/>
        </w:rPr>
      </w:pPr>
      <w:r w:rsidRPr="00D53A2B">
        <w:rPr>
          <w:b/>
          <w:spacing w:val="2"/>
          <w:lang w:eastAsia="en-US"/>
        </w:rPr>
        <w:t>Açıklama</w:t>
      </w:r>
    </w:p>
    <w:p w14:paraId="1DE64398" w14:textId="77777777" w:rsidR="00374C56" w:rsidRPr="00D53A2B" w:rsidRDefault="00374C56" w:rsidP="00A202FD">
      <w:pPr>
        <w:spacing w:after="240"/>
        <w:jc w:val="both"/>
        <w:rPr>
          <w:lang w:eastAsia="en-US"/>
        </w:rPr>
      </w:pPr>
      <w:r w:rsidRPr="00D53A2B">
        <w:rPr>
          <w:lang w:eastAsia="en-US"/>
        </w:rPr>
        <w:t xml:space="preserve">Önceki yıkama aşamasında kullanılan su, daha sonra filtrelenir ve bir sonraki yıkama aşamasında yeniden kullanılır. İki veya üç kademeli olarak kullanılabilir ve tek kademeli karşıt akımlı yıkama işlemine göre üç kata kadar daha az su tüketimi sağlanabilir.  </w:t>
      </w:r>
    </w:p>
    <w:p w14:paraId="25BBD3DF" w14:textId="713C3BC1" w:rsidR="00374C56" w:rsidRPr="00D53A2B" w:rsidRDefault="000A48EC" w:rsidP="00A202FD">
      <w:pPr>
        <w:spacing w:after="240"/>
        <w:jc w:val="both"/>
        <w:rPr>
          <w:b/>
          <w:lang w:eastAsia="en-US"/>
        </w:rPr>
      </w:pPr>
      <w:r w:rsidRPr="00D53A2B">
        <w:rPr>
          <w:b/>
          <w:lang w:eastAsia="en-US"/>
        </w:rPr>
        <w:t>MET 126:</w:t>
      </w:r>
      <w:r w:rsidR="00374C56" w:rsidRPr="00D53A2B">
        <w:rPr>
          <w:b/>
          <w:lang w:eastAsia="en-US"/>
        </w:rPr>
        <w:t xml:space="preserve"> </w:t>
      </w:r>
      <w:r w:rsidR="00374C56" w:rsidRPr="00D53A2B">
        <w:rPr>
          <w:bCs/>
          <w:lang w:eastAsia="en-US"/>
        </w:rPr>
        <w:t>Waelz fırın prosesinden kaynaklanan ve suya verilen halojenür emisyonlarını önlemek veya azaltmak için kullanılan MET kristalizasyondur.</w:t>
      </w:r>
      <w:r w:rsidR="00374C56" w:rsidRPr="00D53A2B">
        <w:rPr>
          <w:b/>
          <w:lang w:eastAsia="en-US"/>
        </w:rPr>
        <w:t xml:space="preserve"> </w:t>
      </w:r>
    </w:p>
    <w:p w14:paraId="31BBC796" w14:textId="6017497A" w:rsidR="00374C56" w:rsidRPr="00D53A2B" w:rsidRDefault="0018127E" w:rsidP="00A202FD">
      <w:pPr>
        <w:pStyle w:val="Balk3"/>
        <w:rPr>
          <w:rFonts w:cs="Times New Roman"/>
          <w:lang w:eastAsia="en-US"/>
        </w:rPr>
      </w:pPr>
      <w:r w:rsidRPr="00D53A2B">
        <w:rPr>
          <w:rFonts w:cs="Times New Roman"/>
          <w:lang w:eastAsia="en-US"/>
        </w:rPr>
        <w:t>1.</w:t>
      </w:r>
      <w:r w:rsidR="00374C56" w:rsidRPr="00D53A2B">
        <w:rPr>
          <w:rFonts w:cs="Times New Roman"/>
          <w:lang w:eastAsia="en-US"/>
        </w:rPr>
        <w:t>5.3.</w:t>
      </w:r>
      <w:bookmarkStart w:id="132" w:name="_Toc527940732"/>
      <w:bookmarkStart w:id="133" w:name="_Toc531927888"/>
      <w:r w:rsidRPr="00D53A2B">
        <w:rPr>
          <w:rFonts w:cs="Times New Roman"/>
          <w:lang w:eastAsia="en-US"/>
        </w:rPr>
        <w:t xml:space="preserve"> </w:t>
      </w:r>
      <w:r w:rsidR="00374C56" w:rsidRPr="00D53A2B">
        <w:rPr>
          <w:rFonts w:cs="Times New Roman"/>
          <w:lang w:eastAsia="en-US"/>
        </w:rPr>
        <w:t>Çinko külçelerinin ergitilmesi, alaşımlanması, dökümü ve çinko tozu üretimi</w:t>
      </w:r>
      <w:bookmarkEnd w:id="132"/>
      <w:bookmarkEnd w:id="133"/>
    </w:p>
    <w:p w14:paraId="0BE49A77" w14:textId="4F634986" w:rsidR="00374C56" w:rsidRPr="00D53A2B" w:rsidRDefault="0018127E" w:rsidP="00A202FD">
      <w:pPr>
        <w:pStyle w:val="Balk4"/>
        <w:rPr>
          <w:rFonts w:cs="Times New Roman"/>
          <w:lang w:eastAsia="en-US"/>
        </w:rPr>
      </w:pPr>
      <w:bookmarkStart w:id="134" w:name="_Toc527940733"/>
      <w:bookmarkStart w:id="135" w:name="_Toc531927889"/>
      <w:r w:rsidRPr="00D53A2B">
        <w:rPr>
          <w:rFonts w:cs="Times New Roman"/>
          <w:lang w:eastAsia="en-US"/>
        </w:rPr>
        <w:t>1.</w:t>
      </w:r>
      <w:r w:rsidR="00374C56" w:rsidRPr="00D53A2B">
        <w:rPr>
          <w:rFonts w:cs="Times New Roman"/>
          <w:lang w:eastAsia="en-US"/>
        </w:rPr>
        <w:t>5.3.1.</w:t>
      </w:r>
      <w:r w:rsidRPr="00D53A2B">
        <w:rPr>
          <w:rFonts w:cs="Times New Roman"/>
          <w:lang w:eastAsia="en-US"/>
        </w:rPr>
        <w:t xml:space="preserve"> </w:t>
      </w:r>
      <w:r w:rsidR="00374C56" w:rsidRPr="00D53A2B">
        <w:rPr>
          <w:rFonts w:cs="Times New Roman"/>
          <w:lang w:eastAsia="en-US"/>
        </w:rPr>
        <w:t>Havaya salınan emisyonlar</w:t>
      </w:r>
      <w:bookmarkEnd w:id="134"/>
      <w:bookmarkEnd w:id="135"/>
    </w:p>
    <w:p w14:paraId="5C0679F5" w14:textId="2B28B285" w:rsidR="00374C56" w:rsidRPr="00D53A2B" w:rsidRDefault="0018127E" w:rsidP="00A202FD">
      <w:pPr>
        <w:pStyle w:val="Balk5"/>
        <w:ind w:left="1134" w:hanging="1134"/>
        <w:rPr>
          <w:szCs w:val="24"/>
        </w:rPr>
      </w:pPr>
      <w:r w:rsidRPr="00D53A2B">
        <w:rPr>
          <w:szCs w:val="24"/>
        </w:rPr>
        <w:t>1.</w:t>
      </w:r>
      <w:r w:rsidR="00374C56" w:rsidRPr="00D53A2B">
        <w:rPr>
          <w:szCs w:val="24"/>
        </w:rPr>
        <w:t>5.3.1.1.</w:t>
      </w:r>
      <w:r w:rsidR="00374C56" w:rsidRPr="00D53A2B">
        <w:rPr>
          <w:szCs w:val="24"/>
        </w:rPr>
        <w:tab/>
        <w:t>Yayılı toz emisyonları</w:t>
      </w:r>
    </w:p>
    <w:p w14:paraId="7F8184B7" w14:textId="55BDB1DE" w:rsidR="00374C56" w:rsidRPr="00D53A2B" w:rsidRDefault="000A48EC" w:rsidP="00A202FD">
      <w:pPr>
        <w:spacing w:after="240"/>
        <w:jc w:val="both"/>
        <w:rPr>
          <w:b/>
          <w:lang w:eastAsia="en-US"/>
        </w:rPr>
      </w:pPr>
      <w:r w:rsidRPr="00D53A2B">
        <w:rPr>
          <w:b/>
          <w:bCs/>
          <w:lang w:eastAsia="en-US"/>
        </w:rPr>
        <w:t>MET 127:</w:t>
      </w:r>
      <w:r w:rsidR="00374C56" w:rsidRPr="00D53A2B">
        <w:rPr>
          <w:b/>
          <w:bCs/>
          <w:lang w:eastAsia="en-US"/>
        </w:rPr>
        <w:t xml:space="preserve"> </w:t>
      </w:r>
      <w:r w:rsidR="00374C56" w:rsidRPr="00D53A2B">
        <w:rPr>
          <w:bCs/>
          <w:lang w:eastAsia="en-US"/>
        </w:rPr>
        <w:t>Çinko külçelerinin ergitilmesi, alaşımlanması ve dökümünden kaynaklanan ve havaya salınan yayılı toz emisyonlarının azaltılması için negatif basınç altında ekipman kullan</w:t>
      </w:r>
      <w:r w:rsidR="00BC14A5" w:rsidRPr="00D53A2B">
        <w:rPr>
          <w:bCs/>
          <w:lang w:eastAsia="en-US"/>
        </w:rPr>
        <w:t>ılır</w:t>
      </w:r>
      <w:r w:rsidR="00374C56" w:rsidRPr="00D53A2B">
        <w:rPr>
          <w:bCs/>
          <w:lang w:eastAsia="en-US"/>
        </w:rPr>
        <w:t>.</w:t>
      </w:r>
    </w:p>
    <w:p w14:paraId="26CD6315" w14:textId="5A6FB290" w:rsidR="00374C56" w:rsidRPr="00D53A2B" w:rsidRDefault="0018127E" w:rsidP="00A202FD">
      <w:pPr>
        <w:pStyle w:val="Balk5"/>
        <w:ind w:left="1134" w:hanging="1134"/>
        <w:rPr>
          <w:szCs w:val="24"/>
        </w:rPr>
      </w:pPr>
      <w:r w:rsidRPr="00D53A2B">
        <w:rPr>
          <w:szCs w:val="24"/>
        </w:rPr>
        <w:t>1.</w:t>
      </w:r>
      <w:r w:rsidR="00374C56" w:rsidRPr="00D53A2B">
        <w:rPr>
          <w:szCs w:val="24"/>
        </w:rPr>
        <w:t>5.3.1.2.</w:t>
      </w:r>
      <w:r w:rsidRPr="00D53A2B">
        <w:rPr>
          <w:szCs w:val="24"/>
        </w:rPr>
        <w:t xml:space="preserve"> </w:t>
      </w:r>
      <w:r w:rsidR="00040198" w:rsidRPr="00D53A2B">
        <w:rPr>
          <w:szCs w:val="24"/>
        </w:rPr>
        <w:t xml:space="preserve">Kanalize </w:t>
      </w:r>
      <w:r w:rsidR="00374C56" w:rsidRPr="00D53A2B">
        <w:rPr>
          <w:szCs w:val="24"/>
        </w:rPr>
        <w:t>toz emisyonları</w:t>
      </w:r>
    </w:p>
    <w:p w14:paraId="305EE72F" w14:textId="0778E8E2" w:rsidR="00374C56" w:rsidRPr="00D53A2B" w:rsidRDefault="000A48EC" w:rsidP="00A202FD">
      <w:pPr>
        <w:spacing w:after="240"/>
        <w:jc w:val="both"/>
        <w:rPr>
          <w:b/>
          <w:lang w:eastAsia="en-US"/>
        </w:rPr>
      </w:pPr>
      <w:r w:rsidRPr="00D53A2B">
        <w:rPr>
          <w:b/>
          <w:lang w:eastAsia="en-US"/>
        </w:rPr>
        <w:t>MET 128:</w:t>
      </w:r>
      <w:r w:rsidR="00374C56" w:rsidRPr="00D53A2B">
        <w:rPr>
          <w:b/>
          <w:lang w:eastAsia="en-US"/>
        </w:rPr>
        <w:t xml:space="preserve"> </w:t>
      </w:r>
      <w:r w:rsidR="00374C56" w:rsidRPr="00D53A2B">
        <w:rPr>
          <w:bCs/>
          <w:lang w:eastAsia="en-US"/>
        </w:rPr>
        <w:t>Çinko külçelerinin ergitilmesi, alaşımlanması ve dökümünden ve çinko tozu üretiminden kaynaklanan toz ve metal emisyonlarının azaltılması için torba filtre kullanılır.</w:t>
      </w:r>
      <w:r w:rsidR="00374C56" w:rsidRPr="00D53A2B">
        <w:rPr>
          <w:b/>
          <w:lang w:eastAsia="en-US"/>
        </w:rPr>
        <w:t xml:space="preserve"> </w:t>
      </w:r>
    </w:p>
    <w:p w14:paraId="43D7C5A6"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37.</w:t>
      </w:r>
    </w:p>
    <w:p w14:paraId="7D0EBCD6" w14:textId="77777777" w:rsidR="00070FEA" w:rsidRPr="00D53A2B" w:rsidRDefault="00374C56" w:rsidP="00A202FD">
      <w:pPr>
        <w:spacing w:before="120" w:after="120"/>
        <w:jc w:val="both"/>
        <w:rPr>
          <w:bCs/>
          <w:iCs/>
          <w:spacing w:val="2"/>
          <w:lang w:eastAsia="en-US"/>
        </w:rPr>
      </w:pPr>
      <w:bookmarkStart w:id="136" w:name="_Toc527941355"/>
      <w:bookmarkStart w:id="137" w:name="_Toc531927978"/>
      <w:r w:rsidRPr="00D53A2B">
        <w:rPr>
          <w:bCs/>
          <w:iCs/>
          <w:spacing w:val="2"/>
          <w:lang w:eastAsia="en-US"/>
        </w:rPr>
        <w:t>Tablo 37</w:t>
      </w:r>
    </w:p>
    <w:p w14:paraId="47C64766" w14:textId="7DDF5D64" w:rsidR="00374C56" w:rsidRPr="00D53A2B" w:rsidRDefault="00374C56" w:rsidP="00A202FD">
      <w:pPr>
        <w:spacing w:before="120" w:after="120"/>
        <w:jc w:val="both"/>
        <w:rPr>
          <w:bCs/>
          <w:iCs/>
          <w:spacing w:val="2"/>
          <w:lang w:eastAsia="en-US"/>
        </w:rPr>
      </w:pPr>
      <w:r w:rsidRPr="00D53A2B">
        <w:rPr>
          <w:bCs/>
          <w:iCs/>
          <w:spacing w:val="2"/>
          <w:lang w:eastAsia="en-US"/>
        </w:rPr>
        <w:t>Çinko külçelerinin ergitilmesi, alaşımlanması ve dökümünden ve çinko tozu üretiminden kaynaklanan toz emisyonları ile ilgili MET için emisyon seviyeleri</w:t>
      </w:r>
      <w:bookmarkEnd w:id="136"/>
      <w:bookmarkEnd w:id="137"/>
    </w:p>
    <w:tbl>
      <w:tblPr>
        <w:tblW w:w="0" w:type="auto"/>
        <w:tblInd w:w="94" w:type="dxa"/>
        <w:tblLayout w:type="fixed"/>
        <w:tblCellMar>
          <w:left w:w="0" w:type="dxa"/>
          <w:right w:w="0" w:type="dxa"/>
        </w:tblCellMar>
        <w:tblLook w:val="01E0" w:firstRow="1" w:lastRow="1" w:firstColumn="1" w:lastColumn="1" w:noHBand="0" w:noVBand="0"/>
      </w:tblPr>
      <w:tblGrid>
        <w:gridCol w:w="3937"/>
        <w:gridCol w:w="4784"/>
      </w:tblGrid>
      <w:tr w:rsidR="00374C56" w:rsidRPr="00D53A2B" w14:paraId="2E58F130" w14:textId="77777777" w:rsidTr="00374C56">
        <w:tc>
          <w:tcPr>
            <w:tcW w:w="3937" w:type="dxa"/>
            <w:tcBorders>
              <w:top w:val="single" w:sz="4" w:space="0" w:color="000000"/>
              <w:left w:val="single" w:sz="4" w:space="0" w:color="000000"/>
              <w:bottom w:val="single" w:sz="4" w:space="0" w:color="000000"/>
              <w:right w:val="single" w:sz="4" w:space="0" w:color="000000"/>
            </w:tcBorders>
          </w:tcPr>
          <w:p w14:paraId="1CADE295"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4784" w:type="dxa"/>
            <w:tcBorders>
              <w:top w:val="single" w:sz="4" w:space="0" w:color="000000"/>
              <w:left w:val="single" w:sz="4" w:space="0" w:color="000000"/>
              <w:bottom w:val="single" w:sz="4" w:space="0" w:color="000000"/>
              <w:right w:val="single" w:sz="4" w:space="0" w:color="000000"/>
            </w:tcBorders>
          </w:tcPr>
          <w:p w14:paraId="55DA2F64"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w:t>
            </w:r>
            <w:r w:rsidRPr="00D53A2B">
              <w:rPr>
                <w:b/>
                <w:bCs/>
                <w:sz w:val="22"/>
                <w:szCs w:val="22"/>
                <w:vertAlign w:val="superscript"/>
                <w:lang w:eastAsia="en-US"/>
              </w:rPr>
              <w:t>1</w:t>
            </w:r>
            <w:r w:rsidRPr="00D53A2B">
              <w:rPr>
                <w:b/>
                <w:bCs/>
                <w:sz w:val="22"/>
                <w:szCs w:val="22"/>
                <w:lang w:eastAsia="en-US"/>
              </w:rPr>
              <w:t>)</w:t>
            </w:r>
          </w:p>
        </w:tc>
      </w:tr>
      <w:tr w:rsidR="00374C56" w:rsidRPr="00D53A2B" w14:paraId="4769E723" w14:textId="77777777" w:rsidTr="00374C56">
        <w:tc>
          <w:tcPr>
            <w:tcW w:w="3937" w:type="dxa"/>
            <w:tcBorders>
              <w:top w:val="single" w:sz="4" w:space="0" w:color="000000"/>
              <w:left w:val="single" w:sz="4" w:space="0" w:color="000000"/>
              <w:bottom w:val="single" w:sz="4" w:space="0" w:color="000000"/>
              <w:right w:val="single" w:sz="4" w:space="0" w:color="000000"/>
            </w:tcBorders>
          </w:tcPr>
          <w:p w14:paraId="25297A7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4784" w:type="dxa"/>
            <w:tcBorders>
              <w:top w:val="single" w:sz="4" w:space="0" w:color="000000"/>
              <w:left w:val="single" w:sz="4" w:space="0" w:color="000000"/>
              <w:bottom w:val="single" w:sz="4" w:space="0" w:color="000000"/>
              <w:right w:val="single" w:sz="4" w:space="0" w:color="000000"/>
            </w:tcBorders>
          </w:tcPr>
          <w:p w14:paraId="434BA0F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5</w:t>
            </w:r>
          </w:p>
        </w:tc>
      </w:tr>
      <w:tr w:rsidR="00374C56" w:rsidRPr="00D53A2B" w14:paraId="39DF5CCE"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44D4FC4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1</w:t>
            </w:r>
            <w:r w:rsidRPr="00D53A2B">
              <w:rPr>
                <w:sz w:val="22"/>
                <w:szCs w:val="22"/>
                <w:lang w:eastAsia="en-US"/>
              </w:rPr>
              <w:t>) Örnekleme dönemi boyunca alınan değerlerin ortalaması.</w:t>
            </w:r>
          </w:p>
        </w:tc>
      </w:tr>
    </w:tbl>
    <w:p w14:paraId="6F3CD9B4" w14:textId="23CB0CEA" w:rsidR="00374C56" w:rsidRPr="00D53A2B" w:rsidRDefault="00374C56" w:rsidP="00A202FD">
      <w:pPr>
        <w:spacing w:before="240" w:after="240"/>
        <w:jc w:val="both"/>
        <w:rPr>
          <w:lang w:eastAsia="en-US"/>
        </w:rPr>
      </w:pPr>
      <w:r w:rsidRPr="00D53A2B">
        <w:rPr>
          <w:lang w:eastAsia="en-US"/>
        </w:rPr>
        <w:t>İlgili izleme</w:t>
      </w:r>
      <w:r w:rsidR="000A48EC" w:rsidRPr="00D53A2B">
        <w:rPr>
          <w:lang w:eastAsia="en-US"/>
        </w:rPr>
        <w:t xml:space="preserve"> prosesi MET 10</w:t>
      </w:r>
      <w:r w:rsidR="00E56504" w:rsidRPr="00D53A2B">
        <w:rPr>
          <w:lang w:eastAsia="en-US"/>
        </w:rPr>
        <w:t>’</w:t>
      </w:r>
      <w:r w:rsidR="000A48EC" w:rsidRPr="00D53A2B">
        <w:rPr>
          <w:lang w:eastAsia="en-US"/>
        </w:rPr>
        <w:t>da verilmiştir.</w:t>
      </w:r>
    </w:p>
    <w:p w14:paraId="0C78BCD7" w14:textId="01C52C29" w:rsidR="00374C56" w:rsidRPr="00D53A2B" w:rsidRDefault="0018127E" w:rsidP="00A202FD">
      <w:pPr>
        <w:pStyle w:val="Balk4"/>
        <w:rPr>
          <w:rFonts w:cs="Times New Roman"/>
          <w:lang w:eastAsia="en-US"/>
        </w:rPr>
      </w:pPr>
      <w:bookmarkStart w:id="138" w:name="_Toc527940734"/>
      <w:bookmarkStart w:id="139" w:name="_Toc531927890"/>
      <w:r w:rsidRPr="00D53A2B">
        <w:rPr>
          <w:rFonts w:cs="Times New Roman"/>
          <w:lang w:eastAsia="en-US"/>
        </w:rPr>
        <w:t>1.</w:t>
      </w:r>
      <w:r w:rsidR="00374C56" w:rsidRPr="00D53A2B">
        <w:rPr>
          <w:rFonts w:cs="Times New Roman"/>
          <w:lang w:eastAsia="en-US"/>
        </w:rPr>
        <w:t>5.3.2.</w:t>
      </w:r>
      <w:r w:rsidRPr="00D53A2B">
        <w:rPr>
          <w:rFonts w:cs="Times New Roman"/>
          <w:lang w:eastAsia="en-US"/>
        </w:rPr>
        <w:t xml:space="preserve"> </w:t>
      </w:r>
      <w:r w:rsidR="00374C56" w:rsidRPr="00D53A2B">
        <w:rPr>
          <w:rFonts w:cs="Times New Roman"/>
          <w:lang w:eastAsia="en-US"/>
        </w:rPr>
        <w:t>Atıksu</w:t>
      </w:r>
      <w:bookmarkEnd w:id="138"/>
      <w:bookmarkEnd w:id="139"/>
      <w:r w:rsidR="00374C56" w:rsidRPr="00D53A2B">
        <w:rPr>
          <w:rFonts w:cs="Times New Roman"/>
          <w:lang w:eastAsia="en-US"/>
        </w:rPr>
        <w:t xml:space="preserve"> </w:t>
      </w:r>
    </w:p>
    <w:p w14:paraId="0EF12DB2" w14:textId="353CA159" w:rsidR="00374C56" w:rsidRPr="00D53A2B" w:rsidRDefault="000A48EC" w:rsidP="00A202FD">
      <w:pPr>
        <w:spacing w:after="240"/>
        <w:jc w:val="both"/>
        <w:rPr>
          <w:b/>
          <w:lang w:eastAsia="en-US"/>
        </w:rPr>
      </w:pPr>
      <w:r w:rsidRPr="00D53A2B">
        <w:rPr>
          <w:b/>
          <w:lang w:eastAsia="en-US"/>
        </w:rPr>
        <w:t>MET 129:</w:t>
      </w:r>
      <w:r w:rsidR="00374C56" w:rsidRPr="00D53A2B">
        <w:rPr>
          <w:b/>
          <w:lang w:eastAsia="en-US"/>
        </w:rPr>
        <w:t xml:space="preserve"> </w:t>
      </w:r>
      <w:r w:rsidR="00374C56" w:rsidRPr="00D53A2B">
        <w:rPr>
          <w:bCs/>
          <w:lang w:eastAsia="en-US"/>
        </w:rPr>
        <w:t>Çinko külçelerinin ergitilmesi ve dökümünden kaynaklanan atıksu oluşumunu önlemek için su soğutul</w:t>
      </w:r>
      <w:r w:rsidR="00BC14A5" w:rsidRPr="00D53A2B">
        <w:rPr>
          <w:bCs/>
          <w:lang w:eastAsia="en-US"/>
        </w:rPr>
        <w:t>ur</w:t>
      </w:r>
      <w:r w:rsidR="00374C56" w:rsidRPr="00D53A2B">
        <w:rPr>
          <w:bCs/>
          <w:lang w:eastAsia="en-US"/>
        </w:rPr>
        <w:t>.</w:t>
      </w:r>
      <w:r w:rsidR="00374C56" w:rsidRPr="00D53A2B">
        <w:rPr>
          <w:b/>
          <w:lang w:eastAsia="en-US"/>
        </w:rPr>
        <w:t xml:space="preserve"> </w:t>
      </w:r>
    </w:p>
    <w:p w14:paraId="5572B1DF" w14:textId="3CA476E8" w:rsidR="00374C56" w:rsidRPr="00D53A2B" w:rsidRDefault="0018127E" w:rsidP="00A202FD">
      <w:pPr>
        <w:pStyle w:val="Balk4"/>
        <w:rPr>
          <w:rFonts w:cs="Times New Roman"/>
          <w:lang w:eastAsia="en-US"/>
        </w:rPr>
      </w:pPr>
      <w:bookmarkStart w:id="140" w:name="_Toc527940735"/>
      <w:bookmarkStart w:id="141" w:name="_Toc531927891"/>
      <w:r w:rsidRPr="00D53A2B">
        <w:rPr>
          <w:rFonts w:cs="Times New Roman"/>
          <w:lang w:eastAsia="en-US"/>
        </w:rPr>
        <w:t>1.</w:t>
      </w:r>
      <w:r w:rsidR="00374C56" w:rsidRPr="00D53A2B">
        <w:rPr>
          <w:rFonts w:cs="Times New Roman"/>
          <w:lang w:eastAsia="en-US"/>
        </w:rPr>
        <w:t>5.3.3.</w:t>
      </w:r>
      <w:r w:rsidRPr="00D53A2B">
        <w:rPr>
          <w:rFonts w:cs="Times New Roman"/>
          <w:lang w:eastAsia="en-US"/>
        </w:rPr>
        <w:t xml:space="preserve"> </w:t>
      </w:r>
      <w:r w:rsidR="00374C56" w:rsidRPr="00D53A2B">
        <w:rPr>
          <w:rFonts w:cs="Times New Roman"/>
          <w:lang w:eastAsia="en-US"/>
        </w:rPr>
        <w:t>Atık</w:t>
      </w:r>
      <w:bookmarkEnd w:id="140"/>
      <w:bookmarkEnd w:id="141"/>
    </w:p>
    <w:p w14:paraId="2C1E984C" w14:textId="0A6424D7" w:rsidR="00374C56" w:rsidRPr="00D53A2B" w:rsidRDefault="000A48EC" w:rsidP="00A202FD">
      <w:pPr>
        <w:spacing w:after="240"/>
        <w:jc w:val="both"/>
        <w:rPr>
          <w:b/>
          <w:lang w:eastAsia="en-US"/>
        </w:rPr>
      </w:pPr>
      <w:r w:rsidRPr="00D53A2B">
        <w:rPr>
          <w:b/>
          <w:lang w:eastAsia="en-US"/>
        </w:rPr>
        <w:t xml:space="preserve">MET 130: </w:t>
      </w:r>
      <w:r w:rsidR="00374C56" w:rsidRPr="00D53A2B">
        <w:rPr>
          <w:bCs/>
          <w:lang w:eastAsia="en-US"/>
        </w:rPr>
        <w:t>Çinko ingotların ergitilmesinden kaynaklanan ve bertaraf etmek için gönderilen atık miktarının azaltılması için</w:t>
      </w:r>
      <w:r w:rsidR="00BC14A5" w:rsidRPr="00D53A2B">
        <w:rPr>
          <w:bCs/>
          <w:lang w:eastAsia="en-US"/>
        </w:rPr>
        <w:t>,</w:t>
      </w:r>
      <w:r w:rsidR="00374C56" w:rsidRPr="00D53A2B">
        <w:rPr>
          <w:bCs/>
          <w:lang w:eastAsia="en-US"/>
        </w:rPr>
        <w:t xml:space="preserve"> proses artıklarının yeniden kullanımını kolaylaştıracak veya proses artıklarını geri </w:t>
      </w:r>
      <w:r w:rsidR="00C224A7">
        <w:rPr>
          <w:bCs/>
          <w:lang w:eastAsia="en-US"/>
        </w:rPr>
        <w:t>kazanıma gerek kalmayacak</w:t>
      </w:r>
      <w:r w:rsidR="00374C56" w:rsidRPr="00D53A2B">
        <w:rPr>
          <w:bCs/>
          <w:lang w:eastAsia="en-US"/>
        </w:rPr>
        <w:t xml:space="preserve"> şekilde, aşağıda verilen tekniklerin birini ya da bir kombinasyonu kullanıl</w:t>
      </w:r>
      <w:r w:rsidR="00BC14A5" w:rsidRPr="00D53A2B">
        <w:rPr>
          <w:bCs/>
          <w:lang w:eastAsia="en-US"/>
        </w:rPr>
        <w:t>ır ve</w:t>
      </w:r>
      <w:r w:rsidR="00374C56" w:rsidRPr="00D53A2B">
        <w:rPr>
          <w:bCs/>
          <w:lang w:eastAsia="en-US"/>
        </w:rPr>
        <w:t xml:space="preserve"> sahadaki faaliyetleri organize e</w:t>
      </w:r>
      <w:r w:rsidR="00BC14A5" w:rsidRPr="00D53A2B">
        <w:rPr>
          <w:bCs/>
          <w:lang w:eastAsia="en-US"/>
        </w:rPr>
        <w:t>dilir</w:t>
      </w:r>
      <w:r w:rsidR="00374C56" w:rsidRPr="00D53A2B">
        <w:rPr>
          <w:bCs/>
          <w:lang w:eastAsia="en-US"/>
        </w:rPr>
        <w:t>.</w:t>
      </w:r>
    </w:p>
    <w:tbl>
      <w:tblPr>
        <w:tblW w:w="0" w:type="auto"/>
        <w:tblInd w:w="94" w:type="dxa"/>
        <w:tblLayout w:type="fixed"/>
        <w:tblCellMar>
          <w:left w:w="0" w:type="dxa"/>
          <w:right w:w="0" w:type="dxa"/>
        </w:tblCellMar>
        <w:tblLook w:val="01E0" w:firstRow="1" w:lastRow="1" w:firstColumn="1" w:lastColumn="1" w:noHBand="0" w:noVBand="0"/>
      </w:tblPr>
      <w:tblGrid>
        <w:gridCol w:w="317"/>
        <w:gridCol w:w="8404"/>
      </w:tblGrid>
      <w:tr w:rsidR="00374C56" w:rsidRPr="00D53A2B" w14:paraId="1F09564C" w14:textId="77777777" w:rsidTr="00374C56">
        <w:tc>
          <w:tcPr>
            <w:tcW w:w="317" w:type="dxa"/>
            <w:tcBorders>
              <w:top w:val="single" w:sz="4" w:space="0" w:color="000000"/>
              <w:left w:val="single" w:sz="4" w:space="0" w:color="000000"/>
              <w:bottom w:val="single" w:sz="4" w:space="0" w:color="000000"/>
              <w:right w:val="single" w:sz="4" w:space="0" w:color="000000"/>
            </w:tcBorders>
          </w:tcPr>
          <w:p w14:paraId="2CC55EBF" w14:textId="77777777" w:rsidR="00374C56" w:rsidRPr="00D53A2B" w:rsidRDefault="00374C56" w:rsidP="00A202FD">
            <w:pPr>
              <w:spacing w:line="264" w:lineRule="auto"/>
              <w:ind w:left="57" w:right="57"/>
              <w:jc w:val="both"/>
              <w:rPr>
                <w:sz w:val="22"/>
                <w:szCs w:val="22"/>
                <w:lang w:eastAsia="en-US"/>
              </w:rPr>
            </w:pPr>
          </w:p>
        </w:tc>
        <w:tc>
          <w:tcPr>
            <w:tcW w:w="8404" w:type="dxa"/>
            <w:tcBorders>
              <w:top w:val="single" w:sz="4" w:space="0" w:color="000000"/>
              <w:left w:val="single" w:sz="4" w:space="0" w:color="000000"/>
              <w:bottom w:val="single" w:sz="4" w:space="0" w:color="000000"/>
              <w:right w:val="single" w:sz="4" w:space="0" w:color="000000"/>
            </w:tcBorders>
          </w:tcPr>
          <w:p w14:paraId="2AD095A3"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288AF3D2" w14:textId="77777777" w:rsidTr="00374C56">
        <w:tc>
          <w:tcPr>
            <w:tcW w:w="317" w:type="dxa"/>
            <w:tcBorders>
              <w:top w:val="single" w:sz="4" w:space="0" w:color="000000"/>
              <w:left w:val="single" w:sz="4" w:space="0" w:color="000000"/>
              <w:bottom w:val="single" w:sz="4" w:space="0" w:color="000000"/>
              <w:right w:val="single" w:sz="4" w:space="0" w:color="000000"/>
            </w:tcBorders>
          </w:tcPr>
          <w:p w14:paraId="4440716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404" w:type="dxa"/>
            <w:tcBorders>
              <w:top w:val="single" w:sz="4" w:space="0" w:color="000000"/>
              <w:left w:val="single" w:sz="4" w:space="0" w:color="000000"/>
              <w:bottom w:val="single" w:sz="4" w:space="0" w:color="000000"/>
              <w:right w:val="single" w:sz="4" w:space="0" w:color="000000"/>
            </w:tcBorders>
          </w:tcPr>
          <w:p w14:paraId="774B8DC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Ergitme fırınında ortaya çıkan çinkolu tozun ve çinko cürufunun oksitlenmiş kısmının, kavurma fırınında veya hidrometalurjik proseste kullanılması</w:t>
            </w:r>
          </w:p>
        </w:tc>
      </w:tr>
      <w:tr w:rsidR="00374C56" w:rsidRPr="00D53A2B" w14:paraId="0BA0170D" w14:textId="77777777" w:rsidTr="00374C56">
        <w:tc>
          <w:tcPr>
            <w:tcW w:w="317" w:type="dxa"/>
            <w:tcBorders>
              <w:top w:val="single" w:sz="4" w:space="0" w:color="000000"/>
              <w:left w:val="single" w:sz="4" w:space="0" w:color="000000"/>
              <w:bottom w:val="single" w:sz="4" w:space="0" w:color="000000"/>
              <w:right w:val="single" w:sz="4" w:space="0" w:color="000000"/>
            </w:tcBorders>
          </w:tcPr>
          <w:p w14:paraId="75B881B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404" w:type="dxa"/>
            <w:tcBorders>
              <w:top w:val="single" w:sz="4" w:space="0" w:color="000000"/>
              <w:left w:val="single" w:sz="4" w:space="0" w:color="000000"/>
              <w:bottom w:val="single" w:sz="4" w:space="0" w:color="000000"/>
              <w:right w:val="single" w:sz="4" w:space="0" w:color="000000"/>
            </w:tcBorders>
          </w:tcPr>
          <w:p w14:paraId="4256810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Katot dökümünden ortaya çıkan çinko cürufunun metalik kısmı ve metalik cürufun, ergitme fırınında kullanılması veya bir çinko rafinasyon tesisinde, çinko tozu veya çinko oksit olarak geri kazanılması</w:t>
            </w:r>
          </w:p>
        </w:tc>
      </w:tr>
    </w:tbl>
    <w:p w14:paraId="17A101BA" w14:textId="77777777" w:rsidR="00374C56" w:rsidRPr="00D53A2B" w:rsidRDefault="00374C56" w:rsidP="00A202FD">
      <w:pPr>
        <w:jc w:val="both"/>
        <w:rPr>
          <w:lang w:eastAsia="en-US"/>
        </w:rPr>
      </w:pPr>
    </w:p>
    <w:p w14:paraId="16CBF24C" w14:textId="65D6AFEA" w:rsidR="00374C56" w:rsidRPr="00D53A2B" w:rsidRDefault="0018127E" w:rsidP="00A202FD">
      <w:pPr>
        <w:pStyle w:val="Balk3"/>
        <w:rPr>
          <w:rFonts w:cs="Times New Roman"/>
          <w:lang w:eastAsia="en-US"/>
        </w:rPr>
      </w:pPr>
      <w:r w:rsidRPr="00D53A2B">
        <w:rPr>
          <w:rFonts w:cs="Times New Roman"/>
          <w:lang w:eastAsia="en-US"/>
        </w:rPr>
        <w:t>1.</w:t>
      </w:r>
      <w:r w:rsidR="00374C56" w:rsidRPr="00D53A2B">
        <w:rPr>
          <w:rFonts w:cs="Times New Roman"/>
          <w:lang w:eastAsia="en-US"/>
        </w:rPr>
        <w:t>5.4.</w:t>
      </w:r>
      <w:bookmarkStart w:id="142" w:name="_Toc527940736"/>
      <w:bookmarkStart w:id="143" w:name="_Toc531927892"/>
      <w:r w:rsidRPr="00D53A2B">
        <w:rPr>
          <w:rFonts w:cs="Times New Roman"/>
          <w:lang w:eastAsia="en-US"/>
        </w:rPr>
        <w:t xml:space="preserve"> </w:t>
      </w:r>
      <w:r w:rsidR="00374C56" w:rsidRPr="00D53A2B">
        <w:rPr>
          <w:rFonts w:cs="Times New Roman"/>
          <w:lang w:eastAsia="en-US"/>
        </w:rPr>
        <w:t>Kadmiyum üretimi</w:t>
      </w:r>
      <w:bookmarkEnd w:id="142"/>
      <w:bookmarkEnd w:id="143"/>
    </w:p>
    <w:p w14:paraId="291B0A27" w14:textId="3E254D6A" w:rsidR="00374C56" w:rsidRPr="00D53A2B" w:rsidRDefault="0018127E" w:rsidP="00A202FD">
      <w:pPr>
        <w:pStyle w:val="Balk4"/>
        <w:rPr>
          <w:rFonts w:cs="Times New Roman"/>
          <w:lang w:eastAsia="en-US"/>
        </w:rPr>
      </w:pPr>
      <w:bookmarkStart w:id="144" w:name="_Toc527940737"/>
      <w:bookmarkStart w:id="145" w:name="_Toc531927893"/>
      <w:r w:rsidRPr="00D53A2B">
        <w:rPr>
          <w:rFonts w:cs="Times New Roman"/>
          <w:lang w:eastAsia="en-US"/>
        </w:rPr>
        <w:t>1.</w:t>
      </w:r>
      <w:r w:rsidR="00374C56" w:rsidRPr="00D53A2B">
        <w:rPr>
          <w:rFonts w:cs="Times New Roman"/>
          <w:lang w:eastAsia="en-US"/>
        </w:rPr>
        <w:t>5.4.1.</w:t>
      </w:r>
      <w:r w:rsidRPr="00D53A2B">
        <w:rPr>
          <w:rFonts w:cs="Times New Roman"/>
          <w:lang w:eastAsia="en-US"/>
        </w:rPr>
        <w:t xml:space="preserve"> </w:t>
      </w:r>
      <w:r w:rsidR="00374C56" w:rsidRPr="00D53A2B">
        <w:rPr>
          <w:rFonts w:cs="Times New Roman"/>
          <w:lang w:eastAsia="en-US"/>
        </w:rPr>
        <w:t>Havaya salınan emisyonlar</w:t>
      </w:r>
      <w:bookmarkEnd w:id="144"/>
      <w:bookmarkEnd w:id="145"/>
    </w:p>
    <w:p w14:paraId="0D614B05" w14:textId="7A4A39C1" w:rsidR="00374C56" w:rsidRPr="00D53A2B" w:rsidRDefault="0018127E" w:rsidP="00A202FD">
      <w:pPr>
        <w:pStyle w:val="Balk5"/>
        <w:ind w:left="1134" w:hanging="1134"/>
        <w:rPr>
          <w:szCs w:val="24"/>
        </w:rPr>
      </w:pPr>
      <w:r w:rsidRPr="00D53A2B">
        <w:rPr>
          <w:szCs w:val="24"/>
        </w:rPr>
        <w:t>1.</w:t>
      </w:r>
      <w:r w:rsidR="00374C56" w:rsidRPr="00D53A2B">
        <w:rPr>
          <w:szCs w:val="24"/>
        </w:rPr>
        <w:t>5.4.1.1.</w:t>
      </w:r>
      <w:r w:rsidRPr="00D53A2B">
        <w:rPr>
          <w:szCs w:val="24"/>
        </w:rPr>
        <w:t xml:space="preserve"> </w:t>
      </w:r>
      <w:r w:rsidR="00374C56" w:rsidRPr="00D53A2B">
        <w:rPr>
          <w:szCs w:val="24"/>
        </w:rPr>
        <w:t>Yayılı emisyonlar</w:t>
      </w:r>
    </w:p>
    <w:p w14:paraId="6887B1EA" w14:textId="379476C4" w:rsidR="00374C56" w:rsidRPr="00D53A2B" w:rsidRDefault="000A48EC" w:rsidP="00A202FD">
      <w:pPr>
        <w:spacing w:after="240"/>
        <w:jc w:val="both"/>
        <w:rPr>
          <w:b/>
          <w:lang w:eastAsia="en-US"/>
        </w:rPr>
      </w:pPr>
      <w:r w:rsidRPr="00D53A2B">
        <w:rPr>
          <w:b/>
          <w:lang w:eastAsia="en-US"/>
        </w:rPr>
        <w:t>MET 131:</w:t>
      </w:r>
      <w:r w:rsidR="00374C56" w:rsidRPr="00D53A2B">
        <w:rPr>
          <w:b/>
          <w:lang w:eastAsia="en-US"/>
        </w:rPr>
        <w:t xml:space="preserve"> </w:t>
      </w:r>
      <w:r w:rsidR="00374C56" w:rsidRPr="00D53A2B">
        <w:rPr>
          <w:bCs/>
          <w:lang w:eastAsia="en-US"/>
        </w:rPr>
        <w:t xml:space="preserve">Havaya salınan </w:t>
      </w:r>
      <w:r w:rsidR="00BC14A5" w:rsidRPr="00D53A2B">
        <w:rPr>
          <w:bCs/>
          <w:lang w:eastAsia="en-US"/>
        </w:rPr>
        <w:t>y</w:t>
      </w:r>
      <w:r w:rsidR="00374C56" w:rsidRPr="00D53A2B">
        <w:rPr>
          <w:bCs/>
          <w:lang w:eastAsia="en-US"/>
        </w:rPr>
        <w:t>ayılı emisyonları azaltmak için aşağıda verilen tekniklerden biri veya her ikisi kullanılır.</w:t>
      </w:r>
    </w:p>
    <w:tbl>
      <w:tblPr>
        <w:tblW w:w="8721" w:type="dxa"/>
        <w:tblInd w:w="5" w:type="dxa"/>
        <w:tblLayout w:type="fixed"/>
        <w:tblCellMar>
          <w:left w:w="0" w:type="dxa"/>
          <w:right w:w="0" w:type="dxa"/>
        </w:tblCellMar>
        <w:tblLook w:val="01E0" w:firstRow="1" w:lastRow="1" w:firstColumn="1" w:lastColumn="1" w:noHBand="0" w:noVBand="0"/>
      </w:tblPr>
      <w:tblGrid>
        <w:gridCol w:w="317"/>
        <w:gridCol w:w="8404"/>
      </w:tblGrid>
      <w:tr w:rsidR="00374C56" w:rsidRPr="00D53A2B" w14:paraId="4B71BE0D" w14:textId="77777777" w:rsidTr="00374C56">
        <w:trPr>
          <w:trHeight w:hRule="exact" w:val="262"/>
        </w:trPr>
        <w:tc>
          <w:tcPr>
            <w:tcW w:w="317" w:type="dxa"/>
            <w:tcBorders>
              <w:top w:val="single" w:sz="4" w:space="0" w:color="000000"/>
              <w:left w:val="single" w:sz="4" w:space="0" w:color="000000"/>
              <w:bottom w:val="single" w:sz="4" w:space="0" w:color="000000"/>
              <w:right w:val="single" w:sz="4" w:space="0" w:color="000000"/>
            </w:tcBorders>
          </w:tcPr>
          <w:p w14:paraId="38C15991" w14:textId="77777777" w:rsidR="00374C56" w:rsidRPr="00D53A2B" w:rsidRDefault="00374C56" w:rsidP="00A202FD">
            <w:pPr>
              <w:spacing w:after="240"/>
              <w:ind w:left="113" w:right="113"/>
              <w:jc w:val="both"/>
              <w:rPr>
                <w:sz w:val="22"/>
                <w:szCs w:val="22"/>
                <w:lang w:eastAsia="en-US"/>
              </w:rPr>
            </w:pPr>
          </w:p>
        </w:tc>
        <w:tc>
          <w:tcPr>
            <w:tcW w:w="8404" w:type="dxa"/>
            <w:tcBorders>
              <w:top w:val="single" w:sz="4" w:space="0" w:color="000000"/>
              <w:left w:val="single" w:sz="4" w:space="0" w:color="000000"/>
              <w:bottom w:val="single" w:sz="4" w:space="0" w:color="000000"/>
              <w:right w:val="single" w:sz="4" w:space="0" w:color="000000"/>
            </w:tcBorders>
          </w:tcPr>
          <w:p w14:paraId="6C95D74E" w14:textId="77777777" w:rsidR="00374C56" w:rsidRPr="00D53A2B" w:rsidRDefault="00374C56" w:rsidP="00A202FD">
            <w:pPr>
              <w:spacing w:after="240"/>
              <w:ind w:left="113" w:right="113"/>
              <w:jc w:val="both"/>
              <w:rPr>
                <w:sz w:val="22"/>
                <w:szCs w:val="22"/>
                <w:lang w:eastAsia="en-US"/>
              </w:rPr>
            </w:pPr>
            <w:r w:rsidRPr="00D53A2B">
              <w:rPr>
                <w:b/>
                <w:bCs/>
                <w:sz w:val="22"/>
                <w:szCs w:val="22"/>
                <w:lang w:eastAsia="en-US"/>
              </w:rPr>
              <w:t>Teknik</w:t>
            </w:r>
          </w:p>
        </w:tc>
      </w:tr>
      <w:tr w:rsidR="00374C56" w:rsidRPr="00D53A2B" w14:paraId="0DC60AB1" w14:textId="77777777" w:rsidTr="00B80DF9">
        <w:trPr>
          <w:trHeight w:hRule="exact" w:val="882"/>
        </w:trPr>
        <w:tc>
          <w:tcPr>
            <w:tcW w:w="317" w:type="dxa"/>
            <w:tcBorders>
              <w:top w:val="single" w:sz="4" w:space="0" w:color="000000"/>
              <w:left w:val="single" w:sz="4" w:space="0" w:color="000000"/>
              <w:bottom w:val="single" w:sz="4" w:space="0" w:color="000000"/>
              <w:right w:val="single" w:sz="4" w:space="0" w:color="000000"/>
            </w:tcBorders>
            <w:vAlign w:val="center"/>
          </w:tcPr>
          <w:p w14:paraId="6594D628" w14:textId="77777777" w:rsidR="00374C56" w:rsidRPr="00D53A2B" w:rsidRDefault="00374C56" w:rsidP="00A202FD">
            <w:pPr>
              <w:spacing w:after="240"/>
              <w:ind w:left="113" w:right="113"/>
              <w:jc w:val="both"/>
              <w:rPr>
                <w:sz w:val="22"/>
                <w:szCs w:val="22"/>
                <w:lang w:eastAsia="en-US"/>
              </w:rPr>
            </w:pPr>
            <w:r w:rsidRPr="00D53A2B">
              <w:rPr>
                <w:sz w:val="22"/>
                <w:szCs w:val="22"/>
                <w:lang w:eastAsia="en-US"/>
              </w:rPr>
              <w:t>a</w:t>
            </w:r>
          </w:p>
        </w:tc>
        <w:tc>
          <w:tcPr>
            <w:tcW w:w="8404" w:type="dxa"/>
            <w:tcBorders>
              <w:top w:val="single" w:sz="4" w:space="0" w:color="000000"/>
              <w:left w:val="single" w:sz="4" w:space="0" w:color="000000"/>
              <w:bottom w:val="single" w:sz="4" w:space="0" w:color="000000"/>
              <w:right w:val="single" w:sz="4" w:space="0" w:color="000000"/>
            </w:tcBorders>
          </w:tcPr>
          <w:p w14:paraId="19E8A9C8" w14:textId="77777777" w:rsidR="00374C56" w:rsidRPr="00D53A2B" w:rsidRDefault="00374C56" w:rsidP="00A202FD">
            <w:pPr>
              <w:spacing w:after="240"/>
              <w:ind w:left="113" w:right="113"/>
              <w:jc w:val="both"/>
              <w:rPr>
                <w:sz w:val="22"/>
                <w:szCs w:val="22"/>
                <w:lang w:eastAsia="en-US"/>
              </w:rPr>
            </w:pPr>
            <w:r w:rsidRPr="00D53A2B">
              <w:rPr>
                <w:sz w:val="22"/>
                <w:szCs w:val="22"/>
                <w:lang w:eastAsia="en-US"/>
              </w:rPr>
              <w:t>Hidrometalurjik üretimde özütleme ve katı-sıvı ayrımı yapmak için; pirometalurjik üretimde briketleme/peletleme ve buharlaştırma için ve ergitme, alaşımlama ve döküm prosesleri için bir azaltım sistemine bağlı, merkezi ekstraksiyon sistemi</w:t>
            </w:r>
          </w:p>
        </w:tc>
      </w:tr>
      <w:tr w:rsidR="00374C56" w:rsidRPr="00D53A2B" w14:paraId="73D12FD3" w14:textId="77777777" w:rsidTr="00B80DF9">
        <w:trPr>
          <w:trHeight w:hRule="exact" w:val="411"/>
        </w:trPr>
        <w:tc>
          <w:tcPr>
            <w:tcW w:w="317" w:type="dxa"/>
            <w:tcBorders>
              <w:top w:val="single" w:sz="4" w:space="0" w:color="000000"/>
              <w:left w:val="single" w:sz="4" w:space="0" w:color="000000"/>
              <w:bottom w:val="single" w:sz="4" w:space="0" w:color="000000"/>
              <w:right w:val="single" w:sz="4" w:space="0" w:color="000000"/>
            </w:tcBorders>
          </w:tcPr>
          <w:p w14:paraId="0194E226" w14:textId="77777777" w:rsidR="00374C56" w:rsidRPr="00D53A2B" w:rsidRDefault="00374C56" w:rsidP="00A202FD">
            <w:pPr>
              <w:spacing w:after="240"/>
              <w:ind w:left="113" w:right="113"/>
              <w:jc w:val="both"/>
              <w:rPr>
                <w:sz w:val="22"/>
                <w:szCs w:val="22"/>
                <w:lang w:eastAsia="en-US"/>
              </w:rPr>
            </w:pPr>
            <w:r w:rsidRPr="00D53A2B">
              <w:rPr>
                <w:sz w:val="22"/>
                <w:szCs w:val="22"/>
                <w:lang w:eastAsia="en-US"/>
              </w:rPr>
              <w:t>b</w:t>
            </w:r>
          </w:p>
        </w:tc>
        <w:tc>
          <w:tcPr>
            <w:tcW w:w="8404" w:type="dxa"/>
            <w:tcBorders>
              <w:top w:val="single" w:sz="4" w:space="0" w:color="000000"/>
              <w:left w:val="single" w:sz="4" w:space="0" w:color="000000"/>
              <w:bottom w:val="single" w:sz="4" w:space="0" w:color="000000"/>
              <w:right w:val="single" w:sz="4" w:space="0" w:color="000000"/>
            </w:tcBorders>
          </w:tcPr>
          <w:p w14:paraId="47B487F9" w14:textId="77777777" w:rsidR="00374C56" w:rsidRPr="00D53A2B" w:rsidRDefault="00374C56" w:rsidP="00A202FD">
            <w:pPr>
              <w:spacing w:after="240"/>
              <w:ind w:left="113" w:right="113"/>
              <w:jc w:val="both"/>
              <w:rPr>
                <w:sz w:val="22"/>
                <w:szCs w:val="22"/>
                <w:lang w:eastAsia="en-US"/>
              </w:rPr>
            </w:pPr>
            <w:r w:rsidRPr="00D53A2B">
              <w:rPr>
                <w:sz w:val="22"/>
                <w:szCs w:val="22"/>
                <w:lang w:eastAsia="en-US"/>
              </w:rPr>
              <w:t>Hidrometalurjik üretimde elektroliz aşaması için hücre kapakları</w:t>
            </w:r>
          </w:p>
        </w:tc>
      </w:tr>
    </w:tbl>
    <w:p w14:paraId="3B24AB30" w14:textId="77777777" w:rsidR="00374C56" w:rsidRPr="00D53A2B" w:rsidRDefault="00374C56" w:rsidP="00A202FD">
      <w:pPr>
        <w:jc w:val="both"/>
        <w:rPr>
          <w:lang w:eastAsia="en-US"/>
        </w:rPr>
      </w:pPr>
    </w:p>
    <w:p w14:paraId="08C81BE5" w14:textId="265B8FBF" w:rsidR="00374C56" w:rsidRPr="00D53A2B" w:rsidRDefault="00BA5671" w:rsidP="00A202FD">
      <w:pPr>
        <w:pStyle w:val="Balk5"/>
        <w:ind w:left="1134" w:hanging="1134"/>
        <w:rPr>
          <w:szCs w:val="24"/>
        </w:rPr>
      </w:pPr>
      <w:r w:rsidRPr="00D53A2B">
        <w:rPr>
          <w:szCs w:val="24"/>
        </w:rPr>
        <w:t>1.</w:t>
      </w:r>
      <w:r w:rsidR="00374C56" w:rsidRPr="00D53A2B">
        <w:rPr>
          <w:szCs w:val="24"/>
        </w:rPr>
        <w:t>5.4.1.2.</w:t>
      </w:r>
      <w:r w:rsidRPr="00D53A2B">
        <w:rPr>
          <w:szCs w:val="24"/>
        </w:rPr>
        <w:t xml:space="preserve"> </w:t>
      </w:r>
      <w:r w:rsidR="00374C56" w:rsidRPr="00D53A2B">
        <w:rPr>
          <w:szCs w:val="24"/>
        </w:rPr>
        <w:t>Kanalize toz emisyonları</w:t>
      </w:r>
    </w:p>
    <w:p w14:paraId="7FE2D04B" w14:textId="559D05A8" w:rsidR="00374C56" w:rsidRPr="00D53A2B" w:rsidRDefault="000A48EC" w:rsidP="00A202FD">
      <w:pPr>
        <w:spacing w:after="240"/>
        <w:jc w:val="both"/>
        <w:rPr>
          <w:b/>
          <w:lang w:eastAsia="en-US"/>
        </w:rPr>
      </w:pPr>
      <w:r w:rsidRPr="00D53A2B">
        <w:rPr>
          <w:b/>
          <w:lang w:eastAsia="en-US"/>
        </w:rPr>
        <w:t>MET 132:</w:t>
      </w:r>
      <w:r w:rsidR="00374C56" w:rsidRPr="00D53A2B">
        <w:rPr>
          <w:b/>
          <w:lang w:eastAsia="en-US"/>
        </w:rPr>
        <w:t xml:space="preserve"> </w:t>
      </w:r>
      <w:r w:rsidR="00BA5671" w:rsidRPr="00D53A2B">
        <w:rPr>
          <w:bCs/>
          <w:lang w:eastAsia="en-US"/>
        </w:rPr>
        <w:t>Pirometalurjik kadmiyum üretimi ve kadmiyum külçelerinin ergitilmesi, alaşımlanması ve dökümünden kaynaklanan ve havaya salınan toz ve metal emisyonlarını azaltmak için aşağıda verilen tekniklerden birinin veya bunların bir kombinasyonu kullanılır.</w:t>
      </w:r>
    </w:p>
    <w:tbl>
      <w:tblPr>
        <w:tblW w:w="0" w:type="auto"/>
        <w:tblInd w:w="5" w:type="dxa"/>
        <w:tblLayout w:type="fixed"/>
        <w:tblCellMar>
          <w:left w:w="0" w:type="dxa"/>
          <w:right w:w="0" w:type="dxa"/>
        </w:tblCellMar>
        <w:tblLook w:val="01E0" w:firstRow="1" w:lastRow="1" w:firstColumn="1" w:lastColumn="1" w:noHBand="0" w:noVBand="0"/>
      </w:tblPr>
      <w:tblGrid>
        <w:gridCol w:w="317"/>
        <w:gridCol w:w="1681"/>
        <w:gridCol w:w="6762"/>
      </w:tblGrid>
      <w:tr w:rsidR="00374C56" w:rsidRPr="00D53A2B" w14:paraId="628D7896"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3B5DBE9D" w14:textId="77777777" w:rsidR="00374C56" w:rsidRPr="00D53A2B" w:rsidRDefault="00374C56" w:rsidP="00A202FD">
            <w:pPr>
              <w:spacing w:line="264" w:lineRule="auto"/>
              <w:ind w:left="57" w:right="57"/>
              <w:jc w:val="both"/>
              <w:rPr>
                <w:sz w:val="22"/>
                <w:szCs w:val="22"/>
                <w:lang w:eastAsia="en-US"/>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16666022"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 (</w:t>
            </w:r>
            <w:r w:rsidRPr="00D53A2B">
              <w:rPr>
                <w:b/>
                <w:bCs/>
                <w:sz w:val="22"/>
                <w:szCs w:val="22"/>
                <w:vertAlign w:val="superscript"/>
                <w:lang w:eastAsia="en-US"/>
              </w:rPr>
              <w:t>1</w:t>
            </w:r>
            <w:r w:rsidRPr="00D53A2B">
              <w:rPr>
                <w:b/>
                <w:bCs/>
                <w:sz w:val="22"/>
                <w:szCs w:val="22"/>
                <w:lang w:eastAsia="en-US"/>
              </w:rPr>
              <w:t>)</w:t>
            </w:r>
          </w:p>
        </w:tc>
        <w:tc>
          <w:tcPr>
            <w:tcW w:w="6762" w:type="dxa"/>
            <w:tcBorders>
              <w:top w:val="single" w:sz="4" w:space="0" w:color="000000"/>
              <w:left w:val="single" w:sz="4" w:space="0" w:color="000000"/>
              <w:bottom w:val="single" w:sz="4" w:space="0" w:color="000000"/>
              <w:right w:val="single" w:sz="4" w:space="0" w:color="000000"/>
            </w:tcBorders>
            <w:vAlign w:val="center"/>
          </w:tcPr>
          <w:p w14:paraId="7082BCAF"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3FC9D66C"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68580BC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1681" w:type="dxa"/>
            <w:tcBorders>
              <w:top w:val="single" w:sz="4" w:space="0" w:color="000000"/>
              <w:left w:val="single" w:sz="4" w:space="0" w:color="000000"/>
              <w:bottom w:val="single" w:sz="4" w:space="0" w:color="000000"/>
              <w:right w:val="single" w:sz="4" w:space="0" w:color="000000"/>
            </w:tcBorders>
            <w:vAlign w:val="center"/>
          </w:tcPr>
          <w:p w14:paraId="14C9943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Torba filtre</w:t>
            </w:r>
          </w:p>
        </w:tc>
        <w:tc>
          <w:tcPr>
            <w:tcW w:w="6762" w:type="dxa"/>
            <w:tcBorders>
              <w:top w:val="single" w:sz="4" w:space="0" w:color="000000"/>
              <w:left w:val="single" w:sz="4" w:space="0" w:color="000000"/>
              <w:bottom w:val="single" w:sz="4" w:space="0" w:color="000000"/>
              <w:right w:val="single" w:sz="4" w:space="0" w:color="000000"/>
            </w:tcBorders>
            <w:vAlign w:val="center"/>
          </w:tcPr>
          <w:p w14:paraId="144896B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784C7F14"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3D33CA1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1681" w:type="dxa"/>
            <w:tcBorders>
              <w:top w:val="single" w:sz="4" w:space="0" w:color="000000"/>
              <w:left w:val="single" w:sz="4" w:space="0" w:color="000000"/>
              <w:bottom w:val="single" w:sz="4" w:space="0" w:color="000000"/>
              <w:right w:val="single" w:sz="4" w:space="0" w:color="000000"/>
            </w:tcBorders>
            <w:vAlign w:val="center"/>
          </w:tcPr>
          <w:p w14:paraId="06DBF06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ESP</w:t>
            </w:r>
          </w:p>
        </w:tc>
        <w:tc>
          <w:tcPr>
            <w:tcW w:w="6762" w:type="dxa"/>
            <w:tcBorders>
              <w:top w:val="single" w:sz="4" w:space="0" w:color="000000"/>
              <w:left w:val="single" w:sz="4" w:space="0" w:color="000000"/>
              <w:bottom w:val="single" w:sz="4" w:space="0" w:color="000000"/>
              <w:right w:val="single" w:sz="4" w:space="0" w:color="000000"/>
            </w:tcBorders>
            <w:vAlign w:val="center"/>
          </w:tcPr>
          <w:p w14:paraId="3EA26D6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63306F1E"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29B420F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1681" w:type="dxa"/>
            <w:tcBorders>
              <w:top w:val="single" w:sz="4" w:space="0" w:color="000000"/>
              <w:left w:val="single" w:sz="4" w:space="0" w:color="000000"/>
              <w:bottom w:val="single" w:sz="4" w:space="0" w:color="000000"/>
              <w:right w:val="single" w:sz="4" w:space="0" w:color="000000"/>
            </w:tcBorders>
            <w:vAlign w:val="center"/>
          </w:tcPr>
          <w:p w14:paraId="7E61A9EC" w14:textId="6E92C274" w:rsidR="00374C56" w:rsidRPr="00D53A2B" w:rsidRDefault="00374C56" w:rsidP="00A202FD">
            <w:pPr>
              <w:spacing w:line="264" w:lineRule="auto"/>
              <w:ind w:left="57" w:right="57"/>
              <w:jc w:val="both"/>
              <w:rPr>
                <w:sz w:val="22"/>
                <w:szCs w:val="22"/>
                <w:lang w:eastAsia="en-US"/>
              </w:rPr>
            </w:pPr>
            <w:r w:rsidRPr="00D53A2B">
              <w:rPr>
                <w:sz w:val="22"/>
                <w:szCs w:val="22"/>
                <w:lang w:eastAsia="en-US"/>
              </w:rPr>
              <w:t xml:space="preserve">Islak </w:t>
            </w:r>
            <w:r w:rsidR="00BA5671" w:rsidRPr="00D53A2B">
              <w:rPr>
                <w:sz w:val="22"/>
                <w:szCs w:val="22"/>
                <w:lang w:eastAsia="en-US"/>
              </w:rPr>
              <w:t>yıkama</w:t>
            </w:r>
          </w:p>
        </w:tc>
        <w:tc>
          <w:tcPr>
            <w:tcW w:w="6762" w:type="dxa"/>
            <w:tcBorders>
              <w:top w:val="single" w:sz="4" w:space="0" w:color="000000"/>
              <w:left w:val="single" w:sz="4" w:space="0" w:color="000000"/>
              <w:bottom w:val="single" w:sz="4" w:space="0" w:color="000000"/>
              <w:right w:val="single" w:sz="4" w:space="0" w:color="000000"/>
            </w:tcBorders>
            <w:vAlign w:val="center"/>
          </w:tcPr>
          <w:p w14:paraId="03C0CF2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Aşağıdaki durumlarda uygulanabilirlikleri kısıtlanabilir:</w:t>
            </w:r>
          </w:p>
          <w:p w14:paraId="16D7CDE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Çok yüksek baca gazı oranlarında (önemli miktarda atık ve atıksu ortaya çıkması)</w:t>
            </w:r>
          </w:p>
          <w:p w14:paraId="7003F73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Kurak bölgelerde (yüksek miktarda su ihtiyacı ve ortaya çıkan atıksuyun arıtılma gereksinimi)</w:t>
            </w:r>
          </w:p>
        </w:tc>
      </w:tr>
      <w:tr w:rsidR="00374C56" w:rsidRPr="00D53A2B" w14:paraId="7B79D58C" w14:textId="77777777" w:rsidTr="00374C56">
        <w:tc>
          <w:tcPr>
            <w:tcW w:w="8760" w:type="dxa"/>
            <w:gridSpan w:val="3"/>
            <w:tcBorders>
              <w:top w:val="single" w:sz="4" w:space="0" w:color="000000"/>
              <w:left w:val="single" w:sz="4" w:space="0" w:color="000000"/>
              <w:bottom w:val="single" w:sz="4" w:space="0" w:color="000000"/>
              <w:right w:val="single" w:sz="4" w:space="0" w:color="000000"/>
            </w:tcBorders>
            <w:vAlign w:val="center"/>
          </w:tcPr>
          <w:p w14:paraId="5423C643" w14:textId="0B35AB90"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1</w:t>
            </w:r>
            <w:r w:rsidRPr="00D53A2B">
              <w:rPr>
                <w:sz w:val="22"/>
                <w:szCs w:val="22"/>
                <w:lang w:eastAsia="en-US"/>
              </w:rPr>
              <w:t>) Tekniklerin açıklamaları Bölüm 1.10</w:t>
            </w:r>
            <w:r w:rsidR="00E56504" w:rsidRPr="00D53A2B">
              <w:rPr>
                <w:sz w:val="22"/>
                <w:szCs w:val="22"/>
                <w:lang w:eastAsia="en-US"/>
              </w:rPr>
              <w:t>’</w:t>
            </w:r>
            <w:r w:rsidRPr="00D53A2B">
              <w:rPr>
                <w:sz w:val="22"/>
                <w:szCs w:val="22"/>
                <w:lang w:eastAsia="en-US"/>
              </w:rPr>
              <w:t>da verilmiştir.</w:t>
            </w:r>
          </w:p>
        </w:tc>
      </w:tr>
    </w:tbl>
    <w:p w14:paraId="0C025A91"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38.</w:t>
      </w:r>
    </w:p>
    <w:p w14:paraId="41C64C11" w14:textId="77777777" w:rsidR="00070FEA" w:rsidRPr="00D53A2B" w:rsidRDefault="00374C56" w:rsidP="00A202FD">
      <w:pPr>
        <w:spacing w:before="120" w:after="120"/>
        <w:jc w:val="both"/>
        <w:rPr>
          <w:bCs/>
          <w:iCs/>
          <w:spacing w:val="2"/>
          <w:lang w:eastAsia="en-US"/>
        </w:rPr>
      </w:pPr>
      <w:bookmarkStart w:id="146" w:name="_Toc527941356"/>
      <w:bookmarkStart w:id="147" w:name="_Toc531927979"/>
      <w:r w:rsidRPr="00D53A2B">
        <w:rPr>
          <w:bCs/>
          <w:iCs/>
          <w:spacing w:val="2"/>
          <w:lang w:eastAsia="en-US"/>
        </w:rPr>
        <w:t xml:space="preserve">Tablo </w:t>
      </w:r>
      <w:r w:rsidRPr="00D53A2B">
        <w:rPr>
          <w:bCs/>
          <w:iCs/>
          <w:noProof/>
          <w:spacing w:val="2"/>
          <w:lang w:eastAsia="en-US"/>
        </w:rPr>
        <w:t>38</w:t>
      </w:r>
    </w:p>
    <w:p w14:paraId="51592625" w14:textId="40C0DC0A" w:rsidR="00374C56" w:rsidRPr="00D53A2B" w:rsidRDefault="00374C56" w:rsidP="00A202FD">
      <w:pPr>
        <w:spacing w:before="120" w:after="120"/>
        <w:jc w:val="both"/>
        <w:rPr>
          <w:bCs/>
          <w:iCs/>
          <w:spacing w:val="2"/>
          <w:lang w:eastAsia="en-US"/>
        </w:rPr>
      </w:pPr>
      <w:r w:rsidRPr="00D53A2B">
        <w:rPr>
          <w:bCs/>
          <w:iCs/>
          <w:spacing w:val="2"/>
          <w:lang w:eastAsia="en-US"/>
        </w:rPr>
        <w:t xml:space="preserve">Pirometalurjik kadmiyum üretimi ve kadmiyum </w:t>
      </w:r>
      <w:r w:rsidR="00BA5671" w:rsidRPr="00D53A2B">
        <w:rPr>
          <w:bCs/>
          <w:iCs/>
          <w:spacing w:val="2"/>
          <w:lang w:eastAsia="en-US"/>
        </w:rPr>
        <w:t>külçelerinin</w:t>
      </w:r>
      <w:r w:rsidRPr="00D53A2B">
        <w:rPr>
          <w:bCs/>
          <w:iCs/>
          <w:spacing w:val="2"/>
          <w:lang w:eastAsia="en-US"/>
        </w:rPr>
        <w:t xml:space="preserve"> ergitilmesi, alaşımlanması ve dökümünden kaynaklanan toz ve kadmiyum emisyonları ile ilgili MET için emisyon seviyeleri</w:t>
      </w:r>
      <w:bookmarkEnd w:id="146"/>
      <w:bookmarkEnd w:id="147"/>
    </w:p>
    <w:tbl>
      <w:tblPr>
        <w:tblW w:w="0" w:type="auto"/>
        <w:tblInd w:w="5" w:type="dxa"/>
        <w:tblLayout w:type="fixed"/>
        <w:tblCellMar>
          <w:left w:w="0" w:type="dxa"/>
          <w:right w:w="0" w:type="dxa"/>
        </w:tblCellMar>
        <w:tblLook w:val="01E0" w:firstRow="1" w:lastRow="1" w:firstColumn="1" w:lastColumn="1" w:noHBand="0" w:noVBand="0"/>
      </w:tblPr>
      <w:tblGrid>
        <w:gridCol w:w="3937"/>
        <w:gridCol w:w="4784"/>
      </w:tblGrid>
      <w:tr w:rsidR="00374C56" w:rsidRPr="00D53A2B" w14:paraId="6A076495" w14:textId="77777777" w:rsidTr="00374C56">
        <w:tc>
          <w:tcPr>
            <w:tcW w:w="3937" w:type="dxa"/>
            <w:tcBorders>
              <w:top w:val="single" w:sz="4" w:space="0" w:color="000000"/>
              <w:left w:val="single" w:sz="4" w:space="0" w:color="000000"/>
              <w:bottom w:val="single" w:sz="4" w:space="0" w:color="000000"/>
              <w:right w:val="single" w:sz="4" w:space="0" w:color="000000"/>
            </w:tcBorders>
            <w:vAlign w:val="center"/>
          </w:tcPr>
          <w:p w14:paraId="64193F7E"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4784" w:type="dxa"/>
            <w:tcBorders>
              <w:top w:val="single" w:sz="4" w:space="0" w:color="000000"/>
              <w:left w:val="single" w:sz="4" w:space="0" w:color="000000"/>
              <w:bottom w:val="single" w:sz="4" w:space="0" w:color="000000"/>
              <w:right w:val="single" w:sz="4" w:space="0" w:color="000000"/>
            </w:tcBorders>
            <w:vAlign w:val="center"/>
          </w:tcPr>
          <w:p w14:paraId="37A5ADC0"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w:t>
            </w:r>
            <w:r w:rsidRPr="00D53A2B">
              <w:rPr>
                <w:b/>
                <w:bCs/>
                <w:sz w:val="22"/>
                <w:szCs w:val="22"/>
                <w:vertAlign w:val="superscript"/>
                <w:lang w:eastAsia="en-US"/>
              </w:rPr>
              <w:t>1</w:t>
            </w:r>
            <w:r w:rsidRPr="00D53A2B">
              <w:rPr>
                <w:b/>
                <w:bCs/>
                <w:sz w:val="22"/>
                <w:szCs w:val="22"/>
                <w:lang w:eastAsia="en-US"/>
              </w:rPr>
              <w:t>)</w:t>
            </w:r>
          </w:p>
        </w:tc>
      </w:tr>
      <w:tr w:rsidR="00374C56" w:rsidRPr="00D53A2B" w14:paraId="4665E869" w14:textId="77777777" w:rsidTr="00374C56">
        <w:tc>
          <w:tcPr>
            <w:tcW w:w="3937" w:type="dxa"/>
            <w:tcBorders>
              <w:top w:val="single" w:sz="4" w:space="0" w:color="000000"/>
              <w:left w:val="single" w:sz="4" w:space="0" w:color="000000"/>
              <w:bottom w:val="single" w:sz="4" w:space="0" w:color="000000"/>
              <w:right w:val="single" w:sz="4" w:space="0" w:color="000000"/>
            </w:tcBorders>
          </w:tcPr>
          <w:p w14:paraId="38AA8D0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4784" w:type="dxa"/>
            <w:tcBorders>
              <w:top w:val="single" w:sz="4" w:space="0" w:color="000000"/>
              <w:left w:val="single" w:sz="4" w:space="0" w:color="000000"/>
              <w:bottom w:val="single" w:sz="4" w:space="0" w:color="000000"/>
              <w:right w:val="single" w:sz="4" w:space="0" w:color="000000"/>
            </w:tcBorders>
          </w:tcPr>
          <w:p w14:paraId="01F245A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2–3</w:t>
            </w:r>
          </w:p>
        </w:tc>
      </w:tr>
      <w:tr w:rsidR="00374C56" w:rsidRPr="00D53A2B" w14:paraId="37C98E0D" w14:textId="77777777" w:rsidTr="00374C56">
        <w:tc>
          <w:tcPr>
            <w:tcW w:w="3937" w:type="dxa"/>
            <w:tcBorders>
              <w:top w:val="single" w:sz="4" w:space="0" w:color="000000"/>
              <w:left w:val="single" w:sz="4" w:space="0" w:color="000000"/>
              <w:bottom w:val="single" w:sz="4" w:space="0" w:color="000000"/>
              <w:right w:val="single" w:sz="4" w:space="0" w:color="000000"/>
            </w:tcBorders>
          </w:tcPr>
          <w:p w14:paraId="4E91E37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Cd</w:t>
            </w:r>
          </w:p>
        </w:tc>
        <w:tc>
          <w:tcPr>
            <w:tcW w:w="4784" w:type="dxa"/>
            <w:tcBorders>
              <w:top w:val="single" w:sz="4" w:space="0" w:color="000000"/>
              <w:left w:val="single" w:sz="4" w:space="0" w:color="000000"/>
              <w:bottom w:val="single" w:sz="4" w:space="0" w:color="000000"/>
              <w:right w:val="single" w:sz="4" w:space="0" w:color="000000"/>
            </w:tcBorders>
          </w:tcPr>
          <w:p w14:paraId="4DCFCBC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0,1</w:t>
            </w:r>
          </w:p>
        </w:tc>
      </w:tr>
      <w:tr w:rsidR="00374C56" w:rsidRPr="00D53A2B" w14:paraId="2B9C859F"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4A5B4CC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w:t>
            </w:r>
            <w:r w:rsidRPr="00D53A2B">
              <w:rPr>
                <w:sz w:val="22"/>
                <w:szCs w:val="22"/>
                <w:vertAlign w:val="superscript"/>
                <w:lang w:eastAsia="en-US"/>
              </w:rPr>
              <w:t>1</w:t>
            </w:r>
            <w:r w:rsidRPr="00D53A2B">
              <w:rPr>
                <w:sz w:val="22"/>
                <w:szCs w:val="22"/>
                <w:lang w:eastAsia="en-US"/>
              </w:rPr>
              <w:t>) Örnekleme dönemi boyunca alınan değerlerin ortalaması.</w:t>
            </w:r>
          </w:p>
        </w:tc>
      </w:tr>
    </w:tbl>
    <w:p w14:paraId="2EBEE1C1" w14:textId="1103889B"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6BE77D68" w14:textId="40A8C1A0" w:rsidR="00374C56" w:rsidRPr="00D53A2B" w:rsidRDefault="00BA5671" w:rsidP="00A202FD">
      <w:pPr>
        <w:pStyle w:val="Balk4"/>
        <w:rPr>
          <w:rFonts w:cs="Times New Roman"/>
          <w:lang w:eastAsia="en-US"/>
        </w:rPr>
      </w:pPr>
      <w:r w:rsidRPr="00D53A2B">
        <w:rPr>
          <w:rFonts w:cs="Times New Roman"/>
          <w:lang w:eastAsia="en-US"/>
        </w:rPr>
        <w:t>1.</w:t>
      </w:r>
      <w:r w:rsidR="00374C56" w:rsidRPr="00D53A2B">
        <w:rPr>
          <w:rFonts w:cs="Times New Roman"/>
          <w:lang w:eastAsia="en-US"/>
        </w:rPr>
        <w:t>5.4.2.</w:t>
      </w:r>
      <w:bookmarkStart w:id="148" w:name="_Toc527940738"/>
      <w:bookmarkStart w:id="149" w:name="_Toc531927894"/>
      <w:r w:rsidRPr="00D53A2B">
        <w:rPr>
          <w:rFonts w:cs="Times New Roman"/>
          <w:lang w:eastAsia="en-US"/>
        </w:rPr>
        <w:t xml:space="preserve"> </w:t>
      </w:r>
      <w:r w:rsidR="00374C56" w:rsidRPr="00D53A2B">
        <w:rPr>
          <w:rFonts w:cs="Times New Roman"/>
          <w:lang w:eastAsia="en-US"/>
        </w:rPr>
        <w:t>Atık</w:t>
      </w:r>
      <w:bookmarkEnd w:id="148"/>
      <w:bookmarkEnd w:id="149"/>
    </w:p>
    <w:p w14:paraId="2AC2E5E2" w14:textId="4E8AC00C" w:rsidR="00374C56" w:rsidRPr="00D53A2B" w:rsidRDefault="000A48EC" w:rsidP="00A202FD">
      <w:pPr>
        <w:spacing w:after="240"/>
        <w:jc w:val="both"/>
        <w:rPr>
          <w:b/>
          <w:lang w:eastAsia="en-US"/>
        </w:rPr>
      </w:pPr>
      <w:r w:rsidRPr="00D53A2B">
        <w:rPr>
          <w:b/>
          <w:lang w:eastAsia="en-US"/>
        </w:rPr>
        <w:t>MET 133:</w:t>
      </w:r>
      <w:r w:rsidR="00374C56" w:rsidRPr="00D53A2B">
        <w:rPr>
          <w:b/>
          <w:lang w:eastAsia="en-US"/>
        </w:rPr>
        <w:t xml:space="preserve"> </w:t>
      </w:r>
      <w:r w:rsidR="00374C56" w:rsidRPr="00D53A2B">
        <w:rPr>
          <w:bCs/>
          <w:lang w:eastAsia="en-US"/>
        </w:rPr>
        <w:t xml:space="preserve">Hidrometalurjik kadmiyum prosesinden kaynaklanan ve bertaraf etmek için gönderilen atık miktarının azaltılması için, proses artıklarının yeniden kullanımını kolaylaştıracak veya proses artıklarını geri </w:t>
      </w:r>
      <w:r w:rsidR="00C224A7">
        <w:rPr>
          <w:bCs/>
          <w:lang w:eastAsia="en-US"/>
        </w:rPr>
        <w:t>kazanımı</w:t>
      </w:r>
      <w:r w:rsidR="00374C56" w:rsidRPr="00D53A2B">
        <w:rPr>
          <w:bCs/>
          <w:lang w:eastAsia="en-US"/>
        </w:rPr>
        <w:t xml:space="preserve"> engellemeyecek şekilde, aşağıda verilen tekniklerin biri ya da bir kombinasyonu kullanılarak sahadaki faaliyetler organize e</w:t>
      </w:r>
      <w:r w:rsidR="00500D86" w:rsidRPr="00D53A2B">
        <w:rPr>
          <w:bCs/>
          <w:lang w:eastAsia="en-US"/>
        </w:rPr>
        <w:t>dilir</w:t>
      </w:r>
      <w:r w:rsidR="00374C56" w:rsidRPr="00D53A2B">
        <w:rPr>
          <w:bCs/>
          <w:lang w:eastAsia="en-US"/>
        </w:rPr>
        <w:t>.</w:t>
      </w:r>
    </w:p>
    <w:tbl>
      <w:tblPr>
        <w:tblW w:w="0" w:type="auto"/>
        <w:tblInd w:w="94" w:type="dxa"/>
        <w:tblLayout w:type="fixed"/>
        <w:tblCellMar>
          <w:left w:w="0" w:type="dxa"/>
          <w:right w:w="0" w:type="dxa"/>
        </w:tblCellMar>
        <w:tblLook w:val="01E0" w:firstRow="1" w:lastRow="1" w:firstColumn="1" w:lastColumn="1" w:noHBand="0" w:noVBand="0"/>
      </w:tblPr>
      <w:tblGrid>
        <w:gridCol w:w="317"/>
        <w:gridCol w:w="5595"/>
        <w:gridCol w:w="2809"/>
      </w:tblGrid>
      <w:tr w:rsidR="00374C56" w:rsidRPr="00D53A2B" w14:paraId="4F2409D1" w14:textId="77777777" w:rsidTr="00374C56">
        <w:tc>
          <w:tcPr>
            <w:tcW w:w="317" w:type="dxa"/>
            <w:tcBorders>
              <w:top w:val="single" w:sz="4" w:space="0" w:color="000000"/>
              <w:left w:val="single" w:sz="4" w:space="0" w:color="000000"/>
              <w:bottom w:val="single" w:sz="4" w:space="0" w:color="000000"/>
              <w:right w:val="single" w:sz="4" w:space="0" w:color="000000"/>
            </w:tcBorders>
          </w:tcPr>
          <w:p w14:paraId="11F9E68C" w14:textId="77777777" w:rsidR="00374C56" w:rsidRPr="00D53A2B" w:rsidRDefault="00374C56" w:rsidP="00A202FD">
            <w:pPr>
              <w:spacing w:line="264" w:lineRule="auto"/>
              <w:ind w:left="57" w:right="57"/>
              <w:jc w:val="both"/>
              <w:rPr>
                <w:lang w:eastAsia="en-US"/>
              </w:rPr>
            </w:pPr>
          </w:p>
        </w:tc>
        <w:tc>
          <w:tcPr>
            <w:tcW w:w="5595" w:type="dxa"/>
            <w:tcBorders>
              <w:top w:val="single" w:sz="4" w:space="0" w:color="000000"/>
              <w:left w:val="single" w:sz="4" w:space="0" w:color="000000"/>
              <w:bottom w:val="single" w:sz="4" w:space="0" w:color="000000"/>
              <w:right w:val="single" w:sz="4" w:space="0" w:color="000000"/>
            </w:tcBorders>
          </w:tcPr>
          <w:p w14:paraId="3B0E3B5D" w14:textId="77777777" w:rsidR="00374C56" w:rsidRPr="00D53A2B" w:rsidRDefault="00374C56" w:rsidP="00A202FD">
            <w:pPr>
              <w:spacing w:line="264" w:lineRule="auto"/>
              <w:ind w:left="57" w:right="57"/>
              <w:jc w:val="both"/>
              <w:rPr>
                <w:lang w:eastAsia="en-US"/>
              </w:rPr>
            </w:pPr>
            <w:r w:rsidRPr="00D53A2B">
              <w:rPr>
                <w:b/>
                <w:bCs/>
                <w:lang w:eastAsia="en-US"/>
              </w:rPr>
              <w:t>Teknik</w:t>
            </w:r>
          </w:p>
        </w:tc>
        <w:tc>
          <w:tcPr>
            <w:tcW w:w="2809" w:type="dxa"/>
            <w:tcBorders>
              <w:top w:val="single" w:sz="4" w:space="0" w:color="000000"/>
              <w:left w:val="single" w:sz="4" w:space="0" w:color="000000"/>
              <w:bottom w:val="single" w:sz="4" w:space="0" w:color="000000"/>
              <w:right w:val="single" w:sz="4" w:space="0" w:color="000000"/>
            </w:tcBorders>
            <w:vAlign w:val="center"/>
          </w:tcPr>
          <w:p w14:paraId="2C082299" w14:textId="77777777" w:rsidR="00374C56" w:rsidRPr="00D53A2B" w:rsidRDefault="00374C56" w:rsidP="00A202FD">
            <w:pPr>
              <w:spacing w:line="264" w:lineRule="auto"/>
              <w:ind w:left="57" w:right="57"/>
              <w:jc w:val="both"/>
              <w:rPr>
                <w:lang w:eastAsia="en-US"/>
              </w:rPr>
            </w:pPr>
            <w:r w:rsidRPr="00D53A2B">
              <w:rPr>
                <w:b/>
                <w:bCs/>
                <w:lang w:eastAsia="en-US"/>
              </w:rPr>
              <w:t>Uygulanabilirlik</w:t>
            </w:r>
          </w:p>
        </w:tc>
      </w:tr>
      <w:tr w:rsidR="00374C56" w:rsidRPr="00D53A2B" w14:paraId="37EDEDF6"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349986A5" w14:textId="77777777" w:rsidR="00374C56" w:rsidRPr="00D53A2B" w:rsidRDefault="00374C56" w:rsidP="00A202FD">
            <w:pPr>
              <w:spacing w:line="264" w:lineRule="auto"/>
              <w:ind w:left="57" w:right="57"/>
              <w:jc w:val="both"/>
              <w:rPr>
                <w:lang w:eastAsia="en-US"/>
              </w:rPr>
            </w:pPr>
            <w:r w:rsidRPr="00D53A2B">
              <w:rPr>
                <w:lang w:eastAsia="en-US"/>
              </w:rPr>
              <w:t>a</w:t>
            </w:r>
          </w:p>
        </w:tc>
        <w:tc>
          <w:tcPr>
            <w:tcW w:w="5595" w:type="dxa"/>
            <w:tcBorders>
              <w:top w:val="single" w:sz="4" w:space="0" w:color="000000"/>
              <w:left w:val="single" w:sz="4" w:space="0" w:color="000000"/>
              <w:bottom w:val="single" w:sz="4" w:space="0" w:color="000000"/>
              <w:right w:val="single" w:sz="4" w:space="0" w:color="000000"/>
            </w:tcBorders>
            <w:vAlign w:val="center"/>
          </w:tcPr>
          <w:p w14:paraId="00CF3B1E" w14:textId="77777777" w:rsidR="00374C56" w:rsidRPr="00D53A2B" w:rsidRDefault="00374C56" w:rsidP="00A202FD">
            <w:pPr>
              <w:spacing w:line="264" w:lineRule="auto"/>
              <w:ind w:left="57" w:right="57"/>
              <w:jc w:val="both"/>
              <w:rPr>
                <w:lang w:eastAsia="en-US"/>
              </w:rPr>
            </w:pPr>
            <w:r w:rsidRPr="00D53A2B">
              <w:rPr>
                <w:lang w:eastAsia="en-US"/>
              </w:rPr>
              <w:t>Saflaştırma bölümünde, çinko prosesinden kadmiyumu, kadmiyumca zengin sementat olarak ayırma, daha sonra konsantre hale getirip rafine etme ve sonuç olarak satılabilir kadmiyum metali veya kadmiyum bileşikleri haline dönüştürmek</w:t>
            </w:r>
          </w:p>
        </w:tc>
        <w:tc>
          <w:tcPr>
            <w:tcW w:w="2809" w:type="dxa"/>
            <w:tcBorders>
              <w:top w:val="single" w:sz="4" w:space="0" w:color="000000"/>
              <w:left w:val="single" w:sz="4" w:space="0" w:color="000000"/>
              <w:bottom w:val="single" w:sz="4" w:space="0" w:color="000000"/>
              <w:right w:val="single" w:sz="4" w:space="0" w:color="000000"/>
            </w:tcBorders>
          </w:tcPr>
          <w:p w14:paraId="291B92D7" w14:textId="77777777" w:rsidR="00374C56" w:rsidRPr="00D53A2B" w:rsidRDefault="00374C56" w:rsidP="00A202FD">
            <w:pPr>
              <w:spacing w:line="264" w:lineRule="auto"/>
              <w:ind w:left="57" w:right="57"/>
              <w:jc w:val="both"/>
              <w:rPr>
                <w:lang w:eastAsia="en-US"/>
              </w:rPr>
            </w:pPr>
          </w:p>
          <w:p w14:paraId="21DD0AA4" w14:textId="77777777" w:rsidR="00374C56" w:rsidRPr="00D53A2B" w:rsidRDefault="00374C56" w:rsidP="00A202FD">
            <w:pPr>
              <w:spacing w:line="264" w:lineRule="auto"/>
              <w:ind w:left="57" w:right="57"/>
              <w:jc w:val="both"/>
              <w:rPr>
                <w:lang w:eastAsia="en-US"/>
              </w:rPr>
            </w:pPr>
            <w:r w:rsidRPr="00D53A2B">
              <w:rPr>
                <w:lang w:eastAsia="en-US"/>
              </w:rPr>
              <w:t>Sadece ekonomik açıdan uygun bir talep olduğunda uygulanabilir</w:t>
            </w:r>
          </w:p>
        </w:tc>
      </w:tr>
      <w:tr w:rsidR="00374C56" w:rsidRPr="00D53A2B" w14:paraId="262EE91F"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3DCED74A" w14:textId="77777777" w:rsidR="00374C56" w:rsidRPr="00D53A2B" w:rsidRDefault="00374C56" w:rsidP="00A202FD">
            <w:pPr>
              <w:spacing w:line="264" w:lineRule="auto"/>
              <w:ind w:left="57" w:right="57"/>
              <w:jc w:val="both"/>
              <w:rPr>
                <w:lang w:eastAsia="en-US"/>
              </w:rPr>
            </w:pPr>
            <w:r w:rsidRPr="00D53A2B">
              <w:rPr>
                <w:lang w:eastAsia="en-US"/>
              </w:rPr>
              <w:t>b</w:t>
            </w:r>
          </w:p>
        </w:tc>
        <w:tc>
          <w:tcPr>
            <w:tcW w:w="5595" w:type="dxa"/>
            <w:tcBorders>
              <w:top w:val="single" w:sz="4" w:space="0" w:color="000000"/>
              <w:left w:val="single" w:sz="4" w:space="0" w:color="000000"/>
              <w:bottom w:val="single" w:sz="4" w:space="0" w:color="000000"/>
              <w:right w:val="single" w:sz="4" w:space="0" w:color="000000"/>
            </w:tcBorders>
            <w:vAlign w:val="center"/>
          </w:tcPr>
          <w:p w14:paraId="4325F6AB" w14:textId="5192B828" w:rsidR="00374C56" w:rsidRPr="00D53A2B" w:rsidRDefault="00374C56" w:rsidP="00A202FD">
            <w:pPr>
              <w:spacing w:line="264" w:lineRule="auto"/>
              <w:ind w:left="57" w:right="57"/>
              <w:jc w:val="both"/>
              <w:rPr>
                <w:lang w:eastAsia="en-US"/>
              </w:rPr>
            </w:pPr>
            <w:r w:rsidRPr="00D53A2B">
              <w:rPr>
                <w:lang w:eastAsia="en-US"/>
              </w:rPr>
              <w:t>Saflaştırma bölümünde, çinko prosesinden kadmiyumu, kadmiyumca zengin sementat olarak ayırma, daha sonra kadmiyumca zengin bir çökelti (örn. Çimento (Cd metali), Cd(OH)</w:t>
            </w:r>
            <w:r w:rsidRPr="00D53A2B">
              <w:rPr>
                <w:vertAlign w:val="subscript"/>
                <w:lang w:eastAsia="en-US"/>
              </w:rPr>
              <w:t>2</w:t>
            </w:r>
            <w:r w:rsidRPr="00D53A2B">
              <w:rPr>
                <w:lang w:eastAsia="en-US"/>
              </w:rPr>
              <w:t xml:space="preserve">) oluşturmak için bir dizi hidrometalurjik işlem uygulamak. Diğer bütün proses akışları kadmiyum tesisine veya çinko tesisine geri gönderilirken bu çökeltiler </w:t>
            </w:r>
            <w:r w:rsidR="00C224A7">
              <w:rPr>
                <w:lang w:eastAsia="en-US"/>
              </w:rPr>
              <w:t>düzenli depolanır.</w:t>
            </w:r>
          </w:p>
        </w:tc>
        <w:tc>
          <w:tcPr>
            <w:tcW w:w="2809" w:type="dxa"/>
            <w:tcBorders>
              <w:top w:val="single" w:sz="4" w:space="0" w:color="000000"/>
              <w:left w:val="single" w:sz="4" w:space="0" w:color="000000"/>
              <w:bottom w:val="single" w:sz="4" w:space="0" w:color="000000"/>
              <w:right w:val="single" w:sz="4" w:space="0" w:color="000000"/>
            </w:tcBorders>
          </w:tcPr>
          <w:p w14:paraId="2274CE39" w14:textId="77777777" w:rsidR="00374C56" w:rsidRPr="00D53A2B" w:rsidRDefault="00374C56" w:rsidP="00A202FD">
            <w:pPr>
              <w:spacing w:line="264" w:lineRule="auto"/>
              <w:ind w:left="57" w:right="57"/>
              <w:jc w:val="both"/>
              <w:rPr>
                <w:lang w:eastAsia="en-US"/>
              </w:rPr>
            </w:pPr>
          </w:p>
          <w:p w14:paraId="76181AD9" w14:textId="77777777" w:rsidR="00374C56" w:rsidRPr="00D53A2B" w:rsidRDefault="00374C56" w:rsidP="00A202FD">
            <w:pPr>
              <w:spacing w:line="264" w:lineRule="auto"/>
              <w:ind w:left="57" w:right="57"/>
              <w:jc w:val="both"/>
              <w:rPr>
                <w:lang w:eastAsia="en-US"/>
              </w:rPr>
            </w:pPr>
          </w:p>
          <w:p w14:paraId="15CAF53D" w14:textId="222257A3" w:rsidR="00374C56" w:rsidRPr="00D53A2B" w:rsidRDefault="00374C56" w:rsidP="00A202FD">
            <w:pPr>
              <w:spacing w:line="264" w:lineRule="auto"/>
              <w:ind w:left="57" w:right="57"/>
              <w:jc w:val="both"/>
              <w:rPr>
                <w:lang w:eastAsia="en-US"/>
              </w:rPr>
            </w:pPr>
            <w:r w:rsidRPr="00D53A2B">
              <w:rPr>
                <w:lang w:eastAsia="en-US"/>
              </w:rPr>
              <w:t xml:space="preserve">Sadece uygun </w:t>
            </w:r>
            <w:r w:rsidR="00C224A7">
              <w:rPr>
                <w:lang w:eastAsia="en-US"/>
              </w:rPr>
              <w:t>düzenli depolama alanı</w:t>
            </w:r>
            <w:r w:rsidRPr="00D53A2B">
              <w:rPr>
                <w:lang w:eastAsia="en-US"/>
              </w:rPr>
              <w:t xml:space="preserve"> mevcut ise uygulanabilir.</w:t>
            </w:r>
          </w:p>
        </w:tc>
      </w:tr>
    </w:tbl>
    <w:p w14:paraId="70B21A6F" w14:textId="77777777" w:rsidR="00374C56" w:rsidRPr="00D53A2B" w:rsidRDefault="00374C56" w:rsidP="00A202FD">
      <w:pPr>
        <w:jc w:val="both"/>
        <w:rPr>
          <w:lang w:eastAsia="en-US"/>
        </w:rPr>
      </w:pPr>
    </w:p>
    <w:p w14:paraId="3644BB78" w14:textId="5A12B34D" w:rsidR="00374C56" w:rsidRPr="00D53A2B" w:rsidRDefault="00BA5671" w:rsidP="00A202FD">
      <w:pPr>
        <w:pStyle w:val="Balk2"/>
        <w:rPr>
          <w:rFonts w:cs="Times New Roman"/>
          <w:szCs w:val="24"/>
          <w:lang w:eastAsia="en-US"/>
        </w:rPr>
      </w:pPr>
      <w:bookmarkStart w:id="150" w:name="_Toc527940739"/>
      <w:bookmarkStart w:id="151" w:name="_Toc531927895"/>
      <w:r w:rsidRPr="00D53A2B">
        <w:rPr>
          <w:rFonts w:cs="Times New Roman"/>
          <w:szCs w:val="24"/>
          <w:lang w:val="en-US" w:eastAsia="en-US"/>
        </w:rPr>
        <w:t>1.</w:t>
      </w:r>
      <w:r w:rsidR="000A48EC" w:rsidRPr="00D53A2B">
        <w:rPr>
          <w:rFonts w:cs="Times New Roman"/>
          <w:szCs w:val="24"/>
          <w:lang w:val="en-US" w:eastAsia="en-US"/>
        </w:rPr>
        <w:t xml:space="preserve">6. </w:t>
      </w:r>
      <w:r w:rsidR="00AB3EBD" w:rsidRPr="00D53A2B">
        <w:rPr>
          <w:rFonts w:cs="Times New Roman"/>
          <w:szCs w:val="24"/>
          <w:lang w:val="en-US" w:eastAsia="en-US"/>
        </w:rPr>
        <w:t>Kiymetli Metal Üretimi İçin MET Sonuçlar</w:t>
      </w:r>
      <w:bookmarkEnd w:id="150"/>
      <w:bookmarkEnd w:id="151"/>
      <w:r w:rsidR="00AB3EBD" w:rsidRPr="00D53A2B">
        <w:rPr>
          <w:rFonts w:cs="Times New Roman"/>
          <w:szCs w:val="24"/>
          <w:lang w:val="en-US" w:eastAsia="en-US"/>
        </w:rPr>
        <w:t>ı</w:t>
      </w:r>
    </w:p>
    <w:p w14:paraId="05D8B5E7" w14:textId="5D5F0D59" w:rsidR="00374C56" w:rsidRPr="00D53A2B" w:rsidRDefault="00BA5671" w:rsidP="00A202FD">
      <w:pPr>
        <w:pStyle w:val="Balk3"/>
        <w:rPr>
          <w:rFonts w:cs="Times New Roman"/>
          <w:lang w:eastAsia="en-US"/>
        </w:rPr>
      </w:pPr>
      <w:bookmarkStart w:id="152" w:name="_Toc527940740"/>
      <w:bookmarkStart w:id="153" w:name="_Toc531927896"/>
      <w:r w:rsidRPr="00D53A2B">
        <w:rPr>
          <w:rFonts w:cs="Times New Roman"/>
          <w:lang w:eastAsia="en-US"/>
        </w:rPr>
        <w:t>1.</w:t>
      </w:r>
      <w:r w:rsidR="00374C56" w:rsidRPr="00D53A2B">
        <w:rPr>
          <w:rFonts w:cs="Times New Roman"/>
          <w:lang w:eastAsia="en-US"/>
        </w:rPr>
        <w:t>6.1.</w:t>
      </w:r>
      <w:r w:rsidR="00374C56" w:rsidRPr="00D53A2B">
        <w:rPr>
          <w:rFonts w:cs="Times New Roman"/>
          <w:lang w:eastAsia="en-US"/>
        </w:rPr>
        <w:tab/>
        <w:t>Havaya salınan emisyonlar</w:t>
      </w:r>
      <w:bookmarkEnd w:id="152"/>
      <w:bookmarkEnd w:id="153"/>
    </w:p>
    <w:p w14:paraId="65C70115" w14:textId="258F509B" w:rsidR="00374C56" w:rsidRPr="00D53A2B" w:rsidRDefault="00BA5671" w:rsidP="00A202FD">
      <w:pPr>
        <w:pStyle w:val="Balk4"/>
        <w:rPr>
          <w:rFonts w:cs="Times New Roman"/>
          <w:lang w:val="en-US" w:eastAsia="en-US"/>
        </w:rPr>
      </w:pPr>
      <w:bookmarkStart w:id="154" w:name="_Toc527940741"/>
      <w:bookmarkStart w:id="155" w:name="_Toc531927897"/>
      <w:r w:rsidRPr="00D53A2B">
        <w:rPr>
          <w:rFonts w:cs="Times New Roman"/>
          <w:lang w:val="en-US" w:eastAsia="en-US"/>
        </w:rPr>
        <w:t>1.</w:t>
      </w:r>
      <w:r w:rsidR="00374C56" w:rsidRPr="00D53A2B">
        <w:rPr>
          <w:rFonts w:cs="Times New Roman"/>
          <w:lang w:val="en-US" w:eastAsia="en-US"/>
        </w:rPr>
        <w:t>6.1.1.</w:t>
      </w:r>
      <w:r w:rsidRPr="00D53A2B">
        <w:rPr>
          <w:rFonts w:cs="Times New Roman"/>
          <w:lang w:val="en-US" w:eastAsia="en-US"/>
        </w:rPr>
        <w:t xml:space="preserve"> </w:t>
      </w:r>
      <w:r w:rsidR="00374C56" w:rsidRPr="00D53A2B">
        <w:rPr>
          <w:rFonts w:cs="Times New Roman"/>
          <w:lang w:val="en-US" w:eastAsia="en-US"/>
        </w:rPr>
        <w:t>Yayılı emisyonlar</w:t>
      </w:r>
      <w:bookmarkEnd w:id="154"/>
      <w:bookmarkEnd w:id="155"/>
    </w:p>
    <w:p w14:paraId="1E817C3D" w14:textId="755B06A7" w:rsidR="00374C56" w:rsidRPr="00D53A2B" w:rsidRDefault="000A48EC" w:rsidP="00A202FD">
      <w:pPr>
        <w:spacing w:after="240"/>
        <w:jc w:val="both"/>
        <w:rPr>
          <w:b/>
          <w:lang w:eastAsia="en-US"/>
        </w:rPr>
      </w:pPr>
      <w:r w:rsidRPr="00D53A2B">
        <w:rPr>
          <w:b/>
          <w:lang w:eastAsia="en-US"/>
        </w:rPr>
        <w:t>MET 134:</w:t>
      </w:r>
      <w:r w:rsidR="00374C56" w:rsidRPr="00D53A2B">
        <w:rPr>
          <w:b/>
          <w:lang w:eastAsia="en-US"/>
        </w:rPr>
        <w:t xml:space="preserve"> </w:t>
      </w:r>
      <w:r w:rsidR="00BA5671" w:rsidRPr="00D53A2B">
        <w:rPr>
          <w:bCs/>
          <w:lang w:eastAsia="en-US"/>
        </w:rPr>
        <w:t>Ön işleme aşamalarından (ezme, eleme ve karıştırma gibi) kaynaklanan ve havaya salınan yayılı emisyonları azaltmak için, aşağıda verilen tekniklerden birinin veya bunların bir kombinasyonu kullanılır.</w:t>
      </w:r>
    </w:p>
    <w:tbl>
      <w:tblPr>
        <w:tblW w:w="0" w:type="auto"/>
        <w:tblInd w:w="5" w:type="dxa"/>
        <w:tblLayout w:type="fixed"/>
        <w:tblCellMar>
          <w:left w:w="0" w:type="dxa"/>
          <w:right w:w="0" w:type="dxa"/>
        </w:tblCellMar>
        <w:tblLook w:val="01E0" w:firstRow="1" w:lastRow="1" w:firstColumn="1" w:lastColumn="1" w:noHBand="0" w:noVBand="0"/>
      </w:tblPr>
      <w:tblGrid>
        <w:gridCol w:w="434"/>
        <w:gridCol w:w="8286"/>
      </w:tblGrid>
      <w:tr w:rsidR="00374C56" w:rsidRPr="00D53A2B" w14:paraId="4C3E9FEB" w14:textId="77777777" w:rsidTr="00374C56">
        <w:tc>
          <w:tcPr>
            <w:tcW w:w="434" w:type="dxa"/>
            <w:tcBorders>
              <w:top w:val="single" w:sz="4" w:space="0" w:color="000000"/>
              <w:left w:val="single" w:sz="4" w:space="0" w:color="000000"/>
              <w:bottom w:val="single" w:sz="4" w:space="0" w:color="000000"/>
              <w:right w:val="single" w:sz="4" w:space="0" w:color="000000"/>
            </w:tcBorders>
          </w:tcPr>
          <w:p w14:paraId="6888026E" w14:textId="77777777" w:rsidR="00374C56" w:rsidRPr="00D53A2B" w:rsidRDefault="00374C56" w:rsidP="00A202FD">
            <w:pPr>
              <w:spacing w:line="264" w:lineRule="auto"/>
              <w:ind w:left="57" w:right="57"/>
              <w:jc w:val="both"/>
              <w:rPr>
                <w:lang w:eastAsia="en-US"/>
              </w:rPr>
            </w:pPr>
          </w:p>
        </w:tc>
        <w:tc>
          <w:tcPr>
            <w:tcW w:w="8286" w:type="dxa"/>
            <w:tcBorders>
              <w:top w:val="single" w:sz="4" w:space="0" w:color="000000"/>
              <w:left w:val="single" w:sz="4" w:space="0" w:color="000000"/>
              <w:bottom w:val="single" w:sz="4" w:space="0" w:color="000000"/>
              <w:right w:val="single" w:sz="4" w:space="0" w:color="000000"/>
            </w:tcBorders>
          </w:tcPr>
          <w:p w14:paraId="44D220BC" w14:textId="77777777" w:rsidR="00374C56" w:rsidRPr="00D53A2B" w:rsidRDefault="00374C56" w:rsidP="00A202FD">
            <w:pPr>
              <w:spacing w:line="264" w:lineRule="auto"/>
              <w:ind w:left="57" w:right="57"/>
              <w:jc w:val="both"/>
              <w:rPr>
                <w:lang w:eastAsia="en-US"/>
              </w:rPr>
            </w:pPr>
            <w:r w:rsidRPr="00D53A2B">
              <w:rPr>
                <w:b/>
                <w:bCs/>
                <w:lang w:eastAsia="en-US"/>
              </w:rPr>
              <w:t>Teknik</w:t>
            </w:r>
          </w:p>
        </w:tc>
      </w:tr>
      <w:tr w:rsidR="00374C56" w:rsidRPr="00D53A2B" w14:paraId="464CD174" w14:textId="77777777" w:rsidTr="00374C56">
        <w:tc>
          <w:tcPr>
            <w:tcW w:w="434" w:type="dxa"/>
            <w:tcBorders>
              <w:top w:val="single" w:sz="4" w:space="0" w:color="000000"/>
              <w:left w:val="single" w:sz="4" w:space="0" w:color="000000"/>
              <w:bottom w:val="single" w:sz="4" w:space="0" w:color="000000"/>
              <w:right w:val="single" w:sz="4" w:space="0" w:color="000000"/>
            </w:tcBorders>
            <w:vAlign w:val="center"/>
          </w:tcPr>
          <w:p w14:paraId="1989C920" w14:textId="77777777" w:rsidR="00374C56" w:rsidRPr="00D53A2B" w:rsidRDefault="00374C56" w:rsidP="00A202FD">
            <w:pPr>
              <w:spacing w:line="264" w:lineRule="auto"/>
              <w:ind w:left="57" w:right="57"/>
              <w:jc w:val="both"/>
              <w:rPr>
                <w:lang w:eastAsia="en-US"/>
              </w:rPr>
            </w:pPr>
            <w:r w:rsidRPr="00D53A2B">
              <w:rPr>
                <w:lang w:eastAsia="en-US"/>
              </w:rPr>
              <w:t>a</w:t>
            </w:r>
          </w:p>
        </w:tc>
        <w:tc>
          <w:tcPr>
            <w:tcW w:w="8286" w:type="dxa"/>
            <w:tcBorders>
              <w:top w:val="single" w:sz="4" w:space="0" w:color="000000"/>
              <w:left w:val="single" w:sz="4" w:space="0" w:color="000000"/>
              <w:bottom w:val="single" w:sz="4" w:space="0" w:color="000000"/>
              <w:right w:val="single" w:sz="4" w:space="0" w:color="000000"/>
            </w:tcBorders>
          </w:tcPr>
          <w:p w14:paraId="55F5806E" w14:textId="77777777" w:rsidR="00374C56" w:rsidRPr="00D53A2B" w:rsidRDefault="00374C56" w:rsidP="00A202FD">
            <w:pPr>
              <w:spacing w:line="264" w:lineRule="auto"/>
              <w:ind w:left="57" w:right="57"/>
              <w:jc w:val="both"/>
              <w:rPr>
                <w:lang w:eastAsia="en-US"/>
              </w:rPr>
            </w:pPr>
            <w:r w:rsidRPr="00D53A2B">
              <w:rPr>
                <w:lang w:eastAsia="en-US"/>
              </w:rPr>
              <w:t>Tozlu yapıdaki malzemeler için tamamen kapalı ön işleme alanları ve taşıma sistemleri</w:t>
            </w:r>
          </w:p>
        </w:tc>
      </w:tr>
      <w:tr w:rsidR="00374C56" w:rsidRPr="00D53A2B" w14:paraId="46C38AA9" w14:textId="77777777" w:rsidTr="00374C56">
        <w:tc>
          <w:tcPr>
            <w:tcW w:w="434" w:type="dxa"/>
            <w:tcBorders>
              <w:top w:val="single" w:sz="4" w:space="0" w:color="000000"/>
              <w:left w:val="single" w:sz="4" w:space="0" w:color="000000"/>
              <w:bottom w:val="single" w:sz="4" w:space="0" w:color="000000"/>
              <w:right w:val="single" w:sz="4" w:space="0" w:color="000000"/>
            </w:tcBorders>
            <w:vAlign w:val="center"/>
          </w:tcPr>
          <w:p w14:paraId="0C0C32A6" w14:textId="77777777" w:rsidR="00374C56" w:rsidRPr="00D53A2B" w:rsidRDefault="00374C56" w:rsidP="00A202FD">
            <w:pPr>
              <w:spacing w:line="264" w:lineRule="auto"/>
              <w:ind w:left="57" w:right="57"/>
              <w:jc w:val="both"/>
              <w:rPr>
                <w:lang w:eastAsia="en-US"/>
              </w:rPr>
            </w:pPr>
          </w:p>
          <w:p w14:paraId="4AFFC62C" w14:textId="77777777" w:rsidR="00374C56" w:rsidRPr="00D53A2B" w:rsidRDefault="00374C56" w:rsidP="00A202FD">
            <w:pPr>
              <w:spacing w:line="264" w:lineRule="auto"/>
              <w:ind w:left="57" w:right="57"/>
              <w:jc w:val="both"/>
              <w:rPr>
                <w:lang w:eastAsia="en-US"/>
              </w:rPr>
            </w:pPr>
            <w:r w:rsidRPr="00D53A2B">
              <w:rPr>
                <w:lang w:eastAsia="en-US"/>
              </w:rPr>
              <w:t>b</w:t>
            </w:r>
          </w:p>
        </w:tc>
        <w:tc>
          <w:tcPr>
            <w:tcW w:w="8286" w:type="dxa"/>
            <w:tcBorders>
              <w:top w:val="single" w:sz="4" w:space="0" w:color="000000"/>
              <w:left w:val="single" w:sz="4" w:space="0" w:color="000000"/>
              <w:bottom w:val="single" w:sz="4" w:space="0" w:color="000000"/>
              <w:right w:val="single" w:sz="4" w:space="0" w:color="000000"/>
            </w:tcBorders>
          </w:tcPr>
          <w:p w14:paraId="516264D8" w14:textId="77777777" w:rsidR="00374C56" w:rsidRPr="00D53A2B" w:rsidRDefault="00374C56" w:rsidP="00A202FD">
            <w:pPr>
              <w:spacing w:line="264" w:lineRule="auto"/>
              <w:ind w:left="57" w:right="57"/>
              <w:jc w:val="both"/>
              <w:rPr>
                <w:lang w:eastAsia="en-US"/>
              </w:rPr>
            </w:pPr>
            <w:r w:rsidRPr="00D53A2B">
              <w:rPr>
                <w:lang w:eastAsia="en-US"/>
              </w:rPr>
              <w:t>Tozlu malzemeler için ön işleme ve taşıma işlemlerini, davlumbazlara, bir kanal sistemi ile toplama cihazlarına veya aspiratörlere bağlamak</w:t>
            </w:r>
          </w:p>
        </w:tc>
      </w:tr>
      <w:tr w:rsidR="00374C56" w:rsidRPr="00D53A2B" w14:paraId="0E2ACCB0" w14:textId="77777777" w:rsidTr="00374C56">
        <w:tc>
          <w:tcPr>
            <w:tcW w:w="434" w:type="dxa"/>
            <w:tcBorders>
              <w:top w:val="single" w:sz="4" w:space="0" w:color="000000"/>
              <w:left w:val="single" w:sz="4" w:space="0" w:color="000000"/>
              <w:bottom w:val="single" w:sz="4" w:space="0" w:color="000000"/>
              <w:right w:val="single" w:sz="4" w:space="0" w:color="000000"/>
            </w:tcBorders>
            <w:vAlign w:val="center"/>
          </w:tcPr>
          <w:p w14:paraId="56AB4737" w14:textId="77777777" w:rsidR="00374C56" w:rsidRPr="00D53A2B" w:rsidRDefault="00374C56" w:rsidP="00A202FD">
            <w:pPr>
              <w:spacing w:line="264" w:lineRule="auto"/>
              <w:ind w:left="57" w:right="57"/>
              <w:jc w:val="both"/>
              <w:rPr>
                <w:lang w:eastAsia="en-US"/>
              </w:rPr>
            </w:pPr>
            <w:r w:rsidRPr="00D53A2B">
              <w:rPr>
                <w:lang w:eastAsia="en-US"/>
              </w:rPr>
              <w:t>c</w:t>
            </w:r>
          </w:p>
        </w:tc>
        <w:tc>
          <w:tcPr>
            <w:tcW w:w="8286" w:type="dxa"/>
            <w:tcBorders>
              <w:top w:val="single" w:sz="4" w:space="0" w:color="000000"/>
              <w:left w:val="single" w:sz="4" w:space="0" w:color="000000"/>
              <w:bottom w:val="single" w:sz="4" w:space="0" w:color="000000"/>
              <w:right w:val="single" w:sz="4" w:space="0" w:color="000000"/>
            </w:tcBorders>
          </w:tcPr>
          <w:p w14:paraId="03D7F050" w14:textId="77777777" w:rsidR="00374C56" w:rsidRPr="00D53A2B" w:rsidRDefault="00374C56" w:rsidP="00A202FD">
            <w:pPr>
              <w:spacing w:line="264" w:lineRule="auto"/>
              <w:ind w:left="57" w:right="57"/>
              <w:jc w:val="both"/>
              <w:rPr>
                <w:lang w:eastAsia="en-US"/>
              </w:rPr>
            </w:pPr>
            <w:r w:rsidRPr="00D53A2B">
              <w:rPr>
                <w:lang w:eastAsia="en-US"/>
              </w:rPr>
              <w:t>Toz toplayıcı ve filtreleme sistemi çalışmadığı sürece hiçbir ekipmanın çalıştırılmamasını sağlamak için toz toplayıcı veya aspiratör ile ön işleme ve taşıma ekipmanlarını elektriksel olarak kilitlemek</w:t>
            </w:r>
          </w:p>
        </w:tc>
      </w:tr>
    </w:tbl>
    <w:p w14:paraId="1AFB2214" w14:textId="77777777" w:rsidR="00374C56" w:rsidRPr="00D53A2B" w:rsidRDefault="00374C56" w:rsidP="00A202FD">
      <w:pPr>
        <w:spacing w:after="240"/>
        <w:jc w:val="both"/>
        <w:rPr>
          <w:b/>
          <w:lang w:eastAsia="en-US"/>
        </w:rPr>
      </w:pPr>
    </w:p>
    <w:p w14:paraId="2F571E33" w14:textId="712D23AF" w:rsidR="00374C56" w:rsidRPr="00D53A2B" w:rsidRDefault="000A48EC" w:rsidP="00A202FD">
      <w:pPr>
        <w:spacing w:after="240"/>
        <w:jc w:val="both"/>
        <w:rPr>
          <w:b/>
          <w:lang w:eastAsia="en-US"/>
        </w:rPr>
      </w:pPr>
      <w:r w:rsidRPr="00D53A2B">
        <w:rPr>
          <w:b/>
          <w:lang w:eastAsia="en-US"/>
        </w:rPr>
        <w:t>MET 135:</w:t>
      </w:r>
      <w:r w:rsidR="00374C56" w:rsidRPr="00D53A2B">
        <w:rPr>
          <w:b/>
          <w:lang w:eastAsia="en-US"/>
        </w:rPr>
        <w:t xml:space="preserve"> </w:t>
      </w:r>
      <w:r w:rsidR="00374C56" w:rsidRPr="00D53A2B">
        <w:rPr>
          <w:bCs/>
          <w:lang w:eastAsia="en-US"/>
        </w:rPr>
        <w:t xml:space="preserve">Ergitme ve eritme işlemlerinden (Doré ve non-Doré işlemlerinin her ikisi de), kaynaklanan ve havaya salınan yayılı emisyonların azaltılması için </w:t>
      </w:r>
      <w:r w:rsidR="00671D49" w:rsidRPr="00D53A2B">
        <w:rPr>
          <w:bCs/>
          <w:lang w:eastAsia="en-US"/>
        </w:rPr>
        <w:t>aşağıda verilen tekniklerden tümü kullanılır.</w:t>
      </w:r>
    </w:p>
    <w:tbl>
      <w:tblPr>
        <w:tblW w:w="0" w:type="auto"/>
        <w:tblInd w:w="5" w:type="dxa"/>
        <w:tblLayout w:type="fixed"/>
        <w:tblCellMar>
          <w:left w:w="0" w:type="dxa"/>
          <w:right w:w="0" w:type="dxa"/>
        </w:tblCellMar>
        <w:tblLook w:val="01E0" w:firstRow="1" w:lastRow="1" w:firstColumn="1" w:lastColumn="1" w:noHBand="0" w:noVBand="0"/>
      </w:tblPr>
      <w:tblGrid>
        <w:gridCol w:w="317"/>
        <w:gridCol w:w="8404"/>
      </w:tblGrid>
      <w:tr w:rsidR="00374C56" w:rsidRPr="00D53A2B" w14:paraId="2DE3EA8F" w14:textId="77777777" w:rsidTr="00374C56">
        <w:tc>
          <w:tcPr>
            <w:tcW w:w="317" w:type="dxa"/>
            <w:tcBorders>
              <w:top w:val="single" w:sz="4" w:space="0" w:color="000000"/>
              <w:left w:val="single" w:sz="4" w:space="0" w:color="000000"/>
              <w:bottom w:val="single" w:sz="4" w:space="0" w:color="000000"/>
              <w:right w:val="single" w:sz="4" w:space="0" w:color="000000"/>
            </w:tcBorders>
          </w:tcPr>
          <w:p w14:paraId="3C2E6890" w14:textId="77777777" w:rsidR="00374C56" w:rsidRPr="00D53A2B" w:rsidRDefault="00374C56" w:rsidP="00A202FD">
            <w:pPr>
              <w:spacing w:line="264" w:lineRule="auto"/>
              <w:ind w:left="57" w:right="57"/>
              <w:jc w:val="both"/>
              <w:rPr>
                <w:lang w:eastAsia="en-US"/>
              </w:rPr>
            </w:pPr>
          </w:p>
        </w:tc>
        <w:tc>
          <w:tcPr>
            <w:tcW w:w="8404" w:type="dxa"/>
            <w:tcBorders>
              <w:top w:val="single" w:sz="4" w:space="0" w:color="000000"/>
              <w:left w:val="single" w:sz="4" w:space="0" w:color="000000"/>
              <w:bottom w:val="single" w:sz="4" w:space="0" w:color="000000"/>
              <w:right w:val="single" w:sz="4" w:space="0" w:color="000000"/>
            </w:tcBorders>
          </w:tcPr>
          <w:p w14:paraId="5B6E3494" w14:textId="77777777" w:rsidR="00374C56" w:rsidRPr="00D53A2B" w:rsidRDefault="00374C56" w:rsidP="00A202FD">
            <w:pPr>
              <w:spacing w:line="264" w:lineRule="auto"/>
              <w:ind w:left="57" w:right="57"/>
              <w:jc w:val="both"/>
              <w:rPr>
                <w:lang w:eastAsia="en-US"/>
              </w:rPr>
            </w:pPr>
            <w:r w:rsidRPr="00D53A2B">
              <w:rPr>
                <w:b/>
                <w:bCs/>
                <w:lang w:eastAsia="en-US"/>
              </w:rPr>
              <w:t>Teknik</w:t>
            </w:r>
          </w:p>
        </w:tc>
      </w:tr>
      <w:tr w:rsidR="00374C56" w:rsidRPr="00D53A2B" w14:paraId="12468ACB" w14:textId="77777777" w:rsidTr="00374C56">
        <w:tc>
          <w:tcPr>
            <w:tcW w:w="317" w:type="dxa"/>
            <w:tcBorders>
              <w:top w:val="single" w:sz="4" w:space="0" w:color="000000"/>
              <w:left w:val="single" w:sz="4" w:space="0" w:color="000000"/>
              <w:bottom w:val="single" w:sz="4" w:space="0" w:color="000000"/>
              <w:right w:val="single" w:sz="4" w:space="0" w:color="000000"/>
            </w:tcBorders>
          </w:tcPr>
          <w:p w14:paraId="1BAA2CCB" w14:textId="77777777" w:rsidR="00374C56" w:rsidRPr="00D53A2B" w:rsidRDefault="00374C56" w:rsidP="00A202FD">
            <w:pPr>
              <w:spacing w:line="264" w:lineRule="auto"/>
              <w:ind w:left="57" w:right="57"/>
              <w:jc w:val="both"/>
              <w:rPr>
                <w:lang w:eastAsia="en-US"/>
              </w:rPr>
            </w:pPr>
            <w:r w:rsidRPr="00D53A2B">
              <w:rPr>
                <w:lang w:eastAsia="en-US"/>
              </w:rPr>
              <w:t>a</w:t>
            </w:r>
          </w:p>
        </w:tc>
        <w:tc>
          <w:tcPr>
            <w:tcW w:w="8404" w:type="dxa"/>
            <w:tcBorders>
              <w:top w:val="single" w:sz="4" w:space="0" w:color="000000"/>
              <w:left w:val="single" w:sz="4" w:space="0" w:color="000000"/>
              <w:bottom w:val="single" w:sz="4" w:space="0" w:color="000000"/>
              <w:right w:val="single" w:sz="4" w:space="0" w:color="000000"/>
            </w:tcBorders>
          </w:tcPr>
          <w:p w14:paraId="6A852E1A" w14:textId="77777777" w:rsidR="00374C56" w:rsidRPr="00D53A2B" w:rsidRDefault="00374C56" w:rsidP="00A202FD">
            <w:pPr>
              <w:spacing w:line="264" w:lineRule="auto"/>
              <w:ind w:left="57" w:right="57"/>
              <w:jc w:val="both"/>
              <w:rPr>
                <w:lang w:eastAsia="en-US"/>
              </w:rPr>
            </w:pPr>
            <w:r w:rsidRPr="00D53A2B">
              <w:rPr>
                <w:lang w:eastAsia="en-US"/>
              </w:rPr>
              <w:t>Binaların ve/veya ergitme fırınının bulunduğu alanın kapatılması</w:t>
            </w:r>
          </w:p>
        </w:tc>
      </w:tr>
      <w:tr w:rsidR="00374C56" w:rsidRPr="00D53A2B" w14:paraId="06E77839" w14:textId="77777777" w:rsidTr="00374C56">
        <w:tc>
          <w:tcPr>
            <w:tcW w:w="317" w:type="dxa"/>
            <w:tcBorders>
              <w:top w:val="single" w:sz="4" w:space="0" w:color="000000"/>
              <w:left w:val="single" w:sz="4" w:space="0" w:color="000000"/>
              <w:bottom w:val="single" w:sz="4" w:space="0" w:color="000000"/>
              <w:right w:val="single" w:sz="4" w:space="0" w:color="000000"/>
            </w:tcBorders>
          </w:tcPr>
          <w:p w14:paraId="37473E13" w14:textId="77777777" w:rsidR="00374C56" w:rsidRPr="00D53A2B" w:rsidRDefault="00374C56" w:rsidP="00A202FD">
            <w:pPr>
              <w:spacing w:line="264" w:lineRule="auto"/>
              <w:ind w:left="57" w:right="57"/>
              <w:jc w:val="both"/>
              <w:rPr>
                <w:lang w:eastAsia="en-US"/>
              </w:rPr>
            </w:pPr>
            <w:r w:rsidRPr="00D53A2B">
              <w:rPr>
                <w:lang w:eastAsia="en-US"/>
              </w:rPr>
              <w:t>b</w:t>
            </w:r>
          </w:p>
        </w:tc>
        <w:tc>
          <w:tcPr>
            <w:tcW w:w="8404" w:type="dxa"/>
            <w:tcBorders>
              <w:top w:val="single" w:sz="4" w:space="0" w:color="000000"/>
              <w:left w:val="single" w:sz="4" w:space="0" w:color="000000"/>
              <w:bottom w:val="single" w:sz="4" w:space="0" w:color="000000"/>
              <w:right w:val="single" w:sz="4" w:space="0" w:color="000000"/>
            </w:tcBorders>
          </w:tcPr>
          <w:p w14:paraId="43253ED0" w14:textId="77777777" w:rsidR="00374C56" w:rsidRPr="00D53A2B" w:rsidRDefault="00374C56" w:rsidP="00A202FD">
            <w:pPr>
              <w:spacing w:line="264" w:lineRule="auto"/>
              <w:ind w:left="57" w:right="57"/>
              <w:jc w:val="both"/>
              <w:rPr>
                <w:lang w:eastAsia="en-US"/>
              </w:rPr>
            </w:pPr>
            <w:r w:rsidRPr="00D53A2B">
              <w:rPr>
                <w:lang w:eastAsia="en-US"/>
              </w:rPr>
              <w:t>İşlemlerin negatif basınç altında gerçekleştirilmesi</w:t>
            </w:r>
          </w:p>
        </w:tc>
      </w:tr>
      <w:tr w:rsidR="00374C56" w:rsidRPr="00D53A2B" w14:paraId="4B3038C7" w14:textId="77777777" w:rsidTr="00374C56">
        <w:tc>
          <w:tcPr>
            <w:tcW w:w="317" w:type="dxa"/>
            <w:tcBorders>
              <w:top w:val="single" w:sz="4" w:space="0" w:color="000000"/>
              <w:left w:val="single" w:sz="4" w:space="0" w:color="000000"/>
              <w:bottom w:val="single" w:sz="4" w:space="0" w:color="000000"/>
              <w:right w:val="single" w:sz="4" w:space="0" w:color="000000"/>
            </w:tcBorders>
          </w:tcPr>
          <w:p w14:paraId="78FBE132" w14:textId="77777777" w:rsidR="00374C56" w:rsidRPr="00D53A2B" w:rsidRDefault="00374C56" w:rsidP="00A202FD">
            <w:pPr>
              <w:spacing w:line="264" w:lineRule="auto"/>
              <w:ind w:left="57" w:right="57"/>
              <w:jc w:val="both"/>
              <w:rPr>
                <w:lang w:eastAsia="en-US"/>
              </w:rPr>
            </w:pPr>
            <w:r w:rsidRPr="00D53A2B">
              <w:rPr>
                <w:lang w:eastAsia="en-US"/>
              </w:rPr>
              <w:t>c</w:t>
            </w:r>
          </w:p>
        </w:tc>
        <w:tc>
          <w:tcPr>
            <w:tcW w:w="8404" w:type="dxa"/>
            <w:tcBorders>
              <w:top w:val="single" w:sz="4" w:space="0" w:color="000000"/>
              <w:left w:val="single" w:sz="4" w:space="0" w:color="000000"/>
              <w:bottom w:val="single" w:sz="4" w:space="0" w:color="000000"/>
              <w:right w:val="single" w:sz="4" w:space="0" w:color="000000"/>
            </w:tcBorders>
          </w:tcPr>
          <w:p w14:paraId="71FB27BC" w14:textId="77777777" w:rsidR="00374C56" w:rsidRPr="00D53A2B" w:rsidRDefault="00374C56" w:rsidP="00A202FD">
            <w:pPr>
              <w:spacing w:line="264" w:lineRule="auto"/>
              <w:ind w:left="57" w:right="57"/>
              <w:jc w:val="both"/>
              <w:rPr>
                <w:lang w:eastAsia="en-US"/>
              </w:rPr>
            </w:pPr>
            <w:r w:rsidRPr="00D53A2B">
              <w:rPr>
                <w:lang w:eastAsia="en-US"/>
              </w:rPr>
              <w:t>Fırın işlemlerini, davlumbazlar veya bir kanal sistemi ile toplama cihazlarına veya aspiratörlere bağlamak</w:t>
            </w:r>
          </w:p>
        </w:tc>
      </w:tr>
      <w:tr w:rsidR="00374C56" w:rsidRPr="00D53A2B" w14:paraId="0BB3A11E" w14:textId="77777777" w:rsidTr="00374C56">
        <w:tc>
          <w:tcPr>
            <w:tcW w:w="317" w:type="dxa"/>
            <w:tcBorders>
              <w:top w:val="single" w:sz="4" w:space="0" w:color="000000"/>
              <w:left w:val="single" w:sz="4" w:space="0" w:color="000000"/>
              <w:bottom w:val="single" w:sz="4" w:space="0" w:color="000000"/>
              <w:right w:val="single" w:sz="4" w:space="0" w:color="000000"/>
            </w:tcBorders>
          </w:tcPr>
          <w:p w14:paraId="13FF1046" w14:textId="77777777" w:rsidR="00374C56" w:rsidRPr="00D53A2B" w:rsidRDefault="00374C56" w:rsidP="00A202FD">
            <w:pPr>
              <w:spacing w:line="264" w:lineRule="auto"/>
              <w:ind w:left="57" w:right="57"/>
              <w:jc w:val="both"/>
              <w:rPr>
                <w:lang w:eastAsia="en-US"/>
              </w:rPr>
            </w:pPr>
          </w:p>
          <w:p w14:paraId="3B200913" w14:textId="77777777" w:rsidR="00374C56" w:rsidRPr="00D53A2B" w:rsidRDefault="00374C56" w:rsidP="00A202FD">
            <w:pPr>
              <w:spacing w:line="264" w:lineRule="auto"/>
              <w:ind w:left="57" w:right="57"/>
              <w:jc w:val="both"/>
              <w:rPr>
                <w:lang w:eastAsia="en-US"/>
              </w:rPr>
            </w:pPr>
            <w:r w:rsidRPr="00D53A2B">
              <w:rPr>
                <w:lang w:eastAsia="en-US"/>
              </w:rPr>
              <w:t>d</w:t>
            </w:r>
          </w:p>
        </w:tc>
        <w:tc>
          <w:tcPr>
            <w:tcW w:w="8404" w:type="dxa"/>
            <w:tcBorders>
              <w:top w:val="single" w:sz="4" w:space="0" w:color="000000"/>
              <w:left w:val="single" w:sz="4" w:space="0" w:color="000000"/>
              <w:bottom w:val="single" w:sz="4" w:space="0" w:color="000000"/>
              <w:right w:val="single" w:sz="4" w:space="0" w:color="000000"/>
            </w:tcBorders>
          </w:tcPr>
          <w:p w14:paraId="5708E7DB" w14:textId="77777777" w:rsidR="00374C56" w:rsidRPr="00D53A2B" w:rsidRDefault="00374C56" w:rsidP="00A202FD">
            <w:pPr>
              <w:spacing w:line="264" w:lineRule="auto"/>
              <w:ind w:left="57" w:right="57"/>
              <w:jc w:val="both"/>
              <w:rPr>
                <w:lang w:eastAsia="en-US"/>
              </w:rPr>
            </w:pPr>
            <w:r w:rsidRPr="00D53A2B">
              <w:rPr>
                <w:lang w:eastAsia="en-US"/>
              </w:rPr>
              <w:t>Toz toplayıcı ve filtreleme sistemi çalışmadığı sürece hiçbir ekipmanın çalıştırılmamasını sağlamak için toz toplayıcı veya aspiratör ile fırın ekipmanlarını elektriksel olarak kilitlemek</w:t>
            </w:r>
          </w:p>
        </w:tc>
      </w:tr>
    </w:tbl>
    <w:p w14:paraId="0538A63D" w14:textId="77777777" w:rsidR="00374C56" w:rsidRPr="00D53A2B" w:rsidRDefault="00374C56" w:rsidP="00A202FD">
      <w:pPr>
        <w:jc w:val="both"/>
        <w:rPr>
          <w:b/>
          <w:lang w:eastAsia="en-US"/>
        </w:rPr>
      </w:pPr>
    </w:p>
    <w:p w14:paraId="694E1753" w14:textId="2EACA654" w:rsidR="00374C56" w:rsidRPr="00D53A2B" w:rsidRDefault="000A48EC" w:rsidP="00A202FD">
      <w:pPr>
        <w:spacing w:after="240"/>
        <w:jc w:val="both"/>
        <w:rPr>
          <w:b/>
          <w:lang w:eastAsia="en-US"/>
        </w:rPr>
      </w:pPr>
      <w:r w:rsidRPr="00D53A2B">
        <w:rPr>
          <w:b/>
          <w:lang w:eastAsia="en-US"/>
        </w:rPr>
        <w:t>MET 136:</w:t>
      </w:r>
      <w:r w:rsidR="00374C56" w:rsidRPr="00D53A2B">
        <w:rPr>
          <w:b/>
          <w:lang w:eastAsia="en-US"/>
        </w:rPr>
        <w:t xml:space="preserve"> </w:t>
      </w:r>
      <w:r w:rsidR="00374C56" w:rsidRPr="00D53A2B">
        <w:rPr>
          <w:bCs/>
          <w:lang w:eastAsia="en-US"/>
        </w:rPr>
        <w:t>Liç ve altın elektrolizinden kaynaklanan ve havaya salınan yayılı emisyonların azaltılması için aşağıda verilen tekniklerden biri veya bunların bir kombinasyonu</w:t>
      </w:r>
      <w:r w:rsidR="00500D86" w:rsidRPr="00D53A2B">
        <w:rPr>
          <w:bCs/>
          <w:lang w:eastAsia="en-US"/>
        </w:rPr>
        <w:t xml:space="preserve"> </w:t>
      </w:r>
      <w:r w:rsidR="00374C56" w:rsidRPr="00D53A2B">
        <w:rPr>
          <w:bCs/>
          <w:lang w:eastAsia="en-US"/>
        </w:rPr>
        <w:t>kullanıl</w:t>
      </w:r>
      <w:r w:rsidR="00500D86" w:rsidRPr="00D53A2B">
        <w:rPr>
          <w:bCs/>
          <w:lang w:eastAsia="en-US"/>
        </w:rPr>
        <w:t>ı</w:t>
      </w:r>
      <w:r w:rsidR="00374C56" w:rsidRPr="00D53A2B">
        <w:rPr>
          <w:bCs/>
          <w:lang w:eastAsia="en-US"/>
        </w:rPr>
        <w:t>r.</w:t>
      </w:r>
    </w:p>
    <w:tbl>
      <w:tblPr>
        <w:tblW w:w="0" w:type="auto"/>
        <w:tblInd w:w="5" w:type="dxa"/>
        <w:tblLayout w:type="fixed"/>
        <w:tblCellMar>
          <w:left w:w="0" w:type="dxa"/>
          <w:right w:w="0" w:type="dxa"/>
        </w:tblCellMar>
        <w:tblLook w:val="01E0" w:firstRow="1" w:lastRow="1" w:firstColumn="1" w:lastColumn="1" w:noHBand="0" w:noVBand="0"/>
      </w:tblPr>
      <w:tblGrid>
        <w:gridCol w:w="317"/>
        <w:gridCol w:w="8404"/>
      </w:tblGrid>
      <w:tr w:rsidR="00374C56" w:rsidRPr="00D53A2B" w14:paraId="25847935" w14:textId="77777777" w:rsidTr="00374C56">
        <w:tc>
          <w:tcPr>
            <w:tcW w:w="317" w:type="dxa"/>
            <w:tcBorders>
              <w:top w:val="single" w:sz="4" w:space="0" w:color="000000"/>
              <w:left w:val="single" w:sz="4" w:space="0" w:color="000000"/>
              <w:bottom w:val="single" w:sz="4" w:space="0" w:color="000000"/>
              <w:right w:val="single" w:sz="4" w:space="0" w:color="000000"/>
            </w:tcBorders>
          </w:tcPr>
          <w:p w14:paraId="73E1A896" w14:textId="77777777" w:rsidR="00374C56" w:rsidRPr="00D53A2B" w:rsidRDefault="00374C56" w:rsidP="00A202FD">
            <w:pPr>
              <w:spacing w:line="264" w:lineRule="auto"/>
              <w:ind w:left="57" w:right="57"/>
              <w:jc w:val="both"/>
              <w:rPr>
                <w:sz w:val="22"/>
                <w:szCs w:val="22"/>
                <w:lang w:eastAsia="en-US"/>
              </w:rPr>
            </w:pPr>
          </w:p>
        </w:tc>
        <w:tc>
          <w:tcPr>
            <w:tcW w:w="8404" w:type="dxa"/>
            <w:tcBorders>
              <w:top w:val="single" w:sz="4" w:space="0" w:color="000000"/>
              <w:left w:val="single" w:sz="4" w:space="0" w:color="000000"/>
              <w:bottom w:val="single" w:sz="4" w:space="0" w:color="000000"/>
              <w:right w:val="single" w:sz="4" w:space="0" w:color="000000"/>
            </w:tcBorders>
          </w:tcPr>
          <w:p w14:paraId="330D6FBD"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16D56812" w14:textId="77777777" w:rsidTr="00374C56">
        <w:tc>
          <w:tcPr>
            <w:tcW w:w="317" w:type="dxa"/>
            <w:tcBorders>
              <w:top w:val="single" w:sz="4" w:space="0" w:color="000000"/>
              <w:left w:val="single" w:sz="4" w:space="0" w:color="000000"/>
              <w:bottom w:val="single" w:sz="4" w:space="0" w:color="000000"/>
              <w:right w:val="single" w:sz="4" w:space="0" w:color="000000"/>
            </w:tcBorders>
          </w:tcPr>
          <w:p w14:paraId="662AAE0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404" w:type="dxa"/>
            <w:tcBorders>
              <w:top w:val="single" w:sz="4" w:space="0" w:color="000000"/>
              <w:left w:val="single" w:sz="4" w:space="0" w:color="000000"/>
              <w:bottom w:val="single" w:sz="4" w:space="0" w:color="000000"/>
              <w:right w:val="single" w:sz="4" w:space="0" w:color="000000"/>
            </w:tcBorders>
          </w:tcPr>
          <w:p w14:paraId="0E63699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Çözeltinin transfer edilmesi için kapalı tanklar/kaplar ve kapalı borular</w:t>
            </w:r>
          </w:p>
        </w:tc>
      </w:tr>
      <w:tr w:rsidR="00374C56" w:rsidRPr="00D53A2B" w14:paraId="580C6EC5" w14:textId="77777777" w:rsidTr="00374C56">
        <w:tc>
          <w:tcPr>
            <w:tcW w:w="317" w:type="dxa"/>
            <w:tcBorders>
              <w:top w:val="single" w:sz="4" w:space="0" w:color="000000"/>
              <w:left w:val="single" w:sz="4" w:space="0" w:color="000000"/>
              <w:bottom w:val="single" w:sz="4" w:space="0" w:color="000000"/>
              <w:right w:val="single" w:sz="4" w:space="0" w:color="000000"/>
            </w:tcBorders>
          </w:tcPr>
          <w:p w14:paraId="14063B3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404" w:type="dxa"/>
            <w:tcBorders>
              <w:top w:val="single" w:sz="4" w:space="0" w:color="000000"/>
              <w:left w:val="single" w:sz="4" w:space="0" w:color="000000"/>
              <w:bottom w:val="single" w:sz="4" w:space="0" w:color="000000"/>
              <w:right w:val="single" w:sz="4" w:space="0" w:color="000000"/>
            </w:tcBorders>
          </w:tcPr>
          <w:p w14:paraId="4E1A0A5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Elektrolitik hücreler için davlumbazlar ve ekstraksiyon sistemleri</w:t>
            </w:r>
          </w:p>
        </w:tc>
      </w:tr>
      <w:tr w:rsidR="00374C56" w:rsidRPr="00D53A2B" w14:paraId="5C2BC1B1" w14:textId="77777777" w:rsidTr="00374C56">
        <w:tc>
          <w:tcPr>
            <w:tcW w:w="317" w:type="dxa"/>
            <w:tcBorders>
              <w:top w:val="single" w:sz="4" w:space="0" w:color="000000"/>
              <w:left w:val="single" w:sz="4" w:space="0" w:color="000000"/>
              <w:bottom w:val="single" w:sz="4" w:space="0" w:color="000000"/>
              <w:right w:val="single" w:sz="4" w:space="0" w:color="000000"/>
            </w:tcBorders>
          </w:tcPr>
          <w:p w14:paraId="26F78CE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404" w:type="dxa"/>
            <w:tcBorders>
              <w:top w:val="single" w:sz="4" w:space="0" w:color="000000"/>
              <w:left w:val="single" w:sz="4" w:space="0" w:color="000000"/>
              <w:bottom w:val="single" w:sz="4" w:space="0" w:color="000000"/>
              <w:right w:val="single" w:sz="4" w:space="0" w:color="000000"/>
            </w:tcBorders>
          </w:tcPr>
          <w:p w14:paraId="01E57E5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Anot balçığının hidroklorik asit ve diğer çözücüler ile liç edilmesi sırasında ortaya çıkan klor gazını önlemek için altın üretiminde su perdesi kullanmak</w:t>
            </w:r>
          </w:p>
        </w:tc>
      </w:tr>
    </w:tbl>
    <w:p w14:paraId="15B27C19" w14:textId="77777777" w:rsidR="00374C56" w:rsidRPr="00D53A2B" w:rsidRDefault="00374C56" w:rsidP="00A202FD">
      <w:pPr>
        <w:jc w:val="both"/>
        <w:rPr>
          <w:b/>
          <w:lang w:eastAsia="en-US"/>
        </w:rPr>
      </w:pPr>
    </w:p>
    <w:p w14:paraId="7B4F788F" w14:textId="2B0F3C12" w:rsidR="00374C56" w:rsidRPr="00D53A2B" w:rsidRDefault="000A48EC" w:rsidP="00A202FD">
      <w:pPr>
        <w:spacing w:after="240"/>
        <w:jc w:val="both"/>
        <w:rPr>
          <w:b/>
          <w:lang w:eastAsia="en-US"/>
        </w:rPr>
      </w:pPr>
      <w:r w:rsidRPr="00D53A2B">
        <w:rPr>
          <w:b/>
          <w:lang w:eastAsia="en-US"/>
        </w:rPr>
        <w:t>MET 137:</w:t>
      </w:r>
      <w:r w:rsidR="00374C56" w:rsidRPr="00D53A2B">
        <w:rPr>
          <w:b/>
          <w:lang w:eastAsia="en-US"/>
        </w:rPr>
        <w:t xml:space="preserve"> </w:t>
      </w:r>
      <w:r w:rsidR="00374C56" w:rsidRPr="00D53A2B">
        <w:rPr>
          <w:bCs/>
          <w:lang w:eastAsia="en-US"/>
        </w:rPr>
        <w:t>Bir hidrometalurjik işlemden kaynaklanan ve havaya salınan yayılı emisyonların azaltılması için aşağıda verilen teknikler</w:t>
      </w:r>
      <w:r w:rsidR="00671D49" w:rsidRPr="00D53A2B">
        <w:rPr>
          <w:bCs/>
          <w:lang w:eastAsia="en-US"/>
        </w:rPr>
        <w:t>den</w:t>
      </w:r>
      <w:r w:rsidR="00374C56" w:rsidRPr="00D53A2B">
        <w:rPr>
          <w:bCs/>
          <w:lang w:eastAsia="en-US"/>
        </w:rPr>
        <w:t xml:space="preserve"> tümü</w:t>
      </w:r>
      <w:r w:rsidR="00671D49" w:rsidRPr="00D53A2B">
        <w:rPr>
          <w:bCs/>
          <w:lang w:eastAsia="en-US"/>
        </w:rPr>
        <w:t xml:space="preserve"> kullanılır</w:t>
      </w:r>
      <w:r w:rsidR="00374C56" w:rsidRPr="00D53A2B">
        <w:rPr>
          <w:bCs/>
          <w:lang w:eastAsia="en-US"/>
        </w:rPr>
        <w:t>.</w:t>
      </w:r>
      <w:r w:rsidR="00374C56" w:rsidRPr="00D53A2B">
        <w:rPr>
          <w:b/>
          <w:lang w:eastAsia="en-US"/>
        </w:rPr>
        <w:t xml:space="preserve"> </w:t>
      </w:r>
    </w:p>
    <w:tbl>
      <w:tblPr>
        <w:tblW w:w="8721" w:type="dxa"/>
        <w:tblInd w:w="5" w:type="dxa"/>
        <w:tblLayout w:type="fixed"/>
        <w:tblCellMar>
          <w:left w:w="0" w:type="dxa"/>
          <w:right w:w="0" w:type="dxa"/>
        </w:tblCellMar>
        <w:tblLook w:val="01E0" w:firstRow="1" w:lastRow="1" w:firstColumn="1" w:lastColumn="1" w:noHBand="0" w:noVBand="0"/>
      </w:tblPr>
      <w:tblGrid>
        <w:gridCol w:w="317"/>
        <w:gridCol w:w="8404"/>
      </w:tblGrid>
      <w:tr w:rsidR="00374C56" w:rsidRPr="00D53A2B" w14:paraId="55A41BEA" w14:textId="77777777" w:rsidTr="00374C56">
        <w:trPr>
          <w:trHeight w:hRule="exact" w:val="240"/>
        </w:trPr>
        <w:tc>
          <w:tcPr>
            <w:tcW w:w="317" w:type="dxa"/>
            <w:tcBorders>
              <w:top w:val="single" w:sz="4" w:space="0" w:color="000000"/>
              <w:left w:val="single" w:sz="4" w:space="0" w:color="000000"/>
              <w:bottom w:val="single" w:sz="4" w:space="0" w:color="000000"/>
              <w:right w:val="single" w:sz="4" w:space="0" w:color="000000"/>
            </w:tcBorders>
          </w:tcPr>
          <w:p w14:paraId="32D10FF8" w14:textId="77777777" w:rsidR="00374C56" w:rsidRPr="00D53A2B" w:rsidRDefault="00374C56" w:rsidP="00A202FD">
            <w:pPr>
              <w:spacing w:after="240"/>
              <w:ind w:left="113" w:right="113"/>
              <w:jc w:val="both"/>
              <w:rPr>
                <w:lang w:eastAsia="en-US"/>
              </w:rPr>
            </w:pPr>
          </w:p>
        </w:tc>
        <w:tc>
          <w:tcPr>
            <w:tcW w:w="8404" w:type="dxa"/>
            <w:tcBorders>
              <w:top w:val="single" w:sz="4" w:space="0" w:color="000000"/>
              <w:left w:val="single" w:sz="4" w:space="0" w:color="000000"/>
              <w:bottom w:val="single" w:sz="4" w:space="0" w:color="000000"/>
              <w:right w:val="single" w:sz="4" w:space="0" w:color="000000"/>
            </w:tcBorders>
          </w:tcPr>
          <w:p w14:paraId="195E670D" w14:textId="77777777" w:rsidR="00374C56" w:rsidRPr="00D53A2B" w:rsidRDefault="00374C56" w:rsidP="00A202FD">
            <w:pPr>
              <w:spacing w:after="240"/>
              <w:ind w:left="113" w:right="113"/>
              <w:jc w:val="both"/>
              <w:rPr>
                <w:lang w:eastAsia="en-US"/>
              </w:rPr>
            </w:pPr>
            <w:r w:rsidRPr="00D53A2B">
              <w:rPr>
                <w:b/>
                <w:bCs/>
                <w:lang w:eastAsia="en-US"/>
              </w:rPr>
              <w:t>Teknik</w:t>
            </w:r>
          </w:p>
        </w:tc>
      </w:tr>
      <w:tr w:rsidR="00374C56" w:rsidRPr="00D53A2B" w14:paraId="187B3698" w14:textId="77777777" w:rsidTr="00BA5671">
        <w:trPr>
          <w:trHeight w:hRule="exact" w:val="964"/>
        </w:trPr>
        <w:tc>
          <w:tcPr>
            <w:tcW w:w="317" w:type="dxa"/>
            <w:tcBorders>
              <w:top w:val="single" w:sz="4" w:space="0" w:color="000000"/>
              <w:left w:val="single" w:sz="4" w:space="0" w:color="000000"/>
              <w:bottom w:val="single" w:sz="4" w:space="0" w:color="000000"/>
              <w:right w:val="single" w:sz="4" w:space="0" w:color="000000"/>
            </w:tcBorders>
            <w:vAlign w:val="center"/>
          </w:tcPr>
          <w:p w14:paraId="13CFB0B5" w14:textId="77777777" w:rsidR="00374C56" w:rsidRPr="00D53A2B" w:rsidRDefault="00374C56" w:rsidP="00A202FD">
            <w:pPr>
              <w:spacing w:after="240"/>
              <w:ind w:left="113" w:right="113"/>
              <w:jc w:val="both"/>
              <w:rPr>
                <w:lang w:eastAsia="en-US"/>
              </w:rPr>
            </w:pPr>
            <w:r w:rsidRPr="00D53A2B">
              <w:rPr>
                <w:lang w:eastAsia="en-US"/>
              </w:rPr>
              <w:t>a</w:t>
            </w:r>
          </w:p>
        </w:tc>
        <w:tc>
          <w:tcPr>
            <w:tcW w:w="8404" w:type="dxa"/>
            <w:tcBorders>
              <w:top w:val="single" w:sz="4" w:space="0" w:color="000000"/>
              <w:left w:val="single" w:sz="4" w:space="0" w:color="000000"/>
              <w:bottom w:val="single" w:sz="4" w:space="0" w:color="000000"/>
              <w:right w:val="single" w:sz="4" w:space="0" w:color="000000"/>
            </w:tcBorders>
          </w:tcPr>
          <w:p w14:paraId="21BADB49" w14:textId="77777777" w:rsidR="00374C56" w:rsidRPr="00D53A2B" w:rsidRDefault="00374C56" w:rsidP="00A202FD">
            <w:pPr>
              <w:spacing w:after="240"/>
              <w:ind w:left="113" w:right="113"/>
              <w:jc w:val="both"/>
              <w:rPr>
                <w:lang w:eastAsia="en-US"/>
              </w:rPr>
            </w:pPr>
            <w:r w:rsidRPr="00D53A2B">
              <w:rPr>
                <w:lang w:eastAsia="en-US"/>
              </w:rPr>
              <w:t>Sızdırmaz veya kapalı reaksiyon kapları, depolama tankları, çözelti ekstraksiyon ekipmanları, seviye kontrollü filtreler, kaplar ve tanklar, kapalı borular, sızdırmaz drenaj sistemleri ve planlanmış bakım programları gibi koruma önlemleri</w:t>
            </w:r>
          </w:p>
        </w:tc>
      </w:tr>
      <w:tr w:rsidR="00374C56" w:rsidRPr="00D53A2B" w14:paraId="2AE87C51" w14:textId="77777777" w:rsidTr="00671D49">
        <w:trPr>
          <w:trHeight w:hRule="exact" w:val="567"/>
        </w:trPr>
        <w:tc>
          <w:tcPr>
            <w:tcW w:w="317" w:type="dxa"/>
            <w:tcBorders>
              <w:top w:val="single" w:sz="4" w:space="0" w:color="000000"/>
              <w:left w:val="single" w:sz="4" w:space="0" w:color="000000"/>
              <w:bottom w:val="single" w:sz="4" w:space="0" w:color="000000"/>
              <w:right w:val="single" w:sz="4" w:space="0" w:color="000000"/>
            </w:tcBorders>
            <w:vAlign w:val="center"/>
          </w:tcPr>
          <w:p w14:paraId="49EA2C1A" w14:textId="77777777" w:rsidR="00374C56" w:rsidRPr="00D53A2B" w:rsidRDefault="00374C56" w:rsidP="00A202FD">
            <w:pPr>
              <w:spacing w:after="240"/>
              <w:ind w:left="113" w:right="113"/>
              <w:jc w:val="both"/>
              <w:rPr>
                <w:lang w:eastAsia="en-US"/>
              </w:rPr>
            </w:pPr>
            <w:r w:rsidRPr="00D53A2B">
              <w:rPr>
                <w:lang w:eastAsia="en-US"/>
              </w:rPr>
              <w:t>b</w:t>
            </w:r>
          </w:p>
        </w:tc>
        <w:tc>
          <w:tcPr>
            <w:tcW w:w="8404" w:type="dxa"/>
            <w:tcBorders>
              <w:top w:val="single" w:sz="4" w:space="0" w:color="000000"/>
              <w:left w:val="single" w:sz="4" w:space="0" w:color="000000"/>
              <w:bottom w:val="single" w:sz="4" w:space="0" w:color="000000"/>
              <w:right w:val="single" w:sz="4" w:space="0" w:color="000000"/>
            </w:tcBorders>
          </w:tcPr>
          <w:p w14:paraId="37AAB4D7" w14:textId="77777777" w:rsidR="00374C56" w:rsidRPr="00D53A2B" w:rsidRDefault="00374C56" w:rsidP="00A202FD">
            <w:pPr>
              <w:spacing w:after="240"/>
              <w:ind w:left="113" w:right="113"/>
              <w:jc w:val="both"/>
              <w:rPr>
                <w:lang w:eastAsia="en-US"/>
              </w:rPr>
            </w:pPr>
            <w:r w:rsidRPr="00D53A2B">
              <w:rPr>
                <w:lang w:eastAsia="en-US"/>
              </w:rPr>
              <w:t>Gaz çıkışı ekstraksiyonu ile ortak bir kanal sistemine bağlı, reaksiyon kapları ve tanklar (arıza durumunda otomatik bekleme/yedek ünite)</w:t>
            </w:r>
          </w:p>
        </w:tc>
      </w:tr>
    </w:tbl>
    <w:p w14:paraId="33F5EB98" w14:textId="77777777" w:rsidR="00374C56" w:rsidRPr="00D53A2B" w:rsidRDefault="00374C56" w:rsidP="00A202FD">
      <w:pPr>
        <w:jc w:val="both"/>
        <w:rPr>
          <w:lang w:eastAsia="en-US"/>
        </w:rPr>
      </w:pPr>
    </w:p>
    <w:p w14:paraId="7C5BFA96" w14:textId="7708C9AB" w:rsidR="00374C56" w:rsidRPr="00D53A2B" w:rsidRDefault="000A48EC" w:rsidP="00A202FD">
      <w:pPr>
        <w:spacing w:after="240"/>
        <w:jc w:val="both"/>
        <w:rPr>
          <w:b/>
          <w:lang w:eastAsia="en-US"/>
        </w:rPr>
      </w:pPr>
      <w:r w:rsidRPr="00D53A2B">
        <w:rPr>
          <w:b/>
          <w:lang w:eastAsia="en-US"/>
        </w:rPr>
        <w:t>MET 138:</w:t>
      </w:r>
      <w:r w:rsidR="00374C56" w:rsidRPr="00D53A2B">
        <w:rPr>
          <w:b/>
          <w:lang w:eastAsia="en-US"/>
        </w:rPr>
        <w:t xml:space="preserve"> </w:t>
      </w:r>
      <w:r w:rsidR="00374C56" w:rsidRPr="00D53A2B">
        <w:rPr>
          <w:bCs/>
          <w:lang w:eastAsia="en-US"/>
        </w:rPr>
        <w:t xml:space="preserve">Yakma, kalsinasyon ve kurutma işlemlerinden kaynaklanan yayılı emisyonların azaltılması için </w:t>
      </w:r>
      <w:r w:rsidR="00671D49" w:rsidRPr="00D53A2B">
        <w:rPr>
          <w:bCs/>
          <w:lang w:eastAsia="en-US"/>
        </w:rPr>
        <w:t>aşağıda verilen tekniklerden tümü kullanılır.</w:t>
      </w:r>
    </w:p>
    <w:tbl>
      <w:tblPr>
        <w:tblW w:w="0" w:type="auto"/>
        <w:tblInd w:w="94" w:type="dxa"/>
        <w:tblLayout w:type="fixed"/>
        <w:tblCellMar>
          <w:left w:w="0" w:type="dxa"/>
          <w:right w:w="0" w:type="dxa"/>
        </w:tblCellMar>
        <w:tblLook w:val="01E0" w:firstRow="1" w:lastRow="1" w:firstColumn="1" w:lastColumn="1" w:noHBand="0" w:noVBand="0"/>
      </w:tblPr>
      <w:tblGrid>
        <w:gridCol w:w="317"/>
        <w:gridCol w:w="8404"/>
      </w:tblGrid>
      <w:tr w:rsidR="00374C56" w:rsidRPr="00D53A2B" w14:paraId="73A1F509"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6FA93A8F" w14:textId="77777777" w:rsidR="00374C56" w:rsidRPr="00D53A2B" w:rsidRDefault="00374C56" w:rsidP="00A202FD">
            <w:pPr>
              <w:spacing w:line="264" w:lineRule="auto"/>
              <w:ind w:left="57" w:right="57"/>
              <w:jc w:val="both"/>
              <w:rPr>
                <w:lang w:eastAsia="en-US"/>
              </w:rPr>
            </w:pPr>
          </w:p>
        </w:tc>
        <w:tc>
          <w:tcPr>
            <w:tcW w:w="8404" w:type="dxa"/>
            <w:tcBorders>
              <w:top w:val="single" w:sz="4" w:space="0" w:color="000000"/>
              <w:left w:val="single" w:sz="4" w:space="0" w:color="000000"/>
              <w:bottom w:val="single" w:sz="4" w:space="0" w:color="000000"/>
              <w:right w:val="single" w:sz="4" w:space="0" w:color="000000"/>
            </w:tcBorders>
            <w:vAlign w:val="center"/>
          </w:tcPr>
          <w:p w14:paraId="4A3879B5" w14:textId="77777777" w:rsidR="00374C56" w:rsidRPr="00D53A2B" w:rsidRDefault="00374C56" w:rsidP="00A202FD">
            <w:pPr>
              <w:spacing w:line="264" w:lineRule="auto"/>
              <w:ind w:left="57" w:right="57"/>
              <w:jc w:val="both"/>
              <w:rPr>
                <w:lang w:eastAsia="en-US"/>
              </w:rPr>
            </w:pPr>
            <w:r w:rsidRPr="00D53A2B">
              <w:rPr>
                <w:b/>
                <w:bCs/>
                <w:lang w:eastAsia="en-US"/>
              </w:rPr>
              <w:t>Teknik</w:t>
            </w:r>
          </w:p>
        </w:tc>
      </w:tr>
      <w:tr w:rsidR="00374C56" w:rsidRPr="00D53A2B" w14:paraId="7DA89601"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274243C5" w14:textId="77777777" w:rsidR="00374C56" w:rsidRPr="00D53A2B" w:rsidRDefault="00374C56" w:rsidP="00A202FD">
            <w:pPr>
              <w:spacing w:line="264" w:lineRule="auto"/>
              <w:ind w:left="57" w:right="57"/>
              <w:jc w:val="both"/>
              <w:rPr>
                <w:lang w:eastAsia="en-US"/>
              </w:rPr>
            </w:pPr>
            <w:r w:rsidRPr="00D53A2B">
              <w:rPr>
                <w:lang w:eastAsia="en-US"/>
              </w:rPr>
              <w:t>a</w:t>
            </w:r>
          </w:p>
        </w:tc>
        <w:tc>
          <w:tcPr>
            <w:tcW w:w="8404" w:type="dxa"/>
            <w:tcBorders>
              <w:top w:val="single" w:sz="4" w:space="0" w:color="000000"/>
              <w:left w:val="single" w:sz="4" w:space="0" w:color="000000"/>
              <w:bottom w:val="single" w:sz="4" w:space="0" w:color="000000"/>
              <w:right w:val="single" w:sz="4" w:space="0" w:color="000000"/>
            </w:tcBorders>
            <w:vAlign w:val="center"/>
          </w:tcPr>
          <w:p w14:paraId="342EACD1" w14:textId="77777777" w:rsidR="00374C56" w:rsidRPr="00D53A2B" w:rsidRDefault="00374C56" w:rsidP="00A202FD">
            <w:pPr>
              <w:spacing w:line="264" w:lineRule="auto"/>
              <w:ind w:left="57" w:right="57"/>
              <w:jc w:val="both"/>
              <w:rPr>
                <w:lang w:eastAsia="en-US"/>
              </w:rPr>
            </w:pPr>
            <w:r w:rsidRPr="00D53A2B">
              <w:rPr>
                <w:lang w:eastAsia="en-US"/>
              </w:rPr>
              <w:t>Tüm kalsinasyon fırınlarını, yakma fırınlarını ve kurutma fırınlarını, proses çıkış gazlarını ayrıştıran bir kanal sistemine bağlamak</w:t>
            </w:r>
          </w:p>
        </w:tc>
      </w:tr>
      <w:tr w:rsidR="00374C56" w:rsidRPr="00D53A2B" w14:paraId="7672423E"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478F9A86" w14:textId="77777777" w:rsidR="00374C56" w:rsidRPr="00D53A2B" w:rsidRDefault="00374C56" w:rsidP="00A202FD">
            <w:pPr>
              <w:spacing w:line="264" w:lineRule="auto"/>
              <w:ind w:left="57" w:right="57"/>
              <w:jc w:val="both"/>
              <w:rPr>
                <w:lang w:eastAsia="en-US"/>
              </w:rPr>
            </w:pPr>
            <w:r w:rsidRPr="00D53A2B">
              <w:rPr>
                <w:lang w:eastAsia="en-US"/>
              </w:rPr>
              <w:t>b</w:t>
            </w:r>
          </w:p>
        </w:tc>
        <w:tc>
          <w:tcPr>
            <w:tcW w:w="8404" w:type="dxa"/>
            <w:tcBorders>
              <w:top w:val="single" w:sz="4" w:space="0" w:color="000000"/>
              <w:left w:val="single" w:sz="4" w:space="0" w:color="000000"/>
              <w:bottom w:val="single" w:sz="4" w:space="0" w:color="000000"/>
              <w:right w:val="single" w:sz="4" w:space="0" w:color="000000"/>
            </w:tcBorders>
            <w:vAlign w:val="center"/>
          </w:tcPr>
          <w:p w14:paraId="6B27F1C0" w14:textId="77777777" w:rsidR="00374C56" w:rsidRPr="00D53A2B" w:rsidRDefault="00374C56" w:rsidP="00A202FD">
            <w:pPr>
              <w:spacing w:line="264" w:lineRule="auto"/>
              <w:ind w:left="57" w:right="57"/>
              <w:jc w:val="both"/>
              <w:rPr>
                <w:lang w:eastAsia="en-US"/>
              </w:rPr>
            </w:pPr>
            <w:r w:rsidRPr="00D53A2B">
              <w:rPr>
                <w:lang w:eastAsia="en-US"/>
              </w:rPr>
              <w:t>Elektrik kesintisi durumunda bir yedek jeneratör tarafından desteklenen, öncelikli elektrik devresinde bir gaz temizleme tesisi bulundurmak</w:t>
            </w:r>
          </w:p>
        </w:tc>
      </w:tr>
      <w:tr w:rsidR="00374C56" w:rsidRPr="00D53A2B" w14:paraId="66DC7D04"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18642928" w14:textId="77777777" w:rsidR="00374C56" w:rsidRPr="00D53A2B" w:rsidRDefault="00374C56" w:rsidP="00A202FD">
            <w:pPr>
              <w:spacing w:line="264" w:lineRule="auto"/>
              <w:ind w:left="57" w:right="57"/>
              <w:jc w:val="both"/>
              <w:rPr>
                <w:lang w:eastAsia="en-US"/>
              </w:rPr>
            </w:pPr>
            <w:r w:rsidRPr="00D53A2B">
              <w:rPr>
                <w:lang w:eastAsia="en-US"/>
              </w:rPr>
              <w:t>c</w:t>
            </w:r>
          </w:p>
        </w:tc>
        <w:tc>
          <w:tcPr>
            <w:tcW w:w="8404" w:type="dxa"/>
            <w:tcBorders>
              <w:top w:val="single" w:sz="4" w:space="0" w:color="000000"/>
              <w:left w:val="single" w:sz="4" w:space="0" w:color="000000"/>
              <w:bottom w:val="single" w:sz="4" w:space="0" w:color="000000"/>
              <w:right w:val="single" w:sz="4" w:space="0" w:color="000000"/>
            </w:tcBorders>
            <w:vAlign w:val="center"/>
          </w:tcPr>
          <w:p w14:paraId="558B94E8" w14:textId="77777777" w:rsidR="00374C56" w:rsidRPr="00D53A2B" w:rsidRDefault="00374C56" w:rsidP="00A202FD">
            <w:pPr>
              <w:spacing w:line="264" w:lineRule="auto"/>
              <w:ind w:left="57" w:right="57"/>
              <w:jc w:val="both"/>
              <w:rPr>
                <w:lang w:eastAsia="en-US"/>
              </w:rPr>
            </w:pPr>
            <w:r w:rsidRPr="00D53A2B">
              <w:rPr>
                <w:lang w:eastAsia="en-US"/>
              </w:rPr>
              <w:t>Operasyonun başlatılması ve kapatılması, tükenmiş asitlerin bertarafı, ve gaz yıkayıcıların taze asitlerinin doldurulması işlemlerinin otomatik bir kontrol sistemi vasıtasıyla yürütülmesi</w:t>
            </w:r>
          </w:p>
        </w:tc>
      </w:tr>
    </w:tbl>
    <w:p w14:paraId="33B50282" w14:textId="77777777" w:rsidR="00374C56" w:rsidRPr="00D53A2B" w:rsidRDefault="00374C56" w:rsidP="00A202FD">
      <w:pPr>
        <w:jc w:val="both"/>
        <w:rPr>
          <w:lang w:eastAsia="en-US"/>
        </w:rPr>
      </w:pPr>
    </w:p>
    <w:p w14:paraId="422DF8F6" w14:textId="11471C3D" w:rsidR="00374C56" w:rsidRPr="00D53A2B" w:rsidRDefault="000A48EC" w:rsidP="00A202FD">
      <w:pPr>
        <w:spacing w:after="240"/>
        <w:jc w:val="both"/>
        <w:rPr>
          <w:b/>
          <w:lang w:eastAsia="en-US"/>
        </w:rPr>
      </w:pPr>
      <w:r w:rsidRPr="00D53A2B">
        <w:rPr>
          <w:b/>
          <w:lang w:eastAsia="en-US"/>
        </w:rPr>
        <w:t>MET 139:</w:t>
      </w:r>
      <w:r w:rsidR="00374C56" w:rsidRPr="00D53A2B">
        <w:rPr>
          <w:b/>
          <w:lang w:eastAsia="en-US"/>
        </w:rPr>
        <w:t xml:space="preserve"> </w:t>
      </w:r>
      <w:r w:rsidR="006D3C22" w:rsidRPr="00D53A2B">
        <w:rPr>
          <w:bCs/>
          <w:lang w:eastAsia="en-US"/>
        </w:rPr>
        <w:t>Rafinasyon sırasında son metal ürünlerinin ergitilmesinden kaynaklanan ve havaya salınan emisyonların azaltılması için aşağıda verilen tekniklerin her ikisi de kullanılır.</w:t>
      </w:r>
    </w:p>
    <w:tbl>
      <w:tblPr>
        <w:tblW w:w="8789" w:type="dxa"/>
        <w:tblInd w:w="137" w:type="dxa"/>
        <w:tblLayout w:type="fixed"/>
        <w:tblCellMar>
          <w:left w:w="0" w:type="dxa"/>
          <w:right w:w="0" w:type="dxa"/>
        </w:tblCellMar>
        <w:tblLook w:val="01E0" w:firstRow="1" w:lastRow="1" w:firstColumn="1" w:lastColumn="1" w:noHBand="0" w:noVBand="0"/>
      </w:tblPr>
      <w:tblGrid>
        <w:gridCol w:w="877"/>
        <w:gridCol w:w="7912"/>
      </w:tblGrid>
      <w:tr w:rsidR="00374C56" w:rsidRPr="00D53A2B" w14:paraId="06EB6345" w14:textId="77777777" w:rsidTr="00A23C24">
        <w:trPr>
          <w:trHeight w:hRule="exact" w:val="292"/>
        </w:trPr>
        <w:tc>
          <w:tcPr>
            <w:tcW w:w="877" w:type="dxa"/>
            <w:tcBorders>
              <w:top w:val="single" w:sz="4" w:space="0" w:color="000000"/>
              <w:left w:val="single" w:sz="4" w:space="0" w:color="000000"/>
              <w:bottom w:val="single" w:sz="4" w:space="0" w:color="000000"/>
              <w:right w:val="single" w:sz="4" w:space="0" w:color="000000"/>
            </w:tcBorders>
          </w:tcPr>
          <w:p w14:paraId="78B4D6FF" w14:textId="77777777" w:rsidR="00374C56" w:rsidRPr="00D53A2B" w:rsidRDefault="00374C56" w:rsidP="00A202FD">
            <w:pPr>
              <w:spacing w:after="240"/>
              <w:ind w:left="113" w:right="113"/>
              <w:jc w:val="both"/>
              <w:rPr>
                <w:lang w:eastAsia="en-US"/>
              </w:rPr>
            </w:pPr>
          </w:p>
        </w:tc>
        <w:tc>
          <w:tcPr>
            <w:tcW w:w="7912" w:type="dxa"/>
            <w:tcBorders>
              <w:top w:val="single" w:sz="4" w:space="0" w:color="000000"/>
              <w:left w:val="single" w:sz="4" w:space="0" w:color="000000"/>
              <w:bottom w:val="single" w:sz="4" w:space="0" w:color="000000"/>
              <w:right w:val="single" w:sz="4" w:space="0" w:color="000000"/>
            </w:tcBorders>
          </w:tcPr>
          <w:p w14:paraId="4CA8E87A" w14:textId="77777777" w:rsidR="00374C56" w:rsidRPr="00D53A2B" w:rsidRDefault="00374C56" w:rsidP="00A202FD">
            <w:pPr>
              <w:spacing w:after="240"/>
              <w:ind w:left="113" w:right="113"/>
              <w:jc w:val="both"/>
              <w:rPr>
                <w:lang w:eastAsia="en-US"/>
              </w:rPr>
            </w:pPr>
            <w:r w:rsidRPr="00D53A2B">
              <w:rPr>
                <w:b/>
                <w:bCs/>
                <w:lang w:eastAsia="en-US"/>
              </w:rPr>
              <w:t>Teknik</w:t>
            </w:r>
          </w:p>
        </w:tc>
      </w:tr>
      <w:tr w:rsidR="00374C56" w:rsidRPr="00D53A2B" w14:paraId="201483C0" w14:textId="77777777" w:rsidTr="00A23C24">
        <w:trPr>
          <w:trHeight w:hRule="exact" w:val="290"/>
        </w:trPr>
        <w:tc>
          <w:tcPr>
            <w:tcW w:w="877" w:type="dxa"/>
            <w:tcBorders>
              <w:top w:val="single" w:sz="4" w:space="0" w:color="000000"/>
              <w:left w:val="single" w:sz="4" w:space="0" w:color="000000"/>
              <w:bottom w:val="single" w:sz="4" w:space="0" w:color="000000"/>
              <w:right w:val="single" w:sz="4" w:space="0" w:color="000000"/>
            </w:tcBorders>
            <w:vAlign w:val="center"/>
          </w:tcPr>
          <w:p w14:paraId="0F4C0478" w14:textId="77777777" w:rsidR="00374C56" w:rsidRPr="00D53A2B" w:rsidRDefault="00374C56" w:rsidP="00A202FD">
            <w:pPr>
              <w:spacing w:after="240"/>
              <w:ind w:left="113" w:right="113"/>
              <w:jc w:val="both"/>
              <w:rPr>
                <w:lang w:eastAsia="en-US"/>
              </w:rPr>
            </w:pPr>
            <w:r w:rsidRPr="00D53A2B">
              <w:rPr>
                <w:lang w:eastAsia="en-US"/>
              </w:rPr>
              <w:t>a</w:t>
            </w:r>
          </w:p>
        </w:tc>
        <w:tc>
          <w:tcPr>
            <w:tcW w:w="7912" w:type="dxa"/>
            <w:tcBorders>
              <w:top w:val="single" w:sz="4" w:space="0" w:color="000000"/>
              <w:left w:val="single" w:sz="4" w:space="0" w:color="000000"/>
              <w:bottom w:val="single" w:sz="4" w:space="0" w:color="000000"/>
              <w:right w:val="single" w:sz="4" w:space="0" w:color="000000"/>
            </w:tcBorders>
          </w:tcPr>
          <w:p w14:paraId="72541E1F" w14:textId="77777777" w:rsidR="00374C56" w:rsidRPr="00D53A2B" w:rsidRDefault="00374C56" w:rsidP="00A202FD">
            <w:pPr>
              <w:spacing w:after="240"/>
              <w:ind w:left="113" w:right="113"/>
              <w:jc w:val="both"/>
              <w:rPr>
                <w:lang w:eastAsia="en-US"/>
              </w:rPr>
            </w:pPr>
            <w:r w:rsidRPr="00D53A2B">
              <w:rPr>
                <w:lang w:eastAsia="en-US"/>
              </w:rPr>
              <w:t>Fırının negatif basınç altında çalıştırılması</w:t>
            </w:r>
          </w:p>
        </w:tc>
      </w:tr>
      <w:tr w:rsidR="00374C56" w:rsidRPr="00D53A2B" w14:paraId="36E9A80A" w14:textId="77777777" w:rsidTr="00A23C24">
        <w:trPr>
          <w:trHeight w:hRule="exact" w:val="581"/>
        </w:trPr>
        <w:tc>
          <w:tcPr>
            <w:tcW w:w="877" w:type="dxa"/>
            <w:tcBorders>
              <w:top w:val="single" w:sz="4" w:space="0" w:color="000000"/>
              <w:left w:val="single" w:sz="4" w:space="0" w:color="000000"/>
              <w:bottom w:val="single" w:sz="4" w:space="0" w:color="000000"/>
              <w:right w:val="single" w:sz="4" w:space="0" w:color="000000"/>
            </w:tcBorders>
            <w:vAlign w:val="center"/>
          </w:tcPr>
          <w:p w14:paraId="4E0F1339" w14:textId="77777777" w:rsidR="00374C56" w:rsidRPr="00D53A2B" w:rsidRDefault="00374C56" w:rsidP="00A202FD">
            <w:pPr>
              <w:spacing w:after="240"/>
              <w:ind w:left="113" w:right="113"/>
              <w:jc w:val="both"/>
              <w:rPr>
                <w:lang w:eastAsia="en-US"/>
              </w:rPr>
            </w:pPr>
            <w:r w:rsidRPr="00D53A2B">
              <w:rPr>
                <w:lang w:eastAsia="en-US"/>
              </w:rPr>
              <w:t>b</w:t>
            </w:r>
          </w:p>
        </w:tc>
        <w:tc>
          <w:tcPr>
            <w:tcW w:w="7912" w:type="dxa"/>
            <w:tcBorders>
              <w:top w:val="single" w:sz="4" w:space="0" w:color="000000"/>
              <w:left w:val="single" w:sz="4" w:space="0" w:color="000000"/>
              <w:bottom w:val="single" w:sz="4" w:space="0" w:color="000000"/>
              <w:right w:val="single" w:sz="4" w:space="0" w:color="000000"/>
            </w:tcBorders>
          </w:tcPr>
          <w:p w14:paraId="33614D92" w14:textId="77777777" w:rsidR="00374C56" w:rsidRPr="00D53A2B" w:rsidRDefault="00374C56" w:rsidP="00A202FD">
            <w:pPr>
              <w:spacing w:after="240"/>
              <w:ind w:left="113" w:right="113"/>
              <w:jc w:val="both"/>
              <w:rPr>
                <w:lang w:eastAsia="en-US"/>
              </w:rPr>
            </w:pPr>
            <w:r w:rsidRPr="00D53A2B">
              <w:rPr>
                <w:lang w:eastAsia="en-US"/>
              </w:rPr>
              <w:t>Verimli aspiratör/havalandırma ile birlikte uygun barınak, kabin ve yakalama davlumbazları</w:t>
            </w:r>
          </w:p>
        </w:tc>
      </w:tr>
    </w:tbl>
    <w:p w14:paraId="07898AD0" w14:textId="0990A9F1" w:rsidR="00374C56" w:rsidRPr="00D53A2B" w:rsidRDefault="00374C56" w:rsidP="00A202FD">
      <w:pPr>
        <w:jc w:val="both"/>
        <w:rPr>
          <w:lang w:eastAsia="en-US"/>
        </w:rPr>
      </w:pPr>
    </w:p>
    <w:p w14:paraId="429F06F5" w14:textId="59DCF824" w:rsidR="00374C56" w:rsidRPr="00D53A2B" w:rsidRDefault="006D3C22" w:rsidP="00A202FD">
      <w:pPr>
        <w:pStyle w:val="Balk4"/>
        <w:rPr>
          <w:rFonts w:cs="Times New Roman"/>
          <w:lang w:val="en-US" w:eastAsia="en-US"/>
        </w:rPr>
      </w:pPr>
      <w:bookmarkStart w:id="156" w:name="_Toc527940742"/>
      <w:bookmarkStart w:id="157" w:name="_Toc531927898"/>
      <w:r w:rsidRPr="00D53A2B">
        <w:rPr>
          <w:rFonts w:cs="Times New Roman"/>
          <w:lang w:val="en-US" w:eastAsia="en-US"/>
        </w:rPr>
        <w:t>1.</w:t>
      </w:r>
      <w:r w:rsidR="00374C56" w:rsidRPr="00D53A2B">
        <w:rPr>
          <w:rFonts w:cs="Times New Roman"/>
          <w:lang w:val="en-US" w:eastAsia="en-US"/>
        </w:rPr>
        <w:t>6.1.2.</w:t>
      </w:r>
      <w:r w:rsidR="00374C56" w:rsidRPr="00D53A2B">
        <w:rPr>
          <w:rFonts w:cs="Times New Roman"/>
          <w:lang w:val="en-US" w:eastAsia="en-US"/>
        </w:rPr>
        <w:tab/>
      </w:r>
      <w:r w:rsidR="00F86A1F" w:rsidRPr="00D53A2B">
        <w:rPr>
          <w:rFonts w:cs="Times New Roman"/>
          <w:lang w:val="en-US" w:eastAsia="en-US"/>
        </w:rPr>
        <w:t xml:space="preserve">Kanalize </w:t>
      </w:r>
      <w:r w:rsidR="00374C56" w:rsidRPr="00D53A2B">
        <w:rPr>
          <w:rFonts w:cs="Times New Roman"/>
          <w:lang w:val="en-US" w:eastAsia="en-US"/>
        </w:rPr>
        <w:t>toz emisyonları</w:t>
      </w:r>
      <w:bookmarkEnd w:id="156"/>
      <w:bookmarkEnd w:id="157"/>
    </w:p>
    <w:p w14:paraId="69DAC416" w14:textId="4B327E3D" w:rsidR="00374C56" w:rsidRPr="00D53A2B" w:rsidRDefault="000A48EC" w:rsidP="00A202FD">
      <w:pPr>
        <w:spacing w:after="240"/>
        <w:jc w:val="both"/>
        <w:rPr>
          <w:b/>
          <w:lang w:eastAsia="en-US"/>
        </w:rPr>
      </w:pPr>
      <w:r w:rsidRPr="00D53A2B">
        <w:rPr>
          <w:b/>
          <w:lang w:eastAsia="en-US"/>
        </w:rPr>
        <w:t>MET 140:</w:t>
      </w:r>
      <w:r w:rsidR="00374C56" w:rsidRPr="00D53A2B">
        <w:rPr>
          <w:b/>
          <w:lang w:eastAsia="en-US"/>
        </w:rPr>
        <w:t xml:space="preserve"> </w:t>
      </w:r>
      <w:r w:rsidR="00374C56" w:rsidRPr="00D53A2B">
        <w:rPr>
          <w:bCs/>
          <w:lang w:eastAsia="en-US"/>
        </w:rPr>
        <w:t>Eleme, kırma, karıştırma, ergitme, eritme, yakma, kalsinasyon, kurutma ve rafinasyon gibi tüm tozlu işlemlerden ortaya çıkan toz ve metal emisyonlarının azaltılması için aşağıda verilen tekniklerden biri kullanılır.</w:t>
      </w:r>
    </w:p>
    <w:tbl>
      <w:tblPr>
        <w:tblW w:w="8721" w:type="dxa"/>
        <w:tblInd w:w="94" w:type="dxa"/>
        <w:tblLayout w:type="fixed"/>
        <w:tblCellMar>
          <w:left w:w="0" w:type="dxa"/>
          <w:right w:w="0" w:type="dxa"/>
        </w:tblCellMar>
        <w:tblLook w:val="01E0" w:firstRow="1" w:lastRow="1" w:firstColumn="1" w:lastColumn="1" w:noHBand="0" w:noVBand="0"/>
      </w:tblPr>
      <w:tblGrid>
        <w:gridCol w:w="317"/>
        <w:gridCol w:w="3929"/>
        <w:gridCol w:w="4475"/>
      </w:tblGrid>
      <w:tr w:rsidR="00374C56" w:rsidRPr="00D53A2B" w14:paraId="65ADE8DF" w14:textId="77777777" w:rsidTr="00374C56">
        <w:tc>
          <w:tcPr>
            <w:tcW w:w="317" w:type="dxa"/>
            <w:tcBorders>
              <w:top w:val="single" w:sz="4" w:space="0" w:color="000000"/>
              <w:left w:val="single" w:sz="4" w:space="0" w:color="000000"/>
              <w:bottom w:val="single" w:sz="4" w:space="0" w:color="000000"/>
              <w:right w:val="single" w:sz="4" w:space="0" w:color="000000"/>
            </w:tcBorders>
          </w:tcPr>
          <w:p w14:paraId="08A16D17" w14:textId="77777777" w:rsidR="00374C56" w:rsidRPr="00D53A2B" w:rsidRDefault="00374C56" w:rsidP="00A202FD">
            <w:pPr>
              <w:spacing w:line="264" w:lineRule="auto"/>
              <w:ind w:left="57" w:right="57"/>
              <w:jc w:val="both"/>
              <w:rPr>
                <w:lang w:eastAsia="en-US"/>
              </w:rPr>
            </w:pPr>
          </w:p>
        </w:tc>
        <w:tc>
          <w:tcPr>
            <w:tcW w:w="3929" w:type="dxa"/>
            <w:tcBorders>
              <w:top w:val="single" w:sz="4" w:space="0" w:color="000000"/>
              <w:left w:val="single" w:sz="4" w:space="0" w:color="000000"/>
              <w:bottom w:val="single" w:sz="4" w:space="0" w:color="000000"/>
              <w:right w:val="single" w:sz="4" w:space="0" w:color="000000"/>
            </w:tcBorders>
          </w:tcPr>
          <w:p w14:paraId="33E2D0D1" w14:textId="77777777" w:rsidR="00374C56" w:rsidRPr="00D53A2B" w:rsidRDefault="00374C56" w:rsidP="00A202FD">
            <w:pPr>
              <w:spacing w:line="264" w:lineRule="auto"/>
              <w:ind w:left="57" w:right="57"/>
              <w:jc w:val="both"/>
              <w:rPr>
                <w:lang w:eastAsia="en-US"/>
              </w:rPr>
            </w:pPr>
            <w:r w:rsidRPr="00D53A2B">
              <w:rPr>
                <w:b/>
                <w:bCs/>
                <w:lang w:eastAsia="en-US"/>
              </w:rPr>
              <w:t>Teknik (</w:t>
            </w:r>
            <w:r w:rsidRPr="00D53A2B">
              <w:rPr>
                <w:b/>
                <w:bCs/>
                <w:vertAlign w:val="superscript"/>
                <w:lang w:eastAsia="en-US"/>
              </w:rPr>
              <w:t>1</w:t>
            </w:r>
            <w:r w:rsidRPr="00D53A2B">
              <w:rPr>
                <w:b/>
                <w:bCs/>
                <w:lang w:eastAsia="en-US"/>
              </w:rPr>
              <w:t>)</w:t>
            </w:r>
          </w:p>
        </w:tc>
        <w:tc>
          <w:tcPr>
            <w:tcW w:w="4475" w:type="dxa"/>
            <w:tcBorders>
              <w:top w:val="single" w:sz="4" w:space="0" w:color="000000"/>
              <w:left w:val="single" w:sz="4" w:space="0" w:color="000000"/>
              <w:bottom w:val="single" w:sz="4" w:space="0" w:color="000000"/>
              <w:right w:val="single" w:sz="4" w:space="0" w:color="000000"/>
            </w:tcBorders>
          </w:tcPr>
          <w:p w14:paraId="1F71A404" w14:textId="77777777" w:rsidR="00374C56" w:rsidRPr="00D53A2B" w:rsidRDefault="00374C56" w:rsidP="00A202FD">
            <w:pPr>
              <w:spacing w:line="264" w:lineRule="auto"/>
              <w:ind w:left="57" w:right="57"/>
              <w:jc w:val="both"/>
              <w:rPr>
                <w:lang w:eastAsia="en-US"/>
              </w:rPr>
            </w:pPr>
            <w:r w:rsidRPr="00D53A2B">
              <w:rPr>
                <w:b/>
                <w:bCs/>
                <w:lang w:eastAsia="en-US"/>
              </w:rPr>
              <w:t>Uygulanabilirlik</w:t>
            </w:r>
          </w:p>
        </w:tc>
      </w:tr>
      <w:tr w:rsidR="00374C56" w:rsidRPr="00D53A2B" w14:paraId="3C21E01E" w14:textId="77777777" w:rsidTr="00374C56">
        <w:tc>
          <w:tcPr>
            <w:tcW w:w="317" w:type="dxa"/>
            <w:tcBorders>
              <w:top w:val="single" w:sz="4" w:space="0" w:color="000000"/>
              <w:left w:val="single" w:sz="4" w:space="0" w:color="000000"/>
              <w:bottom w:val="single" w:sz="4" w:space="0" w:color="000000"/>
              <w:right w:val="single" w:sz="4" w:space="0" w:color="000000"/>
            </w:tcBorders>
          </w:tcPr>
          <w:p w14:paraId="5BCB8E6C" w14:textId="77777777" w:rsidR="00374C56" w:rsidRPr="00D53A2B" w:rsidRDefault="00374C56" w:rsidP="00A202FD">
            <w:pPr>
              <w:spacing w:line="264" w:lineRule="auto"/>
              <w:ind w:left="57" w:right="57"/>
              <w:jc w:val="both"/>
              <w:rPr>
                <w:lang w:eastAsia="en-US"/>
              </w:rPr>
            </w:pPr>
            <w:r w:rsidRPr="00D53A2B">
              <w:rPr>
                <w:lang w:eastAsia="en-US"/>
              </w:rPr>
              <w:t>a</w:t>
            </w:r>
          </w:p>
        </w:tc>
        <w:tc>
          <w:tcPr>
            <w:tcW w:w="3929" w:type="dxa"/>
            <w:tcBorders>
              <w:top w:val="single" w:sz="4" w:space="0" w:color="000000"/>
              <w:left w:val="single" w:sz="4" w:space="0" w:color="000000"/>
              <w:bottom w:val="single" w:sz="4" w:space="0" w:color="000000"/>
              <w:right w:val="single" w:sz="4" w:space="0" w:color="000000"/>
            </w:tcBorders>
          </w:tcPr>
          <w:p w14:paraId="2B23B627" w14:textId="77777777" w:rsidR="00374C56" w:rsidRPr="00D53A2B" w:rsidRDefault="00374C56" w:rsidP="00A202FD">
            <w:pPr>
              <w:spacing w:line="264" w:lineRule="auto"/>
              <w:ind w:left="57" w:right="57"/>
              <w:jc w:val="both"/>
              <w:rPr>
                <w:lang w:eastAsia="en-US"/>
              </w:rPr>
            </w:pPr>
            <w:r w:rsidRPr="00D53A2B">
              <w:rPr>
                <w:lang w:eastAsia="en-US"/>
              </w:rPr>
              <w:t>Toz filtre</w:t>
            </w:r>
          </w:p>
        </w:tc>
        <w:tc>
          <w:tcPr>
            <w:tcW w:w="4475" w:type="dxa"/>
            <w:tcBorders>
              <w:top w:val="single" w:sz="4" w:space="0" w:color="000000"/>
              <w:left w:val="single" w:sz="4" w:space="0" w:color="000000"/>
              <w:bottom w:val="single" w:sz="4" w:space="0" w:color="000000"/>
              <w:right w:val="single" w:sz="4" w:space="0" w:color="000000"/>
            </w:tcBorders>
          </w:tcPr>
          <w:p w14:paraId="140FC5BF" w14:textId="77777777" w:rsidR="00374C56" w:rsidRPr="00D53A2B" w:rsidRDefault="00374C56" w:rsidP="00A202FD">
            <w:pPr>
              <w:spacing w:line="264" w:lineRule="auto"/>
              <w:ind w:left="57" w:right="57"/>
              <w:jc w:val="both"/>
              <w:rPr>
                <w:lang w:eastAsia="en-US"/>
              </w:rPr>
            </w:pPr>
            <w:r w:rsidRPr="00D53A2B">
              <w:rPr>
                <w:lang w:eastAsia="en-US"/>
              </w:rPr>
              <w:t>Yüksek düzeyde uçucu selenyum içeren çıkış gazları için uygun olmayabilir.</w:t>
            </w:r>
          </w:p>
        </w:tc>
      </w:tr>
      <w:tr w:rsidR="00374C56" w:rsidRPr="00D53A2B" w14:paraId="3166108C" w14:textId="77777777" w:rsidTr="00374C56">
        <w:tc>
          <w:tcPr>
            <w:tcW w:w="317" w:type="dxa"/>
            <w:tcBorders>
              <w:top w:val="single" w:sz="4" w:space="0" w:color="000000"/>
              <w:left w:val="single" w:sz="4" w:space="0" w:color="000000"/>
              <w:bottom w:val="single" w:sz="4" w:space="0" w:color="000000"/>
              <w:right w:val="single" w:sz="4" w:space="0" w:color="000000"/>
            </w:tcBorders>
          </w:tcPr>
          <w:p w14:paraId="7A9FAD6C" w14:textId="77777777" w:rsidR="00374C56" w:rsidRPr="00D53A2B" w:rsidRDefault="00374C56" w:rsidP="00A202FD">
            <w:pPr>
              <w:spacing w:line="264" w:lineRule="auto"/>
              <w:ind w:left="57" w:right="57"/>
              <w:jc w:val="both"/>
              <w:rPr>
                <w:lang w:eastAsia="en-US"/>
              </w:rPr>
            </w:pPr>
            <w:r w:rsidRPr="00D53A2B">
              <w:rPr>
                <w:lang w:eastAsia="en-US"/>
              </w:rPr>
              <w:t>b</w:t>
            </w:r>
          </w:p>
        </w:tc>
        <w:tc>
          <w:tcPr>
            <w:tcW w:w="3929" w:type="dxa"/>
            <w:tcBorders>
              <w:top w:val="single" w:sz="4" w:space="0" w:color="000000"/>
              <w:left w:val="single" w:sz="4" w:space="0" w:color="000000"/>
              <w:bottom w:val="single" w:sz="4" w:space="0" w:color="000000"/>
              <w:right w:val="single" w:sz="4" w:space="0" w:color="000000"/>
            </w:tcBorders>
          </w:tcPr>
          <w:p w14:paraId="5ACCEFDC" w14:textId="77777777" w:rsidR="00374C56" w:rsidRPr="00D53A2B" w:rsidRDefault="00374C56" w:rsidP="00A202FD">
            <w:pPr>
              <w:spacing w:line="264" w:lineRule="auto"/>
              <w:ind w:left="57" w:right="57"/>
              <w:jc w:val="both"/>
              <w:rPr>
                <w:lang w:eastAsia="en-US"/>
              </w:rPr>
            </w:pPr>
            <w:r w:rsidRPr="00D53A2B">
              <w:rPr>
                <w:lang w:eastAsia="en-US"/>
              </w:rPr>
              <w:t>Islak gaz yıkayıcı ile birlikte selenyumun geri kazanılmasını sağlayan bir ESP</w:t>
            </w:r>
          </w:p>
        </w:tc>
        <w:tc>
          <w:tcPr>
            <w:tcW w:w="4475" w:type="dxa"/>
            <w:tcBorders>
              <w:top w:val="single" w:sz="4" w:space="0" w:color="000000"/>
              <w:left w:val="single" w:sz="4" w:space="0" w:color="000000"/>
              <w:bottom w:val="single" w:sz="4" w:space="0" w:color="000000"/>
              <w:right w:val="single" w:sz="4" w:space="0" w:color="000000"/>
            </w:tcBorders>
          </w:tcPr>
          <w:p w14:paraId="031AACDB" w14:textId="77777777" w:rsidR="00374C56" w:rsidRPr="00D53A2B" w:rsidRDefault="00374C56" w:rsidP="00A202FD">
            <w:pPr>
              <w:spacing w:line="264" w:lineRule="auto"/>
              <w:ind w:left="57" w:right="57"/>
              <w:jc w:val="both"/>
              <w:rPr>
                <w:lang w:eastAsia="en-US"/>
              </w:rPr>
            </w:pPr>
            <w:r w:rsidRPr="00D53A2B">
              <w:rPr>
                <w:lang w:eastAsia="en-US"/>
              </w:rPr>
              <w:t>Sadece uçucu selenyum içeren çıkış gazları için uygundur (örn. Doré metal üretimi)</w:t>
            </w:r>
          </w:p>
        </w:tc>
      </w:tr>
      <w:tr w:rsidR="00374C56" w:rsidRPr="00D53A2B" w14:paraId="0B55B850" w14:textId="77777777" w:rsidTr="00374C56">
        <w:tc>
          <w:tcPr>
            <w:tcW w:w="8721" w:type="dxa"/>
            <w:gridSpan w:val="3"/>
            <w:tcBorders>
              <w:top w:val="single" w:sz="4" w:space="0" w:color="000000"/>
              <w:left w:val="single" w:sz="4" w:space="0" w:color="000000"/>
              <w:bottom w:val="single" w:sz="4" w:space="0" w:color="000000"/>
              <w:right w:val="single" w:sz="4" w:space="0" w:color="000000"/>
            </w:tcBorders>
          </w:tcPr>
          <w:p w14:paraId="33958D2D" w14:textId="3D9EFA28"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Tekniklerin açıklamaları Bölüm 1.10</w:t>
            </w:r>
            <w:r w:rsidR="00E56504" w:rsidRPr="00D53A2B">
              <w:rPr>
                <w:lang w:eastAsia="en-US"/>
              </w:rPr>
              <w:t>’</w:t>
            </w:r>
            <w:r w:rsidRPr="00D53A2B">
              <w:rPr>
                <w:lang w:eastAsia="en-US"/>
              </w:rPr>
              <w:t>da verilmiştir.</w:t>
            </w:r>
          </w:p>
        </w:tc>
      </w:tr>
    </w:tbl>
    <w:p w14:paraId="728C9B0B"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39.</w:t>
      </w:r>
    </w:p>
    <w:p w14:paraId="1894EC48" w14:textId="77777777" w:rsidR="00070FEA" w:rsidRPr="00D53A2B" w:rsidRDefault="00374C56" w:rsidP="00A202FD">
      <w:pPr>
        <w:spacing w:before="120" w:after="120"/>
        <w:jc w:val="both"/>
        <w:rPr>
          <w:bCs/>
          <w:iCs/>
          <w:spacing w:val="2"/>
          <w:lang w:eastAsia="en-US"/>
        </w:rPr>
      </w:pPr>
      <w:bookmarkStart w:id="158" w:name="_Toc527941357"/>
      <w:bookmarkStart w:id="159" w:name="_Toc531927980"/>
      <w:r w:rsidRPr="00D53A2B">
        <w:rPr>
          <w:bCs/>
          <w:iCs/>
          <w:spacing w:val="2"/>
          <w:lang w:eastAsia="en-US"/>
        </w:rPr>
        <w:t xml:space="preserve">Tablo </w:t>
      </w:r>
      <w:r w:rsidRPr="00D53A2B">
        <w:rPr>
          <w:bCs/>
          <w:iCs/>
          <w:noProof/>
          <w:spacing w:val="2"/>
          <w:lang w:eastAsia="en-US"/>
        </w:rPr>
        <w:t>39</w:t>
      </w:r>
    </w:p>
    <w:p w14:paraId="1724E7DD" w14:textId="54BAAD3D" w:rsidR="00374C56" w:rsidRPr="00D53A2B" w:rsidRDefault="00374C56" w:rsidP="00A202FD">
      <w:pPr>
        <w:spacing w:before="120" w:after="120"/>
        <w:jc w:val="both"/>
        <w:rPr>
          <w:bCs/>
          <w:iCs/>
          <w:spacing w:val="2"/>
          <w:lang w:eastAsia="en-US"/>
        </w:rPr>
      </w:pPr>
      <w:r w:rsidRPr="00D53A2B">
        <w:rPr>
          <w:bCs/>
          <w:iCs/>
          <w:spacing w:val="2"/>
          <w:lang w:eastAsia="en-US"/>
        </w:rPr>
        <w:t>Eleme, kırma, karıştırma, ergitme, eritme, yakma, kalsinasyon, kurutma ve rafinasyon gibi tüm tozlu işlemlerden ortaya çıkan toz ve metal emisyonları ile ilgili MET için emisyon seviyeleri</w:t>
      </w:r>
      <w:bookmarkEnd w:id="158"/>
      <w:bookmarkEnd w:id="159"/>
    </w:p>
    <w:tbl>
      <w:tblPr>
        <w:tblW w:w="8832" w:type="dxa"/>
        <w:tblInd w:w="94" w:type="dxa"/>
        <w:tblLayout w:type="fixed"/>
        <w:tblCellMar>
          <w:left w:w="0" w:type="dxa"/>
          <w:right w:w="0" w:type="dxa"/>
        </w:tblCellMar>
        <w:tblLook w:val="01E0" w:firstRow="1" w:lastRow="1" w:firstColumn="1" w:lastColumn="1" w:noHBand="0" w:noVBand="0"/>
      </w:tblPr>
      <w:tblGrid>
        <w:gridCol w:w="3371"/>
        <w:gridCol w:w="5461"/>
      </w:tblGrid>
      <w:tr w:rsidR="00374C56" w:rsidRPr="00D53A2B" w14:paraId="49B58365" w14:textId="77777777" w:rsidTr="00A23C24">
        <w:tc>
          <w:tcPr>
            <w:tcW w:w="3371" w:type="dxa"/>
            <w:tcBorders>
              <w:top w:val="single" w:sz="4" w:space="0" w:color="000000"/>
              <w:left w:val="single" w:sz="4" w:space="0" w:color="000000"/>
              <w:bottom w:val="single" w:sz="4" w:space="0" w:color="000000"/>
              <w:right w:val="single" w:sz="4" w:space="0" w:color="000000"/>
            </w:tcBorders>
          </w:tcPr>
          <w:p w14:paraId="7DDFCE4A"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5461" w:type="dxa"/>
            <w:tcBorders>
              <w:top w:val="single" w:sz="4" w:space="0" w:color="000000"/>
              <w:left w:val="single" w:sz="4" w:space="0" w:color="000000"/>
              <w:bottom w:val="single" w:sz="4" w:space="0" w:color="000000"/>
              <w:right w:val="single" w:sz="4" w:space="0" w:color="000000"/>
            </w:tcBorders>
          </w:tcPr>
          <w:p w14:paraId="0DF9F841"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312011A4" w14:textId="77777777" w:rsidTr="00A23C24">
        <w:tc>
          <w:tcPr>
            <w:tcW w:w="3371" w:type="dxa"/>
            <w:tcBorders>
              <w:top w:val="single" w:sz="4" w:space="0" w:color="000000"/>
              <w:left w:val="single" w:sz="4" w:space="0" w:color="000000"/>
              <w:bottom w:val="single" w:sz="4" w:space="0" w:color="000000"/>
              <w:right w:val="single" w:sz="4" w:space="0" w:color="000000"/>
            </w:tcBorders>
          </w:tcPr>
          <w:p w14:paraId="537E92DB" w14:textId="77777777" w:rsidR="00374C56" w:rsidRPr="00D53A2B" w:rsidRDefault="00374C56" w:rsidP="00A202FD">
            <w:pPr>
              <w:spacing w:line="264" w:lineRule="auto"/>
              <w:ind w:left="57" w:right="57"/>
              <w:jc w:val="both"/>
              <w:rPr>
                <w:lang w:eastAsia="en-US"/>
              </w:rPr>
            </w:pPr>
            <w:r w:rsidRPr="00D53A2B">
              <w:rPr>
                <w:lang w:eastAsia="en-US"/>
              </w:rPr>
              <w:t>Toz</w:t>
            </w:r>
          </w:p>
        </w:tc>
        <w:tc>
          <w:tcPr>
            <w:tcW w:w="5461" w:type="dxa"/>
            <w:tcBorders>
              <w:top w:val="single" w:sz="4" w:space="0" w:color="000000"/>
              <w:left w:val="single" w:sz="4" w:space="0" w:color="000000"/>
              <w:bottom w:val="single" w:sz="4" w:space="0" w:color="000000"/>
              <w:right w:val="single" w:sz="4" w:space="0" w:color="000000"/>
            </w:tcBorders>
          </w:tcPr>
          <w:p w14:paraId="39D4BB3E" w14:textId="77777777" w:rsidR="00374C56" w:rsidRPr="00D53A2B" w:rsidRDefault="00374C56" w:rsidP="00A202FD">
            <w:pPr>
              <w:spacing w:line="264" w:lineRule="auto"/>
              <w:ind w:left="57" w:right="57"/>
              <w:jc w:val="both"/>
              <w:rPr>
                <w:lang w:eastAsia="en-US"/>
              </w:rPr>
            </w:pPr>
            <w:r w:rsidRPr="00D53A2B">
              <w:rPr>
                <w:lang w:eastAsia="en-US"/>
              </w:rPr>
              <w:t>2–5</w:t>
            </w:r>
          </w:p>
        </w:tc>
      </w:tr>
      <w:tr w:rsidR="00374C56" w:rsidRPr="00D53A2B" w14:paraId="715EE668" w14:textId="77777777" w:rsidTr="00A23C24">
        <w:tc>
          <w:tcPr>
            <w:tcW w:w="8832" w:type="dxa"/>
            <w:gridSpan w:val="2"/>
            <w:tcBorders>
              <w:top w:val="single" w:sz="4" w:space="0" w:color="000000"/>
              <w:left w:val="single" w:sz="4" w:space="0" w:color="000000"/>
              <w:bottom w:val="single" w:sz="4" w:space="0" w:color="000000"/>
              <w:right w:val="single" w:sz="4" w:space="0" w:color="000000"/>
            </w:tcBorders>
          </w:tcPr>
          <w:p w14:paraId="36518B6F"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Günlük değerlerin veya örnekleme dönemi boyunca alınan değerlerin ortalaması.</w:t>
            </w:r>
          </w:p>
        </w:tc>
      </w:tr>
    </w:tbl>
    <w:p w14:paraId="60BA0FC0" w14:textId="002BF56F"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5CFB2F36" w14:textId="16CB925E" w:rsidR="00374C56" w:rsidRPr="00D53A2B" w:rsidRDefault="006D405B" w:rsidP="00A202FD">
      <w:pPr>
        <w:pStyle w:val="Balk4"/>
        <w:rPr>
          <w:rFonts w:cs="Times New Roman"/>
          <w:lang w:val="en-US" w:eastAsia="en-US"/>
        </w:rPr>
      </w:pPr>
      <w:r w:rsidRPr="00D53A2B">
        <w:rPr>
          <w:rFonts w:cs="Times New Roman"/>
          <w:lang w:val="en-US" w:eastAsia="en-US"/>
        </w:rPr>
        <w:t>1.</w:t>
      </w:r>
      <w:r w:rsidR="00374C56" w:rsidRPr="00D53A2B">
        <w:rPr>
          <w:rFonts w:cs="Times New Roman"/>
          <w:lang w:val="en-US" w:eastAsia="en-US"/>
        </w:rPr>
        <w:t>6.1.3.</w:t>
      </w:r>
      <w:bookmarkStart w:id="160" w:name="_Toc527940743"/>
      <w:bookmarkStart w:id="161" w:name="_Toc531927899"/>
      <w:r w:rsidR="00671D49" w:rsidRPr="00D53A2B">
        <w:rPr>
          <w:rFonts w:cs="Times New Roman"/>
          <w:lang w:val="en-US" w:eastAsia="en-US"/>
        </w:rPr>
        <w:t xml:space="preserve"> </w:t>
      </w:r>
      <w:r w:rsidR="00374C56" w:rsidRPr="00D53A2B">
        <w:rPr>
          <w:rFonts w:cs="Times New Roman"/>
          <w:lang w:val="en-US" w:eastAsia="en-US"/>
        </w:rPr>
        <w:t>NO</w:t>
      </w:r>
      <w:r w:rsidR="00374C56" w:rsidRPr="00D53A2B">
        <w:rPr>
          <w:rFonts w:cs="Times New Roman"/>
          <w:vertAlign w:val="subscript"/>
          <w:lang w:val="en-US" w:eastAsia="en-US"/>
        </w:rPr>
        <w:t>x</w:t>
      </w:r>
      <w:r w:rsidR="00374C56" w:rsidRPr="00D53A2B">
        <w:rPr>
          <w:rFonts w:cs="Times New Roman"/>
          <w:lang w:val="en-US" w:eastAsia="en-US"/>
        </w:rPr>
        <w:t xml:space="preserve"> emisyonları</w:t>
      </w:r>
      <w:bookmarkEnd w:id="160"/>
      <w:bookmarkEnd w:id="161"/>
    </w:p>
    <w:p w14:paraId="2B4F0B20" w14:textId="6FF61002" w:rsidR="00374C56" w:rsidRPr="00D53A2B" w:rsidRDefault="000A48EC" w:rsidP="00A202FD">
      <w:pPr>
        <w:spacing w:after="240"/>
        <w:jc w:val="both"/>
        <w:rPr>
          <w:b/>
          <w:lang w:eastAsia="en-US"/>
        </w:rPr>
      </w:pPr>
      <w:r w:rsidRPr="00D53A2B">
        <w:rPr>
          <w:b/>
          <w:lang w:eastAsia="en-US"/>
        </w:rPr>
        <w:t>MET 141:</w:t>
      </w:r>
      <w:r w:rsidR="00374C56" w:rsidRPr="00D53A2B">
        <w:rPr>
          <w:b/>
          <w:lang w:eastAsia="en-US"/>
        </w:rPr>
        <w:t xml:space="preserve"> </w:t>
      </w:r>
      <w:r w:rsidR="006D405B" w:rsidRPr="00D53A2B">
        <w:rPr>
          <w:bCs/>
          <w:lang w:eastAsia="en-US"/>
        </w:rPr>
        <w:t>Nitrik asit ile eritme/liç etme işlemlerini de içeren, hidrometalurjik işlemlerden kaynaklanan ve havaya salınan NO</w:t>
      </w:r>
      <w:r w:rsidR="006D405B" w:rsidRPr="00D53A2B">
        <w:rPr>
          <w:bCs/>
          <w:vertAlign w:val="subscript"/>
          <w:lang w:eastAsia="en-US"/>
        </w:rPr>
        <w:t>x</w:t>
      </w:r>
      <w:r w:rsidR="006D405B" w:rsidRPr="00D53A2B">
        <w:rPr>
          <w:bCs/>
          <w:lang w:eastAsia="en-US"/>
        </w:rPr>
        <w:t xml:space="preserve"> emisyonlarının azaltılması için aşağıda verilen tekniklerden biri veya her ikisi de kullanılır.</w:t>
      </w:r>
    </w:p>
    <w:tbl>
      <w:tblPr>
        <w:tblW w:w="0" w:type="auto"/>
        <w:tblInd w:w="5" w:type="dxa"/>
        <w:tblLayout w:type="fixed"/>
        <w:tblCellMar>
          <w:left w:w="0" w:type="dxa"/>
          <w:right w:w="0" w:type="dxa"/>
        </w:tblCellMar>
        <w:tblLook w:val="01E0" w:firstRow="1" w:lastRow="1" w:firstColumn="1" w:lastColumn="1" w:noHBand="0" w:noVBand="0"/>
      </w:tblPr>
      <w:tblGrid>
        <w:gridCol w:w="391"/>
        <w:gridCol w:w="8330"/>
      </w:tblGrid>
      <w:tr w:rsidR="00374C56" w:rsidRPr="00D53A2B" w14:paraId="382A9BEF" w14:textId="77777777" w:rsidTr="00374C56">
        <w:tc>
          <w:tcPr>
            <w:tcW w:w="391" w:type="dxa"/>
            <w:tcBorders>
              <w:top w:val="single" w:sz="4" w:space="0" w:color="000000"/>
              <w:left w:val="single" w:sz="4" w:space="0" w:color="000000"/>
              <w:bottom w:val="single" w:sz="4" w:space="0" w:color="000000"/>
              <w:right w:val="single" w:sz="4" w:space="0" w:color="000000"/>
            </w:tcBorders>
          </w:tcPr>
          <w:p w14:paraId="126AA2AB" w14:textId="77777777" w:rsidR="00374C56" w:rsidRPr="00D53A2B" w:rsidRDefault="00374C56" w:rsidP="00A202FD">
            <w:pPr>
              <w:spacing w:line="264" w:lineRule="auto"/>
              <w:ind w:left="57" w:right="57"/>
              <w:jc w:val="both"/>
              <w:rPr>
                <w:lang w:eastAsia="en-US"/>
              </w:rPr>
            </w:pPr>
          </w:p>
        </w:tc>
        <w:tc>
          <w:tcPr>
            <w:tcW w:w="8330" w:type="dxa"/>
            <w:tcBorders>
              <w:top w:val="single" w:sz="4" w:space="0" w:color="000000"/>
              <w:left w:val="single" w:sz="4" w:space="0" w:color="000000"/>
              <w:bottom w:val="single" w:sz="4" w:space="0" w:color="000000"/>
              <w:right w:val="single" w:sz="4" w:space="0" w:color="000000"/>
            </w:tcBorders>
          </w:tcPr>
          <w:p w14:paraId="1FEF3E02" w14:textId="77777777" w:rsidR="00374C56" w:rsidRPr="00D53A2B" w:rsidRDefault="00374C56" w:rsidP="00A202FD">
            <w:pPr>
              <w:spacing w:line="264" w:lineRule="auto"/>
              <w:ind w:left="57" w:right="57"/>
              <w:jc w:val="both"/>
              <w:rPr>
                <w:lang w:eastAsia="en-US"/>
              </w:rPr>
            </w:pPr>
            <w:r w:rsidRPr="00D53A2B">
              <w:rPr>
                <w:b/>
                <w:bCs/>
                <w:lang w:eastAsia="en-US"/>
              </w:rPr>
              <w:t>Teknik (</w:t>
            </w:r>
            <w:r w:rsidRPr="00D53A2B">
              <w:rPr>
                <w:b/>
                <w:bCs/>
                <w:vertAlign w:val="superscript"/>
                <w:lang w:eastAsia="en-US"/>
              </w:rPr>
              <w:t>1</w:t>
            </w:r>
            <w:r w:rsidRPr="00D53A2B">
              <w:rPr>
                <w:b/>
                <w:bCs/>
                <w:lang w:eastAsia="en-US"/>
              </w:rPr>
              <w:t>)</w:t>
            </w:r>
          </w:p>
        </w:tc>
      </w:tr>
      <w:tr w:rsidR="00374C56" w:rsidRPr="00D53A2B" w14:paraId="7129556A" w14:textId="77777777" w:rsidTr="00374C56">
        <w:tc>
          <w:tcPr>
            <w:tcW w:w="391" w:type="dxa"/>
            <w:tcBorders>
              <w:top w:val="single" w:sz="4" w:space="0" w:color="000000"/>
              <w:left w:val="single" w:sz="4" w:space="0" w:color="000000"/>
              <w:bottom w:val="single" w:sz="4" w:space="0" w:color="000000"/>
              <w:right w:val="single" w:sz="4" w:space="0" w:color="000000"/>
            </w:tcBorders>
            <w:vAlign w:val="center"/>
          </w:tcPr>
          <w:p w14:paraId="55ACE50F" w14:textId="77777777" w:rsidR="00374C56" w:rsidRPr="00D53A2B" w:rsidRDefault="00374C56" w:rsidP="00A202FD">
            <w:pPr>
              <w:spacing w:line="264" w:lineRule="auto"/>
              <w:ind w:left="57" w:right="57"/>
              <w:jc w:val="both"/>
              <w:rPr>
                <w:lang w:eastAsia="en-US"/>
              </w:rPr>
            </w:pPr>
            <w:r w:rsidRPr="00D53A2B">
              <w:rPr>
                <w:lang w:eastAsia="en-US"/>
              </w:rPr>
              <w:t>a</w:t>
            </w:r>
          </w:p>
        </w:tc>
        <w:tc>
          <w:tcPr>
            <w:tcW w:w="8330" w:type="dxa"/>
            <w:tcBorders>
              <w:top w:val="single" w:sz="4" w:space="0" w:color="000000"/>
              <w:left w:val="single" w:sz="4" w:space="0" w:color="000000"/>
              <w:bottom w:val="single" w:sz="4" w:space="0" w:color="000000"/>
              <w:right w:val="single" w:sz="4" w:space="0" w:color="000000"/>
            </w:tcBorders>
          </w:tcPr>
          <w:p w14:paraId="64DC43FE" w14:textId="77777777" w:rsidR="00374C56" w:rsidRPr="00D53A2B" w:rsidRDefault="00374C56" w:rsidP="00A202FD">
            <w:pPr>
              <w:spacing w:line="264" w:lineRule="auto"/>
              <w:ind w:left="57" w:right="57"/>
              <w:jc w:val="both"/>
              <w:rPr>
                <w:lang w:eastAsia="en-US"/>
              </w:rPr>
            </w:pPr>
            <w:r w:rsidRPr="00D53A2B">
              <w:rPr>
                <w:lang w:eastAsia="en-US"/>
              </w:rPr>
              <w:t>Kostik soda ile alkali gaz temizleme</w:t>
            </w:r>
          </w:p>
        </w:tc>
      </w:tr>
      <w:tr w:rsidR="00374C56" w:rsidRPr="00D53A2B" w14:paraId="4B8CEFFD" w14:textId="77777777" w:rsidTr="00374C56">
        <w:tc>
          <w:tcPr>
            <w:tcW w:w="391" w:type="dxa"/>
            <w:tcBorders>
              <w:top w:val="single" w:sz="4" w:space="0" w:color="000000"/>
              <w:left w:val="single" w:sz="4" w:space="0" w:color="000000"/>
              <w:bottom w:val="single" w:sz="4" w:space="0" w:color="000000"/>
              <w:right w:val="single" w:sz="4" w:space="0" w:color="000000"/>
            </w:tcBorders>
            <w:vAlign w:val="center"/>
          </w:tcPr>
          <w:p w14:paraId="59BEC429" w14:textId="77777777" w:rsidR="00374C56" w:rsidRPr="00D53A2B" w:rsidRDefault="00374C56" w:rsidP="00A202FD">
            <w:pPr>
              <w:spacing w:line="264" w:lineRule="auto"/>
              <w:ind w:left="57" w:right="57"/>
              <w:jc w:val="both"/>
              <w:rPr>
                <w:lang w:eastAsia="en-US"/>
              </w:rPr>
            </w:pPr>
            <w:r w:rsidRPr="00D53A2B">
              <w:rPr>
                <w:lang w:eastAsia="en-US"/>
              </w:rPr>
              <w:t>b</w:t>
            </w:r>
          </w:p>
        </w:tc>
        <w:tc>
          <w:tcPr>
            <w:tcW w:w="8330" w:type="dxa"/>
            <w:tcBorders>
              <w:top w:val="single" w:sz="4" w:space="0" w:color="000000"/>
              <w:left w:val="single" w:sz="4" w:space="0" w:color="000000"/>
              <w:bottom w:val="single" w:sz="4" w:space="0" w:color="000000"/>
              <w:right w:val="single" w:sz="4" w:space="0" w:color="000000"/>
            </w:tcBorders>
          </w:tcPr>
          <w:p w14:paraId="06782E18" w14:textId="734973F7" w:rsidR="00374C56" w:rsidRPr="00D53A2B" w:rsidRDefault="006D405B" w:rsidP="00A202FD">
            <w:pPr>
              <w:spacing w:line="264" w:lineRule="auto"/>
              <w:ind w:left="57" w:right="57"/>
              <w:jc w:val="both"/>
              <w:rPr>
                <w:lang w:eastAsia="en-US"/>
              </w:rPr>
            </w:pPr>
            <w:r w:rsidRPr="00D53A2B">
              <w:rPr>
                <w:lang w:eastAsia="en-US"/>
              </w:rPr>
              <w:t>Hidrometalurjik işlemlerde yüksek konsantrasyonlarda NO</w:t>
            </w:r>
            <w:r w:rsidR="00671D49" w:rsidRPr="00D53A2B">
              <w:rPr>
                <w:vertAlign w:val="subscript"/>
                <w:lang w:eastAsia="en-US"/>
              </w:rPr>
              <w:t>x</w:t>
            </w:r>
            <w:r w:rsidRPr="00D53A2B">
              <w:rPr>
                <w:lang w:eastAsia="en-US"/>
              </w:rPr>
              <w:t xml:space="preserve"> üretme potansiyeline sahip kaplar için oksidasyon ajanları (örn. oksijen, hidrojen peroksit) ve indirgeyici ajanlar (örn. nitrik asit, üre) içeren yıkayıcı. Genellikle </w:t>
            </w:r>
            <w:r w:rsidR="00671D49" w:rsidRPr="00D53A2B">
              <w:rPr>
                <w:lang w:eastAsia="en-US"/>
              </w:rPr>
              <w:t>MET</w:t>
            </w:r>
            <w:r w:rsidRPr="00D53A2B">
              <w:rPr>
                <w:lang w:eastAsia="en-US"/>
              </w:rPr>
              <w:t xml:space="preserve"> 141(a) ile birlikte uygulanır.</w:t>
            </w:r>
          </w:p>
        </w:tc>
      </w:tr>
      <w:tr w:rsidR="00374C56" w:rsidRPr="00D53A2B" w14:paraId="32A1ACB4"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78DF8942" w14:textId="30688D10"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Tekniklerin açıklamaları Bölüm 1.10</w:t>
            </w:r>
            <w:r w:rsidR="00E56504" w:rsidRPr="00D53A2B">
              <w:rPr>
                <w:lang w:eastAsia="en-US"/>
              </w:rPr>
              <w:t>’</w:t>
            </w:r>
            <w:r w:rsidRPr="00D53A2B">
              <w:rPr>
                <w:lang w:eastAsia="en-US"/>
              </w:rPr>
              <w:t>da verilmiştir.</w:t>
            </w:r>
          </w:p>
        </w:tc>
      </w:tr>
    </w:tbl>
    <w:p w14:paraId="7F6B3573"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40.</w:t>
      </w:r>
    </w:p>
    <w:p w14:paraId="4EC7C27E" w14:textId="77777777" w:rsidR="00070FEA" w:rsidRPr="00D53A2B" w:rsidRDefault="00374C56" w:rsidP="00A202FD">
      <w:pPr>
        <w:spacing w:before="120" w:after="120"/>
        <w:jc w:val="both"/>
        <w:rPr>
          <w:bCs/>
          <w:iCs/>
          <w:spacing w:val="2"/>
          <w:lang w:eastAsia="en-US"/>
        </w:rPr>
      </w:pPr>
      <w:bookmarkStart w:id="162" w:name="_Toc527941358"/>
      <w:bookmarkStart w:id="163" w:name="_Toc531927981"/>
      <w:r w:rsidRPr="00D53A2B">
        <w:rPr>
          <w:bCs/>
          <w:iCs/>
          <w:spacing w:val="2"/>
          <w:lang w:eastAsia="en-US"/>
        </w:rPr>
        <w:t xml:space="preserve">Tablo </w:t>
      </w:r>
      <w:r w:rsidRPr="00D53A2B">
        <w:rPr>
          <w:bCs/>
          <w:noProof/>
          <w:spacing w:val="2"/>
          <w:lang w:eastAsia="en-US"/>
        </w:rPr>
        <w:t>40</w:t>
      </w:r>
    </w:p>
    <w:p w14:paraId="4EEE8898" w14:textId="76B6682F" w:rsidR="00374C56" w:rsidRPr="00D53A2B" w:rsidRDefault="00374C56" w:rsidP="00A202FD">
      <w:pPr>
        <w:spacing w:before="120" w:after="120"/>
        <w:jc w:val="both"/>
        <w:rPr>
          <w:bCs/>
          <w:iCs/>
          <w:spacing w:val="2"/>
          <w:lang w:eastAsia="en-US"/>
        </w:rPr>
      </w:pPr>
      <w:r w:rsidRPr="00D53A2B">
        <w:rPr>
          <w:bCs/>
          <w:iCs/>
          <w:spacing w:val="2"/>
          <w:lang w:eastAsia="en-US"/>
        </w:rPr>
        <w:t>Nitrik asit ile eritme/liç etme işlemlerini de içeren, hidrometalurjik işlemlerden kaynaklanan ve havaya salınan NO</w:t>
      </w:r>
      <w:r w:rsidRPr="00D53A2B">
        <w:rPr>
          <w:bCs/>
          <w:iCs/>
          <w:spacing w:val="2"/>
          <w:vertAlign w:val="subscript"/>
          <w:lang w:eastAsia="en-US"/>
        </w:rPr>
        <w:t>x</w:t>
      </w:r>
      <w:r w:rsidRPr="00D53A2B">
        <w:rPr>
          <w:bCs/>
          <w:iCs/>
          <w:spacing w:val="2"/>
          <w:lang w:eastAsia="en-US"/>
        </w:rPr>
        <w:t xml:space="preserve"> emisyonları ile ilgili MET için emisyon seviyeleri</w:t>
      </w:r>
      <w:bookmarkEnd w:id="162"/>
      <w:bookmarkEnd w:id="163"/>
    </w:p>
    <w:tbl>
      <w:tblPr>
        <w:tblW w:w="0" w:type="auto"/>
        <w:tblInd w:w="5" w:type="dxa"/>
        <w:tblLayout w:type="fixed"/>
        <w:tblCellMar>
          <w:left w:w="0" w:type="dxa"/>
          <w:right w:w="0" w:type="dxa"/>
        </w:tblCellMar>
        <w:tblLook w:val="01E0" w:firstRow="1" w:lastRow="1" w:firstColumn="1" w:lastColumn="1" w:noHBand="0" w:noVBand="0"/>
      </w:tblPr>
      <w:tblGrid>
        <w:gridCol w:w="2943"/>
        <w:gridCol w:w="5778"/>
      </w:tblGrid>
      <w:tr w:rsidR="00374C56" w:rsidRPr="00D53A2B" w14:paraId="551C27B6" w14:textId="77777777" w:rsidTr="00374C56">
        <w:tc>
          <w:tcPr>
            <w:tcW w:w="2943" w:type="dxa"/>
            <w:tcBorders>
              <w:top w:val="single" w:sz="4" w:space="0" w:color="000000"/>
              <w:left w:val="single" w:sz="4" w:space="0" w:color="000000"/>
              <w:bottom w:val="single" w:sz="4" w:space="0" w:color="000000"/>
              <w:right w:val="single" w:sz="4" w:space="0" w:color="000000"/>
            </w:tcBorders>
          </w:tcPr>
          <w:p w14:paraId="2FFB06F6"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5778" w:type="dxa"/>
            <w:tcBorders>
              <w:top w:val="single" w:sz="4" w:space="0" w:color="000000"/>
              <w:left w:val="single" w:sz="4" w:space="0" w:color="000000"/>
              <w:bottom w:val="single" w:sz="4" w:space="0" w:color="000000"/>
              <w:right w:val="single" w:sz="4" w:space="0" w:color="000000"/>
            </w:tcBorders>
          </w:tcPr>
          <w:p w14:paraId="4C46D9BE"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2F6D0A83" w14:textId="77777777" w:rsidTr="00374C56">
        <w:tc>
          <w:tcPr>
            <w:tcW w:w="2943" w:type="dxa"/>
            <w:tcBorders>
              <w:top w:val="single" w:sz="4" w:space="0" w:color="000000"/>
              <w:left w:val="single" w:sz="4" w:space="0" w:color="000000"/>
              <w:bottom w:val="single" w:sz="4" w:space="0" w:color="000000"/>
              <w:right w:val="single" w:sz="4" w:space="0" w:color="000000"/>
            </w:tcBorders>
          </w:tcPr>
          <w:p w14:paraId="342C5B37" w14:textId="77777777" w:rsidR="00374C56" w:rsidRPr="00D53A2B" w:rsidRDefault="00374C56" w:rsidP="00A202FD">
            <w:pPr>
              <w:spacing w:line="264" w:lineRule="auto"/>
              <w:ind w:left="57" w:right="57"/>
              <w:jc w:val="both"/>
              <w:rPr>
                <w:lang w:eastAsia="en-US"/>
              </w:rPr>
            </w:pPr>
            <w:r w:rsidRPr="00D53A2B">
              <w:rPr>
                <w:lang w:eastAsia="en-US"/>
              </w:rPr>
              <w:t>NO</w:t>
            </w:r>
            <w:r w:rsidRPr="00D53A2B">
              <w:rPr>
                <w:vertAlign w:val="subscript"/>
                <w:lang w:eastAsia="en-US"/>
              </w:rPr>
              <w:t>X</w:t>
            </w:r>
          </w:p>
        </w:tc>
        <w:tc>
          <w:tcPr>
            <w:tcW w:w="5778" w:type="dxa"/>
            <w:tcBorders>
              <w:top w:val="single" w:sz="4" w:space="0" w:color="000000"/>
              <w:left w:val="single" w:sz="4" w:space="0" w:color="000000"/>
              <w:bottom w:val="single" w:sz="4" w:space="0" w:color="000000"/>
              <w:right w:val="single" w:sz="4" w:space="0" w:color="000000"/>
            </w:tcBorders>
          </w:tcPr>
          <w:p w14:paraId="24B42E9D" w14:textId="77777777" w:rsidR="00374C56" w:rsidRPr="00D53A2B" w:rsidRDefault="00374C56" w:rsidP="00A202FD">
            <w:pPr>
              <w:spacing w:line="264" w:lineRule="auto"/>
              <w:ind w:left="57" w:right="57"/>
              <w:jc w:val="both"/>
              <w:rPr>
                <w:lang w:eastAsia="en-US"/>
              </w:rPr>
            </w:pPr>
            <w:r w:rsidRPr="00D53A2B">
              <w:rPr>
                <w:lang w:eastAsia="en-US"/>
              </w:rPr>
              <w:t>70–150</w:t>
            </w:r>
          </w:p>
        </w:tc>
      </w:tr>
      <w:tr w:rsidR="00374C56" w:rsidRPr="00D53A2B" w14:paraId="7A1CA2C9"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05391664"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Saatlik değerlerin veya örnekleme dönemi boyunca alınan değerlerin ortalaması.</w:t>
            </w:r>
          </w:p>
        </w:tc>
      </w:tr>
    </w:tbl>
    <w:p w14:paraId="379DFC85" w14:textId="77777777" w:rsidR="00374C56" w:rsidRPr="00D53A2B" w:rsidRDefault="00374C56" w:rsidP="00A202FD">
      <w:pPr>
        <w:jc w:val="both"/>
        <w:rPr>
          <w:spacing w:val="2"/>
          <w:lang w:val="en-US" w:eastAsia="en-US"/>
        </w:rPr>
      </w:pPr>
      <w:bookmarkStart w:id="164" w:name="_Toc527940744"/>
      <w:bookmarkStart w:id="165" w:name="_Toc531927900"/>
      <w:bookmarkEnd w:id="164"/>
      <w:bookmarkEnd w:id="165"/>
    </w:p>
    <w:p w14:paraId="42ED4BC3" w14:textId="1D3BE355" w:rsidR="00374C56" w:rsidRPr="00D53A2B" w:rsidRDefault="00FD5007" w:rsidP="00A202FD">
      <w:pPr>
        <w:pStyle w:val="Balk4"/>
        <w:rPr>
          <w:rFonts w:cs="Times New Roman"/>
          <w:lang w:val="en-US" w:eastAsia="en-US"/>
        </w:rPr>
      </w:pPr>
      <w:bookmarkStart w:id="166" w:name="_Toc527940745"/>
      <w:bookmarkStart w:id="167" w:name="_Toc531927901"/>
      <w:r w:rsidRPr="00D53A2B">
        <w:rPr>
          <w:rFonts w:cs="Times New Roman"/>
          <w:lang w:val="en-US" w:eastAsia="en-US"/>
        </w:rPr>
        <w:t>1.</w:t>
      </w:r>
      <w:r w:rsidR="00374C56" w:rsidRPr="00D53A2B">
        <w:rPr>
          <w:rFonts w:cs="Times New Roman"/>
          <w:lang w:val="en-US" w:eastAsia="en-US"/>
        </w:rPr>
        <w:t>6.1.4.</w:t>
      </w:r>
      <w:r w:rsidR="00E176DB" w:rsidRPr="00D53A2B">
        <w:rPr>
          <w:rFonts w:cs="Times New Roman"/>
          <w:lang w:val="en-US" w:eastAsia="en-US"/>
        </w:rPr>
        <w:t xml:space="preserve"> </w:t>
      </w:r>
      <w:r w:rsidR="00374C56" w:rsidRPr="00D53A2B">
        <w:rPr>
          <w:rFonts w:cs="Times New Roman"/>
          <w:lang w:val="en-US" w:eastAsia="en-US"/>
        </w:rPr>
        <w:t>Kükürt dioksit emisyonları</w:t>
      </w:r>
      <w:bookmarkEnd w:id="166"/>
      <w:bookmarkEnd w:id="167"/>
    </w:p>
    <w:p w14:paraId="248062B1" w14:textId="0E1F5F48" w:rsidR="00374C56" w:rsidRPr="00D53A2B" w:rsidRDefault="000A48EC" w:rsidP="00A202FD">
      <w:pPr>
        <w:spacing w:after="240"/>
        <w:jc w:val="both"/>
        <w:rPr>
          <w:b/>
          <w:lang w:eastAsia="en-US"/>
        </w:rPr>
      </w:pPr>
      <w:r w:rsidRPr="00D53A2B">
        <w:rPr>
          <w:b/>
          <w:lang w:eastAsia="en-US"/>
        </w:rPr>
        <w:t>MET 142:</w:t>
      </w:r>
      <w:r w:rsidR="00374C56" w:rsidRPr="00D53A2B">
        <w:rPr>
          <w:b/>
          <w:lang w:eastAsia="en-US"/>
        </w:rPr>
        <w:t xml:space="preserve"> </w:t>
      </w:r>
      <w:r w:rsidR="00374C56" w:rsidRPr="00D53A2B">
        <w:rPr>
          <w:bCs/>
          <w:lang w:eastAsia="en-US"/>
        </w:rPr>
        <w:t>Doré metal üretiminde yakma, kalsinasyon ve kurutma işlemleri de dahil olmak üzere ergitme ve eritme işlemlerinden kaynaklanan ve havaya salınan SO</w:t>
      </w:r>
      <w:r w:rsidR="00374C56" w:rsidRPr="00D53A2B">
        <w:rPr>
          <w:bCs/>
          <w:vertAlign w:val="subscript"/>
          <w:lang w:eastAsia="en-US"/>
        </w:rPr>
        <w:t>2</w:t>
      </w:r>
      <w:r w:rsidR="00374C56" w:rsidRPr="00D53A2B">
        <w:rPr>
          <w:bCs/>
          <w:lang w:eastAsia="en-US"/>
        </w:rPr>
        <w:t xml:space="preserve"> emisyonlarının (sülfürik asit tesisine yönlendirilenler hariç) azaltılması için aşağıda verilen tekniklerden birinin veya bunların bir kombinasyonu kullanılır.</w:t>
      </w:r>
    </w:p>
    <w:tbl>
      <w:tblPr>
        <w:tblW w:w="0" w:type="auto"/>
        <w:tblInd w:w="5" w:type="dxa"/>
        <w:tblLayout w:type="fixed"/>
        <w:tblCellMar>
          <w:left w:w="0" w:type="dxa"/>
          <w:right w:w="0" w:type="dxa"/>
        </w:tblCellMar>
        <w:tblLook w:val="01E0" w:firstRow="1" w:lastRow="1" w:firstColumn="1" w:lastColumn="1" w:noHBand="0" w:noVBand="0"/>
      </w:tblPr>
      <w:tblGrid>
        <w:gridCol w:w="317"/>
        <w:gridCol w:w="3903"/>
        <w:gridCol w:w="4501"/>
      </w:tblGrid>
      <w:tr w:rsidR="00374C56" w:rsidRPr="00D53A2B" w14:paraId="4B52F884" w14:textId="77777777" w:rsidTr="00374C56">
        <w:tc>
          <w:tcPr>
            <w:tcW w:w="317" w:type="dxa"/>
            <w:tcBorders>
              <w:top w:val="single" w:sz="4" w:space="0" w:color="000000"/>
              <w:left w:val="single" w:sz="4" w:space="0" w:color="000000"/>
              <w:bottom w:val="single" w:sz="4" w:space="0" w:color="000000"/>
              <w:right w:val="single" w:sz="4" w:space="0" w:color="000000"/>
            </w:tcBorders>
          </w:tcPr>
          <w:p w14:paraId="6C56D486" w14:textId="77777777" w:rsidR="00374C56" w:rsidRPr="00D53A2B" w:rsidRDefault="00374C56" w:rsidP="00A202FD">
            <w:pPr>
              <w:spacing w:line="264" w:lineRule="auto"/>
              <w:ind w:left="57" w:right="57"/>
              <w:jc w:val="both"/>
              <w:rPr>
                <w:lang w:eastAsia="en-US"/>
              </w:rPr>
            </w:pPr>
          </w:p>
        </w:tc>
        <w:tc>
          <w:tcPr>
            <w:tcW w:w="3903" w:type="dxa"/>
            <w:tcBorders>
              <w:top w:val="single" w:sz="4" w:space="0" w:color="000000"/>
              <w:left w:val="single" w:sz="4" w:space="0" w:color="000000"/>
              <w:bottom w:val="single" w:sz="4" w:space="0" w:color="000000"/>
              <w:right w:val="single" w:sz="4" w:space="0" w:color="000000"/>
            </w:tcBorders>
          </w:tcPr>
          <w:p w14:paraId="5A2409AC" w14:textId="77777777" w:rsidR="00374C56" w:rsidRPr="00D53A2B" w:rsidRDefault="00374C56" w:rsidP="00A202FD">
            <w:pPr>
              <w:spacing w:line="264" w:lineRule="auto"/>
              <w:ind w:left="57" w:right="57"/>
              <w:jc w:val="both"/>
              <w:rPr>
                <w:lang w:eastAsia="en-US"/>
              </w:rPr>
            </w:pPr>
            <w:r w:rsidRPr="00D53A2B">
              <w:rPr>
                <w:b/>
                <w:bCs/>
                <w:lang w:eastAsia="en-US"/>
              </w:rPr>
              <w:t>Teknik (</w:t>
            </w:r>
            <w:r w:rsidRPr="00D53A2B">
              <w:rPr>
                <w:b/>
                <w:bCs/>
                <w:vertAlign w:val="superscript"/>
                <w:lang w:eastAsia="en-US"/>
              </w:rPr>
              <w:t>1</w:t>
            </w:r>
            <w:r w:rsidRPr="00D53A2B">
              <w:rPr>
                <w:b/>
                <w:bCs/>
                <w:lang w:eastAsia="en-US"/>
              </w:rPr>
              <w:t>)</w:t>
            </w:r>
          </w:p>
        </w:tc>
        <w:tc>
          <w:tcPr>
            <w:tcW w:w="4501" w:type="dxa"/>
            <w:tcBorders>
              <w:top w:val="single" w:sz="4" w:space="0" w:color="000000"/>
              <w:left w:val="single" w:sz="4" w:space="0" w:color="000000"/>
              <w:bottom w:val="single" w:sz="4" w:space="0" w:color="000000"/>
              <w:right w:val="single" w:sz="4" w:space="0" w:color="000000"/>
            </w:tcBorders>
          </w:tcPr>
          <w:p w14:paraId="3393E207" w14:textId="77777777" w:rsidR="00374C56" w:rsidRPr="00D53A2B" w:rsidRDefault="00374C56" w:rsidP="00A202FD">
            <w:pPr>
              <w:spacing w:line="264" w:lineRule="auto"/>
              <w:ind w:left="57" w:right="57"/>
              <w:jc w:val="both"/>
              <w:rPr>
                <w:lang w:eastAsia="en-US"/>
              </w:rPr>
            </w:pPr>
            <w:r w:rsidRPr="00D53A2B">
              <w:rPr>
                <w:b/>
                <w:bCs/>
                <w:lang w:eastAsia="en-US"/>
              </w:rPr>
              <w:t>Uygulanabilirlik</w:t>
            </w:r>
          </w:p>
        </w:tc>
      </w:tr>
      <w:tr w:rsidR="00374C56" w:rsidRPr="00D53A2B" w14:paraId="0025D68F"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4914AEDA" w14:textId="77777777" w:rsidR="00374C56" w:rsidRPr="00D53A2B" w:rsidRDefault="00374C56" w:rsidP="00A202FD">
            <w:pPr>
              <w:spacing w:line="264" w:lineRule="auto"/>
              <w:ind w:left="57" w:right="57"/>
              <w:jc w:val="both"/>
              <w:rPr>
                <w:lang w:eastAsia="en-US"/>
              </w:rPr>
            </w:pPr>
            <w:r w:rsidRPr="00D53A2B">
              <w:rPr>
                <w:lang w:eastAsia="en-US"/>
              </w:rPr>
              <w:t>a</w:t>
            </w:r>
          </w:p>
        </w:tc>
        <w:tc>
          <w:tcPr>
            <w:tcW w:w="3903" w:type="dxa"/>
            <w:tcBorders>
              <w:top w:val="single" w:sz="4" w:space="0" w:color="000000"/>
              <w:left w:val="single" w:sz="4" w:space="0" w:color="000000"/>
              <w:bottom w:val="single" w:sz="4" w:space="0" w:color="000000"/>
              <w:right w:val="single" w:sz="4" w:space="0" w:color="000000"/>
            </w:tcBorders>
          </w:tcPr>
          <w:p w14:paraId="3984C54D" w14:textId="77777777" w:rsidR="00374C56" w:rsidRPr="00D53A2B" w:rsidRDefault="00374C56" w:rsidP="00A202FD">
            <w:pPr>
              <w:spacing w:line="264" w:lineRule="auto"/>
              <w:ind w:left="57" w:right="57"/>
              <w:jc w:val="both"/>
              <w:rPr>
                <w:lang w:eastAsia="en-US"/>
              </w:rPr>
            </w:pPr>
            <w:r w:rsidRPr="00D53A2B">
              <w:rPr>
                <w:lang w:eastAsia="en-US"/>
              </w:rPr>
              <w:t>Bir torba filtre ile birlikte kireç enjeksiyonu</w:t>
            </w:r>
          </w:p>
        </w:tc>
        <w:tc>
          <w:tcPr>
            <w:tcW w:w="4501" w:type="dxa"/>
            <w:tcBorders>
              <w:top w:val="single" w:sz="4" w:space="0" w:color="000000"/>
              <w:left w:val="single" w:sz="4" w:space="0" w:color="000000"/>
              <w:bottom w:val="single" w:sz="4" w:space="0" w:color="000000"/>
              <w:right w:val="single" w:sz="4" w:space="0" w:color="000000"/>
            </w:tcBorders>
          </w:tcPr>
          <w:p w14:paraId="3591E83A" w14:textId="77777777" w:rsidR="00374C56" w:rsidRPr="00D53A2B" w:rsidRDefault="00374C56" w:rsidP="00A202FD">
            <w:pPr>
              <w:spacing w:line="264" w:lineRule="auto"/>
              <w:ind w:left="57" w:right="57"/>
              <w:jc w:val="both"/>
              <w:rPr>
                <w:lang w:eastAsia="en-US"/>
              </w:rPr>
            </w:pPr>
          </w:p>
          <w:p w14:paraId="3986B6F6" w14:textId="77777777" w:rsidR="00374C56" w:rsidRPr="00D53A2B" w:rsidRDefault="00374C56" w:rsidP="00A202FD">
            <w:pPr>
              <w:spacing w:line="264" w:lineRule="auto"/>
              <w:ind w:left="57" w:right="57"/>
              <w:jc w:val="both"/>
              <w:rPr>
                <w:lang w:eastAsia="en-US"/>
              </w:rPr>
            </w:pPr>
            <w:r w:rsidRPr="00D53A2B">
              <w:rPr>
                <w:lang w:eastAsia="en-US"/>
              </w:rPr>
              <w:t>Genellikle uygulanabilir</w:t>
            </w:r>
          </w:p>
        </w:tc>
      </w:tr>
      <w:tr w:rsidR="00374C56" w:rsidRPr="00D53A2B" w14:paraId="0DFA9423"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46A4E199" w14:textId="77777777" w:rsidR="00374C56" w:rsidRPr="00D53A2B" w:rsidRDefault="00374C56" w:rsidP="00A202FD">
            <w:pPr>
              <w:spacing w:line="264" w:lineRule="auto"/>
              <w:ind w:left="57" w:right="57"/>
              <w:jc w:val="both"/>
              <w:rPr>
                <w:lang w:eastAsia="en-US"/>
              </w:rPr>
            </w:pPr>
            <w:r w:rsidRPr="00D53A2B">
              <w:rPr>
                <w:lang w:eastAsia="en-US"/>
              </w:rPr>
              <w:t>b</w:t>
            </w:r>
          </w:p>
        </w:tc>
        <w:tc>
          <w:tcPr>
            <w:tcW w:w="3903" w:type="dxa"/>
            <w:tcBorders>
              <w:top w:val="single" w:sz="4" w:space="0" w:color="000000"/>
              <w:left w:val="single" w:sz="4" w:space="0" w:color="000000"/>
              <w:bottom w:val="single" w:sz="4" w:space="0" w:color="000000"/>
              <w:right w:val="single" w:sz="4" w:space="0" w:color="000000"/>
            </w:tcBorders>
            <w:vAlign w:val="center"/>
          </w:tcPr>
          <w:p w14:paraId="3E6F8685" w14:textId="77777777" w:rsidR="00374C56" w:rsidRPr="00D53A2B" w:rsidRDefault="00374C56" w:rsidP="00A202FD">
            <w:pPr>
              <w:spacing w:line="264" w:lineRule="auto"/>
              <w:ind w:left="57" w:right="57"/>
              <w:jc w:val="both"/>
              <w:rPr>
                <w:lang w:eastAsia="en-US"/>
              </w:rPr>
            </w:pPr>
            <w:r w:rsidRPr="00D53A2B">
              <w:rPr>
                <w:lang w:eastAsia="en-US"/>
              </w:rPr>
              <w:t xml:space="preserve">Islak gaz yıkayıcı </w:t>
            </w:r>
          </w:p>
        </w:tc>
        <w:tc>
          <w:tcPr>
            <w:tcW w:w="4501" w:type="dxa"/>
            <w:tcBorders>
              <w:top w:val="single" w:sz="4" w:space="0" w:color="000000"/>
              <w:left w:val="single" w:sz="4" w:space="0" w:color="000000"/>
              <w:bottom w:val="single" w:sz="4" w:space="0" w:color="000000"/>
              <w:right w:val="single" w:sz="4" w:space="0" w:color="000000"/>
            </w:tcBorders>
          </w:tcPr>
          <w:p w14:paraId="57887FAC" w14:textId="77777777" w:rsidR="00374C56" w:rsidRPr="00D53A2B" w:rsidRDefault="00374C56" w:rsidP="00A202FD">
            <w:pPr>
              <w:spacing w:line="264" w:lineRule="auto"/>
              <w:ind w:left="57" w:right="57"/>
              <w:jc w:val="both"/>
              <w:rPr>
                <w:lang w:eastAsia="en-US"/>
              </w:rPr>
            </w:pPr>
            <w:r w:rsidRPr="00D53A2B">
              <w:rPr>
                <w:lang w:eastAsia="en-US"/>
              </w:rPr>
              <w:t>Aşağıdaki durumlarda uygulanabilirlikleri kısıtlanabilir:</w:t>
            </w:r>
          </w:p>
          <w:p w14:paraId="2A96BDC8" w14:textId="77777777" w:rsidR="00374C56" w:rsidRPr="00D53A2B" w:rsidRDefault="00374C56" w:rsidP="00A202FD">
            <w:pPr>
              <w:spacing w:line="264" w:lineRule="auto"/>
              <w:ind w:left="57" w:right="57"/>
              <w:jc w:val="both"/>
              <w:rPr>
                <w:lang w:eastAsia="en-US"/>
              </w:rPr>
            </w:pPr>
            <w:r w:rsidRPr="00D53A2B">
              <w:rPr>
                <w:lang w:eastAsia="en-US"/>
              </w:rPr>
              <w:t>- Çok yüksek baca gazı oranlarında (önemli miktarda atık ve atıksu ortaya çıkması)</w:t>
            </w:r>
          </w:p>
          <w:p w14:paraId="73FB6264" w14:textId="77777777" w:rsidR="00374C56" w:rsidRPr="00D53A2B" w:rsidRDefault="00374C56" w:rsidP="00A202FD">
            <w:pPr>
              <w:spacing w:line="264" w:lineRule="auto"/>
              <w:ind w:left="57" w:right="57"/>
              <w:jc w:val="both"/>
              <w:rPr>
                <w:lang w:eastAsia="en-US"/>
              </w:rPr>
            </w:pPr>
            <w:r w:rsidRPr="00D53A2B">
              <w:rPr>
                <w:lang w:eastAsia="en-US"/>
              </w:rPr>
              <w:t>- Kurak bölgelerde (yüksek miktarda su ihtiyacı ve ortaya çıkan atıksuyun arıtılma gereksinimi)</w:t>
            </w:r>
          </w:p>
        </w:tc>
      </w:tr>
      <w:tr w:rsidR="00374C56" w:rsidRPr="00D53A2B" w14:paraId="7F64C905" w14:textId="77777777" w:rsidTr="00374C56">
        <w:tc>
          <w:tcPr>
            <w:tcW w:w="8721" w:type="dxa"/>
            <w:gridSpan w:val="3"/>
            <w:tcBorders>
              <w:top w:val="single" w:sz="4" w:space="0" w:color="000000"/>
              <w:left w:val="single" w:sz="4" w:space="0" w:color="000000"/>
              <w:bottom w:val="single" w:sz="4" w:space="0" w:color="000000"/>
              <w:right w:val="single" w:sz="4" w:space="0" w:color="000000"/>
            </w:tcBorders>
          </w:tcPr>
          <w:p w14:paraId="6111B54A" w14:textId="15091512"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Tekniklerin açıklamaları Bölüm 1.10</w:t>
            </w:r>
            <w:r w:rsidR="00E56504" w:rsidRPr="00D53A2B">
              <w:rPr>
                <w:lang w:eastAsia="en-US"/>
              </w:rPr>
              <w:t>’</w:t>
            </w:r>
            <w:r w:rsidRPr="00D53A2B">
              <w:rPr>
                <w:lang w:eastAsia="en-US"/>
              </w:rPr>
              <w:t>da verilmiştir.</w:t>
            </w:r>
          </w:p>
        </w:tc>
      </w:tr>
    </w:tbl>
    <w:p w14:paraId="5880CFA8"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41.</w:t>
      </w:r>
    </w:p>
    <w:p w14:paraId="42693A36" w14:textId="77777777" w:rsidR="00070FEA" w:rsidRPr="00D53A2B" w:rsidRDefault="00374C56" w:rsidP="00A202FD">
      <w:pPr>
        <w:spacing w:before="120" w:after="120"/>
        <w:jc w:val="both"/>
        <w:rPr>
          <w:bCs/>
          <w:iCs/>
          <w:spacing w:val="2"/>
          <w:lang w:eastAsia="en-US"/>
        </w:rPr>
      </w:pPr>
      <w:bookmarkStart w:id="168" w:name="_Toc527941359"/>
      <w:bookmarkStart w:id="169" w:name="_Toc531927982"/>
      <w:r w:rsidRPr="00D53A2B">
        <w:rPr>
          <w:bCs/>
          <w:iCs/>
          <w:spacing w:val="2"/>
          <w:lang w:eastAsia="en-US"/>
        </w:rPr>
        <w:t xml:space="preserve">Tablo </w:t>
      </w:r>
      <w:r w:rsidRPr="00D53A2B">
        <w:rPr>
          <w:bCs/>
          <w:noProof/>
          <w:spacing w:val="2"/>
          <w:lang w:eastAsia="en-US"/>
        </w:rPr>
        <w:t>41</w:t>
      </w:r>
    </w:p>
    <w:p w14:paraId="60AB5032" w14:textId="00291076" w:rsidR="00374C56" w:rsidRPr="00D53A2B" w:rsidRDefault="00374C56" w:rsidP="00A202FD">
      <w:pPr>
        <w:spacing w:before="120" w:after="120"/>
        <w:jc w:val="both"/>
        <w:rPr>
          <w:bCs/>
          <w:iCs/>
          <w:spacing w:val="2"/>
          <w:lang w:eastAsia="en-US"/>
        </w:rPr>
      </w:pPr>
      <w:r w:rsidRPr="00D53A2B">
        <w:rPr>
          <w:bCs/>
          <w:iCs/>
          <w:spacing w:val="2"/>
          <w:lang w:eastAsia="en-US"/>
        </w:rPr>
        <w:t xml:space="preserve">Doré metal üretiminde yakma, kalsinasyon ve kurutma işlemleri de dahil olmak üzere </w:t>
      </w:r>
      <w:r w:rsidRPr="00D53A2B">
        <w:rPr>
          <w:bCs/>
          <w:iCs/>
          <w:lang w:eastAsia="en-US"/>
        </w:rPr>
        <w:t>ergitme ve eritme</w:t>
      </w:r>
      <w:r w:rsidRPr="00D53A2B">
        <w:rPr>
          <w:bCs/>
          <w:iCs/>
          <w:spacing w:val="2"/>
          <w:lang w:eastAsia="en-US"/>
        </w:rPr>
        <w:t xml:space="preserve"> işlemlerinden kaynaklanan ve havaya salınan SO</w:t>
      </w:r>
      <w:r w:rsidRPr="00D53A2B">
        <w:rPr>
          <w:bCs/>
          <w:iCs/>
          <w:spacing w:val="2"/>
          <w:vertAlign w:val="subscript"/>
          <w:lang w:eastAsia="en-US"/>
        </w:rPr>
        <w:t>2</w:t>
      </w:r>
      <w:r w:rsidRPr="00D53A2B">
        <w:rPr>
          <w:bCs/>
          <w:iCs/>
          <w:spacing w:val="2"/>
          <w:lang w:eastAsia="en-US"/>
        </w:rPr>
        <w:t xml:space="preserve"> emisyonları ile ilgili MET için emisyon seviyeleri</w:t>
      </w:r>
      <w:bookmarkEnd w:id="168"/>
      <w:bookmarkEnd w:id="169"/>
    </w:p>
    <w:tbl>
      <w:tblPr>
        <w:tblW w:w="0" w:type="auto"/>
        <w:tblInd w:w="5" w:type="dxa"/>
        <w:tblLayout w:type="fixed"/>
        <w:tblCellMar>
          <w:left w:w="0" w:type="dxa"/>
          <w:right w:w="0" w:type="dxa"/>
        </w:tblCellMar>
        <w:tblLook w:val="01E0" w:firstRow="1" w:lastRow="1" w:firstColumn="1" w:lastColumn="1" w:noHBand="0" w:noVBand="0"/>
      </w:tblPr>
      <w:tblGrid>
        <w:gridCol w:w="2907"/>
        <w:gridCol w:w="5814"/>
      </w:tblGrid>
      <w:tr w:rsidR="00374C56" w:rsidRPr="00D53A2B" w14:paraId="7C5DF160" w14:textId="77777777" w:rsidTr="00374C56">
        <w:tc>
          <w:tcPr>
            <w:tcW w:w="2907" w:type="dxa"/>
            <w:tcBorders>
              <w:top w:val="single" w:sz="4" w:space="0" w:color="000000"/>
              <w:left w:val="single" w:sz="4" w:space="0" w:color="000000"/>
              <w:bottom w:val="single" w:sz="4" w:space="0" w:color="000000"/>
              <w:right w:val="single" w:sz="4" w:space="0" w:color="000000"/>
            </w:tcBorders>
          </w:tcPr>
          <w:p w14:paraId="27308B25"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5814" w:type="dxa"/>
            <w:tcBorders>
              <w:top w:val="single" w:sz="4" w:space="0" w:color="000000"/>
              <w:left w:val="single" w:sz="4" w:space="0" w:color="000000"/>
              <w:bottom w:val="single" w:sz="4" w:space="0" w:color="000000"/>
              <w:right w:val="single" w:sz="4" w:space="0" w:color="000000"/>
            </w:tcBorders>
          </w:tcPr>
          <w:p w14:paraId="0C56E363"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46966CEC" w14:textId="77777777" w:rsidTr="00374C56">
        <w:tc>
          <w:tcPr>
            <w:tcW w:w="2907" w:type="dxa"/>
            <w:tcBorders>
              <w:top w:val="single" w:sz="4" w:space="0" w:color="000000"/>
              <w:left w:val="single" w:sz="4" w:space="0" w:color="000000"/>
              <w:bottom w:val="single" w:sz="4" w:space="0" w:color="000000"/>
              <w:right w:val="single" w:sz="4" w:space="0" w:color="000000"/>
            </w:tcBorders>
          </w:tcPr>
          <w:p w14:paraId="3B01FAB8" w14:textId="77777777" w:rsidR="00374C56" w:rsidRPr="00D53A2B" w:rsidRDefault="00374C56" w:rsidP="00A202FD">
            <w:pPr>
              <w:spacing w:line="264" w:lineRule="auto"/>
              <w:ind w:left="57" w:right="57"/>
              <w:jc w:val="both"/>
              <w:rPr>
                <w:lang w:eastAsia="en-US"/>
              </w:rPr>
            </w:pPr>
            <w:r w:rsidRPr="00D53A2B">
              <w:rPr>
                <w:lang w:eastAsia="en-US"/>
              </w:rPr>
              <w:t>SO</w:t>
            </w:r>
            <w:r w:rsidRPr="00D53A2B">
              <w:rPr>
                <w:vertAlign w:val="subscript"/>
                <w:lang w:eastAsia="en-US"/>
              </w:rPr>
              <w:t>2</w:t>
            </w:r>
          </w:p>
        </w:tc>
        <w:tc>
          <w:tcPr>
            <w:tcW w:w="5814" w:type="dxa"/>
            <w:tcBorders>
              <w:top w:val="single" w:sz="4" w:space="0" w:color="000000"/>
              <w:left w:val="single" w:sz="4" w:space="0" w:color="000000"/>
              <w:bottom w:val="single" w:sz="4" w:space="0" w:color="000000"/>
              <w:right w:val="single" w:sz="4" w:space="0" w:color="000000"/>
            </w:tcBorders>
          </w:tcPr>
          <w:p w14:paraId="55FC2EA6" w14:textId="77777777" w:rsidR="00374C56" w:rsidRPr="00D53A2B" w:rsidRDefault="00374C56" w:rsidP="00A202FD">
            <w:pPr>
              <w:spacing w:line="264" w:lineRule="auto"/>
              <w:ind w:left="57" w:right="57"/>
              <w:jc w:val="both"/>
              <w:rPr>
                <w:lang w:eastAsia="en-US"/>
              </w:rPr>
            </w:pPr>
            <w:r w:rsidRPr="00D53A2B">
              <w:rPr>
                <w:lang w:eastAsia="en-US"/>
              </w:rPr>
              <w:t>50–480</w:t>
            </w:r>
          </w:p>
        </w:tc>
      </w:tr>
      <w:tr w:rsidR="00374C56" w:rsidRPr="00D53A2B" w14:paraId="318521A1"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13DD72AD"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Günlük değerlerin veya örnekleme dönemi boyunca alınan değerlerin ortalaması.</w:t>
            </w:r>
          </w:p>
        </w:tc>
      </w:tr>
    </w:tbl>
    <w:p w14:paraId="5B67DB9A" w14:textId="1F461547"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3A60930A" w14:textId="427A632B" w:rsidR="00374C56" w:rsidRPr="00D53A2B" w:rsidRDefault="000A48EC" w:rsidP="00A202FD">
      <w:pPr>
        <w:spacing w:after="240"/>
        <w:jc w:val="both"/>
        <w:rPr>
          <w:bCs/>
          <w:lang w:eastAsia="en-US"/>
        </w:rPr>
      </w:pPr>
      <w:r w:rsidRPr="00D53A2B">
        <w:rPr>
          <w:b/>
          <w:lang w:eastAsia="en-US"/>
        </w:rPr>
        <w:t>MET 143:</w:t>
      </w:r>
      <w:r w:rsidR="00374C56" w:rsidRPr="00D53A2B">
        <w:rPr>
          <w:b/>
          <w:lang w:eastAsia="en-US"/>
        </w:rPr>
        <w:t xml:space="preserve"> </w:t>
      </w:r>
      <w:r w:rsidR="00374C56" w:rsidRPr="00D53A2B">
        <w:rPr>
          <w:bCs/>
          <w:lang w:eastAsia="en-US"/>
        </w:rPr>
        <w:t>Yakma, kalsinasyon ve kurutma işlemleri de dahil olmak üzere bir hidrometalurjik işlemden kaynaklanan ve havaya salınan SO</w:t>
      </w:r>
      <w:r w:rsidR="00374C56" w:rsidRPr="00D53A2B">
        <w:rPr>
          <w:bCs/>
          <w:vertAlign w:val="subscript"/>
          <w:lang w:eastAsia="en-US"/>
        </w:rPr>
        <w:t>2</w:t>
      </w:r>
      <w:r w:rsidR="00374C56" w:rsidRPr="00D53A2B">
        <w:rPr>
          <w:bCs/>
          <w:lang w:eastAsia="en-US"/>
        </w:rPr>
        <w:t xml:space="preserve"> emisyonlarını azaltmak için bir ıslak gaz </w:t>
      </w:r>
      <w:r w:rsidR="00374C56" w:rsidRPr="00D53A2B">
        <w:rPr>
          <w:bCs/>
          <w:spacing w:val="2"/>
          <w:lang w:eastAsia="en-US"/>
        </w:rPr>
        <w:t xml:space="preserve">yıkayıcı </w:t>
      </w:r>
      <w:r w:rsidR="00374C56" w:rsidRPr="00D53A2B">
        <w:rPr>
          <w:bCs/>
          <w:lang w:eastAsia="en-US"/>
        </w:rPr>
        <w:t>kullanılır.</w:t>
      </w:r>
    </w:p>
    <w:p w14:paraId="25F5B649" w14:textId="77777777" w:rsidR="00374C56" w:rsidRPr="00D53A2B" w:rsidRDefault="00374C56" w:rsidP="00A202FD">
      <w:pPr>
        <w:spacing w:before="240" w:after="240"/>
        <w:jc w:val="both"/>
        <w:rPr>
          <w:lang w:eastAsia="en-US"/>
        </w:rPr>
      </w:pPr>
      <w:r w:rsidRPr="00D53A2B">
        <w:rPr>
          <w:b/>
          <w:lang w:eastAsia="en-US"/>
        </w:rPr>
        <w:t xml:space="preserve"> MET ile ilişkili emisyon seviyeleri: </w:t>
      </w:r>
      <w:r w:rsidRPr="00D53A2B">
        <w:rPr>
          <w:lang w:eastAsia="en-US"/>
        </w:rPr>
        <w:t>Bkz. Tablo 42.</w:t>
      </w:r>
    </w:p>
    <w:p w14:paraId="4F3F914B" w14:textId="77777777" w:rsidR="00070FEA" w:rsidRPr="00D53A2B" w:rsidRDefault="00374C56" w:rsidP="00A202FD">
      <w:pPr>
        <w:jc w:val="both"/>
        <w:rPr>
          <w:bCs/>
          <w:iCs/>
          <w:spacing w:val="2"/>
          <w:lang w:eastAsia="en-US"/>
        </w:rPr>
      </w:pPr>
      <w:bookmarkStart w:id="170" w:name="_Toc527941360"/>
      <w:bookmarkStart w:id="171" w:name="_Toc531927983"/>
      <w:r w:rsidRPr="00D53A2B">
        <w:rPr>
          <w:bCs/>
          <w:iCs/>
          <w:spacing w:val="2"/>
          <w:lang w:eastAsia="en-US"/>
        </w:rPr>
        <w:t xml:space="preserve">Tablo </w:t>
      </w:r>
      <w:r w:rsidRPr="00D53A2B">
        <w:rPr>
          <w:bCs/>
          <w:noProof/>
          <w:spacing w:val="2"/>
          <w:lang w:eastAsia="en-US"/>
        </w:rPr>
        <w:t>42</w:t>
      </w:r>
    </w:p>
    <w:p w14:paraId="5E5EC537" w14:textId="4C8CC3C7" w:rsidR="00374C56" w:rsidRPr="00D53A2B" w:rsidRDefault="00374C56" w:rsidP="00A202FD">
      <w:pPr>
        <w:jc w:val="both"/>
        <w:rPr>
          <w:bCs/>
          <w:iCs/>
          <w:spacing w:val="2"/>
          <w:lang w:eastAsia="en-US"/>
        </w:rPr>
      </w:pPr>
      <w:r w:rsidRPr="00D53A2B">
        <w:rPr>
          <w:bCs/>
          <w:iCs/>
          <w:spacing w:val="2"/>
          <w:lang w:eastAsia="en-US"/>
        </w:rPr>
        <w:t>Yakma, kalsinasyon ve kurutma işlemleri de dahil olmak üzere bir hidrometalurjik işlemden kaynaklanan ve havaya salınan SO</w:t>
      </w:r>
      <w:r w:rsidRPr="00D53A2B">
        <w:rPr>
          <w:bCs/>
          <w:iCs/>
          <w:spacing w:val="2"/>
          <w:vertAlign w:val="subscript"/>
          <w:lang w:eastAsia="en-US"/>
        </w:rPr>
        <w:t>2</w:t>
      </w:r>
      <w:r w:rsidRPr="00D53A2B">
        <w:rPr>
          <w:bCs/>
          <w:iCs/>
          <w:spacing w:val="2"/>
          <w:lang w:eastAsia="en-US"/>
        </w:rPr>
        <w:t xml:space="preserve"> emisyonları ile ilgili MET için emisyon seviyeleri</w:t>
      </w:r>
      <w:bookmarkEnd w:id="170"/>
      <w:bookmarkEnd w:id="171"/>
    </w:p>
    <w:tbl>
      <w:tblPr>
        <w:tblW w:w="0" w:type="auto"/>
        <w:tblInd w:w="94" w:type="dxa"/>
        <w:tblLayout w:type="fixed"/>
        <w:tblCellMar>
          <w:left w:w="0" w:type="dxa"/>
          <w:right w:w="0" w:type="dxa"/>
        </w:tblCellMar>
        <w:tblLook w:val="01E0" w:firstRow="1" w:lastRow="1" w:firstColumn="1" w:lastColumn="1" w:noHBand="0" w:noVBand="0"/>
      </w:tblPr>
      <w:tblGrid>
        <w:gridCol w:w="2638"/>
        <w:gridCol w:w="6083"/>
      </w:tblGrid>
      <w:tr w:rsidR="00374C56" w:rsidRPr="00D53A2B" w14:paraId="1C94B64D" w14:textId="77777777" w:rsidTr="00374C56">
        <w:tc>
          <w:tcPr>
            <w:tcW w:w="2638" w:type="dxa"/>
            <w:tcBorders>
              <w:top w:val="single" w:sz="4" w:space="0" w:color="000000"/>
              <w:left w:val="single" w:sz="4" w:space="0" w:color="000000"/>
              <w:bottom w:val="single" w:sz="4" w:space="0" w:color="000000"/>
              <w:right w:val="single" w:sz="4" w:space="0" w:color="000000"/>
            </w:tcBorders>
          </w:tcPr>
          <w:p w14:paraId="74C0BFBF"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6083" w:type="dxa"/>
            <w:tcBorders>
              <w:top w:val="single" w:sz="4" w:space="0" w:color="000000"/>
              <w:left w:val="single" w:sz="4" w:space="0" w:color="000000"/>
              <w:bottom w:val="single" w:sz="4" w:space="0" w:color="000000"/>
              <w:right w:val="single" w:sz="4" w:space="0" w:color="000000"/>
            </w:tcBorders>
          </w:tcPr>
          <w:p w14:paraId="2188EA64"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0AAA70CB" w14:textId="77777777" w:rsidTr="00374C56">
        <w:tc>
          <w:tcPr>
            <w:tcW w:w="2638" w:type="dxa"/>
            <w:tcBorders>
              <w:top w:val="single" w:sz="4" w:space="0" w:color="000000"/>
              <w:left w:val="single" w:sz="4" w:space="0" w:color="000000"/>
              <w:bottom w:val="single" w:sz="4" w:space="0" w:color="000000"/>
              <w:right w:val="single" w:sz="4" w:space="0" w:color="000000"/>
            </w:tcBorders>
          </w:tcPr>
          <w:p w14:paraId="102275C0" w14:textId="77777777" w:rsidR="00374C56" w:rsidRPr="00D53A2B" w:rsidRDefault="00374C56" w:rsidP="00A202FD">
            <w:pPr>
              <w:spacing w:line="264" w:lineRule="auto"/>
              <w:ind w:left="57" w:right="57"/>
              <w:jc w:val="both"/>
              <w:rPr>
                <w:lang w:eastAsia="en-US"/>
              </w:rPr>
            </w:pPr>
            <w:r w:rsidRPr="00D53A2B">
              <w:rPr>
                <w:lang w:eastAsia="en-US"/>
              </w:rPr>
              <w:t>SO</w:t>
            </w:r>
            <w:r w:rsidRPr="00D53A2B">
              <w:rPr>
                <w:vertAlign w:val="subscript"/>
                <w:lang w:eastAsia="en-US"/>
              </w:rPr>
              <w:t>2</w:t>
            </w:r>
          </w:p>
        </w:tc>
        <w:tc>
          <w:tcPr>
            <w:tcW w:w="6083" w:type="dxa"/>
            <w:tcBorders>
              <w:top w:val="single" w:sz="4" w:space="0" w:color="000000"/>
              <w:left w:val="single" w:sz="4" w:space="0" w:color="000000"/>
              <w:bottom w:val="single" w:sz="4" w:space="0" w:color="000000"/>
              <w:right w:val="single" w:sz="4" w:space="0" w:color="000000"/>
            </w:tcBorders>
          </w:tcPr>
          <w:p w14:paraId="150C0F0F" w14:textId="77777777" w:rsidR="00374C56" w:rsidRPr="00D53A2B" w:rsidRDefault="00374C56" w:rsidP="00A202FD">
            <w:pPr>
              <w:spacing w:line="264" w:lineRule="auto"/>
              <w:ind w:left="57" w:right="57"/>
              <w:jc w:val="both"/>
              <w:rPr>
                <w:lang w:eastAsia="en-US"/>
              </w:rPr>
            </w:pPr>
            <w:r w:rsidRPr="00D53A2B">
              <w:rPr>
                <w:lang w:eastAsia="en-US"/>
              </w:rPr>
              <w:t>50–100</w:t>
            </w:r>
          </w:p>
        </w:tc>
      </w:tr>
      <w:tr w:rsidR="00374C56" w:rsidRPr="00D53A2B" w14:paraId="2593871B"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47B5D404"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Günlük değerlerin veya örnekleme dönemi boyunca alınan değerlerin ortalaması.</w:t>
            </w:r>
          </w:p>
        </w:tc>
      </w:tr>
    </w:tbl>
    <w:p w14:paraId="11ADDCB2" w14:textId="640E122E"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55F842D9" w14:textId="2A15071F" w:rsidR="00374C56" w:rsidRPr="00D53A2B" w:rsidRDefault="00FD5007" w:rsidP="00A202FD">
      <w:pPr>
        <w:pStyle w:val="Balk4"/>
        <w:rPr>
          <w:rFonts w:cs="Times New Roman"/>
          <w:lang w:val="en-US" w:eastAsia="en-US"/>
        </w:rPr>
      </w:pPr>
      <w:bookmarkStart w:id="172" w:name="_Toc527940746"/>
      <w:bookmarkStart w:id="173" w:name="_Toc531927902"/>
      <w:r w:rsidRPr="00D53A2B">
        <w:rPr>
          <w:rFonts w:cs="Times New Roman"/>
          <w:lang w:val="en-US" w:eastAsia="en-US"/>
        </w:rPr>
        <w:t>1.</w:t>
      </w:r>
      <w:r w:rsidR="00374C56" w:rsidRPr="00D53A2B">
        <w:rPr>
          <w:rFonts w:cs="Times New Roman"/>
          <w:lang w:val="en-US" w:eastAsia="en-US"/>
        </w:rPr>
        <w:t>6.1.5.</w:t>
      </w:r>
      <w:r w:rsidR="009D2716" w:rsidRPr="00D53A2B">
        <w:rPr>
          <w:rFonts w:cs="Times New Roman"/>
          <w:lang w:val="en-US" w:eastAsia="en-US"/>
        </w:rPr>
        <w:t xml:space="preserve"> </w:t>
      </w:r>
      <w:r w:rsidR="00374C56" w:rsidRPr="00D53A2B">
        <w:rPr>
          <w:rFonts w:cs="Times New Roman"/>
          <w:lang w:val="en-US" w:eastAsia="en-US"/>
        </w:rPr>
        <w:t>HCI ve CI</w:t>
      </w:r>
      <w:r w:rsidR="00374C56" w:rsidRPr="00D53A2B">
        <w:rPr>
          <w:rFonts w:cs="Times New Roman"/>
          <w:vertAlign w:val="subscript"/>
          <w:lang w:val="en-US" w:eastAsia="en-US"/>
        </w:rPr>
        <w:t>2</w:t>
      </w:r>
      <w:r w:rsidR="00374C56" w:rsidRPr="00D53A2B">
        <w:rPr>
          <w:rFonts w:cs="Times New Roman"/>
          <w:lang w:val="en-US" w:eastAsia="en-US"/>
        </w:rPr>
        <w:t xml:space="preserve"> emisyonları</w:t>
      </w:r>
      <w:bookmarkEnd w:id="172"/>
      <w:bookmarkEnd w:id="173"/>
    </w:p>
    <w:p w14:paraId="302962CA" w14:textId="1CC7B026" w:rsidR="00374C56" w:rsidRPr="00D53A2B" w:rsidRDefault="000A48EC" w:rsidP="00A202FD">
      <w:pPr>
        <w:spacing w:after="240"/>
        <w:jc w:val="both"/>
        <w:rPr>
          <w:b/>
          <w:lang w:eastAsia="en-US"/>
        </w:rPr>
      </w:pPr>
      <w:r w:rsidRPr="00D53A2B">
        <w:rPr>
          <w:b/>
          <w:lang w:eastAsia="en-US"/>
        </w:rPr>
        <w:t>MET 144:</w:t>
      </w:r>
      <w:r w:rsidR="00374C56" w:rsidRPr="00D53A2B">
        <w:rPr>
          <w:b/>
          <w:lang w:eastAsia="en-US"/>
        </w:rPr>
        <w:t xml:space="preserve"> </w:t>
      </w:r>
      <w:r w:rsidR="00374C56" w:rsidRPr="00D53A2B">
        <w:rPr>
          <w:bCs/>
          <w:lang w:eastAsia="en-US"/>
        </w:rPr>
        <w:t>Yakma, kalsinasyon ve kurutma işlemleri de dahil olmak üzere bir hidrometalurjik işlemden kaynaklanan ve havaya salınan HCI ve CI</w:t>
      </w:r>
      <w:r w:rsidR="00374C56" w:rsidRPr="00D53A2B">
        <w:rPr>
          <w:bCs/>
          <w:vertAlign w:val="subscript"/>
          <w:lang w:eastAsia="en-US"/>
        </w:rPr>
        <w:t>2</w:t>
      </w:r>
      <w:r w:rsidR="00374C56" w:rsidRPr="00D53A2B">
        <w:rPr>
          <w:bCs/>
          <w:lang w:eastAsia="en-US"/>
        </w:rPr>
        <w:t xml:space="preserve"> emisyonlarını azaltmak için, bir alkali gaz </w:t>
      </w:r>
      <w:r w:rsidR="00374C56" w:rsidRPr="00D53A2B">
        <w:rPr>
          <w:bCs/>
          <w:spacing w:val="2"/>
          <w:lang w:eastAsia="en-US"/>
        </w:rPr>
        <w:t xml:space="preserve">yıkayıcının </w:t>
      </w:r>
      <w:r w:rsidR="00374C56" w:rsidRPr="00D53A2B">
        <w:rPr>
          <w:bCs/>
          <w:lang w:eastAsia="en-US"/>
        </w:rPr>
        <w:t>kullanılır.</w:t>
      </w:r>
    </w:p>
    <w:p w14:paraId="3EBF9EB3" w14:textId="77777777" w:rsidR="00374C56" w:rsidRPr="00D53A2B" w:rsidRDefault="00374C56" w:rsidP="00A202FD">
      <w:pPr>
        <w:spacing w:after="240"/>
        <w:jc w:val="both"/>
        <w:rPr>
          <w:lang w:eastAsia="en-US"/>
        </w:rPr>
      </w:pPr>
      <w:r w:rsidRPr="00D53A2B">
        <w:rPr>
          <w:b/>
          <w:lang w:eastAsia="en-US"/>
        </w:rPr>
        <w:t xml:space="preserve">MET ile ilişkili emisyon seviyeleri: </w:t>
      </w:r>
      <w:r w:rsidRPr="00D53A2B">
        <w:rPr>
          <w:lang w:eastAsia="en-US"/>
        </w:rPr>
        <w:t>Bkz. Tablo 43.</w:t>
      </w:r>
    </w:p>
    <w:p w14:paraId="6AF00C32" w14:textId="77777777" w:rsidR="00070FEA" w:rsidRPr="00D53A2B" w:rsidRDefault="00374C56" w:rsidP="00A202FD">
      <w:pPr>
        <w:jc w:val="both"/>
        <w:rPr>
          <w:bCs/>
          <w:iCs/>
          <w:spacing w:val="2"/>
          <w:lang w:eastAsia="en-US"/>
        </w:rPr>
      </w:pPr>
      <w:bookmarkStart w:id="174" w:name="_Toc527941361"/>
      <w:bookmarkStart w:id="175" w:name="_Toc531927984"/>
      <w:r w:rsidRPr="00D53A2B">
        <w:rPr>
          <w:bCs/>
          <w:iCs/>
          <w:spacing w:val="2"/>
          <w:lang w:eastAsia="en-US"/>
        </w:rPr>
        <w:t xml:space="preserve">Tablo </w:t>
      </w:r>
      <w:r w:rsidRPr="00D53A2B">
        <w:rPr>
          <w:bCs/>
          <w:noProof/>
          <w:spacing w:val="2"/>
          <w:lang w:eastAsia="en-US"/>
        </w:rPr>
        <w:t>43</w:t>
      </w:r>
    </w:p>
    <w:p w14:paraId="5837FF29" w14:textId="1D3A9197" w:rsidR="00374C56" w:rsidRPr="00D53A2B" w:rsidRDefault="00374C56" w:rsidP="00A202FD">
      <w:pPr>
        <w:jc w:val="both"/>
        <w:rPr>
          <w:bCs/>
          <w:iCs/>
          <w:spacing w:val="2"/>
          <w:lang w:eastAsia="en-US"/>
        </w:rPr>
      </w:pPr>
      <w:r w:rsidRPr="00D53A2B">
        <w:rPr>
          <w:bCs/>
          <w:iCs/>
          <w:spacing w:val="2"/>
          <w:lang w:eastAsia="en-US"/>
        </w:rPr>
        <w:t>Yakma, kalsinasyon ve kurutma işlemleri de dahil olmak üzere bir hidrometalurjik işlemden kaynaklanan ve havaya salınan HCI ve CI</w:t>
      </w:r>
      <w:r w:rsidRPr="00D53A2B">
        <w:rPr>
          <w:bCs/>
          <w:iCs/>
          <w:spacing w:val="2"/>
          <w:vertAlign w:val="subscript"/>
          <w:lang w:eastAsia="en-US"/>
        </w:rPr>
        <w:t>2</w:t>
      </w:r>
      <w:r w:rsidRPr="00D53A2B">
        <w:rPr>
          <w:bCs/>
          <w:iCs/>
          <w:spacing w:val="2"/>
          <w:lang w:eastAsia="en-US"/>
        </w:rPr>
        <w:t xml:space="preserve"> emisyonları ile ilgili MET için emisyon seviyeleri</w:t>
      </w:r>
      <w:bookmarkEnd w:id="174"/>
      <w:bookmarkEnd w:id="175"/>
    </w:p>
    <w:tbl>
      <w:tblPr>
        <w:tblW w:w="0" w:type="auto"/>
        <w:tblInd w:w="300" w:type="dxa"/>
        <w:tblLayout w:type="fixed"/>
        <w:tblCellMar>
          <w:left w:w="0" w:type="dxa"/>
          <w:right w:w="0" w:type="dxa"/>
        </w:tblCellMar>
        <w:tblLook w:val="01E0" w:firstRow="1" w:lastRow="1" w:firstColumn="1" w:lastColumn="1" w:noHBand="0" w:noVBand="0"/>
      </w:tblPr>
      <w:tblGrid>
        <w:gridCol w:w="2775"/>
        <w:gridCol w:w="5536"/>
      </w:tblGrid>
      <w:tr w:rsidR="00374C56" w:rsidRPr="00D53A2B" w14:paraId="6F96A4C1" w14:textId="77777777" w:rsidTr="00374C56">
        <w:tc>
          <w:tcPr>
            <w:tcW w:w="2775" w:type="dxa"/>
            <w:tcBorders>
              <w:top w:val="single" w:sz="4" w:space="0" w:color="000000"/>
              <w:left w:val="single" w:sz="4" w:space="0" w:color="000000"/>
              <w:bottom w:val="single" w:sz="4" w:space="0" w:color="000000"/>
              <w:right w:val="single" w:sz="4" w:space="0" w:color="000000"/>
            </w:tcBorders>
          </w:tcPr>
          <w:p w14:paraId="7744A254"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5536" w:type="dxa"/>
            <w:tcBorders>
              <w:top w:val="single" w:sz="4" w:space="0" w:color="000000"/>
              <w:left w:val="single" w:sz="4" w:space="0" w:color="000000"/>
              <w:bottom w:val="single" w:sz="4" w:space="0" w:color="000000"/>
              <w:right w:val="single" w:sz="4" w:space="0" w:color="000000"/>
            </w:tcBorders>
          </w:tcPr>
          <w:p w14:paraId="1F1479F0"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22443774" w14:textId="77777777" w:rsidTr="00374C56">
        <w:tc>
          <w:tcPr>
            <w:tcW w:w="2775" w:type="dxa"/>
            <w:tcBorders>
              <w:top w:val="single" w:sz="4" w:space="0" w:color="000000"/>
              <w:left w:val="single" w:sz="4" w:space="0" w:color="000000"/>
              <w:bottom w:val="single" w:sz="4" w:space="0" w:color="000000"/>
              <w:right w:val="single" w:sz="4" w:space="0" w:color="000000"/>
            </w:tcBorders>
          </w:tcPr>
          <w:p w14:paraId="013B85A4" w14:textId="77777777" w:rsidR="00374C56" w:rsidRPr="00D53A2B" w:rsidRDefault="00374C56" w:rsidP="00A202FD">
            <w:pPr>
              <w:spacing w:line="264" w:lineRule="auto"/>
              <w:ind w:left="57" w:right="57"/>
              <w:jc w:val="both"/>
              <w:rPr>
                <w:lang w:eastAsia="en-US"/>
              </w:rPr>
            </w:pPr>
            <w:r w:rsidRPr="00D53A2B">
              <w:rPr>
                <w:lang w:eastAsia="en-US"/>
              </w:rPr>
              <w:t>HCl</w:t>
            </w:r>
          </w:p>
        </w:tc>
        <w:tc>
          <w:tcPr>
            <w:tcW w:w="5536" w:type="dxa"/>
            <w:tcBorders>
              <w:top w:val="single" w:sz="4" w:space="0" w:color="000000"/>
              <w:left w:val="single" w:sz="4" w:space="0" w:color="000000"/>
              <w:bottom w:val="single" w:sz="4" w:space="0" w:color="000000"/>
              <w:right w:val="single" w:sz="4" w:space="0" w:color="000000"/>
            </w:tcBorders>
          </w:tcPr>
          <w:p w14:paraId="63828C10" w14:textId="77777777" w:rsidR="00374C56" w:rsidRPr="00D53A2B" w:rsidRDefault="00374C56" w:rsidP="00A202FD">
            <w:pPr>
              <w:spacing w:line="264" w:lineRule="auto"/>
              <w:ind w:left="57" w:right="57"/>
              <w:jc w:val="both"/>
              <w:rPr>
                <w:lang w:eastAsia="en-US"/>
              </w:rPr>
            </w:pPr>
            <w:r w:rsidRPr="00D53A2B">
              <w:rPr>
                <w:lang w:eastAsia="en-US"/>
              </w:rPr>
              <w:t>≤ 5–10</w:t>
            </w:r>
          </w:p>
        </w:tc>
      </w:tr>
      <w:tr w:rsidR="00374C56" w:rsidRPr="00D53A2B" w14:paraId="056EC25D" w14:textId="77777777" w:rsidTr="00374C56">
        <w:tc>
          <w:tcPr>
            <w:tcW w:w="2775" w:type="dxa"/>
            <w:tcBorders>
              <w:top w:val="single" w:sz="4" w:space="0" w:color="000000"/>
              <w:left w:val="single" w:sz="4" w:space="0" w:color="000000"/>
              <w:bottom w:val="single" w:sz="4" w:space="0" w:color="000000"/>
              <w:right w:val="single" w:sz="4" w:space="0" w:color="000000"/>
            </w:tcBorders>
          </w:tcPr>
          <w:p w14:paraId="2E1022D3" w14:textId="77777777" w:rsidR="00374C56" w:rsidRPr="00D53A2B" w:rsidRDefault="00374C56" w:rsidP="00A202FD">
            <w:pPr>
              <w:spacing w:line="264" w:lineRule="auto"/>
              <w:ind w:left="57" w:right="57"/>
              <w:jc w:val="both"/>
              <w:rPr>
                <w:lang w:eastAsia="en-US"/>
              </w:rPr>
            </w:pPr>
            <w:r w:rsidRPr="00D53A2B">
              <w:rPr>
                <w:lang w:eastAsia="en-US"/>
              </w:rPr>
              <w:t>Cl</w:t>
            </w:r>
            <w:r w:rsidRPr="00D53A2B">
              <w:rPr>
                <w:vertAlign w:val="subscript"/>
                <w:lang w:eastAsia="en-US"/>
              </w:rPr>
              <w:t>2</w:t>
            </w:r>
          </w:p>
        </w:tc>
        <w:tc>
          <w:tcPr>
            <w:tcW w:w="5536" w:type="dxa"/>
            <w:tcBorders>
              <w:top w:val="single" w:sz="4" w:space="0" w:color="000000"/>
              <w:left w:val="single" w:sz="4" w:space="0" w:color="000000"/>
              <w:bottom w:val="single" w:sz="4" w:space="0" w:color="000000"/>
              <w:right w:val="single" w:sz="4" w:space="0" w:color="000000"/>
            </w:tcBorders>
          </w:tcPr>
          <w:p w14:paraId="3C14CFA5" w14:textId="77777777" w:rsidR="00374C56" w:rsidRPr="00D53A2B" w:rsidRDefault="00374C56" w:rsidP="00A202FD">
            <w:pPr>
              <w:spacing w:line="264" w:lineRule="auto"/>
              <w:ind w:left="57" w:right="57"/>
              <w:jc w:val="both"/>
              <w:rPr>
                <w:lang w:eastAsia="en-US"/>
              </w:rPr>
            </w:pPr>
            <w:r w:rsidRPr="00D53A2B">
              <w:rPr>
                <w:lang w:eastAsia="en-US"/>
              </w:rPr>
              <w:t>0,5–2</w:t>
            </w:r>
          </w:p>
        </w:tc>
      </w:tr>
      <w:tr w:rsidR="00374C56" w:rsidRPr="00D53A2B" w14:paraId="2F8DE05B" w14:textId="77777777" w:rsidTr="00374C56">
        <w:tc>
          <w:tcPr>
            <w:tcW w:w="8311" w:type="dxa"/>
            <w:gridSpan w:val="2"/>
            <w:tcBorders>
              <w:top w:val="single" w:sz="4" w:space="0" w:color="000000"/>
              <w:left w:val="single" w:sz="4" w:space="0" w:color="000000"/>
              <w:bottom w:val="single" w:sz="4" w:space="0" w:color="000000"/>
              <w:right w:val="single" w:sz="4" w:space="0" w:color="000000"/>
            </w:tcBorders>
          </w:tcPr>
          <w:p w14:paraId="05231FF6"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Örnekleme dönemi boyunca alınan değerlerin ortalaması.</w:t>
            </w:r>
          </w:p>
        </w:tc>
      </w:tr>
    </w:tbl>
    <w:p w14:paraId="70E4E18A" w14:textId="41A9C5F2"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17AD6D36" w14:textId="64C6027B" w:rsidR="00374C56" w:rsidRPr="00D53A2B" w:rsidRDefault="00FD5007" w:rsidP="00A202FD">
      <w:pPr>
        <w:pStyle w:val="Balk4"/>
        <w:rPr>
          <w:rFonts w:cs="Times New Roman"/>
          <w:lang w:val="en-US" w:eastAsia="en-US"/>
        </w:rPr>
      </w:pPr>
      <w:bookmarkStart w:id="176" w:name="_Toc527940747"/>
      <w:bookmarkStart w:id="177" w:name="_Toc531927903"/>
      <w:r w:rsidRPr="00D53A2B">
        <w:rPr>
          <w:rFonts w:cs="Times New Roman"/>
          <w:lang w:val="en-US" w:eastAsia="en-US"/>
        </w:rPr>
        <w:t>1.</w:t>
      </w:r>
      <w:r w:rsidR="00374C56" w:rsidRPr="00D53A2B">
        <w:rPr>
          <w:rFonts w:cs="Times New Roman"/>
          <w:lang w:val="en-US" w:eastAsia="en-US"/>
        </w:rPr>
        <w:t>6.1.6.</w:t>
      </w:r>
      <w:r w:rsidRPr="00D53A2B">
        <w:rPr>
          <w:rFonts w:cs="Times New Roman"/>
          <w:lang w:val="en-US" w:eastAsia="en-US"/>
        </w:rPr>
        <w:t xml:space="preserve"> </w:t>
      </w:r>
      <w:r w:rsidR="00374C56" w:rsidRPr="00D53A2B">
        <w:rPr>
          <w:rFonts w:cs="Times New Roman"/>
          <w:lang w:val="en-US" w:eastAsia="en-US"/>
        </w:rPr>
        <w:t>NH</w:t>
      </w:r>
      <w:r w:rsidR="00374C56" w:rsidRPr="00D53A2B">
        <w:rPr>
          <w:rFonts w:cs="Times New Roman"/>
          <w:vertAlign w:val="subscript"/>
          <w:lang w:val="en-US" w:eastAsia="en-US"/>
        </w:rPr>
        <w:t>3</w:t>
      </w:r>
      <w:r w:rsidR="00374C56" w:rsidRPr="00D53A2B">
        <w:rPr>
          <w:rFonts w:cs="Times New Roman"/>
          <w:lang w:val="en-US" w:eastAsia="en-US"/>
        </w:rPr>
        <w:t xml:space="preserve"> emisyonları</w:t>
      </w:r>
      <w:bookmarkEnd w:id="176"/>
      <w:bookmarkEnd w:id="177"/>
    </w:p>
    <w:p w14:paraId="734370AE" w14:textId="578B7E22" w:rsidR="00374C56" w:rsidRPr="00D53A2B" w:rsidRDefault="000A48EC" w:rsidP="00A202FD">
      <w:pPr>
        <w:spacing w:after="240"/>
        <w:jc w:val="both"/>
        <w:rPr>
          <w:b/>
          <w:lang w:eastAsia="en-US"/>
        </w:rPr>
      </w:pPr>
      <w:r w:rsidRPr="00D53A2B">
        <w:rPr>
          <w:b/>
          <w:lang w:eastAsia="en-US"/>
        </w:rPr>
        <w:t>MET 145:</w:t>
      </w:r>
      <w:r w:rsidR="00374C56" w:rsidRPr="00D53A2B">
        <w:rPr>
          <w:b/>
          <w:lang w:eastAsia="en-US"/>
        </w:rPr>
        <w:t xml:space="preserve"> </w:t>
      </w:r>
      <w:r w:rsidR="00FD5007" w:rsidRPr="00D53A2B">
        <w:rPr>
          <w:bCs/>
          <w:lang w:eastAsia="en-US"/>
        </w:rPr>
        <w:t>Amonyak veya amonyum klorür kullanılarak yapılan bir hidrometalurjik işlemden havaya yayılan NH</w:t>
      </w:r>
      <w:r w:rsidR="00FD5007" w:rsidRPr="00D53A2B">
        <w:rPr>
          <w:bCs/>
          <w:vertAlign w:val="subscript"/>
          <w:lang w:eastAsia="en-US"/>
        </w:rPr>
        <w:t>3</w:t>
      </w:r>
      <w:r w:rsidR="00FD5007" w:rsidRPr="00D53A2B">
        <w:rPr>
          <w:bCs/>
          <w:lang w:eastAsia="en-US"/>
        </w:rPr>
        <w:t xml:space="preserve"> emisyonlarını azaltmak için sülfürik asitli ıslak yıkayıcı kullan</w:t>
      </w:r>
      <w:r w:rsidR="009D2716" w:rsidRPr="00D53A2B">
        <w:rPr>
          <w:bCs/>
          <w:lang w:eastAsia="en-US"/>
        </w:rPr>
        <w:t>ılır</w:t>
      </w:r>
      <w:r w:rsidR="00FD5007" w:rsidRPr="00D53A2B">
        <w:rPr>
          <w:bCs/>
          <w:lang w:eastAsia="en-US"/>
        </w:rPr>
        <w:t>.</w:t>
      </w:r>
    </w:p>
    <w:p w14:paraId="7D46A8A9" w14:textId="77777777" w:rsidR="00374C56" w:rsidRPr="00D53A2B" w:rsidRDefault="00374C56" w:rsidP="00A202FD">
      <w:pPr>
        <w:spacing w:after="240"/>
        <w:jc w:val="both"/>
        <w:rPr>
          <w:lang w:eastAsia="en-US"/>
        </w:rPr>
      </w:pPr>
      <w:r w:rsidRPr="00D53A2B">
        <w:rPr>
          <w:b/>
          <w:lang w:eastAsia="en-US"/>
        </w:rPr>
        <w:t xml:space="preserve">MET ile ilişkili emisyon seviyeleri: </w:t>
      </w:r>
      <w:r w:rsidRPr="00D53A2B">
        <w:rPr>
          <w:lang w:eastAsia="en-US"/>
        </w:rPr>
        <w:t>Bkz. Tablo 44.</w:t>
      </w:r>
    </w:p>
    <w:p w14:paraId="6799A058" w14:textId="77777777" w:rsidR="00070FEA" w:rsidRPr="00D53A2B" w:rsidRDefault="00374C56" w:rsidP="00A202FD">
      <w:pPr>
        <w:spacing w:before="120" w:after="120"/>
        <w:jc w:val="both"/>
        <w:rPr>
          <w:bCs/>
          <w:iCs/>
          <w:spacing w:val="2"/>
          <w:lang w:eastAsia="en-US"/>
        </w:rPr>
      </w:pPr>
      <w:bookmarkStart w:id="178" w:name="_Toc527941362"/>
      <w:bookmarkStart w:id="179" w:name="_Toc531927985"/>
      <w:r w:rsidRPr="00D53A2B">
        <w:rPr>
          <w:bCs/>
          <w:iCs/>
          <w:spacing w:val="2"/>
          <w:lang w:eastAsia="en-US"/>
        </w:rPr>
        <w:t xml:space="preserve">Tablo </w:t>
      </w:r>
      <w:r w:rsidRPr="00D53A2B">
        <w:rPr>
          <w:bCs/>
          <w:noProof/>
          <w:spacing w:val="2"/>
          <w:lang w:eastAsia="en-US"/>
        </w:rPr>
        <w:t>44</w:t>
      </w:r>
    </w:p>
    <w:p w14:paraId="1AC15980" w14:textId="4AF9AE1E" w:rsidR="00374C56" w:rsidRPr="00D53A2B" w:rsidRDefault="00374C56" w:rsidP="00A202FD">
      <w:pPr>
        <w:spacing w:before="120" w:after="120"/>
        <w:jc w:val="both"/>
        <w:rPr>
          <w:bCs/>
          <w:iCs/>
          <w:spacing w:val="2"/>
          <w:lang w:eastAsia="en-US"/>
        </w:rPr>
      </w:pPr>
      <w:r w:rsidRPr="00D53A2B">
        <w:rPr>
          <w:bCs/>
          <w:iCs/>
          <w:spacing w:val="2"/>
          <w:lang w:eastAsia="en-US"/>
        </w:rPr>
        <w:t>Amony</w:t>
      </w:r>
      <w:r w:rsidR="00FD5007" w:rsidRPr="00D53A2B">
        <w:rPr>
          <w:bCs/>
          <w:iCs/>
          <w:spacing w:val="2"/>
          <w:lang w:eastAsia="en-US"/>
        </w:rPr>
        <w:t>ak</w:t>
      </w:r>
      <w:r w:rsidRPr="00D53A2B">
        <w:rPr>
          <w:bCs/>
          <w:iCs/>
          <w:spacing w:val="2"/>
          <w:lang w:eastAsia="en-US"/>
        </w:rPr>
        <w:t xml:space="preserve"> ve amonyum klorür kullanılan bir hidrometalurjik işlemden kaynaklanan NH</w:t>
      </w:r>
      <w:r w:rsidRPr="00D53A2B">
        <w:rPr>
          <w:bCs/>
          <w:iCs/>
          <w:spacing w:val="2"/>
          <w:vertAlign w:val="subscript"/>
          <w:lang w:eastAsia="en-US"/>
        </w:rPr>
        <w:t>3</w:t>
      </w:r>
      <w:r w:rsidRPr="00D53A2B">
        <w:rPr>
          <w:bCs/>
          <w:iCs/>
          <w:spacing w:val="2"/>
          <w:lang w:eastAsia="en-US"/>
        </w:rPr>
        <w:t xml:space="preserve"> emisyonları ile ilgili MET için emisyon seviyeleri</w:t>
      </w:r>
      <w:bookmarkEnd w:id="178"/>
      <w:bookmarkEnd w:id="179"/>
    </w:p>
    <w:tbl>
      <w:tblPr>
        <w:tblW w:w="0" w:type="auto"/>
        <w:tblInd w:w="242" w:type="dxa"/>
        <w:tblLayout w:type="fixed"/>
        <w:tblCellMar>
          <w:left w:w="0" w:type="dxa"/>
          <w:right w:w="0" w:type="dxa"/>
        </w:tblCellMar>
        <w:tblLook w:val="01E0" w:firstRow="1" w:lastRow="1" w:firstColumn="1" w:lastColumn="1" w:noHBand="0" w:noVBand="0"/>
      </w:tblPr>
      <w:tblGrid>
        <w:gridCol w:w="2814"/>
        <w:gridCol w:w="5610"/>
      </w:tblGrid>
      <w:tr w:rsidR="00374C56" w:rsidRPr="00D53A2B" w14:paraId="288C31CE" w14:textId="77777777" w:rsidTr="00374C56">
        <w:tc>
          <w:tcPr>
            <w:tcW w:w="2814" w:type="dxa"/>
            <w:tcBorders>
              <w:top w:val="single" w:sz="4" w:space="0" w:color="000000"/>
              <w:left w:val="single" w:sz="4" w:space="0" w:color="000000"/>
              <w:bottom w:val="single" w:sz="4" w:space="0" w:color="000000"/>
              <w:right w:val="single" w:sz="4" w:space="0" w:color="000000"/>
            </w:tcBorders>
          </w:tcPr>
          <w:p w14:paraId="069351F4"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5610" w:type="dxa"/>
            <w:tcBorders>
              <w:top w:val="single" w:sz="4" w:space="0" w:color="000000"/>
              <w:left w:val="single" w:sz="4" w:space="0" w:color="000000"/>
              <w:bottom w:val="single" w:sz="4" w:space="0" w:color="000000"/>
              <w:right w:val="single" w:sz="4" w:space="0" w:color="000000"/>
            </w:tcBorders>
          </w:tcPr>
          <w:p w14:paraId="5CBBB7EF"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37BF88C5" w14:textId="77777777" w:rsidTr="00374C56">
        <w:tc>
          <w:tcPr>
            <w:tcW w:w="2814" w:type="dxa"/>
            <w:tcBorders>
              <w:top w:val="single" w:sz="4" w:space="0" w:color="000000"/>
              <w:left w:val="single" w:sz="4" w:space="0" w:color="000000"/>
              <w:bottom w:val="single" w:sz="4" w:space="0" w:color="000000"/>
              <w:right w:val="single" w:sz="4" w:space="0" w:color="000000"/>
            </w:tcBorders>
          </w:tcPr>
          <w:p w14:paraId="255F677B" w14:textId="77777777" w:rsidR="00374C56" w:rsidRPr="00D53A2B" w:rsidRDefault="00374C56" w:rsidP="00A202FD">
            <w:pPr>
              <w:spacing w:line="264" w:lineRule="auto"/>
              <w:ind w:left="57" w:right="57"/>
              <w:jc w:val="both"/>
              <w:rPr>
                <w:lang w:eastAsia="en-US"/>
              </w:rPr>
            </w:pPr>
            <w:r w:rsidRPr="00D53A2B">
              <w:rPr>
                <w:lang w:eastAsia="en-US"/>
              </w:rPr>
              <w:t>NH</w:t>
            </w:r>
            <w:r w:rsidRPr="00D53A2B">
              <w:rPr>
                <w:vertAlign w:val="subscript"/>
                <w:lang w:eastAsia="en-US"/>
              </w:rPr>
              <w:t>3</w:t>
            </w:r>
          </w:p>
        </w:tc>
        <w:tc>
          <w:tcPr>
            <w:tcW w:w="5610" w:type="dxa"/>
            <w:tcBorders>
              <w:top w:val="single" w:sz="4" w:space="0" w:color="000000"/>
              <w:left w:val="single" w:sz="4" w:space="0" w:color="000000"/>
              <w:bottom w:val="single" w:sz="4" w:space="0" w:color="000000"/>
              <w:right w:val="single" w:sz="4" w:space="0" w:color="000000"/>
            </w:tcBorders>
          </w:tcPr>
          <w:p w14:paraId="5811A3A3" w14:textId="77777777" w:rsidR="00374C56" w:rsidRPr="00D53A2B" w:rsidRDefault="00374C56" w:rsidP="00A202FD">
            <w:pPr>
              <w:spacing w:line="264" w:lineRule="auto"/>
              <w:ind w:left="57" w:right="57"/>
              <w:jc w:val="both"/>
              <w:rPr>
                <w:lang w:eastAsia="en-US"/>
              </w:rPr>
            </w:pPr>
            <w:r w:rsidRPr="00D53A2B">
              <w:rPr>
                <w:lang w:eastAsia="en-US"/>
              </w:rPr>
              <w:t>1–3</w:t>
            </w:r>
          </w:p>
        </w:tc>
      </w:tr>
      <w:tr w:rsidR="00374C56" w:rsidRPr="00D53A2B" w14:paraId="6706023B" w14:textId="77777777" w:rsidTr="00374C56">
        <w:tc>
          <w:tcPr>
            <w:tcW w:w="8424" w:type="dxa"/>
            <w:gridSpan w:val="2"/>
            <w:tcBorders>
              <w:top w:val="single" w:sz="4" w:space="0" w:color="000000"/>
              <w:left w:val="single" w:sz="4" w:space="0" w:color="000000"/>
              <w:bottom w:val="single" w:sz="4" w:space="0" w:color="000000"/>
              <w:right w:val="single" w:sz="4" w:space="0" w:color="000000"/>
            </w:tcBorders>
          </w:tcPr>
          <w:p w14:paraId="49EEBE44"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Örnekleme dönemi boyunca alınan değerlerin ortalaması.</w:t>
            </w:r>
          </w:p>
        </w:tc>
      </w:tr>
    </w:tbl>
    <w:p w14:paraId="6C906EDE" w14:textId="23AA8F34"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7BFA27E4" w14:textId="08BE64BE" w:rsidR="00374C56" w:rsidRPr="00D53A2B" w:rsidRDefault="00FD5007" w:rsidP="00A202FD">
      <w:pPr>
        <w:pStyle w:val="Balk4"/>
        <w:rPr>
          <w:rFonts w:cs="Times New Roman"/>
          <w:lang w:val="en-US" w:eastAsia="en-US"/>
        </w:rPr>
      </w:pPr>
      <w:r w:rsidRPr="00D53A2B">
        <w:rPr>
          <w:rFonts w:cs="Times New Roman"/>
          <w:lang w:val="en-US" w:eastAsia="en-US"/>
        </w:rPr>
        <w:t>1.</w:t>
      </w:r>
      <w:r w:rsidR="00374C56" w:rsidRPr="00D53A2B">
        <w:rPr>
          <w:rFonts w:cs="Times New Roman"/>
          <w:lang w:val="en-US" w:eastAsia="en-US"/>
        </w:rPr>
        <w:t>6.1.7.</w:t>
      </w:r>
      <w:bookmarkStart w:id="180" w:name="_Toc527940748"/>
      <w:bookmarkStart w:id="181" w:name="_Toc531927904"/>
      <w:r w:rsidRPr="00D53A2B">
        <w:rPr>
          <w:rFonts w:cs="Times New Roman"/>
          <w:lang w:val="en-US" w:eastAsia="en-US"/>
        </w:rPr>
        <w:t xml:space="preserve"> </w:t>
      </w:r>
      <w:r w:rsidR="00374C56" w:rsidRPr="00D53A2B">
        <w:rPr>
          <w:rFonts w:cs="Times New Roman"/>
          <w:lang w:val="en-US" w:eastAsia="en-US"/>
        </w:rPr>
        <w:t>PCDD/F emisyonları</w:t>
      </w:r>
      <w:bookmarkEnd w:id="180"/>
      <w:bookmarkEnd w:id="181"/>
    </w:p>
    <w:p w14:paraId="46D94FBD" w14:textId="5A2AF373" w:rsidR="00374C56" w:rsidRPr="00D53A2B" w:rsidRDefault="000A48EC" w:rsidP="00A202FD">
      <w:pPr>
        <w:spacing w:after="240"/>
        <w:jc w:val="both"/>
        <w:rPr>
          <w:b/>
          <w:lang w:eastAsia="en-US"/>
        </w:rPr>
      </w:pPr>
      <w:r w:rsidRPr="00D53A2B">
        <w:rPr>
          <w:b/>
          <w:lang w:eastAsia="en-US"/>
        </w:rPr>
        <w:t>MET 146:</w:t>
      </w:r>
      <w:r w:rsidR="00374C56" w:rsidRPr="00D53A2B">
        <w:rPr>
          <w:b/>
          <w:lang w:eastAsia="en-US"/>
        </w:rPr>
        <w:t xml:space="preserve"> </w:t>
      </w:r>
      <w:r w:rsidR="00FD5007" w:rsidRPr="00D53A2B">
        <w:rPr>
          <w:bCs/>
          <w:lang w:eastAsia="en-US"/>
        </w:rPr>
        <w:t>Bir kurutma işleminde, yakma ve kireçleştirme işlemlerindeki organik madde içeren hammaddeler, halojenler ve diğer PCDD/F öncülerinden kaynaklanan ve havaya salınan PCDD/F emisyonlarının azaltılması için, aşağıda verilen tekniklerden birinin veya bunların bir kombinasyonunu kullanır.</w:t>
      </w:r>
    </w:p>
    <w:tbl>
      <w:tblPr>
        <w:tblW w:w="8642" w:type="dxa"/>
        <w:tblLayout w:type="fixed"/>
        <w:tblCellMar>
          <w:left w:w="0" w:type="dxa"/>
          <w:right w:w="0" w:type="dxa"/>
        </w:tblCellMar>
        <w:tblLook w:val="01E0" w:firstRow="1" w:lastRow="1" w:firstColumn="1" w:lastColumn="1" w:noHBand="0" w:noVBand="0"/>
      </w:tblPr>
      <w:tblGrid>
        <w:gridCol w:w="317"/>
        <w:gridCol w:w="8325"/>
      </w:tblGrid>
      <w:tr w:rsidR="00374C56" w:rsidRPr="00D53A2B" w14:paraId="2576429E"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19D4CD85" w14:textId="77777777" w:rsidR="00374C56" w:rsidRPr="00D53A2B" w:rsidRDefault="00374C56" w:rsidP="00A202FD">
            <w:pPr>
              <w:spacing w:line="264" w:lineRule="auto"/>
              <w:ind w:left="57" w:right="57"/>
              <w:jc w:val="both"/>
              <w:rPr>
                <w:sz w:val="22"/>
                <w:szCs w:val="22"/>
                <w:lang w:eastAsia="en-US"/>
              </w:rPr>
            </w:pPr>
          </w:p>
        </w:tc>
        <w:tc>
          <w:tcPr>
            <w:tcW w:w="8325" w:type="dxa"/>
            <w:tcBorders>
              <w:top w:val="single" w:sz="4" w:space="0" w:color="000000"/>
              <w:left w:val="single" w:sz="4" w:space="0" w:color="000000"/>
              <w:bottom w:val="single" w:sz="4" w:space="0" w:color="000000"/>
              <w:right w:val="single" w:sz="4" w:space="0" w:color="000000"/>
            </w:tcBorders>
            <w:vAlign w:val="center"/>
          </w:tcPr>
          <w:p w14:paraId="13DD2237"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r>
      <w:tr w:rsidR="00374C56" w:rsidRPr="00D53A2B" w14:paraId="24B224F6"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44E6687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8325" w:type="dxa"/>
            <w:tcBorders>
              <w:top w:val="single" w:sz="4" w:space="0" w:color="000000"/>
              <w:left w:val="single" w:sz="4" w:space="0" w:color="000000"/>
              <w:bottom w:val="single" w:sz="4" w:space="0" w:color="000000"/>
              <w:right w:val="single" w:sz="4" w:space="0" w:color="000000"/>
            </w:tcBorders>
            <w:vAlign w:val="center"/>
          </w:tcPr>
          <w:p w14:paraId="56415DA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Son yakıcı veya rejeneratif termal oksitleyici (</w:t>
            </w:r>
            <w:r w:rsidRPr="00D53A2B">
              <w:rPr>
                <w:sz w:val="22"/>
                <w:szCs w:val="22"/>
                <w:vertAlign w:val="superscript"/>
                <w:lang w:eastAsia="en-US"/>
              </w:rPr>
              <w:t>1</w:t>
            </w:r>
            <w:r w:rsidRPr="00D53A2B">
              <w:rPr>
                <w:sz w:val="22"/>
                <w:szCs w:val="22"/>
                <w:lang w:eastAsia="en-US"/>
              </w:rPr>
              <w:t>)</w:t>
            </w:r>
          </w:p>
        </w:tc>
      </w:tr>
      <w:tr w:rsidR="00374C56" w:rsidRPr="00D53A2B" w14:paraId="25E7E473"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6140B6A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8325" w:type="dxa"/>
            <w:tcBorders>
              <w:top w:val="single" w:sz="4" w:space="0" w:color="000000"/>
              <w:left w:val="single" w:sz="4" w:space="0" w:color="000000"/>
              <w:bottom w:val="single" w:sz="4" w:space="0" w:color="000000"/>
              <w:right w:val="single" w:sz="4" w:space="0" w:color="000000"/>
            </w:tcBorders>
            <w:vAlign w:val="center"/>
          </w:tcPr>
          <w:p w14:paraId="0AACE55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Verimli bir toz toplama sistemi ile birlikte adsorpsiyon maddesinin enjeksiyonu (1)</w:t>
            </w:r>
          </w:p>
        </w:tc>
      </w:tr>
      <w:tr w:rsidR="00374C56" w:rsidRPr="00D53A2B" w14:paraId="112564B6"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4C33C41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8325" w:type="dxa"/>
            <w:tcBorders>
              <w:top w:val="single" w:sz="4" w:space="0" w:color="000000"/>
              <w:left w:val="single" w:sz="4" w:space="0" w:color="000000"/>
              <w:bottom w:val="single" w:sz="4" w:space="0" w:color="000000"/>
              <w:right w:val="single" w:sz="4" w:space="0" w:color="000000"/>
            </w:tcBorders>
            <w:vAlign w:val="center"/>
          </w:tcPr>
          <w:p w14:paraId="78F604D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Organik bileşik emisyonlarının azaltılması için yanmanın veya proses koşullarının optimizasyonu (</w:t>
            </w:r>
            <w:r w:rsidRPr="00D53A2B">
              <w:rPr>
                <w:sz w:val="22"/>
                <w:szCs w:val="22"/>
                <w:vertAlign w:val="superscript"/>
                <w:lang w:eastAsia="en-US"/>
              </w:rPr>
              <w:t>1</w:t>
            </w:r>
            <w:r w:rsidRPr="00D53A2B">
              <w:rPr>
                <w:sz w:val="22"/>
                <w:szCs w:val="22"/>
                <w:lang w:eastAsia="en-US"/>
              </w:rPr>
              <w:t>)</w:t>
            </w:r>
          </w:p>
        </w:tc>
      </w:tr>
      <w:tr w:rsidR="00374C56" w:rsidRPr="00D53A2B" w14:paraId="403E5427"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6295461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8325" w:type="dxa"/>
            <w:tcBorders>
              <w:top w:val="single" w:sz="4" w:space="0" w:color="000000"/>
              <w:left w:val="single" w:sz="4" w:space="0" w:color="000000"/>
              <w:bottom w:val="single" w:sz="4" w:space="0" w:color="000000"/>
              <w:right w:val="single" w:sz="4" w:space="0" w:color="000000"/>
            </w:tcBorders>
            <w:vAlign w:val="center"/>
          </w:tcPr>
          <w:p w14:paraId="13AF1ED4" w14:textId="1E1F0263" w:rsidR="00374C56" w:rsidRPr="00D53A2B" w:rsidRDefault="00374C56" w:rsidP="00A202FD">
            <w:pPr>
              <w:spacing w:line="264" w:lineRule="auto"/>
              <w:ind w:left="57" w:right="57"/>
              <w:jc w:val="both"/>
              <w:rPr>
                <w:sz w:val="22"/>
                <w:szCs w:val="22"/>
                <w:lang w:eastAsia="en-US"/>
              </w:rPr>
            </w:pPr>
            <w:r w:rsidRPr="00D53A2B">
              <w:rPr>
                <w:sz w:val="22"/>
                <w:szCs w:val="22"/>
                <w:lang w:eastAsia="en-US"/>
              </w:rPr>
              <w:t>250 ºC</w:t>
            </w:r>
            <w:r w:rsidR="00E56504" w:rsidRPr="00D53A2B">
              <w:rPr>
                <w:sz w:val="22"/>
                <w:szCs w:val="22"/>
                <w:lang w:eastAsia="en-US"/>
              </w:rPr>
              <w:t>’</w:t>
            </w:r>
            <w:r w:rsidRPr="00D53A2B">
              <w:rPr>
                <w:sz w:val="22"/>
                <w:szCs w:val="22"/>
                <w:lang w:eastAsia="en-US"/>
              </w:rPr>
              <w:t>nin üzerindeki sıcaklıklar için yüksek toz birikimine sahip egzoz sistemlerinden kaçınılması (</w:t>
            </w:r>
            <w:r w:rsidRPr="00D53A2B">
              <w:rPr>
                <w:sz w:val="22"/>
                <w:szCs w:val="22"/>
                <w:vertAlign w:val="superscript"/>
                <w:lang w:eastAsia="en-US"/>
              </w:rPr>
              <w:t>1</w:t>
            </w:r>
            <w:r w:rsidRPr="00D53A2B">
              <w:rPr>
                <w:sz w:val="22"/>
                <w:szCs w:val="22"/>
                <w:lang w:eastAsia="en-US"/>
              </w:rPr>
              <w:t>)</w:t>
            </w:r>
          </w:p>
        </w:tc>
      </w:tr>
      <w:tr w:rsidR="00374C56" w:rsidRPr="00D53A2B" w14:paraId="53EE4814"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322F2B4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8325" w:type="dxa"/>
            <w:tcBorders>
              <w:top w:val="single" w:sz="4" w:space="0" w:color="000000"/>
              <w:left w:val="single" w:sz="4" w:space="0" w:color="000000"/>
              <w:bottom w:val="single" w:sz="4" w:space="0" w:color="000000"/>
              <w:right w:val="single" w:sz="4" w:space="0" w:color="000000"/>
            </w:tcBorders>
            <w:vAlign w:val="center"/>
          </w:tcPr>
          <w:p w14:paraId="569CAEE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Hızlı söndürme (</w:t>
            </w:r>
            <w:r w:rsidRPr="00D53A2B">
              <w:rPr>
                <w:sz w:val="22"/>
                <w:szCs w:val="22"/>
                <w:vertAlign w:val="superscript"/>
                <w:lang w:eastAsia="en-US"/>
              </w:rPr>
              <w:t>1</w:t>
            </w:r>
            <w:r w:rsidRPr="00D53A2B">
              <w:rPr>
                <w:sz w:val="22"/>
                <w:szCs w:val="22"/>
                <w:lang w:eastAsia="en-US"/>
              </w:rPr>
              <w:t>)</w:t>
            </w:r>
          </w:p>
        </w:tc>
      </w:tr>
      <w:tr w:rsidR="00374C56" w:rsidRPr="00D53A2B" w14:paraId="44F70D3C"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77500CA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w:t>
            </w:r>
          </w:p>
        </w:tc>
        <w:tc>
          <w:tcPr>
            <w:tcW w:w="8325" w:type="dxa"/>
            <w:tcBorders>
              <w:top w:val="single" w:sz="4" w:space="0" w:color="000000"/>
              <w:left w:val="single" w:sz="4" w:space="0" w:color="000000"/>
              <w:bottom w:val="single" w:sz="4" w:space="0" w:color="000000"/>
              <w:right w:val="single" w:sz="4" w:space="0" w:color="000000"/>
            </w:tcBorders>
            <w:vAlign w:val="center"/>
          </w:tcPr>
          <w:p w14:paraId="5501E690" w14:textId="13D11185" w:rsidR="00374C56" w:rsidRPr="00D53A2B" w:rsidRDefault="00374C56" w:rsidP="00A202FD">
            <w:pPr>
              <w:spacing w:line="264" w:lineRule="auto"/>
              <w:ind w:left="57" w:right="57"/>
              <w:jc w:val="both"/>
              <w:rPr>
                <w:sz w:val="22"/>
                <w:szCs w:val="22"/>
                <w:lang w:eastAsia="en-US"/>
              </w:rPr>
            </w:pPr>
            <w:r w:rsidRPr="00D53A2B">
              <w:rPr>
                <w:sz w:val="22"/>
                <w:szCs w:val="22"/>
                <w:lang w:eastAsia="en-US"/>
              </w:rPr>
              <w:t>Fırınlarda yüksek sıcaklıklarda (&gt; 850ºC) PCDD / F</w:t>
            </w:r>
            <w:r w:rsidR="00E56504" w:rsidRPr="00D53A2B">
              <w:rPr>
                <w:sz w:val="22"/>
                <w:szCs w:val="22"/>
                <w:lang w:eastAsia="en-US"/>
              </w:rPr>
              <w:t>’</w:t>
            </w:r>
            <w:r w:rsidRPr="00D53A2B">
              <w:rPr>
                <w:sz w:val="22"/>
                <w:szCs w:val="22"/>
                <w:lang w:eastAsia="en-US"/>
              </w:rPr>
              <w:t>nin termal yıkımı</w:t>
            </w:r>
          </w:p>
        </w:tc>
      </w:tr>
      <w:tr w:rsidR="00374C56" w:rsidRPr="00D53A2B" w14:paraId="3C1B0E98"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54C3985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w:t>
            </w:r>
          </w:p>
        </w:tc>
        <w:tc>
          <w:tcPr>
            <w:tcW w:w="8325" w:type="dxa"/>
            <w:tcBorders>
              <w:top w:val="single" w:sz="4" w:space="0" w:color="000000"/>
              <w:left w:val="single" w:sz="4" w:space="0" w:color="000000"/>
              <w:bottom w:val="single" w:sz="4" w:space="0" w:color="000000"/>
              <w:right w:val="single" w:sz="4" w:space="0" w:color="000000"/>
            </w:tcBorders>
            <w:vAlign w:val="center"/>
          </w:tcPr>
          <w:p w14:paraId="6EB8A19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Fırının üst bölgesinde oksijen enjeksiyonunun kullanılması</w:t>
            </w:r>
          </w:p>
        </w:tc>
      </w:tr>
      <w:tr w:rsidR="00374C56" w:rsidRPr="00D53A2B" w14:paraId="478F7B6C"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750BABA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h</w:t>
            </w:r>
          </w:p>
        </w:tc>
        <w:tc>
          <w:tcPr>
            <w:tcW w:w="8325" w:type="dxa"/>
            <w:tcBorders>
              <w:top w:val="single" w:sz="4" w:space="0" w:color="000000"/>
              <w:left w:val="single" w:sz="4" w:space="0" w:color="000000"/>
              <w:bottom w:val="single" w:sz="4" w:space="0" w:color="000000"/>
              <w:right w:val="single" w:sz="4" w:space="0" w:color="000000"/>
            </w:tcBorders>
            <w:vAlign w:val="center"/>
          </w:tcPr>
          <w:p w14:paraId="5BC59FC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İç brülör sistemi (</w:t>
            </w:r>
            <w:r w:rsidRPr="00D53A2B">
              <w:rPr>
                <w:sz w:val="22"/>
                <w:szCs w:val="22"/>
                <w:vertAlign w:val="superscript"/>
                <w:lang w:eastAsia="en-US"/>
              </w:rPr>
              <w:t>1</w:t>
            </w:r>
            <w:r w:rsidRPr="00D53A2B">
              <w:rPr>
                <w:sz w:val="22"/>
                <w:szCs w:val="22"/>
                <w:lang w:eastAsia="en-US"/>
              </w:rPr>
              <w:t>)</w:t>
            </w:r>
          </w:p>
        </w:tc>
      </w:tr>
      <w:tr w:rsidR="00374C56" w:rsidRPr="00D53A2B" w14:paraId="23F8BEA4" w14:textId="77777777" w:rsidTr="00374C56">
        <w:tc>
          <w:tcPr>
            <w:tcW w:w="8642" w:type="dxa"/>
            <w:gridSpan w:val="2"/>
            <w:tcBorders>
              <w:top w:val="single" w:sz="4" w:space="0" w:color="000000"/>
              <w:left w:val="single" w:sz="4" w:space="0" w:color="000000"/>
              <w:bottom w:val="single" w:sz="4" w:space="0" w:color="000000"/>
              <w:right w:val="single" w:sz="4" w:space="0" w:color="000000"/>
            </w:tcBorders>
            <w:vAlign w:val="center"/>
          </w:tcPr>
          <w:p w14:paraId="667EA7D0" w14:textId="64A7DE8A" w:rsidR="00374C56" w:rsidRPr="009077F5" w:rsidRDefault="00374C56" w:rsidP="00A202FD">
            <w:pPr>
              <w:spacing w:line="264" w:lineRule="auto"/>
              <w:ind w:left="57" w:right="57"/>
              <w:jc w:val="both"/>
              <w:rPr>
                <w:sz w:val="20"/>
                <w:szCs w:val="20"/>
                <w:lang w:eastAsia="en-US"/>
              </w:rPr>
            </w:pPr>
            <w:r w:rsidRPr="009077F5">
              <w:rPr>
                <w:sz w:val="20"/>
                <w:szCs w:val="20"/>
                <w:lang w:eastAsia="en-US"/>
              </w:rPr>
              <w:t>(</w:t>
            </w:r>
            <w:r w:rsidRPr="009077F5">
              <w:rPr>
                <w:sz w:val="20"/>
                <w:szCs w:val="20"/>
                <w:vertAlign w:val="superscript"/>
                <w:lang w:eastAsia="en-US"/>
              </w:rPr>
              <w:t>1</w:t>
            </w:r>
            <w:r w:rsidRPr="009077F5">
              <w:rPr>
                <w:sz w:val="20"/>
                <w:szCs w:val="20"/>
                <w:lang w:eastAsia="en-US"/>
              </w:rPr>
              <w:t>) Tekniklerin açıklamaları Bölüm 1.10</w:t>
            </w:r>
            <w:r w:rsidR="00E56504" w:rsidRPr="009077F5">
              <w:rPr>
                <w:sz w:val="20"/>
                <w:szCs w:val="20"/>
                <w:lang w:eastAsia="en-US"/>
              </w:rPr>
              <w:t>’</w:t>
            </w:r>
            <w:r w:rsidRPr="009077F5">
              <w:rPr>
                <w:sz w:val="20"/>
                <w:szCs w:val="20"/>
                <w:lang w:eastAsia="en-US"/>
              </w:rPr>
              <w:t>da verilmiştir.</w:t>
            </w:r>
          </w:p>
        </w:tc>
      </w:tr>
    </w:tbl>
    <w:p w14:paraId="18B65885"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45.</w:t>
      </w:r>
    </w:p>
    <w:p w14:paraId="00E595CB" w14:textId="77777777" w:rsidR="00070FEA" w:rsidRPr="00D53A2B" w:rsidRDefault="00374C56" w:rsidP="00A202FD">
      <w:pPr>
        <w:spacing w:before="120" w:after="120"/>
        <w:jc w:val="both"/>
        <w:rPr>
          <w:bCs/>
          <w:iCs/>
          <w:spacing w:val="2"/>
          <w:lang w:eastAsia="en-US"/>
        </w:rPr>
      </w:pPr>
      <w:bookmarkStart w:id="182" w:name="_Toc527941363"/>
      <w:bookmarkStart w:id="183" w:name="_Toc531927986"/>
      <w:r w:rsidRPr="00D53A2B">
        <w:rPr>
          <w:bCs/>
          <w:iCs/>
          <w:spacing w:val="2"/>
          <w:lang w:eastAsia="en-US"/>
        </w:rPr>
        <w:t xml:space="preserve">Tablo </w:t>
      </w:r>
      <w:r w:rsidRPr="00D53A2B">
        <w:rPr>
          <w:bCs/>
          <w:noProof/>
          <w:spacing w:val="2"/>
          <w:lang w:eastAsia="en-US"/>
        </w:rPr>
        <w:t>45</w:t>
      </w:r>
    </w:p>
    <w:p w14:paraId="266EAFF9" w14:textId="5C854CF1" w:rsidR="00374C56" w:rsidRPr="00D53A2B" w:rsidRDefault="00374C56" w:rsidP="00A202FD">
      <w:pPr>
        <w:spacing w:before="120" w:after="120"/>
        <w:jc w:val="both"/>
        <w:rPr>
          <w:bCs/>
          <w:iCs/>
          <w:spacing w:val="2"/>
          <w:lang w:eastAsia="en-US"/>
        </w:rPr>
      </w:pPr>
      <w:r w:rsidRPr="00D53A2B">
        <w:rPr>
          <w:bCs/>
          <w:iCs/>
          <w:spacing w:val="2"/>
          <w:lang w:eastAsia="en-US"/>
        </w:rPr>
        <w:t>Bir kurutma işleminde, yakma ve kalsinasyon işlemlerindeki organik madde içeren hammaddeler, halojenler ve diğer PCDD/F öncülerinden kaynaklanan ve havaya salınan PCDD/F emisyonları ile ilgili MET için emisyon seviyeleri</w:t>
      </w:r>
      <w:bookmarkEnd w:id="182"/>
      <w:bookmarkEnd w:id="183"/>
    </w:p>
    <w:tbl>
      <w:tblPr>
        <w:tblW w:w="8784" w:type="dxa"/>
        <w:tblLayout w:type="fixed"/>
        <w:tblCellMar>
          <w:left w:w="0" w:type="dxa"/>
          <w:right w:w="0" w:type="dxa"/>
        </w:tblCellMar>
        <w:tblLook w:val="01E0" w:firstRow="1" w:lastRow="1" w:firstColumn="1" w:lastColumn="1" w:noHBand="0" w:noVBand="0"/>
      </w:tblPr>
      <w:tblGrid>
        <w:gridCol w:w="1994"/>
        <w:gridCol w:w="6790"/>
      </w:tblGrid>
      <w:tr w:rsidR="00374C56" w:rsidRPr="00D53A2B" w14:paraId="150A90A9" w14:textId="77777777" w:rsidTr="00A23C24">
        <w:tc>
          <w:tcPr>
            <w:tcW w:w="1994" w:type="dxa"/>
            <w:tcBorders>
              <w:top w:val="single" w:sz="4" w:space="0" w:color="000000"/>
              <w:left w:val="single" w:sz="4" w:space="0" w:color="000000"/>
              <w:bottom w:val="single" w:sz="4" w:space="0" w:color="000000"/>
              <w:right w:val="single" w:sz="4" w:space="0" w:color="000000"/>
            </w:tcBorders>
          </w:tcPr>
          <w:p w14:paraId="7F61AC22"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6790" w:type="dxa"/>
            <w:tcBorders>
              <w:top w:val="single" w:sz="4" w:space="0" w:color="000000"/>
              <w:left w:val="single" w:sz="4" w:space="0" w:color="000000"/>
              <w:bottom w:val="single" w:sz="4" w:space="0" w:color="000000"/>
              <w:right w:val="single" w:sz="4" w:space="0" w:color="000000"/>
            </w:tcBorders>
          </w:tcPr>
          <w:p w14:paraId="61159BE5" w14:textId="77777777" w:rsidR="00374C56" w:rsidRPr="00D53A2B" w:rsidRDefault="00374C56" w:rsidP="00A202FD">
            <w:pPr>
              <w:spacing w:line="264" w:lineRule="auto"/>
              <w:ind w:left="57" w:right="57"/>
              <w:jc w:val="both"/>
              <w:rPr>
                <w:lang w:eastAsia="en-US"/>
              </w:rPr>
            </w:pPr>
            <w:r w:rsidRPr="00D53A2B">
              <w:rPr>
                <w:b/>
                <w:bCs/>
                <w:lang w:eastAsia="en-US"/>
              </w:rPr>
              <w:t>MET-İES (ng I-TEQ/Nm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47567AFE" w14:textId="77777777" w:rsidTr="00A23C24">
        <w:tc>
          <w:tcPr>
            <w:tcW w:w="1994" w:type="dxa"/>
            <w:tcBorders>
              <w:top w:val="single" w:sz="4" w:space="0" w:color="000000"/>
              <w:left w:val="single" w:sz="4" w:space="0" w:color="000000"/>
              <w:bottom w:val="single" w:sz="4" w:space="0" w:color="000000"/>
              <w:right w:val="single" w:sz="4" w:space="0" w:color="000000"/>
            </w:tcBorders>
          </w:tcPr>
          <w:p w14:paraId="515C6F85" w14:textId="77777777" w:rsidR="00374C56" w:rsidRPr="00D53A2B" w:rsidRDefault="00374C56" w:rsidP="00A202FD">
            <w:pPr>
              <w:spacing w:line="264" w:lineRule="auto"/>
              <w:ind w:left="57" w:right="57"/>
              <w:jc w:val="both"/>
              <w:rPr>
                <w:lang w:eastAsia="en-US"/>
              </w:rPr>
            </w:pPr>
            <w:r w:rsidRPr="00D53A2B">
              <w:rPr>
                <w:lang w:eastAsia="en-US"/>
              </w:rPr>
              <w:t>PCDD/F</w:t>
            </w:r>
          </w:p>
        </w:tc>
        <w:tc>
          <w:tcPr>
            <w:tcW w:w="6790" w:type="dxa"/>
            <w:tcBorders>
              <w:top w:val="single" w:sz="4" w:space="0" w:color="000000"/>
              <w:left w:val="single" w:sz="4" w:space="0" w:color="000000"/>
              <w:bottom w:val="single" w:sz="4" w:space="0" w:color="000000"/>
              <w:right w:val="single" w:sz="4" w:space="0" w:color="000000"/>
            </w:tcBorders>
          </w:tcPr>
          <w:p w14:paraId="622F3022" w14:textId="77777777" w:rsidR="00374C56" w:rsidRPr="00D53A2B" w:rsidRDefault="00374C56" w:rsidP="00A202FD">
            <w:pPr>
              <w:spacing w:line="264" w:lineRule="auto"/>
              <w:ind w:left="57" w:right="57"/>
              <w:jc w:val="both"/>
              <w:rPr>
                <w:lang w:eastAsia="en-US"/>
              </w:rPr>
            </w:pPr>
            <w:r w:rsidRPr="00D53A2B">
              <w:rPr>
                <w:lang w:eastAsia="en-US"/>
              </w:rPr>
              <w:t>≤ 0,1</w:t>
            </w:r>
          </w:p>
        </w:tc>
      </w:tr>
      <w:tr w:rsidR="00374C56" w:rsidRPr="00D53A2B" w14:paraId="6BBFBC27" w14:textId="77777777" w:rsidTr="00A23C24">
        <w:tc>
          <w:tcPr>
            <w:tcW w:w="8784" w:type="dxa"/>
            <w:gridSpan w:val="2"/>
            <w:tcBorders>
              <w:top w:val="single" w:sz="4" w:space="0" w:color="000000"/>
              <w:left w:val="single" w:sz="4" w:space="0" w:color="000000"/>
              <w:bottom w:val="single" w:sz="4" w:space="0" w:color="000000"/>
              <w:right w:val="single" w:sz="4" w:space="0" w:color="000000"/>
            </w:tcBorders>
          </w:tcPr>
          <w:p w14:paraId="5BB938AA" w14:textId="77777777" w:rsidR="00374C56" w:rsidRPr="009077F5" w:rsidRDefault="00374C56" w:rsidP="00A202FD">
            <w:pPr>
              <w:spacing w:line="264" w:lineRule="auto"/>
              <w:ind w:left="57" w:right="57"/>
              <w:jc w:val="both"/>
              <w:rPr>
                <w:sz w:val="20"/>
                <w:szCs w:val="20"/>
                <w:lang w:eastAsia="en-US"/>
              </w:rPr>
            </w:pPr>
            <w:r w:rsidRPr="009077F5">
              <w:rPr>
                <w:sz w:val="20"/>
                <w:szCs w:val="20"/>
                <w:lang w:eastAsia="en-US"/>
              </w:rPr>
              <w:t>(</w:t>
            </w:r>
            <w:r w:rsidRPr="009077F5">
              <w:rPr>
                <w:sz w:val="20"/>
                <w:szCs w:val="20"/>
                <w:vertAlign w:val="superscript"/>
                <w:lang w:eastAsia="en-US"/>
              </w:rPr>
              <w:t>1</w:t>
            </w:r>
            <w:r w:rsidRPr="009077F5">
              <w:rPr>
                <w:sz w:val="20"/>
                <w:szCs w:val="20"/>
                <w:lang w:eastAsia="en-US"/>
              </w:rPr>
              <w:t>) En az altı saatlik bir örnekleme süresi boyunca alınan değerlerin ortalaması</w:t>
            </w:r>
          </w:p>
        </w:tc>
      </w:tr>
    </w:tbl>
    <w:p w14:paraId="35A221AC" w14:textId="0A6AEC21"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27F2A6EA" w14:textId="0AE07029" w:rsidR="00374C56" w:rsidRPr="00D53A2B" w:rsidRDefault="00FD5007" w:rsidP="00A202FD">
      <w:pPr>
        <w:pStyle w:val="Balk3"/>
        <w:rPr>
          <w:rFonts w:cs="Times New Roman"/>
          <w:lang w:eastAsia="en-US"/>
        </w:rPr>
      </w:pPr>
      <w:bookmarkStart w:id="184" w:name="_Toc527940749"/>
      <w:bookmarkStart w:id="185" w:name="_Toc531927905"/>
      <w:r w:rsidRPr="00D53A2B">
        <w:rPr>
          <w:rFonts w:cs="Times New Roman"/>
          <w:lang w:eastAsia="en-US"/>
        </w:rPr>
        <w:t>1.</w:t>
      </w:r>
      <w:r w:rsidR="00374C56" w:rsidRPr="00D53A2B">
        <w:rPr>
          <w:rFonts w:cs="Times New Roman"/>
          <w:lang w:eastAsia="en-US"/>
        </w:rPr>
        <w:t>6.2.</w:t>
      </w:r>
      <w:r w:rsidR="00374C56" w:rsidRPr="00D53A2B">
        <w:rPr>
          <w:rFonts w:cs="Times New Roman"/>
          <w:lang w:eastAsia="en-US"/>
        </w:rPr>
        <w:tab/>
        <w:t>Toprak ve yeraltısuyunun koru</w:t>
      </w:r>
      <w:r w:rsidRPr="00D53A2B">
        <w:rPr>
          <w:rFonts w:cs="Times New Roman"/>
          <w:lang w:eastAsia="en-US"/>
        </w:rPr>
        <w:t>n</w:t>
      </w:r>
      <w:r w:rsidR="00374C56" w:rsidRPr="00D53A2B">
        <w:rPr>
          <w:rFonts w:cs="Times New Roman"/>
          <w:lang w:eastAsia="en-US"/>
        </w:rPr>
        <w:t>ması</w:t>
      </w:r>
      <w:bookmarkEnd w:id="184"/>
      <w:bookmarkEnd w:id="185"/>
    </w:p>
    <w:p w14:paraId="22FA3A46" w14:textId="636EE6E7" w:rsidR="00374C56" w:rsidRPr="00D53A2B" w:rsidRDefault="000A48EC" w:rsidP="00A202FD">
      <w:pPr>
        <w:spacing w:after="240"/>
        <w:jc w:val="both"/>
        <w:rPr>
          <w:b/>
          <w:lang w:eastAsia="en-US"/>
        </w:rPr>
      </w:pPr>
      <w:r w:rsidRPr="00D53A2B">
        <w:rPr>
          <w:b/>
          <w:lang w:eastAsia="en-US"/>
        </w:rPr>
        <w:t>MET 147:</w:t>
      </w:r>
      <w:r w:rsidR="00374C56" w:rsidRPr="00D53A2B">
        <w:rPr>
          <w:b/>
          <w:lang w:eastAsia="en-US"/>
        </w:rPr>
        <w:t xml:space="preserve"> </w:t>
      </w:r>
      <w:r w:rsidR="00374C56" w:rsidRPr="00D53A2B">
        <w:rPr>
          <w:bCs/>
          <w:lang w:eastAsia="en-US"/>
        </w:rPr>
        <w:t>Toprak ve yeraltı suyunu korumak için aşağıda verilen tekniklerin bir kombinasyonu kullanılır.</w:t>
      </w:r>
    </w:p>
    <w:tbl>
      <w:tblPr>
        <w:tblW w:w="8784" w:type="dxa"/>
        <w:tblLayout w:type="fixed"/>
        <w:tblCellMar>
          <w:left w:w="0" w:type="dxa"/>
          <w:right w:w="0" w:type="dxa"/>
        </w:tblCellMar>
        <w:tblLook w:val="01E0" w:firstRow="1" w:lastRow="1" w:firstColumn="1" w:lastColumn="1" w:noHBand="0" w:noVBand="0"/>
      </w:tblPr>
      <w:tblGrid>
        <w:gridCol w:w="315"/>
        <w:gridCol w:w="8469"/>
      </w:tblGrid>
      <w:tr w:rsidR="00374C56" w:rsidRPr="00D53A2B" w14:paraId="46FED3B1" w14:textId="77777777" w:rsidTr="00A23C24">
        <w:trPr>
          <w:trHeight w:hRule="exact" w:val="240"/>
        </w:trPr>
        <w:tc>
          <w:tcPr>
            <w:tcW w:w="315" w:type="dxa"/>
            <w:tcBorders>
              <w:top w:val="single" w:sz="4" w:space="0" w:color="000000"/>
              <w:left w:val="single" w:sz="4" w:space="0" w:color="000000"/>
              <w:bottom w:val="single" w:sz="4" w:space="0" w:color="000000"/>
              <w:right w:val="single" w:sz="4" w:space="0" w:color="000000"/>
            </w:tcBorders>
            <w:vAlign w:val="center"/>
          </w:tcPr>
          <w:p w14:paraId="749A4C0B" w14:textId="77777777" w:rsidR="00374C56" w:rsidRPr="00D53A2B" w:rsidRDefault="00374C56" w:rsidP="00A202FD">
            <w:pPr>
              <w:spacing w:after="240"/>
              <w:ind w:left="113" w:right="113"/>
              <w:jc w:val="both"/>
              <w:rPr>
                <w:lang w:eastAsia="en-US"/>
              </w:rPr>
            </w:pPr>
          </w:p>
        </w:tc>
        <w:tc>
          <w:tcPr>
            <w:tcW w:w="8469" w:type="dxa"/>
            <w:tcBorders>
              <w:top w:val="single" w:sz="4" w:space="0" w:color="000000"/>
              <w:left w:val="single" w:sz="4" w:space="0" w:color="000000"/>
              <w:bottom w:val="single" w:sz="4" w:space="0" w:color="000000"/>
              <w:right w:val="single" w:sz="4" w:space="0" w:color="000000"/>
            </w:tcBorders>
          </w:tcPr>
          <w:p w14:paraId="5E64402C" w14:textId="77777777" w:rsidR="00374C56" w:rsidRPr="00D53A2B" w:rsidRDefault="00374C56" w:rsidP="00A202FD">
            <w:pPr>
              <w:spacing w:after="240"/>
              <w:ind w:left="113" w:right="113"/>
              <w:jc w:val="both"/>
              <w:rPr>
                <w:lang w:eastAsia="en-US"/>
              </w:rPr>
            </w:pPr>
            <w:r w:rsidRPr="00D53A2B">
              <w:rPr>
                <w:b/>
                <w:bCs/>
                <w:lang w:eastAsia="en-US"/>
              </w:rPr>
              <w:t>Teknik</w:t>
            </w:r>
          </w:p>
        </w:tc>
      </w:tr>
      <w:tr w:rsidR="00374C56" w:rsidRPr="00D53A2B" w14:paraId="7BBA285E" w14:textId="77777777" w:rsidTr="00A23C24">
        <w:trPr>
          <w:trHeight w:hRule="exact" w:val="240"/>
        </w:trPr>
        <w:tc>
          <w:tcPr>
            <w:tcW w:w="315" w:type="dxa"/>
            <w:tcBorders>
              <w:top w:val="single" w:sz="4" w:space="0" w:color="000000"/>
              <w:left w:val="single" w:sz="4" w:space="0" w:color="000000"/>
              <w:bottom w:val="single" w:sz="4" w:space="0" w:color="000000"/>
              <w:right w:val="single" w:sz="4" w:space="0" w:color="000000"/>
            </w:tcBorders>
            <w:vAlign w:val="center"/>
          </w:tcPr>
          <w:p w14:paraId="390C02DF" w14:textId="77777777" w:rsidR="00374C56" w:rsidRPr="00D53A2B" w:rsidRDefault="00374C56" w:rsidP="00A202FD">
            <w:pPr>
              <w:spacing w:after="240"/>
              <w:ind w:left="113" w:right="113"/>
              <w:jc w:val="both"/>
              <w:rPr>
                <w:lang w:eastAsia="en-US"/>
              </w:rPr>
            </w:pPr>
            <w:r w:rsidRPr="00D53A2B">
              <w:rPr>
                <w:lang w:eastAsia="en-US"/>
              </w:rPr>
              <w:t>a</w:t>
            </w:r>
          </w:p>
        </w:tc>
        <w:tc>
          <w:tcPr>
            <w:tcW w:w="8469" w:type="dxa"/>
            <w:tcBorders>
              <w:top w:val="single" w:sz="4" w:space="0" w:color="000000"/>
              <w:left w:val="single" w:sz="4" w:space="0" w:color="000000"/>
              <w:bottom w:val="single" w:sz="4" w:space="0" w:color="000000"/>
              <w:right w:val="single" w:sz="4" w:space="0" w:color="000000"/>
            </w:tcBorders>
          </w:tcPr>
          <w:p w14:paraId="1CD6E920" w14:textId="77777777" w:rsidR="00374C56" w:rsidRPr="00D53A2B" w:rsidRDefault="00374C56" w:rsidP="00A202FD">
            <w:pPr>
              <w:spacing w:after="240"/>
              <w:ind w:left="113" w:right="113"/>
              <w:jc w:val="both"/>
              <w:rPr>
                <w:lang w:eastAsia="en-US"/>
              </w:rPr>
            </w:pPr>
            <w:r w:rsidRPr="00D53A2B">
              <w:rPr>
                <w:lang w:eastAsia="en-US"/>
              </w:rPr>
              <w:t>Sızdırmaz bir drenaj sisteminin kullanılması</w:t>
            </w:r>
          </w:p>
        </w:tc>
      </w:tr>
      <w:tr w:rsidR="00374C56" w:rsidRPr="00D53A2B" w14:paraId="6272FB89" w14:textId="77777777" w:rsidTr="00A23C24">
        <w:trPr>
          <w:trHeight w:hRule="exact" w:val="240"/>
        </w:trPr>
        <w:tc>
          <w:tcPr>
            <w:tcW w:w="315" w:type="dxa"/>
            <w:tcBorders>
              <w:top w:val="single" w:sz="4" w:space="0" w:color="000000"/>
              <w:left w:val="single" w:sz="4" w:space="0" w:color="000000"/>
              <w:bottom w:val="single" w:sz="4" w:space="0" w:color="000000"/>
              <w:right w:val="single" w:sz="4" w:space="0" w:color="000000"/>
            </w:tcBorders>
            <w:vAlign w:val="center"/>
          </w:tcPr>
          <w:p w14:paraId="2FABA3BF" w14:textId="77777777" w:rsidR="00374C56" w:rsidRPr="00D53A2B" w:rsidRDefault="00374C56" w:rsidP="00A202FD">
            <w:pPr>
              <w:spacing w:after="240"/>
              <w:ind w:left="113" w:right="113"/>
              <w:jc w:val="both"/>
              <w:rPr>
                <w:lang w:eastAsia="en-US"/>
              </w:rPr>
            </w:pPr>
            <w:r w:rsidRPr="00D53A2B">
              <w:rPr>
                <w:lang w:eastAsia="en-US"/>
              </w:rPr>
              <w:t>b</w:t>
            </w:r>
          </w:p>
        </w:tc>
        <w:tc>
          <w:tcPr>
            <w:tcW w:w="8469" w:type="dxa"/>
            <w:tcBorders>
              <w:top w:val="single" w:sz="4" w:space="0" w:color="000000"/>
              <w:left w:val="single" w:sz="4" w:space="0" w:color="000000"/>
              <w:bottom w:val="single" w:sz="4" w:space="0" w:color="000000"/>
              <w:right w:val="single" w:sz="4" w:space="0" w:color="000000"/>
            </w:tcBorders>
          </w:tcPr>
          <w:p w14:paraId="66B5AB21" w14:textId="75F4B27A" w:rsidR="00374C56" w:rsidRPr="00D53A2B" w:rsidRDefault="00374C56" w:rsidP="00A202FD">
            <w:pPr>
              <w:spacing w:after="240"/>
              <w:ind w:left="113" w:right="113"/>
              <w:jc w:val="both"/>
              <w:rPr>
                <w:lang w:eastAsia="en-US"/>
              </w:rPr>
            </w:pPr>
            <w:r w:rsidRPr="00D53A2B">
              <w:rPr>
                <w:lang w:eastAsia="en-US"/>
              </w:rPr>
              <w:t xml:space="preserve">Çift </w:t>
            </w:r>
            <w:r w:rsidR="007076DA">
              <w:rPr>
                <w:lang w:eastAsia="en-US"/>
              </w:rPr>
              <w:t>cidarlı</w:t>
            </w:r>
            <w:r w:rsidRPr="00D53A2B">
              <w:rPr>
                <w:lang w:eastAsia="en-US"/>
              </w:rPr>
              <w:t xml:space="preserve"> tankların kullanılması veya dayanıklı bentlerin yerleştirilmesi</w:t>
            </w:r>
          </w:p>
        </w:tc>
      </w:tr>
      <w:tr w:rsidR="00374C56" w:rsidRPr="00D53A2B" w14:paraId="66174EF5" w14:textId="77777777" w:rsidTr="00A23C24">
        <w:trPr>
          <w:trHeight w:hRule="exact" w:val="240"/>
        </w:trPr>
        <w:tc>
          <w:tcPr>
            <w:tcW w:w="315" w:type="dxa"/>
            <w:tcBorders>
              <w:top w:val="single" w:sz="4" w:space="0" w:color="000000"/>
              <w:left w:val="single" w:sz="4" w:space="0" w:color="000000"/>
              <w:bottom w:val="single" w:sz="4" w:space="0" w:color="000000"/>
              <w:right w:val="single" w:sz="4" w:space="0" w:color="000000"/>
            </w:tcBorders>
            <w:vAlign w:val="center"/>
          </w:tcPr>
          <w:p w14:paraId="70289BD8" w14:textId="77777777" w:rsidR="00374C56" w:rsidRPr="00D53A2B" w:rsidRDefault="00374C56" w:rsidP="00A202FD">
            <w:pPr>
              <w:spacing w:after="240"/>
              <w:ind w:left="113" w:right="113"/>
              <w:jc w:val="both"/>
              <w:rPr>
                <w:lang w:eastAsia="en-US"/>
              </w:rPr>
            </w:pPr>
            <w:r w:rsidRPr="00D53A2B">
              <w:rPr>
                <w:lang w:eastAsia="en-US"/>
              </w:rPr>
              <w:t>c</w:t>
            </w:r>
          </w:p>
        </w:tc>
        <w:tc>
          <w:tcPr>
            <w:tcW w:w="8469" w:type="dxa"/>
            <w:tcBorders>
              <w:top w:val="single" w:sz="4" w:space="0" w:color="000000"/>
              <w:left w:val="single" w:sz="4" w:space="0" w:color="000000"/>
              <w:bottom w:val="single" w:sz="4" w:space="0" w:color="000000"/>
              <w:right w:val="single" w:sz="4" w:space="0" w:color="000000"/>
            </w:tcBorders>
          </w:tcPr>
          <w:p w14:paraId="60EFAEF1" w14:textId="77777777" w:rsidR="00374C56" w:rsidRPr="00D53A2B" w:rsidRDefault="00374C56" w:rsidP="00A202FD">
            <w:pPr>
              <w:spacing w:after="240"/>
              <w:ind w:left="113" w:right="113"/>
              <w:jc w:val="both"/>
              <w:rPr>
                <w:lang w:eastAsia="en-US"/>
              </w:rPr>
            </w:pPr>
            <w:r w:rsidRPr="00D53A2B">
              <w:rPr>
                <w:lang w:eastAsia="en-US"/>
              </w:rPr>
              <w:t>Geçirimsiz ve aside dayanıklı zeminlerin kullanımı</w:t>
            </w:r>
          </w:p>
        </w:tc>
      </w:tr>
      <w:tr w:rsidR="00374C56" w:rsidRPr="00D53A2B" w14:paraId="4F0F9964" w14:textId="77777777" w:rsidTr="00A23C24">
        <w:trPr>
          <w:trHeight w:hRule="exact" w:val="240"/>
        </w:trPr>
        <w:tc>
          <w:tcPr>
            <w:tcW w:w="315" w:type="dxa"/>
            <w:tcBorders>
              <w:top w:val="single" w:sz="4" w:space="0" w:color="000000"/>
              <w:left w:val="single" w:sz="4" w:space="0" w:color="000000"/>
              <w:bottom w:val="single" w:sz="4" w:space="0" w:color="000000"/>
              <w:right w:val="single" w:sz="4" w:space="0" w:color="000000"/>
            </w:tcBorders>
            <w:vAlign w:val="center"/>
          </w:tcPr>
          <w:p w14:paraId="273CED10" w14:textId="77777777" w:rsidR="00374C56" w:rsidRPr="00D53A2B" w:rsidRDefault="00374C56" w:rsidP="00A202FD">
            <w:pPr>
              <w:spacing w:after="240"/>
              <w:ind w:left="113" w:right="113"/>
              <w:jc w:val="both"/>
              <w:rPr>
                <w:lang w:eastAsia="en-US"/>
              </w:rPr>
            </w:pPr>
            <w:r w:rsidRPr="00D53A2B">
              <w:rPr>
                <w:lang w:eastAsia="en-US"/>
              </w:rPr>
              <w:t>d</w:t>
            </w:r>
          </w:p>
        </w:tc>
        <w:tc>
          <w:tcPr>
            <w:tcW w:w="8469" w:type="dxa"/>
            <w:tcBorders>
              <w:top w:val="single" w:sz="4" w:space="0" w:color="000000"/>
              <w:left w:val="single" w:sz="4" w:space="0" w:color="000000"/>
              <w:bottom w:val="single" w:sz="4" w:space="0" w:color="000000"/>
              <w:right w:val="single" w:sz="4" w:space="0" w:color="000000"/>
            </w:tcBorders>
          </w:tcPr>
          <w:p w14:paraId="675F5368" w14:textId="77777777" w:rsidR="00374C56" w:rsidRPr="00D53A2B" w:rsidRDefault="00374C56" w:rsidP="00A202FD">
            <w:pPr>
              <w:spacing w:after="240"/>
              <w:ind w:left="113" w:right="113"/>
              <w:jc w:val="both"/>
              <w:rPr>
                <w:lang w:eastAsia="en-US"/>
              </w:rPr>
            </w:pPr>
            <w:r w:rsidRPr="00D53A2B">
              <w:rPr>
                <w:lang w:eastAsia="en-US"/>
              </w:rPr>
              <w:t>Reaksiyon kaplarının otomatik seviye kontrolü</w:t>
            </w:r>
          </w:p>
        </w:tc>
      </w:tr>
    </w:tbl>
    <w:p w14:paraId="247C7EA7" w14:textId="77777777" w:rsidR="00374C56" w:rsidRPr="00D53A2B" w:rsidRDefault="00374C56" w:rsidP="00A202FD">
      <w:pPr>
        <w:jc w:val="both"/>
        <w:rPr>
          <w:spacing w:val="2"/>
          <w:lang w:eastAsia="en-US"/>
        </w:rPr>
      </w:pPr>
    </w:p>
    <w:p w14:paraId="571380AB" w14:textId="121D95AA" w:rsidR="00374C56" w:rsidRPr="00D53A2B" w:rsidRDefault="00FD5007" w:rsidP="00A202FD">
      <w:pPr>
        <w:pStyle w:val="Balk3"/>
        <w:rPr>
          <w:rFonts w:cs="Times New Roman"/>
          <w:lang w:eastAsia="en-US"/>
        </w:rPr>
      </w:pPr>
      <w:bookmarkStart w:id="186" w:name="_Toc527940750"/>
      <w:bookmarkStart w:id="187" w:name="_Toc531927906"/>
      <w:r w:rsidRPr="00D53A2B">
        <w:rPr>
          <w:rFonts w:cs="Times New Roman"/>
          <w:lang w:eastAsia="en-US"/>
        </w:rPr>
        <w:t>1.</w:t>
      </w:r>
      <w:r w:rsidR="00374C56" w:rsidRPr="00D53A2B">
        <w:rPr>
          <w:rFonts w:cs="Times New Roman"/>
          <w:lang w:eastAsia="en-US"/>
        </w:rPr>
        <w:t>6.3.</w:t>
      </w:r>
      <w:r w:rsidR="00374C56" w:rsidRPr="00D53A2B">
        <w:rPr>
          <w:rFonts w:cs="Times New Roman"/>
          <w:lang w:eastAsia="en-US"/>
        </w:rPr>
        <w:tab/>
        <w:t>Atıksu oluşumu</w:t>
      </w:r>
      <w:bookmarkEnd w:id="186"/>
      <w:bookmarkEnd w:id="187"/>
    </w:p>
    <w:p w14:paraId="223BFC36" w14:textId="3D7175AA" w:rsidR="00374C56" w:rsidRPr="00D53A2B" w:rsidRDefault="000A48EC" w:rsidP="00A202FD">
      <w:pPr>
        <w:spacing w:after="240"/>
        <w:jc w:val="both"/>
        <w:rPr>
          <w:b/>
          <w:lang w:eastAsia="en-US"/>
        </w:rPr>
      </w:pPr>
      <w:r w:rsidRPr="00D53A2B">
        <w:rPr>
          <w:b/>
          <w:lang w:eastAsia="en-US"/>
        </w:rPr>
        <w:t>MET 148:</w:t>
      </w:r>
      <w:r w:rsidR="00374C56" w:rsidRPr="00D53A2B">
        <w:rPr>
          <w:b/>
          <w:lang w:eastAsia="en-US"/>
        </w:rPr>
        <w:t xml:space="preserve"> </w:t>
      </w:r>
      <w:r w:rsidR="00FD5007" w:rsidRPr="00D53A2B">
        <w:rPr>
          <w:bCs/>
          <w:lang w:eastAsia="en-US"/>
        </w:rPr>
        <w:t>Atıksu oluşumunu önlemek için kullanılan MET, aşağıda verilen tekniklerden birinin veya bunların bir kombinasyonu kullanılır.</w:t>
      </w:r>
    </w:p>
    <w:tbl>
      <w:tblPr>
        <w:tblW w:w="8779" w:type="dxa"/>
        <w:tblInd w:w="5" w:type="dxa"/>
        <w:tblLayout w:type="fixed"/>
        <w:tblCellMar>
          <w:left w:w="0" w:type="dxa"/>
          <w:right w:w="0" w:type="dxa"/>
        </w:tblCellMar>
        <w:tblLook w:val="01E0" w:firstRow="1" w:lastRow="1" w:firstColumn="1" w:lastColumn="1" w:noHBand="0" w:noVBand="0"/>
      </w:tblPr>
      <w:tblGrid>
        <w:gridCol w:w="314"/>
        <w:gridCol w:w="8465"/>
      </w:tblGrid>
      <w:tr w:rsidR="00374C56" w:rsidRPr="00D53A2B" w14:paraId="4D54B390" w14:textId="77777777" w:rsidTr="00A23C24">
        <w:trPr>
          <w:trHeight w:hRule="exact" w:val="252"/>
        </w:trPr>
        <w:tc>
          <w:tcPr>
            <w:tcW w:w="314" w:type="dxa"/>
            <w:tcBorders>
              <w:top w:val="single" w:sz="4" w:space="0" w:color="000000"/>
              <w:left w:val="single" w:sz="4" w:space="0" w:color="000000"/>
              <w:bottom w:val="single" w:sz="4" w:space="0" w:color="000000"/>
              <w:right w:val="single" w:sz="4" w:space="0" w:color="000000"/>
            </w:tcBorders>
          </w:tcPr>
          <w:p w14:paraId="72476028" w14:textId="77777777" w:rsidR="00374C56" w:rsidRPr="00D53A2B" w:rsidRDefault="00374C56" w:rsidP="00A202FD">
            <w:pPr>
              <w:spacing w:after="240"/>
              <w:ind w:left="113" w:right="113"/>
              <w:jc w:val="both"/>
              <w:rPr>
                <w:lang w:eastAsia="en-US"/>
              </w:rPr>
            </w:pPr>
          </w:p>
        </w:tc>
        <w:tc>
          <w:tcPr>
            <w:tcW w:w="8465" w:type="dxa"/>
            <w:tcBorders>
              <w:top w:val="single" w:sz="4" w:space="0" w:color="000000"/>
              <w:left w:val="single" w:sz="4" w:space="0" w:color="000000"/>
              <w:bottom w:val="single" w:sz="4" w:space="0" w:color="000000"/>
              <w:right w:val="single" w:sz="4" w:space="0" w:color="000000"/>
            </w:tcBorders>
          </w:tcPr>
          <w:p w14:paraId="3740D5BE" w14:textId="77777777" w:rsidR="00374C56" w:rsidRPr="00D53A2B" w:rsidRDefault="00374C56" w:rsidP="00A202FD">
            <w:pPr>
              <w:spacing w:after="240"/>
              <w:ind w:left="113" w:right="113"/>
              <w:jc w:val="both"/>
              <w:rPr>
                <w:lang w:eastAsia="en-US"/>
              </w:rPr>
            </w:pPr>
            <w:r w:rsidRPr="00D53A2B">
              <w:rPr>
                <w:b/>
                <w:bCs/>
                <w:lang w:eastAsia="en-US"/>
              </w:rPr>
              <w:t>Teknik</w:t>
            </w:r>
          </w:p>
        </w:tc>
      </w:tr>
      <w:tr w:rsidR="00374C56" w:rsidRPr="00D53A2B" w14:paraId="134F261C" w14:textId="77777777" w:rsidTr="00A23C24">
        <w:trPr>
          <w:trHeight w:hRule="exact" w:val="681"/>
        </w:trPr>
        <w:tc>
          <w:tcPr>
            <w:tcW w:w="314" w:type="dxa"/>
            <w:tcBorders>
              <w:top w:val="single" w:sz="4" w:space="0" w:color="000000"/>
              <w:left w:val="single" w:sz="4" w:space="0" w:color="000000"/>
              <w:bottom w:val="single" w:sz="4" w:space="0" w:color="000000"/>
              <w:right w:val="single" w:sz="4" w:space="0" w:color="000000"/>
            </w:tcBorders>
            <w:vAlign w:val="center"/>
          </w:tcPr>
          <w:p w14:paraId="45797779" w14:textId="77777777" w:rsidR="00374C56" w:rsidRPr="00D53A2B" w:rsidRDefault="00374C56" w:rsidP="00A202FD">
            <w:pPr>
              <w:spacing w:after="240"/>
              <w:ind w:left="113" w:right="113"/>
              <w:jc w:val="both"/>
              <w:rPr>
                <w:lang w:eastAsia="en-US"/>
              </w:rPr>
            </w:pPr>
            <w:r w:rsidRPr="00D53A2B">
              <w:rPr>
                <w:lang w:eastAsia="en-US"/>
              </w:rPr>
              <w:t>a</w:t>
            </w:r>
          </w:p>
        </w:tc>
        <w:tc>
          <w:tcPr>
            <w:tcW w:w="8465" w:type="dxa"/>
            <w:tcBorders>
              <w:top w:val="single" w:sz="4" w:space="0" w:color="000000"/>
              <w:left w:val="single" w:sz="4" w:space="0" w:color="000000"/>
              <w:bottom w:val="single" w:sz="4" w:space="0" w:color="000000"/>
              <w:right w:val="single" w:sz="4" w:space="0" w:color="000000"/>
            </w:tcBorders>
          </w:tcPr>
          <w:p w14:paraId="5FE946D4" w14:textId="77777777" w:rsidR="00374C56" w:rsidRPr="00D53A2B" w:rsidRDefault="00374C56" w:rsidP="00A202FD">
            <w:pPr>
              <w:spacing w:after="240"/>
              <w:ind w:left="113" w:right="113"/>
              <w:jc w:val="both"/>
              <w:rPr>
                <w:lang w:eastAsia="en-US"/>
              </w:rPr>
            </w:pPr>
            <w:r w:rsidRPr="00D53A2B">
              <w:rPr>
                <w:lang w:eastAsia="en-US"/>
              </w:rPr>
              <w:t>Liç ve diğer arıtma işlemlerinde harcanan/geri kazanılan gaz temizleme sıvılarının ve diğer hidrometalurjik reaktiflerin geri dönüştürülmesi</w:t>
            </w:r>
          </w:p>
        </w:tc>
      </w:tr>
      <w:tr w:rsidR="00374C56" w:rsidRPr="00D53A2B" w14:paraId="2CBA2836" w14:textId="77777777" w:rsidTr="00A23C24">
        <w:trPr>
          <w:trHeight w:hRule="exact" w:val="563"/>
        </w:trPr>
        <w:tc>
          <w:tcPr>
            <w:tcW w:w="314" w:type="dxa"/>
            <w:tcBorders>
              <w:top w:val="single" w:sz="4" w:space="0" w:color="000000"/>
              <w:left w:val="single" w:sz="4" w:space="0" w:color="000000"/>
              <w:bottom w:val="single" w:sz="4" w:space="0" w:color="000000"/>
              <w:right w:val="single" w:sz="4" w:space="0" w:color="000000"/>
            </w:tcBorders>
          </w:tcPr>
          <w:p w14:paraId="5E75B3A5" w14:textId="77777777" w:rsidR="00374C56" w:rsidRPr="00D53A2B" w:rsidRDefault="00374C56" w:rsidP="00A202FD">
            <w:pPr>
              <w:spacing w:after="240"/>
              <w:ind w:left="113" w:right="113"/>
              <w:jc w:val="both"/>
              <w:rPr>
                <w:lang w:eastAsia="en-US"/>
              </w:rPr>
            </w:pPr>
            <w:r w:rsidRPr="00D53A2B">
              <w:rPr>
                <w:lang w:eastAsia="en-US"/>
              </w:rPr>
              <w:t>b</w:t>
            </w:r>
          </w:p>
        </w:tc>
        <w:tc>
          <w:tcPr>
            <w:tcW w:w="8465" w:type="dxa"/>
            <w:tcBorders>
              <w:top w:val="single" w:sz="4" w:space="0" w:color="000000"/>
              <w:left w:val="single" w:sz="4" w:space="0" w:color="000000"/>
              <w:bottom w:val="single" w:sz="4" w:space="0" w:color="000000"/>
              <w:right w:val="single" w:sz="4" w:space="0" w:color="000000"/>
            </w:tcBorders>
          </w:tcPr>
          <w:p w14:paraId="6479B8FA" w14:textId="77777777" w:rsidR="00374C56" w:rsidRPr="00D53A2B" w:rsidRDefault="00374C56" w:rsidP="00A202FD">
            <w:pPr>
              <w:spacing w:after="240"/>
              <w:ind w:left="113" w:right="113"/>
              <w:jc w:val="both"/>
              <w:rPr>
                <w:lang w:eastAsia="en-US"/>
              </w:rPr>
            </w:pPr>
            <w:r w:rsidRPr="00D53A2B">
              <w:rPr>
                <w:lang w:eastAsia="en-US"/>
              </w:rPr>
              <w:t>Liç, ektraksiyon ve çökeltim işlemlerinden kaynaklanan çözeltilerin geri dönüştürülmesi</w:t>
            </w:r>
          </w:p>
        </w:tc>
      </w:tr>
    </w:tbl>
    <w:p w14:paraId="3FA4D82A" w14:textId="77777777" w:rsidR="00FD5007" w:rsidRPr="00D53A2B" w:rsidRDefault="00FD5007" w:rsidP="00A202FD">
      <w:pPr>
        <w:jc w:val="both"/>
        <w:rPr>
          <w:lang w:eastAsia="en-US"/>
        </w:rPr>
      </w:pPr>
    </w:p>
    <w:p w14:paraId="7CA56DD7" w14:textId="4233287B" w:rsidR="00374C56" w:rsidRPr="00D53A2B" w:rsidRDefault="00FD5007" w:rsidP="00A202FD">
      <w:pPr>
        <w:pStyle w:val="Balk3"/>
        <w:rPr>
          <w:rFonts w:cs="Times New Roman"/>
          <w:lang w:eastAsia="en-US"/>
        </w:rPr>
      </w:pPr>
      <w:r w:rsidRPr="00D53A2B">
        <w:rPr>
          <w:rFonts w:cs="Times New Roman"/>
          <w:lang w:eastAsia="en-US"/>
        </w:rPr>
        <w:t>1.</w:t>
      </w:r>
      <w:r w:rsidR="00374C56" w:rsidRPr="00D53A2B">
        <w:rPr>
          <w:rFonts w:cs="Times New Roman"/>
          <w:lang w:eastAsia="en-US"/>
        </w:rPr>
        <w:t>6.4.</w:t>
      </w:r>
      <w:bookmarkStart w:id="188" w:name="_Toc527940751"/>
      <w:bookmarkStart w:id="189" w:name="_Toc531927907"/>
      <w:r w:rsidRPr="00D53A2B">
        <w:rPr>
          <w:rFonts w:cs="Times New Roman"/>
          <w:lang w:eastAsia="en-US"/>
        </w:rPr>
        <w:t xml:space="preserve"> </w:t>
      </w:r>
      <w:r w:rsidR="00374C56" w:rsidRPr="00D53A2B">
        <w:rPr>
          <w:rFonts w:cs="Times New Roman"/>
          <w:lang w:eastAsia="en-US"/>
        </w:rPr>
        <w:t>Atık</w:t>
      </w:r>
      <w:bookmarkEnd w:id="188"/>
      <w:bookmarkEnd w:id="189"/>
    </w:p>
    <w:p w14:paraId="7173C338" w14:textId="3A0324E8" w:rsidR="00374C56" w:rsidRPr="00D53A2B" w:rsidRDefault="000A48EC" w:rsidP="00A202FD">
      <w:pPr>
        <w:spacing w:after="240"/>
        <w:jc w:val="both"/>
        <w:rPr>
          <w:b/>
          <w:lang w:eastAsia="en-US"/>
        </w:rPr>
      </w:pPr>
      <w:r w:rsidRPr="00D53A2B">
        <w:rPr>
          <w:b/>
          <w:lang w:eastAsia="en-US"/>
        </w:rPr>
        <w:t>MET</w:t>
      </w:r>
      <w:r w:rsidR="00CC1868" w:rsidRPr="00D53A2B">
        <w:rPr>
          <w:b/>
          <w:lang w:eastAsia="en-US"/>
        </w:rPr>
        <w:t xml:space="preserve"> </w:t>
      </w:r>
      <w:r w:rsidRPr="00D53A2B">
        <w:rPr>
          <w:b/>
          <w:lang w:eastAsia="en-US"/>
        </w:rPr>
        <w:t>149:</w:t>
      </w:r>
      <w:r w:rsidR="00374C56" w:rsidRPr="00D53A2B">
        <w:rPr>
          <w:b/>
          <w:lang w:eastAsia="en-US"/>
        </w:rPr>
        <w:t xml:space="preserve"> </w:t>
      </w:r>
      <w:r w:rsidR="00FD5007" w:rsidRPr="00D53A2B">
        <w:rPr>
          <w:bCs/>
          <w:lang w:eastAsia="en-US"/>
        </w:rPr>
        <w:t>Bertaraf etmek için gönderilen atık miktarının azaltılması için proses artıklarının yeniden kullanımını kolaylaştıracak veya proses artıklarını geri dönüşümünü engellemeyecek şekilde, aşağıda verilen tekniklerin birini ya da bir kombinasyonu kullanıl</w:t>
      </w:r>
      <w:r w:rsidR="00AB3EBD" w:rsidRPr="00D53A2B">
        <w:rPr>
          <w:bCs/>
          <w:lang w:eastAsia="en-US"/>
        </w:rPr>
        <w:t>ır ve</w:t>
      </w:r>
      <w:r w:rsidR="00FD5007" w:rsidRPr="00D53A2B">
        <w:rPr>
          <w:bCs/>
          <w:lang w:eastAsia="en-US"/>
        </w:rPr>
        <w:t xml:space="preserve"> sahadaki faaliyetler organize e</w:t>
      </w:r>
      <w:r w:rsidR="00AB3EBD" w:rsidRPr="00D53A2B">
        <w:rPr>
          <w:bCs/>
          <w:lang w:eastAsia="en-US"/>
        </w:rPr>
        <w:t>dilir</w:t>
      </w:r>
      <w:r w:rsidR="00FD5007" w:rsidRPr="00D53A2B">
        <w:rPr>
          <w:bCs/>
          <w:lang w:eastAsia="en-US"/>
        </w:rPr>
        <w:t>.</w:t>
      </w:r>
    </w:p>
    <w:tbl>
      <w:tblPr>
        <w:tblW w:w="8774" w:type="dxa"/>
        <w:tblInd w:w="293" w:type="dxa"/>
        <w:tblLayout w:type="fixed"/>
        <w:tblCellMar>
          <w:left w:w="0" w:type="dxa"/>
          <w:right w:w="0" w:type="dxa"/>
        </w:tblCellMar>
        <w:tblLook w:val="01E0" w:firstRow="1" w:lastRow="1" w:firstColumn="1" w:lastColumn="1" w:noHBand="0" w:noVBand="0"/>
      </w:tblPr>
      <w:tblGrid>
        <w:gridCol w:w="418"/>
        <w:gridCol w:w="5663"/>
        <w:gridCol w:w="2693"/>
      </w:tblGrid>
      <w:tr w:rsidR="00374C56" w:rsidRPr="00D53A2B" w14:paraId="25ED956B" w14:textId="77777777" w:rsidTr="00A23C24">
        <w:tc>
          <w:tcPr>
            <w:tcW w:w="418" w:type="dxa"/>
            <w:tcBorders>
              <w:top w:val="single" w:sz="4" w:space="0" w:color="000000"/>
              <w:left w:val="single" w:sz="4" w:space="0" w:color="000000"/>
              <w:bottom w:val="single" w:sz="4" w:space="0" w:color="000000"/>
              <w:right w:val="single" w:sz="4" w:space="0" w:color="000000"/>
            </w:tcBorders>
            <w:vAlign w:val="center"/>
          </w:tcPr>
          <w:p w14:paraId="01152DC3" w14:textId="77777777" w:rsidR="00374C56" w:rsidRPr="00D53A2B" w:rsidRDefault="00374C56" w:rsidP="00A202FD">
            <w:pPr>
              <w:spacing w:line="264" w:lineRule="auto"/>
              <w:ind w:left="57" w:right="57"/>
              <w:jc w:val="both"/>
              <w:rPr>
                <w:sz w:val="22"/>
                <w:szCs w:val="22"/>
                <w:lang w:eastAsia="en-US"/>
              </w:rPr>
            </w:pPr>
          </w:p>
        </w:tc>
        <w:tc>
          <w:tcPr>
            <w:tcW w:w="5663" w:type="dxa"/>
            <w:tcBorders>
              <w:top w:val="single" w:sz="4" w:space="0" w:color="000000"/>
              <w:left w:val="single" w:sz="4" w:space="0" w:color="000000"/>
              <w:bottom w:val="single" w:sz="4" w:space="0" w:color="000000"/>
              <w:right w:val="single" w:sz="4" w:space="0" w:color="000000"/>
            </w:tcBorders>
            <w:vAlign w:val="center"/>
          </w:tcPr>
          <w:p w14:paraId="24895367"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2693" w:type="dxa"/>
            <w:tcBorders>
              <w:top w:val="single" w:sz="4" w:space="0" w:color="000000"/>
              <w:left w:val="single" w:sz="4" w:space="0" w:color="000000"/>
              <w:bottom w:val="single" w:sz="4" w:space="0" w:color="000000"/>
              <w:right w:val="single" w:sz="4" w:space="0" w:color="000000"/>
            </w:tcBorders>
            <w:vAlign w:val="center"/>
          </w:tcPr>
          <w:p w14:paraId="43516DC9"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Proses</w:t>
            </w:r>
          </w:p>
        </w:tc>
      </w:tr>
      <w:tr w:rsidR="00374C56" w:rsidRPr="00D53A2B" w14:paraId="633B636A" w14:textId="77777777" w:rsidTr="00A23C24">
        <w:tc>
          <w:tcPr>
            <w:tcW w:w="418" w:type="dxa"/>
            <w:tcBorders>
              <w:top w:val="single" w:sz="4" w:space="0" w:color="000000"/>
              <w:left w:val="single" w:sz="4" w:space="0" w:color="000000"/>
              <w:bottom w:val="single" w:sz="4" w:space="0" w:color="000000"/>
              <w:right w:val="single" w:sz="4" w:space="0" w:color="000000"/>
            </w:tcBorders>
            <w:vAlign w:val="center"/>
          </w:tcPr>
          <w:p w14:paraId="268A007D" w14:textId="77777777" w:rsidR="00374C56" w:rsidRPr="00D53A2B" w:rsidRDefault="00374C56" w:rsidP="00A202FD">
            <w:pPr>
              <w:spacing w:line="264" w:lineRule="auto"/>
              <w:ind w:left="57" w:right="57"/>
              <w:jc w:val="both"/>
              <w:rPr>
                <w:sz w:val="22"/>
                <w:szCs w:val="22"/>
                <w:lang w:eastAsia="en-US"/>
              </w:rPr>
            </w:pPr>
          </w:p>
          <w:p w14:paraId="1741945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5663" w:type="dxa"/>
            <w:tcBorders>
              <w:top w:val="single" w:sz="4" w:space="0" w:color="000000"/>
              <w:left w:val="single" w:sz="4" w:space="0" w:color="000000"/>
              <w:bottom w:val="single" w:sz="4" w:space="0" w:color="000000"/>
              <w:right w:val="single" w:sz="4" w:space="0" w:color="000000"/>
            </w:tcBorders>
            <w:vAlign w:val="center"/>
          </w:tcPr>
          <w:p w14:paraId="49E50B79" w14:textId="4A04616E" w:rsidR="00374C56" w:rsidRPr="00D53A2B" w:rsidRDefault="00374C56" w:rsidP="00A202FD">
            <w:pPr>
              <w:spacing w:line="264" w:lineRule="auto"/>
              <w:ind w:left="57" w:right="57"/>
              <w:jc w:val="both"/>
              <w:rPr>
                <w:sz w:val="22"/>
                <w:szCs w:val="22"/>
                <w:lang w:eastAsia="en-US"/>
              </w:rPr>
            </w:pPr>
            <w:r w:rsidRPr="00D53A2B">
              <w:rPr>
                <w:sz w:val="22"/>
                <w:szCs w:val="22"/>
                <w:lang w:eastAsia="en-US"/>
              </w:rPr>
              <w:t>Cüruf, filtre tozu, ıslak toz</w:t>
            </w:r>
            <w:r w:rsidR="00FD5007" w:rsidRPr="00D53A2B">
              <w:rPr>
                <w:sz w:val="22"/>
                <w:szCs w:val="22"/>
                <w:lang w:eastAsia="en-US"/>
              </w:rPr>
              <w:t xml:space="preserve"> giderme </w:t>
            </w:r>
            <w:r w:rsidRPr="00D53A2B">
              <w:rPr>
                <w:sz w:val="22"/>
                <w:szCs w:val="22"/>
                <w:lang w:eastAsia="en-US"/>
              </w:rPr>
              <w:t>sistemlerinden ortaya çıkan artıkların metal içeriğinin geri dönüştürülmesi</w:t>
            </w:r>
          </w:p>
        </w:tc>
        <w:tc>
          <w:tcPr>
            <w:tcW w:w="2693" w:type="dxa"/>
            <w:vMerge w:val="restart"/>
            <w:tcBorders>
              <w:top w:val="single" w:sz="4" w:space="0" w:color="000000"/>
              <w:left w:val="single" w:sz="4" w:space="0" w:color="000000"/>
              <w:right w:val="single" w:sz="4" w:space="0" w:color="000000"/>
            </w:tcBorders>
            <w:vAlign w:val="center"/>
          </w:tcPr>
          <w:p w14:paraId="72F6056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Doré üretimi</w:t>
            </w:r>
          </w:p>
        </w:tc>
      </w:tr>
      <w:tr w:rsidR="00FD5007" w:rsidRPr="00D53A2B" w14:paraId="3FA9B008" w14:textId="77777777" w:rsidTr="00A23C24">
        <w:tc>
          <w:tcPr>
            <w:tcW w:w="418" w:type="dxa"/>
            <w:tcBorders>
              <w:top w:val="single" w:sz="4" w:space="0" w:color="000000"/>
              <w:left w:val="single" w:sz="4" w:space="0" w:color="000000"/>
              <w:bottom w:val="single" w:sz="4" w:space="0" w:color="000000"/>
              <w:right w:val="single" w:sz="4" w:space="0" w:color="000000"/>
            </w:tcBorders>
            <w:vAlign w:val="center"/>
          </w:tcPr>
          <w:p w14:paraId="7861CF84" w14:textId="77777777" w:rsidR="00FD5007" w:rsidRPr="00D53A2B" w:rsidRDefault="00FD5007" w:rsidP="00A202FD">
            <w:pPr>
              <w:spacing w:line="264" w:lineRule="auto"/>
              <w:ind w:left="57" w:right="57"/>
              <w:jc w:val="both"/>
              <w:rPr>
                <w:sz w:val="22"/>
                <w:szCs w:val="22"/>
                <w:lang w:eastAsia="en-US"/>
              </w:rPr>
            </w:pPr>
          </w:p>
          <w:p w14:paraId="5B62FE60"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b</w:t>
            </w:r>
          </w:p>
        </w:tc>
        <w:tc>
          <w:tcPr>
            <w:tcW w:w="5663" w:type="dxa"/>
            <w:tcBorders>
              <w:top w:val="single" w:sz="4" w:space="0" w:color="000000"/>
              <w:left w:val="single" w:sz="4" w:space="0" w:color="000000"/>
              <w:bottom w:val="single" w:sz="4" w:space="0" w:color="000000"/>
              <w:right w:val="single" w:sz="4" w:space="0" w:color="000000"/>
            </w:tcBorders>
            <w:vAlign w:val="center"/>
          </w:tcPr>
          <w:p w14:paraId="7FC599CA" w14:textId="0C30288E" w:rsidR="00FD5007" w:rsidRPr="00D53A2B" w:rsidRDefault="00FD5007" w:rsidP="00A202FD">
            <w:pPr>
              <w:spacing w:line="264" w:lineRule="auto"/>
              <w:ind w:left="57" w:right="57"/>
              <w:jc w:val="both"/>
              <w:rPr>
                <w:sz w:val="22"/>
                <w:szCs w:val="22"/>
                <w:lang w:eastAsia="en-US"/>
              </w:rPr>
            </w:pPr>
            <w:r w:rsidRPr="00D53A2B">
              <w:rPr>
                <w:sz w:val="22"/>
                <w:szCs w:val="22"/>
                <w:lang w:eastAsia="en-US"/>
              </w:rPr>
              <w:t>Buharlaştırılmış selenyum içeren ıslak tozsuzlaştırma sisteminin çıkış gazlarında, toplanan selenyumun geri kazanımı</w:t>
            </w:r>
          </w:p>
        </w:tc>
        <w:tc>
          <w:tcPr>
            <w:tcW w:w="2693" w:type="dxa"/>
            <w:vMerge/>
            <w:tcBorders>
              <w:left w:val="single" w:sz="4" w:space="0" w:color="000000"/>
              <w:bottom w:val="single" w:sz="4" w:space="0" w:color="000000"/>
              <w:right w:val="single" w:sz="4" w:space="0" w:color="000000"/>
            </w:tcBorders>
            <w:vAlign w:val="center"/>
          </w:tcPr>
          <w:p w14:paraId="5AA9D052" w14:textId="77777777" w:rsidR="00FD5007" w:rsidRPr="00D53A2B" w:rsidRDefault="00FD5007" w:rsidP="00A202FD">
            <w:pPr>
              <w:spacing w:line="264" w:lineRule="auto"/>
              <w:ind w:left="57" w:right="57"/>
              <w:jc w:val="both"/>
              <w:rPr>
                <w:sz w:val="22"/>
                <w:szCs w:val="22"/>
                <w:lang w:eastAsia="en-US"/>
              </w:rPr>
            </w:pPr>
          </w:p>
        </w:tc>
      </w:tr>
      <w:tr w:rsidR="00FD5007" w:rsidRPr="00D53A2B" w14:paraId="40E95B70" w14:textId="77777777" w:rsidTr="00A23C24">
        <w:tc>
          <w:tcPr>
            <w:tcW w:w="418" w:type="dxa"/>
            <w:tcBorders>
              <w:top w:val="single" w:sz="4" w:space="0" w:color="000000"/>
              <w:left w:val="single" w:sz="4" w:space="0" w:color="000000"/>
              <w:bottom w:val="single" w:sz="4" w:space="0" w:color="000000"/>
              <w:right w:val="single" w:sz="4" w:space="0" w:color="000000"/>
            </w:tcBorders>
            <w:vAlign w:val="center"/>
          </w:tcPr>
          <w:p w14:paraId="6BD2FF5E" w14:textId="77777777" w:rsidR="00FD5007" w:rsidRPr="00D53A2B" w:rsidRDefault="00FD5007" w:rsidP="00A202FD">
            <w:pPr>
              <w:spacing w:line="264" w:lineRule="auto"/>
              <w:ind w:left="57" w:right="57"/>
              <w:jc w:val="both"/>
              <w:rPr>
                <w:sz w:val="22"/>
                <w:szCs w:val="22"/>
                <w:lang w:eastAsia="en-US"/>
              </w:rPr>
            </w:pPr>
          </w:p>
          <w:p w14:paraId="189B9889"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c</w:t>
            </w:r>
          </w:p>
        </w:tc>
        <w:tc>
          <w:tcPr>
            <w:tcW w:w="5663" w:type="dxa"/>
            <w:tcBorders>
              <w:top w:val="single" w:sz="4" w:space="0" w:color="000000"/>
              <w:left w:val="single" w:sz="4" w:space="0" w:color="000000"/>
              <w:bottom w:val="single" w:sz="4" w:space="0" w:color="000000"/>
              <w:right w:val="single" w:sz="4" w:space="0" w:color="000000"/>
            </w:tcBorders>
            <w:vAlign w:val="center"/>
          </w:tcPr>
          <w:p w14:paraId="24377C17" w14:textId="782EF7EC" w:rsidR="00FD5007" w:rsidRPr="00D53A2B" w:rsidRDefault="00FD5007" w:rsidP="00A202FD">
            <w:pPr>
              <w:spacing w:line="264" w:lineRule="auto"/>
              <w:ind w:left="57" w:right="57"/>
              <w:jc w:val="both"/>
              <w:rPr>
                <w:sz w:val="22"/>
                <w:szCs w:val="22"/>
                <w:lang w:eastAsia="en-US"/>
              </w:rPr>
            </w:pPr>
            <w:r w:rsidRPr="00D53A2B">
              <w:rPr>
                <w:sz w:val="22"/>
                <w:szCs w:val="22"/>
                <w:lang w:eastAsia="en-US"/>
              </w:rPr>
              <w:t>Kullanılmış elektrolitlerden ve atık çamur yıkama çözeltilerinden, gümüşün geri kazanılması</w:t>
            </w:r>
          </w:p>
        </w:tc>
        <w:tc>
          <w:tcPr>
            <w:tcW w:w="2693" w:type="dxa"/>
            <w:vMerge w:val="restart"/>
            <w:tcBorders>
              <w:top w:val="single" w:sz="4" w:space="0" w:color="000000"/>
              <w:left w:val="single" w:sz="4" w:space="0" w:color="000000"/>
              <w:right w:val="single" w:sz="4" w:space="0" w:color="000000"/>
            </w:tcBorders>
            <w:vAlign w:val="center"/>
          </w:tcPr>
          <w:p w14:paraId="7FA03A4B"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Gümüş elektrolitik rafinasyonu</w:t>
            </w:r>
          </w:p>
        </w:tc>
      </w:tr>
      <w:tr w:rsidR="00FD5007" w:rsidRPr="00D53A2B" w14:paraId="218CFFFD" w14:textId="77777777" w:rsidTr="00A23C24">
        <w:tc>
          <w:tcPr>
            <w:tcW w:w="418" w:type="dxa"/>
            <w:tcBorders>
              <w:top w:val="single" w:sz="4" w:space="0" w:color="000000"/>
              <w:left w:val="single" w:sz="4" w:space="0" w:color="000000"/>
              <w:bottom w:val="single" w:sz="4" w:space="0" w:color="000000"/>
              <w:right w:val="single" w:sz="4" w:space="0" w:color="000000"/>
            </w:tcBorders>
            <w:vAlign w:val="center"/>
          </w:tcPr>
          <w:p w14:paraId="5365ABD5" w14:textId="77777777" w:rsidR="00FD5007" w:rsidRPr="00D53A2B" w:rsidRDefault="00FD5007" w:rsidP="00A202FD">
            <w:pPr>
              <w:spacing w:line="264" w:lineRule="auto"/>
              <w:ind w:left="57" w:right="57"/>
              <w:jc w:val="both"/>
              <w:rPr>
                <w:sz w:val="22"/>
                <w:szCs w:val="22"/>
                <w:lang w:eastAsia="en-US"/>
              </w:rPr>
            </w:pPr>
          </w:p>
          <w:p w14:paraId="7E7DE38A"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d</w:t>
            </w:r>
          </w:p>
        </w:tc>
        <w:tc>
          <w:tcPr>
            <w:tcW w:w="5663" w:type="dxa"/>
            <w:tcBorders>
              <w:top w:val="single" w:sz="4" w:space="0" w:color="000000"/>
              <w:left w:val="single" w:sz="4" w:space="0" w:color="000000"/>
              <w:bottom w:val="single" w:sz="4" w:space="0" w:color="000000"/>
              <w:right w:val="single" w:sz="4" w:space="0" w:color="000000"/>
            </w:tcBorders>
            <w:vAlign w:val="center"/>
          </w:tcPr>
          <w:p w14:paraId="7AD16C1C"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Elektrolit saflaştırma artıklarından, metallerin geri kazanılması</w:t>
            </w:r>
          </w:p>
          <w:p w14:paraId="15785BE8" w14:textId="4F2D54D3" w:rsidR="00FD5007" w:rsidRPr="00D53A2B" w:rsidRDefault="00FD5007" w:rsidP="00A202FD">
            <w:pPr>
              <w:spacing w:line="264" w:lineRule="auto"/>
              <w:ind w:left="57" w:right="57"/>
              <w:jc w:val="both"/>
              <w:rPr>
                <w:sz w:val="22"/>
                <w:szCs w:val="22"/>
                <w:lang w:eastAsia="en-US"/>
              </w:rPr>
            </w:pPr>
            <w:r w:rsidRPr="00D53A2B">
              <w:rPr>
                <w:sz w:val="22"/>
                <w:szCs w:val="22"/>
                <w:lang w:eastAsia="en-US"/>
              </w:rPr>
              <w:t>(örn. gümüş çimento, bakır karbonat bazlı artık)</w:t>
            </w:r>
          </w:p>
        </w:tc>
        <w:tc>
          <w:tcPr>
            <w:tcW w:w="2693" w:type="dxa"/>
            <w:vMerge/>
            <w:tcBorders>
              <w:left w:val="single" w:sz="4" w:space="0" w:color="000000"/>
              <w:bottom w:val="single" w:sz="4" w:space="0" w:color="000000"/>
              <w:right w:val="single" w:sz="4" w:space="0" w:color="000000"/>
            </w:tcBorders>
            <w:vAlign w:val="center"/>
          </w:tcPr>
          <w:p w14:paraId="456A7EBD" w14:textId="77777777" w:rsidR="00FD5007" w:rsidRPr="00D53A2B" w:rsidRDefault="00FD5007" w:rsidP="00A202FD">
            <w:pPr>
              <w:spacing w:line="264" w:lineRule="auto"/>
              <w:ind w:left="57" w:right="57"/>
              <w:jc w:val="both"/>
              <w:rPr>
                <w:sz w:val="22"/>
                <w:szCs w:val="22"/>
                <w:lang w:eastAsia="en-US"/>
              </w:rPr>
            </w:pPr>
          </w:p>
        </w:tc>
      </w:tr>
      <w:tr w:rsidR="00FD5007" w:rsidRPr="00D53A2B" w14:paraId="29D580AA" w14:textId="77777777" w:rsidTr="00A23C24">
        <w:tc>
          <w:tcPr>
            <w:tcW w:w="418" w:type="dxa"/>
            <w:tcBorders>
              <w:top w:val="single" w:sz="4" w:space="0" w:color="000000"/>
              <w:left w:val="single" w:sz="4" w:space="0" w:color="000000"/>
              <w:bottom w:val="single" w:sz="4" w:space="0" w:color="000000"/>
              <w:right w:val="single" w:sz="4" w:space="0" w:color="000000"/>
            </w:tcBorders>
            <w:vAlign w:val="center"/>
          </w:tcPr>
          <w:p w14:paraId="394552E5" w14:textId="77777777" w:rsidR="00FD5007" w:rsidRPr="00D53A2B" w:rsidRDefault="00FD5007" w:rsidP="00A202FD">
            <w:pPr>
              <w:spacing w:line="264" w:lineRule="auto"/>
              <w:ind w:left="57" w:right="57"/>
              <w:jc w:val="both"/>
              <w:rPr>
                <w:sz w:val="22"/>
                <w:szCs w:val="22"/>
                <w:lang w:eastAsia="en-US"/>
              </w:rPr>
            </w:pPr>
          </w:p>
          <w:p w14:paraId="3389E7B2"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e</w:t>
            </w:r>
          </w:p>
        </w:tc>
        <w:tc>
          <w:tcPr>
            <w:tcW w:w="5663" w:type="dxa"/>
            <w:tcBorders>
              <w:top w:val="single" w:sz="4" w:space="0" w:color="000000"/>
              <w:left w:val="single" w:sz="4" w:space="0" w:color="000000"/>
              <w:bottom w:val="single" w:sz="4" w:space="0" w:color="000000"/>
              <w:right w:val="single" w:sz="4" w:space="0" w:color="000000"/>
            </w:tcBorders>
            <w:vAlign w:val="center"/>
          </w:tcPr>
          <w:p w14:paraId="4C8A5C99" w14:textId="60D7C946" w:rsidR="00FD5007" w:rsidRPr="00D53A2B" w:rsidRDefault="00FD5007" w:rsidP="00A202FD">
            <w:pPr>
              <w:spacing w:line="264" w:lineRule="auto"/>
              <w:ind w:left="57" w:right="57"/>
              <w:jc w:val="both"/>
              <w:rPr>
                <w:sz w:val="22"/>
                <w:szCs w:val="22"/>
                <w:lang w:eastAsia="en-US"/>
              </w:rPr>
            </w:pPr>
            <w:r w:rsidRPr="00D53A2B">
              <w:rPr>
                <w:sz w:val="22"/>
                <w:szCs w:val="22"/>
                <w:lang w:eastAsia="en-US"/>
              </w:rPr>
              <w:t>Altın liç proseslerinde elektrolit, çamur ve çözeltilerden altının geri kazanılması</w:t>
            </w:r>
          </w:p>
        </w:tc>
        <w:tc>
          <w:tcPr>
            <w:tcW w:w="2693" w:type="dxa"/>
            <w:tcBorders>
              <w:top w:val="single" w:sz="4" w:space="0" w:color="000000"/>
              <w:left w:val="single" w:sz="4" w:space="0" w:color="000000"/>
              <w:bottom w:val="single" w:sz="4" w:space="0" w:color="000000"/>
              <w:right w:val="single" w:sz="4" w:space="0" w:color="000000"/>
            </w:tcBorders>
            <w:vAlign w:val="center"/>
          </w:tcPr>
          <w:p w14:paraId="730F379D"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Altın elektrolitik rafinasyonu</w:t>
            </w:r>
          </w:p>
        </w:tc>
      </w:tr>
      <w:tr w:rsidR="00FD5007" w:rsidRPr="00D53A2B" w14:paraId="4896E2E5" w14:textId="77777777" w:rsidTr="00A23C24">
        <w:tc>
          <w:tcPr>
            <w:tcW w:w="418" w:type="dxa"/>
            <w:tcBorders>
              <w:top w:val="single" w:sz="4" w:space="0" w:color="000000"/>
              <w:left w:val="single" w:sz="4" w:space="0" w:color="000000"/>
              <w:bottom w:val="single" w:sz="4" w:space="0" w:color="000000"/>
              <w:right w:val="single" w:sz="4" w:space="0" w:color="000000"/>
            </w:tcBorders>
            <w:vAlign w:val="center"/>
          </w:tcPr>
          <w:p w14:paraId="7EB5D2B2"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f</w:t>
            </w:r>
          </w:p>
        </w:tc>
        <w:tc>
          <w:tcPr>
            <w:tcW w:w="5663" w:type="dxa"/>
            <w:tcBorders>
              <w:top w:val="single" w:sz="4" w:space="0" w:color="000000"/>
              <w:left w:val="single" w:sz="4" w:space="0" w:color="000000"/>
              <w:bottom w:val="single" w:sz="4" w:space="0" w:color="auto"/>
              <w:right w:val="single" w:sz="4" w:space="0" w:color="000000"/>
            </w:tcBorders>
            <w:vAlign w:val="center"/>
          </w:tcPr>
          <w:p w14:paraId="2060E7CF" w14:textId="3A2DCAA7" w:rsidR="00FD5007" w:rsidRPr="00D53A2B" w:rsidRDefault="00FD5007" w:rsidP="00A202FD">
            <w:pPr>
              <w:spacing w:line="264" w:lineRule="auto"/>
              <w:ind w:left="57" w:right="57"/>
              <w:jc w:val="both"/>
              <w:rPr>
                <w:sz w:val="22"/>
                <w:szCs w:val="22"/>
                <w:lang w:eastAsia="en-US"/>
              </w:rPr>
            </w:pPr>
            <w:r w:rsidRPr="00D53A2B">
              <w:rPr>
                <w:sz w:val="22"/>
                <w:szCs w:val="22"/>
                <w:lang w:eastAsia="en-US"/>
              </w:rPr>
              <w:t>Atık anotlardan metallerin geri kazanılması</w:t>
            </w:r>
          </w:p>
        </w:tc>
        <w:tc>
          <w:tcPr>
            <w:tcW w:w="2693" w:type="dxa"/>
            <w:vMerge w:val="restart"/>
            <w:tcBorders>
              <w:top w:val="single" w:sz="4" w:space="0" w:color="000000"/>
              <w:left w:val="single" w:sz="4" w:space="0" w:color="000000"/>
              <w:right w:val="single" w:sz="4" w:space="0" w:color="000000"/>
            </w:tcBorders>
            <w:vAlign w:val="center"/>
          </w:tcPr>
          <w:p w14:paraId="40A9AE77"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Gümüş ve altın elektrolitik rafinasyonu</w:t>
            </w:r>
          </w:p>
        </w:tc>
      </w:tr>
      <w:tr w:rsidR="00FD5007" w:rsidRPr="00D53A2B" w14:paraId="71F08A40" w14:textId="77777777" w:rsidTr="00A23C24">
        <w:tc>
          <w:tcPr>
            <w:tcW w:w="418" w:type="dxa"/>
            <w:tcBorders>
              <w:top w:val="single" w:sz="4" w:space="0" w:color="000000"/>
              <w:left w:val="single" w:sz="4" w:space="0" w:color="000000"/>
              <w:bottom w:val="single" w:sz="4" w:space="0" w:color="000000"/>
              <w:right w:val="single" w:sz="4" w:space="0" w:color="000000"/>
            </w:tcBorders>
            <w:vAlign w:val="center"/>
          </w:tcPr>
          <w:p w14:paraId="5F8B58F6" w14:textId="77777777" w:rsidR="00FD5007" w:rsidRPr="00D53A2B" w:rsidRDefault="00FD5007" w:rsidP="00A202FD">
            <w:pPr>
              <w:spacing w:line="264" w:lineRule="auto"/>
              <w:ind w:left="57" w:right="57"/>
              <w:jc w:val="both"/>
              <w:rPr>
                <w:sz w:val="22"/>
                <w:szCs w:val="22"/>
                <w:lang w:eastAsia="en-US"/>
              </w:rPr>
            </w:pPr>
          </w:p>
          <w:p w14:paraId="7FE0B32D"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g</w:t>
            </w:r>
          </w:p>
        </w:tc>
        <w:tc>
          <w:tcPr>
            <w:tcW w:w="5663" w:type="dxa"/>
            <w:tcBorders>
              <w:top w:val="single" w:sz="4" w:space="0" w:color="auto"/>
              <w:left w:val="single" w:sz="4" w:space="0" w:color="000000"/>
              <w:bottom w:val="single" w:sz="4" w:space="0" w:color="000000"/>
              <w:right w:val="single" w:sz="4" w:space="0" w:color="000000"/>
            </w:tcBorders>
            <w:vAlign w:val="center"/>
          </w:tcPr>
          <w:p w14:paraId="6A46AF12" w14:textId="46F960C3" w:rsidR="00FD5007" w:rsidRPr="00D53A2B" w:rsidRDefault="00FD5007" w:rsidP="00A202FD">
            <w:pPr>
              <w:spacing w:line="264" w:lineRule="auto"/>
              <w:ind w:left="57" w:right="57"/>
              <w:jc w:val="both"/>
              <w:rPr>
                <w:sz w:val="22"/>
                <w:szCs w:val="22"/>
                <w:lang w:eastAsia="en-US"/>
              </w:rPr>
            </w:pPr>
            <w:r w:rsidRPr="00D53A2B">
              <w:rPr>
                <w:sz w:val="22"/>
                <w:szCs w:val="22"/>
                <w:lang w:eastAsia="en-US"/>
              </w:rPr>
              <w:t>Platin grubu metallerce zenginleştirilmiş çözeltilerden platin grubu metallerin geri kazanımı</w:t>
            </w:r>
          </w:p>
        </w:tc>
        <w:tc>
          <w:tcPr>
            <w:tcW w:w="2693" w:type="dxa"/>
            <w:vMerge/>
            <w:tcBorders>
              <w:left w:val="single" w:sz="4" w:space="0" w:color="000000"/>
              <w:bottom w:val="single" w:sz="4" w:space="0" w:color="000000"/>
              <w:right w:val="single" w:sz="4" w:space="0" w:color="000000"/>
            </w:tcBorders>
            <w:vAlign w:val="center"/>
          </w:tcPr>
          <w:p w14:paraId="34B72AC5" w14:textId="77777777" w:rsidR="00FD5007" w:rsidRPr="00D53A2B" w:rsidRDefault="00FD5007" w:rsidP="00A202FD">
            <w:pPr>
              <w:spacing w:line="264" w:lineRule="auto"/>
              <w:ind w:left="57" w:right="57"/>
              <w:jc w:val="both"/>
              <w:rPr>
                <w:sz w:val="22"/>
                <w:szCs w:val="22"/>
                <w:lang w:eastAsia="en-US"/>
              </w:rPr>
            </w:pPr>
          </w:p>
        </w:tc>
      </w:tr>
      <w:tr w:rsidR="00FD5007" w:rsidRPr="00D53A2B" w14:paraId="05DB617B" w14:textId="77777777" w:rsidTr="00A23C24">
        <w:tc>
          <w:tcPr>
            <w:tcW w:w="418" w:type="dxa"/>
            <w:tcBorders>
              <w:top w:val="single" w:sz="4" w:space="0" w:color="000000"/>
              <w:left w:val="single" w:sz="4" w:space="0" w:color="000000"/>
              <w:bottom w:val="single" w:sz="4" w:space="0" w:color="000000"/>
              <w:right w:val="single" w:sz="4" w:space="0" w:color="000000"/>
            </w:tcBorders>
            <w:vAlign w:val="center"/>
          </w:tcPr>
          <w:p w14:paraId="33F4AC6A"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h</w:t>
            </w:r>
          </w:p>
        </w:tc>
        <w:tc>
          <w:tcPr>
            <w:tcW w:w="5663" w:type="dxa"/>
            <w:tcBorders>
              <w:top w:val="single" w:sz="4" w:space="0" w:color="000000"/>
              <w:left w:val="single" w:sz="4" w:space="0" w:color="000000"/>
              <w:bottom w:val="single" w:sz="4" w:space="0" w:color="000000"/>
              <w:right w:val="single" w:sz="4" w:space="0" w:color="000000"/>
            </w:tcBorders>
            <w:vAlign w:val="center"/>
          </w:tcPr>
          <w:p w14:paraId="4C873F64" w14:textId="307F6F96" w:rsidR="00FD5007" w:rsidRPr="00D53A2B" w:rsidRDefault="00FD5007" w:rsidP="00A202FD">
            <w:pPr>
              <w:spacing w:line="264" w:lineRule="auto"/>
              <w:ind w:left="57" w:right="57"/>
              <w:jc w:val="both"/>
              <w:rPr>
                <w:sz w:val="22"/>
                <w:szCs w:val="22"/>
                <w:lang w:eastAsia="en-US"/>
              </w:rPr>
            </w:pPr>
            <w:r w:rsidRPr="00D53A2B">
              <w:rPr>
                <w:sz w:val="22"/>
                <w:szCs w:val="22"/>
                <w:lang w:eastAsia="en-US"/>
              </w:rPr>
              <w:t>Proses sonundaki sıvıların arıtılmasından metallerin geri kazanılması</w:t>
            </w:r>
          </w:p>
        </w:tc>
        <w:tc>
          <w:tcPr>
            <w:tcW w:w="2693" w:type="dxa"/>
            <w:tcBorders>
              <w:top w:val="single" w:sz="4" w:space="0" w:color="000000"/>
              <w:left w:val="single" w:sz="4" w:space="0" w:color="000000"/>
              <w:bottom w:val="single" w:sz="4" w:space="0" w:color="000000"/>
              <w:right w:val="single" w:sz="4" w:space="0" w:color="000000"/>
            </w:tcBorders>
            <w:vAlign w:val="center"/>
          </w:tcPr>
          <w:p w14:paraId="7B97B3D8" w14:textId="77777777" w:rsidR="00FD5007" w:rsidRPr="00D53A2B" w:rsidRDefault="00FD5007" w:rsidP="00A202FD">
            <w:pPr>
              <w:spacing w:line="264" w:lineRule="auto"/>
              <w:ind w:left="57" w:right="57"/>
              <w:jc w:val="both"/>
              <w:rPr>
                <w:sz w:val="22"/>
                <w:szCs w:val="22"/>
                <w:lang w:eastAsia="en-US"/>
              </w:rPr>
            </w:pPr>
            <w:r w:rsidRPr="00D53A2B">
              <w:rPr>
                <w:sz w:val="22"/>
                <w:szCs w:val="22"/>
                <w:lang w:eastAsia="en-US"/>
              </w:rPr>
              <w:t>Bütün prosesler</w:t>
            </w:r>
          </w:p>
        </w:tc>
      </w:tr>
    </w:tbl>
    <w:p w14:paraId="4C375079" w14:textId="77777777" w:rsidR="00374C56" w:rsidRPr="00D53A2B" w:rsidRDefault="00374C56" w:rsidP="00A202FD">
      <w:pPr>
        <w:jc w:val="both"/>
        <w:rPr>
          <w:lang w:eastAsia="en-US"/>
        </w:rPr>
      </w:pPr>
    </w:p>
    <w:p w14:paraId="6D3D767E" w14:textId="5AEAE90F" w:rsidR="00374C56" w:rsidRPr="00D53A2B" w:rsidRDefault="00CD7455" w:rsidP="00A202FD">
      <w:pPr>
        <w:pStyle w:val="Balk2"/>
        <w:rPr>
          <w:rFonts w:cs="Times New Roman"/>
          <w:szCs w:val="24"/>
          <w:lang w:eastAsia="en-US"/>
        </w:rPr>
      </w:pPr>
      <w:bookmarkStart w:id="190" w:name="_Toc527940752"/>
      <w:bookmarkStart w:id="191" w:name="_Toc531927908"/>
      <w:r w:rsidRPr="00D53A2B">
        <w:rPr>
          <w:rFonts w:cs="Times New Roman"/>
          <w:szCs w:val="24"/>
          <w:lang w:val="en-US" w:eastAsia="en-US"/>
        </w:rPr>
        <w:t>1.</w:t>
      </w:r>
      <w:r w:rsidR="000A48EC" w:rsidRPr="00D53A2B">
        <w:rPr>
          <w:rFonts w:cs="Times New Roman"/>
          <w:szCs w:val="24"/>
          <w:lang w:val="en-US" w:eastAsia="en-US"/>
        </w:rPr>
        <w:t xml:space="preserve">7. </w:t>
      </w:r>
      <w:r w:rsidRPr="00D53A2B">
        <w:rPr>
          <w:rFonts w:cs="Times New Roman"/>
          <w:szCs w:val="24"/>
          <w:lang w:val="en-US" w:eastAsia="en-US"/>
        </w:rPr>
        <w:t>Demir alaşimlari üretimi için MET sonuçlar</w:t>
      </w:r>
      <w:bookmarkEnd w:id="190"/>
      <w:bookmarkEnd w:id="191"/>
      <w:r w:rsidRPr="00D53A2B">
        <w:rPr>
          <w:rFonts w:cs="Times New Roman"/>
          <w:szCs w:val="24"/>
          <w:lang w:val="en-US" w:eastAsia="en-US"/>
        </w:rPr>
        <w:t>ı</w:t>
      </w:r>
    </w:p>
    <w:p w14:paraId="69F7B7A8" w14:textId="356E3B28" w:rsidR="00374C56" w:rsidRPr="00D53A2B" w:rsidRDefault="00CD7455" w:rsidP="00A202FD">
      <w:pPr>
        <w:pStyle w:val="Balk3"/>
        <w:rPr>
          <w:rFonts w:cs="Times New Roman"/>
          <w:lang w:eastAsia="en-US"/>
        </w:rPr>
      </w:pPr>
      <w:bookmarkStart w:id="192" w:name="_Toc527940753"/>
      <w:bookmarkStart w:id="193" w:name="_Toc531927909"/>
      <w:r w:rsidRPr="00D53A2B">
        <w:rPr>
          <w:rFonts w:cs="Times New Roman"/>
          <w:lang w:eastAsia="en-US"/>
        </w:rPr>
        <w:t>1.</w:t>
      </w:r>
      <w:r w:rsidR="00374C56" w:rsidRPr="00D53A2B">
        <w:rPr>
          <w:rFonts w:cs="Times New Roman"/>
          <w:lang w:eastAsia="en-US"/>
        </w:rPr>
        <w:t>7.1.</w:t>
      </w:r>
      <w:r w:rsidRPr="00D53A2B">
        <w:rPr>
          <w:rFonts w:cs="Times New Roman"/>
          <w:lang w:eastAsia="en-US"/>
        </w:rPr>
        <w:t xml:space="preserve"> </w:t>
      </w:r>
      <w:r w:rsidR="00374C56" w:rsidRPr="00D53A2B">
        <w:rPr>
          <w:rFonts w:cs="Times New Roman"/>
          <w:lang w:eastAsia="en-US"/>
        </w:rPr>
        <w:t>Enerji</w:t>
      </w:r>
      <w:bookmarkEnd w:id="192"/>
      <w:bookmarkEnd w:id="193"/>
      <w:r w:rsidR="00374C56" w:rsidRPr="00D53A2B">
        <w:rPr>
          <w:rFonts w:cs="Times New Roman"/>
          <w:lang w:eastAsia="en-US"/>
        </w:rPr>
        <w:t xml:space="preserve"> </w:t>
      </w:r>
    </w:p>
    <w:p w14:paraId="5F4DA562" w14:textId="014D49AD" w:rsidR="00374C56" w:rsidRPr="00D53A2B" w:rsidRDefault="000A48EC" w:rsidP="00A202FD">
      <w:pPr>
        <w:spacing w:after="240"/>
        <w:jc w:val="both"/>
        <w:rPr>
          <w:b/>
          <w:lang w:eastAsia="en-US"/>
        </w:rPr>
      </w:pPr>
      <w:r w:rsidRPr="00D53A2B">
        <w:rPr>
          <w:b/>
          <w:lang w:eastAsia="en-US"/>
        </w:rPr>
        <w:t>MET 150:</w:t>
      </w:r>
      <w:r w:rsidR="00374C56" w:rsidRPr="00D53A2B">
        <w:rPr>
          <w:b/>
          <w:lang w:eastAsia="en-US"/>
        </w:rPr>
        <w:t xml:space="preserve"> </w:t>
      </w:r>
      <w:r w:rsidR="00CD7455" w:rsidRPr="00D53A2B">
        <w:rPr>
          <w:bCs/>
          <w:lang w:eastAsia="en-US"/>
        </w:rPr>
        <w:t>Enerjiyi verimli bir şekilde kullanabilmek için, CO bakımından zengin egzoz gazlarının üretildiği, kapalı bir daldırılmış ark ocağında veya kapalı plazma toz proseslerinden enerjinin geri kazanılması veya aşağıda verilen tekniklerden birinin veya bunların bir kombinasyonu kullanılır.</w:t>
      </w:r>
    </w:p>
    <w:tbl>
      <w:tblPr>
        <w:tblW w:w="8926" w:type="dxa"/>
        <w:tblLayout w:type="fixed"/>
        <w:tblCellMar>
          <w:left w:w="0" w:type="dxa"/>
          <w:right w:w="0" w:type="dxa"/>
        </w:tblCellMar>
        <w:tblLook w:val="01E0" w:firstRow="1" w:lastRow="1" w:firstColumn="1" w:lastColumn="1" w:noHBand="0" w:noVBand="0"/>
      </w:tblPr>
      <w:tblGrid>
        <w:gridCol w:w="317"/>
        <w:gridCol w:w="4067"/>
        <w:gridCol w:w="4542"/>
      </w:tblGrid>
      <w:tr w:rsidR="00374C56" w:rsidRPr="00D53A2B" w14:paraId="770AD3A8" w14:textId="77777777" w:rsidTr="00A13C5D">
        <w:trPr>
          <w:trHeight w:val="20"/>
        </w:trPr>
        <w:tc>
          <w:tcPr>
            <w:tcW w:w="317" w:type="dxa"/>
            <w:tcBorders>
              <w:top w:val="single" w:sz="4" w:space="0" w:color="000000"/>
              <w:left w:val="single" w:sz="4" w:space="0" w:color="000000"/>
              <w:bottom w:val="single" w:sz="4" w:space="0" w:color="000000"/>
              <w:right w:val="single" w:sz="4" w:space="0" w:color="000000"/>
            </w:tcBorders>
            <w:vAlign w:val="center"/>
          </w:tcPr>
          <w:p w14:paraId="40CE9C62" w14:textId="77777777" w:rsidR="00374C56" w:rsidRPr="00D53A2B" w:rsidRDefault="00374C56" w:rsidP="00A202FD">
            <w:pPr>
              <w:ind w:left="113" w:right="113"/>
              <w:jc w:val="both"/>
              <w:rPr>
                <w:sz w:val="22"/>
                <w:szCs w:val="22"/>
                <w:lang w:eastAsia="en-US"/>
              </w:rPr>
            </w:pPr>
          </w:p>
        </w:tc>
        <w:tc>
          <w:tcPr>
            <w:tcW w:w="4067" w:type="dxa"/>
            <w:tcBorders>
              <w:top w:val="single" w:sz="4" w:space="0" w:color="000000"/>
              <w:left w:val="single" w:sz="4" w:space="0" w:color="000000"/>
              <w:bottom w:val="single" w:sz="4" w:space="0" w:color="000000"/>
              <w:right w:val="single" w:sz="4" w:space="0" w:color="000000"/>
            </w:tcBorders>
          </w:tcPr>
          <w:p w14:paraId="51523823" w14:textId="77777777" w:rsidR="00374C56" w:rsidRPr="00D53A2B" w:rsidRDefault="00374C56" w:rsidP="00A202FD">
            <w:pPr>
              <w:ind w:left="113" w:right="113"/>
              <w:jc w:val="both"/>
              <w:rPr>
                <w:sz w:val="22"/>
                <w:szCs w:val="22"/>
                <w:lang w:eastAsia="en-US"/>
              </w:rPr>
            </w:pPr>
            <w:r w:rsidRPr="00D53A2B">
              <w:rPr>
                <w:b/>
                <w:bCs/>
                <w:sz w:val="22"/>
                <w:szCs w:val="22"/>
                <w:lang w:eastAsia="en-US"/>
              </w:rPr>
              <w:t>Teknik</w:t>
            </w:r>
          </w:p>
        </w:tc>
        <w:tc>
          <w:tcPr>
            <w:tcW w:w="4542" w:type="dxa"/>
            <w:tcBorders>
              <w:top w:val="single" w:sz="4" w:space="0" w:color="000000"/>
              <w:left w:val="single" w:sz="4" w:space="0" w:color="000000"/>
              <w:bottom w:val="single" w:sz="4" w:space="0" w:color="000000"/>
              <w:right w:val="single" w:sz="4" w:space="0" w:color="000000"/>
            </w:tcBorders>
          </w:tcPr>
          <w:p w14:paraId="5A407D11" w14:textId="77777777" w:rsidR="00374C56" w:rsidRPr="00D53A2B" w:rsidRDefault="00374C56" w:rsidP="00A202FD">
            <w:pPr>
              <w:ind w:left="113" w:right="113"/>
              <w:jc w:val="both"/>
              <w:rPr>
                <w:sz w:val="22"/>
                <w:szCs w:val="22"/>
                <w:lang w:eastAsia="en-US"/>
              </w:rPr>
            </w:pPr>
            <w:r w:rsidRPr="00D53A2B">
              <w:rPr>
                <w:b/>
                <w:bCs/>
                <w:sz w:val="22"/>
                <w:szCs w:val="22"/>
                <w:lang w:eastAsia="en-US"/>
              </w:rPr>
              <w:t>Uygulanabilirlik</w:t>
            </w:r>
          </w:p>
        </w:tc>
      </w:tr>
      <w:tr w:rsidR="00CD7455" w:rsidRPr="00D53A2B" w14:paraId="06E8F5B7" w14:textId="77777777" w:rsidTr="00A13C5D">
        <w:trPr>
          <w:trHeight w:val="835"/>
        </w:trPr>
        <w:tc>
          <w:tcPr>
            <w:tcW w:w="317" w:type="dxa"/>
            <w:tcBorders>
              <w:top w:val="single" w:sz="4" w:space="0" w:color="000000"/>
              <w:left w:val="single" w:sz="4" w:space="0" w:color="000000"/>
              <w:bottom w:val="single" w:sz="4" w:space="0" w:color="000000"/>
              <w:right w:val="single" w:sz="4" w:space="0" w:color="000000"/>
            </w:tcBorders>
            <w:vAlign w:val="center"/>
          </w:tcPr>
          <w:p w14:paraId="7566D61B" w14:textId="77777777" w:rsidR="00CD7455" w:rsidRPr="00D53A2B" w:rsidRDefault="00CD7455" w:rsidP="00A202FD">
            <w:pPr>
              <w:ind w:left="113" w:right="113"/>
              <w:jc w:val="both"/>
              <w:rPr>
                <w:sz w:val="22"/>
                <w:szCs w:val="22"/>
                <w:lang w:eastAsia="en-US"/>
              </w:rPr>
            </w:pPr>
            <w:r w:rsidRPr="00D53A2B">
              <w:rPr>
                <w:sz w:val="22"/>
                <w:szCs w:val="22"/>
                <w:lang w:eastAsia="en-US"/>
              </w:rPr>
              <w:t>a</w:t>
            </w:r>
          </w:p>
        </w:tc>
        <w:tc>
          <w:tcPr>
            <w:tcW w:w="4067" w:type="dxa"/>
            <w:tcBorders>
              <w:top w:val="single" w:sz="4" w:space="0" w:color="000000"/>
              <w:left w:val="single" w:sz="4" w:space="0" w:color="000000"/>
              <w:bottom w:val="single" w:sz="4" w:space="0" w:color="000000"/>
              <w:right w:val="single" w:sz="4" w:space="0" w:color="000000"/>
            </w:tcBorders>
          </w:tcPr>
          <w:p w14:paraId="0530B03D" w14:textId="584DB26B" w:rsidR="00CD7455" w:rsidRPr="00D53A2B" w:rsidRDefault="00CD7455" w:rsidP="00A202FD">
            <w:pPr>
              <w:ind w:left="113" w:right="113"/>
              <w:jc w:val="both"/>
              <w:rPr>
                <w:sz w:val="22"/>
                <w:szCs w:val="22"/>
                <w:lang w:eastAsia="en-US"/>
              </w:rPr>
            </w:pPr>
            <w:r w:rsidRPr="00D53A2B">
              <w:rPr>
                <w:sz w:val="22"/>
                <w:szCs w:val="22"/>
                <w:lang w:eastAsia="en-US"/>
              </w:rPr>
              <w:t>Egzoz gazının enerji içeriğini geri kazanmak ve elektrik üretmek için bir buhar kazanı ve türbin kullanılması</w:t>
            </w:r>
          </w:p>
        </w:tc>
        <w:tc>
          <w:tcPr>
            <w:tcW w:w="4542" w:type="dxa"/>
            <w:tcBorders>
              <w:top w:val="single" w:sz="4" w:space="0" w:color="000000"/>
              <w:left w:val="single" w:sz="4" w:space="0" w:color="000000"/>
              <w:bottom w:val="single" w:sz="4" w:space="0" w:color="000000"/>
              <w:right w:val="single" w:sz="4" w:space="0" w:color="000000"/>
            </w:tcBorders>
          </w:tcPr>
          <w:p w14:paraId="37E5D353" w14:textId="4162C856" w:rsidR="00CD7455" w:rsidRPr="00D53A2B" w:rsidRDefault="00CD7455" w:rsidP="00A202FD">
            <w:pPr>
              <w:ind w:left="113" w:right="113"/>
              <w:jc w:val="both"/>
              <w:rPr>
                <w:sz w:val="22"/>
                <w:szCs w:val="22"/>
                <w:lang w:eastAsia="en-US"/>
              </w:rPr>
            </w:pPr>
            <w:r w:rsidRPr="00D53A2B">
              <w:rPr>
                <w:sz w:val="22"/>
                <w:szCs w:val="22"/>
                <w:lang w:eastAsia="en-US"/>
              </w:rPr>
              <w:t>Uygulanabilirlik, enerji fiyatlarına ve üye ülkenin enerji politikasına bağlı olarak kısıtlanabilir.</w:t>
            </w:r>
          </w:p>
        </w:tc>
      </w:tr>
      <w:tr w:rsidR="00CD7455" w:rsidRPr="00D53A2B" w14:paraId="0DCC4051" w14:textId="77777777" w:rsidTr="00A13C5D">
        <w:trPr>
          <w:trHeight w:val="1560"/>
        </w:trPr>
        <w:tc>
          <w:tcPr>
            <w:tcW w:w="317" w:type="dxa"/>
            <w:tcBorders>
              <w:top w:val="single" w:sz="4" w:space="0" w:color="000000"/>
              <w:left w:val="single" w:sz="4" w:space="0" w:color="000000"/>
              <w:bottom w:val="single" w:sz="4" w:space="0" w:color="000000"/>
              <w:right w:val="single" w:sz="4" w:space="0" w:color="000000"/>
            </w:tcBorders>
            <w:vAlign w:val="center"/>
          </w:tcPr>
          <w:p w14:paraId="322729CD" w14:textId="77777777" w:rsidR="00CD7455" w:rsidRPr="00D53A2B" w:rsidRDefault="00CD7455" w:rsidP="00A202FD">
            <w:pPr>
              <w:ind w:left="113" w:right="113"/>
              <w:jc w:val="both"/>
              <w:rPr>
                <w:sz w:val="22"/>
                <w:szCs w:val="22"/>
                <w:lang w:eastAsia="en-US"/>
              </w:rPr>
            </w:pPr>
            <w:r w:rsidRPr="00D53A2B">
              <w:rPr>
                <w:sz w:val="22"/>
                <w:szCs w:val="22"/>
                <w:lang w:eastAsia="en-US"/>
              </w:rPr>
              <w:t>b</w:t>
            </w:r>
          </w:p>
        </w:tc>
        <w:tc>
          <w:tcPr>
            <w:tcW w:w="4067" w:type="dxa"/>
            <w:tcBorders>
              <w:top w:val="single" w:sz="4" w:space="0" w:color="000000"/>
              <w:left w:val="single" w:sz="4" w:space="0" w:color="000000"/>
              <w:bottom w:val="single" w:sz="4" w:space="0" w:color="000000"/>
              <w:right w:val="single" w:sz="4" w:space="0" w:color="000000"/>
            </w:tcBorders>
          </w:tcPr>
          <w:p w14:paraId="237B596B" w14:textId="41136F49" w:rsidR="00CD7455" w:rsidRPr="00D53A2B" w:rsidRDefault="00CD7455" w:rsidP="00A202FD">
            <w:pPr>
              <w:ind w:left="113" w:right="113"/>
              <w:jc w:val="both"/>
              <w:rPr>
                <w:sz w:val="22"/>
                <w:szCs w:val="22"/>
                <w:lang w:eastAsia="en-US"/>
              </w:rPr>
            </w:pPr>
            <w:r w:rsidRPr="00D53A2B">
              <w:rPr>
                <w:sz w:val="22"/>
                <w:szCs w:val="22"/>
                <w:lang w:eastAsia="en-US"/>
              </w:rPr>
              <w:t>Egzoz gazının proses içerisinde doğrudan yakıt olarak kullanılması (örn. hammaddelerin kurutulması, beslenen maddelerin ön ısıtması, sinterleme, potaların ısıtılmasında)</w:t>
            </w:r>
          </w:p>
        </w:tc>
        <w:tc>
          <w:tcPr>
            <w:tcW w:w="4542" w:type="dxa"/>
            <w:tcBorders>
              <w:top w:val="single" w:sz="4" w:space="0" w:color="000000"/>
              <w:left w:val="single" w:sz="4" w:space="0" w:color="000000"/>
              <w:bottom w:val="single" w:sz="4" w:space="0" w:color="000000"/>
              <w:right w:val="single" w:sz="4" w:space="0" w:color="000000"/>
            </w:tcBorders>
          </w:tcPr>
          <w:p w14:paraId="4E221D56" w14:textId="3BB9B210" w:rsidR="00CD7455" w:rsidRPr="00D53A2B" w:rsidRDefault="00CD7455" w:rsidP="00A202FD">
            <w:pPr>
              <w:ind w:left="113" w:right="113"/>
              <w:jc w:val="both"/>
              <w:rPr>
                <w:sz w:val="22"/>
                <w:szCs w:val="22"/>
                <w:lang w:eastAsia="en-US"/>
              </w:rPr>
            </w:pPr>
            <w:r w:rsidRPr="00D53A2B">
              <w:rPr>
                <w:sz w:val="22"/>
                <w:szCs w:val="22"/>
                <w:lang w:eastAsia="en-US"/>
              </w:rPr>
              <w:t>Sadece proseste ısı ihtiyacı varsa uygulanabilir</w:t>
            </w:r>
          </w:p>
        </w:tc>
      </w:tr>
      <w:tr w:rsidR="00CD7455" w:rsidRPr="00D53A2B" w14:paraId="5B0B316E" w14:textId="77777777" w:rsidTr="00A13C5D">
        <w:trPr>
          <w:trHeight w:val="20"/>
        </w:trPr>
        <w:tc>
          <w:tcPr>
            <w:tcW w:w="317" w:type="dxa"/>
            <w:tcBorders>
              <w:top w:val="single" w:sz="4" w:space="0" w:color="000000"/>
              <w:left w:val="single" w:sz="4" w:space="0" w:color="000000"/>
              <w:bottom w:val="single" w:sz="4" w:space="0" w:color="000000"/>
              <w:right w:val="single" w:sz="4" w:space="0" w:color="000000"/>
            </w:tcBorders>
            <w:vAlign w:val="center"/>
          </w:tcPr>
          <w:p w14:paraId="6FCC0F42" w14:textId="77777777" w:rsidR="00CD7455" w:rsidRPr="00D53A2B" w:rsidRDefault="00CD7455" w:rsidP="00A202FD">
            <w:pPr>
              <w:ind w:left="113" w:right="113"/>
              <w:jc w:val="both"/>
              <w:rPr>
                <w:sz w:val="22"/>
                <w:szCs w:val="22"/>
                <w:lang w:eastAsia="en-US"/>
              </w:rPr>
            </w:pPr>
            <w:r w:rsidRPr="00D53A2B">
              <w:rPr>
                <w:sz w:val="22"/>
                <w:szCs w:val="22"/>
                <w:lang w:eastAsia="en-US"/>
              </w:rPr>
              <w:t>c</w:t>
            </w:r>
          </w:p>
        </w:tc>
        <w:tc>
          <w:tcPr>
            <w:tcW w:w="4067" w:type="dxa"/>
            <w:tcBorders>
              <w:top w:val="single" w:sz="4" w:space="0" w:color="000000"/>
              <w:left w:val="single" w:sz="4" w:space="0" w:color="000000"/>
              <w:bottom w:val="single" w:sz="4" w:space="0" w:color="000000"/>
              <w:right w:val="single" w:sz="4" w:space="0" w:color="000000"/>
            </w:tcBorders>
          </w:tcPr>
          <w:p w14:paraId="02723AC9" w14:textId="7BE4D87F" w:rsidR="00CD7455" w:rsidRPr="00D53A2B" w:rsidRDefault="00CD7455" w:rsidP="00A202FD">
            <w:pPr>
              <w:ind w:left="113" w:right="113"/>
              <w:jc w:val="both"/>
              <w:rPr>
                <w:sz w:val="22"/>
                <w:szCs w:val="22"/>
                <w:lang w:eastAsia="en-US"/>
              </w:rPr>
            </w:pPr>
            <w:r w:rsidRPr="00D53A2B">
              <w:rPr>
                <w:sz w:val="22"/>
                <w:szCs w:val="22"/>
                <w:lang w:eastAsia="en-US"/>
              </w:rPr>
              <w:t>Komşu tesislerde egzoz gazının yakıt olarak kullanılması</w:t>
            </w:r>
          </w:p>
        </w:tc>
        <w:tc>
          <w:tcPr>
            <w:tcW w:w="4542" w:type="dxa"/>
            <w:tcBorders>
              <w:top w:val="single" w:sz="4" w:space="0" w:color="000000"/>
              <w:left w:val="single" w:sz="4" w:space="0" w:color="000000"/>
              <w:bottom w:val="single" w:sz="4" w:space="0" w:color="000000"/>
              <w:right w:val="single" w:sz="4" w:space="0" w:color="000000"/>
            </w:tcBorders>
          </w:tcPr>
          <w:p w14:paraId="7345E265" w14:textId="1677795C" w:rsidR="00CD7455" w:rsidRPr="00D53A2B" w:rsidRDefault="00CD7455" w:rsidP="00A202FD">
            <w:pPr>
              <w:ind w:left="113" w:right="113"/>
              <w:jc w:val="both"/>
              <w:rPr>
                <w:sz w:val="22"/>
                <w:szCs w:val="22"/>
                <w:lang w:eastAsia="en-US"/>
              </w:rPr>
            </w:pPr>
            <w:r w:rsidRPr="00D53A2B">
              <w:rPr>
                <w:sz w:val="22"/>
                <w:szCs w:val="22"/>
                <w:lang w:eastAsia="en-US"/>
              </w:rPr>
              <w:t>Sadece bu tür bir yakıt için ekonomik olarak uygun bir talep mevcutsa uygulanabilir</w:t>
            </w:r>
          </w:p>
        </w:tc>
      </w:tr>
    </w:tbl>
    <w:p w14:paraId="577439BA" w14:textId="77777777" w:rsidR="00374C56" w:rsidRPr="00D53A2B" w:rsidRDefault="00374C56" w:rsidP="00A202FD">
      <w:pPr>
        <w:jc w:val="both"/>
        <w:rPr>
          <w:b/>
          <w:lang w:eastAsia="en-US"/>
        </w:rPr>
      </w:pPr>
    </w:p>
    <w:p w14:paraId="20D77C93" w14:textId="5D1AA5F7" w:rsidR="00374C56" w:rsidRPr="00D53A2B" w:rsidRDefault="000A48EC" w:rsidP="00A202FD">
      <w:pPr>
        <w:spacing w:after="240"/>
        <w:jc w:val="both"/>
        <w:rPr>
          <w:bCs/>
          <w:lang w:eastAsia="en-US"/>
        </w:rPr>
      </w:pPr>
      <w:r w:rsidRPr="00D53A2B">
        <w:rPr>
          <w:b/>
          <w:lang w:eastAsia="en-US"/>
        </w:rPr>
        <w:t>MET 151:</w:t>
      </w:r>
      <w:r w:rsidR="00374C56" w:rsidRPr="00D53A2B">
        <w:rPr>
          <w:b/>
          <w:lang w:eastAsia="en-US"/>
        </w:rPr>
        <w:t xml:space="preserve"> </w:t>
      </w:r>
      <w:r w:rsidR="00374C56" w:rsidRPr="00D53A2B">
        <w:rPr>
          <w:bCs/>
          <w:lang w:eastAsia="en-US"/>
        </w:rPr>
        <w:t>Enerjiyi verimli bir şekilde kullanabilmek için, yarı kapalı daldırılmış ark ocağından çıkan sıcak egzoz gazı geri kazanıl</w:t>
      </w:r>
      <w:r w:rsidR="00AB3EBD" w:rsidRPr="00D53A2B">
        <w:rPr>
          <w:bCs/>
          <w:lang w:eastAsia="en-US"/>
        </w:rPr>
        <w:t>ır</w:t>
      </w:r>
      <w:r w:rsidR="00374C56" w:rsidRPr="00D53A2B">
        <w:rPr>
          <w:bCs/>
          <w:lang w:eastAsia="en-US"/>
        </w:rPr>
        <w:t xml:space="preserve"> veya aşağıda verilen tekniklerden biri veya bunların bir kombinasyonu kullanılır.</w:t>
      </w:r>
    </w:p>
    <w:tbl>
      <w:tblPr>
        <w:tblW w:w="8784" w:type="dxa"/>
        <w:tblLayout w:type="fixed"/>
        <w:tblCellMar>
          <w:left w:w="0" w:type="dxa"/>
          <w:right w:w="0" w:type="dxa"/>
        </w:tblCellMar>
        <w:tblLook w:val="01E0" w:firstRow="1" w:lastRow="1" w:firstColumn="1" w:lastColumn="1" w:noHBand="0" w:noVBand="0"/>
      </w:tblPr>
      <w:tblGrid>
        <w:gridCol w:w="317"/>
        <w:gridCol w:w="4347"/>
        <w:gridCol w:w="4120"/>
      </w:tblGrid>
      <w:tr w:rsidR="00374C56" w:rsidRPr="00D53A2B" w14:paraId="5C00B229" w14:textId="77777777" w:rsidTr="00A13C5D">
        <w:trPr>
          <w:trHeight w:hRule="exact" w:val="283"/>
        </w:trPr>
        <w:tc>
          <w:tcPr>
            <w:tcW w:w="317" w:type="dxa"/>
            <w:tcBorders>
              <w:top w:val="single" w:sz="4" w:space="0" w:color="000000"/>
              <w:left w:val="single" w:sz="4" w:space="0" w:color="000000"/>
              <w:bottom w:val="single" w:sz="4" w:space="0" w:color="000000"/>
              <w:right w:val="single" w:sz="4" w:space="0" w:color="000000"/>
            </w:tcBorders>
            <w:vAlign w:val="center"/>
          </w:tcPr>
          <w:p w14:paraId="05D2CB61" w14:textId="77777777" w:rsidR="00374C56" w:rsidRPr="00D53A2B" w:rsidRDefault="00374C56" w:rsidP="00A202FD">
            <w:pPr>
              <w:ind w:left="113" w:right="113"/>
              <w:jc w:val="both"/>
              <w:rPr>
                <w:sz w:val="22"/>
                <w:szCs w:val="22"/>
                <w:lang w:eastAsia="en-US"/>
              </w:rPr>
            </w:pPr>
          </w:p>
        </w:tc>
        <w:tc>
          <w:tcPr>
            <w:tcW w:w="4347" w:type="dxa"/>
            <w:tcBorders>
              <w:top w:val="single" w:sz="4" w:space="0" w:color="000000"/>
              <w:left w:val="single" w:sz="4" w:space="0" w:color="000000"/>
              <w:bottom w:val="single" w:sz="4" w:space="0" w:color="000000"/>
              <w:right w:val="single" w:sz="4" w:space="0" w:color="000000"/>
            </w:tcBorders>
          </w:tcPr>
          <w:p w14:paraId="02D0EFA8" w14:textId="77777777" w:rsidR="00374C56" w:rsidRPr="00D53A2B" w:rsidRDefault="00374C56" w:rsidP="00A202FD">
            <w:pPr>
              <w:ind w:left="113" w:right="113"/>
              <w:jc w:val="both"/>
              <w:rPr>
                <w:sz w:val="22"/>
                <w:szCs w:val="22"/>
                <w:lang w:eastAsia="en-US"/>
              </w:rPr>
            </w:pPr>
            <w:r w:rsidRPr="00D53A2B">
              <w:rPr>
                <w:b/>
                <w:bCs/>
                <w:sz w:val="22"/>
                <w:szCs w:val="22"/>
                <w:lang w:eastAsia="en-US"/>
              </w:rPr>
              <w:t>Teknik</w:t>
            </w:r>
          </w:p>
        </w:tc>
        <w:tc>
          <w:tcPr>
            <w:tcW w:w="4120" w:type="dxa"/>
            <w:tcBorders>
              <w:top w:val="single" w:sz="4" w:space="0" w:color="000000"/>
              <w:left w:val="single" w:sz="4" w:space="0" w:color="000000"/>
              <w:bottom w:val="single" w:sz="4" w:space="0" w:color="000000"/>
              <w:right w:val="single" w:sz="4" w:space="0" w:color="000000"/>
            </w:tcBorders>
          </w:tcPr>
          <w:p w14:paraId="2486A1FA" w14:textId="77777777" w:rsidR="00374C56" w:rsidRPr="00D53A2B" w:rsidRDefault="00374C56" w:rsidP="00A202FD">
            <w:pPr>
              <w:ind w:left="113" w:right="113"/>
              <w:jc w:val="both"/>
              <w:rPr>
                <w:sz w:val="22"/>
                <w:szCs w:val="22"/>
                <w:lang w:eastAsia="en-US"/>
              </w:rPr>
            </w:pPr>
            <w:r w:rsidRPr="00D53A2B">
              <w:rPr>
                <w:b/>
                <w:bCs/>
                <w:sz w:val="22"/>
                <w:szCs w:val="22"/>
                <w:lang w:eastAsia="en-US"/>
              </w:rPr>
              <w:t>Uygulanabilirlik</w:t>
            </w:r>
          </w:p>
        </w:tc>
      </w:tr>
      <w:tr w:rsidR="00374C56" w:rsidRPr="00D53A2B" w14:paraId="654AA27F" w14:textId="77777777" w:rsidTr="00A13C5D">
        <w:trPr>
          <w:trHeight w:hRule="exact" w:val="865"/>
        </w:trPr>
        <w:tc>
          <w:tcPr>
            <w:tcW w:w="317" w:type="dxa"/>
            <w:tcBorders>
              <w:top w:val="single" w:sz="4" w:space="0" w:color="000000"/>
              <w:left w:val="single" w:sz="4" w:space="0" w:color="000000"/>
              <w:bottom w:val="single" w:sz="4" w:space="0" w:color="000000"/>
              <w:right w:val="single" w:sz="4" w:space="0" w:color="000000"/>
            </w:tcBorders>
            <w:vAlign w:val="center"/>
          </w:tcPr>
          <w:p w14:paraId="21BFC489" w14:textId="77777777" w:rsidR="00374C56" w:rsidRPr="00D53A2B" w:rsidRDefault="00374C56" w:rsidP="00A202FD">
            <w:pPr>
              <w:ind w:left="113" w:right="113"/>
              <w:jc w:val="both"/>
              <w:rPr>
                <w:sz w:val="22"/>
                <w:szCs w:val="22"/>
                <w:lang w:eastAsia="en-US"/>
              </w:rPr>
            </w:pPr>
            <w:r w:rsidRPr="00D53A2B">
              <w:rPr>
                <w:sz w:val="22"/>
                <w:szCs w:val="22"/>
                <w:lang w:eastAsia="en-US"/>
              </w:rPr>
              <w:t>a</w:t>
            </w:r>
          </w:p>
        </w:tc>
        <w:tc>
          <w:tcPr>
            <w:tcW w:w="4347" w:type="dxa"/>
            <w:tcBorders>
              <w:top w:val="single" w:sz="4" w:space="0" w:color="000000"/>
              <w:left w:val="single" w:sz="4" w:space="0" w:color="000000"/>
              <w:bottom w:val="single" w:sz="4" w:space="0" w:color="000000"/>
              <w:right w:val="single" w:sz="4" w:space="0" w:color="000000"/>
            </w:tcBorders>
          </w:tcPr>
          <w:p w14:paraId="54E375FD" w14:textId="77777777" w:rsidR="00374C56" w:rsidRPr="00D53A2B" w:rsidRDefault="00374C56" w:rsidP="00A202FD">
            <w:pPr>
              <w:ind w:left="113" w:right="113"/>
              <w:jc w:val="both"/>
              <w:rPr>
                <w:sz w:val="22"/>
                <w:szCs w:val="22"/>
                <w:lang w:eastAsia="en-US"/>
              </w:rPr>
            </w:pPr>
            <w:r w:rsidRPr="00D53A2B">
              <w:rPr>
                <w:sz w:val="22"/>
                <w:szCs w:val="22"/>
                <w:lang w:eastAsia="en-US"/>
              </w:rPr>
              <w:t>Egzoz gazının enerji içeriğini geri kazanmak ve elektrik üretmek için bir buhar kazanı ve türbin kullanımı</w:t>
            </w:r>
          </w:p>
        </w:tc>
        <w:tc>
          <w:tcPr>
            <w:tcW w:w="4120" w:type="dxa"/>
            <w:tcBorders>
              <w:top w:val="single" w:sz="4" w:space="0" w:color="000000"/>
              <w:left w:val="single" w:sz="4" w:space="0" w:color="000000"/>
              <w:bottom w:val="single" w:sz="4" w:space="0" w:color="000000"/>
              <w:right w:val="single" w:sz="4" w:space="0" w:color="000000"/>
            </w:tcBorders>
          </w:tcPr>
          <w:p w14:paraId="353249EC" w14:textId="77777777" w:rsidR="00374C56" w:rsidRPr="00D53A2B" w:rsidRDefault="00374C56" w:rsidP="00A202FD">
            <w:pPr>
              <w:ind w:left="113" w:right="113"/>
              <w:jc w:val="both"/>
              <w:rPr>
                <w:sz w:val="22"/>
                <w:szCs w:val="22"/>
                <w:lang w:eastAsia="en-US"/>
              </w:rPr>
            </w:pPr>
            <w:r w:rsidRPr="00D53A2B">
              <w:rPr>
                <w:sz w:val="22"/>
                <w:szCs w:val="22"/>
                <w:lang w:eastAsia="en-US"/>
              </w:rPr>
              <w:t>Uygulanabilirlik, enerji fiyatlarına ve üye ülkenin enerji politikasına bağlı olarak kısıtlanabilir.</w:t>
            </w:r>
          </w:p>
        </w:tc>
      </w:tr>
      <w:tr w:rsidR="00374C56" w:rsidRPr="00D53A2B" w14:paraId="0575832C" w14:textId="77777777" w:rsidTr="00A13C5D">
        <w:trPr>
          <w:trHeight w:hRule="exact" w:val="539"/>
        </w:trPr>
        <w:tc>
          <w:tcPr>
            <w:tcW w:w="317" w:type="dxa"/>
            <w:tcBorders>
              <w:top w:val="single" w:sz="4" w:space="0" w:color="000000"/>
              <w:left w:val="single" w:sz="4" w:space="0" w:color="000000"/>
              <w:bottom w:val="single" w:sz="4" w:space="0" w:color="000000"/>
              <w:right w:val="single" w:sz="4" w:space="0" w:color="000000"/>
            </w:tcBorders>
            <w:vAlign w:val="center"/>
          </w:tcPr>
          <w:p w14:paraId="7B48D214" w14:textId="77777777" w:rsidR="00374C56" w:rsidRPr="00D53A2B" w:rsidRDefault="00374C56" w:rsidP="00A202FD">
            <w:pPr>
              <w:ind w:left="113" w:right="113"/>
              <w:jc w:val="both"/>
              <w:rPr>
                <w:sz w:val="22"/>
                <w:szCs w:val="22"/>
                <w:lang w:eastAsia="en-US"/>
              </w:rPr>
            </w:pPr>
            <w:r w:rsidRPr="00D53A2B">
              <w:rPr>
                <w:sz w:val="22"/>
                <w:szCs w:val="22"/>
                <w:lang w:eastAsia="en-US"/>
              </w:rPr>
              <w:t>b</w:t>
            </w:r>
          </w:p>
        </w:tc>
        <w:tc>
          <w:tcPr>
            <w:tcW w:w="4347" w:type="dxa"/>
            <w:tcBorders>
              <w:top w:val="single" w:sz="4" w:space="0" w:color="000000"/>
              <w:left w:val="single" w:sz="4" w:space="0" w:color="000000"/>
              <w:bottom w:val="single" w:sz="4" w:space="0" w:color="000000"/>
              <w:right w:val="single" w:sz="4" w:space="0" w:color="000000"/>
            </w:tcBorders>
          </w:tcPr>
          <w:p w14:paraId="33B03158" w14:textId="77777777" w:rsidR="00374C56" w:rsidRPr="00D53A2B" w:rsidRDefault="00374C56" w:rsidP="00A202FD">
            <w:pPr>
              <w:ind w:left="113" w:right="113"/>
              <w:jc w:val="both"/>
              <w:rPr>
                <w:sz w:val="22"/>
                <w:szCs w:val="22"/>
                <w:lang w:eastAsia="en-US"/>
              </w:rPr>
            </w:pPr>
            <w:r w:rsidRPr="00D53A2B">
              <w:rPr>
                <w:sz w:val="22"/>
                <w:szCs w:val="22"/>
                <w:lang w:eastAsia="en-US"/>
              </w:rPr>
              <w:t>Sıcak su üretmek için atık ısı kazanı kullanımı</w:t>
            </w:r>
          </w:p>
        </w:tc>
        <w:tc>
          <w:tcPr>
            <w:tcW w:w="4120" w:type="dxa"/>
            <w:tcBorders>
              <w:top w:val="single" w:sz="4" w:space="0" w:color="000000"/>
              <w:left w:val="single" w:sz="4" w:space="0" w:color="000000"/>
              <w:bottom w:val="single" w:sz="4" w:space="0" w:color="000000"/>
              <w:right w:val="single" w:sz="4" w:space="0" w:color="000000"/>
            </w:tcBorders>
          </w:tcPr>
          <w:p w14:paraId="0961BBFD" w14:textId="77777777" w:rsidR="00374C56" w:rsidRPr="00D53A2B" w:rsidRDefault="00374C56" w:rsidP="00A202FD">
            <w:pPr>
              <w:ind w:left="113" w:right="113"/>
              <w:jc w:val="both"/>
              <w:rPr>
                <w:sz w:val="22"/>
                <w:szCs w:val="22"/>
                <w:lang w:eastAsia="en-US"/>
              </w:rPr>
            </w:pPr>
            <w:r w:rsidRPr="00D53A2B">
              <w:rPr>
                <w:sz w:val="22"/>
                <w:szCs w:val="22"/>
                <w:lang w:eastAsia="en-US"/>
              </w:rPr>
              <w:t>Sadece ekonomik açıdan uygun bir talep olduğunda uygulanabilir</w:t>
            </w:r>
          </w:p>
        </w:tc>
      </w:tr>
    </w:tbl>
    <w:p w14:paraId="0A01B6B8" w14:textId="77777777" w:rsidR="00AB3EBD" w:rsidRPr="00D53A2B" w:rsidRDefault="00AB3EBD" w:rsidP="00A202FD">
      <w:pPr>
        <w:jc w:val="both"/>
        <w:rPr>
          <w:b/>
          <w:lang w:eastAsia="en-US"/>
        </w:rPr>
      </w:pPr>
    </w:p>
    <w:p w14:paraId="18CCFD0E" w14:textId="47AD7E18" w:rsidR="00374C56" w:rsidRPr="00D53A2B" w:rsidRDefault="000A48EC" w:rsidP="00A202FD">
      <w:pPr>
        <w:spacing w:after="240"/>
        <w:jc w:val="both"/>
        <w:rPr>
          <w:b/>
          <w:lang w:eastAsia="en-US"/>
        </w:rPr>
      </w:pPr>
      <w:r w:rsidRPr="00D53A2B">
        <w:rPr>
          <w:b/>
          <w:lang w:eastAsia="en-US"/>
        </w:rPr>
        <w:t>MET 152:</w:t>
      </w:r>
      <w:r w:rsidR="00374C56" w:rsidRPr="00D53A2B">
        <w:rPr>
          <w:b/>
          <w:lang w:eastAsia="en-US"/>
        </w:rPr>
        <w:t xml:space="preserve"> </w:t>
      </w:r>
      <w:r w:rsidR="00374C56" w:rsidRPr="00D53A2B">
        <w:rPr>
          <w:bCs/>
          <w:lang w:eastAsia="en-US"/>
        </w:rPr>
        <w:t>Enerjiyi verimli bir şekilde kullanabilmek için açık daldırılmış ark ocağından çıkan egzoz gazından sıcak su üreterek, enerji geri kazanılır.</w:t>
      </w:r>
    </w:p>
    <w:p w14:paraId="0B14C899" w14:textId="77777777" w:rsidR="00374C56" w:rsidRPr="00D53A2B" w:rsidRDefault="00374C56" w:rsidP="00A202FD">
      <w:pPr>
        <w:spacing w:before="240"/>
        <w:jc w:val="both"/>
        <w:rPr>
          <w:b/>
          <w:lang w:eastAsia="en-US"/>
        </w:rPr>
      </w:pPr>
      <w:r w:rsidRPr="00D53A2B">
        <w:rPr>
          <w:b/>
          <w:lang w:eastAsia="en-US"/>
        </w:rPr>
        <w:t>Uygulanabilirlik</w:t>
      </w:r>
    </w:p>
    <w:p w14:paraId="37604623" w14:textId="77777777" w:rsidR="00374C56" w:rsidRPr="00D53A2B" w:rsidRDefault="00374C56" w:rsidP="00A202FD">
      <w:pPr>
        <w:spacing w:after="240"/>
        <w:jc w:val="both"/>
        <w:rPr>
          <w:lang w:eastAsia="en-US"/>
        </w:rPr>
      </w:pPr>
      <w:r w:rsidRPr="00D53A2B">
        <w:rPr>
          <w:lang w:eastAsia="en-US"/>
        </w:rPr>
        <w:t>Sadece sıcak su için ekonomik olarak uygun bir talep varsa uygulanabilir.</w:t>
      </w:r>
    </w:p>
    <w:p w14:paraId="036F7B2B" w14:textId="42060C86" w:rsidR="00374C56" w:rsidRPr="00D53A2B" w:rsidRDefault="00CD7455" w:rsidP="00A202FD">
      <w:pPr>
        <w:pStyle w:val="Balk3"/>
        <w:rPr>
          <w:rFonts w:cs="Times New Roman"/>
          <w:lang w:eastAsia="en-US"/>
        </w:rPr>
      </w:pPr>
      <w:bookmarkStart w:id="194" w:name="_Toc527940754"/>
      <w:bookmarkStart w:id="195" w:name="_Toc531927910"/>
      <w:r w:rsidRPr="00D53A2B">
        <w:rPr>
          <w:rFonts w:cs="Times New Roman"/>
          <w:lang w:eastAsia="en-US"/>
        </w:rPr>
        <w:t>1.</w:t>
      </w:r>
      <w:r w:rsidR="00374C56" w:rsidRPr="00D53A2B">
        <w:rPr>
          <w:rFonts w:cs="Times New Roman"/>
          <w:lang w:eastAsia="en-US"/>
        </w:rPr>
        <w:t>7.2.</w:t>
      </w:r>
      <w:r w:rsidR="00374C56" w:rsidRPr="00D53A2B">
        <w:rPr>
          <w:rFonts w:cs="Times New Roman"/>
          <w:lang w:eastAsia="en-US"/>
        </w:rPr>
        <w:tab/>
        <w:t>Havaya salınan emisyonlar</w:t>
      </w:r>
      <w:bookmarkEnd w:id="194"/>
      <w:bookmarkEnd w:id="195"/>
    </w:p>
    <w:p w14:paraId="66D4DAEA" w14:textId="67076FB0" w:rsidR="00374C56" w:rsidRPr="00D53A2B" w:rsidRDefault="00CD7455" w:rsidP="00A202FD">
      <w:pPr>
        <w:pStyle w:val="Balk4"/>
        <w:rPr>
          <w:rFonts w:cs="Times New Roman"/>
          <w:lang w:val="en-US" w:eastAsia="en-US"/>
        </w:rPr>
      </w:pPr>
      <w:bookmarkStart w:id="196" w:name="_Toc527940755"/>
      <w:bookmarkStart w:id="197" w:name="_Toc531927911"/>
      <w:r w:rsidRPr="00D53A2B">
        <w:rPr>
          <w:rFonts w:cs="Times New Roman"/>
          <w:lang w:val="en-US" w:eastAsia="en-US"/>
        </w:rPr>
        <w:t>1.</w:t>
      </w:r>
      <w:r w:rsidR="00374C56" w:rsidRPr="00D53A2B">
        <w:rPr>
          <w:rFonts w:cs="Times New Roman"/>
          <w:lang w:val="en-US" w:eastAsia="en-US"/>
        </w:rPr>
        <w:t>7.2.1.</w:t>
      </w:r>
      <w:r w:rsidR="00AB3EBD" w:rsidRPr="00D53A2B">
        <w:rPr>
          <w:rFonts w:cs="Times New Roman"/>
          <w:lang w:val="en-US" w:eastAsia="en-US"/>
        </w:rPr>
        <w:t xml:space="preserve"> </w:t>
      </w:r>
      <w:r w:rsidR="00374C56" w:rsidRPr="00D53A2B">
        <w:rPr>
          <w:rFonts w:cs="Times New Roman"/>
          <w:lang w:val="en-US" w:eastAsia="en-US"/>
        </w:rPr>
        <w:t>Yayılı toz emisyonları</w:t>
      </w:r>
      <w:bookmarkEnd w:id="196"/>
      <w:bookmarkEnd w:id="197"/>
    </w:p>
    <w:p w14:paraId="0EDF28FD" w14:textId="4B646906" w:rsidR="00374C56" w:rsidRPr="00D53A2B" w:rsidRDefault="000A48EC" w:rsidP="00A202FD">
      <w:pPr>
        <w:spacing w:after="240"/>
        <w:jc w:val="both"/>
        <w:rPr>
          <w:b/>
          <w:lang w:eastAsia="en-US"/>
        </w:rPr>
      </w:pPr>
      <w:r w:rsidRPr="00D53A2B">
        <w:rPr>
          <w:b/>
          <w:lang w:eastAsia="en-US"/>
        </w:rPr>
        <w:t>MET 153:</w:t>
      </w:r>
      <w:r w:rsidR="00374C56" w:rsidRPr="00D53A2B">
        <w:rPr>
          <w:b/>
          <w:lang w:eastAsia="en-US"/>
        </w:rPr>
        <w:t xml:space="preserve"> </w:t>
      </w:r>
      <w:r w:rsidR="00374C56" w:rsidRPr="00D53A2B">
        <w:rPr>
          <w:bCs/>
          <w:lang w:eastAsia="en-US"/>
        </w:rPr>
        <w:t>Boşaltma ve döküm</w:t>
      </w:r>
      <w:r w:rsidR="00CD7455" w:rsidRPr="00D53A2B">
        <w:rPr>
          <w:bCs/>
          <w:lang w:eastAsia="en-US"/>
        </w:rPr>
        <w:t xml:space="preserve"> </w:t>
      </w:r>
      <w:r w:rsidR="00374C56" w:rsidRPr="00D53A2B">
        <w:rPr>
          <w:bCs/>
          <w:lang w:eastAsia="en-US"/>
        </w:rPr>
        <w:t>işlemlerinden kaynaklanan yayılı emisyonların önlenmesi, azaltılması ve toplanması için aşağıda verilen tekniklerden biri veya bunların bir kombinasyonu</w:t>
      </w:r>
      <w:r w:rsidR="00AB3EBD" w:rsidRPr="00D53A2B">
        <w:rPr>
          <w:bCs/>
          <w:lang w:eastAsia="en-US"/>
        </w:rPr>
        <w:t xml:space="preserve"> </w:t>
      </w:r>
      <w:r w:rsidR="00374C56" w:rsidRPr="00D53A2B">
        <w:rPr>
          <w:bCs/>
          <w:lang w:eastAsia="en-US"/>
        </w:rPr>
        <w:t>kullanılır.</w:t>
      </w:r>
    </w:p>
    <w:tbl>
      <w:tblPr>
        <w:tblW w:w="0" w:type="auto"/>
        <w:tblLayout w:type="fixed"/>
        <w:tblCellMar>
          <w:left w:w="0" w:type="dxa"/>
          <w:right w:w="0" w:type="dxa"/>
        </w:tblCellMar>
        <w:tblLook w:val="01E0" w:firstRow="1" w:lastRow="1" w:firstColumn="1" w:lastColumn="1" w:noHBand="0" w:noVBand="0"/>
      </w:tblPr>
      <w:tblGrid>
        <w:gridCol w:w="317"/>
        <w:gridCol w:w="4347"/>
        <w:gridCol w:w="3846"/>
      </w:tblGrid>
      <w:tr w:rsidR="00374C56" w:rsidRPr="00D53A2B" w14:paraId="1A7E74A3" w14:textId="77777777" w:rsidTr="00374C56">
        <w:tc>
          <w:tcPr>
            <w:tcW w:w="317" w:type="dxa"/>
            <w:tcBorders>
              <w:top w:val="single" w:sz="4" w:space="0" w:color="000000"/>
              <w:left w:val="single" w:sz="4" w:space="0" w:color="000000"/>
              <w:bottom w:val="single" w:sz="4" w:space="0" w:color="000000"/>
              <w:right w:val="single" w:sz="4" w:space="0" w:color="000000"/>
            </w:tcBorders>
          </w:tcPr>
          <w:p w14:paraId="22342D8E" w14:textId="77777777" w:rsidR="00374C56" w:rsidRPr="00D53A2B" w:rsidRDefault="00374C56" w:rsidP="00A202FD">
            <w:pPr>
              <w:spacing w:line="264" w:lineRule="auto"/>
              <w:ind w:left="57" w:right="57"/>
              <w:jc w:val="both"/>
              <w:rPr>
                <w:lang w:eastAsia="en-US"/>
              </w:rPr>
            </w:pPr>
          </w:p>
        </w:tc>
        <w:tc>
          <w:tcPr>
            <w:tcW w:w="4347" w:type="dxa"/>
            <w:tcBorders>
              <w:top w:val="single" w:sz="4" w:space="0" w:color="000000"/>
              <w:left w:val="single" w:sz="4" w:space="0" w:color="000000"/>
              <w:bottom w:val="single" w:sz="4" w:space="0" w:color="000000"/>
              <w:right w:val="single" w:sz="4" w:space="0" w:color="000000"/>
            </w:tcBorders>
            <w:vAlign w:val="center"/>
          </w:tcPr>
          <w:p w14:paraId="46C46A8A" w14:textId="77777777" w:rsidR="00374C56" w:rsidRPr="00D53A2B" w:rsidRDefault="00374C56" w:rsidP="00A202FD">
            <w:pPr>
              <w:spacing w:line="264" w:lineRule="auto"/>
              <w:ind w:left="57" w:right="57"/>
              <w:jc w:val="both"/>
              <w:rPr>
                <w:lang w:eastAsia="en-US"/>
              </w:rPr>
            </w:pPr>
            <w:r w:rsidRPr="00D53A2B">
              <w:rPr>
                <w:b/>
                <w:bCs/>
                <w:lang w:eastAsia="en-US"/>
              </w:rPr>
              <w:t>Teknik</w:t>
            </w:r>
          </w:p>
        </w:tc>
        <w:tc>
          <w:tcPr>
            <w:tcW w:w="3846" w:type="dxa"/>
            <w:tcBorders>
              <w:top w:val="single" w:sz="4" w:space="0" w:color="000000"/>
              <w:left w:val="single" w:sz="4" w:space="0" w:color="000000"/>
              <w:bottom w:val="single" w:sz="4" w:space="0" w:color="000000"/>
              <w:right w:val="single" w:sz="4" w:space="0" w:color="000000"/>
            </w:tcBorders>
            <w:vAlign w:val="center"/>
          </w:tcPr>
          <w:p w14:paraId="783814AF" w14:textId="77777777" w:rsidR="00374C56" w:rsidRPr="00D53A2B" w:rsidRDefault="00374C56" w:rsidP="00A202FD">
            <w:pPr>
              <w:spacing w:line="264" w:lineRule="auto"/>
              <w:ind w:left="57" w:right="57"/>
              <w:jc w:val="both"/>
              <w:rPr>
                <w:lang w:eastAsia="en-US"/>
              </w:rPr>
            </w:pPr>
            <w:r w:rsidRPr="00D53A2B">
              <w:rPr>
                <w:b/>
                <w:bCs/>
                <w:lang w:eastAsia="en-US"/>
              </w:rPr>
              <w:t>Uygulanabilirlik</w:t>
            </w:r>
          </w:p>
        </w:tc>
      </w:tr>
      <w:tr w:rsidR="00374C56" w:rsidRPr="00D53A2B" w14:paraId="4539CABC"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004D5CD2" w14:textId="77777777" w:rsidR="00374C56" w:rsidRPr="00D53A2B" w:rsidRDefault="00374C56" w:rsidP="00A202FD">
            <w:pPr>
              <w:spacing w:line="264" w:lineRule="auto"/>
              <w:ind w:left="57" w:right="57"/>
              <w:jc w:val="both"/>
              <w:rPr>
                <w:lang w:eastAsia="en-US"/>
              </w:rPr>
            </w:pPr>
            <w:r w:rsidRPr="00D53A2B">
              <w:rPr>
                <w:lang w:eastAsia="en-US"/>
              </w:rPr>
              <w:t>a</w:t>
            </w:r>
          </w:p>
        </w:tc>
        <w:tc>
          <w:tcPr>
            <w:tcW w:w="4347" w:type="dxa"/>
            <w:tcBorders>
              <w:top w:val="single" w:sz="4" w:space="0" w:color="000000"/>
              <w:left w:val="single" w:sz="4" w:space="0" w:color="000000"/>
              <w:bottom w:val="single" w:sz="4" w:space="0" w:color="000000"/>
              <w:right w:val="single" w:sz="4" w:space="0" w:color="000000"/>
            </w:tcBorders>
            <w:vAlign w:val="center"/>
          </w:tcPr>
          <w:p w14:paraId="32EEA255" w14:textId="77777777" w:rsidR="00374C56" w:rsidRPr="00D53A2B" w:rsidRDefault="00374C56" w:rsidP="00A202FD">
            <w:pPr>
              <w:spacing w:line="264" w:lineRule="auto"/>
              <w:ind w:left="57" w:right="57"/>
              <w:jc w:val="both"/>
              <w:rPr>
                <w:lang w:eastAsia="en-US"/>
              </w:rPr>
            </w:pPr>
            <w:r w:rsidRPr="00D53A2B">
              <w:rPr>
                <w:lang w:eastAsia="en-US"/>
              </w:rPr>
              <w:t>Gaz toplama sistemi kullanmak</w:t>
            </w:r>
          </w:p>
        </w:tc>
        <w:tc>
          <w:tcPr>
            <w:tcW w:w="3846" w:type="dxa"/>
            <w:tcBorders>
              <w:top w:val="single" w:sz="4" w:space="0" w:color="000000"/>
              <w:left w:val="single" w:sz="4" w:space="0" w:color="000000"/>
              <w:bottom w:val="single" w:sz="4" w:space="0" w:color="000000"/>
              <w:right w:val="single" w:sz="4" w:space="0" w:color="000000"/>
            </w:tcBorders>
            <w:vAlign w:val="center"/>
          </w:tcPr>
          <w:p w14:paraId="07D659A5" w14:textId="77777777" w:rsidR="00374C56" w:rsidRPr="00D53A2B" w:rsidRDefault="00374C56" w:rsidP="00A202FD">
            <w:pPr>
              <w:spacing w:line="264" w:lineRule="auto"/>
              <w:ind w:left="57" w:right="57"/>
              <w:jc w:val="both"/>
              <w:rPr>
                <w:lang w:eastAsia="en-US"/>
              </w:rPr>
            </w:pPr>
            <w:r w:rsidRPr="00D53A2B">
              <w:rPr>
                <w:lang w:eastAsia="en-US"/>
              </w:rPr>
              <w:t>Mevcut tesisler için, tesisin konfigürasyonuna bağlı olarak uygulanabilir</w:t>
            </w:r>
          </w:p>
        </w:tc>
      </w:tr>
      <w:tr w:rsidR="00374C56" w:rsidRPr="00D53A2B" w14:paraId="4C527703"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55236630" w14:textId="77777777" w:rsidR="00374C56" w:rsidRPr="00D53A2B" w:rsidRDefault="00374C56" w:rsidP="00A202FD">
            <w:pPr>
              <w:spacing w:line="264" w:lineRule="auto"/>
              <w:ind w:left="57" w:right="57"/>
              <w:jc w:val="both"/>
              <w:rPr>
                <w:lang w:eastAsia="en-US"/>
              </w:rPr>
            </w:pPr>
            <w:r w:rsidRPr="00D53A2B">
              <w:rPr>
                <w:lang w:eastAsia="en-US"/>
              </w:rPr>
              <w:t>b</w:t>
            </w:r>
          </w:p>
        </w:tc>
        <w:tc>
          <w:tcPr>
            <w:tcW w:w="4347" w:type="dxa"/>
            <w:tcBorders>
              <w:top w:val="single" w:sz="4" w:space="0" w:color="000000"/>
              <w:left w:val="single" w:sz="4" w:space="0" w:color="000000"/>
              <w:bottom w:val="single" w:sz="4" w:space="0" w:color="000000"/>
              <w:right w:val="single" w:sz="4" w:space="0" w:color="000000"/>
            </w:tcBorders>
            <w:vAlign w:val="center"/>
          </w:tcPr>
          <w:p w14:paraId="4A141BC0" w14:textId="77777777" w:rsidR="00374C56" w:rsidRPr="00D53A2B" w:rsidRDefault="00374C56" w:rsidP="00A202FD">
            <w:pPr>
              <w:spacing w:line="264" w:lineRule="auto"/>
              <w:ind w:left="57" w:right="57"/>
              <w:jc w:val="both"/>
              <w:rPr>
                <w:lang w:eastAsia="en-US"/>
              </w:rPr>
            </w:pPr>
            <w:r w:rsidRPr="00D53A2B">
              <w:rPr>
                <w:lang w:eastAsia="en-US"/>
              </w:rPr>
              <w:t>Sıvı halindeki demir alaşımlarını kullanarak dökümden kaçınmak.</w:t>
            </w:r>
          </w:p>
        </w:tc>
        <w:tc>
          <w:tcPr>
            <w:tcW w:w="3846" w:type="dxa"/>
            <w:tcBorders>
              <w:top w:val="single" w:sz="4" w:space="0" w:color="000000"/>
              <w:left w:val="single" w:sz="4" w:space="0" w:color="000000"/>
              <w:bottom w:val="single" w:sz="4" w:space="0" w:color="000000"/>
              <w:right w:val="single" w:sz="4" w:space="0" w:color="000000"/>
            </w:tcBorders>
            <w:vAlign w:val="center"/>
          </w:tcPr>
          <w:p w14:paraId="00796634" w14:textId="77777777" w:rsidR="00374C56" w:rsidRPr="00D53A2B" w:rsidRDefault="00374C56" w:rsidP="00A202FD">
            <w:pPr>
              <w:spacing w:line="264" w:lineRule="auto"/>
              <w:ind w:left="57" w:right="57"/>
              <w:jc w:val="both"/>
              <w:rPr>
                <w:lang w:eastAsia="en-US"/>
              </w:rPr>
            </w:pPr>
            <w:r w:rsidRPr="00D53A2B">
              <w:rPr>
                <w:lang w:eastAsia="en-US"/>
              </w:rPr>
              <w:t>Sadece tüketici (örneğin çelik üreticisi) demir-alaşım üreticisiyle entegre edildiğinde uygulanabilir</w:t>
            </w:r>
          </w:p>
        </w:tc>
      </w:tr>
    </w:tbl>
    <w:p w14:paraId="12AC88AF" w14:textId="77777777" w:rsidR="00374C56" w:rsidRPr="00D53A2B" w:rsidRDefault="00374C56" w:rsidP="00A202FD">
      <w:pPr>
        <w:jc w:val="both"/>
        <w:rPr>
          <w:spacing w:val="2"/>
          <w:lang w:eastAsia="en-US"/>
        </w:rPr>
      </w:pPr>
    </w:p>
    <w:p w14:paraId="0004514F" w14:textId="21EAF962" w:rsidR="00374C56" w:rsidRPr="00D53A2B" w:rsidRDefault="00CD7455" w:rsidP="00A202FD">
      <w:pPr>
        <w:pStyle w:val="Balk4"/>
        <w:rPr>
          <w:rFonts w:cs="Times New Roman"/>
          <w:lang w:val="en-US" w:eastAsia="en-US"/>
        </w:rPr>
      </w:pPr>
      <w:bookmarkStart w:id="198" w:name="_Toc527940756"/>
      <w:bookmarkStart w:id="199" w:name="_Toc531927912"/>
      <w:r w:rsidRPr="00D53A2B">
        <w:rPr>
          <w:rFonts w:cs="Times New Roman"/>
          <w:lang w:val="en-US" w:eastAsia="en-US"/>
        </w:rPr>
        <w:t>1.</w:t>
      </w:r>
      <w:r w:rsidR="00374C56" w:rsidRPr="00D53A2B">
        <w:rPr>
          <w:rFonts w:cs="Times New Roman"/>
          <w:lang w:val="en-US" w:eastAsia="en-US"/>
        </w:rPr>
        <w:t>7.2.2.</w:t>
      </w:r>
      <w:r w:rsidR="00AB3EBD" w:rsidRPr="00D53A2B">
        <w:rPr>
          <w:rFonts w:cs="Times New Roman"/>
          <w:lang w:val="en-US" w:eastAsia="en-US"/>
        </w:rPr>
        <w:t xml:space="preserve"> </w:t>
      </w:r>
      <w:r w:rsidR="00374C56" w:rsidRPr="00D53A2B">
        <w:rPr>
          <w:rFonts w:cs="Times New Roman"/>
          <w:lang w:val="en-US" w:eastAsia="en-US"/>
        </w:rPr>
        <w:t>Kanalize toz emisyonları</w:t>
      </w:r>
      <w:bookmarkEnd w:id="198"/>
      <w:bookmarkEnd w:id="199"/>
    </w:p>
    <w:p w14:paraId="40AFEBDC" w14:textId="5DB9F26D" w:rsidR="00374C56" w:rsidRPr="00D53A2B" w:rsidRDefault="000A48EC" w:rsidP="00A202FD">
      <w:pPr>
        <w:spacing w:after="240"/>
        <w:jc w:val="both"/>
        <w:rPr>
          <w:b/>
          <w:lang w:eastAsia="en-US"/>
        </w:rPr>
      </w:pPr>
      <w:r w:rsidRPr="00D53A2B">
        <w:rPr>
          <w:b/>
          <w:lang w:eastAsia="en-US"/>
        </w:rPr>
        <w:t>MET 154:</w:t>
      </w:r>
      <w:r w:rsidR="00374C56" w:rsidRPr="00D53A2B">
        <w:rPr>
          <w:b/>
          <w:lang w:eastAsia="en-US"/>
        </w:rPr>
        <w:t xml:space="preserve"> </w:t>
      </w:r>
      <w:r w:rsidR="00CD7455" w:rsidRPr="00D53A2B">
        <w:rPr>
          <w:bCs/>
          <w:lang w:eastAsia="en-US"/>
        </w:rPr>
        <w:t>Katı malzemelerin depolanması, taşınması ve nakliyesinden, ölçme, karıştırma, harmanlama, yağ giderme gibi ön işlemlerden ve akıtma, döküm ve paketleme gibi işlemlerden kaynaklanan ve havaya salınan toz ve metal emisyonlarının azaltılması için, bir torba filtre kullanılır.</w:t>
      </w:r>
    </w:p>
    <w:p w14:paraId="49847094" w14:textId="4196225A"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46.</w:t>
      </w:r>
    </w:p>
    <w:p w14:paraId="78DFB0EF" w14:textId="37CA9812" w:rsidR="00374C56" w:rsidRPr="00D53A2B" w:rsidRDefault="000A48EC" w:rsidP="00A202FD">
      <w:pPr>
        <w:spacing w:after="240"/>
        <w:jc w:val="both"/>
        <w:rPr>
          <w:b/>
          <w:lang w:eastAsia="en-US"/>
        </w:rPr>
      </w:pPr>
      <w:r w:rsidRPr="00D53A2B">
        <w:rPr>
          <w:b/>
          <w:lang w:eastAsia="en-US"/>
        </w:rPr>
        <w:t>MET 155:</w:t>
      </w:r>
      <w:r w:rsidR="00374C56" w:rsidRPr="00D53A2B">
        <w:rPr>
          <w:b/>
          <w:lang w:eastAsia="en-US"/>
        </w:rPr>
        <w:t xml:space="preserve"> </w:t>
      </w:r>
      <w:r w:rsidR="00CD7455" w:rsidRPr="00D53A2B">
        <w:rPr>
          <w:bCs/>
          <w:lang w:eastAsia="en-US"/>
        </w:rPr>
        <w:t>Ezme, briketleme, peletleme ve sinterleme işlemlerinden kaynaklanan toz ve metal emisyonlarını azaltmak için</w:t>
      </w:r>
      <w:r w:rsidR="00AB3EBD" w:rsidRPr="00D53A2B">
        <w:rPr>
          <w:bCs/>
          <w:lang w:eastAsia="en-US"/>
        </w:rPr>
        <w:t>,</w:t>
      </w:r>
      <w:r w:rsidR="00CD7455" w:rsidRPr="00D53A2B">
        <w:rPr>
          <w:bCs/>
          <w:lang w:eastAsia="en-US"/>
        </w:rPr>
        <w:t xml:space="preserve"> torba filtre veya torba filtre diğer tekniklerle birlikte kullanılır.</w:t>
      </w:r>
    </w:p>
    <w:p w14:paraId="3893B27E" w14:textId="77777777" w:rsidR="00374C56" w:rsidRPr="00D53A2B" w:rsidRDefault="00374C56" w:rsidP="00A202FD">
      <w:pPr>
        <w:jc w:val="both"/>
        <w:rPr>
          <w:b/>
          <w:lang w:eastAsia="en-US"/>
        </w:rPr>
      </w:pPr>
      <w:r w:rsidRPr="00D53A2B">
        <w:rPr>
          <w:b/>
          <w:lang w:eastAsia="en-US"/>
        </w:rPr>
        <w:t>Uygulanabilirlik</w:t>
      </w:r>
    </w:p>
    <w:p w14:paraId="5CBC1D89" w14:textId="443D00FC" w:rsidR="00CD7455" w:rsidRPr="00D53A2B" w:rsidRDefault="00CD7455" w:rsidP="00A202FD">
      <w:pPr>
        <w:spacing w:after="240"/>
        <w:jc w:val="both"/>
        <w:rPr>
          <w:lang w:eastAsia="en-US"/>
        </w:rPr>
      </w:pPr>
      <w:r w:rsidRPr="00D53A2B">
        <w:rPr>
          <w:lang w:eastAsia="en-US"/>
        </w:rPr>
        <w:t>Düşük ortam sıcaklıklarında (</w:t>
      </w:r>
      <w:r w:rsidR="00AB3EBD" w:rsidRPr="00D53A2B">
        <w:rPr>
          <w:lang w:eastAsia="en-US"/>
        </w:rPr>
        <w:t>-</w:t>
      </w:r>
      <w:r w:rsidRPr="00D53A2B">
        <w:rPr>
          <w:lang w:eastAsia="en-US"/>
        </w:rPr>
        <w:t xml:space="preserve">20°C ila </w:t>
      </w:r>
      <w:r w:rsidR="00AB3EBD" w:rsidRPr="00D53A2B">
        <w:rPr>
          <w:lang w:eastAsia="en-US"/>
        </w:rPr>
        <w:t>-</w:t>
      </w:r>
      <w:r w:rsidRPr="00D53A2B">
        <w:rPr>
          <w:lang w:eastAsia="en-US"/>
        </w:rPr>
        <w:t>40°C) ve çıkış gazlarının yüksek neminde, ayrıca CaSi</w:t>
      </w:r>
      <w:r w:rsidR="00E56504" w:rsidRPr="00D53A2B">
        <w:rPr>
          <w:lang w:eastAsia="en-US"/>
        </w:rPr>
        <w:t>’</w:t>
      </w:r>
      <w:r w:rsidRPr="00D53A2B">
        <w:rPr>
          <w:lang w:eastAsia="en-US"/>
        </w:rPr>
        <w:t>nin kırılmasında güvenlik endişeleri (örneğin patlayıcılık) nedeniyle torba filtrenin uygulanabilirliği sınırlı olabilir.</w:t>
      </w:r>
    </w:p>
    <w:p w14:paraId="3B141B4B" w14:textId="74E9C3A9"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46.</w:t>
      </w:r>
    </w:p>
    <w:p w14:paraId="0D67D11C" w14:textId="569F99D7" w:rsidR="00374C56" w:rsidRPr="00D53A2B" w:rsidRDefault="000A48EC" w:rsidP="00A202FD">
      <w:pPr>
        <w:spacing w:after="240"/>
        <w:jc w:val="both"/>
        <w:rPr>
          <w:b/>
          <w:lang w:eastAsia="en-US"/>
        </w:rPr>
      </w:pPr>
      <w:r w:rsidRPr="00D53A2B">
        <w:rPr>
          <w:b/>
          <w:lang w:eastAsia="en-US"/>
        </w:rPr>
        <w:t>MET 156:</w:t>
      </w:r>
      <w:r w:rsidR="00374C56" w:rsidRPr="00D53A2B">
        <w:rPr>
          <w:b/>
          <w:lang w:eastAsia="en-US"/>
        </w:rPr>
        <w:t xml:space="preserve"> </w:t>
      </w:r>
      <w:r w:rsidR="00374C56" w:rsidRPr="00D53A2B">
        <w:rPr>
          <w:bCs/>
          <w:lang w:eastAsia="en-US"/>
        </w:rPr>
        <w:t>Bir açık veya yarı kapalı daldırılmış ark ocağından kaynaklanan ve havaya salınan toz ve metal emisyonlarının azaltılması için bir torba filtre kullanılır.</w:t>
      </w:r>
      <w:r w:rsidR="00374C56" w:rsidRPr="00D53A2B">
        <w:rPr>
          <w:b/>
          <w:lang w:eastAsia="en-US"/>
        </w:rPr>
        <w:t xml:space="preserve"> </w:t>
      </w:r>
    </w:p>
    <w:p w14:paraId="62CDCFE0"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46.</w:t>
      </w:r>
    </w:p>
    <w:p w14:paraId="0CACA0C4" w14:textId="77777777" w:rsidR="00374C56" w:rsidRPr="00D53A2B" w:rsidRDefault="00374C56" w:rsidP="00A202FD">
      <w:pPr>
        <w:jc w:val="both"/>
        <w:rPr>
          <w:spacing w:val="2"/>
          <w:lang w:eastAsia="en-US"/>
        </w:rPr>
      </w:pPr>
    </w:p>
    <w:p w14:paraId="55A03141" w14:textId="0AA2752D" w:rsidR="00374C56" w:rsidRPr="00D53A2B" w:rsidRDefault="000A48EC" w:rsidP="00A202FD">
      <w:pPr>
        <w:spacing w:after="240"/>
        <w:jc w:val="both"/>
        <w:rPr>
          <w:b/>
          <w:lang w:eastAsia="en-US"/>
        </w:rPr>
      </w:pPr>
      <w:r w:rsidRPr="00D53A2B">
        <w:rPr>
          <w:b/>
          <w:lang w:eastAsia="en-US"/>
        </w:rPr>
        <w:t>MET 157:</w:t>
      </w:r>
      <w:r w:rsidR="00374C56" w:rsidRPr="00D53A2B">
        <w:rPr>
          <w:b/>
          <w:lang w:eastAsia="en-US"/>
        </w:rPr>
        <w:t xml:space="preserve"> </w:t>
      </w:r>
      <w:r w:rsidR="00CD7455" w:rsidRPr="00D53A2B">
        <w:rPr>
          <w:bCs/>
          <w:lang w:eastAsia="en-US"/>
        </w:rPr>
        <w:t>Bir kapalı daldırılmış ark ocağı veya kapalı plazma toz prosesinden kaynaklanan ve havaya salınan toz ve metal emisyonlarının azaltılması içi</w:t>
      </w:r>
      <w:r w:rsidR="00AB3EBD" w:rsidRPr="00D53A2B">
        <w:rPr>
          <w:bCs/>
          <w:lang w:eastAsia="en-US"/>
        </w:rPr>
        <w:t>n</w:t>
      </w:r>
      <w:r w:rsidR="00CD7455" w:rsidRPr="00D53A2B">
        <w:rPr>
          <w:bCs/>
          <w:lang w:eastAsia="en-US"/>
        </w:rPr>
        <w:t>, aşağıda verilen tekniklerden biri kullanır.</w:t>
      </w:r>
    </w:p>
    <w:tbl>
      <w:tblPr>
        <w:tblW w:w="0" w:type="auto"/>
        <w:tblLayout w:type="fixed"/>
        <w:tblCellMar>
          <w:left w:w="0" w:type="dxa"/>
          <w:right w:w="0" w:type="dxa"/>
        </w:tblCellMar>
        <w:tblLook w:val="01E0" w:firstRow="1" w:lastRow="1" w:firstColumn="1" w:lastColumn="1" w:noHBand="0" w:noVBand="0"/>
      </w:tblPr>
      <w:tblGrid>
        <w:gridCol w:w="317"/>
        <w:gridCol w:w="3903"/>
        <w:gridCol w:w="4501"/>
      </w:tblGrid>
      <w:tr w:rsidR="00374C56" w:rsidRPr="00D53A2B" w14:paraId="7B57747B"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7D8E7156" w14:textId="77777777" w:rsidR="00374C56" w:rsidRPr="00D53A2B" w:rsidRDefault="00374C56" w:rsidP="00A202FD">
            <w:pPr>
              <w:spacing w:line="264" w:lineRule="auto"/>
              <w:ind w:left="57" w:right="57"/>
              <w:jc w:val="both"/>
              <w:rPr>
                <w:b/>
                <w:lang w:eastAsia="en-US"/>
              </w:rPr>
            </w:pPr>
          </w:p>
        </w:tc>
        <w:tc>
          <w:tcPr>
            <w:tcW w:w="3903" w:type="dxa"/>
            <w:tcBorders>
              <w:top w:val="single" w:sz="4" w:space="0" w:color="000000"/>
              <w:left w:val="single" w:sz="4" w:space="0" w:color="000000"/>
              <w:bottom w:val="single" w:sz="4" w:space="0" w:color="000000"/>
              <w:right w:val="single" w:sz="4" w:space="0" w:color="000000"/>
            </w:tcBorders>
            <w:vAlign w:val="center"/>
          </w:tcPr>
          <w:p w14:paraId="5C9EF191" w14:textId="77777777" w:rsidR="00374C56" w:rsidRPr="00D53A2B" w:rsidRDefault="00374C56" w:rsidP="00A202FD">
            <w:pPr>
              <w:spacing w:line="264" w:lineRule="auto"/>
              <w:ind w:left="57" w:right="57"/>
              <w:jc w:val="both"/>
              <w:rPr>
                <w:b/>
                <w:lang w:eastAsia="en-US"/>
              </w:rPr>
            </w:pPr>
            <w:r w:rsidRPr="00D53A2B">
              <w:rPr>
                <w:b/>
                <w:bCs/>
                <w:lang w:eastAsia="en-US"/>
              </w:rPr>
              <w:t>Teknik (</w:t>
            </w:r>
            <w:r w:rsidRPr="00D53A2B">
              <w:rPr>
                <w:b/>
                <w:bCs/>
                <w:vertAlign w:val="superscript"/>
                <w:lang w:eastAsia="en-US"/>
              </w:rPr>
              <w:t>1</w:t>
            </w:r>
            <w:r w:rsidRPr="00D53A2B">
              <w:rPr>
                <w:b/>
                <w:bCs/>
                <w:lang w:eastAsia="en-US"/>
              </w:rPr>
              <w:t>)</w:t>
            </w:r>
          </w:p>
        </w:tc>
        <w:tc>
          <w:tcPr>
            <w:tcW w:w="4501" w:type="dxa"/>
            <w:tcBorders>
              <w:top w:val="single" w:sz="4" w:space="0" w:color="000000"/>
              <w:left w:val="single" w:sz="4" w:space="0" w:color="000000"/>
              <w:bottom w:val="single" w:sz="4" w:space="0" w:color="000000"/>
              <w:right w:val="single" w:sz="4" w:space="0" w:color="000000"/>
            </w:tcBorders>
            <w:vAlign w:val="center"/>
          </w:tcPr>
          <w:p w14:paraId="58A6354B" w14:textId="77777777" w:rsidR="00374C56" w:rsidRPr="00D53A2B" w:rsidRDefault="00374C56" w:rsidP="00A202FD">
            <w:pPr>
              <w:spacing w:line="264" w:lineRule="auto"/>
              <w:ind w:left="57" w:right="57"/>
              <w:jc w:val="both"/>
              <w:rPr>
                <w:b/>
                <w:lang w:eastAsia="en-US"/>
              </w:rPr>
            </w:pPr>
            <w:r w:rsidRPr="00D53A2B">
              <w:rPr>
                <w:b/>
                <w:bCs/>
                <w:lang w:eastAsia="en-US"/>
              </w:rPr>
              <w:t>Uygulanabilirlik</w:t>
            </w:r>
          </w:p>
        </w:tc>
      </w:tr>
      <w:tr w:rsidR="00374C56" w:rsidRPr="00D53A2B" w14:paraId="53395566"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651C84A6" w14:textId="77777777" w:rsidR="00374C56" w:rsidRPr="00D53A2B" w:rsidRDefault="00374C56" w:rsidP="00A202FD">
            <w:pPr>
              <w:spacing w:line="264" w:lineRule="auto"/>
              <w:ind w:left="57" w:right="57"/>
              <w:jc w:val="both"/>
              <w:rPr>
                <w:lang w:eastAsia="en-US"/>
              </w:rPr>
            </w:pPr>
            <w:r w:rsidRPr="00D53A2B">
              <w:rPr>
                <w:lang w:eastAsia="en-US"/>
              </w:rPr>
              <w:t>a</w:t>
            </w:r>
          </w:p>
        </w:tc>
        <w:tc>
          <w:tcPr>
            <w:tcW w:w="3903" w:type="dxa"/>
            <w:tcBorders>
              <w:top w:val="single" w:sz="4" w:space="0" w:color="000000"/>
              <w:left w:val="single" w:sz="4" w:space="0" w:color="000000"/>
              <w:bottom w:val="single" w:sz="4" w:space="0" w:color="000000"/>
              <w:right w:val="single" w:sz="4" w:space="0" w:color="000000"/>
            </w:tcBorders>
            <w:vAlign w:val="center"/>
          </w:tcPr>
          <w:p w14:paraId="1219B8C9" w14:textId="77777777" w:rsidR="00374C56" w:rsidRPr="00D53A2B" w:rsidRDefault="00374C56" w:rsidP="00A202FD">
            <w:pPr>
              <w:spacing w:line="264" w:lineRule="auto"/>
              <w:ind w:left="57" w:right="57"/>
              <w:jc w:val="both"/>
              <w:rPr>
                <w:lang w:eastAsia="en-US"/>
              </w:rPr>
            </w:pPr>
            <w:r w:rsidRPr="00D53A2B">
              <w:rPr>
                <w:lang w:eastAsia="en-US"/>
              </w:rPr>
              <w:t>Bir ESP ile birlikte ıslak gaz yıkayıcı kombinasyonun kullanılması</w:t>
            </w:r>
          </w:p>
        </w:tc>
        <w:tc>
          <w:tcPr>
            <w:tcW w:w="4501" w:type="dxa"/>
            <w:tcBorders>
              <w:top w:val="single" w:sz="4" w:space="0" w:color="000000"/>
              <w:left w:val="single" w:sz="4" w:space="0" w:color="000000"/>
              <w:bottom w:val="single" w:sz="4" w:space="0" w:color="000000"/>
              <w:right w:val="single" w:sz="4" w:space="0" w:color="000000"/>
            </w:tcBorders>
            <w:vAlign w:val="center"/>
          </w:tcPr>
          <w:p w14:paraId="7FD2C0BF" w14:textId="77777777" w:rsidR="00374C56" w:rsidRPr="00D53A2B" w:rsidRDefault="00374C56" w:rsidP="00A202FD">
            <w:pPr>
              <w:spacing w:line="264" w:lineRule="auto"/>
              <w:ind w:left="57" w:right="57"/>
              <w:jc w:val="both"/>
              <w:rPr>
                <w:lang w:eastAsia="en-US"/>
              </w:rPr>
            </w:pPr>
            <w:r w:rsidRPr="00D53A2B">
              <w:rPr>
                <w:lang w:eastAsia="en-US"/>
              </w:rPr>
              <w:t>Genellikle uygulanabilir</w:t>
            </w:r>
          </w:p>
        </w:tc>
      </w:tr>
      <w:tr w:rsidR="00374C56" w:rsidRPr="00D53A2B" w14:paraId="0BDAFFFF"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598E0730" w14:textId="77777777" w:rsidR="00374C56" w:rsidRPr="00D53A2B" w:rsidRDefault="00374C56" w:rsidP="00A202FD">
            <w:pPr>
              <w:spacing w:line="264" w:lineRule="auto"/>
              <w:ind w:left="57" w:right="57"/>
              <w:jc w:val="both"/>
              <w:rPr>
                <w:lang w:eastAsia="en-US"/>
              </w:rPr>
            </w:pPr>
            <w:r w:rsidRPr="00D53A2B">
              <w:rPr>
                <w:lang w:eastAsia="en-US"/>
              </w:rPr>
              <w:t>b</w:t>
            </w:r>
          </w:p>
        </w:tc>
        <w:tc>
          <w:tcPr>
            <w:tcW w:w="3903" w:type="dxa"/>
            <w:tcBorders>
              <w:top w:val="single" w:sz="4" w:space="0" w:color="000000"/>
              <w:left w:val="single" w:sz="4" w:space="0" w:color="000000"/>
              <w:bottom w:val="single" w:sz="4" w:space="0" w:color="000000"/>
              <w:right w:val="single" w:sz="4" w:space="0" w:color="000000"/>
            </w:tcBorders>
            <w:vAlign w:val="center"/>
          </w:tcPr>
          <w:p w14:paraId="38B6B42C" w14:textId="77777777" w:rsidR="00374C56" w:rsidRPr="00D53A2B" w:rsidRDefault="00374C56" w:rsidP="00A202FD">
            <w:pPr>
              <w:spacing w:line="264" w:lineRule="auto"/>
              <w:ind w:left="57" w:right="57"/>
              <w:jc w:val="both"/>
              <w:rPr>
                <w:lang w:eastAsia="en-US"/>
              </w:rPr>
            </w:pPr>
            <w:r w:rsidRPr="00D53A2B">
              <w:rPr>
                <w:lang w:eastAsia="en-US"/>
              </w:rPr>
              <w:t>Torba filtre</w:t>
            </w:r>
          </w:p>
        </w:tc>
        <w:tc>
          <w:tcPr>
            <w:tcW w:w="4501" w:type="dxa"/>
            <w:tcBorders>
              <w:top w:val="single" w:sz="4" w:space="0" w:color="000000"/>
              <w:left w:val="single" w:sz="4" w:space="0" w:color="000000"/>
              <w:bottom w:val="single" w:sz="4" w:space="0" w:color="000000"/>
              <w:right w:val="single" w:sz="4" w:space="0" w:color="000000"/>
            </w:tcBorders>
            <w:vAlign w:val="center"/>
          </w:tcPr>
          <w:p w14:paraId="542ADFDD" w14:textId="77777777" w:rsidR="00374C56" w:rsidRPr="00D53A2B" w:rsidRDefault="00374C56" w:rsidP="00A202FD">
            <w:pPr>
              <w:spacing w:line="264" w:lineRule="auto"/>
              <w:ind w:left="57" w:right="57"/>
              <w:jc w:val="both"/>
              <w:rPr>
                <w:lang w:eastAsia="en-US"/>
              </w:rPr>
            </w:pPr>
            <w:r w:rsidRPr="00D53A2B">
              <w:rPr>
                <w:lang w:eastAsia="en-US"/>
              </w:rPr>
              <w:t>Egzoz gazlarının CO ve H</w:t>
            </w:r>
            <w:r w:rsidRPr="00D53A2B">
              <w:rPr>
                <w:vertAlign w:val="subscript"/>
                <w:lang w:eastAsia="en-US"/>
              </w:rPr>
              <w:t>2</w:t>
            </w:r>
            <w:r w:rsidRPr="00D53A2B">
              <w:rPr>
                <w:lang w:eastAsia="en-US"/>
              </w:rPr>
              <w:t xml:space="preserve"> içerikleri ile ilgili güvenlik kaygısı yoksa genellikle uygulanabilir</w:t>
            </w:r>
          </w:p>
        </w:tc>
      </w:tr>
      <w:tr w:rsidR="00374C56" w:rsidRPr="00D53A2B" w14:paraId="4CEB3BE4" w14:textId="77777777" w:rsidTr="00374C56">
        <w:tc>
          <w:tcPr>
            <w:tcW w:w="8721" w:type="dxa"/>
            <w:gridSpan w:val="3"/>
            <w:tcBorders>
              <w:top w:val="single" w:sz="4" w:space="0" w:color="000000"/>
              <w:left w:val="single" w:sz="4" w:space="0" w:color="000000"/>
              <w:bottom w:val="single" w:sz="4" w:space="0" w:color="000000"/>
              <w:right w:val="single" w:sz="4" w:space="0" w:color="000000"/>
            </w:tcBorders>
            <w:vAlign w:val="center"/>
          </w:tcPr>
          <w:p w14:paraId="6B9BA3E3" w14:textId="1C9AB1AC" w:rsidR="00374C56" w:rsidRPr="009077F5" w:rsidRDefault="00374C56" w:rsidP="00A202FD">
            <w:pPr>
              <w:spacing w:line="264" w:lineRule="auto"/>
              <w:ind w:left="57" w:right="57"/>
              <w:jc w:val="both"/>
              <w:rPr>
                <w:sz w:val="20"/>
                <w:szCs w:val="20"/>
                <w:lang w:eastAsia="en-US"/>
              </w:rPr>
            </w:pPr>
            <w:r w:rsidRPr="009077F5">
              <w:rPr>
                <w:sz w:val="20"/>
                <w:szCs w:val="20"/>
                <w:lang w:eastAsia="en-US"/>
              </w:rPr>
              <w:t>(</w:t>
            </w:r>
            <w:r w:rsidRPr="009077F5">
              <w:rPr>
                <w:sz w:val="20"/>
                <w:szCs w:val="20"/>
                <w:vertAlign w:val="superscript"/>
                <w:lang w:eastAsia="en-US"/>
              </w:rPr>
              <w:t>1</w:t>
            </w:r>
            <w:r w:rsidRPr="009077F5">
              <w:rPr>
                <w:sz w:val="20"/>
                <w:szCs w:val="20"/>
                <w:lang w:eastAsia="en-US"/>
              </w:rPr>
              <w:t>) Tekniklerin açıklamaları Bölüm 1.10</w:t>
            </w:r>
            <w:r w:rsidR="00E56504" w:rsidRPr="009077F5">
              <w:rPr>
                <w:sz w:val="20"/>
                <w:szCs w:val="20"/>
                <w:lang w:eastAsia="en-US"/>
              </w:rPr>
              <w:t>’</w:t>
            </w:r>
            <w:r w:rsidRPr="009077F5">
              <w:rPr>
                <w:sz w:val="20"/>
                <w:szCs w:val="20"/>
                <w:lang w:eastAsia="en-US"/>
              </w:rPr>
              <w:t>da verilmiştir.</w:t>
            </w:r>
          </w:p>
        </w:tc>
      </w:tr>
    </w:tbl>
    <w:p w14:paraId="0C01A28D" w14:textId="1875800D"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46.</w:t>
      </w:r>
    </w:p>
    <w:p w14:paraId="35C5C27B" w14:textId="54EFF3A6" w:rsidR="00374C56" w:rsidRPr="00D53A2B" w:rsidRDefault="000A48EC" w:rsidP="00A202FD">
      <w:pPr>
        <w:spacing w:after="240"/>
        <w:jc w:val="both"/>
        <w:rPr>
          <w:b/>
          <w:lang w:eastAsia="en-US"/>
        </w:rPr>
      </w:pPr>
      <w:r w:rsidRPr="00D53A2B">
        <w:rPr>
          <w:b/>
          <w:lang w:eastAsia="en-US"/>
        </w:rPr>
        <w:t>MET 158:</w:t>
      </w:r>
      <w:r w:rsidR="00374C56" w:rsidRPr="00D53A2B">
        <w:rPr>
          <w:b/>
          <w:lang w:eastAsia="en-US"/>
        </w:rPr>
        <w:t xml:space="preserve"> </w:t>
      </w:r>
      <w:r w:rsidR="00374C56" w:rsidRPr="00D53A2B">
        <w:rPr>
          <w:bCs/>
          <w:lang w:eastAsia="en-US"/>
        </w:rPr>
        <w:t>Demirli-molibden ve demirli-vanadyum üretilen, bir refraktör astarlı potadan kaynaklanan ve havaya salınan toz ve metal emisyonlarının azaltılması için</w:t>
      </w:r>
      <w:r w:rsidR="00AB3EBD" w:rsidRPr="00D53A2B">
        <w:rPr>
          <w:bCs/>
          <w:lang w:eastAsia="en-US"/>
        </w:rPr>
        <w:t>,</w:t>
      </w:r>
      <w:r w:rsidR="00374C56" w:rsidRPr="00D53A2B">
        <w:rPr>
          <w:bCs/>
          <w:lang w:eastAsia="en-US"/>
        </w:rPr>
        <w:t xml:space="preserve"> bir torba filtre kullanılır.</w:t>
      </w:r>
    </w:p>
    <w:p w14:paraId="7EC2B88E"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46.</w:t>
      </w:r>
    </w:p>
    <w:p w14:paraId="3E0CB7FE" w14:textId="77777777" w:rsidR="007F23C9" w:rsidRPr="00D53A2B" w:rsidRDefault="00374C56" w:rsidP="00A202FD">
      <w:pPr>
        <w:jc w:val="both"/>
        <w:rPr>
          <w:lang w:eastAsia="en-US"/>
        </w:rPr>
      </w:pPr>
      <w:bookmarkStart w:id="200" w:name="_Toc527941364"/>
      <w:bookmarkStart w:id="201" w:name="_Toc531927987"/>
      <w:r w:rsidRPr="00D53A2B">
        <w:rPr>
          <w:lang w:eastAsia="en-US"/>
        </w:rPr>
        <w:t xml:space="preserve">Tablo </w:t>
      </w:r>
      <w:r w:rsidRPr="00D53A2B">
        <w:rPr>
          <w:noProof/>
          <w:lang w:eastAsia="en-US"/>
        </w:rPr>
        <w:t>46</w:t>
      </w:r>
    </w:p>
    <w:p w14:paraId="0F2F118E" w14:textId="710DEB67" w:rsidR="00374C56" w:rsidRPr="00D53A2B" w:rsidRDefault="00374C56" w:rsidP="00A202FD">
      <w:pPr>
        <w:jc w:val="both"/>
        <w:rPr>
          <w:lang w:eastAsia="en-US"/>
        </w:rPr>
      </w:pPr>
      <w:r w:rsidRPr="00D53A2B">
        <w:rPr>
          <w:lang w:eastAsia="en-US"/>
        </w:rPr>
        <w:t>Demirli-alaşımların üretiminden kaynaklanan ve havaya salınan toz emisyonları ile ilgili MET için emisyon seviyeleri</w:t>
      </w:r>
      <w:bookmarkEnd w:id="200"/>
      <w:bookmarkEnd w:id="201"/>
    </w:p>
    <w:tbl>
      <w:tblPr>
        <w:tblW w:w="0" w:type="auto"/>
        <w:tblInd w:w="5" w:type="dxa"/>
        <w:tblLayout w:type="fixed"/>
        <w:tblCellMar>
          <w:left w:w="0" w:type="dxa"/>
          <w:right w:w="0" w:type="dxa"/>
        </w:tblCellMar>
        <w:tblLook w:val="01E0" w:firstRow="1" w:lastRow="1" w:firstColumn="1" w:lastColumn="1" w:noHBand="0" w:noVBand="0"/>
      </w:tblPr>
      <w:tblGrid>
        <w:gridCol w:w="1266"/>
        <w:gridCol w:w="5803"/>
        <w:gridCol w:w="1652"/>
      </w:tblGrid>
      <w:tr w:rsidR="00374C56" w:rsidRPr="00D53A2B" w14:paraId="5C32E888" w14:textId="77777777" w:rsidTr="00CC1868">
        <w:tc>
          <w:tcPr>
            <w:tcW w:w="1266" w:type="dxa"/>
            <w:tcBorders>
              <w:top w:val="single" w:sz="4" w:space="0" w:color="000000"/>
              <w:left w:val="single" w:sz="4" w:space="0" w:color="000000"/>
              <w:bottom w:val="single" w:sz="4" w:space="0" w:color="000000"/>
              <w:right w:val="single" w:sz="4" w:space="0" w:color="000000"/>
            </w:tcBorders>
            <w:vAlign w:val="center"/>
          </w:tcPr>
          <w:p w14:paraId="1BC132B4" w14:textId="77777777" w:rsidR="00374C56" w:rsidRPr="00D53A2B" w:rsidRDefault="00374C56" w:rsidP="00A202FD">
            <w:pPr>
              <w:spacing w:line="264" w:lineRule="auto"/>
              <w:ind w:left="57" w:right="57"/>
              <w:jc w:val="both"/>
              <w:rPr>
                <w:sz w:val="22"/>
                <w:szCs w:val="22"/>
                <w:lang w:eastAsia="en-US"/>
              </w:rPr>
            </w:pPr>
          </w:p>
          <w:p w14:paraId="5DC2ED1E"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5803" w:type="dxa"/>
            <w:tcBorders>
              <w:top w:val="single" w:sz="4" w:space="0" w:color="000000"/>
              <w:left w:val="single" w:sz="4" w:space="0" w:color="000000"/>
              <w:bottom w:val="single" w:sz="4" w:space="0" w:color="000000"/>
              <w:right w:val="single" w:sz="4" w:space="0" w:color="000000"/>
            </w:tcBorders>
            <w:vAlign w:val="center"/>
          </w:tcPr>
          <w:p w14:paraId="1A0F8DEA" w14:textId="77777777" w:rsidR="00374C56" w:rsidRPr="00D53A2B" w:rsidRDefault="00374C56" w:rsidP="00A202FD">
            <w:pPr>
              <w:spacing w:line="264" w:lineRule="auto"/>
              <w:ind w:left="57" w:right="57"/>
              <w:jc w:val="both"/>
              <w:rPr>
                <w:sz w:val="22"/>
                <w:szCs w:val="22"/>
                <w:lang w:eastAsia="en-US"/>
              </w:rPr>
            </w:pPr>
          </w:p>
          <w:p w14:paraId="61C400B4"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Proses</w:t>
            </w:r>
          </w:p>
        </w:tc>
        <w:tc>
          <w:tcPr>
            <w:tcW w:w="1652" w:type="dxa"/>
            <w:tcBorders>
              <w:top w:val="single" w:sz="4" w:space="0" w:color="000000"/>
              <w:left w:val="single" w:sz="4" w:space="0" w:color="000000"/>
              <w:bottom w:val="single" w:sz="4" w:space="0" w:color="000000"/>
              <w:right w:val="single" w:sz="4" w:space="0" w:color="000000"/>
            </w:tcBorders>
            <w:vAlign w:val="center"/>
          </w:tcPr>
          <w:p w14:paraId="375BEA29"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w:t>
            </w:r>
          </w:p>
        </w:tc>
      </w:tr>
      <w:tr w:rsidR="00374C56" w:rsidRPr="00D53A2B" w14:paraId="722AD29A" w14:textId="77777777" w:rsidTr="00CC1868">
        <w:tc>
          <w:tcPr>
            <w:tcW w:w="1266" w:type="dxa"/>
            <w:vMerge w:val="restart"/>
            <w:tcBorders>
              <w:top w:val="single" w:sz="4" w:space="0" w:color="000000"/>
              <w:left w:val="single" w:sz="4" w:space="0" w:color="000000"/>
              <w:right w:val="single" w:sz="4" w:space="0" w:color="000000"/>
            </w:tcBorders>
            <w:vAlign w:val="center"/>
          </w:tcPr>
          <w:p w14:paraId="280F87B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5803" w:type="dxa"/>
            <w:tcBorders>
              <w:top w:val="single" w:sz="4" w:space="0" w:color="000000"/>
              <w:left w:val="single" w:sz="4" w:space="0" w:color="000000"/>
              <w:bottom w:val="single" w:sz="4" w:space="0" w:color="000000"/>
              <w:right w:val="single" w:sz="4" w:space="0" w:color="000000"/>
            </w:tcBorders>
          </w:tcPr>
          <w:p w14:paraId="76D751C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Katı malzemelerin depolanması, taşınması ve nakliyesi</w:t>
            </w:r>
          </w:p>
          <w:p w14:paraId="3D69EDC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Ölçüm, karıştırma, harmanlama ve yağ giderme gibi ön işlemler</w:t>
            </w:r>
          </w:p>
          <w:p w14:paraId="23D3D01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Akıtma, döküm ve paketleme</w:t>
            </w:r>
          </w:p>
        </w:tc>
        <w:tc>
          <w:tcPr>
            <w:tcW w:w="1652" w:type="dxa"/>
            <w:tcBorders>
              <w:top w:val="single" w:sz="4" w:space="0" w:color="000000"/>
              <w:left w:val="single" w:sz="4" w:space="0" w:color="000000"/>
              <w:bottom w:val="single" w:sz="4" w:space="0" w:color="000000"/>
              <w:right w:val="single" w:sz="4" w:space="0" w:color="000000"/>
            </w:tcBorders>
            <w:vAlign w:val="center"/>
          </w:tcPr>
          <w:p w14:paraId="0FE2282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 (</w:t>
            </w:r>
            <w:r w:rsidRPr="00D53A2B">
              <w:rPr>
                <w:sz w:val="22"/>
                <w:szCs w:val="22"/>
                <w:vertAlign w:val="superscript"/>
                <w:lang w:eastAsia="en-US"/>
              </w:rPr>
              <w:t>1</w:t>
            </w:r>
            <w:r w:rsidRPr="00D53A2B">
              <w:rPr>
                <w:sz w:val="22"/>
                <w:szCs w:val="22"/>
                <w:lang w:eastAsia="en-US"/>
              </w:rPr>
              <w:t>)</w:t>
            </w:r>
          </w:p>
        </w:tc>
      </w:tr>
      <w:tr w:rsidR="00374C56" w:rsidRPr="00D53A2B" w14:paraId="4CBC32C5" w14:textId="77777777" w:rsidTr="00CC1868">
        <w:tc>
          <w:tcPr>
            <w:tcW w:w="1266" w:type="dxa"/>
            <w:vMerge/>
            <w:tcBorders>
              <w:left w:val="single" w:sz="4" w:space="0" w:color="000000"/>
              <w:right w:val="single" w:sz="4" w:space="0" w:color="000000"/>
            </w:tcBorders>
          </w:tcPr>
          <w:p w14:paraId="6FDE62DE" w14:textId="77777777" w:rsidR="00374C56" w:rsidRPr="00D53A2B" w:rsidRDefault="00374C56" w:rsidP="00A202FD">
            <w:pPr>
              <w:spacing w:line="264" w:lineRule="auto"/>
              <w:ind w:left="57" w:right="57"/>
              <w:jc w:val="both"/>
              <w:rPr>
                <w:sz w:val="22"/>
                <w:szCs w:val="22"/>
                <w:lang w:eastAsia="en-US"/>
              </w:rPr>
            </w:pPr>
          </w:p>
        </w:tc>
        <w:tc>
          <w:tcPr>
            <w:tcW w:w="5803" w:type="dxa"/>
            <w:tcBorders>
              <w:top w:val="single" w:sz="4" w:space="0" w:color="000000"/>
              <w:left w:val="single" w:sz="4" w:space="0" w:color="000000"/>
              <w:bottom w:val="single" w:sz="4" w:space="0" w:color="000000"/>
              <w:right w:val="single" w:sz="4" w:space="0" w:color="000000"/>
            </w:tcBorders>
          </w:tcPr>
          <w:p w14:paraId="4183C17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Ezme, briketleme, peletleme ve sinterleme</w:t>
            </w:r>
          </w:p>
        </w:tc>
        <w:tc>
          <w:tcPr>
            <w:tcW w:w="1652" w:type="dxa"/>
            <w:tcBorders>
              <w:top w:val="single" w:sz="4" w:space="0" w:color="000000"/>
              <w:left w:val="single" w:sz="4" w:space="0" w:color="000000"/>
              <w:bottom w:val="single" w:sz="4" w:space="0" w:color="000000"/>
              <w:right w:val="single" w:sz="4" w:space="0" w:color="000000"/>
            </w:tcBorders>
            <w:vAlign w:val="center"/>
          </w:tcPr>
          <w:p w14:paraId="76A255A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 (</w:t>
            </w:r>
            <w:r w:rsidRPr="00D53A2B">
              <w:rPr>
                <w:sz w:val="22"/>
                <w:szCs w:val="22"/>
                <w:vertAlign w:val="superscript"/>
                <w:lang w:eastAsia="en-US"/>
              </w:rPr>
              <w:t>2</w:t>
            </w:r>
            <w:r w:rsidRPr="00D53A2B">
              <w:rPr>
                <w:sz w:val="22"/>
                <w:szCs w:val="22"/>
                <w:lang w:eastAsia="en-US"/>
              </w:rPr>
              <w:t>)(</w:t>
            </w:r>
            <w:r w:rsidRPr="00D53A2B">
              <w:rPr>
                <w:sz w:val="22"/>
                <w:szCs w:val="22"/>
                <w:vertAlign w:val="superscript"/>
                <w:lang w:eastAsia="en-US"/>
              </w:rPr>
              <w:t>3</w:t>
            </w:r>
            <w:r w:rsidRPr="00D53A2B">
              <w:rPr>
                <w:sz w:val="22"/>
                <w:szCs w:val="22"/>
                <w:lang w:eastAsia="en-US"/>
              </w:rPr>
              <w:t>)</w:t>
            </w:r>
          </w:p>
        </w:tc>
      </w:tr>
      <w:tr w:rsidR="00374C56" w:rsidRPr="00D53A2B" w14:paraId="0D45520B" w14:textId="77777777" w:rsidTr="00CC1868">
        <w:tc>
          <w:tcPr>
            <w:tcW w:w="1266" w:type="dxa"/>
            <w:vMerge/>
            <w:tcBorders>
              <w:left w:val="single" w:sz="4" w:space="0" w:color="000000"/>
              <w:right w:val="single" w:sz="4" w:space="0" w:color="000000"/>
            </w:tcBorders>
          </w:tcPr>
          <w:p w14:paraId="6AF48069" w14:textId="77777777" w:rsidR="00374C56" w:rsidRPr="00D53A2B" w:rsidRDefault="00374C56" w:rsidP="00A202FD">
            <w:pPr>
              <w:spacing w:line="264" w:lineRule="auto"/>
              <w:ind w:left="57" w:right="57"/>
              <w:jc w:val="both"/>
              <w:rPr>
                <w:sz w:val="22"/>
                <w:szCs w:val="22"/>
                <w:lang w:eastAsia="en-US"/>
              </w:rPr>
            </w:pPr>
          </w:p>
        </w:tc>
        <w:tc>
          <w:tcPr>
            <w:tcW w:w="5803" w:type="dxa"/>
            <w:tcBorders>
              <w:top w:val="single" w:sz="4" w:space="0" w:color="000000"/>
              <w:left w:val="single" w:sz="4" w:space="0" w:color="000000"/>
              <w:bottom w:val="single" w:sz="4" w:space="0" w:color="000000"/>
              <w:right w:val="single" w:sz="4" w:space="0" w:color="000000"/>
            </w:tcBorders>
          </w:tcPr>
          <w:p w14:paraId="40EF3BF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Açık veya yarı kapalı daldırılmış ark ocağı</w:t>
            </w:r>
          </w:p>
        </w:tc>
        <w:tc>
          <w:tcPr>
            <w:tcW w:w="1652" w:type="dxa"/>
            <w:tcBorders>
              <w:top w:val="single" w:sz="4" w:space="0" w:color="000000"/>
              <w:left w:val="single" w:sz="4" w:space="0" w:color="000000"/>
              <w:bottom w:val="single" w:sz="4" w:space="0" w:color="000000"/>
              <w:right w:val="single" w:sz="4" w:space="0" w:color="000000"/>
            </w:tcBorders>
            <w:vAlign w:val="center"/>
          </w:tcPr>
          <w:p w14:paraId="34DC94CD"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 (</w:t>
            </w:r>
            <w:r w:rsidRPr="00D53A2B">
              <w:rPr>
                <w:sz w:val="22"/>
                <w:szCs w:val="22"/>
                <w:vertAlign w:val="superscript"/>
                <w:lang w:eastAsia="en-US"/>
              </w:rPr>
              <w:t>2</w:t>
            </w:r>
            <w:r w:rsidRPr="00D53A2B">
              <w:rPr>
                <w:sz w:val="22"/>
                <w:szCs w:val="22"/>
                <w:lang w:eastAsia="en-US"/>
              </w:rPr>
              <w:t>)(</w:t>
            </w:r>
            <w:r w:rsidRPr="00D53A2B">
              <w:rPr>
                <w:sz w:val="22"/>
                <w:szCs w:val="22"/>
                <w:vertAlign w:val="superscript"/>
                <w:lang w:eastAsia="en-US"/>
              </w:rPr>
              <w:t>4</w:t>
            </w:r>
            <w:r w:rsidRPr="00D53A2B">
              <w:rPr>
                <w:sz w:val="22"/>
                <w:szCs w:val="22"/>
                <w:lang w:eastAsia="en-US"/>
              </w:rPr>
              <w:t>)(</w:t>
            </w:r>
            <w:r w:rsidRPr="00D53A2B">
              <w:rPr>
                <w:sz w:val="22"/>
                <w:szCs w:val="22"/>
                <w:vertAlign w:val="superscript"/>
                <w:lang w:eastAsia="en-US"/>
              </w:rPr>
              <w:t>5</w:t>
            </w:r>
            <w:r w:rsidRPr="00D53A2B">
              <w:rPr>
                <w:sz w:val="22"/>
                <w:szCs w:val="22"/>
                <w:lang w:eastAsia="en-US"/>
              </w:rPr>
              <w:t>)</w:t>
            </w:r>
          </w:p>
        </w:tc>
      </w:tr>
      <w:tr w:rsidR="00374C56" w:rsidRPr="00D53A2B" w14:paraId="7DB06CFE" w14:textId="77777777" w:rsidTr="00CC1868">
        <w:tc>
          <w:tcPr>
            <w:tcW w:w="1266" w:type="dxa"/>
            <w:vMerge/>
            <w:tcBorders>
              <w:left w:val="single" w:sz="4" w:space="0" w:color="000000"/>
              <w:bottom w:val="single" w:sz="4" w:space="0" w:color="000000"/>
              <w:right w:val="single" w:sz="4" w:space="0" w:color="000000"/>
            </w:tcBorders>
          </w:tcPr>
          <w:p w14:paraId="3769341B" w14:textId="77777777" w:rsidR="00374C56" w:rsidRPr="00D53A2B" w:rsidRDefault="00374C56" w:rsidP="00A202FD">
            <w:pPr>
              <w:spacing w:line="264" w:lineRule="auto"/>
              <w:ind w:left="57" w:right="57"/>
              <w:jc w:val="both"/>
              <w:rPr>
                <w:sz w:val="22"/>
                <w:szCs w:val="22"/>
                <w:lang w:eastAsia="en-US"/>
              </w:rPr>
            </w:pPr>
          </w:p>
        </w:tc>
        <w:tc>
          <w:tcPr>
            <w:tcW w:w="5803" w:type="dxa"/>
            <w:tcBorders>
              <w:top w:val="single" w:sz="4" w:space="0" w:color="000000"/>
              <w:left w:val="single" w:sz="4" w:space="0" w:color="000000"/>
              <w:bottom w:val="single" w:sz="4" w:space="0" w:color="000000"/>
              <w:right w:val="single" w:sz="4" w:space="0" w:color="000000"/>
            </w:tcBorders>
          </w:tcPr>
          <w:p w14:paraId="5A00CDE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Kapalı daldırılmış ark ocağı veya kapalı plazma toz prosesi</w:t>
            </w:r>
          </w:p>
          <w:p w14:paraId="6BE88F9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 Demirli-molibden ve demirli-vanadyum üretilen refrakter astarlı pota</w:t>
            </w:r>
          </w:p>
        </w:tc>
        <w:tc>
          <w:tcPr>
            <w:tcW w:w="1652" w:type="dxa"/>
            <w:tcBorders>
              <w:top w:val="single" w:sz="4" w:space="0" w:color="000000"/>
              <w:left w:val="single" w:sz="4" w:space="0" w:color="000000"/>
              <w:bottom w:val="single" w:sz="4" w:space="0" w:color="000000"/>
              <w:right w:val="single" w:sz="4" w:space="0" w:color="000000"/>
            </w:tcBorders>
            <w:vAlign w:val="center"/>
          </w:tcPr>
          <w:p w14:paraId="53DA01FA" w14:textId="77777777" w:rsidR="00374C56" w:rsidRPr="00D53A2B" w:rsidRDefault="00374C56" w:rsidP="00A202FD">
            <w:pPr>
              <w:spacing w:line="264" w:lineRule="auto"/>
              <w:ind w:left="57" w:right="57"/>
              <w:jc w:val="both"/>
              <w:rPr>
                <w:sz w:val="22"/>
                <w:szCs w:val="22"/>
                <w:lang w:eastAsia="en-US"/>
              </w:rPr>
            </w:pPr>
          </w:p>
          <w:p w14:paraId="6D8AB78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2–5 (</w:t>
            </w:r>
            <w:r w:rsidRPr="00D53A2B">
              <w:rPr>
                <w:sz w:val="22"/>
                <w:szCs w:val="22"/>
                <w:vertAlign w:val="superscript"/>
                <w:lang w:eastAsia="en-US"/>
              </w:rPr>
              <w:t>2</w:t>
            </w:r>
            <w:r w:rsidRPr="00D53A2B">
              <w:rPr>
                <w:sz w:val="22"/>
                <w:szCs w:val="22"/>
                <w:lang w:eastAsia="en-US"/>
              </w:rPr>
              <w:t>)</w:t>
            </w:r>
          </w:p>
        </w:tc>
      </w:tr>
      <w:tr w:rsidR="00374C56" w:rsidRPr="00D53A2B" w14:paraId="56366A81" w14:textId="77777777" w:rsidTr="00374C56">
        <w:tc>
          <w:tcPr>
            <w:tcW w:w="8721" w:type="dxa"/>
            <w:gridSpan w:val="3"/>
            <w:tcBorders>
              <w:top w:val="single" w:sz="4" w:space="0" w:color="000000"/>
              <w:left w:val="single" w:sz="4" w:space="0" w:color="000000"/>
              <w:bottom w:val="single" w:sz="4" w:space="0" w:color="000000"/>
              <w:right w:val="single" w:sz="4" w:space="0" w:color="000000"/>
            </w:tcBorders>
          </w:tcPr>
          <w:p w14:paraId="7452454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(1) Örnekleme dönemi boyunca alınan değerlerin ortalaması</w:t>
            </w:r>
          </w:p>
          <w:p w14:paraId="1338C27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 Günlük alınan değerlerin veya örnekleme dönemi boyunca alınan değerlerin ortalaması.</w:t>
            </w:r>
          </w:p>
          <w:p w14:paraId="0389D51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(3) Torba filtrenin kullanılamadığı durumlarda, aralığın üst sınırı 10 mg/Nm</w:t>
            </w:r>
            <w:r w:rsidRPr="00D53A2B">
              <w:rPr>
                <w:sz w:val="22"/>
                <w:szCs w:val="22"/>
                <w:vertAlign w:val="superscript"/>
                <w:lang w:eastAsia="en-US"/>
              </w:rPr>
              <w:t>3</w:t>
            </w:r>
            <w:r w:rsidRPr="00D53A2B">
              <w:rPr>
                <w:sz w:val="22"/>
                <w:szCs w:val="22"/>
                <w:lang w:eastAsia="en-US"/>
              </w:rPr>
              <w:t xml:space="preserve"> olabilir.</w:t>
            </w:r>
          </w:p>
          <w:p w14:paraId="59C1404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(4) Torba filtrenin verimliliğini etkileyen tozun yapışkan yapısından (higroskopik kapasite veya kimyasal özelliklerden etkilenen) dolayı FeMn, SiMn, CaSi üretimi için aralığın üst sınırı 15 mg/Nm</w:t>
            </w:r>
            <w:r w:rsidRPr="00D53A2B">
              <w:rPr>
                <w:sz w:val="22"/>
                <w:szCs w:val="22"/>
                <w:vertAlign w:val="superscript"/>
                <w:lang w:eastAsia="en-US"/>
              </w:rPr>
              <w:t>3</w:t>
            </w:r>
            <w:r w:rsidRPr="00D53A2B">
              <w:rPr>
                <w:sz w:val="22"/>
                <w:szCs w:val="22"/>
                <w:lang w:eastAsia="en-US"/>
              </w:rPr>
              <w:t xml:space="preserve"> olabilir.</w:t>
            </w:r>
          </w:p>
          <w:p w14:paraId="65CBCAF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(5) Metal emisyonları aşağıda verilen değerlerin üzerinde olduğunda, toz emisyonlarının verilen aralığın en altında olması beklenir: kurşun için 1 mg/Nm</w:t>
            </w:r>
            <w:r w:rsidRPr="00D53A2B">
              <w:rPr>
                <w:sz w:val="22"/>
                <w:szCs w:val="22"/>
                <w:vertAlign w:val="superscript"/>
                <w:lang w:eastAsia="en-US"/>
              </w:rPr>
              <w:t>3</w:t>
            </w:r>
            <w:r w:rsidRPr="00D53A2B">
              <w:rPr>
                <w:sz w:val="22"/>
                <w:szCs w:val="22"/>
                <w:lang w:eastAsia="en-US"/>
              </w:rPr>
              <w:t>, kadmiyum için 0,05 mg/Nm</w:t>
            </w:r>
            <w:r w:rsidRPr="00D53A2B">
              <w:rPr>
                <w:sz w:val="22"/>
                <w:szCs w:val="22"/>
                <w:vertAlign w:val="superscript"/>
                <w:lang w:eastAsia="en-US"/>
              </w:rPr>
              <w:t>3</w:t>
            </w:r>
            <w:r w:rsidRPr="00D53A2B">
              <w:rPr>
                <w:sz w:val="22"/>
                <w:szCs w:val="22"/>
                <w:lang w:eastAsia="en-US"/>
              </w:rPr>
              <w:t>, kromVI için 0,05 mg/Nm</w:t>
            </w:r>
            <w:r w:rsidRPr="00D53A2B">
              <w:rPr>
                <w:sz w:val="22"/>
                <w:szCs w:val="22"/>
                <w:vertAlign w:val="superscript"/>
                <w:lang w:eastAsia="en-US"/>
              </w:rPr>
              <w:t>3</w:t>
            </w:r>
            <w:r w:rsidRPr="00D53A2B">
              <w:rPr>
                <w:sz w:val="22"/>
                <w:szCs w:val="22"/>
                <w:lang w:eastAsia="en-US"/>
              </w:rPr>
              <w:t>, talyum için 0,05 mg/Nm</w:t>
            </w:r>
            <w:r w:rsidRPr="00D53A2B">
              <w:rPr>
                <w:sz w:val="22"/>
                <w:szCs w:val="22"/>
                <w:vertAlign w:val="superscript"/>
                <w:lang w:eastAsia="en-US"/>
              </w:rPr>
              <w:t>3</w:t>
            </w:r>
          </w:p>
        </w:tc>
      </w:tr>
    </w:tbl>
    <w:p w14:paraId="00A0AB9D" w14:textId="6C28E4A7"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2EE443DC" w14:textId="4252BB4D" w:rsidR="00374C56" w:rsidRPr="00D53A2B" w:rsidRDefault="00CD7455" w:rsidP="00A202FD">
      <w:pPr>
        <w:pStyle w:val="Balk4"/>
        <w:rPr>
          <w:rFonts w:cs="Times New Roman"/>
          <w:lang w:val="en-US" w:eastAsia="en-US"/>
        </w:rPr>
      </w:pPr>
      <w:bookmarkStart w:id="202" w:name="_Toc527940757"/>
      <w:bookmarkStart w:id="203" w:name="_Toc531927913"/>
      <w:r w:rsidRPr="00D53A2B">
        <w:rPr>
          <w:rFonts w:cs="Times New Roman"/>
          <w:lang w:val="en-US" w:eastAsia="en-US"/>
        </w:rPr>
        <w:t>1.</w:t>
      </w:r>
      <w:r w:rsidR="00374C56" w:rsidRPr="00D53A2B">
        <w:rPr>
          <w:rFonts w:cs="Times New Roman"/>
          <w:lang w:val="en-US" w:eastAsia="en-US"/>
        </w:rPr>
        <w:t>7.2.3.</w:t>
      </w:r>
      <w:r w:rsidR="00AB3EBD" w:rsidRPr="00D53A2B">
        <w:rPr>
          <w:rFonts w:cs="Times New Roman"/>
          <w:lang w:val="en-US" w:eastAsia="en-US"/>
        </w:rPr>
        <w:t xml:space="preserve"> </w:t>
      </w:r>
      <w:r w:rsidR="00374C56" w:rsidRPr="00D53A2B">
        <w:rPr>
          <w:rFonts w:cs="Times New Roman"/>
          <w:lang w:val="en-US" w:eastAsia="en-US"/>
        </w:rPr>
        <w:t>PCDD/F emisyonları</w:t>
      </w:r>
      <w:bookmarkEnd w:id="202"/>
      <w:bookmarkEnd w:id="203"/>
    </w:p>
    <w:p w14:paraId="060C0DA4" w14:textId="20BBB758" w:rsidR="00374C56" w:rsidRPr="00D53A2B" w:rsidRDefault="004479E1" w:rsidP="00A202FD">
      <w:pPr>
        <w:spacing w:after="240"/>
        <w:jc w:val="both"/>
        <w:rPr>
          <w:b/>
          <w:lang w:eastAsia="en-US"/>
        </w:rPr>
      </w:pPr>
      <w:r w:rsidRPr="00D53A2B">
        <w:rPr>
          <w:b/>
          <w:lang w:eastAsia="en-US"/>
        </w:rPr>
        <w:t>MET 159:</w:t>
      </w:r>
      <w:r w:rsidR="00374C56" w:rsidRPr="00D53A2B">
        <w:rPr>
          <w:b/>
          <w:lang w:eastAsia="en-US"/>
        </w:rPr>
        <w:t xml:space="preserve"> </w:t>
      </w:r>
      <w:r w:rsidR="00CD7455" w:rsidRPr="00D53A2B">
        <w:rPr>
          <w:bCs/>
          <w:lang w:eastAsia="en-US"/>
        </w:rPr>
        <w:t>Demirli-alaşımlar üreten bir fırından kaynaklanan ve havaya salınan PCDD/F emisyonlarının azaltılması için adsorban enjeksiyonu ve bir ESP veya torba filtre kullanılır.</w:t>
      </w:r>
    </w:p>
    <w:p w14:paraId="17740CD5"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47.</w:t>
      </w:r>
    </w:p>
    <w:p w14:paraId="2CD93646" w14:textId="77777777" w:rsidR="007F23C9" w:rsidRPr="00D53A2B" w:rsidRDefault="00374C56" w:rsidP="00A202FD">
      <w:pPr>
        <w:spacing w:before="120" w:after="120"/>
        <w:jc w:val="both"/>
        <w:rPr>
          <w:bCs/>
          <w:iCs/>
          <w:spacing w:val="2"/>
          <w:lang w:eastAsia="en-US"/>
        </w:rPr>
      </w:pPr>
      <w:bookmarkStart w:id="204" w:name="_Toc527941365"/>
      <w:bookmarkStart w:id="205" w:name="_Toc531927988"/>
      <w:r w:rsidRPr="00D53A2B">
        <w:rPr>
          <w:bCs/>
          <w:iCs/>
          <w:spacing w:val="2"/>
          <w:lang w:eastAsia="en-US"/>
        </w:rPr>
        <w:t xml:space="preserve">Tablo </w:t>
      </w:r>
      <w:r w:rsidRPr="00D53A2B">
        <w:rPr>
          <w:bCs/>
          <w:noProof/>
          <w:spacing w:val="2"/>
          <w:lang w:eastAsia="en-US"/>
        </w:rPr>
        <w:t>47</w:t>
      </w:r>
    </w:p>
    <w:p w14:paraId="5A1D04B5" w14:textId="5926495C" w:rsidR="00374C56" w:rsidRPr="00D53A2B" w:rsidRDefault="00374C56" w:rsidP="00A202FD">
      <w:pPr>
        <w:spacing w:before="120" w:after="120"/>
        <w:jc w:val="both"/>
        <w:rPr>
          <w:bCs/>
          <w:iCs/>
          <w:spacing w:val="2"/>
          <w:lang w:eastAsia="en-US"/>
        </w:rPr>
      </w:pPr>
      <w:r w:rsidRPr="00D53A2B">
        <w:rPr>
          <w:bCs/>
          <w:iCs/>
          <w:spacing w:val="2"/>
          <w:lang w:eastAsia="en-US"/>
        </w:rPr>
        <w:t>Demirli-alaşımlar üreten bir fırından kaynaklanan ve havaya salınan PCDD/F emisyonları ile ilgili MET için emisyon seviyeleri</w:t>
      </w:r>
      <w:bookmarkEnd w:id="204"/>
      <w:bookmarkEnd w:id="205"/>
    </w:p>
    <w:tbl>
      <w:tblPr>
        <w:tblW w:w="8784" w:type="dxa"/>
        <w:tblLayout w:type="fixed"/>
        <w:tblCellMar>
          <w:left w:w="0" w:type="dxa"/>
          <w:right w:w="0" w:type="dxa"/>
        </w:tblCellMar>
        <w:tblLook w:val="01E0" w:firstRow="1" w:lastRow="1" w:firstColumn="1" w:lastColumn="1" w:noHBand="0" w:noVBand="0"/>
      </w:tblPr>
      <w:tblGrid>
        <w:gridCol w:w="2366"/>
        <w:gridCol w:w="6418"/>
      </w:tblGrid>
      <w:tr w:rsidR="00374C56" w:rsidRPr="00D53A2B" w14:paraId="34EBFC9B" w14:textId="77777777" w:rsidTr="008A41DE">
        <w:tc>
          <w:tcPr>
            <w:tcW w:w="2366" w:type="dxa"/>
            <w:tcBorders>
              <w:top w:val="single" w:sz="4" w:space="0" w:color="000000"/>
              <w:left w:val="single" w:sz="4" w:space="0" w:color="000000"/>
              <w:bottom w:val="single" w:sz="4" w:space="0" w:color="000000"/>
              <w:right w:val="single" w:sz="4" w:space="0" w:color="000000"/>
            </w:tcBorders>
            <w:vAlign w:val="center"/>
          </w:tcPr>
          <w:p w14:paraId="264A743A"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6418" w:type="dxa"/>
            <w:tcBorders>
              <w:top w:val="single" w:sz="4" w:space="0" w:color="000000"/>
              <w:left w:val="single" w:sz="4" w:space="0" w:color="000000"/>
              <w:bottom w:val="single" w:sz="4" w:space="0" w:color="000000"/>
              <w:right w:val="single" w:sz="4" w:space="0" w:color="000000"/>
            </w:tcBorders>
            <w:vAlign w:val="center"/>
          </w:tcPr>
          <w:p w14:paraId="11599669" w14:textId="77777777" w:rsidR="00374C56" w:rsidRPr="00D53A2B" w:rsidRDefault="00374C56" w:rsidP="00A202FD">
            <w:pPr>
              <w:spacing w:line="264" w:lineRule="auto"/>
              <w:ind w:left="57" w:right="57"/>
              <w:jc w:val="both"/>
              <w:rPr>
                <w:lang w:eastAsia="en-US"/>
              </w:rPr>
            </w:pPr>
            <w:r w:rsidRPr="00D53A2B">
              <w:rPr>
                <w:b/>
                <w:bCs/>
                <w:lang w:eastAsia="en-US"/>
              </w:rPr>
              <w:t>MET-İES (ng I-TEQ/Nm</w:t>
            </w:r>
            <w:r w:rsidRPr="00D53A2B">
              <w:rPr>
                <w:b/>
                <w:bCs/>
                <w:vertAlign w:val="superscript"/>
                <w:lang w:eastAsia="en-US"/>
              </w:rPr>
              <w:t>3</w:t>
            </w:r>
            <w:r w:rsidRPr="00D53A2B">
              <w:rPr>
                <w:b/>
                <w:bCs/>
                <w:lang w:eastAsia="en-US"/>
              </w:rPr>
              <w:t>)</w:t>
            </w:r>
          </w:p>
        </w:tc>
      </w:tr>
      <w:tr w:rsidR="00374C56" w:rsidRPr="00D53A2B" w14:paraId="1218C043" w14:textId="77777777" w:rsidTr="008A41DE">
        <w:tc>
          <w:tcPr>
            <w:tcW w:w="2366" w:type="dxa"/>
            <w:tcBorders>
              <w:top w:val="single" w:sz="4" w:space="0" w:color="000000"/>
              <w:left w:val="single" w:sz="4" w:space="0" w:color="000000"/>
              <w:bottom w:val="single" w:sz="4" w:space="0" w:color="000000"/>
              <w:right w:val="single" w:sz="4" w:space="0" w:color="000000"/>
            </w:tcBorders>
          </w:tcPr>
          <w:p w14:paraId="5C46A491" w14:textId="77777777" w:rsidR="00374C56" w:rsidRPr="00D53A2B" w:rsidRDefault="00374C56" w:rsidP="00A202FD">
            <w:pPr>
              <w:spacing w:line="264" w:lineRule="auto"/>
              <w:ind w:left="57" w:right="57"/>
              <w:jc w:val="both"/>
              <w:rPr>
                <w:lang w:eastAsia="en-US"/>
              </w:rPr>
            </w:pPr>
            <w:r w:rsidRPr="00D53A2B">
              <w:rPr>
                <w:lang w:eastAsia="en-US"/>
              </w:rPr>
              <w:t>PCDD/F</w:t>
            </w:r>
          </w:p>
        </w:tc>
        <w:tc>
          <w:tcPr>
            <w:tcW w:w="6418" w:type="dxa"/>
            <w:tcBorders>
              <w:top w:val="single" w:sz="4" w:space="0" w:color="000000"/>
              <w:left w:val="single" w:sz="4" w:space="0" w:color="000000"/>
              <w:bottom w:val="single" w:sz="4" w:space="0" w:color="000000"/>
              <w:right w:val="single" w:sz="4" w:space="0" w:color="000000"/>
            </w:tcBorders>
          </w:tcPr>
          <w:p w14:paraId="1D243BD9" w14:textId="77777777" w:rsidR="00374C56" w:rsidRPr="00D53A2B" w:rsidRDefault="00374C56" w:rsidP="00A202FD">
            <w:pPr>
              <w:spacing w:line="264" w:lineRule="auto"/>
              <w:ind w:left="57" w:right="57"/>
              <w:jc w:val="both"/>
              <w:rPr>
                <w:lang w:eastAsia="en-US"/>
              </w:rPr>
            </w:pPr>
            <w:r w:rsidRPr="00D53A2B">
              <w:rPr>
                <w:lang w:eastAsia="en-US"/>
              </w:rPr>
              <w:t>≤ 0,05 (</w:t>
            </w:r>
            <w:r w:rsidRPr="00D53A2B">
              <w:rPr>
                <w:vertAlign w:val="superscript"/>
                <w:lang w:eastAsia="en-US"/>
              </w:rPr>
              <w:t>1</w:t>
            </w:r>
            <w:r w:rsidRPr="00D53A2B">
              <w:rPr>
                <w:lang w:eastAsia="en-US"/>
              </w:rPr>
              <w:t>)</w:t>
            </w:r>
          </w:p>
        </w:tc>
      </w:tr>
      <w:tr w:rsidR="00374C56" w:rsidRPr="00D53A2B" w14:paraId="0F3DFA7F" w14:textId="77777777" w:rsidTr="008A41DE">
        <w:tc>
          <w:tcPr>
            <w:tcW w:w="8784" w:type="dxa"/>
            <w:gridSpan w:val="2"/>
            <w:tcBorders>
              <w:top w:val="single" w:sz="4" w:space="0" w:color="000000"/>
              <w:left w:val="single" w:sz="4" w:space="0" w:color="000000"/>
              <w:bottom w:val="single" w:sz="4" w:space="0" w:color="000000"/>
              <w:right w:val="single" w:sz="4" w:space="0" w:color="000000"/>
            </w:tcBorders>
          </w:tcPr>
          <w:p w14:paraId="5A94884E"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En az altı saatlik bir örnekleme süresi boyunca alınan değerlerin ortalaması</w:t>
            </w:r>
          </w:p>
        </w:tc>
      </w:tr>
    </w:tbl>
    <w:p w14:paraId="57BF8BAA" w14:textId="5077A6A0"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6A5DD511" w14:textId="4967A741" w:rsidR="00374C56" w:rsidRPr="00D53A2B" w:rsidRDefault="00CD7455" w:rsidP="00A202FD">
      <w:pPr>
        <w:pStyle w:val="Balk4"/>
        <w:rPr>
          <w:rFonts w:cs="Times New Roman"/>
          <w:lang w:val="en-US" w:eastAsia="en-US"/>
        </w:rPr>
      </w:pPr>
      <w:bookmarkStart w:id="206" w:name="_Toc527940758"/>
      <w:bookmarkStart w:id="207" w:name="_Toc531927914"/>
      <w:r w:rsidRPr="00D53A2B">
        <w:rPr>
          <w:rFonts w:cs="Times New Roman"/>
          <w:lang w:val="en-US" w:eastAsia="en-US"/>
        </w:rPr>
        <w:t>1.</w:t>
      </w:r>
      <w:r w:rsidR="00374C56" w:rsidRPr="00D53A2B">
        <w:rPr>
          <w:rFonts w:cs="Times New Roman"/>
          <w:lang w:val="en-US" w:eastAsia="en-US"/>
        </w:rPr>
        <w:t>7.2.4.</w:t>
      </w:r>
      <w:r w:rsidR="00374C56" w:rsidRPr="00D53A2B">
        <w:rPr>
          <w:rFonts w:cs="Times New Roman"/>
          <w:lang w:val="en-US" w:eastAsia="en-US"/>
        </w:rPr>
        <w:tab/>
        <w:t>PAH ve organik bileşik emisyonları</w:t>
      </w:r>
      <w:bookmarkEnd w:id="206"/>
      <w:bookmarkEnd w:id="207"/>
    </w:p>
    <w:p w14:paraId="2CC3E4FD" w14:textId="425319AE" w:rsidR="00374C56" w:rsidRPr="00D53A2B" w:rsidRDefault="004479E1" w:rsidP="00A202FD">
      <w:pPr>
        <w:spacing w:after="240"/>
        <w:jc w:val="both"/>
        <w:rPr>
          <w:b/>
          <w:lang w:eastAsia="en-US"/>
        </w:rPr>
      </w:pPr>
      <w:r w:rsidRPr="00D53A2B">
        <w:rPr>
          <w:b/>
          <w:lang w:eastAsia="en-US"/>
        </w:rPr>
        <w:t>MET 160:</w:t>
      </w:r>
      <w:r w:rsidR="00374C56" w:rsidRPr="00D53A2B">
        <w:rPr>
          <w:b/>
          <w:lang w:eastAsia="en-US"/>
        </w:rPr>
        <w:t xml:space="preserve"> </w:t>
      </w:r>
      <w:r w:rsidR="00374C56" w:rsidRPr="00D53A2B">
        <w:rPr>
          <w:bCs/>
          <w:lang w:eastAsia="en-US"/>
        </w:rPr>
        <w:t>Döner fırınlarda titanyum talaşından yağ giderme işleminden kaynaklanan ve havaya salınan PAH ve organik bileşik emisyonlarının azaltılması</w:t>
      </w:r>
      <w:r w:rsidR="00AB3EBD" w:rsidRPr="00D53A2B">
        <w:rPr>
          <w:bCs/>
          <w:lang w:eastAsia="en-US"/>
        </w:rPr>
        <w:t xml:space="preserve"> için</w:t>
      </w:r>
      <w:r w:rsidR="00374C56" w:rsidRPr="00D53A2B">
        <w:rPr>
          <w:bCs/>
          <w:lang w:eastAsia="en-US"/>
        </w:rPr>
        <w:t xml:space="preserve"> bir termal oksitleyici kullanılır.</w:t>
      </w:r>
    </w:p>
    <w:p w14:paraId="72348264" w14:textId="54D7DF83" w:rsidR="00374C56" w:rsidRPr="00D53A2B" w:rsidRDefault="00CD7455" w:rsidP="00A202FD">
      <w:pPr>
        <w:pStyle w:val="Balk3"/>
        <w:rPr>
          <w:rFonts w:cs="Times New Roman"/>
          <w:lang w:eastAsia="en-US"/>
        </w:rPr>
      </w:pPr>
      <w:r w:rsidRPr="00D53A2B">
        <w:rPr>
          <w:rFonts w:cs="Times New Roman"/>
          <w:lang w:eastAsia="en-US"/>
        </w:rPr>
        <w:t>1.</w:t>
      </w:r>
      <w:r w:rsidR="00374C56" w:rsidRPr="00D53A2B">
        <w:rPr>
          <w:rFonts w:cs="Times New Roman"/>
          <w:lang w:eastAsia="en-US"/>
        </w:rPr>
        <w:t>7.3.</w:t>
      </w:r>
      <w:r w:rsidR="00374C56" w:rsidRPr="00D53A2B">
        <w:rPr>
          <w:rFonts w:cs="Times New Roman"/>
          <w:lang w:eastAsia="en-US"/>
        </w:rPr>
        <w:tab/>
      </w:r>
      <w:bookmarkStart w:id="208" w:name="_Toc527940759"/>
      <w:bookmarkStart w:id="209" w:name="_Toc531927915"/>
      <w:r w:rsidR="00374C56" w:rsidRPr="00D53A2B">
        <w:rPr>
          <w:rFonts w:cs="Times New Roman"/>
          <w:lang w:eastAsia="en-US"/>
        </w:rPr>
        <w:t>Atık</w:t>
      </w:r>
      <w:bookmarkEnd w:id="208"/>
      <w:bookmarkEnd w:id="209"/>
      <w:r w:rsidR="00374C56" w:rsidRPr="00D53A2B">
        <w:rPr>
          <w:rFonts w:cs="Times New Roman"/>
          <w:lang w:eastAsia="en-US"/>
        </w:rPr>
        <w:t xml:space="preserve"> </w:t>
      </w:r>
    </w:p>
    <w:p w14:paraId="637B3747" w14:textId="2159E073" w:rsidR="00374C56" w:rsidRPr="00D53A2B" w:rsidRDefault="004479E1" w:rsidP="00A202FD">
      <w:pPr>
        <w:spacing w:after="240"/>
        <w:jc w:val="both"/>
        <w:rPr>
          <w:b/>
          <w:lang w:eastAsia="en-US"/>
        </w:rPr>
      </w:pPr>
      <w:r w:rsidRPr="00D53A2B">
        <w:rPr>
          <w:b/>
          <w:lang w:eastAsia="en-US"/>
        </w:rPr>
        <w:t>MET 161:</w:t>
      </w:r>
      <w:r w:rsidR="00374C56" w:rsidRPr="00D53A2B">
        <w:rPr>
          <w:b/>
          <w:lang w:eastAsia="en-US"/>
        </w:rPr>
        <w:t xml:space="preserve"> </w:t>
      </w:r>
      <w:r w:rsidR="00374C56" w:rsidRPr="00D53A2B">
        <w:rPr>
          <w:bCs/>
          <w:lang w:eastAsia="en-US"/>
        </w:rPr>
        <w:t>Bertaraf etmek için gönderilen cüruf miktarının azaltılması için, cürufun yeniden kullanımını kolaylaştıracak veya cüruf geri dönüşümünü engellemeyecek şekilde, aşağıda verilen tekniklerin biri ya da bir kombinasyonu kullanılarak sahadaki faaliyetler organize e</w:t>
      </w:r>
      <w:r w:rsidR="00AB3EBD" w:rsidRPr="00D53A2B">
        <w:rPr>
          <w:bCs/>
          <w:lang w:eastAsia="en-US"/>
        </w:rPr>
        <w:t>dilir</w:t>
      </w:r>
      <w:r w:rsidR="00374C56" w:rsidRPr="00D53A2B">
        <w:rPr>
          <w:bCs/>
          <w:lang w:eastAsia="en-US"/>
        </w:rPr>
        <w:t>.</w:t>
      </w:r>
    </w:p>
    <w:tbl>
      <w:tblPr>
        <w:tblW w:w="8779" w:type="dxa"/>
        <w:tblInd w:w="5" w:type="dxa"/>
        <w:tblLayout w:type="fixed"/>
        <w:tblCellMar>
          <w:left w:w="0" w:type="dxa"/>
          <w:right w:w="0" w:type="dxa"/>
        </w:tblCellMar>
        <w:tblLook w:val="01E0" w:firstRow="1" w:lastRow="1" w:firstColumn="1" w:lastColumn="1" w:noHBand="0" w:noVBand="0"/>
      </w:tblPr>
      <w:tblGrid>
        <w:gridCol w:w="324"/>
        <w:gridCol w:w="3635"/>
        <w:gridCol w:w="4820"/>
      </w:tblGrid>
      <w:tr w:rsidR="00374C56" w:rsidRPr="00D53A2B" w14:paraId="057145A0" w14:textId="77777777" w:rsidTr="008A41DE">
        <w:tc>
          <w:tcPr>
            <w:tcW w:w="324" w:type="dxa"/>
            <w:tcBorders>
              <w:top w:val="single" w:sz="4" w:space="0" w:color="000000"/>
              <w:left w:val="single" w:sz="4" w:space="0" w:color="000000"/>
              <w:bottom w:val="single" w:sz="4" w:space="0" w:color="000000"/>
              <w:right w:val="single" w:sz="4" w:space="0" w:color="000000"/>
            </w:tcBorders>
            <w:vAlign w:val="center"/>
          </w:tcPr>
          <w:p w14:paraId="09048FDD" w14:textId="77777777" w:rsidR="00374C56" w:rsidRPr="00D53A2B" w:rsidRDefault="00374C56" w:rsidP="00A202FD">
            <w:pPr>
              <w:spacing w:line="264" w:lineRule="auto"/>
              <w:ind w:left="57" w:right="57"/>
              <w:jc w:val="both"/>
              <w:rPr>
                <w:sz w:val="22"/>
                <w:szCs w:val="22"/>
                <w:lang w:eastAsia="en-US"/>
              </w:rPr>
            </w:pPr>
          </w:p>
        </w:tc>
        <w:tc>
          <w:tcPr>
            <w:tcW w:w="3635" w:type="dxa"/>
            <w:tcBorders>
              <w:top w:val="single" w:sz="4" w:space="0" w:color="000000"/>
              <w:left w:val="single" w:sz="4" w:space="0" w:color="000000"/>
              <w:bottom w:val="single" w:sz="4" w:space="0" w:color="000000"/>
              <w:right w:val="single" w:sz="4" w:space="0" w:color="000000"/>
            </w:tcBorders>
          </w:tcPr>
          <w:p w14:paraId="0F0FC870"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4820" w:type="dxa"/>
            <w:tcBorders>
              <w:top w:val="single" w:sz="4" w:space="0" w:color="000000"/>
              <w:left w:val="single" w:sz="4" w:space="0" w:color="000000"/>
              <w:bottom w:val="single" w:sz="4" w:space="0" w:color="000000"/>
              <w:right w:val="single" w:sz="4" w:space="0" w:color="000000"/>
            </w:tcBorders>
          </w:tcPr>
          <w:p w14:paraId="6B89182C"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271C1744" w14:textId="77777777" w:rsidTr="008A41DE">
        <w:tc>
          <w:tcPr>
            <w:tcW w:w="324" w:type="dxa"/>
            <w:tcBorders>
              <w:top w:val="single" w:sz="4" w:space="0" w:color="000000"/>
              <w:left w:val="single" w:sz="4" w:space="0" w:color="000000"/>
              <w:bottom w:val="single" w:sz="4" w:space="0" w:color="000000"/>
              <w:right w:val="single" w:sz="4" w:space="0" w:color="000000"/>
            </w:tcBorders>
            <w:vAlign w:val="center"/>
          </w:tcPr>
          <w:p w14:paraId="6588C57E"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3635" w:type="dxa"/>
            <w:tcBorders>
              <w:top w:val="single" w:sz="4" w:space="0" w:color="000000"/>
              <w:left w:val="single" w:sz="4" w:space="0" w:color="000000"/>
              <w:bottom w:val="single" w:sz="4" w:space="0" w:color="000000"/>
              <w:right w:val="single" w:sz="4" w:space="0" w:color="000000"/>
            </w:tcBorders>
            <w:vAlign w:val="center"/>
          </w:tcPr>
          <w:p w14:paraId="4B0D5FB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Cürufun inşaat uygulamalarında kullanılması</w:t>
            </w:r>
          </w:p>
        </w:tc>
        <w:tc>
          <w:tcPr>
            <w:tcW w:w="4820" w:type="dxa"/>
            <w:tcBorders>
              <w:top w:val="single" w:sz="4" w:space="0" w:color="000000"/>
              <w:left w:val="single" w:sz="4" w:space="0" w:color="000000"/>
              <w:bottom w:val="single" w:sz="4" w:space="0" w:color="000000"/>
              <w:right w:val="single" w:sz="4" w:space="0" w:color="000000"/>
            </w:tcBorders>
          </w:tcPr>
          <w:p w14:paraId="5B1DF3B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yüksek karbonlu FeCr ve SiMn üretiminden ortaya çıkan cüruflar, çelikhane artıklarından alaşım geri kazanımında ortaya çıkan cüruflar ve FeMn ve FeMo üretiminden ortaya çıkan standart cüruflar için uygulanabilir.</w:t>
            </w:r>
          </w:p>
        </w:tc>
      </w:tr>
      <w:tr w:rsidR="00374C56" w:rsidRPr="00D53A2B" w14:paraId="3158DC54" w14:textId="77777777" w:rsidTr="008A41DE">
        <w:tc>
          <w:tcPr>
            <w:tcW w:w="324" w:type="dxa"/>
            <w:tcBorders>
              <w:top w:val="single" w:sz="4" w:space="0" w:color="000000"/>
              <w:left w:val="single" w:sz="4" w:space="0" w:color="000000"/>
              <w:bottom w:val="single" w:sz="4" w:space="0" w:color="000000"/>
              <w:right w:val="single" w:sz="4" w:space="0" w:color="000000"/>
            </w:tcBorders>
            <w:vAlign w:val="center"/>
          </w:tcPr>
          <w:p w14:paraId="74598CF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3635" w:type="dxa"/>
            <w:tcBorders>
              <w:top w:val="single" w:sz="4" w:space="0" w:color="000000"/>
              <w:left w:val="single" w:sz="4" w:space="0" w:color="000000"/>
              <w:bottom w:val="single" w:sz="4" w:space="0" w:color="000000"/>
              <w:right w:val="single" w:sz="4" w:space="0" w:color="000000"/>
            </w:tcBorders>
            <w:vAlign w:val="center"/>
          </w:tcPr>
          <w:p w14:paraId="2A81D3A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Cürufun kumlama malzemesi olarak kullanılması</w:t>
            </w:r>
          </w:p>
        </w:tc>
        <w:tc>
          <w:tcPr>
            <w:tcW w:w="4820" w:type="dxa"/>
            <w:tcBorders>
              <w:top w:val="single" w:sz="4" w:space="0" w:color="000000"/>
              <w:left w:val="single" w:sz="4" w:space="0" w:color="000000"/>
              <w:bottom w:val="single" w:sz="4" w:space="0" w:color="000000"/>
              <w:right w:val="single" w:sz="4" w:space="0" w:color="000000"/>
            </w:tcBorders>
          </w:tcPr>
          <w:p w14:paraId="51A13AC8"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yüksek karbonlu FeCr üretiminden ortaya çıkan cüruflar için uygulanabilir.</w:t>
            </w:r>
          </w:p>
        </w:tc>
      </w:tr>
      <w:tr w:rsidR="00374C56" w:rsidRPr="00D53A2B" w14:paraId="0E3C45C8" w14:textId="77777777" w:rsidTr="008A41DE">
        <w:tc>
          <w:tcPr>
            <w:tcW w:w="324" w:type="dxa"/>
            <w:tcBorders>
              <w:top w:val="single" w:sz="4" w:space="0" w:color="000000"/>
              <w:left w:val="single" w:sz="4" w:space="0" w:color="000000"/>
              <w:bottom w:val="single" w:sz="4" w:space="0" w:color="000000"/>
              <w:right w:val="single" w:sz="4" w:space="0" w:color="000000"/>
            </w:tcBorders>
            <w:vAlign w:val="center"/>
          </w:tcPr>
          <w:p w14:paraId="3717A18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3635" w:type="dxa"/>
            <w:tcBorders>
              <w:top w:val="single" w:sz="4" w:space="0" w:color="000000"/>
              <w:left w:val="single" w:sz="4" w:space="0" w:color="000000"/>
              <w:bottom w:val="single" w:sz="4" w:space="0" w:color="000000"/>
              <w:right w:val="single" w:sz="4" w:space="0" w:color="000000"/>
            </w:tcBorders>
            <w:vAlign w:val="center"/>
          </w:tcPr>
          <w:p w14:paraId="209BC3FB"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Cürufun refrakter döküm malzemesi olarak kullanılması</w:t>
            </w:r>
          </w:p>
        </w:tc>
        <w:tc>
          <w:tcPr>
            <w:tcW w:w="4820" w:type="dxa"/>
            <w:tcBorders>
              <w:top w:val="single" w:sz="4" w:space="0" w:color="000000"/>
              <w:left w:val="single" w:sz="4" w:space="0" w:color="000000"/>
              <w:bottom w:val="single" w:sz="4" w:space="0" w:color="000000"/>
              <w:right w:val="single" w:sz="4" w:space="0" w:color="000000"/>
            </w:tcBorders>
          </w:tcPr>
          <w:p w14:paraId="12BA402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yüksek karbonlu FeCr üretiminden ortaya çıkan cüruflar için uygulanabilir.</w:t>
            </w:r>
          </w:p>
        </w:tc>
      </w:tr>
      <w:tr w:rsidR="00374C56" w:rsidRPr="00D53A2B" w14:paraId="3E8E6A00" w14:textId="77777777" w:rsidTr="008A41DE">
        <w:tc>
          <w:tcPr>
            <w:tcW w:w="324" w:type="dxa"/>
            <w:tcBorders>
              <w:top w:val="single" w:sz="4" w:space="0" w:color="000000"/>
              <w:left w:val="single" w:sz="4" w:space="0" w:color="000000"/>
              <w:bottom w:val="single" w:sz="4" w:space="0" w:color="000000"/>
              <w:right w:val="single" w:sz="4" w:space="0" w:color="000000"/>
            </w:tcBorders>
            <w:vAlign w:val="center"/>
          </w:tcPr>
          <w:p w14:paraId="75917C3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3635" w:type="dxa"/>
            <w:tcBorders>
              <w:top w:val="single" w:sz="4" w:space="0" w:color="000000"/>
              <w:left w:val="single" w:sz="4" w:space="0" w:color="000000"/>
              <w:bottom w:val="single" w:sz="4" w:space="0" w:color="000000"/>
              <w:right w:val="single" w:sz="4" w:space="0" w:color="000000"/>
            </w:tcBorders>
            <w:vAlign w:val="center"/>
          </w:tcPr>
          <w:p w14:paraId="6956C85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Cürufun ergitme prosesinde kullanılması</w:t>
            </w:r>
          </w:p>
        </w:tc>
        <w:tc>
          <w:tcPr>
            <w:tcW w:w="4820" w:type="dxa"/>
            <w:tcBorders>
              <w:top w:val="single" w:sz="4" w:space="0" w:color="000000"/>
              <w:left w:val="single" w:sz="4" w:space="0" w:color="000000"/>
              <w:bottom w:val="single" w:sz="4" w:space="0" w:color="000000"/>
              <w:right w:val="single" w:sz="4" w:space="0" w:color="000000"/>
            </w:tcBorders>
          </w:tcPr>
          <w:p w14:paraId="41503F05"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yüksek karbonlu siliko-kalsiyum üretiminden ortaya çıkan cüruflar için uygulanabilir.</w:t>
            </w:r>
          </w:p>
        </w:tc>
      </w:tr>
      <w:tr w:rsidR="00374C56" w:rsidRPr="00D53A2B" w14:paraId="6189A8D5" w14:textId="77777777" w:rsidTr="008A41DE">
        <w:tc>
          <w:tcPr>
            <w:tcW w:w="324" w:type="dxa"/>
            <w:tcBorders>
              <w:top w:val="single" w:sz="4" w:space="0" w:color="000000"/>
              <w:left w:val="single" w:sz="4" w:space="0" w:color="000000"/>
              <w:bottom w:val="single" w:sz="4" w:space="0" w:color="000000"/>
              <w:right w:val="single" w:sz="4" w:space="0" w:color="000000"/>
            </w:tcBorders>
            <w:vAlign w:val="center"/>
          </w:tcPr>
          <w:p w14:paraId="2C97760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3635" w:type="dxa"/>
            <w:tcBorders>
              <w:top w:val="single" w:sz="4" w:space="0" w:color="000000"/>
              <w:left w:val="single" w:sz="4" w:space="0" w:color="000000"/>
              <w:bottom w:val="single" w:sz="4" w:space="0" w:color="000000"/>
              <w:right w:val="single" w:sz="4" w:space="0" w:color="000000"/>
            </w:tcBorders>
            <w:vAlign w:val="center"/>
          </w:tcPr>
          <w:p w14:paraId="4996E86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Cürufun siliko-mangan üretiminde veya diğer metalurjik uygulamalarda hammadde olarak kullanılması</w:t>
            </w:r>
          </w:p>
        </w:tc>
        <w:tc>
          <w:tcPr>
            <w:tcW w:w="4820" w:type="dxa"/>
            <w:tcBorders>
              <w:top w:val="single" w:sz="4" w:space="0" w:color="000000"/>
              <w:left w:val="single" w:sz="4" w:space="0" w:color="000000"/>
              <w:bottom w:val="single" w:sz="4" w:space="0" w:color="000000"/>
              <w:right w:val="single" w:sz="4" w:space="0" w:color="000000"/>
            </w:tcBorders>
          </w:tcPr>
          <w:p w14:paraId="3D5E30F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Sadece FeMn üretiminden kaynaklanan zengin cüruflar (yüksek MnO içerikli) için uygulanabilir.</w:t>
            </w:r>
          </w:p>
        </w:tc>
      </w:tr>
    </w:tbl>
    <w:p w14:paraId="791ECE30" w14:textId="77777777" w:rsidR="00374C56" w:rsidRPr="00D53A2B" w:rsidRDefault="00374C56" w:rsidP="00A202FD">
      <w:pPr>
        <w:jc w:val="both"/>
        <w:rPr>
          <w:b/>
          <w:lang w:eastAsia="en-US"/>
        </w:rPr>
      </w:pPr>
    </w:p>
    <w:p w14:paraId="2DD90D56" w14:textId="5940A1AF" w:rsidR="00374C56" w:rsidRPr="00D53A2B" w:rsidRDefault="004479E1" w:rsidP="00A202FD">
      <w:pPr>
        <w:spacing w:after="240"/>
        <w:jc w:val="both"/>
        <w:rPr>
          <w:b/>
          <w:lang w:eastAsia="en-US"/>
        </w:rPr>
      </w:pPr>
      <w:r w:rsidRPr="00D53A2B">
        <w:rPr>
          <w:b/>
          <w:lang w:eastAsia="en-US"/>
        </w:rPr>
        <w:t>MET 162:</w:t>
      </w:r>
      <w:r w:rsidR="00374C56" w:rsidRPr="00D53A2B">
        <w:rPr>
          <w:b/>
          <w:lang w:eastAsia="en-US"/>
        </w:rPr>
        <w:t xml:space="preserve"> </w:t>
      </w:r>
      <w:r w:rsidR="00374C56" w:rsidRPr="00D53A2B">
        <w:rPr>
          <w:bCs/>
          <w:lang w:eastAsia="en-US"/>
        </w:rPr>
        <w:t xml:space="preserve">Bertaraf etmek için gönderilen filtre tozu ve çamurun miktarının azaltılması için, filtre tozu ve çamurun yeniden kullanımını kolaylaştıracak veya filtre tozu ve çamurun geri </w:t>
      </w:r>
      <w:r w:rsidR="00271994">
        <w:rPr>
          <w:bCs/>
          <w:lang w:eastAsia="en-US"/>
        </w:rPr>
        <w:t>kazanımını</w:t>
      </w:r>
      <w:r w:rsidR="00374C56" w:rsidRPr="00D53A2B">
        <w:rPr>
          <w:bCs/>
          <w:lang w:eastAsia="en-US"/>
        </w:rPr>
        <w:t xml:space="preserve"> engellemeyecek şekilde, aşağıda verilen tekniklerin biri ya da bir kombinasyonu kullanılarak sahadaki faaliyetler organize e</w:t>
      </w:r>
      <w:r w:rsidR="00AB3EBD" w:rsidRPr="00D53A2B">
        <w:rPr>
          <w:bCs/>
          <w:lang w:eastAsia="en-US"/>
        </w:rPr>
        <w:t>dilir</w:t>
      </w:r>
      <w:r w:rsidR="00374C56" w:rsidRPr="00D53A2B">
        <w:rPr>
          <w:bCs/>
          <w:lang w:eastAsia="en-US"/>
        </w:rPr>
        <w:t>.</w:t>
      </w:r>
    </w:p>
    <w:tbl>
      <w:tblPr>
        <w:tblW w:w="0" w:type="auto"/>
        <w:tblInd w:w="94" w:type="dxa"/>
        <w:tblLayout w:type="fixed"/>
        <w:tblCellMar>
          <w:left w:w="0" w:type="dxa"/>
          <w:right w:w="0" w:type="dxa"/>
        </w:tblCellMar>
        <w:tblLook w:val="01E0" w:firstRow="1" w:lastRow="1" w:firstColumn="1" w:lastColumn="1" w:noHBand="0" w:noVBand="0"/>
      </w:tblPr>
      <w:tblGrid>
        <w:gridCol w:w="317"/>
        <w:gridCol w:w="3761"/>
        <w:gridCol w:w="4643"/>
      </w:tblGrid>
      <w:tr w:rsidR="00374C56" w:rsidRPr="00D53A2B" w14:paraId="02288795"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7AE1667E" w14:textId="77777777" w:rsidR="00374C56" w:rsidRPr="00D53A2B" w:rsidRDefault="00374C56" w:rsidP="00A202FD">
            <w:pPr>
              <w:spacing w:line="264" w:lineRule="auto"/>
              <w:ind w:left="57" w:right="57"/>
              <w:jc w:val="both"/>
              <w:rPr>
                <w:lang w:eastAsia="en-US"/>
              </w:rPr>
            </w:pPr>
          </w:p>
        </w:tc>
        <w:tc>
          <w:tcPr>
            <w:tcW w:w="3761" w:type="dxa"/>
            <w:tcBorders>
              <w:top w:val="single" w:sz="4" w:space="0" w:color="000000"/>
              <w:left w:val="single" w:sz="4" w:space="0" w:color="000000"/>
              <w:bottom w:val="single" w:sz="4" w:space="0" w:color="000000"/>
              <w:right w:val="single" w:sz="4" w:space="0" w:color="000000"/>
            </w:tcBorders>
          </w:tcPr>
          <w:p w14:paraId="3425F034" w14:textId="77777777" w:rsidR="00374C56" w:rsidRPr="00D53A2B" w:rsidRDefault="00374C56" w:rsidP="00A202FD">
            <w:pPr>
              <w:spacing w:line="264" w:lineRule="auto"/>
              <w:ind w:left="57" w:right="57"/>
              <w:jc w:val="both"/>
              <w:rPr>
                <w:lang w:eastAsia="en-US"/>
              </w:rPr>
            </w:pPr>
            <w:r w:rsidRPr="00D53A2B">
              <w:rPr>
                <w:b/>
                <w:bCs/>
                <w:lang w:eastAsia="en-US"/>
              </w:rPr>
              <w:t>Teknik</w:t>
            </w:r>
          </w:p>
        </w:tc>
        <w:tc>
          <w:tcPr>
            <w:tcW w:w="4643" w:type="dxa"/>
            <w:tcBorders>
              <w:top w:val="single" w:sz="4" w:space="0" w:color="000000"/>
              <w:left w:val="single" w:sz="4" w:space="0" w:color="000000"/>
              <w:bottom w:val="single" w:sz="4" w:space="0" w:color="000000"/>
              <w:right w:val="single" w:sz="4" w:space="0" w:color="000000"/>
            </w:tcBorders>
          </w:tcPr>
          <w:p w14:paraId="2E7CBB41" w14:textId="77777777" w:rsidR="00374C56" w:rsidRPr="00D53A2B" w:rsidRDefault="00374C56" w:rsidP="00A202FD">
            <w:pPr>
              <w:spacing w:line="264" w:lineRule="auto"/>
              <w:ind w:left="57" w:right="57"/>
              <w:jc w:val="both"/>
              <w:rPr>
                <w:lang w:eastAsia="en-US"/>
              </w:rPr>
            </w:pPr>
            <w:r w:rsidRPr="00D53A2B">
              <w:rPr>
                <w:b/>
                <w:bCs/>
                <w:lang w:eastAsia="en-US"/>
              </w:rPr>
              <w:t>Uygulanabilirlik</w:t>
            </w:r>
          </w:p>
        </w:tc>
      </w:tr>
      <w:tr w:rsidR="00374C56" w:rsidRPr="00D53A2B" w14:paraId="20958DCC"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67E5FFDF" w14:textId="77777777" w:rsidR="00374C56" w:rsidRPr="00D53A2B" w:rsidRDefault="00374C56" w:rsidP="00A202FD">
            <w:pPr>
              <w:spacing w:line="264" w:lineRule="auto"/>
              <w:ind w:left="57" w:right="57"/>
              <w:jc w:val="both"/>
              <w:rPr>
                <w:lang w:eastAsia="en-US"/>
              </w:rPr>
            </w:pPr>
            <w:r w:rsidRPr="00D53A2B">
              <w:rPr>
                <w:lang w:eastAsia="en-US"/>
              </w:rPr>
              <w:t>a</w:t>
            </w:r>
          </w:p>
        </w:tc>
        <w:tc>
          <w:tcPr>
            <w:tcW w:w="3761" w:type="dxa"/>
            <w:tcBorders>
              <w:top w:val="single" w:sz="4" w:space="0" w:color="000000"/>
              <w:left w:val="single" w:sz="4" w:space="0" w:color="000000"/>
              <w:bottom w:val="single" w:sz="4" w:space="0" w:color="000000"/>
              <w:right w:val="single" w:sz="4" w:space="0" w:color="000000"/>
            </w:tcBorders>
            <w:vAlign w:val="center"/>
          </w:tcPr>
          <w:p w14:paraId="7D95F650" w14:textId="77777777" w:rsidR="00374C56" w:rsidRPr="00D53A2B" w:rsidRDefault="00374C56" w:rsidP="00A202FD">
            <w:pPr>
              <w:spacing w:line="264" w:lineRule="auto"/>
              <w:ind w:left="57" w:right="57"/>
              <w:jc w:val="both"/>
              <w:rPr>
                <w:lang w:eastAsia="en-US"/>
              </w:rPr>
            </w:pPr>
          </w:p>
          <w:p w14:paraId="7D1745E8" w14:textId="77777777" w:rsidR="00374C56" w:rsidRPr="00D53A2B" w:rsidRDefault="00374C56" w:rsidP="00A202FD">
            <w:pPr>
              <w:spacing w:line="264" w:lineRule="auto"/>
              <w:ind w:left="57" w:right="57"/>
              <w:jc w:val="both"/>
              <w:rPr>
                <w:lang w:eastAsia="en-US"/>
              </w:rPr>
            </w:pPr>
            <w:r w:rsidRPr="00D53A2B">
              <w:rPr>
                <w:lang w:eastAsia="en-US"/>
              </w:rPr>
              <w:t>Ergitme prosesinde filtre tozunun kullanılması</w:t>
            </w:r>
          </w:p>
        </w:tc>
        <w:tc>
          <w:tcPr>
            <w:tcW w:w="4643" w:type="dxa"/>
            <w:tcBorders>
              <w:top w:val="single" w:sz="4" w:space="0" w:color="000000"/>
              <w:left w:val="single" w:sz="4" w:space="0" w:color="000000"/>
              <w:bottom w:val="single" w:sz="4" w:space="0" w:color="000000"/>
              <w:right w:val="single" w:sz="4" w:space="0" w:color="000000"/>
            </w:tcBorders>
          </w:tcPr>
          <w:p w14:paraId="00E1D663" w14:textId="77777777" w:rsidR="00374C56" w:rsidRPr="00D53A2B" w:rsidRDefault="00374C56" w:rsidP="00A202FD">
            <w:pPr>
              <w:spacing w:line="264" w:lineRule="auto"/>
              <w:ind w:left="57" w:right="57"/>
              <w:jc w:val="both"/>
              <w:rPr>
                <w:lang w:eastAsia="en-US"/>
              </w:rPr>
            </w:pPr>
            <w:r w:rsidRPr="00D53A2B">
              <w:rPr>
                <w:lang w:eastAsia="en-US"/>
              </w:rPr>
              <w:t>Sadece FeCr ve FeMo üretiminden ortaya çıkan filtre tozuna uygulanabilir.</w:t>
            </w:r>
          </w:p>
          <w:p w14:paraId="72EA463D" w14:textId="77777777" w:rsidR="00374C56" w:rsidRPr="00D53A2B" w:rsidRDefault="00374C56" w:rsidP="00A202FD">
            <w:pPr>
              <w:spacing w:line="264" w:lineRule="auto"/>
              <w:ind w:left="57" w:right="57"/>
              <w:jc w:val="both"/>
              <w:rPr>
                <w:lang w:eastAsia="en-US"/>
              </w:rPr>
            </w:pPr>
            <w:r w:rsidRPr="00D53A2B">
              <w:rPr>
                <w:lang w:eastAsia="en-US"/>
              </w:rPr>
              <w:t>production</w:t>
            </w:r>
          </w:p>
        </w:tc>
      </w:tr>
      <w:tr w:rsidR="00374C56" w:rsidRPr="00D53A2B" w14:paraId="02092558"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246D7EE3" w14:textId="77777777" w:rsidR="00374C56" w:rsidRPr="00D53A2B" w:rsidRDefault="00374C56" w:rsidP="00A202FD">
            <w:pPr>
              <w:spacing w:line="264" w:lineRule="auto"/>
              <w:ind w:left="57" w:right="57"/>
              <w:jc w:val="both"/>
              <w:rPr>
                <w:lang w:eastAsia="en-US"/>
              </w:rPr>
            </w:pPr>
            <w:r w:rsidRPr="00D53A2B">
              <w:rPr>
                <w:lang w:eastAsia="en-US"/>
              </w:rPr>
              <w:t>b</w:t>
            </w:r>
          </w:p>
        </w:tc>
        <w:tc>
          <w:tcPr>
            <w:tcW w:w="3761" w:type="dxa"/>
            <w:tcBorders>
              <w:top w:val="single" w:sz="4" w:space="0" w:color="000000"/>
              <w:left w:val="single" w:sz="4" w:space="0" w:color="000000"/>
              <w:bottom w:val="single" w:sz="4" w:space="0" w:color="000000"/>
              <w:right w:val="single" w:sz="4" w:space="0" w:color="000000"/>
            </w:tcBorders>
            <w:vAlign w:val="center"/>
          </w:tcPr>
          <w:p w14:paraId="17A991A6" w14:textId="77777777" w:rsidR="00374C56" w:rsidRPr="00D53A2B" w:rsidRDefault="00374C56" w:rsidP="00A202FD">
            <w:pPr>
              <w:spacing w:line="264" w:lineRule="auto"/>
              <w:ind w:left="57" w:right="57"/>
              <w:jc w:val="both"/>
              <w:rPr>
                <w:lang w:eastAsia="en-US"/>
              </w:rPr>
            </w:pPr>
            <w:r w:rsidRPr="00D53A2B">
              <w:rPr>
                <w:lang w:eastAsia="en-US"/>
              </w:rPr>
              <w:t>Paslanmaz çelik üretiminde filtre tozu kullanılması</w:t>
            </w:r>
          </w:p>
        </w:tc>
        <w:tc>
          <w:tcPr>
            <w:tcW w:w="4643" w:type="dxa"/>
            <w:tcBorders>
              <w:top w:val="single" w:sz="4" w:space="0" w:color="000000"/>
              <w:left w:val="single" w:sz="4" w:space="0" w:color="000000"/>
              <w:bottom w:val="single" w:sz="4" w:space="0" w:color="000000"/>
              <w:right w:val="single" w:sz="4" w:space="0" w:color="000000"/>
            </w:tcBorders>
          </w:tcPr>
          <w:p w14:paraId="5F455635" w14:textId="77777777" w:rsidR="00374C56" w:rsidRPr="00D53A2B" w:rsidRDefault="00374C56" w:rsidP="00A202FD">
            <w:pPr>
              <w:spacing w:line="264" w:lineRule="auto"/>
              <w:ind w:left="57" w:right="57"/>
              <w:jc w:val="both"/>
              <w:rPr>
                <w:lang w:eastAsia="en-US"/>
              </w:rPr>
            </w:pPr>
            <w:r w:rsidRPr="00D53A2B">
              <w:rPr>
                <w:lang w:eastAsia="en-US"/>
              </w:rPr>
              <w:t>Sadece yüksek karbonlu FeCr üretiminde ezme ve eleme işlemlerinde ortaya çıkan filtre tozuna uygulanabilir.</w:t>
            </w:r>
          </w:p>
        </w:tc>
      </w:tr>
      <w:tr w:rsidR="00374C56" w:rsidRPr="00D53A2B" w14:paraId="21AD05B4"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33EA5EA3" w14:textId="77777777" w:rsidR="00374C56" w:rsidRPr="00D53A2B" w:rsidRDefault="00374C56" w:rsidP="00A202FD">
            <w:pPr>
              <w:spacing w:line="264" w:lineRule="auto"/>
              <w:ind w:left="57" w:right="57"/>
              <w:jc w:val="both"/>
              <w:rPr>
                <w:lang w:eastAsia="en-US"/>
              </w:rPr>
            </w:pPr>
            <w:r w:rsidRPr="00D53A2B">
              <w:rPr>
                <w:lang w:eastAsia="en-US"/>
              </w:rPr>
              <w:t>c</w:t>
            </w:r>
          </w:p>
        </w:tc>
        <w:tc>
          <w:tcPr>
            <w:tcW w:w="3761" w:type="dxa"/>
            <w:tcBorders>
              <w:top w:val="single" w:sz="4" w:space="0" w:color="000000"/>
              <w:left w:val="single" w:sz="4" w:space="0" w:color="000000"/>
              <w:bottom w:val="single" w:sz="4" w:space="0" w:color="000000"/>
              <w:right w:val="single" w:sz="4" w:space="0" w:color="000000"/>
            </w:tcBorders>
            <w:vAlign w:val="center"/>
          </w:tcPr>
          <w:p w14:paraId="413D5980" w14:textId="77777777" w:rsidR="00374C56" w:rsidRPr="00D53A2B" w:rsidRDefault="00374C56" w:rsidP="00A202FD">
            <w:pPr>
              <w:spacing w:line="264" w:lineRule="auto"/>
              <w:ind w:left="57" w:right="57"/>
              <w:jc w:val="both"/>
              <w:rPr>
                <w:lang w:eastAsia="en-US"/>
              </w:rPr>
            </w:pPr>
            <w:r w:rsidRPr="00D53A2B">
              <w:rPr>
                <w:lang w:eastAsia="en-US"/>
              </w:rPr>
              <w:t>Filtre tozu ve çamurun konsantre besleme malzemesi olarak kullanılması</w:t>
            </w:r>
          </w:p>
        </w:tc>
        <w:tc>
          <w:tcPr>
            <w:tcW w:w="4643" w:type="dxa"/>
            <w:tcBorders>
              <w:top w:val="single" w:sz="4" w:space="0" w:color="000000"/>
              <w:left w:val="single" w:sz="4" w:space="0" w:color="000000"/>
              <w:bottom w:val="single" w:sz="4" w:space="0" w:color="000000"/>
              <w:right w:val="single" w:sz="4" w:space="0" w:color="000000"/>
            </w:tcBorders>
          </w:tcPr>
          <w:p w14:paraId="699F5C83" w14:textId="77777777" w:rsidR="00374C56" w:rsidRPr="00D53A2B" w:rsidRDefault="00374C56" w:rsidP="00A202FD">
            <w:pPr>
              <w:spacing w:line="264" w:lineRule="auto"/>
              <w:ind w:left="57" w:right="57"/>
              <w:jc w:val="both"/>
              <w:rPr>
                <w:lang w:eastAsia="en-US"/>
              </w:rPr>
            </w:pPr>
            <w:r w:rsidRPr="00D53A2B">
              <w:rPr>
                <w:lang w:eastAsia="en-US"/>
              </w:rPr>
              <w:t>Sadece Mo kavurma işleminde ortaya çıkan gazların temizlenmesinden kaynaklanan toz ve çamura uygulanabilir.</w:t>
            </w:r>
          </w:p>
        </w:tc>
      </w:tr>
      <w:tr w:rsidR="00374C56" w:rsidRPr="00D53A2B" w14:paraId="0088940C"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05C08464" w14:textId="77777777" w:rsidR="00374C56" w:rsidRPr="00D53A2B" w:rsidRDefault="00374C56" w:rsidP="00A202FD">
            <w:pPr>
              <w:spacing w:line="264" w:lineRule="auto"/>
              <w:ind w:left="57" w:right="57"/>
              <w:jc w:val="both"/>
              <w:rPr>
                <w:lang w:eastAsia="en-US"/>
              </w:rPr>
            </w:pPr>
            <w:r w:rsidRPr="00D53A2B">
              <w:rPr>
                <w:lang w:eastAsia="en-US"/>
              </w:rPr>
              <w:t>d</w:t>
            </w:r>
          </w:p>
        </w:tc>
        <w:tc>
          <w:tcPr>
            <w:tcW w:w="3761" w:type="dxa"/>
            <w:tcBorders>
              <w:top w:val="single" w:sz="4" w:space="0" w:color="000000"/>
              <w:left w:val="single" w:sz="4" w:space="0" w:color="000000"/>
              <w:bottom w:val="single" w:sz="4" w:space="0" w:color="000000"/>
              <w:right w:val="single" w:sz="4" w:space="0" w:color="000000"/>
            </w:tcBorders>
            <w:vAlign w:val="center"/>
          </w:tcPr>
          <w:p w14:paraId="45A39412" w14:textId="77777777" w:rsidR="00374C56" w:rsidRPr="00D53A2B" w:rsidRDefault="00374C56" w:rsidP="00A202FD">
            <w:pPr>
              <w:spacing w:line="264" w:lineRule="auto"/>
              <w:ind w:left="57" w:right="57"/>
              <w:jc w:val="both"/>
              <w:rPr>
                <w:lang w:eastAsia="en-US"/>
              </w:rPr>
            </w:pPr>
            <w:r w:rsidRPr="00D53A2B">
              <w:rPr>
                <w:lang w:eastAsia="en-US"/>
              </w:rPr>
              <w:t>Filtre tozunun diğer endüstrilerde kullanılması</w:t>
            </w:r>
          </w:p>
        </w:tc>
        <w:tc>
          <w:tcPr>
            <w:tcW w:w="4643" w:type="dxa"/>
            <w:tcBorders>
              <w:top w:val="single" w:sz="4" w:space="0" w:color="000000"/>
              <w:left w:val="single" w:sz="4" w:space="0" w:color="000000"/>
              <w:bottom w:val="single" w:sz="4" w:space="0" w:color="000000"/>
              <w:right w:val="single" w:sz="4" w:space="0" w:color="000000"/>
            </w:tcBorders>
          </w:tcPr>
          <w:p w14:paraId="2F7442AB" w14:textId="77777777" w:rsidR="00374C56" w:rsidRPr="00D53A2B" w:rsidRDefault="00374C56" w:rsidP="00A202FD">
            <w:pPr>
              <w:spacing w:line="264" w:lineRule="auto"/>
              <w:ind w:left="57" w:right="57"/>
              <w:jc w:val="both"/>
              <w:rPr>
                <w:lang w:eastAsia="en-US"/>
              </w:rPr>
            </w:pPr>
            <w:r w:rsidRPr="00D53A2B">
              <w:rPr>
                <w:lang w:eastAsia="en-US"/>
              </w:rPr>
              <w:t>Sadece FeMn, SiMn, FeNi, FeMo ve FeV üretiminde uygulanabilir</w:t>
            </w:r>
          </w:p>
          <w:p w14:paraId="1A2E6294" w14:textId="77777777" w:rsidR="00374C56" w:rsidRPr="00D53A2B" w:rsidRDefault="00374C56" w:rsidP="00A202FD">
            <w:pPr>
              <w:spacing w:line="264" w:lineRule="auto"/>
              <w:ind w:left="57" w:right="57"/>
              <w:jc w:val="both"/>
              <w:rPr>
                <w:lang w:eastAsia="en-US"/>
              </w:rPr>
            </w:pPr>
            <w:r w:rsidRPr="00D53A2B">
              <w:rPr>
                <w:lang w:eastAsia="en-US"/>
              </w:rPr>
              <w:t>production</w:t>
            </w:r>
          </w:p>
        </w:tc>
      </w:tr>
      <w:tr w:rsidR="00374C56" w:rsidRPr="00D53A2B" w14:paraId="63C691A3"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12A44064" w14:textId="77777777" w:rsidR="00374C56" w:rsidRPr="00D53A2B" w:rsidRDefault="00374C56" w:rsidP="00A202FD">
            <w:pPr>
              <w:spacing w:line="264" w:lineRule="auto"/>
              <w:ind w:left="57" w:right="57"/>
              <w:jc w:val="both"/>
              <w:rPr>
                <w:lang w:eastAsia="en-US"/>
              </w:rPr>
            </w:pPr>
            <w:r w:rsidRPr="00D53A2B">
              <w:rPr>
                <w:lang w:eastAsia="en-US"/>
              </w:rPr>
              <w:t>e</w:t>
            </w:r>
          </w:p>
        </w:tc>
        <w:tc>
          <w:tcPr>
            <w:tcW w:w="3761" w:type="dxa"/>
            <w:tcBorders>
              <w:top w:val="single" w:sz="4" w:space="0" w:color="000000"/>
              <w:left w:val="single" w:sz="4" w:space="0" w:color="000000"/>
              <w:bottom w:val="single" w:sz="4" w:space="0" w:color="000000"/>
              <w:right w:val="single" w:sz="4" w:space="0" w:color="000000"/>
            </w:tcBorders>
            <w:vAlign w:val="center"/>
          </w:tcPr>
          <w:p w14:paraId="4247005D" w14:textId="77777777" w:rsidR="00374C56" w:rsidRPr="00D53A2B" w:rsidRDefault="00374C56" w:rsidP="00A202FD">
            <w:pPr>
              <w:spacing w:line="264" w:lineRule="auto"/>
              <w:ind w:left="57" w:right="57"/>
              <w:jc w:val="both"/>
              <w:rPr>
                <w:lang w:eastAsia="en-US"/>
              </w:rPr>
            </w:pPr>
            <w:r w:rsidRPr="00D53A2B">
              <w:rPr>
                <w:lang w:eastAsia="en-US"/>
              </w:rPr>
              <w:t>Mikro silikanın çimento endüstrisinde bir katkı maddesi olarak kullanılması</w:t>
            </w:r>
          </w:p>
        </w:tc>
        <w:tc>
          <w:tcPr>
            <w:tcW w:w="4643" w:type="dxa"/>
            <w:tcBorders>
              <w:top w:val="single" w:sz="4" w:space="0" w:color="000000"/>
              <w:left w:val="single" w:sz="4" w:space="0" w:color="000000"/>
              <w:bottom w:val="single" w:sz="4" w:space="0" w:color="000000"/>
              <w:right w:val="single" w:sz="4" w:space="0" w:color="000000"/>
            </w:tcBorders>
          </w:tcPr>
          <w:p w14:paraId="38E5D26E" w14:textId="77777777" w:rsidR="00374C56" w:rsidRPr="00D53A2B" w:rsidRDefault="00374C56" w:rsidP="00A202FD">
            <w:pPr>
              <w:spacing w:line="264" w:lineRule="auto"/>
              <w:ind w:left="57" w:right="57"/>
              <w:jc w:val="both"/>
              <w:rPr>
                <w:lang w:eastAsia="en-US"/>
              </w:rPr>
            </w:pPr>
            <w:r w:rsidRPr="00D53A2B">
              <w:rPr>
                <w:lang w:eastAsia="en-US"/>
              </w:rPr>
              <w:t>Sadece FeSi ve Si üretiminden ortaya çıkan mikro-silikalar için uygulanabilir.</w:t>
            </w:r>
          </w:p>
        </w:tc>
      </w:tr>
      <w:tr w:rsidR="00374C56" w:rsidRPr="00D53A2B" w14:paraId="33293F52"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53CE0596" w14:textId="77777777" w:rsidR="00374C56" w:rsidRPr="00D53A2B" w:rsidRDefault="00374C56" w:rsidP="00A202FD">
            <w:pPr>
              <w:spacing w:line="264" w:lineRule="auto"/>
              <w:ind w:left="57" w:right="57"/>
              <w:jc w:val="both"/>
              <w:rPr>
                <w:lang w:eastAsia="en-US"/>
              </w:rPr>
            </w:pPr>
            <w:r w:rsidRPr="00D53A2B">
              <w:rPr>
                <w:lang w:eastAsia="en-US"/>
              </w:rPr>
              <w:t>f</w:t>
            </w:r>
          </w:p>
        </w:tc>
        <w:tc>
          <w:tcPr>
            <w:tcW w:w="3761" w:type="dxa"/>
            <w:tcBorders>
              <w:top w:val="single" w:sz="4" w:space="0" w:color="000000"/>
              <w:left w:val="single" w:sz="4" w:space="0" w:color="000000"/>
              <w:bottom w:val="single" w:sz="4" w:space="0" w:color="000000"/>
              <w:right w:val="single" w:sz="4" w:space="0" w:color="000000"/>
            </w:tcBorders>
            <w:vAlign w:val="center"/>
          </w:tcPr>
          <w:p w14:paraId="21B9307F" w14:textId="77777777" w:rsidR="00374C56" w:rsidRPr="00D53A2B" w:rsidRDefault="00374C56" w:rsidP="00A202FD">
            <w:pPr>
              <w:spacing w:line="264" w:lineRule="auto"/>
              <w:ind w:left="57" w:right="57"/>
              <w:jc w:val="both"/>
              <w:rPr>
                <w:lang w:eastAsia="en-US"/>
              </w:rPr>
            </w:pPr>
            <w:r w:rsidRPr="00D53A2B">
              <w:rPr>
                <w:lang w:eastAsia="en-US"/>
              </w:rPr>
              <w:t>Filtre tozu ve çamurun çinko endüstrisinde kullanılması</w:t>
            </w:r>
          </w:p>
        </w:tc>
        <w:tc>
          <w:tcPr>
            <w:tcW w:w="4643" w:type="dxa"/>
            <w:tcBorders>
              <w:top w:val="single" w:sz="4" w:space="0" w:color="000000"/>
              <w:left w:val="single" w:sz="4" w:space="0" w:color="000000"/>
              <w:bottom w:val="single" w:sz="4" w:space="0" w:color="000000"/>
              <w:right w:val="single" w:sz="4" w:space="0" w:color="000000"/>
            </w:tcBorders>
          </w:tcPr>
          <w:p w14:paraId="58864C48" w14:textId="77777777" w:rsidR="00374C56" w:rsidRPr="00D53A2B" w:rsidRDefault="00374C56" w:rsidP="00A202FD">
            <w:pPr>
              <w:spacing w:line="264" w:lineRule="auto"/>
              <w:ind w:left="57" w:right="57"/>
              <w:jc w:val="both"/>
              <w:rPr>
                <w:lang w:eastAsia="en-US"/>
              </w:rPr>
            </w:pPr>
            <w:r w:rsidRPr="00D53A2B">
              <w:rPr>
                <w:lang w:eastAsia="en-US"/>
              </w:rPr>
              <w:t>Sadece çelikhane artıklarından alaşım geri kazanımında ortaya çıkan fırın tozu ve ıslak gaz temizleme çamuru için uygulanabilir</w:t>
            </w:r>
          </w:p>
        </w:tc>
      </w:tr>
      <w:tr w:rsidR="00374C56" w:rsidRPr="00D53A2B" w14:paraId="4F3E5612" w14:textId="77777777" w:rsidTr="00374C56">
        <w:tc>
          <w:tcPr>
            <w:tcW w:w="8721" w:type="dxa"/>
            <w:gridSpan w:val="3"/>
            <w:tcBorders>
              <w:top w:val="single" w:sz="4" w:space="0" w:color="000000"/>
              <w:left w:val="single" w:sz="4" w:space="0" w:color="000000"/>
              <w:bottom w:val="single" w:sz="4" w:space="0" w:color="000000"/>
              <w:right w:val="single" w:sz="4" w:space="0" w:color="000000"/>
            </w:tcBorders>
            <w:vAlign w:val="center"/>
          </w:tcPr>
          <w:p w14:paraId="506F0C79" w14:textId="69D641DA" w:rsidR="00374C56" w:rsidRPr="009077F5" w:rsidRDefault="00374C56" w:rsidP="00A202FD">
            <w:pPr>
              <w:spacing w:line="264" w:lineRule="auto"/>
              <w:ind w:left="57" w:right="57"/>
              <w:jc w:val="both"/>
              <w:rPr>
                <w:sz w:val="20"/>
                <w:szCs w:val="20"/>
                <w:lang w:eastAsia="en-US"/>
              </w:rPr>
            </w:pPr>
            <w:r w:rsidRPr="009077F5">
              <w:rPr>
                <w:sz w:val="20"/>
                <w:szCs w:val="20"/>
                <w:lang w:eastAsia="en-US"/>
              </w:rPr>
              <w:t>(1) Yüksek oranda kirletilmiş olan toz ve çamurlar yeniden kullanılamaz veya geri dönüştürülemez. Yeniden kullanım ve geri dönüşüm işlemleri akümülasyon problemleri nedeniyle kısıtlanabilir (örn</w:t>
            </w:r>
            <w:r w:rsidR="00532481">
              <w:rPr>
                <w:sz w:val="20"/>
                <w:szCs w:val="20"/>
                <w:lang w:eastAsia="en-US"/>
              </w:rPr>
              <w:t>eğin</w:t>
            </w:r>
            <w:r w:rsidRPr="009077F5">
              <w:rPr>
                <w:sz w:val="20"/>
                <w:szCs w:val="20"/>
                <w:lang w:eastAsia="en-US"/>
              </w:rPr>
              <w:t xml:space="preserve"> FeCr üretiminden gelen tozun yeniden kullanılması, fırında akümülasyona neden olabilir).</w:t>
            </w:r>
          </w:p>
        </w:tc>
      </w:tr>
    </w:tbl>
    <w:p w14:paraId="2578E1C2" w14:textId="77777777" w:rsidR="00374C56" w:rsidRPr="00D53A2B" w:rsidRDefault="00374C56" w:rsidP="00A202FD">
      <w:pPr>
        <w:jc w:val="both"/>
        <w:rPr>
          <w:lang w:eastAsia="en-US"/>
        </w:rPr>
      </w:pPr>
    </w:p>
    <w:p w14:paraId="38451DEC" w14:textId="5345C0D0" w:rsidR="00374C56" w:rsidRPr="00D53A2B" w:rsidRDefault="00CD7455" w:rsidP="00A202FD">
      <w:pPr>
        <w:pStyle w:val="Balk2"/>
        <w:rPr>
          <w:rFonts w:cs="Times New Roman"/>
          <w:szCs w:val="24"/>
          <w:lang w:eastAsia="en-US"/>
        </w:rPr>
      </w:pPr>
      <w:bookmarkStart w:id="210" w:name="_Toc527940760"/>
      <w:bookmarkStart w:id="211" w:name="_Toc531927916"/>
      <w:r w:rsidRPr="00D53A2B">
        <w:rPr>
          <w:rFonts w:cs="Times New Roman"/>
          <w:szCs w:val="24"/>
          <w:lang w:val="en-US" w:eastAsia="en-US"/>
        </w:rPr>
        <w:t>1.</w:t>
      </w:r>
      <w:r w:rsidR="004479E1" w:rsidRPr="00D53A2B">
        <w:rPr>
          <w:rFonts w:cs="Times New Roman"/>
          <w:szCs w:val="24"/>
          <w:lang w:val="en-US" w:eastAsia="en-US"/>
        </w:rPr>
        <w:t xml:space="preserve">8. </w:t>
      </w:r>
      <w:r w:rsidR="00AB3EBD" w:rsidRPr="00D53A2B">
        <w:rPr>
          <w:rFonts w:cs="Times New Roman"/>
          <w:szCs w:val="24"/>
          <w:lang w:val="en-US" w:eastAsia="en-US"/>
        </w:rPr>
        <w:t>Nikel ve/veya Kobalt Üretimi İçin MET Sonuçlar</w:t>
      </w:r>
      <w:bookmarkEnd w:id="210"/>
      <w:bookmarkEnd w:id="211"/>
      <w:r w:rsidR="00AB3EBD" w:rsidRPr="00D53A2B">
        <w:rPr>
          <w:rFonts w:cs="Times New Roman"/>
          <w:szCs w:val="24"/>
          <w:lang w:val="en-US" w:eastAsia="en-US"/>
        </w:rPr>
        <w:t>ı</w:t>
      </w:r>
    </w:p>
    <w:p w14:paraId="4E99B6C2" w14:textId="347C6754" w:rsidR="00374C56" w:rsidRPr="00D53A2B" w:rsidRDefault="00CD7455" w:rsidP="00A202FD">
      <w:pPr>
        <w:pStyle w:val="Balk3"/>
        <w:rPr>
          <w:rFonts w:cs="Times New Roman"/>
          <w:lang w:eastAsia="en-US"/>
        </w:rPr>
      </w:pPr>
      <w:bookmarkStart w:id="212" w:name="_Toc527940761"/>
      <w:bookmarkStart w:id="213" w:name="_Toc531927917"/>
      <w:r w:rsidRPr="00D53A2B">
        <w:rPr>
          <w:rFonts w:cs="Times New Roman"/>
          <w:lang w:eastAsia="en-US"/>
        </w:rPr>
        <w:t>1.</w:t>
      </w:r>
      <w:r w:rsidR="00374C56" w:rsidRPr="00D53A2B">
        <w:rPr>
          <w:rFonts w:cs="Times New Roman"/>
          <w:lang w:eastAsia="en-US"/>
        </w:rPr>
        <w:t>8.1.</w:t>
      </w:r>
      <w:r w:rsidR="00374C56" w:rsidRPr="00D53A2B">
        <w:rPr>
          <w:rFonts w:cs="Times New Roman"/>
          <w:lang w:eastAsia="en-US"/>
        </w:rPr>
        <w:tab/>
        <w:t>Enerji</w:t>
      </w:r>
      <w:bookmarkEnd w:id="212"/>
      <w:bookmarkEnd w:id="213"/>
    </w:p>
    <w:p w14:paraId="7A050A03" w14:textId="051F0094" w:rsidR="00374C56" w:rsidRPr="00D53A2B" w:rsidRDefault="004479E1" w:rsidP="00A202FD">
      <w:pPr>
        <w:spacing w:after="240"/>
        <w:jc w:val="both"/>
        <w:rPr>
          <w:b/>
          <w:lang w:eastAsia="en-US"/>
        </w:rPr>
      </w:pPr>
      <w:r w:rsidRPr="00D53A2B">
        <w:rPr>
          <w:b/>
          <w:lang w:eastAsia="en-US"/>
        </w:rPr>
        <w:t>MET 163:</w:t>
      </w:r>
      <w:r w:rsidR="00374C56" w:rsidRPr="00D53A2B">
        <w:rPr>
          <w:b/>
          <w:lang w:eastAsia="en-US"/>
        </w:rPr>
        <w:t xml:space="preserve"> </w:t>
      </w:r>
      <w:r w:rsidR="00374C56" w:rsidRPr="00D53A2B">
        <w:rPr>
          <w:bCs/>
          <w:lang w:eastAsia="en-US"/>
        </w:rPr>
        <w:t>Enerjiyi verimli bir şekilde kullanabilmek için, aşağıda verilen tekniklerin biri ya da bir kombinasyonu kullanılır.</w:t>
      </w:r>
    </w:p>
    <w:tbl>
      <w:tblPr>
        <w:tblW w:w="8647" w:type="dxa"/>
        <w:tblInd w:w="137" w:type="dxa"/>
        <w:tblLayout w:type="fixed"/>
        <w:tblCellMar>
          <w:left w:w="0" w:type="dxa"/>
          <w:right w:w="0" w:type="dxa"/>
        </w:tblCellMar>
        <w:tblLook w:val="01E0" w:firstRow="1" w:lastRow="1" w:firstColumn="1" w:lastColumn="1" w:noHBand="0" w:noVBand="0"/>
      </w:tblPr>
      <w:tblGrid>
        <w:gridCol w:w="1033"/>
        <w:gridCol w:w="7614"/>
      </w:tblGrid>
      <w:tr w:rsidR="00374C56" w:rsidRPr="00D53A2B" w14:paraId="67ED361C" w14:textId="77777777" w:rsidTr="008A41DE">
        <w:trPr>
          <w:trHeight w:hRule="exact" w:val="240"/>
        </w:trPr>
        <w:tc>
          <w:tcPr>
            <w:tcW w:w="1033" w:type="dxa"/>
            <w:tcBorders>
              <w:top w:val="single" w:sz="4" w:space="0" w:color="000000"/>
              <w:left w:val="single" w:sz="4" w:space="0" w:color="000000"/>
              <w:bottom w:val="single" w:sz="4" w:space="0" w:color="000000"/>
              <w:right w:val="single" w:sz="4" w:space="0" w:color="000000"/>
            </w:tcBorders>
            <w:vAlign w:val="center"/>
          </w:tcPr>
          <w:p w14:paraId="2E5E179E" w14:textId="77777777" w:rsidR="00374C56" w:rsidRPr="00D53A2B" w:rsidRDefault="00374C56" w:rsidP="00A202FD">
            <w:pPr>
              <w:spacing w:after="240"/>
              <w:ind w:left="113" w:right="113"/>
              <w:jc w:val="both"/>
              <w:rPr>
                <w:lang w:eastAsia="en-US"/>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6ABCCC0E" w14:textId="77777777" w:rsidR="00374C56" w:rsidRPr="00D53A2B" w:rsidRDefault="00374C56" w:rsidP="00A202FD">
            <w:pPr>
              <w:spacing w:after="240"/>
              <w:ind w:left="113" w:right="113"/>
              <w:jc w:val="both"/>
              <w:rPr>
                <w:lang w:eastAsia="en-US"/>
              </w:rPr>
            </w:pPr>
            <w:r w:rsidRPr="00D53A2B">
              <w:rPr>
                <w:b/>
                <w:bCs/>
                <w:lang w:eastAsia="en-US"/>
              </w:rPr>
              <w:t>Teknik</w:t>
            </w:r>
          </w:p>
        </w:tc>
      </w:tr>
      <w:tr w:rsidR="00374C56" w:rsidRPr="00D53A2B" w14:paraId="37B68847" w14:textId="77777777" w:rsidTr="008A41DE">
        <w:trPr>
          <w:trHeight w:hRule="exact" w:val="601"/>
        </w:trPr>
        <w:tc>
          <w:tcPr>
            <w:tcW w:w="1033" w:type="dxa"/>
            <w:tcBorders>
              <w:top w:val="single" w:sz="4" w:space="0" w:color="000000"/>
              <w:left w:val="single" w:sz="4" w:space="0" w:color="000000"/>
              <w:bottom w:val="single" w:sz="4" w:space="0" w:color="000000"/>
              <w:right w:val="single" w:sz="4" w:space="0" w:color="000000"/>
            </w:tcBorders>
            <w:vAlign w:val="center"/>
          </w:tcPr>
          <w:p w14:paraId="1241C823" w14:textId="77777777" w:rsidR="00374C56" w:rsidRPr="00D53A2B" w:rsidRDefault="00374C56" w:rsidP="00A202FD">
            <w:pPr>
              <w:spacing w:after="240"/>
              <w:ind w:left="113" w:right="113"/>
              <w:jc w:val="both"/>
              <w:rPr>
                <w:lang w:eastAsia="en-US"/>
              </w:rPr>
            </w:pPr>
            <w:r w:rsidRPr="00D53A2B">
              <w:rPr>
                <w:lang w:eastAsia="en-US"/>
              </w:rPr>
              <w:t>a</w:t>
            </w:r>
          </w:p>
        </w:tc>
        <w:tc>
          <w:tcPr>
            <w:tcW w:w="7614" w:type="dxa"/>
            <w:tcBorders>
              <w:top w:val="single" w:sz="4" w:space="0" w:color="000000"/>
              <w:left w:val="single" w:sz="4" w:space="0" w:color="000000"/>
              <w:bottom w:val="single" w:sz="4" w:space="0" w:color="000000"/>
              <w:right w:val="single" w:sz="4" w:space="0" w:color="000000"/>
            </w:tcBorders>
            <w:vAlign w:val="center"/>
          </w:tcPr>
          <w:p w14:paraId="00A792C7" w14:textId="77777777" w:rsidR="00374C56" w:rsidRPr="00D53A2B" w:rsidRDefault="00374C56" w:rsidP="00A202FD">
            <w:pPr>
              <w:spacing w:after="240"/>
              <w:ind w:left="113" w:right="113"/>
              <w:jc w:val="both"/>
              <w:rPr>
                <w:lang w:eastAsia="en-US"/>
              </w:rPr>
            </w:pPr>
            <w:r w:rsidRPr="00D53A2B">
              <w:rPr>
                <w:lang w:eastAsia="en-US"/>
              </w:rPr>
              <w:t>Ergitme fırınlarında ve oksijen dönüştürücülerinde oksijen bakımından zengin hava kullanılması</w:t>
            </w:r>
          </w:p>
        </w:tc>
      </w:tr>
      <w:tr w:rsidR="00374C56" w:rsidRPr="00D53A2B" w14:paraId="00576A8A" w14:textId="77777777" w:rsidTr="008A41DE">
        <w:trPr>
          <w:trHeight w:hRule="exact" w:val="284"/>
        </w:trPr>
        <w:tc>
          <w:tcPr>
            <w:tcW w:w="1033" w:type="dxa"/>
            <w:tcBorders>
              <w:top w:val="single" w:sz="4" w:space="0" w:color="000000"/>
              <w:left w:val="single" w:sz="4" w:space="0" w:color="000000"/>
              <w:bottom w:val="single" w:sz="4" w:space="0" w:color="000000"/>
              <w:right w:val="single" w:sz="4" w:space="0" w:color="000000"/>
            </w:tcBorders>
            <w:vAlign w:val="center"/>
          </w:tcPr>
          <w:p w14:paraId="7096D72B" w14:textId="77777777" w:rsidR="00374C56" w:rsidRPr="00D53A2B" w:rsidRDefault="00374C56" w:rsidP="00A202FD">
            <w:pPr>
              <w:spacing w:after="240"/>
              <w:ind w:left="113" w:right="113"/>
              <w:jc w:val="both"/>
              <w:rPr>
                <w:lang w:eastAsia="en-US"/>
              </w:rPr>
            </w:pPr>
            <w:r w:rsidRPr="00D53A2B">
              <w:rPr>
                <w:lang w:eastAsia="en-US"/>
              </w:rPr>
              <w:t>b</w:t>
            </w:r>
          </w:p>
        </w:tc>
        <w:tc>
          <w:tcPr>
            <w:tcW w:w="7614" w:type="dxa"/>
            <w:tcBorders>
              <w:top w:val="single" w:sz="4" w:space="0" w:color="000000"/>
              <w:left w:val="single" w:sz="4" w:space="0" w:color="000000"/>
              <w:bottom w:val="single" w:sz="4" w:space="0" w:color="000000"/>
              <w:right w:val="single" w:sz="4" w:space="0" w:color="000000"/>
            </w:tcBorders>
            <w:vAlign w:val="center"/>
          </w:tcPr>
          <w:p w14:paraId="65C98DF2" w14:textId="77777777" w:rsidR="00374C56" w:rsidRPr="00D53A2B" w:rsidRDefault="00374C56" w:rsidP="00A202FD">
            <w:pPr>
              <w:spacing w:after="240"/>
              <w:ind w:left="113" w:right="113"/>
              <w:jc w:val="both"/>
              <w:rPr>
                <w:lang w:eastAsia="en-US"/>
              </w:rPr>
            </w:pPr>
            <w:r w:rsidRPr="00D53A2B">
              <w:rPr>
                <w:lang w:eastAsia="en-US"/>
              </w:rPr>
              <w:t>Isı geri kazanım kazanlarının kullanılması</w:t>
            </w:r>
          </w:p>
        </w:tc>
      </w:tr>
      <w:tr w:rsidR="00374C56" w:rsidRPr="00D53A2B" w14:paraId="076E794A" w14:textId="77777777" w:rsidTr="008A41DE">
        <w:trPr>
          <w:trHeight w:hRule="exact" w:val="240"/>
        </w:trPr>
        <w:tc>
          <w:tcPr>
            <w:tcW w:w="1033" w:type="dxa"/>
            <w:tcBorders>
              <w:top w:val="single" w:sz="4" w:space="0" w:color="000000"/>
              <w:left w:val="single" w:sz="4" w:space="0" w:color="000000"/>
              <w:bottom w:val="single" w:sz="4" w:space="0" w:color="000000"/>
              <w:right w:val="single" w:sz="4" w:space="0" w:color="000000"/>
            </w:tcBorders>
            <w:vAlign w:val="center"/>
          </w:tcPr>
          <w:p w14:paraId="349ED9A5" w14:textId="77777777" w:rsidR="00374C56" w:rsidRPr="00D53A2B" w:rsidRDefault="00374C56" w:rsidP="00A202FD">
            <w:pPr>
              <w:spacing w:after="240"/>
              <w:ind w:left="113" w:right="113"/>
              <w:jc w:val="both"/>
              <w:rPr>
                <w:lang w:eastAsia="en-US"/>
              </w:rPr>
            </w:pPr>
            <w:r w:rsidRPr="00D53A2B">
              <w:rPr>
                <w:lang w:eastAsia="en-US"/>
              </w:rPr>
              <w:t>c</w:t>
            </w:r>
          </w:p>
        </w:tc>
        <w:tc>
          <w:tcPr>
            <w:tcW w:w="7614" w:type="dxa"/>
            <w:tcBorders>
              <w:top w:val="single" w:sz="4" w:space="0" w:color="000000"/>
              <w:left w:val="single" w:sz="4" w:space="0" w:color="000000"/>
              <w:bottom w:val="single" w:sz="4" w:space="0" w:color="000000"/>
              <w:right w:val="single" w:sz="4" w:space="0" w:color="000000"/>
            </w:tcBorders>
            <w:vAlign w:val="center"/>
          </w:tcPr>
          <w:p w14:paraId="4D105A8C" w14:textId="77777777" w:rsidR="00374C56" w:rsidRPr="00D53A2B" w:rsidRDefault="00374C56" w:rsidP="00A202FD">
            <w:pPr>
              <w:spacing w:after="240"/>
              <w:ind w:left="113" w:right="113"/>
              <w:jc w:val="both"/>
              <w:rPr>
                <w:lang w:eastAsia="en-US"/>
              </w:rPr>
            </w:pPr>
            <w:r w:rsidRPr="00D53A2B">
              <w:rPr>
                <w:lang w:eastAsia="en-US"/>
              </w:rPr>
              <w:t>Proseste, fırında üretilen baca gazının kullanılması (örn. kurutma)</w:t>
            </w:r>
          </w:p>
        </w:tc>
      </w:tr>
      <w:tr w:rsidR="00374C56" w:rsidRPr="00D53A2B" w14:paraId="6FBEA0CC" w14:textId="77777777" w:rsidTr="008A41DE">
        <w:trPr>
          <w:trHeight w:hRule="exact" w:val="240"/>
        </w:trPr>
        <w:tc>
          <w:tcPr>
            <w:tcW w:w="1033" w:type="dxa"/>
            <w:tcBorders>
              <w:top w:val="single" w:sz="4" w:space="0" w:color="000000"/>
              <w:left w:val="single" w:sz="4" w:space="0" w:color="000000"/>
              <w:bottom w:val="single" w:sz="4" w:space="0" w:color="000000"/>
              <w:right w:val="single" w:sz="4" w:space="0" w:color="000000"/>
            </w:tcBorders>
            <w:vAlign w:val="center"/>
          </w:tcPr>
          <w:p w14:paraId="342FC9D9" w14:textId="77777777" w:rsidR="00374C56" w:rsidRPr="00D53A2B" w:rsidRDefault="00374C56" w:rsidP="00A202FD">
            <w:pPr>
              <w:spacing w:after="240"/>
              <w:ind w:left="113" w:right="113"/>
              <w:jc w:val="both"/>
              <w:rPr>
                <w:lang w:eastAsia="en-US"/>
              </w:rPr>
            </w:pPr>
            <w:r w:rsidRPr="00D53A2B">
              <w:rPr>
                <w:lang w:eastAsia="en-US"/>
              </w:rPr>
              <w:t>d</w:t>
            </w:r>
          </w:p>
        </w:tc>
        <w:tc>
          <w:tcPr>
            <w:tcW w:w="7614" w:type="dxa"/>
            <w:tcBorders>
              <w:top w:val="single" w:sz="4" w:space="0" w:color="000000"/>
              <w:left w:val="single" w:sz="4" w:space="0" w:color="000000"/>
              <w:bottom w:val="single" w:sz="4" w:space="0" w:color="000000"/>
              <w:right w:val="single" w:sz="4" w:space="0" w:color="000000"/>
            </w:tcBorders>
            <w:vAlign w:val="center"/>
          </w:tcPr>
          <w:p w14:paraId="285F6BFD" w14:textId="77777777" w:rsidR="00374C56" w:rsidRPr="00D53A2B" w:rsidRDefault="00374C56" w:rsidP="00A202FD">
            <w:pPr>
              <w:spacing w:after="240"/>
              <w:ind w:left="113" w:right="113"/>
              <w:jc w:val="both"/>
              <w:rPr>
                <w:lang w:eastAsia="en-US"/>
              </w:rPr>
            </w:pPr>
            <w:r w:rsidRPr="00D53A2B">
              <w:rPr>
                <w:lang w:eastAsia="en-US"/>
              </w:rPr>
              <w:t>Isı değiştiricilerin kullanılması</w:t>
            </w:r>
          </w:p>
        </w:tc>
      </w:tr>
    </w:tbl>
    <w:p w14:paraId="7F2BB4C8" w14:textId="63E5DB7D" w:rsidR="00374C56" w:rsidRPr="00D53A2B" w:rsidRDefault="00CD7455" w:rsidP="00A202FD">
      <w:pPr>
        <w:pStyle w:val="Balk3"/>
        <w:rPr>
          <w:rFonts w:cs="Times New Roman"/>
          <w:lang w:eastAsia="en-US"/>
        </w:rPr>
      </w:pPr>
      <w:bookmarkStart w:id="214" w:name="_Toc527940762"/>
      <w:bookmarkStart w:id="215" w:name="_Toc531927918"/>
      <w:r w:rsidRPr="00D53A2B">
        <w:rPr>
          <w:rFonts w:cs="Times New Roman"/>
          <w:lang w:eastAsia="en-US"/>
        </w:rPr>
        <w:t>1.</w:t>
      </w:r>
      <w:r w:rsidR="00374C56" w:rsidRPr="00D53A2B">
        <w:rPr>
          <w:rFonts w:cs="Times New Roman"/>
          <w:lang w:eastAsia="en-US"/>
        </w:rPr>
        <w:t>8.2.</w:t>
      </w:r>
      <w:r w:rsidR="0095287D" w:rsidRPr="00D53A2B">
        <w:rPr>
          <w:rFonts w:cs="Times New Roman"/>
          <w:lang w:eastAsia="en-US"/>
        </w:rPr>
        <w:t xml:space="preserve"> </w:t>
      </w:r>
      <w:r w:rsidR="00374C56" w:rsidRPr="00D53A2B">
        <w:rPr>
          <w:rFonts w:cs="Times New Roman"/>
          <w:lang w:eastAsia="en-US"/>
        </w:rPr>
        <w:t>Havaya salınan emisyonlar</w:t>
      </w:r>
      <w:bookmarkEnd w:id="214"/>
      <w:bookmarkEnd w:id="215"/>
    </w:p>
    <w:p w14:paraId="4AC35477" w14:textId="0A5F91A4" w:rsidR="00374C56" w:rsidRPr="00D53A2B" w:rsidRDefault="00CD7455" w:rsidP="00A202FD">
      <w:pPr>
        <w:pStyle w:val="Balk4"/>
        <w:rPr>
          <w:rFonts w:cs="Times New Roman"/>
          <w:lang w:val="en-US" w:eastAsia="en-US"/>
        </w:rPr>
      </w:pPr>
      <w:bookmarkStart w:id="216" w:name="_Toc527940763"/>
      <w:bookmarkStart w:id="217" w:name="_Toc531927919"/>
      <w:r w:rsidRPr="00D53A2B">
        <w:rPr>
          <w:rFonts w:cs="Times New Roman"/>
          <w:lang w:val="en-US" w:eastAsia="en-US"/>
        </w:rPr>
        <w:t>1.</w:t>
      </w:r>
      <w:r w:rsidR="00374C56" w:rsidRPr="00D53A2B">
        <w:rPr>
          <w:rFonts w:cs="Times New Roman"/>
          <w:lang w:val="en-US" w:eastAsia="en-US"/>
        </w:rPr>
        <w:t>8.2.1.</w:t>
      </w:r>
      <w:r w:rsidR="0095287D" w:rsidRPr="00D53A2B">
        <w:rPr>
          <w:rFonts w:cs="Times New Roman"/>
          <w:lang w:val="en-US" w:eastAsia="en-US"/>
        </w:rPr>
        <w:t xml:space="preserve"> </w:t>
      </w:r>
      <w:r w:rsidR="00374C56" w:rsidRPr="00D53A2B">
        <w:rPr>
          <w:rFonts w:cs="Times New Roman"/>
          <w:lang w:val="en-US" w:eastAsia="en-US"/>
        </w:rPr>
        <w:t>Yayılı emisyonlar</w:t>
      </w:r>
      <w:bookmarkEnd w:id="216"/>
      <w:bookmarkEnd w:id="217"/>
    </w:p>
    <w:p w14:paraId="428C4427" w14:textId="4C198887" w:rsidR="00374C56" w:rsidRPr="00D53A2B" w:rsidRDefault="004479E1" w:rsidP="00A202FD">
      <w:pPr>
        <w:spacing w:after="240"/>
        <w:jc w:val="both"/>
        <w:rPr>
          <w:bCs/>
          <w:lang w:eastAsia="en-US"/>
        </w:rPr>
      </w:pPr>
      <w:r w:rsidRPr="00D53A2B">
        <w:rPr>
          <w:b/>
          <w:lang w:eastAsia="en-US"/>
        </w:rPr>
        <w:t>MET 164:</w:t>
      </w:r>
      <w:r w:rsidR="00374C56" w:rsidRPr="00D53A2B">
        <w:rPr>
          <w:b/>
          <w:lang w:eastAsia="en-US"/>
        </w:rPr>
        <w:t xml:space="preserve"> </w:t>
      </w:r>
      <w:r w:rsidR="00CD7455" w:rsidRPr="00D53A2B">
        <w:rPr>
          <w:bCs/>
          <w:lang w:eastAsia="en-US"/>
        </w:rPr>
        <w:t>Bir fırının şarj edilmesinden kaynaklanan havadaki dağınık toz emisyonlarını azaltmak için, kapalı konveyör sistemleri kullanılır.</w:t>
      </w:r>
    </w:p>
    <w:p w14:paraId="1A1F6DBA" w14:textId="55E7B6F9" w:rsidR="00374C56" w:rsidRPr="00D53A2B" w:rsidRDefault="004479E1" w:rsidP="00A202FD">
      <w:pPr>
        <w:spacing w:after="240"/>
        <w:jc w:val="both"/>
        <w:rPr>
          <w:b/>
          <w:lang w:eastAsia="en-US"/>
        </w:rPr>
      </w:pPr>
      <w:r w:rsidRPr="00D53A2B">
        <w:rPr>
          <w:b/>
          <w:lang w:eastAsia="en-US"/>
        </w:rPr>
        <w:t>MET 165:</w:t>
      </w:r>
      <w:r w:rsidR="00374C56" w:rsidRPr="00D53A2B">
        <w:rPr>
          <w:b/>
          <w:lang w:eastAsia="en-US"/>
        </w:rPr>
        <w:t xml:space="preserve"> </w:t>
      </w:r>
      <w:r w:rsidR="00CD7455" w:rsidRPr="00D53A2B">
        <w:rPr>
          <w:bCs/>
          <w:lang w:eastAsia="en-US"/>
        </w:rPr>
        <w:t>Eritme işleminden kaynaklanan havadaki dağınık toz emisyonlarını azaltmak için bir azaltma sistemine bağlı kapalı ve başlıklı yıkama kanalları kullanılır.</w:t>
      </w:r>
    </w:p>
    <w:p w14:paraId="3F6F060F" w14:textId="46118BB4" w:rsidR="00CD7455" w:rsidRPr="00D53A2B" w:rsidRDefault="004479E1" w:rsidP="00A202FD">
      <w:pPr>
        <w:spacing w:after="240"/>
        <w:jc w:val="both"/>
        <w:rPr>
          <w:bCs/>
          <w:lang w:eastAsia="en-US"/>
        </w:rPr>
      </w:pPr>
      <w:r w:rsidRPr="00D53A2B">
        <w:rPr>
          <w:b/>
          <w:lang w:eastAsia="en-US"/>
        </w:rPr>
        <w:t>MET 166:</w:t>
      </w:r>
      <w:r w:rsidR="00374C56" w:rsidRPr="00D53A2B">
        <w:rPr>
          <w:b/>
          <w:lang w:eastAsia="en-US"/>
        </w:rPr>
        <w:t xml:space="preserve"> </w:t>
      </w:r>
      <w:r w:rsidR="00CD7455" w:rsidRPr="00D53A2B">
        <w:rPr>
          <w:bCs/>
          <w:lang w:eastAsia="en-US"/>
        </w:rPr>
        <w:t>Dönüştürme işlemlerinden kaynaklanan dağınık toz emisyonlarını azaltmak için, negatif basınç altında işletim ve bir arıtma sistemine bağlı yakalama başlıkları kullan</w:t>
      </w:r>
      <w:r w:rsidR="0095287D" w:rsidRPr="00D53A2B">
        <w:rPr>
          <w:bCs/>
          <w:lang w:eastAsia="en-US"/>
        </w:rPr>
        <w:t>ıl</w:t>
      </w:r>
      <w:r w:rsidR="00CD7455" w:rsidRPr="00D53A2B">
        <w:rPr>
          <w:bCs/>
          <w:lang w:eastAsia="en-US"/>
        </w:rPr>
        <w:t>ır.</w:t>
      </w:r>
    </w:p>
    <w:p w14:paraId="21484F88" w14:textId="455CDBCE" w:rsidR="00CD7455" w:rsidRPr="00D53A2B" w:rsidRDefault="00CD7455" w:rsidP="00A202FD">
      <w:pPr>
        <w:spacing w:after="240"/>
        <w:jc w:val="both"/>
        <w:rPr>
          <w:bCs/>
          <w:lang w:eastAsia="en-US"/>
        </w:rPr>
      </w:pPr>
      <w:r w:rsidRPr="00D53A2B">
        <w:rPr>
          <w:b/>
          <w:lang w:eastAsia="en-US"/>
        </w:rPr>
        <w:t>MET 167:</w:t>
      </w:r>
      <w:r w:rsidRPr="00D53A2B">
        <w:rPr>
          <w:bCs/>
          <w:lang w:eastAsia="en-US"/>
        </w:rPr>
        <w:t xml:space="preserve"> Atmosferik ve basınçlı liç işlemlerinden kaynaklanan yayılı emisyonların azaltılması için, aşağıda verilen tekniklerden her ikisi de kullanılır.</w:t>
      </w:r>
    </w:p>
    <w:tbl>
      <w:tblPr>
        <w:tblW w:w="8721" w:type="dxa"/>
        <w:tblInd w:w="5" w:type="dxa"/>
        <w:tblLayout w:type="fixed"/>
        <w:tblCellMar>
          <w:left w:w="0" w:type="dxa"/>
          <w:right w:w="0" w:type="dxa"/>
        </w:tblCellMar>
        <w:tblLook w:val="01E0" w:firstRow="1" w:lastRow="1" w:firstColumn="1" w:lastColumn="1" w:noHBand="0" w:noVBand="0"/>
      </w:tblPr>
      <w:tblGrid>
        <w:gridCol w:w="492"/>
        <w:gridCol w:w="8229"/>
      </w:tblGrid>
      <w:tr w:rsidR="00374C56" w:rsidRPr="00D53A2B" w14:paraId="13D7C839" w14:textId="77777777" w:rsidTr="00374C56">
        <w:trPr>
          <w:trHeight w:hRule="exact" w:val="264"/>
        </w:trPr>
        <w:tc>
          <w:tcPr>
            <w:tcW w:w="492" w:type="dxa"/>
            <w:tcBorders>
              <w:top w:val="single" w:sz="4" w:space="0" w:color="000000"/>
              <w:left w:val="single" w:sz="4" w:space="0" w:color="000000"/>
              <w:bottom w:val="single" w:sz="4" w:space="0" w:color="000000"/>
              <w:right w:val="single" w:sz="4" w:space="0" w:color="000000"/>
            </w:tcBorders>
          </w:tcPr>
          <w:p w14:paraId="5FD60E86" w14:textId="77777777" w:rsidR="00374C56" w:rsidRPr="00D53A2B" w:rsidRDefault="00374C56" w:rsidP="00A202FD">
            <w:pPr>
              <w:spacing w:after="240"/>
              <w:ind w:left="113" w:right="113"/>
              <w:jc w:val="both"/>
              <w:rPr>
                <w:lang w:eastAsia="en-US"/>
              </w:rPr>
            </w:pPr>
          </w:p>
        </w:tc>
        <w:tc>
          <w:tcPr>
            <w:tcW w:w="8229" w:type="dxa"/>
            <w:tcBorders>
              <w:top w:val="single" w:sz="4" w:space="0" w:color="000000"/>
              <w:left w:val="single" w:sz="4" w:space="0" w:color="000000"/>
              <w:bottom w:val="single" w:sz="4" w:space="0" w:color="000000"/>
              <w:right w:val="single" w:sz="4" w:space="0" w:color="000000"/>
            </w:tcBorders>
          </w:tcPr>
          <w:p w14:paraId="31F80B57" w14:textId="77777777" w:rsidR="00374C56" w:rsidRPr="00D53A2B" w:rsidRDefault="00374C56" w:rsidP="00A202FD">
            <w:pPr>
              <w:spacing w:after="240"/>
              <w:ind w:left="113" w:right="113"/>
              <w:jc w:val="both"/>
              <w:rPr>
                <w:lang w:eastAsia="en-US"/>
              </w:rPr>
            </w:pPr>
            <w:r w:rsidRPr="00D53A2B">
              <w:rPr>
                <w:b/>
                <w:bCs/>
                <w:lang w:eastAsia="en-US"/>
              </w:rPr>
              <w:t>Teknik</w:t>
            </w:r>
          </w:p>
        </w:tc>
      </w:tr>
      <w:tr w:rsidR="00374C56" w:rsidRPr="00D53A2B" w14:paraId="5BEE10DB" w14:textId="77777777" w:rsidTr="00CD7455">
        <w:trPr>
          <w:trHeight w:hRule="exact" w:val="323"/>
        </w:trPr>
        <w:tc>
          <w:tcPr>
            <w:tcW w:w="492" w:type="dxa"/>
            <w:tcBorders>
              <w:top w:val="single" w:sz="4" w:space="0" w:color="000000"/>
              <w:left w:val="single" w:sz="4" w:space="0" w:color="000000"/>
              <w:bottom w:val="single" w:sz="4" w:space="0" w:color="000000"/>
              <w:right w:val="single" w:sz="4" w:space="0" w:color="000000"/>
            </w:tcBorders>
          </w:tcPr>
          <w:p w14:paraId="5828EE59" w14:textId="77777777" w:rsidR="00374C56" w:rsidRPr="00D53A2B" w:rsidRDefault="00374C56" w:rsidP="00A202FD">
            <w:pPr>
              <w:spacing w:after="240"/>
              <w:ind w:left="113" w:right="113"/>
              <w:jc w:val="both"/>
              <w:rPr>
                <w:lang w:eastAsia="en-US"/>
              </w:rPr>
            </w:pPr>
            <w:r w:rsidRPr="00D53A2B">
              <w:rPr>
                <w:lang w:eastAsia="en-US"/>
              </w:rPr>
              <w:t>a</w:t>
            </w:r>
          </w:p>
        </w:tc>
        <w:tc>
          <w:tcPr>
            <w:tcW w:w="8229" w:type="dxa"/>
            <w:tcBorders>
              <w:top w:val="single" w:sz="4" w:space="0" w:color="000000"/>
              <w:left w:val="single" w:sz="4" w:space="0" w:color="000000"/>
              <w:bottom w:val="single" w:sz="4" w:space="0" w:color="000000"/>
              <w:right w:val="single" w:sz="4" w:space="0" w:color="000000"/>
            </w:tcBorders>
          </w:tcPr>
          <w:p w14:paraId="354CBCA7" w14:textId="77777777" w:rsidR="00374C56" w:rsidRPr="00D53A2B" w:rsidRDefault="00374C56" w:rsidP="00A202FD">
            <w:pPr>
              <w:spacing w:after="240"/>
              <w:ind w:left="113" w:right="113"/>
              <w:jc w:val="both"/>
              <w:rPr>
                <w:lang w:eastAsia="en-US"/>
              </w:rPr>
            </w:pPr>
            <w:r w:rsidRPr="00D53A2B">
              <w:rPr>
                <w:lang w:eastAsia="en-US"/>
              </w:rPr>
              <w:t>Sızdırmaz veya kapalı reaktörler, çökelticiler ve basınçlı otoklavlar/kaplar</w:t>
            </w:r>
          </w:p>
        </w:tc>
      </w:tr>
      <w:tr w:rsidR="00374C56" w:rsidRPr="00D53A2B" w14:paraId="3AC00F52" w14:textId="77777777" w:rsidTr="00CD7455">
        <w:trPr>
          <w:trHeight w:hRule="exact" w:val="286"/>
        </w:trPr>
        <w:tc>
          <w:tcPr>
            <w:tcW w:w="492" w:type="dxa"/>
            <w:tcBorders>
              <w:top w:val="single" w:sz="4" w:space="0" w:color="000000"/>
              <w:left w:val="single" w:sz="4" w:space="0" w:color="000000"/>
              <w:bottom w:val="single" w:sz="4" w:space="0" w:color="000000"/>
              <w:right w:val="single" w:sz="4" w:space="0" w:color="000000"/>
            </w:tcBorders>
          </w:tcPr>
          <w:p w14:paraId="5709989E" w14:textId="77777777" w:rsidR="00374C56" w:rsidRPr="00D53A2B" w:rsidRDefault="00374C56" w:rsidP="00A202FD">
            <w:pPr>
              <w:spacing w:after="240"/>
              <w:ind w:left="113" w:right="113"/>
              <w:jc w:val="both"/>
              <w:rPr>
                <w:lang w:eastAsia="en-US"/>
              </w:rPr>
            </w:pPr>
            <w:r w:rsidRPr="00D53A2B">
              <w:rPr>
                <w:lang w:eastAsia="en-US"/>
              </w:rPr>
              <w:t>b</w:t>
            </w:r>
          </w:p>
        </w:tc>
        <w:tc>
          <w:tcPr>
            <w:tcW w:w="8229" w:type="dxa"/>
            <w:tcBorders>
              <w:top w:val="single" w:sz="4" w:space="0" w:color="000000"/>
              <w:left w:val="single" w:sz="4" w:space="0" w:color="000000"/>
              <w:bottom w:val="single" w:sz="4" w:space="0" w:color="000000"/>
              <w:right w:val="single" w:sz="4" w:space="0" w:color="000000"/>
            </w:tcBorders>
          </w:tcPr>
          <w:p w14:paraId="2630D74B" w14:textId="77777777" w:rsidR="00374C56" w:rsidRPr="00D53A2B" w:rsidRDefault="00374C56" w:rsidP="00A202FD">
            <w:pPr>
              <w:spacing w:after="240"/>
              <w:ind w:left="113" w:right="113"/>
              <w:jc w:val="both"/>
              <w:rPr>
                <w:lang w:eastAsia="en-US"/>
              </w:rPr>
            </w:pPr>
            <w:r w:rsidRPr="00D53A2B">
              <w:rPr>
                <w:lang w:eastAsia="en-US"/>
              </w:rPr>
              <w:t>Liç aşamasında, hava yerine oksijen veya klor kullanılması</w:t>
            </w:r>
          </w:p>
        </w:tc>
      </w:tr>
    </w:tbl>
    <w:p w14:paraId="751883AB" w14:textId="77777777" w:rsidR="00374C56" w:rsidRPr="00D53A2B" w:rsidRDefault="00374C56" w:rsidP="00A202FD">
      <w:pPr>
        <w:jc w:val="both"/>
        <w:rPr>
          <w:lang w:eastAsia="en-US"/>
        </w:rPr>
      </w:pPr>
    </w:p>
    <w:p w14:paraId="488030E1" w14:textId="3CCBAAE8" w:rsidR="00374C56" w:rsidRPr="00D53A2B" w:rsidRDefault="004479E1" w:rsidP="00A202FD">
      <w:pPr>
        <w:spacing w:after="240"/>
        <w:jc w:val="both"/>
        <w:rPr>
          <w:b/>
          <w:lang w:eastAsia="en-US"/>
        </w:rPr>
      </w:pPr>
      <w:r w:rsidRPr="00D53A2B">
        <w:rPr>
          <w:b/>
          <w:lang w:eastAsia="en-US"/>
        </w:rPr>
        <w:t>MET 168:</w:t>
      </w:r>
      <w:r w:rsidR="00374C56" w:rsidRPr="00D53A2B">
        <w:rPr>
          <w:b/>
          <w:lang w:eastAsia="en-US"/>
        </w:rPr>
        <w:t xml:space="preserve"> </w:t>
      </w:r>
      <w:r w:rsidR="00374C56" w:rsidRPr="00D53A2B">
        <w:rPr>
          <w:bCs/>
          <w:lang w:eastAsia="en-US"/>
        </w:rPr>
        <w:t>Çözelti ekstraksiyon rafinasyonundan kaynaklanan yayılı emisyonların azaltılması için, aşağıda verilen tekniklerden birisi kullanılır.</w:t>
      </w:r>
    </w:p>
    <w:tbl>
      <w:tblPr>
        <w:tblW w:w="8721" w:type="dxa"/>
        <w:tblInd w:w="5" w:type="dxa"/>
        <w:tblLayout w:type="fixed"/>
        <w:tblCellMar>
          <w:left w:w="0" w:type="dxa"/>
          <w:right w:w="0" w:type="dxa"/>
        </w:tblCellMar>
        <w:tblLook w:val="01E0" w:firstRow="1" w:lastRow="1" w:firstColumn="1" w:lastColumn="1" w:noHBand="0" w:noVBand="0"/>
      </w:tblPr>
      <w:tblGrid>
        <w:gridCol w:w="442"/>
        <w:gridCol w:w="8279"/>
      </w:tblGrid>
      <w:tr w:rsidR="00374C56" w:rsidRPr="00D53A2B" w14:paraId="3BF3A0AD" w14:textId="77777777" w:rsidTr="0095287D">
        <w:trPr>
          <w:trHeight w:hRule="exact" w:val="240"/>
        </w:trPr>
        <w:tc>
          <w:tcPr>
            <w:tcW w:w="442" w:type="dxa"/>
            <w:tcBorders>
              <w:top w:val="single" w:sz="4" w:space="0" w:color="000000"/>
              <w:left w:val="single" w:sz="4" w:space="0" w:color="000000"/>
              <w:bottom w:val="single" w:sz="4" w:space="0" w:color="000000"/>
              <w:right w:val="single" w:sz="4" w:space="0" w:color="000000"/>
            </w:tcBorders>
            <w:vAlign w:val="center"/>
          </w:tcPr>
          <w:p w14:paraId="78E00805" w14:textId="77777777" w:rsidR="00374C56" w:rsidRPr="00D53A2B" w:rsidRDefault="00374C56" w:rsidP="00A202FD">
            <w:pPr>
              <w:spacing w:after="240"/>
              <w:ind w:left="113" w:right="113"/>
              <w:jc w:val="both"/>
              <w:rPr>
                <w:lang w:eastAsia="en-US"/>
              </w:rPr>
            </w:pPr>
          </w:p>
        </w:tc>
        <w:tc>
          <w:tcPr>
            <w:tcW w:w="8279" w:type="dxa"/>
            <w:tcBorders>
              <w:top w:val="single" w:sz="4" w:space="0" w:color="000000"/>
              <w:left w:val="single" w:sz="4" w:space="0" w:color="000000"/>
              <w:bottom w:val="single" w:sz="4" w:space="0" w:color="000000"/>
              <w:right w:val="single" w:sz="4" w:space="0" w:color="000000"/>
            </w:tcBorders>
            <w:vAlign w:val="center"/>
          </w:tcPr>
          <w:p w14:paraId="45A09151" w14:textId="77777777" w:rsidR="00374C56" w:rsidRPr="00D53A2B" w:rsidRDefault="00374C56" w:rsidP="00A202FD">
            <w:pPr>
              <w:spacing w:after="240"/>
              <w:ind w:left="113" w:right="113"/>
              <w:jc w:val="both"/>
              <w:rPr>
                <w:lang w:eastAsia="en-US"/>
              </w:rPr>
            </w:pPr>
            <w:r w:rsidRPr="00D53A2B">
              <w:rPr>
                <w:b/>
                <w:bCs/>
                <w:lang w:eastAsia="en-US"/>
              </w:rPr>
              <w:t>Teknik</w:t>
            </w:r>
          </w:p>
        </w:tc>
      </w:tr>
      <w:tr w:rsidR="00374C56" w:rsidRPr="00D53A2B" w14:paraId="3ED894F9" w14:textId="77777777" w:rsidTr="0095287D">
        <w:trPr>
          <w:trHeight w:hRule="exact" w:val="240"/>
        </w:trPr>
        <w:tc>
          <w:tcPr>
            <w:tcW w:w="442" w:type="dxa"/>
            <w:tcBorders>
              <w:top w:val="single" w:sz="4" w:space="0" w:color="000000"/>
              <w:left w:val="single" w:sz="4" w:space="0" w:color="000000"/>
              <w:bottom w:val="single" w:sz="4" w:space="0" w:color="000000"/>
              <w:right w:val="single" w:sz="4" w:space="0" w:color="000000"/>
            </w:tcBorders>
            <w:vAlign w:val="center"/>
          </w:tcPr>
          <w:p w14:paraId="0C67D4EF" w14:textId="77777777" w:rsidR="00374C56" w:rsidRPr="00D53A2B" w:rsidRDefault="00374C56" w:rsidP="00A202FD">
            <w:pPr>
              <w:spacing w:after="240"/>
              <w:ind w:left="113" w:right="113"/>
              <w:jc w:val="both"/>
              <w:rPr>
                <w:lang w:eastAsia="en-US"/>
              </w:rPr>
            </w:pPr>
            <w:r w:rsidRPr="00D53A2B">
              <w:rPr>
                <w:lang w:eastAsia="en-US"/>
              </w:rPr>
              <w:t>a</w:t>
            </w:r>
          </w:p>
        </w:tc>
        <w:tc>
          <w:tcPr>
            <w:tcW w:w="8279" w:type="dxa"/>
            <w:tcBorders>
              <w:top w:val="single" w:sz="4" w:space="0" w:color="000000"/>
              <w:left w:val="single" w:sz="4" w:space="0" w:color="000000"/>
              <w:bottom w:val="single" w:sz="4" w:space="0" w:color="000000"/>
              <w:right w:val="single" w:sz="4" w:space="0" w:color="000000"/>
            </w:tcBorders>
            <w:vAlign w:val="center"/>
          </w:tcPr>
          <w:p w14:paraId="06607E43" w14:textId="77777777" w:rsidR="00374C56" w:rsidRPr="00D53A2B" w:rsidRDefault="00374C56" w:rsidP="00A202FD">
            <w:pPr>
              <w:spacing w:after="240"/>
              <w:ind w:left="113" w:right="113"/>
              <w:jc w:val="both"/>
              <w:rPr>
                <w:lang w:eastAsia="en-US"/>
              </w:rPr>
            </w:pPr>
            <w:r w:rsidRPr="00D53A2B">
              <w:rPr>
                <w:lang w:eastAsia="en-US"/>
              </w:rPr>
              <w:t>Çözelti/sulu karışımı karıştırmak için küçük veya büyük parçalayıcılı karıştırıcı kullanılması</w:t>
            </w:r>
          </w:p>
        </w:tc>
      </w:tr>
      <w:tr w:rsidR="00374C56" w:rsidRPr="00D53A2B" w14:paraId="1BE9D51E" w14:textId="77777777" w:rsidTr="0095287D">
        <w:trPr>
          <w:trHeight w:hRule="exact" w:val="240"/>
        </w:trPr>
        <w:tc>
          <w:tcPr>
            <w:tcW w:w="442" w:type="dxa"/>
            <w:tcBorders>
              <w:top w:val="single" w:sz="4" w:space="0" w:color="000000"/>
              <w:left w:val="single" w:sz="4" w:space="0" w:color="000000"/>
              <w:bottom w:val="single" w:sz="4" w:space="0" w:color="000000"/>
              <w:right w:val="single" w:sz="4" w:space="0" w:color="000000"/>
            </w:tcBorders>
            <w:vAlign w:val="center"/>
          </w:tcPr>
          <w:p w14:paraId="15D7FCFC" w14:textId="77777777" w:rsidR="00374C56" w:rsidRPr="00D53A2B" w:rsidRDefault="00374C56" w:rsidP="00A202FD">
            <w:pPr>
              <w:spacing w:after="240"/>
              <w:ind w:left="113" w:right="113"/>
              <w:jc w:val="both"/>
              <w:rPr>
                <w:lang w:eastAsia="en-US"/>
              </w:rPr>
            </w:pPr>
            <w:r w:rsidRPr="00D53A2B">
              <w:rPr>
                <w:lang w:eastAsia="en-US"/>
              </w:rPr>
              <w:t>b</w:t>
            </w:r>
          </w:p>
        </w:tc>
        <w:tc>
          <w:tcPr>
            <w:tcW w:w="8279" w:type="dxa"/>
            <w:tcBorders>
              <w:top w:val="single" w:sz="4" w:space="0" w:color="000000"/>
              <w:left w:val="single" w:sz="4" w:space="0" w:color="000000"/>
              <w:bottom w:val="single" w:sz="4" w:space="0" w:color="000000"/>
              <w:right w:val="single" w:sz="4" w:space="0" w:color="000000"/>
            </w:tcBorders>
            <w:vAlign w:val="center"/>
          </w:tcPr>
          <w:p w14:paraId="1A1111F0" w14:textId="77777777" w:rsidR="00374C56" w:rsidRPr="00D53A2B" w:rsidRDefault="00374C56" w:rsidP="00A202FD">
            <w:pPr>
              <w:spacing w:after="240"/>
              <w:ind w:left="113" w:right="113"/>
              <w:jc w:val="both"/>
              <w:rPr>
                <w:lang w:eastAsia="en-US"/>
              </w:rPr>
            </w:pPr>
            <w:r w:rsidRPr="00D53A2B">
              <w:rPr>
                <w:lang w:eastAsia="en-US"/>
              </w:rPr>
              <w:t>Mikser veya ayırıcı için kapak kullanılması</w:t>
            </w:r>
          </w:p>
        </w:tc>
      </w:tr>
      <w:tr w:rsidR="00374C56" w:rsidRPr="00D53A2B" w14:paraId="5B369B1A" w14:textId="77777777" w:rsidTr="0095287D">
        <w:trPr>
          <w:trHeight w:hRule="exact" w:val="240"/>
        </w:trPr>
        <w:tc>
          <w:tcPr>
            <w:tcW w:w="442" w:type="dxa"/>
            <w:tcBorders>
              <w:top w:val="single" w:sz="4" w:space="0" w:color="000000"/>
              <w:left w:val="single" w:sz="4" w:space="0" w:color="000000"/>
              <w:bottom w:val="single" w:sz="4" w:space="0" w:color="000000"/>
              <w:right w:val="single" w:sz="4" w:space="0" w:color="000000"/>
            </w:tcBorders>
            <w:vAlign w:val="center"/>
          </w:tcPr>
          <w:p w14:paraId="74A1AAD3" w14:textId="77777777" w:rsidR="00374C56" w:rsidRPr="00D53A2B" w:rsidRDefault="00374C56" w:rsidP="00A202FD">
            <w:pPr>
              <w:spacing w:after="240"/>
              <w:ind w:left="113" w:right="113"/>
              <w:jc w:val="both"/>
              <w:rPr>
                <w:lang w:eastAsia="en-US"/>
              </w:rPr>
            </w:pPr>
            <w:r w:rsidRPr="00D53A2B">
              <w:rPr>
                <w:lang w:eastAsia="en-US"/>
              </w:rPr>
              <w:t>c</w:t>
            </w:r>
          </w:p>
        </w:tc>
        <w:tc>
          <w:tcPr>
            <w:tcW w:w="8279" w:type="dxa"/>
            <w:tcBorders>
              <w:top w:val="single" w:sz="4" w:space="0" w:color="000000"/>
              <w:left w:val="single" w:sz="4" w:space="0" w:color="000000"/>
              <w:bottom w:val="single" w:sz="4" w:space="0" w:color="000000"/>
              <w:right w:val="single" w:sz="4" w:space="0" w:color="000000"/>
            </w:tcBorders>
            <w:vAlign w:val="center"/>
          </w:tcPr>
          <w:p w14:paraId="79235311" w14:textId="77777777" w:rsidR="00374C56" w:rsidRPr="00D53A2B" w:rsidRDefault="00374C56" w:rsidP="00A202FD">
            <w:pPr>
              <w:spacing w:after="240"/>
              <w:ind w:left="113" w:right="113"/>
              <w:jc w:val="both"/>
              <w:rPr>
                <w:lang w:eastAsia="en-US"/>
              </w:rPr>
            </w:pPr>
            <w:r w:rsidRPr="00D53A2B">
              <w:rPr>
                <w:lang w:eastAsia="en-US"/>
              </w:rPr>
              <w:t>Bir azaltım sistemine bağlı tamamen sızdırmaz tankların kullanılması</w:t>
            </w:r>
          </w:p>
        </w:tc>
      </w:tr>
    </w:tbl>
    <w:p w14:paraId="58E90BE3" w14:textId="77777777" w:rsidR="00374C56" w:rsidRPr="00D53A2B" w:rsidRDefault="00374C56" w:rsidP="00A202FD">
      <w:pPr>
        <w:jc w:val="both"/>
        <w:rPr>
          <w:b/>
          <w:lang w:eastAsia="en-US"/>
        </w:rPr>
      </w:pPr>
    </w:p>
    <w:p w14:paraId="7F79DC54" w14:textId="5D121E74" w:rsidR="00374C56" w:rsidRPr="00D53A2B" w:rsidRDefault="004479E1" w:rsidP="00A202FD">
      <w:pPr>
        <w:spacing w:after="240"/>
        <w:jc w:val="both"/>
        <w:rPr>
          <w:b/>
          <w:lang w:eastAsia="en-US"/>
        </w:rPr>
      </w:pPr>
      <w:r w:rsidRPr="00D53A2B">
        <w:rPr>
          <w:b/>
          <w:lang w:eastAsia="en-US"/>
        </w:rPr>
        <w:t>MET 169:</w:t>
      </w:r>
      <w:r w:rsidR="00374C56" w:rsidRPr="00D53A2B">
        <w:rPr>
          <w:b/>
          <w:lang w:eastAsia="en-US"/>
        </w:rPr>
        <w:t xml:space="preserve"> </w:t>
      </w:r>
      <w:r w:rsidR="00374C56" w:rsidRPr="00D53A2B">
        <w:rPr>
          <w:bCs/>
          <w:lang w:eastAsia="en-US"/>
        </w:rPr>
        <w:t>Elektrolitik ayırma işleminden kaynaklanan ve havaya salınan yayılı emisyonların azaltılması için aşağıda verilen tekniklerin bir kombinasyonu kullanılır.</w:t>
      </w:r>
    </w:p>
    <w:tbl>
      <w:tblPr>
        <w:tblW w:w="0" w:type="auto"/>
        <w:tblInd w:w="94" w:type="dxa"/>
        <w:tblLayout w:type="fixed"/>
        <w:tblCellMar>
          <w:left w:w="0" w:type="dxa"/>
          <w:right w:w="0" w:type="dxa"/>
        </w:tblCellMar>
        <w:tblLook w:val="01E0" w:firstRow="1" w:lastRow="1" w:firstColumn="1" w:lastColumn="1" w:noHBand="0" w:noVBand="0"/>
      </w:tblPr>
      <w:tblGrid>
        <w:gridCol w:w="317"/>
        <w:gridCol w:w="3481"/>
        <w:gridCol w:w="4923"/>
      </w:tblGrid>
      <w:tr w:rsidR="00374C56" w:rsidRPr="00D53A2B" w14:paraId="73B7E302" w14:textId="77777777" w:rsidTr="00374C56">
        <w:tc>
          <w:tcPr>
            <w:tcW w:w="317" w:type="dxa"/>
            <w:tcBorders>
              <w:top w:val="single" w:sz="4" w:space="0" w:color="000000"/>
              <w:left w:val="single" w:sz="4" w:space="0" w:color="000000"/>
              <w:bottom w:val="single" w:sz="4" w:space="0" w:color="000000"/>
              <w:right w:val="single" w:sz="4" w:space="0" w:color="000000"/>
            </w:tcBorders>
          </w:tcPr>
          <w:p w14:paraId="01066CB1" w14:textId="77777777" w:rsidR="00374C56" w:rsidRPr="00D53A2B" w:rsidRDefault="00374C56" w:rsidP="00A202FD">
            <w:pPr>
              <w:spacing w:line="264" w:lineRule="auto"/>
              <w:ind w:left="57" w:right="57"/>
              <w:jc w:val="both"/>
              <w:rPr>
                <w:lang w:eastAsia="en-US"/>
              </w:rPr>
            </w:pPr>
          </w:p>
        </w:tc>
        <w:tc>
          <w:tcPr>
            <w:tcW w:w="3481" w:type="dxa"/>
            <w:tcBorders>
              <w:top w:val="single" w:sz="4" w:space="0" w:color="000000"/>
              <w:left w:val="single" w:sz="4" w:space="0" w:color="000000"/>
              <w:bottom w:val="single" w:sz="4" w:space="0" w:color="000000"/>
              <w:right w:val="single" w:sz="4" w:space="0" w:color="000000"/>
            </w:tcBorders>
          </w:tcPr>
          <w:p w14:paraId="6E84849C" w14:textId="77777777" w:rsidR="00374C56" w:rsidRPr="00D53A2B" w:rsidRDefault="00374C56" w:rsidP="00A202FD">
            <w:pPr>
              <w:spacing w:line="264" w:lineRule="auto"/>
              <w:ind w:left="57" w:right="57"/>
              <w:jc w:val="both"/>
              <w:rPr>
                <w:lang w:eastAsia="en-US"/>
              </w:rPr>
            </w:pPr>
            <w:r w:rsidRPr="00D53A2B">
              <w:rPr>
                <w:b/>
                <w:bCs/>
                <w:lang w:eastAsia="en-US"/>
              </w:rPr>
              <w:t>Teknik</w:t>
            </w:r>
          </w:p>
        </w:tc>
        <w:tc>
          <w:tcPr>
            <w:tcW w:w="4923" w:type="dxa"/>
            <w:tcBorders>
              <w:top w:val="single" w:sz="4" w:space="0" w:color="000000"/>
              <w:left w:val="single" w:sz="4" w:space="0" w:color="000000"/>
              <w:bottom w:val="single" w:sz="4" w:space="0" w:color="000000"/>
              <w:right w:val="single" w:sz="4" w:space="0" w:color="000000"/>
            </w:tcBorders>
          </w:tcPr>
          <w:p w14:paraId="6CE04B5B" w14:textId="77777777" w:rsidR="00374C56" w:rsidRPr="00D53A2B" w:rsidRDefault="00374C56" w:rsidP="00A202FD">
            <w:pPr>
              <w:spacing w:line="264" w:lineRule="auto"/>
              <w:ind w:left="57" w:right="57"/>
              <w:jc w:val="both"/>
              <w:rPr>
                <w:lang w:eastAsia="en-US"/>
              </w:rPr>
            </w:pPr>
            <w:r w:rsidRPr="00D53A2B">
              <w:rPr>
                <w:b/>
                <w:bCs/>
                <w:lang w:eastAsia="en-US"/>
              </w:rPr>
              <w:t>Uygulanabilirlik</w:t>
            </w:r>
          </w:p>
        </w:tc>
      </w:tr>
      <w:tr w:rsidR="00374C56" w:rsidRPr="00D53A2B" w14:paraId="217DCF90" w14:textId="77777777" w:rsidTr="00374C56">
        <w:tc>
          <w:tcPr>
            <w:tcW w:w="317" w:type="dxa"/>
            <w:tcBorders>
              <w:top w:val="single" w:sz="4" w:space="0" w:color="000000"/>
              <w:left w:val="single" w:sz="4" w:space="0" w:color="000000"/>
              <w:bottom w:val="single" w:sz="4" w:space="0" w:color="000000"/>
              <w:right w:val="single" w:sz="4" w:space="0" w:color="000000"/>
            </w:tcBorders>
          </w:tcPr>
          <w:p w14:paraId="708CB4CA" w14:textId="77777777" w:rsidR="00374C56" w:rsidRPr="00D53A2B" w:rsidRDefault="00374C56" w:rsidP="00A202FD">
            <w:pPr>
              <w:spacing w:line="264" w:lineRule="auto"/>
              <w:ind w:left="57" w:right="57"/>
              <w:jc w:val="both"/>
              <w:rPr>
                <w:lang w:eastAsia="en-US"/>
              </w:rPr>
            </w:pPr>
          </w:p>
          <w:p w14:paraId="6100AD54" w14:textId="77777777" w:rsidR="00374C56" w:rsidRPr="00D53A2B" w:rsidRDefault="00374C56" w:rsidP="00A202FD">
            <w:pPr>
              <w:spacing w:line="264" w:lineRule="auto"/>
              <w:ind w:left="57" w:right="57"/>
              <w:jc w:val="both"/>
              <w:rPr>
                <w:lang w:eastAsia="en-US"/>
              </w:rPr>
            </w:pPr>
            <w:r w:rsidRPr="00D53A2B">
              <w:rPr>
                <w:lang w:eastAsia="en-US"/>
              </w:rPr>
              <w:t>a</w:t>
            </w:r>
          </w:p>
        </w:tc>
        <w:tc>
          <w:tcPr>
            <w:tcW w:w="3481" w:type="dxa"/>
            <w:tcBorders>
              <w:top w:val="single" w:sz="4" w:space="0" w:color="000000"/>
              <w:left w:val="single" w:sz="4" w:space="0" w:color="000000"/>
              <w:bottom w:val="single" w:sz="4" w:space="0" w:color="000000"/>
              <w:right w:val="single" w:sz="4" w:space="0" w:color="000000"/>
            </w:tcBorders>
          </w:tcPr>
          <w:p w14:paraId="72066AC5" w14:textId="77777777" w:rsidR="00374C56" w:rsidRPr="00D53A2B" w:rsidRDefault="00374C56" w:rsidP="00A202FD">
            <w:pPr>
              <w:spacing w:line="264" w:lineRule="auto"/>
              <w:ind w:left="57" w:right="57"/>
              <w:jc w:val="both"/>
              <w:rPr>
                <w:lang w:eastAsia="en-US"/>
              </w:rPr>
            </w:pPr>
            <w:r w:rsidRPr="00D53A2B">
              <w:rPr>
                <w:lang w:eastAsia="en-US"/>
              </w:rPr>
              <w:t>Klor gazlarının toplanması ve yeniden kullanılması</w:t>
            </w:r>
          </w:p>
        </w:tc>
        <w:tc>
          <w:tcPr>
            <w:tcW w:w="4923" w:type="dxa"/>
            <w:tcBorders>
              <w:top w:val="single" w:sz="4" w:space="0" w:color="000000"/>
              <w:left w:val="single" w:sz="4" w:space="0" w:color="000000"/>
              <w:bottom w:val="single" w:sz="4" w:space="0" w:color="000000"/>
              <w:right w:val="single" w:sz="4" w:space="0" w:color="000000"/>
            </w:tcBorders>
            <w:vAlign w:val="center"/>
          </w:tcPr>
          <w:p w14:paraId="7B3B000C" w14:textId="77777777" w:rsidR="00374C56" w:rsidRPr="00D53A2B" w:rsidRDefault="00374C56" w:rsidP="00A202FD">
            <w:pPr>
              <w:spacing w:line="264" w:lineRule="auto"/>
              <w:ind w:left="57" w:right="57"/>
              <w:jc w:val="both"/>
              <w:rPr>
                <w:lang w:eastAsia="en-US"/>
              </w:rPr>
            </w:pPr>
            <w:r w:rsidRPr="00D53A2B">
              <w:rPr>
                <w:lang w:eastAsia="en-US"/>
              </w:rPr>
              <w:t>Sadece klorür bazlı elektrolitik ayırma işleminde kullanılabilir.</w:t>
            </w:r>
          </w:p>
        </w:tc>
      </w:tr>
      <w:tr w:rsidR="00374C56" w:rsidRPr="00D53A2B" w14:paraId="0E1435BA" w14:textId="77777777" w:rsidTr="00374C56">
        <w:tc>
          <w:tcPr>
            <w:tcW w:w="317" w:type="dxa"/>
            <w:tcBorders>
              <w:top w:val="single" w:sz="4" w:space="0" w:color="000000"/>
              <w:left w:val="single" w:sz="4" w:space="0" w:color="000000"/>
              <w:bottom w:val="single" w:sz="4" w:space="0" w:color="000000"/>
              <w:right w:val="single" w:sz="4" w:space="0" w:color="000000"/>
            </w:tcBorders>
          </w:tcPr>
          <w:p w14:paraId="72907CE2" w14:textId="77777777" w:rsidR="00374C56" w:rsidRPr="00D53A2B" w:rsidRDefault="00374C56" w:rsidP="00A202FD">
            <w:pPr>
              <w:spacing w:line="264" w:lineRule="auto"/>
              <w:ind w:left="57" w:right="57"/>
              <w:jc w:val="both"/>
              <w:rPr>
                <w:lang w:eastAsia="en-US"/>
              </w:rPr>
            </w:pPr>
          </w:p>
          <w:p w14:paraId="2C13E56F" w14:textId="77777777" w:rsidR="00374C56" w:rsidRPr="00D53A2B" w:rsidRDefault="00374C56" w:rsidP="00A202FD">
            <w:pPr>
              <w:spacing w:line="264" w:lineRule="auto"/>
              <w:ind w:left="57" w:right="57"/>
              <w:jc w:val="both"/>
              <w:rPr>
                <w:lang w:eastAsia="en-US"/>
              </w:rPr>
            </w:pPr>
            <w:r w:rsidRPr="00D53A2B">
              <w:rPr>
                <w:lang w:eastAsia="en-US"/>
              </w:rPr>
              <w:t>b</w:t>
            </w:r>
          </w:p>
        </w:tc>
        <w:tc>
          <w:tcPr>
            <w:tcW w:w="3481" w:type="dxa"/>
            <w:tcBorders>
              <w:top w:val="single" w:sz="4" w:space="0" w:color="000000"/>
              <w:left w:val="single" w:sz="4" w:space="0" w:color="000000"/>
              <w:bottom w:val="single" w:sz="4" w:space="0" w:color="000000"/>
              <w:right w:val="single" w:sz="4" w:space="0" w:color="000000"/>
            </w:tcBorders>
          </w:tcPr>
          <w:p w14:paraId="1255AC91" w14:textId="77777777" w:rsidR="00374C56" w:rsidRPr="00D53A2B" w:rsidRDefault="00374C56" w:rsidP="00A202FD">
            <w:pPr>
              <w:spacing w:line="264" w:lineRule="auto"/>
              <w:ind w:left="57" w:right="57"/>
              <w:jc w:val="both"/>
              <w:rPr>
                <w:lang w:eastAsia="en-US"/>
              </w:rPr>
            </w:pPr>
            <w:r w:rsidRPr="00D53A2B">
              <w:rPr>
                <w:lang w:eastAsia="en-US"/>
              </w:rPr>
              <w:t>Hücreleri kaplamak için polistiren boncukların kullanılması</w:t>
            </w:r>
          </w:p>
        </w:tc>
        <w:tc>
          <w:tcPr>
            <w:tcW w:w="4923" w:type="dxa"/>
            <w:tcBorders>
              <w:top w:val="single" w:sz="4" w:space="0" w:color="000000"/>
              <w:left w:val="single" w:sz="4" w:space="0" w:color="000000"/>
              <w:bottom w:val="single" w:sz="4" w:space="0" w:color="000000"/>
              <w:right w:val="single" w:sz="4" w:space="0" w:color="000000"/>
            </w:tcBorders>
            <w:vAlign w:val="center"/>
          </w:tcPr>
          <w:p w14:paraId="7BC9F6F6" w14:textId="77777777" w:rsidR="00374C56" w:rsidRPr="00D53A2B" w:rsidRDefault="00374C56" w:rsidP="00A202FD">
            <w:pPr>
              <w:spacing w:line="264" w:lineRule="auto"/>
              <w:ind w:left="57" w:right="57"/>
              <w:jc w:val="both"/>
              <w:rPr>
                <w:lang w:eastAsia="en-US"/>
              </w:rPr>
            </w:pPr>
            <w:r w:rsidRPr="00D53A2B">
              <w:rPr>
                <w:lang w:eastAsia="en-US"/>
              </w:rPr>
              <w:t>Genellikle uygulanabilir</w:t>
            </w:r>
          </w:p>
        </w:tc>
      </w:tr>
      <w:tr w:rsidR="00374C56" w:rsidRPr="00D53A2B" w14:paraId="488AC7D6" w14:textId="77777777" w:rsidTr="00374C56">
        <w:tc>
          <w:tcPr>
            <w:tcW w:w="317" w:type="dxa"/>
            <w:tcBorders>
              <w:top w:val="single" w:sz="4" w:space="0" w:color="000000"/>
              <w:left w:val="single" w:sz="4" w:space="0" w:color="000000"/>
              <w:bottom w:val="single" w:sz="4" w:space="0" w:color="000000"/>
              <w:right w:val="single" w:sz="4" w:space="0" w:color="000000"/>
            </w:tcBorders>
          </w:tcPr>
          <w:p w14:paraId="385DEBE0" w14:textId="77777777" w:rsidR="00374C56" w:rsidRPr="00D53A2B" w:rsidRDefault="00374C56" w:rsidP="00A202FD">
            <w:pPr>
              <w:spacing w:line="264" w:lineRule="auto"/>
              <w:ind w:left="57" w:right="57"/>
              <w:jc w:val="both"/>
              <w:rPr>
                <w:lang w:eastAsia="en-US"/>
              </w:rPr>
            </w:pPr>
          </w:p>
          <w:p w14:paraId="062EB8E9" w14:textId="77777777" w:rsidR="00374C56" w:rsidRPr="00D53A2B" w:rsidRDefault="00374C56" w:rsidP="00A202FD">
            <w:pPr>
              <w:spacing w:line="264" w:lineRule="auto"/>
              <w:ind w:left="57" w:right="57"/>
              <w:jc w:val="both"/>
              <w:rPr>
                <w:lang w:eastAsia="en-US"/>
              </w:rPr>
            </w:pPr>
            <w:r w:rsidRPr="00D53A2B">
              <w:rPr>
                <w:lang w:eastAsia="en-US"/>
              </w:rPr>
              <w:t>c</w:t>
            </w:r>
          </w:p>
        </w:tc>
        <w:tc>
          <w:tcPr>
            <w:tcW w:w="3481" w:type="dxa"/>
            <w:tcBorders>
              <w:top w:val="single" w:sz="4" w:space="0" w:color="000000"/>
              <w:left w:val="single" w:sz="4" w:space="0" w:color="000000"/>
              <w:bottom w:val="single" w:sz="4" w:space="0" w:color="000000"/>
              <w:right w:val="single" w:sz="4" w:space="0" w:color="000000"/>
            </w:tcBorders>
          </w:tcPr>
          <w:p w14:paraId="49786F87" w14:textId="77777777" w:rsidR="00374C56" w:rsidRPr="00D53A2B" w:rsidRDefault="00374C56" w:rsidP="00A202FD">
            <w:pPr>
              <w:spacing w:line="264" w:lineRule="auto"/>
              <w:ind w:left="57" w:right="57"/>
              <w:jc w:val="both"/>
              <w:rPr>
                <w:lang w:eastAsia="en-US"/>
              </w:rPr>
            </w:pPr>
            <w:r w:rsidRPr="00D53A2B">
              <w:rPr>
                <w:lang w:eastAsia="en-US"/>
              </w:rPr>
              <w:t>Hücre yüzeylerini düzgün bir köpük tabakası ile kaplamak için köpürtücü maddelerin kullanılması</w:t>
            </w:r>
          </w:p>
        </w:tc>
        <w:tc>
          <w:tcPr>
            <w:tcW w:w="4923" w:type="dxa"/>
            <w:tcBorders>
              <w:top w:val="single" w:sz="4" w:space="0" w:color="000000"/>
              <w:left w:val="single" w:sz="4" w:space="0" w:color="000000"/>
              <w:bottom w:val="single" w:sz="4" w:space="0" w:color="000000"/>
              <w:right w:val="single" w:sz="4" w:space="0" w:color="000000"/>
            </w:tcBorders>
            <w:vAlign w:val="center"/>
          </w:tcPr>
          <w:p w14:paraId="2C5B6051" w14:textId="77777777" w:rsidR="00374C56" w:rsidRPr="00D53A2B" w:rsidRDefault="00374C56" w:rsidP="00A202FD">
            <w:pPr>
              <w:spacing w:line="264" w:lineRule="auto"/>
              <w:ind w:left="57" w:right="57"/>
              <w:jc w:val="both"/>
              <w:rPr>
                <w:lang w:eastAsia="en-US"/>
              </w:rPr>
            </w:pPr>
            <w:r w:rsidRPr="00D53A2B">
              <w:rPr>
                <w:lang w:eastAsia="en-US"/>
              </w:rPr>
              <w:t>Sadece sülfat bazlı elektrolitik ayırma işleminde kullanılabilir.</w:t>
            </w:r>
          </w:p>
        </w:tc>
      </w:tr>
    </w:tbl>
    <w:p w14:paraId="0F21305E" w14:textId="77777777" w:rsidR="00374C56" w:rsidRPr="00D53A2B" w:rsidRDefault="00374C56" w:rsidP="00A202FD">
      <w:pPr>
        <w:spacing w:after="240"/>
        <w:jc w:val="both"/>
        <w:rPr>
          <w:b/>
          <w:lang w:eastAsia="en-US"/>
        </w:rPr>
      </w:pPr>
    </w:p>
    <w:p w14:paraId="07492E8A" w14:textId="02629ADB" w:rsidR="00374C56" w:rsidRPr="00D53A2B" w:rsidRDefault="004479E1" w:rsidP="00A202FD">
      <w:pPr>
        <w:spacing w:after="240"/>
        <w:jc w:val="both"/>
        <w:rPr>
          <w:b/>
          <w:lang w:eastAsia="en-US"/>
        </w:rPr>
      </w:pPr>
      <w:r w:rsidRPr="00D53A2B">
        <w:rPr>
          <w:b/>
          <w:lang w:eastAsia="en-US"/>
        </w:rPr>
        <w:t>MET 170:</w:t>
      </w:r>
      <w:r w:rsidR="00374C56" w:rsidRPr="00D53A2B">
        <w:rPr>
          <w:b/>
          <w:lang w:eastAsia="en-US"/>
        </w:rPr>
        <w:t xml:space="preserve"> </w:t>
      </w:r>
      <w:r w:rsidR="00CD7455" w:rsidRPr="00D53A2B">
        <w:rPr>
          <w:bCs/>
          <w:lang w:eastAsia="en-US"/>
        </w:rPr>
        <w:t>Nikel tozu ve nikel briketleri üretilirken (basınçlı prosesler), hidrojen indirgeme prosesinden kaynaklanan yayılı emisyonları azaltmak için, sızdırmaz veya kapalı bir reaktör, bir çökeltici ve basınçlı otoklav/kaplar, bir toz konveyörü ve bir ürün silosu kullan</w:t>
      </w:r>
      <w:r w:rsidR="0095287D" w:rsidRPr="00D53A2B">
        <w:rPr>
          <w:bCs/>
          <w:lang w:eastAsia="en-US"/>
        </w:rPr>
        <w:t>ılır</w:t>
      </w:r>
      <w:r w:rsidR="00CD7455" w:rsidRPr="00D53A2B">
        <w:rPr>
          <w:bCs/>
          <w:lang w:eastAsia="en-US"/>
        </w:rPr>
        <w:t>.</w:t>
      </w:r>
    </w:p>
    <w:p w14:paraId="1D8B13F1" w14:textId="53A32FCA" w:rsidR="00374C56" w:rsidRPr="00D53A2B" w:rsidRDefault="00CD7455" w:rsidP="00A202FD">
      <w:pPr>
        <w:pStyle w:val="Balk4"/>
        <w:rPr>
          <w:rFonts w:cs="Times New Roman"/>
          <w:lang w:val="en-US" w:eastAsia="en-US"/>
        </w:rPr>
      </w:pPr>
      <w:bookmarkStart w:id="218" w:name="_Toc527940764"/>
      <w:bookmarkStart w:id="219" w:name="_Toc531927920"/>
      <w:r w:rsidRPr="00D53A2B">
        <w:rPr>
          <w:rFonts w:cs="Times New Roman"/>
          <w:lang w:val="en-US" w:eastAsia="en-US"/>
        </w:rPr>
        <w:t>1.</w:t>
      </w:r>
      <w:r w:rsidR="00374C56" w:rsidRPr="00D53A2B">
        <w:rPr>
          <w:rFonts w:cs="Times New Roman"/>
          <w:lang w:val="en-US" w:eastAsia="en-US"/>
        </w:rPr>
        <w:t>8.2.2.</w:t>
      </w:r>
      <w:r w:rsidRPr="00D53A2B">
        <w:rPr>
          <w:rFonts w:cs="Times New Roman"/>
          <w:lang w:val="en-US" w:eastAsia="en-US"/>
        </w:rPr>
        <w:t xml:space="preserve"> </w:t>
      </w:r>
      <w:r w:rsidR="00A6013B" w:rsidRPr="00D53A2B">
        <w:rPr>
          <w:rFonts w:cs="Times New Roman"/>
          <w:lang w:val="en-US" w:eastAsia="en-US"/>
        </w:rPr>
        <w:t>Kanalize</w:t>
      </w:r>
      <w:r w:rsidR="00374C56" w:rsidRPr="00D53A2B">
        <w:rPr>
          <w:rFonts w:cs="Times New Roman"/>
          <w:lang w:val="en-US" w:eastAsia="en-US"/>
        </w:rPr>
        <w:t xml:space="preserve"> toz emisyonları</w:t>
      </w:r>
      <w:bookmarkEnd w:id="218"/>
      <w:bookmarkEnd w:id="219"/>
    </w:p>
    <w:p w14:paraId="7B88B3AD" w14:textId="0CFBC3C2" w:rsidR="00374C56" w:rsidRPr="00D53A2B" w:rsidRDefault="004479E1" w:rsidP="00A202FD">
      <w:pPr>
        <w:spacing w:after="240"/>
        <w:jc w:val="both"/>
        <w:rPr>
          <w:b/>
          <w:lang w:eastAsia="en-US"/>
        </w:rPr>
      </w:pPr>
      <w:r w:rsidRPr="00D53A2B">
        <w:rPr>
          <w:b/>
          <w:lang w:eastAsia="en-US"/>
        </w:rPr>
        <w:t>MET 171:</w:t>
      </w:r>
      <w:r w:rsidR="00374C56" w:rsidRPr="00D53A2B">
        <w:rPr>
          <w:b/>
          <w:lang w:eastAsia="en-US"/>
        </w:rPr>
        <w:t xml:space="preserve"> </w:t>
      </w:r>
      <w:r w:rsidR="00374C56" w:rsidRPr="00D53A2B">
        <w:rPr>
          <w:bCs/>
          <w:lang w:eastAsia="en-US"/>
        </w:rPr>
        <w:t>Sülfidik cevherleri işlerken, hammaddelerin taşınması ve depolanması, malzeme ön işleme (cevher hazırlama ve cevher/konsantre kurutma gibi), fırın besleme, ergitme işlemi, dönüştürme, termal rafinasyon ve nikel tozu ve briketleme proseslerinden kaynaklanan toz ve metal emisyonlarını azaltmak için bir torba filtre veya ESP ve torba filtre kombinasyonu kullanı</w:t>
      </w:r>
      <w:r w:rsidR="00F80C59" w:rsidRPr="00D53A2B">
        <w:rPr>
          <w:bCs/>
          <w:lang w:eastAsia="en-US"/>
        </w:rPr>
        <w:t>l</w:t>
      </w:r>
      <w:r w:rsidR="00374C56" w:rsidRPr="00D53A2B">
        <w:rPr>
          <w:bCs/>
          <w:lang w:eastAsia="en-US"/>
        </w:rPr>
        <w:t>ır.</w:t>
      </w:r>
      <w:r w:rsidR="00374C56" w:rsidRPr="00D53A2B">
        <w:rPr>
          <w:b/>
          <w:lang w:eastAsia="en-US"/>
        </w:rPr>
        <w:t xml:space="preserve"> </w:t>
      </w:r>
    </w:p>
    <w:p w14:paraId="4661FDB7"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48.</w:t>
      </w:r>
    </w:p>
    <w:p w14:paraId="662E7466" w14:textId="77777777" w:rsidR="007F23C9" w:rsidRPr="00D53A2B" w:rsidRDefault="00374C56" w:rsidP="00A202FD">
      <w:pPr>
        <w:spacing w:before="120" w:after="120"/>
        <w:jc w:val="both"/>
        <w:rPr>
          <w:bCs/>
          <w:iCs/>
          <w:spacing w:val="2"/>
          <w:lang w:eastAsia="en-US"/>
        </w:rPr>
      </w:pPr>
      <w:bookmarkStart w:id="220" w:name="_Toc527941366"/>
      <w:bookmarkStart w:id="221" w:name="_Toc531927989"/>
      <w:r w:rsidRPr="00D53A2B">
        <w:rPr>
          <w:bCs/>
          <w:iCs/>
          <w:spacing w:val="2"/>
          <w:lang w:eastAsia="en-US"/>
        </w:rPr>
        <w:t xml:space="preserve">Tablo </w:t>
      </w:r>
      <w:r w:rsidRPr="00D53A2B">
        <w:rPr>
          <w:bCs/>
          <w:noProof/>
          <w:spacing w:val="2"/>
          <w:lang w:eastAsia="en-US"/>
        </w:rPr>
        <w:t>48</w:t>
      </w:r>
    </w:p>
    <w:p w14:paraId="384F37B6" w14:textId="19D6F2D4" w:rsidR="00374C56" w:rsidRPr="00D53A2B" w:rsidRDefault="00374C56" w:rsidP="00A202FD">
      <w:pPr>
        <w:spacing w:before="120" w:after="120"/>
        <w:jc w:val="both"/>
        <w:rPr>
          <w:bCs/>
          <w:iCs/>
          <w:spacing w:val="2"/>
          <w:lang w:eastAsia="en-US"/>
        </w:rPr>
      </w:pPr>
      <w:r w:rsidRPr="00D53A2B">
        <w:rPr>
          <w:bCs/>
          <w:iCs/>
          <w:spacing w:val="2"/>
          <w:lang w:eastAsia="en-US"/>
        </w:rPr>
        <w:t>Sülfidik cevherleri işlerken, hammaddelerin taşınması ve depolanması, malzeme ön işleme (cevher hazırlama ve cevher/konsantre kurutma gibi), fırın besleme, ergitme işlemi, dönüştürme, termal rafinasyon ve nikel tozu ve briketleme proseslerinden kaynaklanan toz ve metal emisyonları ile ilgili MET için emisyon seviyeleri</w:t>
      </w:r>
      <w:bookmarkEnd w:id="220"/>
      <w:bookmarkEnd w:id="221"/>
    </w:p>
    <w:tbl>
      <w:tblPr>
        <w:tblW w:w="8548" w:type="dxa"/>
        <w:tblInd w:w="94" w:type="dxa"/>
        <w:tblLayout w:type="fixed"/>
        <w:tblCellMar>
          <w:left w:w="0" w:type="dxa"/>
          <w:right w:w="0" w:type="dxa"/>
        </w:tblCellMar>
        <w:tblLook w:val="01E0" w:firstRow="1" w:lastRow="1" w:firstColumn="1" w:lastColumn="1" w:noHBand="0" w:noVBand="0"/>
      </w:tblPr>
      <w:tblGrid>
        <w:gridCol w:w="3937"/>
        <w:gridCol w:w="4611"/>
      </w:tblGrid>
      <w:tr w:rsidR="00374C56" w:rsidRPr="00D53A2B" w14:paraId="16AA4EEA" w14:textId="77777777" w:rsidTr="008A41DE">
        <w:tc>
          <w:tcPr>
            <w:tcW w:w="3937" w:type="dxa"/>
            <w:tcBorders>
              <w:top w:val="single" w:sz="4" w:space="0" w:color="000000"/>
              <w:left w:val="single" w:sz="4" w:space="0" w:color="000000"/>
              <w:bottom w:val="single" w:sz="4" w:space="0" w:color="000000"/>
              <w:right w:val="single" w:sz="4" w:space="0" w:color="000000"/>
            </w:tcBorders>
          </w:tcPr>
          <w:p w14:paraId="52191FFA"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4611" w:type="dxa"/>
            <w:tcBorders>
              <w:top w:val="single" w:sz="4" w:space="0" w:color="000000"/>
              <w:left w:val="single" w:sz="4" w:space="0" w:color="000000"/>
              <w:bottom w:val="single" w:sz="4" w:space="0" w:color="000000"/>
              <w:right w:val="single" w:sz="4" w:space="0" w:color="000000"/>
            </w:tcBorders>
          </w:tcPr>
          <w:p w14:paraId="28EC9203"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48AF588D" w14:textId="77777777" w:rsidTr="008A41DE">
        <w:tc>
          <w:tcPr>
            <w:tcW w:w="3937" w:type="dxa"/>
            <w:tcBorders>
              <w:top w:val="single" w:sz="4" w:space="0" w:color="000000"/>
              <w:left w:val="single" w:sz="4" w:space="0" w:color="000000"/>
              <w:bottom w:val="single" w:sz="4" w:space="0" w:color="000000"/>
              <w:right w:val="single" w:sz="4" w:space="0" w:color="000000"/>
            </w:tcBorders>
          </w:tcPr>
          <w:p w14:paraId="1EA227F9" w14:textId="77777777" w:rsidR="00374C56" w:rsidRPr="00D53A2B" w:rsidRDefault="00374C56" w:rsidP="00A202FD">
            <w:pPr>
              <w:spacing w:line="264" w:lineRule="auto"/>
              <w:ind w:left="57" w:right="57"/>
              <w:jc w:val="both"/>
              <w:rPr>
                <w:lang w:eastAsia="en-US"/>
              </w:rPr>
            </w:pPr>
            <w:r w:rsidRPr="00D53A2B">
              <w:rPr>
                <w:lang w:eastAsia="en-US"/>
              </w:rPr>
              <w:t>Toz</w:t>
            </w:r>
          </w:p>
        </w:tc>
        <w:tc>
          <w:tcPr>
            <w:tcW w:w="4611" w:type="dxa"/>
            <w:tcBorders>
              <w:top w:val="single" w:sz="4" w:space="0" w:color="000000"/>
              <w:left w:val="single" w:sz="4" w:space="0" w:color="000000"/>
              <w:bottom w:val="single" w:sz="4" w:space="0" w:color="000000"/>
              <w:right w:val="single" w:sz="4" w:space="0" w:color="000000"/>
            </w:tcBorders>
          </w:tcPr>
          <w:p w14:paraId="4DE44171" w14:textId="77777777" w:rsidR="00374C56" w:rsidRPr="00D53A2B" w:rsidRDefault="00374C56" w:rsidP="00A202FD">
            <w:pPr>
              <w:spacing w:line="264" w:lineRule="auto"/>
              <w:ind w:left="57" w:right="57"/>
              <w:jc w:val="both"/>
              <w:rPr>
                <w:lang w:eastAsia="en-US"/>
              </w:rPr>
            </w:pPr>
            <w:r w:rsidRPr="00D53A2B">
              <w:rPr>
                <w:lang w:eastAsia="en-US"/>
              </w:rPr>
              <w:t>2–5</w:t>
            </w:r>
          </w:p>
        </w:tc>
      </w:tr>
      <w:tr w:rsidR="00374C56" w:rsidRPr="00D53A2B" w14:paraId="31EB405A" w14:textId="77777777" w:rsidTr="008A41DE">
        <w:tc>
          <w:tcPr>
            <w:tcW w:w="8548" w:type="dxa"/>
            <w:gridSpan w:val="2"/>
            <w:tcBorders>
              <w:top w:val="single" w:sz="4" w:space="0" w:color="000000"/>
              <w:left w:val="single" w:sz="4" w:space="0" w:color="000000"/>
              <w:bottom w:val="single" w:sz="4" w:space="0" w:color="000000"/>
              <w:right w:val="single" w:sz="4" w:space="0" w:color="000000"/>
            </w:tcBorders>
          </w:tcPr>
          <w:p w14:paraId="09E50486"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Günlük değerlerin veya örnekleme dönemi boyunca alınan değerlerin ortalaması.</w:t>
            </w:r>
          </w:p>
        </w:tc>
      </w:tr>
    </w:tbl>
    <w:p w14:paraId="291094F6" w14:textId="4FB6AC1F"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7C2F7A27" w14:textId="29A1185E" w:rsidR="00374C56" w:rsidRPr="00D53A2B" w:rsidRDefault="00CD7455" w:rsidP="00A202FD">
      <w:pPr>
        <w:pStyle w:val="Balk4"/>
        <w:rPr>
          <w:rFonts w:cs="Times New Roman"/>
          <w:lang w:val="en-US" w:eastAsia="en-US"/>
        </w:rPr>
      </w:pPr>
      <w:bookmarkStart w:id="222" w:name="_Toc527940765"/>
      <w:bookmarkStart w:id="223" w:name="_Toc531927921"/>
      <w:r w:rsidRPr="00D53A2B">
        <w:rPr>
          <w:rFonts w:cs="Times New Roman"/>
          <w:lang w:val="en-US" w:eastAsia="en-US"/>
        </w:rPr>
        <w:t>1.</w:t>
      </w:r>
      <w:r w:rsidR="00374C56" w:rsidRPr="00D53A2B">
        <w:rPr>
          <w:rFonts w:cs="Times New Roman"/>
          <w:lang w:val="en-US" w:eastAsia="en-US"/>
        </w:rPr>
        <w:t>8.2.3.</w:t>
      </w:r>
      <w:r w:rsidRPr="00D53A2B">
        <w:rPr>
          <w:rFonts w:cs="Times New Roman"/>
          <w:lang w:val="en-US" w:eastAsia="en-US"/>
        </w:rPr>
        <w:t xml:space="preserve"> </w:t>
      </w:r>
      <w:r w:rsidR="00374C56" w:rsidRPr="00D53A2B">
        <w:rPr>
          <w:rFonts w:cs="Times New Roman"/>
          <w:lang w:val="en-US" w:eastAsia="en-US"/>
        </w:rPr>
        <w:t>Nikel ve klor emisyonları</w:t>
      </w:r>
      <w:bookmarkEnd w:id="222"/>
      <w:bookmarkEnd w:id="223"/>
    </w:p>
    <w:p w14:paraId="446E33BD" w14:textId="6EFDE856" w:rsidR="00374C56" w:rsidRPr="00D53A2B" w:rsidRDefault="004479E1" w:rsidP="00A202FD">
      <w:pPr>
        <w:spacing w:after="240"/>
        <w:jc w:val="both"/>
        <w:rPr>
          <w:b/>
          <w:lang w:eastAsia="en-US"/>
        </w:rPr>
      </w:pPr>
      <w:r w:rsidRPr="00D53A2B">
        <w:rPr>
          <w:b/>
          <w:lang w:eastAsia="en-US"/>
        </w:rPr>
        <w:t>MET 172:</w:t>
      </w:r>
      <w:r w:rsidR="00374C56" w:rsidRPr="00D53A2B">
        <w:rPr>
          <w:b/>
          <w:lang w:eastAsia="en-US"/>
        </w:rPr>
        <w:t xml:space="preserve"> </w:t>
      </w:r>
      <w:r w:rsidR="00CD7455" w:rsidRPr="00D53A2B">
        <w:rPr>
          <w:bCs/>
          <w:lang w:eastAsia="en-US"/>
        </w:rPr>
        <w:t>Atmosferik veya basınçlı yıkama proseslerinden havaya nikel ve klor emisyonlarını azaltmak için ıslak yıkayıcı kullan</w:t>
      </w:r>
      <w:r w:rsidR="00F80C59" w:rsidRPr="00D53A2B">
        <w:rPr>
          <w:bCs/>
          <w:lang w:eastAsia="en-US"/>
        </w:rPr>
        <w:t>ıl</w:t>
      </w:r>
      <w:r w:rsidR="00CD7455" w:rsidRPr="00D53A2B">
        <w:rPr>
          <w:bCs/>
          <w:lang w:eastAsia="en-US"/>
        </w:rPr>
        <w:t>ır.</w:t>
      </w:r>
    </w:p>
    <w:p w14:paraId="52C3A004"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49.</w:t>
      </w:r>
    </w:p>
    <w:p w14:paraId="44BC7AC1" w14:textId="77777777" w:rsidR="007F23C9" w:rsidRPr="00D53A2B" w:rsidRDefault="00374C56" w:rsidP="00A202FD">
      <w:pPr>
        <w:jc w:val="both"/>
        <w:rPr>
          <w:bCs/>
          <w:iCs/>
          <w:spacing w:val="2"/>
          <w:lang w:eastAsia="en-US"/>
        </w:rPr>
      </w:pPr>
      <w:bookmarkStart w:id="224" w:name="_Toc527941367"/>
      <w:bookmarkStart w:id="225" w:name="_Toc531927990"/>
      <w:r w:rsidRPr="00D53A2B">
        <w:rPr>
          <w:bCs/>
          <w:iCs/>
          <w:spacing w:val="2"/>
          <w:lang w:eastAsia="en-US"/>
        </w:rPr>
        <w:t xml:space="preserve">Tablo </w:t>
      </w:r>
      <w:r w:rsidRPr="00D53A2B">
        <w:rPr>
          <w:bCs/>
          <w:noProof/>
          <w:spacing w:val="2"/>
          <w:lang w:eastAsia="en-US"/>
        </w:rPr>
        <w:t>49</w:t>
      </w:r>
    </w:p>
    <w:p w14:paraId="35DEA8CC" w14:textId="3C207886" w:rsidR="00374C56" w:rsidRPr="00D53A2B" w:rsidRDefault="00374C56" w:rsidP="00A202FD">
      <w:pPr>
        <w:jc w:val="both"/>
        <w:rPr>
          <w:bCs/>
          <w:iCs/>
          <w:spacing w:val="2"/>
          <w:lang w:eastAsia="en-US"/>
        </w:rPr>
      </w:pPr>
      <w:r w:rsidRPr="00D53A2B">
        <w:rPr>
          <w:bCs/>
          <w:iCs/>
          <w:spacing w:val="2"/>
          <w:lang w:eastAsia="en-US"/>
        </w:rPr>
        <w:t>Atmosferik ve basınçlı liç proseslerinden kaynaklanan nikel ve klor emisyonları ile ilgili MET için emisyon seviyeleri</w:t>
      </w:r>
      <w:bookmarkEnd w:id="224"/>
      <w:bookmarkEnd w:id="225"/>
    </w:p>
    <w:tbl>
      <w:tblPr>
        <w:tblW w:w="8690" w:type="dxa"/>
        <w:tblInd w:w="94" w:type="dxa"/>
        <w:tblLayout w:type="fixed"/>
        <w:tblCellMar>
          <w:left w:w="0" w:type="dxa"/>
          <w:right w:w="0" w:type="dxa"/>
        </w:tblCellMar>
        <w:tblLook w:val="01E0" w:firstRow="1" w:lastRow="1" w:firstColumn="1" w:lastColumn="1" w:noHBand="0" w:noVBand="0"/>
      </w:tblPr>
      <w:tblGrid>
        <w:gridCol w:w="2916"/>
        <w:gridCol w:w="5774"/>
      </w:tblGrid>
      <w:tr w:rsidR="00374C56" w:rsidRPr="00D53A2B" w14:paraId="63F79E42" w14:textId="77777777" w:rsidTr="008A41DE">
        <w:tc>
          <w:tcPr>
            <w:tcW w:w="2916" w:type="dxa"/>
            <w:tcBorders>
              <w:top w:val="single" w:sz="4" w:space="0" w:color="000000"/>
              <w:left w:val="single" w:sz="4" w:space="0" w:color="000000"/>
              <w:bottom w:val="single" w:sz="4" w:space="0" w:color="000000"/>
              <w:right w:val="single" w:sz="4" w:space="0" w:color="000000"/>
            </w:tcBorders>
            <w:vAlign w:val="center"/>
          </w:tcPr>
          <w:p w14:paraId="39FE70CD"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5774" w:type="dxa"/>
            <w:tcBorders>
              <w:top w:val="single" w:sz="4" w:space="0" w:color="000000"/>
              <w:left w:val="single" w:sz="4" w:space="0" w:color="000000"/>
              <w:bottom w:val="single" w:sz="4" w:space="0" w:color="000000"/>
              <w:right w:val="single" w:sz="4" w:space="0" w:color="000000"/>
            </w:tcBorders>
            <w:vAlign w:val="center"/>
          </w:tcPr>
          <w:p w14:paraId="713A4861"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7ABD30C9" w14:textId="77777777" w:rsidTr="008A41DE">
        <w:tc>
          <w:tcPr>
            <w:tcW w:w="2916" w:type="dxa"/>
            <w:tcBorders>
              <w:top w:val="single" w:sz="4" w:space="0" w:color="000000"/>
              <w:left w:val="single" w:sz="4" w:space="0" w:color="000000"/>
              <w:bottom w:val="single" w:sz="4" w:space="0" w:color="000000"/>
              <w:right w:val="single" w:sz="4" w:space="0" w:color="000000"/>
            </w:tcBorders>
          </w:tcPr>
          <w:p w14:paraId="2D7F2EE8" w14:textId="77777777" w:rsidR="00374C56" w:rsidRPr="00D53A2B" w:rsidRDefault="00374C56" w:rsidP="00A202FD">
            <w:pPr>
              <w:spacing w:line="264" w:lineRule="auto"/>
              <w:ind w:left="57" w:right="57"/>
              <w:jc w:val="both"/>
              <w:rPr>
                <w:lang w:eastAsia="en-US"/>
              </w:rPr>
            </w:pPr>
            <w:r w:rsidRPr="00D53A2B">
              <w:rPr>
                <w:lang w:eastAsia="en-US"/>
              </w:rPr>
              <w:t>Ni</w:t>
            </w:r>
          </w:p>
        </w:tc>
        <w:tc>
          <w:tcPr>
            <w:tcW w:w="5774" w:type="dxa"/>
            <w:tcBorders>
              <w:top w:val="single" w:sz="4" w:space="0" w:color="000000"/>
              <w:left w:val="single" w:sz="4" w:space="0" w:color="000000"/>
              <w:bottom w:val="single" w:sz="4" w:space="0" w:color="000000"/>
              <w:right w:val="single" w:sz="4" w:space="0" w:color="000000"/>
            </w:tcBorders>
          </w:tcPr>
          <w:p w14:paraId="03374776" w14:textId="77777777" w:rsidR="00374C56" w:rsidRPr="00D53A2B" w:rsidRDefault="00374C56" w:rsidP="00A202FD">
            <w:pPr>
              <w:spacing w:line="264" w:lineRule="auto"/>
              <w:ind w:left="57" w:right="57"/>
              <w:jc w:val="both"/>
              <w:rPr>
                <w:lang w:eastAsia="en-US"/>
              </w:rPr>
            </w:pPr>
            <w:r w:rsidRPr="00D53A2B">
              <w:rPr>
                <w:lang w:eastAsia="en-US"/>
              </w:rPr>
              <w:t>≤ 1</w:t>
            </w:r>
          </w:p>
        </w:tc>
      </w:tr>
      <w:tr w:rsidR="00374C56" w:rsidRPr="00D53A2B" w14:paraId="21FF9FD1" w14:textId="77777777" w:rsidTr="008A41DE">
        <w:tc>
          <w:tcPr>
            <w:tcW w:w="2916" w:type="dxa"/>
            <w:tcBorders>
              <w:top w:val="single" w:sz="4" w:space="0" w:color="000000"/>
              <w:left w:val="single" w:sz="4" w:space="0" w:color="000000"/>
              <w:bottom w:val="single" w:sz="4" w:space="0" w:color="000000"/>
              <w:right w:val="single" w:sz="4" w:space="0" w:color="000000"/>
            </w:tcBorders>
          </w:tcPr>
          <w:p w14:paraId="470594B2" w14:textId="77777777" w:rsidR="00374C56" w:rsidRPr="00D53A2B" w:rsidRDefault="00374C56" w:rsidP="00A202FD">
            <w:pPr>
              <w:spacing w:line="264" w:lineRule="auto"/>
              <w:ind w:left="57" w:right="57"/>
              <w:jc w:val="both"/>
              <w:rPr>
                <w:lang w:eastAsia="en-US"/>
              </w:rPr>
            </w:pPr>
            <w:r w:rsidRPr="00D53A2B">
              <w:rPr>
                <w:lang w:eastAsia="en-US"/>
              </w:rPr>
              <w:t>Cl</w:t>
            </w:r>
            <w:r w:rsidRPr="00D53A2B">
              <w:rPr>
                <w:vertAlign w:val="subscript"/>
                <w:lang w:eastAsia="en-US"/>
              </w:rPr>
              <w:t>2</w:t>
            </w:r>
          </w:p>
        </w:tc>
        <w:tc>
          <w:tcPr>
            <w:tcW w:w="5774" w:type="dxa"/>
            <w:tcBorders>
              <w:top w:val="single" w:sz="4" w:space="0" w:color="000000"/>
              <w:left w:val="single" w:sz="4" w:space="0" w:color="000000"/>
              <w:bottom w:val="single" w:sz="4" w:space="0" w:color="000000"/>
              <w:right w:val="single" w:sz="4" w:space="0" w:color="000000"/>
            </w:tcBorders>
          </w:tcPr>
          <w:p w14:paraId="3C263D04" w14:textId="77777777" w:rsidR="00374C56" w:rsidRPr="00D53A2B" w:rsidRDefault="00374C56" w:rsidP="00A202FD">
            <w:pPr>
              <w:spacing w:line="264" w:lineRule="auto"/>
              <w:ind w:left="57" w:right="57"/>
              <w:jc w:val="both"/>
              <w:rPr>
                <w:lang w:eastAsia="en-US"/>
              </w:rPr>
            </w:pPr>
            <w:r w:rsidRPr="00D53A2B">
              <w:rPr>
                <w:lang w:eastAsia="en-US"/>
              </w:rPr>
              <w:t>≤ 1</w:t>
            </w:r>
          </w:p>
        </w:tc>
      </w:tr>
      <w:tr w:rsidR="00374C56" w:rsidRPr="00D53A2B" w14:paraId="0FCC13A0" w14:textId="77777777" w:rsidTr="008A41DE">
        <w:tc>
          <w:tcPr>
            <w:tcW w:w="8690" w:type="dxa"/>
            <w:gridSpan w:val="2"/>
            <w:tcBorders>
              <w:top w:val="single" w:sz="4" w:space="0" w:color="000000"/>
              <w:left w:val="single" w:sz="4" w:space="0" w:color="000000"/>
              <w:bottom w:val="single" w:sz="4" w:space="0" w:color="000000"/>
              <w:right w:val="single" w:sz="4" w:space="0" w:color="000000"/>
            </w:tcBorders>
          </w:tcPr>
          <w:p w14:paraId="66A2D4D6"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Örnekleme dönemi boyunca alınan değerlerin ortalaması.</w:t>
            </w:r>
          </w:p>
        </w:tc>
      </w:tr>
    </w:tbl>
    <w:p w14:paraId="23199A99" w14:textId="51C89971"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284C9F46" w14:textId="15AC4BE1" w:rsidR="00374C56" w:rsidRPr="00D53A2B" w:rsidRDefault="004479E1" w:rsidP="00A202FD">
      <w:pPr>
        <w:spacing w:after="240"/>
        <w:jc w:val="both"/>
        <w:rPr>
          <w:b/>
          <w:lang w:eastAsia="en-US"/>
        </w:rPr>
      </w:pPr>
      <w:r w:rsidRPr="00D53A2B">
        <w:rPr>
          <w:b/>
          <w:lang w:eastAsia="en-US"/>
        </w:rPr>
        <w:t>MET 173:</w:t>
      </w:r>
      <w:r w:rsidR="00374C56" w:rsidRPr="00D53A2B">
        <w:rPr>
          <w:b/>
          <w:lang w:eastAsia="en-US"/>
        </w:rPr>
        <w:t xml:space="preserve"> </w:t>
      </w:r>
      <w:r w:rsidR="00374C56" w:rsidRPr="00D53A2B">
        <w:rPr>
          <w:bCs/>
          <w:lang w:eastAsia="en-US"/>
        </w:rPr>
        <w:t>Klorlu demir klorür kullanılan, nikel mat rafinasyonu prosesinden kaynaklanan nikel emisyonlarını azaltmak için bir torba filtre kullanılır.</w:t>
      </w:r>
      <w:r w:rsidR="00374C56" w:rsidRPr="00D53A2B">
        <w:rPr>
          <w:b/>
          <w:lang w:eastAsia="en-US"/>
        </w:rPr>
        <w:t xml:space="preserve"> </w:t>
      </w:r>
    </w:p>
    <w:p w14:paraId="1E87030B"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50.</w:t>
      </w:r>
    </w:p>
    <w:p w14:paraId="0B08FE85" w14:textId="77777777" w:rsidR="007F23C9" w:rsidRPr="00D53A2B" w:rsidRDefault="00374C56" w:rsidP="00A202FD">
      <w:pPr>
        <w:jc w:val="both"/>
        <w:rPr>
          <w:bCs/>
          <w:iCs/>
          <w:spacing w:val="2"/>
          <w:lang w:eastAsia="en-US"/>
        </w:rPr>
      </w:pPr>
      <w:bookmarkStart w:id="226" w:name="_Toc527941368"/>
      <w:bookmarkStart w:id="227" w:name="_Toc531927991"/>
      <w:r w:rsidRPr="00D53A2B">
        <w:rPr>
          <w:bCs/>
          <w:iCs/>
          <w:spacing w:val="2"/>
          <w:lang w:eastAsia="en-US"/>
        </w:rPr>
        <w:t>Tablo 50</w:t>
      </w:r>
    </w:p>
    <w:p w14:paraId="3C8C82D4" w14:textId="50E562B8" w:rsidR="00374C56" w:rsidRPr="00D53A2B" w:rsidRDefault="00374C56" w:rsidP="00A202FD">
      <w:pPr>
        <w:jc w:val="both"/>
        <w:rPr>
          <w:bCs/>
          <w:iCs/>
          <w:spacing w:val="2"/>
          <w:lang w:eastAsia="en-US"/>
        </w:rPr>
      </w:pPr>
      <w:r w:rsidRPr="00D53A2B">
        <w:rPr>
          <w:bCs/>
          <w:iCs/>
          <w:spacing w:val="2"/>
          <w:lang w:eastAsia="en-US"/>
        </w:rPr>
        <w:t>Klorlu demir klorür kullanılan, nikel mat rafinasyonu prosesinden kaynaklanan nikel emisyonları ile ilgili MET için emisyon seviyeleri</w:t>
      </w:r>
      <w:bookmarkEnd w:id="226"/>
      <w:bookmarkEnd w:id="227"/>
    </w:p>
    <w:tbl>
      <w:tblPr>
        <w:tblW w:w="8931" w:type="dxa"/>
        <w:tblInd w:w="-5" w:type="dxa"/>
        <w:tblLayout w:type="fixed"/>
        <w:tblCellMar>
          <w:left w:w="0" w:type="dxa"/>
          <w:right w:w="0" w:type="dxa"/>
        </w:tblCellMar>
        <w:tblLook w:val="01E0" w:firstRow="1" w:lastRow="1" w:firstColumn="1" w:lastColumn="1" w:noHBand="0" w:noVBand="0"/>
      </w:tblPr>
      <w:tblGrid>
        <w:gridCol w:w="3386"/>
        <w:gridCol w:w="5545"/>
      </w:tblGrid>
      <w:tr w:rsidR="00374C56" w:rsidRPr="00D53A2B" w14:paraId="448DB7CB" w14:textId="77777777" w:rsidTr="008A41DE">
        <w:tc>
          <w:tcPr>
            <w:tcW w:w="3386" w:type="dxa"/>
            <w:tcBorders>
              <w:top w:val="single" w:sz="4" w:space="0" w:color="000000"/>
              <w:left w:val="single" w:sz="4" w:space="0" w:color="000000"/>
              <w:bottom w:val="single" w:sz="4" w:space="0" w:color="000000"/>
              <w:right w:val="single" w:sz="4" w:space="0" w:color="000000"/>
            </w:tcBorders>
            <w:vAlign w:val="center"/>
          </w:tcPr>
          <w:p w14:paraId="7583E3F1"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5545" w:type="dxa"/>
            <w:tcBorders>
              <w:top w:val="single" w:sz="4" w:space="0" w:color="000000"/>
              <w:left w:val="single" w:sz="4" w:space="0" w:color="000000"/>
              <w:bottom w:val="single" w:sz="4" w:space="0" w:color="000000"/>
              <w:right w:val="single" w:sz="4" w:space="0" w:color="000000"/>
            </w:tcBorders>
            <w:vAlign w:val="center"/>
          </w:tcPr>
          <w:p w14:paraId="5FCC8817"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5D3DDA4F" w14:textId="77777777" w:rsidTr="008A41DE">
        <w:tc>
          <w:tcPr>
            <w:tcW w:w="3386" w:type="dxa"/>
            <w:tcBorders>
              <w:top w:val="single" w:sz="4" w:space="0" w:color="000000"/>
              <w:left w:val="single" w:sz="4" w:space="0" w:color="000000"/>
              <w:bottom w:val="single" w:sz="4" w:space="0" w:color="000000"/>
              <w:right w:val="single" w:sz="4" w:space="0" w:color="000000"/>
            </w:tcBorders>
          </w:tcPr>
          <w:p w14:paraId="0BD0ADA2" w14:textId="77777777" w:rsidR="00374C56" w:rsidRPr="00D53A2B" w:rsidRDefault="00374C56" w:rsidP="00A202FD">
            <w:pPr>
              <w:spacing w:line="264" w:lineRule="auto"/>
              <w:ind w:left="57" w:right="57"/>
              <w:jc w:val="both"/>
              <w:rPr>
                <w:lang w:eastAsia="en-US"/>
              </w:rPr>
            </w:pPr>
            <w:r w:rsidRPr="00D53A2B">
              <w:rPr>
                <w:lang w:eastAsia="en-US"/>
              </w:rPr>
              <w:t>Nikel</w:t>
            </w:r>
          </w:p>
        </w:tc>
        <w:tc>
          <w:tcPr>
            <w:tcW w:w="5545" w:type="dxa"/>
            <w:tcBorders>
              <w:top w:val="single" w:sz="4" w:space="0" w:color="000000"/>
              <w:left w:val="single" w:sz="4" w:space="0" w:color="000000"/>
              <w:bottom w:val="single" w:sz="4" w:space="0" w:color="000000"/>
              <w:right w:val="single" w:sz="4" w:space="0" w:color="000000"/>
            </w:tcBorders>
          </w:tcPr>
          <w:p w14:paraId="5FA1CCE2" w14:textId="77777777" w:rsidR="00374C56" w:rsidRPr="00D53A2B" w:rsidRDefault="00374C56" w:rsidP="00A202FD">
            <w:pPr>
              <w:spacing w:line="264" w:lineRule="auto"/>
              <w:ind w:left="57" w:right="57"/>
              <w:jc w:val="both"/>
              <w:rPr>
                <w:lang w:eastAsia="en-US"/>
              </w:rPr>
            </w:pPr>
            <w:r w:rsidRPr="00D53A2B">
              <w:rPr>
                <w:lang w:eastAsia="en-US"/>
              </w:rPr>
              <w:t>≤ 1</w:t>
            </w:r>
          </w:p>
        </w:tc>
      </w:tr>
      <w:tr w:rsidR="00374C56" w:rsidRPr="00D53A2B" w14:paraId="24090ACE" w14:textId="77777777" w:rsidTr="008A41DE">
        <w:tc>
          <w:tcPr>
            <w:tcW w:w="8931" w:type="dxa"/>
            <w:gridSpan w:val="2"/>
            <w:tcBorders>
              <w:top w:val="single" w:sz="4" w:space="0" w:color="000000"/>
              <w:left w:val="single" w:sz="4" w:space="0" w:color="000000"/>
              <w:bottom w:val="single" w:sz="4" w:space="0" w:color="000000"/>
              <w:right w:val="single" w:sz="4" w:space="0" w:color="000000"/>
            </w:tcBorders>
          </w:tcPr>
          <w:p w14:paraId="28ECEB3B"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Örnekleme dönemi boyunca alınan değerlerin ortalaması.</w:t>
            </w:r>
          </w:p>
        </w:tc>
      </w:tr>
    </w:tbl>
    <w:p w14:paraId="09F0488C" w14:textId="59CC26FA"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621BCFD1" w14:textId="1767C790" w:rsidR="00374C56" w:rsidRPr="00D53A2B" w:rsidRDefault="00CD7455" w:rsidP="00A202FD">
      <w:pPr>
        <w:pStyle w:val="Balk4"/>
        <w:rPr>
          <w:rFonts w:cs="Times New Roman"/>
          <w:lang w:val="en-US" w:eastAsia="en-US"/>
        </w:rPr>
      </w:pPr>
      <w:bookmarkStart w:id="228" w:name="_Toc527940766"/>
      <w:bookmarkStart w:id="229" w:name="_Toc531927922"/>
      <w:r w:rsidRPr="00D53A2B">
        <w:rPr>
          <w:rFonts w:cs="Times New Roman"/>
          <w:lang w:val="en-US" w:eastAsia="en-US"/>
        </w:rPr>
        <w:t>1.</w:t>
      </w:r>
      <w:r w:rsidR="00374C56" w:rsidRPr="00D53A2B">
        <w:rPr>
          <w:rFonts w:cs="Times New Roman"/>
          <w:lang w:val="en-US" w:eastAsia="en-US"/>
        </w:rPr>
        <w:t>8.2.4.</w:t>
      </w:r>
      <w:r w:rsidR="00F80C59" w:rsidRPr="00D53A2B">
        <w:rPr>
          <w:rFonts w:cs="Times New Roman"/>
          <w:lang w:val="en-US" w:eastAsia="en-US"/>
        </w:rPr>
        <w:t xml:space="preserve"> </w:t>
      </w:r>
      <w:r w:rsidR="00374C56" w:rsidRPr="00D53A2B">
        <w:rPr>
          <w:rFonts w:cs="Times New Roman"/>
          <w:lang w:val="en-US" w:eastAsia="en-US"/>
        </w:rPr>
        <w:t>Kükürt dioksit emisyonları</w:t>
      </w:r>
      <w:bookmarkEnd w:id="228"/>
      <w:bookmarkEnd w:id="229"/>
    </w:p>
    <w:p w14:paraId="60005E2A" w14:textId="59119282" w:rsidR="00374C56" w:rsidRPr="00D53A2B" w:rsidRDefault="004479E1" w:rsidP="00A202FD">
      <w:pPr>
        <w:spacing w:after="240"/>
        <w:jc w:val="both"/>
        <w:rPr>
          <w:b/>
          <w:lang w:eastAsia="en-US"/>
        </w:rPr>
      </w:pPr>
      <w:r w:rsidRPr="00D53A2B">
        <w:rPr>
          <w:b/>
          <w:lang w:eastAsia="en-US"/>
        </w:rPr>
        <w:t>MET 174:</w:t>
      </w:r>
      <w:r w:rsidR="00374C56" w:rsidRPr="00D53A2B">
        <w:rPr>
          <w:b/>
          <w:lang w:eastAsia="en-US"/>
        </w:rPr>
        <w:t xml:space="preserve"> </w:t>
      </w:r>
      <w:r w:rsidR="00374C56" w:rsidRPr="00D53A2B">
        <w:rPr>
          <w:bCs/>
          <w:lang w:eastAsia="en-US"/>
        </w:rPr>
        <w:t>Sülfidik cevherleri işlerken, ergitme ve dönüştürme işlemlerinden kaynaklanan SO</w:t>
      </w:r>
      <w:r w:rsidR="00374C56" w:rsidRPr="00D53A2B">
        <w:rPr>
          <w:bCs/>
          <w:vertAlign w:val="subscript"/>
          <w:lang w:eastAsia="en-US"/>
        </w:rPr>
        <w:t>2</w:t>
      </w:r>
      <w:r w:rsidR="00374C56" w:rsidRPr="00D53A2B">
        <w:rPr>
          <w:bCs/>
          <w:lang w:eastAsia="en-US"/>
        </w:rPr>
        <w:t xml:space="preserve"> emisyonlarının (sülfürik asit tesisine yönlendirilenler hariç) azaltılması için aşağıda verilen tekniklerden biri kullanılır.</w:t>
      </w:r>
    </w:p>
    <w:tbl>
      <w:tblPr>
        <w:tblW w:w="0" w:type="auto"/>
        <w:tblInd w:w="2070" w:type="dxa"/>
        <w:tblLayout w:type="fixed"/>
        <w:tblCellMar>
          <w:left w:w="0" w:type="dxa"/>
          <w:right w:w="0" w:type="dxa"/>
        </w:tblCellMar>
        <w:tblLook w:val="01E0" w:firstRow="1" w:lastRow="1" w:firstColumn="1" w:lastColumn="1" w:noHBand="0" w:noVBand="0"/>
      </w:tblPr>
      <w:tblGrid>
        <w:gridCol w:w="493"/>
        <w:gridCol w:w="5026"/>
      </w:tblGrid>
      <w:tr w:rsidR="00374C56" w:rsidRPr="00D53A2B" w14:paraId="3161B3CF" w14:textId="77777777" w:rsidTr="00374C56">
        <w:tc>
          <w:tcPr>
            <w:tcW w:w="493" w:type="dxa"/>
            <w:tcBorders>
              <w:top w:val="single" w:sz="4" w:space="0" w:color="000000"/>
              <w:left w:val="single" w:sz="4" w:space="0" w:color="000000"/>
              <w:bottom w:val="single" w:sz="4" w:space="0" w:color="000000"/>
              <w:right w:val="single" w:sz="4" w:space="0" w:color="000000"/>
            </w:tcBorders>
          </w:tcPr>
          <w:p w14:paraId="092957EA" w14:textId="77777777" w:rsidR="00374C56" w:rsidRPr="00D53A2B" w:rsidRDefault="00374C56" w:rsidP="00A202FD">
            <w:pPr>
              <w:spacing w:line="264" w:lineRule="auto"/>
              <w:ind w:left="57" w:right="57"/>
              <w:jc w:val="both"/>
              <w:rPr>
                <w:lang w:eastAsia="en-US"/>
              </w:rPr>
            </w:pPr>
          </w:p>
        </w:tc>
        <w:tc>
          <w:tcPr>
            <w:tcW w:w="5026" w:type="dxa"/>
            <w:tcBorders>
              <w:top w:val="single" w:sz="4" w:space="0" w:color="000000"/>
              <w:left w:val="single" w:sz="4" w:space="0" w:color="000000"/>
              <w:bottom w:val="single" w:sz="4" w:space="0" w:color="000000"/>
              <w:right w:val="single" w:sz="4" w:space="0" w:color="000000"/>
            </w:tcBorders>
          </w:tcPr>
          <w:p w14:paraId="121E59A4" w14:textId="77777777" w:rsidR="00374C56" w:rsidRPr="00D53A2B" w:rsidRDefault="00374C56" w:rsidP="00A202FD">
            <w:pPr>
              <w:spacing w:line="264" w:lineRule="auto"/>
              <w:ind w:left="57" w:right="57"/>
              <w:jc w:val="both"/>
              <w:rPr>
                <w:lang w:eastAsia="en-US"/>
              </w:rPr>
            </w:pPr>
            <w:r w:rsidRPr="00D53A2B">
              <w:rPr>
                <w:b/>
                <w:bCs/>
                <w:lang w:eastAsia="en-US"/>
              </w:rPr>
              <w:t>Teknik (</w:t>
            </w:r>
            <w:r w:rsidRPr="00D53A2B">
              <w:rPr>
                <w:b/>
                <w:bCs/>
                <w:vertAlign w:val="superscript"/>
                <w:lang w:eastAsia="en-US"/>
              </w:rPr>
              <w:t>1</w:t>
            </w:r>
            <w:r w:rsidRPr="00D53A2B">
              <w:rPr>
                <w:b/>
                <w:bCs/>
                <w:lang w:eastAsia="en-US"/>
              </w:rPr>
              <w:t>)</w:t>
            </w:r>
          </w:p>
        </w:tc>
      </w:tr>
      <w:tr w:rsidR="00374C56" w:rsidRPr="00D53A2B" w14:paraId="6C098826" w14:textId="77777777" w:rsidTr="00374C56">
        <w:tc>
          <w:tcPr>
            <w:tcW w:w="493" w:type="dxa"/>
            <w:tcBorders>
              <w:top w:val="single" w:sz="4" w:space="0" w:color="000000"/>
              <w:left w:val="single" w:sz="4" w:space="0" w:color="000000"/>
              <w:bottom w:val="single" w:sz="4" w:space="0" w:color="000000"/>
              <w:right w:val="single" w:sz="4" w:space="0" w:color="000000"/>
            </w:tcBorders>
          </w:tcPr>
          <w:p w14:paraId="0C3BCDC4" w14:textId="77777777" w:rsidR="00374C56" w:rsidRPr="00D53A2B" w:rsidRDefault="00374C56" w:rsidP="00A202FD">
            <w:pPr>
              <w:spacing w:line="264" w:lineRule="auto"/>
              <w:ind w:left="57" w:right="57"/>
              <w:jc w:val="both"/>
              <w:rPr>
                <w:lang w:eastAsia="en-US"/>
              </w:rPr>
            </w:pPr>
            <w:r w:rsidRPr="00D53A2B">
              <w:rPr>
                <w:lang w:eastAsia="en-US"/>
              </w:rPr>
              <w:t>a</w:t>
            </w:r>
          </w:p>
        </w:tc>
        <w:tc>
          <w:tcPr>
            <w:tcW w:w="5026" w:type="dxa"/>
            <w:tcBorders>
              <w:top w:val="single" w:sz="4" w:space="0" w:color="000000"/>
              <w:left w:val="single" w:sz="4" w:space="0" w:color="000000"/>
              <w:bottom w:val="single" w:sz="4" w:space="0" w:color="000000"/>
              <w:right w:val="single" w:sz="4" w:space="0" w:color="000000"/>
            </w:tcBorders>
          </w:tcPr>
          <w:p w14:paraId="6D518934" w14:textId="77777777" w:rsidR="00374C56" w:rsidRPr="00D53A2B" w:rsidRDefault="00374C56" w:rsidP="00A202FD">
            <w:pPr>
              <w:spacing w:line="264" w:lineRule="auto"/>
              <w:ind w:left="57" w:right="57"/>
              <w:jc w:val="both"/>
              <w:rPr>
                <w:lang w:eastAsia="en-US"/>
              </w:rPr>
            </w:pPr>
            <w:r w:rsidRPr="00D53A2B">
              <w:rPr>
                <w:lang w:eastAsia="en-US"/>
              </w:rPr>
              <w:t>Kireç enjeksiyonunu takiben torba filtre kullanılması</w:t>
            </w:r>
          </w:p>
        </w:tc>
      </w:tr>
      <w:tr w:rsidR="00374C56" w:rsidRPr="00D53A2B" w14:paraId="5F67E056" w14:textId="77777777" w:rsidTr="00374C56">
        <w:tc>
          <w:tcPr>
            <w:tcW w:w="493" w:type="dxa"/>
            <w:tcBorders>
              <w:top w:val="single" w:sz="4" w:space="0" w:color="000000"/>
              <w:left w:val="single" w:sz="4" w:space="0" w:color="000000"/>
              <w:bottom w:val="single" w:sz="4" w:space="0" w:color="000000"/>
              <w:right w:val="single" w:sz="4" w:space="0" w:color="000000"/>
            </w:tcBorders>
          </w:tcPr>
          <w:p w14:paraId="44B9082D" w14:textId="77777777" w:rsidR="00374C56" w:rsidRPr="00D53A2B" w:rsidRDefault="00374C56" w:rsidP="00A202FD">
            <w:pPr>
              <w:spacing w:line="264" w:lineRule="auto"/>
              <w:ind w:left="57" w:right="57"/>
              <w:jc w:val="both"/>
              <w:rPr>
                <w:lang w:eastAsia="en-US"/>
              </w:rPr>
            </w:pPr>
            <w:r w:rsidRPr="00D53A2B">
              <w:rPr>
                <w:lang w:eastAsia="en-US"/>
              </w:rPr>
              <w:t>b</w:t>
            </w:r>
          </w:p>
        </w:tc>
        <w:tc>
          <w:tcPr>
            <w:tcW w:w="5026" w:type="dxa"/>
            <w:tcBorders>
              <w:top w:val="single" w:sz="4" w:space="0" w:color="000000"/>
              <w:left w:val="single" w:sz="4" w:space="0" w:color="000000"/>
              <w:bottom w:val="single" w:sz="4" w:space="0" w:color="000000"/>
              <w:right w:val="single" w:sz="4" w:space="0" w:color="000000"/>
            </w:tcBorders>
          </w:tcPr>
          <w:p w14:paraId="097B6F42" w14:textId="77777777" w:rsidR="00374C56" w:rsidRPr="00D53A2B" w:rsidRDefault="00374C56" w:rsidP="00A202FD">
            <w:pPr>
              <w:spacing w:line="264" w:lineRule="auto"/>
              <w:ind w:left="57" w:right="57"/>
              <w:jc w:val="both"/>
              <w:rPr>
                <w:lang w:eastAsia="en-US"/>
              </w:rPr>
            </w:pPr>
            <w:r w:rsidRPr="00D53A2B">
              <w:rPr>
                <w:lang w:eastAsia="en-US"/>
              </w:rPr>
              <w:t xml:space="preserve">Islak gaz yıkayıcı </w:t>
            </w:r>
          </w:p>
        </w:tc>
      </w:tr>
      <w:tr w:rsidR="00374C56" w:rsidRPr="00D53A2B" w14:paraId="7FED6EB5" w14:textId="77777777" w:rsidTr="00374C56">
        <w:tc>
          <w:tcPr>
            <w:tcW w:w="5519" w:type="dxa"/>
            <w:gridSpan w:val="2"/>
            <w:tcBorders>
              <w:top w:val="single" w:sz="4" w:space="0" w:color="000000"/>
              <w:left w:val="single" w:sz="4" w:space="0" w:color="000000"/>
              <w:bottom w:val="single" w:sz="4" w:space="0" w:color="000000"/>
              <w:right w:val="single" w:sz="4" w:space="0" w:color="000000"/>
            </w:tcBorders>
          </w:tcPr>
          <w:p w14:paraId="2F162746" w14:textId="0B4E20E9"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Tekniklerin açıklamaları Bölüm 1.10</w:t>
            </w:r>
            <w:r w:rsidR="00E56504" w:rsidRPr="00D53A2B">
              <w:rPr>
                <w:lang w:eastAsia="en-US"/>
              </w:rPr>
              <w:t>’</w:t>
            </w:r>
            <w:r w:rsidRPr="00D53A2B">
              <w:rPr>
                <w:lang w:eastAsia="en-US"/>
              </w:rPr>
              <w:t>da verilmiştir.</w:t>
            </w:r>
          </w:p>
        </w:tc>
      </w:tr>
    </w:tbl>
    <w:p w14:paraId="52BD247E" w14:textId="77777777" w:rsidR="00374C56" w:rsidRPr="00D53A2B" w:rsidRDefault="00374C56" w:rsidP="00A202FD">
      <w:pPr>
        <w:jc w:val="both"/>
        <w:rPr>
          <w:spacing w:val="2"/>
          <w:lang w:eastAsia="en-US"/>
        </w:rPr>
      </w:pPr>
    </w:p>
    <w:p w14:paraId="3D2DD0A9" w14:textId="04844183" w:rsidR="00374C56" w:rsidRPr="00D53A2B" w:rsidRDefault="00CD7455" w:rsidP="00A202FD">
      <w:pPr>
        <w:pStyle w:val="Balk4"/>
        <w:rPr>
          <w:rFonts w:cs="Times New Roman"/>
          <w:lang w:val="en-US" w:eastAsia="en-US"/>
        </w:rPr>
      </w:pPr>
      <w:bookmarkStart w:id="230" w:name="_Toc527940767"/>
      <w:bookmarkStart w:id="231" w:name="_Toc531927923"/>
      <w:r w:rsidRPr="00D53A2B">
        <w:rPr>
          <w:rFonts w:cs="Times New Roman"/>
          <w:lang w:val="en-US" w:eastAsia="en-US"/>
        </w:rPr>
        <w:t>1.</w:t>
      </w:r>
      <w:r w:rsidR="00374C56" w:rsidRPr="00D53A2B">
        <w:rPr>
          <w:rFonts w:cs="Times New Roman"/>
          <w:lang w:val="en-US" w:eastAsia="en-US"/>
        </w:rPr>
        <w:t>8.2.5.</w:t>
      </w:r>
      <w:r w:rsidRPr="00D53A2B">
        <w:rPr>
          <w:rFonts w:cs="Times New Roman"/>
          <w:lang w:val="en-US" w:eastAsia="en-US"/>
        </w:rPr>
        <w:t xml:space="preserve"> </w:t>
      </w:r>
      <w:r w:rsidR="00374C56" w:rsidRPr="00D53A2B">
        <w:rPr>
          <w:rFonts w:cs="Times New Roman"/>
          <w:lang w:val="en-US" w:eastAsia="en-US"/>
        </w:rPr>
        <w:t>NH</w:t>
      </w:r>
      <w:r w:rsidR="00374C56" w:rsidRPr="00D53A2B">
        <w:rPr>
          <w:rFonts w:cs="Times New Roman"/>
          <w:vertAlign w:val="subscript"/>
          <w:lang w:val="en-US" w:eastAsia="en-US"/>
        </w:rPr>
        <w:t>3</w:t>
      </w:r>
      <w:r w:rsidR="00374C56" w:rsidRPr="00D53A2B">
        <w:rPr>
          <w:rFonts w:cs="Times New Roman"/>
          <w:lang w:val="en-US" w:eastAsia="en-US"/>
        </w:rPr>
        <w:t xml:space="preserve"> emisyonları</w:t>
      </w:r>
      <w:bookmarkEnd w:id="230"/>
      <w:bookmarkEnd w:id="231"/>
    </w:p>
    <w:p w14:paraId="21AAC9E6" w14:textId="39DA500B" w:rsidR="00374C56" w:rsidRPr="00D53A2B" w:rsidRDefault="004479E1" w:rsidP="00A202FD">
      <w:pPr>
        <w:spacing w:after="240"/>
        <w:jc w:val="both"/>
        <w:rPr>
          <w:b/>
          <w:lang w:eastAsia="en-US"/>
        </w:rPr>
      </w:pPr>
      <w:r w:rsidRPr="00D53A2B">
        <w:rPr>
          <w:b/>
          <w:lang w:eastAsia="en-US"/>
        </w:rPr>
        <w:t>MET 175:</w:t>
      </w:r>
      <w:r w:rsidR="00374C56" w:rsidRPr="00D53A2B">
        <w:rPr>
          <w:b/>
          <w:lang w:eastAsia="en-US"/>
        </w:rPr>
        <w:t xml:space="preserve"> </w:t>
      </w:r>
      <w:r w:rsidR="00374C56" w:rsidRPr="00D53A2B">
        <w:rPr>
          <w:bCs/>
          <w:lang w:eastAsia="en-US"/>
        </w:rPr>
        <w:t>Nikel tozu ve briket üretiminden kaynaklanan NH</w:t>
      </w:r>
      <w:r w:rsidR="00374C56" w:rsidRPr="00D53A2B">
        <w:rPr>
          <w:bCs/>
          <w:vertAlign w:val="subscript"/>
          <w:lang w:eastAsia="en-US"/>
        </w:rPr>
        <w:t>3</w:t>
      </w:r>
      <w:r w:rsidR="00374C56" w:rsidRPr="00D53A2B">
        <w:rPr>
          <w:bCs/>
          <w:lang w:eastAsia="en-US"/>
        </w:rPr>
        <w:t xml:space="preserve"> emisyonlarının azaltılması için bir ıslak </w:t>
      </w:r>
      <w:r w:rsidR="00374C56" w:rsidRPr="00D53A2B">
        <w:rPr>
          <w:bCs/>
          <w:spacing w:val="2"/>
          <w:lang w:eastAsia="en-US"/>
        </w:rPr>
        <w:t xml:space="preserve">yıkayıcı </w:t>
      </w:r>
      <w:r w:rsidR="00374C56" w:rsidRPr="00D53A2B">
        <w:rPr>
          <w:bCs/>
          <w:lang w:eastAsia="en-US"/>
        </w:rPr>
        <w:t>kullanılır.</w:t>
      </w:r>
      <w:r w:rsidR="00374C56" w:rsidRPr="00D53A2B">
        <w:rPr>
          <w:b/>
          <w:lang w:eastAsia="en-US"/>
        </w:rPr>
        <w:t xml:space="preserve"> </w:t>
      </w:r>
    </w:p>
    <w:p w14:paraId="3010429D" w14:textId="048205AD" w:rsidR="00374C56" w:rsidRPr="00D53A2B" w:rsidRDefault="00CD7455" w:rsidP="00A202FD">
      <w:pPr>
        <w:pStyle w:val="Balk3"/>
        <w:rPr>
          <w:rFonts w:cs="Times New Roman"/>
          <w:lang w:eastAsia="en-US"/>
        </w:rPr>
      </w:pPr>
      <w:r w:rsidRPr="00D53A2B">
        <w:rPr>
          <w:rFonts w:cs="Times New Roman"/>
          <w:lang w:eastAsia="en-US"/>
        </w:rPr>
        <w:t>1.</w:t>
      </w:r>
      <w:r w:rsidR="00374C56" w:rsidRPr="00D53A2B">
        <w:rPr>
          <w:rFonts w:cs="Times New Roman"/>
          <w:lang w:eastAsia="en-US"/>
        </w:rPr>
        <w:t>8.3.</w:t>
      </w:r>
      <w:bookmarkStart w:id="232" w:name="_Toc527940768"/>
      <w:bookmarkStart w:id="233" w:name="_Toc531927924"/>
      <w:r w:rsidRPr="00D53A2B">
        <w:rPr>
          <w:rFonts w:cs="Times New Roman"/>
          <w:lang w:eastAsia="en-US"/>
        </w:rPr>
        <w:t xml:space="preserve"> </w:t>
      </w:r>
      <w:r w:rsidR="00374C56" w:rsidRPr="00D53A2B">
        <w:rPr>
          <w:rFonts w:cs="Times New Roman"/>
          <w:lang w:eastAsia="en-US"/>
        </w:rPr>
        <w:t>Atık</w:t>
      </w:r>
      <w:bookmarkEnd w:id="232"/>
      <w:bookmarkEnd w:id="233"/>
    </w:p>
    <w:p w14:paraId="7AD85481" w14:textId="0720F0F2" w:rsidR="00374C56" w:rsidRPr="00D53A2B" w:rsidRDefault="004479E1" w:rsidP="00A202FD">
      <w:pPr>
        <w:spacing w:after="240"/>
        <w:jc w:val="both"/>
        <w:rPr>
          <w:b/>
          <w:lang w:eastAsia="en-US"/>
        </w:rPr>
      </w:pPr>
      <w:r w:rsidRPr="00D53A2B">
        <w:rPr>
          <w:b/>
          <w:lang w:eastAsia="en-US"/>
        </w:rPr>
        <w:t>MET 176:</w:t>
      </w:r>
      <w:r w:rsidR="00374C56" w:rsidRPr="00D53A2B">
        <w:rPr>
          <w:b/>
          <w:lang w:eastAsia="en-US"/>
        </w:rPr>
        <w:t xml:space="preserve"> </w:t>
      </w:r>
      <w:r w:rsidR="00374C56" w:rsidRPr="00D53A2B">
        <w:rPr>
          <w:bCs/>
          <w:lang w:eastAsia="en-US"/>
        </w:rPr>
        <w:t>Bertaraf etmek için gönderilen atık miktarının azaltılması için</w:t>
      </w:r>
      <w:r w:rsidR="00F80C59" w:rsidRPr="00D53A2B">
        <w:rPr>
          <w:bCs/>
          <w:lang w:eastAsia="en-US"/>
        </w:rPr>
        <w:t>,</w:t>
      </w:r>
      <w:r w:rsidR="00374C56" w:rsidRPr="00D53A2B">
        <w:rPr>
          <w:bCs/>
          <w:lang w:eastAsia="en-US"/>
        </w:rPr>
        <w:t xml:space="preserve"> proses artıklarının yeniden kullanımını kolaylaştıracak veya proses artıklarının geri </w:t>
      </w:r>
      <w:r w:rsidR="00271994">
        <w:rPr>
          <w:bCs/>
          <w:lang w:eastAsia="en-US"/>
        </w:rPr>
        <w:t>kazanımını</w:t>
      </w:r>
      <w:r w:rsidR="00374C56" w:rsidRPr="00D53A2B">
        <w:rPr>
          <w:bCs/>
          <w:lang w:eastAsia="en-US"/>
        </w:rPr>
        <w:t xml:space="preserve"> engel olmayacak şekilde, aşağıda verilen tekniklerin biri ya da bir kombinasyonu kullanılarak sahadaki faaliyetler organize e</w:t>
      </w:r>
      <w:r w:rsidR="00F80C59" w:rsidRPr="00D53A2B">
        <w:rPr>
          <w:bCs/>
          <w:lang w:eastAsia="en-US"/>
        </w:rPr>
        <w:t>dilir</w:t>
      </w:r>
      <w:r w:rsidR="00374C56" w:rsidRPr="00D53A2B">
        <w:rPr>
          <w:bCs/>
          <w:lang w:eastAsia="en-US"/>
        </w:rPr>
        <w:t>.</w:t>
      </w:r>
    </w:p>
    <w:tbl>
      <w:tblPr>
        <w:tblW w:w="0" w:type="auto"/>
        <w:tblInd w:w="94" w:type="dxa"/>
        <w:tblLayout w:type="fixed"/>
        <w:tblCellMar>
          <w:left w:w="0" w:type="dxa"/>
          <w:right w:w="0" w:type="dxa"/>
        </w:tblCellMar>
        <w:tblLook w:val="01E0" w:firstRow="1" w:lastRow="1" w:firstColumn="1" w:lastColumn="1" w:noHBand="0" w:noVBand="0"/>
      </w:tblPr>
      <w:tblGrid>
        <w:gridCol w:w="317"/>
        <w:gridCol w:w="5715"/>
        <w:gridCol w:w="2689"/>
      </w:tblGrid>
      <w:tr w:rsidR="00374C56" w:rsidRPr="00D53A2B" w14:paraId="7E658718"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582EC00A" w14:textId="77777777" w:rsidR="00374C56" w:rsidRPr="00D53A2B" w:rsidRDefault="00374C56" w:rsidP="00A202FD">
            <w:pPr>
              <w:spacing w:line="264" w:lineRule="auto"/>
              <w:ind w:left="57" w:right="57"/>
              <w:jc w:val="both"/>
              <w:rPr>
                <w:sz w:val="22"/>
                <w:szCs w:val="22"/>
                <w:lang w:eastAsia="en-US"/>
              </w:rPr>
            </w:pPr>
          </w:p>
        </w:tc>
        <w:tc>
          <w:tcPr>
            <w:tcW w:w="5715" w:type="dxa"/>
            <w:tcBorders>
              <w:top w:val="single" w:sz="4" w:space="0" w:color="000000"/>
              <w:left w:val="single" w:sz="4" w:space="0" w:color="000000"/>
              <w:bottom w:val="single" w:sz="4" w:space="0" w:color="000000"/>
              <w:right w:val="single" w:sz="4" w:space="0" w:color="000000"/>
            </w:tcBorders>
            <w:vAlign w:val="center"/>
          </w:tcPr>
          <w:p w14:paraId="148A1E1F"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Teknik</w:t>
            </w:r>
          </w:p>
        </w:tc>
        <w:tc>
          <w:tcPr>
            <w:tcW w:w="2689" w:type="dxa"/>
            <w:tcBorders>
              <w:top w:val="single" w:sz="4" w:space="0" w:color="000000"/>
              <w:left w:val="single" w:sz="4" w:space="0" w:color="000000"/>
              <w:bottom w:val="single" w:sz="4" w:space="0" w:color="000000"/>
              <w:right w:val="single" w:sz="4" w:space="0" w:color="000000"/>
            </w:tcBorders>
            <w:vAlign w:val="center"/>
          </w:tcPr>
          <w:p w14:paraId="11B2409D"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Uygulanabilirlik</w:t>
            </w:r>
          </w:p>
        </w:tc>
      </w:tr>
      <w:tr w:rsidR="00374C56" w:rsidRPr="00D53A2B" w14:paraId="3572326C"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17FCAF8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a</w:t>
            </w:r>
          </w:p>
        </w:tc>
        <w:tc>
          <w:tcPr>
            <w:tcW w:w="5715" w:type="dxa"/>
            <w:tcBorders>
              <w:top w:val="single" w:sz="4" w:space="0" w:color="000000"/>
              <w:left w:val="single" w:sz="4" w:space="0" w:color="000000"/>
              <w:bottom w:val="single" w:sz="4" w:space="0" w:color="000000"/>
              <w:right w:val="single" w:sz="4" w:space="0" w:color="000000"/>
            </w:tcBorders>
          </w:tcPr>
          <w:p w14:paraId="53E6F28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Elektrikli ark ocağından elde edilen granül cürufun (izabe işleminde kullanılır), aşındırıcı bir malzeme veya inşaat malzemesi olarak kullanılması</w:t>
            </w:r>
          </w:p>
        </w:tc>
        <w:tc>
          <w:tcPr>
            <w:tcW w:w="2689" w:type="dxa"/>
            <w:tcBorders>
              <w:top w:val="single" w:sz="4" w:space="0" w:color="000000"/>
              <w:left w:val="single" w:sz="4" w:space="0" w:color="000000"/>
              <w:bottom w:val="single" w:sz="4" w:space="0" w:color="000000"/>
              <w:right w:val="single" w:sz="4" w:space="0" w:color="000000"/>
            </w:tcBorders>
            <w:vAlign w:val="center"/>
          </w:tcPr>
          <w:p w14:paraId="5DF259F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Uygulanabilirliği cürufun metal içeriğine bağlıdır</w:t>
            </w:r>
          </w:p>
        </w:tc>
      </w:tr>
      <w:tr w:rsidR="00374C56" w:rsidRPr="00D53A2B" w14:paraId="72E98706"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79051CF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w:t>
            </w:r>
          </w:p>
        </w:tc>
        <w:tc>
          <w:tcPr>
            <w:tcW w:w="5715" w:type="dxa"/>
            <w:tcBorders>
              <w:top w:val="single" w:sz="4" w:space="0" w:color="000000"/>
              <w:left w:val="single" w:sz="4" w:space="0" w:color="000000"/>
              <w:bottom w:val="single" w:sz="4" w:space="0" w:color="000000"/>
              <w:right w:val="single" w:sz="4" w:space="0" w:color="000000"/>
            </w:tcBorders>
          </w:tcPr>
          <w:p w14:paraId="543537B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Elektrik ark ocağından geri kazanılan çıkış gazı tozlarının, çinko üretiminde bir hammadde olarak kullanılması</w:t>
            </w:r>
          </w:p>
        </w:tc>
        <w:tc>
          <w:tcPr>
            <w:tcW w:w="2689" w:type="dxa"/>
            <w:tcBorders>
              <w:top w:val="single" w:sz="4" w:space="0" w:color="000000"/>
              <w:left w:val="single" w:sz="4" w:space="0" w:color="000000"/>
              <w:bottom w:val="single" w:sz="4" w:space="0" w:color="000000"/>
              <w:right w:val="single" w:sz="4" w:space="0" w:color="000000"/>
            </w:tcBorders>
            <w:vAlign w:val="center"/>
          </w:tcPr>
          <w:p w14:paraId="18A7A82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2E3CA373"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03EDE240"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c</w:t>
            </w:r>
          </w:p>
        </w:tc>
        <w:tc>
          <w:tcPr>
            <w:tcW w:w="5715" w:type="dxa"/>
            <w:tcBorders>
              <w:top w:val="single" w:sz="4" w:space="0" w:color="000000"/>
              <w:left w:val="single" w:sz="4" w:space="0" w:color="000000"/>
              <w:bottom w:val="single" w:sz="4" w:space="0" w:color="000000"/>
              <w:right w:val="single" w:sz="4" w:space="0" w:color="000000"/>
            </w:tcBorders>
          </w:tcPr>
          <w:p w14:paraId="580D687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Elektrik ark ocağından geri kazanılan mat granülasyon işlemi çıkış gazı tozlarının, nikel rafinasyon/yeniden ergitme işlemlerinde hammadde olarak kullanılması</w:t>
            </w:r>
          </w:p>
        </w:tc>
        <w:tc>
          <w:tcPr>
            <w:tcW w:w="2689" w:type="dxa"/>
            <w:tcBorders>
              <w:top w:val="single" w:sz="4" w:space="0" w:color="000000"/>
              <w:left w:val="single" w:sz="4" w:space="0" w:color="000000"/>
              <w:bottom w:val="single" w:sz="4" w:space="0" w:color="000000"/>
              <w:right w:val="single" w:sz="4" w:space="0" w:color="000000"/>
            </w:tcBorders>
            <w:vAlign w:val="center"/>
          </w:tcPr>
          <w:p w14:paraId="156DBEC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3DA88622"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67572D5F"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d</w:t>
            </w:r>
          </w:p>
        </w:tc>
        <w:tc>
          <w:tcPr>
            <w:tcW w:w="5715" w:type="dxa"/>
            <w:tcBorders>
              <w:top w:val="single" w:sz="4" w:space="0" w:color="000000"/>
              <w:left w:val="single" w:sz="4" w:space="0" w:color="000000"/>
              <w:bottom w:val="single" w:sz="4" w:space="0" w:color="000000"/>
              <w:right w:val="single" w:sz="4" w:space="0" w:color="000000"/>
            </w:tcBorders>
          </w:tcPr>
          <w:p w14:paraId="1674710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Klor bazlı liç işleminde, mat filtrasyonundan elde edilen kükürt artıklarının, sülfürik asit üretiminde hammadde olarak kullanılması</w:t>
            </w:r>
          </w:p>
        </w:tc>
        <w:tc>
          <w:tcPr>
            <w:tcW w:w="2689" w:type="dxa"/>
            <w:tcBorders>
              <w:top w:val="single" w:sz="4" w:space="0" w:color="000000"/>
              <w:left w:val="single" w:sz="4" w:space="0" w:color="000000"/>
              <w:bottom w:val="single" w:sz="4" w:space="0" w:color="000000"/>
              <w:right w:val="single" w:sz="4" w:space="0" w:color="000000"/>
            </w:tcBorders>
            <w:vAlign w:val="center"/>
          </w:tcPr>
          <w:p w14:paraId="0C1FDE87"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r w:rsidR="00374C56" w:rsidRPr="00D53A2B" w14:paraId="1D358B6F"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052E9CD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e</w:t>
            </w:r>
          </w:p>
        </w:tc>
        <w:tc>
          <w:tcPr>
            <w:tcW w:w="5715" w:type="dxa"/>
            <w:tcBorders>
              <w:top w:val="single" w:sz="4" w:space="0" w:color="000000"/>
              <w:left w:val="single" w:sz="4" w:space="0" w:color="000000"/>
              <w:bottom w:val="single" w:sz="4" w:space="0" w:color="000000"/>
              <w:right w:val="single" w:sz="4" w:space="0" w:color="000000"/>
            </w:tcBorders>
          </w:tcPr>
          <w:p w14:paraId="6842EF4A"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Sülfat bazlı liç işleminde elde edilen demir artıklarının, nikel ergitme işleminde yeniden kullanılması</w:t>
            </w:r>
          </w:p>
        </w:tc>
        <w:tc>
          <w:tcPr>
            <w:tcW w:w="2689" w:type="dxa"/>
            <w:tcBorders>
              <w:top w:val="single" w:sz="4" w:space="0" w:color="000000"/>
              <w:left w:val="single" w:sz="4" w:space="0" w:color="000000"/>
              <w:bottom w:val="single" w:sz="4" w:space="0" w:color="000000"/>
              <w:right w:val="single" w:sz="4" w:space="0" w:color="000000"/>
            </w:tcBorders>
            <w:vAlign w:val="center"/>
          </w:tcPr>
          <w:p w14:paraId="6AE2E344"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Uygulanabilirliği atığın metal içeriğine bağlıdır</w:t>
            </w:r>
          </w:p>
        </w:tc>
      </w:tr>
      <w:tr w:rsidR="00374C56" w:rsidRPr="00D53A2B" w14:paraId="6D3D5B29"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2A32F22C"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f</w:t>
            </w:r>
          </w:p>
        </w:tc>
        <w:tc>
          <w:tcPr>
            <w:tcW w:w="5715" w:type="dxa"/>
            <w:tcBorders>
              <w:top w:val="single" w:sz="4" w:space="0" w:color="000000"/>
              <w:left w:val="single" w:sz="4" w:space="0" w:color="000000"/>
              <w:bottom w:val="single" w:sz="4" w:space="0" w:color="000000"/>
              <w:right w:val="single" w:sz="4" w:space="0" w:color="000000"/>
            </w:tcBorders>
          </w:tcPr>
          <w:p w14:paraId="7F815B7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Çözelti ekstraksiyon rafinasyonundan elde edilen çinko karbonat artıklarının, çinko üretiminde hammadde olarak kullanılması</w:t>
            </w:r>
          </w:p>
        </w:tc>
        <w:tc>
          <w:tcPr>
            <w:tcW w:w="2689" w:type="dxa"/>
            <w:tcBorders>
              <w:top w:val="single" w:sz="4" w:space="0" w:color="000000"/>
              <w:left w:val="single" w:sz="4" w:space="0" w:color="000000"/>
              <w:bottom w:val="single" w:sz="4" w:space="0" w:color="000000"/>
              <w:right w:val="single" w:sz="4" w:space="0" w:color="000000"/>
            </w:tcBorders>
            <w:vAlign w:val="center"/>
          </w:tcPr>
          <w:p w14:paraId="209E1FF9"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Uygulanabilirliği atığın metal içeriğine bağlıdır</w:t>
            </w:r>
          </w:p>
        </w:tc>
      </w:tr>
      <w:tr w:rsidR="00374C56" w:rsidRPr="00D53A2B" w14:paraId="31E88673" w14:textId="77777777" w:rsidTr="00374C56">
        <w:tc>
          <w:tcPr>
            <w:tcW w:w="317" w:type="dxa"/>
            <w:tcBorders>
              <w:top w:val="single" w:sz="4" w:space="0" w:color="000000"/>
              <w:left w:val="single" w:sz="4" w:space="0" w:color="000000"/>
              <w:bottom w:val="single" w:sz="4" w:space="0" w:color="000000"/>
              <w:right w:val="single" w:sz="4" w:space="0" w:color="000000"/>
            </w:tcBorders>
            <w:vAlign w:val="center"/>
          </w:tcPr>
          <w:p w14:paraId="65DF2D9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w:t>
            </w:r>
          </w:p>
        </w:tc>
        <w:tc>
          <w:tcPr>
            <w:tcW w:w="5715" w:type="dxa"/>
            <w:tcBorders>
              <w:top w:val="single" w:sz="4" w:space="0" w:color="000000"/>
              <w:left w:val="single" w:sz="4" w:space="0" w:color="000000"/>
              <w:bottom w:val="single" w:sz="4" w:space="0" w:color="000000"/>
              <w:right w:val="single" w:sz="4" w:space="0" w:color="000000"/>
            </w:tcBorders>
          </w:tcPr>
          <w:p w14:paraId="3DE46001"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Sülfat ve klor bazlı liç işleminden sonra ortaya çıkan bakır artıklarının, bakır üretiminde hammadde olarak kullanılması</w:t>
            </w:r>
          </w:p>
        </w:tc>
        <w:tc>
          <w:tcPr>
            <w:tcW w:w="2689" w:type="dxa"/>
            <w:tcBorders>
              <w:top w:val="single" w:sz="4" w:space="0" w:color="000000"/>
              <w:left w:val="single" w:sz="4" w:space="0" w:color="000000"/>
              <w:bottom w:val="single" w:sz="4" w:space="0" w:color="000000"/>
              <w:right w:val="single" w:sz="4" w:space="0" w:color="000000"/>
            </w:tcBorders>
            <w:vAlign w:val="center"/>
          </w:tcPr>
          <w:p w14:paraId="7D43ED0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Genellikle uygulanabilir</w:t>
            </w:r>
          </w:p>
        </w:tc>
      </w:tr>
    </w:tbl>
    <w:p w14:paraId="407AB515" w14:textId="77777777" w:rsidR="00374C56" w:rsidRPr="00D53A2B" w:rsidRDefault="00374C56" w:rsidP="00A202FD">
      <w:pPr>
        <w:spacing w:after="240"/>
        <w:jc w:val="both"/>
        <w:rPr>
          <w:b/>
          <w:lang w:eastAsia="en-US"/>
        </w:rPr>
      </w:pPr>
    </w:p>
    <w:p w14:paraId="10298B25" w14:textId="7E1D20C8" w:rsidR="00374C56" w:rsidRPr="00D53A2B" w:rsidRDefault="00CD7455" w:rsidP="00A202FD">
      <w:pPr>
        <w:pStyle w:val="Balk2"/>
        <w:rPr>
          <w:rFonts w:cs="Times New Roman"/>
          <w:szCs w:val="24"/>
          <w:lang w:eastAsia="en-US"/>
        </w:rPr>
      </w:pPr>
      <w:bookmarkStart w:id="234" w:name="_Toc527940769"/>
      <w:bookmarkStart w:id="235" w:name="_Toc531927925"/>
      <w:r w:rsidRPr="00D53A2B">
        <w:rPr>
          <w:rFonts w:cs="Times New Roman"/>
          <w:szCs w:val="24"/>
          <w:lang w:val="en-US" w:eastAsia="en-US"/>
        </w:rPr>
        <w:t>1.</w:t>
      </w:r>
      <w:r w:rsidR="00CC1868" w:rsidRPr="00D53A2B">
        <w:rPr>
          <w:rFonts w:cs="Times New Roman"/>
          <w:szCs w:val="24"/>
          <w:lang w:val="en-US" w:eastAsia="en-US"/>
        </w:rPr>
        <w:t xml:space="preserve">9. </w:t>
      </w:r>
      <w:r w:rsidRPr="00D53A2B">
        <w:rPr>
          <w:rFonts w:cs="Times New Roman"/>
          <w:szCs w:val="24"/>
          <w:lang w:val="en-US" w:eastAsia="en-US"/>
        </w:rPr>
        <w:t xml:space="preserve">Karbon ve/veya </w:t>
      </w:r>
      <w:r w:rsidR="00F80C59" w:rsidRPr="00D53A2B">
        <w:rPr>
          <w:rFonts w:cs="Times New Roman"/>
          <w:szCs w:val="24"/>
          <w:lang w:val="en-US" w:eastAsia="en-US"/>
        </w:rPr>
        <w:t xml:space="preserve">Grafit Üretimi İçin </w:t>
      </w:r>
      <w:r w:rsidRPr="00D53A2B">
        <w:rPr>
          <w:rFonts w:cs="Times New Roman"/>
          <w:szCs w:val="24"/>
          <w:lang w:val="en-US" w:eastAsia="en-US"/>
        </w:rPr>
        <w:t xml:space="preserve">MET </w:t>
      </w:r>
      <w:r w:rsidR="00F80C59" w:rsidRPr="00D53A2B">
        <w:rPr>
          <w:rFonts w:cs="Times New Roman"/>
          <w:szCs w:val="24"/>
          <w:lang w:val="en-US" w:eastAsia="en-US"/>
        </w:rPr>
        <w:t>S</w:t>
      </w:r>
      <w:r w:rsidRPr="00D53A2B">
        <w:rPr>
          <w:rFonts w:cs="Times New Roman"/>
          <w:szCs w:val="24"/>
          <w:lang w:val="en-US" w:eastAsia="en-US"/>
        </w:rPr>
        <w:t>onuçları</w:t>
      </w:r>
      <w:bookmarkEnd w:id="234"/>
      <w:bookmarkEnd w:id="235"/>
    </w:p>
    <w:p w14:paraId="24CBB65A" w14:textId="0B6C0686" w:rsidR="00374C56" w:rsidRPr="00D53A2B" w:rsidRDefault="0073396B" w:rsidP="00A202FD">
      <w:pPr>
        <w:pStyle w:val="Balk3"/>
        <w:rPr>
          <w:rFonts w:cs="Times New Roman"/>
          <w:lang w:eastAsia="en-US"/>
        </w:rPr>
      </w:pPr>
      <w:bookmarkStart w:id="236" w:name="_Toc527940770"/>
      <w:bookmarkStart w:id="237" w:name="_Toc531927926"/>
      <w:r w:rsidRPr="00D53A2B">
        <w:rPr>
          <w:rFonts w:cs="Times New Roman"/>
          <w:lang w:eastAsia="en-US"/>
        </w:rPr>
        <w:t>1.</w:t>
      </w:r>
      <w:r w:rsidR="00374C56" w:rsidRPr="00D53A2B">
        <w:rPr>
          <w:rFonts w:cs="Times New Roman"/>
          <w:lang w:eastAsia="en-US"/>
        </w:rPr>
        <w:t>9.1.</w:t>
      </w:r>
      <w:r w:rsidR="00F80C59" w:rsidRPr="00D53A2B">
        <w:rPr>
          <w:rFonts w:cs="Times New Roman"/>
          <w:lang w:eastAsia="en-US"/>
        </w:rPr>
        <w:t xml:space="preserve"> </w:t>
      </w:r>
      <w:r w:rsidR="00374C56" w:rsidRPr="00D53A2B">
        <w:rPr>
          <w:rFonts w:cs="Times New Roman"/>
          <w:lang w:eastAsia="en-US"/>
        </w:rPr>
        <w:t>Havaya salınan emisyonlar</w:t>
      </w:r>
      <w:bookmarkEnd w:id="236"/>
      <w:bookmarkEnd w:id="237"/>
    </w:p>
    <w:p w14:paraId="361F5F1B" w14:textId="66E1BAF5" w:rsidR="00374C56" w:rsidRPr="00D53A2B" w:rsidRDefault="0073396B" w:rsidP="00A202FD">
      <w:pPr>
        <w:pStyle w:val="Balk4"/>
        <w:rPr>
          <w:rFonts w:cs="Times New Roman"/>
          <w:lang w:val="en-US" w:eastAsia="en-US"/>
        </w:rPr>
      </w:pPr>
      <w:bookmarkStart w:id="238" w:name="_Toc527940771"/>
      <w:bookmarkStart w:id="239" w:name="_Toc531927927"/>
      <w:r w:rsidRPr="00D53A2B">
        <w:rPr>
          <w:rFonts w:cs="Times New Roman"/>
          <w:lang w:val="en-US" w:eastAsia="en-US"/>
        </w:rPr>
        <w:t>1.</w:t>
      </w:r>
      <w:r w:rsidR="00374C56" w:rsidRPr="00D53A2B">
        <w:rPr>
          <w:rFonts w:cs="Times New Roman"/>
          <w:lang w:val="en-US" w:eastAsia="en-US"/>
        </w:rPr>
        <w:t>9.1.1.</w:t>
      </w:r>
      <w:r w:rsidR="00F80C59" w:rsidRPr="00D53A2B">
        <w:rPr>
          <w:rFonts w:cs="Times New Roman"/>
          <w:lang w:val="en-US" w:eastAsia="en-US"/>
        </w:rPr>
        <w:t xml:space="preserve"> </w:t>
      </w:r>
      <w:r w:rsidR="00374C56" w:rsidRPr="00D53A2B">
        <w:rPr>
          <w:rFonts w:cs="Times New Roman"/>
          <w:lang w:val="en-US" w:eastAsia="en-US"/>
        </w:rPr>
        <w:t>Yayılı emisyonlar</w:t>
      </w:r>
      <w:bookmarkEnd w:id="238"/>
      <w:bookmarkEnd w:id="239"/>
    </w:p>
    <w:p w14:paraId="6C90626D" w14:textId="7B1EF173" w:rsidR="00374C56" w:rsidRPr="00D53A2B" w:rsidRDefault="004479E1" w:rsidP="00A202FD">
      <w:pPr>
        <w:spacing w:after="240"/>
        <w:jc w:val="both"/>
        <w:rPr>
          <w:b/>
          <w:lang w:eastAsia="en-US"/>
        </w:rPr>
      </w:pPr>
      <w:r w:rsidRPr="00D53A2B">
        <w:rPr>
          <w:b/>
          <w:lang w:eastAsia="en-US"/>
        </w:rPr>
        <w:t>MET 177:</w:t>
      </w:r>
      <w:r w:rsidR="00374C56" w:rsidRPr="00D53A2B">
        <w:rPr>
          <w:b/>
          <w:lang w:eastAsia="en-US"/>
        </w:rPr>
        <w:t xml:space="preserve"> </w:t>
      </w:r>
      <w:r w:rsidR="00374C56" w:rsidRPr="00D53A2B">
        <w:rPr>
          <w:bCs/>
          <w:lang w:eastAsia="en-US"/>
        </w:rPr>
        <w:t>Sıvı ziftin depolanması, taşınması ve nakliyesinden kaynaklanan ve havaya salınan PAH emisyonlarının azaltılması için aşağıda verilen tekniklerden biri ya da bir kombinasyonu kullanılır.</w:t>
      </w:r>
    </w:p>
    <w:tbl>
      <w:tblPr>
        <w:tblW w:w="8779" w:type="dxa"/>
        <w:tblInd w:w="147" w:type="dxa"/>
        <w:tblLayout w:type="fixed"/>
        <w:tblCellMar>
          <w:left w:w="0" w:type="dxa"/>
          <w:right w:w="0" w:type="dxa"/>
        </w:tblCellMar>
        <w:tblLook w:val="01E0" w:firstRow="1" w:lastRow="1" w:firstColumn="1" w:lastColumn="1" w:noHBand="0" w:noVBand="0"/>
      </w:tblPr>
      <w:tblGrid>
        <w:gridCol w:w="317"/>
        <w:gridCol w:w="8462"/>
      </w:tblGrid>
      <w:tr w:rsidR="00374C56" w:rsidRPr="00D53A2B" w14:paraId="3DD7D5F5" w14:textId="77777777" w:rsidTr="008A41DE">
        <w:tc>
          <w:tcPr>
            <w:tcW w:w="317" w:type="dxa"/>
            <w:tcBorders>
              <w:top w:val="single" w:sz="4" w:space="0" w:color="000000"/>
              <w:left w:val="single" w:sz="4" w:space="0" w:color="000000"/>
              <w:bottom w:val="single" w:sz="4" w:space="0" w:color="000000"/>
              <w:right w:val="single" w:sz="4" w:space="0" w:color="000000"/>
            </w:tcBorders>
            <w:vAlign w:val="center"/>
          </w:tcPr>
          <w:p w14:paraId="7A1CE4B5" w14:textId="77777777" w:rsidR="00374C56" w:rsidRPr="00D53A2B" w:rsidRDefault="00374C56" w:rsidP="00A202FD">
            <w:pPr>
              <w:spacing w:line="264" w:lineRule="auto"/>
              <w:ind w:left="57" w:right="57"/>
              <w:jc w:val="both"/>
              <w:rPr>
                <w:lang w:eastAsia="en-US"/>
              </w:rPr>
            </w:pPr>
          </w:p>
        </w:tc>
        <w:tc>
          <w:tcPr>
            <w:tcW w:w="8462" w:type="dxa"/>
            <w:tcBorders>
              <w:top w:val="single" w:sz="4" w:space="0" w:color="000000"/>
              <w:left w:val="single" w:sz="4" w:space="0" w:color="000000"/>
              <w:bottom w:val="single" w:sz="4" w:space="0" w:color="000000"/>
              <w:right w:val="single" w:sz="4" w:space="0" w:color="000000"/>
            </w:tcBorders>
          </w:tcPr>
          <w:p w14:paraId="417EF05C" w14:textId="77777777" w:rsidR="00374C56" w:rsidRPr="00D53A2B" w:rsidRDefault="00374C56" w:rsidP="00A202FD">
            <w:pPr>
              <w:spacing w:line="264" w:lineRule="auto"/>
              <w:ind w:left="57" w:right="57"/>
              <w:jc w:val="both"/>
              <w:rPr>
                <w:lang w:eastAsia="en-US"/>
              </w:rPr>
            </w:pPr>
            <w:r w:rsidRPr="00D53A2B">
              <w:rPr>
                <w:b/>
                <w:bCs/>
                <w:lang w:eastAsia="en-US"/>
              </w:rPr>
              <w:t>Teknik</w:t>
            </w:r>
          </w:p>
        </w:tc>
      </w:tr>
      <w:tr w:rsidR="00374C56" w:rsidRPr="00D53A2B" w14:paraId="6364FB35" w14:textId="77777777" w:rsidTr="008A41DE">
        <w:tc>
          <w:tcPr>
            <w:tcW w:w="317" w:type="dxa"/>
            <w:tcBorders>
              <w:top w:val="single" w:sz="4" w:space="0" w:color="000000"/>
              <w:left w:val="single" w:sz="4" w:space="0" w:color="000000"/>
              <w:bottom w:val="single" w:sz="4" w:space="0" w:color="000000"/>
              <w:right w:val="single" w:sz="4" w:space="0" w:color="000000"/>
            </w:tcBorders>
            <w:vAlign w:val="center"/>
          </w:tcPr>
          <w:p w14:paraId="1C37FE5C" w14:textId="77777777" w:rsidR="00374C56" w:rsidRPr="00D53A2B" w:rsidRDefault="00374C56" w:rsidP="00A202FD">
            <w:pPr>
              <w:spacing w:line="264" w:lineRule="auto"/>
              <w:ind w:left="57" w:right="57"/>
              <w:jc w:val="both"/>
              <w:rPr>
                <w:lang w:eastAsia="en-US"/>
              </w:rPr>
            </w:pPr>
            <w:r w:rsidRPr="00D53A2B">
              <w:rPr>
                <w:lang w:eastAsia="en-US"/>
              </w:rPr>
              <w:t>a</w:t>
            </w:r>
          </w:p>
        </w:tc>
        <w:tc>
          <w:tcPr>
            <w:tcW w:w="8462" w:type="dxa"/>
            <w:tcBorders>
              <w:top w:val="single" w:sz="4" w:space="0" w:color="000000"/>
              <w:left w:val="single" w:sz="4" w:space="0" w:color="000000"/>
              <w:bottom w:val="single" w:sz="4" w:space="0" w:color="000000"/>
              <w:right w:val="single" w:sz="4" w:space="0" w:color="000000"/>
            </w:tcBorders>
          </w:tcPr>
          <w:p w14:paraId="2B25C78B" w14:textId="26507976" w:rsidR="00374C56" w:rsidRPr="00D53A2B" w:rsidRDefault="00374C56" w:rsidP="00A202FD">
            <w:pPr>
              <w:spacing w:line="264" w:lineRule="auto"/>
              <w:ind w:left="57" w:right="57"/>
              <w:jc w:val="both"/>
              <w:rPr>
                <w:lang w:eastAsia="en-US"/>
              </w:rPr>
            </w:pPr>
            <w:r w:rsidRPr="00D53A2B">
              <w:rPr>
                <w:lang w:eastAsia="en-US"/>
              </w:rPr>
              <w:t>Sıvı zift depolama tankının arka</w:t>
            </w:r>
            <w:r w:rsidR="00F80C59" w:rsidRPr="00D53A2B">
              <w:rPr>
                <w:lang w:eastAsia="en-US"/>
              </w:rPr>
              <w:t xml:space="preserve"> tarafından </w:t>
            </w:r>
            <w:r w:rsidRPr="00D53A2B">
              <w:rPr>
                <w:lang w:eastAsia="en-US"/>
              </w:rPr>
              <w:t>havalandırılması</w:t>
            </w:r>
          </w:p>
        </w:tc>
      </w:tr>
      <w:tr w:rsidR="00374C56" w:rsidRPr="00D53A2B" w14:paraId="06471F5A" w14:textId="77777777" w:rsidTr="008A41DE">
        <w:tc>
          <w:tcPr>
            <w:tcW w:w="317" w:type="dxa"/>
            <w:tcBorders>
              <w:top w:val="single" w:sz="4" w:space="0" w:color="000000"/>
              <w:left w:val="single" w:sz="4" w:space="0" w:color="000000"/>
              <w:bottom w:val="single" w:sz="4" w:space="0" w:color="000000"/>
              <w:right w:val="single" w:sz="4" w:space="0" w:color="000000"/>
            </w:tcBorders>
            <w:vAlign w:val="center"/>
          </w:tcPr>
          <w:p w14:paraId="340606AF" w14:textId="77777777" w:rsidR="00374C56" w:rsidRPr="00D53A2B" w:rsidRDefault="00374C56" w:rsidP="00A202FD">
            <w:pPr>
              <w:spacing w:line="264" w:lineRule="auto"/>
              <w:ind w:left="57" w:right="57"/>
              <w:jc w:val="both"/>
              <w:rPr>
                <w:lang w:eastAsia="en-US"/>
              </w:rPr>
            </w:pPr>
            <w:r w:rsidRPr="00D53A2B">
              <w:rPr>
                <w:lang w:eastAsia="en-US"/>
              </w:rPr>
              <w:t>b</w:t>
            </w:r>
          </w:p>
        </w:tc>
        <w:tc>
          <w:tcPr>
            <w:tcW w:w="8462" w:type="dxa"/>
            <w:tcBorders>
              <w:top w:val="single" w:sz="4" w:space="0" w:color="000000"/>
              <w:left w:val="single" w:sz="4" w:space="0" w:color="000000"/>
              <w:bottom w:val="single" w:sz="4" w:space="0" w:color="000000"/>
              <w:right w:val="single" w:sz="4" w:space="0" w:color="000000"/>
            </w:tcBorders>
          </w:tcPr>
          <w:p w14:paraId="663B26A9" w14:textId="25F3E7A9" w:rsidR="00374C56" w:rsidRPr="00D53A2B" w:rsidRDefault="00867EA7" w:rsidP="00A202FD">
            <w:pPr>
              <w:spacing w:line="264" w:lineRule="auto"/>
              <w:ind w:left="57" w:right="57"/>
              <w:jc w:val="both"/>
              <w:rPr>
                <w:lang w:eastAsia="en-US"/>
              </w:rPr>
            </w:pPr>
            <w:r w:rsidRPr="00D53A2B">
              <w:rPr>
                <w:lang w:eastAsia="en-US"/>
              </w:rPr>
              <w:t>Hava ve/veya su sistemleri (örneğin iklimlendirme kuleleri) ile harici ve/veya dahili soğutma yoluyla yoğunlaştırma, ardından filtrasyon teknikleri (adsorbsiyonlu yıkayıcılar veya ESP) uygulanır.</w:t>
            </w:r>
          </w:p>
        </w:tc>
      </w:tr>
      <w:tr w:rsidR="00374C56" w:rsidRPr="00D53A2B" w14:paraId="01FA0596" w14:textId="77777777" w:rsidTr="008A41DE">
        <w:tc>
          <w:tcPr>
            <w:tcW w:w="317" w:type="dxa"/>
            <w:tcBorders>
              <w:top w:val="single" w:sz="4" w:space="0" w:color="000000"/>
              <w:left w:val="single" w:sz="4" w:space="0" w:color="000000"/>
              <w:bottom w:val="single" w:sz="4" w:space="0" w:color="000000"/>
              <w:right w:val="single" w:sz="4" w:space="0" w:color="000000"/>
            </w:tcBorders>
            <w:vAlign w:val="center"/>
          </w:tcPr>
          <w:p w14:paraId="718A8022" w14:textId="77777777" w:rsidR="00374C56" w:rsidRPr="00D53A2B" w:rsidRDefault="00374C56" w:rsidP="00A202FD">
            <w:pPr>
              <w:spacing w:line="264" w:lineRule="auto"/>
              <w:ind w:left="57" w:right="57"/>
              <w:jc w:val="both"/>
              <w:rPr>
                <w:lang w:eastAsia="en-US"/>
              </w:rPr>
            </w:pPr>
            <w:r w:rsidRPr="00D53A2B">
              <w:rPr>
                <w:lang w:eastAsia="en-US"/>
              </w:rPr>
              <w:t>c</w:t>
            </w:r>
          </w:p>
        </w:tc>
        <w:tc>
          <w:tcPr>
            <w:tcW w:w="8462" w:type="dxa"/>
            <w:tcBorders>
              <w:top w:val="single" w:sz="4" w:space="0" w:color="000000"/>
              <w:left w:val="single" w:sz="4" w:space="0" w:color="000000"/>
              <w:bottom w:val="single" w:sz="4" w:space="0" w:color="000000"/>
              <w:right w:val="single" w:sz="4" w:space="0" w:color="000000"/>
            </w:tcBorders>
          </w:tcPr>
          <w:p w14:paraId="69627A48" w14:textId="77777777" w:rsidR="00374C56" w:rsidRPr="00D53A2B" w:rsidRDefault="00374C56" w:rsidP="00A202FD">
            <w:pPr>
              <w:spacing w:line="264" w:lineRule="auto"/>
              <w:ind w:left="57" w:right="57"/>
              <w:jc w:val="both"/>
              <w:rPr>
                <w:lang w:eastAsia="en-US"/>
              </w:rPr>
            </w:pPr>
            <w:r w:rsidRPr="00D53A2B">
              <w:rPr>
                <w:lang w:eastAsia="en-US"/>
              </w:rPr>
              <w:t>Toplanmış çıkış gazlarının, prosesin uygun olan diğer aşamalarındaki (örn. karıştırma ve şekillendirme veya pişirme) gazlar ile birlikte toplanarak azaltım sistemine gönderilmesi (kuru gaz yıkayıcı veya termal oksitleyici/rejeneratif termal oksitleyici)</w:t>
            </w:r>
          </w:p>
        </w:tc>
      </w:tr>
    </w:tbl>
    <w:p w14:paraId="6FB4EE68" w14:textId="7723BA4A" w:rsidR="00374C56" w:rsidRPr="00D53A2B" w:rsidRDefault="00867EA7" w:rsidP="00A202FD">
      <w:pPr>
        <w:pStyle w:val="Balk4"/>
        <w:rPr>
          <w:rFonts w:cs="Times New Roman"/>
          <w:lang w:val="en-US" w:eastAsia="en-US"/>
        </w:rPr>
      </w:pPr>
      <w:bookmarkStart w:id="240" w:name="_Toc527940772"/>
      <w:bookmarkStart w:id="241" w:name="_Toc531927928"/>
      <w:r w:rsidRPr="00D53A2B">
        <w:rPr>
          <w:rFonts w:cs="Times New Roman"/>
          <w:lang w:val="en-US" w:eastAsia="en-US"/>
        </w:rPr>
        <w:t>1.</w:t>
      </w:r>
      <w:r w:rsidR="00374C56" w:rsidRPr="00D53A2B">
        <w:rPr>
          <w:rFonts w:cs="Times New Roman"/>
          <w:lang w:val="en-US" w:eastAsia="en-US"/>
        </w:rPr>
        <w:t>9.1.2.</w:t>
      </w:r>
      <w:r w:rsidR="00F95B44" w:rsidRPr="00D53A2B">
        <w:rPr>
          <w:rFonts w:cs="Times New Roman"/>
          <w:lang w:val="en-US" w:eastAsia="en-US"/>
        </w:rPr>
        <w:t xml:space="preserve"> </w:t>
      </w:r>
      <w:r w:rsidR="00374C56" w:rsidRPr="00D53A2B">
        <w:rPr>
          <w:rFonts w:cs="Times New Roman"/>
          <w:lang w:val="en-US" w:eastAsia="en-US"/>
        </w:rPr>
        <w:t>Toz ve PAH emisyonları</w:t>
      </w:r>
      <w:bookmarkEnd w:id="240"/>
      <w:bookmarkEnd w:id="241"/>
    </w:p>
    <w:p w14:paraId="0B2AFE5A" w14:textId="0D64A4A0" w:rsidR="00374C56" w:rsidRPr="00D53A2B" w:rsidRDefault="004479E1" w:rsidP="00A202FD">
      <w:pPr>
        <w:spacing w:after="240"/>
        <w:jc w:val="both"/>
        <w:rPr>
          <w:b/>
          <w:lang w:eastAsia="en-US"/>
        </w:rPr>
      </w:pPr>
      <w:r w:rsidRPr="00D53A2B">
        <w:rPr>
          <w:b/>
          <w:lang w:eastAsia="en-US"/>
        </w:rPr>
        <w:t>MET 178:</w:t>
      </w:r>
      <w:r w:rsidR="00374C56" w:rsidRPr="00D53A2B">
        <w:rPr>
          <w:b/>
          <w:lang w:eastAsia="en-US"/>
        </w:rPr>
        <w:t xml:space="preserve"> </w:t>
      </w:r>
      <w:r w:rsidR="00374C56" w:rsidRPr="00D53A2B">
        <w:rPr>
          <w:bCs/>
          <w:lang w:eastAsia="en-US"/>
        </w:rPr>
        <w:t>Kok ve ziftin depolanması, taşınması ve nakliyesinden, mekanik proseslerden (öğütme gibi), grafitlemeden ve işlemeden kaynaklanan ve havaya salınan toz emisyonlarının azaltılması için, bir torba filtre kullanılır.</w:t>
      </w:r>
    </w:p>
    <w:p w14:paraId="0B6C82C3"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51.</w:t>
      </w:r>
    </w:p>
    <w:p w14:paraId="0747795A" w14:textId="77777777" w:rsidR="007F23C9" w:rsidRPr="00D53A2B" w:rsidRDefault="00374C56" w:rsidP="00A202FD">
      <w:pPr>
        <w:jc w:val="both"/>
        <w:rPr>
          <w:bCs/>
          <w:iCs/>
          <w:spacing w:val="2"/>
          <w:lang w:eastAsia="en-US"/>
        </w:rPr>
      </w:pPr>
      <w:bookmarkStart w:id="242" w:name="_Toc527941369"/>
      <w:bookmarkStart w:id="243" w:name="_Toc531927992"/>
      <w:r w:rsidRPr="00D53A2B">
        <w:rPr>
          <w:bCs/>
          <w:iCs/>
          <w:spacing w:val="2"/>
          <w:lang w:eastAsia="en-US"/>
        </w:rPr>
        <w:t xml:space="preserve">Tablo </w:t>
      </w:r>
      <w:r w:rsidRPr="00D53A2B">
        <w:rPr>
          <w:bCs/>
          <w:noProof/>
          <w:spacing w:val="2"/>
          <w:lang w:eastAsia="en-US"/>
        </w:rPr>
        <w:t>51</w:t>
      </w:r>
    </w:p>
    <w:p w14:paraId="5CE131EE" w14:textId="6951EEEA" w:rsidR="00374C56" w:rsidRPr="00D53A2B" w:rsidRDefault="00374C56" w:rsidP="00A202FD">
      <w:pPr>
        <w:jc w:val="both"/>
        <w:rPr>
          <w:bCs/>
          <w:iCs/>
          <w:spacing w:val="2"/>
          <w:lang w:eastAsia="en-US"/>
        </w:rPr>
      </w:pPr>
      <w:r w:rsidRPr="00D53A2B">
        <w:rPr>
          <w:bCs/>
          <w:iCs/>
          <w:spacing w:val="2"/>
          <w:lang w:eastAsia="en-US"/>
        </w:rPr>
        <w:t>Kok ve ziftin depolanması, taşınması ve nakliyesinden, mekanik proseslerden (öğütme gibi), grafitlemeden ve işlemeden kaynaklanan ve havaya salınan toz emisyonları ile ilgili MET için emisyon seviyeleri</w:t>
      </w:r>
      <w:bookmarkEnd w:id="242"/>
      <w:bookmarkEnd w:id="243"/>
    </w:p>
    <w:tbl>
      <w:tblPr>
        <w:tblW w:w="8789" w:type="dxa"/>
        <w:tblInd w:w="137" w:type="dxa"/>
        <w:tblLayout w:type="fixed"/>
        <w:tblCellMar>
          <w:left w:w="0" w:type="dxa"/>
          <w:right w:w="0" w:type="dxa"/>
        </w:tblCellMar>
        <w:tblLook w:val="01E0" w:firstRow="1" w:lastRow="1" w:firstColumn="1" w:lastColumn="1" w:noHBand="0" w:noVBand="0"/>
      </w:tblPr>
      <w:tblGrid>
        <w:gridCol w:w="4269"/>
        <w:gridCol w:w="4520"/>
      </w:tblGrid>
      <w:tr w:rsidR="00374C56" w:rsidRPr="00D53A2B" w14:paraId="6C79D29C" w14:textId="77777777" w:rsidTr="008A41DE">
        <w:tc>
          <w:tcPr>
            <w:tcW w:w="4269" w:type="dxa"/>
            <w:tcBorders>
              <w:top w:val="single" w:sz="4" w:space="0" w:color="000000"/>
              <w:left w:val="single" w:sz="4" w:space="0" w:color="000000"/>
              <w:bottom w:val="single" w:sz="4" w:space="0" w:color="000000"/>
              <w:right w:val="single" w:sz="4" w:space="0" w:color="000000"/>
            </w:tcBorders>
            <w:vAlign w:val="center"/>
          </w:tcPr>
          <w:p w14:paraId="46454F0D"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4520" w:type="dxa"/>
            <w:tcBorders>
              <w:top w:val="single" w:sz="4" w:space="0" w:color="000000"/>
              <w:left w:val="single" w:sz="4" w:space="0" w:color="000000"/>
              <w:bottom w:val="single" w:sz="4" w:space="0" w:color="000000"/>
              <w:right w:val="single" w:sz="4" w:space="0" w:color="000000"/>
            </w:tcBorders>
            <w:vAlign w:val="center"/>
          </w:tcPr>
          <w:p w14:paraId="6BF68C86"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14E037DC" w14:textId="77777777" w:rsidTr="008A41DE">
        <w:tc>
          <w:tcPr>
            <w:tcW w:w="4269" w:type="dxa"/>
            <w:tcBorders>
              <w:top w:val="single" w:sz="4" w:space="0" w:color="000000"/>
              <w:left w:val="single" w:sz="4" w:space="0" w:color="000000"/>
              <w:bottom w:val="single" w:sz="4" w:space="0" w:color="000000"/>
              <w:right w:val="single" w:sz="4" w:space="0" w:color="000000"/>
            </w:tcBorders>
          </w:tcPr>
          <w:p w14:paraId="18919419" w14:textId="77777777" w:rsidR="00374C56" w:rsidRPr="00D53A2B" w:rsidRDefault="00374C56" w:rsidP="00A202FD">
            <w:pPr>
              <w:spacing w:line="264" w:lineRule="auto"/>
              <w:ind w:left="57" w:right="57"/>
              <w:jc w:val="both"/>
              <w:rPr>
                <w:lang w:eastAsia="en-US"/>
              </w:rPr>
            </w:pPr>
            <w:r w:rsidRPr="00D53A2B">
              <w:rPr>
                <w:lang w:eastAsia="en-US"/>
              </w:rPr>
              <w:t>Toz</w:t>
            </w:r>
          </w:p>
        </w:tc>
        <w:tc>
          <w:tcPr>
            <w:tcW w:w="4520" w:type="dxa"/>
            <w:tcBorders>
              <w:top w:val="single" w:sz="4" w:space="0" w:color="000000"/>
              <w:left w:val="single" w:sz="4" w:space="0" w:color="000000"/>
              <w:bottom w:val="single" w:sz="4" w:space="0" w:color="000000"/>
              <w:right w:val="single" w:sz="4" w:space="0" w:color="000000"/>
            </w:tcBorders>
          </w:tcPr>
          <w:p w14:paraId="23EB4C70" w14:textId="77777777" w:rsidR="00374C56" w:rsidRPr="00D53A2B" w:rsidRDefault="00374C56" w:rsidP="00A202FD">
            <w:pPr>
              <w:spacing w:line="264" w:lineRule="auto"/>
              <w:ind w:left="57" w:right="57"/>
              <w:jc w:val="both"/>
              <w:rPr>
                <w:lang w:eastAsia="en-US"/>
              </w:rPr>
            </w:pPr>
            <w:r w:rsidRPr="00D53A2B">
              <w:rPr>
                <w:lang w:eastAsia="en-US"/>
              </w:rPr>
              <w:t>2–5</w:t>
            </w:r>
          </w:p>
        </w:tc>
      </w:tr>
      <w:tr w:rsidR="00374C56" w:rsidRPr="00D53A2B" w14:paraId="27250A31" w14:textId="77777777" w:rsidTr="008A41DE">
        <w:tc>
          <w:tcPr>
            <w:tcW w:w="4269" w:type="dxa"/>
            <w:tcBorders>
              <w:top w:val="single" w:sz="4" w:space="0" w:color="000000"/>
              <w:left w:val="single" w:sz="4" w:space="0" w:color="000000"/>
              <w:bottom w:val="single" w:sz="4" w:space="0" w:color="000000"/>
              <w:right w:val="single" w:sz="4" w:space="0" w:color="000000"/>
            </w:tcBorders>
          </w:tcPr>
          <w:p w14:paraId="78CBBE39" w14:textId="77777777" w:rsidR="00374C56" w:rsidRPr="00D53A2B" w:rsidRDefault="00374C56" w:rsidP="00A202FD">
            <w:pPr>
              <w:spacing w:line="264" w:lineRule="auto"/>
              <w:ind w:left="57" w:right="57"/>
              <w:jc w:val="both"/>
              <w:rPr>
                <w:lang w:eastAsia="en-US"/>
              </w:rPr>
            </w:pPr>
            <w:r w:rsidRPr="00D53A2B">
              <w:rPr>
                <w:lang w:eastAsia="en-US"/>
              </w:rPr>
              <w:t>BaP</w:t>
            </w:r>
          </w:p>
        </w:tc>
        <w:tc>
          <w:tcPr>
            <w:tcW w:w="4520" w:type="dxa"/>
            <w:tcBorders>
              <w:top w:val="single" w:sz="4" w:space="0" w:color="000000"/>
              <w:left w:val="single" w:sz="4" w:space="0" w:color="000000"/>
              <w:bottom w:val="single" w:sz="4" w:space="0" w:color="000000"/>
              <w:right w:val="single" w:sz="4" w:space="0" w:color="000000"/>
            </w:tcBorders>
          </w:tcPr>
          <w:p w14:paraId="3B4D7F9A" w14:textId="77777777" w:rsidR="00374C56" w:rsidRPr="00D53A2B" w:rsidRDefault="00374C56" w:rsidP="00A202FD">
            <w:pPr>
              <w:spacing w:line="264" w:lineRule="auto"/>
              <w:ind w:left="57" w:right="57"/>
              <w:jc w:val="both"/>
              <w:rPr>
                <w:lang w:eastAsia="en-US"/>
              </w:rPr>
            </w:pPr>
            <w:r w:rsidRPr="00D53A2B">
              <w:rPr>
                <w:lang w:eastAsia="en-US"/>
              </w:rPr>
              <w:t>≤ 0,01 (</w:t>
            </w:r>
            <w:r w:rsidRPr="00D53A2B">
              <w:rPr>
                <w:vertAlign w:val="superscript"/>
                <w:lang w:eastAsia="en-US"/>
              </w:rPr>
              <w:t>2</w:t>
            </w:r>
            <w:r w:rsidRPr="00D53A2B">
              <w:rPr>
                <w:lang w:eastAsia="en-US"/>
              </w:rPr>
              <w:t>)</w:t>
            </w:r>
          </w:p>
        </w:tc>
      </w:tr>
      <w:tr w:rsidR="00374C56" w:rsidRPr="00D53A2B" w14:paraId="2E7305AF" w14:textId="77777777" w:rsidTr="008A41DE">
        <w:tc>
          <w:tcPr>
            <w:tcW w:w="8789" w:type="dxa"/>
            <w:gridSpan w:val="2"/>
            <w:tcBorders>
              <w:top w:val="single" w:sz="4" w:space="0" w:color="000000"/>
              <w:left w:val="single" w:sz="4" w:space="0" w:color="000000"/>
              <w:bottom w:val="single" w:sz="4" w:space="0" w:color="000000"/>
              <w:right w:val="single" w:sz="4" w:space="0" w:color="000000"/>
            </w:tcBorders>
          </w:tcPr>
          <w:p w14:paraId="5304CC12"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Örnekleme dönemi boyunca alınan değerlerin ortalaması.</w:t>
            </w:r>
          </w:p>
          <w:p w14:paraId="7A15B94F"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2</w:t>
            </w:r>
            <w:r w:rsidRPr="00D53A2B">
              <w:rPr>
                <w:lang w:eastAsia="en-US"/>
              </w:rPr>
              <w:t>) Katı zift işleniyorsa BaP parçacıklarının ortaya çıkması beklenir.</w:t>
            </w:r>
          </w:p>
        </w:tc>
      </w:tr>
    </w:tbl>
    <w:p w14:paraId="0DADD954" w14:textId="7A9AFF00"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61771B51" w14:textId="75645B59" w:rsidR="00374C56" w:rsidRPr="00D53A2B" w:rsidRDefault="004479E1" w:rsidP="00A202FD">
      <w:pPr>
        <w:spacing w:after="240"/>
        <w:jc w:val="both"/>
        <w:rPr>
          <w:b/>
          <w:lang w:eastAsia="en-US"/>
        </w:rPr>
      </w:pPr>
      <w:r w:rsidRPr="00D53A2B">
        <w:rPr>
          <w:b/>
          <w:lang w:eastAsia="en-US"/>
        </w:rPr>
        <w:t>MET 179:</w:t>
      </w:r>
      <w:r w:rsidR="00374C56" w:rsidRPr="00D53A2B">
        <w:rPr>
          <w:b/>
          <w:lang w:eastAsia="en-US"/>
        </w:rPr>
        <w:t xml:space="preserve"> </w:t>
      </w:r>
      <w:r w:rsidR="00374C56" w:rsidRPr="00D53A2B">
        <w:rPr>
          <w:bCs/>
          <w:lang w:eastAsia="en-US"/>
        </w:rPr>
        <w:t>Yeşil macun ve yeşil levhaların üretiminden kaynaklanan toz ve PAH emisyonlarının azaltılması için aşağıda verilen tekniklerden biri ya da bir kombinasyonu kullanılır.</w:t>
      </w:r>
    </w:p>
    <w:tbl>
      <w:tblPr>
        <w:tblW w:w="8788" w:type="dxa"/>
        <w:tblInd w:w="279" w:type="dxa"/>
        <w:tblLayout w:type="fixed"/>
        <w:tblCellMar>
          <w:left w:w="0" w:type="dxa"/>
          <w:right w:w="0" w:type="dxa"/>
        </w:tblCellMar>
        <w:tblLook w:val="01E0" w:firstRow="1" w:lastRow="1" w:firstColumn="1" w:lastColumn="1" w:noHBand="0" w:noVBand="0"/>
      </w:tblPr>
      <w:tblGrid>
        <w:gridCol w:w="627"/>
        <w:gridCol w:w="8161"/>
      </w:tblGrid>
      <w:tr w:rsidR="00374C56" w:rsidRPr="00D53A2B" w14:paraId="1F75ECA1" w14:textId="77777777" w:rsidTr="008A41DE">
        <w:tc>
          <w:tcPr>
            <w:tcW w:w="627" w:type="dxa"/>
            <w:tcBorders>
              <w:top w:val="single" w:sz="4" w:space="0" w:color="000000"/>
              <w:left w:val="single" w:sz="4" w:space="0" w:color="000000"/>
              <w:bottom w:val="single" w:sz="4" w:space="0" w:color="000000"/>
              <w:right w:val="single" w:sz="4" w:space="0" w:color="000000"/>
            </w:tcBorders>
          </w:tcPr>
          <w:p w14:paraId="315FEE49" w14:textId="77777777" w:rsidR="00374C56" w:rsidRPr="00D53A2B" w:rsidRDefault="00374C56" w:rsidP="00A202FD">
            <w:pPr>
              <w:spacing w:line="264" w:lineRule="auto"/>
              <w:ind w:left="57" w:right="57"/>
              <w:jc w:val="both"/>
              <w:rPr>
                <w:lang w:eastAsia="en-US"/>
              </w:rPr>
            </w:pPr>
          </w:p>
        </w:tc>
        <w:tc>
          <w:tcPr>
            <w:tcW w:w="8161" w:type="dxa"/>
            <w:tcBorders>
              <w:top w:val="single" w:sz="4" w:space="0" w:color="000000"/>
              <w:left w:val="single" w:sz="4" w:space="0" w:color="000000"/>
              <w:bottom w:val="single" w:sz="4" w:space="0" w:color="000000"/>
              <w:right w:val="single" w:sz="4" w:space="0" w:color="000000"/>
            </w:tcBorders>
          </w:tcPr>
          <w:p w14:paraId="484523A9" w14:textId="77777777" w:rsidR="00374C56" w:rsidRPr="00D53A2B" w:rsidRDefault="00374C56" w:rsidP="00A202FD">
            <w:pPr>
              <w:spacing w:line="264" w:lineRule="auto"/>
              <w:ind w:left="57" w:right="57"/>
              <w:jc w:val="both"/>
              <w:rPr>
                <w:lang w:eastAsia="en-US"/>
              </w:rPr>
            </w:pPr>
            <w:r w:rsidRPr="00D53A2B">
              <w:rPr>
                <w:b/>
                <w:bCs/>
                <w:lang w:eastAsia="en-US"/>
              </w:rPr>
              <w:t>Teknik (</w:t>
            </w:r>
            <w:r w:rsidRPr="00D53A2B">
              <w:rPr>
                <w:b/>
                <w:bCs/>
                <w:vertAlign w:val="superscript"/>
                <w:lang w:eastAsia="en-US"/>
              </w:rPr>
              <w:t>1</w:t>
            </w:r>
            <w:r w:rsidRPr="00D53A2B">
              <w:rPr>
                <w:b/>
                <w:bCs/>
                <w:lang w:eastAsia="en-US"/>
              </w:rPr>
              <w:t>)</w:t>
            </w:r>
          </w:p>
        </w:tc>
      </w:tr>
      <w:tr w:rsidR="00374C56" w:rsidRPr="00D53A2B" w14:paraId="6CA0A77B" w14:textId="77777777" w:rsidTr="008A41DE">
        <w:tc>
          <w:tcPr>
            <w:tcW w:w="627" w:type="dxa"/>
            <w:tcBorders>
              <w:top w:val="single" w:sz="4" w:space="0" w:color="000000"/>
              <w:left w:val="single" w:sz="4" w:space="0" w:color="000000"/>
              <w:bottom w:val="single" w:sz="4" w:space="0" w:color="000000"/>
              <w:right w:val="single" w:sz="4" w:space="0" w:color="000000"/>
            </w:tcBorders>
            <w:vAlign w:val="center"/>
          </w:tcPr>
          <w:p w14:paraId="0A0394FD" w14:textId="77777777" w:rsidR="00374C56" w:rsidRPr="00D53A2B" w:rsidRDefault="00374C56" w:rsidP="00A202FD">
            <w:pPr>
              <w:spacing w:line="264" w:lineRule="auto"/>
              <w:ind w:left="57" w:right="57"/>
              <w:jc w:val="both"/>
              <w:rPr>
                <w:lang w:eastAsia="en-US"/>
              </w:rPr>
            </w:pPr>
            <w:r w:rsidRPr="00D53A2B">
              <w:rPr>
                <w:lang w:eastAsia="en-US"/>
              </w:rPr>
              <w:t>a</w:t>
            </w:r>
          </w:p>
        </w:tc>
        <w:tc>
          <w:tcPr>
            <w:tcW w:w="8161" w:type="dxa"/>
            <w:tcBorders>
              <w:top w:val="single" w:sz="4" w:space="0" w:color="000000"/>
              <w:left w:val="single" w:sz="4" w:space="0" w:color="000000"/>
              <w:bottom w:val="single" w:sz="4" w:space="0" w:color="000000"/>
              <w:right w:val="single" w:sz="4" w:space="0" w:color="000000"/>
            </w:tcBorders>
          </w:tcPr>
          <w:p w14:paraId="46775FBD" w14:textId="77777777" w:rsidR="00374C56" w:rsidRPr="00D53A2B" w:rsidRDefault="00374C56" w:rsidP="00A202FD">
            <w:pPr>
              <w:spacing w:line="264" w:lineRule="auto"/>
              <w:ind w:left="57" w:right="57"/>
              <w:jc w:val="both"/>
              <w:rPr>
                <w:lang w:eastAsia="en-US"/>
              </w:rPr>
            </w:pPr>
            <w:r w:rsidRPr="00D53A2B">
              <w:rPr>
                <w:lang w:eastAsia="en-US"/>
              </w:rPr>
              <w:t xml:space="preserve">Ön soğutmalı veya soğutmasız, adsorban madde olarak kok kullanılan, kuru gaz </w:t>
            </w:r>
            <w:r w:rsidRPr="00D53A2B">
              <w:rPr>
                <w:spacing w:val="2"/>
                <w:lang w:eastAsia="en-US"/>
              </w:rPr>
              <w:t xml:space="preserve">yıkayıcıyı </w:t>
            </w:r>
            <w:r w:rsidRPr="00D53A2B">
              <w:rPr>
                <w:lang w:eastAsia="en-US"/>
              </w:rPr>
              <w:t>takiben bir torba filtre kullanılması</w:t>
            </w:r>
          </w:p>
        </w:tc>
      </w:tr>
      <w:tr w:rsidR="00374C56" w:rsidRPr="00D53A2B" w14:paraId="440A0346" w14:textId="77777777" w:rsidTr="008A41DE">
        <w:tc>
          <w:tcPr>
            <w:tcW w:w="627" w:type="dxa"/>
            <w:tcBorders>
              <w:top w:val="single" w:sz="4" w:space="0" w:color="000000"/>
              <w:left w:val="single" w:sz="4" w:space="0" w:color="000000"/>
              <w:bottom w:val="single" w:sz="4" w:space="0" w:color="000000"/>
              <w:right w:val="single" w:sz="4" w:space="0" w:color="000000"/>
            </w:tcBorders>
          </w:tcPr>
          <w:p w14:paraId="6A460102" w14:textId="77777777" w:rsidR="00374C56" w:rsidRPr="00D53A2B" w:rsidRDefault="00374C56" w:rsidP="00A202FD">
            <w:pPr>
              <w:spacing w:line="264" w:lineRule="auto"/>
              <w:ind w:left="57" w:right="57"/>
              <w:jc w:val="both"/>
              <w:rPr>
                <w:lang w:eastAsia="en-US"/>
              </w:rPr>
            </w:pPr>
            <w:r w:rsidRPr="00D53A2B">
              <w:rPr>
                <w:lang w:eastAsia="en-US"/>
              </w:rPr>
              <w:t>b</w:t>
            </w:r>
          </w:p>
        </w:tc>
        <w:tc>
          <w:tcPr>
            <w:tcW w:w="8161" w:type="dxa"/>
            <w:tcBorders>
              <w:top w:val="single" w:sz="4" w:space="0" w:color="000000"/>
              <w:left w:val="single" w:sz="4" w:space="0" w:color="000000"/>
              <w:bottom w:val="single" w:sz="4" w:space="0" w:color="000000"/>
              <w:right w:val="single" w:sz="4" w:space="0" w:color="000000"/>
            </w:tcBorders>
          </w:tcPr>
          <w:p w14:paraId="1AA19627" w14:textId="0FC8F68A" w:rsidR="00374C56" w:rsidRPr="00D53A2B" w:rsidRDefault="00374C56" w:rsidP="00A202FD">
            <w:pPr>
              <w:spacing w:line="264" w:lineRule="auto"/>
              <w:ind w:left="57" w:right="57"/>
              <w:jc w:val="both"/>
              <w:rPr>
                <w:lang w:eastAsia="en-US"/>
              </w:rPr>
            </w:pPr>
            <w:r w:rsidRPr="00D53A2B">
              <w:rPr>
                <w:lang w:eastAsia="en-US"/>
              </w:rPr>
              <w:t>Kok filtresi</w:t>
            </w:r>
            <w:r w:rsidR="00867EA7" w:rsidRPr="00D53A2B">
              <w:rPr>
                <w:lang w:eastAsia="en-US"/>
              </w:rPr>
              <w:t xml:space="preserve"> </w:t>
            </w:r>
          </w:p>
        </w:tc>
      </w:tr>
      <w:tr w:rsidR="00374C56" w:rsidRPr="00D53A2B" w14:paraId="1890B297" w14:textId="77777777" w:rsidTr="008A41DE">
        <w:tc>
          <w:tcPr>
            <w:tcW w:w="627" w:type="dxa"/>
            <w:tcBorders>
              <w:top w:val="single" w:sz="4" w:space="0" w:color="000000"/>
              <w:left w:val="single" w:sz="4" w:space="0" w:color="000000"/>
              <w:bottom w:val="single" w:sz="4" w:space="0" w:color="000000"/>
              <w:right w:val="single" w:sz="4" w:space="0" w:color="000000"/>
            </w:tcBorders>
          </w:tcPr>
          <w:p w14:paraId="4F2C7B9B" w14:textId="77777777" w:rsidR="00374C56" w:rsidRPr="00D53A2B" w:rsidRDefault="00374C56" w:rsidP="00A202FD">
            <w:pPr>
              <w:spacing w:line="264" w:lineRule="auto"/>
              <w:ind w:left="57" w:right="57"/>
              <w:jc w:val="both"/>
              <w:rPr>
                <w:lang w:eastAsia="en-US"/>
              </w:rPr>
            </w:pPr>
            <w:r w:rsidRPr="00D53A2B">
              <w:rPr>
                <w:lang w:eastAsia="en-US"/>
              </w:rPr>
              <w:t>c</w:t>
            </w:r>
          </w:p>
        </w:tc>
        <w:tc>
          <w:tcPr>
            <w:tcW w:w="8161" w:type="dxa"/>
            <w:tcBorders>
              <w:top w:val="single" w:sz="4" w:space="0" w:color="000000"/>
              <w:left w:val="single" w:sz="4" w:space="0" w:color="000000"/>
              <w:bottom w:val="single" w:sz="4" w:space="0" w:color="000000"/>
              <w:right w:val="single" w:sz="4" w:space="0" w:color="000000"/>
            </w:tcBorders>
          </w:tcPr>
          <w:p w14:paraId="788EC7B7" w14:textId="77777777" w:rsidR="00374C56" w:rsidRPr="00D53A2B" w:rsidRDefault="00374C56" w:rsidP="00A202FD">
            <w:pPr>
              <w:spacing w:line="264" w:lineRule="auto"/>
              <w:ind w:left="57" w:right="57"/>
              <w:jc w:val="both"/>
              <w:rPr>
                <w:lang w:eastAsia="en-US"/>
              </w:rPr>
            </w:pPr>
            <w:r w:rsidRPr="00D53A2B">
              <w:rPr>
                <w:lang w:eastAsia="en-US"/>
              </w:rPr>
              <w:t>Rejeneratif termal oksitleyici</w:t>
            </w:r>
          </w:p>
        </w:tc>
      </w:tr>
      <w:tr w:rsidR="00374C56" w:rsidRPr="00D53A2B" w14:paraId="07BFA620" w14:textId="77777777" w:rsidTr="008A41DE">
        <w:tc>
          <w:tcPr>
            <w:tcW w:w="627" w:type="dxa"/>
            <w:tcBorders>
              <w:top w:val="single" w:sz="4" w:space="0" w:color="000000"/>
              <w:left w:val="single" w:sz="4" w:space="0" w:color="000000"/>
              <w:bottom w:val="single" w:sz="4" w:space="0" w:color="000000"/>
              <w:right w:val="single" w:sz="4" w:space="0" w:color="000000"/>
            </w:tcBorders>
          </w:tcPr>
          <w:p w14:paraId="02200F1F" w14:textId="77777777" w:rsidR="00374C56" w:rsidRPr="00D53A2B" w:rsidRDefault="00374C56" w:rsidP="00A202FD">
            <w:pPr>
              <w:spacing w:line="264" w:lineRule="auto"/>
              <w:ind w:left="57" w:right="57"/>
              <w:jc w:val="both"/>
              <w:rPr>
                <w:lang w:eastAsia="en-US"/>
              </w:rPr>
            </w:pPr>
            <w:r w:rsidRPr="00D53A2B">
              <w:rPr>
                <w:lang w:eastAsia="en-US"/>
              </w:rPr>
              <w:t>d</w:t>
            </w:r>
          </w:p>
        </w:tc>
        <w:tc>
          <w:tcPr>
            <w:tcW w:w="8161" w:type="dxa"/>
            <w:tcBorders>
              <w:top w:val="single" w:sz="4" w:space="0" w:color="000000"/>
              <w:left w:val="single" w:sz="4" w:space="0" w:color="000000"/>
              <w:bottom w:val="single" w:sz="4" w:space="0" w:color="000000"/>
              <w:right w:val="single" w:sz="4" w:space="0" w:color="000000"/>
            </w:tcBorders>
          </w:tcPr>
          <w:p w14:paraId="22F0B795" w14:textId="77777777" w:rsidR="00374C56" w:rsidRPr="00D53A2B" w:rsidRDefault="00374C56" w:rsidP="00A202FD">
            <w:pPr>
              <w:spacing w:line="264" w:lineRule="auto"/>
              <w:ind w:left="57" w:right="57"/>
              <w:jc w:val="both"/>
              <w:rPr>
                <w:lang w:eastAsia="en-US"/>
              </w:rPr>
            </w:pPr>
            <w:r w:rsidRPr="00D53A2B">
              <w:rPr>
                <w:lang w:eastAsia="en-US"/>
              </w:rPr>
              <w:t>Termal oksitleyici</w:t>
            </w:r>
          </w:p>
        </w:tc>
      </w:tr>
      <w:tr w:rsidR="00374C56" w:rsidRPr="00D53A2B" w14:paraId="7916100B" w14:textId="77777777" w:rsidTr="008A41DE">
        <w:tc>
          <w:tcPr>
            <w:tcW w:w="8788" w:type="dxa"/>
            <w:gridSpan w:val="2"/>
            <w:tcBorders>
              <w:top w:val="single" w:sz="4" w:space="0" w:color="000000"/>
              <w:left w:val="single" w:sz="4" w:space="0" w:color="000000"/>
              <w:bottom w:val="single" w:sz="4" w:space="0" w:color="000000"/>
              <w:right w:val="single" w:sz="4" w:space="0" w:color="000000"/>
            </w:tcBorders>
          </w:tcPr>
          <w:p w14:paraId="5E54DFAE" w14:textId="4E13A709"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Tekniklerin açıklamaları Bölüm 1.10</w:t>
            </w:r>
            <w:r w:rsidR="00E56504" w:rsidRPr="00D53A2B">
              <w:rPr>
                <w:lang w:eastAsia="en-US"/>
              </w:rPr>
              <w:t>’</w:t>
            </w:r>
            <w:r w:rsidRPr="00D53A2B">
              <w:rPr>
                <w:lang w:eastAsia="en-US"/>
              </w:rPr>
              <w:t>da verilmiştir.</w:t>
            </w:r>
          </w:p>
        </w:tc>
      </w:tr>
    </w:tbl>
    <w:p w14:paraId="5E725D2C"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52.</w:t>
      </w:r>
    </w:p>
    <w:p w14:paraId="1DB1E445" w14:textId="77777777" w:rsidR="007F23C9" w:rsidRPr="00D53A2B" w:rsidRDefault="00374C56" w:rsidP="00A202FD">
      <w:pPr>
        <w:jc w:val="both"/>
        <w:rPr>
          <w:bCs/>
          <w:iCs/>
          <w:spacing w:val="2"/>
          <w:lang w:eastAsia="en-US"/>
        </w:rPr>
      </w:pPr>
      <w:bookmarkStart w:id="244" w:name="_Toc527941370"/>
      <w:bookmarkStart w:id="245" w:name="_Toc531927993"/>
      <w:r w:rsidRPr="00D53A2B">
        <w:rPr>
          <w:bCs/>
          <w:iCs/>
          <w:spacing w:val="2"/>
          <w:lang w:eastAsia="en-US"/>
        </w:rPr>
        <w:t>Tablo 52</w:t>
      </w:r>
    </w:p>
    <w:p w14:paraId="646D3F78" w14:textId="11C06A12" w:rsidR="00374C56" w:rsidRPr="00D53A2B" w:rsidRDefault="00374C56" w:rsidP="00A202FD">
      <w:pPr>
        <w:jc w:val="both"/>
        <w:rPr>
          <w:bCs/>
          <w:iCs/>
          <w:spacing w:val="2"/>
          <w:lang w:eastAsia="en-US"/>
        </w:rPr>
      </w:pPr>
      <w:r w:rsidRPr="00D53A2B">
        <w:rPr>
          <w:bCs/>
          <w:iCs/>
          <w:spacing w:val="2"/>
          <w:lang w:eastAsia="en-US"/>
        </w:rPr>
        <w:t>Yeşil macun ve yeşil levhaların üretiminden kaynaklanan toz ve BaP (PAH göstergesi olarak) emisyonları ile ilgili MET için emisyon seviyeleri</w:t>
      </w:r>
      <w:bookmarkEnd w:id="244"/>
      <w:bookmarkEnd w:id="245"/>
    </w:p>
    <w:tbl>
      <w:tblPr>
        <w:tblW w:w="0" w:type="auto"/>
        <w:tblInd w:w="94" w:type="dxa"/>
        <w:tblLayout w:type="fixed"/>
        <w:tblCellMar>
          <w:left w:w="0" w:type="dxa"/>
          <w:right w:w="0" w:type="dxa"/>
        </w:tblCellMar>
        <w:tblLook w:val="01E0" w:firstRow="1" w:lastRow="1" w:firstColumn="1" w:lastColumn="1" w:noHBand="0" w:noVBand="0"/>
      </w:tblPr>
      <w:tblGrid>
        <w:gridCol w:w="4079"/>
        <w:gridCol w:w="4643"/>
      </w:tblGrid>
      <w:tr w:rsidR="00374C56" w:rsidRPr="00D53A2B" w14:paraId="4EA8A64B" w14:textId="77777777" w:rsidTr="00374C56">
        <w:tc>
          <w:tcPr>
            <w:tcW w:w="4079" w:type="dxa"/>
            <w:tcBorders>
              <w:top w:val="single" w:sz="4" w:space="0" w:color="000000"/>
              <w:left w:val="single" w:sz="4" w:space="0" w:color="000000"/>
              <w:bottom w:val="single" w:sz="4" w:space="0" w:color="000000"/>
              <w:right w:val="single" w:sz="4" w:space="0" w:color="000000"/>
            </w:tcBorders>
            <w:vAlign w:val="center"/>
          </w:tcPr>
          <w:p w14:paraId="4E28BA4E"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4643" w:type="dxa"/>
            <w:tcBorders>
              <w:top w:val="single" w:sz="4" w:space="0" w:color="000000"/>
              <w:left w:val="single" w:sz="4" w:space="0" w:color="000000"/>
              <w:bottom w:val="single" w:sz="4" w:space="0" w:color="000000"/>
              <w:right w:val="single" w:sz="4" w:space="0" w:color="000000"/>
            </w:tcBorders>
            <w:vAlign w:val="center"/>
          </w:tcPr>
          <w:p w14:paraId="0B8028C4"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3CEEC06E" w14:textId="77777777" w:rsidTr="00374C56">
        <w:tc>
          <w:tcPr>
            <w:tcW w:w="4079" w:type="dxa"/>
            <w:tcBorders>
              <w:top w:val="single" w:sz="4" w:space="0" w:color="000000"/>
              <w:left w:val="single" w:sz="4" w:space="0" w:color="000000"/>
              <w:bottom w:val="single" w:sz="4" w:space="0" w:color="000000"/>
              <w:right w:val="single" w:sz="4" w:space="0" w:color="000000"/>
            </w:tcBorders>
          </w:tcPr>
          <w:p w14:paraId="370062D7" w14:textId="77777777" w:rsidR="00374C56" w:rsidRPr="00D53A2B" w:rsidRDefault="00374C56" w:rsidP="00A202FD">
            <w:pPr>
              <w:spacing w:line="264" w:lineRule="auto"/>
              <w:ind w:left="57" w:right="57"/>
              <w:jc w:val="both"/>
              <w:rPr>
                <w:lang w:eastAsia="en-US"/>
              </w:rPr>
            </w:pPr>
            <w:r w:rsidRPr="00D53A2B">
              <w:rPr>
                <w:lang w:eastAsia="en-US"/>
              </w:rPr>
              <w:t>Toz</w:t>
            </w:r>
          </w:p>
        </w:tc>
        <w:tc>
          <w:tcPr>
            <w:tcW w:w="4643" w:type="dxa"/>
            <w:tcBorders>
              <w:top w:val="single" w:sz="4" w:space="0" w:color="000000"/>
              <w:left w:val="single" w:sz="4" w:space="0" w:color="000000"/>
              <w:bottom w:val="single" w:sz="4" w:space="0" w:color="000000"/>
              <w:right w:val="single" w:sz="4" w:space="0" w:color="000000"/>
            </w:tcBorders>
          </w:tcPr>
          <w:p w14:paraId="24DC928C" w14:textId="77777777" w:rsidR="00374C56" w:rsidRPr="00D53A2B" w:rsidRDefault="00374C56" w:rsidP="00A202FD">
            <w:pPr>
              <w:spacing w:line="264" w:lineRule="auto"/>
              <w:ind w:left="57" w:right="57"/>
              <w:jc w:val="both"/>
              <w:rPr>
                <w:lang w:eastAsia="en-US"/>
              </w:rPr>
            </w:pPr>
            <w:r w:rsidRPr="00D53A2B">
              <w:rPr>
                <w:lang w:eastAsia="en-US"/>
              </w:rPr>
              <w:t>2–10 (2)</w:t>
            </w:r>
          </w:p>
        </w:tc>
      </w:tr>
      <w:tr w:rsidR="00374C56" w:rsidRPr="00D53A2B" w14:paraId="61EDDB2D" w14:textId="77777777" w:rsidTr="00374C56">
        <w:tc>
          <w:tcPr>
            <w:tcW w:w="4079" w:type="dxa"/>
            <w:tcBorders>
              <w:top w:val="single" w:sz="4" w:space="0" w:color="000000"/>
              <w:left w:val="single" w:sz="4" w:space="0" w:color="000000"/>
              <w:bottom w:val="single" w:sz="4" w:space="0" w:color="000000"/>
              <w:right w:val="single" w:sz="4" w:space="0" w:color="000000"/>
            </w:tcBorders>
          </w:tcPr>
          <w:p w14:paraId="2E58FEF3" w14:textId="77777777" w:rsidR="00374C56" w:rsidRPr="00D53A2B" w:rsidRDefault="00374C56" w:rsidP="00A202FD">
            <w:pPr>
              <w:spacing w:line="264" w:lineRule="auto"/>
              <w:ind w:left="57" w:right="57"/>
              <w:jc w:val="both"/>
              <w:rPr>
                <w:lang w:eastAsia="en-US"/>
              </w:rPr>
            </w:pPr>
            <w:r w:rsidRPr="00D53A2B">
              <w:rPr>
                <w:lang w:eastAsia="en-US"/>
              </w:rPr>
              <w:t>BaP</w:t>
            </w:r>
          </w:p>
        </w:tc>
        <w:tc>
          <w:tcPr>
            <w:tcW w:w="4643" w:type="dxa"/>
            <w:tcBorders>
              <w:top w:val="single" w:sz="4" w:space="0" w:color="000000"/>
              <w:left w:val="single" w:sz="4" w:space="0" w:color="000000"/>
              <w:bottom w:val="single" w:sz="4" w:space="0" w:color="000000"/>
              <w:right w:val="single" w:sz="4" w:space="0" w:color="000000"/>
            </w:tcBorders>
          </w:tcPr>
          <w:p w14:paraId="27397297" w14:textId="77777777" w:rsidR="00374C56" w:rsidRPr="00D53A2B" w:rsidRDefault="00374C56" w:rsidP="00A202FD">
            <w:pPr>
              <w:spacing w:line="264" w:lineRule="auto"/>
              <w:ind w:left="57" w:right="57"/>
              <w:jc w:val="both"/>
              <w:rPr>
                <w:lang w:eastAsia="en-US"/>
              </w:rPr>
            </w:pPr>
            <w:r w:rsidRPr="00D53A2B">
              <w:rPr>
                <w:lang w:eastAsia="en-US"/>
              </w:rPr>
              <w:t>0,001–0,01</w:t>
            </w:r>
          </w:p>
        </w:tc>
      </w:tr>
      <w:tr w:rsidR="00374C56" w:rsidRPr="00D53A2B" w14:paraId="4E57F97A" w14:textId="77777777" w:rsidTr="00374C56">
        <w:tc>
          <w:tcPr>
            <w:tcW w:w="8722" w:type="dxa"/>
            <w:gridSpan w:val="2"/>
            <w:tcBorders>
              <w:top w:val="single" w:sz="4" w:space="0" w:color="000000"/>
              <w:left w:val="single" w:sz="4" w:space="0" w:color="000000"/>
              <w:bottom w:val="single" w:sz="4" w:space="0" w:color="000000"/>
              <w:right w:val="single" w:sz="4" w:space="0" w:color="000000"/>
            </w:tcBorders>
          </w:tcPr>
          <w:p w14:paraId="7CFE42C2" w14:textId="77777777" w:rsidR="00374C56" w:rsidRPr="009077F5" w:rsidRDefault="00374C56" w:rsidP="00A202FD">
            <w:pPr>
              <w:spacing w:line="264" w:lineRule="auto"/>
              <w:ind w:left="57" w:right="57"/>
              <w:jc w:val="both"/>
              <w:rPr>
                <w:sz w:val="20"/>
                <w:szCs w:val="20"/>
                <w:lang w:eastAsia="en-US"/>
              </w:rPr>
            </w:pPr>
            <w:r w:rsidRPr="009077F5">
              <w:rPr>
                <w:sz w:val="20"/>
                <w:szCs w:val="20"/>
                <w:lang w:eastAsia="en-US"/>
              </w:rPr>
              <w:t>(</w:t>
            </w:r>
            <w:r w:rsidRPr="009077F5">
              <w:rPr>
                <w:sz w:val="20"/>
                <w:szCs w:val="20"/>
                <w:vertAlign w:val="superscript"/>
                <w:lang w:eastAsia="en-US"/>
              </w:rPr>
              <w:t>1</w:t>
            </w:r>
            <w:r w:rsidRPr="009077F5">
              <w:rPr>
                <w:sz w:val="20"/>
                <w:szCs w:val="20"/>
                <w:lang w:eastAsia="en-US"/>
              </w:rPr>
              <w:t>) Örnekleme dönemi boyunca alınan değerlerin ortalaması.</w:t>
            </w:r>
          </w:p>
          <w:p w14:paraId="4153FE85" w14:textId="77777777" w:rsidR="00374C56" w:rsidRPr="00D53A2B" w:rsidRDefault="00374C56" w:rsidP="00A202FD">
            <w:pPr>
              <w:spacing w:line="264" w:lineRule="auto"/>
              <w:ind w:left="57" w:right="57"/>
              <w:jc w:val="both"/>
              <w:rPr>
                <w:lang w:eastAsia="en-US"/>
              </w:rPr>
            </w:pPr>
            <w:r w:rsidRPr="009077F5">
              <w:rPr>
                <w:sz w:val="20"/>
                <w:szCs w:val="20"/>
                <w:lang w:eastAsia="en-US"/>
              </w:rPr>
              <w:t>(</w:t>
            </w:r>
            <w:r w:rsidRPr="009077F5">
              <w:rPr>
                <w:sz w:val="20"/>
                <w:szCs w:val="20"/>
                <w:vertAlign w:val="superscript"/>
                <w:lang w:eastAsia="en-US"/>
              </w:rPr>
              <w:t>2</w:t>
            </w:r>
            <w:r w:rsidRPr="009077F5">
              <w:rPr>
                <w:sz w:val="20"/>
                <w:szCs w:val="20"/>
                <w:lang w:eastAsia="en-US"/>
              </w:rPr>
              <w:t xml:space="preserve">) Aralığın alt sınırı adsorban madde olarak kok kullanılan kuru gaz </w:t>
            </w:r>
            <w:r w:rsidRPr="009077F5">
              <w:rPr>
                <w:spacing w:val="2"/>
                <w:sz w:val="20"/>
                <w:szCs w:val="20"/>
                <w:lang w:eastAsia="en-US"/>
              </w:rPr>
              <w:t xml:space="preserve">yıkayıcıyı </w:t>
            </w:r>
            <w:r w:rsidRPr="009077F5">
              <w:rPr>
                <w:sz w:val="20"/>
                <w:szCs w:val="20"/>
                <w:lang w:eastAsia="en-US"/>
              </w:rPr>
              <w:t>takiben bir torba filtre kullanılması ile ilişkilidir. Aralığın en üst sınırı ise termal oksitleyici kullanılması ile ilişkilidir.</w:t>
            </w:r>
          </w:p>
        </w:tc>
      </w:tr>
    </w:tbl>
    <w:p w14:paraId="4F590875" w14:textId="75257717"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25A64A6B" w14:textId="7B265F3F" w:rsidR="00374C56" w:rsidRPr="00D53A2B" w:rsidRDefault="004479E1" w:rsidP="00A202FD">
      <w:pPr>
        <w:spacing w:after="240"/>
        <w:jc w:val="both"/>
        <w:rPr>
          <w:b/>
          <w:lang w:eastAsia="en-US"/>
        </w:rPr>
      </w:pPr>
      <w:r w:rsidRPr="00D53A2B">
        <w:rPr>
          <w:b/>
          <w:lang w:eastAsia="en-US"/>
        </w:rPr>
        <w:t>MET 180:</w:t>
      </w:r>
      <w:r w:rsidR="00374C56" w:rsidRPr="00D53A2B">
        <w:rPr>
          <w:b/>
          <w:lang w:eastAsia="en-US"/>
        </w:rPr>
        <w:t xml:space="preserve"> </w:t>
      </w:r>
      <w:r w:rsidR="00867EA7" w:rsidRPr="00D53A2B">
        <w:rPr>
          <w:bCs/>
          <w:lang w:eastAsia="en-US"/>
        </w:rPr>
        <w:t>Pişirme işleminden kaynaklanan ve havaya salınan toz ve PAH emisyonlarının azaltılması için, aşağıda verilen tekniklerden birinin ya da bir kombinasyonu kullanılır.</w:t>
      </w:r>
    </w:p>
    <w:tbl>
      <w:tblPr>
        <w:tblW w:w="0" w:type="auto"/>
        <w:tblInd w:w="94" w:type="dxa"/>
        <w:tblLayout w:type="fixed"/>
        <w:tblCellMar>
          <w:left w:w="0" w:type="dxa"/>
          <w:right w:w="0" w:type="dxa"/>
        </w:tblCellMar>
        <w:tblLook w:val="01E0" w:firstRow="1" w:lastRow="1" w:firstColumn="1" w:lastColumn="1" w:noHBand="0" w:noVBand="0"/>
      </w:tblPr>
      <w:tblGrid>
        <w:gridCol w:w="336"/>
        <w:gridCol w:w="4736"/>
        <w:gridCol w:w="3649"/>
      </w:tblGrid>
      <w:tr w:rsidR="00374C56" w:rsidRPr="00D53A2B" w14:paraId="02A6FFA8" w14:textId="77777777" w:rsidTr="00374C56">
        <w:tc>
          <w:tcPr>
            <w:tcW w:w="336" w:type="dxa"/>
            <w:tcBorders>
              <w:top w:val="single" w:sz="4" w:space="0" w:color="000000"/>
              <w:left w:val="single" w:sz="4" w:space="0" w:color="000000"/>
              <w:bottom w:val="single" w:sz="4" w:space="0" w:color="000000"/>
              <w:right w:val="single" w:sz="4" w:space="0" w:color="000000"/>
            </w:tcBorders>
          </w:tcPr>
          <w:p w14:paraId="7781C382" w14:textId="77777777" w:rsidR="00374C56" w:rsidRPr="00D53A2B" w:rsidRDefault="00374C56" w:rsidP="00A202FD">
            <w:pPr>
              <w:spacing w:line="264" w:lineRule="auto"/>
              <w:ind w:left="57" w:right="57"/>
              <w:jc w:val="both"/>
              <w:rPr>
                <w:lang w:eastAsia="en-US"/>
              </w:rPr>
            </w:pPr>
          </w:p>
        </w:tc>
        <w:tc>
          <w:tcPr>
            <w:tcW w:w="4736" w:type="dxa"/>
            <w:tcBorders>
              <w:top w:val="single" w:sz="4" w:space="0" w:color="000000"/>
              <w:left w:val="single" w:sz="4" w:space="0" w:color="000000"/>
              <w:bottom w:val="single" w:sz="4" w:space="0" w:color="000000"/>
              <w:right w:val="single" w:sz="4" w:space="0" w:color="000000"/>
            </w:tcBorders>
          </w:tcPr>
          <w:p w14:paraId="48364DDC" w14:textId="77777777" w:rsidR="00374C56" w:rsidRPr="00D53A2B" w:rsidRDefault="00374C56" w:rsidP="00A202FD">
            <w:pPr>
              <w:spacing w:line="264" w:lineRule="auto"/>
              <w:ind w:left="57" w:right="57"/>
              <w:jc w:val="both"/>
              <w:rPr>
                <w:lang w:eastAsia="en-US"/>
              </w:rPr>
            </w:pPr>
            <w:r w:rsidRPr="00D53A2B">
              <w:rPr>
                <w:b/>
                <w:bCs/>
                <w:lang w:eastAsia="en-US"/>
              </w:rPr>
              <w:t>Teknik (</w:t>
            </w:r>
            <w:r w:rsidRPr="00D53A2B">
              <w:rPr>
                <w:b/>
                <w:bCs/>
                <w:vertAlign w:val="superscript"/>
                <w:lang w:eastAsia="en-US"/>
              </w:rPr>
              <w:t>1</w:t>
            </w:r>
            <w:r w:rsidRPr="00D53A2B">
              <w:rPr>
                <w:b/>
                <w:bCs/>
                <w:lang w:eastAsia="en-US"/>
              </w:rPr>
              <w:t>)</w:t>
            </w:r>
          </w:p>
        </w:tc>
        <w:tc>
          <w:tcPr>
            <w:tcW w:w="3649" w:type="dxa"/>
            <w:tcBorders>
              <w:top w:val="single" w:sz="4" w:space="0" w:color="000000"/>
              <w:left w:val="single" w:sz="4" w:space="0" w:color="000000"/>
              <w:bottom w:val="single" w:sz="4" w:space="0" w:color="000000"/>
              <w:right w:val="single" w:sz="4" w:space="0" w:color="000000"/>
            </w:tcBorders>
          </w:tcPr>
          <w:p w14:paraId="6655BFAB" w14:textId="77777777" w:rsidR="00374C56" w:rsidRPr="00D53A2B" w:rsidRDefault="00374C56" w:rsidP="00A202FD">
            <w:pPr>
              <w:spacing w:line="264" w:lineRule="auto"/>
              <w:ind w:left="57" w:right="57"/>
              <w:jc w:val="both"/>
              <w:rPr>
                <w:lang w:eastAsia="en-US"/>
              </w:rPr>
            </w:pPr>
            <w:r w:rsidRPr="00D53A2B">
              <w:rPr>
                <w:b/>
                <w:bCs/>
                <w:lang w:eastAsia="en-US"/>
              </w:rPr>
              <w:t>Uygulanabilirlik</w:t>
            </w:r>
          </w:p>
        </w:tc>
      </w:tr>
      <w:tr w:rsidR="00374C56" w:rsidRPr="00D53A2B" w14:paraId="178DA9AE" w14:textId="77777777" w:rsidTr="00374C56">
        <w:tc>
          <w:tcPr>
            <w:tcW w:w="336" w:type="dxa"/>
            <w:tcBorders>
              <w:top w:val="single" w:sz="4" w:space="0" w:color="000000"/>
              <w:left w:val="single" w:sz="4" w:space="0" w:color="000000"/>
              <w:bottom w:val="single" w:sz="4" w:space="0" w:color="000000"/>
              <w:right w:val="single" w:sz="4" w:space="0" w:color="000000"/>
            </w:tcBorders>
            <w:vAlign w:val="center"/>
          </w:tcPr>
          <w:p w14:paraId="5BAA7F29" w14:textId="77777777" w:rsidR="00374C56" w:rsidRPr="00D53A2B" w:rsidRDefault="00374C56" w:rsidP="00A202FD">
            <w:pPr>
              <w:spacing w:line="264" w:lineRule="auto"/>
              <w:ind w:left="57" w:right="57"/>
              <w:jc w:val="both"/>
              <w:rPr>
                <w:lang w:eastAsia="en-US"/>
              </w:rPr>
            </w:pPr>
            <w:r w:rsidRPr="00D53A2B">
              <w:rPr>
                <w:lang w:eastAsia="en-US"/>
              </w:rPr>
              <w:t>a</w:t>
            </w:r>
          </w:p>
        </w:tc>
        <w:tc>
          <w:tcPr>
            <w:tcW w:w="4736" w:type="dxa"/>
            <w:tcBorders>
              <w:top w:val="single" w:sz="4" w:space="0" w:color="000000"/>
              <w:left w:val="single" w:sz="4" w:space="0" w:color="000000"/>
              <w:bottom w:val="single" w:sz="4" w:space="0" w:color="000000"/>
              <w:right w:val="single" w:sz="4" w:space="0" w:color="000000"/>
            </w:tcBorders>
            <w:vAlign w:val="center"/>
          </w:tcPr>
          <w:p w14:paraId="36DD2B67" w14:textId="77777777" w:rsidR="00374C56" w:rsidRPr="00D53A2B" w:rsidRDefault="00374C56" w:rsidP="00A202FD">
            <w:pPr>
              <w:spacing w:line="264" w:lineRule="auto"/>
              <w:ind w:left="57" w:right="57"/>
              <w:jc w:val="both"/>
              <w:rPr>
                <w:lang w:eastAsia="en-US"/>
              </w:rPr>
            </w:pPr>
            <w:r w:rsidRPr="00D53A2B">
              <w:rPr>
                <w:lang w:eastAsia="en-US"/>
              </w:rPr>
              <w:t>Yüksek oranda uçucu bileşiklerin olması bekleniyorsa ESP ile termal oksidasyon basamağının (örn. rejeneratif termal oksitleyici) kombinasyonun kullanılması</w:t>
            </w:r>
          </w:p>
        </w:tc>
        <w:tc>
          <w:tcPr>
            <w:tcW w:w="3649" w:type="dxa"/>
            <w:tcBorders>
              <w:top w:val="single" w:sz="4" w:space="0" w:color="000000"/>
              <w:left w:val="single" w:sz="4" w:space="0" w:color="000000"/>
              <w:bottom w:val="single" w:sz="4" w:space="0" w:color="000000"/>
              <w:right w:val="single" w:sz="4" w:space="0" w:color="000000"/>
            </w:tcBorders>
            <w:vAlign w:val="center"/>
          </w:tcPr>
          <w:p w14:paraId="5DD6E14A" w14:textId="77777777" w:rsidR="00374C56" w:rsidRPr="00D53A2B" w:rsidRDefault="00374C56" w:rsidP="00A202FD">
            <w:pPr>
              <w:spacing w:line="264" w:lineRule="auto"/>
              <w:ind w:left="57" w:right="57"/>
              <w:jc w:val="both"/>
              <w:rPr>
                <w:lang w:eastAsia="en-US"/>
              </w:rPr>
            </w:pPr>
            <w:r w:rsidRPr="00D53A2B">
              <w:rPr>
                <w:lang w:eastAsia="en-US"/>
              </w:rPr>
              <w:t>Genellikle uygulanabilir</w:t>
            </w:r>
          </w:p>
        </w:tc>
      </w:tr>
      <w:tr w:rsidR="00374C56" w:rsidRPr="00D53A2B" w14:paraId="619723CE" w14:textId="77777777" w:rsidTr="00374C56">
        <w:tc>
          <w:tcPr>
            <w:tcW w:w="336" w:type="dxa"/>
            <w:tcBorders>
              <w:top w:val="single" w:sz="4" w:space="0" w:color="000000"/>
              <w:left w:val="single" w:sz="4" w:space="0" w:color="000000"/>
              <w:bottom w:val="single" w:sz="4" w:space="0" w:color="000000"/>
              <w:right w:val="single" w:sz="4" w:space="0" w:color="000000"/>
            </w:tcBorders>
            <w:vAlign w:val="center"/>
          </w:tcPr>
          <w:p w14:paraId="30B32ADD" w14:textId="77777777" w:rsidR="00374C56" w:rsidRPr="00D53A2B" w:rsidRDefault="00374C56" w:rsidP="00A202FD">
            <w:pPr>
              <w:spacing w:line="264" w:lineRule="auto"/>
              <w:ind w:left="57" w:right="57"/>
              <w:jc w:val="both"/>
              <w:rPr>
                <w:lang w:eastAsia="en-US"/>
              </w:rPr>
            </w:pPr>
            <w:r w:rsidRPr="00D53A2B">
              <w:rPr>
                <w:lang w:eastAsia="en-US"/>
              </w:rPr>
              <w:t>b</w:t>
            </w:r>
          </w:p>
        </w:tc>
        <w:tc>
          <w:tcPr>
            <w:tcW w:w="4736" w:type="dxa"/>
            <w:tcBorders>
              <w:top w:val="single" w:sz="4" w:space="0" w:color="000000"/>
              <w:left w:val="single" w:sz="4" w:space="0" w:color="000000"/>
              <w:bottom w:val="single" w:sz="4" w:space="0" w:color="000000"/>
              <w:right w:val="single" w:sz="4" w:space="0" w:color="000000"/>
            </w:tcBorders>
            <w:vAlign w:val="center"/>
          </w:tcPr>
          <w:p w14:paraId="64803208" w14:textId="77777777" w:rsidR="00374C56" w:rsidRPr="00D53A2B" w:rsidRDefault="00374C56" w:rsidP="00A202FD">
            <w:pPr>
              <w:spacing w:line="264" w:lineRule="auto"/>
              <w:ind w:left="57" w:right="57"/>
              <w:jc w:val="both"/>
              <w:rPr>
                <w:lang w:eastAsia="en-US"/>
              </w:rPr>
            </w:pPr>
            <w:r w:rsidRPr="00D53A2B">
              <w:rPr>
                <w:lang w:eastAsia="en-US"/>
              </w:rPr>
              <w:t>Çıkış gazının yüksek oranda toz içerdiği durumlarda, rejeneratif termal oksitleyici ile bir ön arıtım işleminin (ESP gibi) kombinasyonunun kullanılması</w:t>
            </w:r>
          </w:p>
        </w:tc>
        <w:tc>
          <w:tcPr>
            <w:tcW w:w="3649" w:type="dxa"/>
            <w:tcBorders>
              <w:top w:val="single" w:sz="4" w:space="0" w:color="000000"/>
              <w:left w:val="single" w:sz="4" w:space="0" w:color="000000"/>
              <w:bottom w:val="single" w:sz="4" w:space="0" w:color="000000"/>
              <w:right w:val="single" w:sz="4" w:space="0" w:color="000000"/>
            </w:tcBorders>
            <w:vAlign w:val="center"/>
          </w:tcPr>
          <w:p w14:paraId="250C3D44" w14:textId="77777777" w:rsidR="00374C56" w:rsidRPr="00D53A2B" w:rsidRDefault="00374C56" w:rsidP="00A202FD">
            <w:pPr>
              <w:spacing w:line="264" w:lineRule="auto"/>
              <w:ind w:left="57" w:right="57"/>
              <w:jc w:val="both"/>
              <w:rPr>
                <w:lang w:eastAsia="en-US"/>
              </w:rPr>
            </w:pPr>
            <w:r w:rsidRPr="00D53A2B">
              <w:rPr>
                <w:lang w:eastAsia="en-US"/>
              </w:rPr>
              <w:t>Genellikle uygulanabilir</w:t>
            </w:r>
          </w:p>
        </w:tc>
      </w:tr>
      <w:tr w:rsidR="00374C56" w:rsidRPr="00D53A2B" w14:paraId="7174848F" w14:textId="77777777" w:rsidTr="00374C56">
        <w:tc>
          <w:tcPr>
            <w:tcW w:w="336" w:type="dxa"/>
            <w:tcBorders>
              <w:top w:val="single" w:sz="4" w:space="0" w:color="000000"/>
              <w:left w:val="single" w:sz="4" w:space="0" w:color="000000"/>
              <w:bottom w:val="single" w:sz="4" w:space="0" w:color="000000"/>
              <w:right w:val="single" w:sz="4" w:space="0" w:color="000000"/>
            </w:tcBorders>
            <w:vAlign w:val="center"/>
          </w:tcPr>
          <w:p w14:paraId="7E458853" w14:textId="77777777" w:rsidR="00374C56" w:rsidRPr="00D53A2B" w:rsidRDefault="00374C56" w:rsidP="00A202FD">
            <w:pPr>
              <w:spacing w:line="264" w:lineRule="auto"/>
              <w:ind w:left="57" w:right="57"/>
              <w:jc w:val="both"/>
              <w:rPr>
                <w:lang w:eastAsia="en-US"/>
              </w:rPr>
            </w:pPr>
            <w:r w:rsidRPr="00D53A2B">
              <w:rPr>
                <w:lang w:eastAsia="en-US"/>
              </w:rPr>
              <w:t>c</w:t>
            </w:r>
          </w:p>
        </w:tc>
        <w:tc>
          <w:tcPr>
            <w:tcW w:w="4736" w:type="dxa"/>
            <w:tcBorders>
              <w:top w:val="single" w:sz="4" w:space="0" w:color="000000"/>
              <w:left w:val="single" w:sz="4" w:space="0" w:color="000000"/>
              <w:bottom w:val="single" w:sz="4" w:space="0" w:color="000000"/>
              <w:right w:val="single" w:sz="4" w:space="0" w:color="000000"/>
            </w:tcBorders>
            <w:vAlign w:val="center"/>
          </w:tcPr>
          <w:p w14:paraId="4C8BC6F9" w14:textId="77777777" w:rsidR="00374C56" w:rsidRPr="00D53A2B" w:rsidRDefault="00374C56" w:rsidP="00A202FD">
            <w:pPr>
              <w:spacing w:line="264" w:lineRule="auto"/>
              <w:ind w:left="57" w:right="57"/>
              <w:jc w:val="both"/>
              <w:rPr>
                <w:lang w:eastAsia="en-US"/>
              </w:rPr>
            </w:pPr>
            <w:r w:rsidRPr="00D53A2B">
              <w:rPr>
                <w:lang w:eastAsia="en-US"/>
              </w:rPr>
              <w:t>Termal oksitleyici</w:t>
            </w:r>
          </w:p>
        </w:tc>
        <w:tc>
          <w:tcPr>
            <w:tcW w:w="3649" w:type="dxa"/>
            <w:tcBorders>
              <w:top w:val="single" w:sz="4" w:space="0" w:color="000000"/>
              <w:left w:val="single" w:sz="4" w:space="0" w:color="000000"/>
              <w:bottom w:val="single" w:sz="4" w:space="0" w:color="000000"/>
              <w:right w:val="single" w:sz="4" w:space="0" w:color="000000"/>
            </w:tcBorders>
            <w:vAlign w:val="center"/>
          </w:tcPr>
          <w:p w14:paraId="295D0AD0" w14:textId="77777777" w:rsidR="00374C56" w:rsidRPr="00D53A2B" w:rsidRDefault="00374C56" w:rsidP="00A202FD">
            <w:pPr>
              <w:spacing w:line="264" w:lineRule="auto"/>
              <w:ind w:left="57" w:right="57"/>
              <w:jc w:val="both"/>
              <w:rPr>
                <w:lang w:eastAsia="en-US"/>
              </w:rPr>
            </w:pPr>
            <w:r w:rsidRPr="00D53A2B">
              <w:rPr>
                <w:lang w:eastAsia="en-US"/>
              </w:rPr>
              <w:t>Sürekli halka fırınlar için uygun değildir.</w:t>
            </w:r>
          </w:p>
        </w:tc>
      </w:tr>
      <w:tr w:rsidR="00374C56" w:rsidRPr="00D53A2B" w14:paraId="24F5B0AA" w14:textId="77777777" w:rsidTr="00374C56">
        <w:tc>
          <w:tcPr>
            <w:tcW w:w="8721" w:type="dxa"/>
            <w:gridSpan w:val="3"/>
            <w:tcBorders>
              <w:top w:val="single" w:sz="4" w:space="0" w:color="000000"/>
              <w:left w:val="single" w:sz="4" w:space="0" w:color="000000"/>
              <w:bottom w:val="single" w:sz="4" w:space="0" w:color="000000"/>
              <w:right w:val="single" w:sz="4" w:space="0" w:color="000000"/>
            </w:tcBorders>
          </w:tcPr>
          <w:p w14:paraId="1E0E483B" w14:textId="49EBDFB3"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Tekniklerin açıklamaları Bölüm 1.10</w:t>
            </w:r>
            <w:r w:rsidR="00E56504" w:rsidRPr="00D53A2B">
              <w:rPr>
                <w:lang w:eastAsia="en-US"/>
              </w:rPr>
              <w:t>’</w:t>
            </w:r>
            <w:r w:rsidRPr="00D53A2B">
              <w:rPr>
                <w:lang w:eastAsia="en-US"/>
              </w:rPr>
              <w:t>da verilmiştir.</w:t>
            </w:r>
          </w:p>
        </w:tc>
      </w:tr>
    </w:tbl>
    <w:p w14:paraId="00872A33" w14:textId="77777777"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53.</w:t>
      </w:r>
    </w:p>
    <w:p w14:paraId="0A024584" w14:textId="77777777" w:rsidR="007F23C9" w:rsidRPr="00D53A2B" w:rsidRDefault="00374C56" w:rsidP="00A202FD">
      <w:pPr>
        <w:jc w:val="both"/>
        <w:rPr>
          <w:bCs/>
          <w:iCs/>
          <w:spacing w:val="2"/>
          <w:lang w:eastAsia="en-US"/>
        </w:rPr>
      </w:pPr>
      <w:bookmarkStart w:id="246" w:name="_Toc527941371"/>
      <w:bookmarkStart w:id="247" w:name="_Toc531927994"/>
      <w:r w:rsidRPr="00D53A2B">
        <w:rPr>
          <w:bCs/>
          <w:iCs/>
          <w:spacing w:val="2"/>
          <w:lang w:eastAsia="en-US"/>
        </w:rPr>
        <w:t xml:space="preserve">Tablo </w:t>
      </w:r>
      <w:r w:rsidRPr="00D53A2B">
        <w:rPr>
          <w:bCs/>
          <w:noProof/>
          <w:spacing w:val="2"/>
          <w:lang w:eastAsia="en-US"/>
        </w:rPr>
        <w:t>53</w:t>
      </w:r>
    </w:p>
    <w:p w14:paraId="5C6AA218" w14:textId="2E4E398B" w:rsidR="00374C56" w:rsidRPr="00D53A2B" w:rsidRDefault="00374C56" w:rsidP="00A202FD">
      <w:pPr>
        <w:jc w:val="both"/>
        <w:rPr>
          <w:bCs/>
          <w:iCs/>
          <w:spacing w:val="2"/>
          <w:lang w:eastAsia="en-US"/>
        </w:rPr>
      </w:pPr>
      <w:r w:rsidRPr="00D53A2B">
        <w:rPr>
          <w:bCs/>
          <w:iCs/>
          <w:spacing w:val="2"/>
          <w:lang w:eastAsia="en-US"/>
        </w:rPr>
        <w:t>Pişirme işleminden kaynaklanan ve havaya salınan toz ve PAH emisyonları ile ilgili MET için emisyon seviyeleri</w:t>
      </w:r>
      <w:bookmarkEnd w:id="246"/>
      <w:bookmarkEnd w:id="247"/>
    </w:p>
    <w:tbl>
      <w:tblPr>
        <w:tblW w:w="8721" w:type="dxa"/>
        <w:tblInd w:w="94" w:type="dxa"/>
        <w:tblLayout w:type="fixed"/>
        <w:tblCellMar>
          <w:left w:w="0" w:type="dxa"/>
          <w:right w:w="0" w:type="dxa"/>
        </w:tblCellMar>
        <w:tblLook w:val="01E0" w:firstRow="1" w:lastRow="1" w:firstColumn="1" w:lastColumn="1" w:noHBand="0" w:noVBand="0"/>
      </w:tblPr>
      <w:tblGrid>
        <w:gridCol w:w="4503"/>
        <w:gridCol w:w="4218"/>
      </w:tblGrid>
      <w:tr w:rsidR="00374C56" w:rsidRPr="00D53A2B" w14:paraId="4D4FA7BC" w14:textId="77777777" w:rsidTr="00374C56">
        <w:tc>
          <w:tcPr>
            <w:tcW w:w="4503" w:type="dxa"/>
            <w:tcBorders>
              <w:top w:val="single" w:sz="4" w:space="0" w:color="000000"/>
              <w:left w:val="single" w:sz="4" w:space="0" w:color="000000"/>
              <w:bottom w:val="single" w:sz="4" w:space="0" w:color="000000"/>
              <w:right w:val="single" w:sz="4" w:space="0" w:color="000000"/>
            </w:tcBorders>
            <w:vAlign w:val="center"/>
          </w:tcPr>
          <w:p w14:paraId="01D95C13"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Parametre</w:t>
            </w:r>
          </w:p>
        </w:tc>
        <w:tc>
          <w:tcPr>
            <w:tcW w:w="4218" w:type="dxa"/>
            <w:tcBorders>
              <w:top w:val="single" w:sz="4" w:space="0" w:color="000000"/>
              <w:left w:val="single" w:sz="4" w:space="0" w:color="000000"/>
              <w:bottom w:val="single" w:sz="4" w:space="0" w:color="000000"/>
              <w:right w:val="single" w:sz="4" w:space="0" w:color="000000"/>
            </w:tcBorders>
            <w:vAlign w:val="center"/>
          </w:tcPr>
          <w:p w14:paraId="0AADEC51" w14:textId="77777777" w:rsidR="00374C56" w:rsidRPr="00D53A2B" w:rsidRDefault="00374C56" w:rsidP="00A202FD">
            <w:pPr>
              <w:spacing w:line="264" w:lineRule="auto"/>
              <w:ind w:left="57" w:right="57"/>
              <w:jc w:val="both"/>
              <w:rPr>
                <w:sz w:val="22"/>
                <w:szCs w:val="22"/>
                <w:lang w:eastAsia="en-US"/>
              </w:rPr>
            </w:pPr>
            <w:r w:rsidRPr="00D53A2B">
              <w:rPr>
                <w:b/>
                <w:bCs/>
                <w:sz w:val="22"/>
                <w:szCs w:val="22"/>
                <w:lang w:eastAsia="en-US"/>
              </w:rPr>
              <w:t>MET-İES (mg/Nm</w:t>
            </w:r>
            <w:r w:rsidRPr="00D53A2B">
              <w:rPr>
                <w:b/>
                <w:bCs/>
                <w:sz w:val="22"/>
                <w:szCs w:val="22"/>
                <w:vertAlign w:val="superscript"/>
                <w:lang w:eastAsia="en-US"/>
              </w:rPr>
              <w:t>3</w:t>
            </w:r>
            <w:r w:rsidRPr="00D53A2B">
              <w:rPr>
                <w:b/>
                <w:bCs/>
                <w:sz w:val="22"/>
                <w:szCs w:val="22"/>
                <w:lang w:eastAsia="en-US"/>
              </w:rPr>
              <w:t>) (</w:t>
            </w:r>
            <w:r w:rsidRPr="00D53A2B">
              <w:rPr>
                <w:b/>
                <w:bCs/>
                <w:sz w:val="22"/>
                <w:szCs w:val="22"/>
                <w:vertAlign w:val="superscript"/>
                <w:lang w:eastAsia="en-US"/>
              </w:rPr>
              <w:t>1</w:t>
            </w:r>
            <w:r w:rsidRPr="00D53A2B">
              <w:rPr>
                <w:b/>
                <w:bCs/>
                <w:sz w:val="22"/>
                <w:szCs w:val="22"/>
                <w:lang w:eastAsia="en-US"/>
              </w:rPr>
              <w:t>)</w:t>
            </w:r>
          </w:p>
        </w:tc>
      </w:tr>
      <w:tr w:rsidR="00374C56" w:rsidRPr="00D53A2B" w14:paraId="316AC5BA" w14:textId="77777777" w:rsidTr="00374C56">
        <w:tc>
          <w:tcPr>
            <w:tcW w:w="4503" w:type="dxa"/>
            <w:tcBorders>
              <w:top w:val="single" w:sz="4" w:space="0" w:color="000000"/>
              <w:left w:val="single" w:sz="4" w:space="0" w:color="000000"/>
              <w:bottom w:val="single" w:sz="4" w:space="0" w:color="000000"/>
              <w:right w:val="single" w:sz="4" w:space="0" w:color="000000"/>
            </w:tcBorders>
          </w:tcPr>
          <w:p w14:paraId="03E2ACA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Toz</w:t>
            </w:r>
          </w:p>
        </w:tc>
        <w:tc>
          <w:tcPr>
            <w:tcW w:w="4218" w:type="dxa"/>
            <w:tcBorders>
              <w:top w:val="single" w:sz="4" w:space="0" w:color="000000"/>
              <w:left w:val="single" w:sz="4" w:space="0" w:color="000000"/>
              <w:bottom w:val="single" w:sz="4" w:space="0" w:color="000000"/>
              <w:right w:val="single" w:sz="4" w:space="0" w:color="000000"/>
            </w:tcBorders>
            <w:vAlign w:val="center"/>
          </w:tcPr>
          <w:p w14:paraId="2A05892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2–10 (</w:t>
            </w:r>
            <w:r w:rsidRPr="00D53A2B">
              <w:rPr>
                <w:sz w:val="22"/>
                <w:szCs w:val="22"/>
                <w:vertAlign w:val="superscript"/>
                <w:lang w:eastAsia="en-US"/>
              </w:rPr>
              <w:t>2</w:t>
            </w:r>
            <w:r w:rsidRPr="00D53A2B">
              <w:rPr>
                <w:sz w:val="22"/>
                <w:szCs w:val="22"/>
                <w:lang w:eastAsia="en-US"/>
              </w:rPr>
              <w:t>)</w:t>
            </w:r>
          </w:p>
        </w:tc>
      </w:tr>
      <w:tr w:rsidR="00374C56" w:rsidRPr="00D53A2B" w14:paraId="7598DEE4" w14:textId="77777777" w:rsidTr="00374C56">
        <w:tc>
          <w:tcPr>
            <w:tcW w:w="4503" w:type="dxa"/>
            <w:tcBorders>
              <w:top w:val="single" w:sz="4" w:space="0" w:color="000000"/>
              <w:left w:val="single" w:sz="4" w:space="0" w:color="000000"/>
              <w:bottom w:val="single" w:sz="4" w:space="0" w:color="000000"/>
              <w:right w:val="single" w:sz="4" w:space="0" w:color="000000"/>
            </w:tcBorders>
          </w:tcPr>
          <w:p w14:paraId="68304B62"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BaP</w:t>
            </w:r>
          </w:p>
        </w:tc>
        <w:tc>
          <w:tcPr>
            <w:tcW w:w="4218" w:type="dxa"/>
            <w:tcBorders>
              <w:top w:val="single" w:sz="4" w:space="0" w:color="000000"/>
              <w:left w:val="single" w:sz="4" w:space="0" w:color="000000"/>
              <w:bottom w:val="single" w:sz="4" w:space="0" w:color="000000"/>
              <w:right w:val="single" w:sz="4" w:space="0" w:color="000000"/>
            </w:tcBorders>
            <w:vAlign w:val="center"/>
          </w:tcPr>
          <w:p w14:paraId="1FC8CE23" w14:textId="77777777" w:rsidR="00374C56" w:rsidRPr="00D53A2B" w:rsidRDefault="00374C56" w:rsidP="00A202FD">
            <w:pPr>
              <w:spacing w:line="264" w:lineRule="auto"/>
              <w:ind w:left="57" w:right="57"/>
              <w:jc w:val="both"/>
              <w:rPr>
                <w:sz w:val="22"/>
                <w:szCs w:val="22"/>
                <w:lang w:eastAsia="en-US"/>
              </w:rPr>
            </w:pPr>
            <w:r w:rsidRPr="00D53A2B">
              <w:rPr>
                <w:sz w:val="22"/>
                <w:szCs w:val="22"/>
                <w:lang w:eastAsia="en-US"/>
              </w:rPr>
              <w:t>0,005–0,015 (</w:t>
            </w:r>
            <w:r w:rsidRPr="00D53A2B">
              <w:rPr>
                <w:sz w:val="22"/>
                <w:szCs w:val="22"/>
                <w:vertAlign w:val="superscript"/>
                <w:lang w:eastAsia="en-US"/>
              </w:rPr>
              <w:t>3</w:t>
            </w:r>
            <w:r w:rsidRPr="00D53A2B">
              <w:rPr>
                <w:sz w:val="22"/>
                <w:szCs w:val="22"/>
                <w:lang w:eastAsia="en-US"/>
              </w:rPr>
              <w:t>)(</w:t>
            </w:r>
            <w:r w:rsidRPr="00D53A2B">
              <w:rPr>
                <w:sz w:val="22"/>
                <w:szCs w:val="22"/>
                <w:vertAlign w:val="superscript"/>
                <w:lang w:eastAsia="en-US"/>
              </w:rPr>
              <w:t>4</w:t>
            </w:r>
            <w:r w:rsidRPr="00D53A2B">
              <w:rPr>
                <w:sz w:val="22"/>
                <w:szCs w:val="22"/>
                <w:lang w:eastAsia="en-US"/>
              </w:rPr>
              <w:t>)</w:t>
            </w:r>
          </w:p>
        </w:tc>
      </w:tr>
      <w:tr w:rsidR="00374C56" w:rsidRPr="00D53A2B" w14:paraId="2574C739"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04ABCA4A" w14:textId="77777777" w:rsidR="00374C56" w:rsidRPr="00D53A2B" w:rsidRDefault="00374C56" w:rsidP="00A202FD">
            <w:pPr>
              <w:spacing w:line="264" w:lineRule="auto"/>
              <w:ind w:left="57" w:right="57"/>
              <w:jc w:val="both"/>
              <w:rPr>
                <w:sz w:val="20"/>
                <w:szCs w:val="20"/>
                <w:lang w:eastAsia="en-US"/>
              </w:rPr>
            </w:pPr>
            <w:r w:rsidRPr="00D53A2B">
              <w:rPr>
                <w:sz w:val="22"/>
                <w:szCs w:val="22"/>
                <w:lang w:eastAsia="en-US"/>
              </w:rPr>
              <w:t>(</w:t>
            </w:r>
            <w:r w:rsidRPr="00D53A2B">
              <w:rPr>
                <w:sz w:val="20"/>
                <w:szCs w:val="20"/>
                <w:lang w:eastAsia="en-US"/>
              </w:rPr>
              <w:t>1) Örnekleme dönemi boyunca alınan değerlerin ortalaması.</w:t>
            </w:r>
          </w:p>
          <w:p w14:paraId="4D7C3D4B" w14:textId="77777777" w:rsidR="00374C56" w:rsidRPr="00D53A2B" w:rsidRDefault="00374C56" w:rsidP="00A202FD">
            <w:pPr>
              <w:spacing w:line="264" w:lineRule="auto"/>
              <w:ind w:left="57" w:right="57"/>
              <w:jc w:val="both"/>
              <w:rPr>
                <w:sz w:val="20"/>
                <w:szCs w:val="20"/>
                <w:lang w:eastAsia="en-US"/>
              </w:rPr>
            </w:pPr>
            <w:r w:rsidRPr="00D53A2B">
              <w:rPr>
                <w:sz w:val="20"/>
                <w:szCs w:val="20"/>
                <w:lang w:eastAsia="en-US"/>
              </w:rPr>
              <w:t>(2) Aralığın alt sınırı ESP ve rejeneratif termal oksitleyici kombinasyonunun kullanılması ile ilişkilidir. Aralığın üst sınırı ise termal oksitleyici kullanılması ile ilişkilidir.</w:t>
            </w:r>
          </w:p>
          <w:p w14:paraId="324839DE" w14:textId="77777777" w:rsidR="00374C56" w:rsidRPr="00D53A2B" w:rsidRDefault="00374C56" w:rsidP="00A202FD">
            <w:pPr>
              <w:spacing w:line="264" w:lineRule="auto"/>
              <w:ind w:left="57" w:right="57"/>
              <w:jc w:val="both"/>
              <w:rPr>
                <w:sz w:val="20"/>
                <w:szCs w:val="20"/>
                <w:lang w:eastAsia="en-US"/>
              </w:rPr>
            </w:pPr>
            <w:r w:rsidRPr="00D53A2B">
              <w:rPr>
                <w:sz w:val="20"/>
                <w:szCs w:val="20"/>
                <w:lang w:eastAsia="en-US"/>
              </w:rPr>
              <w:t>(3) Aralığın alt sınırı termal oksitleyici kullanılması ile ilişkilidir. Aralığın üst sınırı ESP ve rejeneratif termal oksitleyici kombinasyonunun kullanılması ile ilişkilidir.</w:t>
            </w:r>
          </w:p>
          <w:p w14:paraId="17E0C867" w14:textId="6925DE24" w:rsidR="00374C56" w:rsidRPr="00D53A2B" w:rsidRDefault="00374C56" w:rsidP="00A202FD">
            <w:pPr>
              <w:spacing w:line="264" w:lineRule="auto"/>
              <w:ind w:left="57" w:right="57"/>
              <w:jc w:val="both"/>
              <w:rPr>
                <w:sz w:val="22"/>
                <w:szCs w:val="22"/>
                <w:lang w:eastAsia="en-US"/>
              </w:rPr>
            </w:pPr>
            <w:r w:rsidRPr="00D53A2B">
              <w:rPr>
                <w:sz w:val="20"/>
                <w:szCs w:val="20"/>
                <w:lang w:eastAsia="en-US"/>
              </w:rPr>
              <w:t>(4) Katot üretimi için aralığın üst sınırı 0,05 mg/Nm</w:t>
            </w:r>
            <w:r w:rsidRPr="00D53A2B">
              <w:rPr>
                <w:sz w:val="20"/>
                <w:szCs w:val="20"/>
                <w:vertAlign w:val="superscript"/>
                <w:lang w:eastAsia="en-US"/>
              </w:rPr>
              <w:t>3</w:t>
            </w:r>
            <w:r w:rsidR="00E56504" w:rsidRPr="00D53A2B">
              <w:rPr>
                <w:sz w:val="20"/>
                <w:szCs w:val="20"/>
                <w:lang w:eastAsia="en-US"/>
              </w:rPr>
              <w:t>’</w:t>
            </w:r>
            <w:r w:rsidRPr="00D53A2B">
              <w:rPr>
                <w:sz w:val="20"/>
                <w:szCs w:val="20"/>
                <w:lang w:eastAsia="en-US"/>
              </w:rPr>
              <w:t>dır.</w:t>
            </w:r>
          </w:p>
        </w:tc>
      </w:tr>
    </w:tbl>
    <w:p w14:paraId="0C0BAB34" w14:textId="4D498A29"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251BC024" w14:textId="19ED6620" w:rsidR="00374C56" w:rsidRPr="00D53A2B" w:rsidRDefault="004479E1" w:rsidP="00A202FD">
      <w:pPr>
        <w:spacing w:after="240"/>
        <w:jc w:val="both"/>
        <w:rPr>
          <w:b/>
          <w:lang w:eastAsia="en-US"/>
        </w:rPr>
      </w:pPr>
      <w:r w:rsidRPr="00D53A2B">
        <w:rPr>
          <w:b/>
          <w:spacing w:val="2"/>
          <w:lang w:eastAsia="en-US"/>
        </w:rPr>
        <w:t>MET 181:</w:t>
      </w:r>
      <w:r w:rsidR="00374C56" w:rsidRPr="00D53A2B">
        <w:rPr>
          <w:b/>
          <w:spacing w:val="2"/>
          <w:lang w:eastAsia="en-US"/>
        </w:rPr>
        <w:t xml:space="preserve"> </w:t>
      </w:r>
      <w:r w:rsidR="00374C56" w:rsidRPr="00D53A2B">
        <w:rPr>
          <w:bCs/>
          <w:spacing w:val="2"/>
          <w:lang w:eastAsia="en-US"/>
        </w:rPr>
        <w:t>Emprenye işlemlerinden kaynaklanan ve havaya salınan toz ve PAH</w:t>
      </w:r>
      <w:r w:rsidR="00374C56" w:rsidRPr="00D53A2B">
        <w:rPr>
          <w:bCs/>
          <w:lang w:eastAsia="en-US"/>
        </w:rPr>
        <w:t xml:space="preserve"> emisyonlarının azaltılması için aşağıda verilen tekniklerden biri ya da bir kombinasyonu kullanılır.</w:t>
      </w:r>
    </w:p>
    <w:tbl>
      <w:tblPr>
        <w:tblW w:w="0" w:type="auto"/>
        <w:tblInd w:w="94" w:type="dxa"/>
        <w:tblLayout w:type="fixed"/>
        <w:tblCellMar>
          <w:left w:w="0" w:type="dxa"/>
          <w:right w:w="0" w:type="dxa"/>
        </w:tblCellMar>
        <w:tblLook w:val="01E0" w:firstRow="1" w:lastRow="1" w:firstColumn="1" w:lastColumn="1" w:noHBand="0" w:noVBand="0"/>
      </w:tblPr>
      <w:tblGrid>
        <w:gridCol w:w="437"/>
        <w:gridCol w:w="8284"/>
      </w:tblGrid>
      <w:tr w:rsidR="00374C56" w:rsidRPr="00D53A2B" w14:paraId="0F15210B" w14:textId="77777777" w:rsidTr="00374C56">
        <w:tc>
          <w:tcPr>
            <w:tcW w:w="437" w:type="dxa"/>
            <w:tcBorders>
              <w:top w:val="single" w:sz="4" w:space="0" w:color="000000"/>
              <w:left w:val="single" w:sz="4" w:space="0" w:color="000000"/>
              <w:bottom w:val="single" w:sz="4" w:space="0" w:color="000000"/>
              <w:right w:val="single" w:sz="4" w:space="0" w:color="000000"/>
            </w:tcBorders>
          </w:tcPr>
          <w:p w14:paraId="34A6DD93" w14:textId="77777777" w:rsidR="00374C56" w:rsidRPr="00D53A2B" w:rsidRDefault="00374C56" w:rsidP="00A202FD">
            <w:pPr>
              <w:spacing w:line="264" w:lineRule="auto"/>
              <w:ind w:left="57" w:right="57"/>
              <w:jc w:val="both"/>
              <w:rPr>
                <w:lang w:eastAsia="en-US"/>
              </w:rPr>
            </w:pPr>
          </w:p>
        </w:tc>
        <w:tc>
          <w:tcPr>
            <w:tcW w:w="8284" w:type="dxa"/>
            <w:tcBorders>
              <w:top w:val="single" w:sz="4" w:space="0" w:color="000000"/>
              <w:left w:val="single" w:sz="4" w:space="0" w:color="000000"/>
              <w:bottom w:val="single" w:sz="4" w:space="0" w:color="000000"/>
              <w:right w:val="single" w:sz="4" w:space="0" w:color="000000"/>
            </w:tcBorders>
          </w:tcPr>
          <w:p w14:paraId="008F2899" w14:textId="77777777" w:rsidR="00374C56" w:rsidRPr="00D53A2B" w:rsidRDefault="00374C56" w:rsidP="00A202FD">
            <w:pPr>
              <w:spacing w:line="264" w:lineRule="auto"/>
              <w:ind w:left="57" w:right="57"/>
              <w:jc w:val="both"/>
              <w:rPr>
                <w:lang w:eastAsia="en-US"/>
              </w:rPr>
            </w:pPr>
            <w:r w:rsidRPr="00D53A2B">
              <w:rPr>
                <w:b/>
                <w:bCs/>
                <w:lang w:eastAsia="en-US"/>
              </w:rPr>
              <w:t>Teknik (</w:t>
            </w:r>
            <w:r w:rsidRPr="00D53A2B">
              <w:rPr>
                <w:b/>
                <w:bCs/>
                <w:vertAlign w:val="superscript"/>
                <w:lang w:eastAsia="en-US"/>
              </w:rPr>
              <w:t>1</w:t>
            </w:r>
            <w:r w:rsidRPr="00D53A2B">
              <w:rPr>
                <w:b/>
                <w:bCs/>
                <w:lang w:eastAsia="en-US"/>
              </w:rPr>
              <w:t>)</w:t>
            </w:r>
          </w:p>
        </w:tc>
      </w:tr>
      <w:tr w:rsidR="00374C56" w:rsidRPr="00D53A2B" w14:paraId="55DB774F" w14:textId="77777777" w:rsidTr="00374C56">
        <w:tc>
          <w:tcPr>
            <w:tcW w:w="437" w:type="dxa"/>
            <w:tcBorders>
              <w:top w:val="single" w:sz="4" w:space="0" w:color="000000"/>
              <w:left w:val="single" w:sz="4" w:space="0" w:color="000000"/>
              <w:bottom w:val="single" w:sz="4" w:space="0" w:color="000000"/>
              <w:right w:val="single" w:sz="4" w:space="0" w:color="000000"/>
            </w:tcBorders>
          </w:tcPr>
          <w:p w14:paraId="38A163F6" w14:textId="77777777" w:rsidR="00374C56" w:rsidRPr="00D53A2B" w:rsidRDefault="00374C56" w:rsidP="00A202FD">
            <w:pPr>
              <w:spacing w:line="264" w:lineRule="auto"/>
              <w:ind w:left="57" w:right="57"/>
              <w:jc w:val="both"/>
              <w:rPr>
                <w:lang w:eastAsia="en-US"/>
              </w:rPr>
            </w:pPr>
            <w:r w:rsidRPr="00D53A2B">
              <w:rPr>
                <w:lang w:eastAsia="en-US"/>
              </w:rPr>
              <w:t>a</w:t>
            </w:r>
          </w:p>
        </w:tc>
        <w:tc>
          <w:tcPr>
            <w:tcW w:w="8284" w:type="dxa"/>
            <w:tcBorders>
              <w:top w:val="single" w:sz="4" w:space="0" w:color="000000"/>
              <w:left w:val="single" w:sz="4" w:space="0" w:color="000000"/>
              <w:bottom w:val="single" w:sz="4" w:space="0" w:color="000000"/>
              <w:right w:val="single" w:sz="4" w:space="0" w:color="000000"/>
            </w:tcBorders>
          </w:tcPr>
          <w:p w14:paraId="2284A5DB" w14:textId="77777777" w:rsidR="00374C56" w:rsidRPr="00D53A2B" w:rsidRDefault="00374C56" w:rsidP="00A202FD">
            <w:pPr>
              <w:spacing w:line="264" w:lineRule="auto"/>
              <w:ind w:left="57" w:right="57"/>
              <w:jc w:val="both"/>
              <w:rPr>
                <w:lang w:eastAsia="en-US"/>
              </w:rPr>
            </w:pPr>
            <w:r w:rsidRPr="00D53A2B">
              <w:rPr>
                <w:lang w:eastAsia="en-US"/>
              </w:rPr>
              <w:t xml:space="preserve">Kuru gaz </w:t>
            </w:r>
            <w:r w:rsidRPr="00D53A2B">
              <w:rPr>
                <w:spacing w:val="2"/>
                <w:lang w:eastAsia="en-US"/>
              </w:rPr>
              <w:t xml:space="preserve">yıkayıcıyı </w:t>
            </w:r>
            <w:r w:rsidRPr="00D53A2B">
              <w:rPr>
                <w:lang w:eastAsia="en-US"/>
              </w:rPr>
              <w:t>takiben bir torba filtre kullanılması</w:t>
            </w:r>
          </w:p>
        </w:tc>
      </w:tr>
      <w:tr w:rsidR="00374C56" w:rsidRPr="00D53A2B" w14:paraId="6529E539" w14:textId="77777777" w:rsidTr="00374C56">
        <w:tc>
          <w:tcPr>
            <w:tcW w:w="437" w:type="dxa"/>
            <w:tcBorders>
              <w:top w:val="single" w:sz="4" w:space="0" w:color="000000"/>
              <w:left w:val="single" w:sz="4" w:space="0" w:color="000000"/>
              <w:bottom w:val="single" w:sz="4" w:space="0" w:color="000000"/>
              <w:right w:val="single" w:sz="4" w:space="0" w:color="000000"/>
            </w:tcBorders>
          </w:tcPr>
          <w:p w14:paraId="5F7CE6BE" w14:textId="77777777" w:rsidR="00374C56" w:rsidRPr="00D53A2B" w:rsidRDefault="00374C56" w:rsidP="00A202FD">
            <w:pPr>
              <w:spacing w:line="264" w:lineRule="auto"/>
              <w:ind w:left="57" w:right="57"/>
              <w:jc w:val="both"/>
              <w:rPr>
                <w:lang w:eastAsia="en-US"/>
              </w:rPr>
            </w:pPr>
            <w:r w:rsidRPr="00D53A2B">
              <w:rPr>
                <w:lang w:eastAsia="en-US"/>
              </w:rPr>
              <w:t>b</w:t>
            </w:r>
          </w:p>
        </w:tc>
        <w:tc>
          <w:tcPr>
            <w:tcW w:w="8284" w:type="dxa"/>
            <w:tcBorders>
              <w:top w:val="single" w:sz="4" w:space="0" w:color="000000"/>
              <w:left w:val="single" w:sz="4" w:space="0" w:color="000000"/>
              <w:bottom w:val="single" w:sz="4" w:space="0" w:color="000000"/>
              <w:right w:val="single" w:sz="4" w:space="0" w:color="000000"/>
            </w:tcBorders>
          </w:tcPr>
          <w:p w14:paraId="55ACE715" w14:textId="77777777" w:rsidR="00374C56" w:rsidRPr="00D53A2B" w:rsidRDefault="00374C56" w:rsidP="00A202FD">
            <w:pPr>
              <w:spacing w:line="264" w:lineRule="auto"/>
              <w:ind w:left="57" w:right="57"/>
              <w:jc w:val="both"/>
              <w:rPr>
                <w:lang w:eastAsia="en-US"/>
              </w:rPr>
            </w:pPr>
            <w:r w:rsidRPr="00D53A2B">
              <w:rPr>
                <w:lang w:eastAsia="en-US"/>
              </w:rPr>
              <w:t>Kok filtresi</w:t>
            </w:r>
          </w:p>
        </w:tc>
      </w:tr>
      <w:tr w:rsidR="00374C56" w:rsidRPr="00D53A2B" w14:paraId="0936A1C1" w14:textId="77777777" w:rsidTr="00374C56">
        <w:tc>
          <w:tcPr>
            <w:tcW w:w="437" w:type="dxa"/>
            <w:tcBorders>
              <w:top w:val="single" w:sz="4" w:space="0" w:color="000000"/>
              <w:left w:val="single" w:sz="4" w:space="0" w:color="000000"/>
              <w:bottom w:val="single" w:sz="4" w:space="0" w:color="000000"/>
              <w:right w:val="single" w:sz="4" w:space="0" w:color="000000"/>
            </w:tcBorders>
          </w:tcPr>
          <w:p w14:paraId="134B9852" w14:textId="77777777" w:rsidR="00374C56" w:rsidRPr="00D53A2B" w:rsidRDefault="00374C56" w:rsidP="00A202FD">
            <w:pPr>
              <w:spacing w:line="264" w:lineRule="auto"/>
              <w:ind w:left="57" w:right="57"/>
              <w:jc w:val="both"/>
              <w:rPr>
                <w:lang w:eastAsia="en-US"/>
              </w:rPr>
            </w:pPr>
            <w:r w:rsidRPr="00D53A2B">
              <w:rPr>
                <w:lang w:eastAsia="en-US"/>
              </w:rPr>
              <w:t>c</w:t>
            </w:r>
          </w:p>
        </w:tc>
        <w:tc>
          <w:tcPr>
            <w:tcW w:w="8284" w:type="dxa"/>
            <w:tcBorders>
              <w:top w:val="single" w:sz="4" w:space="0" w:color="000000"/>
              <w:left w:val="single" w:sz="4" w:space="0" w:color="000000"/>
              <w:bottom w:val="single" w:sz="4" w:space="0" w:color="000000"/>
              <w:right w:val="single" w:sz="4" w:space="0" w:color="000000"/>
            </w:tcBorders>
          </w:tcPr>
          <w:p w14:paraId="561F48BF" w14:textId="77777777" w:rsidR="00374C56" w:rsidRPr="00D53A2B" w:rsidRDefault="00374C56" w:rsidP="00A202FD">
            <w:pPr>
              <w:spacing w:line="264" w:lineRule="auto"/>
              <w:ind w:left="57" w:right="57"/>
              <w:jc w:val="both"/>
              <w:rPr>
                <w:lang w:eastAsia="en-US"/>
              </w:rPr>
            </w:pPr>
            <w:r w:rsidRPr="00D53A2B">
              <w:rPr>
                <w:lang w:eastAsia="en-US"/>
              </w:rPr>
              <w:t>Termal oksitleyici</w:t>
            </w:r>
          </w:p>
        </w:tc>
      </w:tr>
      <w:tr w:rsidR="00374C56" w:rsidRPr="00D53A2B" w14:paraId="56F3DAA5"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0FE81ED7" w14:textId="342309CC"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Tekniklerin açıklamaları Bölüm 1.10</w:t>
            </w:r>
            <w:r w:rsidR="00E56504" w:rsidRPr="00D53A2B">
              <w:rPr>
                <w:lang w:eastAsia="en-US"/>
              </w:rPr>
              <w:t>’</w:t>
            </w:r>
            <w:r w:rsidRPr="00D53A2B">
              <w:rPr>
                <w:lang w:eastAsia="en-US"/>
              </w:rPr>
              <w:t>da verilmiştir.</w:t>
            </w:r>
          </w:p>
        </w:tc>
      </w:tr>
    </w:tbl>
    <w:p w14:paraId="037228A3" w14:textId="6A7D9089" w:rsidR="00374C56" w:rsidRPr="00D53A2B" w:rsidRDefault="00374C56" w:rsidP="00A202FD">
      <w:pPr>
        <w:spacing w:before="240" w:after="240"/>
        <w:jc w:val="both"/>
        <w:rPr>
          <w:lang w:eastAsia="en-US"/>
        </w:rPr>
      </w:pPr>
      <w:r w:rsidRPr="00D53A2B">
        <w:rPr>
          <w:b/>
          <w:lang w:eastAsia="en-US"/>
        </w:rPr>
        <w:t xml:space="preserve">MET ile ilişkili emisyon seviyeleri: </w:t>
      </w:r>
      <w:r w:rsidRPr="00D53A2B">
        <w:rPr>
          <w:lang w:eastAsia="en-US"/>
        </w:rPr>
        <w:t>Bkz. Tablo 54.</w:t>
      </w:r>
    </w:p>
    <w:p w14:paraId="19F02D0D" w14:textId="77777777" w:rsidR="007F23C9" w:rsidRPr="00D53A2B" w:rsidRDefault="00374C56" w:rsidP="00A202FD">
      <w:pPr>
        <w:jc w:val="both"/>
        <w:rPr>
          <w:bCs/>
          <w:iCs/>
          <w:spacing w:val="2"/>
          <w:lang w:eastAsia="en-US"/>
        </w:rPr>
      </w:pPr>
      <w:bookmarkStart w:id="248" w:name="_Toc527941372"/>
      <w:bookmarkStart w:id="249" w:name="_Toc531927995"/>
      <w:r w:rsidRPr="00D53A2B">
        <w:rPr>
          <w:bCs/>
          <w:iCs/>
          <w:spacing w:val="2"/>
          <w:lang w:eastAsia="en-US"/>
        </w:rPr>
        <w:t>Tablo 54</w:t>
      </w:r>
    </w:p>
    <w:p w14:paraId="4D8DA40B" w14:textId="2D11AB95" w:rsidR="00374C56" w:rsidRPr="00D53A2B" w:rsidRDefault="00374C56" w:rsidP="00A202FD">
      <w:pPr>
        <w:jc w:val="both"/>
        <w:rPr>
          <w:bCs/>
          <w:iCs/>
          <w:spacing w:val="2"/>
          <w:lang w:eastAsia="en-US"/>
        </w:rPr>
      </w:pPr>
      <w:r w:rsidRPr="00D53A2B">
        <w:rPr>
          <w:bCs/>
          <w:iCs/>
          <w:spacing w:val="2"/>
          <w:lang w:eastAsia="en-US"/>
        </w:rPr>
        <w:t>Emprenye işlemlerinden kaynaklanan ve havaya salınan toz ve BaP (PAH göstergesi olarak) emisyonları ile ilgili MET için emisyon seviyeleri</w:t>
      </w:r>
      <w:bookmarkEnd w:id="248"/>
      <w:bookmarkEnd w:id="249"/>
    </w:p>
    <w:tbl>
      <w:tblPr>
        <w:tblW w:w="0" w:type="auto"/>
        <w:tblInd w:w="147" w:type="dxa"/>
        <w:tblLayout w:type="fixed"/>
        <w:tblCellMar>
          <w:left w:w="0" w:type="dxa"/>
          <w:right w:w="0" w:type="dxa"/>
        </w:tblCellMar>
        <w:tblLook w:val="01E0" w:firstRow="1" w:lastRow="1" w:firstColumn="1" w:lastColumn="1" w:noHBand="0" w:noVBand="0"/>
      </w:tblPr>
      <w:tblGrid>
        <w:gridCol w:w="4364"/>
        <w:gridCol w:w="4357"/>
      </w:tblGrid>
      <w:tr w:rsidR="00374C56" w:rsidRPr="00D53A2B" w14:paraId="0F23627D" w14:textId="77777777" w:rsidTr="00374C56">
        <w:tc>
          <w:tcPr>
            <w:tcW w:w="4364" w:type="dxa"/>
            <w:tcBorders>
              <w:top w:val="single" w:sz="4" w:space="0" w:color="000000"/>
              <w:left w:val="single" w:sz="4" w:space="0" w:color="000000"/>
              <w:bottom w:val="single" w:sz="4" w:space="0" w:color="000000"/>
              <w:right w:val="single" w:sz="4" w:space="0" w:color="000000"/>
            </w:tcBorders>
            <w:vAlign w:val="center"/>
          </w:tcPr>
          <w:p w14:paraId="4DDB27FE"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4357" w:type="dxa"/>
            <w:tcBorders>
              <w:top w:val="single" w:sz="4" w:space="0" w:color="000000"/>
              <w:left w:val="single" w:sz="4" w:space="0" w:color="000000"/>
              <w:bottom w:val="single" w:sz="4" w:space="0" w:color="000000"/>
              <w:right w:val="single" w:sz="4" w:space="0" w:color="000000"/>
            </w:tcBorders>
            <w:vAlign w:val="center"/>
          </w:tcPr>
          <w:p w14:paraId="6B9A079F" w14:textId="77777777" w:rsidR="00374C56" w:rsidRPr="00D53A2B" w:rsidRDefault="00374C56" w:rsidP="00A202FD">
            <w:pPr>
              <w:spacing w:line="264" w:lineRule="auto"/>
              <w:ind w:left="57" w:right="57"/>
              <w:jc w:val="both"/>
              <w:rPr>
                <w:lang w:eastAsia="en-US"/>
              </w:rPr>
            </w:pPr>
            <w:r w:rsidRPr="00D53A2B">
              <w:rPr>
                <w:b/>
                <w:bCs/>
                <w:lang w:eastAsia="en-US"/>
              </w:rPr>
              <w:t>MET-İES (mg/Nm</w:t>
            </w:r>
            <w:r w:rsidRPr="00D53A2B">
              <w:rPr>
                <w:b/>
                <w:bCs/>
                <w:vertAlign w:val="superscript"/>
                <w:lang w:eastAsia="en-US"/>
              </w:rPr>
              <w:t>3</w:t>
            </w:r>
            <w:r w:rsidRPr="00D53A2B">
              <w:rPr>
                <w:b/>
                <w:bCs/>
                <w:lang w:eastAsia="en-US"/>
              </w:rPr>
              <w:t>) (</w:t>
            </w:r>
            <w:r w:rsidRPr="00D53A2B">
              <w:rPr>
                <w:b/>
                <w:bCs/>
                <w:vertAlign w:val="superscript"/>
                <w:lang w:eastAsia="en-US"/>
              </w:rPr>
              <w:t>1</w:t>
            </w:r>
            <w:r w:rsidRPr="00D53A2B">
              <w:rPr>
                <w:b/>
                <w:bCs/>
                <w:lang w:eastAsia="en-US"/>
              </w:rPr>
              <w:t>)</w:t>
            </w:r>
          </w:p>
        </w:tc>
      </w:tr>
      <w:tr w:rsidR="00374C56" w:rsidRPr="00D53A2B" w14:paraId="15339BBD" w14:textId="77777777" w:rsidTr="00374C56">
        <w:tc>
          <w:tcPr>
            <w:tcW w:w="4364" w:type="dxa"/>
            <w:tcBorders>
              <w:top w:val="single" w:sz="4" w:space="0" w:color="000000"/>
              <w:left w:val="single" w:sz="4" w:space="0" w:color="000000"/>
              <w:bottom w:val="single" w:sz="4" w:space="0" w:color="000000"/>
              <w:right w:val="single" w:sz="4" w:space="0" w:color="000000"/>
            </w:tcBorders>
          </w:tcPr>
          <w:p w14:paraId="5B861579" w14:textId="77777777" w:rsidR="00374C56" w:rsidRPr="00D53A2B" w:rsidRDefault="00374C56" w:rsidP="00A202FD">
            <w:pPr>
              <w:spacing w:line="264" w:lineRule="auto"/>
              <w:ind w:left="57" w:right="57"/>
              <w:jc w:val="both"/>
              <w:rPr>
                <w:lang w:eastAsia="en-US"/>
              </w:rPr>
            </w:pPr>
            <w:r w:rsidRPr="00D53A2B">
              <w:rPr>
                <w:lang w:eastAsia="en-US"/>
              </w:rPr>
              <w:t>Toz</w:t>
            </w:r>
          </w:p>
        </w:tc>
        <w:tc>
          <w:tcPr>
            <w:tcW w:w="4357" w:type="dxa"/>
            <w:tcBorders>
              <w:top w:val="single" w:sz="4" w:space="0" w:color="000000"/>
              <w:left w:val="single" w:sz="4" w:space="0" w:color="000000"/>
              <w:bottom w:val="single" w:sz="4" w:space="0" w:color="000000"/>
              <w:right w:val="single" w:sz="4" w:space="0" w:color="000000"/>
            </w:tcBorders>
            <w:vAlign w:val="center"/>
          </w:tcPr>
          <w:p w14:paraId="41F2A869" w14:textId="77777777" w:rsidR="00374C56" w:rsidRPr="00D53A2B" w:rsidRDefault="00374C56" w:rsidP="00A202FD">
            <w:pPr>
              <w:spacing w:line="264" w:lineRule="auto"/>
              <w:ind w:left="57" w:right="57"/>
              <w:jc w:val="both"/>
              <w:rPr>
                <w:lang w:eastAsia="en-US"/>
              </w:rPr>
            </w:pPr>
            <w:r w:rsidRPr="00D53A2B">
              <w:rPr>
                <w:lang w:eastAsia="en-US"/>
              </w:rPr>
              <w:t>2–10</w:t>
            </w:r>
          </w:p>
        </w:tc>
      </w:tr>
      <w:tr w:rsidR="00374C56" w:rsidRPr="00D53A2B" w14:paraId="375ECB84" w14:textId="77777777" w:rsidTr="00374C56">
        <w:tc>
          <w:tcPr>
            <w:tcW w:w="4364" w:type="dxa"/>
            <w:tcBorders>
              <w:top w:val="single" w:sz="4" w:space="0" w:color="000000"/>
              <w:left w:val="single" w:sz="4" w:space="0" w:color="000000"/>
              <w:bottom w:val="single" w:sz="4" w:space="0" w:color="000000"/>
              <w:right w:val="single" w:sz="4" w:space="0" w:color="000000"/>
            </w:tcBorders>
          </w:tcPr>
          <w:p w14:paraId="77EA6218" w14:textId="77777777" w:rsidR="00374C56" w:rsidRPr="00D53A2B" w:rsidRDefault="00374C56" w:rsidP="00A202FD">
            <w:pPr>
              <w:spacing w:line="264" w:lineRule="auto"/>
              <w:ind w:left="57" w:right="57"/>
              <w:jc w:val="both"/>
              <w:rPr>
                <w:lang w:eastAsia="en-US"/>
              </w:rPr>
            </w:pPr>
            <w:r w:rsidRPr="00D53A2B">
              <w:rPr>
                <w:lang w:eastAsia="en-US"/>
              </w:rPr>
              <w:t>BaP</w:t>
            </w:r>
          </w:p>
        </w:tc>
        <w:tc>
          <w:tcPr>
            <w:tcW w:w="4357" w:type="dxa"/>
            <w:tcBorders>
              <w:top w:val="single" w:sz="4" w:space="0" w:color="000000"/>
              <w:left w:val="single" w:sz="4" w:space="0" w:color="000000"/>
              <w:bottom w:val="single" w:sz="4" w:space="0" w:color="000000"/>
              <w:right w:val="single" w:sz="4" w:space="0" w:color="000000"/>
            </w:tcBorders>
            <w:vAlign w:val="center"/>
          </w:tcPr>
          <w:p w14:paraId="75C23B03" w14:textId="77777777" w:rsidR="00374C56" w:rsidRPr="00D53A2B" w:rsidRDefault="00374C56" w:rsidP="00A202FD">
            <w:pPr>
              <w:spacing w:line="264" w:lineRule="auto"/>
              <w:ind w:left="57" w:right="57"/>
              <w:jc w:val="both"/>
              <w:rPr>
                <w:lang w:eastAsia="en-US"/>
              </w:rPr>
            </w:pPr>
            <w:r w:rsidRPr="00D53A2B">
              <w:rPr>
                <w:lang w:eastAsia="en-US"/>
              </w:rPr>
              <w:t>0,001–0,01</w:t>
            </w:r>
          </w:p>
        </w:tc>
      </w:tr>
      <w:tr w:rsidR="00374C56" w:rsidRPr="00D53A2B" w14:paraId="35BFB9DF"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4AB2504F" w14:textId="77777777" w:rsidR="00374C56" w:rsidRPr="00D53A2B" w:rsidRDefault="00374C56" w:rsidP="00A202FD">
            <w:pPr>
              <w:spacing w:line="264" w:lineRule="auto"/>
              <w:ind w:left="57" w:right="57"/>
              <w:jc w:val="both"/>
              <w:rPr>
                <w:lang w:eastAsia="en-US"/>
              </w:rPr>
            </w:pPr>
            <w:r w:rsidRPr="00D53A2B">
              <w:rPr>
                <w:lang w:eastAsia="en-US"/>
              </w:rPr>
              <w:t>(</w:t>
            </w:r>
            <w:r w:rsidRPr="00D53A2B">
              <w:rPr>
                <w:vertAlign w:val="superscript"/>
                <w:lang w:eastAsia="en-US"/>
              </w:rPr>
              <w:t>1</w:t>
            </w:r>
            <w:r w:rsidRPr="00D53A2B">
              <w:rPr>
                <w:lang w:eastAsia="en-US"/>
              </w:rPr>
              <w:t>) : Örnekleme dönemi boyunca alınan değerlerin ortalaması.</w:t>
            </w:r>
          </w:p>
        </w:tc>
      </w:tr>
    </w:tbl>
    <w:p w14:paraId="174A6B51" w14:textId="6B939EE7"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1D03CAF5" w14:textId="281A0A07" w:rsidR="00374C56" w:rsidRPr="00D53A2B" w:rsidRDefault="00867EA7" w:rsidP="00A202FD">
      <w:pPr>
        <w:pStyle w:val="Balk4"/>
        <w:rPr>
          <w:rFonts w:cs="Times New Roman"/>
          <w:lang w:val="en-US" w:eastAsia="en-US"/>
        </w:rPr>
      </w:pPr>
      <w:bookmarkStart w:id="250" w:name="_Toc527940773"/>
      <w:bookmarkStart w:id="251" w:name="_Toc531927929"/>
      <w:r w:rsidRPr="00D53A2B">
        <w:rPr>
          <w:rFonts w:cs="Times New Roman"/>
          <w:lang w:val="en-US" w:eastAsia="en-US"/>
        </w:rPr>
        <w:t>1.</w:t>
      </w:r>
      <w:r w:rsidR="00374C56" w:rsidRPr="00D53A2B">
        <w:rPr>
          <w:rFonts w:cs="Times New Roman"/>
          <w:lang w:val="en-US" w:eastAsia="en-US"/>
        </w:rPr>
        <w:t>9.1.3.</w:t>
      </w:r>
      <w:r w:rsidR="00663489" w:rsidRPr="00D53A2B">
        <w:rPr>
          <w:rFonts w:cs="Times New Roman"/>
          <w:lang w:val="en-US" w:eastAsia="en-US"/>
        </w:rPr>
        <w:t xml:space="preserve"> </w:t>
      </w:r>
      <w:r w:rsidR="00374C56" w:rsidRPr="00D53A2B">
        <w:rPr>
          <w:rFonts w:cs="Times New Roman"/>
          <w:lang w:val="en-US" w:eastAsia="en-US"/>
        </w:rPr>
        <w:t>Kükürt dioksit emisyonları</w:t>
      </w:r>
      <w:bookmarkEnd w:id="250"/>
      <w:bookmarkEnd w:id="251"/>
    </w:p>
    <w:p w14:paraId="358DEC40" w14:textId="1E6EA791" w:rsidR="00374C56" w:rsidRPr="00D53A2B" w:rsidRDefault="004479E1" w:rsidP="00A202FD">
      <w:pPr>
        <w:spacing w:after="240"/>
        <w:jc w:val="both"/>
        <w:rPr>
          <w:b/>
          <w:lang w:eastAsia="en-US"/>
        </w:rPr>
      </w:pPr>
      <w:r w:rsidRPr="00D53A2B">
        <w:rPr>
          <w:b/>
          <w:lang w:eastAsia="en-US"/>
        </w:rPr>
        <w:t>MET 182:</w:t>
      </w:r>
      <w:r w:rsidR="00374C56" w:rsidRPr="00D53A2B">
        <w:rPr>
          <w:b/>
          <w:lang w:eastAsia="en-US"/>
        </w:rPr>
        <w:t xml:space="preserve"> </w:t>
      </w:r>
      <w:r w:rsidR="00374C56" w:rsidRPr="00D53A2B">
        <w:rPr>
          <w:bCs/>
          <w:lang w:eastAsia="en-US"/>
        </w:rPr>
        <w:t>Proseste bir kükürt ilavesi olduğunda havaya salınan SO</w:t>
      </w:r>
      <w:r w:rsidR="00374C56" w:rsidRPr="00D53A2B">
        <w:rPr>
          <w:bCs/>
          <w:vertAlign w:val="subscript"/>
          <w:lang w:eastAsia="en-US"/>
        </w:rPr>
        <w:t>2</w:t>
      </w:r>
      <w:r w:rsidR="00374C56" w:rsidRPr="00D53A2B">
        <w:rPr>
          <w:bCs/>
          <w:lang w:eastAsia="en-US"/>
        </w:rPr>
        <w:t xml:space="preserve"> emisyonların azaltılması için kullanılan MET, bir kuru ve/veya ıslak gaz yıkayıcı kullanılmasıdır.</w:t>
      </w:r>
    </w:p>
    <w:p w14:paraId="20AD2586" w14:textId="28684892" w:rsidR="00374C56" w:rsidRPr="00D53A2B" w:rsidRDefault="00867EA7" w:rsidP="00A202FD">
      <w:pPr>
        <w:pStyle w:val="Balk4"/>
        <w:rPr>
          <w:rFonts w:cs="Times New Roman"/>
          <w:lang w:val="en-US" w:eastAsia="en-US"/>
        </w:rPr>
      </w:pPr>
      <w:bookmarkStart w:id="252" w:name="_Toc527940774"/>
      <w:bookmarkStart w:id="253" w:name="_Toc531927930"/>
      <w:r w:rsidRPr="00D53A2B">
        <w:rPr>
          <w:rFonts w:cs="Times New Roman"/>
          <w:lang w:val="en-US" w:eastAsia="en-US"/>
        </w:rPr>
        <w:t>1.</w:t>
      </w:r>
      <w:r w:rsidR="00374C56" w:rsidRPr="00D53A2B">
        <w:rPr>
          <w:rFonts w:cs="Times New Roman"/>
          <w:lang w:val="en-US" w:eastAsia="en-US"/>
        </w:rPr>
        <w:t>9.1.4.</w:t>
      </w:r>
      <w:r w:rsidR="00663489" w:rsidRPr="00D53A2B">
        <w:rPr>
          <w:rFonts w:cs="Times New Roman"/>
          <w:lang w:val="en-US" w:eastAsia="en-US"/>
        </w:rPr>
        <w:t xml:space="preserve"> </w:t>
      </w:r>
      <w:r w:rsidR="00374C56" w:rsidRPr="00D53A2B">
        <w:rPr>
          <w:rFonts w:cs="Times New Roman"/>
          <w:lang w:val="en-US" w:eastAsia="en-US"/>
        </w:rPr>
        <w:t>Organik bileşik emisyonları</w:t>
      </w:r>
      <w:bookmarkEnd w:id="252"/>
      <w:bookmarkEnd w:id="253"/>
    </w:p>
    <w:p w14:paraId="2D854A17" w14:textId="549A2647" w:rsidR="00374C56" w:rsidRPr="00D53A2B" w:rsidRDefault="004479E1" w:rsidP="00A202FD">
      <w:pPr>
        <w:spacing w:after="240"/>
        <w:jc w:val="both"/>
        <w:rPr>
          <w:b/>
          <w:lang w:eastAsia="en-US"/>
        </w:rPr>
      </w:pPr>
      <w:r w:rsidRPr="00D53A2B">
        <w:rPr>
          <w:b/>
          <w:lang w:eastAsia="en-US"/>
        </w:rPr>
        <w:t>MET 183:</w:t>
      </w:r>
      <w:r w:rsidR="00374C56" w:rsidRPr="00D53A2B">
        <w:rPr>
          <w:b/>
          <w:lang w:eastAsia="en-US"/>
        </w:rPr>
        <w:t xml:space="preserve"> </w:t>
      </w:r>
      <w:r w:rsidR="00374C56" w:rsidRPr="00D53A2B">
        <w:rPr>
          <w:bCs/>
          <w:lang w:eastAsia="en-US"/>
        </w:rPr>
        <w:t>Reçineler ve biyolojik olarak bozunabilen çözeltiler gibi emprenye maddelerinin kullanıldığı emprenye işleminde fenol ve formaldehitten kaynaklanan organik bileşik emisyonlarının azaltılması için aşağıda verilen tekniklerden biri kullanılır.</w:t>
      </w:r>
    </w:p>
    <w:tbl>
      <w:tblPr>
        <w:tblW w:w="8721" w:type="dxa"/>
        <w:tblInd w:w="5" w:type="dxa"/>
        <w:tblLayout w:type="fixed"/>
        <w:tblCellMar>
          <w:left w:w="0" w:type="dxa"/>
          <w:right w:w="0" w:type="dxa"/>
        </w:tblCellMar>
        <w:tblLook w:val="01E0" w:firstRow="1" w:lastRow="1" w:firstColumn="1" w:lastColumn="1" w:noHBand="0" w:noVBand="0"/>
      </w:tblPr>
      <w:tblGrid>
        <w:gridCol w:w="334"/>
        <w:gridCol w:w="8387"/>
      </w:tblGrid>
      <w:tr w:rsidR="00374C56" w:rsidRPr="00D53A2B" w14:paraId="33C56748" w14:textId="77777777" w:rsidTr="00374C56">
        <w:tc>
          <w:tcPr>
            <w:tcW w:w="334" w:type="dxa"/>
            <w:tcBorders>
              <w:top w:val="single" w:sz="4" w:space="0" w:color="000000"/>
              <w:left w:val="single" w:sz="4" w:space="0" w:color="000000"/>
              <w:bottom w:val="single" w:sz="4" w:space="0" w:color="000000"/>
              <w:right w:val="single" w:sz="4" w:space="0" w:color="000000"/>
            </w:tcBorders>
          </w:tcPr>
          <w:p w14:paraId="6D7827F9" w14:textId="77777777" w:rsidR="00374C56" w:rsidRPr="00D53A2B" w:rsidRDefault="00374C56" w:rsidP="00A202FD">
            <w:pPr>
              <w:spacing w:line="264" w:lineRule="auto"/>
              <w:ind w:left="57" w:right="57"/>
              <w:jc w:val="both"/>
              <w:rPr>
                <w:lang w:eastAsia="en-US"/>
              </w:rPr>
            </w:pPr>
          </w:p>
        </w:tc>
        <w:tc>
          <w:tcPr>
            <w:tcW w:w="8387" w:type="dxa"/>
            <w:tcBorders>
              <w:top w:val="single" w:sz="4" w:space="0" w:color="000000"/>
              <w:left w:val="single" w:sz="4" w:space="0" w:color="000000"/>
              <w:bottom w:val="single" w:sz="4" w:space="0" w:color="000000"/>
              <w:right w:val="single" w:sz="4" w:space="0" w:color="000000"/>
            </w:tcBorders>
          </w:tcPr>
          <w:p w14:paraId="35A27092" w14:textId="77777777" w:rsidR="00374C56" w:rsidRPr="00D53A2B" w:rsidRDefault="00374C56" w:rsidP="00A202FD">
            <w:pPr>
              <w:spacing w:line="264" w:lineRule="auto"/>
              <w:ind w:left="57" w:right="57"/>
              <w:jc w:val="both"/>
              <w:rPr>
                <w:lang w:eastAsia="en-US"/>
              </w:rPr>
            </w:pPr>
            <w:r w:rsidRPr="00D53A2B">
              <w:rPr>
                <w:b/>
                <w:bCs/>
                <w:lang w:eastAsia="en-US"/>
              </w:rPr>
              <w:t>Teknik (</w:t>
            </w:r>
            <w:r w:rsidRPr="00D53A2B">
              <w:rPr>
                <w:b/>
                <w:bCs/>
                <w:vertAlign w:val="superscript"/>
                <w:lang w:eastAsia="en-US"/>
              </w:rPr>
              <w:t>1</w:t>
            </w:r>
            <w:r w:rsidRPr="00D53A2B">
              <w:rPr>
                <w:b/>
                <w:bCs/>
                <w:lang w:eastAsia="en-US"/>
              </w:rPr>
              <w:t>)</w:t>
            </w:r>
          </w:p>
        </w:tc>
      </w:tr>
      <w:tr w:rsidR="00374C56" w:rsidRPr="00D53A2B" w14:paraId="78F8B5AD" w14:textId="77777777" w:rsidTr="00374C56">
        <w:tc>
          <w:tcPr>
            <w:tcW w:w="334" w:type="dxa"/>
            <w:tcBorders>
              <w:top w:val="single" w:sz="4" w:space="0" w:color="000000"/>
              <w:left w:val="single" w:sz="4" w:space="0" w:color="000000"/>
              <w:bottom w:val="single" w:sz="4" w:space="0" w:color="000000"/>
              <w:right w:val="single" w:sz="4" w:space="0" w:color="000000"/>
            </w:tcBorders>
          </w:tcPr>
          <w:p w14:paraId="3718119E" w14:textId="77777777" w:rsidR="00374C56" w:rsidRPr="00D53A2B" w:rsidRDefault="00374C56" w:rsidP="00A202FD">
            <w:pPr>
              <w:spacing w:line="264" w:lineRule="auto"/>
              <w:ind w:left="57" w:right="57"/>
              <w:jc w:val="both"/>
              <w:rPr>
                <w:lang w:eastAsia="en-US"/>
              </w:rPr>
            </w:pPr>
          </w:p>
          <w:p w14:paraId="3168B9C9" w14:textId="77777777" w:rsidR="00374C56" w:rsidRPr="00D53A2B" w:rsidRDefault="00374C56" w:rsidP="00A202FD">
            <w:pPr>
              <w:spacing w:line="264" w:lineRule="auto"/>
              <w:ind w:left="57" w:right="57"/>
              <w:jc w:val="both"/>
              <w:rPr>
                <w:lang w:eastAsia="en-US"/>
              </w:rPr>
            </w:pPr>
            <w:r w:rsidRPr="00D53A2B">
              <w:rPr>
                <w:lang w:eastAsia="en-US"/>
              </w:rPr>
              <w:t>a</w:t>
            </w:r>
          </w:p>
        </w:tc>
        <w:tc>
          <w:tcPr>
            <w:tcW w:w="8387" w:type="dxa"/>
            <w:tcBorders>
              <w:top w:val="single" w:sz="4" w:space="0" w:color="000000"/>
              <w:left w:val="single" w:sz="4" w:space="0" w:color="000000"/>
              <w:bottom w:val="single" w:sz="4" w:space="0" w:color="000000"/>
              <w:right w:val="single" w:sz="4" w:space="0" w:color="000000"/>
            </w:tcBorders>
          </w:tcPr>
          <w:p w14:paraId="19AC1044" w14:textId="77777777" w:rsidR="00374C56" w:rsidRPr="00D53A2B" w:rsidRDefault="00374C56" w:rsidP="00A202FD">
            <w:pPr>
              <w:spacing w:line="264" w:lineRule="auto"/>
              <w:ind w:left="57" w:right="57"/>
              <w:jc w:val="both"/>
              <w:rPr>
                <w:lang w:eastAsia="en-US"/>
              </w:rPr>
            </w:pPr>
            <w:r w:rsidRPr="00D53A2B">
              <w:rPr>
                <w:lang w:eastAsia="en-US"/>
              </w:rPr>
              <w:t>Karıştırma, pişirme ve emprenye aşamalarında, rejeneratif termal oksitleyici ve bir ESP kombinasyonunun kullanılması</w:t>
            </w:r>
          </w:p>
        </w:tc>
      </w:tr>
      <w:tr w:rsidR="00374C56" w:rsidRPr="00D53A2B" w14:paraId="41BE7149" w14:textId="77777777" w:rsidTr="00374C56">
        <w:tc>
          <w:tcPr>
            <w:tcW w:w="334" w:type="dxa"/>
            <w:tcBorders>
              <w:top w:val="single" w:sz="4" w:space="0" w:color="000000"/>
              <w:left w:val="single" w:sz="4" w:space="0" w:color="000000"/>
              <w:bottom w:val="single" w:sz="4" w:space="0" w:color="000000"/>
              <w:right w:val="single" w:sz="4" w:space="0" w:color="000000"/>
            </w:tcBorders>
          </w:tcPr>
          <w:p w14:paraId="785E97CB" w14:textId="77777777" w:rsidR="00374C56" w:rsidRPr="00D53A2B" w:rsidRDefault="00374C56" w:rsidP="00A202FD">
            <w:pPr>
              <w:spacing w:line="264" w:lineRule="auto"/>
              <w:ind w:left="57" w:right="57"/>
              <w:jc w:val="both"/>
              <w:rPr>
                <w:lang w:eastAsia="en-US"/>
              </w:rPr>
            </w:pPr>
          </w:p>
          <w:p w14:paraId="5FF240F4" w14:textId="77777777" w:rsidR="00374C56" w:rsidRPr="00D53A2B" w:rsidRDefault="00374C56" w:rsidP="00A202FD">
            <w:pPr>
              <w:spacing w:line="264" w:lineRule="auto"/>
              <w:ind w:left="57" w:right="57"/>
              <w:jc w:val="both"/>
              <w:rPr>
                <w:lang w:eastAsia="en-US"/>
              </w:rPr>
            </w:pPr>
            <w:r w:rsidRPr="00D53A2B">
              <w:rPr>
                <w:lang w:eastAsia="en-US"/>
              </w:rPr>
              <w:t>b</w:t>
            </w:r>
          </w:p>
        </w:tc>
        <w:tc>
          <w:tcPr>
            <w:tcW w:w="8387" w:type="dxa"/>
            <w:tcBorders>
              <w:top w:val="single" w:sz="4" w:space="0" w:color="000000"/>
              <w:left w:val="single" w:sz="4" w:space="0" w:color="000000"/>
              <w:bottom w:val="single" w:sz="4" w:space="0" w:color="000000"/>
              <w:right w:val="single" w:sz="4" w:space="0" w:color="000000"/>
            </w:tcBorders>
          </w:tcPr>
          <w:p w14:paraId="6BB2B45E" w14:textId="77777777" w:rsidR="00374C56" w:rsidRPr="00D53A2B" w:rsidRDefault="00374C56" w:rsidP="00A202FD">
            <w:pPr>
              <w:spacing w:line="264" w:lineRule="auto"/>
              <w:ind w:left="57" w:right="57"/>
              <w:jc w:val="both"/>
              <w:rPr>
                <w:lang w:eastAsia="en-US"/>
              </w:rPr>
            </w:pPr>
            <w:r w:rsidRPr="00D53A2B">
              <w:rPr>
                <w:lang w:eastAsia="en-US"/>
              </w:rPr>
              <w:t>Reçineler ve biyolojik olarak bozunabilen çözeltiler gibi emprenye maddelerinin kullanıldığı emprenye aşamasında, biyofiltre ve/veya biyolojik gaz yıkayıcı  kullanılması</w:t>
            </w:r>
          </w:p>
        </w:tc>
      </w:tr>
      <w:tr w:rsidR="00374C56" w:rsidRPr="00D53A2B" w14:paraId="009AC283"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420CD02A" w14:textId="5D6B1888" w:rsidR="00374C56" w:rsidRPr="00D53A2B" w:rsidRDefault="00374C56" w:rsidP="00A202FD">
            <w:pPr>
              <w:spacing w:line="264" w:lineRule="auto"/>
              <w:ind w:left="57" w:right="57"/>
              <w:jc w:val="both"/>
              <w:rPr>
                <w:bCs/>
                <w:lang w:eastAsia="en-US"/>
              </w:rPr>
            </w:pPr>
            <w:r w:rsidRPr="00D53A2B">
              <w:rPr>
                <w:bCs/>
                <w:lang w:eastAsia="en-US"/>
              </w:rPr>
              <w:t>(</w:t>
            </w:r>
            <w:r w:rsidRPr="00D53A2B">
              <w:rPr>
                <w:bCs/>
                <w:vertAlign w:val="superscript"/>
                <w:lang w:eastAsia="en-US"/>
              </w:rPr>
              <w:t>1</w:t>
            </w:r>
            <w:r w:rsidRPr="00D53A2B">
              <w:rPr>
                <w:bCs/>
                <w:lang w:eastAsia="en-US"/>
              </w:rPr>
              <w:t>) : Tekniklerin açıklamaları Bölüm 1.10</w:t>
            </w:r>
            <w:r w:rsidR="00E56504" w:rsidRPr="00D53A2B">
              <w:rPr>
                <w:bCs/>
                <w:lang w:eastAsia="en-US"/>
              </w:rPr>
              <w:t>’</w:t>
            </w:r>
            <w:r w:rsidRPr="00D53A2B">
              <w:rPr>
                <w:bCs/>
                <w:lang w:eastAsia="en-US"/>
              </w:rPr>
              <w:t>da verilmiştir.</w:t>
            </w:r>
          </w:p>
        </w:tc>
      </w:tr>
    </w:tbl>
    <w:p w14:paraId="4C24DA9B" w14:textId="77777777" w:rsidR="00374C56" w:rsidRPr="00D53A2B" w:rsidRDefault="00374C56" w:rsidP="00A202FD">
      <w:pPr>
        <w:spacing w:before="240" w:after="240"/>
        <w:jc w:val="both"/>
        <w:rPr>
          <w:lang w:eastAsia="en-US"/>
        </w:rPr>
      </w:pPr>
      <w:r w:rsidRPr="00D53A2B">
        <w:rPr>
          <w:b/>
          <w:lang w:eastAsia="en-US"/>
        </w:rPr>
        <w:t>MET ile ilişkili emisyon seviyeleri:</w:t>
      </w:r>
      <w:r w:rsidRPr="00D53A2B">
        <w:rPr>
          <w:lang w:eastAsia="en-US"/>
        </w:rPr>
        <w:t xml:space="preserve"> </w:t>
      </w:r>
      <w:r w:rsidRPr="00D53A2B">
        <w:rPr>
          <w:i/>
          <w:lang w:eastAsia="en-US"/>
        </w:rPr>
        <w:t>bkz.</w:t>
      </w:r>
      <w:r w:rsidRPr="00D53A2B">
        <w:rPr>
          <w:lang w:eastAsia="en-US"/>
        </w:rPr>
        <w:t xml:space="preserve"> Tablo 55.</w:t>
      </w:r>
    </w:p>
    <w:p w14:paraId="26DDC4C5" w14:textId="77777777" w:rsidR="002505AB" w:rsidRPr="00D53A2B" w:rsidRDefault="00374C56" w:rsidP="00A202FD">
      <w:pPr>
        <w:jc w:val="both"/>
        <w:rPr>
          <w:bCs/>
          <w:iCs/>
          <w:spacing w:val="2"/>
          <w:lang w:eastAsia="en-US"/>
        </w:rPr>
      </w:pPr>
      <w:bookmarkStart w:id="254" w:name="_Toc527941373"/>
      <w:bookmarkStart w:id="255" w:name="_Toc531927996"/>
      <w:r w:rsidRPr="00D53A2B">
        <w:rPr>
          <w:bCs/>
          <w:iCs/>
          <w:spacing w:val="2"/>
          <w:lang w:eastAsia="en-US"/>
        </w:rPr>
        <w:t xml:space="preserve">Tablo </w:t>
      </w:r>
      <w:r w:rsidRPr="00D53A2B">
        <w:rPr>
          <w:bCs/>
          <w:noProof/>
          <w:spacing w:val="2"/>
          <w:lang w:eastAsia="en-US"/>
        </w:rPr>
        <w:t>55</w:t>
      </w:r>
    </w:p>
    <w:p w14:paraId="3CE33CEF" w14:textId="5D372044" w:rsidR="00374C56" w:rsidRPr="00D53A2B" w:rsidRDefault="00374C56" w:rsidP="00A202FD">
      <w:pPr>
        <w:jc w:val="both"/>
        <w:rPr>
          <w:bCs/>
          <w:iCs/>
          <w:spacing w:val="2"/>
          <w:lang w:eastAsia="en-US"/>
        </w:rPr>
      </w:pPr>
      <w:r w:rsidRPr="00D53A2B">
        <w:rPr>
          <w:bCs/>
          <w:iCs/>
          <w:spacing w:val="2"/>
          <w:lang w:eastAsia="en-US"/>
        </w:rPr>
        <w:t>Karıştırma, pişirme ve emprenye işlemlerinden kaynaklanan TVOC emisyonları ile ilgili MET için emisyon seviyeleri</w:t>
      </w:r>
      <w:bookmarkEnd w:id="254"/>
      <w:bookmarkEnd w:id="255"/>
    </w:p>
    <w:tbl>
      <w:tblPr>
        <w:tblW w:w="0" w:type="auto"/>
        <w:tblInd w:w="5" w:type="dxa"/>
        <w:tblLayout w:type="fixed"/>
        <w:tblCellMar>
          <w:left w:w="0" w:type="dxa"/>
          <w:right w:w="0" w:type="dxa"/>
        </w:tblCellMar>
        <w:tblLook w:val="01E0" w:firstRow="1" w:lastRow="1" w:firstColumn="1" w:lastColumn="1" w:noHBand="0" w:noVBand="0"/>
      </w:tblPr>
      <w:tblGrid>
        <w:gridCol w:w="4133"/>
        <w:gridCol w:w="4588"/>
      </w:tblGrid>
      <w:tr w:rsidR="00374C56" w:rsidRPr="00D53A2B" w14:paraId="01280AC1" w14:textId="77777777" w:rsidTr="00374C56">
        <w:tc>
          <w:tcPr>
            <w:tcW w:w="4133" w:type="dxa"/>
            <w:tcBorders>
              <w:top w:val="single" w:sz="4" w:space="0" w:color="000000"/>
              <w:left w:val="single" w:sz="4" w:space="0" w:color="000000"/>
              <w:bottom w:val="single" w:sz="4" w:space="0" w:color="000000"/>
              <w:right w:val="single" w:sz="4" w:space="0" w:color="000000"/>
            </w:tcBorders>
            <w:vAlign w:val="center"/>
          </w:tcPr>
          <w:p w14:paraId="74A56CD8" w14:textId="77777777" w:rsidR="00374C56" w:rsidRPr="00D53A2B" w:rsidRDefault="00374C56" w:rsidP="00A202FD">
            <w:pPr>
              <w:spacing w:line="264" w:lineRule="auto"/>
              <w:ind w:left="57" w:right="57"/>
              <w:jc w:val="both"/>
              <w:rPr>
                <w:lang w:eastAsia="en-US"/>
              </w:rPr>
            </w:pPr>
            <w:r w:rsidRPr="00D53A2B">
              <w:rPr>
                <w:b/>
                <w:bCs/>
                <w:lang w:eastAsia="en-US"/>
              </w:rPr>
              <w:t>Parametre</w:t>
            </w:r>
          </w:p>
        </w:tc>
        <w:tc>
          <w:tcPr>
            <w:tcW w:w="4588" w:type="dxa"/>
            <w:tcBorders>
              <w:top w:val="single" w:sz="4" w:space="0" w:color="000000"/>
              <w:left w:val="single" w:sz="4" w:space="0" w:color="000000"/>
              <w:bottom w:val="single" w:sz="4" w:space="0" w:color="000000"/>
              <w:right w:val="single" w:sz="4" w:space="0" w:color="000000"/>
            </w:tcBorders>
            <w:vAlign w:val="center"/>
          </w:tcPr>
          <w:p w14:paraId="094D9A60" w14:textId="77777777" w:rsidR="00374C56" w:rsidRPr="00D53A2B" w:rsidRDefault="00374C56" w:rsidP="00A202FD">
            <w:pPr>
              <w:spacing w:line="264" w:lineRule="auto"/>
              <w:ind w:left="57" w:right="57"/>
              <w:jc w:val="both"/>
              <w:rPr>
                <w:lang w:eastAsia="en-US"/>
              </w:rPr>
            </w:pPr>
            <w:r w:rsidRPr="00D53A2B">
              <w:rPr>
                <w:b/>
                <w:bCs/>
                <w:lang w:eastAsia="en-US"/>
              </w:rPr>
              <w:t>MET-İES (mg/Nm3) (</w:t>
            </w:r>
            <w:r w:rsidRPr="00D53A2B">
              <w:rPr>
                <w:b/>
                <w:bCs/>
                <w:vertAlign w:val="superscript"/>
                <w:lang w:eastAsia="en-US"/>
              </w:rPr>
              <w:t>1</w:t>
            </w:r>
            <w:r w:rsidRPr="00D53A2B">
              <w:rPr>
                <w:b/>
                <w:bCs/>
                <w:lang w:eastAsia="en-US"/>
              </w:rPr>
              <w:t>)(</w:t>
            </w:r>
            <w:r w:rsidRPr="00D53A2B">
              <w:rPr>
                <w:b/>
                <w:bCs/>
                <w:vertAlign w:val="superscript"/>
                <w:lang w:eastAsia="en-US"/>
              </w:rPr>
              <w:t>2</w:t>
            </w:r>
            <w:r w:rsidRPr="00D53A2B">
              <w:rPr>
                <w:b/>
                <w:bCs/>
                <w:lang w:eastAsia="en-US"/>
              </w:rPr>
              <w:t>)</w:t>
            </w:r>
          </w:p>
        </w:tc>
      </w:tr>
      <w:tr w:rsidR="00374C56" w:rsidRPr="00D53A2B" w14:paraId="2633C776" w14:textId="77777777" w:rsidTr="00374C56">
        <w:tc>
          <w:tcPr>
            <w:tcW w:w="4133" w:type="dxa"/>
            <w:tcBorders>
              <w:top w:val="single" w:sz="4" w:space="0" w:color="000000"/>
              <w:left w:val="single" w:sz="4" w:space="0" w:color="000000"/>
              <w:bottom w:val="single" w:sz="4" w:space="0" w:color="000000"/>
              <w:right w:val="single" w:sz="4" w:space="0" w:color="000000"/>
            </w:tcBorders>
          </w:tcPr>
          <w:p w14:paraId="7831323A" w14:textId="77777777" w:rsidR="00374C56" w:rsidRPr="00D53A2B" w:rsidRDefault="00374C56" w:rsidP="00A202FD">
            <w:pPr>
              <w:spacing w:line="264" w:lineRule="auto"/>
              <w:ind w:left="57" w:right="57"/>
              <w:jc w:val="both"/>
              <w:rPr>
                <w:lang w:eastAsia="en-US"/>
              </w:rPr>
            </w:pPr>
            <w:r w:rsidRPr="00D53A2B">
              <w:rPr>
                <w:lang w:eastAsia="en-US"/>
              </w:rPr>
              <w:t>TVOC</w:t>
            </w:r>
          </w:p>
        </w:tc>
        <w:tc>
          <w:tcPr>
            <w:tcW w:w="4588" w:type="dxa"/>
            <w:tcBorders>
              <w:top w:val="single" w:sz="4" w:space="0" w:color="000000"/>
              <w:left w:val="single" w:sz="4" w:space="0" w:color="000000"/>
              <w:bottom w:val="single" w:sz="4" w:space="0" w:color="000000"/>
              <w:right w:val="single" w:sz="4" w:space="0" w:color="000000"/>
            </w:tcBorders>
          </w:tcPr>
          <w:p w14:paraId="1260CA0B" w14:textId="77777777" w:rsidR="00374C56" w:rsidRPr="00D53A2B" w:rsidRDefault="00374C56" w:rsidP="00A202FD">
            <w:pPr>
              <w:spacing w:line="264" w:lineRule="auto"/>
              <w:ind w:left="57" w:right="57"/>
              <w:jc w:val="both"/>
              <w:rPr>
                <w:lang w:eastAsia="en-US"/>
              </w:rPr>
            </w:pPr>
            <w:r w:rsidRPr="00D53A2B">
              <w:rPr>
                <w:lang w:eastAsia="en-US"/>
              </w:rPr>
              <w:t>≤ 10–40</w:t>
            </w:r>
          </w:p>
        </w:tc>
      </w:tr>
      <w:tr w:rsidR="00374C56" w:rsidRPr="00D53A2B" w14:paraId="40138D68" w14:textId="77777777" w:rsidTr="00374C56">
        <w:tc>
          <w:tcPr>
            <w:tcW w:w="8721" w:type="dxa"/>
            <w:gridSpan w:val="2"/>
            <w:tcBorders>
              <w:top w:val="single" w:sz="4" w:space="0" w:color="000000"/>
              <w:left w:val="single" w:sz="4" w:space="0" w:color="000000"/>
              <w:bottom w:val="single" w:sz="4" w:space="0" w:color="000000"/>
              <w:right w:val="single" w:sz="4" w:space="0" w:color="000000"/>
            </w:tcBorders>
          </w:tcPr>
          <w:p w14:paraId="2B77CDF0" w14:textId="7890A19D" w:rsidR="00374C56" w:rsidRPr="00D53A2B" w:rsidRDefault="00374C56" w:rsidP="00A202FD">
            <w:pPr>
              <w:spacing w:line="264" w:lineRule="auto"/>
              <w:ind w:left="57" w:right="57"/>
              <w:jc w:val="both"/>
              <w:rPr>
                <w:bCs/>
                <w:lang w:eastAsia="en-US"/>
              </w:rPr>
            </w:pPr>
            <w:r w:rsidRPr="00D53A2B">
              <w:rPr>
                <w:bCs/>
                <w:lang w:eastAsia="en-US"/>
              </w:rPr>
              <w:t>(</w:t>
            </w:r>
            <w:r w:rsidRPr="00D53A2B">
              <w:rPr>
                <w:bCs/>
                <w:vertAlign w:val="superscript"/>
                <w:lang w:eastAsia="en-US"/>
              </w:rPr>
              <w:t>1</w:t>
            </w:r>
            <w:r w:rsidRPr="00D53A2B">
              <w:rPr>
                <w:bCs/>
                <w:lang w:eastAsia="en-US"/>
              </w:rPr>
              <w:t>)</w:t>
            </w:r>
            <w:r w:rsidR="00663489" w:rsidRPr="00D53A2B">
              <w:rPr>
                <w:bCs/>
                <w:lang w:eastAsia="en-US"/>
              </w:rPr>
              <w:t xml:space="preserve"> </w:t>
            </w:r>
            <w:r w:rsidRPr="00D53A2B">
              <w:rPr>
                <w:bCs/>
                <w:lang w:eastAsia="en-US"/>
              </w:rPr>
              <w:t>Örnekleme dönemi boyunca alınan değerlerin ortalaması.</w:t>
            </w:r>
          </w:p>
          <w:p w14:paraId="2E244263" w14:textId="71F313F0" w:rsidR="00374C56" w:rsidRPr="00D53A2B" w:rsidRDefault="00374C56" w:rsidP="00A202FD">
            <w:pPr>
              <w:spacing w:line="264" w:lineRule="auto"/>
              <w:ind w:left="57" w:right="57"/>
              <w:jc w:val="both"/>
              <w:rPr>
                <w:lang w:eastAsia="en-US"/>
              </w:rPr>
            </w:pPr>
            <w:r w:rsidRPr="00D53A2B">
              <w:rPr>
                <w:bCs/>
                <w:lang w:eastAsia="en-US"/>
              </w:rPr>
              <w:t>(</w:t>
            </w:r>
            <w:r w:rsidRPr="00D53A2B">
              <w:rPr>
                <w:bCs/>
                <w:vertAlign w:val="superscript"/>
                <w:lang w:eastAsia="en-US"/>
              </w:rPr>
              <w:t>2</w:t>
            </w:r>
            <w:r w:rsidRPr="00D53A2B">
              <w:rPr>
                <w:bCs/>
                <w:lang w:eastAsia="en-US"/>
              </w:rPr>
              <w:t>) Aralığın alt sınırı ESP ve rejeneratif termal oksitleyici kombinasyonunun kullanılması ile ilişkilidir. Aralığın üst sınırı ise bir biyofiltre ve/veya bir biyolojik gaz yıkayıcı  kullanılması ile ilişkilidir.</w:t>
            </w:r>
          </w:p>
        </w:tc>
      </w:tr>
    </w:tbl>
    <w:p w14:paraId="4924A686" w14:textId="369EAAB9" w:rsidR="00374C56" w:rsidRPr="00D53A2B" w:rsidRDefault="00374C56" w:rsidP="00A202FD">
      <w:pPr>
        <w:spacing w:before="240" w:after="240"/>
        <w:jc w:val="both"/>
        <w:rPr>
          <w:lang w:eastAsia="en-US"/>
        </w:rPr>
      </w:pPr>
      <w:r w:rsidRPr="00D53A2B">
        <w:rPr>
          <w:lang w:eastAsia="en-US"/>
        </w:rPr>
        <w:t>İlgili izleme prosesi MET 10</w:t>
      </w:r>
      <w:r w:rsidR="00E56504" w:rsidRPr="00D53A2B">
        <w:rPr>
          <w:lang w:eastAsia="en-US"/>
        </w:rPr>
        <w:t>’</w:t>
      </w:r>
      <w:r w:rsidRPr="00D53A2B">
        <w:rPr>
          <w:lang w:eastAsia="en-US"/>
        </w:rPr>
        <w:t>da verilmiştir.</w:t>
      </w:r>
    </w:p>
    <w:p w14:paraId="1E15310F" w14:textId="47405BE4" w:rsidR="00374C56" w:rsidRPr="00D53A2B" w:rsidRDefault="00867EA7" w:rsidP="00A202FD">
      <w:pPr>
        <w:pStyle w:val="Balk3"/>
        <w:rPr>
          <w:rFonts w:cs="Times New Roman"/>
          <w:lang w:eastAsia="en-US"/>
        </w:rPr>
      </w:pPr>
      <w:bookmarkStart w:id="256" w:name="_Toc527940775"/>
      <w:bookmarkStart w:id="257" w:name="_Toc531927931"/>
      <w:r w:rsidRPr="00D53A2B">
        <w:rPr>
          <w:rFonts w:cs="Times New Roman"/>
          <w:lang w:eastAsia="en-US"/>
        </w:rPr>
        <w:t>1.</w:t>
      </w:r>
      <w:r w:rsidR="00374C56" w:rsidRPr="00D53A2B">
        <w:rPr>
          <w:rFonts w:cs="Times New Roman"/>
          <w:lang w:eastAsia="en-US"/>
        </w:rPr>
        <w:t>9.2.</w:t>
      </w:r>
      <w:r w:rsidR="00374C56" w:rsidRPr="00D53A2B">
        <w:rPr>
          <w:rFonts w:cs="Times New Roman"/>
          <w:lang w:eastAsia="en-US"/>
        </w:rPr>
        <w:tab/>
        <w:t>Atık</w:t>
      </w:r>
      <w:bookmarkEnd w:id="256"/>
      <w:bookmarkEnd w:id="257"/>
    </w:p>
    <w:p w14:paraId="2E07BFC7" w14:textId="30CD2C7E" w:rsidR="00374C56" w:rsidRPr="00D53A2B" w:rsidRDefault="004479E1" w:rsidP="00A202FD">
      <w:pPr>
        <w:spacing w:after="240"/>
        <w:jc w:val="both"/>
        <w:rPr>
          <w:bCs/>
          <w:lang w:eastAsia="en-US"/>
        </w:rPr>
      </w:pPr>
      <w:r w:rsidRPr="00D53A2B">
        <w:rPr>
          <w:b/>
          <w:lang w:eastAsia="en-US"/>
        </w:rPr>
        <w:t>MET 184:</w:t>
      </w:r>
      <w:r w:rsidR="00374C56" w:rsidRPr="00D53A2B">
        <w:rPr>
          <w:b/>
          <w:lang w:eastAsia="en-US"/>
        </w:rPr>
        <w:t xml:space="preserve"> </w:t>
      </w:r>
      <w:r w:rsidR="00374C56" w:rsidRPr="00D53A2B">
        <w:rPr>
          <w:bCs/>
          <w:lang w:eastAsia="en-US"/>
        </w:rPr>
        <w:t xml:space="preserve">Bertaraf etmek için gönderilen atık miktarının azaltılması için, üretim prosesinden ve diğer harici proseslerden kaynaklanan, karbonun yeniden kullanımı ve geri </w:t>
      </w:r>
      <w:r w:rsidR="008E104C">
        <w:rPr>
          <w:bCs/>
          <w:lang w:eastAsia="en-US"/>
        </w:rPr>
        <w:t>kazanımı</w:t>
      </w:r>
      <w:r w:rsidR="00374C56" w:rsidRPr="00D53A2B">
        <w:rPr>
          <w:bCs/>
          <w:lang w:eastAsia="en-US"/>
        </w:rPr>
        <w:t xml:space="preserve"> ile diğer artıkları da kapsayan proses artıklarının, yeniden kullanımını kolaylaştıracak veya proses artıklarını geri </w:t>
      </w:r>
      <w:r w:rsidR="008E104C">
        <w:rPr>
          <w:bCs/>
          <w:lang w:eastAsia="en-US"/>
        </w:rPr>
        <w:t xml:space="preserve">kazanımını </w:t>
      </w:r>
      <w:r w:rsidR="00374C56" w:rsidRPr="00D53A2B">
        <w:rPr>
          <w:bCs/>
          <w:lang w:eastAsia="en-US"/>
        </w:rPr>
        <w:t>engellemeyecek şekilde, sahadaki faaliyetler organize e</w:t>
      </w:r>
      <w:r w:rsidR="00663489" w:rsidRPr="00D53A2B">
        <w:rPr>
          <w:bCs/>
          <w:lang w:eastAsia="en-US"/>
        </w:rPr>
        <w:t>dilir</w:t>
      </w:r>
      <w:r w:rsidR="00374C56" w:rsidRPr="00D53A2B">
        <w:rPr>
          <w:bCs/>
          <w:lang w:eastAsia="en-US"/>
        </w:rPr>
        <w:t>.</w:t>
      </w:r>
    </w:p>
    <w:p w14:paraId="3CD4AA3C" w14:textId="77777777" w:rsidR="00663489" w:rsidRPr="00D53A2B" w:rsidRDefault="00663489" w:rsidP="00A202FD">
      <w:pPr>
        <w:spacing w:after="240"/>
        <w:jc w:val="both"/>
        <w:rPr>
          <w:bCs/>
          <w:lang w:eastAsia="en-US"/>
        </w:rPr>
      </w:pPr>
    </w:p>
    <w:p w14:paraId="41959596" w14:textId="77777777" w:rsidR="00663489" w:rsidRPr="00D53A2B" w:rsidRDefault="00663489" w:rsidP="00A202FD">
      <w:pPr>
        <w:spacing w:after="240"/>
        <w:jc w:val="both"/>
        <w:rPr>
          <w:bCs/>
          <w:lang w:eastAsia="en-US"/>
        </w:rPr>
      </w:pPr>
    </w:p>
    <w:p w14:paraId="4E920746" w14:textId="77777777" w:rsidR="00663489" w:rsidRPr="00D53A2B" w:rsidRDefault="00663489" w:rsidP="00A202FD">
      <w:pPr>
        <w:spacing w:after="240"/>
        <w:jc w:val="both"/>
        <w:rPr>
          <w:bCs/>
          <w:lang w:eastAsia="en-US"/>
        </w:rPr>
      </w:pPr>
    </w:p>
    <w:p w14:paraId="22F4FB3D" w14:textId="77777777" w:rsidR="00663489" w:rsidRPr="00D53A2B" w:rsidRDefault="00663489" w:rsidP="00A202FD">
      <w:pPr>
        <w:spacing w:after="240"/>
        <w:jc w:val="both"/>
        <w:rPr>
          <w:b/>
          <w:lang w:eastAsia="en-US"/>
        </w:rPr>
      </w:pPr>
    </w:p>
    <w:p w14:paraId="4821DAE4" w14:textId="77777777" w:rsidR="00663489" w:rsidRPr="00D53A2B" w:rsidRDefault="00663489" w:rsidP="00A202FD">
      <w:pPr>
        <w:jc w:val="both"/>
        <w:rPr>
          <w:b/>
          <w:bCs/>
        </w:rPr>
        <w:sectPr w:rsidR="00663489" w:rsidRPr="00D53A2B" w:rsidSect="009077F5">
          <w:type w:val="nextColumn"/>
          <w:pgSz w:w="11900" w:h="16840"/>
          <w:pgMar w:top="1418" w:right="1418" w:bottom="1418" w:left="1418" w:header="0" w:footer="0" w:gutter="0"/>
          <w:cols w:space="0" w:equalWidth="0">
            <w:col w:w="8607"/>
          </w:cols>
          <w:docGrid w:linePitch="360"/>
        </w:sectPr>
      </w:pPr>
    </w:p>
    <w:p w14:paraId="0F37B4DD" w14:textId="77777777" w:rsidR="0068350C" w:rsidRPr="00D53A2B" w:rsidRDefault="0068350C" w:rsidP="00A202FD">
      <w:pPr>
        <w:jc w:val="both"/>
        <w:rPr>
          <w:b/>
          <w:bCs/>
        </w:rPr>
      </w:pPr>
    </w:p>
    <w:p w14:paraId="3C441334" w14:textId="286542BA" w:rsidR="0068350C" w:rsidRPr="00D53A2B" w:rsidRDefault="00663489" w:rsidP="00A202FD">
      <w:pPr>
        <w:pStyle w:val="Balk2"/>
        <w:rPr>
          <w:rFonts w:cs="Times New Roman"/>
          <w:szCs w:val="24"/>
          <w:lang w:val="en-US" w:eastAsia="en-US"/>
        </w:rPr>
      </w:pPr>
      <w:bookmarkStart w:id="258" w:name="_Toc527940776"/>
      <w:bookmarkStart w:id="259" w:name="_Toc531927932"/>
      <w:r w:rsidRPr="00D53A2B">
        <w:rPr>
          <w:rFonts w:cs="Times New Roman"/>
          <w:szCs w:val="24"/>
          <w:lang w:val="en-US" w:eastAsia="en-US"/>
        </w:rPr>
        <w:t>Demir Dışı Metal Endüstrisi Tekniklerinin Açıklamas</w:t>
      </w:r>
      <w:bookmarkEnd w:id="258"/>
      <w:bookmarkEnd w:id="259"/>
      <w:r w:rsidRPr="00D53A2B">
        <w:rPr>
          <w:rFonts w:cs="Times New Roman"/>
          <w:szCs w:val="24"/>
          <w:lang w:val="en-US" w:eastAsia="en-US"/>
        </w:rPr>
        <w:t>ı</w:t>
      </w:r>
    </w:p>
    <w:p w14:paraId="3FA03774" w14:textId="1A941B62" w:rsidR="0068350C" w:rsidRPr="00D53A2B" w:rsidRDefault="0068350C" w:rsidP="00A202FD">
      <w:pPr>
        <w:pStyle w:val="Balk3"/>
        <w:rPr>
          <w:rFonts w:cs="Times New Roman"/>
          <w:lang w:eastAsia="en-US"/>
        </w:rPr>
      </w:pPr>
      <w:bookmarkStart w:id="260" w:name="_Toc527940777"/>
      <w:bookmarkStart w:id="261" w:name="_Toc531927933"/>
      <w:r w:rsidRPr="00D53A2B">
        <w:rPr>
          <w:rFonts w:cs="Times New Roman"/>
          <w:lang w:eastAsia="en-US"/>
        </w:rPr>
        <w:t>1.</w:t>
      </w:r>
      <w:r w:rsidR="005F64EC" w:rsidRPr="00D53A2B">
        <w:rPr>
          <w:rFonts w:cs="Times New Roman"/>
          <w:lang w:eastAsia="en-US"/>
        </w:rPr>
        <w:t xml:space="preserve"> </w:t>
      </w:r>
      <w:r w:rsidRPr="00D53A2B">
        <w:rPr>
          <w:rFonts w:cs="Times New Roman"/>
          <w:lang w:eastAsia="en-US"/>
        </w:rPr>
        <w:t>Hava emisyonlar</w:t>
      </w:r>
      <w:bookmarkEnd w:id="260"/>
      <w:bookmarkEnd w:id="261"/>
      <w:r w:rsidRPr="00D53A2B">
        <w:rPr>
          <w:rFonts w:cs="Times New Roman"/>
          <w:lang w:eastAsia="en-US"/>
        </w:rPr>
        <w:t>ı</w:t>
      </w:r>
    </w:p>
    <w:p w14:paraId="007C4179" w14:textId="77777777" w:rsidR="0068350C" w:rsidRPr="00D53A2B" w:rsidRDefault="0068350C" w:rsidP="00A202FD">
      <w:pPr>
        <w:jc w:val="both"/>
        <w:rPr>
          <w:lang w:eastAsia="en-US"/>
        </w:rPr>
      </w:pPr>
      <w:bookmarkStart w:id="262" w:name="_Toc527940778"/>
      <w:bookmarkStart w:id="263" w:name="_Toc531927934"/>
      <w:r w:rsidRPr="00D53A2B">
        <w:rPr>
          <w:lang w:eastAsia="en-US"/>
        </w:rPr>
        <w:t>Aşağıda açıklanan teknikler, azaltmayı amaçladıkları ana kirleticilere göre listelenmiştir.</w:t>
      </w:r>
    </w:p>
    <w:p w14:paraId="39E87AC0" w14:textId="77777777" w:rsidR="0068350C" w:rsidRPr="00D53A2B" w:rsidRDefault="0068350C" w:rsidP="00A202FD">
      <w:pPr>
        <w:jc w:val="both"/>
        <w:rPr>
          <w:lang w:eastAsia="en-US"/>
        </w:rPr>
      </w:pPr>
    </w:p>
    <w:p w14:paraId="462B4E5B" w14:textId="72999C73" w:rsidR="0068350C" w:rsidRPr="00D53A2B" w:rsidRDefault="005F64EC" w:rsidP="00A202FD">
      <w:pPr>
        <w:pStyle w:val="Balk4"/>
        <w:rPr>
          <w:rFonts w:cs="Times New Roman"/>
          <w:lang w:val="en-US" w:eastAsia="en-US"/>
        </w:rPr>
      </w:pPr>
      <w:r w:rsidRPr="00D53A2B">
        <w:rPr>
          <w:rFonts w:cs="Times New Roman"/>
          <w:lang w:val="en-US" w:eastAsia="en-US"/>
        </w:rPr>
        <w:t xml:space="preserve">1.2. </w:t>
      </w:r>
      <w:r w:rsidR="0068350C" w:rsidRPr="00D53A2B">
        <w:rPr>
          <w:rFonts w:cs="Times New Roman"/>
          <w:lang w:val="en-US" w:eastAsia="en-US"/>
        </w:rPr>
        <w:t>Toz emisyonları</w:t>
      </w:r>
      <w:bookmarkEnd w:id="262"/>
      <w:bookmarkEnd w:id="263"/>
    </w:p>
    <w:tbl>
      <w:tblPr>
        <w:tblStyle w:val="TabloKlavuzu6"/>
        <w:tblW w:w="0" w:type="auto"/>
        <w:tblLayout w:type="fixed"/>
        <w:tblLook w:val="01E0" w:firstRow="1" w:lastRow="1" w:firstColumn="1" w:lastColumn="1" w:noHBand="0" w:noVBand="0"/>
      </w:tblPr>
      <w:tblGrid>
        <w:gridCol w:w="1749"/>
        <w:gridCol w:w="7232"/>
      </w:tblGrid>
      <w:tr w:rsidR="0068350C" w:rsidRPr="00532481" w14:paraId="00FC5B69" w14:textId="77777777" w:rsidTr="009077F5">
        <w:trPr>
          <w:trHeight w:val="20"/>
        </w:trPr>
        <w:tc>
          <w:tcPr>
            <w:tcW w:w="1749" w:type="dxa"/>
          </w:tcPr>
          <w:p w14:paraId="0669C27E" w14:textId="77777777" w:rsidR="0068350C" w:rsidRPr="009077F5" w:rsidRDefault="0068350C" w:rsidP="004B0D48">
            <w:pPr>
              <w:pStyle w:val="KonuBal"/>
              <w:rPr>
                <w:sz w:val="24"/>
                <w:szCs w:val="24"/>
              </w:rPr>
            </w:pPr>
            <w:r w:rsidRPr="009077F5">
              <w:rPr>
                <w:sz w:val="24"/>
                <w:szCs w:val="24"/>
              </w:rPr>
              <w:t>Teknik</w:t>
            </w:r>
          </w:p>
        </w:tc>
        <w:tc>
          <w:tcPr>
            <w:tcW w:w="7232" w:type="dxa"/>
          </w:tcPr>
          <w:p w14:paraId="22570F8D" w14:textId="77777777" w:rsidR="0068350C" w:rsidRPr="009077F5" w:rsidRDefault="0068350C" w:rsidP="004B0D48">
            <w:pPr>
              <w:pStyle w:val="KonuBal"/>
              <w:rPr>
                <w:sz w:val="24"/>
                <w:szCs w:val="24"/>
              </w:rPr>
            </w:pPr>
            <w:r w:rsidRPr="009077F5">
              <w:rPr>
                <w:sz w:val="24"/>
                <w:szCs w:val="24"/>
              </w:rPr>
              <w:t>Açıklama</w:t>
            </w:r>
          </w:p>
        </w:tc>
      </w:tr>
      <w:tr w:rsidR="0068350C" w:rsidRPr="00532481" w14:paraId="530DEAF6" w14:textId="77777777" w:rsidTr="009077F5">
        <w:trPr>
          <w:trHeight w:val="20"/>
        </w:trPr>
        <w:tc>
          <w:tcPr>
            <w:tcW w:w="1749" w:type="dxa"/>
          </w:tcPr>
          <w:p w14:paraId="6C4B6DAF" w14:textId="77777777" w:rsidR="0068350C" w:rsidRPr="009077F5" w:rsidRDefault="0068350C" w:rsidP="004B0D48">
            <w:pPr>
              <w:pStyle w:val="KonuBal"/>
              <w:rPr>
                <w:sz w:val="24"/>
                <w:szCs w:val="24"/>
              </w:rPr>
            </w:pPr>
            <w:r w:rsidRPr="009077F5">
              <w:rPr>
                <w:sz w:val="24"/>
                <w:szCs w:val="24"/>
              </w:rPr>
              <w:t>Torba filtre</w:t>
            </w:r>
          </w:p>
        </w:tc>
        <w:tc>
          <w:tcPr>
            <w:tcW w:w="7232" w:type="dxa"/>
          </w:tcPr>
          <w:p w14:paraId="24BBC8AA" w14:textId="77777777" w:rsidR="0068350C" w:rsidRPr="009077F5" w:rsidRDefault="0068350C" w:rsidP="004B0D48">
            <w:pPr>
              <w:pStyle w:val="KonuBal"/>
              <w:rPr>
                <w:sz w:val="24"/>
                <w:szCs w:val="24"/>
              </w:rPr>
            </w:pPr>
            <w:r w:rsidRPr="009077F5">
              <w:rPr>
                <w:sz w:val="24"/>
                <w:szCs w:val="24"/>
              </w:rPr>
              <w:t>Genellikle kumaş filtreler olarak adlandırılan torba filtreler, gazların parçacıkları gidermek için içinden aktığı gözenekli dokuma veya keçe kumaştan yapılır. Torba filtre kullanımı, atık gazların özelliklerine ve maksimum çalışma sıcaklığına uygun bir kumaş malzeme seçimi gerektirir.</w:t>
            </w:r>
          </w:p>
        </w:tc>
      </w:tr>
      <w:tr w:rsidR="0068350C" w:rsidRPr="00532481" w14:paraId="10F02094" w14:textId="77777777" w:rsidTr="009077F5">
        <w:trPr>
          <w:trHeight w:val="20"/>
        </w:trPr>
        <w:tc>
          <w:tcPr>
            <w:tcW w:w="1749" w:type="dxa"/>
          </w:tcPr>
          <w:p w14:paraId="57FBCAF7" w14:textId="77777777" w:rsidR="0068350C" w:rsidRPr="009077F5" w:rsidRDefault="0068350C" w:rsidP="004B0D48">
            <w:pPr>
              <w:pStyle w:val="KonuBal"/>
              <w:rPr>
                <w:sz w:val="24"/>
                <w:szCs w:val="24"/>
              </w:rPr>
            </w:pPr>
            <w:r w:rsidRPr="009077F5">
              <w:rPr>
                <w:sz w:val="24"/>
                <w:szCs w:val="24"/>
              </w:rPr>
              <w:t>Elektrostatik çöktürücü (Electrostatic precipitator ESP)</w:t>
            </w:r>
          </w:p>
        </w:tc>
        <w:tc>
          <w:tcPr>
            <w:tcW w:w="7232" w:type="dxa"/>
          </w:tcPr>
          <w:p w14:paraId="71A63946" w14:textId="391D6E03" w:rsidR="0068350C" w:rsidRPr="009077F5" w:rsidRDefault="0068350C" w:rsidP="004B0D48">
            <w:pPr>
              <w:pStyle w:val="KonuBal"/>
              <w:rPr>
                <w:sz w:val="24"/>
                <w:szCs w:val="24"/>
              </w:rPr>
            </w:pPr>
            <w:r w:rsidRPr="009077F5">
              <w:rPr>
                <w:sz w:val="24"/>
                <w:szCs w:val="24"/>
              </w:rPr>
              <w:t>Elektrostatik çökelticiler, parçacıkların bir elektrik alanının etkisi altında yüklenip ayrılması şeklinde çalışır. Çok çeşitli koşullar altında çalışma kapasitesine sahiptirler. Kuru ESP</w:t>
            </w:r>
            <w:r w:rsidR="00E56504" w:rsidRPr="009077F5">
              <w:rPr>
                <w:sz w:val="24"/>
                <w:szCs w:val="24"/>
              </w:rPr>
              <w:t>’</w:t>
            </w:r>
            <w:r w:rsidRPr="009077F5">
              <w:rPr>
                <w:sz w:val="24"/>
                <w:szCs w:val="24"/>
              </w:rPr>
              <w:t>de toplanan malzeme mekanik olarak (örneğin çalkalama, titreşim, basınçlı hava ile) uzaklaştırılırken, ıslak ESP</w:t>
            </w:r>
            <w:r w:rsidR="00E56504" w:rsidRPr="009077F5">
              <w:rPr>
                <w:sz w:val="24"/>
                <w:szCs w:val="24"/>
              </w:rPr>
              <w:t>’</w:t>
            </w:r>
            <w:r w:rsidRPr="009077F5">
              <w:rPr>
                <w:sz w:val="24"/>
                <w:szCs w:val="24"/>
              </w:rPr>
              <w:t>de uygun bir sıvı, genellikle su ile yıkanır.</w:t>
            </w:r>
          </w:p>
        </w:tc>
      </w:tr>
      <w:tr w:rsidR="0068350C" w:rsidRPr="00532481" w14:paraId="67A81BAD" w14:textId="77777777" w:rsidTr="009077F5">
        <w:trPr>
          <w:trHeight w:val="20"/>
        </w:trPr>
        <w:tc>
          <w:tcPr>
            <w:tcW w:w="1749" w:type="dxa"/>
          </w:tcPr>
          <w:p w14:paraId="671E81D7" w14:textId="62A3AE15" w:rsidR="0068350C" w:rsidRPr="009077F5" w:rsidRDefault="00F425BB" w:rsidP="004B0D48">
            <w:pPr>
              <w:pStyle w:val="KonuBal"/>
              <w:rPr>
                <w:sz w:val="24"/>
                <w:szCs w:val="24"/>
              </w:rPr>
            </w:pPr>
            <w:r w:rsidRPr="009077F5">
              <w:rPr>
                <w:sz w:val="24"/>
                <w:szCs w:val="24"/>
              </w:rPr>
              <w:t>Islak Yıkama</w:t>
            </w:r>
            <w:r w:rsidR="0068350C" w:rsidRPr="009077F5">
              <w:rPr>
                <w:sz w:val="24"/>
                <w:szCs w:val="24"/>
              </w:rPr>
              <w:t xml:space="preserve"> </w:t>
            </w:r>
          </w:p>
        </w:tc>
        <w:tc>
          <w:tcPr>
            <w:tcW w:w="7232" w:type="dxa"/>
          </w:tcPr>
          <w:p w14:paraId="1867F82A" w14:textId="77777777" w:rsidR="0068350C" w:rsidRPr="009077F5" w:rsidRDefault="0068350C" w:rsidP="004B0D48">
            <w:pPr>
              <w:pStyle w:val="KonuBal"/>
              <w:rPr>
                <w:sz w:val="24"/>
                <w:szCs w:val="24"/>
              </w:rPr>
            </w:pPr>
            <w:r w:rsidRPr="009077F5">
              <w:rPr>
                <w:sz w:val="24"/>
                <w:szCs w:val="24"/>
              </w:rPr>
              <w:t>Islak yıkama, gelen gazı suyla yoğun bir şekilde karıştırarak tozu ayırmayı gerektirir, genellikle santrifüj kuvveti kullanılarak kaba parçacıkların uzaklaştırılmasıyla birleştirilir. Uzaklaştırılan toz, yıkayıcının tabanında toplanır. Ayrıca, SO</w:t>
            </w:r>
            <w:r w:rsidRPr="009077F5">
              <w:rPr>
                <w:sz w:val="24"/>
                <w:szCs w:val="24"/>
                <w:vertAlign w:val="subscript"/>
              </w:rPr>
              <w:t>2</w:t>
            </w:r>
            <w:r w:rsidRPr="009077F5">
              <w:rPr>
                <w:sz w:val="24"/>
                <w:szCs w:val="24"/>
              </w:rPr>
              <w:t>, NH</w:t>
            </w:r>
            <w:r w:rsidRPr="009077F5">
              <w:rPr>
                <w:sz w:val="24"/>
                <w:szCs w:val="24"/>
                <w:vertAlign w:val="subscript"/>
              </w:rPr>
              <w:t>3</w:t>
            </w:r>
            <w:r w:rsidRPr="009077F5">
              <w:rPr>
                <w:sz w:val="24"/>
                <w:szCs w:val="24"/>
              </w:rPr>
              <w:t>, bazı VOC ve ağır metaller gibi maddeler de uzaklaştırılabilir.</w:t>
            </w:r>
          </w:p>
        </w:tc>
      </w:tr>
    </w:tbl>
    <w:p w14:paraId="373AB36F" w14:textId="77777777" w:rsidR="0068350C" w:rsidRPr="00D53A2B" w:rsidRDefault="0068350C" w:rsidP="00A202FD">
      <w:pPr>
        <w:jc w:val="both"/>
        <w:rPr>
          <w:spacing w:val="2"/>
          <w:lang w:eastAsia="en-US"/>
        </w:rPr>
      </w:pPr>
    </w:p>
    <w:p w14:paraId="14D93AA8" w14:textId="2CE8A25D" w:rsidR="0068350C" w:rsidRPr="00D53A2B" w:rsidRDefault="005F64EC" w:rsidP="00A202FD">
      <w:pPr>
        <w:pStyle w:val="Balk4"/>
        <w:rPr>
          <w:rFonts w:cs="Times New Roman"/>
          <w:lang w:val="en-US" w:eastAsia="en-US"/>
        </w:rPr>
      </w:pPr>
      <w:r w:rsidRPr="00D53A2B">
        <w:rPr>
          <w:rFonts w:cs="Times New Roman"/>
          <w:lang w:val="en-US" w:eastAsia="en-US"/>
        </w:rPr>
        <w:t xml:space="preserve">1.3. </w:t>
      </w:r>
      <w:bookmarkStart w:id="264" w:name="_Toc527940779"/>
      <w:bookmarkStart w:id="265" w:name="_Toc531927935"/>
      <w:r w:rsidR="0068350C" w:rsidRPr="00D53A2B">
        <w:rPr>
          <w:rFonts w:cs="Times New Roman"/>
          <w:lang w:val="en-US" w:eastAsia="en-US"/>
        </w:rPr>
        <w:t>NO</w:t>
      </w:r>
      <w:r w:rsidR="0068350C" w:rsidRPr="00D53A2B">
        <w:rPr>
          <w:rFonts w:cs="Times New Roman"/>
          <w:vertAlign w:val="subscript"/>
          <w:lang w:val="en-US" w:eastAsia="en-US"/>
        </w:rPr>
        <w:t>x</w:t>
      </w:r>
      <w:r w:rsidR="0068350C" w:rsidRPr="00D53A2B">
        <w:rPr>
          <w:rFonts w:cs="Times New Roman"/>
          <w:lang w:val="en-US" w:eastAsia="en-US"/>
        </w:rPr>
        <w:t xml:space="preserve"> emisyonları</w:t>
      </w:r>
      <w:bookmarkEnd w:id="264"/>
      <w:bookmarkEnd w:id="265"/>
    </w:p>
    <w:tbl>
      <w:tblPr>
        <w:tblStyle w:val="TabloKlavuzu6"/>
        <w:tblW w:w="8926" w:type="dxa"/>
        <w:tblLayout w:type="fixed"/>
        <w:tblLook w:val="01E0" w:firstRow="1" w:lastRow="1" w:firstColumn="1" w:lastColumn="1" w:noHBand="0" w:noVBand="0"/>
      </w:tblPr>
      <w:tblGrid>
        <w:gridCol w:w="1744"/>
        <w:gridCol w:w="7182"/>
      </w:tblGrid>
      <w:tr w:rsidR="0068350C" w:rsidRPr="00532481" w14:paraId="38BB8ACD" w14:textId="77777777" w:rsidTr="008A41DE">
        <w:trPr>
          <w:trHeight w:val="57"/>
        </w:trPr>
        <w:tc>
          <w:tcPr>
            <w:tcW w:w="1744" w:type="dxa"/>
          </w:tcPr>
          <w:p w14:paraId="6CAC0889" w14:textId="77777777" w:rsidR="0068350C" w:rsidRPr="009077F5" w:rsidRDefault="0068350C" w:rsidP="004B0D48">
            <w:pPr>
              <w:pStyle w:val="KonuBal"/>
              <w:rPr>
                <w:sz w:val="24"/>
                <w:szCs w:val="24"/>
              </w:rPr>
            </w:pPr>
            <w:r w:rsidRPr="009077F5">
              <w:rPr>
                <w:sz w:val="24"/>
                <w:szCs w:val="24"/>
              </w:rPr>
              <w:t>Teknik</w:t>
            </w:r>
          </w:p>
        </w:tc>
        <w:tc>
          <w:tcPr>
            <w:tcW w:w="7182" w:type="dxa"/>
          </w:tcPr>
          <w:p w14:paraId="1ED050E1" w14:textId="77777777" w:rsidR="0068350C" w:rsidRPr="009077F5" w:rsidRDefault="0068350C" w:rsidP="004B0D48">
            <w:pPr>
              <w:pStyle w:val="KonuBal"/>
              <w:rPr>
                <w:sz w:val="24"/>
                <w:szCs w:val="24"/>
              </w:rPr>
            </w:pPr>
            <w:r w:rsidRPr="009077F5">
              <w:rPr>
                <w:sz w:val="24"/>
                <w:szCs w:val="24"/>
              </w:rPr>
              <w:t>Açıklama</w:t>
            </w:r>
          </w:p>
        </w:tc>
      </w:tr>
      <w:tr w:rsidR="0068350C" w:rsidRPr="00532481" w14:paraId="3A6FC5DA" w14:textId="77777777" w:rsidTr="008A41DE">
        <w:trPr>
          <w:trHeight w:val="57"/>
        </w:trPr>
        <w:tc>
          <w:tcPr>
            <w:tcW w:w="1744" w:type="dxa"/>
          </w:tcPr>
          <w:p w14:paraId="0DC8A3C2" w14:textId="77777777" w:rsidR="0068350C" w:rsidRPr="009077F5" w:rsidRDefault="0068350C" w:rsidP="004B0D48">
            <w:pPr>
              <w:pStyle w:val="KonuBal"/>
              <w:rPr>
                <w:sz w:val="24"/>
                <w:szCs w:val="24"/>
              </w:rPr>
            </w:pPr>
            <w:r w:rsidRPr="009077F5">
              <w:rPr>
                <w:sz w:val="24"/>
                <w:szCs w:val="24"/>
              </w:rPr>
              <w:t>Düşük NO</w:t>
            </w:r>
            <w:r w:rsidRPr="009077F5">
              <w:rPr>
                <w:sz w:val="24"/>
                <w:szCs w:val="24"/>
                <w:vertAlign w:val="subscript"/>
              </w:rPr>
              <w:t>x</w:t>
            </w:r>
            <w:r w:rsidRPr="009077F5">
              <w:rPr>
                <w:sz w:val="24"/>
                <w:szCs w:val="24"/>
              </w:rPr>
              <w:t xml:space="preserve"> brülör</w:t>
            </w:r>
          </w:p>
        </w:tc>
        <w:tc>
          <w:tcPr>
            <w:tcW w:w="7182" w:type="dxa"/>
          </w:tcPr>
          <w:p w14:paraId="653EEF50" w14:textId="77777777" w:rsidR="0068350C" w:rsidRPr="009077F5" w:rsidRDefault="0068350C" w:rsidP="004B0D48">
            <w:pPr>
              <w:pStyle w:val="KonuBal"/>
              <w:rPr>
                <w:sz w:val="24"/>
                <w:szCs w:val="24"/>
              </w:rPr>
            </w:pPr>
            <w:r w:rsidRPr="009077F5">
              <w:rPr>
                <w:sz w:val="24"/>
                <w:szCs w:val="24"/>
              </w:rPr>
              <w:t>Düşük NO</w:t>
            </w:r>
            <w:r w:rsidRPr="009077F5">
              <w:rPr>
                <w:sz w:val="24"/>
                <w:szCs w:val="24"/>
                <w:vertAlign w:val="subscript"/>
              </w:rPr>
              <w:t>x</w:t>
            </w:r>
            <w:r w:rsidRPr="009077F5">
              <w:rPr>
                <w:sz w:val="24"/>
                <w:szCs w:val="24"/>
              </w:rPr>
              <w:t xml:space="preserve"> brülörleri, alev en üst sıcaklığını düşürerek, yanmayı geciktirerek ancak tamamlayarak ve ısı transferini artırarak (alevin emisivitesi artarak) NO</w:t>
            </w:r>
            <w:r w:rsidRPr="009077F5">
              <w:rPr>
                <w:sz w:val="24"/>
                <w:szCs w:val="24"/>
                <w:vertAlign w:val="subscript"/>
              </w:rPr>
              <w:t>x</w:t>
            </w:r>
            <w:r w:rsidRPr="009077F5">
              <w:rPr>
                <w:sz w:val="24"/>
                <w:szCs w:val="24"/>
              </w:rPr>
              <w:t xml:space="preserve"> oluşumunu azaltır. Ultra düşük NO</w:t>
            </w:r>
            <w:r w:rsidRPr="009077F5">
              <w:rPr>
                <w:sz w:val="24"/>
                <w:szCs w:val="24"/>
                <w:vertAlign w:val="subscript"/>
              </w:rPr>
              <w:t>x</w:t>
            </w:r>
            <w:r w:rsidRPr="009077F5">
              <w:rPr>
                <w:sz w:val="24"/>
                <w:szCs w:val="24"/>
              </w:rPr>
              <w:t xml:space="preserve"> brülörleri yanma kademelendirmesi (hava/yakıt) ve baca gazı resirkülasyonunu içerir.</w:t>
            </w:r>
          </w:p>
        </w:tc>
      </w:tr>
      <w:tr w:rsidR="0068350C" w:rsidRPr="00532481" w14:paraId="62ADE0E4" w14:textId="77777777" w:rsidTr="008A41DE">
        <w:trPr>
          <w:trHeight w:val="57"/>
        </w:trPr>
        <w:tc>
          <w:tcPr>
            <w:tcW w:w="1744" w:type="dxa"/>
          </w:tcPr>
          <w:p w14:paraId="6D060459" w14:textId="77777777" w:rsidR="0068350C" w:rsidRPr="009077F5" w:rsidRDefault="0068350C" w:rsidP="004B0D48">
            <w:pPr>
              <w:pStyle w:val="KonuBal"/>
              <w:rPr>
                <w:sz w:val="24"/>
                <w:szCs w:val="24"/>
              </w:rPr>
            </w:pPr>
            <w:r w:rsidRPr="009077F5">
              <w:rPr>
                <w:sz w:val="24"/>
                <w:szCs w:val="24"/>
              </w:rPr>
              <w:t>Oksijen yakıtlı brülör</w:t>
            </w:r>
          </w:p>
        </w:tc>
        <w:tc>
          <w:tcPr>
            <w:tcW w:w="7182" w:type="dxa"/>
          </w:tcPr>
          <w:p w14:paraId="1AE1C777" w14:textId="77777777" w:rsidR="0068350C" w:rsidRPr="009077F5" w:rsidRDefault="0068350C" w:rsidP="004B0D48">
            <w:pPr>
              <w:pStyle w:val="KonuBal"/>
              <w:rPr>
                <w:sz w:val="24"/>
                <w:szCs w:val="24"/>
              </w:rPr>
            </w:pPr>
            <w:r w:rsidRPr="009077F5">
              <w:rPr>
                <w:sz w:val="24"/>
                <w:szCs w:val="24"/>
              </w:rPr>
              <w:t>Teknik, yanma havasının oksijenle değiştirilmesini ve bunun sonucunda fırına giren azottan kaynaklanan termal NO</w:t>
            </w:r>
            <w:r w:rsidRPr="009077F5">
              <w:rPr>
                <w:sz w:val="24"/>
                <w:szCs w:val="24"/>
                <w:vertAlign w:val="subscript"/>
              </w:rPr>
              <w:t>x</w:t>
            </w:r>
            <w:r w:rsidRPr="009077F5">
              <w:rPr>
                <w:sz w:val="24"/>
                <w:szCs w:val="24"/>
              </w:rPr>
              <w:t xml:space="preserve"> oluşumunun ortadan kaldırılmasını/azaltılmasını içerir. Fırındaki artık azot içeriği, sağlanan oksijenin saflığına, yakıtın kalitesine ve potansiyel hava girişine bağlıdır.</w:t>
            </w:r>
          </w:p>
        </w:tc>
      </w:tr>
      <w:tr w:rsidR="0068350C" w:rsidRPr="00532481" w14:paraId="4F9DE9D2" w14:textId="77777777" w:rsidTr="008A41DE">
        <w:trPr>
          <w:trHeight w:val="57"/>
        </w:trPr>
        <w:tc>
          <w:tcPr>
            <w:tcW w:w="1744" w:type="dxa"/>
          </w:tcPr>
          <w:p w14:paraId="439981AA" w14:textId="77777777" w:rsidR="0068350C" w:rsidRPr="009077F5" w:rsidRDefault="0068350C" w:rsidP="004B0D48">
            <w:pPr>
              <w:pStyle w:val="KonuBal"/>
              <w:rPr>
                <w:sz w:val="24"/>
                <w:szCs w:val="24"/>
              </w:rPr>
            </w:pPr>
            <w:r w:rsidRPr="009077F5">
              <w:rPr>
                <w:sz w:val="24"/>
                <w:szCs w:val="24"/>
              </w:rPr>
              <w:t>Baca gazı resirkülasyonu</w:t>
            </w:r>
          </w:p>
        </w:tc>
        <w:tc>
          <w:tcPr>
            <w:tcW w:w="7182" w:type="dxa"/>
          </w:tcPr>
          <w:p w14:paraId="731033BE" w14:textId="77777777" w:rsidR="0068350C" w:rsidRPr="009077F5" w:rsidRDefault="0068350C" w:rsidP="004B0D48">
            <w:pPr>
              <w:pStyle w:val="KonuBal"/>
              <w:rPr>
                <w:sz w:val="24"/>
                <w:szCs w:val="24"/>
              </w:rPr>
            </w:pPr>
            <w:r w:rsidRPr="009077F5">
              <w:rPr>
                <w:sz w:val="24"/>
                <w:szCs w:val="24"/>
              </w:rPr>
              <w:t>Bu, fırının baca gazının alev içine yeniden enjekte edilmesiyle oksijen içeriğinin ve dolayısıyla alev sıcaklığının azaltılması anlamına gelir. Özel brülörlerin kullanımı, alevlerin kökünü soğutan ve alevlerin en sıcak kısmındaki oksijen içeriğini azaltan yanma gazlarının dahili olarak yeniden dolaşımına dayanmaktadır.</w:t>
            </w:r>
          </w:p>
        </w:tc>
      </w:tr>
    </w:tbl>
    <w:p w14:paraId="78200968" w14:textId="21CFEA48" w:rsidR="0068350C" w:rsidRDefault="0068350C" w:rsidP="00A202FD">
      <w:pPr>
        <w:jc w:val="both"/>
        <w:rPr>
          <w:lang w:val="en-US" w:eastAsia="en-US"/>
        </w:rPr>
      </w:pPr>
      <w:bookmarkStart w:id="266" w:name="_Toc527940780"/>
      <w:bookmarkStart w:id="267" w:name="_Toc531927936"/>
    </w:p>
    <w:p w14:paraId="405B92D0" w14:textId="77777777" w:rsidR="008A41DE" w:rsidRPr="00D53A2B" w:rsidRDefault="008A41DE" w:rsidP="00A202FD">
      <w:pPr>
        <w:jc w:val="both"/>
        <w:rPr>
          <w:lang w:val="en-US" w:eastAsia="en-US"/>
        </w:rPr>
      </w:pPr>
    </w:p>
    <w:p w14:paraId="621CE041" w14:textId="75E4A509" w:rsidR="0068350C" w:rsidRPr="00D53A2B" w:rsidRDefault="005F64EC" w:rsidP="00A202FD">
      <w:pPr>
        <w:pStyle w:val="Balk4"/>
        <w:rPr>
          <w:rFonts w:cs="Times New Roman"/>
          <w:lang w:val="en-US" w:eastAsia="en-US"/>
        </w:rPr>
      </w:pPr>
      <w:r w:rsidRPr="00D53A2B">
        <w:rPr>
          <w:rFonts w:cs="Times New Roman"/>
          <w:lang w:val="en-US" w:eastAsia="en-US"/>
        </w:rPr>
        <w:t xml:space="preserve">1.4. </w:t>
      </w:r>
      <w:r w:rsidR="0068350C" w:rsidRPr="00D53A2B">
        <w:rPr>
          <w:rFonts w:cs="Times New Roman"/>
          <w:lang w:val="en-US" w:eastAsia="en-US"/>
        </w:rPr>
        <w:t>SO</w:t>
      </w:r>
      <w:r w:rsidR="0068350C" w:rsidRPr="00D53A2B">
        <w:rPr>
          <w:rFonts w:cs="Times New Roman"/>
          <w:vertAlign w:val="subscript"/>
          <w:lang w:val="en-US" w:eastAsia="en-US"/>
        </w:rPr>
        <w:t>2</w:t>
      </w:r>
      <w:r w:rsidR="0068350C" w:rsidRPr="00D53A2B">
        <w:rPr>
          <w:rFonts w:cs="Times New Roman"/>
          <w:lang w:val="en-US" w:eastAsia="en-US"/>
        </w:rPr>
        <w:t>, HCI ve HF emisyonları</w:t>
      </w:r>
      <w:bookmarkEnd w:id="266"/>
      <w:bookmarkEnd w:id="267"/>
    </w:p>
    <w:tbl>
      <w:tblPr>
        <w:tblStyle w:val="TabloKlavuzu6"/>
        <w:tblW w:w="8926" w:type="dxa"/>
        <w:tblLayout w:type="fixed"/>
        <w:tblLook w:val="01E0" w:firstRow="1" w:lastRow="1" w:firstColumn="1" w:lastColumn="1" w:noHBand="0" w:noVBand="0"/>
      </w:tblPr>
      <w:tblGrid>
        <w:gridCol w:w="1838"/>
        <w:gridCol w:w="7088"/>
      </w:tblGrid>
      <w:tr w:rsidR="0068350C" w:rsidRPr="00532481" w14:paraId="6FF98898" w14:textId="77777777" w:rsidTr="008A41DE">
        <w:trPr>
          <w:trHeight w:hRule="exact" w:val="240"/>
        </w:trPr>
        <w:tc>
          <w:tcPr>
            <w:tcW w:w="1838" w:type="dxa"/>
          </w:tcPr>
          <w:p w14:paraId="08D40877" w14:textId="77777777" w:rsidR="0068350C" w:rsidRPr="009077F5" w:rsidRDefault="0068350C" w:rsidP="004B0D48">
            <w:pPr>
              <w:pStyle w:val="KonuBal"/>
              <w:rPr>
                <w:sz w:val="24"/>
                <w:szCs w:val="24"/>
              </w:rPr>
            </w:pPr>
            <w:r w:rsidRPr="009077F5">
              <w:rPr>
                <w:sz w:val="24"/>
                <w:szCs w:val="24"/>
              </w:rPr>
              <w:t>Teknik</w:t>
            </w:r>
          </w:p>
        </w:tc>
        <w:tc>
          <w:tcPr>
            <w:tcW w:w="7088" w:type="dxa"/>
          </w:tcPr>
          <w:p w14:paraId="49557F18" w14:textId="77777777" w:rsidR="0068350C" w:rsidRPr="009077F5" w:rsidRDefault="0068350C" w:rsidP="004B0D48">
            <w:pPr>
              <w:pStyle w:val="KonuBal"/>
              <w:rPr>
                <w:sz w:val="24"/>
                <w:szCs w:val="24"/>
              </w:rPr>
            </w:pPr>
            <w:r w:rsidRPr="009077F5">
              <w:rPr>
                <w:sz w:val="24"/>
                <w:szCs w:val="24"/>
              </w:rPr>
              <w:t>Açıklama</w:t>
            </w:r>
          </w:p>
        </w:tc>
      </w:tr>
      <w:tr w:rsidR="0068350C" w:rsidRPr="00532481" w14:paraId="4B38D07F" w14:textId="77777777" w:rsidTr="00BA29D2">
        <w:trPr>
          <w:trHeight w:hRule="exact" w:val="3189"/>
        </w:trPr>
        <w:tc>
          <w:tcPr>
            <w:tcW w:w="1838" w:type="dxa"/>
          </w:tcPr>
          <w:p w14:paraId="52FA16FE" w14:textId="77777777" w:rsidR="0068350C" w:rsidRPr="009077F5" w:rsidRDefault="0068350C" w:rsidP="004B0D48">
            <w:pPr>
              <w:pStyle w:val="KonuBal"/>
              <w:rPr>
                <w:sz w:val="24"/>
                <w:szCs w:val="24"/>
              </w:rPr>
            </w:pPr>
            <w:r w:rsidRPr="009077F5">
              <w:rPr>
                <w:sz w:val="24"/>
                <w:szCs w:val="24"/>
              </w:rPr>
              <w:t>Kuru veya yarı kuru yıkayıcı</w:t>
            </w:r>
          </w:p>
        </w:tc>
        <w:tc>
          <w:tcPr>
            <w:tcW w:w="7088" w:type="dxa"/>
          </w:tcPr>
          <w:p w14:paraId="5F50FE24" w14:textId="77777777" w:rsidR="0068350C" w:rsidRPr="009077F5" w:rsidRDefault="0068350C" w:rsidP="004B0D48">
            <w:pPr>
              <w:pStyle w:val="KonuBal"/>
              <w:rPr>
                <w:sz w:val="24"/>
                <w:szCs w:val="24"/>
              </w:rPr>
            </w:pPr>
            <w:r w:rsidRPr="009077F5">
              <w:rPr>
                <w:sz w:val="24"/>
                <w:szCs w:val="24"/>
              </w:rPr>
              <w:t>Bir alkalin reaktifin (örneğin kireç veya sodyum bikarbonat) kuru tozu veya süspansiyonu/çözeltisi, çıkış gazı akışına eklenir ve dağıtılır. Malzeme, asidik gaz türleri (örneğin SO2) ile reaksiyona girerek, filtrasyonla (torba filtre veya elektrostatik çökeltici) uzaklaştırılan bir katı oluşturur. Bir reaksiyon kulesinin kullanılması, temizleme sisteminin uzaklaştırma verimliliğini artırır. Adsorpsiyon, paketlenmiş kulelerin (örneğin kok filtresi) kullanımıyla da elde edilebilir.</w:t>
            </w:r>
          </w:p>
          <w:p w14:paraId="41328C2F" w14:textId="77777777" w:rsidR="0068350C" w:rsidRPr="009077F5" w:rsidRDefault="0068350C" w:rsidP="00E73DA3">
            <w:pPr>
              <w:pStyle w:val="KonuBal"/>
              <w:rPr>
                <w:sz w:val="24"/>
                <w:szCs w:val="24"/>
              </w:rPr>
            </w:pPr>
            <w:r w:rsidRPr="009077F5">
              <w:rPr>
                <w:sz w:val="24"/>
                <w:szCs w:val="24"/>
              </w:rPr>
              <w:t>Mevcut tesislerde performans, sıcaklık (min. 60°C), nem içeriği, temas süresi, gaz dalgalanmaları ve toz filtrasyon sisteminin (örneğin torba filtre) ek toz yükü gibi proses parametrelerine bağlıdır.</w:t>
            </w:r>
          </w:p>
        </w:tc>
      </w:tr>
      <w:tr w:rsidR="0068350C" w:rsidRPr="00532481" w14:paraId="4436F07D" w14:textId="77777777" w:rsidTr="00BA29D2">
        <w:trPr>
          <w:trHeight w:hRule="exact" w:val="1972"/>
        </w:trPr>
        <w:tc>
          <w:tcPr>
            <w:tcW w:w="1838" w:type="dxa"/>
          </w:tcPr>
          <w:p w14:paraId="5DA387C7" w14:textId="71CB78F0" w:rsidR="0068350C" w:rsidRPr="009077F5" w:rsidRDefault="00662066" w:rsidP="004B0D48">
            <w:pPr>
              <w:pStyle w:val="KonuBal"/>
              <w:rPr>
                <w:sz w:val="24"/>
                <w:szCs w:val="24"/>
              </w:rPr>
            </w:pPr>
            <w:r w:rsidRPr="009077F5">
              <w:rPr>
                <w:sz w:val="24"/>
                <w:szCs w:val="24"/>
              </w:rPr>
              <w:t>Islak Yıkama</w:t>
            </w:r>
          </w:p>
        </w:tc>
        <w:tc>
          <w:tcPr>
            <w:tcW w:w="7088" w:type="dxa"/>
          </w:tcPr>
          <w:p w14:paraId="659CCFDB" w14:textId="3A40DCBA" w:rsidR="0068350C" w:rsidRPr="009077F5" w:rsidRDefault="0068350C" w:rsidP="004B0D48">
            <w:pPr>
              <w:pStyle w:val="KonuBal"/>
              <w:rPr>
                <w:sz w:val="24"/>
                <w:szCs w:val="24"/>
              </w:rPr>
            </w:pPr>
            <w:r w:rsidRPr="009077F5">
              <w:rPr>
                <w:sz w:val="24"/>
                <w:szCs w:val="24"/>
              </w:rPr>
              <w:t>Islak yıkama işleminde, gaz halindeki bileşikler bir yıkama çözeltisinde (örneğin kireç, NaOH veya H</w:t>
            </w:r>
            <w:r w:rsidRPr="009077F5">
              <w:rPr>
                <w:sz w:val="24"/>
                <w:szCs w:val="24"/>
                <w:vertAlign w:val="subscript"/>
              </w:rPr>
              <w:t>2</w:t>
            </w:r>
            <w:r w:rsidRPr="009077F5">
              <w:rPr>
                <w:sz w:val="24"/>
                <w:szCs w:val="24"/>
              </w:rPr>
              <w:t>O</w:t>
            </w:r>
            <w:r w:rsidRPr="009077F5">
              <w:rPr>
                <w:sz w:val="24"/>
                <w:szCs w:val="24"/>
                <w:vertAlign w:val="subscript"/>
              </w:rPr>
              <w:t xml:space="preserve">2 </w:t>
            </w:r>
            <w:r w:rsidRPr="009077F5">
              <w:rPr>
                <w:sz w:val="24"/>
                <w:szCs w:val="24"/>
              </w:rPr>
              <w:t xml:space="preserve">içeren alkali bir çözelti) çözülür. Islak yıkayıcının aşağı akışında, atık gazlar suyla doyurulur ve atık gazlar boşaltılmadan önce damlacıkların ayrılması gerçekleştirilir. Elde edilen sıvı, </w:t>
            </w:r>
            <w:r w:rsidR="00651500" w:rsidRPr="009077F5">
              <w:rPr>
                <w:sz w:val="24"/>
                <w:szCs w:val="24"/>
              </w:rPr>
              <w:t>atıksu</w:t>
            </w:r>
            <w:r w:rsidRPr="009077F5">
              <w:rPr>
                <w:sz w:val="24"/>
                <w:szCs w:val="24"/>
              </w:rPr>
              <w:t xml:space="preserve">işlemiyle daha da arıtılır ve çözünmeyen madde, çökeltme veya filtrasyonla toplanır. </w:t>
            </w:r>
          </w:p>
          <w:p w14:paraId="4BDEFA58" w14:textId="77777777" w:rsidR="0068350C" w:rsidRPr="009077F5" w:rsidRDefault="0068350C" w:rsidP="00E73DA3">
            <w:pPr>
              <w:pStyle w:val="KonuBal"/>
              <w:rPr>
                <w:sz w:val="24"/>
                <w:szCs w:val="24"/>
              </w:rPr>
            </w:pPr>
            <w:r w:rsidRPr="009077F5">
              <w:rPr>
                <w:sz w:val="24"/>
                <w:szCs w:val="24"/>
              </w:rPr>
              <w:t>Mevcut tesisler için bu teknik önemli miktarda alan gerektirebilir.</w:t>
            </w:r>
          </w:p>
        </w:tc>
      </w:tr>
      <w:tr w:rsidR="0068350C" w:rsidRPr="00532481" w14:paraId="74DCB69B" w14:textId="77777777" w:rsidTr="00BA29D2">
        <w:trPr>
          <w:trHeight w:hRule="exact" w:val="1008"/>
        </w:trPr>
        <w:tc>
          <w:tcPr>
            <w:tcW w:w="1838" w:type="dxa"/>
          </w:tcPr>
          <w:p w14:paraId="0AB4C22E" w14:textId="77777777" w:rsidR="0068350C" w:rsidRPr="009077F5" w:rsidRDefault="0068350C" w:rsidP="004B0D48">
            <w:pPr>
              <w:pStyle w:val="KonuBal"/>
              <w:rPr>
                <w:sz w:val="24"/>
                <w:szCs w:val="24"/>
              </w:rPr>
            </w:pPr>
            <w:r w:rsidRPr="009077F5">
              <w:rPr>
                <w:sz w:val="24"/>
                <w:szCs w:val="24"/>
              </w:rPr>
              <w:t>Düşük kükürtlü yakıtların kullanımı</w:t>
            </w:r>
          </w:p>
        </w:tc>
        <w:tc>
          <w:tcPr>
            <w:tcW w:w="7088" w:type="dxa"/>
          </w:tcPr>
          <w:p w14:paraId="538A1F39" w14:textId="77777777" w:rsidR="0068350C" w:rsidRPr="009077F5" w:rsidRDefault="0068350C" w:rsidP="004B0D48">
            <w:pPr>
              <w:pStyle w:val="KonuBal"/>
              <w:rPr>
                <w:sz w:val="24"/>
                <w:szCs w:val="24"/>
              </w:rPr>
            </w:pPr>
            <w:r w:rsidRPr="009077F5">
              <w:rPr>
                <w:sz w:val="24"/>
                <w:szCs w:val="24"/>
              </w:rPr>
              <w:t>Doğal gaz veya düşük kükürtlü yakıt yağının kullanılması, yanma sırasında yakıtta bulunan kükürdün oksidasyonu sonucu oluşan SO</w:t>
            </w:r>
            <w:r w:rsidRPr="009077F5">
              <w:rPr>
                <w:sz w:val="24"/>
                <w:szCs w:val="24"/>
                <w:vertAlign w:val="subscript"/>
              </w:rPr>
              <w:t>2</w:t>
            </w:r>
            <w:r w:rsidRPr="009077F5">
              <w:rPr>
                <w:sz w:val="24"/>
                <w:szCs w:val="24"/>
              </w:rPr>
              <w:t xml:space="preserve"> ve SO</w:t>
            </w:r>
            <w:r w:rsidRPr="009077F5">
              <w:rPr>
                <w:sz w:val="24"/>
                <w:szCs w:val="24"/>
                <w:vertAlign w:val="subscript"/>
              </w:rPr>
              <w:t>3</w:t>
            </w:r>
            <w:r w:rsidRPr="009077F5">
              <w:rPr>
                <w:sz w:val="24"/>
                <w:szCs w:val="24"/>
              </w:rPr>
              <w:t xml:space="preserve"> emisyonlarının miktarını azaltır.</w:t>
            </w:r>
          </w:p>
        </w:tc>
      </w:tr>
      <w:tr w:rsidR="0068350C" w:rsidRPr="00532481" w14:paraId="40B3B9F6" w14:textId="77777777" w:rsidTr="00BA29D2">
        <w:trPr>
          <w:trHeight w:hRule="exact" w:val="1277"/>
        </w:trPr>
        <w:tc>
          <w:tcPr>
            <w:tcW w:w="1838" w:type="dxa"/>
          </w:tcPr>
          <w:p w14:paraId="52563D89" w14:textId="77777777" w:rsidR="0068350C" w:rsidRPr="009077F5" w:rsidRDefault="0068350C" w:rsidP="004B0D48">
            <w:pPr>
              <w:pStyle w:val="KonuBal"/>
              <w:rPr>
                <w:sz w:val="24"/>
                <w:szCs w:val="24"/>
              </w:rPr>
            </w:pPr>
            <w:r w:rsidRPr="009077F5">
              <w:rPr>
                <w:sz w:val="24"/>
                <w:szCs w:val="24"/>
              </w:rPr>
              <w:t>Polieter bazlı absorpsiyon/desorpsiyon sistemi</w:t>
            </w:r>
          </w:p>
        </w:tc>
        <w:tc>
          <w:tcPr>
            <w:tcW w:w="7088" w:type="dxa"/>
          </w:tcPr>
          <w:p w14:paraId="518399E5" w14:textId="0AF50947" w:rsidR="0068350C" w:rsidRPr="009077F5" w:rsidRDefault="0068350C" w:rsidP="004B0D48">
            <w:pPr>
              <w:pStyle w:val="KonuBal"/>
              <w:rPr>
                <w:sz w:val="24"/>
                <w:szCs w:val="24"/>
              </w:rPr>
            </w:pPr>
            <w:r w:rsidRPr="009077F5">
              <w:rPr>
                <w:sz w:val="24"/>
                <w:szCs w:val="24"/>
              </w:rPr>
              <w:t>Egzoz gazlarından SO</w:t>
            </w:r>
            <w:r w:rsidRPr="009077F5">
              <w:rPr>
                <w:sz w:val="24"/>
                <w:szCs w:val="24"/>
                <w:vertAlign w:val="subscript"/>
              </w:rPr>
              <w:t>2</w:t>
            </w:r>
            <w:r w:rsidR="00E56504" w:rsidRPr="009077F5">
              <w:rPr>
                <w:sz w:val="24"/>
                <w:szCs w:val="24"/>
              </w:rPr>
              <w:t>’</w:t>
            </w:r>
            <w:r w:rsidRPr="009077F5">
              <w:rPr>
                <w:sz w:val="24"/>
                <w:szCs w:val="24"/>
              </w:rPr>
              <w:t>yi seçici olarak emmek için polieter bazlı bir çözücü kullanılır. Daha sonra emilen SO</w:t>
            </w:r>
            <w:r w:rsidRPr="009077F5">
              <w:rPr>
                <w:sz w:val="24"/>
                <w:szCs w:val="24"/>
                <w:vertAlign w:val="subscript"/>
              </w:rPr>
              <w:t>2</w:t>
            </w:r>
            <w:r w:rsidRPr="009077F5">
              <w:rPr>
                <w:sz w:val="24"/>
                <w:szCs w:val="24"/>
              </w:rPr>
              <w:t>başka bir kolonda sıyrılır ve çözücü tamamen yenilenir. Sıyrılan SO</w:t>
            </w:r>
            <w:r w:rsidRPr="009077F5">
              <w:rPr>
                <w:sz w:val="24"/>
                <w:szCs w:val="24"/>
                <w:vertAlign w:val="subscript"/>
              </w:rPr>
              <w:t>2</w:t>
            </w:r>
            <w:r w:rsidRPr="009077F5">
              <w:rPr>
                <w:sz w:val="24"/>
                <w:szCs w:val="24"/>
              </w:rPr>
              <w:t>, sıvı SO</w:t>
            </w:r>
            <w:r w:rsidRPr="009077F5">
              <w:rPr>
                <w:sz w:val="24"/>
                <w:szCs w:val="24"/>
                <w:vertAlign w:val="subscript"/>
              </w:rPr>
              <w:t>2</w:t>
            </w:r>
            <w:r w:rsidRPr="009077F5">
              <w:rPr>
                <w:sz w:val="24"/>
                <w:szCs w:val="24"/>
              </w:rPr>
              <w:t xml:space="preserve"> veya sülfürik asit üretmek için kullanılır.</w:t>
            </w:r>
          </w:p>
        </w:tc>
      </w:tr>
    </w:tbl>
    <w:p w14:paraId="49F1EF0E" w14:textId="77777777" w:rsidR="0068350C" w:rsidRPr="00D53A2B" w:rsidRDefault="0068350C" w:rsidP="00A202FD">
      <w:pPr>
        <w:jc w:val="both"/>
        <w:rPr>
          <w:lang w:eastAsia="en-US"/>
        </w:rPr>
      </w:pPr>
    </w:p>
    <w:p w14:paraId="2328DB56" w14:textId="2B9A8980" w:rsidR="0068350C" w:rsidRPr="00D53A2B" w:rsidRDefault="005F64EC" w:rsidP="00A202FD">
      <w:pPr>
        <w:pStyle w:val="Balk4"/>
        <w:rPr>
          <w:rFonts w:cs="Times New Roman"/>
          <w:lang w:val="en-US" w:eastAsia="en-US"/>
        </w:rPr>
      </w:pPr>
      <w:bookmarkStart w:id="268" w:name="_Toc527940781"/>
      <w:bookmarkStart w:id="269" w:name="_Toc531927937"/>
      <w:r w:rsidRPr="00D53A2B">
        <w:rPr>
          <w:rFonts w:cs="Times New Roman"/>
          <w:lang w:val="en-US" w:eastAsia="en-US"/>
        </w:rPr>
        <w:t xml:space="preserve">1.5. </w:t>
      </w:r>
      <w:r w:rsidR="0068350C" w:rsidRPr="00D53A2B">
        <w:rPr>
          <w:rFonts w:cs="Times New Roman"/>
          <w:lang w:val="en-US" w:eastAsia="en-US"/>
        </w:rPr>
        <w:t>Cıva emisyonları</w:t>
      </w:r>
      <w:bookmarkEnd w:id="268"/>
      <w:bookmarkEnd w:id="269"/>
    </w:p>
    <w:tbl>
      <w:tblPr>
        <w:tblStyle w:val="TabloKlavuzu6"/>
        <w:tblW w:w="8926" w:type="dxa"/>
        <w:tblLayout w:type="fixed"/>
        <w:tblLook w:val="01E0" w:firstRow="1" w:lastRow="1" w:firstColumn="1" w:lastColumn="1" w:noHBand="0" w:noVBand="0"/>
      </w:tblPr>
      <w:tblGrid>
        <w:gridCol w:w="1843"/>
        <w:gridCol w:w="7083"/>
      </w:tblGrid>
      <w:tr w:rsidR="0068350C" w:rsidRPr="00532481" w14:paraId="3BFE7C97" w14:textId="77777777" w:rsidTr="008A41DE">
        <w:tc>
          <w:tcPr>
            <w:tcW w:w="1843" w:type="dxa"/>
          </w:tcPr>
          <w:p w14:paraId="71732856" w14:textId="77777777" w:rsidR="0068350C" w:rsidRPr="009077F5" w:rsidRDefault="0068350C" w:rsidP="004B0D48">
            <w:pPr>
              <w:pStyle w:val="KonuBal"/>
              <w:rPr>
                <w:sz w:val="24"/>
                <w:szCs w:val="24"/>
              </w:rPr>
            </w:pPr>
            <w:r w:rsidRPr="009077F5">
              <w:rPr>
                <w:sz w:val="24"/>
                <w:szCs w:val="24"/>
              </w:rPr>
              <w:t>Teknik</w:t>
            </w:r>
          </w:p>
        </w:tc>
        <w:tc>
          <w:tcPr>
            <w:tcW w:w="7083" w:type="dxa"/>
          </w:tcPr>
          <w:p w14:paraId="69DF70FD" w14:textId="77777777" w:rsidR="0068350C" w:rsidRPr="009077F5" w:rsidRDefault="0068350C" w:rsidP="004B0D48">
            <w:pPr>
              <w:pStyle w:val="KonuBal"/>
              <w:rPr>
                <w:sz w:val="24"/>
                <w:szCs w:val="24"/>
              </w:rPr>
            </w:pPr>
            <w:r w:rsidRPr="009077F5">
              <w:rPr>
                <w:sz w:val="24"/>
                <w:szCs w:val="24"/>
              </w:rPr>
              <w:t>Açıklama</w:t>
            </w:r>
          </w:p>
        </w:tc>
      </w:tr>
      <w:tr w:rsidR="0068350C" w:rsidRPr="00532481" w14:paraId="39007647" w14:textId="77777777" w:rsidTr="008A41DE">
        <w:tc>
          <w:tcPr>
            <w:tcW w:w="1843" w:type="dxa"/>
          </w:tcPr>
          <w:p w14:paraId="2CFE8F2A" w14:textId="77777777" w:rsidR="0068350C" w:rsidRPr="009077F5" w:rsidRDefault="0068350C" w:rsidP="004B0D48">
            <w:pPr>
              <w:pStyle w:val="KonuBal"/>
              <w:rPr>
                <w:sz w:val="24"/>
                <w:szCs w:val="24"/>
              </w:rPr>
            </w:pPr>
            <w:r w:rsidRPr="009077F5">
              <w:rPr>
                <w:sz w:val="24"/>
                <w:szCs w:val="24"/>
              </w:rPr>
              <w:t>Aktif karbon adsorpsiyonu</w:t>
            </w:r>
          </w:p>
        </w:tc>
        <w:tc>
          <w:tcPr>
            <w:tcW w:w="7083" w:type="dxa"/>
          </w:tcPr>
          <w:p w14:paraId="3CC6FDB9" w14:textId="77777777" w:rsidR="0068350C" w:rsidRPr="009077F5" w:rsidRDefault="0068350C" w:rsidP="004B0D48">
            <w:pPr>
              <w:pStyle w:val="KonuBal"/>
              <w:rPr>
                <w:sz w:val="24"/>
                <w:szCs w:val="24"/>
              </w:rPr>
            </w:pPr>
            <w:r w:rsidRPr="009077F5">
              <w:rPr>
                <w:sz w:val="24"/>
                <w:szCs w:val="24"/>
              </w:rPr>
              <w:t>Bu işlem, aktif karbon üzerine cıvanın adsorpsiyonuna dayanır. Yüzey mümkün olduğunca adsorplandığında, adsorban rejenerasyonunun bir parçası olarak adsorplanan içerik desorbe edilir.</w:t>
            </w:r>
          </w:p>
        </w:tc>
      </w:tr>
      <w:tr w:rsidR="0068350C" w:rsidRPr="00532481" w14:paraId="2408E839" w14:textId="77777777" w:rsidTr="008A41DE">
        <w:trPr>
          <w:trHeight w:val="824"/>
        </w:trPr>
        <w:tc>
          <w:tcPr>
            <w:tcW w:w="1843" w:type="dxa"/>
          </w:tcPr>
          <w:p w14:paraId="61C653FD" w14:textId="77777777" w:rsidR="0068350C" w:rsidRPr="009077F5" w:rsidRDefault="0068350C" w:rsidP="004B0D48">
            <w:pPr>
              <w:pStyle w:val="KonuBal"/>
              <w:rPr>
                <w:sz w:val="24"/>
                <w:szCs w:val="24"/>
              </w:rPr>
            </w:pPr>
            <w:r w:rsidRPr="009077F5">
              <w:rPr>
                <w:sz w:val="24"/>
                <w:szCs w:val="24"/>
              </w:rPr>
              <w:t>Selenyum adsoprsiyonu</w:t>
            </w:r>
          </w:p>
        </w:tc>
        <w:tc>
          <w:tcPr>
            <w:tcW w:w="7083" w:type="dxa"/>
          </w:tcPr>
          <w:p w14:paraId="1090F4B8" w14:textId="77777777" w:rsidR="0068350C" w:rsidRPr="009077F5" w:rsidRDefault="0068350C" w:rsidP="004B0D48">
            <w:pPr>
              <w:pStyle w:val="KonuBal"/>
              <w:rPr>
                <w:sz w:val="24"/>
                <w:szCs w:val="24"/>
              </w:rPr>
            </w:pPr>
            <w:r w:rsidRPr="009077F5">
              <w:rPr>
                <w:sz w:val="24"/>
                <w:szCs w:val="24"/>
              </w:rPr>
              <w:t>Bu işlem, dolu bir yatakta selenyum kaplı kürelerin kullanımına dayanır. Kırmızı amorf selenyum, gazdaki cıva ile reaksiyona girerek HgSe oluşturur. Daha sonra filtre, selenyumu yenilemek için işlenir.</w:t>
            </w:r>
          </w:p>
        </w:tc>
      </w:tr>
    </w:tbl>
    <w:p w14:paraId="04C1A116" w14:textId="77777777" w:rsidR="0068350C" w:rsidRPr="00D53A2B" w:rsidRDefault="0068350C" w:rsidP="00A202FD">
      <w:pPr>
        <w:jc w:val="both"/>
        <w:rPr>
          <w:lang w:val="en-US" w:eastAsia="en-US"/>
        </w:rPr>
      </w:pPr>
      <w:bookmarkStart w:id="270" w:name="_Toc527940782"/>
      <w:bookmarkStart w:id="271" w:name="_Toc531927938"/>
    </w:p>
    <w:p w14:paraId="1EA71987" w14:textId="3720EB53" w:rsidR="0068350C" w:rsidRPr="00D53A2B" w:rsidRDefault="005F64EC" w:rsidP="00A202FD">
      <w:pPr>
        <w:pStyle w:val="Balk4"/>
        <w:rPr>
          <w:rFonts w:cs="Times New Roman"/>
          <w:lang w:val="en-US" w:eastAsia="en-US"/>
        </w:rPr>
      </w:pPr>
      <w:r w:rsidRPr="00D53A2B">
        <w:rPr>
          <w:rFonts w:cs="Times New Roman"/>
          <w:lang w:val="en-US" w:eastAsia="en-US"/>
        </w:rPr>
        <w:t xml:space="preserve">1.6. </w:t>
      </w:r>
      <w:r w:rsidR="0068350C" w:rsidRPr="00D53A2B">
        <w:rPr>
          <w:rFonts w:cs="Times New Roman"/>
          <w:lang w:val="en-US" w:eastAsia="en-US"/>
        </w:rPr>
        <w:t>VOC, PAH ve PCDD/F emisyonları</w:t>
      </w:r>
      <w:bookmarkEnd w:id="270"/>
      <w:bookmarkEnd w:id="271"/>
    </w:p>
    <w:tbl>
      <w:tblPr>
        <w:tblStyle w:val="TabloKlavuzu6"/>
        <w:tblW w:w="8926" w:type="dxa"/>
        <w:tblLayout w:type="fixed"/>
        <w:tblLook w:val="01E0" w:firstRow="1" w:lastRow="1" w:firstColumn="1" w:lastColumn="1" w:noHBand="0" w:noVBand="0"/>
      </w:tblPr>
      <w:tblGrid>
        <w:gridCol w:w="2273"/>
        <w:gridCol w:w="6653"/>
      </w:tblGrid>
      <w:tr w:rsidR="0068350C" w:rsidRPr="00532481" w14:paraId="0D6985EF" w14:textId="77777777" w:rsidTr="008A41DE">
        <w:tc>
          <w:tcPr>
            <w:tcW w:w="2273" w:type="dxa"/>
          </w:tcPr>
          <w:p w14:paraId="0B8B0B51" w14:textId="77777777" w:rsidR="0068350C" w:rsidRPr="009077F5" w:rsidRDefault="0068350C" w:rsidP="004B0D48">
            <w:pPr>
              <w:pStyle w:val="KonuBal"/>
              <w:rPr>
                <w:sz w:val="24"/>
                <w:szCs w:val="24"/>
              </w:rPr>
            </w:pPr>
            <w:r w:rsidRPr="009077F5">
              <w:rPr>
                <w:sz w:val="24"/>
                <w:szCs w:val="24"/>
              </w:rPr>
              <w:t>Teknik</w:t>
            </w:r>
          </w:p>
        </w:tc>
        <w:tc>
          <w:tcPr>
            <w:tcW w:w="6653" w:type="dxa"/>
          </w:tcPr>
          <w:p w14:paraId="703DC989" w14:textId="77777777" w:rsidR="0068350C" w:rsidRPr="009077F5" w:rsidRDefault="0068350C" w:rsidP="004B0D48">
            <w:pPr>
              <w:pStyle w:val="KonuBal"/>
              <w:rPr>
                <w:sz w:val="24"/>
                <w:szCs w:val="24"/>
              </w:rPr>
            </w:pPr>
            <w:r w:rsidRPr="009077F5">
              <w:rPr>
                <w:sz w:val="24"/>
                <w:szCs w:val="24"/>
              </w:rPr>
              <w:t>Açıklama</w:t>
            </w:r>
          </w:p>
        </w:tc>
      </w:tr>
      <w:tr w:rsidR="0068350C" w:rsidRPr="00532481" w14:paraId="24DB7B4C" w14:textId="77777777" w:rsidTr="008A41DE">
        <w:tc>
          <w:tcPr>
            <w:tcW w:w="2273" w:type="dxa"/>
          </w:tcPr>
          <w:p w14:paraId="2443CA5D" w14:textId="77777777" w:rsidR="0068350C" w:rsidRPr="009077F5" w:rsidRDefault="0068350C" w:rsidP="004B0D48">
            <w:pPr>
              <w:pStyle w:val="KonuBal"/>
              <w:rPr>
                <w:sz w:val="24"/>
                <w:szCs w:val="24"/>
              </w:rPr>
            </w:pPr>
            <w:r w:rsidRPr="009077F5">
              <w:rPr>
                <w:sz w:val="24"/>
                <w:szCs w:val="24"/>
              </w:rPr>
              <w:t>Son yakıcı ve termal oksitleyici</w:t>
            </w:r>
          </w:p>
        </w:tc>
        <w:tc>
          <w:tcPr>
            <w:tcW w:w="6653" w:type="dxa"/>
          </w:tcPr>
          <w:p w14:paraId="57B70F86" w14:textId="77777777" w:rsidR="0068350C" w:rsidRPr="009077F5" w:rsidRDefault="0068350C" w:rsidP="004B0D48">
            <w:pPr>
              <w:pStyle w:val="KonuBal"/>
              <w:rPr>
                <w:sz w:val="24"/>
                <w:szCs w:val="24"/>
              </w:rPr>
            </w:pPr>
            <w:r w:rsidRPr="009077F5">
              <w:rPr>
                <w:sz w:val="24"/>
                <w:szCs w:val="24"/>
              </w:rPr>
              <w:t>Egzoz gazı akışı içindeki kirletici maddenin sıcaklık kontrollü bir ortamda oksijenle reaksiyona girerek bir oksidasyon reaksiyonu oluşturduğu yanma sistemidir.</w:t>
            </w:r>
          </w:p>
        </w:tc>
      </w:tr>
      <w:tr w:rsidR="0068350C" w:rsidRPr="00532481" w14:paraId="7DD0D0F2" w14:textId="77777777" w:rsidTr="008A41DE">
        <w:tc>
          <w:tcPr>
            <w:tcW w:w="2273" w:type="dxa"/>
          </w:tcPr>
          <w:p w14:paraId="1315D081" w14:textId="77777777" w:rsidR="0068350C" w:rsidRPr="009077F5" w:rsidRDefault="0068350C" w:rsidP="004B0D48">
            <w:pPr>
              <w:pStyle w:val="KonuBal"/>
              <w:rPr>
                <w:sz w:val="24"/>
                <w:szCs w:val="24"/>
              </w:rPr>
            </w:pPr>
            <w:r w:rsidRPr="009077F5">
              <w:rPr>
                <w:sz w:val="24"/>
                <w:szCs w:val="24"/>
              </w:rPr>
              <w:t>Rejeneratif termal oksitleyici</w:t>
            </w:r>
          </w:p>
        </w:tc>
        <w:tc>
          <w:tcPr>
            <w:tcW w:w="6653" w:type="dxa"/>
          </w:tcPr>
          <w:p w14:paraId="46EC99B0" w14:textId="77777777" w:rsidR="0068350C" w:rsidRPr="009077F5" w:rsidRDefault="0068350C" w:rsidP="004B0D48">
            <w:pPr>
              <w:pStyle w:val="KonuBal"/>
              <w:rPr>
                <w:sz w:val="24"/>
                <w:szCs w:val="24"/>
              </w:rPr>
            </w:pPr>
            <w:r w:rsidRPr="009077F5">
              <w:rPr>
                <w:sz w:val="24"/>
                <w:szCs w:val="24"/>
              </w:rPr>
              <w:t>Gaz ve karbon bileşiklerindeki termal enerjiyi refrakter destek yatakları kullanarak kullanmak için rejeneratif bir işlem kullanan yanma sistemi. Yatağı temizlemek için gaz akışının yönünü değiştirmek için bir manifold sistemine ihtiyaç vardır. Ayrıca rejeneratif art yakıcı olarak da bilinir.</w:t>
            </w:r>
          </w:p>
        </w:tc>
      </w:tr>
      <w:tr w:rsidR="0068350C" w:rsidRPr="00532481" w14:paraId="0E79B33E" w14:textId="77777777" w:rsidTr="008A41DE">
        <w:tc>
          <w:tcPr>
            <w:tcW w:w="2273" w:type="dxa"/>
          </w:tcPr>
          <w:p w14:paraId="4EECD637" w14:textId="77777777" w:rsidR="0068350C" w:rsidRPr="009077F5" w:rsidRDefault="0068350C" w:rsidP="004B0D48">
            <w:pPr>
              <w:pStyle w:val="KonuBal"/>
              <w:rPr>
                <w:sz w:val="24"/>
                <w:szCs w:val="24"/>
              </w:rPr>
            </w:pPr>
            <w:r w:rsidRPr="009077F5">
              <w:rPr>
                <w:sz w:val="24"/>
                <w:szCs w:val="24"/>
              </w:rPr>
              <w:t>Katalitik termal oksitleyici</w:t>
            </w:r>
          </w:p>
        </w:tc>
        <w:tc>
          <w:tcPr>
            <w:tcW w:w="6653" w:type="dxa"/>
          </w:tcPr>
          <w:p w14:paraId="6EE2D106" w14:textId="77777777" w:rsidR="0068350C" w:rsidRPr="009077F5" w:rsidRDefault="0068350C" w:rsidP="004B0D48">
            <w:pPr>
              <w:pStyle w:val="KonuBal"/>
              <w:rPr>
                <w:sz w:val="24"/>
                <w:szCs w:val="24"/>
              </w:rPr>
            </w:pPr>
            <w:r w:rsidRPr="009077F5">
              <w:rPr>
                <w:sz w:val="24"/>
                <w:szCs w:val="24"/>
              </w:rPr>
              <w:t>Ayrışmanın genellikle 350 °C ila 400 °C arasındaki düşük sıcaklıklarda metal bir katalizör yüzeyinde gerçekleştirildiği yanma sistemi. Katalitik art yakıcı olarak da bilinir.</w:t>
            </w:r>
          </w:p>
        </w:tc>
      </w:tr>
      <w:tr w:rsidR="0068350C" w:rsidRPr="00532481" w14:paraId="73235975" w14:textId="77777777" w:rsidTr="008A41DE">
        <w:tc>
          <w:tcPr>
            <w:tcW w:w="2273" w:type="dxa"/>
          </w:tcPr>
          <w:p w14:paraId="6DDDFFE7" w14:textId="77777777" w:rsidR="0068350C" w:rsidRPr="009077F5" w:rsidRDefault="0068350C" w:rsidP="004B0D48">
            <w:pPr>
              <w:pStyle w:val="KonuBal"/>
              <w:rPr>
                <w:sz w:val="24"/>
                <w:szCs w:val="24"/>
              </w:rPr>
            </w:pPr>
            <w:r w:rsidRPr="009077F5">
              <w:rPr>
                <w:sz w:val="24"/>
                <w:szCs w:val="24"/>
              </w:rPr>
              <w:t>Biyofiltre</w:t>
            </w:r>
          </w:p>
        </w:tc>
        <w:tc>
          <w:tcPr>
            <w:tcW w:w="6653" w:type="dxa"/>
          </w:tcPr>
          <w:p w14:paraId="78AF2B76" w14:textId="77777777" w:rsidR="0068350C" w:rsidRPr="009077F5" w:rsidRDefault="0068350C" w:rsidP="004B0D48">
            <w:pPr>
              <w:pStyle w:val="KonuBal"/>
              <w:rPr>
                <w:sz w:val="24"/>
                <w:szCs w:val="24"/>
              </w:rPr>
            </w:pPr>
            <w:r w:rsidRPr="009077F5">
              <w:rPr>
                <w:sz w:val="24"/>
                <w:szCs w:val="24"/>
              </w:rPr>
              <w:t>Atık gaz akımlarından gelen kirleticilerin mikroorganizmalar tarafından biyolojik olarak oksitlendiği, organik veya inert malzemeden oluşan bir yataktan oluşur.</w:t>
            </w:r>
          </w:p>
        </w:tc>
      </w:tr>
      <w:tr w:rsidR="0068350C" w:rsidRPr="00532481" w14:paraId="3F4ABA89" w14:textId="77777777" w:rsidTr="008A41DE">
        <w:tc>
          <w:tcPr>
            <w:tcW w:w="2273" w:type="dxa"/>
          </w:tcPr>
          <w:p w14:paraId="2E2BC6A1" w14:textId="4E34A47B" w:rsidR="0068350C" w:rsidRPr="009077F5" w:rsidRDefault="005F64EC" w:rsidP="004B0D48">
            <w:pPr>
              <w:pStyle w:val="KonuBal"/>
              <w:rPr>
                <w:sz w:val="24"/>
                <w:szCs w:val="24"/>
              </w:rPr>
            </w:pPr>
            <w:r w:rsidRPr="009077F5">
              <w:rPr>
                <w:sz w:val="24"/>
                <w:szCs w:val="24"/>
              </w:rPr>
              <w:t>Biyolojik gaz yıkayıcı</w:t>
            </w:r>
          </w:p>
        </w:tc>
        <w:tc>
          <w:tcPr>
            <w:tcW w:w="6653" w:type="dxa"/>
          </w:tcPr>
          <w:p w14:paraId="606FE255" w14:textId="77777777" w:rsidR="0068350C" w:rsidRPr="009077F5" w:rsidRDefault="0068350C" w:rsidP="004B0D48">
            <w:pPr>
              <w:pStyle w:val="KonuBal"/>
              <w:rPr>
                <w:sz w:val="24"/>
                <w:szCs w:val="24"/>
              </w:rPr>
            </w:pPr>
            <w:r w:rsidRPr="009077F5">
              <w:rPr>
                <w:sz w:val="24"/>
                <w:szCs w:val="24"/>
              </w:rPr>
              <w:t>Islak gaz yıkama (emilim) ve biyolojik bozunmayı birleştirir, yıkama suyu zararlı gaz bileşenlerini oksitlemeye uygun mikroorganizma popülasyonu içerir.</w:t>
            </w:r>
          </w:p>
        </w:tc>
      </w:tr>
      <w:tr w:rsidR="0068350C" w:rsidRPr="00532481" w14:paraId="646779C1" w14:textId="77777777" w:rsidTr="008A41DE">
        <w:tc>
          <w:tcPr>
            <w:tcW w:w="2273" w:type="dxa"/>
          </w:tcPr>
          <w:p w14:paraId="30E2E393" w14:textId="77777777" w:rsidR="0068350C" w:rsidRPr="009077F5" w:rsidRDefault="0068350C" w:rsidP="004B0D48">
            <w:pPr>
              <w:pStyle w:val="KonuBal"/>
              <w:rPr>
                <w:sz w:val="24"/>
                <w:szCs w:val="24"/>
              </w:rPr>
            </w:pPr>
            <w:r w:rsidRPr="009077F5">
              <w:rPr>
                <w:sz w:val="24"/>
                <w:szCs w:val="24"/>
              </w:rPr>
              <w:t>Fırın ve kullanılan yakma tekniklerine göre hammadde seçimi ve beslemesi yapılması</w:t>
            </w:r>
          </w:p>
        </w:tc>
        <w:tc>
          <w:tcPr>
            <w:tcW w:w="6653" w:type="dxa"/>
          </w:tcPr>
          <w:p w14:paraId="0B415506" w14:textId="77777777" w:rsidR="0068350C" w:rsidRPr="009077F5" w:rsidRDefault="0068350C" w:rsidP="004B0D48">
            <w:pPr>
              <w:pStyle w:val="KonuBal"/>
              <w:rPr>
                <w:sz w:val="24"/>
                <w:szCs w:val="24"/>
              </w:rPr>
            </w:pPr>
            <w:r w:rsidRPr="009077F5">
              <w:rPr>
                <w:sz w:val="24"/>
                <w:szCs w:val="24"/>
              </w:rPr>
              <w:t>Hammaddeler, gerekli azaltma performansını elde etmek için kullanılan fırın ve azaltma sisteminin, beslemede bulunan kirleticileri uygun şekilde arıtabilmesini sağlayacak şekilde seçilmektedir.</w:t>
            </w:r>
          </w:p>
        </w:tc>
      </w:tr>
      <w:tr w:rsidR="0068350C" w:rsidRPr="00532481" w14:paraId="74EA1E85" w14:textId="77777777" w:rsidTr="008A41DE">
        <w:tc>
          <w:tcPr>
            <w:tcW w:w="2273" w:type="dxa"/>
          </w:tcPr>
          <w:p w14:paraId="70B6D241" w14:textId="77777777" w:rsidR="0068350C" w:rsidRPr="009077F5" w:rsidRDefault="0068350C" w:rsidP="004B0D48">
            <w:pPr>
              <w:pStyle w:val="KonuBal"/>
              <w:rPr>
                <w:sz w:val="24"/>
                <w:szCs w:val="24"/>
              </w:rPr>
            </w:pPr>
            <w:r w:rsidRPr="009077F5">
              <w:rPr>
                <w:sz w:val="24"/>
                <w:szCs w:val="24"/>
              </w:rPr>
              <w:t>Organik bileşenlerin emisyonlarını azaltmak için yanma koşullarının optimize edilmesi</w:t>
            </w:r>
          </w:p>
        </w:tc>
        <w:tc>
          <w:tcPr>
            <w:tcW w:w="6653" w:type="dxa"/>
          </w:tcPr>
          <w:p w14:paraId="30ACEC18" w14:textId="21DE1C3E" w:rsidR="0068350C" w:rsidRPr="009077F5" w:rsidRDefault="0068350C" w:rsidP="004B0D48">
            <w:pPr>
              <w:pStyle w:val="KonuBal"/>
              <w:rPr>
                <w:sz w:val="24"/>
                <w:szCs w:val="24"/>
              </w:rPr>
            </w:pPr>
            <w:r w:rsidRPr="009077F5">
              <w:rPr>
                <w:sz w:val="24"/>
                <w:szCs w:val="24"/>
              </w:rPr>
              <w:t>Hava veya oksijen ve karbon içeriğinin iyi bir şekilde karıştırılması, gazların sıcaklığının ve PCDD/F</w:t>
            </w:r>
            <w:r w:rsidR="00E56504" w:rsidRPr="009077F5">
              <w:rPr>
                <w:sz w:val="24"/>
                <w:szCs w:val="24"/>
              </w:rPr>
              <w:t>’</w:t>
            </w:r>
            <w:r w:rsidRPr="009077F5">
              <w:rPr>
                <w:sz w:val="24"/>
                <w:szCs w:val="24"/>
              </w:rPr>
              <w:t>yi oluşturan organik karbonun oksitlenmesi için yüksek sıcaklıklarda kalma süresinin kontrol edilmesi. Ayrıca zenginleştirilmiş hava veya saf oksijen kullanımı da dahil edilebilir.</w:t>
            </w:r>
          </w:p>
        </w:tc>
      </w:tr>
      <w:tr w:rsidR="0068350C" w:rsidRPr="00532481" w14:paraId="6531D100" w14:textId="77777777" w:rsidTr="008A41DE">
        <w:tc>
          <w:tcPr>
            <w:tcW w:w="2273" w:type="dxa"/>
          </w:tcPr>
          <w:p w14:paraId="54A1D14C" w14:textId="77777777" w:rsidR="0068350C" w:rsidRPr="009077F5" w:rsidRDefault="0068350C" w:rsidP="004B0D48">
            <w:pPr>
              <w:pStyle w:val="KonuBal"/>
              <w:rPr>
                <w:sz w:val="24"/>
                <w:szCs w:val="24"/>
              </w:rPr>
            </w:pPr>
            <w:r w:rsidRPr="009077F5">
              <w:rPr>
                <w:sz w:val="24"/>
                <w:szCs w:val="24"/>
              </w:rPr>
              <w:t>Yarı kapalı fırınlar için, az miktarda hammadde ilavesi yapmak amacıyla besleme sistemlerinin kullanılması</w:t>
            </w:r>
          </w:p>
        </w:tc>
        <w:tc>
          <w:tcPr>
            <w:tcW w:w="6653" w:type="dxa"/>
          </w:tcPr>
          <w:p w14:paraId="5EE7298C" w14:textId="2D100530" w:rsidR="0068350C" w:rsidRPr="009077F5" w:rsidRDefault="0068350C" w:rsidP="004B0D48">
            <w:pPr>
              <w:pStyle w:val="KonuBal"/>
              <w:rPr>
                <w:sz w:val="24"/>
                <w:szCs w:val="24"/>
              </w:rPr>
            </w:pPr>
            <w:r w:rsidRPr="009077F5">
              <w:rPr>
                <w:sz w:val="24"/>
                <w:szCs w:val="24"/>
              </w:rPr>
              <w:t>Yarı kapalı fırınlarda ham maddeyi küçük miktarlar halinde ekleyerek besleme sırasında fırın soğutma etkisini azaltın. Bu, daha yüksek bir gaz sıcaklığı sağlar ve PCDD/F</w:t>
            </w:r>
            <w:r w:rsidR="00E56504" w:rsidRPr="009077F5">
              <w:rPr>
                <w:sz w:val="24"/>
                <w:szCs w:val="24"/>
              </w:rPr>
              <w:t>’</w:t>
            </w:r>
            <w:r w:rsidRPr="009077F5">
              <w:rPr>
                <w:sz w:val="24"/>
                <w:szCs w:val="24"/>
              </w:rPr>
              <w:t>nin yeniden oluşmasını önler.</w:t>
            </w:r>
          </w:p>
        </w:tc>
      </w:tr>
      <w:tr w:rsidR="0068350C" w:rsidRPr="00532481" w14:paraId="1D782329" w14:textId="77777777" w:rsidTr="008A41DE">
        <w:tc>
          <w:tcPr>
            <w:tcW w:w="2273" w:type="dxa"/>
          </w:tcPr>
          <w:p w14:paraId="432BD17B" w14:textId="77777777" w:rsidR="0068350C" w:rsidRPr="009077F5" w:rsidRDefault="0068350C" w:rsidP="004B0D48">
            <w:pPr>
              <w:pStyle w:val="KonuBal"/>
              <w:rPr>
                <w:sz w:val="24"/>
                <w:szCs w:val="24"/>
              </w:rPr>
            </w:pPr>
            <w:r w:rsidRPr="009077F5">
              <w:rPr>
                <w:sz w:val="24"/>
                <w:szCs w:val="24"/>
              </w:rPr>
              <w:t>Dahili brülör sistemi</w:t>
            </w:r>
          </w:p>
        </w:tc>
        <w:tc>
          <w:tcPr>
            <w:tcW w:w="6653" w:type="dxa"/>
          </w:tcPr>
          <w:p w14:paraId="0310256B" w14:textId="5B07244F" w:rsidR="0068350C" w:rsidRPr="009077F5" w:rsidRDefault="0068350C" w:rsidP="004B0D48">
            <w:pPr>
              <w:pStyle w:val="KonuBal"/>
              <w:rPr>
                <w:sz w:val="24"/>
                <w:szCs w:val="24"/>
              </w:rPr>
            </w:pPr>
            <w:r w:rsidRPr="009077F5">
              <w:rPr>
                <w:sz w:val="24"/>
                <w:szCs w:val="24"/>
              </w:rPr>
              <w:t>Egzoz gazı brülör alevi vasıtasıyla yönlendirilir ve organik karbon oksijenle birlikte CO2</w:t>
            </w:r>
            <w:r w:rsidR="00E56504" w:rsidRPr="009077F5">
              <w:rPr>
                <w:sz w:val="24"/>
                <w:szCs w:val="24"/>
              </w:rPr>
              <w:t>’</w:t>
            </w:r>
            <w:r w:rsidRPr="009077F5">
              <w:rPr>
                <w:sz w:val="24"/>
                <w:szCs w:val="24"/>
              </w:rPr>
              <w:t>ye dönüştürülür.</w:t>
            </w:r>
          </w:p>
        </w:tc>
      </w:tr>
      <w:tr w:rsidR="0068350C" w:rsidRPr="00532481" w14:paraId="1C368310" w14:textId="77777777" w:rsidTr="008A41DE">
        <w:tc>
          <w:tcPr>
            <w:tcW w:w="2273" w:type="dxa"/>
          </w:tcPr>
          <w:p w14:paraId="24E99299" w14:textId="396E1C87" w:rsidR="0068350C" w:rsidRPr="009077F5" w:rsidRDefault="0068350C" w:rsidP="004B0D48">
            <w:pPr>
              <w:pStyle w:val="KonuBal"/>
              <w:rPr>
                <w:sz w:val="24"/>
                <w:szCs w:val="24"/>
              </w:rPr>
            </w:pPr>
            <w:r w:rsidRPr="009077F5">
              <w:rPr>
                <w:sz w:val="24"/>
                <w:szCs w:val="24"/>
              </w:rPr>
              <w:t>250°C</w:t>
            </w:r>
            <w:r w:rsidR="00E56504" w:rsidRPr="009077F5">
              <w:rPr>
                <w:sz w:val="24"/>
                <w:szCs w:val="24"/>
              </w:rPr>
              <w:t>’</w:t>
            </w:r>
            <w:r w:rsidRPr="009077F5">
              <w:rPr>
                <w:sz w:val="24"/>
                <w:szCs w:val="24"/>
              </w:rPr>
              <w:t>nin üzerindeki sıcaklıklarda yüksek toz oluşumuna neden olan egzoz sistemlerinden kaçınılması</w:t>
            </w:r>
          </w:p>
        </w:tc>
        <w:tc>
          <w:tcPr>
            <w:tcW w:w="6653" w:type="dxa"/>
          </w:tcPr>
          <w:p w14:paraId="2FA9B2A0" w14:textId="69824BEB" w:rsidR="0068350C" w:rsidRPr="009077F5" w:rsidRDefault="0068350C" w:rsidP="004B0D48">
            <w:pPr>
              <w:pStyle w:val="KonuBal"/>
              <w:rPr>
                <w:sz w:val="24"/>
                <w:szCs w:val="24"/>
              </w:rPr>
            </w:pPr>
            <w:r w:rsidRPr="009077F5">
              <w:rPr>
                <w:sz w:val="24"/>
                <w:szCs w:val="24"/>
              </w:rPr>
              <w:t>250°C</w:t>
            </w:r>
            <w:r w:rsidR="00E56504" w:rsidRPr="009077F5">
              <w:rPr>
                <w:sz w:val="24"/>
                <w:szCs w:val="24"/>
              </w:rPr>
              <w:t>’</w:t>
            </w:r>
            <w:r w:rsidRPr="009077F5">
              <w:rPr>
                <w:sz w:val="24"/>
                <w:szCs w:val="24"/>
              </w:rPr>
              <w:t>nin üzerindeki sıcaklıklarda toz varlığı, PCDD/F</w:t>
            </w:r>
            <w:r w:rsidR="00E56504" w:rsidRPr="009077F5">
              <w:rPr>
                <w:sz w:val="24"/>
                <w:szCs w:val="24"/>
              </w:rPr>
              <w:t>’</w:t>
            </w:r>
            <w:r w:rsidRPr="009077F5">
              <w:rPr>
                <w:sz w:val="24"/>
                <w:szCs w:val="24"/>
              </w:rPr>
              <w:t xml:space="preserve">nin </w:t>
            </w:r>
            <w:r w:rsidRPr="009077F5">
              <w:rPr>
                <w:i/>
                <w:iCs/>
                <w:sz w:val="24"/>
                <w:szCs w:val="24"/>
              </w:rPr>
              <w:t>de novo sentez</w:t>
            </w:r>
            <w:r w:rsidRPr="009077F5">
              <w:rPr>
                <w:sz w:val="24"/>
                <w:szCs w:val="24"/>
              </w:rPr>
              <w:t xml:space="preserve"> yoluyla oluşumunu teşvik eder.</w:t>
            </w:r>
          </w:p>
        </w:tc>
      </w:tr>
      <w:tr w:rsidR="0068350C" w:rsidRPr="00532481" w14:paraId="3C80F74A" w14:textId="77777777" w:rsidTr="008A41DE">
        <w:tc>
          <w:tcPr>
            <w:tcW w:w="2273" w:type="dxa"/>
          </w:tcPr>
          <w:p w14:paraId="724EB59B" w14:textId="77777777" w:rsidR="0068350C" w:rsidRPr="009077F5" w:rsidRDefault="0068350C" w:rsidP="004B0D48">
            <w:pPr>
              <w:pStyle w:val="KonuBal"/>
              <w:rPr>
                <w:sz w:val="24"/>
                <w:szCs w:val="24"/>
              </w:rPr>
            </w:pPr>
            <w:r w:rsidRPr="009077F5">
              <w:rPr>
                <w:sz w:val="24"/>
                <w:szCs w:val="24"/>
              </w:rPr>
              <w:t>Verimli toz toplama sistemi ile birlikte adsorpsiyon maddesinin enjeksiyonu.</w:t>
            </w:r>
          </w:p>
        </w:tc>
        <w:tc>
          <w:tcPr>
            <w:tcW w:w="6653" w:type="dxa"/>
          </w:tcPr>
          <w:p w14:paraId="5099EF5F" w14:textId="77777777" w:rsidR="0068350C" w:rsidRPr="009077F5" w:rsidRDefault="0068350C" w:rsidP="004B0D48">
            <w:pPr>
              <w:pStyle w:val="KonuBal"/>
              <w:rPr>
                <w:sz w:val="24"/>
                <w:szCs w:val="24"/>
              </w:rPr>
            </w:pPr>
            <w:r w:rsidRPr="009077F5">
              <w:rPr>
                <w:sz w:val="24"/>
                <w:szCs w:val="24"/>
              </w:rPr>
              <w:t>PCDD/F toza adsorbe edilebilir ve dolayısıyla etkili bir toz filtrasyon sistemi kullanılarak emisyonlar azaltılabilir. Belirli bir adsorpsiyon maddesinin kullanımı bu süreci destekler ve PCDD/F emisyonlarını azaltır.</w:t>
            </w:r>
          </w:p>
        </w:tc>
      </w:tr>
      <w:tr w:rsidR="0068350C" w:rsidRPr="00532481" w14:paraId="2DA06013" w14:textId="77777777" w:rsidTr="008A41DE">
        <w:tc>
          <w:tcPr>
            <w:tcW w:w="2273" w:type="dxa"/>
          </w:tcPr>
          <w:p w14:paraId="3A9B9B50" w14:textId="77777777" w:rsidR="0068350C" w:rsidRPr="009077F5" w:rsidRDefault="0068350C" w:rsidP="004B0D48">
            <w:pPr>
              <w:pStyle w:val="KonuBal"/>
              <w:rPr>
                <w:sz w:val="24"/>
                <w:szCs w:val="24"/>
              </w:rPr>
            </w:pPr>
            <w:r w:rsidRPr="009077F5">
              <w:rPr>
                <w:sz w:val="24"/>
                <w:szCs w:val="24"/>
              </w:rPr>
              <w:t>Hızlı söndürme</w:t>
            </w:r>
          </w:p>
        </w:tc>
        <w:tc>
          <w:tcPr>
            <w:tcW w:w="6653" w:type="dxa"/>
          </w:tcPr>
          <w:p w14:paraId="7EA22633" w14:textId="36CB067B" w:rsidR="0068350C" w:rsidRPr="009077F5" w:rsidRDefault="0068350C" w:rsidP="004B0D48">
            <w:pPr>
              <w:pStyle w:val="KonuBal"/>
              <w:rPr>
                <w:sz w:val="24"/>
                <w:szCs w:val="24"/>
              </w:rPr>
            </w:pPr>
            <w:r w:rsidRPr="009077F5">
              <w:rPr>
                <w:sz w:val="24"/>
                <w:szCs w:val="24"/>
              </w:rPr>
              <w:t>PCDD/F</w:t>
            </w:r>
            <w:r w:rsidR="00E56504" w:rsidRPr="009077F5">
              <w:rPr>
                <w:sz w:val="24"/>
                <w:szCs w:val="24"/>
              </w:rPr>
              <w:t>’</w:t>
            </w:r>
            <w:r w:rsidRPr="009077F5">
              <w:rPr>
                <w:sz w:val="24"/>
                <w:szCs w:val="24"/>
              </w:rPr>
              <w:t xml:space="preserve">nin </w:t>
            </w:r>
            <w:r w:rsidRPr="009077F5">
              <w:rPr>
                <w:i/>
                <w:iCs/>
                <w:sz w:val="24"/>
                <w:szCs w:val="24"/>
              </w:rPr>
              <w:t>de novo sentezi</w:t>
            </w:r>
            <w:r w:rsidRPr="009077F5">
              <w:rPr>
                <w:sz w:val="24"/>
                <w:szCs w:val="24"/>
              </w:rPr>
              <w:t>, gazın 400°C</w:t>
            </w:r>
            <w:r w:rsidR="00E56504" w:rsidRPr="009077F5">
              <w:rPr>
                <w:sz w:val="24"/>
                <w:szCs w:val="24"/>
              </w:rPr>
              <w:t>’</w:t>
            </w:r>
            <w:r w:rsidRPr="009077F5">
              <w:rPr>
                <w:sz w:val="24"/>
                <w:szCs w:val="24"/>
              </w:rPr>
              <w:t>den 200°C</w:t>
            </w:r>
            <w:r w:rsidR="00E56504" w:rsidRPr="009077F5">
              <w:rPr>
                <w:sz w:val="24"/>
                <w:szCs w:val="24"/>
              </w:rPr>
              <w:t>’</w:t>
            </w:r>
            <w:r w:rsidRPr="009077F5">
              <w:rPr>
                <w:sz w:val="24"/>
                <w:szCs w:val="24"/>
              </w:rPr>
              <w:t>ye hızlı soğutulmasıyla önlenir.</w:t>
            </w:r>
          </w:p>
        </w:tc>
      </w:tr>
    </w:tbl>
    <w:p w14:paraId="7C9281F4" w14:textId="77777777" w:rsidR="0068350C" w:rsidRPr="00D53A2B" w:rsidRDefault="0068350C" w:rsidP="00A202FD">
      <w:pPr>
        <w:jc w:val="both"/>
        <w:rPr>
          <w:lang w:eastAsia="en-US"/>
        </w:rPr>
      </w:pPr>
      <w:bookmarkStart w:id="272" w:name="_Toc527940783"/>
      <w:bookmarkStart w:id="273" w:name="_Toc531927939"/>
    </w:p>
    <w:p w14:paraId="0F6562B3" w14:textId="37354398" w:rsidR="0068350C" w:rsidRPr="00D53A2B" w:rsidRDefault="005F64EC" w:rsidP="00A202FD">
      <w:pPr>
        <w:pStyle w:val="Balk3"/>
        <w:rPr>
          <w:rFonts w:cs="Times New Roman"/>
          <w:lang w:eastAsia="en-US"/>
        </w:rPr>
      </w:pPr>
      <w:r w:rsidRPr="00D53A2B">
        <w:rPr>
          <w:rFonts w:cs="Times New Roman"/>
          <w:lang w:eastAsia="en-US"/>
        </w:rPr>
        <w:t xml:space="preserve">2. </w:t>
      </w:r>
      <w:r w:rsidR="0068350C" w:rsidRPr="00D53A2B">
        <w:rPr>
          <w:rFonts w:cs="Times New Roman"/>
          <w:lang w:eastAsia="en-US"/>
        </w:rPr>
        <w:t>Su emisyonlar</w:t>
      </w:r>
      <w:bookmarkEnd w:id="272"/>
      <w:bookmarkEnd w:id="273"/>
      <w:r w:rsidR="0068350C" w:rsidRPr="00D53A2B">
        <w:rPr>
          <w:rFonts w:cs="Times New Roman"/>
          <w:lang w:eastAsia="en-US"/>
        </w:rPr>
        <w:t>ı</w:t>
      </w:r>
    </w:p>
    <w:tbl>
      <w:tblPr>
        <w:tblStyle w:val="TabloKlavuzu6"/>
        <w:tblW w:w="0" w:type="auto"/>
        <w:tblLayout w:type="fixed"/>
        <w:tblLook w:val="01E0" w:firstRow="1" w:lastRow="1" w:firstColumn="1" w:lastColumn="1" w:noHBand="0" w:noVBand="0"/>
      </w:tblPr>
      <w:tblGrid>
        <w:gridCol w:w="2273"/>
        <w:gridCol w:w="6799"/>
      </w:tblGrid>
      <w:tr w:rsidR="0068350C" w:rsidRPr="00532481" w14:paraId="7D136C43" w14:textId="77777777" w:rsidTr="009077F5">
        <w:tc>
          <w:tcPr>
            <w:tcW w:w="2273" w:type="dxa"/>
          </w:tcPr>
          <w:p w14:paraId="3F881BA2" w14:textId="77777777" w:rsidR="0068350C" w:rsidRPr="009077F5" w:rsidRDefault="0068350C" w:rsidP="004B0D48">
            <w:pPr>
              <w:pStyle w:val="KonuBal"/>
              <w:rPr>
                <w:sz w:val="24"/>
                <w:szCs w:val="24"/>
              </w:rPr>
            </w:pPr>
            <w:r w:rsidRPr="009077F5">
              <w:rPr>
                <w:sz w:val="24"/>
                <w:szCs w:val="24"/>
              </w:rPr>
              <w:t>Teknik</w:t>
            </w:r>
          </w:p>
        </w:tc>
        <w:tc>
          <w:tcPr>
            <w:tcW w:w="6799" w:type="dxa"/>
          </w:tcPr>
          <w:p w14:paraId="6398EEF1" w14:textId="77777777" w:rsidR="0068350C" w:rsidRPr="009077F5" w:rsidRDefault="0068350C" w:rsidP="004B0D48">
            <w:pPr>
              <w:pStyle w:val="KonuBal"/>
              <w:rPr>
                <w:sz w:val="24"/>
                <w:szCs w:val="24"/>
              </w:rPr>
            </w:pPr>
            <w:r w:rsidRPr="009077F5">
              <w:rPr>
                <w:sz w:val="24"/>
                <w:szCs w:val="24"/>
              </w:rPr>
              <w:t>Açıklama</w:t>
            </w:r>
          </w:p>
        </w:tc>
      </w:tr>
      <w:tr w:rsidR="0068350C" w:rsidRPr="00532481" w14:paraId="1CFAAB76" w14:textId="77777777" w:rsidTr="009077F5">
        <w:tc>
          <w:tcPr>
            <w:tcW w:w="2273" w:type="dxa"/>
          </w:tcPr>
          <w:p w14:paraId="6D2D48F0" w14:textId="77777777" w:rsidR="0068350C" w:rsidRPr="009077F5" w:rsidRDefault="0068350C" w:rsidP="004B0D48">
            <w:pPr>
              <w:pStyle w:val="KonuBal"/>
              <w:rPr>
                <w:sz w:val="24"/>
                <w:szCs w:val="24"/>
              </w:rPr>
            </w:pPr>
            <w:r w:rsidRPr="009077F5">
              <w:rPr>
                <w:sz w:val="24"/>
                <w:szCs w:val="24"/>
              </w:rPr>
              <w:t>Kimyasal çöktürme</w:t>
            </w:r>
          </w:p>
        </w:tc>
        <w:tc>
          <w:tcPr>
            <w:tcW w:w="6799" w:type="dxa"/>
          </w:tcPr>
          <w:p w14:paraId="7D54101A" w14:textId="77777777" w:rsidR="0068350C" w:rsidRPr="009077F5" w:rsidRDefault="0068350C" w:rsidP="004B0D48">
            <w:pPr>
              <w:pStyle w:val="KonuBal"/>
              <w:rPr>
                <w:sz w:val="24"/>
                <w:szCs w:val="24"/>
              </w:rPr>
            </w:pPr>
            <w:r w:rsidRPr="009077F5">
              <w:rPr>
                <w:sz w:val="24"/>
                <w:szCs w:val="24"/>
              </w:rPr>
              <w:t>Çözünmüş kirleticilerin kimyasal çökelticiler eklenerek çözünmeyen bir bileşiğe dönüştürülmesi. Oluşan katı çökeltiler daha sonra sedimantasyon, flotasyon veya filtrasyon ile ayrılır. Gerekirse, bunu ultrafiltrasyon veya ters ozmoz takip edebilir. Metal çökeltmesi için kullanılan tipik kimyasallar kireç, sodyum hidroksit ve sodyum sülfürdür.</w:t>
            </w:r>
          </w:p>
        </w:tc>
      </w:tr>
      <w:tr w:rsidR="0068350C" w:rsidRPr="00532481" w14:paraId="728A4627" w14:textId="77777777" w:rsidTr="009077F5">
        <w:tc>
          <w:tcPr>
            <w:tcW w:w="2273" w:type="dxa"/>
          </w:tcPr>
          <w:p w14:paraId="579084A3" w14:textId="77777777" w:rsidR="0068350C" w:rsidRPr="009077F5" w:rsidRDefault="0068350C" w:rsidP="004B0D48">
            <w:pPr>
              <w:pStyle w:val="KonuBal"/>
              <w:rPr>
                <w:sz w:val="24"/>
                <w:szCs w:val="24"/>
              </w:rPr>
            </w:pPr>
            <w:r w:rsidRPr="009077F5">
              <w:rPr>
                <w:sz w:val="24"/>
                <w:szCs w:val="24"/>
              </w:rPr>
              <w:t>Sedimantasyon</w:t>
            </w:r>
          </w:p>
        </w:tc>
        <w:tc>
          <w:tcPr>
            <w:tcW w:w="6799" w:type="dxa"/>
          </w:tcPr>
          <w:p w14:paraId="5E3D58F3" w14:textId="77777777" w:rsidR="0068350C" w:rsidRPr="009077F5" w:rsidRDefault="0068350C" w:rsidP="004B0D48">
            <w:pPr>
              <w:pStyle w:val="KonuBal"/>
              <w:rPr>
                <w:sz w:val="24"/>
                <w:szCs w:val="24"/>
              </w:rPr>
            </w:pPr>
            <w:r w:rsidRPr="009077F5">
              <w:rPr>
                <w:sz w:val="24"/>
                <w:szCs w:val="24"/>
              </w:rPr>
              <w:t>Askıda bulunan parçacıkların ve askıda kalan malzemelerin yerçekimi etkisiyle çökelmesiyle ayrılması.</w:t>
            </w:r>
          </w:p>
        </w:tc>
      </w:tr>
      <w:tr w:rsidR="0068350C" w:rsidRPr="00532481" w14:paraId="4083D35B" w14:textId="77777777" w:rsidTr="009077F5">
        <w:tc>
          <w:tcPr>
            <w:tcW w:w="2273" w:type="dxa"/>
          </w:tcPr>
          <w:p w14:paraId="3DB24B3E" w14:textId="77777777" w:rsidR="0068350C" w:rsidRPr="009077F5" w:rsidRDefault="0068350C" w:rsidP="004B0D48">
            <w:pPr>
              <w:pStyle w:val="KonuBal"/>
              <w:rPr>
                <w:sz w:val="24"/>
                <w:szCs w:val="24"/>
              </w:rPr>
            </w:pPr>
            <w:r w:rsidRPr="009077F5">
              <w:rPr>
                <w:sz w:val="24"/>
                <w:szCs w:val="24"/>
              </w:rPr>
              <w:t>Flotasyon</w:t>
            </w:r>
          </w:p>
        </w:tc>
        <w:tc>
          <w:tcPr>
            <w:tcW w:w="6799" w:type="dxa"/>
          </w:tcPr>
          <w:p w14:paraId="7BFD53C6" w14:textId="2737590C" w:rsidR="0068350C" w:rsidRPr="009077F5" w:rsidRDefault="0068350C" w:rsidP="004B0D48">
            <w:pPr>
              <w:pStyle w:val="KonuBal"/>
              <w:rPr>
                <w:sz w:val="24"/>
                <w:szCs w:val="24"/>
              </w:rPr>
            </w:pPr>
            <w:r w:rsidRPr="009077F5">
              <w:rPr>
                <w:sz w:val="24"/>
                <w:szCs w:val="24"/>
              </w:rPr>
              <w:t>Katı veya sıvı parçacıkların atıksudan, genellikle hava olan ince gaz kabarcıklarına bağlanarak ayrılması. Yüzen parçacıklar su yüzeyinde birikir ve sıyırıcılarda toplanır.</w:t>
            </w:r>
          </w:p>
        </w:tc>
      </w:tr>
      <w:tr w:rsidR="0068350C" w:rsidRPr="00532481" w14:paraId="192AAFA8" w14:textId="77777777" w:rsidTr="009077F5">
        <w:tc>
          <w:tcPr>
            <w:tcW w:w="2273" w:type="dxa"/>
          </w:tcPr>
          <w:p w14:paraId="1C5030CA" w14:textId="77777777" w:rsidR="0068350C" w:rsidRPr="009077F5" w:rsidRDefault="0068350C" w:rsidP="004B0D48">
            <w:pPr>
              <w:pStyle w:val="KonuBal"/>
              <w:rPr>
                <w:sz w:val="24"/>
                <w:szCs w:val="24"/>
              </w:rPr>
            </w:pPr>
            <w:r w:rsidRPr="009077F5">
              <w:rPr>
                <w:sz w:val="24"/>
                <w:szCs w:val="24"/>
              </w:rPr>
              <w:t>Filtrasyon</w:t>
            </w:r>
          </w:p>
        </w:tc>
        <w:tc>
          <w:tcPr>
            <w:tcW w:w="6799" w:type="dxa"/>
          </w:tcPr>
          <w:p w14:paraId="4B6C69FB" w14:textId="115FF5BB" w:rsidR="0068350C" w:rsidRPr="009077F5" w:rsidRDefault="0068350C" w:rsidP="004B0D48">
            <w:pPr>
              <w:pStyle w:val="KonuBal"/>
              <w:rPr>
                <w:sz w:val="24"/>
                <w:szCs w:val="24"/>
              </w:rPr>
            </w:pPr>
            <w:r w:rsidRPr="009077F5">
              <w:rPr>
                <w:sz w:val="24"/>
                <w:szCs w:val="24"/>
              </w:rPr>
              <w:t>Katıların atıksudan gözenekli bir ortamdan geçirilerek ayrılması. Kum en yaygın kullanılan filtreleme ortamıdır.</w:t>
            </w:r>
          </w:p>
        </w:tc>
      </w:tr>
      <w:tr w:rsidR="0068350C" w:rsidRPr="00532481" w14:paraId="5EF30CD7" w14:textId="77777777" w:rsidTr="009077F5">
        <w:tc>
          <w:tcPr>
            <w:tcW w:w="2273" w:type="dxa"/>
          </w:tcPr>
          <w:p w14:paraId="15A181F9" w14:textId="77777777" w:rsidR="0068350C" w:rsidRPr="009077F5" w:rsidRDefault="0068350C" w:rsidP="004B0D48">
            <w:pPr>
              <w:pStyle w:val="KonuBal"/>
              <w:rPr>
                <w:sz w:val="24"/>
                <w:szCs w:val="24"/>
              </w:rPr>
            </w:pPr>
            <w:r w:rsidRPr="009077F5">
              <w:rPr>
                <w:sz w:val="24"/>
                <w:szCs w:val="24"/>
              </w:rPr>
              <w:t>Ultrafiltrasyon</w:t>
            </w:r>
          </w:p>
        </w:tc>
        <w:tc>
          <w:tcPr>
            <w:tcW w:w="6799" w:type="dxa"/>
          </w:tcPr>
          <w:p w14:paraId="7003DAF0" w14:textId="77777777" w:rsidR="0068350C" w:rsidRPr="009077F5" w:rsidRDefault="0068350C" w:rsidP="004B0D48">
            <w:pPr>
              <w:pStyle w:val="KonuBal"/>
              <w:rPr>
                <w:sz w:val="24"/>
                <w:szCs w:val="24"/>
              </w:rPr>
            </w:pPr>
            <w:r w:rsidRPr="009077F5">
              <w:rPr>
                <w:sz w:val="24"/>
                <w:szCs w:val="24"/>
              </w:rPr>
              <w:t>Yaklaşık 10 μm gözenek büyüklüğüne sahip membranların filtreleme ortamı olarak kullanıldığı bir filtrasyon işlemidir.</w:t>
            </w:r>
          </w:p>
        </w:tc>
      </w:tr>
      <w:tr w:rsidR="0068350C" w:rsidRPr="00532481" w14:paraId="6AA8A114" w14:textId="77777777" w:rsidTr="009077F5">
        <w:tc>
          <w:tcPr>
            <w:tcW w:w="2273" w:type="dxa"/>
          </w:tcPr>
          <w:p w14:paraId="2D40846D" w14:textId="77777777" w:rsidR="0068350C" w:rsidRPr="009077F5" w:rsidRDefault="0068350C" w:rsidP="004B0D48">
            <w:pPr>
              <w:pStyle w:val="KonuBal"/>
              <w:rPr>
                <w:sz w:val="24"/>
                <w:szCs w:val="24"/>
              </w:rPr>
            </w:pPr>
            <w:r w:rsidRPr="009077F5">
              <w:rPr>
                <w:sz w:val="24"/>
                <w:szCs w:val="24"/>
              </w:rPr>
              <w:t>Aktif karbon filtrasyonu</w:t>
            </w:r>
          </w:p>
        </w:tc>
        <w:tc>
          <w:tcPr>
            <w:tcW w:w="6799" w:type="dxa"/>
          </w:tcPr>
          <w:p w14:paraId="1F2507CA" w14:textId="77777777" w:rsidR="0068350C" w:rsidRPr="009077F5" w:rsidRDefault="0068350C" w:rsidP="004B0D48">
            <w:pPr>
              <w:pStyle w:val="KonuBal"/>
              <w:rPr>
                <w:sz w:val="24"/>
                <w:szCs w:val="24"/>
              </w:rPr>
            </w:pPr>
            <w:r w:rsidRPr="009077F5">
              <w:rPr>
                <w:sz w:val="24"/>
                <w:szCs w:val="24"/>
              </w:rPr>
              <w:t>Aktif karbonun filtreleme ortamı olarak kullanıldığı bir filtrasyon işlemidir.</w:t>
            </w:r>
          </w:p>
        </w:tc>
      </w:tr>
      <w:tr w:rsidR="0068350C" w:rsidRPr="00532481" w14:paraId="1711DDFB" w14:textId="77777777" w:rsidTr="009077F5">
        <w:tc>
          <w:tcPr>
            <w:tcW w:w="2273" w:type="dxa"/>
          </w:tcPr>
          <w:p w14:paraId="62386E28" w14:textId="77777777" w:rsidR="0068350C" w:rsidRPr="009077F5" w:rsidRDefault="0068350C" w:rsidP="004B0D48">
            <w:pPr>
              <w:pStyle w:val="KonuBal"/>
              <w:rPr>
                <w:sz w:val="24"/>
                <w:szCs w:val="24"/>
              </w:rPr>
            </w:pPr>
            <w:r w:rsidRPr="009077F5">
              <w:rPr>
                <w:sz w:val="24"/>
                <w:szCs w:val="24"/>
              </w:rPr>
              <w:t>Ters ozmos</w:t>
            </w:r>
          </w:p>
        </w:tc>
        <w:tc>
          <w:tcPr>
            <w:tcW w:w="6799" w:type="dxa"/>
          </w:tcPr>
          <w:p w14:paraId="29E6D1F8" w14:textId="77777777" w:rsidR="0068350C" w:rsidRPr="009077F5" w:rsidRDefault="0068350C" w:rsidP="004B0D48">
            <w:pPr>
              <w:pStyle w:val="KonuBal"/>
              <w:rPr>
                <w:sz w:val="24"/>
                <w:szCs w:val="24"/>
              </w:rPr>
            </w:pPr>
            <w:r w:rsidRPr="009077F5">
              <w:rPr>
                <w:sz w:val="24"/>
                <w:szCs w:val="24"/>
              </w:rPr>
              <w:t>Membranla ayrılmış bölmeler arasında uygulanan basınç farkının, suyun daha yoğun çözeltiden daha az yoğun çözeltiye doğru akmasına neden olduğu bir membran işlemidir.</w:t>
            </w:r>
          </w:p>
        </w:tc>
      </w:tr>
    </w:tbl>
    <w:p w14:paraId="237D9338" w14:textId="77777777" w:rsidR="0068350C" w:rsidRPr="00D53A2B" w:rsidRDefault="0068350C" w:rsidP="00A202FD">
      <w:pPr>
        <w:jc w:val="both"/>
        <w:rPr>
          <w:lang w:eastAsia="en-US"/>
        </w:rPr>
      </w:pPr>
      <w:bookmarkStart w:id="274" w:name="_Toc527940784"/>
      <w:bookmarkStart w:id="275" w:name="_Toc531927940"/>
    </w:p>
    <w:p w14:paraId="545364F8" w14:textId="715177A4" w:rsidR="0068350C" w:rsidRPr="00D53A2B" w:rsidRDefault="0068350C" w:rsidP="00A202FD">
      <w:pPr>
        <w:pStyle w:val="Balk3"/>
        <w:rPr>
          <w:rFonts w:cs="Times New Roman"/>
          <w:lang w:eastAsia="en-US"/>
        </w:rPr>
      </w:pPr>
      <w:r w:rsidRPr="00D53A2B">
        <w:rPr>
          <w:rFonts w:cs="Times New Roman"/>
          <w:lang w:eastAsia="en-US"/>
        </w:rPr>
        <w:t>3.</w:t>
      </w:r>
      <w:r w:rsidR="005F64EC" w:rsidRPr="00D53A2B">
        <w:rPr>
          <w:rFonts w:cs="Times New Roman"/>
          <w:lang w:eastAsia="en-US"/>
        </w:rPr>
        <w:t xml:space="preserve"> </w:t>
      </w:r>
      <w:r w:rsidRPr="00D53A2B">
        <w:rPr>
          <w:rFonts w:cs="Times New Roman"/>
          <w:lang w:eastAsia="en-US"/>
        </w:rPr>
        <w:t>Diğer</w:t>
      </w:r>
      <w:bookmarkEnd w:id="274"/>
      <w:bookmarkEnd w:id="275"/>
    </w:p>
    <w:tbl>
      <w:tblPr>
        <w:tblStyle w:val="TabloKlavuzu6"/>
        <w:tblW w:w="0" w:type="auto"/>
        <w:tblLayout w:type="fixed"/>
        <w:tblLook w:val="01E0" w:firstRow="1" w:lastRow="1" w:firstColumn="1" w:lastColumn="1" w:noHBand="0" w:noVBand="0"/>
      </w:tblPr>
      <w:tblGrid>
        <w:gridCol w:w="2273"/>
        <w:gridCol w:w="6799"/>
      </w:tblGrid>
      <w:tr w:rsidR="0068350C" w:rsidRPr="00532481" w14:paraId="7CFED881" w14:textId="77777777" w:rsidTr="009077F5">
        <w:tc>
          <w:tcPr>
            <w:tcW w:w="2273" w:type="dxa"/>
          </w:tcPr>
          <w:p w14:paraId="1E555277" w14:textId="77777777" w:rsidR="0068350C" w:rsidRPr="009077F5" w:rsidRDefault="0068350C" w:rsidP="004B0D48">
            <w:pPr>
              <w:pStyle w:val="KonuBal"/>
              <w:rPr>
                <w:sz w:val="24"/>
                <w:szCs w:val="24"/>
              </w:rPr>
            </w:pPr>
            <w:r w:rsidRPr="009077F5">
              <w:rPr>
                <w:sz w:val="24"/>
                <w:szCs w:val="24"/>
              </w:rPr>
              <w:t>Teknik</w:t>
            </w:r>
          </w:p>
        </w:tc>
        <w:tc>
          <w:tcPr>
            <w:tcW w:w="6799" w:type="dxa"/>
          </w:tcPr>
          <w:p w14:paraId="4A4966F0" w14:textId="77777777" w:rsidR="0068350C" w:rsidRPr="009077F5" w:rsidRDefault="0068350C" w:rsidP="004B0D48">
            <w:pPr>
              <w:pStyle w:val="KonuBal"/>
              <w:rPr>
                <w:sz w:val="24"/>
                <w:szCs w:val="24"/>
              </w:rPr>
            </w:pPr>
            <w:r w:rsidRPr="009077F5">
              <w:rPr>
                <w:sz w:val="24"/>
                <w:szCs w:val="24"/>
              </w:rPr>
              <w:t>Açıklama</w:t>
            </w:r>
          </w:p>
        </w:tc>
      </w:tr>
      <w:tr w:rsidR="0068350C" w:rsidRPr="00532481" w14:paraId="6D3DACF7" w14:textId="77777777" w:rsidTr="009077F5">
        <w:tc>
          <w:tcPr>
            <w:tcW w:w="2273" w:type="dxa"/>
          </w:tcPr>
          <w:p w14:paraId="57C4CC77" w14:textId="77777777" w:rsidR="0068350C" w:rsidRPr="009077F5" w:rsidRDefault="0068350C" w:rsidP="004B0D48">
            <w:pPr>
              <w:pStyle w:val="KonuBal"/>
              <w:rPr>
                <w:sz w:val="24"/>
                <w:szCs w:val="24"/>
              </w:rPr>
            </w:pPr>
            <w:r w:rsidRPr="009077F5">
              <w:rPr>
                <w:sz w:val="24"/>
                <w:szCs w:val="24"/>
              </w:rPr>
              <w:t>Buğu giderici</w:t>
            </w:r>
          </w:p>
        </w:tc>
        <w:tc>
          <w:tcPr>
            <w:tcW w:w="6799" w:type="dxa"/>
          </w:tcPr>
          <w:p w14:paraId="33E4D7F5" w14:textId="77777777" w:rsidR="0068350C" w:rsidRPr="009077F5" w:rsidRDefault="0068350C" w:rsidP="004B0D48">
            <w:pPr>
              <w:pStyle w:val="KonuBal"/>
              <w:rPr>
                <w:sz w:val="24"/>
                <w:szCs w:val="24"/>
              </w:rPr>
            </w:pPr>
            <w:r w:rsidRPr="009077F5">
              <w:rPr>
                <w:sz w:val="24"/>
                <w:szCs w:val="24"/>
              </w:rPr>
              <w:t>Buğu gidericiler, bir gaz akışından sürüklenen sıvı damlacıklarını gideren filtre cihazlarıdır. Yüksek özgül yüzey alanına sahip, metal veya plastik tellerden oluşan dokunmuş bir yapıdan oluşurlar. Momentumları sayesinde gaz akışında bulunan küçük damlacıklar tellere çarpar ve daha büyük damlalar halinde birleşirler.</w:t>
            </w:r>
          </w:p>
        </w:tc>
      </w:tr>
      <w:tr w:rsidR="0068350C" w:rsidRPr="00532481" w14:paraId="1B25E9CF" w14:textId="77777777" w:rsidTr="009077F5">
        <w:tc>
          <w:tcPr>
            <w:tcW w:w="2273" w:type="dxa"/>
          </w:tcPr>
          <w:p w14:paraId="72216D33" w14:textId="77777777" w:rsidR="0068350C" w:rsidRPr="009077F5" w:rsidRDefault="0068350C" w:rsidP="004B0D48">
            <w:pPr>
              <w:pStyle w:val="KonuBal"/>
              <w:rPr>
                <w:sz w:val="24"/>
                <w:szCs w:val="24"/>
              </w:rPr>
            </w:pPr>
            <w:r w:rsidRPr="009077F5">
              <w:rPr>
                <w:sz w:val="24"/>
                <w:szCs w:val="24"/>
              </w:rPr>
              <w:t>Santrifüj sistemi</w:t>
            </w:r>
          </w:p>
        </w:tc>
        <w:tc>
          <w:tcPr>
            <w:tcW w:w="6799" w:type="dxa"/>
          </w:tcPr>
          <w:p w14:paraId="076725E8" w14:textId="77777777" w:rsidR="0068350C" w:rsidRPr="009077F5" w:rsidRDefault="0068350C" w:rsidP="004B0D48">
            <w:pPr>
              <w:pStyle w:val="KonuBal"/>
              <w:rPr>
                <w:sz w:val="24"/>
                <w:szCs w:val="24"/>
              </w:rPr>
            </w:pPr>
            <w:r w:rsidRPr="009077F5">
              <w:rPr>
                <w:sz w:val="24"/>
                <w:szCs w:val="24"/>
              </w:rPr>
              <w:t>Santrifüj sistemleri, santrifüj kuvvetleri uygulayarak atık gaz akımlarından damlacıkları uzaklaştırmak için ataleti kullanır.</w:t>
            </w:r>
          </w:p>
        </w:tc>
      </w:tr>
      <w:tr w:rsidR="0068350C" w:rsidRPr="00532481" w14:paraId="19D4BA3B" w14:textId="77777777" w:rsidTr="009077F5">
        <w:tc>
          <w:tcPr>
            <w:tcW w:w="2273" w:type="dxa"/>
          </w:tcPr>
          <w:p w14:paraId="18876A57" w14:textId="77777777" w:rsidR="0068350C" w:rsidRPr="009077F5" w:rsidRDefault="0068350C" w:rsidP="004B0D48">
            <w:pPr>
              <w:pStyle w:val="KonuBal"/>
              <w:rPr>
                <w:sz w:val="24"/>
                <w:szCs w:val="24"/>
              </w:rPr>
            </w:pPr>
            <w:r w:rsidRPr="009077F5">
              <w:rPr>
                <w:sz w:val="24"/>
                <w:szCs w:val="24"/>
              </w:rPr>
              <w:t>Güçlendirilmiş emme sistemi</w:t>
            </w:r>
          </w:p>
        </w:tc>
        <w:tc>
          <w:tcPr>
            <w:tcW w:w="6799" w:type="dxa"/>
          </w:tcPr>
          <w:p w14:paraId="1E0751AA" w14:textId="77777777" w:rsidR="0068350C" w:rsidRPr="009077F5" w:rsidRDefault="0068350C" w:rsidP="004B0D48">
            <w:pPr>
              <w:pStyle w:val="KonuBal"/>
              <w:rPr>
                <w:sz w:val="24"/>
                <w:szCs w:val="24"/>
              </w:rPr>
            </w:pPr>
            <w:r w:rsidRPr="009077F5">
              <w:rPr>
                <w:sz w:val="24"/>
                <w:szCs w:val="24"/>
              </w:rPr>
              <w:t>Yükleme, eritme ve musluklama döngüleri boyunca değişen duman kaynaklarına bağlı olarak egzoz fanı kapasitesini değiştirmek üzere tasarlanmış sistemler. Yüklemesırasında brülör oranının otomatik kontrolü, kapı açıkken yapılan işlemler sırasında minimum gaz akışını sağlamak için de uygulanır.</w:t>
            </w:r>
          </w:p>
        </w:tc>
      </w:tr>
      <w:tr w:rsidR="0068350C" w:rsidRPr="00532481" w14:paraId="5F90E55A" w14:textId="77777777" w:rsidTr="009077F5">
        <w:tc>
          <w:tcPr>
            <w:tcW w:w="2273" w:type="dxa"/>
          </w:tcPr>
          <w:p w14:paraId="10F92A40" w14:textId="77777777" w:rsidR="0068350C" w:rsidRPr="009077F5" w:rsidRDefault="0068350C" w:rsidP="004B0D48">
            <w:pPr>
              <w:pStyle w:val="KonuBal"/>
              <w:rPr>
                <w:sz w:val="24"/>
                <w:szCs w:val="24"/>
              </w:rPr>
            </w:pPr>
            <w:r w:rsidRPr="009077F5">
              <w:rPr>
                <w:sz w:val="24"/>
                <w:szCs w:val="24"/>
              </w:rPr>
              <w:t>Talaş santrifüjleme</w:t>
            </w:r>
          </w:p>
        </w:tc>
        <w:tc>
          <w:tcPr>
            <w:tcW w:w="6799" w:type="dxa"/>
          </w:tcPr>
          <w:p w14:paraId="41D6914C" w14:textId="77777777" w:rsidR="0068350C" w:rsidRPr="009077F5" w:rsidRDefault="0068350C" w:rsidP="004B0D48">
            <w:pPr>
              <w:pStyle w:val="KonuBal"/>
              <w:rPr>
                <w:sz w:val="24"/>
                <w:szCs w:val="24"/>
              </w:rPr>
            </w:pPr>
            <w:r w:rsidRPr="009077F5">
              <w:rPr>
                <w:sz w:val="24"/>
                <w:szCs w:val="24"/>
              </w:rPr>
              <w:t>Santrifüjleme, yağı talaştan ayırmak için kullanılan mekanik bir yöntemdir. Sedimantasyon sürecinin hızını artırmak için talaşa santrifüjleme kuvveti uygulanır ve yağ ayrılır.</w:t>
            </w:r>
          </w:p>
        </w:tc>
      </w:tr>
      <w:tr w:rsidR="0068350C" w:rsidRPr="00532481" w14:paraId="2BAF5A0F" w14:textId="77777777" w:rsidTr="009077F5">
        <w:tc>
          <w:tcPr>
            <w:tcW w:w="2273" w:type="dxa"/>
          </w:tcPr>
          <w:p w14:paraId="54BB983E" w14:textId="77777777" w:rsidR="0068350C" w:rsidRPr="009077F5" w:rsidRDefault="0068350C" w:rsidP="004B0D48">
            <w:pPr>
              <w:pStyle w:val="KonuBal"/>
              <w:rPr>
                <w:sz w:val="24"/>
                <w:szCs w:val="24"/>
              </w:rPr>
            </w:pPr>
            <w:r w:rsidRPr="009077F5">
              <w:rPr>
                <w:sz w:val="24"/>
                <w:szCs w:val="24"/>
              </w:rPr>
              <w:t>Talaşın kurutulması</w:t>
            </w:r>
          </w:p>
        </w:tc>
        <w:tc>
          <w:tcPr>
            <w:tcW w:w="6799" w:type="dxa"/>
          </w:tcPr>
          <w:p w14:paraId="3BCC679A" w14:textId="77777777" w:rsidR="0068350C" w:rsidRPr="009077F5" w:rsidRDefault="0068350C" w:rsidP="004B0D48">
            <w:pPr>
              <w:pStyle w:val="KonuBal"/>
              <w:rPr>
                <w:sz w:val="24"/>
                <w:szCs w:val="24"/>
              </w:rPr>
            </w:pPr>
            <w:r w:rsidRPr="009077F5">
              <w:rPr>
                <w:sz w:val="24"/>
                <w:szCs w:val="24"/>
              </w:rPr>
              <w:t>Talaş kurutma işleminde dolaylı olarak ısıtılan bir döner tambur kullanılır. Yağı çıkarmak için 300°C ile 400°C arasındaki bir sıcaklıkta pirolitik bir işlem gerçekleşir.</w:t>
            </w:r>
          </w:p>
        </w:tc>
      </w:tr>
      <w:tr w:rsidR="0068350C" w:rsidRPr="00532481" w14:paraId="7FB352F8" w14:textId="77777777" w:rsidTr="009077F5">
        <w:tc>
          <w:tcPr>
            <w:tcW w:w="2273" w:type="dxa"/>
          </w:tcPr>
          <w:p w14:paraId="011EC67F" w14:textId="77777777" w:rsidR="0068350C" w:rsidRPr="009077F5" w:rsidRDefault="0068350C" w:rsidP="004B0D48">
            <w:pPr>
              <w:pStyle w:val="KonuBal"/>
              <w:rPr>
                <w:sz w:val="24"/>
                <w:szCs w:val="24"/>
              </w:rPr>
            </w:pPr>
            <w:r w:rsidRPr="009077F5">
              <w:rPr>
                <w:sz w:val="24"/>
                <w:szCs w:val="24"/>
              </w:rPr>
              <w:t>Kapalı fırın kapısı veya fırın kapısı sızdırmazlığı</w:t>
            </w:r>
          </w:p>
        </w:tc>
        <w:tc>
          <w:tcPr>
            <w:tcW w:w="6799" w:type="dxa"/>
          </w:tcPr>
          <w:p w14:paraId="14B1AFD6" w14:textId="77777777" w:rsidR="0068350C" w:rsidRPr="009077F5" w:rsidRDefault="0068350C" w:rsidP="004B0D48">
            <w:pPr>
              <w:pStyle w:val="KonuBal"/>
              <w:rPr>
                <w:sz w:val="24"/>
                <w:szCs w:val="24"/>
              </w:rPr>
            </w:pPr>
            <w:r w:rsidRPr="009077F5">
              <w:rPr>
                <w:sz w:val="24"/>
                <w:szCs w:val="24"/>
              </w:rPr>
              <w:t>Fırın kapısı, eritme/eritme aşaması sırasında difüz emisyonların dışarı kaçmasını önlemek ve fırının içindeki pozitif basıncı korumak için etkili bir sızdırmazlık sağlayacak şekilde tasarlanmıştır.</w:t>
            </w:r>
          </w:p>
        </w:tc>
      </w:tr>
    </w:tbl>
    <w:p w14:paraId="1D830293" w14:textId="77777777" w:rsidR="0068350C" w:rsidRPr="00D53A2B" w:rsidRDefault="0068350C" w:rsidP="00A202FD">
      <w:pPr>
        <w:jc w:val="both"/>
        <w:rPr>
          <w:lang w:eastAsia="en-US"/>
        </w:rPr>
      </w:pPr>
    </w:p>
    <w:p w14:paraId="14843AE3" w14:textId="77777777" w:rsidR="001E4463" w:rsidRPr="00D53A2B" w:rsidRDefault="001E4463" w:rsidP="00A202FD">
      <w:pPr>
        <w:spacing w:after="240"/>
        <w:jc w:val="both"/>
        <w:rPr>
          <w:b/>
          <w:lang w:eastAsia="en-US"/>
        </w:rPr>
      </w:pPr>
    </w:p>
    <w:p w14:paraId="2430AB85" w14:textId="77777777" w:rsidR="0030725A" w:rsidRPr="00D53A2B" w:rsidRDefault="0030725A" w:rsidP="00A202FD">
      <w:pPr>
        <w:spacing w:after="240"/>
        <w:jc w:val="both"/>
        <w:rPr>
          <w:lang w:eastAsia="en-US"/>
        </w:rPr>
      </w:pPr>
    </w:p>
    <w:p w14:paraId="08146381" w14:textId="2827130A" w:rsidR="0068350C" w:rsidRPr="00D53A2B" w:rsidRDefault="0068350C" w:rsidP="00A202FD">
      <w:pPr>
        <w:spacing w:after="240"/>
        <w:jc w:val="both"/>
        <w:rPr>
          <w:lang w:eastAsia="en-US"/>
        </w:rPr>
        <w:sectPr w:rsidR="0068350C" w:rsidRPr="00D53A2B" w:rsidSect="009077F5">
          <w:type w:val="nextColumn"/>
          <w:pgSz w:w="11900" w:h="16840"/>
          <w:pgMar w:top="1418" w:right="1418" w:bottom="1418" w:left="1418" w:header="0" w:footer="0" w:gutter="0"/>
          <w:cols w:space="0" w:equalWidth="0">
            <w:col w:w="8607"/>
          </w:cols>
          <w:docGrid w:linePitch="360"/>
        </w:sectPr>
      </w:pPr>
    </w:p>
    <w:p w14:paraId="42B0ED21" w14:textId="592976E3" w:rsidR="00922335" w:rsidRPr="00D53A2B" w:rsidRDefault="00922335" w:rsidP="008D5C29">
      <w:pPr>
        <w:pStyle w:val="Balk1"/>
        <w:ind w:left="7200" w:firstLine="720"/>
        <w:rPr>
          <w:szCs w:val="24"/>
          <w:lang w:eastAsia="en-US"/>
        </w:rPr>
      </w:pPr>
      <w:bookmarkStart w:id="276" w:name="_Toc24310629"/>
      <w:r w:rsidRPr="00D53A2B">
        <w:rPr>
          <w:szCs w:val="24"/>
          <w:lang w:eastAsia="en-US"/>
        </w:rPr>
        <w:t>EK-</w:t>
      </w:r>
      <w:r w:rsidR="005F64EC" w:rsidRPr="00D53A2B">
        <w:rPr>
          <w:szCs w:val="24"/>
          <w:lang w:eastAsia="en-US"/>
        </w:rPr>
        <w:t>5</w:t>
      </w:r>
    </w:p>
    <w:p w14:paraId="45BAE1D2" w14:textId="26C2CA64" w:rsidR="00D53A2B" w:rsidRPr="00D53A2B" w:rsidRDefault="00790361" w:rsidP="008D5C29">
      <w:pPr>
        <w:jc w:val="center"/>
        <w:rPr>
          <w:b/>
          <w:lang w:eastAsia="en-US"/>
        </w:rPr>
      </w:pPr>
      <w:r w:rsidRPr="00D53A2B">
        <w:rPr>
          <w:b/>
          <w:lang w:eastAsia="en-US"/>
        </w:rPr>
        <w:t>METAL</w:t>
      </w:r>
      <w:r w:rsidR="0030725A" w:rsidRPr="00D53A2B">
        <w:rPr>
          <w:b/>
          <w:lang w:eastAsia="en-US"/>
        </w:rPr>
        <w:t>LERİN</w:t>
      </w:r>
      <w:r w:rsidRPr="00D53A2B">
        <w:rPr>
          <w:b/>
          <w:lang w:eastAsia="en-US"/>
        </w:rPr>
        <w:t xml:space="preserve"> VE PLASTİK</w:t>
      </w:r>
      <w:r w:rsidR="0030725A" w:rsidRPr="00D53A2B">
        <w:rPr>
          <w:b/>
          <w:lang w:eastAsia="en-US"/>
        </w:rPr>
        <w:t>LERİN</w:t>
      </w:r>
      <w:r w:rsidRPr="00D53A2B">
        <w:rPr>
          <w:b/>
          <w:lang w:eastAsia="en-US"/>
        </w:rPr>
        <w:t xml:space="preserve"> YÜZEY İŞLEM</w:t>
      </w:r>
      <w:r w:rsidR="0030725A" w:rsidRPr="00D53A2B">
        <w:rPr>
          <w:b/>
          <w:lang w:eastAsia="en-US"/>
        </w:rPr>
        <w:t>LERİ</w:t>
      </w:r>
    </w:p>
    <w:p w14:paraId="23A84840" w14:textId="77777777" w:rsidR="00D53A2B" w:rsidRPr="00D53A2B" w:rsidRDefault="00D53A2B" w:rsidP="00D53A2B">
      <w:pPr>
        <w:jc w:val="both"/>
        <w:rPr>
          <w:lang w:eastAsia="en-US"/>
        </w:rPr>
      </w:pPr>
    </w:p>
    <w:p w14:paraId="175DA33D" w14:textId="54D0A279" w:rsidR="00D53A2B" w:rsidRDefault="00D53A2B" w:rsidP="00D53A2B">
      <w:pPr>
        <w:jc w:val="both"/>
      </w:pPr>
      <w:r w:rsidRPr="00D53A2B">
        <w:t>Avrupa Komisyonu tarafından henüz Mevcut En İyi teknikler Sonuç Dökümanı yayımlanmadığından  bu bölüm, Metallerin ve Plastiklerin Yüzey İşlemleri Mevcut En İyi Teknikler Referans Dökümanın 5. Bölümünde yer ‘Mevcut en İyi Teknikler’ kullanılarak hazırlanmıştır. Aynı Dökümanın 4. Bölümünde ‘</w:t>
      </w:r>
      <w:r w:rsidRPr="00D53A2B">
        <w:rPr>
          <w:b/>
        </w:rPr>
        <w:t>Mevcut En İyi Tekniklerin Uygulanması İçin Teknikler</w:t>
      </w:r>
      <w:r w:rsidRPr="00D53A2B">
        <w:t xml:space="preserve"> ‘yer almakta olup  bu bölümde atı</w:t>
      </w:r>
      <w:r w:rsidR="00462D7E">
        <w:t>f</w:t>
      </w:r>
      <w:r w:rsidRPr="00D53A2B">
        <w:t xml:space="preserve"> yapılan 4. Bölüm “Metallerin ve Plastiklerin Yüzey İşlemleri Mevcut En İyi Teknikler Referans Dökümanın 4. Bölümüdür.</w:t>
      </w:r>
    </w:p>
    <w:p w14:paraId="62F5CC5A" w14:textId="77777777" w:rsidR="00E65BD2" w:rsidRDefault="00E65BD2" w:rsidP="00D53A2B">
      <w:pPr>
        <w:jc w:val="both"/>
      </w:pPr>
    </w:p>
    <w:p w14:paraId="156BA8C5" w14:textId="77777777" w:rsidR="00E65BD2" w:rsidRDefault="00E65BD2" w:rsidP="00E65BD2">
      <w:pPr>
        <w:jc w:val="both"/>
      </w:pPr>
      <w:r w:rsidRPr="00E65BD2">
        <w:t>Bu EK Endüstriyel emisyonların Yönetimi Yönetmeliği’nin EK-1 inde yer alan aşağıdaki faaliyetleri kapsar:</w:t>
      </w:r>
    </w:p>
    <w:p w14:paraId="6F18F28E" w14:textId="4C2F9F33" w:rsidR="00E65BD2" w:rsidRDefault="00E65BD2" w:rsidP="00E65BD2">
      <w:pPr>
        <w:jc w:val="both"/>
      </w:pPr>
      <w:r>
        <w:t>a)</w:t>
      </w:r>
      <w:r>
        <w:tab/>
        <w:t>MET Referans Dokümanı, Yönetmeliğin E</w:t>
      </w:r>
      <w:r w:rsidR="00602E7C">
        <w:t>K</w:t>
      </w:r>
      <w:r>
        <w:t>-1 inde yer alan  2.6 no.’lu kısımda açıklanan  işlem teknesi hacmi 30 m3 üzeri olan metallerin veya plastik malzemelerin elektrolitik veya kimyasal işlemlerle yüzey işlemesinin yapılması faaliyetlerini kapsar.</w:t>
      </w:r>
    </w:p>
    <w:p w14:paraId="2B1E1E3C" w14:textId="77777777" w:rsidR="00E65BD2" w:rsidRDefault="00E65BD2" w:rsidP="00E65BD2">
      <w:pPr>
        <w:jc w:val="both"/>
      </w:pPr>
      <w:r>
        <w:t>b)</w:t>
      </w:r>
      <w:r>
        <w:tab/>
        <w:t>Pratik açıdan, şu anda kullanılan elektrolitik ve kimyasal süreçler su bazlıdır. Doğrudan ilişkili faaliyetler de açıklanmaktadır. MET Referans Dokümanı aşağıdakileri kapsamaz:</w:t>
      </w:r>
    </w:p>
    <w:p w14:paraId="3D7AA5F6" w14:textId="77777777" w:rsidR="00E65BD2" w:rsidRDefault="00E65BD2" w:rsidP="00E65BD2">
      <w:pPr>
        <w:jc w:val="both"/>
      </w:pPr>
      <w:r>
        <w:t>-</w:t>
      </w:r>
      <w:r>
        <w:tab/>
        <w:t>Sertleştirme (hidrojen ayrışması hariç)</w:t>
      </w:r>
    </w:p>
    <w:p w14:paraId="253D90C1" w14:textId="77777777" w:rsidR="00E65BD2" w:rsidRDefault="00E65BD2" w:rsidP="00E65BD2">
      <w:pPr>
        <w:jc w:val="both"/>
      </w:pPr>
      <w:r>
        <w:t>-</w:t>
      </w:r>
      <w:r>
        <w:tab/>
        <w:t>Metallerin buharla biriktirilmesi gibi diğer fiziksel yüzey işlemleri</w:t>
      </w:r>
    </w:p>
    <w:p w14:paraId="45E71368" w14:textId="77777777" w:rsidR="00E65BD2" w:rsidRDefault="00E65BD2" w:rsidP="00E65BD2">
      <w:pPr>
        <w:jc w:val="both"/>
      </w:pPr>
      <w:r>
        <w:t>-</w:t>
      </w:r>
      <w:r>
        <w:tab/>
        <w:t>Sıcak daldırma galvanizleme ve demir ve çeliklerin toplu olarak temizlenmesi: bunlar demir metal işleme endüstrisi için BREF'de tartışılmaktadır.</w:t>
      </w:r>
    </w:p>
    <w:p w14:paraId="4CE047B6" w14:textId="77777777" w:rsidR="00E65BD2" w:rsidRDefault="00E65BD2" w:rsidP="00E65BD2">
      <w:pPr>
        <w:jc w:val="both"/>
      </w:pPr>
      <w:r>
        <w:t>-</w:t>
      </w:r>
      <w:r>
        <w:tab/>
        <w:t>Çözücü madde kullanarak yüzey işlemi için BREF'yi ele alan yüzey işlem süreçleri, çözücü yağ giderme işlemi bu belgede bir yağ giderme seçeneği olarak belirtilmesine rağmen</w:t>
      </w:r>
    </w:p>
    <w:p w14:paraId="65BC3444" w14:textId="532BDD2B" w:rsidR="00E65BD2" w:rsidRPr="00D53A2B" w:rsidRDefault="00E65BD2" w:rsidP="00E65BD2">
      <w:pPr>
        <w:jc w:val="both"/>
      </w:pPr>
      <w:r>
        <w:t>-</w:t>
      </w:r>
      <w:r>
        <w:tab/>
        <w:t>STS BREF'de de tartışılan elektro-boyama (elektroforetik boyama).</w:t>
      </w:r>
    </w:p>
    <w:p w14:paraId="50196A40" w14:textId="30D6FCE7" w:rsidR="0030725A" w:rsidRPr="00D53A2B" w:rsidRDefault="0030725A" w:rsidP="00A202FD">
      <w:pPr>
        <w:pStyle w:val="Balk1"/>
        <w:jc w:val="both"/>
        <w:rPr>
          <w:szCs w:val="24"/>
          <w:lang w:eastAsia="en-US"/>
        </w:rPr>
      </w:pPr>
    </w:p>
    <w:p w14:paraId="00F35068" w14:textId="156BA7C7" w:rsidR="0030725A" w:rsidRPr="00D53A2B" w:rsidRDefault="00790361" w:rsidP="00602365">
      <w:pPr>
        <w:pStyle w:val="Balk2"/>
        <w:numPr>
          <w:ilvl w:val="1"/>
          <w:numId w:val="152"/>
        </w:numPr>
        <w:ind w:left="567" w:hanging="567"/>
        <w:rPr>
          <w:rFonts w:cs="Times New Roman"/>
          <w:szCs w:val="24"/>
        </w:rPr>
      </w:pPr>
      <w:r w:rsidRPr="00D53A2B">
        <w:rPr>
          <w:rFonts w:cs="Times New Roman"/>
          <w:szCs w:val="24"/>
        </w:rPr>
        <w:t>GENEL MET</w:t>
      </w:r>
      <w:bookmarkStart w:id="277" w:name="_Toc24159175"/>
      <w:bookmarkStart w:id="278" w:name="_Toc24159456"/>
      <w:bookmarkStart w:id="279" w:name="_Toc24201473"/>
      <w:bookmarkStart w:id="280" w:name="_Toc24226838"/>
      <w:bookmarkStart w:id="281" w:name="_Toc24276828"/>
      <w:bookmarkStart w:id="282" w:name="_Toc24277095"/>
      <w:bookmarkStart w:id="283" w:name="_Toc24310630"/>
      <w:bookmarkEnd w:id="276"/>
      <w:bookmarkEnd w:id="277"/>
      <w:bookmarkEnd w:id="278"/>
      <w:bookmarkEnd w:id="279"/>
      <w:bookmarkEnd w:id="280"/>
      <w:bookmarkEnd w:id="281"/>
      <w:bookmarkEnd w:id="282"/>
      <w:bookmarkEnd w:id="283"/>
    </w:p>
    <w:p w14:paraId="5DA2685B" w14:textId="77777777" w:rsidR="00D53A2B" w:rsidRPr="00D53A2B" w:rsidRDefault="00D53A2B" w:rsidP="00421594">
      <w:pPr>
        <w:jc w:val="both"/>
      </w:pPr>
    </w:p>
    <w:p w14:paraId="2CBE0FCB" w14:textId="2BF3B519" w:rsidR="0030725A" w:rsidRPr="00D53A2B" w:rsidRDefault="0030725A" w:rsidP="00602365">
      <w:pPr>
        <w:pStyle w:val="Balk3"/>
        <w:numPr>
          <w:ilvl w:val="2"/>
          <w:numId w:val="152"/>
        </w:numPr>
        <w:ind w:left="709"/>
        <w:rPr>
          <w:rFonts w:cs="Times New Roman"/>
        </w:rPr>
      </w:pPr>
      <w:r w:rsidRPr="00D53A2B">
        <w:rPr>
          <w:rFonts w:cs="Times New Roman"/>
        </w:rPr>
        <w:t>Yönetim teknikleri</w:t>
      </w:r>
    </w:p>
    <w:p w14:paraId="5CAD34D6" w14:textId="03A571B1" w:rsidR="00790361" w:rsidRPr="00D53A2B" w:rsidRDefault="0030725A" w:rsidP="00A202FD">
      <w:pPr>
        <w:jc w:val="both"/>
        <w:rPr>
          <w:b/>
          <w:bCs/>
        </w:rPr>
      </w:pPr>
      <w:r w:rsidRPr="00D53A2B">
        <w:rPr>
          <w:b/>
          <w:bCs/>
        </w:rPr>
        <w:t>Çevre yönetimi, temizlik ve bakım sistemleri</w:t>
      </w:r>
    </w:p>
    <w:p w14:paraId="266336F0" w14:textId="65C36D09" w:rsidR="0030725A" w:rsidRPr="00D53A2B" w:rsidRDefault="00591622" w:rsidP="00A202FD">
      <w:pPr>
        <w:jc w:val="both"/>
      </w:pPr>
      <w:r w:rsidRPr="00D53A2B">
        <w:t xml:space="preserve">Çevresel performansın sürekli iyileştirilmesiyle ilgili çok sayıda teknik vardır. Bunlar, optimum verimlilik için bir tesisin tasarlanması, inşa edilmesi, işletilmesi ve bakımı alanlarındaki iyi uygulamalarla yakından bağlantılıdır. Bu teknikler, genellikle gerçekçi olsa da çevresel emisyonları iyileştirmede önemli olmaya devam eden </w:t>
      </w:r>
      <w:r w:rsidR="00651500" w:rsidRPr="00D53A2B">
        <w:t>MET</w:t>
      </w:r>
      <w:r w:rsidR="00194D0B" w:rsidRPr="00D53A2B">
        <w:t xml:space="preserve"> </w:t>
      </w:r>
      <w:r w:rsidRPr="00D53A2B">
        <w:t>seçeneklerinin tanımlanması, benimsenmesi ve bunlara uyulmasının sağlanması için bir çerçeve sağlar. Gerçekten de, temizlik/bakım/yönetim teknikleri genellikle emisyonları önler.</w:t>
      </w:r>
    </w:p>
    <w:p w14:paraId="65824902" w14:textId="77777777" w:rsidR="0030725A" w:rsidRPr="00D53A2B" w:rsidRDefault="0030725A" w:rsidP="00A202FD">
      <w:pPr>
        <w:jc w:val="both"/>
      </w:pPr>
    </w:p>
    <w:p w14:paraId="4113396E" w14:textId="162691B6" w:rsidR="0030725A" w:rsidRPr="00D53A2B" w:rsidRDefault="00591622" w:rsidP="00A202FD">
      <w:pPr>
        <w:jc w:val="both"/>
      </w:pPr>
      <w:r w:rsidRPr="00D53A2B">
        <w:t xml:space="preserve">Bir dizi yönetim tekniği </w:t>
      </w:r>
      <w:r w:rsidR="00651500" w:rsidRPr="00D53A2B">
        <w:t>MET</w:t>
      </w:r>
      <w:r w:rsidRPr="00D53A2B">
        <w:t xml:space="preserve">olarak belirlenir. Sistemin kapsamı (örneğin ayrıntı düzeyi) ve doğası (örneğin </w:t>
      </w:r>
      <w:r w:rsidR="005F0E3A" w:rsidRPr="00D53A2B">
        <w:t>ÇYS</w:t>
      </w:r>
      <w:r w:rsidRPr="00D53A2B">
        <w:t xml:space="preserve"> için standartlaştırılmış veya standartlaştırılmamış olması) genellikle kurulumun doğası, ölçeği ve karmaşıklığı ve sahip olabileceği çevresel etki aralığı ile ilişkili olacaktır.</w:t>
      </w:r>
    </w:p>
    <w:p w14:paraId="1CE0CBB4" w14:textId="77777777" w:rsidR="0030725A" w:rsidRPr="00D53A2B" w:rsidRDefault="0030725A" w:rsidP="00A202FD">
      <w:pPr>
        <w:jc w:val="both"/>
      </w:pPr>
    </w:p>
    <w:p w14:paraId="74B8047B" w14:textId="0950B96D" w:rsidR="00591622" w:rsidRPr="00D53A2B" w:rsidRDefault="00591622" w:rsidP="00602365">
      <w:pPr>
        <w:pStyle w:val="Balk4"/>
        <w:numPr>
          <w:ilvl w:val="3"/>
          <w:numId w:val="152"/>
        </w:numPr>
        <w:ind w:left="851" w:hanging="862"/>
        <w:rPr>
          <w:rFonts w:cs="Times New Roman"/>
        </w:rPr>
      </w:pPr>
      <w:r w:rsidRPr="00D53A2B">
        <w:rPr>
          <w:rFonts w:cs="Times New Roman"/>
        </w:rPr>
        <w:t>Çevre yönetimi</w:t>
      </w:r>
    </w:p>
    <w:p w14:paraId="1AECD52F" w14:textId="7D11D639" w:rsidR="00591622" w:rsidRPr="00D53A2B" w:rsidRDefault="009F576A" w:rsidP="00A202FD">
      <w:pPr>
        <w:pStyle w:val="MET"/>
        <w:rPr>
          <w:szCs w:val="24"/>
        </w:rPr>
      </w:pPr>
      <w:r w:rsidRPr="00D53A2B">
        <w:rPr>
          <w:szCs w:val="24"/>
        </w:rPr>
        <w:t xml:space="preserve">MET 1: </w:t>
      </w:r>
      <w:r w:rsidRPr="00D53A2B">
        <w:rPr>
          <w:b w:val="0"/>
          <w:bCs/>
          <w:szCs w:val="24"/>
        </w:rPr>
        <w:t>uygun olduğu durumlarda, aşağıdaki özellikleri içeren bir Çevre Yönetim Sistemini (ÇYS) uygulamak ve buna uymakla yükümlüdür: (bkz. Bölüm 4.1.1):</w:t>
      </w:r>
    </w:p>
    <w:p w14:paraId="48BBCA20" w14:textId="7B2F396E" w:rsidR="00591622" w:rsidRPr="00D53A2B" w:rsidRDefault="009F576A" w:rsidP="00602365">
      <w:pPr>
        <w:pStyle w:val="ListeParagraf"/>
        <w:numPr>
          <w:ilvl w:val="0"/>
          <w:numId w:val="173"/>
        </w:numPr>
        <w:tabs>
          <w:tab w:val="clear" w:pos="567"/>
        </w:tabs>
        <w:spacing w:line="240" w:lineRule="auto"/>
        <w:ind w:left="426" w:hanging="426"/>
        <w:rPr>
          <w:sz w:val="24"/>
          <w:szCs w:val="24"/>
        </w:rPr>
      </w:pPr>
      <w:r w:rsidRPr="00D53A2B">
        <w:rPr>
          <w:sz w:val="24"/>
          <w:szCs w:val="24"/>
        </w:rPr>
        <w:t>Üst düzey yönetim tarafından tesis için bir çevre politikasının tanımlanması (üst düzey yönetimin taahhüdü, ÇYS</w:t>
      </w:r>
      <w:r w:rsidR="00E56504" w:rsidRPr="00D53A2B">
        <w:rPr>
          <w:sz w:val="24"/>
          <w:szCs w:val="24"/>
        </w:rPr>
        <w:t>’</w:t>
      </w:r>
      <w:r w:rsidRPr="00D53A2B">
        <w:rPr>
          <w:sz w:val="24"/>
          <w:szCs w:val="24"/>
        </w:rPr>
        <w:t>nin diğer özelliklerinin başarılı bir şekilde uygulanması için bir ön koşul olarak kabul edilir).</w:t>
      </w:r>
    </w:p>
    <w:p w14:paraId="1A35248E" w14:textId="4A277BAB" w:rsidR="009F576A" w:rsidRPr="00D53A2B" w:rsidRDefault="009F576A" w:rsidP="00602365">
      <w:pPr>
        <w:pStyle w:val="ListeParagraf"/>
        <w:numPr>
          <w:ilvl w:val="0"/>
          <w:numId w:val="173"/>
        </w:numPr>
        <w:tabs>
          <w:tab w:val="clear" w:pos="567"/>
        </w:tabs>
        <w:spacing w:line="240" w:lineRule="auto"/>
        <w:ind w:left="426" w:hanging="426"/>
        <w:rPr>
          <w:sz w:val="24"/>
          <w:szCs w:val="24"/>
        </w:rPr>
      </w:pPr>
      <w:r w:rsidRPr="00D53A2B">
        <w:rPr>
          <w:sz w:val="24"/>
          <w:szCs w:val="24"/>
        </w:rPr>
        <w:t>gerekli prosedürlerin planlanması ve oluşturulması</w:t>
      </w:r>
    </w:p>
    <w:p w14:paraId="501E8BFD" w14:textId="1CA86FC2" w:rsidR="009F576A" w:rsidRPr="00D53A2B" w:rsidRDefault="009F576A" w:rsidP="00602365">
      <w:pPr>
        <w:pStyle w:val="ListeParagraf"/>
        <w:numPr>
          <w:ilvl w:val="0"/>
          <w:numId w:val="173"/>
        </w:numPr>
        <w:tabs>
          <w:tab w:val="clear" w:pos="567"/>
        </w:tabs>
        <w:spacing w:line="240" w:lineRule="auto"/>
        <w:ind w:left="426" w:hanging="426"/>
        <w:rPr>
          <w:sz w:val="24"/>
          <w:szCs w:val="24"/>
        </w:rPr>
      </w:pPr>
      <w:r w:rsidRPr="00D53A2B">
        <w:rPr>
          <w:sz w:val="24"/>
          <w:szCs w:val="24"/>
        </w:rPr>
        <w:t>Prosedürlerin uygulanması, özellikle şunlara dikkat edilerek:</w:t>
      </w:r>
    </w:p>
    <w:p w14:paraId="072F1D61" w14:textId="373FE321" w:rsidR="009F576A" w:rsidRPr="00BF4451" w:rsidRDefault="009F576A" w:rsidP="009077F5">
      <w:pPr>
        <w:ind w:left="425"/>
      </w:pPr>
      <w:r w:rsidRPr="00BF4451">
        <w:t>yapı ve sorumluluk</w:t>
      </w:r>
    </w:p>
    <w:p w14:paraId="3586BC46" w14:textId="79077AD8" w:rsidR="009F576A" w:rsidRPr="00BF4451" w:rsidRDefault="009F576A" w:rsidP="009077F5">
      <w:pPr>
        <w:ind w:left="425"/>
      </w:pPr>
      <w:r w:rsidRPr="00BF4451">
        <w:t>eğitim, farkındalık ve yeterlilik</w:t>
      </w:r>
    </w:p>
    <w:p w14:paraId="0CF19F73" w14:textId="37274825" w:rsidR="009F576A" w:rsidRPr="00BF4451" w:rsidRDefault="009F576A" w:rsidP="009077F5">
      <w:pPr>
        <w:ind w:left="425"/>
      </w:pPr>
      <w:r w:rsidRPr="00BF4451">
        <w:t>iletişim</w:t>
      </w:r>
    </w:p>
    <w:p w14:paraId="2C7EC656" w14:textId="491EE14D" w:rsidR="009F576A" w:rsidRPr="00A26EE8" w:rsidRDefault="009F576A" w:rsidP="009077F5">
      <w:pPr>
        <w:ind w:left="425"/>
      </w:pPr>
      <w:r w:rsidRPr="00CB4CD4">
        <w:t>çalışan katılımı</w:t>
      </w:r>
    </w:p>
    <w:p w14:paraId="168B96A1" w14:textId="27C7A9B5" w:rsidR="009F576A" w:rsidRPr="00624FF6" w:rsidRDefault="009F576A" w:rsidP="009077F5">
      <w:pPr>
        <w:ind w:left="425"/>
      </w:pPr>
      <w:r w:rsidRPr="00A26EE8">
        <w:t>dokümantasyon</w:t>
      </w:r>
    </w:p>
    <w:p w14:paraId="041E599C" w14:textId="20D1AE48" w:rsidR="009F576A" w:rsidRPr="00096112" w:rsidRDefault="009F576A" w:rsidP="009077F5">
      <w:pPr>
        <w:ind w:left="425"/>
      </w:pPr>
      <w:r w:rsidRPr="00096112">
        <w:t>verimli süreç kontrolleri</w:t>
      </w:r>
    </w:p>
    <w:p w14:paraId="1B607537" w14:textId="57C28C70" w:rsidR="009F576A" w:rsidRPr="00096112" w:rsidRDefault="009F576A" w:rsidP="009077F5">
      <w:pPr>
        <w:ind w:left="425"/>
      </w:pPr>
      <w:r w:rsidRPr="00096112">
        <w:t>bakım programları</w:t>
      </w:r>
    </w:p>
    <w:p w14:paraId="5E7D73A7" w14:textId="5B400DDB" w:rsidR="009F576A" w:rsidRPr="00F72785" w:rsidRDefault="009F576A" w:rsidP="009077F5">
      <w:pPr>
        <w:ind w:left="425"/>
      </w:pPr>
      <w:r w:rsidRPr="00744F00">
        <w:t>acil durum hazırlığı ve müdahalesi</w:t>
      </w:r>
    </w:p>
    <w:p w14:paraId="05D283CF" w14:textId="7ED65174" w:rsidR="00591622" w:rsidRPr="00F63AE1" w:rsidRDefault="009F576A" w:rsidP="009077F5">
      <w:pPr>
        <w:ind w:left="425"/>
      </w:pPr>
      <w:r w:rsidRPr="00D31D18">
        <w:t>çevre</w:t>
      </w:r>
      <w:r w:rsidRPr="00F63AE1">
        <w:t xml:space="preserve"> mevzuatına uyumu koruma</w:t>
      </w:r>
    </w:p>
    <w:p w14:paraId="041B9ED9" w14:textId="678A320A" w:rsidR="00591622" w:rsidRPr="00D53A2B" w:rsidRDefault="009F576A" w:rsidP="00602365">
      <w:pPr>
        <w:pStyle w:val="ListeParagraf"/>
        <w:numPr>
          <w:ilvl w:val="0"/>
          <w:numId w:val="173"/>
        </w:numPr>
        <w:tabs>
          <w:tab w:val="clear" w:pos="567"/>
        </w:tabs>
        <w:spacing w:line="240" w:lineRule="auto"/>
        <w:ind w:left="426" w:hanging="426"/>
        <w:rPr>
          <w:sz w:val="24"/>
          <w:szCs w:val="24"/>
        </w:rPr>
      </w:pPr>
      <w:r w:rsidRPr="00D53A2B">
        <w:rPr>
          <w:sz w:val="24"/>
          <w:szCs w:val="24"/>
        </w:rPr>
        <w:t>performansı kontrol etmek ve düzeltici eylemde bulunmak, özellikle şunlara dikkat etmek:</w:t>
      </w:r>
    </w:p>
    <w:p w14:paraId="1AB7669E" w14:textId="77777777" w:rsidR="009F576A" w:rsidRPr="00BF4451" w:rsidRDefault="009F576A" w:rsidP="009077F5">
      <w:pPr>
        <w:ind w:left="425"/>
      </w:pPr>
      <w:r w:rsidRPr="00BF4451">
        <w:t>izleme ve ölçüm (ayrıca Emisyonların İzlenmesine İlişkin Referans belgesine bakınız)</w:t>
      </w:r>
    </w:p>
    <w:p w14:paraId="08E88E6C" w14:textId="77777777" w:rsidR="009F576A" w:rsidRPr="00BF4451" w:rsidRDefault="009F576A" w:rsidP="009077F5">
      <w:pPr>
        <w:ind w:left="425"/>
      </w:pPr>
      <w:r w:rsidRPr="00BF4451">
        <w:t>düzeltici ve önleyici eylem</w:t>
      </w:r>
    </w:p>
    <w:p w14:paraId="5CAC8299" w14:textId="77777777" w:rsidR="009F576A" w:rsidRPr="00BF4451" w:rsidRDefault="009F576A" w:rsidP="009077F5">
      <w:pPr>
        <w:ind w:left="425"/>
      </w:pPr>
      <w:r w:rsidRPr="00BF4451">
        <w:t>kayıtların tutulması</w:t>
      </w:r>
    </w:p>
    <w:p w14:paraId="1D3521EC" w14:textId="127F744C" w:rsidR="009F576A" w:rsidRPr="00A26EE8" w:rsidRDefault="009F576A" w:rsidP="009077F5">
      <w:pPr>
        <w:ind w:left="425"/>
      </w:pPr>
      <w:r w:rsidRPr="00CB4CD4">
        <w:t>çevre yön</w:t>
      </w:r>
      <w:r w:rsidRPr="00A26EE8">
        <w:t>etim sisteminin planlanan düzenlemelere uyup uymadığını ve düzgün bir şekilde uygulanıp uygulanmadığını ve sürdürülüp sürdürülmediğini belirlemek için bağımsız (uygulanabilir olduğu durumlarda) iç denetim</w:t>
      </w:r>
    </w:p>
    <w:p w14:paraId="327573FD" w14:textId="36E030CB" w:rsidR="00591622" w:rsidRPr="00D53A2B" w:rsidRDefault="009F576A" w:rsidP="00602365">
      <w:pPr>
        <w:pStyle w:val="ListeParagraf"/>
        <w:numPr>
          <w:ilvl w:val="0"/>
          <w:numId w:val="173"/>
        </w:numPr>
        <w:tabs>
          <w:tab w:val="clear" w:pos="567"/>
        </w:tabs>
        <w:spacing w:line="240" w:lineRule="auto"/>
        <w:ind w:left="426" w:hanging="426"/>
        <w:rPr>
          <w:sz w:val="24"/>
          <w:szCs w:val="24"/>
        </w:rPr>
      </w:pPr>
      <w:r w:rsidRPr="00D53A2B">
        <w:rPr>
          <w:sz w:val="24"/>
          <w:szCs w:val="24"/>
        </w:rPr>
        <w:t>Üst düzey yönetim tarafından gözden geçirilmesi.</w:t>
      </w:r>
    </w:p>
    <w:p w14:paraId="7BD0E169" w14:textId="77777777" w:rsidR="00790361" w:rsidRPr="00D53A2B" w:rsidRDefault="00790361" w:rsidP="00A202FD">
      <w:pPr>
        <w:jc w:val="both"/>
      </w:pPr>
    </w:p>
    <w:p w14:paraId="339E59CC" w14:textId="153AE3A4" w:rsidR="009F576A" w:rsidRPr="00D53A2B" w:rsidRDefault="009F576A" w:rsidP="00A202FD">
      <w:pPr>
        <w:jc w:val="both"/>
      </w:pPr>
      <w:r w:rsidRPr="00D53A2B">
        <w:t xml:space="preserve">Yukarıdaki adımları tamamlayabilen üç ek özellik destekleyici önlemler olarak kabul edilir. Ancak, bunların yokluğu genellikle </w:t>
      </w:r>
      <w:r w:rsidR="00651500" w:rsidRPr="00D53A2B">
        <w:t>MET</w:t>
      </w:r>
      <w:r w:rsidR="00194D0B" w:rsidRPr="00D53A2B">
        <w:t xml:space="preserve"> </w:t>
      </w:r>
      <w:r w:rsidRPr="00D53A2B">
        <w:t>ile tutarsız değildir. Bu üç ek adım şunlardır:</w:t>
      </w:r>
    </w:p>
    <w:p w14:paraId="4004D16B" w14:textId="77777777" w:rsidR="009F576A" w:rsidRPr="00D53A2B" w:rsidRDefault="009F576A" w:rsidP="00A202FD">
      <w:pPr>
        <w:jc w:val="both"/>
      </w:pPr>
    </w:p>
    <w:p w14:paraId="4019C60F" w14:textId="68DAB340" w:rsidR="009F576A" w:rsidRPr="00D53A2B" w:rsidRDefault="009F576A" w:rsidP="00602365">
      <w:pPr>
        <w:pStyle w:val="ListeParagraf"/>
        <w:numPr>
          <w:ilvl w:val="0"/>
          <w:numId w:val="173"/>
        </w:numPr>
        <w:tabs>
          <w:tab w:val="clear" w:pos="567"/>
        </w:tabs>
        <w:spacing w:line="240" w:lineRule="auto"/>
        <w:ind w:left="426" w:hanging="426"/>
        <w:rPr>
          <w:sz w:val="24"/>
          <w:szCs w:val="24"/>
        </w:rPr>
      </w:pPr>
      <w:r w:rsidRPr="00D53A2B">
        <w:rPr>
          <w:sz w:val="24"/>
          <w:szCs w:val="24"/>
        </w:rPr>
        <w:t xml:space="preserve">yönetim sistemi ve denetim prosedürünün akredite edilmiş bir belgelendirme kuruluşu veya harici bir </w:t>
      </w:r>
      <w:r w:rsidR="005F0E3A" w:rsidRPr="00D53A2B">
        <w:rPr>
          <w:sz w:val="24"/>
          <w:szCs w:val="24"/>
        </w:rPr>
        <w:t>ÇYS</w:t>
      </w:r>
      <w:r w:rsidRPr="00D53A2B">
        <w:rPr>
          <w:sz w:val="24"/>
          <w:szCs w:val="24"/>
        </w:rPr>
        <w:t xml:space="preserve"> denetmeni tarafından incelenip onaylanması</w:t>
      </w:r>
    </w:p>
    <w:p w14:paraId="0E170C05" w14:textId="77777777" w:rsidR="009F576A" w:rsidRPr="00D53A2B" w:rsidRDefault="009F576A" w:rsidP="00602365">
      <w:pPr>
        <w:pStyle w:val="ListeParagraf"/>
        <w:numPr>
          <w:ilvl w:val="0"/>
          <w:numId w:val="173"/>
        </w:numPr>
        <w:tabs>
          <w:tab w:val="clear" w:pos="567"/>
        </w:tabs>
        <w:spacing w:line="240" w:lineRule="auto"/>
        <w:ind w:left="426" w:hanging="426"/>
        <w:rPr>
          <w:sz w:val="24"/>
          <w:szCs w:val="24"/>
        </w:rPr>
      </w:pPr>
      <w:r w:rsidRPr="00D53A2B">
        <w:rPr>
          <w:sz w:val="24"/>
          <w:szCs w:val="24"/>
        </w:rPr>
        <w:t>çevre amaçları ve hedefleri ile sektörel ölçütlere göre yıldan yıla karşılaştırmaya olanak tanımak için tesisin tüm önemli çevresel yönlerini tanımlayan düzenli bir çevre bildiriminin hazırlanması ve yayınlanması (muhtemelen harici hakeme göndererek),</w:t>
      </w:r>
    </w:p>
    <w:p w14:paraId="07DD8646" w14:textId="1467FF90" w:rsidR="009F576A" w:rsidRPr="00D53A2B" w:rsidRDefault="009F576A" w:rsidP="00602365">
      <w:pPr>
        <w:pStyle w:val="ListeParagraf"/>
        <w:numPr>
          <w:ilvl w:val="0"/>
          <w:numId w:val="173"/>
        </w:numPr>
        <w:tabs>
          <w:tab w:val="clear" w:pos="567"/>
        </w:tabs>
        <w:spacing w:line="240" w:lineRule="auto"/>
        <w:ind w:left="426" w:hanging="426"/>
        <w:rPr>
          <w:sz w:val="24"/>
          <w:szCs w:val="24"/>
        </w:rPr>
      </w:pPr>
      <w:r w:rsidRPr="00D53A2B">
        <w:rPr>
          <w:sz w:val="24"/>
          <w:szCs w:val="24"/>
        </w:rPr>
        <w:t xml:space="preserve">EMAS ve </w:t>
      </w:r>
      <w:r w:rsidR="001E4011" w:rsidRPr="00D53A2B">
        <w:rPr>
          <w:sz w:val="24"/>
          <w:szCs w:val="24"/>
        </w:rPr>
        <w:t xml:space="preserve">TS </w:t>
      </w:r>
      <w:r w:rsidRPr="00D53A2B">
        <w:rPr>
          <w:sz w:val="24"/>
          <w:szCs w:val="24"/>
        </w:rPr>
        <w:t xml:space="preserve">EN ISO 14001:1996 gibi uluslararası kabul görmüş bir gönüllü sistemine bağlılık ve uygulanması. Bu gönüllü adım, </w:t>
      </w:r>
      <w:r w:rsidR="005F0E3A" w:rsidRPr="00D53A2B">
        <w:rPr>
          <w:sz w:val="24"/>
          <w:szCs w:val="24"/>
        </w:rPr>
        <w:t>ÇYS</w:t>
      </w:r>
      <w:r w:rsidR="00E56504" w:rsidRPr="00D53A2B">
        <w:rPr>
          <w:sz w:val="24"/>
          <w:szCs w:val="24"/>
        </w:rPr>
        <w:t>’</w:t>
      </w:r>
      <w:r w:rsidRPr="00D53A2B">
        <w:rPr>
          <w:sz w:val="24"/>
          <w:szCs w:val="24"/>
        </w:rPr>
        <w:t>ye daha yüksek güvenirlilik verebilir. Özellikle yukarıda belirtilen tüm özellikleri kapsayan EMAS, daha yüksek güvenilirlik sağlar. Bununla birlikte, standartlaştırılmamış sistemler, prensipte, düzgün bir şekilde tasarlanıp uygulandıkları sürece eşit derecede etkili olabilirler.</w:t>
      </w:r>
    </w:p>
    <w:p w14:paraId="7E3ED6AF" w14:textId="77777777" w:rsidR="009F576A" w:rsidRPr="00D53A2B" w:rsidRDefault="009F576A" w:rsidP="00A202FD">
      <w:pPr>
        <w:jc w:val="both"/>
      </w:pPr>
    </w:p>
    <w:p w14:paraId="7776A792" w14:textId="0216905A" w:rsidR="009F576A" w:rsidRPr="00D53A2B" w:rsidRDefault="009F576A" w:rsidP="00A202FD">
      <w:pPr>
        <w:jc w:val="both"/>
      </w:pPr>
      <w:r w:rsidRPr="00D53A2B">
        <w:t xml:space="preserve">Özellikle bu endüstri sektörü için, </w:t>
      </w:r>
      <w:r w:rsidR="005F0E3A" w:rsidRPr="00D53A2B">
        <w:t>ÇYS</w:t>
      </w:r>
      <w:r w:rsidR="00E56504" w:rsidRPr="00D53A2B">
        <w:t>’</w:t>
      </w:r>
      <w:r w:rsidRPr="00D53A2B">
        <w:t>nin aşağıdaki potansiyel özelliklerinin de dikkate alınması önemlidir:</w:t>
      </w:r>
    </w:p>
    <w:p w14:paraId="241A46FF" w14:textId="73625B24" w:rsidR="009F576A" w:rsidRPr="00D53A2B" w:rsidRDefault="0061761F" w:rsidP="00602365">
      <w:pPr>
        <w:pStyle w:val="ListeParagraf"/>
        <w:numPr>
          <w:ilvl w:val="0"/>
          <w:numId w:val="176"/>
        </w:numPr>
        <w:tabs>
          <w:tab w:val="clear" w:pos="567"/>
        </w:tabs>
        <w:spacing w:line="240" w:lineRule="auto"/>
        <w:rPr>
          <w:sz w:val="24"/>
          <w:szCs w:val="24"/>
        </w:rPr>
      </w:pPr>
      <w:r w:rsidRPr="00D53A2B">
        <w:rPr>
          <w:sz w:val="24"/>
          <w:szCs w:val="24"/>
        </w:rPr>
        <w:t>Yeni bir tesis tasarlama aşamasında ünitenin işletilmesi ve nihai olarak devre dışı bırakılmasından kaynaklanan çevresel etki</w:t>
      </w:r>
    </w:p>
    <w:p w14:paraId="42612B9E" w14:textId="57EB2AF6" w:rsidR="0061761F" w:rsidRPr="00D53A2B" w:rsidRDefault="0061761F" w:rsidP="00602365">
      <w:pPr>
        <w:pStyle w:val="ListeParagraf"/>
        <w:numPr>
          <w:ilvl w:val="0"/>
          <w:numId w:val="176"/>
        </w:numPr>
        <w:tabs>
          <w:tab w:val="clear" w:pos="567"/>
        </w:tabs>
        <w:spacing w:line="240" w:lineRule="auto"/>
        <w:rPr>
          <w:sz w:val="24"/>
          <w:szCs w:val="24"/>
        </w:rPr>
      </w:pPr>
      <w:r w:rsidRPr="00D53A2B">
        <w:rPr>
          <w:sz w:val="24"/>
          <w:szCs w:val="24"/>
        </w:rPr>
        <w:t>daha temiz teknolojilerin geliştirilmesi ve kullanımı</w:t>
      </w:r>
    </w:p>
    <w:p w14:paraId="597871FA" w14:textId="04705C96" w:rsidR="0061761F" w:rsidRPr="00D53A2B" w:rsidRDefault="0061761F" w:rsidP="00602365">
      <w:pPr>
        <w:pStyle w:val="ListeParagraf"/>
        <w:numPr>
          <w:ilvl w:val="0"/>
          <w:numId w:val="176"/>
        </w:numPr>
        <w:tabs>
          <w:tab w:val="clear" w:pos="567"/>
        </w:tabs>
        <w:spacing w:line="240" w:lineRule="auto"/>
        <w:rPr>
          <w:sz w:val="24"/>
          <w:szCs w:val="24"/>
        </w:rPr>
      </w:pPr>
      <w:r w:rsidRPr="00D53A2B">
        <w:rPr>
          <w:sz w:val="24"/>
          <w:szCs w:val="24"/>
        </w:rPr>
        <w:t>Mümkün olduğu takdirde, enerji verimliliği ve enerji tasarrufu, su verimliliği ve su tasarrufu, hammadde kullanımı ve girdi malzemelerinin seçimi, havaya emisyonlar, suya deşarjlar ve atık üretimi dahil olmak üzere sektör kıyaslamalarının düzenli olarak uygulanması.</w:t>
      </w:r>
    </w:p>
    <w:p w14:paraId="07A313C8" w14:textId="77777777" w:rsidR="009F576A" w:rsidRPr="00D53A2B" w:rsidRDefault="009F576A" w:rsidP="00A202FD">
      <w:pPr>
        <w:jc w:val="both"/>
      </w:pPr>
    </w:p>
    <w:p w14:paraId="6613C6FF" w14:textId="1626468B" w:rsidR="0061761F" w:rsidRPr="00D53A2B" w:rsidRDefault="0061761F" w:rsidP="00602365">
      <w:pPr>
        <w:pStyle w:val="Balk4"/>
        <w:numPr>
          <w:ilvl w:val="3"/>
          <w:numId w:val="152"/>
        </w:numPr>
        <w:ind w:left="851" w:hanging="862"/>
        <w:rPr>
          <w:rFonts w:cs="Times New Roman"/>
        </w:rPr>
      </w:pPr>
      <w:r w:rsidRPr="00D53A2B">
        <w:rPr>
          <w:rFonts w:cs="Times New Roman"/>
        </w:rPr>
        <w:t>Temizlik ve bakım</w:t>
      </w:r>
    </w:p>
    <w:p w14:paraId="2F0DC4D4" w14:textId="5F79FEFB" w:rsidR="0061761F" w:rsidRPr="00D53A2B" w:rsidRDefault="0061761F" w:rsidP="00A202FD">
      <w:pPr>
        <w:pStyle w:val="MET"/>
        <w:rPr>
          <w:szCs w:val="24"/>
        </w:rPr>
      </w:pPr>
      <w:r w:rsidRPr="00D53A2B">
        <w:rPr>
          <w:szCs w:val="24"/>
        </w:rPr>
        <w:t xml:space="preserve">MET 2: </w:t>
      </w:r>
      <w:r w:rsidRPr="00D53A2B">
        <w:rPr>
          <w:b w:val="0"/>
          <w:bCs/>
          <w:szCs w:val="24"/>
        </w:rPr>
        <w:t>Çalışanların belirli çevresel riskleri en aza indirmek için almaları gereken eğitim ve önleyici eylemleri içeren bir temizlik ve bakım programı uygulanır. (Bkz. Bölüm 4.1.1(c) ve 4.1.1.1.)</w:t>
      </w:r>
    </w:p>
    <w:p w14:paraId="71F8061D" w14:textId="77777777" w:rsidR="0061761F" w:rsidRPr="00D53A2B" w:rsidRDefault="0061761F" w:rsidP="00A202FD">
      <w:pPr>
        <w:jc w:val="both"/>
      </w:pPr>
    </w:p>
    <w:p w14:paraId="05372476" w14:textId="23C360BE" w:rsidR="0061761F" w:rsidRPr="00D53A2B" w:rsidRDefault="0061761F" w:rsidP="00602365">
      <w:pPr>
        <w:pStyle w:val="Balk4"/>
        <w:numPr>
          <w:ilvl w:val="3"/>
          <w:numId w:val="152"/>
        </w:numPr>
        <w:ind w:left="851" w:hanging="862"/>
        <w:rPr>
          <w:rFonts w:cs="Times New Roman"/>
        </w:rPr>
      </w:pPr>
      <w:r w:rsidRPr="00D53A2B">
        <w:rPr>
          <w:rFonts w:cs="Times New Roman"/>
        </w:rPr>
        <w:t>Yeniden çalışmanın etkilerini en aza indirmek</w:t>
      </w:r>
    </w:p>
    <w:p w14:paraId="1626AD08" w14:textId="6077DB9F" w:rsidR="0061761F" w:rsidRPr="00D53A2B" w:rsidRDefault="0061761F" w:rsidP="00A202FD">
      <w:pPr>
        <w:pStyle w:val="MET"/>
        <w:rPr>
          <w:szCs w:val="24"/>
        </w:rPr>
      </w:pPr>
      <w:r w:rsidRPr="00D53A2B">
        <w:rPr>
          <w:szCs w:val="24"/>
        </w:rPr>
        <w:t xml:space="preserve">MET 3: </w:t>
      </w:r>
      <w:r w:rsidRPr="00D53A2B">
        <w:rPr>
          <w:b w:val="0"/>
          <w:bCs/>
          <w:szCs w:val="24"/>
        </w:rPr>
        <w:t>Müşteri ve operatör tarafından proses spesifikasyonlarının ve kalite kontrolünün düzenli olarak yeniden değerlendirilmesini gerektiren yönetim sistemleri tarafından yeniden çalışmanın çevresel etkileri en aza indirgenir (bkz. Bölüm 4.1.2). Şu şekilde yapılabilir:</w:t>
      </w:r>
    </w:p>
    <w:p w14:paraId="07BE5D9C" w14:textId="453824F0" w:rsidR="0061761F" w:rsidRPr="00D53A2B" w:rsidRDefault="0061761F" w:rsidP="00602365">
      <w:pPr>
        <w:pStyle w:val="ListeParagraf"/>
        <w:numPr>
          <w:ilvl w:val="0"/>
          <w:numId w:val="177"/>
        </w:numPr>
        <w:tabs>
          <w:tab w:val="clear" w:pos="567"/>
        </w:tabs>
        <w:spacing w:line="240" w:lineRule="auto"/>
        <w:ind w:left="426" w:hanging="426"/>
        <w:rPr>
          <w:sz w:val="24"/>
          <w:szCs w:val="24"/>
        </w:rPr>
      </w:pPr>
      <w:r w:rsidRPr="00D53A2B">
        <w:rPr>
          <w:sz w:val="24"/>
          <w:szCs w:val="24"/>
        </w:rPr>
        <w:t>özelliklerin sağlanması:</w:t>
      </w:r>
    </w:p>
    <w:p w14:paraId="505DF798" w14:textId="77777777" w:rsidR="0061761F" w:rsidRPr="00BF4451" w:rsidRDefault="0061761F" w:rsidP="009077F5">
      <w:pPr>
        <w:ind w:left="491"/>
      </w:pPr>
      <w:r w:rsidRPr="00BF4451">
        <w:t>doğru ve güncel</w:t>
      </w:r>
    </w:p>
    <w:p w14:paraId="3FF0522B" w14:textId="77777777" w:rsidR="0061761F" w:rsidRPr="00BF4451" w:rsidRDefault="0061761F" w:rsidP="009077F5">
      <w:pPr>
        <w:ind w:left="491"/>
      </w:pPr>
      <w:r w:rsidRPr="00BF4451">
        <w:t>mevzuatla uyumlu</w:t>
      </w:r>
    </w:p>
    <w:p w14:paraId="018D0E32" w14:textId="77777777" w:rsidR="0061761F" w:rsidRPr="00BF4451" w:rsidRDefault="0061761F" w:rsidP="009077F5">
      <w:pPr>
        <w:ind w:left="491"/>
      </w:pPr>
      <w:r w:rsidRPr="00BF4451">
        <w:t>uygulanabilir</w:t>
      </w:r>
    </w:p>
    <w:p w14:paraId="1B664E16" w14:textId="77777777" w:rsidR="0061761F" w:rsidRPr="00A26EE8" w:rsidRDefault="0061761F" w:rsidP="009077F5">
      <w:pPr>
        <w:ind w:left="491"/>
      </w:pPr>
      <w:r w:rsidRPr="00CB4CD4">
        <w:t>elde edilebilir</w:t>
      </w:r>
    </w:p>
    <w:p w14:paraId="60DA21D6" w14:textId="3ECE6521" w:rsidR="0061761F" w:rsidRPr="00624FF6" w:rsidRDefault="0061761F" w:rsidP="009077F5">
      <w:pPr>
        <w:ind w:left="491"/>
      </w:pPr>
      <w:r w:rsidRPr="00A26EE8">
        <w:t>müşterinin performans gereksinimlerini karşılamak için uygun şekilde ölçülebilir</w:t>
      </w:r>
    </w:p>
    <w:p w14:paraId="20ACEF6E" w14:textId="5013A6D9" w:rsidR="0061761F" w:rsidRPr="00D53A2B" w:rsidRDefault="00837C46" w:rsidP="00602365">
      <w:pPr>
        <w:pStyle w:val="ListeParagraf"/>
        <w:numPr>
          <w:ilvl w:val="0"/>
          <w:numId w:val="177"/>
        </w:numPr>
        <w:tabs>
          <w:tab w:val="clear" w:pos="567"/>
        </w:tabs>
        <w:spacing w:line="240" w:lineRule="auto"/>
        <w:ind w:left="426" w:hanging="426"/>
        <w:rPr>
          <w:sz w:val="24"/>
          <w:szCs w:val="24"/>
        </w:rPr>
      </w:pPr>
      <w:r w:rsidRPr="00D53A2B">
        <w:rPr>
          <w:sz w:val="24"/>
          <w:szCs w:val="24"/>
        </w:rPr>
        <w:t>Müşteri ve operatörün, uygulama öncesinde birbirlerinin süreçlerinde ve sistemlerinde önerilen değişiklikleri tartışması</w:t>
      </w:r>
    </w:p>
    <w:p w14:paraId="6FDF07AF" w14:textId="58353224" w:rsidR="00837C46" w:rsidRPr="00D53A2B" w:rsidRDefault="00837C46" w:rsidP="00602365">
      <w:pPr>
        <w:pStyle w:val="ListeParagraf"/>
        <w:numPr>
          <w:ilvl w:val="0"/>
          <w:numId w:val="177"/>
        </w:numPr>
        <w:tabs>
          <w:tab w:val="clear" w:pos="567"/>
        </w:tabs>
        <w:spacing w:line="240" w:lineRule="auto"/>
        <w:ind w:left="426" w:hanging="426"/>
        <w:rPr>
          <w:sz w:val="24"/>
          <w:szCs w:val="24"/>
        </w:rPr>
      </w:pPr>
      <w:r w:rsidRPr="00D53A2B">
        <w:rPr>
          <w:sz w:val="24"/>
          <w:szCs w:val="24"/>
        </w:rPr>
        <w:t>operatörlere sistemin kullanımı konusunda eğitim verilmesi</w:t>
      </w:r>
    </w:p>
    <w:p w14:paraId="7EC0ADDD" w14:textId="2D4937CB" w:rsidR="00837C46" w:rsidRPr="00D53A2B" w:rsidRDefault="00837C46" w:rsidP="00602365">
      <w:pPr>
        <w:pStyle w:val="ListeParagraf"/>
        <w:numPr>
          <w:ilvl w:val="0"/>
          <w:numId w:val="177"/>
        </w:numPr>
        <w:tabs>
          <w:tab w:val="clear" w:pos="567"/>
        </w:tabs>
        <w:spacing w:line="240" w:lineRule="auto"/>
        <w:ind w:left="426" w:hanging="426"/>
        <w:rPr>
          <w:sz w:val="24"/>
          <w:szCs w:val="24"/>
        </w:rPr>
      </w:pPr>
      <w:r w:rsidRPr="00D53A2B">
        <w:rPr>
          <w:sz w:val="24"/>
          <w:szCs w:val="24"/>
        </w:rPr>
        <w:t>Müşterilerin, sürecin sınırlamaları ve elde edilen yüzey işleminin nitelikleri konusunda bilgi sahibi olmasını sağlamak.</w:t>
      </w:r>
    </w:p>
    <w:p w14:paraId="07FBAB93" w14:textId="77777777" w:rsidR="0061761F" w:rsidRPr="00D53A2B" w:rsidRDefault="0061761F" w:rsidP="00A202FD">
      <w:pPr>
        <w:jc w:val="both"/>
      </w:pPr>
    </w:p>
    <w:p w14:paraId="3B9B1B0A" w14:textId="4BF1566F" w:rsidR="00DC0F68" w:rsidRPr="00D53A2B" w:rsidRDefault="00DC0F68" w:rsidP="00602365">
      <w:pPr>
        <w:pStyle w:val="Balk4"/>
        <w:numPr>
          <w:ilvl w:val="3"/>
          <w:numId w:val="152"/>
        </w:numPr>
        <w:ind w:left="851" w:hanging="862"/>
        <w:rPr>
          <w:rFonts w:cs="Times New Roman"/>
        </w:rPr>
      </w:pPr>
      <w:r w:rsidRPr="00D53A2B">
        <w:rPr>
          <w:rFonts w:cs="Times New Roman"/>
        </w:rPr>
        <w:t>Kurulumun karşılaştırılması</w:t>
      </w:r>
    </w:p>
    <w:p w14:paraId="67A14F3A" w14:textId="77999760" w:rsidR="00DC0F68" w:rsidRPr="00D53A2B" w:rsidRDefault="00DC0F68" w:rsidP="00A202FD">
      <w:pPr>
        <w:pStyle w:val="MET"/>
        <w:rPr>
          <w:szCs w:val="24"/>
        </w:rPr>
      </w:pPr>
      <w:r w:rsidRPr="00D53A2B">
        <w:rPr>
          <w:szCs w:val="24"/>
        </w:rPr>
        <w:t xml:space="preserve">MET 4: </w:t>
      </w:r>
      <w:r w:rsidRPr="00D53A2B">
        <w:rPr>
          <w:b w:val="0"/>
          <w:bCs/>
          <w:szCs w:val="24"/>
        </w:rPr>
        <w:t>Tesisin performansının sürekli olarak izlenmesini ve yanında harici kriterlere göre de karşılaştırılmasını sağlayan karşılaştırma kriteri (veya referans değerleri) oluşturulur (bkz. Bölüm 4.1.3). Verilerin mevcut olduğu bu bölümde bireysel aktiviteler için kıyaslama ölçütleri için temel alanlar şunlardır:</w:t>
      </w:r>
    </w:p>
    <w:p w14:paraId="785FCF96" w14:textId="77777777" w:rsidR="00DC0F68" w:rsidRPr="00D53A2B" w:rsidRDefault="00DC0F68" w:rsidP="00A202FD">
      <w:pPr>
        <w:pStyle w:val="MET"/>
        <w:rPr>
          <w:szCs w:val="24"/>
        </w:rPr>
      </w:pPr>
    </w:p>
    <w:p w14:paraId="523E59A2" w14:textId="77777777" w:rsidR="00DC0F68" w:rsidRPr="00D53A2B" w:rsidRDefault="00DC0F68" w:rsidP="00602365">
      <w:pPr>
        <w:pStyle w:val="MET"/>
        <w:numPr>
          <w:ilvl w:val="0"/>
          <w:numId w:val="179"/>
        </w:numPr>
        <w:ind w:left="426" w:hanging="426"/>
        <w:rPr>
          <w:b w:val="0"/>
          <w:bCs/>
          <w:szCs w:val="24"/>
        </w:rPr>
      </w:pPr>
      <w:r w:rsidRPr="00D53A2B">
        <w:rPr>
          <w:b w:val="0"/>
          <w:bCs/>
          <w:szCs w:val="24"/>
        </w:rPr>
        <w:t>enerji kullanımı</w:t>
      </w:r>
    </w:p>
    <w:p w14:paraId="2074C558" w14:textId="77777777" w:rsidR="00DC0F68" w:rsidRPr="00D53A2B" w:rsidRDefault="00DC0F68" w:rsidP="00602365">
      <w:pPr>
        <w:pStyle w:val="MET"/>
        <w:numPr>
          <w:ilvl w:val="0"/>
          <w:numId w:val="179"/>
        </w:numPr>
        <w:ind w:left="426" w:hanging="426"/>
        <w:rPr>
          <w:b w:val="0"/>
          <w:bCs/>
          <w:szCs w:val="24"/>
        </w:rPr>
      </w:pPr>
      <w:r w:rsidRPr="00D53A2B">
        <w:rPr>
          <w:b w:val="0"/>
          <w:bCs/>
          <w:szCs w:val="24"/>
        </w:rPr>
        <w:t>su kullanımı</w:t>
      </w:r>
    </w:p>
    <w:p w14:paraId="68B2542C" w14:textId="2DE40A88" w:rsidR="00DC0F68" w:rsidRPr="00D53A2B" w:rsidRDefault="00DC0F68" w:rsidP="00602365">
      <w:pPr>
        <w:pStyle w:val="MET"/>
        <w:numPr>
          <w:ilvl w:val="0"/>
          <w:numId w:val="179"/>
        </w:numPr>
        <w:ind w:left="426" w:hanging="426"/>
        <w:rPr>
          <w:b w:val="0"/>
          <w:bCs/>
          <w:szCs w:val="24"/>
        </w:rPr>
      </w:pPr>
      <w:r w:rsidRPr="00D53A2B">
        <w:rPr>
          <w:b w:val="0"/>
          <w:bCs/>
          <w:szCs w:val="24"/>
        </w:rPr>
        <w:t>hammadde kullanımı</w:t>
      </w:r>
    </w:p>
    <w:p w14:paraId="0AB8227A" w14:textId="77777777" w:rsidR="00DC0F68" w:rsidRPr="00D53A2B" w:rsidRDefault="00DC0F68" w:rsidP="00A202FD">
      <w:pPr>
        <w:jc w:val="both"/>
      </w:pPr>
    </w:p>
    <w:p w14:paraId="632218B0" w14:textId="6B778865" w:rsidR="00DC0F68" w:rsidRPr="00D53A2B" w:rsidRDefault="00DC0F68" w:rsidP="00A202FD">
      <w:pPr>
        <w:jc w:val="both"/>
      </w:pPr>
      <w:r w:rsidRPr="00D53A2B">
        <w:t>Tüm kamu hizmeti girdilerinin kullanımını türlerine göre kaydedin ve izleyin: elektrik, gaz, LPG ve diğer yakıtlar ve su, kaynak ve birim başına maliyetten bağımsız olarak, Bölüm 4.1.1(j) ve 4.1.3</w:t>
      </w:r>
      <w:r w:rsidR="00E56504" w:rsidRPr="00D53A2B">
        <w:t>’</w:t>
      </w:r>
      <w:r w:rsidRPr="00D53A2B">
        <w:t>e bakın</w:t>
      </w:r>
      <w:r w:rsidR="0080406C" w:rsidRPr="00D53A2B">
        <w:t>ız</w:t>
      </w:r>
      <w:r w:rsidRPr="00D53A2B">
        <w:t>. Kayıtların ayrıntısı ve süresi, saatlik, vardiyalı, haftalık, metrekare verimine veya diğer ölçümlere göre vb., sürecin büyüklüğüne ve ölçümün göreceli önemine göre olacaktır.</w:t>
      </w:r>
    </w:p>
    <w:p w14:paraId="726E0903" w14:textId="77777777" w:rsidR="0061761F" w:rsidRPr="00D53A2B" w:rsidRDefault="0061761F" w:rsidP="00A202FD">
      <w:pPr>
        <w:jc w:val="both"/>
      </w:pPr>
    </w:p>
    <w:p w14:paraId="53853524" w14:textId="37B88A24" w:rsidR="0061761F" w:rsidRPr="00D53A2B" w:rsidRDefault="0080406C" w:rsidP="00A202FD">
      <w:pPr>
        <w:jc w:val="both"/>
      </w:pPr>
      <w:r w:rsidRPr="00D53A2B">
        <w:t>Girdilerin (hammaddeler ve yardımcı programlar) kullanımını kıyaslamalara göre sürekli olarak optimize etmek MET</w:t>
      </w:r>
      <w:r w:rsidR="00E56504" w:rsidRPr="00D53A2B">
        <w:t>’</w:t>
      </w:r>
      <w:r w:rsidRPr="00D53A2B">
        <w:t>tir. Verileri işleyen bir sistem şunları içerecektir:</w:t>
      </w:r>
    </w:p>
    <w:p w14:paraId="629B14F5" w14:textId="77777777" w:rsidR="009F576A" w:rsidRPr="00D53A2B" w:rsidRDefault="009F576A" w:rsidP="00A202FD">
      <w:pPr>
        <w:jc w:val="both"/>
      </w:pPr>
    </w:p>
    <w:p w14:paraId="27F20DF8" w14:textId="61118327" w:rsidR="0080406C" w:rsidRPr="00D53A2B" w:rsidRDefault="0080406C" w:rsidP="00602365">
      <w:pPr>
        <w:pStyle w:val="ListeParagraf"/>
        <w:numPr>
          <w:ilvl w:val="0"/>
          <w:numId w:val="180"/>
        </w:numPr>
        <w:tabs>
          <w:tab w:val="clear" w:pos="567"/>
        </w:tabs>
        <w:spacing w:line="240" w:lineRule="auto"/>
        <w:ind w:left="426" w:hanging="426"/>
        <w:rPr>
          <w:sz w:val="24"/>
          <w:szCs w:val="24"/>
        </w:rPr>
      </w:pPr>
      <w:r w:rsidRPr="00D53A2B">
        <w:rPr>
          <w:sz w:val="24"/>
          <w:szCs w:val="24"/>
        </w:rPr>
        <w:t>verileri değerlendirmek ve bunlar üzerinde işlem yapmaktan sorumlu kişi veya kişileri belirlemek</w:t>
      </w:r>
    </w:p>
    <w:p w14:paraId="28795C47" w14:textId="44509EBF" w:rsidR="0080406C" w:rsidRPr="00D53A2B" w:rsidRDefault="0080406C" w:rsidP="00602365">
      <w:pPr>
        <w:pStyle w:val="ListeParagraf"/>
        <w:numPr>
          <w:ilvl w:val="0"/>
          <w:numId w:val="180"/>
        </w:numPr>
        <w:tabs>
          <w:tab w:val="clear" w:pos="567"/>
        </w:tabs>
        <w:spacing w:line="240" w:lineRule="auto"/>
        <w:ind w:left="426" w:hanging="426"/>
        <w:rPr>
          <w:sz w:val="24"/>
          <w:szCs w:val="24"/>
        </w:rPr>
      </w:pPr>
      <w:r w:rsidRPr="00D53A2B">
        <w:rPr>
          <w:sz w:val="24"/>
          <w:szCs w:val="24"/>
        </w:rPr>
        <w:t>operatörleri normal performanstan sapmalar konusunda hızlı ve etkili bir şekilde uyarmak da dahil olmak üzere tesis performansından sorumlu kişileri bilgilendirmek için yapılan işlem</w:t>
      </w:r>
    </w:p>
    <w:p w14:paraId="63D34DC9" w14:textId="52D5EA3B" w:rsidR="0080406C" w:rsidRPr="00D53A2B" w:rsidRDefault="0080406C" w:rsidP="00602365">
      <w:pPr>
        <w:pStyle w:val="ListeParagraf"/>
        <w:numPr>
          <w:ilvl w:val="0"/>
          <w:numId w:val="180"/>
        </w:numPr>
        <w:tabs>
          <w:tab w:val="clear" w:pos="567"/>
        </w:tabs>
        <w:spacing w:line="240" w:lineRule="auto"/>
        <w:ind w:left="426" w:hanging="426"/>
        <w:rPr>
          <w:sz w:val="24"/>
          <w:szCs w:val="24"/>
        </w:rPr>
      </w:pPr>
      <w:r w:rsidRPr="00D53A2B">
        <w:rPr>
          <w:sz w:val="24"/>
          <w:szCs w:val="24"/>
        </w:rPr>
        <w:t>performansın neden değiştiğini veya harici ölçütlerle uyuşmadığını tespit etmek için yapılan diğer araştırmalar.</w:t>
      </w:r>
    </w:p>
    <w:p w14:paraId="2F518B79" w14:textId="77777777" w:rsidR="0080406C" w:rsidRPr="00D53A2B" w:rsidRDefault="0080406C" w:rsidP="00A202FD">
      <w:pPr>
        <w:jc w:val="both"/>
      </w:pPr>
    </w:p>
    <w:p w14:paraId="1CE3C656" w14:textId="06E90867" w:rsidR="0080406C" w:rsidRPr="00D53A2B" w:rsidRDefault="0080406C" w:rsidP="00602365">
      <w:pPr>
        <w:pStyle w:val="Balk4"/>
        <w:numPr>
          <w:ilvl w:val="3"/>
          <w:numId w:val="152"/>
        </w:numPr>
        <w:ind w:left="851" w:hanging="862"/>
        <w:rPr>
          <w:rFonts w:cs="Times New Roman"/>
        </w:rPr>
      </w:pPr>
      <w:r w:rsidRPr="00D53A2B">
        <w:rPr>
          <w:rFonts w:cs="Times New Roman"/>
        </w:rPr>
        <w:t>Proses hattı optimizasyonu ve kontrolü</w:t>
      </w:r>
    </w:p>
    <w:p w14:paraId="34C84285" w14:textId="46EF90F2" w:rsidR="0080406C" w:rsidRPr="00D53A2B" w:rsidRDefault="006F340B" w:rsidP="00A202FD">
      <w:pPr>
        <w:pStyle w:val="MET"/>
        <w:rPr>
          <w:szCs w:val="24"/>
        </w:rPr>
      </w:pPr>
      <w:r w:rsidRPr="00D53A2B">
        <w:rPr>
          <w:szCs w:val="24"/>
        </w:rPr>
        <w:t xml:space="preserve">MET 5: </w:t>
      </w:r>
      <w:r w:rsidRPr="00D53A2B">
        <w:rPr>
          <w:b w:val="0"/>
          <w:bCs/>
          <w:szCs w:val="24"/>
        </w:rPr>
        <w:t>Seçilen iyileştirme seçenekleri için teorik girdileri ve çıktıları hesaplayarak ve gerçekte elde edilenlerle karşılaştırarak bireysel faaliyetleri ve proses hatları optimize edilir (bkz. Bölüm 4.1.4).</w:t>
      </w:r>
    </w:p>
    <w:p w14:paraId="57EF94C0" w14:textId="77777777" w:rsidR="0080406C" w:rsidRPr="00D53A2B" w:rsidRDefault="0080406C" w:rsidP="00A202FD">
      <w:pPr>
        <w:jc w:val="both"/>
      </w:pPr>
    </w:p>
    <w:p w14:paraId="0C9B4423" w14:textId="77777777" w:rsidR="006F340B" w:rsidRPr="00D53A2B" w:rsidRDefault="006F340B" w:rsidP="00A202FD">
      <w:pPr>
        <w:jc w:val="both"/>
      </w:pPr>
      <w:r w:rsidRPr="00D53A2B">
        <w:t>Karşılaştırmalı değerlendirme, endüstri verileri, bu belgedeki tavsiyeler ve diğer kaynaklardan gelen bilgiler kullanılabilir. Hesaplamalar manuel olarak yapılabilir, ancak bu yazılımla daha kolaydır.</w:t>
      </w:r>
    </w:p>
    <w:p w14:paraId="3B91A6DE" w14:textId="77777777" w:rsidR="006F340B" w:rsidRPr="00D53A2B" w:rsidRDefault="006F340B" w:rsidP="00A202FD">
      <w:pPr>
        <w:jc w:val="both"/>
      </w:pPr>
    </w:p>
    <w:p w14:paraId="00214AAE" w14:textId="1915D131" w:rsidR="0080406C" w:rsidRPr="00D53A2B" w:rsidRDefault="006F340B" w:rsidP="00A202FD">
      <w:pPr>
        <w:jc w:val="both"/>
      </w:pPr>
      <w:r w:rsidRPr="00D53A2B">
        <w:t>Otomatik hatlar için, gerçek zamanlı proses kontrolü ve optimizasyonu kullanmak MET</w:t>
      </w:r>
      <w:r w:rsidR="00E56504" w:rsidRPr="00D53A2B">
        <w:t>’</w:t>
      </w:r>
      <w:r w:rsidRPr="00D53A2B">
        <w:t>tir, bkz. Bölüm 4.1.5.</w:t>
      </w:r>
    </w:p>
    <w:p w14:paraId="1B161441" w14:textId="77777777" w:rsidR="0080406C" w:rsidRPr="00D53A2B" w:rsidRDefault="0080406C" w:rsidP="00A202FD">
      <w:pPr>
        <w:jc w:val="both"/>
      </w:pPr>
    </w:p>
    <w:p w14:paraId="46EAAC7D" w14:textId="18E19384" w:rsidR="0080406C" w:rsidRPr="00D53A2B" w:rsidRDefault="005435EC" w:rsidP="00602365">
      <w:pPr>
        <w:pStyle w:val="Balk3"/>
        <w:numPr>
          <w:ilvl w:val="2"/>
          <w:numId w:val="152"/>
        </w:numPr>
        <w:ind w:left="709"/>
        <w:rPr>
          <w:rFonts w:cs="Times New Roman"/>
        </w:rPr>
      </w:pPr>
      <w:r w:rsidRPr="00D53A2B">
        <w:rPr>
          <w:rFonts w:cs="Times New Roman"/>
        </w:rPr>
        <w:t>Tesis tasarımı, inşası ve işletimi</w:t>
      </w:r>
    </w:p>
    <w:p w14:paraId="3C32368A" w14:textId="42A931FC" w:rsidR="008023AC" w:rsidRPr="00D53A2B" w:rsidRDefault="008023AC" w:rsidP="00A202FD">
      <w:pPr>
        <w:jc w:val="both"/>
      </w:pPr>
      <w:r w:rsidRPr="00D53A2B">
        <w:t xml:space="preserve">Sektördeki proses hatları kimyasalların depolanmasıyla ortak özelliklere sahiptir ve depolama için </w:t>
      </w:r>
      <w:r w:rsidR="009E7767" w:rsidRPr="00D53A2B">
        <w:t>MET Referans Dokümanı ile</w:t>
      </w:r>
      <w:r w:rsidRPr="00D53A2B">
        <w:t xml:space="preserve"> ilgili teknikleri içerir [23, EIPPCB, 2002]. </w:t>
      </w:r>
    </w:p>
    <w:p w14:paraId="0C5919CD" w14:textId="77777777" w:rsidR="008023AC" w:rsidRPr="00D53A2B" w:rsidRDefault="008023AC" w:rsidP="00A202FD">
      <w:pPr>
        <w:jc w:val="both"/>
      </w:pPr>
    </w:p>
    <w:p w14:paraId="164BA553" w14:textId="1D529512" w:rsidR="008023AC" w:rsidRPr="00D53A2B" w:rsidRDefault="008023AC" w:rsidP="00A202FD">
      <w:pPr>
        <w:pStyle w:val="MET"/>
        <w:rPr>
          <w:szCs w:val="24"/>
        </w:rPr>
      </w:pPr>
      <w:r w:rsidRPr="00D53A2B">
        <w:rPr>
          <w:szCs w:val="24"/>
        </w:rPr>
        <w:t xml:space="preserve">MET 6: </w:t>
      </w:r>
      <w:r w:rsidRPr="00D53A2B">
        <w:rPr>
          <w:b w:val="0"/>
          <w:bCs/>
          <w:szCs w:val="24"/>
        </w:rPr>
        <w:t>Tehlikelerin ve yolların belirlenmesi, tehlike potansiyelinin basit bir şekilde sıralanması ve kirliliğin önlenmesi için üç adımlı bir eylem planının uygulanması yoluyla kirliliği önlemek için bir tesis tasarlanır, inşa edilir ve işletilir (bkz. Bölüm 4.2.1):</w:t>
      </w:r>
    </w:p>
    <w:p w14:paraId="68DC3691" w14:textId="77777777" w:rsidR="0080406C" w:rsidRPr="00D53A2B" w:rsidRDefault="0080406C" w:rsidP="00A202FD">
      <w:pPr>
        <w:jc w:val="both"/>
      </w:pPr>
    </w:p>
    <w:p w14:paraId="6069C8A2" w14:textId="49174CF7" w:rsidR="008023AC" w:rsidRPr="00D53A2B" w:rsidRDefault="008023AC" w:rsidP="00A202FD">
      <w:pPr>
        <w:jc w:val="both"/>
      </w:pPr>
      <w:r w:rsidRPr="00D53A2B">
        <w:t>Adım 1:</w:t>
      </w:r>
    </w:p>
    <w:p w14:paraId="5542DDD2" w14:textId="2D008AA4" w:rsidR="008023AC" w:rsidRPr="00D53A2B" w:rsidRDefault="008023AC" w:rsidP="00602365">
      <w:pPr>
        <w:pStyle w:val="ListeParagraf"/>
        <w:numPr>
          <w:ilvl w:val="0"/>
          <w:numId w:val="180"/>
        </w:numPr>
        <w:tabs>
          <w:tab w:val="clear" w:pos="567"/>
        </w:tabs>
        <w:spacing w:line="240" w:lineRule="auto"/>
        <w:ind w:left="426" w:hanging="426"/>
        <w:rPr>
          <w:sz w:val="24"/>
          <w:szCs w:val="24"/>
        </w:rPr>
      </w:pPr>
      <w:r w:rsidRPr="00D53A2B">
        <w:rPr>
          <w:sz w:val="24"/>
          <w:szCs w:val="24"/>
        </w:rPr>
        <w:t>Yeterli tesis boyutlarına izin verme</w:t>
      </w:r>
    </w:p>
    <w:p w14:paraId="36B3E5BC" w14:textId="77777777" w:rsidR="008023AC" w:rsidRPr="00D53A2B" w:rsidRDefault="008023AC" w:rsidP="00602365">
      <w:pPr>
        <w:pStyle w:val="ListeParagraf"/>
        <w:numPr>
          <w:ilvl w:val="0"/>
          <w:numId w:val="180"/>
        </w:numPr>
        <w:tabs>
          <w:tab w:val="clear" w:pos="567"/>
        </w:tabs>
        <w:spacing w:line="240" w:lineRule="auto"/>
        <w:ind w:left="426" w:hanging="426"/>
        <w:rPr>
          <w:sz w:val="24"/>
          <w:szCs w:val="24"/>
        </w:rPr>
      </w:pPr>
      <w:r w:rsidRPr="00D53A2B">
        <w:rPr>
          <w:sz w:val="24"/>
          <w:szCs w:val="24"/>
        </w:rPr>
        <w:t>Kimyasal sızıntı riski altında olduğu belirlenen alanları, uygun malzemeler kullanılarak geçirimsiz bariyerler sağlanarak koruyun</w:t>
      </w:r>
    </w:p>
    <w:p w14:paraId="55FAE7A1" w14:textId="084413AF" w:rsidR="0080406C" w:rsidRPr="00D53A2B" w:rsidRDefault="008023AC" w:rsidP="00602365">
      <w:pPr>
        <w:pStyle w:val="ListeParagraf"/>
        <w:numPr>
          <w:ilvl w:val="0"/>
          <w:numId w:val="180"/>
        </w:numPr>
        <w:tabs>
          <w:tab w:val="clear" w:pos="567"/>
        </w:tabs>
        <w:spacing w:line="240" w:lineRule="auto"/>
        <w:ind w:left="426" w:hanging="426"/>
        <w:rPr>
          <w:sz w:val="24"/>
          <w:szCs w:val="24"/>
        </w:rPr>
      </w:pPr>
      <w:r w:rsidRPr="00D53A2B">
        <w:rPr>
          <w:sz w:val="24"/>
          <w:szCs w:val="24"/>
        </w:rPr>
        <w:t>Proses hatlarının ve bileşenlerinin (geçici ve nadiren kullanılan ekipmanlar dahil) stabilitesini sağlayın.</w:t>
      </w:r>
    </w:p>
    <w:p w14:paraId="6EBC366F" w14:textId="388312B7" w:rsidR="006B024D" w:rsidRPr="00D53A2B" w:rsidRDefault="006B024D" w:rsidP="00A202FD">
      <w:pPr>
        <w:jc w:val="both"/>
      </w:pPr>
      <w:r w:rsidRPr="00D53A2B">
        <w:t>Adım 2:</w:t>
      </w:r>
    </w:p>
    <w:p w14:paraId="48803646" w14:textId="77777777" w:rsidR="006B024D" w:rsidRPr="00D53A2B" w:rsidRDefault="006B024D" w:rsidP="00602365">
      <w:pPr>
        <w:pStyle w:val="ListeParagraf"/>
        <w:numPr>
          <w:ilvl w:val="0"/>
          <w:numId w:val="180"/>
        </w:numPr>
        <w:tabs>
          <w:tab w:val="clear" w:pos="567"/>
        </w:tabs>
        <w:spacing w:line="240" w:lineRule="auto"/>
        <w:ind w:left="426" w:hanging="426"/>
        <w:rPr>
          <w:sz w:val="24"/>
          <w:szCs w:val="24"/>
        </w:rPr>
      </w:pPr>
      <w:r w:rsidRPr="00D53A2B">
        <w:rPr>
          <w:sz w:val="24"/>
          <w:szCs w:val="24"/>
        </w:rPr>
        <w:t>Riskli malzemeler için kullanılan depolama tanklarının, çift cidarlı tanklar gibi inşaat teknikleri kullanılarak veya kapalı alanlar içerisine yerleştirilerek korunmasını sağlayın.</w:t>
      </w:r>
    </w:p>
    <w:p w14:paraId="320BB980" w14:textId="77777777" w:rsidR="006B024D" w:rsidRPr="00D53A2B" w:rsidRDefault="006B024D" w:rsidP="00602365">
      <w:pPr>
        <w:pStyle w:val="ListeParagraf"/>
        <w:numPr>
          <w:ilvl w:val="0"/>
          <w:numId w:val="180"/>
        </w:numPr>
        <w:tabs>
          <w:tab w:val="clear" w:pos="567"/>
        </w:tabs>
        <w:spacing w:line="240" w:lineRule="auto"/>
        <w:ind w:left="426" w:hanging="426"/>
        <w:rPr>
          <w:sz w:val="24"/>
          <w:szCs w:val="24"/>
        </w:rPr>
      </w:pPr>
      <w:r w:rsidRPr="00D53A2B">
        <w:rPr>
          <w:sz w:val="24"/>
          <w:szCs w:val="24"/>
        </w:rPr>
        <w:t>Proses hatlarındaki işletme tanklarının kapalı bir alan içerisinde olduğundan emin olun</w:t>
      </w:r>
    </w:p>
    <w:p w14:paraId="27ED88F8" w14:textId="1D0DB5FF" w:rsidR="005435EC" w:rsidRPr="00D53A2B" w:rsidRDefault="006B024D" w:rsidP="00602365">
      <w:pPr>
        <w:pStyle w:val="ListeParagraf"/>
        <w:numPr>
          <w:ilvl w:val="0"/>
          <w:numId w:val="180"/>
        </w:numPr>
        <w:tabs>
          <w:tab w:val="clear" w:pos="567"/>
        </w:tabs>
        <w:spacing w:line="240" w:lineRule="auto"/>
        <w:ind w:left="426" w:hanging="426"/>
        <w:rPr>
          <w:sz w:val="24"/>
          <w:szCs w:val="24"/>
        </w:rPr>
      </w:pPr>
      <w:r w:rsidRPr="00D53A2B">
        <w:rPr>
          <w:sz w:val="24"/>
          <w:szCs w:val="24"/>
        </w:rPr>
        <w:t>Çözeltilerin tanklar arasında pompalandığı durumlarda, alıcı tankların pompalanacak miktar için yeterli büyüklükte olduğundan emin olun.</w:t>
      </w:r>
    </w:p>
    <w:p w14:paraId="2EC4BAA7" w14:textId="1436820A" w:rsidR="006B024D" w:rsidRPr="00D53A2B" w:rsidRDefault="00930C82" w:rsidP="00602365">
      <w:pPr>
        <w:pStyle w:val="ListeParagraf"/>
        <w:numPr>
          <w:ilvl w:val="0"/>
          <w:numId w:val="180"/>
        </w:numPr>
        <w:tabs>
          <w:tab w:val="clear" w:pos="567"/>
        </w:tabs>
        <w:spacing w:line="240" w:lineRule="auto"/>
        <w:ind w:left="426" w:hanging="426"/>
        <w:rPr>
          <w:sz w:val="24"/>
          <w:szCs w:val="24"/>
        </w:rPr>
      </w:pPr>
      <w:r w:rsidRPr="00D53A2B">
        <w:rPr>
          <w:sz w:val="24"/>
          <w:szCs w:val="24"/>
        </w:rPr>
        <w:t>Bakım programının bir parçası olarak, bir sızıntı tespit sisteminin olduğundan veya kapalı alanların düzenli olarak kontrol edildiğinden emin olun.</w:t>
      </w:r>
    </w:p>
    <w:p w14:paraId="5F749E98" w14:textId="0A2BA6B0" w:rsidR="00930C82" w:rsidRPr="00D53A2B" w:rsidRDefault="00930C82" w:rsidP="00A202FD">
      <w:pPr>
        <w:jc w:val="both"/>
      </w:pPr>
      <w:r w:rsidRPr="00D53A2B">
        <w:t>Adım 3:</w:t>
      </w:r>
    </w:p>
    <w:p w14:paraId="021ECAFD" w14:textId="77777777" w:rsidR="00930C82" w:rsidRPr="00D53A2B" w:rsidRDefault="00930C82" w:rsidP="00602365">
      <w:pPr>
        <w:pStyle w:val="ListeParagraf"/>
        <w:numPr>
          <w:ilvl w:val="0"/>
          <w:numId w:val="180"/>
        </w:numPr>
        <w:tabs>
          <w:tab w:val="clear" w:pos="567"/>
        </w:tabs>
        <w:spacing w:line="240" w:lineRule="auto"/>
        <w:ind w:left="426" w:hanging="426"/>
        <w:rPr>
          <w:sz w:val="24"/>
          <w:szCs w:val="24"/>
        </w:rPr>
      </w:pPr>
      <w:r w:rsidRPr="00D53A2B">
        <w:rPr>
          <w:sz w:val="24"/>
          <w:szCs w:val="24"/>
        </w:rPr>
        <w:t>düzenli denetim ve test programları</w:t>
      </w:r>
    </w:p>
    <w:p w14:paraId="390B423C" w14:textId="77777777" w:rsidR="00930C82" w:rsidRPr="00D53A2B" w:rsidRDefault="00930C82" w:rsidP="00602365">
      <w:pPr>
        <w:pStyle w:val="ListeParagraf"/>
        <w:numPr>
          <w:ilvl w:val="0"/>
          <w:numId w:val="180"/>
        </w:numPr>
        <w:tabs>
          <w:tab w:val="clear" w:pos="567"/>
        </w:tabs>
        <w:spacing w:line="240" w:lineRule="auto"/>
        <w:ind w:left="426" w:hanging="426"/>
        <w:rPr>
          <w:sz w:val="24"/>
          <w:szCs w:val="24"/>
        </w:rPr>
      </w:pPr>
      <w:r w:rsidRPr="00D53A2B">
        <w:rPr>
          <w:sz w:val="24"/>
          <w:szCs w:val="24"/>
        </w:rPr>
        <w:t>Olası kazalara yönelik acil durum planları şunları içerecektir:</w:t>
      </w:r>
    </w:p>
    <w:p w14:paraId="38FB69EC" w14:textId="77777777" w:rsidR="00930C82" w:rsidRPr="00BF4451" w:rsidRDefault="00930C82" w:rsidP="009077F5">
      <w:pPr>
        <w:pStyle w:val="ListeParagraf"/>
        <w:numPr>
          <w:ilvl w:val="0"/>
          <w:numId w:val="180"/>
        </w:numPr>
      </w:pPr>
      <w:r w:rsidRPr="00BF4451">
        <w:t>saha büyük olay planları (sahanın büyüklüğüne ve konumuna uygun)</w:t>
      </w:r>
    </w:p>
    <w:p w14:paraId="201B54B5" w14:textId="77777777" w:rsidR="00930C82" w:rsidRPr="00BF4451" w:rsidRDefault="00930C82" w:rsidP="009077F5">
      <w:pPr>
        <w:pStyle w:val="ListeParagraf"/>
        <w:numPr>
          <w:ilvl w:val="0"/>
          <w:numId w:val="180"/>
        </w:numPr>
      </w:pPr>
      <w:r w:rsidRPr="00BF4451">
        <w:t>kimyasal ve petrol sızıntıları için acil durum prosedürleri</w:t>
      </w:r>
    </w:p>
    <w:p w14:paraId="538D72A7" w14:textId="77777777" w:rsidR="00930C82" w:rsidRPr="00BF4451" w:rsidRDefault="00930C82" w:rsidP="009077F5">
      <w:pPr>
        <w:pStyle w:val="ListeParagraf"/>
        <w:numPr>
          <w:ilvl w:val="0"/>
          <w:numId w:val="180"/>
        </w:numPr>
      </w:pPr>
      <w:r w:rsidRPr="00CB4CD4">
        <w:t xml:space="preserve">tutma tesisi </w:t>
      </w:r>
      <w:r w:rsidRPr="00BF4451">
        <w:t>denetimleri</w:t>
      </w:r>
    </w:p>
    <w:p w14:paraId="747454C5" w14:textId="77777777" w:rsidR="00930C82" w:rsidRPr="00BF4451" w:rsidRDefault="00930C82" w:rsidP="009077F5">
      <w:pPr>
        <w:pStyle w:val="ListeParagraf"/>
        <w:numPr>
          <w:ilvl w:val="0"/>
          <w:numId w:val="180"/>
        </w:numPr>
      </w:pPr>
      <w:r w:rsidRPr="00BF4451">
        <w:t>sızıntı kontrolünden kaynaklanan atıklarla başa çıkmak için atık yönetimi yönergeleri</w:t>
      </w:r>
    </w:p>
    <w:p w14:paraId="2DE4FD2F" w14:textId="77777777" w:rsidR="00930C82" w:rsidRPr="00BF4451" w:rsidRDefault="00930C82" w:rsidP="009077F5">
      <w:pPr>
        <w:pStyle w:val="ListeParagraf"/>
        <w:numPr>
          <w:ilvl w:val="0"/>
          <w:numId w:val="180"/>
        </w:numPr>
      </w:pPr>
      <w:r w:rsidRPr="00BF4451">
        <w:t>uygun ekipmanın belirlenmesi ve düzenli olarak mevcut ve iyi çalışır durumda olmasının sağlanması</w:t>
      </w:r>
    </w:p>
    <w:p w14:paraId="44D1B20A" w14:textId="77777777" w:rsidR="00930C82" w:rsidRPr="00BF4451" w:rsidRDefault="00930C82" w:rsidP="009077F5">
      <w:pPr>
        <w:pStyle w:val="ListeParagraf"/>
        <w:numPr>
          <w:ilvl w:val="0"/>
          <w:numId w:val="180"/>
        </w:numPr>
      </w:pPr>
      <w:r w:rsidRPr="00BF4451">
        <w:t>personelin çevre bilincine sahip olmasının ve sızıntılar ve kazalarla başa çıkmak için eğitilmesinin sağlanması</w:t>
      </w:r>
    </w:p>
    <w:p w14:paraId="24BDC535" w14:textId="3BA80BCA" w:rsidR="006B024D" w:rsidRPr="00BF4451" w:rsidRDefault="00930C82" w:rsidP="009077F5">
      <w:pPr>
        <w:pStyle w:val="ListeParagraf"/>
        <w:numPr>
          <w:ilvl w:val="0"/>
          <w:numId w:val="180"/>
        </w:numPr>
      </w:pPr>
      <w:r w:rsidRPr="00BF4451">
        <w:t>dahil olan kişilerin rollerinin ve sorumluluklarının belirlenmesi.</w:t>
      </w:r>
    </w:p>
    <w:p w14:paraId="7359971B" w14:textId="77777777" w:rsidR="006B024D" w:rsidRPr="00D53A2B" w:rsidRDefault="006B024D" w:rsidP="00A202FD">
      <w:pPr>
        <w:jc w:val="both"/>
      </w:pPr>
    </w:p>
    <w:p w14:paraId="2B9005D9" w14:textId="317D154C" w:rsidR="00930C82" w:rsidRPr="00D53A2B" w:rsidRDefault="00930C82" w:rsidP="00602365">
      <w:pPr>
        <w:pStyle w:val="Balk4"/>
        <w:numPr>
          <w:ilvl w:val="3"/>
          <w:numId w:val="152"/>
        </w:numPr>
        <w:ind w:left="851" w:hanging="862"/>
        <w:rPr>
          <w:rFonts w:cs="Times New Roman"/>
        </w:rPr>
      </w:pPr>
      <w:r w:rsidRPr="00D53A2B">
        <w:rPr>
          <w:rFonts w:cs="Times New Roman"/>
        </w:rPr>
        <w:t>Kimyasalların ve iş parçalarının/alt tabakaların depolanması</w:t>
      </w:r>
    </w:p>
    <w:p w14:paraId="57CD84C5" w14:textId="35FB4910" w:rsidR="006B024D" w:rsidRPr="00D53A2B" w:rsidRDefault="00930C82" w:rsidP="00A202FD">
      <w:pPr>
        <w:pStyle w:val="MET"/>
        <w:rPr>
          <w:szCs w:val="24"/>
        </w:rPr>
      </w:pPr>
      <w:r w:rsidRPr="00D53A2B">
        <w:rPr>
          <w:szCs w:val="24"/>
        </w:rPr>
        <w:t xml:space="preserve">MET 7: </w:t>
      </w:r>
      <w:r w:rsidRPr="00D53A2B">
        <w:rPr>
          <w:b w:val="0"/>
          <w:bCs/>
          <w:szCs w:val="24"/>
        </w:rPr>
        <w:t>Depolama ile ilgili referans belgedeki genel sorunlara ek olarak [23, EIPPCB, 2002], aşağıdaki sorunlar sektör için özel olarak tanımlanmıştır (bkz. Bölüm 4.2.2):</w:t>
      </w:r>
    </w:p>
    <w:p w14:paraId="2B297DD0" w14:textId="77777777" w:rsidR="00170351" w:rsidRPr="00D53A2B" w:rsidRDefault="00170351" w:rsidP="00A202FD">
      <w:pPr>
        <w:numPr>
          <w:ilvl w:val="0"/>
          <w:numId w:val="47"/>
        </w:numPr>
        <w:ind w:left="426" w:hanging="426"/>
        <w:jc w:val="both"/>
        <w:rPr>
          <w:lang w:val="en-US"/>
        </w:rPr>
      </w:pPr>
      <w:r w:rsidRPr="00D53A2B">
        <w:rPr>
          <w:lang w:val="en-US"/>
        </w:rPr>
        <w:t xml:space="preserve">Asitleri ve siyanürleri ayrı ayrı depolayarak serbest siyanür gazı üretilmesini engellenmesi, </w:t>
      </w:r>
    </w:p>
    <w:p w14:paraId="71CC5646" w14:textId="77777777" w:rsidR="00170351" w:rsidRPr="00D53A2B" w:rsidRDefault="00170351" w:rsidP="00A202FD">
      <w:pPr>
        <w:numPr>
          <w:ilvl w:val="0"/>
          <w:numId w:val="47"/>
        </w:numPr>
        <w:ind w:left="426" w:hanging="426"/>
        <w:jc w:val="both"/>
        <w:rPr>
          <w:lang w:val="en-US"/>
        </w:rPr>
      </w:pPr>
      <w:r w:rsidRPr="00D53A2B">
        <w:rPr>
          <w:lang w:val="en-US"/>
        </w:rPr>
        <w:t>Asitleri ve alkalileri ayrı olarak saklanması,</w:t>
      </w:r>
    </w:p>
    <w:p w14:paraId="4716A0BC" w14:textId="77777777" w:rsidR="00170351" w:rsidRPr="00D53A2B" w:rsidRDefault="00170351" w:rsidP="00A202FD">
      <w:pPr>
        <w:numPr>
          <w:ilvl w:val="0"/>
          <w:numId w:val="47"/>
        </w:numPr>
        <w:ind w:left="426" w:hanging="426"/>
        <w:jc w:val="both"/>
        <w:rPr>
          <w:lang w:val="en-US"/>
        </w:rPr>
      </w:pPr>
      <w:r w:rsidRPr="00D53A2B">
        <w:rPr>
          <w:lang w:val="en-US"/>
        </w:rPr>
        <w:t>Yanıcı kimyasalları ve oksitleyici maddeleri ayrı ayrı depolayarak yangın riskinin azaltılması,</w:t>
      </w:r>
    </w:p>
    <w:p w14:paraId="4A2115F3" w14:textId="77777777" w:rsidR="00170351" w:rsidRPr="00D53A2B" w:rsidRDefault="00170351" w:rsidP="00A202FD">
      <w:pPr>
        <w:numPr>
          <w:ilvl w:val="0"/>
          <w:numId w:val="47"/>
        </w:numPr>
        <w:ind w:left="426" w:hanging="426"/>
        <w:jc w:val="both"/>
        <w:rPr>
          <w:lang w:val="en-US"/>
        </w:rPr>
      </w:pPr>
      <w:r w:rsidRPr="00D53A2B">
        <w:rPr>
          <w:lang w:val="en-US"/>
        </w:rPr>
        <w:t>Rutubetli ortamda kendiliğinden yanıcı kimyasalları kuru koşullarda ve oksitleyicilerden ayrı depolanması,</w:t>
      </w:r>
    </w:p>
    <w:p w14:paraId="7253FA51" w14:textId="77777777" w:rsidR="00170351" w:rsidRPr="00D53A2B" w:rsidRDefault="00170351" w:rsidP="00A202FD">
      <w:pPr>
        <w:numPr>
          <w:ilvl w:val="0"/>
          <w:numId w:val="47"/>
        </w:numPr>
        <w:ind w:left="426" w:hanging="426"/>
        <w:jc w:val="both"/>
        <w:rPr>
          <w:lang w:val="en-US"/>
        </w:rPr>
      </w:pPr>
      <w:r w:rsidRPr="00D53A2B">
        <w:rPr>
          <w:lang w:val="en-US"/>
        </w:rPr>
        <w:t>Toprak ve su çevrelerinin kimyasal madde dökülmesi ve sızıntılarından kirlenmesini önlenmesi,</w:t>
      </w:r>
    </w:p>
    <w:p w14:paraId="1AB6FCF9" w14:textId="67DBCC20" w:rsidR="00170351" w:rsidRPr="00D53A2B" w:rsidRDefault="00170351" w:rsidP="00A202FD">
      <w:pPr>
        <w:numPr>
          <w:ilvl w:val="0"/>
          <w:numId w:val="47"/>
        </w:numPr>
        <w:ind w:left="426" w:hanging="426"/>
        <w:jc w:val="both"/>
        <w:rPr>
          <w:lang w:val="en-US"/>
        </w:rPr>
      </w:pPr>
      <w:r w:rsidRPr="00D53A2B">
        <w:rPr>
          <w:lang w:val="en-US"/>
        </w:rPr>
        <w:t>Depolama tanklarının, boru tesisatlarının, dağıtım hatlarının ve kontrol sistemlerinin korozif kimyasallar ve dumanlarından ötürü korozyona uğramasından kaçınılması.</w:t>
      </w:r>
    </w:p>
    <w:p w14:paraId="4B0DED10" w14:textId="77777777" w:rsidR="00930C82" w:rsidRPr="00D53A2B" w:rsidRDefault="00930C82" w:rsidP="00A202FD">
      <w:pPr>
        <w:jc w:val="both"/>
      </w:pPr>
    </w:p>
    <w:p w14:paraId="3B7ED583" w14:textId="2BC7FB6B" w:rsidR="00930C82" w:rsidRPr="00D53A2B" w:rsidRDefault="00170351" w:rsidP="00A202FD">
      <w:pPr>
        <w:jc w:val="both"/>
      </w:pPr>
      <w:r w:rsidRPr="00D53A2B">
        <w:t>Ek işlemeyi en aza indirmek için, depolama sırasında metal iş parçalarının/alt tabakaların (bkz. Bölüm 4.3.1) aşağıdakilerden biri veya birkaçı tarafından bozulmasını önlemek MET</w:t>
      </w:r>
      <w:r w:rsidR="00E56504" w:rsidRPr="00D53A2B">
        <w:t>’</w:t>
      </w:r>
      <w:r w:rsidRPr="00D53A2B">
        <w:t>tir:</w:t>
      </w:r>
    </w:p>
    <w:p w14:paraId="16856CC7" w14:textId="77777777" w:rsidR="00170351" w:rsidRPr="00D53A2B" w:rsidRDefault="00170351" w:rsidP="00A202FD">
      <w:pPr>
        <w:numPr>
          <w:ilvl w:val="1"/>
          <w:numId w:val="47"/>
        </w:numPr>
        <w:ind w:left="426" w:hanging="426"/>
        <w:jc w:val="both"/>
        <w:rPr>
          <w:lang w:val="en-US"/>
        </w:rPr>
      </w:pPr>
      <w:r w:rsidRPr="00D53A2B">
        <w:rPr>
          <w:lang w:val="en-US"/>
        </w:rPr>
        <w:t>Depolama süresini kısaltma,</w:t>
      </w:r>
    </w:p>
    <w:p w14:paraId="17AAD04F" w14:textId="77777777" w:rsidR="00170351" w:rsidRPr="00D53A2B" w:rsidRDefault="00170351" w:rsidP="00A202FD">
      <w:pPr>
        <w:numPr>
          <w:ilvl w:val="1"/>
          <w:numId w:val="47"/>
        </w:numPr>
        <w:ind w:left="426" w:hanging="426"/>
        <w:jc w:val="both"/>
        <w:rPr>
          <w:lang w:val="en-US"/>
        </w:rPr>
      </w:pPr>
      <w:r w:rsidRPr="00D53A2B">
        <w:rPr>
          <w:lang w:val="en-US"/>
        </w:rPr>
        <w:t>Nem, sıcaklık ve ortam bileşimini kontrol ederek depolama atmosferinin aşındırıcılığını kontrol etme,</w:t>
      </w:r>
    </w:p>
    <w:p w14:paraId="0F0626A7" w14:textId="0B69DDC5" w:rsidR="00170351" w:rsidRPr="00D53A2B" w:rsidRDefault="00170351" w:rsidP="00A202FD">
      <w:pPr>
        <w:numPr>
          <w:ilvl w:val="1"/>
          <w:numId w:val="47"/>
        </w:numPr>
        <w:ind w:left="426" w:hanging="426"/>
        <w:jc w:val="both"/>
        <w:rPr>
          <w:lang w:val="en-US"/>
        </w:rPr>
      </w:pPr>
      <w:r w:rsidRPr="00D53A2B">
        <w:rPr>
          <w:lang w:val="en-US"/>
        </w:rPr>
        <w:t>Korozyon önleyici kaplama veya korozyon önleyici ambalaj kullanma</w:t>
      </w:r>
    </w:p>
    <w:p w14:paraId="0EABA67F" w14:textId="77777777" w:rsidR="00930C82" w:rsidRPr="00D53A2B" w:rsidRDefault="00930C82" w:rsidP="00A202FD">
      <w:pPr>
        <w:jc w:val="both"/>
      </w:pPr>
    </w:p>
    <w:p w14:paraId="01E905D2" w14:textId="47D11423" w:rsidR="00170351" w:rsidRPr="00D53A2B" w:rsidRDefault="009E7767" w:rsidP="00602365">
      <w:pPr>
        <w:pStyle w:val="Balk3"/>
        <w:numPr>
          <w:ilvl w:val="2"/>
          <w:numId w:val="152"/>
        </w:numPr>
        <w:ind w:left="709"/>
        <w:rPr>
          <w:rFonts w:cs="Times New Roman"/>
        </w:rPr>
      </w:pPr>
      <w:r w:rsidRPr="00D53A2B">
        <w:rPr>
          <w:rFonts w:cs="Times New Roman"/>
        </w:rPr>
        <w:t>Proses çözeltilerinin çalkalanması</w:t>
      </w:r>
    </w:p>
    <w:p w14:paraId="6CDC8864" w14:textId="77777777" w:rsidR="00170351" w:rsidRPr="00D53A2B" w:rsidRDefault="00170351" w:rsidP="00A202FD">
      <w:pPr>
        <w:pStyle w:val="MET"/>
        <w:rPr>
          <w:szCs w:val="24"/>
        </w:rPr>
      </w:pPr>
      <w:r w:rsidRPr="00D53A2B">
        <w:rPr>
          <w:szCs w:val="24"/>
        </w:rPr>
        <w:t xml:space="preserve">MET 8: </w:t>
      </w:r>
      <w:r w:rsidRPr="00D53A2B">
        <w:rPr>
          <w:b w:val="0"/>
          <w:bCs/>
          <w:szCs w:val="24"/>
        </w:rPr>
        <w:t>Taze çözeltinin çalışma yüzeyleri üzerinde hareket etmesini sağlamak için proses çözeltileri çalkalanır (bkz. Bölüm 4.3.4). Bu, aşağıdakilerden biri veya bir kombinasyonu ile elde edilebilir:</w:t>
      </w:r>
    </w:p>
    <w:p w14:paraId="52A68E4C" w14:textId="77777777" w:rsidR="00170351" w:rsidRPr="00D53A2B" w:rsidRDefault="00170351" w:rsidP="00602365">
      <w:pPr>
        <w:pStyle w:val="ListeParagraf"/>
        <w:numPr>
          <w:ilvl w:val="0"/>
          <w:numId w:val="182"/>
        </w:numPr>
        <w:tabs>
          <w:tab w:val="clear" w:pos="567"/>
        </w:tabs>
        <w:spacing w:line="240" w:lineRule="auto"/>
        <w:ind w:left="426" w:hanging="426"/>
        <w:rPr>
          <w:sz w:val="24"/>
          <w:szCs w:val="24"/>
        </w:rPr>
      </w:pPr>
      <w:r w:rsidRPr="00D53A2B">
        <w:rPr>
          <w:sz w:val="24"/>
          <w:szCs w:val="24"/>
        </w:rPr>
        <w:t>Hidrolik türbülans</w:t>
      </w:r>
    </w:p>
    <w:p w14:paraId="2FBF80AD" w14:textId="6DD2FFA7" w:rsidR="00170351" w:rsidRPr="00D53A2B" w:rsidRDefault="00170351" w:rsidP="00602365">
      <w:pPr>
        <w:pStyle w:val="ListeParagraf"/>
        <w:numPr>
          <w:ilvl w:val="0"/>
          <w:numId w:val="182"/>
        </w:numPr>
        <w:tabs>
          <w:tab w:val="clear" w:pos="567"/>
        </w:tabs>
        <w:spacing w:line="240" w:lineRule="auto"/>
        <w:ind w:left="426" w:hanging="426"/>
        <w:rPr>
          <w:sz w:val="24"/>
          <w:szCs w:val="24"/>
          <w:lang w:val="tr-TR"/>
        </w:rPr>
      </w:pPr>
      <w:r w:rsidRPr="00D53A2B">
        <w:rPr>
          <w:sz w:val="24"/>
          <w:szCs w:val="24"/>
        </w:rPr>
        <w:t>İş parçalarının mekanik çalkalanması</w:t>
      </w:r>
    </w:p>
    <w:p w14:paraId="6999B7E4" w14:textId="00E1B674" w:rsidR="006B024D" w:rsidRPr="00D53A2B" w:rsidRDefault="00170351" w:rsidP="00602365">
      <w:pPr>
        <w:pStyle w:val="ListeParagraf"/>
        <w:numPr>
          <w:ilvl w:val="0"/>
          <w:numId w:val="182"/>
        </w:numPr>
        <w:tabs>
          <w:tab w:val="clear" w:pos="567"/>
        </w:tabs>
        <w:spacing w:line="240" w:lineRule="auto"/>
        <w:ind w:left="426" w:hanging="426"/>
        <w:rPr>
          <w:sz w:val="24"/>
          <w:szCs w:val="24"/>
        </w:rPr>
      </w:pPr>
      <w:r w:rsidRPr="00D53A2B">
        <w:rPr>
          <w:sz w:val="24"/>
          <w:szCs w:val="24"/>
        </w:rPr>
        <w:t>Düşük basınçlı hava karıştırma sistemleri:</w:t>
      </w:r>
    </w:p>
    <w:p w14:paraId="24B4B59B" w14:textId="042CAB55" w:rsidR="00170351" w:rsidRPr="00BF4451" w:rsidRDefault="00170351" w:rsidP="009077F5">
      <w:pPr>
        <w:ind w:left="426"/>
        <w:rPr>
          <w:rFonts w:eastAsia="Calibri"/>
        </w:rPr>
      </w:pPr>
      <w:r w:rsidRPr="00BF4451">
        <w:rPr>
          <w:rFonts w:eastAsia="Calibri"/>
        </w:rPr>
        <w:t>Özellikle malzeme geri kazanımı ile kullanıldığında havanın buharlaşma yoluyla soğutmaya yardımcı olduğu çözümler (ancak Bölüm 5.1.4.3</w:t>
      </w:r>
      <w:r w:rsidR="00E56504" w:rsidRPr="00BF4451">
        <w:rPr>
          <w:rFonts w:eastAsia="Calibri"/>
        </w:rPr>
        <w:t>’</w:t>
      </w:r>
      <w:r w:rsidRPr="00BF4451">
        <w:rPr>
          <w:rFonts w:eastAsia="Calibri"/>
        </w:rPr>
        <w:t>e bakınız).</w:t>
      </w:r>
    </w:p>
    <w:p w14:paraId="6C9D01D2" w14:textId="541E2D17" w:rsidR="00170351" w:rsidRPr="00A26EE8" w:rsidRDefault="00170351" w:rsidP="009077F5">
      <w:pPr>
        <w:ind w:left="426"/>
        <w:rPr>
          <w:rFonts w:eastAsia="Calibri"/>
        </w:rPr>
      </w:pPr>
      <w:r w:rsidRPr="00CB4CD4">
        <w:rPr>
          <w:rFonts w:eastAsia="Calibri"/>
        </w:rPr>
        <w:t>anotlama işleminde</w:t>
      </w:r>
    </w:p>
    <w:p w14:paraId="5E5BBE56" w14:textId="77777777" w:rsidR="00170351" w:rsidRPr="00624FF6" w:rsidRDefault="00170351" w:rsidP="009077F5">
      <w:pPr>
        <w:ind w:left="426"/>
        <w:rPr>
          <w:rFonts w:eastAsia="Calibri"/>
        </w:rPr>
      </w:pPr>
      <w:r w:rsidRPr="00A26EE8">
        <w:rPr>
          <w:rFonts w:eastAsia="Calibri"/>
        </w:rPr>
        <w:t>Yüksek kalite elde etmek için yüksek türbülans gerektiren diğer süreçlerde</w:t>
      </w:r>
    </w:p>
    <w:p w14:paraId="00A1DC90" w14:textId="77777777" w:rsidR="00170351" w:rsidRPr="00096112" w:rsidRDefault="00170351" w:rsidP="009077F5">
      <w:pPr>
        <w:ind w:left="426"/>
        <w:rPr>
          <w:rFonts w:eastAsia="Calibri"/>
        </w:rPr>
      </w:pPr>
      <w:r w:rsidRPr="00096112">
        <w:rPr>
          <w:rFonts w:eastAsia="Calibri"/>
        </w:rPr>
        <w:t>Katkı maddelerinin oksidasyonunu gerektiren çözeltilerde</w:t>
      </w:r>
    </w:p>
    <w:p w14:paraId="5C972254" w14:textId="77777777" w:rsidR="00170351" w:rsidRPr="00096112" w:rsidRDefault="00170351" w:rsidP="009077F5">
      <w:pPr>
        <w:ind w:left="426"/>
        <w:rPr>
          <w:rFonts w:eastAsia="Calibri"/>
        </w:rPr>
      </w:pPr>
      <w:r w:rsidRPr="00096112">
        <w:rPr>
          <w:rFonts w:eastAsia="Calibri"/>
        </w:rPr>
        <w:t>Reaktif gazların (hidrojen gibi) uzaklaştırılması gerektiğinde kullanılır.</w:t>
      </w:r>
    </w:p>
    <w:p w14:paraId="64D84092" w14:textId="77777777" w:rsidR="00170351" w:rsidRPr="00D53A2B" w:rsidRDefault="00170351" w:rsidP="00A202FD">
      <w:pPr>
        <w:jc w:val="both"/>
      </w:pPr>
    </w:p>
    <w:p w14:paraId="71193A73" w14:textId="67B141C4" w:rsidR="00170351" w:rsidRPr="00D53A2B" w:rsidRDefault="00C171D2" w:rsidP="00A202FD">
      <w:pPr>
        <w:jc w:val="both"/>
      </w:pPr>
      <w:r w:rsidRPr="00D53A2B">
        <w:t>Aşağıdaki durumlarda düşük basınçlı hava karıştırma sisteminin kullanılması MET değildir:</w:t>
      </w:r>
    </w:p>
    <w:p w14:paraId="0EB3A9AC" w14:textId="77777777" w:rsidR="00C171D2" w:rsidRPr="00D53A2B" w:rsidRDefault="00C171D2" w:rsidP="00602365">
      <w:pPr>
        <w:pStyle w:val="ListeParagraf"/>
        <w:numPr>
          <w:ilvl w:val="0"/>
          <w:numId w:val="184"/>
        </w:numPr>
        <w:tabs>
          <w:tab w:val="clear" w:pos="567"/>
        </w:tabs>
        <w:spacing w:line="240" w:lineRule="auto"/>
        <w:ind w:left="426" w:hanging="426"/>
        <w:rPr>
          <w:sz w:val="24"/>
          <w:szCs w:val="24"/>
        </w:rPr>
      </w:pPr>
      <w:r w:rsidRPr="00D53A2B">
        <w:rPr>
          <w:sz w:val="24"/>
          <w:szCs w:val="24"/>
        </w:rPr>
        <w:t>buharlaşmanın soğutma etkisinin enerji talebini artırdığı ısıtılmış çözeltiler</w:t>
      </w:r>
    </w:p>
    <w:p w14:paraId="1D80E063" w14:textId="77777777" w:rsidR="00C171D2" w:rsidRPr="00D53A2B" w:rsidRDefault="00C171D2" w:rsidP="00602365">
      <w:pPr>
        <w:pStyle w:val="ListeParagraf"/>
        <w:numPr>
          <w:ilvl w:val="0"/>
          <w:numId w:val="184"/>
        </w:numPr>
        <w:tabs>
          <w:tab w:val="clear" w:pos="567"/>
        </w:tabs>
        <w:spacing w:line="240" w:lineRule="auto"/>
        <w:ind w:left="426" w:hanging="426"/>
        <w:rPr>
          <w:sz w:val="24"/>
          <w:szCs w:val="24"/>
        </w:rPr>
      </w:pPr>
      <w:r w:rsidRPr="00D53A2B">
        <w:rPr>
          <w:sz w:val="24"/>
          <w:szCs w:val="24"/>
        </w:rPr>
        <w:t>karbonat oluşumunu artırdığı için siyanür çözeltileri</w:t>
      </w:r>
    </w:p>
    <w:p w14:paraId="207FD6C0" w14:textId="742CF294" w:rsidR="00170351" w:rsidRPr="00D53A2B" w:rsidRDefault="00C171D2" w:rsidP="00602365">
      <w:pPr>
        <w:pStyle w:val="ListeParagraf"/>
        <w:numPr>
          <w:ilvl w:val="0"/>
          <w:numId w:val="184"/>
        </w:numPr>
        <w:tabs>
          <w:tab w:val="clear" w:pos="567"/>
        </w:tabs>
        <w:spacing w:line="240" w:lineRule="auto"/>
        <w:ind w:left="426" w:hanging="426"/>
        <w:rPr>
          <w:sz w:val="24"/>
          <w:szCs w:val="24"/>
        </w:rPr>
      </w:pPr>
      <w:r w:rsidRPr="00D53A2B">
        <w:rPr>
          <w:sz w:val="24"/>
          <w:szCs w:val="24"/>
        </w:rPr>
        <w:t>havaya emisyonları artırdığı için endişe verici maddeler içeren çözeltiler (bkz. Bölüm 5.1.10).</w:t>
      </w:r>
    </w:p>
    <w:p w14:paraId="30CFB9DD" w14:textId="77777777" w:rsidR="00170351" w:rsidRPr="00D53A2B" w:rsidRDefault="00170351" w:rsidP="00A202FD">
      <w:pPr>
        <w:jc w:val="both"/>
      </w:pPr>
    </w:p>
    <w:p w14:paraId="7CA20F99" w14:textId="03537DCD" w:rsidR="00C171D2" w:rsidRPr="00D53A2B" w:rsidRDefault="00C171D2" w:rsidP="00A202FD">
      <w:pPr>
        <w:jc w:val="both"/>
      </w:pPr>
      <w:r w:rsidRPr="00D53A2B">
        <w:t>Yüksek basınçlı hava karıştırma sisteminin kullanılması yüksek enerji tüketimi nedeniyle MET değildir.</w:t>
      </w:r>
    </w:p>
    <w:p w14:paraId="696454D5" w14:textId="77777777" w:rsidR="006B024D" w:rsidRPr="00D53A2B" w:rsidRDefault="006B024D" w:rsidP="00A202FD">
      <w:pPr>
        <w:jc w:val="both"/>
      </w:pPr>
    </w:p>
    <w:p w14:paraId="00D9FB4B" w14:textId="777E6CBC" w:rsidR="00BD2510" w:rsidRPr="00D53A2B" w:rsidRDefault="00BD2510" w:rsidP="00602365">
      <w:pPr>
        <w:pStyle w:val="Balk3"/>
        <w:numPr>
          <w:ilvl w:val="2"/>
          <w:numId w:val="152"/>
        </w:numPr>
        <w:ind w:left="709"/>
        <w:rPr>
          <w:rFonts w:cs="Times New Roman"/>
        </w:rPr>
      </w:pPr>
      <w:r w:rsidRPr="00D53A2B">
        <w:rPr>
          <w:rFonts w:cs="Times New Roman"/>
        </w:rPr>
        <w:t xml:space="preserve">Yardımcı girdiler: Enerji ve su </w:t>
      </w:r>
    </w:p>
    <w:p w14:paraId="6AB91352" w14:textId="104967BC" w:rsidR="005435EC" w:rsidRPr="00D53A2B" w:rsidRDefault="00BD2510" w:rsidP="00A202FD">
      <w:pPr>
        <w:pStyle w:val="MET"/>
        <w:rPr>
          <w:szCs w:val="24"/>
        </w:rPr>
      </w:pPr>
      <w:r w:rsidRPr="00D53A2B">
        <w:rPr>
          <w:szCs w:val="24"/>
        </w:rPr>
        <w:t xml:space="preserve">MET 9: </w:t>
      </w:r>
      <w:r w:rsidRPr="00D53A2B">
        <w:rPr>
          <w:b w:val="0"/>
          <w:bCs/>
          <w:szCs w:val="24"/>
        </w:rPr>
        <w:t>Yardımcı girdiler kıyaslanır (bkz. Bölüm 5.1.1.4). Su kullanım malzemelerinin verimliliği için MET, Bölüm 5.1.5 ve 5.1.6</w:t>
      </w:r>
      <w:r w:rsidR="00E56504" w:rsidRPr="00D53A2B">
        <w:rPr>
          <w:b w:val="0"/>
          <w:bCs/>
          <w:szCs w:val="24"/>
        </w:rPr>
        <w:t>’</w:t>
      </w:r>
      <w:r w:rsidRPr="00D53A2B">
        <w:rPr>
          <w:b w:val="0"/>
          <w:bCs/>
          <w:szCs w:val="24"/>
        </w:rPr>
        <w:t>da ayrıntılı olarak açıklanmıştır.</w:t>
      </w:r>
    </w:p>
    <w:p w14:paraId="6B9E8341" w14:textId="77777777" w:rsidR="00C171D2" w:rsidRPr="00D53A2B" w:rsidRDefault="00C171D2" w:rsidP="00A202FD">
      <w:pPr>
        <w:jc w:val="both"/>
      </w:pPr>
    </w:p>
    <w:p w14:paraId="127EF04C" w14:textId="3C6D3B99" w:rsidR="00C171D2" w:rsidRPr="00D53A2B" w:rsidRDefault="00BD2510" w:rsidP="00602365">
      <w:pPr>
        <w:pStyle w:val="Balk4"/>
        <w:numPr>
          <w:ilvl w:val="3"/>
          <w:numId w:val="152"/>
        </w:numPr>
        <w:ind w:left="851" w:hanging="851"/>
        <w:rPr>
          <w:rFonts w:cs="Times New Roman"/>
        </w:rPr>
      </w:pPr>
      <w:r w:rsidRPr="00D53A2B">
        <w:rPr>
          <w:rFonts w:cs="Times New Roman"/>
        </w:rPr>
        <w:t>Elektrik – yüksek gerilim ve yüksek akım talepleri</w:t>
      </w:r>
    </w:p>
    <w:p w14:paraId="479A979B" w14:textId="25928041" w:rsidR="00C171D2" w:rsidRPr="00D53A2B" w:rsidRDefault="00BD2510" w:rsidP="00A202FD">
      <w:pPr>
        <w:jc w:val="both"/>
      </w:pPr>
      <w:r w:rsidRPr="00D53A2B">
        <w:t>Yüksek gerilimleri ve yüksek akım taleplerini yönetmeye yönelik önlemler Bölüm 4.4.1</w:t>
      </w:r>
      <w:r w:rsidR="00E56504" w:rsidRPr="00D53A2B">
        <w:t>’</w:t>
      </w:r>
      <w:r w:rsidRPr="00D53A2B">
        <w:t>de açıklanmaktadır. Elektrik tüketimini aşağıdakiler vasıtasıyla azaltmak MET</w:t>
      </w:r>
      <w:r w:rsidR="00E56504" w:rsidRPr="00D53A2B">
        <w:t>’</w:t>
      </w:r>
      <w:r w:rsidRPr="00D53A2B">
        <w:t>tir:</w:t>
      </w:r>
    </w:p>
    <w:p w14:paraId="61E69627" w14:textId="040C6A93" w:rsidR="00C171D2" w:rsidRPr="00D53A2B" w:rsidRDefault="00A337D1" w:rsidP="00602365">
      <w:pPr>
        <w:pStyle w:val="ListeParagraf"/>
        <w:numPr>
          <w:ilvl w:val="0"/>
          <w:numId w:val="185"/>
        </w:numPr>
        <w:tabs>
          <w:tab w:val="clear" w:pos="567"/>
        </w:tabs>
        <w:spacing w:line="240" w:lineRule="auto"/>
        <w:ind w:left="426" w:hanging="426"/>
        <w:rPr>
          <w:sz w:val="24"/>
          <w:szCs w:val="24"/>
        </w:rPr>
      </w:pPr>
      <w:r w:rsidRPr="00D53A2B">
        <w:rPr>
          <w:sz w:val="24"/>
          <w:szCs w:val="24"/>
        </w:rPr>
        <w:t xml:space="preserve">Gerilim ve akım tepe noktaları arasındaki cos </w:t>
      </w:r>
      <w:r w:rsidRPr="00D53A2B">
        <w:rPr>
          <w:sz w:val="24"/>
          <w:szCs w:val="24"/>
          <w:lang w:val="tr-TR"/>
        </w:rPr>
        <w:sym w:font="Symbol" w:char="F06A"/>
      </w:r>
      <w:r w:rsidR="00E56504" w:rsidRPr="00D53A2B">
        <w:rPr>
          <w:sz w:val="24"/>
          <w:szCs w:val="24"/>
        </w:rPr>
        <w:t>‘</w:t>
      </w:r>
      <w:r w:rsidRPr="00D53A2B">
        <w:rPr>
          <w:sz w:val="24"/>
          <w:szCs w:val="24"/>
        </w:rPr>
        <w:t>nin kalıcı olarak 0,95</w:t>
      </w:r>
      <w:r w:rsidR="00E56504" w:rsidRPr="00D53A2B">
        <w:rPr>
          <w:sz w:val="24"/>
          <w:szCs w:val="24"/>
        </w:rPr>
        <w:t>’</w:t>
      </w:r>
      <w:r w:rsidRPr="00D53A2B">
        <w:rPr>
          <w:sz w:val="24"/>
          <w:szCs w:val="24"/>
        </w:rPr>
        <w:t>in üzerinde olduğundan emin olmak için yıllık aralıklarla test yaparak tüm üç fazlı beslemeler için reaktif enerji kayıplarını en aza indirin.</w:t>
      </w:r>
    </w:p>
    <w:p w14:paraId="6EAA5B3B" w14:textId="3FE8AF88" w:rsidR="00A337D1" w:rsidRPr="00D53A2B" w:rsidRDefault="00A337D1" w:rsidP="00602365">
      <w:pPr>
        <w:pStyle w:val="ListeParagraf"/>
        <w:numPr>
          <w:ilvl w:val="0"/>
          <w:numId w:val="185"/>
        </w:numPr>
        <w:tabs>
          <w:tab w:val="clear" w:pos="567"/>
        </w:tabs>
        <w:spacing w:line="240" w:lineRule="auto"/>
        <w:ind w:left="426" w:hanging="426"/>
        <w:rPr>
          <w:sz w:val="24"/>
          <w:szCs w:val="24"/>
        </w:rPr>
      </w:pPr>
      <w:r w:rsidRPr="00D53A2B">
        <w:rPr>
          <w:sz w:val="24"/>
          <w:szCs w:val="24"/>
        </w:rPr>
        <w:t>Doğrultucular ve anotlar (ve bobin kaplamasındaki iletken ruloları) arasındaki mesafeyi en aza indirerek iletkenler ve konnektörler arasındaki voltaj düşüşünü azaltın. Doğrultucuların anotların doğrudan yakınına yerleştirilmesi her zaman gerçekleştirilebilir değildir veya doğrultucuları ciddi korozyona ve/veya bakıma maruz bırakabilir. Alternatif olarak, daha büyük kesit alanına sahip baralar kullanılabilir.</w:t>
      </w:r>
    </w:p>
    <w:p w14:paraId="7551355F" w14:textId="77777777" w:rsidR="00A337D1" w:rsidRPr="00D53A2B" w:rsidRDefault="00A337D1" w:rsidP="00602365">
      <w:pPr>
        <w:pStyle w:val="ListeParagraf"/>
        <w:numPr>
          <w:ilvl w:val="0"/>
          <w:numId w:val="185"/>
        </w:numPr>
        <w:tabs>
          <w:tab w:val="clear" w:pos="567"/>
        </w:tabs>
        <w:spacing w:after="240" w:line="240" w:lineRule="auto"/>
        <w:ind w:left="426" w:hanging="426"/>
        <w:rPr>
          <w:sz w:val="24"/>
          <w:szCs w:val="24"/>
        </w:rPr>
      </w:pPr>
      <w:r w:rsidRPr="00D53A2B">
        <w:rPr>
          <w:sz w:val="24"/>
          <w:szCs w:val="24"/>
        </w:rPr>
        <w:t>Yeterli kesit alanına sahip baraları kısa tutun ve hava soğutmanın yetersiz olduğu yerlerde su soğutması kullanarak soğutun.</w:t>
      </w:r>
    </w:p>
    <w:p w14:paraId="47798129" w14:textId="77777777" w:rsidR="00A337D1" w:rsidRPr="00D53A2B" w:rsidRDefault="00A337D1" w:rsidP="00602365">
      <w:pPr>
        <w:pStyle w:val="ListeParagraf"/>
        <w:numPr>
          <w:ilvl w:val="0"/>
          <w:numId w:val="185"/>
        </w:numPr>
        <w:tabs>
          <w:tab w:val="clear" w:pos="567"/>
        </w:tabs>
        <w:spacing w:after="240" w:line="240" w:lineRule="auto"/>
        <w:ind w:left="426" w:hanging="426"/>
        <w:rPr>
          <w:sz w:val="24"/>
          <w:szCs w:val="24"/>
        </w:rPr>
      </w:pPr>
      <w:r w:rsidRPr="00D53A2B">
        <w:rPr>
          <w:sz w:val="24"/>
          <w:szCs w:val="24"/>
        </w:rPr>
        <w:t>Mevcut ayarı optimize etmek için kontrollü bara ile bireysel anot beslemesini kullanın</w:t>
      </w:r>
    </w:p>
    <w:p w14:paraId="1B5CE148" w14:textId="77777777" w:rsidR="00A337D1" w:rsidRPr="00D53A2B" w:rsidRDefault="00A337D1" w:rsidP="00602365">
      <w:pPr>
        <w:pStyle w:val="ListeParagraf"/>
        <w:numPr>
          <w:ilvl w:val="0"/>
          <w:numId w:val="185"/>
        </w:numPr>
        <w:tabs>
          <w:tab w:val="clear" w:pos="567"/>
        </w:tabs>
        <w:spacing w:after="240" w:line="240" w:lineRule="auto"/>
        <w:ind w:left="426" w:hanging="426"/>
        <w:rPr>
          <w:sz w:val="24"/>
          <w:szCs w:val="24"/>
        </w:rPr>
      </w:pPr>
      <w:r w:rsidRPr="00D53A2B">
        <w:rPr>
          <w:sz w:val="24"/>
          <w:szCs w:val="24"/>
        </w:rPr>
        <w:t>Elektrik sistemindeki doğrultucuların ve kontakların (baralar) düzenli olarak bakımını yapın.</w:t>
      </w:r>
    </w:p>
    <w:p w14:paraId="553B4366" w14:textId="77777777" w:rsidR="00A337D1" w:rsidRPr="00D53A2B" w:rsidRDefault="00A337D1" w:rsidP="00602365">
      <w:pPr>
        <w:pStyle w:val="ListeParagraf"/>
        <w:numPr>
          <w:ilvl w:val="0"/>
          <w:numId w:val="185"/>
        </w:numPr>
        <w:tabs>
          <w:tab w:val="clear" w:pos="567"/>
        </w:tabs>
        <w:spacing w:after="240" w:line="240" w:lineRule="auto"/>
        <w:ind w:left="426" w:hanging="426"/>
        <w:rPr>
          <w:sz w:val="24"/>
          <w:szCs w:val="24"/>
        </w:rPr>
      </w:pPr>
      <w:r w:rsidRPr="00D53A2B">
        <w:rPr>
          <w:sz w:val="24"/>
          <w:szCs w:val="24"/>
        </w:rPr>
        <w:t>Eski doğrultuculara göre daha iyi dönüşüm faktörü olan modern elektronik kontrollü doğrultucular monte edin</w:t>
      </w:r>
    </w:p>
    <w:p w14:paraId="5D957B64" w14:textId="77777777" w:rsidR="00A337D1" w:rsidRPr="00D53A2B" w:rsidRDefault="00A337D1" w:rsidP="00602365">
      <w:pPr>
        <w:pStyle w:val="ListeParagraf"/>
        <w:numPr>
          <w:ilvl w:val="0"/>
          <w:numId w:val="185"/>
        </w:numPr>
        <w:tabs>
          <w:tab w:val="clear" w:pos="567"/>
        </w:tabs>
        <w:spacing w:after="240" w:line="240" w:lineRule="auto"/>
        <w:ind w:left="426" w:hanging="426"/>
        <w:rPr>
          <w:sz w:val="24"/>
          <w:szCs w:val="24"/>
        </w:rPr>
      </w:pPr>
      <w:r w:rsidRPr="00D53A2B">
        <w:rPr>
          <w:sz w:val="24"/>
          <w:szCs w:val="24"/>
        </w:rPr>
        <w:t>Çözelti bakımı ve katkı maddeleri yoluyla süreç çözeltilerinin iletkenliğini artırın</w:t>
      </w:r>
    </w:p>
    <w:p w14:paraId="0F3EBFD0" w14:textId="018434E5" w:rsidR="00A337D1" w:rsidRPr="00D53A2B" w:rsidRDefault="00A337D1" w:rsidP="00602365">
      <w:pPr>
        <w:pStyle w:val="ListeParagraf"/>
        <w:numPr>
          <w:ilvl w:val="0"/>
          <w:numId w:val="185"/>
        </w:numPr>
        <w:tabs>
          <w:tab w:val="clear" w:pos="567"/>
        </w:tabs>
        <w:spacing w:after="240" w:line="240" w:lineRule="auto"/>
        <w:ind w:left="426" w:hanging="426"/>
        <w:rPr>
          <w:sz w:val="24"/>
          <w:szCs w:val="24"/>
        </w:rPr>
      </w:pPr>
      <w:r w:rsidRPr="00D53A2B">
        <w:rPr>
          <w:sz w:val="24"/>
          <w:szCs w:val="24"/>
        </w:rPr>
        <w:t>Teknolojinin mevcut olduğu durumda metal birikintilerini iyileştirmek için değiştirilmiş dalga formlarını (örneğin, sinyal, ters dalga) kullanın.</w:t>
      </w:r>
    </w:p>
    <w:p w14:paraId="0DB0320A" w14:textId="32E07D83" w:rsidR="00A337D1" w:rsidRPr="00D53A2B" w:rsidRDefault="00A337D1" w:rsidP="00602365">
      <w:pPr>
        <w:pStyle w:val="Balk4"/>
        <w:numPr>
          <w:ilvl w:val="3"/>
          <w:numId w:val="152"/>
        </w:numPr>
        <w:ind w:left="851" w:hanging="851"/>
        <w:rPr>
          <w:rFonts w:cs="Times New Roman"/>
        </w:rPr>
      </w:pPr>
      <w:r w:rsidRPr="00D53A2B">
        <w:rPr>
          <w:rFonts w:cs="Times New Roman"/>
        </w:rPr>
        <w:t>Isıtma</w:t>
      </w:r>
    </w:p>
    <w:p w14:paraId="429BB956" w14:textId="0CC27168" w:rsidR="00A337D1" w:rsidRPr="00D53A2B" w:rsidRDefault="00A337D1" w:rsidP="00A202FD">
      <w:pPr>
        <w:jc w:val="both"/>
      </w:pPr>
      <w:r w:rsidRPr="00D53A2B">
        <w:t>Bölüm 4.4.2</w:t>
      </w:r>
      <w:r w:rsidR="00E56504" w:rsidRPr="00D53A2B">
        <w:t>’</w:t>
      </w:r>
      <w:r w:rsidRPr="00D53A2B">
        <w:t>de farklı ısıtma teknikleri açıklanmıştır.</w:t>
      </w:r>
    </w:p>
    <w:p w14:paraId="6B220194" w14:textId="77777777" w:rsidR="00A337D1" w:rsidRPr="00D53A2B" w:rsidRDefault="00A337D1" w:rsidP="00A202FD">
      <w:pPr>
        <w:jc w:val="both"/>
      </w:pPr>
    </w:p>
    <w:p w14:paraId="58D2A51A" w14:textId="0656CA28" w:rsidR="00A337D1" w:rsidRPr="00D53A2B" w:rsidRDefault="00A337D1" w:rsidP="00A202FD">
      <w:pPr>
        <w:jc w:val="both"/>
      </w:pPr>
      <w:r w:rsidRPr="00D53A2B">
        <w:t>Elektrikli daldırma ısıtıcıları veya bir tanka doğrudan ısıtma uygulandığında, tankın kurumasını önlemek için manuel veya otomatik olarak tankın izlenmesiyle yangınların önlenmesi MET</w:t>
      </w:r>
      <w:r w:rsidR="00E56504" w:rsidRPr="00D53A2B">
        <w:t>’</w:t>
      </w:r>
      <w:r w:rsidRPr="00D53A2B">
        <w:t>tir.</w:t>
      </w:r>
    </w:p>
    <w:p w14:paraId="379033A4" w14:textId="77777777" w:rsidR="00C171D2" w:rsidRPr="00D53A2B" w:rsidRDefault="00C171D2" w:rsidP="00A202FD">
      <w:pPr>
        <w:jc w:val="both"/>
      </w:pPr>
    </w:p>
    <w:p w14:paraId="6465823C" w14:textId="743925A0" w:rsidR="00A337D1" w:rsidRPr="00D53A2B" w:rsidRDefault="00A337D1" w:rsidP="00602365">
      <w:pPr>
        <w:pStyle w:val="Balk4"/>
        <w:numPr>
          <w:ilvl w:val="3"/>
          <w:numId w:val="152"/>
        </w:numPr>
        <w:ind w:left="851" w:hanging="851"/>
        <w:rPr>
          <w:rFonts w:cs="Times New Roman"/>
        </w:rPr>
      </w:pPr>
      <w:r w:rsidRPr="00D53A2B">
        <w:rPr>
          <w:rFonts w:cs="Times New Roman"/>
        </w:rPr>
        <w:t xml:space="preserve">Isı kayıplarının azaltılması </w:t>
      </w:r>
    </w:p>
    <w:p w14:paraId="6ABDB9A8" w14:textId="2D9BD985" w:rsidR="00C171D2" w:rsidRPr="00D53A2B" w:rsidRDefault="00A337D1" w:rsidP="00A202FD">
      <w:pPr>
        <w:jc w:val="both"/>
      </w:pPr>
      <w:r w:rsidRPr="00D53A2B">
        <w:t>Isı kayıplarını azaltmak için MET (bkz. Bölüm 4.4.3):</w:t>
      </w:r>
    </w:p>
    <w:p w14:paraId="21EA9F66" w14:textId="277802F5" w:rsidR="00A337D1" w:rsidRPr="00D53A2B" w:rsidRDefault="00A337D1" w:rsidP="00602365">
      <w:pPr>
        <w:pStyle w:val="ListeParagraf"/>
        <w:numPr>
          <w:ilvl w:val="0"/>
          <w:numId w:val="186"/>
        </w:numPr>
        <w:tabs>
          <w:tab w:val="clear" w:pos="567"/>
        </w:tabs>
        <w:spacing w:line="240" w:lineRule="auto"/>
        <w:ind w:left="426" w:hanging="426"/>
        <w:rPr>
          <w:sz w:val="24"/>
          <w:szCs w:val="24"/>
        </w:rPr>
      </w:pPr>
      <w:r w:rsidRPr="00D53A2B">
        <w:rPr>
          <w:sz w:val="24"/>
          <w:szCs w:val="24"/>
        </w:rPr>
        <w:t>Isı geri kazanımı için fırsatlar aramak.</w:t>
      </w:r>
    </w:p>
    <w:p w14:paraId="3C4B2365" w14:textId="78B2F79B" w:rsidR="00C171D2" w:rsidRPr="00D53A2B" w:rsidRDefault="00A337D1" w:rsidP="00602365">
      <w:pPr>
        <w:pStyle w:val="ListeParagraf"/>
        <w:numPr>
          <w:ilvl w:val="0"/>
          <w:numId w:val="186"/>
        </w:numPr>
        <w:tabs>
          <w:tab w:val="clear" w:pos="567"/>
        </w:tabs>
        <w:spacing w:line="240" w:lineRule="auto"/>
        <w:ind w:left="426" w:hanging="426"/>
        <w:rPr>
          <w:sz w:val="24"/>
          <w:szCs w:val="24"/>
        </w:rPr>
      </w:pPr>
      <w:r w:rsidRPr="00D53A2B">
        <w:rPr>
          <w:sz w:val="24"/>
          <w:szCs w:val="24"/>
        </w:rPr>
        <w:t>Bölüm 4.4.3 ve 4.18.3</w:t>
      </w:r>
      <w:r w:rsidR="00E56504" w:rsidRPr="00D53A2B">
        <w:rPr>
          <w:sz w:val="24"/>
          <w:szCs w:val="24"/>
        </w:rPr>
        <w:t>’</w:t>
      </w:r>
      <w:r w:rsidRPr="00D53A2B">
        <w:rPr>
          <w:sz w:val="24"/>
          <w:szCs w:val="24"/>
        </w:rPr>
        <w:t>te açıklanan tekniklerden biriyle ısıtılmış çözeltilerden çıkarılan hava miktarını azaltmak.</w:t>
      </w:r>
    </w:p>
    <w:p w14:paraId="69793236" w14:textId="27D3AD88" w:rsidR="00A337D1" w:rsidRPr="00D53A2B" w:rsidRDefault="00A337D1" w:rsidP="00602365">
      <w:pPr>
        <w:pStyle w:val="ListeParagraf"/>
        <w:numPr>
          <w:ilvl w:val="0"/>
          <w:numId w:val="186"/>
        </w:numPr>
        <w:tabs>
          <w:tab w:val="clear" w:pos="567"/>
        </w:tabs>
        <w:spacing w:line="240" w:lineRule="auto"/>
        <w:ind w:left="426" w:hanging="426"/>
        <w:rPr>
          <w:sz w:val="24"/>
          <w:szCs w:val="24"/>
        </w:rPr>
      </w:pPr>
      <w:r w:rsidRPr="00D53A2B">
        <w:rPr>
          <w:sz w:val="24"/>
          <w:szCs w:val="24"/>
        </w:rPr>
        <w:t>Proses çözümü bileşimini ve çalışma sıcaklığı aralığını optimize etme. Proseslerin sıcaklığını izleyin ve bu optimize edilmiş proses aralıkları içinde kontrol edin, bkz. Bölümler 4.1.1, 4.1.3 ve 4.4.3.</w:t>
      </w:r>
    </w:p>
    <w:p w14:paraId="02EDB10A" w14:textId="52118B36" w:rsidR="00A337D1" w:rsidRPr="00D53A2B" w:rsidRDefault="00A337D1" w:rsidP="00602365">
      <w:pPr>
        <w:pStyle w:val="ListeParagraf"/>
        <w:numPr>
          <w:ilvl w:val="0"/>
          <w:numId w:val="186"/>
        </w:numPr>
        <w:tabs>
          <w:tab w:val="clear" w:pos="567"/>
        </w:tabs>
        <w:spacing w:line="240" w:lineRule="auto"/>
        <w:ind w:left="426" w:hanging="426"/>
        <w:rPr>
          <w:sz w:val="24"/>
          <w:szCs w:val="24"/>
        </w:rPr>
      </w:pPr>
      <w:r w:rsidRPr="00D53A2B">
        <w:rPr>
          <w:sz w:val="24"/>
          <w:szCs w:val="24"/>
        </w:rPr>
        <w:t>Isıtmalı çözelti tanklarının aşağıdaki tekniklerden bir veya daha fazlasıyla yalıtılması:</w:t>
      </w:r>
    </w:p>
    <w:p w14:paraId="601145D7" w14:textId="1ACC5FA8" w:rsidR="00A337D1" w:rsidRPr="00BF4451" w:rsidRDefault="00A337D1" w:rsidP="009077F5">
      <w:pPr>
        <w:ind w:left="425"/>
      </w:pPr>
      <w:r w:rsidRPr="00BF4451">
        <w:t>çift cidarlı tanklar kullanma</w:t>
      </w:r>
    </w:p>
    <w:p w14:paraId="11B136A7" w14:textId="77777777" w:rsidR="00A337D1" w:rsidRPr="00BF4451" w:rsidRDefault="00A337D1" w:rsidP="009077F5">
      <w:pPr>
        <w:ind w:left="425"/>
      </w:pPr>
      <w:r w:rsidRPr="00BF4451">
        <w:t>önceden yalıtılmış tanklar kullanma</w:t>
      </w:r>
    </w:p>
    <w:p w14:paraId="2677A395" w14:textId="568A6D92" w:rsidR="00A337D1" w:rsidRPr="00A26EE8" w:rsidRDefault="00A337D1" w:rsidP="009077F5">
      <w:pPr>
        <w:ind w:left="425"/>
      </w:pPr>
      <w:r w:rsidRPr="00CB4CD4">
        <w:t>yalıtım uygulama</w:t>
      </w:r>
    </w:p>
    <w:p w14:paraId="7F3839AD" w14:textId="3D1A9763" w:rsidR="00A337D1" w:rsidRPr="00D53A2B" w:rsidRDefault="00A337D1" w:rsidP="00602365">
      <w:pPr>
        <w:pStyle w:val="ListeParagraf"/>
        <w:numPr>
          <w:ilvl w:val="0"/>
          <w:numId w:val="188"/>
        </w:numPr>
        <w:tabs>
          <w:tab w:val="clear" w:pos="567"/>
        </w:tabs>
        <w:spacing w:line="240" w:lineRule="auto"/>
        <w:ind w:left="426" w:hanging="426"/>
        <w:rPr>
          <w:sz w:val="24"/>
          <w:szCs w:val="24"/>
        </w:rPr>
      </w:pPr>
      <w:r w:rsidRPr="00D53A2B">
        <w:rPr>
          <w:sz w:val="24"/>
          <w:szCs w:val="24"/>
        </w:rPr>
        <w:t>Küre veya altıgen gibi yüzen yalıtım bölümleri kullanarak ısıtılmış tankların yüzeyini yalıtmak. İstisnalar şunlardır:</w:t>
      </w:r>
    </w:p>
    <w:p w14:paraId="527EEA4E" w14:textId="450F03A0" w:rsidR="00A337D1" w:rsidRPr="00BF4451" w:rsidRDefault="00A337D1" w:rsidP="009077F5">
      <w:pPr>
        <w:pStyle w:val="ListeParagraf"/>
        <w:numPr>
          <w:ilvl w:val="0"/>
          <w:numId w:val="188"/>
        </w:numPr>
      </w:pPr>
      <w:r w:rsidRPr="00BF4451">
        <w:t>Raflardaki iş parçaları küçük ve hafiftir ve izolasyon nedeniyle yerinden oynayabilir.</w:t>
      </w:r>
    </w:p>
    <w:p w14:paraId="790A613A" w14:textId="20F746F6" w:rsidR="00A337D1" w:rsidRPr="00BF4451" w:rsidRDefault="00A337D1" w:rsidP="009077F5">
      <w:pPr>
        <w:pStyle w:val="ListeParagraf"/>
        <w:numPr>
          <w:ilvl w:val="0"/>
          <w:numId w:val="188"/>
        </w:numPr>
      </w:pPr>
      <w:r w:rsidRPr="00BF4451">
        <w:t>İş parçaları, yalıtım bölümlerini (örneğin araç gövdeleri) sıkıştıracak kadar büyüktür.</w:t>
      </w:r>
    </w:p>
    <w:p w14:paraId="04849D93" w14:textId="27C61D4D" w:rsidR="00A337D1" w:rsidRPr="00BF4451" w:rsidRDefault="00A337D1" w:rsidP="009077F5">
      <w:pPr>
        <w:pStyle w:val="ListeParagraf"/>
        <w:numPr>
          <w:ilvl w:val="0"/>
          <w:numId w:val="188"/>
        </w:numPr>
      </w:pPr>
      <w:r w:rsidRPr="00CB4CD4">
        <w:t>Yalıtım bölümleri tanktaki arıtma işlemini maskeleyebilir veya başka şekillerde engelleyebilir.</w:t>
      </w:r>
    </w:p>
    <w:p w14:paraId="2D9D2765" w14:textId="252E1BF0" w:rsidR="00A337D1" w:rsidRPr="00D53A2B" w:rsidRDefault="00A337D1" w:rsidP="00A202FD">
      <w:pPr>
        <w:jc w:val="both"/>
      </w:pPr>
      <w:r w:rsidRPr="00D53A2B">
        <w:t>Buharlaşmanın enerji talebini artırdığı ısıtılmış proses çözümlerinde hava karıştırmanın kullanılması MET değildir (bkz. Bölüm 5.1.3).</w:t>
      </w:r>
    </w:p>
    <w:p w14:paraId="6C094A78" w14:textId="77777777" w:rsidR="00C171D2" w:rsidRPr="00D53A2B" w:rsidRDefault="00C171D2" w:rsidP="00A202FD">
      <w:pPr>
        <w:jc w:val="both"/>
      </w:pPr>
    </w:p>
    <w:p w14:paraId="0DCD6D39" w14:textId="633F34F2" w:rsidR="00530848" w:rsidRPr="00D53A2B" w:rsidRDefault="00530848" w:rsidP="00602365">
      <w:pPr>
        <w:pStyle w:val="Balk4"/>
        <w:numPr>
          <w:ilvl w:val="3"/>
          <w:numId w:val="152"/>
        </w:numPr>
        <w:ind w:left="851" w:hanging="851"/>
        <w:rPr>
          <w:rFonts w:cs="Times New Roman"/>
        </w:rPr>
      </w:pPr>
      <w:r w:rsidRPr="00D53A2B">
        <w:rPr>
          <w:rFonts w:cs="Times New Roman"/>
        </w:rPr>
        <w:t xml:space="preserve">Soğutma </w:t>
      </w:r>
    </w:p>
    <w:p w14:paraId="36276274" w14:textId="491D8017" w:rsidR="00530848" w:rsidRPr="00D53A2B" w:rsidRDefault="00881E43" w:rsidP="00A202FD">
      <w:pPr>
        <w:jc w:val="both"/>
      </w:pPr>
      <w:r w:rsidRPr="00D53A2B">
        <w:t>Soğutma, Bölüm 4.4.4</w:t>
      </w:r>
      <w:r w:rsidR="00E56504" w:rsidRPr="00D53A2B">
        <w:t>’</w:t>
      </w:r>
      <w:r w:rsidRPr="00D53A2B">
        <w:t>te açıklanmıştır. Aşağıdakiler MET</w:t>
      </w:r>
      <w:r w:rsidR="00E56504" w:rsidRPr="00D53A2B">
        <w:t>’</w:t>
      </w:r>
      <w:r w:rsidRPr="00D53A2B">
        <w:t>tir:</w:t>
      </w:r>
    </w:p>
    <w:p w14:paraId="24675BB3" w14:textId="60F47356" w:rsidR="00530848" w:rsidRPr="00D53A2B" w:rsidRDefault="00881E43" w:rsidP="00602365">
      <w:pPr>
        <w:pStyle w:val="ListeParagraf"/>
        <w:numPr>
          <w:ilvl w:val="0"/>
          <w:numId w:val="188"/>
        </w:numPr>
        <w:tabs>
          <w:tab w:val="clear" w:pos="567"/>
        </w:tabs>
        <w:spacing w:line="240" w:lineRule="auto"/>
        <w:ind w:left="426" w:hanging="426"/>
        <w:rPr>
          <w:sz w:val="24"/>
          <w:szCs w:val="24"/>
        </w:rPr>
      </w:pPr>
      <w:r w:rsidRPr="00D53A2B">
        <w:rPr>
          <w:sz w:val="24"/>
          <w:szCs w:val="24"/>
        </w:rPr>
        <w:t>Proses çözümü bileşimini ve çalışma sıcaklığı aralığını optimize ederek aşırı soğutmayı önleyin. Proseslerin sıcaklığını izleyin ve bu optimize edilmiş proses aralıkları içinde kontrol edin, bkz. Bölüm 4.1.1 ve 4.1.3.</w:t>
      </w:r>
    </w:p>
    <w:p w14:paraId="2C5B1F25" w14:textId="205CAB88" w:rsidR="00881E43" w:rsidRPr="00D53A2B" w:rsidRDefault="00881E43" w:rsidP="00602365">
      <w:pPr>
        <w:pStyle w:val="ListeParagraf"/>
        <w:numPr>
          <w:ilvl w:val="0"/>
          <w:numId w:val="188"/>
        </w:numPr>
        <w:tabs>
          <w:tab w:val="clear" w:pos="567"/>
        </w:tabs>
        <w:spacing w:line="240" w:lineRule="auto"/>
        <w:ind w:left="426" w:hanging="426"/>
        <w:rPr>
          <w:sz w:val="24"/>
          <w:szCs w:val="24"/>
        </w:rPr>
      </w:pPr>
      <w:r w:rsidRPr="00D53A2B">
        <w:rPr>
          <w:sz w:val="24"/>
          <w:szCs w:val="24"/>
        </w:rPr>
        <w:t>Yeni veya yedek soğutma sistemleri için kapalı soğutmalı soğutma sistemini kullanın.</w:t>
      </w:r>
    </w:p>
    <w:p w14:paraId="48098CD1" w14:textId="0EBC5F9F" w:rsidR="00881E43" w:rsidRPr="00D53A2B" w:rsidRDefault="00881E43" w:rsidP="00602365">
      <w:pPr>
        <w:pStyle w:val="ListeParagraf"/>
        <w:numPr>
          <w:ilvl w:val="0"/>
          <w:numId w:val="188"/>
        </w:numPr>
        <w:tabs>
          <w:tab w:val="clear" w:pos="567"/>
        </w:tabs>
        <w:spacing w:line="240" w:lineRule="auto"/>
        <w:ind w:left="426" w:hanging="426"/>
        <w:rPr>
          <w:sz w:val="24"/>
          <w:szCs w:val="24"/>
        </w:rPr>
      </w:pPr>
      <w:r w:rsidRPr="00D53A2B">
        <w:rPr>
          <w:sz w:val="24"/>
          <w:szCs w:val="24"/>
        </w:rPr>
        <w:t>Buharlaştırma yoluyla proses çözümlerinden fazla enerjiyi uzaklaştırın (bkz. Bölüm 4.7.11.2) burada:</w:t>
      </w:r>
    </w:p>
    <w:p w14:paraId="485AB1B9" w14:textId="35463C56" w:rsidR="00881E43" w:rsidRPr="00BF4451" w:rsidRDefault="00F804A4" w:rsidP="009077F5">
      <w:pPr>
        <w:ind w:left="425"/>
      </w:pPr>
      <w:r>
        <w:t xml:space="preserve"> </w:t>
      </w:r>
      <w:r w:rsidR="00881E43" w:rsidRPr="00BF4451">
        <w:t>Makyaj kimyasalları için çözelti hacminin azaltılması gerekmektedir.</w:t>
      </w:r>
    </w:p>
    <w:p w14:paraId="6A0C8535" w14:textId="5A60E13E" w:rsidR="00881E43" w:rsidRPr="00CB4CD4" w:rsidRDefault="00881E43" w:rsidP="009077F5">
      <w:pPr>
        <w:ind w:left="425"/>
      </w:pPr>
      <w:r w:rsidRPr="00BF4451">
        <w:t>Buharlaştırma, prosesten su ve malzeme deşarjlarını en aza indirmek için kademeli ve/veya azaltılmış su durulama sistemleriyle birleştirilebilir (bkz. Bölümler 5.1.5.4 ve 5.1.6).</w:t>
      </w:r>
    </w:p>
    <w:p w14:paraId="1AA7F08D" w14:textId="0E71BC0D" w:rsidR="00881E43" w:rsidRPr="00D53A2B" w:rsidRDefault="00881E43" w:rsidP="00602365">
      <w:pPr>
        <w:pStyle w:val="ListeParagraf"/>
        <w:numPr>
          <w:ilvl w:val="0"/>
          <w:numId w:val="191"/>
        </w:numPr>
        <w:tabs>
          <w:tab w:val="clear" w:pos="567"/>
        </w:tabs>
        <w:spacing w:line="240" w:lineRule="auto"/>
        <w:ind w:left="426" w:hanging="426"/>
        <w:rPr>
          <w:sz w:val="24"/>
          <w:szCs w:val="24"/>
        </w:rPr>
      </w:pPr>
      <w:r w:rsidRPr="00D53A2B">
        <w:rPr>
          <w:sz w:val="24"/>
          <w:szCs w:val="24"/>
        </w:rPr>
        <w:t>Enerji dengesi hesaplamasının, ilave soğutmaya kıyasla zorlamalı buharlaştırma için daha düşük bir enerji gereksinimi gösterdiği ve çözelti kimyasının stabil olduğu durumlarda, soğutma sistemi yerine bir buharlaştırıcı sistemi kurun (bkz. Bölüm 4.7.11.3).</w:t>
      </w:r>
    </w:p>
    <w:p w14:paraId="21084CC4" w14:textId="77777777" w:rsidR="00530848" w:rsidRPr="00D53A2B" w:rsidRDefault="00530848" w:rsidP="00A202FD">
      <w:pPr>
        <w:jc w:val="both"/>
      </w:pPr>
    </w:p>
    <w:p w14:paraId="2F5765AC" w14:textId="0C027F8E" w:rsidR="00881E43" w:rsidRPr="00D53A2B" w:rsidRDefault="00881E43" w:rsidP="00A202FD">
      <w:pPr>
        <w:jc w:val="both"/>
      </w:pPr>
      <w:r w:rsidRPr="00D53A2B">
        <w:t>Lejyonella oluşumunu ve bulaşmasını önlemek için açık soğutma sistemlerini tasarlamak, yerleştirmek ve sürdürmek MET</w:t>
      </w:r>
      <w:r w:rsidR="00E56504" w:rsidRPr="00D53A2B">
        <w:t>’</w:t>
      </w:r>
      <w:r w:rsidRPr="00D53A2B">
        <w:t>tir (bkz. Bölüm 4.4.4.1).</w:t>
      </w:r>
    </w:p>
    <w:p w14:paraId="46E45718" w14:textId="77777777" w:rsidR="00881E43" w:rsidRPr="00D53A2B" w:rsidRDefault="00881E43" w:rsidP="00A202FD">
      <w:pPr>
        <w:jc w:val="both"/>
      </w:pPr>
    </w:p>
    <w:p w14:paraId="000DC919" w14:textId="6E1D7494" w:rsidR="00530848" w:rsidRPr="00D53A2B" w:rsidRDefault="00881E43" w:rsidP="00A202FD">
      <w:pPr>
        <w:jc w:val="both"/>
      </w:pPr>
      <w:r w:rsidRPr="00D53A2B">
        <w:t>Yerel su kaynaklarının izin verdiği veya suyun yeniden kullanılabileceği durumlar haricinde tek geçişli su soğutma sistemlerini kullanmak METdeğildir (bkz. Bölüm 4.4.4.1).</w:t>
      </w:r>
    </w:p>
    <w:p w14:paraId="0E203312" w14:textId="77777777" w:rsidR="00530848" w:rsidRPr="00D53A2B" w:rsidRDefault="00530848" w:rsidP="00A202FD">
      <w:pPr>
        <w:jc w:val="both"/>
      </w:pPr>
    </w:p>
    <w:p w14:paraId="5DAC9885" w14:textId="7B5A488A" w:rsidR="00881E43" w:rsidRPr="00D53A2B" w:rsidRDefault="00881E43" w:rsidP="00602365">
      <w:pPr>
        <w:pStyle w:val="Balk3"/>
        <w:numPr>
          <w:ilvl w:val="2"/>
          <w:numId w:val="152"/>
        </w:numPr>
        <w:ind w:left="709"/>
        <w:rPr>
          <w:rFonts w:cs="Times New Roman"/>
        </w:rPr>
      </w:pPr>
      <w:r w:rsidRPr="00D53A2B">
        <w:rPr>
          <w:rFonts w:cs="Times New Roman"/>
        </w:rPr>
        <w:t xml:space="preserve">Su ve malzeme atıklarının minimizasyonu </w:t>
      </w:r>
    </w:p>
    <w:p w14:paraId="20B03B89" w14:textId="77777777" w:rsidR="00530848" w:rsidRPr="00D53A2B" w:rsidRDefault="00530848" w:rsidP="00A202FD">
      <w:pPr>
        <w:jc w:val="both"/>
      </w:pPr>
    </w:p>
    <w:p w14:paraId="325347FB" w14:textId="47281921" w:rsidR="00530848" w:rsidRPr="00D53A2B" w:rsidRDefault="006E2A36" w:rsidP="00A202FD">
      <w:pPr>
        <w:pStyle w:val="MET"/>
        <w:rPr>
          <w:szCs w:val="24"/>
        </w:rPr>
      </w:pPr>
      <w:r w:rsidRPr="00D53A2B">
        <w:rPr>
          <w:szCs w:val="24"/>
        </w:rPr>
        <w:t xml:space="preserve">MET 10: </w:t>
      </w:r>
      <w:r w:rsidRPr="00D53A2B">
        <w:rPr>
          <w:b w:val="0"/>
          <w:bCs/>
          <w:szCs w:val="24"/>
        </w:rPr>
        <w:t>Sektörde hammadde kayıplarının büyük kısmı atıksularda meydana geldiğinden, su ve hammadde kayıplarının en aza indirilmesi aşağıdaki bölümlerde birlikte ele alınır.</w:t>
      </w:r>
    </w:p>
    <w:p w14:paraId="19635443" w14:textId="713E2228" w:rsidR="00881E43" w:rsidRPr="00D53A2B" w:rsidRDefault="00AE07CB" w:rsidP="00602365">
      <w:pPr>
        <w:pStyle w:val="Balk4"/>
        <w:numPr>
          <w:ilvl w:val="3"/>
          <w:numId w:val="152"/>
        </w:numPr>
        <w:ind w:left="851" w:hanging="851"/>
        <w:rPr>
          <w:rFonts w:cs="Times New Roman"/>
        </w:rPr>
      </w:pPr>
      <w:r w:rsidRPr="00D53A2B">
        <w:rPr>
          <w:rFonts w:cs="Times New Roman"/>
        </w:rPr>
        <w:t xml:space="preserve"> Proses suyun</w:t>
      </w:r>
      <w:r w:rsidR="009E7767" w:rsidRPr="00D53A2B">
        <w:rPr>
          <w:rFonts w:cs="Times New Roman"/>
        </w:rPr>
        <w:t>un</w:t>
      </w:r>
      <w:r w:rsidRPr="00D53A2B">
        <w:rPr>
          <w:rFonts w:cs="Times New Roman"/>
        </w:rPr>
        <w:t xml:space="preserve"> minimuma indirilmesi</w:t>
      </w:r>
    </w:p>
    <w:p w14:paraId="11AA8844" w14:textId="6D6B8CE8" w:rsidR="00881E43" w:rsidRPr="00D53A2B" w:rsidRDefault="00AE07CB" w:rsidP="00A202FD">
      <w:pPr>
        <w:jc w:val="both"/>
      </w:pPr>
      <w:r w:rsidRPr="00D53A2B">
        <w:t>Su kullanımını en aza indirmek için MET:</w:t>
      </w:r>
    </w:p>
    <w:p w14:paraId="14CE864B" w14:textId="40E5E648" w:rsidR="00881E43" w:rsidRPr="00D53A2B" w:rsidRDefault="00AE07CB" w:rsidP="00602365">
      <w:pPr>
        <w:pStyle w:val="ListeParagraf"/>
        <w:numPr>
          <w:ilvl w:val="0"/>
          <w:numId w:val="191"/>
        </w:numPr>
        <w:tabs>
          <w:tab w:val="clear" w:pos="567"/>
        </w:tabs>
        <w:spacing w:line="240" w:lineRule="auto"/>
        <w:ind w:left="426" w:hanging="426"/>
        <w:rPr>
          <w:sz w:val="24"/>
          <w:szCs w:val="24"/>
        </w:rPr>
      </w:pPr>
      <w:r w:rsidRPr="00D53A2B">
        <w:rPr>
          <w:sz w:val="24"/>
          <w:szCs w:val="24"/>
        </w:rPr>
        <w:t>Bir kurulumdaki tüm su ve malzeme kullanım noktalarını izleyerek, bilgileri kullanıma ve gerekli kontrol bilgilerine göre düzenli olarak kaydedin (bkz. Bölüm 4.4.5.2). Bilgiler kıyaslama ve çevre yönetim sistemi için kullanılır, bkz. Bölüm 5.1.1.4.</w:t>
      </w:r>
    </w:p>
    <w:p w14:paraId="3CDDC5BC" w14:textId="59378B68" w:rsidR="00AE07CB" w:rsidRPr="00D53A2B" w:rsidRDefault="00AE07CB" w:rsidP="00602365">
      <w:pPr>
        <w:pStyle w:val="ListeParagraf"/>
        <w:numPr>
          <w:ilvl w:val="0"/>
          <w:numId w:val="191"/>
        </w:numPr>
        <w:tabs>
          <w:tab w:val="clear" w:pos="567"/>
        </w:tabs>
        <w:spacing w:line="240" w:lineRule="auto"/>
        <w:ind w:left="426" w:hanging="426"/>
        <w:rPr>
          <w:sz w:val="24"/>
          <w:szCs w:val="24"/>
        </w:rPr>
      </w:pPr>
      <w:r w:rsidRPr="00D53A2B">
        <w:rPr>
          <w:sz w:val="24"/>
          <w:szCs w:val="24"/>
        </w:rPr>
        <w:t>Bölüm 4.4.5.1, 4.7.8, 4.7.12</w:t>
      </w:r>
      <w:r w:rsidR="00E56504" w:rsidRPr="00D53A2B">
        <w:rPr>
          <w:sz w:val="24"/>
          <w:szCs w:val="24"/>
        </w:rPr>
        <w:t>’</w:t>
      </w:r>
      <w:r w:rsidRPr="00D53A2B">
        <w:rPr>
          <w:sz w:val="24"/>
          <w:szCs w:val="24"/>
        </w:rPr>
        <w:t>de açıklanan ve Bölüm 4.10</w:t>
      </w:r>
      <w:r w:rsidR="00E56504" w:rsidRPr="00D53A2B">
        <w:rPr>
          <w:sz w:val="24"/>
          <w:szCs w:val="24"/>
        </w:rPr>
        <w:t>’</w:t>
      </w:r>
      <w:r w:rsidRPr="00D53A2B">
        <w:rPr>
          <w:sz w:val="24"/>
          <w:szCs w:val="24"/>
        </w:rPr>
        <w:t>da atıfta bulunulan tekniklerden biriyle durulama çözeltilerinden suyun geri kazanılması ve geri kazanılan suyun kalitesine uygun bir işlemde yeniden kullanılması (bkz. Bölüm 5.1.5.1).</w:t>
      </w:r>
    </w:p>
    <w:p w14:paraId="6F1A2EC2" w14:textId="664526A1" w:rsidR="00AE07CB" w:rsidRPr="00D53A2B" w:rsidRDefault="00AE07CB" w:rsidP="00602365">
      <w:pPr>
        <w:pStyle w:val="ListeParagraf"/>
        <w:numPr>
          <w:ilvl w:val="0"/>
          <w:numId w:val="191"/>
        </w:numPr>
        <w:tabs>
          <w:tab w:val="clear" w:pos="567"/>
        </w:tabs>
        <w:spacing w:line="240" w:lineRule="auto"/>
        <w:ind w:left="426" w:hanging="426"/>
        <w:rPr>
          <w:sz w:val="24"/>
          <w:szCs w:val="24"/>
        </w:rPr>
      </w:pPr>
      <w:r w:rsidRPr="00D53A2B">
        <w:rPr>
          <w:sz w:val="24"/>
          <w:szCs w:val="24"/>
        </w:rPr>
        <w:t>Sıralı aktivitelerde uyumlu kimyasalların kullanılmasıyla aktiviteler arasında durulama ihtiyacının ortadan kaldırılması (bkz. Bölüm 4.6.2).</w:t>
      </w:r>
    </w:p>
    <w:p w14:paraId="4B983978" w14:textId="77777777" w:rsidR="00881E43" w:rsidRPr="00D53A2B" w:rsidRDefault="00881E43" w:rsidP="00A202FD">
      <w:pPr>
        <w:jc w:val="both"/>
      </w:pPr>
    </w:p>
    <w:p w14:paraId="06ECEADB" w14:textId="1579147D" w:rsidR="00AE07CB" w:rsidRPr="00D53A2B" w:rsidRDefault="009E7767" w:rsidP="00602365">
      <w:pPr>
        <w:pStyle w:val="Balk4"/>
        <w:numPr>
          <w:ilvl w:val="3"/>
          <w:numId w:val="152"/>
        </w:numPr>
        <w:ind w:left="851" w:hanging="851"/>
        <w:rPr>
          <w:rFonts w:cs="Times New Roman"/>
        </w:rPr>
      </w:pPr>
      <w:r w:rsidRPr="00D53A2B">
        <w:rPr>
          <w:rFonts w:cs="Times New Roman"/>
        </w:rPr>
        <w:t>Sızmanın azaltılması</w:t>
      </w:r>
    </w:p>
    <w:p w14:paraId="2EE197A7" w14:textId="6F288733" w:rsidR="00530848" w:rsidRPr="00D53A2B" w:rsidRDefault="00AE07CB" w:rsidP="00A202FD">
      <w:pPr>
        <w:jc w:val="both"/>
      </w:pPr>
      <w:r w:rsidRPr="00D53A2B">
        <w:t>Önceki durulamadan kaynaklanan fazla suyun sürüklenmesini azaltmak için eko durulama (veya ön daldırma) tankı kullanmak, yeni hatlar veya yükseltmeler için MET</w:t>
      </w:r>
      <w:r w:rsidR="00E56504" w:rsidRPr="00D53A2B">
        <w:t>’</w:t>
      </w:r>
      <w:r w:rsidRPr="00D53A2B">
        <w:t>tir (bkz. Bölüm 4.5). Partiküllerin birikmesi, filtreleme yoluyla gerekli kalite seviyesine kontrol edilebilir.</w:t>
      </w:r>
    </w:p>
    <w:p w14:paraId="1FA37B36" w14:textId="77777777" w:rsidR="00AE07CB" w:rsidRPr="00D53A2B" w:rsidRDefault="00AE07CB" w:rsidP="00A202FD">
      <w:pPr>
        <w:jc w:val="both"/>
      </w:pPr>
    </w:p>
    <w:p w14:paraId="572CADE8" w14:textId="0B2387D0" w:rsidR="00AE07CB" w:rsidRPr="00D53A2B" w:rsidRDefault="00AE07CB" w:rsidP="00A202FD">
      <w:pPr>
        <w:jc w:val="both"/>
      </w:pPr>
      <w:r w:rsidRPr="00D53A2B">
        <w:t xml:space="preserve">Bu ayrıca, diğer </w:t>
      </w:r>
      <w:r w:rsidR="009E7767" w:rsidRPr="00D53A2B">
        <w:t>dışa sürüklenme</w:t>
      </w:r>
      <w:r w:rsidRPr="00D53A2B">
        <w:t xml:space="preserve"> ve durulama teknikleriyle birlikte </w:t>
      </w:r>
      <w:r w:rsidR="009E7767" w:rsidRPr="00D53A2B">
        <w:t>dışa sürüklenme</w:t>
      </w:r>
      <w:r w:rsidRPr="00D53A2B">
        <w:t xml:space="preserve"> azaltılmasına da yardımcı olur (bkz. Bölüm 4.7.4, 4.7.11, 4.7.12 ve 5.1.5.3).</w:t>
      </w:r>
    </w:p>
    <w:p w14:paraId="0D5F74C8" w14:textId="77777777" w:rsidR="00AE07CB" w:rsidRPr="00D53A2B" w:rsidRDefault="00AE07CB" w:rsidP="00A202FD">
      <w:pPr>
        <w:jc w:val="both"/>
      </w:pPr>
    </w:p>
    <w:p w14:paraId="1B97DD95" w14:textId="0D7EF760" w:rsidR="00530848" w:rsidRPr="00D53A2B" w:rsidRDefault="00AE07CB" w:rsidP="00A202FD">
      <w:pPr>
        <w:jc w:val="both"/>
      </w:pPr>
      <w:r w:rsidRPr="00D53A2B">
        <w:t>Eko durulama (ön daldırma) şu durumlarda kullanılamaz:</w:t>
      </w:r>
    </w:p>
    <w:p w14:paraId="3E82D161" w14:textId="3A39D658" w:rsidR="00AE07CB" w:rsidRPr="00D53A2B" w:rsidRDefault="00AE07CB" w:rsidP="00602365">
      <w:pPr>
        <w:pStyle w:val="ListeParagraf"/>
        <w:numPr>
          <w:ilvl w:val="0"/>
          <w:numId w:val="192"/>
        </w:numPr>
        <w:tabs>
          <w:tab w:val="clear" w:pos="567"/>
        </w:tabs>
        <w:spacing w:line="240" w:lineRule="auto"/>
        <w:ind w:left="426" w:hanging="426"/>
        <w:rPr>
          <w:sz w:val="24"/>
          <w:szCs w:val="24"/>
        </w:rPr>
      </w:pPr>
      <w:r w:rsidRPr="00D53A2B">
        <w:rPr>
          <w:sz w:val="24"/>
          <w:szCs w:val="24"/>
        </w:rPr>
        <w:t>Sonraki proseslerde (kısmi kimyasal ön kaplama gibi) sorun oluşması durumunda.</w:t>
      </w:r>
    </w:p>
    <w:p w14:paraId="35EEC5D0" w14:textId="0B7EA0CF" w:rsidR="00AE07CB" w:rsidRPr="00D53A2B" w:rsidRDefault="00AE07CB" w:rsidP="00602365">
      <w:pPr>
        <w:pStyle w:val="ListeParagraf"/>
        <w:numPr>
          <w:ilvl w:val="0"/>
          <w:numId w:val="192"/>
        </w:numPr>
        <w:tabs>
          <w:tab w:val="clear" w:pos="567"/>
        </w:tabs>
        <w:spacing w:line="240" w:lineRule="auto"/>
        <w:ind w:left="426" w:hanging="426"/>
        <w:rPr>
          <w:sz w:val="24"/>
          <w:szCs w:val="24"/>
        </w:rPr>
      </w:pPr>
      <w:r w:rsidRPr="00D53A2B">
        <w:rPr>
          <w:sz w:val="24"/>
          <w:szCs w:val="24"/>
        </w:rPr>
        <w:t>karusel, bobin kaplama veya makaralı hatlarda.</w:t>
      </w:r>
    </w:p>
    <w:p w14:paraId="266F713C" w14:textId="77777777" w:rsidR="00AE07CB" w:rsidRPr="00D53A2B" w:rsidRDefault="00AE07CB" w:rsidP="00602365">
      <w:pPr>
        <w:pStyle w:val="ListeParagraf"/>
        <w:numPr>
          <w:ilvl w:val="0"/>
          <w:numId w:val="192"/>
        </w:numPr>
        <w:tabs>
          <w:tab w:val="clear" w:pos="567"/>
        </w:tabs>
        <w:spacing w:line="240" w:lineRule="auto"/>
        <w:ind w:left="426" w:hanging="426"/>
        <w:rPr>
          <w:sz w:val="24"/>
          <w:szCs w:val="24"/>
        </w:rPr>
      </w:pPr>
      <w:r w:rsidRPr="00D53A2B">
        <w:rPr>
          <w:sz w:val="24"/>
          <w:szCs w:val="24"/>
        </w:rPr>
        <w:t>aşındırma veya yağdan arındırma ile</w:t>
      </w:r>
    </w:p>
    <w:p w14:paraId="370422A9" w14:textId="77777777" w:rsidR="00AE07CB" w:rsidRPr="00D53A2B" w:rsidRDefault="00AE07CB" w:rsidP="00602365">
      <w:pPr>
        <w:pStyle w:val="ListeParagraf"/>
        <w:numPr>
          <w:ilvl w:val="0"/>
          <w:numId w:val="192"/>
        </w:numPr>
        <w:tabs>
          <w:tab w:val="clear" w:pos="567"/>
        </w:tabs>
        <w:spacing w:line="240" w:lineRule="auto"/>
        <w:ind w:left="426" w:hanging="426"/>
        <w:rPr>
          <w:sz w:val="24"/>
          <w:szCs w:val="24"/>
        </w:rPr>
      </w:pPr>
      <w:r w:rsidRPr="00D53A2B">
        <w:rPr>
          <w:sz w:val="24"/>
          <w:szCs w:val="24"/>
        </w:rPr>
        <w:t>nikel hatlarında artan kalite sorunları nedeniyle</w:t>
      </w:r>
    </w:p>
    <w:p w14:paraId="19BE2336" w14:textId="513345A8" w:rsidR="00AE07CB" w:rsidRPr="00D53A2B" w:rsidRDefault="00AE07CB" w:rsidP="00602365">
      <w:pPr>
        <w:pStyle w:val="ListeParagraf"/>
        <w:numPr>
          <w:ilvl w:val="0"/>
          <w:numId w:val="192"/>
        </w:numPr>
        <w:tabs>
          <w:tab w:val="clear" w:pos="567"/>
        </w:tabs>
        <w:spacing w:line="240" w:lineRule="auto"/>
        <w:ind w:left="426" w:hanging="426"/>
        <w:rPr>
          <w:sz w:val="24"/>
          <w:szCs w:val="24"/>
        </w:rPr>
      </w:pPr>
      <w:r w:rsidRPr="00D53A2B">
        <w:rPr>
          <w:sz w:val="24"/>
          <w:szCs w:val="24"/>
        </w:rPr>
        <w:t>Eloksal kaplamada, malzeme alt tabakadan uzaklaştırılır (eklenmez).</w:t>
      </w:r>
    </w:p>
    <w:p w14:paraId="3D7E6642" w14:textId="77777777" w:rsidR="00AE07CB" w:rsidRPr="00D53A2B" w:rsidRDefault="00AE07CB" w:rsidP="00A202FD">
      <w:pPr>
        <w:jc w:val="both"/>
      </w:pPr>
    </w:p>
    <w:p w14:paraId="4780D0C9" w14:textId="34D41038" w:rsidR="005C6AF1" w:rsidRPr="00D53A2B" w:rsidRDefault="009E7767" w:rsidP="00602365">
      <w:pPr>
        <w:pStyle w:val="Balk4"/>
        <w:numPr>
          <w:ilvl w:val="3"/>
          <w:numId w:val="152"/>
        </w:numPr>
        <w:ind w:left="851" w:hanging="851"/>
        <w:rPr>
          <w:rFonts w:cs="Times New Roman"/>
        </w:rPr>
      </w:pPr>
      <w:r w:rsidRPr="00D53A2B">
        <w:rPr>
          <w:rFonts w:cs="Times New Roman"/>
        </w:rPr>
        <w:t>Dışa sürüklenmenin azaltılması</w:t>
      </w:r>
    </w:p>
    <w:p w14:paraId="05CC8551" w14:textId="4449B90A" w:rsidR="00AE07CB" w:rsidRPr="00D53A2B" w:rsidRDefault="00EE3F4C" w:rsidP="00A202FD">
      <w:pPr>
        <w:jc w:val="both"/>
      </w:pPr>
      <w:r w:rsidRPr="00D53A2B">
        <w:t>Bir proses çözeltisinden malzemelerin dışarı sürüklenmesini en aza indirmek için bu bölümde ve Bölüm 5.2.2, 5.2.3 ve 5.2.4</w:t>
      </w:r>
      <w:r w:rsidR="00E56504" w:rsidRPr="00D53A2B">
        <w:t>’</w:t>
      </w:r>
      <w:r w:rsidRPr="00D53A2B">
        <w:t>te açıklanan tekniklerden bir veya daha fazlasının kullanılması MET</w:t>
      </w:r>
      <w:r w:rsidR="00E56504" w:rsidRPr="00D53A2B">
        <w:t>’</w:t>
      </w:r>
      <w:r w:rsidRPr="00D53A2B">
        <w:t>tır (bkz. Bölüm 4.6).</w:t>
      </w:r>
    </w:p>
    <w:p w14:paraId="41C98AC9" w14:textId="77777777" w:rsidR="00EE3F4C" w:rsidRPr="00D53A2B" w:rsidRDefault="00EE3F4C" w:rsidP="00A202FD">
      <w:pPr>
        <w:jc w:val="both"/>
      </w:pPr>
    </w:p>
    <w:p w14:paraId="6B25EA6C" w14:textId="65607DDE" w:rsidR="00AE07CB" w:rsidRPr="00D53A2B" w:rsidRDefault="00EE3F4C" w:rsidP="00A202FD">
      <w:pPr>
        <w:jc w:val="both"/>
      </w:pPr>
      <w:r w:rsidRPr="00D53A2B">
        <w:t>İstisnalar şunlardır:</w:t>
      </w:r>
    </w:p>
    <w:p w14:paraId="032F698F" w14:textId="4D4537C0" w:rsidR="00EE3F4C" w:rsidRPr="00D53A2B" w:rsidRDefault="00EE3F4C" w:rsidP="00602365">
      <w:pPr>
        <w:pStyle w:val="ListeParagraf"/>
        <w:numPr>
          <w:ilvl w:val="0"/>
          <w:numId w:val="193"/>
        </w:numPr>
        <w:tabs>
          <w:tab w:val="clear" w:pos="567"/>
        </w:tabs>
        <w:spacing w:line="240" w:lineRule="auto"/>
        <w:ind w:left="426" w:hanging="426"/>
        <w:rPr>
          <w:sz w:val="24"/>
          <w:szCs w:val="24"/>
        </w:rPr>
      </w:pPr>
      <w:r w:rsidRPr="00D53A2B">
        <w:rPr>
          <w:sz w:val="24"/>
          <w:szCs w:val="24"/>
        </w:rPr>
        <w:t>Alternatif</w:t>
      </w:r>
      <w:r w:rsidR="0031317B" w:rsidRPr="00D53A2B">
        <w:rPr>
          <w:sz w:val="24"/>
          <w:szCs w:val="24"/>
        </w:rPr>
        <w:t>MET’in</w:t>
      </w:r>
      <w:r w:rsidRPr="00D53A2B">
        <w:rPr>
          <w:sz w:val="24"/>
          <w:szCs w:val="24"/>
        </w:rPr>
        <w:t xml:space="preserve"> uygulanması nedeniyle bunun gerekli olmadığı durumlarda:</w:t>
      </w:r>
    </w:p>
    <w:p w14:paraId="0FCDA80B" w14:textId="30A348DF" w:rsidR="00EE3F4C" w:rsidRPr="00BF4451" w:rsidRDefault="00EE3F4C" w:rsidP="009077F5">
      <w:pPr>
        <w:ind w:left="425"/>
      </w:pPr>
      <w:r w:rsidRPr="00BF4451">
        <w:t>sıralı kimyasal sistemlerin uyumlu olduğu durumlarda (bkz. Bölüm 5.1.5.1)</w:t>
      </w:r>
    </w:p>
    <w:p w14:paraId="6A591BC4" w14:textId="5FB467D7" w:rsidR="00EE3F4C" w:rsidRPr="00BF4451" w:rsidRDefault="00EE3F4C" w:rsidP="009077F5">
      <w:pPr>
        <w:ind w:left="425"/>
      </w:pPr>
      <w:r w:rsidRPr="00BF4451">
        <w:t>eko durulamadan sonra (daldırma öncesi, bkz. Bölüm 5.1.5.2)</w:t>
      </w:r>
    </w:p>
    <w:p w14:paraId="75B30918" w14:textId="43DEA02F" w:rsidR="00AE07CB" w:rsidRPr="00D53A2B" w:rsidRDefault="00EE3F4C" w:rsidP="00602365">
      <w:pPr>
        <w:pStyle w:val="ListeParagraf"/>
        <w:numPr>
          <w:ilvl w:val="0"/>
          <w:numId w:val="193"/>
        </w:numPr>
        <w:tabs>
          <w:tab w:val="clear" w:pos="567"/>
        </w:tabs>
        <w:spacing w:line="240" w:lineRule="auto"/>
        <w:ind w:left="426" w:hanging="426"/>
        <w:rPr>
          <w:sz w:val="24"/>
          <w:szCs w:val="24"/>
        </w:rPr>
      </w:pPr>
      <w:r w:rsidRPr="00D53A2B">
        <w:rPr>
          <w:sz w:val="24"/>
          <w:szCs w:val="24"/>
        </w:rPr>
        <w:t>Yüzeydeki reaksiyonun, hızlı seyreltme ile durdurulmasını gerektirdiği durumlarda: (Bunlar, Bölüm 5.1.5.4</w:t>
      </w:r>
      <w:r w:rsidR="00E56504" w:rsidRPr="00D53A2B">
        <w:rPr>
          <w:sz w:val="24"/>
          <w:szCs w:val="24"/>
        </w:rPr>
        <w:t>’</w:t>
      </w:r>
      <w:r w:rsidRPr="00D53A2B">
        <w:rPr>
          <w:sz w:val="24"/>
          <w:szCs w:val="24"/>
        </w:rPr>
        <w:t>te verilen durulama oranındaki azalmaya ilişkin aynı istisnalardır)</w:t>
      </w:r>
    </w:p>
    <w:p w14:paraId="39CCF3D6" w14:textId="77777777" w:rsidR="00EE3F4C" w:rsidRPr="00BF4451" w:rsidRDefault="00EE3F4C" w:rsidP="009077F5">
      <w:pPr>
        <w:ind w:left="425"/>
      </w:pPr>
      <w:r w:rsidRPr="00BF4451">
        <w:t>altı değerlikli krom pasivasyonu</w:t>
      </w:r>
    </w:p>
    <w:p w14:paraId="73282560" w14:textId="77777777" w:rsidR="00EE3F4C" w:rsidRPr="00CB4CD4" w:rsidRDefault="00EE3F4C" w:rsidP="009077F5">
      <w:pPr>
        <w:ind w:left="425"/>
      </w:pPr>
      <w:r w:rsidRPr="00BF4451">
        <w:t xml:space="preserve">Alüminyum, magnezyum ve alaşımlarının aşındırılması, parlatılması ve yalıtımı </w:t>
      </w:r>
    </w:p>
    <w:p w14:paraId="527DEEAC" w14:textId="77777777" w:rsidR="00EE3F4C" w:rsidRPr="00A26EE8" w:rsidRDefault="00EE3F4C" w:rsidP="009077F5">
      <w:pPr>
        <w:ind w:left="425"/>
      </w:pPr>
      <w:r w:rsidRPr="00A26EE8">
        <w:t xml:space="preserve">zinkat (çinko asidi) daldırma </w:t>
      </w:r>
    </w:p>
    <w:p w14:paraId="4DB991DB" w14:textId="77777777" w:rsidR="00EE3F4C" w:rsidRPr="00096112" w:rsidRDefault="00EE3F4C" w:rsidP="009077F5">
      <w:pPr>
        <w:ind w:left="425"/>
      </w:pPr>
      <w:r w:rsidRPr="00624FF6">
        <w:t xml:space="preserve">dekapaj (asitle temizleme) </w:t>
      </w:r>
    </w:p>
    <w:p w14:paraId="442CFB9A" w14:textId="4ADB8914" w:rsidR="00EE3F4C" w:rsidRPr="00096112" w:rsidRDefault="00EE3F4C" w:rsidP="009077F5">
      <w:pPr>
        <w:ind w:left="425"/>
      </w:pPr>
      <w:r w:rsidRPr="00096112">
        <w:t xml:space="preserve">plastik aktive edilirken ön daldırma </w:t>
      </w:r>
    </w:p>
    <w:p w14:paraId="62D2123D" w14:textId="77777777" w:rsidR="00EE3F4C" w:rsidRPr="00744F00" w:rsidRDefault="00EE3F4C" w:rsidP="009077F5">
      <w:pPr>
        <w:ind w:left="425"/>
      </w:pPr>
      <w:r w:rsidRPr="00096112">
        <w:t>krom kaplamadan önce aktive etme</w:t>
      </w:r>
    </w:p>
    <w:p w14:paraId="3318AE6A" w14:textId="03FED8DC" w:rsidR="00AE07CB" w:rsidRPr="00F63AE1" w:rsidRDefault="00EE3F4C" w:rsidP="009077F5">
      <w:pPr>
        <w:ind w:left="425"/>
      </w:pPr>
      <w:r w:rsidRPr="00F72785">
        <w:t>alkali</w:t>
      </w:r>
      <w:r w:rsidRPr="00D31D18">
        <w:t xml:space="preserve"> çinkodan sonra renk açma</w:t>
      </w:r>
    </w:p>
    <w:p w14:paraId="5E74B298" w14:textId="48106052" w:rsidR="00AE07CB" w:rsidRPr="00D53A2B" w:rsidRDefault="00EE3F4C" w:rsidP="00602365">
      <w:pPr>
        <w:pStyle w:val="ListeParagraf"/>
        <w:numPr>
          <w:ilvl w:val="0"/>
          <w:numId w:val="193"/>
        </w:numPr>
        <w:tabs>
          <w:tab w:val="clear" w:pos="567"/>
        </w:tabs>
        <w:spacing w:line="240" w:lineRule="auto"/>
        <w:ind w:left="426" w:hanging="426"/>
        <w:rPr>
          <w:sz w:val="24"/>
          <w:szCs w:val="24"/>
        </w:rPr>
      </w:pPr>
      <w:r w:rsidRPr="00D53A2B">
        <w:rPr>
          <w:sz w:val="24"/>
          <w:szCs w:val="24"/>
        </w:rPr>
        <w:t>Örneğin nikel kaplama ile krom kaplama arasındaki işlemlerde olduğu gibi, işlemler arasında gecikmenin yüzeyin deaktivasyonuna veya hasara yol açtığı boşaltma zamanı için.</w:t>
      </w:r>
    </w:p>
    <w:p w14:paraId="7A64F26C" w14:textId="77777777" w:rsidR="00EE3F4C" w:rsidRPr="00D53A2B" w:rsidRDefault="00EE3F4C" w:rsidP="00A202FD">
      <w:pPr>
        <w:jc w:val="both"/>
      </w:pPr>
    </w:p>
    <w:p w14:paraId="5F2F229C" w14:textId="47BB0388" w:rsidR="00EE3F4C" w:rsidRPr="00D53A2B" w:rsidRDefault="00EE3F4C" w:rsidP="00602365">
      <w:pPr>
        <w:pStyle w:val="Balk5"/>
        <w:numPr>
          <w:ilvl w:val="4"/>
          <w:numId w:val="152"/>
        </w:numPr>
        <w:ind w:left="1134" w:hanging="1134"/>
        <w:rPr>
          <w:szCs w:val="24"/>
        </w:rPr>
      </w:pPr>
      <w:r w:rsidRPr="00D53A2B">
        <w:rPr>
          <w:szCs w:val="24"/>
        </w:rPr>
        <w:t>Viskozitenin azaltılması</w:t>
      </w:r>
    </w:p>
    <w:p w14:paraId="6012BFFB" w14:textId="727D0CF3" w:rsidR="00EE3F4C" w:rsidRPr="00D53A2B" w:rsidRDefault="00EE3F4C" w:rsidP="00A202FD">
      <w:pPr>
        <w:jc w:val="both"/>
      </w:pPr>
      <w:r w:rsidRPr="00D53A2B">
        <w:t xml:space="preserve">Proses çözeltisi özelliklerini optimize ederek viskoziteyi azaltmak </w:t>
      </w:r>
      <w:r w:rsidR="0031317B" w:rsidRPr="00D53A2B">
        <w:t>MET</w:t>
      </w:r>
      <w:r w:rsidR="00E56504" w:rsidRPr="00D53A2B">
        <w:t>’</w:t>
      </w:r>
      <w:r w:rsidRPr="00D53A2B">
        <w:t>t</w:t>
      </w:r>
      <w:r w:rsidR="0031317B" w:rsidRPr="00D53A2B">
        <w:t>i</w:t>
      </w:r>
      <w:r w:rsidRPr="00D53A2B">
        <w:t>r (bkz. Bölüm 4.6.5):</w:t>
      </w:r>
    </w:p>
    <w:p w14:paraId="69797A42" w14:textId="77777777" w:rsidR="00DE2899" w:rsidRPr="00D53A2B" w:rsidRDefault="00EE3F4C" w:rsidP="00602365">
      <w:pPr>
        <w:pStyle w:val="ListeParagraf"/>
        <w:numPr>
          <w:ilvl w:val="0"/>
          <w:numId w:val="196"/>
        </w:numPr>
        <w:tabs>
          <w:tab w:val="clear" w:pos="567"/>
        </w:tabs>
        <w:spacing w:line="240" w:lineRule="auto"/>
        <w:ind w:left="426" w:hanging="426"/>
        <w:rPr>
          <w:sz w:val="24"/>
          <w:szCs w:val="24"/>
        </w:rPr>
      </w:pPr>
      <w:r w:rsidRPr="00D53A2B">
        <w:rPr>
          <w:sz w:val="24"/>
          <w:szCs w:val="24"/>
        </w:rPr>
        <w:t>kimyasalların konsantrasyonunu düşürmek veya düşük konsantrasyonlu prosesler kullanmak</w:t>
      </w:r>
    </w:p>
    <w:p w14:paraId="7F2AC824" w14:textId="77777777" w:rsidR="00DE2899" w:rsidRPr="00D53A2B" w:rsidRDefault="00DE2899" w:rsidP="00602365">
      <w:pPr>
        <w:pStyle w:val="ListeParagraf"/>
        <w:numPr>
          <w:ilvl w:val="0"/>
          <w:numId w:val="196"/>
        </w:numPr>
        <w:tabs>
          <w:tab w:val="clear" w:pos="567"/>
        </w:tabs>
        <w:spacing w:line="240" w:lineRule="auto"/>
        <w:ind w:left="426" w:hanging="426"/>
        <w:rPr>
          <w:sz w:val="24"/>
          <w:szCs w:val="24"/>
        </w:rPr>
      </w:pPr>
      <w:r w:rsidRPr="00D53A2B">
        <w:rPr>
          <w:sz w:val="24"/>
          <w:szCs w:val="24"/>
        </w:rPr>
        <w:t>suda eriyen</w:t>
      </w:r>
      <w:r w:rsidR="00EE3F4C" w:rsidRPr="00D53A2B">
        <w:rPr>
          <w:sz w:val="24"/>
          <w:szCs w:val="24"/>
        </w:rPr>
        <w:t xml:space="preserve"> maddeler eklemek</w:t>
      </w:r>
    </w:p>
    <w:p w14:paraId="3B6AA74C" w14:textId="77777777" w:rsidR="00DE2899" w:rsidRPr="00D53A2B" w:rsidRDefault="00EE3F4C" w:rsidP="00602365">
      <w:pPr>
        <w:pStyle w:val="ListeParagraf"/>
        <w:numPr>
          <w:ilvl w:val="0"/>
          <w:numId w:val="196"/>
        </w:numPr>
        <w:tabs>
          <w:tab w:val="clear" w:pos="567"/>
        </w:tabs>
        <w:spacing w:line="240" w:lineRule="auto"/>
        <w:ind w:left="426" w:hanging="426"/>
        <w:rPr>
          <w:sz w:val="24"/>
          <w:szCs w:val="24"/>
        </w:rPr>
      </w:pPr>
      <w:r w:rsidRPr="00D53A2B">
        <w:rPr>
          <w:sz w:val="24"/>
          <w:szCs w:val="24"/>
        </w:rPr>
        <w:t>proses kimyasallarının önerilen değerleri aşmamasını sağlamak</w:t>
      </w:r>
    </w:p>
    <w:p w14:paraId="44EF7A00" w14:textId="2C365514" w:rsidR="00EE3F4C" w:rsidRPr="00D53A2B" w:rsidRDefault="00EE3F4C" w:rsidP="00602365">
      <w:pPr>
        <w:pStyle w:val="ListeParagraf"/>
        <w:numPr>
          <w:ilvl w:val="0"/>
          <w:numId w:val="196"/>
        </w:numPr>
        <w:tabs>
          <w:tab w:val="clear" w:pos="567"/>
        </w:tabs>
        <w:spacing w:line="240" w:lineRule="auto"/>
        <w:ind w:left="426" w:hanging="426"/>
        <w:rPr>
          <w:sz w:val="24"/>
          <w:szCs w:val="24"/>
        </w:rPr>
      </w:pPr>
      <w:r w:rsidRPr="00D53A2B">
        <w:rPr>
          <w:sz w:val="24"/>
          <w:szCs w:val="24"/>
        </w:rPr>
        <w:t>sıcaklığın proses aralığına ve gereken iletkenliğe göre optimize edilmesini sağlamak.</w:t>
      </w:r>
    </w:p>
    <w:p w14:paraId="4B8B18BE" w14:textId="77777777" w:rsidR="00EE3F4C" w:rsidRPr="00D53A2B" w:rsidRDefault="00EE3F4C" w:rsidP="00A202FD">
      <w:pPr>
        <w:jc w:val="both"/>
      </w:pPr>
    </w:p>
    <w:p w14:paraId="27FEF0E3" w14:textId="144FF3CE" w:rsidR="00F02EF3" w:rsidRPr="00D53A2B" w:rsidRDefault="00F02EF3" w:rsidP="00602365">
      <w:pPr>
        <w:pStyle w:val="Balk4"/>
        <w:numPr>
          <w:ilvl w:val="3"/>
          <w:numId w:val="152"/>
        </w:numPr>
        <w:ind w:left="851" w:hanging="851"/>
        <w:rPr>
          <w:rFonts w:cs="Times New Roman"/>
        </w:rPr>
      </w:pPr>
      <w:r w:rsidRPr="00D53A2B">
        <w:rPr>
          <w:rFonts w:cs="Times New Roman"/>
        </w:rPr>
        <w:t>Durulama</w:t>
      </w:r>
    </w:p>
    <w:p w14:paraId="36101F6F" w14:textId="04A4940F" w:rsidR="00F02EF3" w:rsidRPr="00D53A2B" w:rsidRDefault="00F02EF3" w:rsidP="00A202FD">
      <w:pPr>
        <w:jc w:val="both"/>
      </w:pPr>
      <w:r w:rsidRPr="00D53A2B">
        <w:t xml:space="preserve">Çoklu durulama kullanarak su tüketimini azaltmak </w:t>
      </w:r>
      <w:r w:rsidR="0031317B" w:rsidRPr="00D53A2B">
        <w:t>MET</w:t>
      </w:r>
      <w:r w:rsidR="00E56504" w:rsidRPr="00D53A2B">
        <w:t>’</w:t>
      </w:r>
      <w:r w:rsidRPr="00D53A2B">
        <w:t>t</w:t>
      </w:r>
      <w:r w:rsidR="0031317B" w:rsidRPr="00D53A2B">
        <w:t>i</w:t>
      </w:r>
      <w:r w:rsidRPr="00D53A2B">
        <w:t>r (bkz. Bölüm 4.7.10).</w:t>
      </w:r>
    </w:p>
    <w:p w14:paraId="2392C89B" w14:textId="77777777" w:rsidR="00F02EF3" w:rsidRPr="00D53A2B" w:rsidRDefault="00F02EF3" w:rsidP="00A202FD">
      <w:pPr>
        <w:jc w:val="both"/>
      </w:pPr>
    </w:p>
    <w:p w14:paraId="0261E7F2" w14:textId="5126AFA2" w:rsidR="00EE3F4C" w:rsidRPr="00D53A2B" w:rsidRDefault="00F02EF3" w:rsidP="00A202FD">
      <w:pPr>
        <w:jc w:val="both"/>
      </w:pPr>
      <w:r w:rsidRPr="00D53A2B">
        <w:t>Eko durulama (ön daldırma, bkz. Bölüm 5.1.5.2), çoklu durulama sisteminin etkinliğini artırmak için diğer durulama aşamalarıyla birleştirilebilir, bkz. Bölüm 4.7.11.</w:t>
      </w:r>
    </w:p>
    <w:p w14:paraId="4168D773" w14:textId="77777777" w:rsidR="00EE3F4C" w:rsidRPr="00D53A2B" w:rsidRDefault="00EE3F4C" w:rsidP="00A202FD">
      <w:pPr>
        <w:jc w:val="both"/>
      </w:pPr>
    </w:p>
    <w:p w14:paraId="11713972" w14:textId="38D0B367" w:rsidR="00F02EF3" w:rsidRPr="00D53A2B" w:rsidRDefault="00F02EF3" w:rsidP="00A202FD">
      <w:pPr>
        <w:jc w:val="both"/>
      </w:pPr>
      <w:r w:rsidRPr="00D53A2B">
        <w:t xml:space="preserve">Su kullanımını en aza indirmek için </w:t>
      </w:r>
      <w:r w:rsidR="00651500" w:rsidRPr="00D53A2B">
        <w:t>MET</w:t>
      </w:r>
      <w:r w:rsidR="0031317B" w:rsidRPr="00D53A2B">
        <w:t xml:space="preserve"> </w:t>
      </w:r>
      <w:r w:rsidRPr="00D53A2B">
        <w:t>kombinasyonunu kullanarak proses hattından boşaltılan su için referans değeri 3–20 l/m2/durulama aşamasıdır. Durulama aşamaları ve hesaplama Bölüm 4.1.3.1</w:t>
      </w:r>
      <w:r w:rsidR="00E56504" w:rsidRPr="00D53A2B">
        <w:t>’</w:t>
      </w:r>
      <w:r w:rsidRPr="00D53A2B">
        <w:t>de açıklanmıştır. Değer, bireysel tesislerde diğer verim faktörleriyle (biriktirilen metalin ağırlığı, alt tabaka veriminin ağırlığı vb.) ilişkilendirilecek şekilde hesaplanabilir. Aralığın alt ucuna yakın değerler, Bölüm 4.7 ve 4.10</w:t>
      </w:r>
      <w:r w:rsidR="00E56504" w:rsidRPr="00D53A2B">
        <w:t>’</w:t>
      </w:r>
      <w:r w:rsidRPr="00D53A2B">
        <w:t>da açıklanan teknikler kullanılarak hem yeni hem de mevcut tesisler tarafından elde edilebilir.</w:t>
      </w:r>
    </w:p>
    <w:p w14:paraId="316EDCB5" w14:textId="77777777" w:rsidR="00F02EF3" w:rsidRPr="00D53A2B" w:rsidRDefault="00F02EF3" w:rsidP="00A202FD">
      <w:pPr>
        <w:jc w:val="both"/>
      </w:pPr>
    </w:p>
    <w:p w14:paraId="5FB48B18" w14:textId="77777777" w:rsidR="00F02EF3" w:rsidRPr="00D53A2B" w:rsidRDefault="00F02EF3" w:rsidP="00A202FD">
      <w:pPr>
        <w:jc w:val="both"/>
      </w:pPr>
      <w:r w:rsidRPr="00D53A2B">
        <w:t>Sprey teknikleri (bkz. Bölüm 4.7.5) bu aralığın alt ucuna ulaşmak için önemli tekniklerdir.</w:t>
      </w:r>
    </w:p>
    <w:p w14:paraId="2C490AA9" w14:textId="77777777" w:rsidR="00F02EF3" w:rsidRPr="00D53A2B" w:rsidRDefault="00F02EF3" w:rsidP="00A202FD">
      <w:pPr>
        <w:jc w:val="both"/>
      </w:pPr>
    </w:p>
    <w:p w14:paraId="638EB4B7" w14:textId="6512DAEC" w:rsidR="00F02EF3" w:rsidRPr="00D53A2B" w:rsidRDefault="00F02EF3" w:rsidP="00A202FD">
      <w:pPr>
        <w:jc w:val="both"/>
      </w:pPr>
      <w:r w:rsidRPr="00D53A2B">
        <w:t>PCB kurulumları genellikle bu aralığın üzerindedir ve 20</w:t>
      </w:r>
      <w:r w:rsidR="009E7767" w:rsidRPr="00D53A2B">
        <w:t>-</w:t>
      </w:r>
      <w:r w:rsidRPr="00D53A2B">
        <w:t>25 L/m</w:t>
      </w:r>
      <w:r w:rsidRPr="00D53A2B">
        <w:rPr>
          <w:vertAlign w:val="superscript"/>
        </w:rPr>
        <w:t>2</w:t>
      </w:r>
      <w:r w:rsidRPr="00D53A2B">
        <w:t>/durulama aşaması veya daha yüksek mertebede olabilir. Ancak, hacimdeki azalmalar yüksek kalite gereksinimleri nedeniyle sınırlı olabilir.</w:t>
      </w:r>
    </w:p>
    <w:p w14:paraId="32441ED8" w14:textId="77777777" w:rsidR="00F02EF3" w:rsidRPr="00D53A2B" w:rsidRDefault="00F02EF3" w:rsidP="00A202FD">
      <w:pPr>
        <w:jc w:val="both"/>
      </w:pPr>
    </w:p>
    <w:p w14:paraId="50F6B6B8" w14:textId="743B11CF" w:rsidR="00F02EF3" w:rsidRPr="00D53A2B" w:rsidRDefault="00F02EF3" w:rsidP="00A202FD">
      <w:pPr>
        <w:jc w:val="both"/>
      </w:pPr>
      <w:r w:rsidRPr="00D53A2B">
        <w:t xml:space="preserve">İlk durulamadan gelen durulama suyunun proses çözeltisine geri döndürülmesiyle proses malzemelerinin korunması </w:t>
      </w:r>
      <w:r w:rsidR="0031317B" w:rsidRPr="00D53A2B">
        <w:t>ME</w:t>
      </w:r>
      <w:r w:rsidRPr="00D53A2B">
        <w:t>T</w:t>
      </w:r>
      <w:r w:rsidR="00E56504" w:rsidRPr="00D53A2B">
        <w:t>’</w:t>
      </w:r>
      <w:r w:rsidRPr="00D53A2B">
        <w:t>t</w:t>
      </w:r>
      <w:r w:rsidR="0031317B" w:rsidRPr="00D53A2B">
        <w:t>i</w:t>
      </w:r>
      <w:r w:rsidRPr="00D53A2B">
        <w:t>r (bkz. Bölüm 5.1.6.3 ve Bölüm 5.1.6.1).</w:t>
      </w:r>
    </w:p>
    <w:p w14:paraId="4147A683" w14:textId="77777777" w:rsidR="00F02EF3" w:rsidRPr="00D53A2B" w:rsidRDefault="00F02EF3" w:rsidP="00A202FD">
      <w:pPr>
        <w:jc w:val="both"/>
      </w:pPr>
    </w:p>
    <w:p w14:paraId="472C8774" w14:textId="709DFAFB" w:rsidR="00F02EF3" w:rsidRPr="00D53A2B" w:rsidRDefault="00F02EF3" w:rsidP="00A202FD">
      <w:pPr>
        <w:jc w:val="both"/>
      </w:pPr>
      <w:r w:rsidRPr="00D53A2B">
        <w:t>Bu aralıkların alt uçlarına su deşarjındaki azalmalar, aşağıdakilerin konsantrasyonları nedeniyle yerel çevresel nedenlerle sınırlı olabilir:</w:t>
      </w:r>
    </w:p>
    <w:p w14:paraId="141FF270" w14:textId="35B98268" w:rsidR="00F02EF3" w:rsidRPr="00D53A2B" w:rsidRDefault="00F02EF3" w:rsidP="00602365">
      <w:pPr>
        <w:pStyle w:val="ListeParagraf"/>
        <w:numPr>
          <w:ilvl w:val="0"/>
          <w:numId w:val="197"/>
        </w:numPr>
        <w:tabs>
          <w:tab w:val="clear" w:pos="567"/>
        </w:tabs>
        <w:spacing w:line="240" w:lineRule="auto"/>
        <w:ind w:left="426" w:hanging="426"/>
        <w:rPr>
          <w:sz w:val="24"/>
          <w:szCs w:val="24"/>
        </w:rPr>
      </w:pPr>
      <w:r w:rsidRPr="00D53A2B">
        <w:rPr>
          <w:sz w:val="24"/>
          <w:szCs w:val="24"/>
        </w:rPr>
        <w:t>Bor</w:t>
      </w:r>
    </w:p>
    <w:p w14:paraId="33E0B483" w14:textId="529A6A9C" w:rsidR="00F02EF3" w:rsidRPr="00D53A2B" w:rsidRDefault="00F02EF3" w:rsidP="00602365">
      <w:pPr>
        <w:pStyle w:val="ListeParagraf"/>
        <w:numPr>
          <w:ilvl w:val="0"/>
          <w:numId w:val="197"/>
        </w:numPr>
        <w:tabs>
          <w:tab w:val="clear" w:pos="567"/>
        </w:tabs>
        <w:spacing w:line="240" w:lineRule="auto"/>
        <w:ind w:left="426" w:hanging="426"/>
        <w:rPr>
          <w:sz w:val="24"/>
          <w:szCs w:val="24"/>
        </w:rPr>
      </w:pPr>
      <w:r w:rsidRPr="00D53A2B">
        <w:rPr>
          <w:sz w:val="24"/>
          <w:szCs w:val="24"/>
        </w:rPr>
        <w:t>Florür</w:t>
      </w:r>
    </w:p>
    <w:p w14:paraId="5D3EE384" w14:textId="2386F09D" w:rsidR="00F02EF3" w:rsidRPr="00D53A2B" w:rsidRDefault="00F02EF3" w:rsidP="00602365">
      <w:pPr>
        <w:pStyle w:val="ListeParagraf"/>
        <w:numPr>
          <w:ilvl w:val="0"/>
          <w:numId w:val="197"/>
        </w:numPr>
        <w:tabs>
          <w:tab w:val="clear" w:pos="567"/>
        </w:tabs>
        <w:spacing w:line="240" w:lineRule="auto"/>
        <w:ind w:left="426" w:hanging="426"/>
        <w:rPr>
          <w:sz w:val="24"/>
          <w:szCs w:val="24"/>
        </w:rPr>
      </w:pPr>
      <w:r w:rsidRPr="00D53A2B">
        <w:rPr>
          <w:sz w:val="24"/>
          <w:szCs w:val="24"/>
        </w:rPr>
        <w:t>Sülfat</w:t>
      </w:r>
    </w:p>
    <w:p w14:paraId="64D8A95C" w14:textId="0D514443" w:rsidR="00F02EF3" w:rsidRPr="00D53A2B" w:rsidRDefault="00F02EF3" w:rsidP="00602365">
      <w:pPr>
        <w:pStyle w:val="ListeParagraf"/>
        <w:numPr>
          <w:ilvl w:val="0"/>
          <w:numId w:val="197"/>
        </w:numPr>
        <w:tabs>
          <w:tab w:val="clear" w:pos="567"/>
        </w:tabs>
        <w:spacing w:line="240" w:lineRule="auto"/>
        <w:ind w:left="426" w:hanging="426"/>
        <w:rPr>
          <w:sz w:val="24"/>
          <w:szCs w:val="24"/>
        </w:rPr>
      </w:pPr>
      <w:r w:rsidRPr="00D53A2B">
        <w:rPr>
          <w:sz w:val="24"/>
          <w:szCs w:val="24"/>
        </w:rPr>
        <w:t>klorür</w:t>
      </w:r>
    </w:p>
    <w:p w14:paraId="7BDC8B9E" w14:textId="77777777" w:rsidR="00F02EF3" w:rsidRPr="00D53A2B" w:rsidRDefault="00F02EF3" w:rsidP="00A202FD">
      <w:pPr>
        <w:jc w:val="both"/>
      </w:pPr>
    </w:p>
    <w:p w14:paraId="02E6ABF2" w14:textId="2DC89888" w:rsidR="00F02EF3" w:rsidRPr="00D53A2B" w:rsidRDefault="00F02EF3" w:rsidP="00A202FD">
      <w:pPr>
        <w:jc w:val="both"/>
      </w:pPr>
      <w:r w:rsidRPr="00D53A2B">
        <w:t>Bu maddelerin arıtılmasında kullanılan enerji ve kimyasalların artmasının çapraz medya etkileri, aralığın alt kısmına su deşarjının azaltılmasının faydalarından daha ağır basmaktadır.</w:t>
      </w:r>
    </w:p>
    <w:p w14:paraId="699D1AFA" w14:textId="77777777" w:rsidR="00F02EF3" w:rsidRPr="00D53A2B" w:rsidRDefault="00F02EF3" w:rsidP="00A202FD">
      <w:pPr>
        <w:jc w:val="both"/>
      </w:pPr>
    </w:p>
    <w:p w14:paraId="47FA43F7" w14:textId="7A778E92" w:rsidR="00F02EF3" w:rsidRPr="00D53A2B" w:rsidRDefault="00F02EF3" w:rsidP="00A202FD">
      <w:pPr>
        <w:jc w:val="both"/>
      </w:pPr>
      <w:r w:rsidRPr="00D53A2B">
        <w:t xml:space="preserve">Su tüketimini azaltmaya yönelik bu </w:t>
      </w:r>
      <w:r w:rsidR="0031317B" w:rsidRPr="00D53A2B">
        <w:t>MET’in</w:t>
      </w:r>
      <w:r w:rsidRPr="00D53A2B">
        <w:t xml:space="preserve"> istisnaları şunlardır:</w:t>
      </w:r>
    </w:p>
    <w:p w14:paraId="266B3D91" w14:textId="779C1D44" w:rsidR="00F02EF3" w:rsidRPr="00D53A2B" w:rsidRDefault="00F02EF3" w:rsidP="00602365">
      <w:pPr>
        <w:pStyle w:val="ListeParagraf"/>
        <w:numPr>
          <w:ilvl w:val="0"/>
          <w:numId w:val="198"/>
        </w:numPr>
        <w:tabs>
          <w:tab w:val="clear" w:pos="567"/>
        </w:tabs>
        <w:spacing w:line="240" w:lineRule="auto"/>
        <w:ind w:left="426" w:hanging="426"/>
        <w:rPr>
          <w:sz w:val="24"/>
          <w:szCs w:val="24"/>
        </w:rPr>
      </w:pPr>
      <w:r w:rsidRPr="00D53A2B">
        <w:rPr>
          <w:sz w:val="24"/>
          <w:szCs w:val="24"/>
        </w:rPr>
        <w:t>Yüzeydeki reaksiyonun hızlı seyrelme ile durdurulması gerektiğinde.</w:t>
      </w:r>
    </w:p>
    <w:p w14:paraId="29E39808" w14:textId="77777777" w:rsidR="00F02EF3" w:rsidRPr="00D53A2B" w:rsidRDefault="00F02EF3" w:rsidP="009077F5">
      <w:pPr>
        <w:pStyle w:val="ListeParagraf"/>
        <w:numPr>
          <w:ilvl w:val="0"/>
          <w:numId w:val="301"/>
        </w:numPr>
        <w:tabs>
          <w:tab w:val="clear" w:pos="567"/>
        </w:tabs>
        <w:spacing w:line="240" w:lineRule="auto"/>
        <w:rPr>
          <w:sz w:val="24"/>
          <w:szCs w:val="24"/>
        </w:rPr>
      </w:pPr>
      <w:r w:rsidRPr="00D53A2B">
        <w:rPr>
          <w:sz w:val="24"/>
          <w:szCs w:val="24"/>
        </w:rPr>
        <w:t>altı değerlikli krom pasivasyonu</w:t>
      </w:r>
    </w:p>
    <w:p w14:paraId="1B4C3B75" w14:textId="77777777" w:rsidR="00F02EF3" w:rsidRPr="00D53A2B" w:rsidRDefault="00F02EF3" w:rsidP="009077F5">
      <w:pPr>
        <w:pStyle w:val="ListeParagraf"/>
        <w:numPr>
          <w:ilvl w:val="0"/>
          <w:numId w:val="301"/>
        </w:numPr>
        <w:tabs>
          <w:tab w:val="clear" w:pos="567"/>
        </w:tabs>
        <w:spacing w:line="240" w:lineRule="auto"/>
        <w:rPr>
          <w:sz w:val="24"/>
          <w:szCs w:val="24"/>
        </w:rPr>
      </w:pPr>
      <w:r w:rsidRPr="00D53A2B">
        <w:rPr>
          <w:sz w:val="24"/>
          <w:szCs w:val="24"/>
        </w:rPr>
        <w:t xml:space="preserve">Alüminyum, magnezyum ve alaşımlarının aşındırılması, parlatılması ve yalıtımı </w:t>
      </w:r>
    </w:p>
    <w:p w14:paraId="5691B518" w14:textId="77777777" w:rsidR="00F02EF3" w:rsidRPr="00D53A2B" w:rsidRDefault="00F02EF3" w:rsidP="009077F5">
      <w:pPr>
        <w:pStyle w:val="ListeParagraf"/>
        <w:numPr>
          <w:ilvl w:val="0"/>
          <w:numId w:val="301"/>
        </w:numPr>
        <w:tabs>
          <w:tab w:val="clear" w:pos="567"/>
        </w:tabs>
        <w:spacing w:line="240" w:lineRule="auto"/>
        <w:rPr>
          <w:sz w:val="24"/>
          <w:szCs w:val="24"/>
        </w:rPr>
      </w:pPr>
      <w:r w:rsidRPr="00D53A2B">
        <w:rPr>
          <w:sz w:val="24"/>
          <w:szCs w:val="24"/>
        </w:rPr>
        <w:t xml:space="preserve">zinkat (çinko asidi) daldırma </w:t>
      </w:r>
    </w:p>
    <w:p w14:paraId="2EDD3F66" w14:textId="77777777" w:rsidR="00F02EF3" w:rsidRPr="00D53A2B" w:rsidRDefault="00F02EF3" w:rsidP="009077F5">
      <w:pPr>
        <w:pStyle w:val="ListeParagraf"/>
        <w:numPr>
          <w:ilvl w:val="0"/>
          <w:numId w:val="301"/>
        </w:numPr>
        <w:tabs>
          <w:tab w:val="clear" w:pos="567"/>
        </w:tabs>
        <w:spacing w:line="240" w:lineRule="auto"/>
        <w:rPr>
          <w:sz w:val="24"/>
          <w:szCs w:val="24"/>
        </w:rPr>
      </w:pPr>
      <w:r w:rsidRPr="00D53A2B">
        <w:rPr>
          <w:sz w:val="24"/>
          <w:szCs w:val="24"/>
        </w:rPr>
        <w:t xml:space="preserve">dekapaj (asitle temizleme) </w:t>
      </w:r>
    </w:p>
    <w:p w14:paraId="78D5F22F" w14:textId="77777777" w:rsidR="00F02EF3" w:rsidRPr="00D53A2B" w:rsidRDefault="00F02EF3" w:rsidP="009077F5">
      <w:pPr>
        <w:pStyle w:val="ListeParagraf"/>
        <w:numPr>
          <w:ilvl w:val="0"/>
          <w:numId w:val="301"/>
        </w:numPr>
        <w:tabs>
          <w:tab w:val="clear" w:pos="567"/>
        </w:tabs>
        <w:spacing w:line="240" w:lineRule="auto"/>
        <w:rPr>
          <w:sz w:val="24"/>
          <w:szCs w:val="24"/>
        </w:rPr>
      </w:pPr>
      <w:r w:rsidRPr="00D53A2B">
        <w:rPr>
          <w:sz w:val="24"/>
          <w:szCs w:val="24"/>
        </w:rPr>
        <w:t xml:space="preserve">plastik aktive edilirken ön daldırma </w:t>
      </w:r>
    </w:p>
    <w:p w14:paraId="42B8F5E0" w14:textId="77777777" w:rsidR="00F02EF3" w:rsidRPr="00D53A2B" w:rsidRDefault="00F02EF3" w:rsidP="009077F5">
      <w:pPr>
        <w:pStyle w:val="ListeParagraf"/>
        <w:numPr>
          <w:ilvl w:val="0"/>
          <w:numId w:val="301"/>
        </w:numPr>
        <w:tabs>
          <w:tab w:val="clear" w:pos="567"/>
        </w:tabs>
        <w:spacing w:line="240" w:lineRule="auto"/>
        <w:rPr>
          <w:sz w:val="24"/>
          <w:szCs w:val="24"/>
        </w:rPr>
      </w:pPr>
      <w:r w:rsidRPr="00D53A2B">
        <w:rPr>
          <w:sz w:val="24"/>
          <w:szCs w:val="24"/>
        </w:rPr>
        <w:t>krom kaplamadan önce aktive etme</w:t>
      </w:r>
    </w:p>
    <w:p w14:paraId="4CBD7581" w14:textId="77777777" w:rsidR="00F02EF3" w:rsidRPr="00D53A2B" w:rsidRDefault="00F02EF3" w:rsidP="009077F5">
      <w:pPr>
        <w:pStyle w:val="ListeParagraf"/>
        <w:numPr>
          <w:ilvl w:val="0"/>
          <w:numId w:val="301"/>
        </w:numPr>
        <w:tabs>
          <w:tab w:val="clear" w:pos="567"/>
        </w:tabs>
        <w:spacing w:line="240" w:lineRule="auto"/>
        <w:rPr>
          <w:sz w:val="24"/>
          <w:szCs w:val="24"/>
        </w:rPr>
      </w:pPr>
      <w:r w:rsidRPr="00D53A2B">
        <w:rPr>
          <w:sz w:val="24"/>
          <w:szCs w:val="24"/>
        </w:rPr>
        <w:t>alkali çinkodan sonra renk açma</w:t>
      </w:r>
    </w:p>
    <w:p w14:paraId="700FB7B4" w14:textId="256D379D" w:rsidR="00F02EF3" w:rsidRPr="00D53A2B" w:rsidRDefault="00F02EF3" w:rsidP="00602365">
      <w:pPr>
        <w:pStyle w:val="ListeParagraf"/>
        <w:numPr>
          <w:ilvl w:val="0"/>
          <w:numId w:val="198"/>
        </w:numPr>
        <w:tabs>
          <w:tab w:val="clear" w:pos="567"/>
        </w:tabs>
        <w:spacing w:line="240" w:lineRule="auto"/>
        <w:ind w:left="426" w:hanging="426"/>
        <w:rPr>
          <w:sz w:val="24"/>
          <w:szCs w:val="24"/>
        </w:rPr>
      </w:pPr>
      <w:r w:rsidRPr="00D53A2B">
        <w:rPr>
          <w:sz w:val="24"/>
          <w:szCs w:val="24"/>
        </w:rPr>
        <w:t>Çok fazla durulama nedeniyle kalitede kayıp olması durumunda (Not: Bu istisna Bölüm 5.1.5.3 için geçerli değildir).</w:t>
      </w:r>
    </w:p>
    <w:p w14:paraId="0430DE14" w14:textId="77777777" w:rsidR="00F02EF3" w:rsidRPr="00D53A2B" w:rsidRDefault="00F02EF3" w:rsidP="00A202FD">
      <w:pPr>
        <w:jc w:val="both"/>
      </w:pPr>
    </w:p>
    <w:p w14:paraId="29569B34" w14:textId="721D2CDD" w:rsidR="00524CA3" w:rsidRPr="00D53A2B" w:rsidRDefault="00524CA3" w:rsidP="00A202FD">
      <w:pPr>
        <w:pStyle w:val="Balk3"/>
        <w:rPr>
          <w:rFonts w:cs="Times New Roman"/>
        </w:rPr>
      </w:pPr>
      <w:r w:rsidRPr="00D53A2B">
        <w:rPr>
          <w:rFonts w:cs="Times New Roman"/>
        </w:rPr>
        <w:t>5.1.6. Malzemelerin geri kazanımı ve atık yönetimi</w:t>
      </w:r>
    </w:p>
    <w:p w14:paraId="703B9721" w14:textId="77777777" w:rsidR="0036248E" w:rsidRPr="00D53A2B" w:rsidRDefault="0036248E" w:rsidP="00A202FD">
      <w:pPr>
        <w:pStyle w:val="MET"/>
        <w:rPr>
          <w:szCs w:val="24"/>
        </w:rPr>
      </w:pPr>
      <w:r w:rsidRPr="00D53A2B">
        <w:rPr>
          <w:szCs w:val="24"/>
        </w:rPr>
        <w:t xml:space="preserve">MET 11: </w:t>
      </w:r>
    </w:p>
    <w:p w14:paraId="5CF2B9C3" w14:textId="77777777" w:rsidR="0036248E" w:rsidRPr="00D53A2B" w:rsidRDefault="0036248E" w:rsidP="00602365">
      <w:pPr>
        <w:pStyle w:val="MET"/>
        <w:numPr>
          <w:ilvl w:val="0"/>
          <w:numId w:val="198"/>
        </w:numPr>
        <w:ind w:left="426" w:hanging="426"/>
        <w:rPr>
          <w:b w:val="0"/>
          <w:bCs/>
          <w:szCs w:val="24"/>
        </w:rPr>
      </w:pPr>
      <w:r w:rsidRPr="00D53A2B">
        <w:rPr>
          <w:b w:val="0"/>
          <w:bCs/>
          <w:szCs w:val="24"/>
        </w:rPr>
        <w:t>önleme</w:t>
      </w:r>
    </w:p>
    <w:p w14:paraId="66CD6679" w14:textId="401E5556" w:rsidR="0036248E" w:rsidRPr="00D53A2B" w:rsidRDefault="0036248E" w:rsidP="00602365">
      <w:pPr>
        <w:pStyle w:val="MET"/>
        <w:numPr>
          <w:ilvl w:val="0"/>
          <w:numId w:val="198"/>
        </w:numPr>
        <w:ind w:left="426" w:hanging="426"/>
        <w:rPr>
          <w:b w:val="0"/>
          <w:bCs/>
          <w:szCs w:val="24"/>
        </w:rPr>
      </w:pPr>
      <w:r w:rsidRPr="00D53A2B">
        <w:rPr>
          <w:b w:val="0"/>
          <w:bCs/>
          <w:szCs w:val="24"/>
        </w:rPr>
        <w:t>azaltma</w:t>
      </w:r>
    </w:p>
    <w:p w14:paraId="6161FB9E" w14:textId="12CF4694" w:rsidR="0036248E" w:rsidRPr="00D53A2B" w:rsidRDefault="0036248E" w:rsidP="00602365">
      <w:pPr>
        <w:pStyle w:val="MET"/>
        <w:numPr>
          <w:ilvl w:val="0"/>
          <w:numId w:val="198"/>
        </w:numPr>
        <w:ind w:left="426" w:hanging="426"/>
        <w:rPr>
          <w:b w:val="0"/>
          <w:bCs/>
          <w:szCs w:val="24"/>
        </w:rPr>
      </w:pPr>
      <w:r w:rsidRPr="00D53A2B">
        <w:rPr>
          <w:b w:val="0"/>
          <w:bCs/>
          <w:szCs w:val="24"/>
        </w:rPr>
        <w:t>yeniden kullanım, geri dönüşüm ve geri kazanım</w:t>
      </w:r>
    </w:p>
    <w:p w14:paraId="7654204D" w14:textId="77777777" w:rsidR="0036248E" w:rsidRPr="00D53A2B" w:rsidRDefault="0036248E" w:rsidP="00A202FD">
      <w:pPr>
        <w:pStyle w:val="MET"/>
        <w:rPr>
          <w:szCs w:val="24"/>
        </w:rPr>
      </w:pPr>
    </w:p>
    <w:p w14:paraId="79D0C168" w14:textId="5AF3567C" w:rsidR="0036248E" w:rsidRPr="00D53A2B" w:rsidRDefault="0036248E" w:rsidP="00A202FD">
      <w:pPr>
        <w:pStyle w:val="MET"/>
        <w:rPr>
          <w:b w:val="0"/>
          <w:bCs/>
          <w:szCs w:val="24"/>
        </w:rPr>
      </w:pPr>
      <w:r w:rsidRPr="00D53A2B">
        <w:rPr>
          <w:b w:val="0"/>
          <w:bCs/>
          <w:szCs w:val="24"/>
        </w:rPr>
        <w:t xml:space="preserve">Bunlardan, tüm maddi kayıpların önlenmesi ve azaltılması önceliktir. Hem metallerin hem de metal olmayan bileşenlerin kaybı, üretim süreçlerinde </w:t>
      </w:r>
      <w:r w:rsidR="00651500" w:rsidRPr="00D53A2B">
        <w:rPr>
          <w:b w:val="0"/>
          <w:bCs/>
          <w:szCs w:val="24"/>
        </w:rPr>
        <w:t>MET</w:t>
      </w:r>
      <w:r w:rsidRPr="00D53A2B">
        <w:rPr>
          <w:b w:val="0"/>
          <w:bCs/>
          <w:szCs w:val="24"/>
        </w:rPr>
        <w:t>kullanılarak önlenebilir veya önemli ölçüde azaltılabilir (aşağıdaki bölümlere ve Bölümler 4.6 4.7, 4.7.8, 4.7.10, 4.7.11 ve 4.7.12</w:t>
      </w:r>
      <w:r w:rsidR="00E56504" w:rsidRPr="00D53A2B">
        <w:rPr>
          <w:b w:val="0"/>
          <w:bCs/>
          <w:szCs w:val="24"/>
        </w:rPr>
        <w:t>’</w:t>
      </w:r>
      <w:r w:rsidRPr="00D53A2B">
        <w:rPr>
          <w:b w:val="0"/>
          <w:bCs/>
          <w:szCs w:val="24"/>
        </w:rPr>
        <w:t>ye bakın</w:t>
      </w:r>
      <w:r w:rsidR="00F13622" w:rsidRPr="00D53A2B">
        <w:rPr>
          <w:b w:val="0"/>
          <w:bCs/>
          <w:szCs w:val="24"/>
        </w:rPr>
        <w:t>ız</w:t>
      </w:r>
      <w:r w:rsidRPr="00D53A2B">
        <w:rPr>
          <w:b w:val="0"/>
          <w:bCs/>
          <w:szCs w:val="24"/>
        </w:rPr>
        <w:t>).</w:t>
      </w:r>
    </w:p>
    <w:p w14:paraId="73C6EE7F" w14:textId="77777777" w:rsidR="0036248E" w:rsidRPr="00D53A2B" w:rsidRDefault="0036248E" w:rsidP="00A202FD">
      <w:pPr>
        <w:jc w:val="both"/>
      </w:pPr>
    </w:p>
    <w:p w14:paraId="38D84DB9" w14:textId="7EB79079" w:rsidR="0036248E" w:rsidRPr="00D53A2B" w:rsidRDefault="0036248E" w:rsidP="00A202FD">
      <w:pPr>
        <w:jc w:val="both"/>
      </w:pPr>
      <w:r w:rsidRPr="00D53A2B">
        <w:t xml:space="preserve">Çamurdaki metaller tesis dışında </w:t>
      </w:r>
      <w:r w:rsidR="00E75524">
        <w:t xml:space="preserve">lisanslı tesislerde </w:t>
      </w:r>
      <w:r w:rsidRPr="00D53A2B">
        <w:t>geri kazanılabilir.</w:t>
      </w:r>
    </w:p>
    <w:p w14:paraId="4364147B" w14:textId="77777777" w:rsidR="0036248E" w:rsidRPr="00D53A2B" w:rsidRDefault="0036248E" w:rsidP="00A202FD">
      <w:pPr>
        <w:jc w:val="both"/>
      </w:pPr>
    </w:p>
    <w:p w14:paraId="0D5DC6BC" w14:textId="2AF3EB14" w:rsidR="0036248E" w:rsidRPr="00D53A2B" w:rsidRDefault="0036248E" w:rsidP="00A202FD">
      <w:pPr>
        <w:jc w:val="both"/>
      </w:pPr>
      <w:r w:rsidRPr="00D53A2B">
        <w:t>TWG, Bölüm 3.2.3</w:t>
      </w:r>
      <w:r w:rsidR="00E56504" w:rsidRPr="00D53A2B">
        <w:t>’</w:t>
      </w:r>
      <w:r w:rsidRPr="00D53A2B">
        <w:t>te verilen malzeme verimliliklerini ve bu Bölüm 5.1.6</w:t>
      </w:r>
      <w:r w:rsidR="00E56504" w:rsidRPr="00D53A2B">
        <w:t>’</w:t>
      </w:r>
      <w:r w:rsidRPr="00D53A2B">
        <w:t>da atıfta bulunulan çeşitli tekniklerle ilişkili bazı prosesler için Tablo 5.1</w:t>
      </w:r>
      <w:r w:rsidR="00E56504" w:rsidRPr="00D53A2B">
        <w:t>’</w:t>
      </w:r>
      <w:r w:rsidRPr="00D53A2B">
        <w:t>de verilen türetilmiş seviyeleri dikkate almıştır.</w:t>
      </w:r>
    </w:p>
    <w:p w14:paraId="0960292C" w14:textId="77777777" w:rsidR="0036248E" w:rsidRPr="00D53A2B" w:rsidRDefault="0036248E" w:rsidP="00A202FD">
      <w:pPr>
        <w:jc w:val="both"/>
      </w:pPr>
    </w:p>
    <w:p w14:paraId="1411D73B" w14:textId="77777777" w:rsidR="005F0E3A" w:rsidRPr="00D53A2B" w:rsidRDefault="0036248E" w:rsidP="00A202FD">
      <w:pPr>
        <w:jc w:val="both"/>
      </w:pPr>
      <w:r w:rsidRPr="00D53A2B">
        <w:t>Tablo 5.1</w:t>
      </w:r>
    </w:p>
    <w:p w14:paraId="3D8F8CFE" w14:textId="0B7AA7C9" w:rsidR="0036248E" w:rsidRPr="00D53A2B" w:rsidRDefault="0036248E" w:rsidP="00A202FD">
      <w:pPr>
        <w:jc w:val="both"/>
      </w:pPr>
      <w:r w:rsidRPr="00D53A2B">
        <w:t>Proses içi malzeme verimliliği seviyeleri</w:t>
      </w:r>
    </w:p>
    <w:tbl>
      <w:tblPr>
        <w:tblW w:w="8788" w:type="dxa"/>
        <w:tblInd w:w="279" w:type="dxa"/>
        <w:tblLayout w:type="fixed"/>
        <w:tblCellMar>
          <w:left w:w="0" w:type="dxa"/>
          <w:right w:w="0" w:type="dxa"/>
        </w:tblCellMar>
        <w:tblLook w:val="01E0" w:firstRow="1" w:lastRow="1" w:firstColumn="1" w:lastColumn="1" w:noHBand="0" w:noVBand="0"/>
      </w:tblPr>
      <w:tblGrid>
        <w:gridCol w:w="4252"/>
        <w:gridCol w:w="4536"/>
      </w:tblGrid>
      <w:tr w:rsidR="0036248E" w:rsidRPr="00BF4451" w14:paraId="24A0E012" w14:textId="77777777" w:rsidTr="0036248E">
        <w:trPr>
          <w:trHeight w:val="20"/>
        </w:trPr>
        <w:tc>
          <w:tcPr>
            <w:tcW w:w="4252" w:type="dxa"/>
            <w:tcBorders>
              <w:top w:val="single" w:sz="4" w:space="0" w:color="000000"/>
              <w:left w:val="single" w:sz="4" w:space="0" w:color="000000"/>
              <w:bottom w:val="single" w:sz="4" w:space="0" w:color="000000"/>
              <w:right w:val="single" w:sz="4" w:space="0" w:color="000000"/>
            </w:tcBorders>
          </w:tcPr>
          <w:p w14:paraId="15BD7346" w14:textId="77777777" w:rsidR="0036248E" w:rsidRPr="009077F5" w:rsidRDefault="0036248E" w:rsidP="004B0D48">
            <w:pPr>
              <w:pStyle w:val="KonuBal"/>
              <w:rPr>
                <w:sz w:val="24"/>
                <w:szCs w:val="24"/>
              </w:rPr>
            </w:pPr>
            <w:r w:rsidRPr="009077F5">
              <w:rPr>
                <w:w w:val="109"/>
                <w:sz w:val="24"/>
                <w:szCs w:val="24"/>
              </w:rPr>
              <w:t>Proses</w:t>
            </w:r>
          </w:p>
        </w:tc>
        <w:tc>
          <w:tcPr>
            <w:tcW w:w="4536" w:type="dxa"/>
            <w:tcBorders>
              <w:top w:val="single" w:sz="4" w:space="0" w:color="000000"/>
              <w:left w:val="single" w:sz="4" w:space="0" w:color="000000"/>
              <w:bottom w:val="single" w:sz="4" w:space="0" w:color="000000"/>
              <w:right w:val="single" w:sz="4" w:space="0" w:color="000000"/>
            </w:tcBorders>
          </w:tcPr>
          <w:p w14:paraId="1FFC143B" w14:textId="53E8121C" w:rsidR="0036248E" w:rsidRPr="009077F5" w:rsidRDefault="0036248E" w:rsidP="004B0D48">
            <w:pPr>
              <w:pStyle w:val="KonuBal"/>
              <w:rPr>
                <w:sz w:val="24"/>
                <w:szCs w:val="24"/>
              </w:rPr>
            </w:pPr>
            <w:r w:rsidRPr="009077F5">
              <w:rPr>
                <w:w w:val="107"/>
                <w:sz w:val="24"/>
                <w:szCs w:val="24"/>
              </w:rPr>
              <w:t>Proseste malzeme kullanım verimliğiliği</w:t>
            </w:r>
            <w:r w:rsidRPr="009077F5">
              <w:rPr>
                <w:spacing w:val="27"/>
                <w:sz w:val="24"/>
                <w:szCs w:val="24"/>
              </w:rPr>
              <w:t xml:space="preserve"> (</w:t>
            </w:r>
            <w:r w:rsidRPr="009077F5">
              <w:rPr>
                <w:w w:val="119"/>
                <w:sz w:val="24"/>
                <w:szCs w:val="24"/>
              </w:rPr>
              <w:t>%)</w:t>
            </w:r>
          </w:p>
        </w:tc>
      </w:tr>
      <w:tr w:rsidR="0036248E" w:rsidRPr="00BF4451" w14:paraId="6D067849" w14:textId="77777777" w:rsidTr="0036248E">
        <w:trPr>
          <w:trHeight w:val="20"/>
        </w:trPr>
        <w:tc>
          <w:tcPr>
            <w:tcW w:w="4252" w:type="dxa"/>
            <w:vMerge w:val="restart"/>
            <w:tcBorders>
              <w:top w:val="single" w:sz="4" w:space="0" w:color="000000"/>
              <w:left w:val="single" w:sz="4" w:space="0" w:color="000000"/>
              <w:right w:val="single" w:sz="4" w:space="0" w:color="000000"/>
            </w:tcBorders>
          </w:tcPr>
          <w:p w14:paraId="4AC0D4B3" w14:textId="77777777" w:rsidR="0036248E" w:rsidRPr="009077F5" w:rsidRDefault="0036248E" w:rsidP="004B0D48">
            <w:pPr>
              <w:pStyle w:val="KonuBal"/>
              <w:rPr>
                <w:sz w:val="24"/>
                <w:szCs w:val="24"/>
              </w:rPr>
            </w:pPr>
          </w:p>
          <w:p w14:paraId="62ACBFC6" w14:textId="77777777" w:rsidR="0036248E" w:rsidRPr="009077F5" w:rsidRDefault="0036248E" w:rsidP="004B0D48">
            <w:pPr>
              <w:pStyle w:val="KonuBal"/>
              <w:rPr>
                <w:sz w:val="24"/>
                <w:szCs w:val="24"/>
              </w:rPr>
            </w:pPr>
            <w:r w:rsidRPr="009077F5">
              <w:rPr>
                <w:sz w:val="24"/>
                <w:szCs w:val="24"/>
              </w:rPr>
              <w:t>Çinko kaplama</w:t>
            </w:r>
          </w:p>
        </w:tc>
        <w:tc>
          <w:tcPr>
            <w:tcW w:w="4536" w:type="dxa"/>
            <w:tcBorders>
              <w:top w:val="single" w:sz="4" w:space="0" w:color="000000"/>
              <w:left w:val="single" w:sz="4" w:space="0" w:color="000000"/>
              <w:bottom w:val="single" w:sz="4" w:space="0" w:color="000000"/>
              <w:right w:val="single" w:sz="4" w:space="0" w:color="000000"/>
            </w:tcBorders>
            <w:vAlign w:val="center"/>
          </w:tcPr>
          <w:p w14:paraId="18460C96" w14:textId="199F5801" w:rsidR="0036248E" w:rsidRPr="009077F5" w:rsidRDefault="0036248E" w:rsidP="00E73DA3">
            <w:pPr>
              <w:pStyle w:val="KonuBal"/>
              <w:rPr>
                <w:sz w:val="24"/>
                <w:szCs w:val="24"/>
              </w:rPr>
            </w:pPr>
            <w:r w:rsidRPr="009077F5">
              <w:rPr>
                <w:sz w:val="24"/>
                <w:szCs w:val="24"/>
              </w:rPr>
              <w:t>% 70 pasivasyonlu (tüm prosesler</w:t>
            </w:r>
            <w:r w:rsidRPr="009077F5">
              <w:rPr>
                <w:w w:val="99"/>
                <w:sz w:val="24"/>
                <w:szCs w:val="24"/>
              </w:rPr>
              <w:t>)</w:t>
            </w:r>
          </w:p>
          <w:p w14:paraId="525DA16B" w14:textId="26853428" w:rsidR="0036248E" w:rsidRPr="009077F5" w:rsidRDefault="0036248E" w:rsidP="00BF4451">
            <w:pPr>
              <w:pStyle w:val="KonuBal"/>
              <w:rPr>
                <w:sz w:val="24"/>
                <w:szCs w:val="24"/>
              </w:rPr>
            </w:pPr>
            <w:r w:rsidRPr="009077F5">
              <w:rPr>
                <w:sz w:val="24"/>
                <w:szCs w:val="24"/>
              </w:rPr>
              <w:t xml:space="preserve">% 80 </w:t>
            </w:r>
            <w:r w:rsidRPr="009077F5">
              <w:rPr>
                <w:spacing w:val="-5"/>
                <w:sz w:val="24"/>
                <w:szCs w:val="24"/>
              </w:rPr>
              <w:t>pasivasyonsuz</w:t>
            </w:r>
            <w:r w:rsidRPr="009077F5">
              <w:rPr>
                <w:spacing w:val="-6"/>
                <w:sz w:val="24"/>
                <w:szCs w:val="24"/>
              </w:rPr>
              <w:t xml:space="preserve"> </w:t>
            </w:r>
            <w:r w:rsidRPr="009077F5">
              <w:rPr>
                <w:sz w:val="24"/>
                <w:szCs w:val="24"/>
              </w:rPr>
              <w:t>(tüm prosesler</w:t>
            </w:r>
            <w:r w:rsidRPr="009077F5">
              <w:rPr>
                <w:w w:val="99"/>
                <w:sz w:val="24"/>
                <w:szCs w:val="24"/>
              </w:rPr>
              <w:t>)</w:t>
            </w:r>
          </w:p>
        </w:tc>
      </w:tr>
      <w:tr w:rsidR="0036248E" w:rsidRPr="00BF4451" w14:paraId="16E1CC68" w14:textId="77777777" w:rsidTr="0036248E">
        <w:trPr>
          <w:trHeight w:val="20"/>
        </w:trPr>
        <w:tc>
          <w:tcPr>
            <w:tcW w:w="4252" w:type="dxa"/>
            <w:vMerge/>
            <w:tcBorders>
              <w:left w:val="single" w:sz="4" w:space="0" w:color="000000"/>
              <w:bottom w:val="single" w:sz="4" w:space="0" w:color="000000"/>
              <w:right w:val="single" w:sz="4" w:space="0" w:color="000000"/>
            </w:tcBorders>
          </w:tcPr>
          <w:p w14:paraId="2C41705F" w14:textId="77777777" w:rsidR="0036248E" w:rsidRPr="009077F5" w:rsidRDefault="0036248E">
            <w:pPr>
              <w:pStyle w:val="KonuBal"/>
              <w:rPr>
                <w:sz w:val="24"/>
                <w:szCs w:val="24"/>
              </w:rPr>
            </w:pPr>
          </w:p>
        </w:tc>
        <w:tc>
          <w:tcPr>
            <w:tcW w:w="4536" w:type="dxa"/>
            <w:tcBorders>
              <w:top w:val="single" w:sz="4" w:space="0" w:color="000000"/>
              <w:left w:val="single" w:sz="4" w:space="0" w:color="000000"/>
              <w:bottom w:val="single" w:sz="4" w:space="0" w:color="000000"/>
              <w:right w:val="single" w:sz="4" w:space="0" w:color="000000"/>
            </w:tcBorders>
            <w:vAlign w:val="center"/>
          </w:tcPr>
          <w:p w14:paraId="6580BD0F" w14:textId="2D69F4DA" w:rsidR="0036248E" w:rsidRPr="009077F5" w:rsidRDefault="0036248E">
            <w:pPr>
              <w:pStyle w:val="KonuBal"/>
              <w:rPr>
                <w:sz w:val="24"/>
                <w:szCs w:val="24"/>
              </w:rPr>
            </w:pPr>
            <w:r w:rsidRPr="009077F5">
              <w:rPr>
                <w:sz w:val="24"/>
                <w:szCs w:val="24"/>
              </w:rPr>
              <w:t>% 95</w:t>
            </w:r>
            <w:r w:rsidRPr="009077F5">
              <w:rPr>
                <w:spacing w:val="-2"/>
                <w:sz w:val="24"/>
                <w:szCs w:val="24"/>
              </w:rPr>
              <w:t xml:space="preserve"> </w:t>
            </w:r>
            <w:r w:rsidRPr="009077F5">
              <w:rPr>
                <w:sz w:val="24"/>
                <w:szCs w:val="24"/>
              </w:rPr>
              <w:t>bobin kaplama için</w:t>
            </w:r>
          </w:p>
        </w:tc>
      </w:tr>
      <w:tr w:rsidR="0036248E" w:rsidRPr="00BF4451" w14:paraId="00E145EE" w14:textId="77777777" w:rsidTr="0036248E">
        <w:trPr>
          <w:trHeight w:val="20"/>
        </w:trPr>
        <w:tc>
          <w:tcPr>
            <w:tcW w:w="4252" w:type="dxa"/>
            <w:tcBorders>
              <w:top w:val="single" w:sz="4" w:space="0" w:color="000000"/>
              <w:left w:val="single" w:sz="4" w:space="0" w:color="000000"/>
              <w:bottom w:val="single" w:sz="4" w:space="0" w:color="000000"/>
              <w:right w:val="single" w:sz="4" w:space="0" w:color="000000"/>
            </w:tcBorders>
          </w:tcPr>
          <w:p w14:paraId="07DE9238" w14:textId="5C21F530" w:rsidR="0036248E" w:rsidRPr="009077F5" w:rsidRDefault="0036248E" w:rsidP="004B0D48">
            <w:pPr>
              <w:pStyle w:val="KonuBal"/>
              <w:rPr>
                <w:sz w:val="24"/>
                <w:szCs w:val="24"/>
              </w:rPr>
            </w:pPr>
            <w:r w:rsidRPr="009077F5">
              <w:rPr>
                <w:sz w:val="24"/>
                <w:szCs w:val="24"/>
              </w:rPr>
              <w:t>Elektrolitik nikel kaplama (kapalı devre)</w:t>
            </w:r>
          </w:p>
        </w:tc>
        <w:tc>
          <w:tcPr>
            <w:tcW w:w="4536" w:type="dxa"/>
            <w:tcBorders>
              <w:top w:val="single" w:sz="4" w:space="0" w:color="000000"/>
              <w:left w:val="single" w:sz="4" w:space="0" w:color="000000"/>
              <w:bottom w:val="single" w:sz="4" w:space="0" w:color="000000"/>
              <w:right w:val="single" w:sz="4" w:space="0" w:color="000000"/>
            </w:tcBorders>
            <w:vAlign w:val="center"/>
          </w:tcPr>
          <w:p w14:paraId="009C226C" w14:textId="46972FAD" w:rsidR="0036248E" w:rsidRPr="009077F5" w:rsidRDefault="0036248E" w:rsidP="004B0D48">
            <w:pPr>
              <w:pStyle w:val="KonuBal"/>
              <w:rPr>
                <w:sz w:val="24"/>
                <w:szCs w:val="24"/>
              </w:rPr>
            </w:pPr>
            <w:r w:rsidRPr="009077F5">
              <w:rPr>
                <w:sz w:val="24"/>
                <w:szCs w:val="24"/>
              </w:rPr>
              <w:t>% 95</w:t>
            </w:r>
          </w:p>
        </w:tc>
      </w:tr>
      <w:tr w:rsidR="0036248E" w:rsidRPr="00BF4451" w14:paraId="44730987" w14:textId="77777777" w:rsidTr="0036248E">
        <w:trPr>
          <w:trHeight w:val="20"/>
        </w:trPr>
        <w:tc>
          <w:tcPr>
            <w:tcW w:w="4252" w:type="dxa"/>
            <w:tcBorders>
              <w:top w:val="single" w:sz="4" w:space="0" w:color="000000"/>
              <w:left w:val="single" w:sz="4" w:space="0" w:color="000000"/>
              <w:bottom w:val="single" w:sz="4" w:space="0" w:color="000000"/>
              <w:right w:val="single" w:sz="4" w:space="0" w:color="000000"/>
            </w:tcBorders>
          </w:tcPr>
          <w:p w14:paraId="261E81D3" w14:textId="1685F7FC" w:rsidR="0036248E" w:rsidRPr="009077F5" w:rsidRDefault="0036248E" w:rsidP="004B0D48">
            <w:pPr>
              <w:pStyle w:val="KonuBal"/>
              <w:rPr>
                <w:sz w:val="24"/>
                <w:szCs w:val="24"/>
              </w:rPr>
            </w:pPr>
            <w:r w:rsidRPr="009077F5">
              <w:rPr>
                <w:sz w:val="24"/>
                <w:szCs w:val="24"/>
              </w:rPr>
              <w:t>Elektrolitik nikel kaplama (kapalı olmayan devre)</w:t>
            </w:r>
          </w:p>
        </w:tc>
        <w:tc>
          <w:tcPr>
            <w:tcW w:w="4536" w:type="dxa"/>
            <w:tcBorders>
              <w:top w:val="single" w:sz="4" w:space="0" w:color="000000"/>
              <w:left w:val="single" w:sz="4" w:space="0" w:color="000000"/>
              <w:bottom w:val="single" w:sz="4" w:space="0" w:color="000000"/>
              <w:right w:val="single" w:sz="4" w:space="0" w:color="000000"/>
            </w:tcBorders>
            <w:vAlign w:val="center"/>
          </w:tcPr>
          <w:p w14:paraId="7B674946" w14:textId="39F150CF" w:rsidR="0036248E" w:rsidRPr="009077F5" w:rsidRDefault="0036248E" w:rsidP="004B0D48">
            <w:pPr>
              <w:pStyle w:val="KonuBal"/>
              <w:rPr>
                <w:sz w:val="24"/>
                <w:szCs w:val="24"/>
              </w:rPr>
            </w:pPr>
            <w:r w:rsidRPr="009077F5">
              <w:rPr>
                <w:sz w:val="24"/>
                <w:szCs w:val="24"/>
              </w:rPr>
              <w:t>% 80 –</w:t>
            </w:r>
            <w:r w:rsidRPr="009077F5">
              <w:rPr>
                <w:spacing w:val="-2"/>
                <w:sz w:val="24"/>
                <w:szCs w:val="24"/>
              </w:rPr>
              <w:t xml:space="preserve"> </w:t>
            </w:r>
            <w:r w:rsidRPr="009077F5">
              <w:rPr>
                <w:sz w:val="24"/>
                <w:szCs w:val="24"/>
              </w:rPr>
              <w:t xml:space="preserve">85 </w:t>
            </w:r>
          </w:p>
        </w:tc>
      </w:tr>
      <w:tr w:rsidR="0036248E" w:rsidRPr="00BF4451" w14:paraId="67B4154F" w14:textId="77777777" w:rsidTr="0036248E">
        <w:trPr>
          <w:trHeight w:val="20"/>
        </w:trPr>
        <w:tc>
          <w:tcPr>
            <w:tcW w:w="4252" w:type="dxa"/>
            <w:tcBorders>
              <w:top w:val="single" w:sz="4" w:space="0" w:color="000000"/>
              <w:left w:val="single" w:sz="4" w:space="0" w:color="000000"/>
              <w:bottom w:val="single" w:sz="4" w:space="0" w:color="000000"/>
              <w:right w:val="single" w:sz="4" w:space="0" w:color="000000"/>
            </w:tcBorders>
          </w:tcPr>
          <w:p w14:paraId="0C4146B4" w14:textId="77777777" w:rsidR="0036248E" w:rsidRPr="009077F5" w:rsidRDefault="0036248E" w:rsidP="004B0D48">
            <w:pPr>
              <w:pStyle w:val="KonuBal"/>
              <w:rPr>
                <w:sz w:val="24"/>
                <w:szCs w:val="24"/>
              </w:rPr>
            </w:pPr>
            <w:r w:rsidRPr="009077F5">
              <w:rPr>
                <w:sz w:val="24"/>
                <w:szCs w:val="24"/>
              </w:rPr>
              <w:t>Bakır kaplama (</w:t>
            </w:r>
            <w:r w:rsidRPr="009077F5">
              <w:rPr>
                <w:spacing w:val="3"/>
                <w:sz w:val="24"/>
                <w:szCs w:val="24"/>
              </w:rPr>
              <w:t>Siyanür süreçi</w:t>
            </w:r>
            <w:r w:rsidRPr="009077F5">
              <w:rPr>
                <w:sz w:val="24"/>
                <w:szCs w:val="24"/>
              </w:rPr>
              <w:t>)</w:t>
            </w:r>
          </w:p>
        </w:tc>
        <w:tc>
          <w:tcPr>
            <w:tcW w:w="4536" w:type="dxa"/>
            <w:tcBorders>
              <w:top w:val="single" w:sz="4" w:space="0" w:color="000000"/>
              <w:left w:val="single" w:sz="4" w:space="0" w:color="000000"/>
              <w:bottom w:val="single" w:sz="4" w:space="0" w:color="000000"/>
              <w:right w:val="single" w:sz="4" w:space="0" w:color="000000"/>
            </w:tcBorders>
            <w:vAlign w:val="center"/>
          </w:tcPr>
          <w:p w14:paraId="3F4225E2" w14:textId="455DFD29" w:rsidR="0036248E" w:rsidRPr="009077F5" w:rsidRDefault="0036248E" w:rsidP="004B0D48">
            <w:pPr>
              <w:pStyle w:val="KonuBal"/>
              <w:rPr>
                <w:sz w:val="24"/>
                <w:szCs w:val="24"/>
              </w:rPr>
            </w:pPr>
            <w:r w:rsidRPr="009077F5">
              <w:rPr>
                <w:sz w:val="24"/>
                <w:szCs w:val="24"/>
              </w:rPr>
              <w:t xml:space="preserve">% 95 </w:t>
            </w:r>
          </w:p>
        </w:tc>
      </w:tr>
      <w:tr w:rsidR="0036248E" w:rsidRPr="00BF4451" w14:paraId="47373B2F" w14:textId="77777777" w:rsidTr="0036248E">
        <w:trPr>
          <w:trHeight w:val="20"/>
        </w:trPr>
        <w:tc>
          <w:tcPr>
            <w:tcW w:w="4252" w:type="dxa"/>
            <w:tcBorders>
              <w:top w:val="single" w:sz="4" w:space="0" w:color="000000"/>
              <w:left w:val="single" w:sz="4" w:space="0" w:color="000000"/>
              <w:bottom w:val="single" w:sz="4" w:space="0" w:color="000000"/>
              <w:right w:val="single" w:sz="4" w:space="0" w:color="000000"/>
            </w:tcBorders>
          </w:tcPr>
          <w:p w14:paraId="02A2591C" w14:textId="58C22B6C" w:rsidR="0036248E" w:rsidRPr="009077F5" w:rsidRDefault="0036248E" w:rsidP="004B0D48">
            <w:pPr>
              <w:pStyle w:val="KonuBal"/>
              <w:rPr>
                <w:sz w:val="24"/>
                <w:szCs w:val="24"/>
              </w:rPr>
            </w:pPr>
            <w:r w:rsidRPr="009077F5">
              <w:rPr>
                <w:spacing w:val="-7"/>
                <w:sz w:val="24"/>
                <w:szCs w:val="24"/>
              </w:rPr>
              <w:t xml:space="preserve">Bakır kaplama </w:t>
            </w:r>
            <w:r w:rsidRPr="009077F5">
              <w:rPr>
                <w:sz w:val="24"/>
                <w:szCs w:val="24"/>
              </w:rPr>
              <w:t>(kapalı olmayan devre)</w:t>
            </w:r>
          </w:p>
        </w:tc>
        <w:tc>
          <w:tcPr>
            <w:tcW w:w="4536" w:type="dxa"/>
            <w:tcBorders>
              <w:top w:val="single" w:sz="4" w:space="0" w:color="000000"/>
              <w:left w:val="single" w:sz="4" w:space="0" w:color="000000"/>
              <w:bottom w:val="single" w:sz="4" w:space="0" w:color="000000"/>
              <w:right w:val="single" w:sz="4" w:space="0" w:color="000000"/>
            </w:tcBorders>
            <w:vAlign w:val="center"/>
          </w:tcPr>
          <w:p w14:paraId="29413FBF" w14:textId="68B00FE0" w:rsidR="0036248E" w:rsidRPr="009077F5" w:rsidRDefault="0036248E" w:rsidP="004B0D48">
            <w:pPr>
              <w:pStyle w:val="KonuBal"/>
              <w:rPr>
                <w:sz w:val="24"/>
                <w:szCs w:val="24"/>
              </w:rPr>
            </w:pPr>
            <w:r w:rsidRPr="009077F5">
              <w:rPr>
                <w:sz w:val="24"/>
                <w:szCs w:val="24"/>
              </w:rPr>
              <w:t xml:space="preserve">% 95 </w:t>
            </w:r>
          </w:p>
        </w:tc>
      </w:tr>
      <w:tr w:rsidR="0036248E" w:rsidRPr="00BF4451" w14:paraId="46182BBF" w14:textId="77777777" w:rsidTr="0036248E">
        <w:trPr>
          <w:trHeight w:val="20"/>
        </w:trPr>
        <w:tc>
          <w:tcPr>
            <w:tcW w:w="4252" w:type="dxa"/>
            <w:tcBorders>
              <w:top w:val="single" w:sz="4" w:space="0" w:color="000000"/>
              <w:left w:val="single" w:sz="4" w:space="0" w:color="000000"/>
              <w:bottom w:val="single" w:sz="4" w:space="0" w:color="000000"/>
              <w:right w:val="single" w:sz="4" w:space="0" w:color="000000"/>
            </w:tcBorders>
          </w:tcPr>
          <w:p w14:paraId="2CE65EC8" w14:textId="7FEF25A9" w:rsidR="0036248E" w:rsidRPr="009077F5" w:rsidRDefault="0036248E" w:rsidP="004B0D48">
            <w:pPr>
              <w:pStyle w:val="KonuBal"/>
              <w:rPr>
                <w:sz w:val="24"/>
                <w:szCs w:val="24"/>
              </w:rPr>
            </w:pPr>
            <w:r w:rsidRPr="009077F5">
              <w:rPr>
                <w:sz w:val="24"/>
                <w:szCs w:val="24"/>
              </w:rPr>
              <w:t>Altı değerlikli krom kaplama (kapalı devre)</w:t>
            </w:r>
          </w:p>
        </w:tc>
        <w:tc>
          <w:tcPr>
            <w:tcW w:w="4536" w:type="dxa"/>
            <w:tcBorders>
              <w:top w:val="single" w:sz="4" w:space="0" w:color="000000"/>
              <w:left w:val="single" w:sz="4" w:space="0" w:color="000000"/>
              <w:bottom w:val="single" w:sz="4" w:space="0" w:color="000000"/>
              <w:right w:val="single" w:sz="4" w:space="0" w:color="000000"/>
            </w:tcBorders>
            <w:vAlign w:val="center"/>
          </w:tcPr>
          <w:p w14:paraId="1CCED6EE" w14:textId="4F46C2E8" w:rsidR="0036248E" w:rsidRPr="009077F5" w:rsidRDefault="0036248E" w:rsidP="004B0D48">
            <w:pPr>
              <w:pStyle w:val="KonuBal"/>
              <w:rPr>
                <w:sz w:val="24"/>
                <w:szCs w:val="24"/>
              </w:rPr>
            </w:pPr>
            <w:r w:rsidRPr="009077F5">
              <w:rPr>
                <w:sz w:val="24"/>
                <w:szCs w:val="24"/>
              </w:rPr>
              <w:t xml:space="preserve">% 95 </w:t>
            </w:r>
          </w:p>
        </w:tc>
      </w:tr>
      <w:tr w:rsidR="0036248E" w:rsidRPr="00BF4451" w14:paraId="79D2307D" w14:textId="77777777" w:rsidTr="0036248E">
        <w:trPr>
          <w:trHeight w:val="20"/>
        </w:trPr>
        <w:tc>
          <w:tcPr>
            <w:tcW w:w="4252" w:type="dxa"/>
            <w:tcBorders>
              <w:top w:val="single" w:sz="4" w:space="0" w:color="000000"/>
              <w:left w:val="single" w:sz="4" w:space="0" w:color="000000"/>
              <w:bottom w:val="single" w:sz="4" w:space="0" w:color="000000"/>
              <w:right w:val="single" w:sz="4" w:space="0" w:color="000000"/>
            </w:tcBorders>
          </w:tcPr>
          <w:p w14:paraId="177BF33E" w14:textId="528D9BD6" w:rsidR="0036248E" w:rsidRPr="009077F5" w:rsidRDefault="0036248E" w:rsidP="004B0D48">
            <w:pPr>
              <w:pStyle w:val="KonuBal"/>
              <w:rPr>
                <w:sz w:val="24"/>
                <w:szCs w:val="24"/>
              </w:rPr>
            </w:pPr>
            <w:r w:rsidRPr="009077F5">
              <w:rPr>
                <w:sz w:val="24"/>
                <w:szCs w:val="24"/>
              </w:rPr>
              <w:t>Altı değerlikli krom kaplama (kapalı olmayan devre)</w:t>
            </w:r>
          </w:p>
        </w:tc>
        <w:tc>
          <w:tcPr>
            <w:tcW w:w="4536" w:type="dxa"/>
            <w:tcBorders>
              <w:top w:val="single" w:sz="4" w:space="0" w:color="000000"/>
              <w:left w:val="single" w:sz="4" w:space="0" w:color="000000"/>
              <w:bottom w:val="single" w:sz="4" w:space="0" w:color="000000"/>
              <w:right w:val="single" w:sz="4" w:space="0" w:color="000000"/>
            </w:tcBorders>
            <w:vAlign w:val="center"/>
          </w:tcPr>
          <w:p w14:paraId="092F6213" w14:textId="41C5E03E" w:rsidR="0036248E" w:rsidRPr="009077F5" w:rsidRDefault="0036248E" w:rsidP="004B0D48">
            <w:pPr>
              <w:pStyle w:val="KonuBal"/>
              <w:rPr>
                <w:sz w:val="24"/>
                <w:szCs w:val="24"/>
              </w:rPr>
            </w:pPr>
            <w:r w:rsidRPr="009077F5">
              <w:rPr>
                <w:sz w:val="24"/>
                <w:szCs w:val="24"/>
              </w:rPr>
              <w:t>% 80 –</w:t>
            </w:r>
            <w:r w:rsidRPr="009077F5">
              <w:rPr>
                <w:spacing w:val="-2"/>
                <w:sz w:val="24"/>
                <w:szCs w:val="24"/>
              </w:rPr>
              <w:t xml:space="preserve"> </w:t>
            </w:r>
            <w:r w:rsidRPr="009077F5">
              <w:rPr>
                <w:sz w:val="24"/>
                <w:szCs w:val="24"/>
              </w:rPr>
              <w:t xml:space="preserve">90 </w:t>
            </w:r>
          </w:p>
        </w:tc>
      </w:tr>
      <w:tr w:rsidR="0036248E" w:rsidRPr="00BF4451" w14:paraId="5077EEBD" w14:textId="77777777" w:rsidTr="0036248E">
        <w:trPr>
          <w:trHeight w:val="20"/>
        </w:trPr>
        <w:tc>
          <w:tcPr>
            <w:tcW w:w="4252" w:type="dxa"/>
            <w:tcBorders>
              <w:top w:val="single" w:sz="4" w:space="0" w:color="000000"/>
              <w:left w:val="single" w:sz="4" w:space="0" w:color="000000"/>
              <w:bottom w:val="single" w:sz="4" w:space="0" w:color="000000"/>
              <w:right w:val="single" w:sz="4" w:space="0" w:color="000000"/>
            </w:tcBorders>
          </w:tcPr>
          <w:p w14:paraId="0F9B3774" w14:textId="219302D1" w:rsidR="0036248E" w:rsidRPr="009077F5" w:rsidRDefault="0036248E" w:rsidP="004B0D48">
            <w:pPr>
              <w:pStyle w:val="KonuBal"/>
              <w:rPr>
                <w:sz w:val="24"/>
                <w:szCs w:val="24"/>
              </w:rPr>
            </w:pPr>
            <w:r w:rsidRPr="009077F5">
              <w:rPr>
                <w:sz w:val="24"/>
                <w:szCs w:val="24"/>
              </w:rPr>
              <w:t>Değerli)</w:t>
            </w:r>
            <w:r w:rsidRPr="009077F5">
              <w:rPr>
                <w:spacing w:val="-5"/>
                <w:sz w:val="24"/>
                <w:szCs w:val="24"/>
              </w:rPr>
              <w:t xml:space="preserve"> </w:t>
            </w:r>
            <w:r w:rsidRPr="009077F5">
              <w:rPr>
                <w:sz w:val="24"/>
                <w:szCs w:val="24"/>
              </w:rPr>
              <w:t>metal kaplama</w:t>
            </w:r>
          </w:p>
        </w:tc>
        <w:tc>
          <w:tcPr>
            <w:tcW w:w="4536" w:type="dxa"/>
            <w:tcBorders>
              <w:top w:val="single" w:sz="4" w:space="0" w:color="000000"/>
              <w:left w:val="single" w:sz="4" w:space="0" w:color="000000"/>
              <w:bottom w:val="single" w:sz="4" w:space="0" w:color="000000"/>
              <w:right w:val="single" w:sz="4" w:space="0" w:color="000000"/>
            </w:tcBorders>
            <w:vAlign w:val="center"/>
          </w:tcPr>
          <w:p w14:paraId="50AB2359" w14:textId="5F3875E6" w:rsidR="0036248E" w:rsidRPr="009077F5" w:rsidRDefault="0036248E" w:rsidP="004B0D48">
            <w:pPr>
              <w:pStyle w:val="KonuBal"/>
              <w:rPr>
                <w:sz w:val="24"/>
                <w:szCs w:val="24"/>
              </w:rPr>
            </w:pPr>
            <w:r w:rsidRPr="009077F5">
              <w:rPr>
                <w:sz w:val="24"/>
                <w:szCs w:val="24"/>
              </w:rPr>
              <w:t xml:space="preserve">% 98 </w:t>
            </w:r>
          </w:p>
        </w:tc>
      </w:tr>
      <w:tr w:rsidR="0036248E" w:rsidRPr="00BF4451" w14:paraId="7B7EC3F0" w14:textId="77777777" w:rsidTr="0036248E">
        <w:trPr>
          <w:trHeight w:val="20"/>
        </w:trPr>
        <w:tc>
          <w:tcPr>
            <w:tcW w:w="4252" w:type="dxa"/>
            <w:tcBorders>
              <w:top w:val="single" w:sz="4" w:space="0" w:color="000000"/>
              <w:left w:val="single" w:sz="4" w:space="0" w:color="000000"/>
              <w:bottom w:val="single" w:sz="4" w:space="0" w:color="000000"/>
              <w:right w:val="single" w:sz="4" w:space="0" w:color="000000"/>
            </w:tcBorders>
          </w:tcPr>
          <w:p w14:paraId="240EA799" w14:textId="77777777" w:rsidR="0036248E" w:rsidRPr="009077F5" w:rsidRDefault="0036248E" w:rsidP="004B0D48">
            <w:pPr>
              <w:pStyle w:val="KonuBal"/>
              <w:rPr>
                <w:sz w:val="24"/>
                <w:szCs w:val="24"/>
              </w:rPr>
            </w:pPr>
            <w:r w:rsidRPr="009077F5">
              <w:rPr>
                <w:sz w:val="24"/>
                <w:szCs w:val="24"/>
              </w:rPr>
              <w:t>Kadmiyum</w:t>
            </w:r>
          </w:p>
        </w:tc>
        <w:tc>
          <w:tcPr>
            <w:tcW w:w="4536" w:type="dxa"/>
            <w:tcBorders>
              <w:top w:val="single" w:sz="4" w:space="0" w:color="000000"/>
              <w:left w:val="single" w:sz="4" w:space="0" w:color="000000"/>
              <w:bottom w:val="single" w:sz="4" w:space="0" w:color="000000"/>
              <w:right w:val="single" w:sz="4" w:space="0" w:color="000000"/>
            </w:tcBorders>
            <w:vAlign w:val="center"/>
          </w:tcPr>
          <w:p w14:paraId="61405160" w14:textId="77777777" w:rsidR="0036248E" w:rsidRPr="009077F5" w:rsidRDefault="0036248E" w:rsidP="004B0D48">
            <w:pPr>
              <w:pStyle w:val="KonuBal"/>
              <w:rPr>
                <w:sz w:val="24"/>
                <w:szCs w:val="24"/>
              </w:rPr>
            </w:pPr>
            <w:r w:rsidRPr="009077F5">
              <w:rPr>
                <w:w w:val="99"/>
                <w:sz w:val="24"/>
                <w:szCs w:val="24"/>
              </w:rPr>
              <w:t>%10</w:t>
            </w:r>
          </w:p>
        </w:tc>
      </w:tr>
    </w:tbl>
    <w:p w14:paraId="7EC18947" w14:textId="77777777" w:rsidR="00790361" w:rsidRPr="00D53A2B" w:rsidRDefault="00790361" w:rsidP="00A202FD">
      <w:pPr>
        <w:jc w:val="both"/>
        <w:rPr>
          <w:lang w:eastAsia="en-US"/>
        </w:rPr>
      </w:pPr>
    </w:p>
    <w:p w14:paraId="63A85520" w14:textId="2B97969F" w:rsidR="0036248E" w:rsidRPr="00D53A2B" w:rsidRDefault="00C2765B" w:rsidP="00A202FD">
      <w:pPr>
        <w:pStyle w:val="Balk4"/>
        <w:rPr>
          <w:rFonts w:cs="Times New Roman"/>
          <w:lang w:eastAsia="en-US"/>
        </w:rPr>
      </w:pPr>
      <w:r w:rsidRPr="00D53A2B">
        <w:rPr>
          <w:rFonts w:cs="Times New Roman"/>
          <w:lang w:eastAsia="en-US"/>
        </w:rPr>
        <w:t>5.1.6.1. Önleme ve azaltma</w:t>
      </w:r>
    </w:p>
    <w:p w14:paraId="04AB7E76" w14:textId="35AC8030" w:rsidR="0036248E" w:rsidRPr="00D53A2B" w:rsidRDefault="00877DDC" w:rsidP="00A202FD">
      <w:pPr>
        <w:jc w:val="both"/>
        <w:rPr>
          <w:lang w:eastAsia="en-US"/>
        </w:rPr>
      </w:pPr>
      <w:r w:rsidRPr="00D53A2B">
        <w:rPr>
          <w:lang w:eastAsia="en-US"/>
        </w:rPr>
        <w:t xml:space="preserve">Hem metal hem de metal olmayan bileşenler korunduğu için metallerin ve diğer ham maddelerin birlikte kaybını önlemek </w:t>
      </w:r>
      <w:r w:rsidR="0031317B" w:rsidRPr="00D53A2B">
        <w:rPr>
          <w:lang w:eastAsia="en-US"/>
        </w:rPr>
        <w:t>MET’tir</w:t>
      </w:r>
      <w:r w:rsidRPr="00D53A2B">
        <w:rPr>
          <w:lang w:eastAsia="en-US"/>
        </w:rPr>
        <w:t>. Bu, Bölüm 4.6 ve 5.1.5.3</w:t>
      </w:r>
      <w:r w:rsidR="00E56504" w:rsidRPr="00D53A2B">
        <w:rPr>
          <w:lang w:eastAsia="en-US"/>
        </w:rPr>
        <w:t>’</w:t>
      </w:r>
      <w:r w:rsidRPr="00D53A2B">
        <w:rPr>
          <w:lang w:eastAsia="en-US"/>
        </w:rPr>
        <w:t>te açıklanan sürüklenmeyi azaltarak ve yöneterek ve Bölüm 4.7, 4.7.11</w:t>
      </w:r>
      <w:r w:rsidR="00E56504" w:rsidRPr="00D53A2B">
        <w:rPr>
          <w:lang w:eastAsia="en-US"/>
        </w:rPr>
        <w:t>’</w:t>
      </w:r>
      <w:r w:rsidRPr="00D53A2B">
        <w:rPr>
          <w:lang w:eastAsia="en-US"/>
        </w:rPr>
        <w:t>de açıklanan ve Bölüm 4.10</w:t>
      </w:r>
      <w:r w:rsidR="00E56504" w:rsidRPr="00D53A2B">
        <w:rPr>
          <w:lang w:eastAsia="en-US"/>
        </w:rPr>
        <w:t>’</w:t>
      </w:r>
      <w:r w:rsidRPr="00D53A2B">
        <w:rPr>
          <w:lang w:eastAsia="en-US"/>
        </w:rPr>
        <w:t>da atıfta bulunulan sürüklenme geri kazanımını artırarak, iyon değişimi, membran, buharlaştırma ve sürüklenme ve durulama sularını hem yoğunlaştırmak hem de yeniden kullanmak için diğer teknikler dahil olmak üzere elde edilir.</w:t>
      </w:r>
    </w:p>
    <w:p w14:paraId="3EFFB94A" w14:textId="77777777" w:rsidR="0036248E" w:rsidRPr="00D53A2B" w:rsidRDefault="0036248E" w:rsidP="00A202FD">
      <w:pPr>
        <w:jc w:val="both"/>
        <w:rPr>
          <w:lang w:eastAsia="en-US"/>
        </w:rPr>
      </w:pPr>
    </w:p>
    <w:p w14:paraId="49C3DCC9" w14:textId="15233D82" w:rsidR="0036248E" w:rsidRPr="00D53A2B" w:rsidRDefault="00877DDC" w:rsidP="00A202FD">
      <w:pPr>
        <w:jc w:val="both"/>
        <w:rPr>
          <w:lang w:eastAsia="en-US"/>
        </w:rPr>
      </w:pPr>
      <w:r w:rsidRPr="00D53A2B">
        <w:rPr>
          <w:lang w:eastAsia="en-US"/>
        </w:rPr>
        <w:t xml:space="preserve">Aşırı dozlama yoluyla malzeme kaybını önlemek </w:t>
      </w:r>
      <w:r w:rsidR="0031317B" w:rsidRPr="00D53A2B">
        <w:rPr>
          <w:lang w:eastAsia="en-US"/>
        </w:rPr>
        <w:t>M</w:t>
      </w:r>
      <w:r w:rsidR="00F13622" w:rsidRPr="00D53A2B">
        <w:rPr>
          <w:lang w:eastAsia="en-US"/>
        </w:rPr>
        <w:t>E</w:t>
      </w:r>
      <w:r w:rsidR="0031317B" w:rsidRPr="00D53A2B">
        <w:rPr>
          <w:lang w:eastAsia="en-US"/>
        </w:rPr>
        <w:t>T’tir</w:t>
      </w:r>
      <w:r w:rsidRPr="00D53A2B">
        <w:rPr>
          <w:lang w:eastAsia="en-US"/>
        </w:rPr>
        <w:t>. Bu şu şekilde elde edilir:</w:t>
      </w:r>
    </w:p>
    <w:p w14:paraId="795C59A5" w14:textId="77777777" w:rsidR="00877DDC" w:rsidRPr="00D53A2B" w:rsidRDefault="00877DDC" w:rsidP="00602365">
      <w:pPr>
        <w:pStyle w:val="ListeParagraf"/>
        <w:numPr>
          <w:ilvl w:val="0"/>
          <w:numId w:val="200"/>
        </w:numPr>
        <w:tabs>
          <w:tab w:val="clear" w:pos="567"/>
        </w:tabs>
        <w:spacing w:line="240" w:lineRule="auto"/>
        <w:ind w:left="426" w:hanging="426"/>
        <w:rPr>
          <w:sz w:val="24"/>
          <w:szCs w:val="24"/>
        </w:rPr>
      </w:pPr>
      <w:r w:rsidRPr="00D53A2B">
        <w:rPr>
          <w:sz w:val="24"/>
          <w:szCs w:val="24"/>
        </w:rPr>
        <w:t>proses kimyasallarının konsantrasyonunun izlenmesi</w:t>
      </w:r>
    </w:p>
    <w:p w14:paraId="66E806AD" w14:textId="77777777" w:rsidR="00877DDC" w:rsidRPr="00D53A2B" w:rsidRDefault="00877DDC" w:rsidP="00602365">
      <w:pPr>
        <w:pStyle w:val="ListeParagraf"/>
        <w:numPr>
          <w:ilvl w:val="0"/>
          <w:numId w:val="200"/>
        </w:numPr>
        <w:tabs>
          <w:tab w:val="clear" w:pos="567"/>
        </w:tabs>
        <w:spacing w:line="240" w:lineRule="auto"/>
        <w:ind w:left="426" w:hanging="426"/>
        <w:rPr>
          <w:sz w:val="24"/>
          <w:szCs w:val="24"/>
        </w:rPr>
      </w:pPr>
      <w:r w:rsidRPr="00D53A2B">
        <w:rPr>
          <w:sz w:val="24"/>
          <w:szCs w:val="24"/>
        </w:rPr>
        <w:t>kullanımın kaydedilmesi ve kıyaslanması (bkz. Bölüm 5.1.1.4)</w:t>
      </w:r>
    </w:p>
    <w:p w14:paraId="01522EAB" w14:textId="6E54FEE0" w:rsidR="0036248E" w:rsidRPr="00D53A2B" w:rsidRDefault="00877DDC" w:rsidP="00602365">
      <w:pPr>
        <w:pStyle w:val="ListeParagraf"/>
        <w:numPr>
          <w:ilvl w:val="0"/>
          <w:numId w:val="200"/>
        </w:numPr>
        <w:tabs>
          <w:tab w:val="clear" w:pos="567"/>
        </w:tabs>
        <w:spacing w:line="240" w:lineRule="auto"/>
        <w:ind w:left="426" w:hanging="426"/>
        <w:rPr>
          <w:sz w:val="24"/>
          <w:szCs w:val="24"/>
        </w:rPr>
      </w:pPr>
      <w:r w:rsidRPr="00D53A2B">
        <w:rPr>
          <w:sz w:val="24"/>
          <w:szCs w:val="24"/>
        </w:rPr>
        <w:t>kıyaslama değerlerinden sapmaların sorumlu kişiye raporlanması ve çözümün optimum sınır değerleri içinde tutulması için gereken ayarlamaların yapılması.</w:t>
      </w:r>
    </w:p>
    <w:p w14:paraId="30DAF8E0" w14:textId="77777777" w:rsidR="0036248E" w:rsidRPr="00D53A2B" w:rsidRDefault="0036248E" w:rsidP="00A202FD">
      <w:pPr>
        <w:jc w:val="both"/>
        <w:rPr>
          <w:rFonts w:eastAsia="Calibri"/>
          <w:color w:val="212121"/>
        </w:rPr>
      </w:pPr>
    </w:p>
    <w:p w14:paraId="1A421777" w14:textId="24B44C30" w:rsidR="00877DDC" w:rsidRPr="00D53A2B" w:rsidRDefault="00877DDC" w:rsidP="00A202FD">
      <w:pPr>
        <w:jc w:val="both"/>
        <w:rPr>
          <w:rFonts w:eastAsia="Calibri"/>
          <w:color w:val="212121"/>
        </w:rPr>
      </w:pPr>
      <w:r w:rsidRPr="00D53A2B">
        <w:rPr>
          <w:rFonts w:eastAsia="Calibri"/>
          <w:color w:val="212121"/>
        </w:rPr>
        <w:t>Bu, en tutarlı şekilde analitik kontrol (genellikle İstatistiksel Proses Kontrolü, İBK) ve otomatik dozajlama kullanılarak elde edilir (bkz. Bölüm 4.8.1).</w:t>
      </w:r>
    </w:p>
    <w:p w14:paraId="1378D873" w14:textId="77777777" w:rsidR="00877DDC" w:rsidRPr="00D53A2B" w:rsidRDefault="00877DDC" w:rsidP="00A202FD">
      <w:pPr>
        <w:jc w:val="both"/>
        <w:rPr>
          <w:rFonts w:eastAsia="Calibri"/>
          <w:color w:val="212121"/>
        </w:rPr>
      </w:pPr>
    </w:p>
    <w:p w14:paraId="54EED1CA" w14:textId="0C909049" w:rsidR="002E35D4" w:rsidRPr="00D53A2B" w:rsidRDefault="002E35D4" w:rsidP="00A202FD">
      <w:pPr>
        <w:pStyle w:val="Balk4"/>
        <w:rPr>
          <w:rFonts w:cs="Times New Roman"/>
          <w:lang w:eastAsia="en-US"/>
        </w:rPr>
      </w:pPr>
      <w:r w:rsidRPr="00D53A2B">
        <w:rPr>
          <w:rFonts w:cs="Times New Roman"/>
          <w:lang w:eastAsia="en-US"/>
        </w:rPr>
        <w:t>5.1.6.2. Yeniden kullanım</w:t>
      </w:r>
    </w:p>
    <w:p w14:paraId="1093313C" w14:textId="66D2D86A" w:rsidR="00877DDC" w:rsidRPr="00D53A2B" w:rsidRDefault="002E35D4" w:rsidP="00A202FD">
      <w:pPr>
        <w:jc w:val="both"/>
        <w:rPr>
          <w:rFonts w:eastAsia="Calibri"/>
        </w:rPr>
      </w:pPr>
      <w:r w:rsidRPr="00D53A2B">
        <w:rPr>
          <w:rFonts w:eastAsia="Calibri"/>
        </w:rPr>
        <w:t>Bölüm 4.12</w:t>
      </w:r>
      <w:r w:rsidR="00E56504" w:rsidRPr="00D53A2B">
        <w:rPr>
          <w:rFonts w:eastAsia="Calibri"/>
        </w:rPr>
        <w:t>’</w:t>
      </w:r>
      <w:r w:rsidRPr="00D53A2B">
        <w:rPr>
          <w:rFonts w:eastAsia="Calibri"/>
        </w:rPr>
        <w:t xml:space="preserve">de açıklanan teknikleri ve sürükleme kurtarmayla (Bölüm 4.7 ve Bölüm 5.1.6.4 ve 5.1.6.3) birlikte kullanarak metali anot malzemesi olarak geri kazanmak </w:t>
      </w:r>
      <w:r w:rsidR="0031317B" w:rsidRPr="00D53A2B">
        <w:rPr>
          <w:rFonts w:eastAsia="Calibri"/>
        </w:rPr>
        <w:t>MET’tir</w:t>
      </w:r>
      <w:r w:rsidRPr="00D53A2B">
        <w:rPr>
          <w:rFonts w:eastAsia="Calibri"/>
        </w:rPr>
        <w:t>. Bu, su kullanımının azaltılmasına ve daha sonraki durulama aşamaları için suyun geri kazanılmasına büyük ölçüde yardımcı olabilir.</w:t>
      </w:r>
    </w:p>
    <w:p w14:paraId="7D7027EF" w14:textId="77777777" w:rsidR="002E35D4" w:rsidRPr="00D53A2B" w:rsidRDefault="002E35D4" w:rsidP="00A202FD">
      <w:pPr>
        <w:jc w:val="both"/>
        <w:rPr>
          <w:rFonts w:eastAsia="Calibri"/>
        </w:rPr>
      </w:pPr>
    </w:p>
    <w:p w14:paraId="1A49E08B" w14:textId="3D172A38" w:rsidR="003F6167" w:rsidRPr="00D53A2B" w:rsidRDefault="003F6167" w:rsidP="00A202FD">
      <w:pPr>
        <w:pStyle w:val="Balk4"/>
        <w:rPr>
          <w:rFonts w:cs="Times New Roman"/>
          <w:lang w:eastAsia="en-US"/>
        </w:rPr>
      </w:pPr>
      <w:r w:rsidRPr="00D53A2B">
        <w:rPr>
          <w:rFonts w:cs="Times New Roman"/>
          <w:lang w:eastAsia="en-US"/>
        </w:rPr>
        <w:t xml:space="preserve">5.1.6.3. Malzemelerin geri kazanımı ve </w:t>
      </w:r>
      <w:r w:rsidR="00FE7A41" w:rsidRPr="00D53A2B">
        <w:rPr>
          <w:rFonts w:cs="Times New Roman"/>
          <w:lang w:eastAsia="en-US"/>
        </w:rPr>
        <w:t>döngüyü kapatma</w:t>
      </w:r>
    </w:p>
    <w:p w14:paraId="38797B64" w14:textId="4A5B539E" w:rsidR="003F6167" w:rsidRPr="00D53A2B" w:rsidRDefault="003F6167" w:rsidP="00A202FD">
      <w:pPr>
        <w:jc w:val="both"/>
        <w:rPr>
          <w:lang w:eastAsia="en-US"/>
        </w:rPr>
      </w:pPr>
      <w:r w:rsidRPr="00D53A2B">
        <w:rPr>
          <w:lang w:eastAsia="en-US"/>
        </w:rPr>
        <w:t xml:space="preserve">İlk durulamadan gelen durulama suyunun işlem çözeltisine geri döndürülmesiyle işlem malzemelerinin korunması </w:t>
      </w:r>
      <w:r w:rsidR="0031317B" w:rsidRPr="00D53A2B">
        <w:rPr>
          <w:lang w:eastAsia="en-US"/>
        </w:rPr>
        <w:t>MET’tir</w:t>
      </w:r>
      <w:r w:rsidRPr="00D53A2B">
        <w:rPr>
          <w:lang w:eastAsia="en-US"/>
        </w:rPr>
        <w:t>. Bu, Bölüm 4.7, 4.7.8, 4.7.10, 4.7.11 ve 4.7.12</w:t>
      </w:r>
      <w:r w:rsidR="00E56504" w:rsidRPr="00D53A2B">
        <w:rPr>
          <w:lang w:eastAsia="en-US"/>
        </w:rPr>
        <w:t>’</w:t>
      </w:r>
      <w:r w:rsidRPr="00D53A2B">
        <w:rPr>
          <w:lang w:eastAsia="en-US"/>
        </w:rPr>
        <w:t>de açıklanan tekniklerin bir kombinasyonuyla elde edilebilir. Çözelti bakımı artırılabilir, ancak çoğu modern sistem daha fazla bakım gerektirir (genellikle çevrimiçi). Metal birikimini kontrol etmek için uygun yöntemler Bölüm 5.1.6.5</w:t>
      </w:r>
      <w:r w:rsidR="00E56504" w:rsidRPr="00D53A2B">
        <w:rPr>
          <w:lang w:eastAsia="en-US"/>
        </w:rPr>
        <w:t>’</w:t>
      </w:r>
      <w:r w:rsidRPr="00D53A2B">
        <w:rPr>
          <w:lang w:eastAsia="en-US"/>
        </w:rPr>
        <w:t>te tartışılmış ve diğer bakım yöntemleri Bölüm 5.1.7</w:t>
      </w:r>
      <w:r w:rsidR="00E56504" w:rsidRPr="00D53A2B">
        <w:rPr>
          <w:lang w:eastAsia="en-US"/>
        </w:rPr>
        <w:t>’</w:t>
      </w:r>
      <w:r w:rsidRPr="00D53A2B">
        <w:rPr>
          <w:lang w:eastAsia="en-US"/>
        </w:rPr>
        <w:t>de verilmiştir.</w:t>
      </w:r>
    </w:p>
    <w:p w14:paraId="1CE3134A" w14:textId="77777777" w:rsidR="002E35D4" w:rsidRPr="00D53A2B" w:rsidRDefault="002E35D4" w:rsidP="00A202FD">
      <w:pPr>
        <w:jc w:val="both"/>
        <w:rPr>
          <w:rFonts w:eastAsia="Calibri"/>
        </w:rPr>
      </w:pPr>
    </w:p>
    <w:p w14:paraId="7F6FD586" w14:textId="3BDE9DF2" w:rsidR="002E35D4" w:rsidRPr="00D53A2B" w:rsidRDefault="003F6167" w:rsidP="00A202FD">
      <w:pPr>
        <w:jc w:val="both"/>
        <w:rPr>
          <w:rFonts w:eastAsia="Calibri"/>
        </w:rPr>
      </w:pPr>
      <w:r w:rsidRPr="00D53A2B">
        <w:rPr>
          <w:rFonts w:eastAsia="Calibri"/>
        </w:rPr>
        <w:t>Tüm malzemeler durulama suyuyla birlikte geri döndürüldüğünde, bu işlem için proses hattı içinde kapalı bir döngü elde edilir (bkz. Bölüm 4.7.11). Döngünün kapatılması, tüm hatlar veya tesisler için değil, bir proses hattı içindeki bir proses kimyası için geçerlidir.</w:t>
      </w:r>
    </w:p>
    <w:p w14:paraId="692611AD" w14:textId="77777777" w:rsidR="002E35D4" w:rsidRPr="00D53A2B" w:rsidRDefault="002E35D4" w:rsidP="00A202FD">
      <w:pPr>
        <w:jc w:val="both"/>
        <w:rPr>
          <w:rFonts w:eastAsia="Calibri"/>
        </w:rPr>
      </w:pPr>
    </w:p>
    <w:p w14:paraId="41ABD232" w14:textId="7693E093" w:rsidR="003F6167" w:rsidRPr="00D53A2B" w:rsidRDefault="003F6167" w:rsidP="00A202FD">
      <w:pPr>
        <w:jc w:val="both"/>
        <w:rPr>
          <w:rFonts w:eastAsia="Calibri"/>
        </w:rPr>
      </w:pPr>
      <w:r w:rsidRPr="00D53A2B">
        <w:rPr>
          <w:rFonts w:eastAsia="Calibri"/>
        </w:rPr>
        <w:t>Kapalı malzeme döngüsü aşağıdakiler için MET</w:t>
      </w:r>
      <w:r w:rsidR="00E56504" w:rsidRPr="00D53A2B">
        <w:rPr>
          <w:rFonts w:eastAsia="Calibri"/>
        </w:rPr>
        <w:t>’</w:t>
      </w:r>
      <w:r w:rsidRPr="00D53A2B">
        <w:rPr>
          <w:rFonts w:eastAsia="Calibri"/>
        </w:rPr>
        <w:t xml:space="preserve">tir: </w:t>
      </w:r>
    </w:p>
    <w:p w14:paraId="12684429" w14:textId="2C520B62" w:rsidR="003F6167" w:rsidRPr="00D53A2B" w:rsidRDefault="003F6167" w:rsidP="00602365">
      <w:pPr>
        <w:pStyle w:val="ListeParagraf"/>
        <w:numPr>
          <w:ilvl w:val="0"/>
          <w:numId w:val="201"/>
        </w:numPr>
        <w:tabs>
          <w:tab w:val="clear" w:pos="567"/>
        </w:tabs>
        <w:spacing w:line="240" w:lineRule="auto"/>
        <w:ind w:left="426" w:hanging="426"/>
        <w:rPr>
          <w:rFonts w:eastAsia="Calibri"/>
          <w:sz w:val="24"/>
          <w:szCs w:val="24"/>
        </w:rPr>
      </w:pPr>
      <w:r w:rsidRPr="00D53A2B">
        <w:rPr>
          <w:rFonts w:eastAsia="Calibri"/>
          <w:sz w:val="24"/>
          <w:szCs w:val="24"/>
        </w:rPr>
        <w:t>Altı değerlikli sert krom</w:t>
      </w:r>
    </w:p>
    <w:p w14:paraId="1A5AD2A0" w14:textId="1DAF41D2" w:rsidR="003F6167" w:rsidRPr="00D53A2B" w:rsidRDefault="003F6167" w:rsidP="00602365">
      <w:pPr>
        <w:pStyle w:val="ListeParagraf"/>
        <w:numPr>
          <w:ilvl w:val="0"/>
          <w:numId w:val="201"/>
        </w:numPr>
        <w:tabs>
          <w:tab w:val="clear" w:pos="567"/>
        </w:tabs>
        <w:spacing w:line="240" w:lineRule="auto"/>
        <w:ind w:left="426" w:hanging="426"/>
        <w:rPr>
          <w:rFonts w:eastAsia="Calibri"/>
          <w:sz w:val="24"/>
          <w:szCs w:val="24"/>
        </w:rPr>
      </w:pPr>
      <w:r w:rsidRPr="00D53A2B">
        <w:rPr>
          <w:rFonts w:eastAsia="Calibri"/>
          <w:sz w:val="24"/>
          <w:szCs w:val="24"/>
        </w:rPr>
        <w:t>Kadmiyum</w:t>
      </w:r>
    </w:p>
    <w:p w14:paraId="6AAEF610" w14:textId="77777777" w:rsidR="00877DDC" w:rsidRPr="00D53A2B" w:rsidRDefault="00877DDC" w:rsidP="00A202FD">
      <w:pPr>
        <w:jc w:val="both"/>
        <w:rPr>
          <w:rFonts w:eastAsia="Calibri"/>
        </w:rPr>
      </w:pPr>
    </w:p>
    <w:p w14:paraId="3C6AB3A1" w14:textId="2497C1B0" w:rsidR="003F6167" w:rsidRPr="00D53A2B" w:rsidRDefault="003F6167" w:rsidP="00A202FD">
      <w:pPr>
        <w:jc w:val="both"/>
        <w:rPr>
          <w:rFonts w:eastAsia="Calibri"/>
        </w:rPr>
      </w:pPr>
      <w:r w:rsidRPr="00D53A2B">
        <w:rPr>
          <w:rFonts w:eastAsia="Calibri"/>
        </w:rPr>
        <w:t>İşlem kimyasalları için döngünün kapatılması, kademeli durulama, iyon değişimi, membran teknikleri, buharlaştırma (bkz. Bölüm 4.7.11) gibi tekniklerin uygun bir kombinasyonunun uygulanmasıyla gerçekleştirilebilir.</w:t>
      </w:r>
    </w:p>
    <w:p w14:paraId="37DC81D3" w14:textId="77777777" w:rsidR="003F6167" w:rsidRPr="00D53A2B" w:rsidRDefault="003F6167" w:rsidP="00A202FD">
      <w:pPr>
        <w:jc w:val="both"/>
        <w:rPr>
          <w:rFonts w:eastAsia="Calibri"/>
        </w:rPr>
      </w:pPr>
    </w:p>
    <w:p w14:paraId="7B950782" w14:textId="4A161247" w:rsidR="003F6167" w:rsidRPr="00D53A2B" w:rsidRDefault="003F6167" w:rsidP="00A202FD">
      <w:pPr>
        <w:jc w:val="both"/>
        <w:rPr>
          <w:rFonts w:eastAsia="Calibri"/>
        </w:rPr>
      </w:pPr>
      <w:r w:rsidRPr="00D53A2B">
        <w:rPr>
          <w:rFonts w:eastAsia="Calibri"/>
        </w:rPr>
        <w:t>Kapalı devre sıfır deşarj değildir: işlem çözeltisine ve işlem suyu devrelerine uygulanan arıtma işlemlerinden küçük deşarjlar olabilir (iyon değişimi rejenerasyonu gibi). Bakım dönemlerinde devrenin kapalı tutulması mümkün olmayabilir. Atıklar ve egzoz gazları/buharları da üretilecektir. İşlem hattının diğer kısımlarından da deşarjlar olabilir.</w:t>
      </w:r>
    </w:p>
    <w:p w14:paraId="51A3B4B5" w14:textId="77777777" w:rsidR="003F6167" w:rsidRPr="00D53A2B" w:rsidRDefault="003F6167" w:rsidP="00A202FD">
      <w:pPr>
        <w:jc w:val="both"/>
        <w:rPr>
          <w:rFonts w:eastAsia="Calibri"/>
        </w:rPr>
      </w:pPr>
    </w:p>
    <w:p w14:paraId="10C3AB6A" w14:textId="27931BF1" w:rsidR="003F6167" w:rsidRPr="00D53A2B" w:rsidRDefault="003F6167" w:rsidP="00A202FD">
      <w:pPr>
        <w:jc w:val="both"/>
        <w:rPr>
          <w:rFonts w:eastAsia="Calibri"/>
        </w:rPr>
      </w:pPr>
      <w:r w:rsidRPr="00D53A2B">
        <w:rPr>
          <w:rFonts w:eastAsia="Calibri"/>
        </w:rPr>
        <w:t>Döngünün kapatılması yüksek bir ham madde kullanım oranına ulaşılmasını sağlar ve özellikle şunları sağlayabilir:</w:t>
      </w:r>
    </w:p>
    <w:p w14:paraId="7A90BD13" w14:textId="77777777" w:rsidR="00A57FF5" w:rsidRPr="00D53A2B" w:rsidRDefault="00A57FF5" w:rsidP="00602365">
      <w:pPr>
        <w:pStyle w:val="ListeParagraf"/>
        <w:numPr>
          <w:ilvl w:val="0"/>
          <w:numId w:val="202"/>
        </w:numPr>
        <w:tabs>
          <w:tab w:val="clear" w:pos="567"/>
        </w:tabs>
        <w:spacing w:line="240" w:lineRule="auto"/>
        <w:ind w:left="426" w:hanging="426"/>
        <w:rPr>
          <w:rFonts w:eastAsia="Calibri"/>
          <w:sz w:val="24"/>
          <w:szCs w:val="24"/>
        </w:rPr>
      </w:pPr>
      <w:r w:rsidRPr="00D53A2B">
        <w:rPr>
          <w:rFonts w:eastAsia="Calibri"/>
          <w:sz w:val="24"/>
          <w:szCs w:val="24"/>
        </w:rPr>
        <w:t>ham madde ve su kullanımını (ve dolayısıyla maliyetini) azaltın</w:t>
      </w:r>
    </w:p>
    <w:p w14:paraId="1DB27C6A" w14:textId="77777777" w:rsidR="00A57FF5" w:rsidRPr="00D53A2B" w:rsidRDefault="00A57FF5" w:rsidP="00602365">
      <w:pPr>
        <w:pStyle w:val="ListeParagraf"/>
        <w:numPr>
          <w:ilvl w:val="0"/>
          <w:numId w:val="202"/>
        </w:numPr>
        <w:tabs>
          <w:tab w:val="clear" w:pos="567"/>
        </w:tabs>
        <w:spacing w:line="240" w:lineRule="auto"/>
        <w:ind w:left="426" w:hanging="426"/>
        <w:rPr>
          <w:rFonts w:eastAsia="Calibri"/>
          <w:sz w:val="24"/>
          <w:szCs w:val="24"/>
        </w:rPr>
      </w:pPr>
      <w:r w:rsidRPr="00D53A2B">
        <w:rPr>
          <w:rFonts w:eastAsia="Calibri"/>
          <w:sz w:val="24"/>
          <w:szCs w:val="24"/>
        </w:rPr>
        <w:t>nokta kaynaklı bir arıtma tekniği olarak, düşük emisyon sınır değerlerine ulaşın</w:t>
      </w:r>
    </w:p>
    <w:p w14:paraId="635BA162" w14:textId="310F513C" w:rsidR="00A57FF5" w:rsidRPr="00D53A2B" w:rsidRDefault="00A57FF5" w:rsidP="00602365">
      <w:pPr>
        <w:pStyle w:val="ListeParagraf"/>
        <w:numPr>
          <w:ilvl w:val="0"/>
          <w:numId w:val="202"/>
        </w:numPr>
        <w:tabs>
          <w:tab w:val="clear" w:pos="567"/>
        </w:tabs>
        <w:spacing w:line="240" w:lineRule="auto"/>
        <w:ind w:left="426" w:hanging="426"/>
        <w:rPr>
          <w:rFonts w:eastAsia="Calibri"/>
          <w:sz w:val="24"/>
          <w:szCs w:val="24"/>
        </w:rPr>
      </w:pPr>
      <w:r w:rsidRPr="00D53A2B">
        <w:rPr>
          <w:rFonts w:eastAsia="Calibri"/>
          <w:sz w:val="24"/>
          <w:szCs w:val="24"/>
        </w:rPr>
        <w:t xml:space="preserve">boru sonu </w:t>
      </w:r>
      <w:r w:rsidR="00651500" w:rsidRPr="00D53A2B">
        <w:rPr>
          <w:rFonts w:eastAsia="Calibri"/>
          <w:sz w:val="24"/>
          <w:szCs w:val="24"/>
        </w:rPr>
        <w:t>atıksu</w:t>
      </w:r>
      <w:r w:rsidRPr="00D53A2B">
        <w:rPr>
          <w:rFonts w:eastAsia="Calibri"/>
          <w:sz w:val="24"/>
          <w:szCs w:val="24"/>
        </w:rPr>
        <w:t xml:space="preserve">arıtımına olan ihtiyacı azaltın (örneğin, nikelin siyanür içeren </w:t>
      </w:r>
      <w:r w:rsidR="00651500" w:rsidRPr="00D53A2B">
        <w:rPr>
          <w:rFonts w:eastAsia="Calibri"/>
          <w:sz w:val="24"/>
          <w:szCs w:val="24"/>
        </w:rPr>
        <w:t>atıksu</w:t>
      </w:r>
      <w:r w:rsidRPr="00D53A2B">
        <w:rPr>
          <w:rFonts w:eastAsia="Calibri"/>
          <w:sz w:val="24"/>
          <w:szCs w:val="24"/>
        </w:rPr>
        <w:t>ile temasını ortadan kaldırın)</w:t>
      </w:r>
    </w:p>
    <w:p w14:paraId="6A392F30" w14:textId="4D4B1341" w:rsidR="003F6167" w:rsidRPr="00D53A2B" w:rsidRDefault="00A57FF5" w:rsidP="00602365">
      <w:pPr>
        <w:pStyle w:val="ListeParagraf"/>
        <w:numPr>
          <w:ilvl w:val="0"/>
          <w:numId w:val="202"/>
        </w:numPr>
        <w:tabs>
          <w:tab w:val="clear" w:pos="567"/>
        </w:tabs>
        <w:spacing w:line="240" w:lineRule="auto"/>
        <w:ind w:left="426" w:hanging="426"/>
        <w:rPr>
          <w:rFonts w:eastAsia="Calibri"/>
          <w:sz w:val="24"/>
          <w:szCs w:val="24"/>
        </w:rPr>
      </w:pPr>
      <w:r w:rsidRPr="00D53A2B">
        <w:rPr>
          <w:rFonts w:eastAsia="Calibri"/>
          <w:sz w:val="24"/>
          <w:szCs w:val="24"/>
        </w:rPr>
        <w:t>soğutma sistemlerinin yerini almak üzere buharlaştırma ile birlikte kullanıldığında genel enerji kullanımını azaltın</w:t>
      </w:r>
    </w:p>
    <w:p w14:paraId="794C63C6" w14:textId="2962CEA4" w:rsidR="00A57FF5" w:rsidRPr="00D53A2B" w:rsidRDefault="00A57FF5" w:rsidP="00602365">
      <w:pPr>
        <w:pStyle w:val="ListeParagraf"/>
        <w:numPr>
          <w:ilvl w:val="0"/>
          <w:numId w:val="202"/>
        </w:numPr>
        <w:tabs>
          <w:tab w:val="clear" w:pos="567"/>
        </w:tabs>
        <w:spacing w:line="240" w:lineRule="auto"/>
        <w:ind w:left="426" w:hanging="426"/>
        <w:rPr>
          <w:rFonts w:eastAsia="Calibri"/>
          <w:sz w:val="24"/>
          <w:szCs w:val="24"/>
        </w:rPr>
      </w:pPr>
      <w:r w:rsidRPr="00D53A2B">
        <w:rPr>
          <w:rFonts w:eastAsia="Calibri"/>
          <w:sz w:val="24"/>
          <w:szCs w:val="24"/>
        </w:rPr>
        <w:t>Aksi takdirde atıksuya deşarj edilecek olan geri kazanılan malzemelerin arıtılmasında kullanılan kimyasalların kullanımını azaltmak</w:t>
      </w:r>
    </w:p>
    <w:p w14:paraId="1B0A766C" w14:textId="53F1AB7B" w:rsidR="003F6167" w:rsidRPr="00D53A2B" w:rsidRDefault="00A57FF5" w:rsidP="00602365">
      <w:pPr>
        <w:pStyle w:val="ListeParagraf"/>
        <w:numPr>
          <w:ilvl w:val="0"/>
          <w:numId w:val="202"/>
        </w:numPr>
        <w:tabs>
          <w:tab w:val="clear" w:pos="567"/>
        </w:tabs>
        <w:spacing w:line="240" w:lineRule="auto"/>
        <w:ind w:left="426" w:hanging="426"/>
        <w:rPr>
          <w:rFonts w:eastAsia="Calibri"/>
          <w:sz w:val="24"/>
          <w:szCs w:val="24"/>
        </w:rPr>
      </w:pPr>
      <w:r w:rsidRPr="00D53A2B">
        <w:rPr>
          <w:rFonts w:eastAsia="Calibri"/>
          <w:sz w:val="24"/>
          <w:szCs w:val="24"/>
        </w:rPr>
        <w:t>Kullanıldığı yerlerde PFOS gibi koruyucu malzemelerin kaybını azaltır.</w:t>
      </w:r>
    </w:p>
    <w:p w14:paraId="411E82E5" w14:textId="77777777" w:rsidR="003F6167" w:rsidRPr="00D53A2B" w:rsidRDefault="003F6167" w:rsidP="00A202FD">
      <w:pPr>
        <w:jc w:val="both"/>
        <w:rPr>
          <w:rFonts w:eastAsia="Calibri"/>
        </w:rPr>
      </w:pPr>
    </w:p>
    <w:p w14:paraId="20D131F6" w14:textId="717FA1A2" w:rsidR="003F6167" w:rsidRPr="00D53A2B" w:rsidRDefault="00A57FF5" w:rsidP="00A202FD">
      <w:pPr>
        <w:jc w:val="both"/>
        <w:rPr>
          <w:rFonts w:eastAsia="Calibri"/>
        </w:rPr>
      </w:pPr>
      <w:r w:rsidRPr="00D53A2B">
        <w:rPr>
          <w:rFonts w:eastAsia="Calibri"/>
        </w:rPr>
        <w:t>Aşağıdakiler için bazı alt tabakalarda döngünün kapatılması başarıyla sağlanmıştır:</w:t>
      </w:r>
    </w:p>
    <w:p w14:paraId="7A4DA4C3" w14:textId="77777777" w:rsidR="00A57FF5" w:rsidRPr="00D53A2B" w:rsidRDefault="00A57FF5" w:rsidP="00602365">
      <w:pPr>
        <w:pStyle w:val="ListeParagraf"/>
        <w:numPr>
          <w:ilvl w:val="0"/>
          <w:numId w:val="203"/>
        </w:numPr>
        <w:tabs>
          <w:tab w:val="clear" w:pos="567"/>
        </w:tabs>
        <w:ind w:left="426" w:hanging="426"/>
        <w:rPr>
          <w:rFonts w:eastAsia="Calibri"/>
          <w:sz w:val="24"/>
          <w:szCs w:val="24"/>
        </w:rPr>
      </w:pPr>
      <w:r w:rsidRPr="00D53A2B">
        <w:rPr>
          <w:rFonts w:eastAsia="Calibri"/>
          <w:sz w:val="24"/>
          <w:szCs w:val="24"/>
        </w:rPr>
        <w:t>değerli metaller</w:t>
      </w:r>
    </w:p>
    <w:p w14:paraId="0FB6D301" w14:textId="77777777" w:rsidR="00A57FF5" w:rsidRPr="00D53A2B" w:rsidRDefault="00A57FF5" w:rsidP="00602365">
      <w:pPr>
        <w:pStyle w:val="ListeParagraf"/>
        <w:numPr>
          <w:ilvl w:val="0"/>
          <w:numId w:val="203"/>
        </w:numPr>
        <w:tabs>
          <w:tab w:val="clear" w:pos="567"/>
        </w:tabs>
        <w:ind w:left="426" w:hanging="426"/>
        <w:rPr>
          <w:rFonts w:eastAsia="Calibri"/>
          <w:sz w:val="24"/>
          <w:szCs w:val="24"/>
        </w:rPr>
      </w:pPr>
      <w:r w:rsidRPr="00D53A2B">
        <w:rPr>
          <w:rFonts w:eastAsia="Calibri"/>
          <w:sz w:val="24"/>
          <w:szCs w:val="24"/>
        </w:rPr>
        <w:t>kadmiyum</w:t>
      </w:r>
    </w:p>
    <w:p w14:paraId="73C9767F" w14:textId="52F7AF2A" w:rsidR="00A57FF5" w:rsidRPr="00D53A2B" w:rsidRDefault="00A57FF5" w:rsidP="00602365">
      <w:pPr>
        <w:pStyle w:val="ListeParagraf"/>
        <w:numPr>
          <w:ilvl w:val="0"/>
          <w:numId w:val="203"/>
        </w:numPr>
        <w:tabs>
          <w:tab w:val="clear" w:pos="567"/>
        </w:tabs>
        <w:ind w:left="426" w:hanging="426"/>
        <w:rPr>
          <w:rFonts w:eastAsia="Calibri"/>
          <w:sz w:val="24"/>
          <w:szCs w:val="24"/>
        </w:rPr>
      </w:pPr>
      <w:r w:rsidRPr="00D53A2B">
        <w:rPr>
          <w:rFonts w:eastAsia="Calibri"/>
          <w:sz w:val="24"/>
          <w:szCs w:val="24"/>
        </w:rPr>
        <w:t>tamburda nikel kaplama</w:t>
      </w:r>
    </w:p>
    <w:p w14:paraId="12D3DBA1" w14:textId="77777777" w:rsidR="00A57FF5" w:rsidRPr="00D53A2B" w:rsidRDefault="00A57FF5" w:rsidP="00602365">
      <w:pPr>
        <w:pStyle w:val="ListeParagraf"/>
        <w:numPr>
          <w:ilvl w:val="0"/>
          <w:numId w:val="203"/>
        </w:numPr>
        <w:tabs>
          <w:tab w:val="clear" w:pos="567"/>
        </w:tabs>
        <w:ind w:left="426" w:hanging="426"/>
        <w:rPr>
          <w:rFonts w:eastAsia="Calibri"/>
          <w:sz w:val="24"/>
          <w:szCs w:val="24"/>
        </w:rPr>
      </w:pPr>
      <w:r w:rsidRPr="00D53A2B">
        <w:rPr>
          <w:rFonts w:eastAsia="Calibri"/>
          <w:sz w:val="24"/>
          <w:szCs w:val="24"/>
        </w:rPr>
        <w:t>dekoratif raf kaplama için bakır, nikel ve altı değerlikli krom</w:t>
      </w:r>
    </w:p>
    <w:p w14:paraId="649D5BC5" w14:textId="77777777" w:rsidR="00A57FF5" w:rsidRPr="00D53A2B" w:rsidRDefault="00A57FF5" w:rsidP="00602365">
      <w:pPr>
        <w:pStyle w:val="ListeParagraf"/>
        <w:numPr>
          <w:ilvl w:val="0"/>
          <w:numId w:val="203"/>
        </w:numPr>
        <w:tabs>
          <w:tab w:val="clear" w:pos="567"/>
        </w:tabs>
        <w:ind w:left="426" w:hanging="426"/>
        <w:rPr>
          <w:rFonts w:eastAsia="Calibri"/>
          <w:sz w:val="24"/>
          <w:szCs w:val="24"/>
        </w:rPr>
      </w:pPr>
      <w:r w:rsidRPr="00D53A2B">
        <w:rPr>
          <w:rFonts w:eastAsia="Calibri"/>
          <w:sz w:val="24"/>
          <w:szCs w:val="24"/>
        </w:rPr>
        <w:t>altı değerlikli dekoratif krom</w:t>
      </w:r>
    </w:p>
    <w:p w14:paraId="03D67BD2" w14:textId="77777777" w:rsidR="00A57FF5" w:rsidRPr="00D53A2B" w:rsidRDefault="00A57FF5" w:rsidP="00602365">
      <w:pPr>
        <w:pStyle w:val="ListeParagraf"/>
        <w:numPr>
          <w:ilvl w:val="0"/>
          <w:numId w:val="203"/>
        </w:numPr>
        <w:tabs>
          <w:tab w:val="clear" w:pos="567"/>
        </w:tabs>
        <w:ind w:left="426" w:hanging="426"/>
        <w:rPr>
          <w:rFonts w:eastAsia="Calibri"/>
          <w:sz w:val="24"/>
          <w:szCs w:val="24"/>
        </w:rPr>
      </w:pPr>
      <w:r w:rsidRPr="00D53A2B">
        <w:rPr>
          <w:rFonts w:eastAsia="Calibri"/>
          <w:sz w:val="24"/>
          <w:szCs w:val="24"/>
        </w:rPr>
        <w:t>altı değerlikli sert krom</w:t>
      </w:r>
    </w:p>
    <w:p w14:paraId="7444D547" w14:textId="0F8800E3" w:rsidR="00A57FF5" w:rsidRPr="00D53A2B" w:rsidRDefault="00A57FF5" w:rsidP="00602365">
      <w:pPr>
        <w:pStyle w:val="ListeParagraf"/>
        <w:numPr>
          <w:ilvl w:val="0"/>
          <w:numId w:val="203"/>
        </w:numPr>
        <w:tabs>
          <w:tab w:val="clear" w:pos="567"/>
        </w:tabs>
        <w:ind w:left="426" w:hanging="426"/>
        <w:rPr>
          <w:rFonts w:eastAsia="Calibri"/>
          <w:sz w:val="24"/>
          <w:szCs w:val="24"/>
        </w:rPr>
      </w:pPr>
      <w:r w:rsidRPr="00D53A2B">
        <w:rPr>
          <w:rFonts w:eastAsia="Calibri"/>
          <w:sz w:val="24"/>
          <w:szCs w:val="24"/>
        </w:rPr>
        <w:t>PCB</w:t>
      </w:r>
      <w:r w:rsidR="00E56504" w:rsidRPr="00D53A2B">
        <w:rPr>
          <w:rFonts w:eastAsia="Calibri"/>
          <w:sz w:val="24"/>
          <w:szCs w:val="24"/>
        </w:rPr>
        <w:t>’</w:t>
      </w:r>
      <w:r w:rsidRPr="00D53A2B">
        <w:rPr>
          <w:rFonts w:eastAsia="Calibri"/>
          <w:sz w:val="24"/>
          <w:szCs w:val="24"/>
        </w:rPr>
        <w:t>lerden bakır aşındırma.</w:t>
      </w:r>
    </w:p>
    <w:p w14:paraId="7AE8A0B9" w14:textId="77777777" w:rsidR="00A57FF5" w:rsidRPr="00D53A2B" w:rsidRDefault="00A57FF5" w:rsidP="00A202FD">
      <w:pPr>
        <w:jc w:val="both"/>
        <w:rPr>
          <w:rFonts w:eastAsia="Calibri"/>
        </w:rPr>
      </w:pPr>
    </w:p>
    <w:p w14:paraId="228B09D3" w14:textId="71623C52" w:rsidR="00A57FF5" w:rsidRPr="00D53A2B" w:rsidRDefault="00A57FF5" w:rsidP="00A202FD">
      <w:pPr>
        <w:jc w:val="both"/>
        <w:rPr>
          <w:rFonts w:eastAsia="Calibri"/>
        </w:rPr>
      </w:pPr>
      <w:r w:rsidRPr="00D53A2B">
        <w:rPr>
          <w:rFonts w:eastAsia="Calibri"/>
        </w:rPr>
        <w:t>Ayrıntılar Bölüm 4.7.11</w:t>
      </w:r>
      <w:r w:rsidR="00E56504" w:rsidRPr="00D53A2B">
        <w:rPr>
          <w:rFonts w:eastAsia="Calibri"/>
        </w:rPr>
        <w:t>’</w:t>
      </w:r>
      <w:r w:rsidRPr="00D53A2B">
        <w:rPr>
          <w:rFonts w:eastAsia="Calibri"/>
        </w:rPr>
        <w:t>de verilmiştir; nikel için (ters ozmoz kullanılarak) Bölüm 4.7.11.5</w:t>
      </w:r>
      <w:r w:rsidR="00E56504" w:rsidRPr="00D53A2B">
        <w:rPr>
          <w:rFonts w:eastAsia="Calibri"/>
        </w:rPr>
        <w:t>’</w:t>
      </w:r>
      <w:r w:rsidRPr="00D53A2B">
        <w:rPr>
          <w:rFonts w:eastAsia="Calibri"/>
        </w:rPr>
        <w:t>e bakın; ve krom için (buharlaştırma kullanılarak) Bölüm 4.7.11.6</w:t>
      </w:r>
      <w:r w:rsidR="00E56504" w:rsidRPr="00D53A2B">
        <w:rPr>
          <w:rFonts w:eastAsia="Calibri"/>
        </w:rPr>
        <w:t>’</w:t>
      </w:r>
      <w:r w:rsidRPr="00D53A2B">
        <w:rPr>
          <w:rFonts w:eastAsia="Calibri"/>
        </w:rPr>
        <w:t>ya bakın.</w:t>
      </w:r>
    </w:p>
    <w:p w14:paraId="0A68BBB0" w14:textId="77777777" w:rsidR="00A57FF5" w:rsidRPr="00D53A2B" w:rsidRDefault="00A57FF5" w:rsidP="00A202FD">
      <w:pPr>
        <w:jc w:val="both"/>
        <w:rPr>
          <w:rFonts w:eastAsia="Calibri"/>
        </w:rPr>
      </w:pPr>
    </w:p>
    <w:p w14:paraId="4B642BE8" w14:textId="1EC9B245" w:rsidR="00A57FF5" w:rsidRPr="00D53A2B" w:rsidRDefault="00433627" w:rsidP="00A202FD">
      <w:pPr>
        <w:pStyle w:val="Balk4"/>
        <w:rPr>
          <w:rFonts w:eastAsia="Calibri" w:cs="Times New Roman"/>
        </w:rPr>
      </w:pPr>
      <w:r w:rsidRPr="00D53A2B">
        <w:rPr>
          <w:rFonts w:eastAsia="Calibri" w:cs="Times New Roman"/>
        </w:rPr>
        <w:t>5.1.6.4 Geri dönüşüm ve geri kazanım</w:t>
      </w:r>
    </w:p>
    <w:p w14:paraId="4A38FD46" w14:textId="5A2FE976" w:rsidR="00A57FF5" w:rsidRPr="00D53A2B" w:rsidRDefault="000A6A07" w:rsidP="00A202FD">
      <w:pPr>
        <w:jc w:val="both"/>
        <w:rPr>
          <w:rFonts w:eastAsia="Calibri"/>
        </w:rPr>
      </w:pPr>
      <w:r w:rsidRPr="00D53A2B">
        <w:rPr>
          <w:rFonts w:eastAsia="Calibri"/>
        </w:rPr>
        <w:t>Kayıpların önlenmesi ve azaltılmasına yönelik tekniklerin uygulanmasından sonra (yukarıdaki Bölüm 5.1.6.4</w:t>
      </w:r>
      <w:r w:rsidR="00E56504" w:rsidRPr="00D53A2B">
        <w:rPr>
          <w:rFonts w:eastAsia="Calibri"/>
        </w:rPr>
        <w:t>’</w:t>
      </w:r>
      <w:r w:rsidRPr="00D53A2B">
        <w:rPr>
          <w:rFonts w:eastAsia="Calibri"/>
        </w:rPr>
        <w:t xml:space="preserve">e bakınız), </w:t>
      </w:r>
      <w:r w:rsidR="00651500" w:rsidRPr="00D53A2B">
        <w:rPr>
          <w:rFonts w:eastAsia="Calibri"/>
        </w:rPr>
        <w:t>MET</w:t>
      </w:r>
      <w:r w:rsidRPr="00D53A2B">
        <w:rPr>
          <w:rFonts w:eastAsia="Calibri"/>
        </w:rPr>
        <w:t>aşağıdakilere uygundur (Bölüm 4.17.3</w:t>
      </w:r>
      <w:r w:rsidR="00E56504" w:rsidRPr="00D53A2B">
        <w:rPr>
          <w:rFonts w:eastAsia="Calibri"/>
        </w:rPr>
        <w:t>’</w:t>
      </w:r>
      <w:r w:rsidRPr="00D53A2B">
        <w:rPr>
          <w:rFonts w:eastAsia="Calibri"/>
        </w:rPr>
        <w:t>e bakınız):</w:t>
      </w:r>
    </w:p>
    <w:p w14:paraId="07289B8D" w14:textId="4E9E3CE6" w:rsidR="00A57FF5" w:rsidRPr="00D53A2B" w:rsidRDefault="000A6A07" w:rsidP="00602365">
      <w:pPr>
        <w:pStyle w:val="ListeParagraf"/>
        <w:numPr>
          <w:ilvl w:val="0"/>
          <w:numId w:val="204"/>
        </w:numPr>
        <w:tabs>
          <w:tab w:val="clear" w:pos="567"/>
        </w:tabs>
        <w:spacing w:line="240" w:lineRule="auto"/>
        <w:ind w:left="426" w:hanging="426"/>
        <w:rPr>
          <w:rFonts w:eastAsia="Calibri"/>
          <w:sz w:val="24"/>
          <w:szCs w:val="24"/>
        </w:rPr>
      </w:pPr>
      <w:r w:rsidRPr="00D53A2B">
        <w:rPr>
          <w:rFonts w:eastAsia="Calibri"/>
          <w:sz w:val="24"/>
          <w:szCs w:val="24"/>
        </w:rPr>
        <w:t xml:space="preserve">Atıkların ve atıksuların, geri kazanımını veya yeniden kullanımını kolaylaştırmak amacıyla, proses aşamasında veya </w:t>
      </w:r>
      <w:r w:rsidR="00651500" w:rsidRPr="00D53A2B">
        <w:rPr>
          <w:rFonts w:eastAsia="Calibri"/>
          <w:sz w:val="24"/>
          <w:szCs w:val="24"/>
        </w:rPr>
        <w:t>atıksu</w:t>
      </w:r>
      <w:r w:rsidRPr="00D53A2B">
        <w:rPr>
          <w:rFonts w:eastAsia="Calibri"/>
          <w:sz w:val="24"/>
          <w:szCs w:val="24"/>
        </w:rPr>
        <w:t>arıtma sırasında tespit edilip ayrılması.</w:t>
      </w:r>
    </w:p>
    <w:p w14:paraId="1EF8C925" w14:textId="27931CCC" w:rsidR="000A6A07" w:rsidRPr="00D53A2B" w:rsidRDefault="000A6A07" w:rsidP="00602365">
      <w:pPr>
        <w:pStyle w:val="ListeParagraf"/>
        <w:numPr>
          <w:ilvl w:val="0"/>
          <w:numId w:val="204"/>
        </w:numPr>
        <w:tabs>
          <w:tab w:val="clear" w:pos="567"/>
        </w:tabs>
        <w:spacing w:line="240" w:lineRule="auto"/>
        <w:ind w:left="426" w:hanging="426"/>
        <w:rPr>
          <w:rFonts w:eastAsia="Calibri"/>
          <w:sz w:val="24"/>
          <w:szCs w:val="24"/>
        </w:rPr>
      </w:pPr>
      <w:r w:rsidRPr="00D53A2B">
        <w:rPr>
          <w:rFonts w:eastAsia="Calibri"/>
          <w:sz w:val="24"/>
          <w:szCs w:val="24"/>
        </w:rPr>
        <w:t>Bölüm 4.12 ve 4.15.7</w:t>
      </w:r>
      <w:r w:rsidR="00E56504" w:rsidRPr="00D53A2B">
        <w:rPr>
          <w:rFonts w:eastAsia="Calibri"/>
          <w:sz w:val="24"/>
          <w:szCs w:val="24"/>
        </w:rPr>
        <w:t>’</w:t>
      </w:r>
      <w:r w:rsidRPr="00D53A2B">
        <w:rPr>
          <w:rFonts w:eastAsia="Calibri"/>
          <w:sz w:val="24"/>
          <w:szCs w:val="24"/>
        </w:rPr>
        <w:t>de açıklandığı gibi atıksulardan metalleri geri kazanın ve/veya geri dönüştürün.</w:t>
      </w:r>
    </w:p>
    <w:p w14:paraId="718DE657" w14:textId="55B1D751" w:rsidR="000A6A07" w:rsidRPr="00D53A2B" w:rsidRDefault="000A6A07" w:rsidP="00602365">
      <w:pPr>
        <w:pStyle w:val="ListeParagraf"/>
        <w:numPr>
          <w:ilvl w:val="0"/>
          <w:numId w:val="204"/>
        </w:numPr>
        <w:tabs>
          <w:tab w:val="clear" w:pos="567"/>
        </w:tabs>
        <w:spacing w:line="240" w:lineRule="auto"/>
        <w:ind w:left="426" w:hanging="426"/>
        <w:rPr>
          <w:rFonts w:eastAsia="Calibri"/>
          <w:sz w:val="24"/>
          <w:szCs w:val="24"/>
        </w:rPr>
      </w:pPr>
      <w:r w:rsidRPr="00D53A2B">
        <w:rPr>
          <w:rFonts w:eastAsia="Calibri"/>
          <w:sz w:val="24"/>
          <w:szCs w:val="24"/>
        </w:rPr>
        <w:t xml:space="preserve">Üretilen malzemelerin kalitesi ve miktarı uygunsa, örneğin belediye </w:t>
      </w:r>
      <w:r w:rsidR="00651500" w:rsidRPr="00D53A2B">
        <w:rPr>
          <w:rFonts w:eastAsia="Calibri"/>
          <w:sz w:val="24"/>
          <w:szCs w:val="24"/>
        </w:rPr>
        <w:t>atıksu</w:t>
      </w:r>
      <w:r w:rsidRPr="00D53A2B">
        <w:rPr>
          <w:rFonts w:eastAsia="Calibri"/>
          <w:sz w:val="24"/>
          <w:szCs w:val="24"/>
        </w:rPr>
        <w:t>arıtma tesislerindeki son atıklardan fosfatı çökeltmek için alüminyum yüzey işlemlerinden gelen alüminyum hidroksit süspansiyonunun kullanılması gibi, malzemeleri dışarıda yeniden kullanın.</w:t>
      </w:r>
    </w:p>
    <w:p w14:paraId="3213E82B" w14:textId="43B39A2B" w:rsidR="000A6A07" w:rsidRPr="00D53A2B" w:rsidRDefault="000A6A07" w:rsidP="00602365">
      <w:pPr>
        <w:pStyle w:val="ListeParagraf"/>
        <w:numPr>
          <w:ilvl w:val="0"/>
          <w:numId w:val="204"/>
        </w:numPr>
        <w:tabs>
          <w:tab w:val="clear" w:pos="567"/>
        </w:tabs>
        <w:spacing w:line="240" w:lineRule="auto"/>
        <w:ind w:left="426" w:hanging="426"/>
        <w:rPr>
          <w:rFonts w:eastAsia="Calibri"/>
          <w:sz w:val="24"/>
          <w:szCs w:val="24"/>
        </w:rPr>
      </w:pPr>
      <w:r w:rsidRPr="00D53A2B">
        <w:rPr>
          <w:rFonts w:eastAsia="Calibri"/>
          <w:sz w:val="24"/>
          <w:szCs w:val="24"/>
        </w:rPr>
        <w:t>Fosforik ve kromik asitler, kullanılmış aşındırma çözeltileri vb. gibi malzemeleri dışarıdan geri kazanın.</w:t>
      </w:r>
    </w:p>
    <w:p w14:paraId="722CE9BD" w14:textId="041D7B28" w:rsidR="000A6A07" w:rsidRPr="00D53A2B" w:rsidRDefault="000A6A07" w:rsidP="00602365">
      <w:pPr>
        <w:pStyle w:val="ListeParagraf"/>
        <w:numPr>
          <w:ilvl w:val="0"/>
          <w:numId w:val="204"/>
        </w:numPr>
        <w:tabs>
          <w:tab w:val="clear" w:pos="567"/>
        </w:tabs>
        <w:spacing w:line="240" w:lineRule="auto"/>
        <w:ind w:left="426" w:hanging="426"/>
        <w:rPr>
          <w:rFonts w:eastAsia="Calibri"/>
          <w:sz w:val="24"/>
          <w:szCs w:val="24"/>
        </w:rPr>
      </w:pPr>
      <w:r w:rsidRPr="00D53A2B">
        <w:rPr>
          <w:rFonts w:eastAsia="Calibri"/>
          <w:sz w:val="24"/>
          <w:szCs w:val="24"/>
        </w:rPr>
        <w:t>Metalleri dışarıdan geri kazanın.</w:t>
      </w:r>
    </w:p>
    <w:p w14:paraId="3A6859A1" w14:textId="77777777" w:rsidR="00A57FF5" w:rsidRPr="00D53A2B" w:rsidRDefault="00A57FF5" w:rsidP="00A202FD">
      <w:pPr>
        <w:jc w:val="both"/>
        <w:rPr>
          <w:rFonts w:eastAsia="Calibri"/>
        </w:rPr>
      </w:pPr>
    </w:p>
    <w:p w14:paraId="1BDE3A70" w14:textId="2883BAEA" w:rsidR="003F6167" w:rsidRPr="00D53A2B" w:rsidRDefault="000A6A07" w:rsidP="00A202FD">
      <w:pPr>
        <w:jc w:val="both"/>
        <w:rPr>
          <w:rFonts w:eastAsia="Calibri"/>
        </w:rPr>
      </w:pPr>
      <w:r w:rsidRPr="00D53A2B">
        <w:rPr>
          <w:rFonts w:eastAsia="Calibri"/>
        </w:rPr>
        <w:t>Genel verimlilik harici geri dönüşümle artırılabilir. Ancak, üçüncü taraf rotaları TWG tarafından çapraz medya etkileri veya kendi geri kazanım verimlilikleri açısından doğrulanmamıştır.</w:t>
      </w:r>
    </w:p>
    <w:p w14:paraId="0DDAAECB" w14:textId="77777777" w:rsidR="003F6167" w:rsidRPr="00D53A2B" w:rsidRDefault="003F6167" w:rsidP="00A202FD">
      <w:pPr>
        <w:jc w:val="both"/>
        <w:rPr>
          <w:rFonts w:eastAsia="Calibri"/>
        </w:rPr>
      </w:pPr>
    </w:p>
    <w:p w14:paraId="0C3E9EEE" w14:textId="50C6C36F" w:rsidR="00790361" w:rsidRPr="00D53A2B" w:rsidRDefault="000A6A07" w:rsidP="00A202FD">
      <w:pPr>
        <w:pStyle w:val="Balk4"/>
        <w:rPr>
          <w:rFonts w:cs="Times New Roman"/>
        </w:rPr>
      </w:pPr>
      <w:bookmarkStart w:id="284" w:name="_Toc24159188"/>
      <w:bookmarkStart w:id="285" w:name="_Toc24159468"/>
      <w:bookmarkStart w:id="286" w:name="_Toc24201485"/>
      <w:bookmarkEnd w:id="284"/>
      <w:bookmarkEnd w:id="285"/>
      <w:bookmarkEnd w:id="286"/>
      <w:r w:rsidRPr="00D53A2B">
        <w:rPr>
          <w:rFonts w:cs="Times New Roman"/>
        </w:rPr>
        <w:t>5.1.6.5 Hammadde kullanımını optimize etmeye yönelik diğer teknikler</w:t>
      </w:r>
    </w:p>
    <w:p w14:paraId="6D63EA43" w14:textId="77715777" w:rsidR="000A6A07" w:rsidRPr="00D53A2B" w:rsidRDefault="00374D4F" w:rsidP="00A202FD">
      <w:pPr>
        <w:tabs>
          <w:tab w:val="left" w:pos="567"/>
        </w:tabs>
        <w:spacing w:after="240"/>
        <w:contextualSpacing/>
        <w:jc w:val="both"/>
        <w:rPr>
          <w:b/>
          <w:bCs/>
          <w:spacing w:val="2"/>
          <w:position w:val="-1"/>
        </w:rPr>
      </w:pPr>
      <w:r w:rsidRPr="00D53A2B">
        <w:rPr>
          <w:b/>
          <w:bCs/>
          <w:spacing w:val="2"/>
          <w:position w:val="-1"/>
        </w:rPr>
        <w:t>Farklı elektrot verimleri</w:t>
      </w:r>
    </w:p>
    <w:p w14:paraId="17EF67C0" w14:textId="1F4061BF" w:rsidR="000A6A07" w:rsidRPr="00D53A2B" w:rsidRDefault="00374D4F" w:rsidP="00A202FD">
      <w:pPr>
        <w:tabs>
          <w:tab w:val="left" w:pos="567"/>
        </w:tabs>
        <w:contextualSpacing/>
        <w:jc w:val="both"/>
        <w:rPr>
          <w:spacing w:val="2"/>
          <w:position w:val="-1"/>
        </w:rPr>
      </w:pPr>
      <w:r w:rsidRPr="00D53A2B">
        <w:rPr>
          <w:spacing w:val="2"/>
          <w:position w:val="-1"/>
        </w:rPr>
        <w:t xml:space="preserve">Anot veriminin katot veriminden yüksek olduğu ve metal konsantrasyonunun sürekli arttığı elektrokaplamada, metal konsantrasyonunu elektrokimyaya göre (bkz. Bölüm 4.8.2) kontrol etmek </w:t>
      </w:r>
      <w:r w:rsidR="0031317B" w:rsidRPr="00D53A2B">
        <w:rPr>
          <w:spacing w:val="2"/>
          <w:position w:val="-1"/>
        </w:rPr>
        <w:t>MET’tir</w:t>
      </w:r>
      <w:r w:rsidRPr="00D53A2B">
        <w:rPr>
          <w:spacing w:val="2"/>
          <w:position w:val="-1"/>
        </w:rPr>
        <w:t>:</w:t>
      </w:r>
    </w:p>
    <w:p w14:paraId="658376F3" w14:textId="6EA09E30" w:rsidR="00374D4F" w:rsidRPr="00D53A2B" w:rsidRDefault="00374D4F" w:rsidP="00602365">
      <w:pPr>
        <w:pStyle w:val="ListeParagraf"/>
        <w:numPr>
          <w:ilvl w:val="0"/>
          <w:numId w:val="205"/>
        </w:numPr>
        <w:tabs>
          <w:tab w:val="clear" w:pos="567"/>
        </w:tabs>
        <w:spacing w:after="240" w:line="240" w:lineRule="auto"/>
        <w:ind w:left="426" w:hanging="426"/>
        <w:rPr>
          <w:sz w:val="24"/>
          <w:szCs w:val="24"/>
        </w:rPr>
      </w:pPr>
      <w:r w:rsidRPr="00D53A2B">
        <w:rPr>
          <w:sz w:val="24"/>
          <w:szCs w:val="24"/>
        </w:rPr>
        <w:t>İnert anotlar kullanılarak elektrokaplama ile metalin harici çözünmesi. Şu anda, ana uygulama alkali siyanürsüz çinko kaplamadır.</w:t>
      </w:r>
    </w:p>
    <w:p w14:paraId="46A24BCF" w14:textId="3050FFCE" w:rsidR="00374D4F" w:rsidRPr="00D53A2B" w:rsidRDefault="00374D4F" w:rsidP="00602365">
      <w:pPr>
        <w:pStyle w:val="ListeParagraf"/>
        <w:numPr>
          <w:ilvl w:val="0"/>
          <w:numId w:val="205"/>
        </w:numPr>
        <w:tabs>
          <w:tab w:val="clear" w:pos="567"/>
        </w:tabs>
        <w:spacing w:after="240" w:line="240" w:lineRule="auto"/>
        <w:ind w:left="426" w:hanging="426"/>
        <w:rPr>
          <w:sz w:val="24"/>
          <w:szCs w:val="24"/>
        </w:rPr>
      </w:pPr>
      <w:r w:rsidRPr="00D53A2B">
        <w:rPr>
          <w:sz w:val="24"/>
          <w:szCs w:val="24"/>
        </w:rPr>
        <w:t>Çözünebilir anotların bir kısmının ayrı ekstra akım devresi ve kontrolü olan membran anotlarla değiştirilmesi. Membran anotlar kırılabilir ve kaplanacak parçaların şekilleri ve boyutları sürekli değiştiğinde (ve membranlarla temas edip onları kırabildiğinde) bu tekniğin alt sözleşmeli kaplamada kullanılması mümkün olmayabilir.</w:t>
      </w:r>
    </w:p>
    <w:p w14:paraId="7478CA6A" w14:textId="31CAD2AA" w:rsidR="00374D4F" w:rsidRPr="00D53A2B" w:rsidRDefault="00374D4F" w:rsidP="00602365">
      <w:pPr>
        <w:pStyle w:val="ListeParagraf"/>
        <w:numPr>
          <w:ilvl w:val="0"/>
          <w:numId w:val="205"/>
        </w:numPr>
        <w:tabs>
          <w:tab w:val="clear" w:pos="567"/>
        </w:tabs>
        <w:spacing w:after="240" w:line="240" w:lineRule="auto"/>
        <w:ind w:left="426" w:hanging="426"/>
        <w:rPr>
          <w:sz w:val="24"/>
          <w:szCs w:val="24"/>
        </w:rPr>
      </w:pPr>
      <w:r w:rsidRPr="00D53A2B">
        <w:rPr>
          <w:sz w:val="24"/>
          <w:szCs w:val="24"/>
        </w:rPr>
        <w:t>tekniğin kanıtlandığı durumlarda çözünmeyen anotların kullanılması.</w:t>
      </w:r>
    </w:p>
    <w:p w14:paraId="1D4CD20F" w14:textId="246687E1" w:rsidR="00374D4F" w:rsidRPr="00D53A2B" w:rsidRDefault="00374D4F" w:rsidP="00A202FD">
      <w:pPr>
        <w:pStyle w:val="Balk3"/>
        <w:rPr>
          <w:rFonts w:cs="Times New Roman"/>
        </w:rPr>
      </w:pPr>
      <w:r w:rsidRPr="00D53A2B">
        <w:rPr>
          <w:rFonts w:cs="Times New Roman"/>
        </w:rPr>
        <w:t>5.1.7 Genel proses çözeltisi bakımı</w:t>
      </w:r>
    </w:p>
    <w:p w14:paraId="0E2A1EAB" w14:textId="77777777" w:rsidR="00374D4F" w:rsidRPr="00D53A2B" w:rsidRDefault="00374D4F" w:rsidP="00A202FD">
      <w:pPr>
        <w:jc w:val="both"/>
      </w:pPr>
    </w:p>
    <w:p w14:paraId="43F51918" w14:textId="72D50B94" w:rsidR="00374D4F" w:rsidRPr="00D53A2B" w:rsidRDefault="00374D4F" w:rsidP="00A202FD">
      <w:pPr>
        <w:pStyle w:val="MET"/>
        <w:rPr>
          <w:szCs w:val="24"/>
        </w:rPr>
      </w:pPr>
      <w:r w:rsidRPr="00D53A2B">
        <w:rPr>
          <w:szCs w:val="24"/>
        </w:rPr>
        <w:t xml:space="preserve">MET 12: </w:t>
      </w:r>
      <w:r w:rsidRPr="00D53A2B">
        <w:rPr>
          <w:b w:val="0"/>
          <w:bCs/>
          <w:szCs w:val="24"/>
        </w:rPr>
        <w:t>Özellikle malzeme döngüsünün kapanışına yakın veya kapanış noktasında çalışan sistemler (bkz. Bölüm 5.1.6.3) proses banyosu ömrünü artır</w:t>
      </w:r>
      <w:r w:rsidR="00FE7A41" w:rsidRPr="00D53A2B">
        <w:rPr>
          <w:b w:val="0"/>
          <w:bCs/>
          <w:szCs w:val="24"/>
        </w:rPr>
        <w:t>ır</w:t>
      </w:r>
      <w:r w:rsidRPr="00D53A2B">
        <w:rPr>
          <w:b w:val="0"/>
          <w:bCs/>
          <w:szCs w:val="24"/>
        </w:rPr>
        <w:t xml:space="preserve"> ve çıkış kalitesini korur:</w:t>
      </w:r>
    </w:p>
    <w:p w14:paraId="0A719A9D" w14:textId="77777777" w:rsidR="00374D4F" w:rsidRPr="00D53A2B" w:rsidRDefault="00374D4F" w:rsidP="00602365">
      <w:pPr>
        <w:pStyle w:val="ListeParagraf"/>
        <w:numPr>
          <w:ilvl w:val="0"/>
          <w:numId w:val="206"/>
        </w:numPr>
        <w:tabs>
          <w:tab w:val="clear" w:pos="567"/>
        </w:tabs>
        <w:spacing w:line="240" w:lineRule="auto"/>
        <w:ind w:left="426" w:hanging="426"/>
        <w:rPr>
          <w:sz w:val="24"/>
          <w:szCs w:val="24"/>
        </w:rPr>
      </w:pPr>
      <w:r w:rsidRPr="00D53A2B">
        <w:rPr>
          <w:sz w:val="24"/>
          <w:szCs w:val="24"/>
        </w:rPr>
        <w:t>Kritik kontrol parametrelerinin belirlenmesi</w:t>
      </w:r>
    </w:p>
    <w:p w14:paraId="688DA0DA" w14:textId="5F2E3344" w:rsidR="00374D4F" w:rsidRPr="00D53A2B" w:rsidRDefault="00374D4F" w:rsidP="00602365">
      <w:pPr>
        <w:pStyle w:val="ListeParagraf"/>
        <w:numPr>
          <w:ilvl w:val="0"/>
          <w:numId w:val="206"/>
        </w:numPr>
        <w:tabs>
          <w:tab w:val="clear" w:pos="567"/>
        </w:tabs>
        <w:spacing w:line="240" w:lineRule="auto"/>
        <w:ind w:left="426" w:hanging="426"/>
        <w:rPr>
          <w:sz w:val="24"/>
          <w:szCs w:val="24"/>
        </w:rPr>
      </w:pPr>
      <w:r w:rsidRPr="00D53A2B">
        <w:rPr>
          <w:sz w:val="24"/>
          <w:szCs w:val="24"/>
        </w:rPr>
        <w:t>Kirleticilerin uzaklaştırılmasıyla bunların belirlenen kabul edilebilir sınırlar içinde tutulması.</w:t>
      </w:r>
    </w:p>
    <w:p w14:paraId="45D87736" w14:textId="77777777" w:rsidR="00374D4F" w:rsidRPr="00D53A2B" w:rsidRDefault="00374D4F" w:rsidP="00A202FD">
      <w:pPr>
        <w:jc w:val="both"/>
      </w:pPr>
    </w:p>
    <w:p w14:paraId="0013765E" w14:textId="76DE09FB" w:rsidR="00374D4F" w:rsidRPr="00D53A2B" w:rsidRDefault="00374D4F" w:rsidP="00A202FD">
      <w:pPr>
        <w:jc w:val="both"/>
      </w:pPr>
      <w:r w:rsidRPr="00D53A2B">
        <w:t>Uygun prosesler Bölüm 4.10 ve 4.11</w:t>
      </w:r>
      <w:r w:rsidR="00E56504" w:rsidRPr="00D53A2B">
        <w:t>’</w:t>
      </w:r>
      <w:r w:rsidRPr="00D53A2B">
        <w:t>de açıklanmaktadır.</w:t>
      </w:r>
    </w:p>
    <w:p w14:paraId="629793C4" w14:textId="77777777" w:rsidR="00374D4F" w:rsidRPr="00D53A2B" w:rsidRDefault="00374D4F" w:rsidP="00A202FD">
      <w:pPr>
        <w:jc w:val="both"/>
      </w:pPr>
    </w:p>
    <w:p w14:paraId="05F9A168" w14:textId="2D3E5BAC" w:rsidR="000A6A07" w:rsidRPr="00D53A2B" w:rsidRDefault="0016661E" w:rsidP="00A202FD">
      <w:pPr>
        <w:pStyle w:val="Balk3"/>
        <w:rPr>
          <w:rFonts w:cs="Times New Roman"/>
        </w:rPr>
      </w:pPr>
      <w:r w:rsidRPr="00D53A2B">
        <w:rPr>
          <w:rFonts w:cs="Times New Roman"/>
        </w:rPr>
        <w:t xml:space="preserve">5.1.8 </w:t>
      </w:r>
      <w:r w:rsidR="00651500" w:rsidRPr="00D53A2B">
        <w:rPr>
          <w:rFonts w:cs="Times New Roman"/>
        </w:rPr>
        <w:t>Atıksu</w:t>
      </w:r>
      <w:r w:rsidR="00D53A2B">
        <w:rPr>
          <w:rFonts w:cs="Times New Roman"/>
        </w:rPr>
        <w:t xml:space="preserve"> e</w:t>
      </w:r>
      <w:r w:rsidRPr="00D53A2B">
        <w:rPr>
          <w:rFonts w:cs="Times New Roman"/>
        </w:rPr>
        <w:t>misyonları</w:t>
      </w:r>
    </w:p>
    <w:p w14:paraId="4493B231" w14:textId="77777777" w:rsidR="000A6A07" w:rsidRPr="00D53A2B" w:rsidRDefault="000A6A07" w:rsidP="00A202FD">
      <w:pPr>
        <w:jc w:val="both"/>
      </w:pPr>
    </w:p>
    <w:p w14:paraId="1E2DF644" w14:textId="76F7CB05" w:rsidR="000A6A07" w:rsidRPr="00D53A2B" w:rsidRDefault="0016661E" w:rsidP="00A202FD">
      <w:pPr>
        <w:pStyle w:val="MET"/>
        <w:rPr>
          <w:szCs w:val="24"/>
        </w:rPr>
      </w:pPr>
      <w:r w:rsidRPr="00D53A2B">
        <w:rPr>
          <w:szCs w:val="24"/>
        </w:rPr>
        <w:t xml:space="preserve">MET 13: </w:t>
      </w:r>
      <w:r w:rsidRPr="00D53A2B">
        <w:rPr>
          <w:b w:val="0"/>
          <w:bCs/>
          <w:szCs w:val="24"/>
        </w:rPr>
        <w:t>Tekniklere genel bir bakış Bölüm 4.16</w:t>
      </w:r>
      <w:r w:rsidR="00E56504" w:rsidRPr="00D53A2B">
        <w:rPr>
          <w:b w:val="0"/>
          <w:bCs/>
          <w:szCs w:val="24"/>
        </w:rPr>
        <w:t>’</w:t>
      </w:r>
      <w:r w:rsidRPr="00D53A2B">
        <w:rPr>
          <w:b w:val="0"/>
          <w:bCs/>
          <w:szCs w:val="24"/>
        </w:rPr>
        <w:t xml:space="preserve">da ele alınmıştır. </w:t>
      </w:r>
      <w:r w:rsidR="00651500" w:rsidRPr="00D53A2B">
        <w:rPr>
          <w:b w:val="0"/>
          <w:bCs/>
          <w:szCs w:val="24"/>
        </w:rPr>
        <w:t>Atıksu</w:t>
      </w:r>
      <w:r w:rsidRPr="00D53A2B">
        <w:rPr>
          <w:b w:val="0"/>
          <w:bCs/>
          <w:szCs w:val="24"/>
        </w:rPr>
        <w:t xml:space="preserve">arıtımı ve deşarjlar için özel </w:t>
      </w:r>
      <w:r w:rsidR="00651500" w:rsidRPr="00D53A2B">
        <w:rPr>
          <w:b w:val="0"/>
          <w:bCs/>
          <w:szCs w:val="24"/>
        </w:rPr>
        <w:t>MET</w:t>
      </w:r>
      <w:r w:rsidRPr="00D53A2B">
        <w:rPr>
          <w:b w:val="0"/>
          <w:bCs/>
          <w:szCs w:val="24"/>
        </w:rPr>
        <w:t>aşağıda verilmiştir.</w:t>
      </w:r>
    </w:p>
    <w:p w14:paraId="1ECAA92E" w14:textId="77777777" w:rsidR="0016661E" w:rsidRPr="00D53A2B" w:rsidRDefault="0016661E" w:rsidP="00A202FD">
      <w:pPr>
        <w:jc w:val="both"/>
      </w:pPr>
    </w:p>
    <w:p w14:paraId="3EE7B21D" w14:textId="5EBFB8C0" w:rsidR="0016661E" w:rsidRPr="00D53A2B" w:rsidRDefault="0016661E" w:rsidP="00A202FD">
      <w:pPr>
        <w:pStyle w:val="Balk4"/>
        <w:rPr>
          <w:rFonts w:cs="Times New Roman"/>
        </w:rPr>
      </w:pPr>
      <w:r w:rsidRPr="00D53A2B">
        <w:rPr>
          <w:rFonts w:cs="Times New Roman"/>
        </w:rPr>
        <w:t>5.1.8.1 Arıtılacak akışların ve malzemelerin en aza indirilmesi</w:t>
      </w:r>
    </w:p>
    <w:p w14:paraId="4062A64B" w14:textId="0F06BA9C" w:rsidR="0016661E" w:rsidRPr="00D53A2B" w:rsidRDefault="0016661E" w:rsidP="00A202FD">
      <w:pPr>
        <w:jc w:val="both"/>
      </w:pPr>
      <w:r w:rsidRPr="00D53A2B">
        <w:t xml:space="preserve">Tüm proseslerde tüm su kullanımını en aza indirmek </w:t>
      </w:r>
      <w:r w:rsidR="0031317B" w:rsidRPr="00D53A2B">
        <w:t>MET’tir</w:t>
      </w:r>
      <w:r w:rsidRPr="00D53A2B">
        <w:t>, ancak, arıtılması zor anyon konsantrasyonlarının artırılmasıyla su kullanımının azaltılmasının sınırlanabileceği yerel durumlar vardır, bkz. Bölüm 5.1.5.</w:t>
      </w:r>
    </w:p>
    <w:p w14:paraId="4FC76D83" w14:textId="77777777" w:rsidR="0016661E" w:rsidRPr="00D53A2B" w:rsidRDefault="0016661E" w:rsidP="00A202FD">
      <w:pPr>
        <w:jc w:val="both"/>
      </w:pPr>
    </w:p>
    <w:p w14:paraId="7B8422C2" w14:textId="5E77722E" w:rsidR="0016661E" w:rsidRPr="00D53A2B" w:rsidRDefault="00E903E8" w:rsidP="00A202FD">
      <w:pPr>
        <w:jc w:val="both"/>
      </w:pPr>
      <w:r w:rsidRPr="00D53A2B">
        <w:t xml:space="preserve">Özellikle öncelikli maddeler olmak üzere malzemelerin kullanımını ve kaybını ortadan kaldırmak veya en aza indirmek </w:t>
      </w:r>
      <w:r w:rsidR="0031317B" w:rsidRPr="00D53A2B">
        <w:t>MET’tir</w:t>
      </w:r>
      <w:r w:rsidRPr="00D53A2B">
        <w:t>, bkz. Bölüm 4.6 ve 4.7 (ayrıca bkz. malzeme döngüsünü kapatmak için su ve ham madde kullanım teknikleri, Bölüm 5.1.6.3). Bazı tehlikeli maddelerin ikameleri ve/veya kontrolü Bölüm 5.2.5</w:t>
      </w:r>
      <w:r w:rsidR="00E56504" w:rsidRPr="00D53A2B">
        <w:t>’</w:t>
      </w:r>
      <w:r w:rsidRPr="00D53A2B">
        <w:t>te açıklanmaktadır.</w:t>
      </w:r>
    </w:p>
    <w:p w14:paraId="1BDA9912" w14:textId="77777777" w:rsidR="0016661E" w:rsidRPr="00D53A2B" w:rsidRDefault="0016661E" w:rsidP="00A202FD">
      <w:pPr>
        <w:jc w:val="both"/>
      </w:pPr>
    </w:p>
    <w:p w14:paraId="434822A3" w14:textId="5A51D63D" w:rsidR="0016661E" w:rsidRPr="00D53A2B" w:rsidRDefault="00E903E8" w:rsidP="00A202FD">
      <w:pPr>
        <w:pStyle w:val="Balk4"/>
        <w:rPr>
          <w:rFonts w:cs="Times New Roman"/>
        </w:rPr>
      </w:pPr>
      <w:r w:rsidRPr="00D53A2B">
        <w:rPr>
          <w:rFonts w:cs="Times New Roman"/>
        </w:rPr>
        <w:t>5.1.8.2 Sorunlu akışların test edilmesi, tanımlanması ve ayrılması</w:t>
      </w:r>
    </w:p>
    <w:p w14:paraId="3DE64CFF" w14:textId="4868FB69" w:rsidR="00E903E8" w:rsidRPr="00D53A2B" w:rsidRDefault="00E903E8" w:rsidP="00A202FD">
      <w:pPr>
        <w:jc w:val="both"/>
      </w:pPr>
      <w:r w:rsidRPr="00D53A2B">
        <w:t xml:space="preserve">Kimyasal çözümlerin türlerini veya kaynaklarını değiştirirken ve üretimde kullanılmadan önce mevcut (şirket içi) </w:t>
      </w:r>
      <w:r w:rsidR="00651500" w:rsidRPr="00D53A2B">
        <w:t>atıksu</w:t>
      </w:r>
      <w:r w:rsidRPr="00D53A2B">
        <w:t xml:space="preserve">arıtma sistemleri üzerindeki etkilerini test etmek </w:t>
      </w:r>
      <w:r w:rsidR="0031317B" w:rsidRPr="00D53A2B">
        <w:t>MET’tir</w:t>
      </w:r>
      <w:r w:rsidRPr="00D53A2B">
        <w:t xml:space="preserve"> (Bölüm 4.16.1</w:t>
      </w:r>
      <w:r w:rsidR="00E56504" w:rsidRPr="00D53A2B">
        <w:t>’</w:t>
      </w:r>
      <w:r w:rsidRPr="00D53A2B">
        <w:t>de açıklandığı gibi). Test olası bir soruna işaret ediyorsa:</w:t>
      </w:r>
    </w:p>
    <w:p w14:paraId="6D2DFF6E" w14:textId="77777777" w:rsidR="00E903E8" w:rsidRPr="00D53A2B" w:rsidRDefault="00E903E8" w:rsidP="00602365">
      <w:pPr>
        <w:pStyle w:val="ListeParagraf"/>
        <w:numPr>
          <w:ilvl w:val="0"/>
          <w:numId w:val="207"/>
        </w:numPr>
        <w:tabs>
          <w:tab w:val="clear" w:pos="567"/>
        </w:tabs>
        <w:spacing w:line="240" w:lineRule="auto"/>
        <w:ind w:left="426" w:hanging="426"/>
        <w:rPr>
          <w:sz w:val="24"/>
          <w:szCs w:val="24"/>
        </w:rPr>
      </w:pPr>
      <w:r w:rsidRPr="00D53A2B">
        <w:rPr>
          <w:sz w:val="24"/>
          <w:szCs w:val="24"/>
        </w:rPr>
        <w:t>Çözümü reddedin veya</w:t>
      </w:r>
    </w:p>
    <w:p w14:paraId="662A4848" w14:textId="652E1E69" w:rsidR="00E903E8" w:rsidRPr="00D53A2B" w:rsidRDefault="00E903E8" w:rsidP="00602365">
      <w:pPr>
        <w:pStyle w:val="ListeParagraf"/>
        <w:numPr>
          <w:ilvl w:val="0"/>
          <w:numId w:val="207"/>
        </w:numPr>
        <w:tabs>
          <w:tab w:val="clear" w:pos="567"/>
        </w:tabs>
        <w:spacing w:line="240" w:lineRule="auto"/>
        <w:ind w:left="426" w:hanging="426"/>
        <w:rPr>
          <w:sz w:val="24"/>
          <w:szCs w:val="24"/>
        </w:rPr>
      </w:pPr>
      <w:r w:rsidRPr="00D53A2B">
        <w:rPr>
          <w:sz w:val="24"/>
          <w:szCs w:val="24"/>
        </w:rPr>
        <w:t xml:space="preserve">sorunu çözmek için </w:t>
      </w:r>
      <w:r w:rsidR="00651500" w:rsidRPr="00D53A2B">
        <w:rPr>
          <w:sz w:val="24"/>
          <w:szCs w:val="24"/>
        </w:rPr>
        <w:t>atıksu</w:t>
      </w:r>
      <w:r w:rsidRPr="00D53A2B">
        <w:rPr>
          <w:sz w:val="24"/>
          <w:szCs w:val="24"/>
        </w:rPr>
        <w:t>arıtma sistemini değiştirin.</w:t>
      </w:r>
    </w:p>
    <w:p w14:paraId="1ECB1F7B" w14:textId="55D5ED8B" w:rsidR="00E903E8" w:rsidRPr="00D53A2B" w:rsidRDefault="00E903E8" w:rsidP="00A202FD">
      <w:pPr>
        <w:jc w:val="both"/>
      </w:pPr>
      <w:r w:rsidRPr="00D53A2B">
        <w:t xml:space="preserve">Aşağıdaki gibi diğer akışlarla birleştirildiğinde sorunlu olduğu bilinen akışları belirlemek, ayırmak ve işlemek </w:t>
      </w:r>
      <w:r w:rsidR="0031317B" w:rsidRPr="00D53A2B">
        <w:t>MET’tir</w:t>
      </w:r>
      <w:r w:rsidRPr="00D53A2B">
        <w:t xml:space="preserve"> (bkz. Bölüm 4.16.1 ve 4.16.2):</w:t>
      </w:r>
    </w:p>
    <w:p w14:paraId="515387F3" w14:textId="77777777" w:rsidR="00E903E8" w:rsidRPr="00D53A2B" w:rsidRDefault="00E903E8" w:rsidP="00602365">
      <w:pPr>
        <w:pStyle w:val="ListeParagraf"/>
        <w:numPr>
          <w:ilvl w:val="0"/>
          <w:numId w:val="208"/>
        </w:numPr>
        <w:tabs>
          <w:tab w:val="clear" w:pos="567"/>
        </w:tabs>
        <w:spacing w:line="240" w:lineRule="auto"/>
        <w:ind w:left="426" w:hanging="426"/>
        <w:rPr>
          <w:sz w:val="24"/>
          <w:szCs w:val="24"/>
        </w:rPr>
      </w:pPr>
      <w:r w:rsidRPr="00D53A2B">
        <w:rPr>
          <w:sz w:val="24"/>
          <w:szCs w:val="24"/>
        </w:rPr>
        <w:t>yağlar ve gresler (bkz. Bölüm 4.16.3</w:t>
      </w:r>
    </w:p>
    <w:p w14:paraId="0C935544" w14:textId="77777777" w:rsidR="00E903E8" w:rsidRPr="00D53A2B" w:rsidRDefault="00E903E8" w:rsidP="00602365">
      <w:pPr>
        <w:pStyle w:val="ListeParagraf"/>
        <w:numPr>
          <w:ilvl w:val="0"/>
          <w:numId w:val="208"/>
        </w:numPr>
        <w:tabs>
          <w:tab w:val="clear" w:pos="567"/>
        </w:tabs>
        <w:spacing w:line="240" w:lineRule="auto"/>
        <w:ind w:left="426" w:hanging="426"/>
        <w:rPr>
          <w:sz w:val="24"/>
          <w:szCs w:val="24"/>
        </w:rPr>
      </w:pPr>
      <w:r w:rsidRPr="00D53A2B">
        <w:rPr>
          <w:sz w:val="24"/>
          <w:szCs w:val="24"/>
        </w:rPr>
        <w:t>siyanür (bkz. Bölüm 4.16.4)</w:t>
      </w:r>
    </w:p>
    <w:p w14:paraId="0B3AB8F8" w14:textId="77777777" w:rsidR="00E903E8" w:rsidRPr="00D53A2B" w:rsidRDefault="00E903E8" w:rsidP="00602365">
      <w:pPr>
        <w:pStyle w:val="ListeParagraf"/>
        <w:numPr>
          <w:ilvl w:val="0"/>
          <w:numId w:val="208"/>
        </w:numPr>
        <w:tabs>
          <w:tab w:val="clear" w:pos="567"/>
        </w:tabs>
        <w:spacing w:line="240" w:lineRule="auto"/>
        <w:ind w:left="426" w:hanging="426"/>
        <w:rPr>
          <w:sz w:val="24"/>
          <w:szCs w:val="24"/>
        </w:rPr>
      </w:pPr>
      <w:r w:rsidRPr="00D53A2B">
        <w:rPr>
          <w:sz w:val="24"/>
          <w:szCs w:val="24"/>
        </w:rPr>
        <w:t>nitrit (bkz. Bölüm 4.16.5)</w:t>
      </w:r>
    </w:p>
    <w:p w14:paraId="66D6BC76" w14:textId="77777777" w:rsidR="00E903E8" w:rsidRPr="00D53A2B" w:rsidRDefault="00E903E8" w:rsidP="00602365">
      <w:pPr>
        <w:pStyle w:val="ListeParagraf"/>
        <w:numPr>
          <w:ilvl w:val="0"/>
          <w:numId w:val="208"/>
        </w:numPr>
        <w:tabs>
          <w:tab w:val="clear" w:pos="567"/>
        </w:tabs>
        <w:spacing w:line="240" w:lineRule="auto"/>
        <w:ind w:left="426" w:hanging="426"/>
        <w:rPr>
          <w:sz w:val="24"/>
          <w:szCs w:val="24"/>
        </w:rPr>
      </w:pPr>
      <w:r w:rsidRPr="00D53A2B">
        <w:rPr>
          <w:sz w:val="24"/>
          <w:szCs w:val="24"/>
        </w:rPr>
        <w:t>kromatlar (CrVI) (bkz. Bölüm 4.16.6)</w:t>
      </w:r>
    </w:p>
    <w:p w14:paraId="5708E7D0" w14:textId="77777777" w:rsidR="00E903E8" w:rsidRPr="00D53A2B" w:rsidRDefault="00E903E8" w:rsidP="00602365">
      <w:pPr>
        <w:pStyle w:val="ListeParagraf"/>
        <w:numPr>
          <w:ilvl w:val="0"/>
          <w:numId w:val="208"/>
        </w:numPr>
        <w:tabs>
          <w:tab w:val="clear" w:pos="567"/>
        </w:tabs>
        <w:spacing w:line="240" w:lineRule="auto"/>
        <w:ind w:left="426" w:hanging="426"/>
        <w:rPr>
          <w:sz w:val="24"/>
          <w:szCs w:val="24"/>
        </w:rPr>
      </w:pPr>
      <w:r w:rsidRPr="00D53A2B">
        <w:rPr>
          <w:sz w:val="24"/>
          <w:szCs w:val="24"/>
        </w:rPr>
        <w:t>kompleksleştirici maddeler (bkz. Bölüm 4.16.8)</w:t>
      </w:r>
    </w:p>
    <w:p w14:paraId="5842ADC6" w14:textId="1E19FFEB" w:rsidR="00E903E8" w:rsidRPr="00D53A2B" w:rsidRDefault="00E903E8" w:rsidP="00602365">
      <w:pPr>
        <w:pStyle w:val="ListeParagraf"/>
        <w:numPr>
          <w:ilvl w:val="0"/>
          <w:numId w:val="208"/>
        </w:numPr>
        <w:tabs>
          <w:tab w:val="clear" w:pos="567"/>
        </w:tabs>
        <w:spacing w:line="240" w:lineRule="auto"/>
        <w:ind w:left="426" w:hanging="426"/>
        <w:rPr>
          <w:sz w:val="24"/>
          <w:szCs w:val="24"/>
        </w:rPr>
      </w:pPr>
      <w:r w:rsidRPr="00D53A2B">
        <w:rPr>
          <w:sz w:val="24"/>
          <w:szCs w:val="24"/>
        </w:rPr>
        <w:t xml:space="preserve">kadmiyum (Not: kadmiyum akışlarını arıtma için ayırmak bir Parcom Tavsiyesi [12, PARCOM, 1992] olsa da, kadmiyum işlemlerini suya deşarj olmadan kapalı bir devrede çalıştırmak </w:t>
      </w:r>
      <w:r w:rsidR="0031317B" w:rsidRPr="00D53A2B">
        <w:rPr>
          <w:sz w:val="24"/>
          <w:szCs w:val="24"/>
        </w:rPr>
        <w:t>MET’tir</w:t>
      </w:r>
      <w:r w:rsidRPr="00D53A2B">
        <w:rPr>
          <w:sz w:val="24"/>
          <w:szCs w:val="24"/>
        </w:rPr>
        <w:t>, bkz. Bölüm 5.1.6.3).</w:t>
      </w:r>
    </w:p>
    <w:p w14:paraId="72DD87E2" w14:textId="77777777" w:rsidR="0016661E" w:rsidRPr="00D53A2B" w:rsidRDefault="0016661E" w:rsidP="00A202FD">
      <w:pPr>
        <w:jc w:val="both"/>
      </w:pPr>
    </w:p>
    <w:p w14:paraId="5C9BC57B" w14:textId="4C4F9A31" w:rsidR="00E903E8" w:rsidRPr="00D53A2B" w:rsidRDefault="00C6714E" w:rsidP="00A202FD">
      <w:pPr>
        <w:pStyle w:val="Balk4"/>
        <w:rPr>
          <w:rFonts w:cs="Times New Roman"/>
        </w:rPr>
      </w:pPr>
      <w:r w:rsidRPr="00D53A2B">
        <w:rPr>
          <w:rFonts w:cs="Times New Roman"/>
        </w:rPr>
        <w:t xml:space="preserve">5.1.8.3 </w:t>
      </w:r>
      <w:r w:rsidR="00651500" w:rsidRPr="00D53A2B">
        <w:rPr>
          <w:rFonts w:cs="Times New Roman"/>
        </w:rPr>
        <w:t>Atıksu</w:t>
      </w:r>
      <w:r w:rsidR="00D53A2B">
        <w:rPr>
          <w:rFonts w:cs="Times New Roman"/>
        </w:rPr>
        <w:t xml:space="preserve"> </w:t>
      </w:r>
      <w:r w:rsidRPr="00D53A2B">
        <w:rPr>
          <w:rFonts w:cs="Times New Roman"/>
        </w:rPr>
        <w:t>deşarjı</w:t>
      </w:r>
    </w:p>
    <w:p w14:paraId="4B20A489" w14:textId="51C47E66" w:rsidR="00E903E8" w:rsidRPr="00D53A2B" w:rsidRDefault="00C6714E" w:rsidP="00A202FD">
      <w:pPr>
        <w:jc w:val="both"/>
      </w:pPr>
      <w:r w:rsidRPr="00D53A2B">
        <w:t xml:space="preserve">Atıksuyun 4.16.13. Bölüme göre izlenmesi ve deşarj edilmesi </w:t>
      </w:r>
      <w:r w:rsidR="0031317B" w:rsidRPr="00D53A2B">
        <w:t>MET’tir</w:t>
      </w:r>
      <w:r w:rsidRPr="00D53A2B">
        <w:t>.</w:t>
      </w:r>
    </w:p>
    <w:p w14:paraId="5A28ECD2" w14:textId="77777777" w:rsidR="00E903E8" w:rsidRPr="00D53A2B" w:rsidRDefault="00E903E8" w:rsidP="00A202FD">
      <w:pPr>
        <w:jc w:val="both"/>
      </w:pPr>
    </w:p>
    <w:p w14:paraId="2F5D292C" w14:textId="75D83350" w:rsidR="00C6714E" w:rsidRPr="00D53A2B" w:rsidRDefault="00C6714E" w:rsidP="00A202FD">
      <w:pPr>
        <w:jc w:val="both"/>
      </w:pPr>
      <w:r w:rsidRPr="00D53A2B">
        <w:t>Tablo 5.2</w:t>
      </w:r>
      <w:r w:rsidR="00E56504" w:rsidRPr="00D53A2B">
        <w:t>’</w:t>
      </w:r>
      <w:r w:rsidRPr="00D53A2B">
        <w:t>de verilen emisyon seviyeleri, yüzey işleme tesislerinin bir örneğinde elde edilen değerlerdir. Bunlar Bölüm 3.3.1 ve Tablo 3.20</w:t>
      </w:r>
      <w:r w:rsidR="00E56504" w:rsidRPr="00D53A2B">
        <w:t>’</w:t>
      </w:r>
      <w:r w:rsidRPr="00D53A2B">
        <w:t>den türetilmiştir ve Bölüm 4.5 ila 4.12 ve Bölüm 4.16</w:t>
      </w:r>
      <w:r w:rsidR="00E56504" w:rsidRPr="00D53A2B">
        <w:t>’</w:t>
      </w:r>
      <w:r w:rsidRPr="00D53A2B">
        <w:t xml:space="preserve">da ve </w:t>
      </w:r>
      <w:r w:rsidR="00651500" w:rsidRPr="00D53A2B">
        <w:t>atıksu</w:t>
      </w:r>
      <w:r w:rsidRPr="00D53A2B">
        <w:t>ve atık gaz arıtımı/yönetimi hakkındaki BREF</w:t>
      </w:r>
      <w:r w:rsidR="00E56504" w:rsidRPr="00D53A2B">
        <w:t>’</w:t>
      </w:r>
      <w:r w:rsidRPr="00D53A2B">
        <w:t xml:space="preserve">te açıklanan işlem içi tekniklerin bir kombinasyonunu kullanarak </w:t>
      </w:r>
      <w:r w:rsidR="00651500" w:rsidRPr="00D53A2B">
        <w:t>MET</w:t>
      </w:r>
      <w:r w:rsidRPr="00D53A2B">
        <w:t xml:space="preserve">kombinasyonu kullanılarak ne elde edilebileceğini göstermektedir [87, EIPPCB, ]. Daha az tehlikeli maddelerin ve süreçlerin ikame edilmesine yönelik </w:t>
      </w:r>
      <w:r w:rsidR="0031317B" w:rsidRPr="00D53A2B">
        <w:t>MET,</w:t>
      </w:r>
      <w:r w:rsidRPr="00D53A2B">
        <w:t xml:space="preserve"> Bölüm 5.2.5</w:t>
      </w:r>
      <w:r w:rsidR="00E56504" w:rsidRPr="00D53A2B">
        <w:t>’</w:t>
      </w:r>
      <w:r w:rsidRPr="00D53A2B">
        <w:t>te verilmiş ve Bölüm 4.9</w:t>
      </w:r>
      <w:r w:rsidR="00E56504" w:rsidRPr="00D53A2B">
        <w:t>’</w:t>
      </w:r>
      <w:r w:rsidRPr="00D53A2B">
        <w:t>da tartışılmıştır.</w:t>
      </w:r>
    </w:p>
    <w:p w14:paraId="015D2FC8" w14:textId="77777777" w:rsidR="00C6714E" w:rsidRPr="00D53A2B" w:rsidRDefault="00C6714E" w:rsidP="00A202FD">
      <w:pPr>
        <w:jc w:val="both"/>
      </w:pPr>
    </w:p>
    <w:p w14:paraId="3CD7D9F5" w14:textId="6EDE8055" w:rsidR="00C6714E" w:rsidRPr="00D53A2B" w:rsidRDefault="00DC4A7A" w:rsidP="00A202FD">
      <w:pPr>
        <w:jc w:val="both"/>
      </w:pPr>
      <w:r w:rsidRPr="00D53A2B">
        <w:t xml:space="preserve">Belirli bir kurulum için, bu konsantrasyon seviyeleri kurulumdan yayılan yükler, kurulumun teknik özellikleri (örneğin, verim) ve diğer </w:t>
      </w:r>
      <w:r w:rsidR="00F13622" w:rsidRPr="00D53A2B">
        <w:t>ME</w:t>
      </w:r>
      <w:r w:rsidRPr="00D53A2B">
        <w:t>T</w:t>
      </w:r>
      <w:r w:rsidR="00E56504" w:rsidRPr="00D53A2B">
        <w:t>’</w:t>
      </w:r>
      <w:r w:rsidRPr="00D53A2B">
        <w:t>lar, özellikle su tüketimini azaltma önlemleri ile birlikte düşünülmelidir. Özellikle, akışı azaltma önlemlerinin, çözünmüş tuzların artan konsantrasyonunun çinko gibi bazı metallerin çözünürlüğünü artırdığı bir noktaya kadar yükü azaltabileceği unutulmamalıdır (bkz. Bölüm 3.3.1 ve 5.1.5.1).</w:t>
      </w:r>
    </w:p>
    <w:p w14:paraId="629AAC41" w14:textId="77777777" w:rsidR="00C6714E" w:rsidRPr="00D53A2B" w:rsidRDefault="00C6714E" w:rsidP="00A202FD">
      <w:pPr>
        <w:jc w:val="both"/>
      </w:pPr>
    </w:p>
    <w:p w14:paraId="3EB6C8F7" w14:textId="3F95954E" w:rsidR="00C6714E" w:rsidRPr="00D53A2B" w:rsidRDefault="00DC4A7A" w:rsidP="00A202FD">
      <w:pPr>
        <w:jc w:val="both"/>
      </w:pPr>
      <w:r w:rsidRPr="00D53A2B">
        <w:t>Bölüm 3.3.1</w:t>
      </w:r>
      <w:r w:rsidR="00E56504" w:rsidRPr="00D53A2B">
        <w:t>’</w:t>
      </w:r>
      <w:r w:rsidRPr="00D53A2B">
        <w:t>de, bu aralıkların düşük uçlarının bazı tesislerde düzenli olarak karşılanabileceği, ancak normal çalışmanın %100</w:t>
      </w:r>
      <w:r w:rsidR="00E56504" w:rsidRPr="00D53A2B">
        <w:t>’</w:t>
      </w:r>
      <w:r w:rsidRPr="00D53A2B">
        <w:t>ü için %100 güvenle karşılanamayabileceği görülebilir.</w:t>
      </w:r>
    </w:p>
    <w:p w14:paraId="156E1F05" w14:textId="77777777" w:rsidR="00DC4A7A" w:rsidRPr="00D53A2B" w:rsidRDefault="00DC4A7A" w:rsidP="00A202FD">
      <w:pPr>
        <w:jc w:val="both"/>
      </w:pPr>
    </w:p>
    <w:p w14:paraId="2E1E7BAA" w14:textId="7384B799" w:rsidR="00DC4A7A" w:rsidRPr="00D53A2B" w:rsidRDefault="00651500" w:rsidP="00A202FD">
      <w:pPr>
        <w:jc w:val="both"/>
      </w:pPr>
      <w:r w:rsidRPr="00D53A2B">
        <w:t>MET</w:t>
      </w:r>
      <w:r w:rsidR="00F13622" w:rsidRPr="00D53A2B">
        <w:t xml:space="preserve"> </w:t>
      </w:r>
      <w:r w:rsidR="00DC4A7A" w:rsidRPr="00D53A2B">
        <w:t xml:space="preserve">bir parametre için optimize edilebilir, ancak bu diğer parametreler için en uygun olmayabilir (örneğin, </w:t>
      </w:r>
      <w:r w:rsidRPr="00D53A2B">
        <w:t>atıksu</w:t>
      </w:r>
      <w:r w:rsidR="00DC4A7A" w:rsidRPr="00D53A2B">
        <w:t>arıtımında metallerin flokülasyonu ve çökelmesi tek tek metaller için optimize edilemez). Bu, aralıklardaki en düşük değerlerin hepsinin aynı anda karşılanamayabileceği anlamına gelir. Bölgeye özgü veya maddeye özgü durumlarda ayrı arıtma(lar) gerekebilir.</w:t>
      </w:r>
    </w:p>
    <w:p w14:paraId="1F8D4554" w14:textId="77777777" w:rsidR="00DC4A7A" w:rsidRPr="00D53A2B" w:rsidRDefault="00DC4A7A" w:rsidP="00A202FD">
      <w:pPr>
        <w:jc w:val="both"/>
      </w:pPr>
    </w:p>
    <w:p w14:paraId="4153D11A" w14:textId="1F59BE99" w:rsidR="00DC4A7A" w:rsidRPr="00D53A2B" w:rsidRDefault="00FE7A41" w:rsidP="00A202FD">
      <w:pPr>
        <w:jc w:val="both"/>
      </w:pPr>
      <w:r w:rsidRPr="00D53A2B">
        <w:t>MET-İES</w:t>
      </w:r>
      <w:r w:rsidR="00E56504" w:rsidRPr="00D53A2B">
        <w:t>’</w:t>
      </w:r>
      <w:r w:rsidRPr="00D53A2B">
        <w:t>in</w:t>
      </w:r>
      <w:r w:rsidR="00DC4A7A" w:rsidRPr="00D53A2B">
        <w:t xml:space="preserve"> günlük kompozit numuneler için beklenmesi gerekmektedir.</w:t>
      </w:r>
    </w:p>
    <w:p w14:paraId="4B2A78D9" w14:textId="77777777" w:rsidR="00C6714E" w:rsidRPr="00D53A2B" w:rsidRDefault="00C6714E" w:rsidP="00A202FD">
      <w:pPr>
        <w:jc w:val="both"/>
      </w:pPr>
    </w:p>
    <w:p w14:paraId="1D52387D" w14:textId="0841E28E" w:rsidR="00C6714E" w:rsidRPr="00D53A2B" w:rsidRDefault="00DC4A7A" w:rsidP="00A202FD">
      <w:pPr>
        <w:jc w:val="both"/>
      </w:pPr>
      <w:r w:rsidRPr="00D53A2B">
        <w:t>Sadece ilgili maddelerin (yani tesisteki proseslerde kullanılan ve ortaya çıkan maddelerin) ilgili tesisler için geçerli olduğuna dikkat edin.</w:t>
      </w:r>
    </w:p>
    <w:p w14:paraId="4BBB49BA" w14:textId="77777777" w:rsidR="00E903E8" w:rsidRPr="00D53A2B" w:rsidRDefault="00E903E8" w:rsidP="00A202FD">
      <w:pPr>
        <w:jc w:val="both"/>
      </w:pPr>
    </w:p>
    <w:p w14:paraId="079148E4" w14:textId="77777777" w:rsidR="005F0E3A" w:rsidRPr="00D53A2B" w:rsidRDefault="00DC4A7A" w:rsidP="00A202FD">
      <w:pPr>
        <w:jc w:val="both"/>
        <w:rPr>
          <w:rFonts w:eastAsia="Calibri"/>
          <w:lang w:eastAsia="en-US"/>
        </w:rPr>
      </w:pPr>
      <w:r w:rsidRPr="00D53A2B">
        <w:rPr>
          <w:rFonts w:eastAsia="Calibri"/>
          <w:lang w:eastAsia="en-US"/>
        </w:rPr>
        <w:t>Tablo 5.2</w:t>
      </w:r>
    </w:p>
    <w:p w14:paraId="5501E13F" w14:textId="06EF52C0" w:rsidR="00DC4A7A" w:rsidRPr="00D53A2B" w:rsidRDefault="00DC4A7A" w:rsidP="00A202FD">
      <w:pPr>
        <w:jc w:val="both"/>
        <w:rPr>
          <w:rFonts w:eastAsia="Calibri"/>
          <w:lang w:eastAsia="en-US"/>
        </w:rPr>
      </w:pPr>
      <w:r w:rsidRPr="00D53A2B">
        <w:rPr>
          <w:rFonts w:eastAsia="Calibri"/>
          <w:lang w:eastAsia="en-US"/>
        </w:rPr>
        <w:t xml:space="preserve">Bazı tesisler için bazı </w:t>
      </w:r>
      <w:r w:rsidR="00F13622" w:rsidRPr="00D53A2B">
        <w:rPr>
          <w:rFonts w:eastAsia="Calibri"/>
          <w:lang w:eastAsia="en-US"/>
        </w:rPr>
        <w:t>MET ile</w:t>
      </w:r>
      <w:r w:rsidRPr="00D53A2B">
        <w:rPr>
          <w:rFonts w:eastAsia="Calibri"/>
          <w:lang w:eastAsia="en-US"/>
        </w:rPr>
        <w:t xml:space="preserve"> ilişkili suya yönelik emisyon aralıkları</w:t>
      </w: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270"/>
        <w:gridCol w:w="2987"/>
        <w:gridCol w:w="2312"/>
        <w:gridCol w:w="1170"/>
        <w:gridCol w:w="758"/>
      </w:tblGrid>
      <w:tr w:rsidR="00790361" w:rsidRPr="00BF4451" w14:paraId="1D818A87" w14:textId="77777777" w:rsidTr="00DC4A7A">
        <w:trPr>
          <w:trHeight w:val="20"/>
        </w:trPr>
        <w:tc>
          <w:tcPr>
            <w:tcW w:w="0" w:type="auto"/>
            <w:gridSpan w:val="5"/>
            <w:vAlign w:val="center"/>
          </w:tcPr>
          <w:p w14:paraId="48D0843F" w14:textId="26465702" w:rsidR="00DC4A7A" w:rsidRPr="009077F5" w:rsidRDefault="00DC4A7A" w:rsidP="004B0D48">
            <w:pPr>
              <w:pStyle w:val="KonuBal"/>
              <w:rPr>
                <w:sz w:val="24"/>
                <w:szCs w:val="24"/>
              </w:rPr>
            </w:pPr>
            <w:r w:rsidRPr="009077F5">
              <w:rPr>
                <w:sz w:val="24"/>
                <w:szCs w:val="24"/>
              </w:rPr>
              <w:t xml:space="preserve">Çeşitli </w:t>
            </w:r>
            <w:r w:rsidR="00651500" w:rsidRPr="009077F5">
              <w:rPr>
                <w:sz w:val="24"/>
                <w:szCs w:val="24"/>
              </w:rPr>
              <w:t>MET</w:t>
            </w:r>
            <w:r w:rsidR="00F13622" w:rsidRPr="009077F5">
              <w:rPr>
                <w:sz w:val="24"/>
                <w:szCs w:val="24"/>
              </w:rPr>
              <w:t xml:space="preserve"> </w:t>
            </w:r>
            <w:r w:rsidRPr="009077F5">
              <w:rPr>
                <w:sz w:val="24"/>
                <w:szCs w:val="24"/>
              </w:rPr>
              <w:t>kullanan bazı tesislerle ilişkili emisyon seviyeleri</w:t>
            </w:r>
          </w:p>
          <w:p w14:paraId="1CBD1955" w14:textId="17C40CE5" w:rsidR="00DC4A7A" w:rsidRPr="009077F5" w:rsidRDefault="00DC4A7A" w:rsidP="004B0D48">
            <w:pPr>
              <w:pStyle w:val="KonuBal"/>
              <w:rPr>
                <w:sz w:val="24"/>
                <w:szCs w:val="24"/>
              </w:rPr>
            </w:pPr>
            <w:r w:rsidRPr="009077F5">
              <w:rPr>
                <w:sz w:val="24"/>
                <w:szCs w:val="24"/>
              </w:rPr>
              <w:t>Bu değerler analizden önce filtrelenmemiş ve arıtmadan sonra ve soğutma suyu, diğer proses suları veya alıcı sular gibi herhangi bir seyreltmeden önce alınan günlük kompozitler içindir.</w:t>
            </w:r>
          </w:p>
        </w:tc>
      </w:tr>
      <w:tr w:rsidR="00DC4A7A" w:rsidRPr="00BF4451" w14:paraId="42B1C8DD" w14:textId="77777777" w:rsidTr="00DC4A7A">
        <w:trPr>
          <w:trHeight w:val="20"/>
        </w:trPr>
        <w:tc>
          <w:tcPr>
            <w:tcW w:w="0" w:type="auto"/>
            <w:vAlign w:val="center"/>
          </w:tcPr>
          <w:p w14:paraId="0DAC1CCF" w14:textId="77777777" w:rsidR="00790361" w:rsidRPr="009077F5" w:rsidRDefault="00790361" w:rsidP="004B0D48">
            <w:pPr>
              <w:pStyle w:val="KonuBal"/>
              <w:rPr>
                <w:sz w:val="24"/>
                <w:szCs w:val="24"/>
              </w:rPr>
            </w:pPr>
          </w:p>
        </w:tc>
        <w:tc>
          <w:tcPr>
            <w:tcW w:w="0" w:type="auto"/>
            <w:gridSpan w:val="2"/>
            <w:vAlign w:val="center"/>
          </w:tcPr>
          <w:p w14:paraId="2B768C5F" w14:textId="4BAA6F04" w:rsidR="00790361" w:rsidRPr="009077F5" w:rsidRDefault="00DC4A7A" w:rsidP="004B0D48">
            <w:pPr>
              <w:pStyle w:val="KonuBal"/>
              <w:rPr>
                <w:sz w:val="24"/>
                <w:szCs w:val="24"/>
              </w:rPr>
            </w:pPr>
            <w:r w:rsidRPr="009077F5">
              <w:rPr>
                <w:sz w:val="24"/>
                <w:szCs w:val="24"/>
              </w:rPr>
              <w:t>Jig, varil, küçük ölçekli bobin, otomotiv, PCB ve büyük ölçekli çelik bobin dışındaki diğer faaliyetler.</w:t>
            </w:r>
          </w:p>
        </w:tc>
        <w:tc>
          <w:tcPr>
            <w:tcW w:w="0" w:type="auto"/>
            <w:gridSpan w:val="2"/>
            <w:vAlign w:val="center"/>
          </w:tcPr>
          <w:p w14:paraId="0E9D46CC" w14:textId="569635DE" w:rsidR="00790361" w:rsidRPr="009077F5" w:rsidRDefault="00790361" w:rsidP="00E73DA3">
            <w:pPr>
              <w:pStyle w:val="KonuBal"/>
              <w:rPr>
                <w:sz w:val="24"/>
                <w:szCs w:val="24"/>
              </w:rPr>
            </w:pPr>
            <w:r w:rsidRPr="009077F5">
              <w:rPr>
                <w:sz w:val="24"/>
                <w:szCs w:val="24"/>
              </w:rPr>
              <w:t xml:space="preserve">Büyük ölçekli çelik </w:t>
            </w:r>
            <w:r w:rsidR="00DC4A7A" w:rsidRPr="009077F5">
              <w:rPr>
                <w:sz w:val="24"/>
                <w:szCs w:val="24"/>
              </w:rPr>
              <w:t>bobin</w:t>
            </w:r>
            <w:r w:rsidRPr="009077F5">
              <w:rPr>
                <w:sz w:val="24"/>
                <w:szCs w:val="24"/>
              </w:rPr>
              <w:t xml:space="preserve"> kaplama</w:t>
            </w:r>
          </w:p>
        </w:tc>
      </w:tr>
      <w:tr w:rsidR="00BA414E" w:rsidRPr="00BF4451" w14:paraId="3F5308DF" w14:textId="77777777" w:rsidTr="00DC4A7A">
        <w:trPr>
          <w:trHeight w:val="20"/>
        </w:trPr>
        <w:tc>
          <w:tcPr>
            <w:tcW w:w="0" w:type="auto"/>
            <w:vAlign w:val="center"/>
          </w:tcPr>
          <w:p w14:paraId="3973AE70" w14:textId="6289AAC8" w:rsidR="00790361" w:rsidRPr="009077F5" w:rsidRDefault="00790361" w:rsidP="004B0D48">
            <w:pPr>
              <w:pStyle w:val="KonuBal"/>
              <w:rPr>
                <w:sz w:val="24"/>
                <w:szCs w:val="24"/>
              </w:rPr>
            </w:pPr>
            <w:r w:rsidRPr="009077F5">
              <w:rPr>
                <w:sz w:val="24"/>
                <w:szCs w:val="24"/>
              </w:rPr>
              <w:t>Bütün  değerler</w:t>
            </w:r>
            <w:r w:rsidRPr="009077F5">
              <w:rPr>
                <w:spacing w:val="33"/>
                <w:sz w:val="24"/>
                <w:szCs w:val="24"/>
              </w:rPr>
              <w:t xml:space="preserve"> </w:t>
            </w:r>
            <w:r w:rsidRPr="009077F5">
              <w:rPr>
                <w:spacing w:val="-5"/>
                <w:w w:val="102"/>
                <w:sz w:val="24"/>
                <w:szCs w:val="24"/>
              </w:rPr>
              <w:t>m</w:t>
            </w:r>
            <w:r w:rsidRPr="009077F5">
              <w:rPr>
                <w:spacing w:val="1"/>
                <w:w w:val="102"/>
                <w:sz w:val="24"/>
                <w:szCs w:val="24"/>
              </w:rPr>
              <w:t>g</w:t>
            </w:r>
            <w:r w:rsidRPr="009077F5">
              <w:rPr>
                <w:w w:val="102"/>
                <w:sz w:val="24"/>
                <w:szCs w:val="24"/>
              </w:rPr>
              <w:t>/l</w:t>
            </w:r>
            <w:r w:rsidR="00E56504" w:rsidRPr="009077F5">
              <w:rPr>
                <w:w w:val="102"/>
                <w:sz w:val="24"/>
                <w:szCs w:val="24"/>
              </w:rPr>
              <w:t>’</w:t>
            </w:r>
            <w:r w:rsidRPr="009077F5">
              <w:rPr>
                <w:w w:val="102"/>
                <w:sz w:val="24"/>
                <w:szCs w:val="24"/>
              </w:rPr>
              <w:t>dir</w:t>
            </w:r>
          </w:p>
        </w:tc>
        <w:tc>
          <w:tcPr>
            <w:tcW w:w="0" w:type="auto"/>
            <w:vAlign w:val="center"/>
            <w:hideMark/>
          </w:tcPr>
          <w:p w14:paraId="25F7C499" w14:textId="6B3AF625" w:rsidR="00790361" w:rsidRPr="009077F5" w:rsidRDefault="00DC4A7A" w:rsidP="004B0D48">
            <w:pPr>
              <w:pStyle w:val="KonuBal"/>
              <w:rPr>
                <w:sz w:val="24"/>
                <w:szCs w:val="24"/>
              </w:rPr>
            </w:pPr>
            <w:r w:rsidRPr="009077F5">
              <w:rPr>
                <w:sz w:val="24"/>
                <w:szCs w:val="24"/>
              </w:rPr>
              <w:t>K</w:t>
            </w:r>
            <w:r w:rsidR="00790361" w:rsidRPr="009077F5">
              <w:rPr>
                <w:sz w:val="24"/>
                <w:szCs w:val="24"/>
              </w:rPr>
              <w:t>analizasyona (</w:t>
            </w:r>
            <w:r w:rsidRPr="009077F5">
              <w:rPr>
                <w:sz w:val="24"/>
                <w:szCs w:val="24"/>
              </w:rPr>
              <w:t>Public sewer-</w:t>
            </w:r>
            <w:r w:rsidR="00790361" w:rsidRPr="009077F5">
              <w:rPr>
                <w:sz w:val="24"/>
                <w:szCs w:val="24"/>
              </w:rPr>
              <w:t>PS) veya yüzey su</w:t>
            </w:r>
            <w:r w:rsidRPr="009077F5">
              <w:rPr>
                <w:sz w:val="24"/>
                <w:szCs w:val="24"/>
              </w:rPr>
              <w:t>yu</w:t>
            </w:r>
            <w:r w:rsidR="00790361" w:rsidRPr="009077F5">
              <w:rPr>
                <w:sz w:val="24"/>
                <w:szCs w:val="24"/>
              </w:rPr>
              <w:t>na (</w:t>
            </w:r>
            <w:r w:rsidRPr="009077F5">
              <w:rPr>
                <w:sz w:val="24"/>
                <w:szCs w:val="24"/>
              </w:rPr>
              <w:t>surface water-</w:t>
            </w:r>
            <w:r w:rsidR="00790361" w:rsidRPr="009077F5">
              <w:rPr>
                <w:sz w:val="24"/>
                <w:szCs w:val="24"/>
              </w:rPr>
              <w:t>SW) deşarjlar</w:t>
            </w:r>
          </w:p>
        </w:tc>
        <w:tc>
          <w:tcPr>
            <w:tcW w:w="0" w:type="auto"/>
            <w:vAlign w:val="center"/>
            <w:hideMark/>
          </w:tcPr>
          <w:p w14:paraId="2D3DE71E" w14:textId="7A0C3EA3" w:rsidR="00790361" w:rsidRPr="009077F5" w:rsidRDefault="00DC4A7A" w:rsidP="00E73DA3">
            <w:pPr>
              <w:pStyle w:val="KonuBal"/>
              <w:rPr>
                <w:sz w:val="24"/>
                <w:szCs w:val="24"/>
              </w:rPr>
            </w:pPr>
            <w:r w:rsidRPr="009077F5">
              <w:rPr>
                <w:sz w:val="24"/>
                <w:szCs w:val="24"/>
              </w:rPr>
              <w:t>Yalnızca</w:t>
            </w:r>
            <w:r w:rsidR="00790361" w:rsidRPr="009077F5">
              <w:rPr>
                <w:sz w:val="24"/>
                <w:szCs w:val="24"/>
              </w:rPr>
              <w:t xml:space="preserve"> yüzey su</w:t>
            </w:r>
            <w:r w:rsidRPr="009077F5">
              <w:rPr>
                <w:sz w:val="24"/>
                <w:szCs w:val="24"/>
              </w:rPr>
              <w:t>yu</w:t>
            </w:r>
            <w:r w:rsidR="00790361" w:rsidRPr="009077F5">
              <w:rPr>
                <w:sz w:val="24"/>
                <w:szCs w:val="24"/>
              </w:rPr>
              <w:t xml:space="preserve"> deşarjları için geçerli </w:t>
            </w:r>
            <w:r w:rsidRPr="009077F5">
              <w:rPr>
                <w:sz w:val="24"/>
                <w:szCs w:val="24"/>
              </w:rPr>
              <w:t>ek</w:t>
            </w:r>
            <w:r w:rsidR="00790361" w:rsidRPr="009077F5">
              <w:rPr>
                <w:sz w:val="24"/>
                <w:szCs w:val="24"/>
              </w:rPr>
              <w:t xml:space="preserve"> belirleyiciler</w:t>
            </w:r>
          </w:p>
        </w:tc>
        <w:tc>
          <w:tcPr>
            <w:tcW w:w="0" w:type="auto"/>
            <w:vAlign w:val="center"/>
          </w:tcPr>
          <w:p w14:paraId="3AD832F4" w14:textId="77777777" w:rsidR="00790361" w:rsidRPr="009077F5" w:rsidRDefault="00790361" w:rsidP="00BF4451">
            <w:pPr>
              <w:pStyle w:val="KonuBal"/>
              <w:rPr>
                <w:spacing w:val="1"/>
                <w:w w:val="112"/>
                <w:sz w:val="24"/>
                <w:szCs w:val="24"/>
              </w:rPr>
            </w:pPr>
            <w:r w:rsidRPr="009077F5">
              <w:rPr>
                <w:sz w:val="24"/>
                <w:szCs w:val="24"/>
              </w:rPr>
              <w:t>Kalay</w:t>
            </w:r>
            <w:r w:rsidRPr="009077F5">
              <w:rPr>
                <w:spacing w:val="19"/>
                <w:sz w:val="24"/>
                <w:szCs w:val="24"/>
              </w:rPr>
              <w:t xml:space="preserve"> </w:t>
            </w:r>
            <w:r w:rsidRPr="009077F5">
              <w:rPr>
                <w:spacing w:val="1"/>
                <w:w w:val="112"/>
                <w:sz w:val="24"/>
                <w:szCs w:val="24"/>
              </w:rPr>
              <w:t>veya</w:t>
            </w:r>
          </w:p>
          <w:p w14:paraId="1327984E" w14:textId="77777777" w:rsidR="00790361" w:rsidRPr="009077F5" w:rsidRDefault="00790361" w:rsidP="00BF4451">
            <w:pPr>
              <w:pStyle w:val="KonuBal"/>
              <w:rPr>
                <w:sz w:val="24"/>
                <w:szCs w:val="24"/>
              </w:rPr>
            </w:pPr>
            <w:r w:rsidRPr="009077F5">
              <w:rPr>
                <w:spacing w:val="-1"/>
                <w:w w:val="108"/>
                <w:sz w:val="24"/>
                <w:szCs w:val="24"/>
              </w:rPr>
              <w:t>E</w:t>
            </w:r>
            <w:r w:rsidRPr="009077F5">
              <w:rPr>
                <w:w w:val="107"/>
                <w:sz w:val="24"/>
                <w:szCs w:val="24"/>
              </w:rPr>
              <w:t>C</w:t>
            </w:r>
            <w:r w:rsidRPr="009077F5">
              <w:rPr>
                <w:spacing w:val="3"/>
                <w:w w:val="107"/>
                <w:sz w:val="24"/>
                <w:szCs w:val="24"/>
              </w:rPr>
              <w:t>C</w:t>
            </w:r>
            <w:r w:rsidRPr="009077F5">
              <w:rPr>
                <w:w w:val="99"/>
                <w:sz w:val="24"/>
                <w:szCs w:val="24"/>
              </w:rPr>
              <w:t>S</w:t>
            </w:r>
          </w:p>
        </w:tc>
        <w:tc>
          <w:tcPr>
            <w:tcW w:w="0" w:type="auto"/>
            <w:vAlign w:val="center"/>
          </w:tcPr>
          <w:p w14:paraId="710A9DC2" w14:textId="77777777" w:rsidR="00790361" w:rsidRPr="009077F5" w:rsidRDefault="00790361" w:rsidP="00BF4451">
            <w:pPr>
              <w:pStyle w:val="KonuBal"/>
              <w:rPr>
                <w:sz w:val="24"/>
                <w:szCs w:val="24"/>
              </w:rPr>
            </w:pPr>
            <w:r w:rsidRPr="009077F5">
              <w:rPr>
                <w:spacing w:val="-3"/>
                <w:sz w:val="24"/>
                <w:szCs w:val="24"/>
              </w:rPr>
              <w:t>Z</w:t>
            </w:r>
            <w:r w:rsidRPr="009077F5">
              <w:rPr>
                <w:sz w:val="24"/>
                <w:szCs w:val="24"/>
              </w:rPr>
              <w:t>n</w:t>
            </w:r>
            <w:r w:rsidRPr="009077F5">
              <w:rPr>
                <w:spacing w:val="22"/>
                <w:sz w:val="24"/>
                <w:szCs w:val="24"/>
              </w:rPr>
              <w:t xml:space="preserve"> </w:t>
            </w:r>
            <w:r w:rsidRPr="009077F5">
              <w:rPr>
                <w:spacing w:val="1"/>
                <w:w w:val="112"/>
                <w:sz w:val="24"/>
                <w:szCs w:val="24"/>
              </w:rPr>
              <w:t>veya</w:t>
            </w:r>
            <w:r w:rsidRPr="009077F5">
              <w:rPr>
                <w:spacing w:val="-3"/>
                <w:w w:val="112"/>
                <w:sz w:val="24"/>
                <w:szCs w:val="24"/>
              </w:rPr>
              <w:t xml:space="preserve"> </w:t>
            </w:r>
            <w:r w:rsidRPr="009077F5">
              <w:rPr>
                <w:spacing w:val="-3"/>
                <w:w w:val="108"/>
                <w:sz w:val="24"/>
                <w:szCs w:val="24"/>
              </w:rPr>
              <w:t>Z</w:t>
            </w:r>
            <w:r w:rsidRPr="009077F5">
              <w:rPr>
                <w:w w:val="110"/>
                <w:sz w:val="24"/>
                <w:szCs w:val="24"/>
              </w:rPr>
              <w:t>n</w:t>
            </w:r>
            <w:r w:rsidRPr="009077F5">
              <w:rPr>
                <w:spacing w:val="1"/>
                <w:w w:val="99"/>
                <w:sz w:val="24"/>
                <w:szCs w:val="24"/>
              </w:rPr>
              <w:t>-</w:t>
            </w:r>
            <w:r w:rsidRPr="009077F5">
              <w:rPr>
                <w:w w:val="99"/>
                <w:sz w:val="24"/>
                <w:szCs w:val="24"/>
              </w:rPr>
              <w:t>Ni</w:t>
            </w:r>
          </w:p>
        </w:tc>
      </w:tr>
      <w:tr w:rsidR="00BA414E" w:rsidRPr="00BF4451" w14:paraId="441455E0" w14:textId="77777777" w:rsidTr="00DC4A7A">
        <w:trPr>
          <w:trHeight w:val="20"/>
        </w:trPr>
        <w:tc>
          <w:tcPr>
            <w:tcW w:w="0" w:type="auto"/>
            <w:vAlign w:val="center"/>
            <w:hideMark/>
          </w:tcPr>
          <w:p w14:paraId="6F883457" w14:textId="77777777" w:rsidR="00790361" w:rsidRPr="009077F5" w:rsidRDefault="00790361" w:rsidP="004B0D48">
            <w:pPr>
              <w:pStyle w:val="KonuBal"/>
              <w:rPr>
                <w:sz w:val="24"/>
                <w:szCs w:val="24"/>
              </w:rPr>
            </w:pPr>
            <w:r w:rsidRPr="009077F5">
              <w:rPr>
                <w:sz w:val="24"/>
                <w:szCs w:val="24"/>
              </w:rPr>
              <w:t>Ag</w:t>
            </w:r>
          </w:p>
        </w:tc>
        <w:tc>
          <w:tcPr>
            <w:tcW w:w="0" w:type="auto"/>
            <w:vAlign w:val="center"/>
            <w:hideMark/>
          </w:tcPr>
          <w:p w14:paraId="574CEBEF" w14:textId="43F83F95" w:rsidR="00790361" w:rsidRPr="009077F5" w:rsidRDefault="00790361" w:rsidP="004B0D48">
            <w:pPr>
              <w:pStyle w:val="KonuBal"/>
              <w:rPr>
                <w:sz w:val="24"/>
                <w:szCs w:val="24"/>
              </w:rPr>
            </w:pPr>
            <w:r w:rsidRPr="009077F5">
              <w:rPr>
                <w:sz w:val="24"/>
                <w:szCs w:val="24"/>
              </w:rPr>
              <w:t>0</w:t>
            </w:r>
            <w:r w:rsidR="00DC4A7A" w:rsidRPr="009077F5">
              <w:rPr>
                <w:sz w:val="24"/>
                <w:szCs w:val="24"/>
              </w:rPr>
              <w:t>,</w:t>
            </w:r>
            <w:r w:rsidRPr="009077F5">
              <w:rPr>
                <w:sz w:val="24"/>
                <w:szCs w:val="24"/>
              </w:rPr>
              <w:t>1</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sz w:val="24"/>
                <w:szCs w:val="24"/>
              </w:rPr>
              <w:t>0</w:t>
            </w:r>
            <w:r w:rsidR="00DC4A7A" w:rsidRPr="009077F5">
              <w:rPr>
                <w:sz w:val="24"/>
                <w:szCs w:val="24"/>
              </w:rPr>
              <w:t>,</w:t>
            </w:r>
            <w:r w:rsidRPr="009077F5">
              <w:rPr>
                <w:sz w:val="24"/>
                <w:szCs w:val="24"/>
              </w:rPr>
              <w:t>5</w:t>
            </w:r>
          </w:p>
        </w:tc>
        <w:tc>
          <w:tcPr>
            <w:tcW w:w="0" w:type="auto"/>
            <w:vAlign w:val="center"/>
          </w:tcPr>
          <w:p w14:paraId="3D041341" w14:textId="77777777" w:rsidR="00790361" w:rsidRPr="009077F5" w:rsidRDefault="00790361" w:rsidP="00E73DA3">
            <w:pPr>
              <w:pStyle w:val="KonuBal"/>
              <w:rPr>
                <w:sz w:val="24"/>
                <w:szCs w:val="24"/>
              </w:rPr>
            </w:pPr>
          </w:p>
        </w:tc>
        <w:tc>
          <w:tcPr>
            <w:tcW w:w="0" w:type="auto"/>
            <w:vAlign w:val="center"/>
          </w:tcPr>
          <w:p w14:paraId="60637FE0" w14:textId="77777777" w:rsidR="00790361" w:rsidRPr="009077F5" w:rsidRDefault="00790361" w:rsidP="00BF4451">
            <w:pPr>
              <w:pStyle w:val="KonuBal"/>
              <w:rPr>
                <w:sz w:val="24"/>
                <w:szCs w:val="24"/>
              </w:rPr>
            </w:pPr>
          </w:p>
        </w:tc>
        <w:tc>
          <w:tcPr>
            <w:tcW w:w="0" w:type="auto"/>
            <w:vAlign w:val="center"/>
          </w:tcPr>
          <w:p w14:paraId="642D975A" w14:textId="77777777" w:rsidR="00790361" w:rsidRPr="009077F5" w:rsidRDefault="00790361" w:rsidP="00BF4451">
            <w:pPr>
              <w:pStyle w:val="KonuBal"/>
              <w:rPr>
                <w:sz w:val="24"/>
                <w:szCs w:val="24"/>
              </w:rPr>
            </w:pPr>
          </w:p>
        </w:tc>
      </w:tr>
      <w:tr w:rsidR="00BA414E" w:rsidRPr="00BF4451" w14:paraId="50883989" w14:textId="77777777" w:rsidTr="00DC4A7A">
        <w:trPr>
          <w:trHeight w:val="20"/>
        </w:trPr>
        <w:tc>
          <w:tcPr>
            <w:tcW w:w="0" w:type="auto"/>
            <w:vAlign w:val="center"/>
            <w:hideMark/>
          </w:tcPr>
          <w:p w14:paraId="5B2F47B8" w14:textId="77777777" w:rsidR="00790361" w:rsidRPr="009077F5" w:rsidRDefault="00790361" w:rsidP="004B0D48">
            <w:pPr>
              <w:pStyle w:val="KonuBal"/>
              <w:rPr>
                <w:sz w:val="24"/>
                <w:szCs w:val="24"/>
              </w:rPr>
            </w:pPr>
            <w:r w:rsidRPr="009077F5">
              <w:rPr>
                <w:sz w:val="24"/>
                <w:szCs w:val="24"/>
              </w:rPr>
              <w:t>Al</w:t>
            </w:r>
          </w:p>
        </w:tc>
        <w:tc>
          <w:tcPr>
            <w:tcW w:w="0" w:type="auto"/>
            <w:vAlign w:val="center"/>
          </w:tcPr>
          <w:p w14:paraId="3FDF336A" w14:textId="77777777" w:rsidR="00790361" w:rsidRPr="009077F5" w:rsidRDefault="00790361" w:rsidP="004B0D48">
            <w:pPr>
              <w:pStyle w:val="KonuBal"/>
              <w:rPr>
                <w:sz w:val="24"/>
                <w:szCs w:val="24"/>
              </w:rPr>
            </w:pPr>
          </w:p>
        </w:tc>
        <w:tc>
          <w:tcPr>
            <w:tcW w:w="0" w:type="auto"/>
            <w:vAlign w:val="center"/>
            <w:hideMark/>
          </w:tcPr>
          <w:p w14:paraId="70C42D9D" w14:textId="77777777" w:rsidR="00790361" w:rsidRPr="009077F5" w:rsidRDefault="00790361" w:rsidP="00E73DA3">
            <w:pPr>
              <w:pStyle w:val="KonuBal"/>
              <w:rPr>
                <w:sz w:val="24"/>
                <w:szCs w:val="24"/>
              </w:rPr>
            </w:pPr>
            <w:r w:rsidRPr="009077F5">
              <w:rPr>
                <w:sz w:val="24"/>
                <w:szCs w:val="24"/>
              </w:rPr>
              <w:t>1</w:t>
            </w:r>
            <w:r w:rsidRPr="009077F5">
              <w:rPr>
                <w:spacing w:val="1"/>
                <w:sz w:val="24"/>
                <w:szCs w:val="24"/>
              </w:rPr>
              <w:t xml:space="preserve"> </w:t>
            </w:r>
            <w:r w:rsidRPr="009077F5">
              <w:rPr>
                <w:sz w:val="24"/>
                <w:szCs w:val="24"/>
              </w:rPr>
              <w:t>–</w:t>
            </w:r>
            <w:r w:rsidRPr="009077F5">
              <w:rPr>
                <w:spacing w:val="1"/>
                <w:sz w:val="24"/>
                <w:szCs w:val="24"/>
              </w:rPr>
              <w:t xml:space="preserve"> </w:t>
            </w:r>
            <w:r w:rsidRPr="009077F5">
              <w:rPr>
                <w:spacing w:val="-1"/>
                <w:w w:val="99"/>
                <w:sz w:val="24"/>
                <w:szCs w:val="24"/>
              </w:rPr>
              <w:t>1</w:t>
            </w:r>
            <w:r w:rsidRPr="009077F5">
              <w:rPr>
                <w:w w:val="99"/>
                <w:sz w:val="24"/>
                <w:szCs w:val="24"/>
              </w:rPr>
              <w:t>0</w:t>
            </w:r>
          </w:p>
        </w:tc>
        <w:tc>
          <w:tcPr>
            <w:tcW w:w="0" w:type="auto"/>
            <w:vAlign w:val="center"/>
          </w:tcPr>
          <w:p w14:paraId="3116E482" w14:textId="77777777" w:rsidR="00790361" w:rsidRPr="009077F5" w:rsidRDefault="00790361" w:rsidP="00BF4451">
            <w:pPr>
              <w:pStyle w:val="KonuBal"/>
              <w:rPr>
                <w:sz w:val="24"/>
                <w:szCs w:val="24"/>
              </w:rPr>
            </w:pPr>
          </w:p>
        </w:tc>
        <w:tc>
          <w:tcPr>
            <w:tcW w:w="0" w:type="auto"/>
            <w:vAlign w:val="center"/>
          </w:tcPr>
          <w:p w14:paraId="56492E76" w14:textId="77777777" w:rsidR="00790361" w:rsidRPr="009077F5" w:rsidRDefault="00790361" w:rsidP="00BF4451">
            <w:pPr>
              <w:pStyle w:val="KonuBal"/>
              <w:rPr>
                <w:sz w:val="24"/>
                <w:szCs w:val="24"/>
              </w:rPr>
            </w:pPr>
          </w:p>
        </w:tc>
      </w:tr>
      <w:tr w:rsidR="00BA414E" w:rsidRPr="00BF4451" w14:paraId="5F856D43" w14:textId="77777777" w:rsidTr="00DC4A7A">
        <w:trPr>
          <w:trHeight w:val="20"/>
        </w:trPr>
        <w:tc>
          <w:tcPr>
            <w:tcW w:w="0" w:type="auto"/>
            <w:vAlign w:val="center"/>
            <w:hideMark/>
          </w:tcPr>
          <w:p w14:paraId="1514205A" w14:textId="77777777" w:rsidR="00790361" w:rsidRPr="009077F5" w:rsidRDefault="00790361" w:rsidP="004B0D48">
            <w:pPr>
              <w:pStyle w:val="KonuBal"/>
              <w:rPr>
                <w:sz w:val="24"/>
                <w:szCs w:val="24"/>
              </w:rPr>
            </w:pPr>
            <w:r w:rsidRPr="009077F5">
              <w:rPr>
                <w:sz w:val="24"/>
                <w:szCs w:val="24"/>
              </w:rPr>
              <w:t>Cd</w:t>
            </w:r>
          </w:p>
        </w:tc>
        <w:tc>
          <w:tcPr>
            <w:tcW w:w="0" w:type="auto"/>
            <w:vAlign w:val="center"/>
            <w:hideMark/>
          </w:tcPr>
          <w:p w14:paraId="4029DF88" w14:textId="409A9B33" w:rsidR="00790361" w:rsidRPr="009077F5" w:rsidRDefault="00790361" w:rsidP="004B0D48">
            <w:pPr>
              <w:pStyle w:val="KonuBal"/>
              <w:rPr>
                <w:sz w:val="24"/>
                <w:szCs w:val="24"/>
              </w:rPr>
            </w:pPr>
            <w:r w:rsidRPr="009077F5">
              <w:rPr>
                <w:sz w:val="24"/>
                <w:szCs w:val="24"/>
              </w:rPr>
              <w:t>0</w:t>
            </w:r>
            <w:r w:rsidR="00DC4A7A" w:rsidRPr="009077F5">
              <w:rPr>
                <w:sz w:val="24"/>
                <w:szCs w:val="24"/>
              </w:rPr>
              <w:t>,</w:t>
            </w:r>
            <w:r w:rsidRPr="009077F5">
              <w:rPr>
                <w:sz w:val="24"/>
                <w:szCs w:val="24"/>
              </w:rPr>
              <w:t>1</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sz w:val="24"/>
                <w:szCs w:val="24"/>
              </w:rPr>
              <w:t>0</w:t>
            </w:r>
            <w:r w:rsidR="00DC4A7A" w:rsidRPr="009077F5">
              <w:rPr>
                <w:sz w:val="24"/>
                <w:szCs w:val="24"/>
              </w:rPr>
              <w:t>,</w:t>
            </w:r>
            <w:r w:rsidRPr="009077F5">
              <w:rPr>
                <w:sz w:val="24"/>
                <w:szCs w:val="24"/>
              </w:rPr>
              <w:t>2</w:t>
            </w:r>
          </w:p>
        </w:tc>
        <w:tc>
          <w:tcPr>
            <w:tcW w:w="0" w:type="auto"/>
            <w:vAlign w:val="center"/>
          </w:tcPr>
          <w:p w14:paraId="21713F26" w14:textId="77777777" w:rsidR="00790361" w:rsidRPr="009077F5" w:rsidRDefault="00790361" w:rsidP="00E73DA3">
            <w:pPr>
              <w:pStyle w:val="KonuBal"/>
              <w:rPr>
                <w:sz w:val="24"/>
                <w:szCs w:val="24"/>
              </w:rPr>
            </w:pPr>
          </w:p>
        </w:tc>
        <w:tc>
          <w:tcPr>
            <w:tcW w:w="0" w:type="auto"/>
            <w:vAlign w:val="center"/>
          </w:tcPr>
          <w:p w14:paraId="10904703" w14:textId="77777777" w:rsidR="00790361" w:rsidRPr="009077F5" w:rsidRDefault="00790361" w:rsidP="00BF4451">
            <w:pPr>
              <w:pStyle w:val="KonuBal"/>
              <w:rPr>
                <w:sz w:val="24"/>
                <w:szCs w:val="24"/>
              </w:rPr>
            </w:pPr>
          </w:p>
        </w:tc>
        <w:tc>
          <w:tcPr>
            <w:tcW w:w="0" w:type="auto"/>
            <w:vAlign w:val="center"/>
          </w:tcPr>
          <w:p w14:paraId="0A00E608" w14:textId="77777777" w:rsidR="00790361" w:rsidRPr="009077F5" w:rsidRDefault="00790361" w:rsidP="00BF4451">
            <w:pPr>
              <w:pStyle w:val="KonuBal"/>
              <w:rPr>
                <w:sz w:val="24"/>
                <w:szCs w:val="24"/>
              </w:rPr>
            </w:pPr>
          </w:p>
        </w:tc>
      </w:tr>
      <w:tr w:rsidR="00BA414E" w:rsidRPr="00BF4451" w14:paraId="66FBCBE6" w14:textId="77777777" w:rsidTr="00DC4A7A">
        <w:trPr>
          <w:trHeight w:val="20"/>
        </w:trPr>
        <w:tc>
          <w:tcPr>
            <w:tcW w:w="0" w:type="auto"/>
            <w:vAlign w:val="center"/>
            <w:hideMark/>
          </w:tcPr>
          <w:p w14:paraId="1CBD9190" w14:textId="11AA7081" w:rsidR="00790361" w:rsidRPr="009077F5" w:rsidRDefault="00DC4A7A" w:rsidP="004B0D48">
            <w:pPr>
              <w:pStyle w:val="KonuBal"/>
              <w:rPr>
                <w:sz w:val="24"/>
                <w:szCs w:val="24"/>
              </w:rPr>
            </w:pPr>
            <w:r w:rsidRPr="009077F5">
              <w:rPr>
                <w:sz w:val="24"/>
                <w:szCs w:val="24"/>
              </w:rPr>
              <w:t xml:space="preserve">Serbest </w:t>
            </w:r>
            <w:r w:rsidR="00790361" w:rsidRPr="009077F5">
              <w:rPr>
                <w:sz w:val="24"/>
                <w:szCs w:val="24"/>
              </w:rPr>
              <w:t>CN</w:t>
            </w:r>
          </w:p>
        </w:tc>
        <w:tc>
          <w:tcPr>
            <w:tcW w:w="0" w:type="auto"/>
            <w:vAlign w:val="center"/>
          </w:tcPr>
          <w:p w14:paraId="42294E40" w14:textId="35CBA589" w:rsidR="00790361" w:rsidRPr="009077F5" w:rsidRDefault="00790361" w:rsidP="004B0D48">
            <w:pPr>
              <w:pStyle w:val="KonuBal"/>
              <w:rPr>
                <w:sz w:val="24"/>
                <w:szCs w:val="24"/>
              </w:rPr>
            </w:pPr>
            <w:r w:rsidRPr="009077F5">
              <w:rPr>
                <w:sz w:val="24"/>
                <w:szCs w:val="24"/>
              </w:rPr>
              <w:t>0</w:t>
            </w:r>
            <w:r w:rsidR="00DC4A7A" w:rsidRPr="009077F5">
              <w:rPr>
                <w:sz w:val="24"/>
                <w:szCs w:val="24"/>
              </w:rPr>
              <w:t>,</w:t>
            </w:r>
            <w:r w:rsidRPr="009077F5">
              <w:rPr>
                <w:sz w:val="24"/>
                <w:szCs w:val="24"/>
              </w:rPr>
              <w:t>01</w:t>
            </w:r>
            <w:r w:rsidRPr="009077F5">
              <w:rPr>
                <w:spacing w:val="-4"/>
                <w:sz w:val="24"/>
                <w:szCs w:val="24"/>
              </w:rPr>
              <w:t xml:space="preserve"> </w:t>
            </w:r>
            <w:r w:rsidRPr="009077F5">
              <w:rPr>
                <w:sz w:val="24"/>
                <w:szCs w:val="24"/>
              </w:rPr>
              <w:t>– 0</w:t>
            </w:r>
            <w:r w:rsidR="00DC4A7A" w:rsidRPr="009077F5">
              <w:rPr>
                <w:sz w:val="24"/>
                <w:szCs w:val="24"/>
              </w:rPr>
              <w:t>,</w:t>
            </w:r>
            <w:r w:rsidRPr="009077F5">
              <w:rPr>
                <w:sz w:val="24"/>
                <w:szCs w:val="24"/>
              </w:rPr>
              <w:t>2</w:t>
            </w:r>
          </w:p>
        </w:tc>
        <w:tc>
          <w:tcPr>
            <w:tcW w:w="0" w:type="auto"/>
            <w:vAlign w:val="center"/>
          </w:tcPr>
          <w:p w14:paraId="45ABD4A7" w14:textId="77777777" w:rsidR="00790361" w:rsidRPr="009077F5" w:rsidRDefault="00790361" w:rsidP="00E73DA3">
            <w:pPr>
              <w:pStyle w:val="KonuBal"/>
              <w:rPr>
                <w:sz w:val="24"/>
                <w:szCs w:val="24"/>
              </w:rPr>
            </w:pPr>
          </w:p>
        </w:tc>
        <w:tc>
          <w:tcPr>
            <w:tcW w:w="0" w:type="auto"/>
            <w:vAlign w:val="center"/>
          </w:tcPr>
          <w:p w14:paraId="6C09D79E" w14:textId="77777777" w:rsidR="00790361" w:rsidRPr="009077F5" w:rsidRDefault="00790361" w:rsidP="00BF4451">
            <w:pPr>
              <w:pStyle w:val="KonuBal"/>
              <w:rPr>
                <w:sz w:val="24"/>
                <w:szCs w:val="24"/>
              </w:rPr>
            </w:pPr>
          </w:p>
        </w:tc>
        <w:tc>
          <w:tcPr>
            <w:tcW w:w="0" w:type="auto"/>
            <w:vAlign w:val="center"/>
          </w:tcPr>
          <w:p w14:paraId="50A1B724" w14:textId="77777777" w:rsidR="00790361" w:rsidRPr="009077F5" w:rsidRDefault="00790361" w:rsidP="00BF4451">
            <w:pPr>
              <w:pStyle w:val="KonuBal"/>
              <w:rPr>
                <w:sz w:val="24"/>
                <w:szCs w:val="24"/>
              </w:rPr>
            </w:pPr>
          </w:p>
        </w:tc>
      </w:tr>
      <w:tr w:rsidR="00BA414E" w:rsidRPr="00BF4451" w14:paraId="0002456B" w14:textId="77777777" w:rsidTr="00DC4A7A">
        <w:trPr>
          <w:trHeight w:val="20"/>
        </w:trPr>
        <w:tc>
          <w:tcPr>
            <w:tcW w:w="0" w:type="auto"/>
            <w:vAlign w:val="center"/>
            <w:hideMark/>
          </w:tcPr>
          <w:p w14:paraId="64CA1F01" w14:textId="77777777" w:rsidR="00790361" w:rsidRPr="009077F5" w:rsidRDefault="00790361" w:rsidP="004B0D48">
            <w:pPr>
              <w:pStyle w:val="KonuBal"/>
              <w:rPr>
                <w:sz w:val="24"/>
                <w:szCs w:val="24"/>
              </w:rPr>
            </w:pPr>
            <w:r w:rsidRPr="009077F5">
              <w:rPr>
                <w:spacing w:val="-1"/>
                <w:sz w:val="24"/>
                <w:szCs w:val="24"/>
              </w:rPr>
              <w:t>C</w:t>
            </w:r>
            <w:r w:rsidRPr="009077F5">
              <w:rPr>
                <w:sz w:val="24"/>
                <w:szCs w:val="24"/>
              </w:rPr>
              <w:t>r(VI)</w:t>
            </w:r>
          </w:p>
        </w:tc>
        <w:tc>
          <w:tcPr>
            <w:tcW w:w="0" w:type="auto"/>
            <w:vAlign w:val="center"/>
            <w:hideMark/>
          </w:tcPr>
          <w:p w14:paraId="39144B25" w14:textId="5CC5AC6D" w:rsidR="00790361" w:rsidRPr="009077F5" w:rsidRDefault="00790361" w:rsidP="004B0D48">
            <w:pPr>
              <w:pStyle w:val="KonuBal"/>
              <w:rPr>
                <w:sz w:val="24"/>
                <w:szCs w:val="24"/>
              </w:rPr>
            </w:pPr>
            <w:r w:rsidRPr="009077F5">
              <w:rPr>
                <w:sz w:val="24"/>
                <w:szCs w:val="24"/>
              </w:rPr>
              <w:t>0</w:t>
            </w:r>
            <w:r w:rsidR="00DC4A7A" w:rsidRPr="009077F5">
              <w:rPr>
                <w:sz w:val="24"/>
                <w:szCs w:val="24"/>
              </w:rPr>
              <w:t>,</w:t>
            </w:r>
            <w:r w:rsidRPr="009077F5">
              <w:rPr>
                <w:sz w:val="24"/>
                <w:szCs w:val="24"/>
              </w:rPr>
              <w:t>1</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sz w:val="24"/>
                <w:szCs w:val="24"/>
              </w:rPr>
              <w:t>0</w:t>
            </w:r>
            <w:r w:rsidR="00DC4A7A" w:rsidRPr="009077F5">
              <w:rPr>
                <w:sz w:val="24"/>
                <w:szCs w:val="24"/>
              </w:rPr>
              <w:t>,</w:t>
            </w:r>
            <w:r w:rsidRPr="009077F5">
              <w:rPr>
                <w:sz w:val="24"/>
                <w:szCs w:val="24"/>
              </w:rPr>
              <w:t>2</w:t>
            </w:r>
          </w:p>
        </w:tc>
        <w:tc>
          <w:tcPr>
            <w:tcW w:w="0" w:type="auto"/>
            <w:vAlign w:val="center"/>
          </w:tcPr>
          <w:p w14:paraId="5A93A5DA" w14:textId="77777777" w:rsidR="00790361" w:rsidRPr="009077F5" w:rsidRDefault="00790361" w:rsidP="00E73DA3">
            <w:pPr>
              <w:pStyle w:val="KonuBal"/>
              <w:rPr>
                <w:sz w:val="24"/>
                <w:szCs w:val="24"/>
              </w:rPr>
            </w:pPr>
          </w:p>
        </w:tc>
        <w:tc>
          <w:tcPr>
            <w:tcW w:w="0" w:type="auto"/>
            <w:vAlign w:val="center"/>
            <w:hideMark/>
          </w:tcPr>
          <w:p w14:paraId="6D4E8D1C" w14:textId="1AE77A0B" w:rsidR="00790361" w:rsidRPr="009077F5" w:rsidRDefault="00790361" w:rsidP="00BF4451">
            <w:pPr>
              <w:pStyle w:val="KonuBal"/>
              <w:rPr>
                <w:sz w:val="24"/>
                <w:szCs w:val="24"/>
              </w:rPr>
            </w:pPr>
            <w:r w:rsidRPr="009077F5">
              <w:rPr>
                <w:sz w:val="24"/>
                <w:szCs w:val="24"/>
              </w:rPr>
              <w:t>0</w:t>
            </w:r>
            <w:r w:rsidR="00DC4A7A" w:rsidRPr="009077F5">
              <w:rPr>
                <w:sz w:val="24"/>
                <w:szCs w:val="24"/>
              </w:rPr>
              <w:t>,</w:t>
            </w:r>
            <w:r w:rsidRPr="009077F5">
              <w:rPr>
                <w:sz w:val="24"/>
                <w:szCs w:val="24"/>
              </w:rPr>
              <w:t>00</w:t>
            </w:r>
            <w:r w:rsidRPr="009077F5">
              <w:rPr>
                <w:spacing w:val="-1"/>
                <w:sz w:val="24"/>
                <w:szCs w:val="24"/>
              </w:rPr>
              <w:t>0</w:t>
            </w:r>
            <w:r w:rsidRPr="009077F5">
              <w:rPr>
                <w:sz w:val="24"/>
                <w:szCs w:val="24"/>
              </w:rPr>
              <w:t>1</w:t>
            </w:r>
            <w:r w:rsidRPr="009077F5">
              <w:rPr>
                <w:spacing w:val="-3"/>
                <w:sz w:val="24"/>
                <w:szCs w:val="24"/>
              </w:rPr>
              <w:t xml:space="preserve"> </w:t>
            </w:r>
            <w:r w:rsidRPr="009077F5">
              <w:rPr>
                <w:sz w:val="24"/>
                <w:szCs w:val="24"/>
              </w:rPr>
              <w:t>–</w:t>
            </w:r>
            <w:r w:rsidRPr="009077F5">
              <w:rPr>
                <w:spacing w:val="-2"/>
                <w:sz w:val="24"/>
                <w:szCs w:val="24"/>
              </w:rPr>
              <w:t xml:space="preserve"> </w:t>
            </w:r>
            <w:r w:rsidRPr="009077F5">
              <w:rPr>
                <w:sz w:val="24"/>
                <w:szCs w:val="24"/>
              </w:rPr>
              <w:t>0</w:t>
            </w:r>
            <w:r w:rsidR="00DC4A7A" w:rsidRPr="009077F5">
              <w:rPr>
                <w:sz w:val="24"/>
                <w:szCs w:val="24"/>
              </w:rPr>
              <w:t>,</w:t>
            </w:r>
            <w:r w:rsidRPr="009077F5">
              <w:rPr>
                <w:spacing w:val="-1"/>
                <w:sz w:val="24"/>
                <w:szCs w:val="24"/>
              </w:rPr>
              <w:t>0</w:t>
            </w:r>
            <w:r w:rsidRPr="009077F5">
              <w:rPr>
                <w:sz w:val="24"/>
                <w:szCs w:val="24"/>
              </w:rPr>
              <w:t>1</w:t>
            </w:r>
          </w:p>
        </w:tc>
        <w:tc>
          <w:tcPr>
            <w:tcW w:w="0" w:type="auto"/>
            <w:vAlign w:val="center"/>
          </w:tcPr>
          <w:p w14:paraId="7988611B" w14:textId="77777777" w:rsidR="00790361" w:rsidRPr="009077F5" w:rsidRDefault="00790361" w:rsidP="00BF4451">
            <w:pPr>
              <w:pStyle w:val="KonuBal"/>
              <w:rPr>
                <w:sz w:val="24"/>
                <w:szCs w:val="24"/>
              </w:rPr>
            </w:pPr>
          </w:p>
        </w:tc>
      </w:tr>
      <w:tr w:rsidR="00BA414E" w:rsidRPr="00BF4451" w14:paraId="73E21ABE" w14:textId="77777777" w:rsidTr="00DC4A7A">
        <w:trPr>
          <w:trHeight w:val="20"/>
        </w:trPr>
        <w:tc>
          <w:tcPr>
            <w:tcW w:w="0" w:type="auto"/>
            <w:vAlign w:val="center"/>
            <w:hideMark/>
          </w:tcPr>
          <w:p w14:paraId="722DD00B" w14:textId="4904CA5A" w:rsidR="00790361" w:rsidRPr="009077F5" w:rsidRDefault="00DC4A7A" w:rsidP="004B0D48">
            <w:pPr>
              <w:pStyle w:val="KonuBal"/>
              <w:rPr>
                <w:sz w:val="24"/>
                <w:szCs w:val="24"/>
              </w:rPr>
            </w:pPr>
            <w:r w:rsidRPr="009077F5">
              <w:rPr>
                <w:sz w:val="24"/>
                <w:szCs w:val="24"/>
              </w:rPr>
              <w:t>Toplam Cr</w:t>
            </w:r>
          </w:p>
        </w:tc>
        <w:tc>
          <w:tcPr>
            <w:tcW w:w="0" w:type="auto"/>
            <w:vAlign w:val="center"/>
            <w:hideMark/>
          </w:tcPr>
          <w:p w14:paraId="62931C59" w14:textId="19981D0E" w:rsidR="00790361" w:rsidRPr="009077F5" w:rsidRDefault="00790361" w:rsidP="004B0D48">
            <w:pPr>
              <w:pStyle w:val="KonuBal"/>
              <w:rPr>
                <w:sz w:val="24"/>
                <w:szCs w:val="24"/>
              </w:rPr>
            </w:pPr>
            <w:r w:rsidRPr="009077F5">
              <w:rPr>
                <w:sz w:val="24"/>
                <w:szCs w:val="24"/>
              </w:rPr>
              <w:t>0</w:t>
            </w:r>
            <w:r w:rsidR="00BA414E" w:rsidRPr="009077F5">
              <w:rPr>
                <w:sz w:val="24"/>
                <w:szCs w:val="24"/>
              </w:rPr>
              <w:t>,</w:t>
            </w:r>
            <w:r w:rsidRPr="009077F5">
              <w:rPr>
                <w:sz w:val="24"/>
                <w:szCs w:val="24"/>
              </w:rPr>
              <w:t>1</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sz w:val="24"/>
                <w:szCs w:val="24"/>
              </w:rPr>
              <w:t>2</w:t>
            </w:r>
            <w:r w:rsidR="00BA414E" w:rsidRPr="009077F5">
              <w:rPr>
                <w:sz w:val="24"/>
                <w:szCs w:val="24"/>
              </w:rPr>
              <w:t>,</w:t>
            </w:r>
            <w:r w:rsidRPr="009077F5">
              <w:rPr>
                <w:sz w:val="24"/>
                <w:szCs w:val="24"/>
              </w:rPr>
              <w:t>0</w:t>
            </w:r>
          </w:p>
        </w:tc>
        <w:tc>
          <w:tcPr>
            <w:tcW w:w="0" w:type="auto"/>
            <w:vAlign w:val="center"/>
          </w:tcPr>
          <w:p w14:paraId="40B36EC1" w14:textId="77777777" w:rsidR="00790361" w:rsidRPr="009077F5" w:rsidRDefault="00790361" w:rsidP="00E73DA3">
            <w:pPr>
              <w:pStyle w:val="KonuBal"/>
              <w:rPr>
                <w:sz w:val="24"/>
                <w:szCs w:val="24"/>
              </w:rPr>
            </w:pPr>
          </w:p>
        </w:tc>
        <w:tc>
          <w:tcPr>
            <w:tcW w:w="0" w:type="auto"/>
            <w:vAlign w:val="center"/>
            <w:hideMark/>
          </w:tcPr>
          <w:p w14:paraId="3EACB595" w14:textId="0B080B40" w:rsidR="00790361" w:rsidRPr="009077F5" w:rsidRDefault="00790361" w:rsidP="00BF4451">
            <w:pPr>
              <w:pStyle w:val="KonuBal"/>
              <w:rPr>
                <w:sz w:val="24"/>
                <w:szCs w:val="24"/>
              </w:rPr>
            </w:pPr>
            <w:r w:rsidRPr="009077F5">
              <w:rPr>
                <w:sz w:val="24"/>
                <w:szCs w:val="24"/>
              </w:rPr>
              <w:t>0</w:t>
            </w:r>
            <w:r w:rsidR="00BA414E" w:rsidRPr="009077F5">
              <w:rPr>
                <w:sz w:val="24"/>
                <w:szCs w:val="24"/>
              </w:rPr>
              <w:t>,</w:t>
            </w:r>
            <w:r w:rsidRPr="009077F5">
              <w:rPr>
                <w:sz w:val="24"/>
                <w:szCs w:val="24"/>
              </w:rPr>
              <w:t>03</w:t>
            </w:r>
            <w:r w:rsidRPr="009077F5">
              <w:rPr>
                <w:spacing w:val="-4"/>
                <w:sz w:val="24"/>
                <w:szCs w:val="24"/>
              </w:rPr>
              <w:t xml:space="preserve"> </w:t>
            </w:r>
            <w:r w:rsidRPr="009077F5">
              <w:rPr>
                <w:sz w:val="24"/>
                <w:szCs w:val="24"/>
              </w:rPr>
              <w:t>– 1</w:t>
            </w:r>
            <w:r w:rsidR="00BA414E" w:rsidRPr="009077F5">
              <w:rPr>
                <w:spacing w:val="-2"/>
                <w:sz w:val="24"/>
                <w:szCs w:val="24"/>
              </w:rPr>
              <w:t>,</w:t>
            </w:r>
            <w:r w:rsidRPr="009077F5">
              <w:rPr>
                <w:sz w:val="24"/>
                <w:szCs w:val="24"/>
              </w:rPr>
              <w:t>0</w:t>
            </w:r>
          </w:p>
        </w:tc>
        <w:tc>
          <w:tcPr>
            <w:tcW w:w="0" w:type="auto"/>
            <w:vAlign w:val="center"/>
          </w:tcPr>
          <w:p w14:paraId="02BEFC4F" w14:textId="77777777" w:rsidR="00790361" w:rsidRPr="009077F5" w:rsidRDefault="00790361" w:rsidP="00BF4451">
            <w:pPr>
              <w:pStyle w:val="KonuBal"/>
              <w:rPr>
                <w:sz w:val="24"/>
                <w:szCs w:val="24"/>
              </w:rPr>
            </w:pPr>
          </w:p>
        </w:tc>
      </w:tr>
      <w:tr w:rsidR="00BA414E" w:rsidRPr="00BF4451" w14:paraId="5720D258" w14:textId="77777777" w:rsidTr="00DC4A7A">
        <w:trPr>
          <w:trHeight w:val="20"/>
        </w:trPr>
        <w:tc>
          <w:tcPr>
            <w:tcW w:w="0" w:type="auto"/>
            <w:vAlign w:val="center"/>
            <w:hideMark/>
          </w:tcPr>
          <w:p w14:paraId="4428E622" w14:textId="77777777" w:rsidR="00790361" w:rsidRPr="009077F5" w:rsidRDefault="00790361" w:rsidP="004B0D48">
            <w:pPr>
              <w:pStyle w:val="KonuBal"/>
              <w:rPr>
                <w:sz w:val="24"/>
                <w:szCs w:val="24"/>
              </w:rPr>
            </w:pPr>
            <w:r w:rsidRPr="009077F5">
              <w:rPr>
                <w:sz w:val="24"/>
                <w:szCs w:val="24"/>
              </w:rPr>
              <w:t>Cu</w:t>
            </w:r>
          </w:p>
        </w:tc>
        <w:tc>
          <w:tcPr>
            <w:tcW w:w="0" w:type="auto"/>
            <w:vAlign w:val="center"/>
            <w:hideMark/>
          </w:tcPr>
          <w:p w14:paraId="70118189" w14:textId="15B17FC9" w:rsidR="00790361" w:rsidRPr="009077F5" w:rsidRDefault="00790361" w:rsidP="004B0D48">
            <w:pPr>
              <w:pStyle w:val="KonuBal"/>
              <w:rPr>
                <w:sz w:val="24"/>
                <w:szCs w:val="24"/>
              </w:rPr>
            </w:pPr>
            <w:r w:rsidRPr="009077F5">
              <w:rPr>
                <w:sz w:val="24"/>
                <w:szCs w:val="24"/>
              </w:rPr>
              <w:t>0</w:t>
            </w:r>
            <w:r w:rsidR="00BA414E" w:rsidRPr="009077F5">
              <w:rPr>
                <w:sz w:val="24"/>
                <w:szCs w:val="24"/>
              </w:rPr>
              <w:t>,</w:t>
            </w:r>
            <w:r w:rsidRPr="009077F5">
              <w:rPr>
                <w:sz w:val="24"/>
                <w:szCs w:val="24"/>
              </w:rPr>
              <w:t>2</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sz w:val="24"/>
                <w:szCs w:val="24"/>
              </w:rPr>
              <w:t>2</w:t>
            </w:r>
            <w:r w:rsidR="00BA414E" w:rsidRPr="009077F5">
              <w:rPr>
                <w:sz w:val="24"/>
                <w:szCs w:val="24"/>
              </w:rPr>
              <w:t>,</w:t>
            </w:r>
            <w:r w:rsidRPr="009077F5">
              <w:rPr>
                <w:sz w:val="24"/>
                <w:szCs w:val="24"/>
              </w:rPr>
              <w:t>0</w:t>
            </w:r>
          </w:p>
        </w:tc>
        <w:tc>
          <w:tcPr>
            <w:tcW w:w="0" w:type="auto"/>
            <w:vAlign w:val="center"/>
          </w:tcPr>
          <w:p w14:paraId="6AA36724" w14:textId="77777777" w:rsidR="00790361" w:rsidRPr="009077F5" w:rsidRDefault="00790361" w:rsidP="00E73DA3">
            <w:pPr>
              <w:pStyle w:val="KonuBal"/>
              <w:rPr>
                <w:sz w:val="24"/>
                <w:szCs w:val="24"/>
              </w:rPr>
            </w:pPr>
          </w:p>
        </w:tc>
        <w:tc>
          <w:tcPr>
            <w:tcW w:w="0" w:type="auto"/>
            <w:vAlign w:val="center"/>
          </w:tcPr>
          <w:p w14:paraId="19B8D262" w14:textId="77777777" w:rsidR="00790361" w:rsidRPr="009077F5" w:rsidRDefault="00790361" w:rsidP="00BF4451">
            <w:pPr>
              <w:pStyle w:val="KonuBal"/>
              <w:rPr>
                <w:sz w:val="24"/>
                <w:szCs w:val="24"/>
              </w:rPr>
            </w:pPr>
          </w:p>
        </w:tc>
        <w:tc>
          <w:tcPr>
            <w:tcW w:w="0" w:type="auto"/>
            <w:vAlign w:val="center"/>
          </w:tcPr>
          <w:p w14:paraId="626BA835" w14:textId="77777777" w:rsidR="00790361" w:rsidRPr="009077F5" w:rsidRDefault="00790361" w:rsidP="00BF4451">
            <w:pPr>
              <w:pStyle w:val="KonuBal"/>
              <w:rPr>
                <w:sz w:val="24"/>
                <w:szCs w:val="24"/>
              </w:rPr>
            </w:pPr>
          </w:p>
        </w:tc>
      </w:tr>
      <w:tr w:rsidR="00BA414E" w:rsidRPr="00BF4451" w14:paraId="5633A40B" w14:textId="77777777" w:rsidTr="00DC4A7A">
        <w:trPr>
          <w:trHeight w:val="20"/>
        </w:trPr>
        <w:tc>
          <w:tcPr>
            <w:tcW w:w="0" w:type="auto"/>
            <w:vAlign w:val="center"/>
            <w:hideMark/>
          </w:tcPr>
          <w:p w14:paraId="213252B0" w14:textId="77777777" w:rsidR="00790361" w:rsidRPr="009077F5" w:rsidRDefault="00790361" w:rsidP="004B0D48">
            <w:pPr>
              <w:pStyle w:val="KonuBal"/>
              <w:rPr>
                <w:sz w:val="24"/>
                <w:szCs w:val="24"/>
              </w:rPr>
            </w:pPr>
            <w:r w:rsidRPr="009077F5">
              <w:rPr>
                <w:sz w:val="24"/>
                <w:szCs w:val="24"/>
              </w:rPr>
              <w:t>F</w:t>
            </w:r>
          </w:p>
        </w:tc>
        <w:tc>
          <w:tcPr>
            <w:tcW w:w="0" w:type="auto"/>
            <w:vAlign w:val="center"/>
          </w:tcPr>
          <w:p w14:paraId="229ADFD0" w14:textId="77777777" w:rsidR="00790361" w:rsidRPr="009077F5" w:rsidRDefault="00790361" w:rsidP="004B0D48">
            <w:pPr>
              <w:pStyle w:val="KonuBal"/>
              <w:rPr>
                <w:sz w:val="24"/>
                <w:szCs w:val="24"/>
              </w:rPr>
            </w:pPr>
          </w:p>
        </w:tc>
        <w:tc>
          <w:tcPr>
            <w:tcW w:w="0" w:type="auto"/>
            <w:vAlign w:val="center"/>
            <w:hideMark/>
          </w:tcPr>
          <w:p w14:paraId="2A88F90B" w14:textId="77777777" w:rsidR="00790361" w:rsidRPr="009077F5" w:rsidRDefault="00790361" w:rsidP="00E73DA3">
            <w:pPr>
              <w:pStyle w:val="KonuBal"/>
              <w:rPr>
                <w:sz w:val="24"/>
                <w:szCs w:val="24"/>
              </w:rPr>
            </w:pPr>
            <w:r w:rsidRPr="009077F5">
              <w:rPr>
                <w:spacing w:val="1"/>
                <w:sz w:val="24"/>
                <w:szCs w:val="24"/>
              </w:rPr>
              <w:t>1</w:t>
            </w:r>
            <w:r w:rsidRPr="009077F5">
              <w:rPr>
                <w:sz w:val="24"/>
                <w:szCs w:val="24"/>
              </w:rPr>
              <w:t>0 –</w:t>
            </w:r>
            <w:r w:rsidRPr="009077F5">
              <w:rPr>
                <w:spacing w:val="-2"/>
                <w:sz w:val="24"/>
                <w:szCs w:val="24"/>
              </w:rPr>
              <w:t xml:space="preserve"> </w:t>
            </w:r>
            <w:r w:rsidRPr="009077F5">
              <w:rPr>
                <w:spacing w:val="1"/>
                <w:w w:val="99"/>
                <w:sz w:val="24"/>
                <w:szCs w:val="24"/>
              </w:rPr>
              <w:t>20</w:t>
            </w:r>
          </w:p>
        </w:tc>
        <w:tc>
          <w:tcPr>
            <w:tcW w:w="0" w:type="auto"/>
            <w:vAlign w:val="center"/>
          </w:tcPr>
          <w:p w14:paraId="63C6E39A" w14:textId="77777777" w:rsidR="00790361" w:rsidRPr="009077F5" w:rsidRDefault="00790361" w:rsidP="00BF4451">
            <w:pPr>
              <w:pStyle w:val="KonuBal"/>
              <w:rPr>
                <w:sz w:val="24"/>
                <w:szCs w:val="24"/>
              </w:rPr>
            </w:pPr>
          </w:p>
        </w:tc>
        <w:tc>
          <w:tcPr>
            <w:tcW w:w="0" w:type="auto"/>
            <w:vAlign w:val="center"/>
          </w:tcPr>
          <w:p w14:paraId="60166528" w14:textId="77777777" w:rsidR="00790361" w:rsidRPr="009077F5" w:rsidRDefault="00790361" w:rsidP="00BF4451">
            <w:pPr>
              <w:pStyle w:val="KonuBal"/>
              <w:rPr>
                <w:sz w:val="24"/>
                <w:szCs w:val="24"/>
              </w:rPr>
            </w:pPr>
          </w:p>
        </w:tc>
      </w:tr>
      <w:tr w:rsidR="00BA414E" w:rsidRPr="00BF4451" w14:paraId="31AED983" w14:textId="77777777" w:rsidTr="00DC4A7A">
        <w:trPr>
          <w:trHeight w:val="20"/>
        </w:trPr>
        <w:tc>
          <w:tcPr>
            <w:tcW w:w="0" w:type="auto"/>
            <w:vAlign w:val="center"/>
            <w:hideMark/>
          </w:tcPr>
          <w:p w14:paraId="16292525" w14:textId="77777777" w:rsidR="00790361" w:rsidRPr="009077F5" w:rsidRDefault="00790361" w:rsidP="004B0D48">
            <w:pPr>
              <w:pStyle w:val="KonuBal"/>
              <w:rPr>
                <w:sz w:val="24"/>
                <w:szCs w:val="24"/>
              </w:rPr>
            </w:pPr>
            <w:r w:rsidRPr="009077F5">
              <w:rPr>
                <w:sz w:val="24"/>
                <w:szCs w:val="24"/>
              </w:rPr>
              <w:t>Fe</w:t>
            </w:r>
          </w:p>
        </w:tc>
        <w:tc>
          <w:tcPr>
            <w:tcW w:w="0" w:type="auto"/>
            <w:vAlign w:val="center"/>
          </w:tcPr>
          <w:p w14:paraId="4382CC8A" w14:textId="77777777" w:rsidR="00790361" w:rsidRPr="009077F5" w:rsidRDefault="00790361" w:rsidP="004B0D48">
            <w:pPr>
              <w:pStyle w:val="KonuBal"/>
              <w:rPr>
                <w:sz w:val="24"/>
                <w:szCs w:val="24"/>
              </w:rPr>
            </w:pPr>
          </w:p>
        </w:tc>
        <w:tc>
          <w:tcPr>
            <w:tcW w:w="0" w:type="auto"/>
            <w:vAlign w:val="center"/>
            <w:hideMark/>
          </w:tcPr>
          <w:p w14:paraId="0BEDAAA5" w14:textId="10652DF8" w:rsidR="00790361" w:rsidRPr="009077F5" w:rsidRDefault="00790361" w:rsidP="00E73DA3">
            <w:pPr>
              <w:pStyle w:val="KonuBal"/>
              <w:rPr>
                <w:sz w:val="24"/>
                <w:szCs w:val="24"/>
              </w:rPr>
            </w:pPr>
            <w:r w:rsidRPr="009077F5">
              <w:rPr>
                <w:spacing w:val="1"/>
                <w:sz w:val="24"/>
                <w:szCs w:val="24"/>
              </w:rPr>
              <w:t>0</w:t>
            </w:r>
            <w:r w:rsidR="00BA414E" w:rsidRPr="009077F5">
              <w:rPr>
                <w:spacing w:val="1"/>
                <w:sz w:val="24"/>
                <w:szCs w:val="24"/>
              </w:rPr>
              <w:t>,</w:t>
            </w:r>
            <w:r w:rsidRPr="009077F5">
              <w:rPr>
                <w:sz w:val="24"/>
                <w:szCs w:val="24"/>
              </w:rPr>
              <w:t>1</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w w:val="99"/>
                <w:sz w:val="24"/>
                <w:szCs w:val="24"/>
              </w:rPr>
              <w:t>5</w:t>
            </w:r>
          </w:p>
        </w:tc>
        <w:tc>
          <w:tcPr>
            <w:tcW w:w="0" w:type="auto"/>
            <w:vAlign w:val="center"/>
            <w:hideMark/>
          </w:tcPr>
          <w:p w14:paraId="37B82D9F" w14:textId="77777777" w:rsidR="00790361" w:rsidRPr="009077F5" w:rsidRDefault="00790361" w:rsidP="00BF4451">
            <w:pPr>
              <w:pStyle w:val="KonuBal"/>
              <w:rPr>
                <w:sz w:val="24"/>
                <w:szCs w:val="24"/>
              </w:rPr>
            </w:pPr>
            <w:r w:rsidRPr="009077F5">
              <w:rPr>
                <w:sz w:val="24"/>
                <w:szCs w:val="24"/>
              </w:rPr>
              <w:t>2</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spacing w:val="1"/>
                <w:w w:val="99"/>
                <w:sz w:val="24"/>
                <w:szCs w:val="24"/>
              </w:rPr>
              <w:t>10</w:t>
            </w:r>
          </w:p>
        </w:tc>
        <w:tc>
          <w:tcPr>
            <w:tcW w:w="0" w:type="auto"/>
            <w:vAlign w:val="center"/>
          </w:tcPr>
          <w:p w14:paraId="2FBAF0A6" w14:textId="77777777" w:rsidR="00790361" w:rsidRPr="009077F5" w:rsidRDefault="00790361" w:rsidP="00BF4451">
            <w:pPr>
              <w:pStyle w:val="KonuBal"/>
              <w:rPr>
                <w:sz w:val="24"/>
                <w:szCs w:val="24"/>
              </w:rPr>
            </w:pPr>
          </w:p>
        </w:tc>
      </w:tr>
      <w:tr w:rsidR="00BA414E" w:rsidRPr="00BF4451" w14:paraId="09605393" w14:textId="77777777" w:rsidTr="00DC4A7A">
        <w:trPr>
          <w:trHeight w:val="20"/>
        </w:trPr>
        <w:tc>
          <w:tcPr>
            <w:tcW w:w="0" w:type="auto"/>
            <w:vAlign w:val="center"/>
            <w:hideMark/>
          </w:tcPr>
          <w:p w14:paraId="1BDB3BD3" w14:textId="77777777" w:rsidR="00790361" w:rsidRPr="009077F5" w:rsidRDefault="00790361" w:rsidP="004B0D48">
            <w:pPr>
              <w:pStyle w:val="KonuBal"/>
              <w:rPr>
                <w:sz w:val="24"/>
                <w:szCs w:val="24"/>
              </w:rPr>
            </w:pPr>
            <w:r w:rsidRPr="009077F5">
              <w:rPr>
                <w:sz w:val="24"/>
                <w:szCs w:val="24"/>
              </w:rPr>
              <w:t>Ni</w:t>
            </w:r>
          </w:p>
        </w:tc>
        <w:tc>
          <w:tcPr>
            <w:tcW w:w="0" w:type="auto"/>
            <w:vAlign w:val="center"/>
            <w:hideMark/>
          </w:tcPr>
          <w:p w14:paraId="4492E133" w14:textId="6B15DABD" w:rsidR="00790361" w:rsidRPr="009077F5" w:rsidRDefault="00790361" w:rsidP="004B0D48">
            <w:pPr>
              <w:pStyle w:val="KonuBal"/>
              <w:rPr>
                <w:sz w:val="24"/>
                <w:szCs w:val="24"/>
              </w:rPr>
            </w:pPr>
            <w:r w:rsidRPr="009077F5">
              <w:rPr>
                <w:sz w:val="24"/>
                <w:szCs w:val="24"/>
              </w:rPr>
              <w:t>0</w:t>
            </w:r>
            <w:r w:rsidR="00BA414E" w:rsidRPr="009077F5">
              <w:rPr>
                <w:sz w:val="24"/>
                <w:szCs w:val="24"/>
              </w:rPr>
              <w:t>,</w:t>
            </w:r>
            <w:r w:rsidRPr="009077F5">
              <w:rPr>
                <w:sz w:val="24"/>
                <w:szCs w:val="24"/>
              </w:rPr>
              <w:t>2</w:t>
            </w:r>
            <w:r w:rsidRPr="009077F5">
              <w:rPr>
                <w:spacing w:val="-1"/>
                <w:sz w:val="24"/>
                <w:szCs w:val="24"/>
              </w:rPr>
              <w:t xml:space="preserve"> </w:t>
            </w:r>
            <w:r w:rsidR="00BA414E" w:rsidRPr="009077F5">
              <w:rPr>
                <w:sz w:val="24"/>
                <w:szCs w:val="24"/>
              </w:rPr>
              <w:t>–</w:t>
            </w:r>
            <w:r w:rsidRPr="009077F5">
              <w:rPr>
                <w:spacing w:val="-2"/>
                <w:sz w:val="24"/>
                <w:szCs w:val="24"/>
              </w:rPr>
              <w:t xml:space="preserve"> </w:t>
            </w:r>
            <w:r w:rsidRPr="009077F5">
              <w:rPr>
                <w:sz w:val="24"/>
                <w:szCs w:val="24"/>
              </w:rPr>
              <w:t>2</w:t>
            </w:r>
            <w:r w:rsidR="00BA414E" w:rsidRPr="009077F5">
              <w:rPr>
                <w:sz w:val="24"/>
                <w:szCs w:val="24"/>
              </w:rPr>
              <w:t>,</w:t>
            </w:r>
            <w:r w:rsidRPr="009077F5">
              <w:rPr>
                <w:sz w:val="24"/>
                <w:szCs w:val="24"/>
              </w:rPr>
              <w:t>0</w:t>
            </w:r>
          </w:p>
        </w:tc>
        <w:tc>
          <w:tcPr>
            <w:tcW w:w="0" w:type="auto"/>
            <w:vAlign w:val="center"/>
          </w:tcPr>
          <w:p w14:paraId="51D6294F" w14:textId="77777777" w:rsidR="00790361" w:rsidRPr="009077F5" w:rsidRDefault="00790361" w:rsidP="00E73DA3">
            <w:pPr>
              <w:pStyle w:val="KonuBal"/>
              <w:rPr>
                <w:sz w:val="24"/>
                <w:szCs w:val="24"/>
              </w:rPr>
            </w:pPr>
          </w:p>
        </w:tc>
        <w:tc>
          <w:tcPr>
            <w:tcW w:w="0" w:type="auto"/>
            <w:vAlign w:val="center"/>
          </w:tcPr>
          <w:p w14:paraId="1FFB95FD" w14:textId="77777777" w:rsidR="00790361" w:rsidRPr="009077F5" w:rsidRDefault="00790361" w:rsidP="00BF4451">
            <w:pPr>
              <w:pStyle w:val="KonuBal"/>
              <w:rPr>
                <w:sz w:val="24"/>
                <w:szCs w:val="24"/>
              </w:rPr>
            </w:pPr>
          </w:p>
        </w:tc>
        <w:tc>
          <w:tcPr>
            <w:tcW w:w="0" w:type="auto"/>
            <w:vAlign w:val="center"/>
          </w:tcPr>
          <w:p w14:paraId="11B5E008" w14:textId="77777777" w:rsidR="00790361" w:rsidRPr="009077F5" w:rsidRDefault="00790361" w:rsidP="00BF4451">
            <w:pPr>
              <w:pStyle w:val="KonuBal"/>
              <w:rPr>
                <w:sz w:val="24"/>
                <w:szCs w:val="24"/>
              </w:rPr>
            </w:pPr>
          </w:p>
        </w:tc>
      </w:tr>
      <w:tr w:rsidR="00BA414E" w:rsidRPr="00BF4451" w14:paraId="525513E9" w14:textId="77777777" w:rsidTr="00DC4A7A">
        <w:trPr>
          <w:trHeight w:val="20"/>
        </w:trPr>
        <w:tc>
          <w:tcPr>
            <w:tcW w:w="0" w:type="auto"/>
            <w:vAlign w:val="center"/>
            <w:hideMark/>
          </w:tcPr>
          <w:p w14:paraId="4F72D883" w14:textId="77777777" w:rsidR="00790361" w:rsidRPr="009077F5" w:rsidRDefault="00790361" w:rsidP="004B0D48">
            <w:pPr>
              <w:pStyle w:val="KonuBal"/>
              <w:rPr>
                <w:sz w:val="24"/>
                <w:szCs w:val="24"/>
              </w:rPr>
            </w:pPr>
            <w:r w:rsidRPr="009077F5">
              <w:rPr>
                <w:sz w:val="24"/>
                <w:szCs w:val="24"/>
              </w:rPr>
              <w:t>P olarak fosfat</w:t>
            </w:r>
          </w:p>
        </w:tc>
        <w:tc>
          <w:tcPr>
            <w:tcW w:w="0" w:type="auto"/>
            <w:vAlign w:val="center"/>
          </w:tcPr>
          <w:p w14:paraId="03E8F694" w14:textId="77777777" w:rsidR="00790361" w:rsidRPr="009077F5" w:rsidRDefault="00790361" w:rsidP="004B0D48">
            <w:pPr>
              <w:pStyle w:val="KonuBal"/>
              <w:rPr>
                <w:sz w:val="24"/>
                <w:szCs w:val="24"/>
              </w:rPr>
            </w:pPr>
          </w:p>
        </w:tc>
        <w:tc>
          <w:tcPr>
            <w:tcW w:w="0" w:type="auto"/>
            <w:vAlign w:val="center"/>
          </w:tcPr>
          <w:p w14:paraId="401343A6" w14:textId="77777777" w:rsidR="00790361" w:rsidRPr="009077F5" w:rsidRDefault="00790361" w:rsidP="00E73DA3">
            <w:pPr>
              <w:pStyle w:val="KonuBal"/>
              <w:rPr>
                <w:sz w:val="24"/>
                <w:szCs w:val="24"/>
              </w:rPr>
            </w:pPr>
            <w:r w:rsidRPr="009077F5">
              <w:rPr>
                <w:sz w:val="24"/>
                <w:szCs w:val="24"/>
              </w:rPr>
              <w:t>0.5</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w w:val="99"/>
                <w:sz w:val="24"/>
                <w:szCs w:val="24"/>
              </w:rPr>
              <w:t>10</w:t>
            </w:r>
          </w:p>
        </w:tc>
        <w:tc>
          <w:tcPr>
            <w:tcW w:w="0" w:type="auto"/>
            <w:vAlign w:val="center"/>
          </w:tcPr>
          <w:p w14:paraId="3E171544" w14:textId="77777777" w:rsidR="00790361" w:rsidRPr="009077F5" w:rsidRDefault="00790361" w:rsidP="00BF4451">
            <w:pPr>
              <w:pStyle w:val="KonuBal"/>
              <w:rPr>
                <w:sz w:val="24"/>
                <w:szCs w:val="24"/>
              </w:rPr>
            </w:pPr>
          </w:p>
        </w:tc>
        <w:tc>
          <w:tcPr>
            <w:tcW w:w="0" w:type="auto"/>
            <w:vAlign w:val="center"/>
          </w:tcPr>
          <w:p w14:paraId="1697A301" w14:textId="77777777" w:rsidR="00790361" w:rsidRPr="009077F5" w:rsidRDefault="00790361" w:rsidP="00BF4451">
            <w:pPr>
              <w:pStyle w:val="KonuBal"/>
              <w:rPr>
                <w:sz w:val="24"/>
                <w:szCs w:val="24"/>
              </w:rPr>
            </w:pPr>
          </w:p>
        </w:tc>
      </w:tr>
      <w:tr w:rsidR="00BA414E" w:rsidRPr="00BF4451" w14:paraId="1DD62394" w14:textId="77777777" w:rsidTr="00DC4A7A">
        <w:trPr>
          <w:trHeight w:val="20"/>
        </w:trPr>
        <w:tc>
          <w:tcPr>
            <w:tcW w:w="0" w:type="auto"/>
            <w:vAlign w:val="center"/>
            <w:hideMark/>
          </w:tcPr>
          <w:p w14:paraId="24E9B47A" w14:textId="77777777" w:rsidR="00790361" w:rsidRPr="009077F5" w:rsidRDefault="00790361" w:rsidP="004B0D48">
            <w:pPr>
              <w:pStyle w:val="KonuBal"/>
              <w:rPr>
                <w:sz w:val="24"/>
                <w:szCs w:val="24"/>
              </w:rPr>
            </w:pPr>
            <w:r w:rsidRPr="009077F5">
              <w:rPr>
                <w:sz w:val="24"/>
                <w:szCs w:val="24"/>
              </w:rPr>
              <w:t>Pb</w:t>
            </w:r>
          </w:p>
        </w:tc>
        <w:tc>
          <w:tcPr>
            <w:tcW w:w="0" w:type="auto"/>
            <w:vAlign w:val="center"/>
            <w:hideMark/>
          </w:tcPr>
          <w:p w14:paraId="34BD7633" w14:textId="69500400" w:rsidR="00790361" w:rsidRPr="009077F5" w:rsidRDefault="00790361" w:rsidP="004B0D48">
            <w:pPr>
              <w:pStyle w:val="KonuBal"/>
              <w:rPr>
                <w:sz w:val="24"/>
                <w:szCs w:val="24"/>
              </w:rPr>
            </w:pPr>
            <w:r w:rsidRPr="009077F5">
              <w:rPr>
                <w:sz w:val="24"/>
                <w:szCs w:val="24"/>
              </w:rPr>
              <w:t>0</w:t>
            </w:r>
            <w:r w:rsidR="00BA414E" w:rsidRPr="009077F5">
              <w:rPr>
                <w:sz w:val="24"/>
                <w:szCs w:val="24"/>
              </w:rPr>
              <w:t>,</w:t>
            </w:r>
            <w:r w:rsidRPr="009077F5">
              <w:rPr>
                <w:sz w:val="24"/>
                <w:szCs w:val="24"/>
              </w:rPr>
              <w:t>05</w:t>
            </w:r>
            <w:r w:rsidRPr="009077F5">
              <w:rPr>
                <w:spacing w:val="-2"/>
                <w:sz w:val="24"/>
                <w:szCs w:val="24"/>
              </w:rPr>
              <w:t xml:space="preserve"> </w:t>
            </w:r>
            <w:r w:rsidR="00BA414E" w:rsidRPr="009077F5">
              <w:rPr>
                <w:sz w:val="24"/>
                <w:szCs w:val="24"/>
              </w:rPr>
              <w:t>–</w:t>
            </w:r>
            <w:r w:rsidRPr="009077F5">
              <w:rPr>
                <w:spacing w:val="-2"/>
                <w:sz w:val="24"/>
                <w:szCs w:val="24"/>
              </w:rPr>
              <w:t xml:space="preserve"> </w:t>
            </w:r>
            <w:r w:rsidRPr="009077F5">
              <w:rPr>
                <w:sz w:val="24"/>
                <w:szCs w:val="24"/>
              </w:rPr>
              <w:t>0</w:t>
            </w:r>
            <w:r w:rsidR="00BA414E" w:rsidRPr="009077F5">
              <w:rPr>
                <w:spacing w:val="-2"/>
                <w:sz w:val="24"/>
                <w:szCs w:val="24"/>
              </w:rPr>
              <w:t>,</w:t>
            </w:r>
            <w:r w:rsidRPr="009077F5">
              <w:rPr>
                <w:sz w:val="24"/>
                <w:szCs w:val="24"/>
              </w:rPr>
              <w:t>5</w:t>
            </w:r>
          </w:p>
        </w:tc>
        <w:tc>
          <w:tcPr>
            <w:tcW w:w="0" w:type="auto"/>
            <w:vAlign w:val="center"/>
          </w:tcPr>
          <w:p w14:paraId="636C601C" w14:textId="77777777" w:rsidR="00790361" w:rsidRPr="009077F5" w:rsidRDefault="00790361" w:rsidP="00E73DA3">
            <w:pPr>
              <w:pStyle w:val="KonuBal"/>
              <w:rPr>
                <w:sz w:val="24"/>
                <w:szCs w:val="24"/>
              </w:rPr>
            </w:pPr>
          </w:p>
        </w:tc>
        <w:tc>
          <w:tcPr>
            <w:tcW w:w="0" w:type="auto"/>
            <w:vAlign w:val="center"/>
          </w:tcPr>
          <w:p w14:paraId="4FB00D5A" w14:textId="77777777" w:rsidR="00790361" w:rsidRPr="009077F5" w:rsidRDefault="00790361" w:rsidP="00BF4451">
            <w:pPr>
              <w:pStyle w:val="KonuBal"/>
              <w:rPr>
                <w:sz w:val="24"/>
                <w:szCs w:val="24"/>
              </w:rPr>
            </w:pPr>
          </w:p>
        </w:tc>
        <w:tc>
          <w:tcPr>
            <w:tcW w:w="0" w:type="auto"/>
            <w:vAlign w:val="center"/>
          </w:tcPr>
          <w:p w14:paraId="2FFD2737" w14:textId="77777777" w:rsidR="00790361" w:rsidRPr="009077F5" w:rsidRDefault="00790361" w:rsidP="00BF4451">
            <w:pPr>
              <w:pStyle w:val="KonuBal"/>
              <w:rPr>
                <w:sz w:val="24"/>
                <w:szCs w:val="24"/>
              </w:rPr>
            </w:pPr>
          </w:p>
        </w:tc>
      </w:tr>
      <w:tr w:rsidR="00BA414E" w:rsidRPr="00BF4451" w14:paraId="3E572E58" w14:textId="77777777" w:rsidTr="00DC4A7A">
        <w:trPr>
          <w:trHeight w:val="20"/>
        </w:trPr>
        <w:tc>
          <w:tcPr>
            <w:tcW w:w="0" w:type="auto"/>
            <w:vAlign w:val="center"/>
            <w:hideMark/>
          </w:tcPr>
          <w:p w14:paraId="3B1F99E4" w14:textId="77777777" w:rsidR="00790361" w:rsidRPr="009077F5" w:rsidRDefault="00790361" w:rsidP="004B0D48">
            <w:pPr>
              <w:pStyle w:val="KonuBal"/>
              <w:rPr>
                <w:sz w:val="24"/>
                <w:szCs w:val="24"/>
              </w:rPr>
            </w:pPr>
            <w:r w:rsidRPr="009077F5">
              <w:rPr>
                <w:sz w:val="24"/>
                <w:szCs w:val="24"/>
              </w:rPr>
              <w:t>Sn</w:t>
            </w:r>
          </w:p>
        </w:tc>
        <w:tc>
          <w:tcPr>
            <w:tcW w:w="0" w:type="auto"/>
            <w:vAlign w:val="center"/>
            <w:hideMark/>
          </w:tcPr>
          <w:p w14:paraId="465F915A" w14:textId="3C20766D" w:rsidR="00790361" w:rsidRPr="009077F5" w:rsidRDefault="00790361" w:rsidP="004B0D48">
            <w:pPr>
              <w:pStyle w:val="KonuBal"/>
              <w:rPr>
                <w:sz w:val="24"/>
                <w:szCs w:val="24"/>
              </w:rPr>
            </w:pPr>
            <w:r w:rsidRPr="009077F5">
              <w:rPr>
                <w:spacing w:val="1"/>
                <w:sz w:val="24"/>
                <w:szCs w:val="24"/>
              </w:rPr>
              <w:t>0</w:t>
            </w:r>
            <w:r w:rsidR="00BA414E" w:rsidRPr="009077F5">
              <w:rPr>
                <w:spacing w:val="1"/>
                <w:sz w:val="24"/>
                <w:szCs w:val="24"/>
              </w:rPr>
              <w:t>,</w:t>
            </w:r>
            <w:r w:rsidRPr="009077F5">
              <w:rPr>
                <w:sz w:val="24"/>
                <w:szCs w:val="24"/>
              </w:rPr>
              <w:t>2</w:t>
            </w:r>
            <w:r w:rsidRPr="009077F5">
              <w:rPr>
                <w:spacing w:val="-1"/>
                <w:sz w:val="24"/>
                <w:szCs w:val="24"/>
              </w:rPr>
              <w:t xml:space="preserve"> </w:t>
            </w:r>
            <w:r w:rsidR="007B7467">
              <w:rPr>
                <w:sz w:val="24"/>
                <w:szCs w:val="24"/>
              </w:rPr>
              <w:t>–</w:t>
            </w:r>
            <w:r w:rsidRPr="009077F5">
              <w:rPr>
                <w:spacing w:val="-2"/>
                <w:sz w:val="24"/>
                <w:szCs w:val="24"/>
              </w:rPr>
              <w:t xml:space="preserve"> </w:t>
            </w:r>
            <w:r w:rsidR="00BA414E" w:rsidRPr="009077F5">
              <w:rPr>
                <w:w w:val="99"/>
                <w:sz w:val="24"/>
                <w:szCs w:val="24"/>
              </w:rPr>
              <w:t>2</w:t>
            </w:r>
          </w:p>
        </w:tc>
        <w:tc>
          <w:tcPr>
            <w:tcW w:w="0" w:type="auto"/>
            <w:vAlign w:val="center"/>
          </w:tcPr>
          <w:p w14:paraId="5B57F526" w14:textId="77777777" w:rsidR="00790361" w:rsidRPr="009077F5" w:rsidRDefault="00790361" w:rsidP="00E73DA3">
            <w:pPr>
              <w:pStyle w:val="KonuBal"/>
              <w:rPr>
                <w:sz w:val="24"/>
                <w:szCs w:val="24"/>
              </w:rPr>
            </w:pPr>
          </w:p>
        </w:tc>
        <w:tc>
          <w:tcPr>
            <w:tcW w:w="0" w:type="auto"/>
            <w:vAlign w:val="center"/>
            <w:hideMark/>
          </w:tcPr>
          <w:p w14:paraId="58648945" w14:textId="77EDFBAA" w:rsidR="00790361" w:rsidRPr="009077F5" w:rsidRDefault="00BA414E" w:rsidP="00BF4451">
            <w:pPr>
              <w:pStyle w:val="KonuBal"/>
              <w:rPr>
                <w:sz w:val="24"/>
                <w:szCs w:val="24"/>
              </w:rPr>
            </w:pPr>
            <w:r w:rsidRPr="009077F5">
              <w:rPr>
                <w:sz w:val="24"/>
                <w:szCs w:val="24"/>
              </w:rPr>
              <w:t>0,03</w:t>
            </w:r>
            <w:r w:rsidRPr="009077F5">
              <w:rPr>
                <w:spacing w:val="-4"/>
                <w:sz w:val="24"/>
                <w:szCs w:val="24"/>
              </w:rPr>
              <w:t xml:space="preserve"> </w:t>
            </w:r>
            <w:r w:rsidRPr="009077F5">
              <w:rPr>
                <w:sz w:val="24"/>
                <w:szCs w:val="24"/>
              </w:rPr>
              <w:t>– 1</w:t>
            </w:r>
            <w:r w:rsidRPr="009077F5">
              <w:rPr>
                <w:spacing w:val="-2"/>
                <w:sz w:val="24"/>
                <w:szCs w:val="24"/>
              </w:rPr>
              <w:t>,</w:t>
            </w:r>
            <w:r w:rsidRPr="009077F5">
              <w:rPr>
                <w:sz w:val="24"/>
                <w:szCs w:val="24"/>
              </w:rPr>
              <w:t>0</w:t>
            </w:r>
          </w:p>
        </w:tc>
        <w:tc>
          <w:tcPr>
            <w:tcW w:w="0" w:type="auto"/>
            <w:vAlign w:val="center"/>
          </w:tcPr>
          <w:p w14:paraId="23F30D6F" w14:textId="77777777" w:rsidR="00790361" w:rsidRPr="009077F5" w:rsidRDefault="00790361" w:rsidP="00BF4451">
            <w:pPr>
              <w:pStyle w:val="KonuBal"/>
              <w:rPr>
                <w:sz w:val="24"/>
                <w:szCs w:val="24"/>
              </w:rPr>
            </w:pPr>
          </w:p>
        </w:tc>
      </w:tr>
      <w:tr w:rsidR="00BA414E" w:rsidRPr="00BF4451" w14:paraId="6241752E" w14:textId="77777777" w:rsidTr="00DC4A7A">
        <w:trPr>
          <w:trHeight w:val="20"/>
        </w:trPr>
        <w:tc>
          <w:tcPr>
            <w:tcW w:w="0" w:type="auto"/>
            <w:vAlign w:val="center"/>
            <w:hideMark/>
          </w:tcPr>
          <w:p w14:paraId="3199C9B3" w14:textId="77777777" w:rsidR="00790361" w:rsidRPr="009077F5" w:rsidRDefault="00790361" w:rsidP="004B0D48">
            <w:pPr>
              <w:pStyle w:val="KonuBal"/>
              <w:rPr>
                <w:sz w:val="24"/>
                <w:szCs w:val="24"/>
              </w:rPr>
            </w:pPr>
            <w:r w:rsidRPr="009077F5">
              <w:rPr>
                <w:sz w:val="24"/>
                <w:szCs w:val="24"/>
              </w:rPr>
              <w:t>Zn</w:t>
            </w:r>
          </w:p>
        </w:tc>
        <w:tc>
          <w:tcPr>
            <w:tcW w:w="0" w:type="auto"/>
            <w:vAlign w:val="center"/>
            <w:hideMark/>
          </w:tcPr>
          <w:p w14:paraId="73DBA8CC" w14:textId="406CC7DC" w:rsidR="00790361" w:rsidRPr="009077F5" w:rsidRDefault="00BA414E" w:rsidP="004B0D48">
            <w:pPr>
              <w:pStyle w:val="KonuBal"/>
              <w:rPr>
                <w:sz w:val="24"/>
                <w:szCs w:val="24"/>
              </w:rPr>
            </w:pPr>
            <w:r w:rsidRPr="009077F5">
              <w:rPr>
                <w:sz w:val="24"/>
                <w:szCs w:val="24"/>
              </w:rPr>
              <w:t>0,2</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sz w:val="24"/>
                <w:szCs w:val="24"/>
              </w:rPr>
              <w:t>2,0</w:t>
            </w:r>
          </w:p>
        </w:tc>
        <w:tc>
          <w:tcPr>
            <w:tcW w:w="0" w:type="auto"/>
            <w:vAlign w:val="center"/>
          </w:tcPr>
          <w:p w14:paraId="4CE792F8" w14:textId="77777777" w:rsidR="00790361" w:rsidRPr="009077F5" w:rsidRDefault="00790361" w:rsidP="00E73DA3">
            <w:pPr>
              <w:pStyle w:val="KonuBal"/>
              <w:rPr>
                <w:sz w:val="24"/>
                <w:szCs w:val="24"/>
              </w:rPr>
            </w:pPr>
          </w:p>
        </w:tc>
        <w:tc>
          <w:tcPr>
            <w:tcW w:w="0" w:type="auto"/>
            <w:vAlign w:val="center"/>
            <w:hideMark/>
          </w:tcPr>
          <w:p w14:paraId="6AFE0D7B" w14:textId="22EAFF38" w:rsidR="00790361" w:rsidRPr="009077F5" w:rsidRDefault="00790361" w:rsidP="00BF4451">
            <w:pPr>
              <w:pStyle w:val="KonuBal"/>
              <w:rPr>
                <w:sz w:val="24"/>
                <w:szCs w:val="24"/>
              </w:rPr>
            </w:pPr>
            <w:r w:rsidRPr="009077F5">
              <w:rPr>
                <w:sz w:val="24"/>
                <w:szCs w:val="24"/>
              </w:rPr>
              <w:t>0</w:t>
            </w:r>
            <w:r w:rsidR="00BA414E" w:rsidRPr="009077F5">
              <w:rPr>
                <w:sz w:val="24"/>
                <w:szCs w:val="24"/>
              </w:rPr>
              <w:t>,</w:t>
            </w:r>
            <w:r w:rsidRPr="009077F5">
              <w:rPr>
                <w:sz w:val="24"/>
                <w:szCs w:val="24"/>
              </w:rPr>
              <w:t>02</w:t>
            </w:r>
            <w:r w:rsidRPr="009077F5">
              <w:rPr>
                <w:spacing w:val="-2"/>
                <w:sz w:val="24"/>
                <w:szCs w:val="24"/>
              </w:rPr>
              <w:t xml:space="preserve"> </w:t>
            </w:r>
            <w:r w:rsidR="00BA414E" w:rsidRPr="009077F5">
              <w:rPr>
                <w:sz w:val="24"/>
                <w:szCs w:val="24"/>
              </w:rPr>
              <w:t>–</w:t>
            </w:r>
            <w:r w:rsidRPr="009077F5">
              <w:rPr>
                <w:spacing w:val="-2"/>
                <w:sz w:val="24"/>
                <w:szCs w:val="24"/>
              </w:rPr>
              <w:t xml:space="preserve"> </w:t>
            </w:r>
            <w:r w:rsidRPr="009077F5">
              <w:rPr>
                <w:sz w:val="24"/>
                <w:szCs w:val="24"/>
              </w:rPr>
              <w:t>0</w:t>
            </w:r>
            <w:r w:rsidR="00BA414E" w:rsidRPr="009077F5">
              <w:rPr>
                <w:spacing w:val="-2"/>
                <w:sz w:val="24"/>
                <w:szCs w:val="24"/>
              </w:rPr>
              <w:t>,</w:t>
            </w:r>
            <w:r w:rsidRPr="009077F5">
              <w:rPr>
                <w:sz w:val="24"/>
                <w:szCs w:val="24"/>
              </w:rPr>
              <w:t>2</w:t>
            </w:r>
          </w:p>
        </w:tc>
        <w:tc>
          <w:tcPr>
            <w:tcW w:w="0" w:type="auto"/>
            <w:vAlign w:val="center"/>
            <w:hideMark/>
          </w:tcPr>
          <w:p w14:paraId="2F581C46" w14:textId="1B033848" w:rsidR="00790361" w:rsidRPr="009077F5" w:rsidRDefault="00790361" w:rsidP="00BF4451">
            <w:pPr>
              <w:pStyle w:val="KonuBal"/>
              <w:rPr>
                <w:sz w:val="24"/>
                <w:szCs w:val="24"/>
              </w:rPr>
            </w:pPr>
            <w:r w:rsidRPr="009077F5">
              <w:rPr>
                <w:sz w:val="24"/>
                <w:szCs w:val="24"/>
              </w:rPr>
              <w:t>0</w:t>
            </w:r>
            <w:r w:rsidR="00BA414E" w:rsidRPr="009077F5">
              <w:rPr>
                <w:sz w:val="24"/>
                <w:szCs w:val="24"/>
              </w:rPr>
              <w:t>,</w:t>
            </w:r>
            <w:r w:rsidRPr="009077F5">
              <w:rPr>
                <w:sz w:val="24"/>
                <w:szCs w:val="24"/>
              </w:rPr>
              <w:t>2</w:t>
            </w:r>
            <w:r w:rsidRPr="009077F5">
              <w:rPr>
                <w:spacing w:val="-1"/>
                <w:sz w:val="24"/>
                <w:szCs w:val="24"/>
              </w:rPr>
              <w:t xml:space="preserve"> </w:t>
            </w:r>
            <w:r w:rsidR="00BA414E" w:rsidRPr="009077F5">
              <w:rPr>
                <w:sz w:val="24"/>
                <w:szCs w:val="24"/>
              </w:rPr>
              <w:t>-</w:t>
            </w:r>
            <w:r w:rsidRPr="009077F5">
              <w:rPr>
                <w:spacing w:val="-2"/>
                <w:sz w:val="24"/>
                <w:szCs w:val="24"/>
              </w:rPr>
              <w:t xml:space="preserve"> </w:t>
            </w:r>
            <w:r w:rsidRPr="009077F5">
              <w:rPr>
                <w:sz w:val="24"/>
                <w:szCs w:val="24"/>
              </w:rPr>
              <w:t>2</w:t>
            </w:r>
            <w:r w:rsidR="00BA414E" w:rsidRPr="009077F5">
              <w:rPr>
                <w:sz w:val="24"/>
                <w:szCs w:val="24"/>
              </w:rPr>
              <w:t>,</w:t>
            </w:r>
            <w:r w:rsidRPr="009077F5">
              <w:rPr>
                <w:sz w:val="24"/>
                <w:szCs w:val="24"/>
              </w:rPr>
              <w:t>2</w:t>
            </w:r>
          </w:p>
        </w:tc>
      </w:tr>
      <w:tr w:rsidR="00BA414E" w:rsidRPr="00BF4451" w14:paraId="4A7FACD1" w14:textId="77777777" w:rsidTr="00DC4A7A">
        <w:trPr>
          <w:trHeight w:val="20"/>
        </w:trPr>
        <w:tc>
          <w:tcPr>
            <w:tcW w:w="0" w:type="auto"/>
            <w:vAlign w:val="center"/>
            <w:hideMark/>
          </w:tcPr>
          <w:p w14:paraId="0439580E" w14:textId="77777777" w:rsidR="00790361" w:rsidRPr="009077F5" w:rsidRDefault="00790361" w:rsidP="004B0D48">
            <w:pPr>
              <w:pStyle w:val="KonuBal"/>
              <w:rPr>
                <w:sz w:val="24"/>
                <w:szCs w:val="24"/>
              </w:rPr>
            </w:pPr>
            <w:r w:rsidRPr="009077F5">
              <w:rPr>
                <w:spacing w:val="-1"/>
                <w:sz w:val="24"/>
                <w:szCs w:val="24"/>
              </w:rPr>
              <w:t>C</w:t>
            </w:r>
            <w:r w:rsidRPr="009077F5">
              <w:rPr>
                <w:sz w:val="24"/>
                <w:szCs w:val="24"/>
              </w:rPr>
              <w:t>OD</w:t>
            </w:r>
          </w:p>
        </w:tc>
        <w:tc>
          <w:tcPr>
            <w:tcW w:w="0" w:type="auto"/>
            <w:vAlign w:val="center"/>
          </w:tcPr>
          <w:p w14:paraId="26F3CB9B" w14:textId="77777777" w:rsidR="00790361" w:rsidRPr="009077F5" w:rsidRDefault="00790361" w:rsidP="004B0D48">
            <w:pPr>
              <w:pStyle w:val="KonuBal"/>
              <w:rPr>
                <w:sz w:val="24"/>
                <w:szCs w:val="24"/>
              </w:rPr>
            </w:pPr>
          </w:p>
        </w:tc>
        <w:tc>
          <w:tcPr>
            <w:tcW w:w="0" w:type="auto"/>
            <w:vAlign w:val="center"/>
            <w:hideMark/>
          </w:tcPr>
          <w:p w14:paraId="71D6CDD3" w14:textId="77777777" w:rsidR="00790361" w:rsidRPr="009077F5" w:rsidRDefault="00790361" w:rsidP="00E73DA3">
            <w:pPr>
              <w:pStyle w:val="KonuBal"/>
              <w:rPr>
                <w:sz w:val="24"/>
                <w:szCs w:val="24"/>
              </w:rPr>
            </w:pPr>
            <w:r w:rsidRPr="009077F5">
              <w:rPr>
                <w:spacing w:val="1"/>
                <w:sz w:val="24"/>
                <w:szCs w:val="24"/>
              </w:rPr>
              <w:t>10</w:t>
            </w:r>
            <w:r w:rsidRPr="009077F5">
              <w:rPr>
                <w:sz w:val="24"/>
                <w:szCs w:val="24"/>
              </w:rPr>
              <w:t>0</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spacing w:val="1"/>
                <w:w w:val="99"/>
                <w:sz w:val="24"/>
                <w:szCs w:val="24"/>
              </w:rPr>
              <w:t>5</w:t>
            </w:r>
            <w:r w:rsidRPr="009077F5">
              <w:rPr>
                <w:spacing w:val="-1"/>
                <w:w w:val="99"/>
                <w:sz w:val="24"/>
                <w:szCs w:val="24"/>
              </w:rPr>
              <w:t>0</w:t>
            </w:r>
            <w:r w:rsidRPr="009077F5">
              <w:rPr>
                <w:w w:val="99"/>
                <w:sz w:val="24"/>
                <w:szCs w:val="24"/>
              </w:rPr>
              <w:t>0</w:t>
            </w:r>
          </w:p>
        </w:tc>
        <w:tc>
          <w:tcPr>
            <w:tcW w:w="0" w:type="auto"/>
            <w:vAlign w:val="center"/>
            <w:hideMark/>
          </w:tcPr>
          <w:p w14:paraId="58A313A8" w14:textId="77777777" w:rsidR="00790361" w:rsidRPr="009077F5" w:rsidRDefault="00790361" w:rsidP="00BF4451">
            <w:pPr>
              <w:pStyle w:val="KonuBal"/>
              <w:rPr>
                <w:sz w:val="24"/>
                <w:szCs w:val="24"/>
              </w:rPr>
            </w:pPr>
            <w:r w:rsidRPr="009077F5">
              <w:rPr>
                <w:spacing w:val="1"/>
                <w:sz w:val="24"/>
                <w:szCs w:val="24"/>
              </w:rPr>
              <w:t>12</w:t>
            </w:r>
            <w:r w:rsidRPr="009077F5">
              <w:rPr>
                <w:sz w:val="24"/>
                <w:szCs w:val="24"/>
              </w:rPr>
              <w:t>0</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spacing w:val="1"/>
                <w:sz w:val="24"/>
                <w:szCs w:val="24"/>
              </w:rPr>
              <w:t>2</w:t>
            </w:r>
            <w:r w:rsidRPr="009077F5">
              <w:rPr>
                <w:spacing w:val="-1"/>
                <w:sz w:val="24"/>
                <w:szCs w:val="24"/>
              </w:rPr>
              <w:t>0</w:t>
            </w:r>
            <w:r w:rsidRPr="009077F5">
              <w:rPr>
                <w:sz w:val="24"/>
                <w:szCs w:val="24"/>
              </w:rPr>
              <w:t>0</w:t>
            </w:r>
          </w:p>
        </w:tc>
        <w:tc>
          <w:tcPr>
            <w:tcW w:w="0" w:type="auto"/>
            <w:vAlign w:val="center"/>
          </w:tcPr>
          <w:p w14:paraId="0336058D" w14:textId="77777777" w:rsidR="00790361" w:rsidRPr="009077F5" w:rsidRDefault="00790361" w:rsidP="00BF4451">
            <w:pPr>
              <w:pStyle w:val="KonuBal"/>
              <w:rPr>
                <w:sz w:val="24"/>
                <w:szCs w:val="24"/>
              </w:rPr>
            </w:pPr>
          </w:p>
        </w:tc>
      </w:tr>
      <w:tr w:rsidR="00BA414E" w:rsidRPr="00BF4451" w14:paraId="02803BAF" w14:textId="77777777" w:rsidTr="00DC4A7A">
        <w:trPr>
          <w:trHeight w:val="20"/>
        </w:trPr>
        <w:tc>
          <w:tcPr>
            <w:tcW w:w="0" w:type="auto"/>
            <w:vAlign w:val="center"/>
            <w:hideMark/>
          </w:tcPr>
          <w:p w14:paraId="1F15A96B" w14:textId="03C7108D" w:rsidR="00790361" w:rsidRPr="009077F5" w:rsidRDefault="00BA414E" w:rsidP="004B0D48">
            <w:pPr>
              <w:pStyle w:val="KonuBal"/>
              <w:rPr>
                <w:sz w:val="24"/>
                <w:szCs w:val="24"/>
              </w:rPr>
            </w:pPr>
            <w:r w:rsidRPr="009077F5">
              <w:rPr>
                <w:sz w:val="24"/>
                <w:szCs w:val="24"/>
              </w:rPr>
              <w:t xml:space="preserve">Toplam </w:t>
            </w:r>
            <w:r w:rsidR="00790361" w:rsidRPr="009077F5">
              <w:rPr>
                <w:sz w:val="24"/>
                <w:szCs w:val="24"/>
              </w:rPr>
              <w:t>HC</w:t>
            </w:r>
          </w:p>
        </w:tc>
        <w:tc>
          <w:tcPr>
            <w:tcW w:w="0" w:type="auto"/>
            <w:vAlign w:val="center"/>
          </w:tcPr>
          <w:p w14:paraId="1D113009" w14:textId="77777777" w:rsidR="00790361" w:rsidRPr="009077F5" w:rsidRDefault="00790361" w:rsidP="004B0D48">
            <w:pPr>
              <w:pStyle w:val="KonuBal"/>
              <w:rPr>
                <w:sz w:val="24"/>
                <w:szCs w:val="24"/>
              </w:rPr>
            </w:pPr>
          </w:p>
        </w:tc>
        <w:tc>
          <w:tcPr>
            <w:tcW w:w="0" w:type="auto"/>
            <w:vAlign w:val="center"/>
            <w:hideMark/>
          </w:tcPr>
          <w:p w14:paraId="376C8BA8" w14:textId="77777777" w:rsidR="00790361" w:rsidRPr="009077F5" w:rsidRDefault="00790361" w:rsidP="00E73DA3">
            <w:pPr>
              <w:pStyle w:val="KonuBal"/>
              <w:rPr>
                <w:sz w:val="24"/>
                <w:szCs w:val="24"/>
              </w:rPr>
            </w:pPr>
            <w:r w:rsidRPr="009077F5">
              <w:rPr>
                <w:sz w:val="24"/>
                <w:szCs w:val="24"/>
              </w:rPr>
              <w:t>1</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w w:val="99"/>
                <w:sz w:val="24"/>
                <w:szCs w:val="24"/>
              </w:rPr>
              <w:t>5</w:t>
            </w:r>
          </w:p>
        </w:tc>
        <w:tc>
          <w:tcPr>
            <w:tcW w:w="0" w:type="auto"/>
            <w:vAlign w:val="center"/>
          </w:tcPr>
          <w:p w14:paraId="5A368352" w14:textId="77777777" w:rsidR="00790361" w:rsidRPr="009077F5" w:rsidRDefault="00790361" w:rsidP="00BF4451">
            <w:pPr>
              <w:pStyle w:val="KonuBal"/>
              <w:rPr>
                <w:sz w:val="24"/>
                <w:szCs w:val="24"/>
              </w:rPr>
            </w:pPr>
          </w:p>
        </w:tc>
        <w:tc>
          <w:tcPr>
            <w:tcW w:w="0" w:type="auto"/>
            <w:vAlign w:val="center"/>
          </w:tcPr>
          <w:p w14:paraId="7858D214" w14:textId="77777777" w:rsidR="00790361" w:rsidRPr="009077F5" w:rsidRDefault="00790361" w:rsidP="00BF4451">
            <w:pPr>
              <w:pStyle w:val="KonuBal"/>
              <w:rPr>
                <w:sz w:val="24"/>
                <w:szCs w:val="24"/>
              </w:rPr>
            </w:pPr>
          </w:p>
        </w:tc>
      </w:tr>
      <w:tr w:rsidR="00BA414E" w:rsidRPr="00BF4451" w14:paraId="3DA017F7" w14:textId="77777777" w:rsidTr="00DC4A7A">
        <w:trPr>
          <w:trHeight w:val="20"/>
        </w:trPr>
        <w:tc>
          <w:tcPr>
            <w:tcW w:w="0" w:type="auto"/>
            <w:vAlign w:val="center"/>
            <w:hideMark/>
          </w:tcPr>
          <w:p w14:paraId="0C7E6A24" w14:textId="77777777" w:rsidR="00790361" w:rsidRPr="009077F5" w:rsidRDefault="00790361" w:rsidP="004B0D48">
            <w:pPr>
              <w:pStyle w:val="KonuBal"/>
              <w:rPr>
                <w:sz w:val="24"/>
                <w:szCs w:val="24"/>
              </w:rPr>
            </w:pPr>
            <w:r w:rsidRPr="009077F5">
              <w:rPr>
                <w:sz w:val="24"/>
                <w:szCs w:val="24"/>
              </w:rPr>
              <w:t>VOX</w:t>
            </w:r>
          </w:p>
        </w:tc>
        <w:tc>
          <w:tcPr>
            <w:tcW w:w="0" w:type="auto"/>
            <w:vAlign w:val="center"/>
          </w:tcPr>
          <w:p w14:paraId="68BA9815" w14:textId="77777777" w:rsidR="00790361" w:rsidRPr="009077F5" w:rsidRDefault="00790361" w:rsidP="004B0D48">
            <w:pPr>
              <w:pStyle w:val="KonuBal"/>
              <w:rPr>
                <w:sz w:val="24"/>
                <w:szCs w:val="24"/>
              </w:rPr>
            </w:pPr>
          </w:p>
        </w:tc>
        <w:tc>
          <w:tcPr>
            <w:tcW w:w="0" w:type="auto"/>
            <w:vAlign w:val="center"/>
            <w:hideMark/>
          </w:tcPr>
          <w:p w14:paraId="59694685" w14:textId="0D4753DE" w:rsidR="00790361" w:rsidRPr="009077F5" w:rsidRDefault="00790361" w:rsidP="00E73DA3">
            <w:pPr>
              <w:pStyle w:val="KonuBal"/>
              <w:rPr>
                <w:sz w:val="24"/>
                <w:szCs w:val="24"/>
              </w:rPr>
            </w:pPr>
            <w:r w:rsidRPr="009077F5">
              <w:rPr>
                <w:sz w:val="24"/>
                <w:szCs w:val="24"/>
              </w:rPr>
              <w:t>0</w:t>
            </w:r>
            <w:r w:rsidR="00BA414E" w:rsidRPr="009077F5">
              <w:rPr>
                <w:sz w:val="24"/>
                <w:szCs w:val="24"/>
              </w:rPr>
              <w:t>,</w:t>
            </w:r>
            <w:r w:rsidRPr="009077F5">
              <w:rPr>
                <w:sz w:val="24"/>
                <w:szCs w:val="24"/>
              </w:rPr>
              <w:t>1</w:t>
            </w:r>
            <w:r w:rsidRPr="009077F5">
              <w:rPr>
                <w:spacing w:val="-1"/>
                <w:sz w:val="24"/>
                <w:szCs w:val="24"/>
              </w:rPr>
              <w:t xml:space="preserve"> </w:t>
            </w:r>
            <w:r w:rsidR="00BA414E" w:rsidRPr="009077F5">
              <w:rPr>
                <w:sz w:val="24"/>
                <w:szCs w:val="24"/>
              </w:rPr>
              <w:t>–</w:t>
            </w:r>
            <w:r w:rsidRPr="009077F5">
              <w:rPr>
                <w:spacing w:val="-2"/>
                <w:sz w:val="24"/>
                <w:szCs w:val="24"/>
              </w:rPr>
              <w:t xml:space="preserve"> </w:t>
            </w:r>
            <w:r w:rsidRPr="009077F5">
              <w:rPr>
                <w:w w:val="99"/>
                <w:sz w:val="24"/>
                <w:szCs w:val="24"/>
              </w:rPr>
              <w:t>0</w:t>
            </w:r>
            <w:r w:rsidR="00BA414E" w:rsidRPr="009077F5">
              <w:rPr>
                <w:w w:val="99"/>
                <w:sz w:val="24"/>
                <w:szCs w:val="24"/>
              </w:rPr>
              <w:t>,</w:t>
            </w:r>
            <w:r w:rsidRPr="009077F5">
              <w:rPr>
                <w:w w:val="99"/>
                <w:sz w:val="24"/>
                <w:szCs w:val="24"/>
              </w:rPr>
              <w:t>5</w:t>
            </w:r>
          </w:p>
        </w:tc>
        <w:tc>
          <w:tcPr>
            <w:tcW w:w="0" w:type="auto"/>
            <w:vAlign w:val="center"/>
          </w:tcPr>
          <w:p w14:paraId="36C33243" w14:textId="77777777" w:rsidR="00790361" w:rsidRPr="009077F5" w:rsidRDefault="00790361" w:rsidP="00BF4451">
            <w:pPr>
              <w:pStyle w:val="KonuBal"/>
              <w:rPr>
                <w:sz w:val="24"/>
                <w:szCs w:val="24"/>
              </w:rPr>
            </w:pPr>
          </w:p>
        </w:tc>
        <w:tc>
          <w:tcPr>
            <w:tcW w:w="0" w:type="auto"/>
            <w:vAlign w:val="center"/>
          </w:tcPr>
          <w:p w14:paraId="796BF4ED" w14:textId="77777777" w:rsidR="00790361" w:rsidRPr="009077F5" w:rsidRDefault="00790361" w:rsidP="00BF4451">
            <w:pPr>
              <w:pStyle w:val="KonuBal"/>
              <w:rPr>
                <w:sz w:val="24"/>
                <w:szCs w:val="24"/>
              </w:rPr>
            </w:pPr>
          </w:p>
        </w:tc>
      </w:tr>
      <w:tr w:rsidR="00BA414E" w:rsidRPr="00BF4451" w14:paraId="337E11D9" w14:textId="77777777" w:rsidTr="00DC4A7A">
        <w:trPr>
          <w:trHeight w:val="20"/>
        </w:trPr>
        <w:tc>
          <w:tcPr>
            <w:tcW w:w="0" w:type="auto"/>
            <w:vAlign w:val="center"/>
            <w:hideMark/>
          </w:tcPr>
          <w:p w14:paraId="20D4BE0A" w14:textId="5BCE4423" w:rsidR="00790361" w:rsidRPr="009077F5" w:rsidRDefault="00790361" w:rsidP="004B0D48">
            <w:pPr>
              <w:pStyle w:val="KonuBal"/>
              <w:rPr>
                <w:sz w:val="24"/>
                <w:szCs w:val="24"/>
              </w:rPr>
            </w:pPr>
            <w:r w:rsidRPr="009077F5">
              <w:rPr>
                <w:sz w:val="24"/>
                <w:szCs w:val="24"/>
              </w:rPr>
              <w:t>Askıda katı</w:t>
            </w:r>
            <w:r w:rsidR="00BA414E" w:rsidRPr="009077F5">
              <w:rPr>
                <w:sz w:val="24"/>
                <w:szCs w:val="24"/>
              </w:rPr>
              <w:t xml:space="preserve"> </w:t>
            </w:r>
            <w:r w:rsidRPr="009077F5">
              <w:rPr>
                <w:sz w:val="24"/>
                <w:szCs w:val="24"/>
              </w:rPr>
              <w:t>maddeler</w:t>
            </w:r>
          </w:p>
        </w:tc>
        <w:tc>
          <w:tcPr>
            <w:tcW w:w="0" w:type="auto"/>
            <w:vAlign w:val="center"/>
          </w:tcPr>
          <w:p w14:paraId="1C8B4ACB" w14:textId="77777777" w:rsidR="00790361" w:rsidRPr="009077F5" w:rsidRDefault="00790361" w:rsidP="004B0D48">
            <w:pPr>
              <w:pStyle w:val="KonuBal"/>
              <w:rPr>
                <w:sz w:val="24"/>
                <w:szCs w:val="24"/>
              </w:rPr>
            </w:pPr>
          </w:p>
        </w:tc>
        <w:tc>
          <w:tcPr>
            <w:tcW w:w="0" w:type="auto"/>
            <w:vAlign w:val="center"/>
          </w:tcPr>
          <w:p w14:paraId="591BAE0E" w14:textId="77777777" w:rsidR="00790361" w:rsidRPr="009077F5" w:rsidRDefault="00790361" w:rsidP="00E73DA3">
            <w:pPr>
              <w:pStyle w:val="KonuBal"/>
              <w:rPr>
                <w:sz w:val="24"/>
                <w:szCs w:val="24"/>
              </w:rPr>
            </w:pPr>
            <w:r w:rsidRPr="009077F5">
              <w:rPr>
                <w:sz w:val="24"/>
                <w:szCs w:val="24"/>
              </w:rPr>
              <w:t>5</w:t>
            </w:r>
            <w:r w:rsidRPr="009077F5">
              <w:rPr>
                <w:spacing w:val="1"/>
                <w:sz w:val="24"/>
                <w:szCs w:val="24"/>
              </w:rPr>
              <w:t xml:space="preserve"> </w:t>
            </w:r>
            <w:r w:rsidRPr="009077F5">
              <w:rPr>
                <w:sz w:val="24"/>
                <w:szCs w:val="24"/>
              </w:rPr>
              <w:t>-</w:t>
            </w:r>
            <w:r w:rsidRPr="009077F5">
              <w:rPr>
                <w:spacing w:val="-2"/>
                <w:sz w:val="24"/>
                <w:szCs w:val="24"/>
              </w:rPr>
              <w:t xml:space="preserve"> </w:t>
            </w:r>
            <w:r w:rsidRPr="009077F5">
              <w:rPr>
                <w:spacing w:val="1"/>
                <w:w w:val="99"/>
                <w:sz w:val="24"/>
                <w:szCs w:val="24"/>
              </w:rPr>
              <w:t>30</w:t>
            </w:r>
          </w:p>
        </w:tc>
        <w:tc>
          <w:tcPr>
            <w:tcW w:w="0" w:type="auto"/>
            <w:vAlign w:val="center"/>
            <w:hideMark/>
          </w:tcPr>
          <w:p w14:paraId="15F12901" w14:textId="3A6D17E1" w:rsidR="00790361" w:rsidRPr="009077F5" w:rsidRDefault="00790361" w:rsidP="00BF4451">
            <w:pPr>
              <w:pStyle w:val="KonuBal"/>
              <w:rPr>
                <w:sz w:val="24"/>
                <w:szCs w:val="24"/>
              </w:rPr>
            </w:pPr>
            <w:r w:rsidRPr="009077F5">
              <w:rPr>
                <w:sz w:val="24"/>
                <w:szCs w:val="24"/>
              </w:rPr>
              <w:t>4</w:t>
            </w:r>
            <w:r w:rsidR="00BA414E" w:rsidRPr="009077F5">
              <w:rPr>
                <w:sz w:val="24"/>
                <w:szCs w:val="24"/>
              </w:rPr>
              <w:t>-</w:t>
            </w:r>
            <w:r w:rsidRPr="009077F5">
              <w:rPr>
                <w:spacing w:val="1"/>
                <w:sz w:val="24"/>
                <w:szCs w:val="24"/>
              </w:rPr>
              <w:t>4</w:t>
            </w:r>
            <w:r w:rsidRPr="009077F5">
              <w:rPr>
                <w:sz w:val="24"/>
                <w:szCs w:val="24"/>
              </w:rPr>
              <w:t>0 (sadece yüzey suları)</w:t>
            </w:r>
          </w:p>
        </w:tc>
        <w:tc>
          <w:tcPr>
            <w:tcW w:w="0" w:type="auto"/>
            <w:vAlign w:val="center"/>
          </w:tcPr>
          <w:p w14:paraId="5FBEBDA3" w14:textId="77777777" w:rsidR="00790361" w:rsidRPr="009077F5" w:rsidRDefault="00790361" w:rsidP="00BF4451">
            <w:pPr>
              <w:pStyle w:val="KonuBal"/>
              <w:rPr>
                <w:sz w:val="24"/>
                <w:szCs w:val="24"/>
              </w:rPr>
            </w:pPr>
          </w:p>
        </w:tc>
      </w:tr>
    </w:tbl>
    <w:p w14:paraId="4FFA586A" w14:textId="77777777" w:rsidR="00BA414E" w:rsidRPr="00D53A2B" w:rsidRDefault="00BA414E" w:rsidP="00A202FD">
      <w:pPr>
        <w:jc w:val="both"/>
        <w:rPr>
          <w:lang w:eastAsia="en-US"/>
        </w:rPr>
      </w:pPr>
    </w:p>
    <w:p w14:paraId="2A3AFBF1" w14:textId="4CEA5F59" w:rsidR="00C64BCE" w:rsidRPr="00D53A2B" w:rsidRDefault="00C64BCE" w:rsidP="00A202FD">
      <w:pPr>
        <w:pStyle w:val="Balk4"/>
        <w:rPr>
          <w:rFonts w:cs="Times New Roman"/>
          <w:lang w:eastAsia="en-US"/>
        </w:rPr>
      </w:pPr>
      <w:r w:rsidRPr="00D53A2B">
        <w:rPr>
          <w:rFonts w:cs="Times New Roman"/>
          <w:lang w:eastAsia="en-US"/>
        </w:rPr>
        <w:t>5.1.8.4 Sıfır deşarj teknikleri</w:t>
      </w:r>
    </w:p>
    <w:p w14:paraId="0402CCBC" w14:textId="2DABC434" w:rsidR="00C64BCE" w:rsidRPr="00D53A2B" w:rsidRDefault="00C64BCE" w:rsidP="00A202FD">
      <w:pPr>
        <w:jc w:val="both"/>
        <w:rPr>
          <w:lang w:eastAsia="en-US"/>
        </w:rPr>
      </w:pPr>
      <w:r w:rsidRPr="00D53A2B">
        <w:rPr>
          <w:lang w:eastAsia="en-US"/>
        </w:rPr>
        <w:t>Sıfır deşarj, Bölüm 4.16.12</w:t>
      </w:r>
      <w:r w:rsidR="00E56504" w:rsidRPr="00D53A2B">
        <w:rPr>
          <w:lang w:eastAsia="en-US"/>
        </w:rPr>
        <w:t>’</w:t>
      </w:r>
      <w:r w:rsidRPr="00D53A2B">
        <w:rPr>
          <w:lang w:eastAsia="en-US"/>
        </w:rPr>
        <w:t>de tartışılan tekniklerin bir karışımına dayalı olarak tüm bir kurulum için elde edilebilir.</w:t>
      </w:r>
    </w:p>
    <w:p w14:paraId="7A74F27A" w14:textId="77777777" w:rsidR="00C64BCE" w:rsidRPr="00D53A2B" w:rsidRDefault="00C64BCE" w:rsidP="00A202FD">
      <w:pPr>
        <w:jc w:val="both"/>
        <w:rPr>
          <w:lang w:eastAsia="en-US"/>
        </w:rPr>
      </w:pPr>
    </w:p>
    <w:p w14:paraId="37F729F8" w14:textId="3D2F33E8" w:rsidR="00C64BCE" w:rsidRPr="00D53A2B" w:rsidRDefault="00C64BCE" w:rsidP="00A202FD">
      <w:pPr>
        <w:jc w:val="both"/>
        <w:rPr>
          <w:lang w:eastAsia="en-US"/>
        </w:rPr>
      </w:pPr>
      <w:r w:rsidRPr="00D53A2B">
        <w:rPr>
          <w:lang w:eastAsia="en-US"/>
        </w:rPr>
        <w:t xml:space="preserve">Sıfır deşarj, genellikle yüksek güç tüketimi içerdiği ve bertarafı zor atıklar üretebildiği için </w:t>
      </w:r>
      <w:r w:rsidR="00651500" w:rsidRPr="00D53A2B">
        <w:rPr>
          <w:lang w:eastAsia="en-US"/>
        </w:rPr>
        <w:t>MET</w:t>
      </w:r>
      <w:r w:rsidRPr="00D53A2B">
        <w:rPr>
          <w:lang w:eastAsia="en-US"/>
        </w:rPr>
        <w:t>değildir. Sıfır deşarjı elde etmek için gereken tekniklerin kombinasyonu da sermaye ve işletme maliyetleri açısından yüksektir. Belirli nedenlerle izole durumlarda kullanılırlar.</w:t>
      </w:r>
    </w:p>
    <w:p w14:paraId="67C645A7" w14:textId="77777777" w:rsidR="00C64BCE" w:rsidRPr="00D53A2B" w:rsidRDefault="00C64BCE" w:rsidP="00A202FD">
      <w:pPr>
        <w:jc w:val="both"/>
        <w:rPr>
          <w:lang w:eastAsia="en-US"/>
        </w:rPr>
      </w:pPr>
    </w:p>
    <w:p w14:paraId="7E55040D" w14:textId="1B66EB0C" w:rsidR="00FD5D2F" w:rsidRPr="00D53A2B" w:rsidRDefault="00FD5D2F" w:rsidP="00A202FD">
      <w:pPr>
        <w:pStyle w:val="Balk3"/>
        <w:rPr>
          <w:rFonts w:cs="Times New Roman"/>
          <w:lang w:eastAsia="en-US"/>
        </w:rPr>
      </w:pPr>
      <w:r w:rsidRPr="00D53A2B">
        <w:rPr>
          <w:rFonts w:cs="Times New Roman"/>
          <w:lang w:eastAsia="en-US"/>
        </w:rPr>
        <w:t>5.1.9 Atık</w:t>
      </w:r>
    </w:p>
    <w:p w14:paraId="1972A03C" w14:textId="5C0D5F72" w:rsidR="00C64BCE" w:rsidRPr="00D53A2B" w:rsidRDefault="00FD5D2F" w:rsidP="00A202FD">
      <w:pPr>
        <w:pStyle w:val="MET"/>
        <w:rPr>
          <w:szCs w:val="24"/>
        </w:rPr>
      </w:pPr>
      <w:r w:rsidRPr="00D53A2B">
        <w:rPr>
          <w:szCs w:val="24"/>
        </w:rPr>
        <w:t xml:space="preserve">MET 14: </w:t>
      </w:r>
      <w:r w:rsidRPr="00D53A2B">
        <w:rPr>
          <w:b w:val="0"/>
          <w:bCs/>
          <w:szCs w:val="24"/>
        </w:rPr>
        <w:t xml:space="preserve">Atıkların en aza indirilmesine ilişkin </w:t>
      </w:r>
      <w:r w:rsidR="00651500" w:rsidRPr="00D53A2B">
        <w:rPr>
          <w:b w:val="0"/>
          <w:bCs/>
          <w:szCs w:val="24"/>
        </w:rPr>
        <w:t>MET</w:t>
      </w:r>
      <w:r w:rsidR="00F13622" w:rsidRPr="00D53A2B">
        <w:rPr>
          <w:b w:val="0"/>
          <w:bCs/>
          <w:szCs w:val="24"/>
        </w:rPr>
        <w:t xml:space="preserve"> </w:t>
      </w:r>
      <w:r w:rsidRPr="00D53A2B">
        <w:rPr>
          <w:b w:val="0"/>
          <w:bCs/>
          <w:szCs w:val="24"/>
        </w:rPr>
        <w:t>Bölüm 5.1.5</w:t>
      </w:r>
      <w:r w:rsidR="00E56504" w:rsidRPr="00D53A2B">
        <w:rPr>
          <w:b w:val="0"/>
          <w:bCs/>
          <w:szCs w:val="24"/>
        </w:rPr>
        <w:t>’</w:t>
      </w:r>
      <w:r w:rsidRPr="00D53A2B">
        <w:rPr>
          <w:b w:val="0"/>
          <w:bCs/>
          <w:szCs w:val="24"/>
        </w:rPr>
        <w:t xml:space="preserve">te ve malzemelerin geri kazanımı ve atık yönetimine ilişkin </w:t>
      </w:r>
      <w:r w:rsidR="00651500" w:rsidRPr="00D53A2B">
        <w:rPr>
          <w:b w:val="0"/>
          <w:bCs/>
          <w:szCs w:val="24"/>
        </w:rPr>
        <w:t>MET</w:t>
      </w:r>
      <w:r w:rsidR="00F13622" w:rsidRPr="00D53A2B">
        <w:rPr>
          <w:b w:val="0"/>
          <w:bCs/>
          <w:szCs w:val="24"/>
        </w:rPr>
        <w:t xml:space="preserve"> </w:t>
      </w:r>
      <w:r w:rsidRPr="00D53A2B">
        <w:rPr>
          <w:b w:val="0"/>
          <w:bCs/>
          <w:szCs w:val="24"/>
        </w:rPr>
        <w:t>Bölüm 5.1.6</w:t>
      </w:r>
      <w:r w:rsidR="00E56504" w:rsidRPr="00D53A2B">
        <w:rPr>
          <w:b w:val="0"/>
          <w:bCs/>
          <w:szCs w:val="24"/>
        </w:rPr>
        <w:t>’</w:t>
      </w:r>
      <w:r w:rsidRPr="00D53A2B">
        <w:rPr>
          <w:b w:val="0"/>
          <w:bCs/>
          <w:szCs w:val="24"/>
        </w:rPr>
        <w:t>da verilmiştir.</w:t>
      </w:r>
    </w:p>
    <w:p w14:paraId="13C6EA25" w14:textId="77777777" w:rsidR="00C64BCE" w:rsidRPr="00D53A2B" w:rsidRDefault="00C64BCE" w:rsidP="00A202FD">
      <w:pPr>
        <w:jc w:val="both"/>
        <w:rPr>
          <w:lang w:eastAsia="en-US"/>
        </w:rPr>
      </w:pPr>
    </w:p>
    <w:p w14:paraId="03C7BBA4" w14:textId="5653EB32" w:rsidR="00C64BCE" w:rsidRPr="00D53A2B" w:rsidRDefault="00FD5D2F" w:rsidP="00A202FD">
      <w:pPr>
        <w:pStyle w:val="Balk3"/>
        <w:rPr>
          <w:rFonts w:cs="Times New Roman"/>
          <w:lang w:eastAsia="en-US"/>
        </w:rPr>
      </w:pPr>
      <w:r w:rsidRPr="00D53A2B">
        <w:rPr>
          <w:rFonts w:cs="Times New Roman"/>
          <w:lang w:eastAsia="en-US"/>
        </w:rPr>
        <w:t>5.1.10 Hava emisyonları</w:t>
      </w:r>
    </w:p>
    <w:p w14:paraId="2F905670" w14:textId="328A01BF" w:rsidR="00C64BCE" w:rsidRPr="00D53A2B" w:rsidRDefault="00FD5D2F" w:rsidP="00A202FD">
      <w:pPr>
        <w:jc w:val="both"/>
        <w:rPr>
          <w:lang w:eastAsia="en-US"/>
        </w:rPr>
      </w:pPr>
      <w:r w:rsidRPr="00D53A2B">
        <w:rPr>
          <w:lang w:eastAsia="en-US"/>
        </w:rPr>
        <w:t xml:space="preserve">Buhar yağ çözücü ekipmandan (örneğin trikloroetilen ve metilen klorür) kaynaklanan VOC salınımları için, çözücüler kullanılarak yüzey işleme [90, EIPPCB, ] ve kimya sektöründe </w:t>
      </w:r>
      <w:r w:rsidR="00651500" w:rsidRPr="00D53A2B">
        <w:rPr>
          <w:lang w:eastAsia="en-US"/>
        </w:rPr>
        <w:t>atıksu</w:t>
      </w:r>
      <w:r w:rsidRPr="00D53A2B">
        <w:rPr>
          <w:lang w:eastAsia="en-US"/>
        </w:rPr>
        <w:t>ve atık gaz yönetimi/arıtımı [87, EIPPCB, ] ile Çözücü Emisyonları Direktifi [97, EC, 1999] ile ilgili referans belgelerine bakın.</w:t>
      </w:r>
    </w:p>
    <w:p w14:paraId="28265E98" w14:textId="77777777" w:rsidR="00C64BCE" w:rsidRPr="00D53A2B" w:rsidRDefault="00C64BCE" w:rsidP="00A202FD">
      <w:pPr>
        <w:jc w:val="both"/>
        <w:rPr>
          <w:lang w:eastAsia="en-US"/>
        </w:rPr>
      </w:pPr>
    </w:p>
    <w:p w14:paraId="6DC6EDC4" w14:textId="774F42E0" w:rsidR="00FD5D2F" w:rsidRPr="00D53A2B" w:rsidRDefault="00FD5D2F" w:rsidP="00A202FD">
      <w:pPr>
        <w:jc w:val="both"/>
        <w:rPr>
          <w:lang w:eastAsia="en-US"/>
        </w:rPr>
      </w:pPr>
      <w:r w:rsidRPr="00D53A2B">
        <w:rPr>
          <w:lang w:eastAsia="en-US"/>
        </w:rPr>
        <w:t>Tablo 5.3, kaçak emisyonlarının yerel çevresel etkileri olabilecek maddeleri ve/veya faaliyetleri ve hava tahliyesine ihtiyaç duydukları koşulları listeler. Bazı durumlarda, bu, işyerindeki sağlık ve güvenlikle ilgilidir.</w:t>
      </w:r>
    </w:p>
    <w:p w14:paraId="20601206" w14:textId="77777777" w:rsidR="00FD5D2F" w:rsidRPr="00D53A2B" w:rsidRDefault="00FD5D2F" w:rsidP="00A202FD">
      <w:pPr>
        <w:jc w:val="both"/>
        <w:rPr>
          <w:lang w:eastAsia="en-US"/>
        </w:rPr>
      </w:pPr>
    </w:p>
    <w:p w14:paraId="04D36C41" w14:textId="2A0C4B9A" w:rsidR="00FD5D2F" w:rsidRPr="00D53A2B" w:rsidRDefault="00FD5D2F" w:rsidP="00A202FD">
      <w:pPr>
        <w:jc w:val="both"/>
        <w:rPr>
          <w:lang w:eastAsia="en-US"/>
        </w:rPr>
      </w:pPr>
      <w:r w:rsidRPr="00D53A2B">
        <w:rPr>
          <w:lang w:eastAsia="en-US"/>
        </w:rPr>
        <w:t>Diğer işlemler de ekstraksiyon gerektirebilir ve bireysel işlem açıklamaları Bölüm 2 ve 4</w:t>
      </w:r>
      <w:r w:rsidR="00E56504" w:rsidRPr="00D53A2B">
        <w:rPr>
          <w:lang w:eastAsia="en-US"/>
        </w:rPr>
        <w:t>’</w:t>
      </w:r>
      <w:r w:rsidRPr="00D53A2B">
        <w:rPr>
          <w:lang w:eastAsia="en-US"/>
        </w:rPr>
        <w:t>te verilmiştir.</w:t>
      </w:r>
    </w:p>
    <w:p w14:paraId="3DEC9CE8" w14:textId="77777777" w:rsidR="00FD5D2F" w:rsidRPr="00D53A2B" w:rsidRDefault="00FD5D2F" w:rsidP="00A202FD">
      <w:pPr>
        <w:jc w:val="both"/>
        <w:rPr>
          <w:lang w:eastAsia="en-US"/>
        </w:rPr>
      </w:pPr>
    </w:p>
    <w:p w14:paraId="3A76565A" w14:textId="3675D4AB" w:rsidR="00FD5D2F" w:rsidRPr="00D53A2B" w:rsidRDefault="00FD5D2F" w:rsidP="00A202FD">
      <w:pPr>
        <w:jc w:val="both"/>
        <w:rPr>
          <w:lang w:eastAsia="en-US"/>
        </w:rPr>
      </w:pPr>
      <w:r w:rsidRPr="00D53A2B">
        <w:rPr>
          <w:lang w:eastAsia="en-US"/>
        </w:rPr>
        <w:t>Ekstraksiyon uygulandığında, boşaltılacak hava miktarını en aza indirmek için Bölüm 4.18.3</w:t>
      </w:r>
      <w:r w:rsidR="00E56504" w:rsidRPr="00D53A2B">
        <w:rPr>
          <w:lang w:eastAsia="en-US"/>
        </w:rPr>
        <w:t>’</w:t>
      </w:r>
      <w:r w:rsidRPr="00D53A2B">
        <w:rPr>
          <w:lang w:eastAsia="en-US"/>
        </w:rPr>
        <w:t xml:space="preserve">te açıklanan tekniklerin kullanılması </w:t>
      </w:r>
      <w:r w:rsidR="00F13622" w:rsidRPr="00D53A2B">
        <w:rPr>
          <w:lang w:eastAsia="en-US"/>
        </w:rPr>
        <w:t>MET’tir.</w:t>
      </w:r>
    </w:p>
    <w:p w14:paraId="48239CDE" w14:textId="77777777" w:rsidR="00FD5D2F" w:rsidRPr="00D53A2B" w:rsidRDefault="00FD5D2F" w:rsidP="00A202FD">
      <w:pPr>
        <w:jc w:val="both"/>
        <w:rPr>
          <w:lang w:eastAsia="en-US"/>
        </w:rPr>
      </w:pPr>
    </w:p>
    <w:p w14:paraId="7B88AE7C" w14:textId="77777777" w:rsidR="005F0E3A" w:rsidRPr="00D53A2B" w:rsidRDefault="00FD5D2F" w:rsidP="00A202FD">
      <w:pPr>
        <w:jc w:val="both"/>
        <w:rPr>
          <w:lang w:eastAsia="en-US"/>
        </w:rPr>
      </w:pPr>
      <w:r w:rsidRPr="00D53A2B">
        <w:rPr>
          <w:lang w:eastAsia="en-US"/>
        </w:rPr>
        <w:t>Tablo 5.3</w:t>
      </w:r>
    </w:p>
    <w:p w14:paraId="1FF39818" w14:textId="459AC9E7" w:rsidR="00790361" w:rsidRPr="00D53A2B" w:rsidRDefault="00FD5D2F" w:rsidP="00A202FD">
      <w:pPr>
        <w:jc w:val="both"/>
        <w:rPr>
          <w:lang w:eastAsia="en-US"/>
        </w:rPr>
      </w:pPr>
      <w:r w:rsidRPr="00D53A2B">
        <w:rPr>
          <w:lang w:eastAsia="en-US"/>
        </w:rPr>
        <w:t>Kaçak emisyonların önlenmesini gerektirebilecek çözümler ve faaliyetler.</w:t>
      </w:r>
    </w:p>
    <w:tbl>
      <w:tblPr>
        <w:tblW w:w="0" w:type="auto"/>
        <w:jc w:val="center"/>
        <w:tblLayout w:type="fixed"/>
        <w:tblCellMar>
          <w:left w:w="0" w:type="dxa"/>
          <w:right w:w="0" w:type="dxa"/>
        </w:tblCellMar>
        <w:tblLook w:val="01E0" w:firstRow="1" w:lastRow="1" w:firstColumn="1" w:lastColumn="1" w:noHBand="0" w:noVBand="0"/>
      </w:tblPr>
      <w:tblGrid>
        <w:gridCol w:w="1696"/>
        <w:gridCol w:w="2835"/>
        <w:gridCol w:w="3670"/>
      </w:tblGrid>
      <w:tr w:rsidR="00790361" w:rsidRPr="00BF4451" w14:paraId="2F8B0C9A" w14:textId="77777777" w:rsidTr="00E63C6F">
        <w:trPr>
          <w:trHeight w:hRule="exact" w:val="521"/>
          <w:jc w:val="center"/>
        </w:trPr>
        <w:tc>
          <w:tcPr>
            <w:tcW w:w="1696" w:type="dxa"/>
            <w:tcBorders>
              <w:top w:val="single" w:sz="4" w:space="0" w:color="000000"/>
              <w:left w:val="single" w:sz="4" w:space="0" w:color="000000"/>
              <w:bottom w:val="single" w:sz="4" w:space="0" w:color="auto"/>
              <w:right w:val="single" w:sz="4" w:space="0" w:color="000000"/>
            </w:tcBorders>
            <w:hideMark/>
          </w:tcPr>
          <w:p w14:paraId="5F1E853E" w14:textId="3CD328CF" w:rsidR="00790361" w:rsidRPr="009077F5" w:rsidRDefault="00FD5D2F" w:rsidP="00A202FD">
            <w:pPr>
              <w:ind w:left="57" w:right="57"/>
              <w:jc w:val="both"/>
              <w:rPr>
                <w:rFonts w:eastAsia="Calibri"/>
                <w:b/>
                <w:bCs/>
                <w:lang w:eastAsia="en-US"/>
              </w:rPr>
            </w:pPr>
            <w:r w:rsidRPr="009077F5">
              <w:rPr>
                <w:rFonts w:eastAsia="Calibri"/>
                <w:b/>
                <w:bCs/>
                <w:lang w:eastAsia="en-US"/>
              </w:rPr>
              <w:t>Çözüm veya aktivite türü</w:t>
            </w:r>
          </w:p>
        </w:tc>
        <w:tc>
          <w:tcPr>
            <w:tcW w:w="6505" w:type="dxa"/>
            <w:gridSpan w:val="2"/>
            <w:tcBorders>
              <w:top w:val="single" w:sz="4" w:space="0" w:color="000000"/>
              <w:left w:val="single" w:sz="4" w:space="0" w:color="000000"/>
              <w:bottom w:val="single" w:sz="4" w:space="0" w:color="auto"/>
              <w:right w:val="single" w:sz="4" w:space="0" w:color="000000"/>
            </w:tcBorders>
            <w:hideMark/>
          </w:tcPr>
          <w:p w14:paraId="30EA8207" w14:textId="6734A61C" w:rsidR="00790361" w:rsidRPr="009077F5" w:rsidRDefault="00FD5D2F" w:rsidP="00A202FD">
            <w:pPr>
              <w:ind w:left="57" w:right="57"/>
              <w:jc w:val="both"/>
              <w:rPr>
                <w:rFonts w:eastAsia="Calibri"/>
                <w:b/>
                <w:bCs/>
                <w:lang w:eastAsia="en-US"/>
              </w:rPr>
            </w:pPr>
            <w:r w:rsidRPr="009077F5">
              <w:rPr>
                <w:rFonts w:eastAsia="Calibri"/>
                <w:b/>
                <w:bCs/>
                <w:spacing w:val="1"/>
                <w:lang w:eastAsia="en-US"/>
              </w:rPr>
              <w:t>Çıkarılması gereken çözümler</w:t>
            </w:r>
          </w:p>
        </w:tc>
      </w:tr>
      <w:tr w:rsidR="00790361" w:rsidRPr="00BF4451" w14:paraId="3B7A20AF" w14:textId="77777777" w:rsidTr="00FD5D2F">
        <w:trPr>
          <w:trHeight w:val="314"/>
          <w:jc w:val="center"/>
        </w:trPr>
        <w:tc>
          <w:tcPr>
            <w:tcW w:w="8201" w:type="dxa"/>
            <w:gridSpan w:val="3"/>
            <w:tcBorders>
              <w:top w:val="single" w:sz="4" w:space="0" w:color="000000"/>
              <w:left w:val="single" w:sz="4" w:space="0" w:color="000000"/>
              <w:bottom w:val="single" w:sz="4" w:space="0" w:color="000000"/>
              <w:right w:val="single" w:sz="4" w:space="0" w:color="000000"/>
            </w:tcBorders>
            <w:hideMark/>
          </w:tcPr>
          <w:p w14:paraId="046F436B" w14:textId="77777777" w:rsidR="00790361" w:rsidRPr="009077F5" w:rsidRDefault="00790361" w:rsidP="00A202FD">
            <w:pPr>
              <w:ind w:left="57" w:right="57"/>
              <w:jc w:val="both"/>
              <w:rPr>
                <w:rFonts w:eastAsia="Calibri"/>
                <w:b/>
                <w:bCs/>
                <w:lang w:eastAsia="en-US"/>
              </w:rPr>
            </w:pPr>
            <w:r w:rsidRPr="009077F5">
              <w:rPr>
                <w:rFonts w:eastAsia="Calibri"/>
                <w:b/>
                <w:bCs/>
                <w:spacing w:val="1"/>
                <w:lang w:eastAsia="en-US"/>
              </w:rPr>
              <w:t>Bütün durumlarda:</w:t>
            </w:r>
          </w:p>
        </w:tc>
      </w:tr>
      <w:tr w:rsidR="00790361" w:rsidRPr="00BF4451" w14:paraId="4817E86E" w14:textId="77777777" w:rsidTr="00E63C6F">
        <w:trPr>
          <w:trHeight w:hRule="exact" w:val="296"/>
          <w:jc w:val="center"/>
        </w:trPr>
        <w:tc>
          <w:tcPr>
            <w:tcW w:w="1696" w:type="dxa"/>
            <w:tcBorders>
              <w:top w:val="single" w:sz="4" w:space="0" w:color="000000"/>
              <w:left w:val="single" w:sz="4" w:space="0" w:color="000000"/>
              <w:bottom w:val="single" w:sz="4" w:space="0" w:color="000000"/>
              <w:right w:val="single" w:sz="4" w:space="0" w:color="000000"/>
            </w:tcBorders>
            <w:hideMark/>
          </w:tcPr>
          <w:p w14:paraId="5744B7FC" w14:textId="77777777" w:rsidR="00790361" w:rsidRPr="009077F5" w:rsidRDefault="00790361" w:rsidP="00A202FD">
            <w:pPr>
              <w:ind w:left="57" w:right="57"/>
              <w:jc w:val="both"/>
              <w:rPr>
                <w:rFonts w:eastAsia="Calibri"/>
                <w:lang w:eastAsia="en-US"/>
              </w:rPr>
            </w:pPr>
            <w:r w:rsidRPr="009077F5">
              <w:rPr>
                <w:rFonts w:eastAsia="Calibri"/>
                <w:lang w:eastAsia="en-US"/>
              </w:rPr>
              <w:t>Siyanür</w:t>
            </w:r>
          </w:p>
        </w:tc>
        <w:tc>
          <w:tcPr>
            <w:tcW w:w="6505" w:type="dxa"/>
            <w:gridSpan w:val="2"/>
            <w:tcBorders>
              <w:top w:val="single" w:sz="4" w:space="0" w:color="000000"/>
              <w:left w:val="single" w:sz="4" w:space="0" w:color="000000"/>
              <w:bottom w:val="single" w:sz="4" w:space="0" w:color="000000"/>
              <w:right w:val="single" w:sz="4" w:space="0" w:color="000000"/>
            </w:tcBorders>
          </w:tcPr>
          <w:p w14:paraId="0253134B" w14:textId="77777777" w:rsidR="00790361" w:rsidRPr="009077F5" w:rsidRDefault="00790361" w:rsidP="00A202FD">
            <w:pPr>
              <w:ind w:left="57" w:right="57"/>
              <w:jc w:val="both"/>
              <w:rPr>
                <w:rFonts w:eastAsia="Calibri"/>
                <w:lang w:eastAsia="en-US"/>
              </w:rPr>
            </w:pPr>
          </w:p>
        </w:tc>
      </w:tr>
      <w:tr w:rsidR="00790361" w:rsidRPr="00BF4451" w14:paraId="43C37374" w14:textId="77777777" w:rsidTr="00E63C6F">
        <w:trPr>
          <w:trHeight w:hRule="exact" w:val="291"/>
          <w:jc w:val="center"/>
        </w:trPr>
        <w:tc>
          <w:tcPr>
            <w:tcW w:w="1696" w:type="dxa"/>
            <w:tcBorders>
              <w:top w:val="single" w:sz="4" w:space="0" w:color="000000"/>
              <w:left w:val="single" w:sz="4" w:space="0" w:color="000000"/>
              <w:bottom w:val="single" w:sz="4" w:space="0" w:color="auto"/>
              <w:right w:val="single" w:sz="4" w:space="0" w:color="000000"/>
            </w:tcBorders>
          </w:tcPr>
          <w:p w14:paraId="2A2DD6C0" w14:textId="4C949718" w:rsidR="00790361" w:rsidRPr="009077F5" w:rsidRDefault="00790361" w:rsidP="00A20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eastAsia="Calibri"/>
                <w:color w:val="212121"/>
              </w:rPr>
            </w:pPr>
            <w:r w:rsidRPr="009077F5">
              <w:rPr>
                <w:rFonts w:eastAsia="Calibri"/>
                <w:color w:val="212121"/>
              </w:rPr>
              <w:t>Kadmiyum</w:t>
            </w:r>
          </w:p>
        </w:tc>
        <w:tc>
          <w:tcPr>
            <w:tcW w:w="6505" w:type="dxa"/>
            <w:gridSpan w:val="2"/>
            <w:tcBorders>
              <w:top w:val="single" w:sz="4" w:space="0" w:color="000000"/>
              <w:left w:val="single" w:sz="4" w:space="0" w:color="000000"/>
              <w:bottom w:val="single" w:sz="4" w:space="0" w:color="auto"/>
              <w:right w:val="single" w:sz="4" w:space="0" w:color="000000"/>
            </w:tcBorders>
          </w:tcPr>
          <w:p w14:paraId="3B944FBA" w14:textId="77777777" w:rsidR="00790361" w:rsidRPr="009077F5" w:rsidRDefault="00790361" w:rsidP="00A202FD">
            <w:pPr>
              <w:ind w:left="57" w:right="57"/>
              <w:jc w:val="both"/>
              <w:rPr>
                <w:rFonts w:eastAsia="Calibri"/>
                <w:lang w:eastAsia="en-US"/>
              </w:rPr>
            </w:pPr>
          </w:p>
        </w:tc>
      </w:tr>
      <w:tr w:rsidR="00790361" w:rsidRPr="00BF4451" w14:paraId="42297D05" w14:textId="77777777" w:rsidTr="000C734B">
        <w:trPr>
          <w:trHeight w:hRule="exact" w:val="1848"/>
          <w:jc w:val="center"/>
        </w:trPr>
        <w:tc>
          <w:tcPr>
            <w:tcW w:w="1696" w:type="dxa"/>
            <w:tcBorders>
              <w:top w:val="single" w:sz="4" w:space="0" w:color="000000"/>
              <w:left w:val="single" w:sz="4" w:space="0" w:color="000000"/>
              <w:bottom w:val="single" w:sz="4" w:space="0" w:color="000000"/>
              <w:right w:val="single" w:sz="4" w:space="0" w:color="000000"/>
            </w:tcBorders>
            <w:hideMark/>
          </w:tcPr>
          <w:p w14:paraId="1BF65AC2" w14:textId="77777777" w:rsidR="00FE7A41" w:rsidRPr="009077F5" w:rsidRDefault="00FD5D2F" w:rsidP="00A202FD">
            <w:pPr>
              <w:ind w:left="57" w:right="57"/>
              <w:jc w:val="both"/>
              <w:rPr>
                <w:rFonts w:eastAsia="Calibri"/>
                <w:lang w:eastAsia="en-US"/>
              </w:rPr>
            </w:pPr>
            <w:r w:rsidRPr="009077F5">
              <w:rPr>
                <w:rFonts w:eastAsia="Calibri"/>
                <w:lang w:eastAsia="en-US"/>
              </w:rPr>
              <w:t xml:space="preserve">Aşağıdaki özelliklerden bir veya daha fazlasına sahip altı değerlikli </w:t>
            </w:r>
          </w:p>
          <w:p w14:paraId="3E80120A" w14:textId="12387BE9" w:rsidR="00790361" w:rsidRPr="009077F5" w:rsidRDefault="00FD5D2F" w:rsidP="00A202FD">
            <w:pPr>
              <w:ind w:left="57" w:right="57"/>
              <w:jc w:val="both"/>
              <w:rPr>
                <w:rFonts w:eastAsia="Calibri"/>
                <w:lang w:eastAsia="en-US"/>
              </w:rPr>
            </w:pPr>
            <w:r w:rsidRPr="009077F5">
              <w:rPr>
                <w:rFonts w:eastAsia="Calibri"/>
                <w:lang w:eastAsia="en-US"/>
              </w:rPr>
              <w:t>krom:</w:t>
            </w:r>
          </w:p>
        </w:tc>
        <w:tc>
          <w:tcPr>
            <w:tcW w:w="6505" w:type="dxa"/>
            <w:gridSpan w:val="2"/>
            <w:tcBorders>
              <w:top w:val="single" w:sz="4" w:space="0" w:color="000000"/>
              <w:left w:val="single" w:sz="4" w:space="0" w:color="000000"/>
              <w:bottom w:val="single" w:sz="4" w:space="0" w:color="000000"/>
              <w:right w:val="single" w:sz="4" w:space="0" w:color="000000"/>
            </w:tcBorders>
            <w:hideMark/>
          </w:tcPr>
          <w:p w14:paraId="079D2263" w14:textId="36270679" w:rsidR="00FD5D2F" w:rsidRPr="009077F5" w:rsidRDefault="00FD5D2F" w:rsidP="00602365">
            <w:pPr>
              <w:pStyle w:val="ListeParagraf"/>
              <w:widowControl/>
              <w:numPr>
                <w:ilvl w:val="0"/>
                <w:numId w:val="209"/>
              </w:numPr>
              <w:tabs>
                <w:tab w:val="clear" w:pos="567"/>
              </w:tabs>
              <w:ind w:left="420" w:right="57"/>
              <w:rPr>
                <w:rFonts w:eastAsia="Calibri"/>
                <w:spacing w:val="-1"/>
                <w:sz w:val="24"/>
                <w:szCs w:val="24"/>
              </w:rPr>
            </w:pPr>
            <w:r w:rsidRPr="009077F5">
              <w:rPr>
                <w:rFonts w:eastAsia="Calibri"/>
                <w:spacing w:val="-1"/>
                <w:sz w:val="24"/>
                <w:szCs w:val="24"/>
              </w:rPr>
              <w:t>elektrokaplama çözümleri</w:t>
            </w:r>
          </w:p>
          <w:p w14:paraId="78EC825F" w14:textId="1ADC11A2" w:rsidR="00FD5D2F" w:rsidRPr="009077F5" w:rsidRDefault="00FD5D2F" w:rsidP="00602365">
            <w:pPr>
              <w:pStyle w:val="ListeParagraf"/>
              <w:widowControl/>
              <w:numPr>
                <w:ilvl w:val="0"/>
                <w:numId w:val="209"/>
              </w:numPr>
              <w:tabs>
                <w:tab w:val="clear" w:pos="567"/>
              </w:tabs>
              <w:ind w:left="420" w:right="57"/>
              <w:rPr>
                <w:rFonts w:eastAsia="Calibri"/>
                <w:spacing w:val="-1"/>
                <w:sz w:val="24"/>
                <w:szCs w:val="24"/>
              </w:rPr>
            </w:pPr>
            <w:r w:rsidRPr="009077F5">
              <w:rPr>
                <w:rFonts w:eastAsia="Calibri"/>
                <w:spacing w:val="-1"/>
                <w:sz w:val="24"/>
                <w:szCs w:val="24"/>
              </w:rPr>
              <w:t>ısıtmalı veya kendiliğinden ısıtmalı</w:t>
            </w:r>
          </w:p>
          <w:p w14:paraId="0ACEFF6C" w14:textId="28CC5D2A" w:rsidR="00790361" w:rsidRPr="009077F5" w:rsidRDefault="00FD5D2F" w:rsidP="00602365">
            <w:pPr>
              <w:pStyle w:val="ListeParagraf"/>
              <w:widowControl/>
              <w:numPr>
                <w:ilvl w:val="0"/>
                <w:numId w:val="209"/>
              </w:numPr>
              <w:tabs>
                <w:tab w:val="clear" w:pos="567"/>
              </w:tabs>
              <w:ind w:left="420" w:right="57"/>
              <w:rPr>
                <w:rFonts w:eastAsia="Calibri"/>
                <w:sz w:val="24"/>
                <w:szCs w:val="24"/>
              </w:rPr>
            </w:pPr>
            <w:r w:rsidRPr="009077F5">
              <w:rPr>
                <w:rFonts w:eastAsia="Calibri"/>
                <w:spacing w:val="-1"/>
                <w:sz w:val="24"/>
                <w:szCs w:val="24"/>
              </w:rPr>
              <w:t>havayla karıştırılmış</w:t>
            </w:r>
          </w:p>
        </w:tc>
      </w:tr>
      <w:tr w:rsidR="00790361" w:rsidRPr="00BF4451" w14:paraId="4FE0B0A2" w14:textId="77777777" w:rsidTr="00E63C6F">
        <w:trPr>
          <w:trHeight w:hRule="exact" w:val="334"/>
          <w:jc w:val="center"/>
        </w:trPr>
        <w:tc>
          <w:tcPr>
            <w:tcW w:w="1696" w:type="dxa"/>
            <w:tcBorders>
              <w:top w:val="single" w:sz="4" w:space="0" w:color="000000"/>
              <w:left w:val="single" w:sz="4" w:space="0" w:color="000000"/>
              <w:bottom w:val="single" w:sz="4" w:space="0" w:color="000000"/>
              <w:right w:val="single" w:sz="4" w:space="0" w:color="000000"/>
            </w:tcBorders>
            <w:hideMark/>
          </w:tcPr>
          <w:p w14:paraId="4CADF7CA" w14:textId="77777777" w:rsidR="00790361" w:rsidRPr="009077F5" w:rsidRDefault="00790361" w:rsidP="00A202FD">
            <w:pPr>
              <w:ind w:left="57" w:right="57"/>
              <w:jc w:val="both"/>
              <w:rPr>
                <w:rFonts w:eastAsia="Calibri"/>
                <w:lang w:eastAsia="en-US"/>
              </w:rPr>
            </w:pPr>
            <w:r w:rsidRPr="009077F5">
              <w:rPr>
                <w:rFonts w:eastAsia="Calibri"/>
                <w:lang w:eastAsia="en-US"/>
              </w:rPr>
              <w:t>Ni</w:t>
            </w:r>
            <w:r w:rsidRPr="009077F5">
              <w:rPr>
                <w:rFonts w:eastAsia="Calibri"/>
                <w:spacing w:val="-1"/>
                <w:lang w:eastAsia="en-US"/>
              </w:rPr>
              <w:t>ke</w:t>
            </w:r>
            <w:r w:rsidRPr="009077F5">
              <w:rPr>
                <w:rFonts w:eastAsia="Calibri"/>
                <w:lang w:eastAsia="en-US"/>
              </w:rPr>
              <w:t>l</w:t>
            </w:r>
            <w:r w:rsidRPr="009077F5">
              <w:rPr>
                <w:rFonts w:eastAsia="Calibri"/>
                <w:spacing w:val="-2"/>
                <w:lang w:eastAsia="en-US"/>
              </w:rPr>
              <w:t xml:space="preserve"> </w:t>
            </w:r>
            <w:r w:rsidRPr="009077F5">
              <w:rPr>
                <w:rFonts w:eastAsia="Calibri"/>
                <w:spacing w:val="-1"/>
                <w:lang w:eastAsia="en-US"/>
              </w:rPr>
              <w:t>s</w:t>
            </w:r>
            <w:r w:rsidRPr="009077F5">
              <w:rPr>
                <w:rFonts w:eastAsia="Calibri"/>
                <w:spacing w:val="1"/>
                <w:lang w:eastAsia="en-US"/>
              </w:rPr>
              <w:t>o</w:t>
            </w:r>
            <w:r w:rsidRPr="009077F5">
              <w:rPr>
                <w:rFonts w:eastAsia="Calibri"/>
                <w:lang w:eastAsia="en-US"/>
              </w:rPr>
              <w:t>l</w:t>
            </w:r>
            <w:r w:rsidRPr="009077F5">
              <w:rPr>
                <w:rFonts w:eastAsia="Calibri"/>
                <w:spacing w:val="1"/>
                <w:lang w:eastAsia="en-US"/>
              </w:rPr>
              <w:t>u</w:t>
            </w:r>
            <w:r w:rsidRPr="009077F5">
              <w:rPr>
                <w:rFonts w:eastAsia="Calibri"/>
                <w:lang w:eastAsia="en-US"/>
              </w:rPr>
              <w:t>syonları</w:t>
            </w:r>
          </w:p>
        </w:tc>
        <w:tc>
          <w:tcPr>
            <w:tcW w:w="6505" w:type="dxa"/>
            <w:gridSpan w:val="2"/>
            <w:tcBorders>
              <w:top w:val="single" w:sz="4" w:space="0" w:color="000000"/>
              <w:left w:val="single" w:sz="4" w:space="0" w:color="000000"/>
              <w:bottom w:val="single" w:sz="4" w:space="0" w:color="000000"/>
              <w:right w:val="single" w:sz="4" w:space="0" w:color="000000"/>
            </w:tcBorders>
            <w:hideMark/>
          </w:tcPr>
          <w:p w14:paraId="4907EB75" w14:textId="77777777" w:rsidR="00790361" w:rsidRPr="009077F5" w:rsidRDefault="00790361" w:rsidP="00A202FD">
            <w:pPr>
              <w:ind w:left="57" w:right="57"/>
              <w:jc w:val="both"/>
              <w:rPr>
                <w:rFonts w:eastAsia="Calibri"/>
                <w:lang w:eastAsia="en-US"/>
              </w:rPr>
            </w:pPr>
            <w:r w:rsidRPr="009077F5">
              <w:rPr>
                <w:rFonts w:eastAsia="Calibri"/>
                <w:lang w:eastAsia="en-US"/>
              </w:rPr>
              <w:t>Hava ile çalkalandığında</w:t>
            </w:r>
          </w:p>
        </w:tc>
      </w:tr>
      <w:tr w:rsidR="00790361" w:rsidRPr="00BF4451" w14:paraId="1586B400" w14:textId="77777777" w:rsidTr="00E63C6F">
        <w:trPr>
          <w:trHeight w:hRule="exact" w:val="597"/>
          <w:jc w:val="center"/>
        </w:trPr>
        <w:tc>
          <w:tcPr>
            <w:tcW w:w="1696" w:type="dxa"/>
            <w:tcBorders>
              <w:top w:val="single" w:sz="4" w:space="0" w:color="000000"/>
              <w:left w:val="single" w:sz="4" w:space="0" w:color="000000"/>
              <w:bottom w:val="single" w:sz="4" w:space="0" w:color="000000"/>
              <w:right w:val="single" w:sz="4" w:space="0" w:color="000000"/>
            </w:tcBorders>
            <w:hideMark/>
          </w:tcPr>
          <w:p w14:paraId="79E51B7A" w14:textId="77777777" w:rsidR="00790361" w:rsidRPr="009077F5" w:rsidRDefault="00790361" w:rsidP="00A202FD">
            <w:pPr>
              <w:ind w:left="57" w:right="57"/>
              <w:jc w:val="both"/>
              <w:rPr>
                <w:rFonts w:eastAsia="Calibri"/>
                <w:lang w:eastAsia="en-US"/>
              </w:rPr>
            </w:pPr>
            <w:r w:rsidRPr="009077F5">
              <w:rPr>
                <w:rFonts w:eastAsia="Calibri"/>
                <w:lang w:eastAsia="en-US"/>
              </w:rPr>
              <w:t>Amonyak</w:t>
            </w:r>
          </w:p>
        </w:tc>
        <w:tc>
          <w:tcPr>
            <w:tcW w:w="6505" w:type="dxa"/>
            <w:gridSpan w:val="2"/>
            <w:tcBorders>
              <w:top w:val="single" w:sz="4" w:space="0" w:color="000000"/>
              <w:left w:val="single" w:sz="4" w:space="0" w:color="000000"/>
              <w:bottom w:val="single" w:sz="4" w:space="0" w:color="000000"/>
              <w:right w:val="single" w:sz="4" w:space="0" w:color="000000"/>
            </w:tcBorders>
            <w:hideMark/>
          </w:tcPr>
          <w:p w14:paraId="18ABE541" w14:textId="609DC222" w:rsidR="00790361" w:rsidRPr="009077F5" w:rsidRDefault="00E63C6F" w:rsidP="00A202FD">
            <w:pPr>
              <w:ind w:left="57" w:right="57"/>
              <w:jc w:val="both"/>
              <w:rPr>
                <w:rFonts w:eastAsia="Calibri"/>
                <w:lang w:eastAsia="en-US"/>
              </w:rPr>
            </w:pPr>
            <w:r w:rsidRPr="009077F5">
              <w:rPr>
                <w:rFonts w:eastAsia="Calibri"/>
                <w:spacing w:val="-4"/>
                <w:lang w:eastAsia="en-US"/>
              </w:rPr>
              <w:t>Amonyağın bir bileşen veya parçalanma ürünü olduğu, amonyak yayan çözeltiler.</w:t>
            </w:r>
          </w:p>
        </w:tc>
      </w:tr>
      <w:tr w:rsidR="00790361" w:rsidRPr="00BF4451" w14:paraId="31A43E83" w14:textId="77777777" w:rsidTr="00E63C6F">
        <w:trPr>
          <w:trHeight w:hRule="exact" w:val="852"/>
          <w:jc w:val="center"/>
        </w:trPr>
        <w:tc>
          <w:tcPr>
            <w:tcW w:w="1696" w:type="dxa"/>
            <w:tcBorders>
              <w:top w:val="single" w:sz="4" w:space="0" w:color="000000"/>
              <w:left w:val="single" w:sz="4" w:space="0" w:color="000000"/>
              <w:bottom w:val="single" w:sz="4" w:space="0" w:color="000000"/>
              <w:right w:val="single" w:sz="4" w:space="0" w:color="000000"/>
            </w:tcBorders>
            <w:hideMark/>
          </w:tcPr>
          <w:p w14:paraId="6BB41F1E" w14:textId="52BB4136" w:rsidR="00790361" w:rsidRPr="009077F5" w:rsidRDefault="00E63C6F" w:rsidP="00A202FD">
            <w:pPr>
              <w:ind w:left="57" w:right="57"/>
              <w:jc w:val="both"/>
              <w:rPr>
                <w:rFonts w:eastAsia="Calibri"/>
                <w:lang w:eastAsia="en-US"/>
              </w:rPr>
            </w:pPr>
            <w:r w:rsidRPr="009077F5">
              <w:rPr>
                <w:rFonts w:eastAsia="Calibri"/>
                <w:lang w:eastAsia="en-US"/>
              </w:rPr>
              <w:t>Parlatma ve cilalama gibi toz üreten faaliyetler</w:t>
            </w:r>
          </w:p>
        </w:tc>
        <w:tc>
          <w:tcPr>
            <w:tcW w:w="6505" w:type="dxa"/>
            <w:gridSpan w:val="2"/>
            <w:tcBorders>
              <w:top w:val="single" w:sz="4" w:space="0" w:color="000000"/>
              <w:left w:val="single" w:sz="4" w:space="0" w:color="000000"/>
              <w:bottom w:val="single" w:sz="4" w:space="0" w:color="000000"/>
              <w:right w:val="single" w:sz="4" w:space="0" w:color="000000"/>
            </w:tcBorders>
          </w:tcPr>
          <w:p w14:paraId="781AA7CC" w14:textId="77777777" w:rsidR="00790361" w:rsidRPr="009077F5" w:rsidRDefault="00790361" w:rsidP="00A202FD">
            <w:pPr>
              <w:ind w:left="57" w:right="57"/>
              <w:jc w:val="both"/>
              <w:rPr>
                <w:rFonts w:eastAsia="Calibri"/>
                <w:lang w:eastAsia="en-US"/>
              </w:rPr>
            </w:pPr>
          </w:p>
        </w:tc>
      </w:tr>
      <w:tr w:rsidR="00790361" w:rsidRPr="00BF4451" w14:paraId="78D47DF0" w14:textId="77777777" w:rsidTr="000C734B">
        <w:trPr>
          <w:trHeight w:hRule="exact" w:val="920"/>
          <w:jc w:val="center"/>
        </w:trPr>
        <w:tc>
          <w:tcPr>
            <w:tcW w:w="1696" w:type="dxa"/>
            <w:tcBorders>
              <w:top w:val="single" w:sz="4" w:space="0" w:color="000000"/>
              <w:left w:val="single" w:sz="4" w:space="0" w:color="000000"/>
              <w:bottom w:val="single" w:sz="4" w:space="0" w:color="000000"/>
              <w:right w:val="single" w:sz="4" w:space="0" w:color="000000"/>
            </w:tcBorders>
          </w:tcPr>
          <w:p w14:paraId="44263ECF" w14:textId="496537D8" w:rsidR="00790361" w:rsidRPr="009077F5" w:rsidRDefault="00E63C6F" w:rsidP="00A202FD">
            <w:pPr>
              <w:ind w:left="57" w:right="57"/>
              <w:jc w:val="both"/>
              <w:rPr>
                <w:rFonts w:eastAsia="Calibri"/>
                <w:lang w:eastAsia="en-US"/>
              </w:rPr>
            </w:pPr>
            <w:r w:rsidRPr="009077F5">
              <w:rPr>
                <w:rFonts w:eastAsia="Calibri"/>
                <w:lang w:eastAsia="en-US"/>
              </w:rPr>
              <w:t>Çözünmeyen anotların kullanılması</w:t>
            </w:r>
          </w:p>
        </w:tc>
        <w:tc>
          <w:tcPr>
            <w:tcW w:w="6505" w:type="dxa"/>
            <w:gridSpan w:val="2"/>
            <w:tcBorders>
              <w:top w:val="single" w:sz="4" w:space="0" w:color="000000"/>
              <w:left w:val="single" w:sz="4" w:space="0" w:color="000000"/>
              <w:bottom w:val="single" w:sz="4" w:space="0" w:color="000000"/>
              <w:right w:val="single" w:sz="4" w:space="0" w:color="000000"/>
            </w:tcBorders>
          </w:tcPr>
          <w:p w14:paraId="7B6F531D" w14:textId="381ECA0B" w:rsidR="00790361" w:rsidRPr="009077F5" w:rsidRDefault="00E63C6F" w:rsidP="00A202FD">
            <w:pPr>
              <w:ind w:left="57" w:right="57"/>
              <w:jc w:val="both"/>
              <w:rPr>
                <w:rFonts w:eastAsia="Calibri"/>
                <w:lang w:eastAsia="en-US"/>
              </w:rPr>
            </w:pPr>
            <w:r w:rsidRPr="009077F5">
              <w:rPr>
                <w:rFonts w:eastAsia="Calibri"/>
                <w:lang w:eastAsia="en-US"/>
              </w:rPr>
              <w:t>Hepsi: hidrojen ve/veya oksijen oluşur ve alev alma riski vardır.</w:t>
            </w:r>
          </w:p>
        </w:tc>
      </w:tr>
      <w:tr w:rsidR="00790361" w:rsidRPr="00BF4451" w14:paraId="3F6753D7" w14:textId="77777777" w:rsidTr="00FD5D2F">
        <w:trPr>
          <w:trHeight w:val="216"/>
          <w:jc w:val="center"/>
        </w:trPr>
        <w:tc>
          <w:tcPr>
            <w:tcW w:w="8201" w:type="dxa"/>
            <w:gridSpan w:val="3"/>
            <w:tcBorders>
              <w:top w:val="single" w:sz="4" w:space="0" w:color="000000"/>
              <w:left w:val="single" w:sz="4" w:space="0" w:color="000000"/>
              <w:bottom w:val="single" w:sz="4" w:space="0" w:color="000000"/>
              <w:right w:val="single" w:sz="4" w:space="0" w:color="000000"/>
            </w:tcBorders>
            <w:hideMark/>
          </w:tcPr>
          <w:p w14:paraId="0AF04A84" w14:textId="77777777" w:rsidR="00790361" w:rsidRPr="009077F5" w:rsidRDefault="00790361" w:rsidP="00A202FD">
            <w:pPr>
              <w:ind w:left="57" w:right="57"/>
              <w:jc w:val="both"/>
              <w:rPr>
                <w:rFonts w:eastAsia="Calibri"/>
                <w:b/>
                <w:bCs/>
                <w:lang w:eastAsia="en-US"/>
              </w:rPr>
            </w:pPr>
            <w:r w:rsidRPr="009077F5">
              <w:rPr>
                <w:rFonts w:eastAsia="Calibri"/>
                <w:b/>
                <w:bCs/>
                <w:lang w:eastAsia="en-US"/>
              </w:rPr>
              <w:t>A</w:t>
            </w:r>
            <w:r w:rsidRPr="009077F5">
              <w:rPr>
                <w:rFonts w:eastAsia="Calibri"/>
                <w:b/>
                <w:bCs/>
                <w:spacing w:val="-1"/>
                <w:lang w:eastAsia="en-US"/>
              </w:rPr>
              <w:t>sit çözeltileri</w:t>
            </w:r>
          </w:p>
        </w:tc>
      </w:tr>
      <w:tr w:rsidR="00790361" w:rsidRPr="00BF4451" w14:paraId="5EA60824" w14:textId="77777777" w:rsidTr="00E63C6F">
        <w:trPr>
          <w:trHeight w:hRule="exact" w:val="533"/>
          <w:jc w:val="center"/>
        </w:trPr>
        <w:tc>
          <w:tcPr>
            <w:tcW w:w="1696" w:type="dxa"/>
            <w:tcBorders>
              <w:top w:val="single" w:sz="4" w:space="0" w:color="000000"/>
              <w:left w:val="single" w:sz="4" w:space="0" w:color="000000"/>
              <w:bottom w:val="single" w:sz="4" w:space="0" w:color="000000"/>
              <w:right w:val="single" w:sz="4" w:space="0" w:color="000000"/>
            </w:tcBorders>
          </w:tcPr>
          <w:p w14:paraId="7A08272F" w14:textId="77777777" w:rsidR="00790361" w:rsidRPr="009077F5" w:rsidRDefault="00790361" w:rsidP="00A202FD">
            <w:pPr>
              <w:ind w:left="57" w:right="57"/>
              <w:jc w:val="both"/>
              <w:rPr>
                <w:rFonts w:eastAsia="Calibri"/>
                <w:lang w:eastAsia="en-US"/>
              </w:rPr>
            </w:pPr>
          </w:p>
        </w:tc>
        <w:tc>
          <w:tcPr>
            <w:tcW w:w="2835" w:type="dxa"/>
            <w:tcBorders>
              <w:top w:val="single" w:sz="4" w:space="0" w:color="000000"/>
              <w:left w:val="single" w:sz="4" w:space="0" w:color="000000"/>
              <w:bottom w:val="single" w:sz="4" w:space="0" w:color="000000"/>
              <w:right w:val="single" w:sz="4" w:space="0" w:color="000000"/>
            </w:tcBorders>
            <w:hideMark/>
          </w:tcPr>
          <w:p w14:paraId="25D42C3D" w14:textId="135A72DF" w:rsidR="00790361" w:rsidRPr="009077F5" w:rsidRDefault="00790361" w:rsidP="00A202FD">
            <w:pPr>
              <w:ind w:left="57" w:right="57"/>
              <w:jc w:val="both"/>
              <w:rPr>
                <w:rFonts w:eastAsia="Calibri"/>
                <w:lang w:eastAsia="en-US"/>
              </w:rPr>
            </w:pPr>
            <w:r w:rsidRPr="009077F5">
              <w:rPr>
                <w:rFonts w:eastAsia="Calibri"/>
                <w:lang w:eastAsia="en-US"/>
              </w:rPr>
              <w:t>Ekstraksiyona ihtiyaç duy</w:t>
            </w:r>
            <w:r w:rsidR="00E63C6F" w:rsidRPr="009077F5">
              <w:rPr>
                <w:rFonts w:eastAsia="Calibri"/>
                <w:lang w:eastAsia="en-US"/>
              </w:rPr>
              <w:t>ul</w:t>
            </w:r>
            <w:r w:rsidRPr="009077F5">
              <w:rPr>
                <w:rFonts w:eastAsia="Calibri"/>
                <w:lang w:eastAsia="en-US"/>
              </w:rPr>
              <w:t>mayan çözeltiler</w:t>
            </w:r>
          </w:p>
        </w:tc>
        <w:tc>
          <w:tcPr>
            <w:tcW w:w="3670" w:type="dxa"/>
            <w:tcBorders>
              <w:top w:val="single" w:sz="4" w:space="0" w:color="000000"/>
              <w:left w:val="single" w:sz="4" w:space="0" w:color="000000"/>
              <w:bottom w:val="single" w:sz="4" w:space="0" w:color="000000"/>
              <w:right w:val="single" w:sz="4" w:space="0" w:color="000000"/>
            </w:tcBorders>
            <w:hideMark/>
          </w:tcPr>
          <w:p w14:paraId="57B1E4DE" w14:textId="5B1D0E17" w:rsidR="00790361" w:rsidRPr="009077F5" w:rsidRDefault="00790361" w:rsidP="00A202FD">
            <w:pPr>
              <w:ind w:left="57" w:right="57"/>
              <w:jc w:val="both"/>
              <w:rPr>
                <w:rFonts w:eastAsia="Calibri"/>
                <w:lang w:eastAsia="en-US"/>
              </w:rPr>
            </w:pPr>
            <w:r w:rsidRPr="009077F5">
              <w:rPr>
                <w:rFonts w:eastAsia="Calibri"/>
                <w:lang w:eastAsia="en-US"/>
              </w:rPr>
              <w:t>Ekstraksiyona ihtiyaç duy</w:t>
            </w:r>
            <w:r w:rsidR="00E63C6F" w:rsidRPr="009077F5">
              <w:rPr>
                <w:rFonts w:eastAsia="Calibri"/>
                <w:lang w:eastAsia="en-US"/>
              </w:rPr>
              <w:t>ul</w:t>
            </w:r>
            <w:r w:rsidRPr="009077F5">
              <w:rPr>
                <w:rFonts w:eastAsia="Calibri"/>
                <w:lang w:eastAsia="en-US"/>
              </w:rPr>
              <w:t>an çözeltiler</w:t>
            </w:r>
          </w:p>
        </w:tc>
      </w:tr>
      <w:tr w:rsidR="00790361" w:rsidRPr="00BF4451" w14:paraId="2FCF860B" w14:textId="77777777" w:rsidTr="001F4486">
        <w:trPr>
          <w:trHeight w:hRule="exact" w:val="4350"/>
          <w:jc w:val="center"/>
        </w:trPr>
        <w:tc>
          <w:tcPr>
            <w:tcW w:w="1696" w:type="dxa"/>
            <w:tcBorders>
              <w:top w:val="single" w:sz="4" w:space="0" w:color="000000"/>
              <w:left w:val="single" w:sz="4" w:space="0" w:color="000000"/>
              <w:bottom w:val="single" w:sz="4" w:space="0" w:color="000000"/>
              <w:right w:val="single" w:sz="4" w:space="0" w:color="000000"/>
            </w:tcBorders>
          </w:tcPr>
          <w:p w14:paraId="2478C6B1" w14:textId="1C2AE05C" w:rsidR="00790361" w:rsidRPr="009077F5" w:rsidRDefault="00E63C6F" w:rsidP="00A202FD">
            <w:pPr>
              <w:ind w:left="57" w:right="57"/>
              <w:jc w:val="both"/>
              <w:rPr>
                <w:rFonts w:eastAsia="Calibri"/>
                <w:lang w:eastAsia="en-US"/>
              </w:rPr>
            </w:pPr>
            <w:r w:rsidRPr="009077F5">
              <w:rPr>
                <w:rFonts w:eastAsia="Calibri"/>
                <w:lang w:eastAsia="en-US"/>
              </w:rPr>
              <w:t>NOX emisyonlu nitrik asit prosesleri</w:t>
            </w:r>
          </w:p>
        </w:tc>
        <w:tc>
          <w:tcPr>
            <w:tcW w:w="2835" w:type="dxa"/>
            <w:tcBorders>
              <w:top w:val="single" w:sz="4" w:space="0" w:color="000000"/>
              <w:left w:val="single" w:sz="4" w:space="0" w:color="000000"/>
              <w:bottom w:val="single" w:sz="4" w:space="0" w:color="000000"/>
              <w:right w:val="single" w:sz="4" w:space="0" w:color="000000"/>
            </w:tcBorders>
          </w:tcPr>
          <w:p w14:paraId="486B332A" w14:textId="77777777" w:rsidR="00790361" w:rsidRPr="009077F5" w:rsidRDefault="00790361" w:rsidP="00A202FD">
            <w:pPr>
              <w:ind w:left="57" w:right="57"/>
              <w:jc w:val="both"/>
              <w:rPr>
                <w:rFonts w:eastAsia="Calibri"/>
                <w:lang w:eastAsia="en-US"/>
              </w:rPr>
            </w:pPr>
          </w:p>
        </w:tc>
        <w:tc>
          <w:tcPr>
            <w:tcW w:w="3670" w:type="dxa"/>
            <w:tcBorders>
              <w:top w:val="single" w:sz="4" w:space="0" w:color="000000"/>
              <w:left w:val="single" w:sz="4" w:space="0" w:color="000000"/>
              <w:bottom w:val="single" w:sz="4" w:space="0" w:color="000000"/>
              <w:right w:val="single" w:sz="4" w:space="0" w:color="000000"/>
            </w:tcBorders>
            <w:hideMark/>
          </w:tcPr>
          <w:p w14:paraId="24D9BAFA" w14:textId="77777777" w:rsidR="00E63C6F" w:rsidRPr="009077F5" w:rsidRDefault="00E63C6F" w:rsidP="00A202FD">
            <w:pPr>
              <w:tabs>
                <w:tab w:val="left" w:pos="400"/>
              </w:tabs>
              <w:ind w:left="57" w:right="57"/>
              <w:jc w:val="both"/>
              <w:rPr>
                <w:rFonts w:eastAsia="Calibri"/>
                <w:color w:val="212121"/>
              </w:rPr>
            </w:pPr>
            <w:r w:rsidRPr="009077F5">
              <w:rPr>
                <w:rFonts w:eastAsia="Calibri"/>
                <w:color w:val="212121"/>
              </w:rPr>
              <w:t>Metalin yüzey işlemine yönelik, havaya asit oluşturan azot oksit salınımına yol açma olasılığı bulunan işlemler şunlardır:</w:t>
            </w:r>
          </w:p>
          <w:p w14:paraId="6B4ABD91" w14:textId="77777777" w:rsidR="00E63C6F" w:rsidRPr="009077F5" w:rsidRDefault="00E63C6F" w:rsidP="00602365">
            <w:pPr>
              <w:pStyle w:val="ListeParagraf"/>
              <w:widowControl/>
              <w:numPr>
                <w:ilvl w:val="0"/>
                <w:numId w:val="210"/>
              </w:numPr>
              <w:tabs>
                <w:tab w:val="clear" w:pos="567"/>
              </w:tabs>
              <w:spacing w:line="240" w:lineRule="auto"/>
              <w:ind w:left="428" w:right="57" w:hanging="284"/>
              <w:rPr>
                <w:rFonts w:eastAsia="Calibri"/>
                <w:color w:val="212121"/>
                <w:sz w:val="24"/>
                <w:szCs w:val="24"/>
              </w:rPr>
            </w:pPr>
            <w:r w:rsidRPr="009077F5">
              <w:rPr>
                <w:rFonts w:eastAsia="Calibri"/>
                <w:color w:val="212121"/>
                <w:sz w:val="24"/>
                <w:szCs w:val="24"/>
              </w:rPr>
              <w:t>alüminyumun kimyasal parlatılması</w:t>
            </w:r>
          </w:p>
          <w:p w14:paraId="2D574D67" w14:textId="77777777" w:rsidR="00E63C6F" w:rsidRPr="009077F5" w:rsidRDefault="00E63C6F" w:rsidP="00602365">
            <w:pPr>
              <w:pStyle w:val="ListeParagraf"/>
              <w:widowControl/>
              <w:numPr>
                <w:ilvl w:val="0"/>
                <w:numId w:val="210"/>
              </w:numPr>
              <w:tabs>
                <w:tab w:val="clear" w:pos="567"/>
              </w:tabs>
              <w:spacing w:line="240" w:lineRule="auto"/>
              <w:ind w:left="428" w:right="57" w:hanging="284"/>
              <w:rPr>
                <w:rFonts w:eastAsia="Calibri"/>
                <w:color w:val="212121"/>
                <w:sz w:val="24"/>
                <w:szCs w:val="24"/>
              </w:rPr>
            </w:pPr>
            <w:r w:rsidRPr="009077F5">
              <w:rPr>
                <w:rFonts w:eastAsia="Calibri"/>
                <w:color w:val="212121"/>
                <w:sz w:val="24"/>
                <w:szCs w:val="24"/>
              </w:rPr>
              <w:t>bakır alaşımlarının kimyasal parlatılmasının parlak daldırılması</w:t>
            </w:r>
          </w:p>
          <w:p w14:paraId="09412749" w14:textId="4BFDB56E" w:rsidR="00E63C6F" w:rsidRPr="009077F5" w:rsidRDefault="00E63C6F" w:rsidP="00602365">
            <w:pPr>
              <w:pStyle w:val="ListeParagraf"/>
              <w:widowControl/>
              <w:numPr>
                <w:ilvl w:val="0"/>
                <w:numId w:val="210"/>
              </w:numPr>
              <w:tabs>
                <w:tab w:val="clear" w:pos="567"/>
              </w:tabs>
              <w:spacing w:line="240" w:lineRule="auto"/>
              <w:ind w:left="428" w:right="57" w:hanging="284"/>
              <w:rPr>
                <w:rFonts w:eastAsia="Calibri"/>
                <w:color w:val="212121"/>
                <w:sz w:val="24"/>
                <w:szCs w:val="24"/>
              </w:rPr>
            </w:pPr>
            <w:r w:rsidRPr="009077F5">
              <w:rPr>
                <w:rFonts w:eastAsia="Calibri"/>
                <w:color w:val="212121"/>
                <w:sz w:val="24"/>
                <w:szCs w:val="24"/>
              </w:rPr>
              <w:t>hidroflorik asit de içerebilen nitrik asit kullanılarak dekapaj</w:t>
            </w:r>
          </w:p>
          <w:p w14:paraId="238CDE35" w14:textId="77777777" w:rsidR="00E63C6F" w:rsidRPr="009077F5" w:rsidRDefault="00E63C6F" w:rsidP="00602365">
            <w:pPr>
              <w:pStyle w:val="ListeParagraf"/>
              <w:widowControl/>
              <w:numPr>
                <w:ilvl w:val="0"/>
                <w:numId w:val="210"/>
              </w:numPr>
              <w:tabs>
                <w:tab w:val="clear" w:pos="567"/>
              </w:tabs>
              <w:spacing w:line="240" w:lineRule="auto"/>
              <w:ind w:left="428" w:right="57" w:hanging="284"/>
              <w:rPr>
                <w:rFonts w:eastAsia="Calibri"/>
                <w:color w:val="212121"/>
                <w:sz w:val="24"/>
                <w:szCs w:val="24"/>
              </w:rPr>
            </w:pPr>
            <w:r w:rsidRPr="009077F5">
              <w:rPr>
                <w:rFonts w:eastAsia="Calibri"/>
                <w:color w:val="212121"/>
                <w:sz w:val="24"/>
                <w:szCs w:val="24"/>
              </w:rPr>
              <w:t>nitrik asit kullanılarak yerinde temizleme</w:t>
            </w:r>
          </w:p>
          <w:p w14:paraId="2150B229" w14:textId="6E35640E" w:rsidR="00790361" w:rsidRPr="009077F5" w:rsidRDefault="00E63C6F" w:rsidP="00602365">
            <w:pPr>
              <w:pStyle w:val="ListeParagraf"/>
              <w:widowControl/>
              <w:numPr>
                <w:ilvl w:val="0"/>
                <w:numId w:val="210"/>
              </w:numPr>
              <w:tabs>
                <w:tab w:val="clear" w:pos="567"/>
              </w:tabs>
              <w:spacing w:line="240" w:lineRule="auto"/>
              <w:ind w:left="428" w:right="57" w:hanging="284"/>
              <w:rPr>
                <w:rFonts w:eastAsia="Calibri"/>
                <w:sz w:val="24"/>
                <w:szCs w:val="24"/>
              </w:rPr>
            </w:pPr>
            <w:r w:rsidRPr="009077F5">
              <w:rPr>
                <w:rFonts w:eastAsia="Calibri"/>
                <w:color w:val="212121"/>
                <w:sz w:val="24"/>
                <w:szCs w:val="24"/>
              </w:rPr>
              <w:t>nitrik asit kullanılarak kimyasal sıyırma</w:t>
            </w:r>
          </w:p>
        </w:tc>
      </w:tr>
      <w:tr w:rsidR="00790361" w:rsidRPr="00BF4451" w14:paraId="320263FF" w14:textId="77777777" w:rsidTr="001F4486">
        <w:trPr>
          <w:trHeight w:hRule="exact" w:val="3122"/>
          <w:jc w:val="center"/>
        </w:trPr>
        <w:tc>
          <w:tcPr>
            <w:tcW w:w="1696" w:type="dxa"/>
            <w:tcBorders>
              <w:top w:val="single" w:sz="4" w:space="0" w:color="000000"/>
              <w:left w:val="single" w:sz="4" w:space="0" w:color="000000"/>
              <w:bottom w:val="single" w:sz="4" w:space="0" w:color="000000"/>
              <w:right w:val="single" w:sz="4" w:space="0" w:color="000000"/>
            </w:tcBorders>
          </w:tcPr>
          <w:p w14:paraId="4E5B3056" w14:textId="77777777" w:rsidR="00790361" w:rsidRPr="009077F5" w:rsidRDefault="00790361" w:rsidP="00A202FD">
            <w:pPr>
              <w:ind w:left="57" w:right="57"/>
              <w:jc w:val="both"/>
              <w:rPr>
                <w:rFonts w:eastAsia="Calibri"/>
                <w:lang w:eastAsia="en-US"/>
              </w:rPr>
            </w:pPr>
            <w:r w:rsidRPr="009077F5">
              <w:rPr>
                <w:rFonts w:eastAsia="Calibri"/>
                <w:lang w:eastAsia="en-US"/>
              </w:rPr>
              <w:t>Hidroklorik asit kullanılarak dekapaj ve sıyırma</w:t>
            </w:r>
          </w:p>
        </w:tc>
        <w:tc>
          <w:tcPr>
            <w:tcW w:w="2835" w:type="dxa"/>
            <w:tcBorders>
              <w:top w:val="single" w:sz="4" w:space="0" w:color="000000"/>
              <w:left w:val="single" w:sz="4" w:space="0" w:color="000000"/>
              <w:bottom w:val="single" w:sz="4" w:space="0" w:color="000000"/>
              <w:right w:val="single" w:sz="4" w:space="0" w:color="000000"/>
            </w:tcBorders>
          </w:tcPr>
          <w:p w14:paraId="13B1496F" w14:textId="3BAED507" w:rsidR="00790361" w:rsidRPr="009077F5" w:rsidRDefault="00E63C6F" w:rsidP="00A202FD">
            <w:pPr>
              <w:ind w:left="57" w:right="57"/>
              <w:jc w:val="both"/>
              <w:rPr>
                <w:rFonts w:eastAsia="Calibri"/>
                <w:lang w:eastAsia="en-US"/>
              </w:rPr>
            </w:pPr>
            <w:r w:rsidRPr="009077F5">
              <w:rPr>
                <w:rFonts w:eastAsia="Calibri"/>
                <w:color w:val="212121"/>
              </w:rPr>
              <w:t>Ortam sıcaklığında ve %50 v/v teknik sınıfın altındaki konsantrasyonlarda suyla kullanılan hidroklorik asit genellikle sağlık ve güvenlik nedenleriyle ekstraksiyon gerektiren HCl gazı veya dumanı üretmez.</w:t>
            </w:r>
          </w:p>
        </w:tc>
        <w:tc>
          <w:tcPr>
            <w:tcW w:w="3670" w:type="dxa"/>
            <w:tcBorders>
              <w:top w:val="single" w:sz="4" w:space="0" w:color="000000"/>
              <w:left w:val="single" w:sz="4" w:space="0" w:color="000000"/>
              <w:bottom w:val="single" w:sz="4" w:space="0" w:color="000000"/>
              <w:right w:val="single" w:sz="4" w:space="0" w:color="000000"/>
            </w:tcBorders>
          </w:tcPr>
          <w:p w14:paraId="2143683B" w14:textId="6A6F1F94" w:rsidR="00790361" w:rsidRPr="009077F5" w:rsidRDefault="001A2F1D" w:rsidP="00A202FD">
            <w:pPr>
              <w:jc w:val="both"/>
              <w:rPr>
                <w:rFonts w:eastAsia="Calibri"/>
                <w:lang w:eastAsia="en-US"/>
              </w:rPr>
            </w:pPr>
            <w:r w:rsidRPr="009077F5">
              <w:rPr>
                <w:rFonts w:eastAsia="Calibri"/>
                <w:lang w:eastAsia="en-US"/>
              </w:rPr>
              <w:t>Daha yüksek konsantrasyonlarda ve/veya yüksek sıcaklıklarda kullanılan hidroklorik asit, sağlık ve güvenlik nedenleriyle ve iş yerinde korozyonu önlemek için çıkarılması gereken önemli miktarda HCl gazı veya dumanı salınımı üretir. (Teknik sınıfı %31 - %36 HCl</w:t>
            </w:r>
            <w:r w:rsidR="00E56504" w:rsidRPr="009077F5">
              <w:rPr>
                <w:rFonts w:eastAsia="Calibri"/>
                <w:lang w:eastAsia="en-US"/>
              </w:rPr>
              <w:t>’</w:t>
            </w:r>
            <w:r w:rsidRPr="009077F5">
              <w:rPr>
                <w:rFonts w:eastAsia="Calibri"/>
                <w:lang w:eastAsia="en-US"/>
              </w:rPr>
              <w:t>dir, bu nedenle %50 seyreltme yaklaşık %15 - %18 HCl çözeltisine eşittir. Bundan daha güçlü çözeltiler çıkarılması gerekir).</w:t>
            </w:r>
          </w:p>
        </w:tc>
      </w:tr>
      <w:tr w:rsidR="00790361" w:rsidRPr="00BF4451" w14:paraId="4EF2945D" w14:textId="77777777" w:rsidTr="00FE7A41">
        <w:trPr>
          <w:trHeight w:hRule="exact" w:val="1735"/>
          <w:jc w:val="center"/>
        </w:trPr>
        <w:tc>
          <w:tcPr>
            <w:tcW w:w="1696" w:type="dxa"/>
            <w:tcBorders>
              <w:top w:val="single" w:sz="4" w:space="0" w:color="000000"/>
              <w:left w:val="single" w:sz="4" w:space="0" w:color="000000"/>
              <w:bottom w:val="single" w:sz="4" w:space="0" w:color="000000"/>
              <w:right w:val="single" w:sz="4" w:space="0" w:color="000000"/>
            </w:tcBorders>
          </w:tcPr>
          <w:p w14:paraId="53015061" w14:textId="77777777" w:rsidR="00790361" w:rsidRPr="009077F5" w:rsidRDefault="00790361" w:rsidP="00A202FD">
            <w:pPr>
              <w:ind w:left="57" w:right="57"/>
              <w:jc w:val="both"/>
              <w:rPr>
                <w:rFonts w:eastAsia="Calibri"/>
                <w:lang w:eastAsia="en-US"/>
              </w:rPr>
            </w:pPr>
            <w:r w:rsidRPr="009077F5">
              <w:rPr>
                <w:rFonts w:eastAsia="Calibri"/>
                <w:lang w:eastAsia="en-US"/>
              </w:rPr>
              <w:t>Sülfürik asit kullanılarak dekapaj ve sıyırma</w:t>
            </w:r>
          </w:p>
        </w:tc>
        <w:tc>
          <w:tcPr>
            <w:tcW w:w="2835" w:type="dxa"/>
            <w:tcBorders>
              <w:top w:val="single" w:sz="4" w:space="0" w:color="000000"/>
              <w:left w:val="single" w:sz="4" w:space="0" w:color="000000"/>
              <w:bottom w:val="single" w:sz="4" w:space="0" w:color="000000"/>
              <w:right w:val="single" w:sz="4" w:space="0" w:color="000000"/>
            </w:tcBorders>
            <w:hideMark/>
          </w:tcPr>
          <w:p w14:paraId="74758E0C" w14:textId="679C5BDF" w:rsidR="00790361" w:rsidRPr="009077F5" w:rsidRDefault="001A2F1D" w:rsidP="00A20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eastAsia="Calibri"/>
                <w:lang w:eastAsia="en-US"/>
              </w:rPr>
            </w:pPr>
            <w:r w:rsidRPr="009077F5">
              <w:rPr>
                <w:rFonts w:eastAsia="Calibri"/>
                <w:color w:val="212121"/>
              </w:rPr>
              <w:t>60°C</w:t>
            </w:r>
            <w:r w:rsidR="00E56504" w:rsidRPr="009077F5">
              <w:rPr>
                <w:rFonts w:eastAsia="Calibri"/>
                <w:color w:val="212121"/>
              </w:rPr>
              <w:t>’</w:t>
            </w:r>
            <w:r w:rsidRPr="009077F5">
              <w:rPr>
                <w:rFonts w:eastAsia="Calibri"/>
                <w:color w:val="212121"/>
              </w:rPr>
              <w:t>nin altındaki sıcaklıklarda kullanılan sülfürik asit genellikle sağlık ve güvenlik nedeniyle ekstraksiyon gerektiren asit sisleri oluşturmaz.</w:t>
            </w:r>
          </w:p>
        </w:tc>
        <w:tc>
          <w:tcPr>
            <w:tcW w:w="3670" w:type="dxa"/>
            <w:tcBorders>
              <w:top w:val="single" w:sz="4" w:space="0" w:color="000000"/>
              <w:left w:val="single" w:sz="4" w:space="0" w:color="000000"/>
              <w:bottom w:val="single" w:sz="4" w:space="0" w:color="000000"/>
              <w:right w:val="single" w:sz="4" w:space="0" w:color="000000"/>
            </w:tcBorders>
          </w:tcPr>
          <w:p w14:paraId="5CD76961" w14:textId="0C7BA505" w:rsidR="00790361" w:rsidRPr="009077F5" w:rsidRDefault="001A2F1D" w:rsidP="00A202FD">
            <w:pPr>
              <w:jc w:val="both"/>
              <w:rPr>
                <w:rFonts w:eastAsia="Calibri"/>
                <w:lang w:eastAsia="en-US"/>
              </w:rPr>
            </w:pPr>
            <w:r w:rsidRPr="009077F5">
              <w:rPr>
                <w:rFonts w:eastAsia="Calibri"/>
              </w:rPr>
              <w:t>60°C</w:t>
            </w:r>
            <w:r w:rsidR="00E56504" w:rsidRPr="009077F5">
              <w:rPr>
                <w:rFonts w:eastAsia="Calibri"/>
              </w:rPr>
              <w:t>’</w:t>
            </w:r>
            <w:r w:rsidRPr="009077F5">
              <w:rPr>
                <w:rFonts w:eastAsia="Calibri"/>
              </w:rPr>
              <w:t>nin üzerindeki sıcaklıklarda kullanılan sülfürik asit, sağlık ve güvenlik nedenleriyle ve iş yerinde korozyonu önlemek için çıkarılması gereken ince bir asit aerosolü açığa çıkarır.</w:t>
            </w:r>
          </w:p>
        </w:tc>
      </w:tr>
      <w:tr w:rsidR="00790361" w:rsidRPr="00BF4451" w14:paraId="549F6B8A" w14:textId="77777777" w:rsidTr="00E63C6F">
        <w:trPr>
          <w:trHeight w:hRule="exact" w:val="567"/>
          <w:jc w:val="center"/>
        </w:trPr>
        <w:tc>
          <w:tcPr>
            <w:tcW w:w="1696" w:type="dxa"/>
            <w:tcBorders>
              <w:top w:val="single" w:sz="4" w:space="0" w:color="000000"/>
              <w:left w:val="single" w:sz="4" w:space="0" w:color="000000"/>
              <w:bottom w:val="single" w:sz="4" w:space="0" w:color="000000"/>
              <w:right w:val="single" w:sz="4" w:space="0" w:color="000000"/>
            </w:tcBorders>
            <w:hideMark/>
          </w:tcPr>
          <w:p w14:paraId="4B32A3BA" w14:textId="77777777" w:rsidR="00790361" w:rsidRPr="009077F5" w:rsidRDefault="00790361" w:rsidP="00A202FD">
            <w:pPr>
              <w:ind w:left="57" w:right="57"/>
              <w:jc w:val="both"/>
              <w:rPr>
                <w:rFonts w:eastAsia="Calibri"/>
                <w:lang w:eastAsia="en-US"/>
              </w:rPr>
            </w:pPr>
            <w:r w:rsidRPr="009077F5">
              <w:rPr>
                <w:rFonts w:eastAsia="Calibri"/>
                <w:spacing w:val="1"/>
                <w:lang w:eastAsia="en-US"/>
              </w:rPr>
              <w:t>Hidroflorik asitle dekapaj</w:t>
            </w:r>
          </w:p>
        </w:tc>
        <w:tc>
          <w:tcPr>
            <w:tcW w:w="2835" w:type="dxa"/>
            <w:tcBorders>
              <w:top w:val="single" w:sz="4" w:space="0" w:color="000000"/>
              <w:left w:val="single" w:sz="4" w:space="0" w:color="000000"/>
              <w:bottom w:val="single" w:sz="4" w:space="0" w:color="000000"/>
              <w:right w:val="single" w:sz="4" w:space="0" w:color="000000"/>
            </w:tcBorders>
          </w:tcPr>
          <w:p w14:paraId="70BFFEA5" w14:textId="77777777" w:rsidR="00790361" w:rsidRPr="009077F5" w:rsidRDefault="00790361" w:rsidP="00A202FD">
            <w:pPr>
              <w:ind w:left="57" w:right="57"/>
              <w:jc w:val="both"/>
              <w:rPr>
                <w:rFonts w:eastAsia="Calibri"/>
                <w:lang w:eastAsia="en-US"/>
              </w:rPr>
            </w:pPr>
          </w:p>
        </w:tc>
        <w:tc>
          <w:tcPr>
            <w:tcW w:w="3670" w:type="dxa"/>
            <w:tcBorders>
              <w:top w:val="single" w:sz="4" w:space="0" w:color="000000"/>
              <w:left w:val="single" w:sz="4" w:space="0" w:color="000000"/>
              <w:bottom w:val="single" w:sz="4" w:space="0" w:color="000000"/>
              <w:right w:val="single" w:sz="4" w:space="0" w:color="000000"/>
            </w:tcBorders>
          </w:tcPr>
          <w:p w14:paraId="1098E53F" w14:textId="77777777" w:rsidR="00790361" w:rsidRPr="009077F5" w:rsidRDefault="00790361" w:rsidP="00A202FD">
            <w:pPr>
              <w:ind w:left="57" w:right="57"/>
              <w:jc w:val="both"/>
              <w:rPr>
                <w:rFonts w:eastAsia="Calibri"/>
                <w:lang w:eastAsia="en-US"/>
              </w:rPr>
            </w:pPr>
            <w:r w:rsidRPr="009077F5">
              <w:rPr>
                <w:rFonts w:eastAsia="Calibri"/>
                <w:lang w:eastAsia="en-US"/>
              </w:rPr>
              <w:t>Bütün durumlarda</w:t>
            </w:r>
          </w:p>
        </w:tc>
      </w:tr>
      <w:tr w:rsidR="00790361" w:rsidRPr="00BF4451" w14:paraId="6BC1AB87" w14:textId="77777777" w:rsidTr="00FD5D2F">
        <w:trPr>
          <w:trHeight w:val="218"/>
          <w:jc w:val="center"/>
        </w:trPr>
        <w:tc>
          <w:tcPr>
            <w:tcW w:w="8201" w:type="dxa"/>
            <w:gridSpan w:val="3"/>
            <w:tcBorders>
              <w:top w:val="single" w:sz="4" w:space="0" w:color="000000"/>
              <w:left w:val="single" w:sz="4" w:space="0" w:color="000000"/>
              <w:bottom w:val="single" w:sz="4" w:space="0" w:color="000000"/>
              <w:right w:val="single" w:sz="4" w:space="0" w:color="000000"/>
            </w:tcBorders>
            <w:hideMark/>
          </w:tcPr>
          <w:p w14:paraId="02ED7C2E" w14:textId="77777777" w:rsidR="00790361" w:rsidRPr="009077F5" w:rsidRDefault="00790361" w:rsidP="00A202FD">
            <w:pPr>
              <w:ind w:left="57" w:right="57"/>
              <w:jc w:val="both"/>
              <w:rPr>
                <w:rFonts w:eastAsia="Calibri"/>
                <w:lang w:eastAsia="en-US"/>
              </w:rPr>
            </w:pPr>
            <w:r w:rsidRPr="009077F5">
              <w:rPr>
                <w:rFonts w:eastAsia="Calibri"/>
                <w:lang w:eastAsia="en-US"/>
              </w:rPr>
              <w:t>Alkali çözeltiler</w:t>
            </w:r>
          </w:p>
        </w:tc>
      </w:tr>
      <w:tr w:rsidR="00790361" w:rsidRPr="00BF4451" w14:paraId="1826FE5D" w14:textId="77777777" w:rsidTr="00FE7A41">
        <w:trPr>
          <w:trHeight w:hRule="exact" w:val="1574"/>
          <w:jc w:val="center"/>
        </w:trPr>
        <w:tc>
          <w:tcPr>
            <w:tcW w:w="1696" w:type="dxa"/>
            <w:tcBorders>
              <w:top w:val="single" w:sz="4" w:space="0" w:color="000000"/>
              <w:left w:val="single" w:sz="4" w:space="0" w:color="000000"/>
              <w:bottom w:val="single" w:sz="4" w:space="0" w:color="000000"/>
              <w:right w:val="single" w:sz="4" w:space="0" w:color="000000"/>
            </w:tcBorders>
          </w:tcPr>
          <w:p w14:paraId="1376FCA8" w14:textId="77777777" w:rsidR="00790361" w:rsidRPr="009077F5" w:rsidRDefault="00790361" w:rsidP="00A202FD">
            <w:pPr>
              <w:ind w:left="57" w:right="57"/>
              <w:jc w:val="both"/>
              <w:rPr>
                <w:rFonts w:eastAsia="Calibri"/>
                <w:lang w:eastAsia="en-US"/>
              </w:rPr>
            </w:pPr>
            <w:r w:rsidRPr="009077F5">
              <w:rPr>
                <w:rFonts w:eastAsia="Calibri"/>
                <w:lang w:eastAsia="en-US"/>
              </w:rPr>
              <w:t>Sulu alkali temizleme</w:t>
            </w:r>
          </w:p>
        </w:tc>
        <w:tc>
          <w:tcPr>
            <w:tcW w:w="2835" w:type="dxa"/>
            <w:tcBorders>
              <w:top w:val="single" w:sz="4" w:space="0" w:color="000000"/>
              <w:left w:val="single" w:sz="4" w:space="0" w:color="000000"/>
              <w:bottom w:val="single" w:sz="4" w:space="0" w:color="000000"/>
              <w:right w:val="single" w:sz="4" w:space="0" w:color="000000"/>
            </w:tcBorders>
          </w:tcPr>
          <w:p w14:paraId="56C7623E" w14:textId="468B395D" w:rsidR="00790361" w:rsidRPr="009077F5" w:rsidRDefault="001A2F1D" w:rsidP="00A20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eastAsia="Calibri"/>
                <w:lang w:eastAsia="en-US"/>
              </w:rPr>
            </w:pPr>
            <w:r w:rsidRPr="009077F5">
              <w:rPr>
                <w:rFonts w:eastAsia="Calibri"/>
                <w:color w:val="212121"/>
              </w:rPr>
              <w:t>Alkali temizlik kimyasalları uçucu değildir ve sağlık, güvenlik veya yerel çevre koruma nedenleriyle duman tahliyesi gerektirmez.</w:t>
            </w:r>
          </w:p>
        </w:tc>
        <w:tc>
          <w:tcPr>
            <w:tcW w:w="3670" w:type="dxa"/>
            <w:tcBorders>
              <w:top w:val="single" w:sz="4" w:space="0" w:color="000000"/>
              <w:left w:val="single" w:sz="4" w:space="0" w:color="000000"/>
              <w:bottom w:val="single" w:sz="4" w:space="0" w:color="000000"/>
              <w:right w:val="single" w:sz="4" w:space="0" w:color="000000"/>
            </w:tcBorders>
          </w:tcPr>
          <w:p w14:paraId="2ED40DED" w14:textId="1DB07168" w:rsidR="00790361" w:rsidRPr="009077F5" w:rsidRDefault="001A2F1D" w:rsidP="00A202FD">
            <w:pPr>
              <w:shd w:val="clear" w:color="auto" w:fill="FFFFFF"/>
              <w:tabs>
                <w:tab w:val="left" w:pos="916"/>
                <w:tab w:val="left" w:pos="1832"/>
                <w:tab w:val="left" w:pos="2748"/>
                <w:tab w:val="left" w:pos="3663"/>
                <w:tab w:val="left" w:pos="4580"/>
                <w:tab w:val="left" w:pos="5496"/>
                <w:tab w:val="left" w:pos="7328"/>
                <w:tab w:val="left" w:pos="8244"/>
                <w:tab w:val="left" w:pos="9160"/>
                <w:tab w:val="left" w:pos="10076"/>
                <w:tab w:val="left" w:pos="10992"/>
                <w:tab w:val="left" w:pos="11908"/>
                <w:tab w:val="left" w:pos="12824"/>
                <w:tab w:val="left" w:pos="13740"/>
                <w:tab w:val="left" w:pos="14656"/>
              </w:tabs>
              <w:ind w:left="57" w:right="57"/>
              <w:jc w:val="both"/>
              <w:rPr>
                <w:rFonts w:eastAsia="Calibri"/>
                <w:lang w:eastAsia="en-US"/>
              </w:rPr>
            </w:pPr>
            <w:r w:rsidRPr="009077F5">
              <w:rPr>
                <w:rFonts w:eastAsia="Calibri"/>
                <w:color w:val="212121"/>
              </w:rPr>
              <w:t>60°C</w:t>
            </w:r>
            <w:r w:rsidR="00E56504" w:rsidRPr="009077F5">
              <w:rPr>
                <w:rFonts w:eastAsia="Calibri"/>
                <w:color w:val="212121"/>
              </w:rPr>
              <w:t>’</w:t>
            </w:r>
            <w:r w:rsidRPr="009077F5">
              <w:rPr>
                <w:rFonts w:eastAsia="Calibri"/>
                <w:color w:val="212121"/>
              </w:rPr>
              <w:t>nin üzerinde çalışan alkali temizleme tankları, operatörün konforu ve korozyonun önlenmesi için önemli miktarda su buharı üretebilir.</w:t>
            </w:r>
          </w:p>
        </w:tc>
      </w:tr>
    </w:tbl>
    <w:p w14:paraId="2AF8F148" w14:textId="77777777" w:rsidR="00790361" w:rsidRPr="00D53A2B" w:rsidRDefault="00790361" w:rsidP="00A202FD">
      <w:pPr>
        <w:jc w:val="both"/>
        <w:rPr>
          <w:rFonts w:eastAsia="Calibri"/>
        </w:rPr>
      </w:pPr>
    </w:p>
    <w:p w14:paraId="13252238" w14:textId="5B2B4A59" w:rsidR="001A2F1D" w:rsidRPr="00D53A2B" w:rsidRDefault="001A2F1D" w:rsidP="00A202FD">
      <w:pPr>
        <w:jc w:val="both"/>
        <w:rPr>
          <w:rFonts w:eastAsia="Calibri"/>
        </w:rPr>
      </w:pPr>
      <w:r w:rsidRPr="00D53A2B">
        <w:rPr>
          <w:rFonts w:eastAsia="Calibri"/>
        </w:rPr>
        <w:t>Tablo 5.4</w:t>
      </w:r>
      <w:r w:rsidR="00E56504" w:rsidRPr="00D53A2B">
        <w:rPr>
          <w:rFonts w:eastAsia="Calibri"/>
        </w:rPr>
        <w:t>’</w:t>
      </w:r>
      <w:r w:rsidRPr="00D53A2B">
        <w:rPr>
          <w:rFonts w:eastAsia="Calibri"/>
        </w:rPr>
        <w:t>te verilen emisyon seviyeleri, yüzey işleme tesislerinin bir örneğinde elde edilmiştir. Bunlar Bölüm 3.3.3</w:t>
      </w:r>
      <w:r w:rsidR="00E56504" w:rsidRPr="00D53A2B">
        <w:rPr>
          <w:rFonts w:eastAsia="Calibri"/>
        </w:rPr>
        <w:t>’</w:t>
      </w:r>
      <w:r w:rsidRPr="00D53A2B">
        <w:rPr>
          <w:rFonts w:eastAsia="Calibri"/>
        </w:rPr>
        <w:t>te ve Tablo 3.28</w:t>
      </w:r>
      <w:r w:rsidR="00E56504" w:rsidRPr="00D53A2B">
        <w:rPr>
          <w:rFonts w:eastAsia="Calibri"/>
        </w:rPr>
        <w:t>’</w:t>
      </w:r>
      <w:r w:rsidRPr="00D53A2B">
        <w:rPr>
          <w:rFonts w:eastAsia="Calibri"/>
        </w:rPr>
        <w:t>den türetilmiştir ve Bölüm 4.18</w:t>
      </w:r>
      <w:r w:rsidR="00E56504" w:rsidRPr="00D53A2B">
        <w:rPr>
          <w:rFonts w:eastAsia="Calibri"/>
        </w:rPr>
        <w:t>’</w:t>
      </w:r>
      <w:r w:rsidRPr="00D53A2B">
        <w:rPr>
          <w:rFonts w:eastAsia="Calibri"/>
        </w:rPr>
        <w:t xml:space="preserve">de ve </w:t>
      </w:r>
      <w:r w:rsidR="00651500" w:rsidRPr="00D53A2B">
        <w:rPr>
          <w:rFonts w:eastAsia="Calibri"/>
        </w:rPr>
        <w:t>atıksu</w:t>
      </w:r>
      <w:r w:rsidRPr="00D53A2B">
        <w:rPr>
          <w:rFonts w:eastAsia="Calibri"/>
        </w:rPr>
        <w:t>ve atık gaz arıtımı/yönetimi hakkındaki BREF</w:t>
      </w:r>
      <w:r w:rsidR="00E56504" w:rsidRPr="00D53A2B">
        <w:rPr>
          <w:rFonts w:eastAsia="Calibri"/>
        </w:rPr>
        <w:t>’</w:t>
      </w:r>
      <w:r w:rsidRPr="00D53A2B">
        <w:rPr>
          <w:rFonts w:eastAsia="Calibri"/>
        </w:rPr>
        <w:t xml:space="preserve">te açıklanan işlem içi tekniklerin bir kombinasyonu kullanılarak ne elde edilebileceğini göstermektedir [87, EIPPCB, ]. Daha az tehlikeli maddelerin ve süreçlerin ikame edilmesine yönelik </w:t>
      </w:r>
      <w:r w:rsidR="0031317B" w:rsidRPr="00D53A2B">
        <w:rPr>
          <w:rFonts w:eastAsia="Calibri"/>
        </w:rPr>
        <w:t>MET,</w:t>
      </w:r>
      <w:r w:rsidRPr="00D53A2B">
        <w:rPr>
          <w:rFonts w:eastAsia="Calibri"/>
        </w:rPr>
        <w:t xml:space="preserve"> Bölüm 5.2.5</w:t>
      </w:r>
      <w:r w:rsidR="00E56504" w:rsidRPr="00D53A2B">
        <w:rPr>
          <w:rFonts w:eastAsia="Calibri"/>
        </w:rPr>
        <w:t>’</w:t>
      </w:r>
      <w:r w:rsidRPr="00D53A2B">
        <w:rPr>
          <w:rFonts w:eastAsia="Calibri"/>
        </w:rPr>
        <w:t>te verilmiş ve Bölüm 4.9</w:t>
      </w:r>
      <w:r w:rsidR="00E56504" w:rsidRPr="00D53A2B">
        <w:rPr>
          <w:rFonts w:eastAsia="Calibri"/>
        </w:rPr>
        <w:t>’</w:t>
      </w:r>
      <w:r w:rsidRPr="00D53A2B">
        <w:rPr>
          <w:rFonts w:eastAsia="Calibri"/>
        </w:rPr>
        <w:t>da tartışılmıştır.</w:t>
      </w:r>
    </w:p>
    <w:p w14:paraId="63C0941D" w14:textId="77777777" w:rsidR="001A2F1D" w:rsidRPr="00D53A2B" w:rsidRDefault="001A2F1D" w:rsidP="00A202FD">
      <w:pPr>
        <w:jc w:val="both"/>
        <w:rPr>
          <w:rFonts w:eastAsia="Calibri"/>
        </w:rPr>
      </w:pPr>
    </w:p>
    <w:p w14:paraId="4F782982" w14:textId="77777777" w:rsidR="005F0E3A" w:rsidRPr="00D53A2B" w:rsidRDefault="001A2F1D" w:rsidP="00A202FD">
      <w:pPr>
        <w:jc w:val="both"/>
        <w:rPr>
          <w:rFonts w:eastAsia="Calibri"/>
        </w:rPr>
      </w:pPr>
      <w:r w:rsidRPr="00D53A2B">
        <w:rPr>
          <w:rFonts w:eastAsia="Calibri"/>
        </w:rPr>
        <w:t>Tablo 5.4</w:t>
      </w:r>
    </w:p>
    <w:p w14:paraId="26FE0DE5" w14:textId="42D21124" w:rsidR="001A2F1D" w:rsidRDefault="001A2F1D" w:rsidP="00A202FD">
      <w:pPr>
        <w:jc w:val="both"/>
        <w:rPr>
          <w:rFonts w:eastAsia="Calibri"/>
        </w:rPr>
      </w:pPr>
      <w:r w:rsidRPr="00D53A2B">
        <w:rPr>
          <w:rFonts w:eastAsia="Calibri"/>
        </w:rPr>
        <w:t>Bazı tesislerde elde edilen havaya yönelik gösterge emisyon aralıkları</w:t>
      </w:r>
    </w:p>
    <w:p w14:paraId="0FE86973" w14:textId="77777777" w:rsidR="00D53A2B" w:rsidRPr="00D53A2B" w:rsidRDefault="00D53A2B" w:rsidP="00A202FD">
      <w:pPr>
        <w:jc w:val="both"/>
        <w:rPr>
          <w:rFonts w:eastAsia="Calibri"/>
        </w:rPr>
      </w:pPr>
    </w:p>
    <w:tbl>
      <w:tblPr>
        <w:tblStyle w:val="TabloKlavuzu"/>
        <w:tblW w:w="0" w:type="auto"/>
        <w:tblLook w:val="04A0" w:firstRow="1" w:lastRow="0" w:firstColumn="1" w:lastColumn="0" w:noHBand="0" w:noVBand="1"/>
      </w:tblPr>
      <w:tblGrid>
        <w:gridCol w:w="1971"/>
        <w:gridCol w:w="1626"/>
        <w:gridCol w:w="2093"/>
        <w:gridCol w:w="3088"/>
      </w:tblGrid>
      <w:tr w:rsidR="00D74271" w:rsidRPr="00D53A2B" w14:paraId="29348DE3" w14:textId="77777777" w:rsidTr="00177996">
        <w:tc>
          <w:tcPr>
            <w:tcW w:w="2122" w:type="dxa"/>
          </w:tcPr>
          <w:p w14:paraId="36FCD4B2" w14:textId="1C7883FD" w:rsidR="00D74271" w:rsidRPr="00D53A2B" w:rsidRDefault="00D74271" w:rsidP="00A202FD">
            <w:pPr>
              <w:jc w:val="both"/>
              <w:rPr>
                <w:rFonts w:eastAsia="Calibri"/>
                <w:sz w:val="22"/>
                <w:szCs w:val="22"/>
                <w:lang w:eastAsia="en-US"/>
              </w:rPr>
            </w:pPr>
            <w:r w:rsidRPr="00D53A2B">
              <w:rPr>
                <w:rFonts w:eastAsia="Calibri"/>
                <w:w w:val="109"/>
                <w:sz w:val="22"/>
                <w:szCs w:val="22"/>
                <w:lang w:eastAsia="en-US"/>
              </w:rPr>
              <w:t>E</w:t>
            </w:r>
            <w:r w:rsidRPr="00D53A2B">
              <w:rPr>
                <w:rFonts w:eastAsia="Calibri"/>
                <w:spacing w:val="-6"/>
                <w:w w:val="107"/>
                <w:sz w:val="22"/>
                <w:szCs w:val="22"/>
                <w:lang w:eastAsia="en-US"/>
              </w:rPr>
              <w:t>misyonlar</w:t>
            </w:r>
          </w:p>
          <w:p w14:paraId="5FF1ABFD" w14:textId="694FD720" w:rsidR="00D74271" w:rsidRPr="00D53A2B" w:rsidRDefault="00D74271" w:rsidP="00A202FD">
            <w:pPr>
              <w:jc w:val="both"/>
              <w:rPr>
                <w:rFonts w:eastAsia="Calibri"/>
                <w:sz w:val="22"/>
                <w:szCs w:val="22"/>
              </w:rPr>
            </w:pPr>
            <w:r w:rsidRPr="00D53A2B">
              <w:rPr>
                <w:rFonts w:eastAsia="Calibri"/>
                <w:spacing w:val="-4"/>
                <w:w w:val="104"/>
                <w:sz w:val="22"/>
                <w:szCs w:val="22"/>
                <w:lang w:eastAsia="en-US"/>
              </w:rPr>
              <w:t>m</w:t>
            </w:r>
            <w:r w:rsidRPr="00D53A2B">
              <w:rPr>
                <w:rFonts w:eastAsia="Calibri"/>
                <w:spacing w:val="1"/>
                <w:w w:val="104"/>
                <w:sz w:val="22"/>
                <w:szCs w:val="22"/>
                <w:lang w:eastAsia="en-US"/>
              </w:rPr>
              <w:t>g</w:t>
            </w:r>
            <w:r w:rsidRPr="00D53A2B">
              <w:rPr>
                <w:rFonts w:eastAsia="Calibri"/>
                <w:w w:val="99"/>
                <w:sz w:val="22"/>
                <w:szCs w:val="22"/>
                <w:lang w:eastAsia="en-US"/>
              </w:rPr>
              <w:t>/</w:t>
            </w:r>
            <w:r w:rsidRPr="00D53A2B">
              <w:rPr>
                <w:rFonts w:eastAsia="Calibri"/>
                <w:sz w:val="22"/>
                <w:szCs w:val="22"/>
                <w:lang w:eastAsia="en-US"/>
              </w:rPr>
              <w:t>N</w:t>
            </w:r>
            <w:r w:rsidRPr="00D53A2B">
              <w:rPr>
                <w:rFonts w:eastAsia="Calibri"/>
                <w:spacing w:val="-3"/>
                <w:w w:val="107"/>
                <w:sz w:val="22"/>
                <w:szCs w:val="22"/>
                <w:lang w:eastAsia="en-US"/>
              </w:rPr>
              <w:t>m</w:t>
            </w:r>
            <w:r w:rsidRPr="00D53A2B">
              <w:rPr>
                <w:rFonts w:eastAsia="Calibri"/>
                <w:position w:val="8"/>
                <w:sz w:val="22"/>
                <w:szCs w:val="22"/>
                <w:lang w:eastAsia="en-US"/>
              </w:rPr>
              <w:t>3</w:t>
            </w:r>
          </w:p>
        </w:tc>
        <w:tc>
          <w:tcPr>
            <w:tcW w:w="1701" w:type="dxa"/>
          </w:tcPr>
          <w:p w14:paraId="1898BDF2" w14:textId="77777777" w:rsidR="00D74271" w:rsidRPr="00D53A2B" w:rsidRDefault="00D74271" w:rsidP="00A202FD">
            <w:pPr>
              <w:jc w:val="both"/>
              <w:rPr>
                <w:rFonts w:eastAsia="Calibri"/>
              </w:rPr>
            </w:pPr>
            <w:r w:rsidRPr="00D53A2B">
              <w:rPr>
                <w:rFonts w:eastAsia="Calibri"/>
              </w:rPr>
              <w:t xml:space="preserve">Bazı tesisler için emisyon aralıkları </w:t>
            </w:r>
          </w:p>
          <w:p w14:paraId="555FFC13" w14:textId="252F09D4" w:rsidR="00D74271" w:rsidRPr="00D53A2B" w:rsidRDefault="00D74271" w:rsidP="00A202FD">
            <w:pPr>
              <w:jc w:val="both"/>
              <w:rPr>
                <w:rFonts w:eastAsia="Calibri"/>
              </w:rPr>
            </w:pPr>
            <w:r w:rsidRPr="00D53A2B">
              <w:rPr>
                <w:rFonts w:eastAsia="Calibri"/>
              </w:rPr>
              <w:t>mg/Nm3</w:t>
            </w:r>
          </w:p>
        </w:tc>
        <w:tc>
          <w:tcPr>
            <w:tcW w:w="2268" w:type="dxa"/>
          </w:tcPr>
          <w:p w14:paraId="0A9AA6F9" w14:textId="77777777" w:rsidR="00D74271" w:rsidRPr="00D53A2B" w:rsidRDefault="00D74271" w:rsidP="00A202FD">
            <w:pPr>
              <w:jc w:val="both"/>
              <w:rPr>
                <w:rFonts w:eastAsia="Calibri"/>
              </w:rPr>
            </w:pPr>
            <w:r w:rsidRPr="00D53A2B">
              <w:rPr>
                <w:rFonts w:eastAsia="Calibri"/>
              </w:rPr>
              <w:t xml:space="preserve">Bazı büyük ölçekli çelik bobin faaliyetleri için emisyon aralıkları </w:t>
            </w:r>
          </w:p>
          <w:p w14:paraId="5E5645B5" w14:textId="2163BEC7" w:rsidR="00D74271" w:rsidRPr="00D53A2B" w:rsidRDefault="00D74271" w:rsidP="00A202FD">
            <w:pPr>
              <w:jc w:val="both"/>
              <w:rPr>
                <w:rFonts w:eastAsia="Calibri"/>
              </w:rPr>
            </w:pPr>
            <w:r w:rsidRPr="00D53A2B">
              <w:rPr>
                <w:rFonts w:eastAsia="Calibri"/>
              </w:rPr>
              <w:t>mg/Nm3</w:t>
            </w:r>
          </w:p>
        </w:tc>
        <w:tc>
          <w:tcPr>
            <w:tcW w:w="3396" w:type="dxa"/>
          </w:tcPr>
          <w:p w14:paraId="2EBD24AB" w14:textId="4C2488EB" w:rsidR="00D74271" w:rsidRPr="00D53A2B" w:rsidRDefault="00D74271" w:rsidP="00A202FD">
            <w:pPr>
              <w:jc w:val="both"/>
              <w:rPr>
                <w:rFonts w:eastAsia="Calibri"/>
              </w:rPr>
            </w:pPr>
            <w:r w:rsidRPr="00D53A2B">
              <w:rPr>
                <w:rFonts w:eastAsia="Calibri"/>
              </w:rPr>
              <w:t>Emisyon aralıklarıyla ilişkili yerel çevresel gereksinimleri karşılamak için kullanılan bazı teknikler</w:t>
            </w:r>
          </w:p>
        </w:tc>
      </w:tr>
      <w:tr w:rsidR="00D74271" w:rsidRPr="00D53A2B" w14:paraId="4611C6D7" w14:textId="77777777" w:rsidTr="00177996">
        <w:tc>
          <w:tcPr>
            <w:tcW w:w="2122" w:type="dxa"/>
          </w:tcPr>
          <w:p w14:paraId="6034082B" w14:textId="5DE6C99A" w:rsidR="00D74271" w:rsidRPr="00D53A2B" w:rsidRDefault="00177996" w:rsidP="00A202FD">
            <w:pPr>
              <w:jc w:val="both"/>
              <w:rPr>
                <w:rFonts w:eastAsia="Calibri"/>
                <w:sz w:val="22"/>
                <w:szCs w:val="22"/>
              </w:rPr>
            </w:pPr>
            <w:r w:rsidRPr="00D53A2B">
              <w:rPr>
                <w:rFonts w:eastAsia="Calibri"/>
                <w:sz w:val="22"/>
                <w:szCs w:val="22"/>
              </w:rPr>
              <w:t>Azot oksitleri (NO2 olarak oluşan toplam asit)</w:t>
            </w:r>
          </w:p>
        </w:tc>
        <w:tc>
          <w:tcPr>
            <w:tcW w:w="1701" w:type="dxa"/>
          </w:tcPr>
          <w:p w14:paraId="472A3722" w14:textId="5F9BFD62" w:rsidR="00D74271" w:rsidRPr="00D53A2B" w:rsidRDefault="00177996" w:rsidP="00A202FD">
            <w:pPr>
              <w:jc w:val="both"/>
              <w:rPr>
                <w:rFonts w:eastAsia="Calibri"/>
              </w:rPr>
            </w:pPr>
            <w:r w:rsidRPr="00D53A2B">
              <w:rPr>
                <w:rFonts w:eastAsia="Calibri"/>
                <w:spacing w:val="-1"/>
                <w:lang w:eastAsia="en-US"/>
              </w:rPr>
              <w:t>&lt;</w:t>
            </w:r>
            <w:r w:rsidRPr="00D53A2B">
              <w:rPr>
                <w:rFonts w:eastAsia="Calibri"/>
                <w:lang w:eastAsia="en-US"/>
              </w:rPr>
              <w:t>5</w:t>
            </w:r>
            <w:r w:rsidRPr="00D53A2B">
              <w:rPr>
                <w:rFonts w:eastAsia="Calibri"/>
                <w:spacing w:val="1"/>
                <w:lang w:eastAsia="en-US"/>
              </w:rPr>
              <w:t xml:space="preserve"> </w:t>
            </w:r>
            <w:r w:rsidRPr="00D53A2B">
              <w:rPr>
                <w:rFonts w:eastAsia="Calibri"/>
                <w:lang w:eastAsia="en-US"/>
              </w:rPr>
              <w:t>–</w:t>
            </w:r>
            <w:r w:rsidRPr="00D53A2B">
              <w:rPr>
                <w:rFonts w:eastAsia="Calibri"/>
                <w:spacing w:val="-1"/>
                <w:lang w:eastAsia="en-US"/>
              </w:rPr>
              <w:t xml:space="preserve"> </w:t>
            </w:r>
            <w:r w:rsidRPr="00D53A2B">
              <w:rPr>
                <w:rFonts w:eastAsia="Calibri"/>
                <w:spacing w:val="1"/>
                <w:lang w:eastAsia="en-US"/>
              </w:rPr>
              <w:t>5</w:t>
            </w:r>
            <w:r w:rsidRPr="00D53A2B">
              <w:rPr>
                <w:rFonts w:eastAsia="Calibri"/>
                <w:spacing w:val="-1"/>
                <w:lang w:eastAsia="en-US"/>
              </w:rPr>
              <w:t>0</w:t>
            </w:r>
            <w:r w:rsidRPr="00D53A2B">
              <w:rPr>
                <w:rFonts w:eastAsia="Calibri"/>
                <w:lang w:eastAsia="en-US"/>
              </w:rPr>
              <w:t>0</w:t>
            </w:r>
          </w:p>
        </w:tc>
        <w:tc>
          <w:tcPr>
            <w:tcW w:w="2268" w:type="dxa"/>
          </w:tcPr>
          <w:p w14:paraId="3991E134" w14:textId="2E6CEAB3" w:rsidR="00D74271" w:rsidRPr="00D53A2B" w:rsidRDefault="00177996" w:rsidP="00A202FD">
            <w:pPr>
              <w:jc w:val="both"/>
              <w:rPr>
                <w:rFonts w:eastAsia="Calibri"/>
              </w:rPr>
            </w:pPr>
            <w:r w:rsidRPr="00D53A2B">
              <w:rPr>
                <w:rFonts w:eastAsia="Calibri"/>
                <w:spacing w:val="1"/>
                <w:lang w:eastAsia="en-US"/>
              </w:rPr>
              <w:t>nd</w:t>
            </w:r>
          </w:p>
        </w:tc>
        <w:tc>
          <w:tcPr>
            <w:tcW w:w="3396" w:type="dxa"/>
          </w:tcPr>
          <w:p w14:paraId="2C79572B" w14:textId="0CD41789" w:rsidR="00D74271" w:rsidRPr="00D53A2B" w:rsidRDefault="00177996" w:rsidP="00A202FD">
            <w:pPr>
              <w:jc w:val="both"/>
              <w:rPr>
                <w:rFonts w:eastAsia="Calibri"/>
              </w:rPr>
            </w:pPr>
            <w:r w:rsidRPr="00D53A2B">
              <w:rPr>
                <w:rFonts w:eastAsia="Calibri"/>
              </w:rPr>
              <w:t>Yıkayıcılar veya adsorpsiyon kuleleri genellikle yaklaşık 200 mg/l</w:t>
            </w:r>
            <w:r w:rsidR="00E56504" w:rsidRPr="00D53A2B">
              <w:rPr>
                <w:rFonts w:eastAsia="Calibri"/>
              </w:rPr>
              <w:t>’</w:t>
            </w:r>
            <w:r w:rsidRPr="00D53A2B">
              <w:rPr>
                <w:rFonts w:eastAsia="Calibri"/>
              </w:rPr>
              <w:t>nin altında değerler verir ve alkali yıkayıcılarda daha düşük değerler verir.</w:t>
            </w:r>
          </w:p>
        </w:tc>
      </w:tr>
      <w:tr w:rsidR="00D74271" w:rsidRPr="00D53A2B" w14:paraId="22CEADBB" w14:textId="77777777" w:rsidTr="00177996">
        <w:tc>
          <w:tcPr>
            <w:tcW w:w="2122" w:type="dxa"/>
          </w:tcPr>
          <w:p w14:paraId="3306051E" w14:textId="5E1B300A" w:rsidR="00D74271" w:rsidRPr="00D53A2B" w:rsidRDefault="00177996" w:rsidP="00A202FD">
            <w:pPr>
              <w:jc w:val="both"/>
              <w:rPr>
                <w:rFonts w:eastAsia="Calibri"/>
                <w:sz w:val="22"/>
                <w:szCs w:val="22"/>
              </w:rPr>
            </w:pPr>
            <w:r w:rsidRPr="00D53A2B">
              <w:rPr>
                <w:rFonts w:eastAsia="Calibri"/>
                <w:sz w:val="22"/>
                <w:szCs w:val="22"/>
              </w:rPr>
              <w:t>Hidrojen florür</w:t>
            </w:r>
          </w:p>
        </w:tc>
        <w:tc>
          <w:tcPr>
            <w:tcW w:w="1701" w:type="dxa"/>
          </w:tcPr>
          <w:p w14:paraId="08FF0FAB" w14:textId="0959C702" w:rsidR="00D74271" w:rsidRPr="00D53A2B" w:rsidRDefault="00177996" w:rsidP="00A202FD">
            <w:pPr>
              <w:jc w:val="both"/>
              <w:rPr>
                <w:rFonts w:eastAsia="Calibri"/>
              </w:rPr>
            </w:pPr>
            <w:r w:rsidRPr="00D53A2B">
              <w:rPr>
                <w:rFonts w:eastAsia="Calibri"/>
                <w:spacing w:val="-1"/>
                <w:lang w:eastAsia="en-US"/>
              </w:rPr>
              <w:t>&lt;</w:t>
            </w:r>
            <w:r w:rsidRPr="00D53A2B">
              <w:rPr>
                <w:rFonts w:eastAsia="Calibri"/>
                <w:spacing w:val="1"/>
                <w:lang w:eastAsia="en-US"/>
              </w:rPr>
              <w:t>0,</w:t>
            </w:r>
            <w:r w:rsidRPr="00D53A2B">
              <w:rPr>
                <w:rFonts w:eastAsia="Calibri"/>
                <w:lang w:eastAsia="en-US"/>
              </w:rPr>
              <w:t>1</w:t>
            </w:r>
            <w:r w:rsidRPr="00D53A2B">
              <w:rPr>
                <w:rFonts w:eastAsia="Calibri"/>
                <w:spacing w:val="-2"/>
                <w:lang w:eastAsia="en-US"/>
              </w:rPr>
              <w:t xml:space="preserve"> </w:t>
            </w:r>
            <w:r w:rsidRPr="00D53A2B">
              <w:rPr>
                <w:rFonts w:eastAsia="Calibri"/>
                <w:lang w:eastAsia="en-US"/>
              </w:rPr>
              <w:t>– 2</w:t>
            </w:r>
          </w:p>
        </w:tc>
        <w:tc>
          <w:tcPr>
            <w:tcW w:w="2268" w:type="dxa"/>
          </w:tcPr>
          <w:p w14:paraId="3C08B657" w14:textId="7350116A" w:rsidR="00D74271" w:rsidRPr="00D53A2B" w:rsidRDefault="00177996" w:rsidP="00A202FD">
            <w:pPr>
              <w:jc w:val="both"/>
              <w:rPr>
                <w:rFonts w:eastAsia="Calibri"/>
              </w:rPr>
            </w:pPr>
            <w:r w:rsidRPr="00D53A2B">
              <w:rPr>
                <w:rFonts w:eastAsia="Calibri"/>
              </w:rPr>
              <w:t>nd</w:t>
            </w:r>
          </w:p>
        </w:tc>
        <w:tc>
          <w:tcPr>
            <w:tcW w:w="3396" w:type="dxa"/>
          </w:tcPr>
          <w:p w14:paraId="3547E952" w14:textId="6A7CE9E9" w:rsidR="00D74271" w:rsidRPr="00D53A2B" w:rsidRDefault="00177996" w:rsidP="00A202FD">
            <w:pPr>
              <w:jc w:val="both"/>
              <w:rPr>
                <w:rFonts w:eastAsia="Calibri"/>
              </w:rPr>
            </w:pPr>
            <w:r w:rsidRPr="00D53A2B">
              <w:rPr>
                <w:rFonts w:eastAsia="Calibri"/>
              </w:rPr>
              <w:t xml:space="preserve">Alkali yıkayıcı </w:t>
            </w:r>
          </w:p>
        </w:tc>
      </w:tr>
      <w:tr w:rsidR="00D74271" w:rsidRPr="00D53A2B" w14:paraId="05B4EE6E" w14:textId="77777777" w:rsidTr="00177996">
        <w:tc>
          <w:tcPr>
            <w:tcW w:w="2122" w:type="dxa"/>
          </w:tcPr>
          <w:p w14:paraId="6DEBA896" w14:textId="61D59366" w:rsidR="00D74271" w:rsidRPr="00D53A2B" w:rsidRDefault="00177996" w:rsidP="00A202FD">
            <w:pPr>
              <w:jc w:val="both"/>
              <w:rPr>
                <w:rFonts w:eastAsia="Calibri"/>
                <w:sz w:val="22"/>
                <w:szCs w:val="22"/>
              </w:rPr>
            </w:pPr>
            <w:r w:rsidRPr="00D53A2B">
              <w:rPr>
                <w:rFonts w:eastAsia="Calibri"/>
                <w:sz w:val="22"/>
                <w:szCs w:val="22"/>
              </w:rPr>
              <w:t>Hidrojen klorür</w:t>
            </w:r>
          </w:p>
        </w:tc>
        <w:tc>
          <w:tcPr>
            <w:tcW w:w="1701" w:type="dxa"/>
          </w:tcPr>
          <w:p w14:paraId="04AF718A" w14:textId="61F81BE2" w:rsidR="00D74271" w:rsidRPr="00D53A2B" w:rsidRDefault="00177996" w:rsidP="00A202FD">
            <w:pPr>
              <w:jc w:val="both"/>
              <w:rPr>
                <w:rFonts w:eastAsia="Calibri"/>
              </w:rPr>
            </w:pPr>
            <w:r w:rsidRPr="00D53A2B">
              <w:rPr>
                <w:rFonts w:eastAsia="Calibri"/>
              </w:rPr>
              <w:t>&lt;0,3-30</w:t>
            </w:r>
          </w:p>
        </w:tc>
        <w:tc>
          <w:tcPr>
            <w:tcW w:w="2268" w:type="dxa"/>
          </w:tcPr>
          <w:p w14:paraId="2BA9E17F" w14:textId="77777777" w:rsidR="00177996" w:rsidRPr="00D53A2B" w:rsidRDefault="00177996" w:rsidP="00A202FD">
            <w:pPr>
              <w:jc w:val="both"/>
              <w:rPr>
                <w:rFonts w:eastAsia="Calibri"/>
              </w:rPr>
            </w:pPr>
            <w:r w:rsidRPr="00D53A2B">
              <w:rPr>
                <w:rFonts w:eastAsia="Calibri"/>
              </w:rPr>
              <w:t xml:space="preserve">Kalay veya krom (ECCS) işlemi </w:t>
            </w:r>
          </w:p>
          <w:p w14:paraId="59A3761A" w14:textId="09D0D5E1" w:rsidR="00177996" w:rsidRPr="00D53A2B" w:rsidRDefault="00177996" w:rsidP="00A202FD">
            <w:pPr>
              <w:jc w:val="both"/>
              <w:rPr>
                <w:rFonts w:eastAsia="Calibri"/>
              </w:rPr>
            </w:pPr>
            <w:r w:rsidRPr="00D53A2B">
              <w:rPr>
                <w:rFonts w:eastAsia="Calibri"/>
              </w:rPr>
              <w:t>25-30</w:t>
            </w:r>
          </w:p>
        </w:tc>
        <w:tc>
          <w:tcPr>
            <w:tcW w:w="3396" w:type="dxa"/>
          </w:tcPr>
          <w:p w14:paraId="3BED1565" w14:textId="04C6BD15" w:rsidR="00177996" w:rsidRPr="00D53A2B" w:rsidRDefault="00177996" w:rsidP="00A202FD">
            <w:pPr>
              <w:jc w:val="both"/>
              <w:rPr>
                <w:rFonts w:eastAsia="Calibri"/>
              </w:rPr>
            </w:pPr>
            <w:r w:rsidRPr="00D53A2B">
              <w:rPr>
                <w:rFonts w:eastAsia="Calibri"/>
              </w:rPr>
              <w:t>Sulu yıkayıcı</w:t>
            </w:r>
          </w:p>
          <w:p w14:paraId="6EF69B69" w14:textId="0D631513" w:rsidR="00D74271" w:rsidRPr="00D53A2B" w:rsidRDefault="00177996" w:rsidP="00A202FD">
            <w:pPr>
              <w:jc w:val="both"/>
              <w:rPr>
                <w:rFonts w:eastAsia="Calibri"/>
              </w:rPr>
            </w:pPr>
            <w:r w:rsidRPr="00D53A2B">
              <w:rPr>
                <w:rFonts w:eastAsia="Calibri"/>
              </w:rPr>
              <w:t>Bkz. Not 2.</w:t>
            </w:r>
          </w:p>
        </w:tc>
      </w:tr>
      <w:tr w:rsidR="00D74271" w:rsidRPr="00D53A2B" w14:paraId="463AC7E2" w14:textId="77777777" w:rsidTr="00177996">
        <w:tc>
          <w:tcPr>
            <w:tcW w:w="2122" w:type="dxa"/>
          </w:tcPr>
          <w:p w14:paraId="092B9901" w14:textId="5EC8C667" w:rsidR="00D74271" w:rsidRPr="00D53A2B" w:rsidRDefault="00177996" w:rsidP="00A202FD">
            <w:pPr>
              <w:jc w:val="both"/>
              <w:rPr>
                <w:rFonts w:eastAsia="Calibri"/>
                <w:sz w:val="22"/>
                <w:szCs w:val="22"/>
              </w:rPr>
            </w:pPr>
            <w:r w:rsidRPr="00D53A2B">
              <w:rPr>
                <w:rFonts w:eastAsia="Calibri"/>
                <w:sz w:val="22"/>
                <w:szCs w:val="22"/>
              </w:rPr>
              <w:t>SOx, SO2 olarak</w:t>
            </w:r>
          </w:p>
        </w:tc>
        <w:tc>
          <w:tcPr>
            <w:tcW w:w="1701" w:type="dxa"/>
          </w:tcPr>
          <w:p w14:paraId="689960D3" w14:textId="3D18CB74" w:rsidR="00D74271" w:rsidRPr="00D53A2B" w:rsidRDefault="00177996" w:rsidP="00A202FD">
            <w:pPr>
              <w:jc w:val="both"/>
              <w:rPr>
                <w:rFonts w:eastAsia="Calibri"/>
              </w:rPr>
            </w:pPr>
            <w:r w:rsidRPr="00D53A2B">
              <w:rPr>
                <w:rFonts w:eastAsia="Calibri"/>
              </w:rPr>
              <w:t>1,0-10</w:t>
            </w:r>
          </w:p>
        </w:tc>
        <w:tc>
          <w:tcPr>
            <w:tcW w:w="2268" w:type="dxa"/>
          </w:tcPr>
          <w:p w14:paraId="5F2477F6" w14:textId="2E93B1DB" w:rsidR="00D74271" w:rsidRPr="00D53A2B" w:rsidRDefault="00177996" w:rsidP="00A202FD">
            <w:pPr>
              <w:jc w:val="both"/>
              <w:rPr>
                <w:rFonts w:eastAsia="Calibri"/>
              </w:rPr>
            </w:pPr>
            <w:r w:rsidRPr="00D53A2B">
              <w:rPr>
                <w:rFonts w:eastAsia="Calibri"/>
              </w:rPr>
              <w:t>nd</w:t>
            </w:r>
          </w:p>
        </w:tc>
        <w:tc>
          <w:tcPr>
            <w:tcW w:w="3396" w:type="dxa"/>
          </w:tcPr>
          <w:p w14:paraId="151AF522" w14:textId="68CD0F31" w:rsidR="00D74271" w:rsidRPr="00D53A2B" w:rsidRDefault="00177996" w:rsidP="00A202FD">
            <w:pPr>
              <w:jc w:val="both"/>
              <w:rPr>
                <w:rFonts w:eastAsia="Calibri"/>
              </w:rPr>
            </w:pPr>
            <w:r w:rsidRPr="00D53A2B">
              <w:rPr>
                <w:rFonts w:eastAsia="Calibri"/>
              </w:rPr>
              <w:t>Nihai alkali yıkayıcıya sahip ters akım dolgu kule</w:t>
            </w:r>
          </w:p>
        </w:tc>
      </w:tr>
      <w:tr w:rsidR="00D74271" w:rsidRPr="00D53A2B" w14:paraId="71F7C52F" w14:textId="77777777" w:rsidTr="00177996">
        <w:tc>
          <w:tcPr>
            <w:tcW w:w="2122" w:type="dxa"/>
          </w:tcPr>
          <w:p w14:paraId="5812FB39" w14:textId="58E8700A" w:rsidR="00D74271" w:rsidRPr="00D53A2B" w:rsidRDefault="00177996" w:rsidP="00A202FD">
            <w:pPr>
              <w:jc w:val="both"/>
              <w:rPr>
                <w:rFonts w:eastAsia="Calibri"/>
                <w:sz w:val="22"/>
                <w:szCs w:val="22"/>
              </w:rPr>
            </w:pPr>
            <w:r w:rsidRPr="00D53A2B">
              <w:rPr>
                <w:rFonts w:eastAsia="Calibri"/>
                <w:sz w:val="22"/>
                <w:szCs w:val="22"/>
              </w:rPr>
              <w:t>Amonyak N-NH3 olarak</w:t>
            </w:r>
          </w:p>
        </w:tc>
        <w:tc>
          <w:tcPr>
            <w:tcW w:w="1701" w:type="dxa"/>
          </w:tcPr>
          <w:p w14:paraId="1431F8F4" w14:textId="77777777" w:rsidR="00D74271" w:rsidRPr="00D53A2B" w:rsidRDefault="00177996" w:rsidP="00A202FD">
            <w:pPr>
              <w:jc w:val="both"/>
              <w:rPr>
                <w:rFonts w:eastAsia="Calibri"/>
              </w:rPr>
            </w:pPr>
            <w:r w:rsidRPr="00D53A2B">
              <w:rPr>
                <w:rFonts w:eastAsia="Calibri"/>
              </w:rPr>
              <w:t>0,1-10</w:t>
            </w:r>
          </w:p>
          <w:p w14:paraId="6B3C968A" w14:textId="64DAD44D" w:rsidR="00177996" w:rsidRPr="00D53A2B" w:rsidRDefault="00177996" w:rsidP="00A202FD">
            <w:pPr>
              <w:jc w:val="both"/>
              <w:rPr>
                <w:rFonts w:eastAsia="Calibri"/>
              </w:rPr>
            </w:pPr>
            <w:r w:rsidRPr="00D53A2B">
              <w:rPr>
                <w:rFonts w:eastAsia="Calibri"/>
              </w:rPr>
              <w:t>Not: Veriler elektrolitik nikelden alınmıştır. PCB üretimi için veri yok</w:t>
            </w:r>
          </w:p>
        </w:tc>
        <w:tc>
          <w:tcPr>
            <w:tcW w:w="2268" w:type="dxa"/>
          </w:tcPr>
          <w:p w14:paraId="0E682E5D" w14:textId="7DAC559C" w:rsidR="00D74271" w:rsidRPr="00D53A2B" w:rsidRDefault="00177996" w:rsidP="00A202FD">
            <w:pPr>
              <w:jc w:val="both"/>
              <w:rPr>
                <w:rFonts w:eastAsia="Calibri"/>
              </w:rPr>
            </w:pPr>
            <w:r w:rsidRPr="00D53A2B">
              <w:rPr>
                <w:rFonts w:eastAsia="Calibri"/>
              </w:rPr>
              <w:t>nd</w:t>
            </w:r>
          </w:p>
        </w:tc>
        <w:tc>
          <w:tcPr>
            <w:tcW w:w="3396" w:type="dxa"/>
          </w:tcPr>
          <w:p w14:paraId="4DC74D92" w14:textId="064F9285" w:rsidR="00D74271" w:rsidRPr="00D53A2B" w:rsidRDefault="00177996" w:rsidP="00A202FD">
            <w:pPr>
              <w:jc w:val="both"/>
              <w:rPr>
                <w:rFonts w:eastAsia="Calibri"/>
              </w:rPr>
            </w:pPr>
            <w:r w:rsidRPr="00D53A2B">
              <w:rPr>
                <w:rFonts w:eastAsia="Calibri"/>
              </w:rPr>
              <w:t xml:space="preserve">Sulu yıkayıcı </w:t>
            </w:r>
          </w:p>
        </w:tc>
      </w:tr>
      <w:tr w:rsidR="00D74271" w:rsidRPr="00D53A2B" w14:paraId="034767E6" w14:textId="77777777" w:rsidTr="00177996">
        <w:tc>
          <w:tcPr>
            <w:tcW w:w="2122" w:type="dxa"/>
          </w:tcPr>
          <w:p w14:paraId="49549289" w14:textId="47CFAD22" w:rsidR="00D74271" w:rsidRPr="00D53A2B" w:rsidRDefault="00177996" w:rsidP="00A202FD">
            <w:pPr>
              <w:jc w:val="both"/>
              <w:rPr>
                <w:rFonts w:eastAsia="Calibri"/>
                <w:sz w:val="22"/>
                <w:szCs w:val="22"/>
              </w:rPr>
            </w:pPr>
            <w:r w:rsidRPr="00D53A2B">
              <w:rPr>
                <w:rFonts w:eastAsia="Calibri"/>
                <w:sz w:val="22"/>
                <w:szCs w:val="22"/>
              </w:rPr>
              <w:t>Hidrojen siyanür</w:t>
            </w:r>
          </w:p>
        </w:tc>
        <w:tc>
          <w:tcPr>
            <w:tcW w:w="1701" w:type="dxa"/>
          </w:tcPr>
          <w:p w14:paraId="4C86725A" w14:textId="0D148D70" w:rsidR="00D74271" w:rsidRPr="00D53A2B" w:rsidRDefault="00177996" w:rsidP="00A202FD">
            <w:pPr>
              <w:jc w:val="both"/>
              <w:rPr>
                <w:rFonts w:eastAsia="Calibri"/>
              </w:rPr>
            </w:pPr>
            <w:r w:rsidRPr="00D53A2B">
              <w:rPr>
                <w:rFonts w:eastAsia="Calibri"/>
              </w:rPr>
              <w:t>0,1-3,0</w:t>
            </w:r>
          </w:p>
        </w:tc>
        <w:tc>
          <w:tcPr>
            <w:tcW w:w="2268" w:type="dxa"/>
          </w:tcPr>
          <w:p w14:paraId="5CDDC5B4" w14:textId="778FB365" w:rsidR="00D74271" w:rsidRPr="00D53A2B" w:rsidRDefault="00177996" w:rsidP="00A202FD">
            <w:pPr>
              <w:jc w:val="both"/>
              <w:rPr>
                <w:rFonts w:eastAsia="Calibri"/>
              </w:rPr>
            </w:pPr>
            <w:r w:rsidRPr="00D53A2B">
              <w:rPr>
                <w:rFonts w:eastAsia="Calibri"/>
              </w:rPr>
              <w:t>nd</w:t>
            </w:r>
          </w:p>
        </w:tc>
        <w:tc>
          <w:tcPr>
            <w:tcW w:w="3396" w:type="dxa"/>
          </w:tcPr>
          <w:p w14:paraId="6C07B5FC" w14:textId="77777777" w:rsidR="00177996" w:rsidRPr="00D53A2B" w:rsidRDefault="00177996" w:rsidP="00A202FD">
            <w:pPr>
              <w:jc w:val="both"/>
              <w:rPr>
                <w:rFonts w:eastAsia="Calibri"/>
              </w:rPr>
            </w:pPr>
            <w:r w:rsidRPr="00D53A2B">
              <w:rPr>
                <w:rFonts w:eastAsia="Calibri"/>
              </w:rPr>
              <w:t>Havasız karıştırma</w:t>
            </w:r>
          </w:p>
          <w:p w14:paraId="7EDD644D" w14:textId="77777777" w:rsidR="00177996" w:rsidRPr="00D53A2B" w:rsidRDefault="00177996" w:rsidP="00A202FD">
            <w:pPr>
              <w:jc w:val="both"/>
              <w:rPr>
                <w:rFonts w:eastAsia="Calibri"/>
              </w:rPr>
            </w:pPr>
            <w:r w:rsidRPr="00D53A2B">
              <w:rPr>
                <w:rFonts w:eastAsia="Calibri"/>
              </w:rPr>
              <w:t>Düşük sıcaklık prosesleri</w:t>
            </w:r>
          </w:p>
          <w:p w14:paraId="0E5DE393" w14:textId="77777777" w:rsidR="00177996" w:rsidRPr="00D53A2B" w:rsidRDefault="00177996" w:rsidP="00A202FD">
            <w:pPr>
              <w:jc w:val="both"/>
              <w:rPr>
                <w:rFonts w:eastAsia="Calibri"/>
              </w:rPr>
            </w:pPr>
            <w:r w:rsidRPr="00D53A2B">
              <w:rPr>
                <w:rFonts w:eastAsia="Calibri"/>
              </w:rPr>
              <w:t>Siyanürsüz prosesler</w:t>
            </w:r>
          </w:p>
          <w:p w14:paraId="42F67085" w14:textId="006484D6" w:rsidR="00D74271" w:rsidRPr="00D53A2B" w:rsidRDefault="00177996" w:rsidP="00A202FD">
            <w:pPr>
              <w:jc w:val="both"/>
              <w:rPr>
                <w:rFonts w:eastAsia="Calibri"/>
              </w:rPr>
            </w:pPr>
            <w:r w:rsidRPr="00D53A2B">
              <w:rPr>
                <w:rFonts w:eastAsia="Calibri"/>
              </w:rPr>
              <w:t>Aralığın alt sınırı alkali bir yıkayıcı kullanılarak karşılanabilir</w:t>
            </w:r>
          </w:p>
        </w:tc>
      </w:tr>
      <w:tr w:rsidR="00D74271" w:rsidRPr="00D53A2B" w14:paraId="15B5D7C6" w14:textId="77777777" w:rsidTr="00177996">
        <w:tc>
          <w:tcPr>
            <w:tcW w:w="2122" w:type="dxa"/>
          </w:tcPr>
          <w:p w14:paraId="6569A444" w14:textId="095E61B9" w:rsidR="00D74271" w:rsidRPr="00D53A2B" w:rsidRDefault="00EB6D4B" w:rsidP="00A202FD">
            <w:pPr>
              <w:jc w:val="both"/>
              <w:rPr>
                <w:rFonts w:eastAsia="Calibri"/>
                <w:sz w:val="22"/>
                <w:szCs w:val="22"/>
              </w:rPr>
            </w:pPr>
            <w:r w:rsidRPr="00D53A2B">
              <w:rPr>
                <w:rFonts w:eastAsia="Calibri"/>
                <w:sz w:val="22"/>
                <w:szCs w:val="22"/>
              </w:rPr>
              <w:t>Çinko</w:t>
            </w:r>
          </w:p>
        </w:tc>
        <w:tc>
          <w:tcPr>
            <w:tcW w:w="1701" w:type="dxa"/>
          </w:tcPr>
          <w:p w14:paraId="20CFAA03" w14:textId="100BC469" w:rsidR="00D74271" w:rsidRPr="00D53A2B" w:rsidRDefault="00EB6D4B" w:rsidP="00A202FD">
            <w:pPr>
              <w:jc w:val="both"/>
              <w:rPr>
                <w:rFonts w:eastAsia="Calibri"/>
              </w:rPr>
            </w:pPr>
            <w:r w:rsidRPr="00D53A2B">
              <w:rPr>
                <w:rFonts w:eastAsia="Calibri"/>
              </w:rPr>
              <w:t>&lt;0,01-0,5</w:t>
            </w:r>
          </w:p>
        </w:tc>
        <w:tc>
          <w:tcPr>
            <w:tcW w:w="2268" w:type="dxa"/>
          </w:tcPr>
          <w:p w14:paraId="3A2F778C" w14:textId="77777777" w:rsidR="00D74271" w:rsidRPr="00D53A2B" w:rsidRDefault="00EB6D4B" w:rsidP="00A202FD">
            <w:pPr>
              <w:jc w:val="both"/>
              <w:rPr>
                <w:rFonts w:eastAsia="Calibri"/>
              </w:rPr>
            </w:pPr>
            <w:r w:rsidRPr="00D53A2B">
              <w:rPr>
                <w:rFonts w:eastAsia="Calibri"/>
              </w:rPr>
              <w:t>Çinko veya çinko nikel işlemi</w:t>
            </w:r>
          </w:p>
          <w:p w14:paraId="59B9EF62" w14:textId="4E893973" w:rsidR="00EB6D4B" w:rsidRPr="00D53A2B" w:rsidRDefault="00EB6D4B" w:rsidP="00A202FD">
            <w:pPr>
              <w:jc w:val="both"/>
              <w:rPr>
                <w:rFonts w:eastAsia="Calibri"/>
              </w:rPr>
            </w:pPr>
            <w:r w:rsidRPr="00D53A2B">
              <w:rPr>
                <w:rFonts w:eastAsia="Calibri"/>
              </w:rPr>
              <w:t>0,2-2,5</w:t>
            </w:r>
          </w:p>
        </w:tc>
        <w:tc>
          <w:tcPr>
            <w:tcW w:w="3396" w:type="dxa"/>
          </w:tcPr>
          <w:p w14:paraId="138583DC" w14:textId="77777777" w:rsidR="00EB6D4B" w:rsidRPr="00D53A2B" w:rsidRDefault="00EB6D4B" w:rsidP="00A202FD">
            <w:pPr>
              <w:jc w:val="both"/>
              <w:rPr>
                <w:rFonts w:eastAsia="Calibri"/>
              </w:rPr>
            </w:pPr>
            <w:r w:rsidRPr="00D53A2B">
              <w:rPr>
                <w:rFonts w:eastAsia="Calibri"/>
              </w:rPr>
              <w:t>Sulu yıkayıcı</w:t>
            </w:r>
          </w:p>
          <w:p w14:paraId="4D216894" w14:textId="04205AC1" w:rsidR="00D74271" w:rsidRPr="00D53A2B" w:rsidRDefault="00EB6D4B" w:rsidP="00A202FD">
            <w:pPr>
              <w:jc w:val="both"/>
              <w:rPr>
                <w:rFonts w:eastAsia="Calibri"/>
              </w:rPr>
            </w:pPr>
            <w:r w:rsidRPr="00D53A2B">
              <w:rPr>
                <w:rFonts w:eastAsia="Calibri"/>
              </w:rPr>
              <w:t>Bkz. Not 2.</w:t>
            </w:r>
          </w:p>
        </w:tc>
      </w:tr>
      <w:tr w:rsidR="00EB6D4B" w:rsidRPr="00D53A2B" w14:paraId="049E29F9" w14:textId="77777777" w:rsidTr="00177996">
        <w:tc>
          <w:tcPr>
            <w:tcW w:w="2122" w:type="dxa"/>
          </w:tcPr>
          <w:p w14:paraId="512625E6" w14:textId="19729AD6" w:rsidR="00EB6D4B" w:rsidRPr="00D53A2B" w:rsidRDefault="00EB6D4B" w:rsidP="00A202FD">
            <w:pPr>
              <w:jc w:val="both"/>
              <w:rPr>
                <w:rFonts w:eastAsia="Calibri"/>
                <w:sz w:val="22"/>
                <w:szCs w:val="22"/>
              </w:rPr>
            </w:pPr>
            <w:r w:rsidRPr="00D53A2B">
              <w:rPr>
                <w:rFonts w:eastAsia="Calibri"/>
                <w:sz w:val="22"/>
                <w:szCs w:val="22"/>
              </w:rPr>
              <w:t xml:space="preserve">Bakır </w:t>
            </w:r>
          </w:p>
        </w:tc>
        <w:tc>
          <w:tcPr>
            <w:tcW w:w="1701" w:type="dxa"/>
          </w:tcPr>
          <w:p w14:paraId="3F88C04C" w14:textId="7005E4FC" w:rsidR="00EB6D4B" w:rsidRPr="00D53A2B" w:rsidRDefault="00EB6D4B" w:rsidP="00A202FD">
            <w:pPr>
              <w:jc w:val="both"/>
              <w:rPr>
                <w:rFonts w:eastAsia="Calibri"/>
              </w:rPr>
            </w:pPr>
            <w:r w:rsidRPr="00D53A2B">
              <w:rPr>
                <w:rFonts w:eastAsia="Calibri"/>
              </w:rPr>
              <w:t>&lt;0,01-0,02</w:t>
            </w:r>
          </w:p>
        </w:tc>
        <w:tc>
          <w:tcPr>
            <w:tcW w:w="2268" w:type="dxa"/>
          </w:tcPr>
          <w:p w14:paraId="7C45F1FB" w14:textId="6B9DDF3E" w:rsidR="00EB6D4B" w:rsidRPr="00D53A2B" w:rsidRDefault="00EB6D4B" w:rsidP="00A202FD">
            <w:pPr>
              <w:jc w:val="both"/>
              <w:rPr>
                <w:rFonts w:eastAsia="Calibri"/>
              </w:rPr>
            </w:pPr>
            <w:r w:rsidRPr="00D53A2B">
              <w:rPr>
                <w:rFonts w:eastAsia="Calibri"/>
              </w:rPr>
              <w:t>nd</w:t>
            </w:r>
          </w:p>
        </w:tc>
        <w:tc>
          <w:tcPr>
            <w:tcW w:w="3396" w:type="dxa"/>
          </w:tcPr>
          <w:p w14:paraId="22612A3D" w14:textId="2855ACFB" w:rsidR="00EB6D4B" w:rsidRPr="00D53A2B" w:rsidRDefault="00EB6D4B" w:rsidP="00A202FD">
            <w:pPr>
              <w:jc w:val="both"/>
              <w:rPr>
                <w:rFonts w:eastAsia="Calibri"/>
              </w:rPr>
            </w:pPr>
            <w:r w:rsidRPr="00D53A2B">
              <w:rPr>
                <w:rFonts w:eastAsia="Calibri"/>
              </w:rPr>
              <w:t>Bkz. Not 2.</w:t>
            </w:r>
          </w:p>
        </w:tc>
      </w:tr>
      <w:tr w:rsidR="00EB6D4B" w:rsidRPr="00D53A2B" w14:paraId="4A4DCEAE" w14:textId="77777777" w:rsidTr="001F4486">
        <w:trPr>
          <w:trHeight w:val="1685"/>
        </w:trPr>
        <w:tc>
          <w:tcPr>
            <w:tcW w:w="2122" w:type="dxa"/>
          </w:tcPr>
          <w:p w14:paraId="1E82F6BC" w14:textId="3B790AC6" w:rsidR="00EB6D4B" w:rsidRPr="00D53A2B" w:rsidRDefault="00EB6D4B" w:rsidP="00A202FD">
            <w:pPr>
              <w:jc w:val="both"/>
              <w:rPr>
                <w:rFonts w:eastAsia="Calibri"/>
                <w:sz w:val="22"/>
                <w:szCs w:val="22"/>
              </w:rPr>
            </w:pPr>
            <w:r w:rsidRPr="00D53A2B">
              <w:rPr>
                <w:rFonts w:eastAsia="Calibri"/>
                <w:sz w:val="22"/>
                <w:szCs w:val="22"/>
              </w:rPr>
              <w:t>CrVI ve krom gibi bileşikler</w:t>
            </w:r>
          </w:p>
        </w:tc>
        <w:tc>
          <w:tcPr>
            <w:tcW w:w="1701" w:type="dxa"/>
          </w:tcPr>
          <w:p w14:paraId="43C2BE40" w14:textId="77777777" w:rsidR="00EB6D4B" w:rsidRPr="00D53A2B" w:rsidRDefault="00EB6D4B" w:rsidP="00A202FD">
            <w:pPr>
              <w:ind w:right="57"/>
              <w:jc w:val="both"/>
              <w:rPr>
                <w:rFonts w:eastAsia="Calibri"/>
                <w:lang w:eastAsia="en-US"/>
              </w:rPr>
            </w:pPr>
            <w:r w:rsidRPr="00D53A2B">
              <w:rPr>
                <w:rFonts w:eastAsia="Calibri"/>
                <w:lang w:eastAsia="en-US"/>
              </w:rPr>
              <w:t>Cr(VI) &lt;0,01 – 0,2</w:t>
            </w:r>
          </w:p>
          <w:p w14:paraId="214048F0" w14:textId="21098926" w:rsidR="00EB6D4B" w:rsidRPr="00D53A2B" w:rsidRDefault="00EB6D4B" w:rsidP="00A202FD">
            <w:pPr>
              <w:jc w:val="both"/>
              <w:rPr>
                <w:rFonts w:eastAsia="Calibri"/>
              </w:rPr>
            </w:pPr>
            <w:r w:rsidRPr="00D53A2B">
              <w:rPr>
                <w:rFonts w:eastAsia="Calibri"/>
                <w:lang w:eastAsia="en-US"/>
              </w:rPr>
              <w:t>Toplam Cr &lt;0,1 – 0,2</w:t>
            </w:r>
          </w:p>
        </w:tc>
        <w:tc>
          <w:tcPr>
            <w:tcW w:w="2268" w:type="dxa"/>
          </w:tcPr>
          <w:p w14:paraId="3A3AF355" w14:textId="1D74B783" w:rsidR="00EB6D4B" w:rsidRPr="00D53A2B" w:rsidRDefault="00EB6D4B" w:rsidP="00A202FD">
            <w:pPr>
              <w:jc w:val="both"/>
              <w:rPr>
                <w:rFonts w:eastAsia="Calibri"/>
              </w:rPr>
            </w:pPr>
            <w:r w:rsidRPr="00D53A2B">
              <w:rPr>
                <w:rFonts w:eastAsia="Calibri"/>
              </w:rPr>
              <w:t>nd</w:t>
            </w:r>
          </w:p>
        </w:tc>
        <w:tc>
          <w:tcPr>
            <w:tcW w:w="3396" w:type="dxa"/>
          </w:tcPr>
          <w:p w14:paraId="54B73DE4" w14:textId="368B33A0" w:rsidR="00EB6D4B" w:rsidRPr="00D53A2B" w:rsidRDefault="00EB6D4B" w:rsidP="00A202FD">
            <w:pPr>
              <w:jc w:val="both"/>
              <w:rPr>
                <w:rFonts w:eastAsia="Calibri"/>
              </w:rPr>
            </w:pPr>
            <w:r w:rsidRPr="00D53A2B">
              <w:rPr>
                <w:rFonts w:eastAsia="Calibri"/>
              </w:rPr>
              <w:t>Cr(VI)</w:t>
            </w:r>
            <w:r w:rsidR="00E56504" w:rsidRPr="00D53A2B">
              <w:rPr>
                <w:rFonts w:eastAsia="Calibri"/>
              </w:rPr>
              <w:t>’</w:t>
            </w:r>
            <w:r w:rsidRPr="00D53A2B">
              <w:rPr>
                <w:rFonts w:eastAsia="Calibri"/>
              </w:rPr>
              <w:t>nın Cr(III) veya krom dışı tekniklerle değiştirilmesi (bkz. Bölüm 5.2.5.7)</w:t>
            </w:r>
          </w:p>
          <w:p w14:paraId="14CE32B1" w14:textId="77777777" w:rsidR="00EB6D4B" w:rsidRPr="00D53A2B" w:rsidRDefault="00EB6D4B" w:rsidP="00A202FD">
            <w:pPr>
              <w:jc w:val="both"/>
              <w:rPr>
                <w:rFonts w:eastAsia="Calibri"/>
              </w:rPr>
            </w:pPr>
            <w:r w:rsidRPr="00D53A2B">
              <w:rPr>
                <w:rFonts w:eastAsia="Calibri"/>
              </w:rPr>
              <w:t>Damla ayırıcı</w:t>
            </w:r>
          </w:p>
          <w:p w14:paraId="0295DD0C" w14:textId="457B6221" w:rsidR="00EB6D4B" w:rsidRPr="00D53A2B" w:rsidRDefault="00EB6D4B" w:rsidP="00A202FD">
            <w:pPr>
              <w:jc w:val="both"/>
              <w:rPr>
                <w:rFonts w:eastAsia="Calibri"/>
              </w:rPr>
            </w:pPr>
            <w:r w:rsidRPr="00D53A2B">
              <w:rPr>
                <w:rFonts w:eastAsia="Calibri"/>
              </w:rPr>
              <w:t>Temizleyiciler veya adsorpsiyon kulesi</w:t>
            </w:r>
          </w:p>
        </w:tc>
      </w:tr>
      <w:tr w:rsidR="00EB6D4B" w:rsidRPr="00D53A2B" w14:paraId="25CC0C6D" w14:textId="77777777" w:rsidTr="00177996">
        <w:tc>
          <w:tcPr>
            <w:tcW w:w="2122" w:type="dxa"/>
          </w:tcPr>
          <w:p w14:paraId="6D55B84A" w14:textId="7FFC973E" w:rsidR="00EB6D4B" w:rsidRPr="00D53A2B" w:rsidRDefault="00EB6D4B" w:rsidP="00A202FD">
            <w:pPr>
              <w:jc w:val="both"/>
              <w:rPr>
                <w:rFonts w:eastAsia="Calibri"/>
                <w:sz w:val="22"/>
                <w:szCs w:val="22"/>
              </w:rPr>
            </w:pPr>
            <w:r w:rsidRPr="00D53A2B">
              <w:rPr>
                <w:rFonts w:eastAsia="Calibri"/>
                <w:sz w:val="22"/>
                <w:szCs w:val="22"/>
              </w:rPr>
              <w:t>Ni ve nikel gibi bileşikleri</w:t>
            </w:r>
          </w:p>
        </w:tc>
        <w:tc>
          <w:tcPr>
            <w:tcW w:w="1701" w:type="dxa"/>
          </w:tcPr>
          <w:p w14:paraId="0C8BF349" w14:textId="19EFB0F7" w:rsidR="00EB6D4B" w:rsidRPr="00D53A2B" w:rsidRDefault="00EB6D4B" w:rsidP="00A202FD">
            <w:pPr>
              <w:ind w:right="57"/>
              <w:jc w:val="both"/>
              <w:rPr>
                <w:rFonts w:eastAsia="Calibri"/>
                <w:lang w:eastAsia="en-US"/>
              </w:rPr>
            </w:pPr>
            <w:r w:rsidRPr="00D53A2B">
              <w:rPr>
                <w:rFonts w:eastAsia="Calibri"/>
                <w:lang w:eastAsia="en-US"/>
              </w:rPr>
              <w:t>&lt;0,01-0,1</w:t>
            </w:r>
          </w:p>
        </w:tc>
        <w:tc>
          <w:tcPr>
            <w:tcW w:w="2268" w:type="dxa"/>
          </w:tcPr>
          <w:p w14:paraId="7000E97E" w14:textId="03D63B3C" w:rsidR="00EB6D4B" w:rsidRPr="00D53A2B" w:rsidRDefault="00EB6D4B" w:rsidP="00A202FD">
            <w:pPr>
              <w:jc w:val="both"/>
              <w:rPr>
                <w:rFonts w:eastAsia="Calibri"/>
              </w:rPr>
            </w:pPr>
            <w:r w:rsidRPr="00D53A2B">
              <w:rPr>
                <w:rFonts w:eastAsia="Calibri"/>
              </w:rPr>
              <w:t>nd</w:t>
            </w:r>
          </w:p>
        </w:tc>
        <w:tc>
          <w:tcPr>
            <w:tcW w:w="3396" w:type="dxa"/>
          </w:tcPr>
          <w:p w14:paraId="304C099C" w14:textId="77777777" w:rsidR="00EB6D4B" w:rsidRPr="00D53A2B" w:rsidRDefault="00EB6D4B" w:rsidP="00A202FD">
            <w:pPr>
              <w:jc w:val="both"/>
              <w:rPr>
                <w:rFonts w:eastAsia="Calibri"/>
              </w:rPr>
            </w:pPr>
            <w:r w:rsidRPr="00D53A2B">
              <w:rPr>
                <w:rFonts w:eastAsia="Calibri"/>
              </w:rPr>
              <w:t>Isı eşanjöründe yoğuşma</w:t>
            </w:r>
          </w:p>
          <w:p w14:paraId="70198581" w14:textId="77777777" w:rsidR="00EB6D4B" w:rsidRPr="00D53A2B" w:rsidRDefault="00EB6D4B" w:rsidP="00A202FD">
            <w:pPr>
              <w:jc w:val="both"/>
              <w:rPr>
                <w:rFonts w:eastAsia="Calibri"/>
              </w:rPr>
            </w:pPr>
            <w:r w:rsidRPr="00D53A2B">
              <w:rPr>
                <w:rFonts w:eastAsia="Calibri"/>
              </w:rPr>
              <w:t>Su veya alkali yıkayıcı</w:t>
            </w:r>
          </w:p>
          <w:p w14:paraId="1E238BEB" w14:textId="77777777" w:rsidR="00EB6D4B" w:rsidRPr="00D53A2B" w:rsidRDefault="00EB6D4B" w:rsidP="00A202FD">
            <w:pPr>
              <w:jc w:val="both"/>
              <w:rPr>
                <w:rFonts w:eastAsia="Calibri"/>
              </w:rPr>
            </w:pPr>
            <w:r w:rsidRPr="00D53A2B">
              <w:rPr>
                <w:rFonts w:eastAsia="Calibri"/>
              </w:rPr>
              <w:t>Filtre</w:t>
            </w:r>
          </w:p>
          <w:p w14:paraId="6E0A8CE5" w14:textId="7CB7A721" w:rsidR="00EB6D4B" w:rsidRPr="00D53A2B" w:rsidRDefault="00EB6D4B" w:rsidP="00A202FD">
            <w:pPr>
              <w:jc w:val="both"/>
              <w:rPr>
                <w:rFonts w:eastAsia="Calibri"/>
              </w:rPr>
            </w:pPr>
            <w:r w:rsidRPr="00D53A2B">
              <w:rPr>
                <w:rFonts w:eastAsia="Calibri"/>
              </w:rPr>
              <w:t>Bkz. Not 2.</w:t>
            </w:r>
          </w:p>
        </w:tc>
      </w:tr>
      <w:tr w:rsidR="00EB6D4B" w:rsidRPr="00D53A2B" w14:paraId="50AAF5E3" w14:textId="77777777" w:rsidTr="00177996">
        <w:tc>
          <w:tcPr>
            <w:tcW w:w="2122" w:type="dxa"/>
          </w:tcPr>
          <w:p w14:paraId="31A0F431" w14:textId="64B9BF0A" w:rsidR="00EB6D4B" w:rsidRPr="00D53A2B" w:rsidRDefault="00EB6D4B" w:rsidP="00A202FD">
            <w:pPr>
              <w:jc w:val="both"/>
              <w:rPr>
                <w:rFonts w:eastAsia="Calibri"/>
                <w:sz w:val="22"/>
                <w:szCs w:val="22"/>
              </w:rPr>
            </w:pPr>
            <w:r w:rsidRPr="00D53A2B">
              <w:rPr>
                <w:rFonts w:eastAsia="Calibri"/>
                <w:sz w:val="22"/>
                <w:szCs w:val="22"/>
              </w:rPr>
              <w:t>Partikül madde</w:t>
            </w:r>
          </w:p>
        </w:tc>
        <w:tc>
          <w:tcPr>
            <w:tcW w:w="1701" w:type="dxa"/>
          </w:tcPr>
          <w:p w14:paraId="06C4B75F" w14:textId="3B799CE8" w:rsidR="00EB6D4B" w:rsidRPr="00D53A2B" w:rsidRDefault="00EB6D4B" w:rsidP="00A202FD">
            <w:pPr>
              <w:ind w:right="57"/>
              <w:jc w:val="both"/>
              <w:rPr>
                <w:rFonts w:eastAsia="Calibri"/>
                <w:lang w:eastAsia="en-US"/>
              </w:rPr>
            </w:pPr>
            <w:r w:rsidRPr="00D53A2B">
              <w:rPr>
                <w:rFonts w:eastAsia="Calibri"/>
                <w:lang w:eastAsia="en-US"/>
              </w:rPr>
              <w:t>&lt;5-30</w:t>
            </w:r>
          </w:p>
        </w:tc>
        <w:tc>
          <w:tcPr>
            <w:tcW w:w="2268" w:type="dxa"/>
          </w:tcPr>
          <w:p w14:paraId="3DC9563C" w14:textId="77777777" w:rsidR="00EB6D4B" w:rsidRPr="00D53A2B" w:rsidRDefault="00EB6D4B" w:rsidP="00A202FD">
            <w:pPr>
              <w:jc w:val="both"/>
              <w:rPr>
                <w:rFonts w:eastAsia="Calibri"/>
              </w:rPr>
            </w:pPr>
            <w:r w:rsidRPr="00D53A2B">
              <w:rPr>
                <w:rFonts w:eastAsia="Calibri"/>
              </w:rPr>
              <w:t>Kalay veya krom (ECCS) işlemi</w:t>
            </w:r>
          </w:p>
          <w:p w14:paraId="43BB7A7F" w14:textId="77ED9786" w:rsidR="00EB6D4B" w:rsidRPr="00D53A2B" w:rsidRDefault="00EB6D4B" w:rsidP="00A202FD">
            <w:pPr>
              <w:jc w:val="both"/>
              <w:rPr>
                <w:rFonts w:eastAsia="Calibri"/>
              </w:rPr>
            </w:pPr>
            <w:r w:rsidRPr="00D53A2B">
              <w:rPr>
                <w:rFonts w:eastAsia="Calibri"/>
              </w:rPr>
              <w:t>1-20</w:t>
            </w:r>
          </w:p>
        </w:tc>
        <w:tc>
          <w:tcPr>
            <w:tcW w:w="3396" w:type="dxa"/>
          </w:tcPr>
          <w:p w14:paraId="76C0E13D" w14:textId="77777777" w:rsidR="00C94756" w:rsidRPr="00D53A2B" w:rsidRDefault="00C94756" w:rsidP="00A202FD">
            <w:pPr>
              <w:jc w:val="both"/>
              <w:rPr>
                <w:rFonts w:eastAsia="Calibri"/>
              </w:rPr>
            </w:pPr>
            <w:r w:rsidRPr="00D53A2B">
              <w:rPr>
                <w:rFonts w:eastAsia="Calibri"/>
              </w:rPr>
              <w:t>Kuru partikül işlemleri için, aralığın alt ucuna ulaşmak gerekebilir, örneğin:</w:t>
            </w:r>
          </w:p>
          <w:p w14:paraId="608DD18D" w14:textId="77777777" w:rsidR="00C94756" w:rsidRPr="00D53A2B" w:rsidRDefault="00C94756" w:rsidP="00A202FD">
            <w:pPr>
              <w:jc w:val="both"/>
              <w:rPr>
                <w:rFonts w:eastAsia="Calibri"/>
              </w:rPr>
            </w:pPr>
            <w:r w:rsidRPr="00D53A2B">
              <w:rPr>
                <w:rFonts w:eastAsia="Calibri"/>
              </w:rPr>
              <w:t>Islak yıkayıcı</w:t>
            </w:r>
          </w:p>
          <w:p w14:paraId="3BACF9BF" w14:textId="77777777" w:rsidR="00C94756" w:rsidRPr="00D53A2B" w:rsidRDefault="00C94756" w:rsidP="00A202FD">
            <w:pPr>
              <w:jc w:val="both"/>
              <w:rPr>
                <w:rFonts w:eastAsia="Calibri"/>
              </w:rPr>
            </w:pPr>
            <w:r w:rsidRPr="00D53A2B">
              <w:rPr>
                <w:rFonts w:eastAsia="Calibri"/>
              </w:rPr>
              <w:t>Siklon</w:t>
            </w:r>
          </w:p>
          <w:p w14:paraId="75F5E0F6" w14:textId="77777777" w:rsidR="00C94756" w:rsidRPr="00D53A2B" w:rsidRDefault="00C94756" w:rsidP="00A202FD">
            <w:pPr>
              <w:jc w:val="both"/>
              <w:rPr>
                <w:rFonts w:eastAsia="Calibri"/>
              </w:rPr>
            </w:pPr>
            <w:r w:rsidRPr="00D53A2B">
              <w:rPr>
                <w:rFonts w:eastAsia="Calibri"/>
              </w:rPr>
              <w:t>Filtre</w:t>
            </w:r>
          </w:p>
          <w:p w14:paraId="74C42FA1" w14:textId="77777777" w:rsidR="00C94756" w:rsidRPr="00D53A2B" w:rsidRDefault="00C94756" w:rsidP="00A202FD">
            <w:pPr>
              <w:jc w:val="both"/>
              <w:rPr>
                <w:rFonts w:eastAsia="Calibri"/>
              </w:rPr>
            </w:pPr>
            <w:r w:rsidRPr="00D53A2B">
              <w:rPr>
                <w:rFonts w:eastAsia="Calibri"/>
              </w:rPr>
              <w:t>Islak işlemler için, ıslak veya alkali yıkayıcılar aralığın alt ucuna ulaşır</w:t>
            </w:r>
          </w:p>
          <w:p w14:paraId="0A5742D1" w14:textId="6F1CB824" w:rsidR="00EB6D4B" w:rsidRPr="00D53A2B" w:rsidRDefault="00C94756" w:rsidP="00A202FD">
            <w:pPr>
              <w:jc w:val="both"/>
              <w:rPr>
                <w:rFonts w:eastAsia="Calibri"/>
              </w:rPr>
            </w:pPr>
            <w:r w:rsidRPr="00D53A2B">
              <w:rPr>
                <w:rFonts w:eastAsia="Calibri"/>
              </w:rPr>
              <w:t>Bkz. Not 2.</w:t>
            </w:r>
          </w:p>
        </w:tc>
      </w:tr>
      <w:tr w:rsidR="00C94756" w:rsidRPr="00D53A2B" w14:paraId="377469B8" w14:textId="77777777" w:rsidTr="00A202FD">
        <w:tc>
          <w:tcPr>
            <w:tcW w:w="9487" w:type="dxa"/>
            <w:gridSpan w:val="4"/>
          </w:tcPr>
          <w:p w14:paraId="4AEAF22D" w14:textId="77777777" w:rsidR="00C94756" w:rsidRPr="00D53A2B" w:rsidRDefault="00C94756" w:rsidP="00A202FD">
            <w:pPr>
              <w:jc w:val="both"/>
              <w:rPr>
                <w:rFonts w:eastAsia="Calibri"/>
                <w:sz w:val="22"/>
                <w:szCs w:val="22"/>
              </w:rPr>
            </w:pPr>
            <w:r w:rsidRPr="00D53A2B">
              <w:rPr>
                <w:rFonts w:eastAsia="Calibri"/>
                <w:sz w:val="22"/>
                <w:szCs w:val="22"/>
              </w:rPr>
              <w:t>Not 1: nd = veri sağlanmadı</w:t>
            </w:r>
          </w:p>
          <w:p w14:paraId="508FCB3B" w14:textId="32599179" w:rsidR="00C94756" w:rsidRPr="00D53A2B" w:rsidRDefault="00C94756" w:rsidP="00A202FD">
            <w:pPr>
              <w:jc w:val="both"/>
              <w:rPr>
                <w:rFonts w:eastAsia="Calibri"/>
                <w:sz w:val="22"/>
                <w:szCs w:val="22"/>
              </w:rPr>
            </w:pPr>
            <w:r w:rsidRPr="00D53A2B">
              <w:rPr>
                <w:rFonts w:eastAsia="Calibri"/>
                <w:sz w:val="22"/>
                <w:szCs w:val="22"/>
              </w:rPr>
              <w:t>Not 2: bazı durumlarda, bazı operatörler EoP olmadan bu aralıkları karşılıyor</w:t>
            </w:r>
          </w:p>
        </w:tc>
      </w:tr>
    </w:tbl>
    <w:p w14:paraId="595F32B3" w14:textId="77777777" w:rsidR="001A2F1D" w:rsidRPr="00D53A2B" w:rsidRDefault="001A2F1D" w:rsidP="00A202FD">
      <w:pPr>
        <w:jc w:val="both"/>
        <w:rPr>
          <w:rFonts w:eastAsia="Calibri"/>
        </w:rPr>
      </w:pPr>
    </w:p>
    <w:p w14:paraId="21BBA6CD" w14:textId="49C08D90" w:rsidR="001A2F1D" w:rsidRPr="00D53A2B" w:rsidRDefault="002A1D0B" w:rsidP="00A202FD">
      <w:pPr>
        <w:pStyle w:val="Balk3"/>
        <w:rPr>
          <w:rFonts w:eastAsia="Calibri" w:cs="Times New Roman"/>
        </w:rPr>
      </w:pPr>
      <w:r w:rsidRPr="00D53A2B">
        <w:rPr>
          <w:rFonts w:eastAsia="Calibri" w:cs="Times New Roman"/>
        </w:rPr>
        <w:t>5.1.11. Gürültü</w:t>
      </w:r>
    </w:p>
    <w:p w14:paraId="4CBF254F" w14:textId="77777777" w:rsidR="001A2F1D" w:rsidRPr="00D53A2B" w:rsidRDefault="001A2F1D" w:rsidP="00A202FD">
      <w:pPr>
        <w:jc w:val="both"/>
        <w:rPr>
          <w:rFonts w:eastAsia="Calibri"/>
        </w:rPr>
      </w:pPr>
    </w:p>
    <w:p w14:paraId="1A75E799" w14:textId="74CC73F8" w:rsidR="001A2F1D" w:rsidRPr="00D53A2B" w:rsidRDefault="002A1D0B" w:rsidP="00A202FD">
      <w:pPr>
        <w:pStyle w:val="MET"/>
        <w:rPr>
          <w:rFonts w:eastAsia="Calibri"/>
          <w:szCs w:val="24"/>
        </w:rPr>
      </w:pPr>
      <w:r w:rsidRPr="00D53A2B">
        <w:rPr>
          <w:rFonts w:eastAsia="Calibri"/>
          <w:szCs w:val="24"/>
        </w:rPr>
        <w:t xml:space="preserve">MET 15: </w:t>
      </w:r>
      <w:r w:rsidRPr="00D53A2B">
        <w:rPr>
          <w:rFonts w:eastAsia="Calibri"/>
          <w:b w:val="0"/>
          <w:bCs/>
          <w:szCs w:val="24"/>
        </w:rPr>
        <w:t xml:space="preserve">Yerel toplulukta önemli gürültü kaynaklarını ve potansiyel hedefleri belirlemek </w:t>
      </w:r>
      <w:r w:rsidR="00FE7A41" w:rsidRPr="00D53A2B">
        <w:rPr>
          <w:rFonts w:eastAsia="Calibri"/>
          <w:b w:val="0"/>
          <w:bCs/>
          <w:szCs w:val="24"/>
        </w:rPr>
        <w:t>MET</w:t>
      </w:r>
      <w:r w:rsidR="00E56504" w:rsidRPr="00D53A2B">
        <w:rPr>
          <w:rFonts w:eastAsia="Calibri"/>
          <w:b w:val="0"/>
          <w:bCs/>
          <w:szCs w:val="24"/>
        </w:rPr>
        <w:t>’</w:t>
      </w:r>
      <w:r w:rsidR="00FE7A41" w:rsidRPr="00D53A2B">
        <w:rPr>
          <w:rFonts w:eastAsia="Calibri"/>
          <w:b w:val="0"/>
          <w:bCs/>
          <w:szCs w:val="24"/>
        </w:rPr>
        <w:t>tir.</w:t>
      </w:r>
      <w:r w:rsidRPr="00D53A2B">
        <w:rPr>
          <w:rFonts w:eastAsia="Calibri"/>
          <w:b w:val="0"/>
          <w:bCs/>
          <w:szCs w:val="24"/>
        </w:rPr>
        <w:t xml:space="preserve"> Etkilerin önemli olacağı yerlerde uygun kontrol önlemlerini kullanarak gürültüyü azaltmak </w:t>
      </w:r>
      <w:r w:rsidR="00FE7A41" w:rsidRPr="00D53A2B">
        <w:rPr>
          <w:rFonts w:eastAsia="Calibri"/>
          <w:b w:val="0"/>
          <w:bCs/>
          <w:szCs w:val="24"/>
        </w:rPr>
        <w:t>MET</w:t>
      </w:r>
      <w:r w:rsidR="00E56504" w:rsidRPr="00D53A2B">
        <w:rPr>
          <w:rFonts w:eastAsia="Calibri"/>
          <w:b w:val="0"/>
          <w:bCs/>
          <w:szCs w:val="24"/>
        </w:rPr>
        <w:t>’</w:t>
      </w:r>
      <w:r w:rsidR="00FE7A41" w:rsidRPr="00D53A2B">
        <w:rPr>
          <w:rFonts w:eastAsia="Calibri"/>
          <w:b w:val="0"/>
          <w:bCs/>
          <w:szCs w:val="24"/>
        </w:rPr>
        <w:t>tir</w:t>
      </w:r>
      <w:r w:rsidRPr="00D53A2B">
        <w:rPr>
          <w:rFonts w:eastAsia="Calibri"/>
          <w:b w:val="0"/>
          <w:bCs/>
          <w:szCs w:val="24"/>
        </w:rPr>
        <w:t xml:space="preserve"> (bkz. Bölüm 4.19), örneğin:</w:t>
      </w:r>
    </w:p>
    <w:p w14:paraId="7287B28B" w14:textId="77777777" w:rsidR="00C22B2F" w:rsidRPr="00D53A2B" w:rsidRDefault="00C22B2F" w:rsidP="00602365">
      <w:pPr>
        <w:pStyle w:val="ListeParagraf"/>
        <w:numPr>
          <w:ilvl w:val="0"/>
          <w:numId w:val="211"/>
        </w:numPr>
        <w:tabs>
          <w:tab w:val="clear" w:pos="567"/>
        </w:tabs>
        <w:spacing w:line="240" w:lineRule="auto"/>
        <w:ind w:left="426" w:hanging="426"/>
        <w:rPr>
          <w:rFonts w:eastAsia="Calibri"/>
          <w:sz w:val="24"/>
          <w:szCs w:val="24"/>
        </w:rPr>
      </w:pPr>
      <w:r w:rsidRPr="00D53A2B">
        <w:rPr>
          <w:rFonts w:eastAsia="Calibri"/>
          <w:sz w:val="24"/>
          <w:szCs w:val="24"/>
        </w:rPr>
        <w:t>etkili tesis işletimi, örneğin:</w:t>
      </w:r>
    </w:p>
    <w:p w14:paraId="5AD96A64" w14:textId="7235769F" w:rsidR="00C22B2F" w:rsidRPr="00BF4451" w:rsidRDefault="00C22B2F" w:rsidP="009077F5">
      <w:pPr>
        <w:rPr>
          <w:rFonts w:eastAsia="Calibri"/>
        </w:rPr>
      </w:pPr>
      <w:r w:rsidRPr="00BF4451">
        <w:rPr>
          <w:rFonts w:eastAsia="Calibri"/>
        </w:rPr>
        <w:t>bölme kapılarının kapatılması</w:t>
      </w:r>
    </w:p>
    <w:p w14:paraId="61D36DBF" w14:textId="19AC288E" w:rsidR="00C22B2F" w:rsidRPr="00BF4451" w:rsidRDefault="00C22B2F" w:rsidP="009077F5">
      <w:pPr>
        <w:rPr>
          <w:rFonts w:eastAsia="Calibri"/>
        </w:rPr>
      </w:pPr>
      <w:r w:rsidRPr="00BF4451">
        <w:rPr>
          <w:rFonts w:eastAsia="Calibri"/>
        </w:rPr>
        <w:t>teslimatların en aza indirilmesi ve teslimat sürelerinin ayarlanması, bkz. Bölüm 4.18</w:t>
      </w:r>
    </w:p>
    <w:p w14:paraId="5D2D0C2D" w14:textId="1FA66D3E" w:rsidR="001A2F1D" w:rsidRPr="00D53A2B" w:rsidRDefault="00C22B2F" w:rsidP="00602365">
      <w:pPr>
        <w:pStyle w:val="ListeParagraf"/>
        <w:numPr>
          <w:ilvl w:val="0"/>
          <w:numId w:val="211"/>
        </w:numPr>
        <w:tabs>
          <w:tab w:val="clear" w:pos="567"/>
        </w:tabs>
        <w:spacing w:line="240" w:lineRule="auto"/>
        <w:ind w:left="426" w:hanging="426"/>
        <w:rPr>
          <w:rFonts w:eastAsia="Calibri"/>
          <w:sz w:val="24"/>
          <w:szCs w:val="24"/>
        </w:rPr>
      </w:pPr>
      <w:r w:rsidRPr="00D53A2B">
        <w:rPr>
          <w:rFonts w:eastAsia="Calibri"/>
          <w:sz w:val="24"/>
          <w:szCs w:val="24"/>
        </w:rPr>
        <w:t>büyük fanlara susturucu takılması, yüksek veya tonal gürültü seviyelerine sahip ekipmanlar için mümkün olduğunda akustik muhafazaların kullanılması gibi mühendislik kontrolleri, vb.</w:t>
      </w:r>
    </w:p>
    <w:p w14:paraId="25FFC536" w14:textId="77777777" w:rsidR="002A1D0B" w:rsidRPr="00D53A2B" w:rsidRDefault="002A1D0B" w:rsidP="00A202FD">
      <w:pPr>
        <w:jc w:val="both"/>
        <w:rPr>
          <w:rFonts w:eastAsia="Calibri"/>
        </w:rPr>
      </w:pPr>
    </w:p>
    <w:p w14:paraId="38D48004" w14:textId="53A89646" w:rsidR="002A1D0B" w:rsidRPr="00D53A2B" w:rsidRDefault="00C22B2F" w:rsidP="00A202FD">
      <w:pPr>
        <w:pStyle w:val="Balk3"/>
        <w:rPr>
          <w:rFonts w:eastAsia="Calibri" w:cs="Times New Roman"/>
        </w:rPr>
      </w:pPr>
      <w:r w:rsidRPr="00D53A2B">
        <w:rPr>
          <w:rFonts w:eastAsia="Calibri" w:cs="Times New Roman"/>
        </w:rPr>
        <w:t>5.1.12 Yeraltı suyunun korunması ve sahanın devre dışı bırakılması</w:t>
      </w:r>
    </w:p>
    <w:p w14:paraId="521B2913" w14:textId="5F79A79F" w:rsidR="00C22B2F" w:rsidRPr="00D53A2B" w:rsidRDefault="00C22B2F" w:rsidP="00A202FD">
      <w:pPr>
        <w:pStyle w:val="MET"/>
        <w:rPr>
          <w:rFonts w:eastAsia="Calibri"/>
          <w:szCs w:val="24"/>
        </w:rPr>
      </w:pPr>
      <w:r w:rsidRPr="00D53A2B">
        <w:rPr>
          <w:rFonts w:eastAsia="Calibri"/>
          <w:szCs w:val="24"/>
        </w:rPr>
        <w:t xml:space="preserve">MET 16: </w:t>
      </w:r>
      <w:r w:rsidRPr="00D53A2B">
        <w:rPr>
          <w:rFonts w:eastAsia="Calibri"/>
          <w:b w:val="0"/>
          <w:bCs/>
          <w:szCs w:val="24"/>
        </w:rPr>
        <w:t xml:space="preserve">Yeraltı suyunu korumak ve sahanın devre dışı bırakılmasına yardımcı olmak </w:t>
      </w:r>
      <w:r w:rsidR="0031317B" w:rsidRPr="00D53A2B">
        <w:rPr>
          <w:rFonts w:eastAsia="Calibri"/>
          <w:b w:val="0"/>
          <w:bCs/>
          <w:szCs w:val="24"/>
        </w:rPr>
        <w:t>MET’tir</w:t>
      </w:r>
      <w:r w:rsidRPr="00D53A2B">
        <w:rPr>
          <w:rFonts w:eastAsia="Calibri"/>
          <w:b w:val="0"/>
          <w:bCs/>
          <w:szCs w:val="24"/>
        </w:rPr>
        <w:t>:</w:t>
      </w:r>
    </w:p>
    <w:p w14:paraId="7D5E55E6" w14:textId="5E080346" w:rsidR="00C22B2F" w:rsidRPr="00D53A2B" w:rsidRDefault="00C22B2F" w:rsidP="00602365">
      <w:pPr>
        <w:pStyle w:val="ListeParagraf"/>
        <w:numPr>
          <w:ilvl w:val="0"/>
          <w:numId w:val="213"/>
        </w:numPr>
        <w:tabs>
          <w:tab w:val="clear" w:pos="567"/>
        </w:tabs>
        <w:spacing w:line="240" w:lineRule="auto"/>
        <w:ind w:left="426" w:hanging="426"/>
        <w:rPr>
          <w:rFonts w:eastAsia="Calibri"/>
          <w:sz w:val="24"/>
          <w:szCs w:val="24"/>
        </w:rPr>
      </w:pPr>
      <w:r w:rsidRPr="00D53A2B">
        <w:rPr>
          <w:rFonts w:eastAsia="Calibri"/>
          <w:sz w:val="24"/>
          <w:szCs w:val="24"/>
        </w:rPr>
        <w:t>Tesisin tasarımı veya yükseltilmesi sırasında olası devre dışı bırakmayı göz önünde bulundurarak, 4.1.1(h)</w:t>
      </w:r>
      <w:r w:rsidR="00E56504" w:rsidRPr="00D53A2B">
        <w:rPr>
          <w:rFonts w:eastAsia="Calibri"/>
          <w:sz w:val="24"/>
          <w:szCs w:val="24"/>
        </w:rPr>
        <w:t>’</w:t>
      </w:r>
      <w:r w:rsidRPr="00D53A2B">
        <w:rPr>
          <w:rFonts w:eastAsia="Calibri"/>
          <w:sz w:val="24"/>
          <w:szCs w:val="24"/>
        </w:rPr>
        <w:t>ye bakın.</w:t>
      </w:r>
    </w:p>
    <w:p w14:paraId="27124893" w14:textId="66EE685D" w:rsidR="00C22B2F" w:rsidRPr="00D53A2B" w:rsidRDefault="00C22B2F" w:rsidP="00602365">
      <w:pPr>
        <w:pStyle w:val="ListeParagraf"/>
        <w:numPr>
          <w:ilvl w:val="0"/>
          <w:numId w:val="213"/>
        </w:numPr>
        <w:tabs>
          <w:tab w:val="clear" w:pos="567"/>
        </w:tabs>
        <w:spacing w:line="240" w:lineRule="auto"/>
        <w:ind w:left="426" w:hanging="426"/>
        <w:rPr>
          <w:rFonts w:eastAsia="Calibri"/>
          <w:sz w:val="24"/>
          <w:szCs w:val="24"/>
        </w:rPr>
      </w:pPr>
      <w:r w:rsidRPr="00D53A2B">
        <w:rPr>
          <w:rFonts w:eastAsia="Calibri"/>
          <w:sz w:val="24"/>
          <w:szCs w:val="24"/>
        </w:rPr>
        <w:t>Bölüm 5.1.2</w:t>
      </w:r>
      <w:r w:rsidR="00E56504" w:rsidRPr="00D53A2B">
        <w:rPr>
          <w:rFonts w:eastAsia="Calibri"/>
          <w:sz w:val="24"/>
          <w:szCs w:val="24"/>
        </w:rPr>
        <w:t>’</w:t>
      </w:r>
      <w:r w:rsidRPr="00D53A2B">
        <w:rPr>
          <w:rFonts w:eastAsia="Calibri"/>
          <w:sz w:val="24"/>
          <w:szCs w:val="24"/>
        </w:rPr>
        <w:t>de açıklanan tasarım operasyonunu ve kaza önleme ve elleçleme tekniklerini kullanarak malzemeleri kapalı alanlara yerleştirme</w:t>
      </w:r>
    </w:p>
    <w:p w14:paraId="0376F829" w14:textId="5C035DE5" w:rsidR="00C22B2F" w:rsidRPr="00D53A2B" w:rsidRDefault="00C22B2F" w:rsidP="00602365">
      <w:pPr>
        <w:pStyle w:val="ListeParagraf"/>
        <w:numPr>
          <w:ilvl w:val="0"/>
          <w:numId w:val="213"/>
        </w:numPr>
        <w:tabs>
          <w:tab w:val="clear" w:pos="567"/>
        </w:tabs>
        <w:spacing w:line="240" w:lineRule="auto"/>
        <w:ind w:left="426" w:hanging="426"/>
        <w:rPr>
          <w:rFonts w:eastAsia="Calibri"/>
          <w:sz w:val="24"/>
          <w:szCs w:val="24"/>
        </w:rPr>
      </w:pPr>
      <w:r w:rsidRPr="00D53A2B">
        <w:rPr>
          <w:rFonts w:eastAsia="Calibri"/>
          <w:sz w:val="24"/>
          <w:szCs w:val="24"/>
        </w:rPr>
        <w:t>Tesisteki öncelikli ve tehlikeli kimyasalların geçmişini (bilindiği kadarıyla) ve bunların nerede kullanıldığını ve depolandığını kaydetme (Bölüm 4.1.1.1</w:t>
      </w:r>
      <w:r w:rsidR="00E56504" w:rsidRPr="00D53A2B">
        <w:rPr>
          <w:rFonts w:eastAsia="Calibri"/>
          <w:sz w:val="24"/>
          <w:szCs w:val="24"/>
        </w:rPr>
        <w:t>’</w:t>
      </w:r>
      <w:r w:rsidRPr="00D53A2B">
        <w:rPr>
          <w:rFonts w:eastAsia="Calibri"/>
          <w:sz w:val="24"/>
          <w:szCs w:val="24"/>
        </w:rPr>
        <w:t>e bakın).</w:t>
      </w:r>
    </w:p>
    <w:p w14:paraId="061AFEAF" w14:textId="058D567B" w:rsidR="00C22B2F" w:rsidRPr="00D53A2B" w:rsidRDefault="00C22B2F" w:rsidP="00602365">
      <w:pPr>
        <w:pStyle w:val="ListeParagraf"/>
        <w:numPr>
          <w:ilvl w:val="0"/>
          <w:numId w:val="213"/>
        </w:numPr>
        <w:tabs>
          <w:tab w:val="clear" w:pos="567"/>
        </w:tabs>
        <w:spacing w:line="240" w:lineRule="auto"/>
        <w:ind w:left="426" w:hanging="426"/>
        <w:rPr>
          <w:rFonts w:eastAsia="Calibri"/>
          <w:sz w:val="24"/>
          <w:szCs w:val="24"/>
        </w:rPr>
      </w:pPr>
      <w:r w:rsidRPr="00D53A2B">
        <w:rPr>
          <w:rFonts w:eastAsia="Calibri"/>
          <w:sz w:val="24"/>
          <w:szCs w:val="24"/>
        </w:rPr>
        <w:t xml:space="preserve">Bu bilgileri </w:t>
      </w:r>
      <w:r w:rsidR="005F0E3A" w:rsidRPr="00D53A2B">
        <w:rPr>
          <w:rFonts w:eastAsia="Calibri"/>
          <w:sz w:val="24"/>
          <w:szCs w:val="24"/>
        </w:rPr>
        <w:t>ÇYS</w:t>
      </w:r>
      <w:r w:rsidR="00E56504" w:rsidRPr="00D53A2B">
        <w:rPr>
          <w:rFonts w:eastAsia="Calibri"/>
          <w:sz w:val="24"/>
          <w:szCs w:val="24"/>
        </w:rPr>
        <w:t>’</w:t>
      </w:r>
      <w:r w:rsidRPr="00D53A2B">
        <w:rPr>
          <w:rFonts w:eastAsia="Calibri"/>
          <w:sz w:val="24"/>
          <w:szCs w:val="24"/>
        </w:rPr>
        <w:t>ye uygun olarak yıllık olarak güncelleyin (Bölüm 4.1.1</w:t>
      </w:r>
      <w:r w:rsidR="00E56504" w:rsidRPr="00D53A2B">
        <w:rPr>
          <w:rFonts w:eastAsia="Calibri"/>
          <w:sz w:val="24"/>
          <w:szCs w:val="24"/>
        </w:rPr>
        <w:t>’</w:t>
      </w:r>
      <w:r w:rsidRPr="00D53A2B">
        <w:rPr>
          <w:rFonts w:eastAsia="Calibri"/>
          <w:sz w:val="24"/>
          <w:szCs w:val="24"/>
        </w:rPr>
        <w:t>e bakın)</w:t>
      </w:r>
    </w:p>
    <w:p w14:paraId="54A9457B" w14:textId="4FCCBF47" w:rsidR="00C22B2F" w:rsidRPr="00D53A2B" w:rsidRDefault="00C22B2F" w:rsidP="00602365">
      <w:pPr>
        <w:pStyle w:val="ListeParagraf"/>
        <w:numPr>
          <w:ilvl w:val="0"/>
          <w:numId w:val="213"/>
        </w:numPr>
        <w:tabs>
          <w:tab w:val="clear" w:pos="567"/>
        </w:tabs>
        <w:spacing w:line="240" w:lineRule="auto"/>
        <w:ind w:left="426" w:hanging="426"/>
        <w:rPr>
          <w:rFonts w:eastAsia="Calibri"/>
          <w:sz w:val="24"/>
          <w:szCs w:val="24"/>
        </w:rPr>
      </w:pPr>
      <w:r w:rsidRPr="00D53A2B">
        <w:rPr>
          <w:rFonts w:eastAsia="Calibri"/>
          <w:sz w:val="24"/>
          <w:szCs w:val="24"/>
        </w:rPr>
        <w:t>Edinilen bilgileri tesisin kapatılmasına, ekipmanların, binaların ve kalıntıların tesislerden kaldırılmasına yardımcı olmak için kullanın, 4.1.1(h)</w:t>
      </w:r>
      <w:r w:rsidR="00E56504" w:rsidRPr="00D53A2B">
        <w:rPr>
          <w:rFonts w:eastAsia="Calibri"/>
          <w:sz w:val="24"/>
          <w:szCs w:val="24"/>
        </w:rPr>
        <w:t>’</w:t>
      </w:r>
      <w:r w:rsidRPr="00D53A2B">
        <w:rPr>
          <w:rFonts w:eastAsia="Calibri"/>
          <w:sz w:val="24"/>
          <w:szCs w:val="24"/>
        </w:rPr>
        <w:t>ye bakın.</w:t>
      </w:r>
    </w:p>
    <w:p w14:paraId="6CCD53CA" w14:textId="41793318" w:rsidR="002A1D0B" w:rsidRPr="00D53A2B" w:rsidRDefault="00C22B2F" w:rsidP="00602365">
      <w:pPr>
        <w:pStyle w:val="ListeParagraf"/>
        <w:numPr>
          <w:ilvl w:val="0"/>
          <w:numId w:val="213"/>
        </w:numPr>
        <w:tabs>
          <w:tab w:val="clear" w:pos="567"/>
        </w:tabs>
        <w:spacing w:line="240" w:lineRule="auto"/>
        <w:ind w:left="426" w:hanging="426"/>
        <w:rPr>
          <w:rFonts w:eastAsia="Calibri"/>
          <w:sz w:val="24"/>
          <w:szCs w:val="24"/>
        </w:rPr>
      </w:pPr>
      <w:r w:rsidRPr="00D53A2B">
        <w:rPr>
          <w:rFonts w:eastAsia="Calibri"/>
          <w:sz w:val="24"/>
          <w:szCs w:val="24"/>
        </w:rPr>
        <w:t>Yeraltı suyu veya toprağın olası kirlenmesi için düzeltici önlem alın (Bölüm 4.1.1</w:t>
      </w:r>
      <w:r w:rsidR="00E56504" w:rsidRPr="00D53A2B">
        <w:rPr>
          <w:rFonts w:eastAsia="Calibri"/>
          <w:sz w:val="24"/>
          <w:szCs w:val="24"/>
        </w:rPr>
        <w:t>’</w:t>
      </w:r>
      <w:r w:rsidRPr="00D53A2B">
        <w:rPr>
          <w:rFonts w:eastAsia="Calibri"/>
          <w:sz w:val="24"/>
          <w:szCs w:val="24"/>
        </w:rPr>
        <w:t>e bakın).</w:t>
      </w:r>
    </w:p>
    <w:p w14:paraId="55743560" w14:textId="77777777" w:rsidR="002A1D0B" w:rsidRPr="00D53A2B" w:rsidRDefault="002A1D0B" w:rsidP="00A202FD">
      <w:pPr>
        <w:jc w:val="both"/>
        <w:rPr>
          <w:rFonts w:eastAsia="Calibri"/>
        </w:rPr>
      </w:pPr>
    </w:p>
    <w:p w14:paraId="6E7BB9D4" w14:textId="0192E7BF" w:rsidR="002A1D0B" w:rsidRPr="00D53A2B" w:rsidRDefault="00C22B2F" w:rsidP="00A202FD">
      <w:pPr>
        <w:pStyle w:val="Balk2"/>
        <w:rPr>
          <w:rFonts w:eastAsia="Calibri" w:cs="Times New Roman"/>
          <w:szCs w:val="24"/>
        </w:rPr>
      </w:pPr>
      <w:r w:rsidRPr="00D53A2B">
        <w:rPr>
          <w:rFonts w:eastAsia="Calibri" w:cs="Times New Roman"/>
          <w:szCs w:val="24"/>
        </w:rPr>
        <w:t xml:space="preserve">5.2. Belirli süreçlere yönelik </w:t>
      </w:r>
      <w:r w:rsidR="00CD1A0D" w:rsidRPr="00CC3DCB">
        <w:rPr>
          <w:rFonts w:eastAsia="Calibri" w:cs="Times New Roman"/>
          <w:szCs w:val="24"/>
        </w:rPr>
        <w:t>MET</w:t>
      </w:r>
    </w:p>
    <w:p w14:paraId="46E56BC8" w14:textId="17532ACB" w:rsidR="00790361" w:rsidRPr="00D53A2B" w:rsidRDefault="00C22B2F" w:rsidP="00A202FD">
      <w:pPr>
        <w:jc w:val="both"/>
        <w:rPr>
          <w:rFonts w:eastAsia="Calibri"/>
          <w:lang w:eastAsia="en-US"/>
        </w:rPr>
      </w:pPr>
      <w:r w:rsidRPr="00D53A2B">
        <w:rPr>
          <w:rFonts w:eastAsia="Calibri"/>
          <w:lang w:eastAsia="en-US"/>
        </w:rPr>
        <w:t>Bölüm 5.1</w:t>
      </w:r>
      <w:r w:rsidR="00E56504" w:rsidRPr="00D53A2B">
        <w:rPr>
          <w:rFonts w:eastAsia="Calibri"/>
          <w:lang w:eastAsia="en-US"/>
        </w:rPr>
        <w:t>’</w:t>
      </w:r>
      <w:r w:rsidRPr="00D53A2B">
        <w:rPr>
          <w:rFonts w:eastAsia="Calibri"/>
          <w:lang w:eastAsia="en-US"/>
        </w:rPr>
        <w:t xml:space="preserve">deki genel </w:t>
      </w:r>
      <w:r w:rsidR="0031317B" w:rsidRPr="00D53A2B">
        <w:rPr>
          <w:rFonts w:eastAsia="Calibri"/>
          <w:lang w:eastAsia="en-US"/>
        </w:rPr>
        <w:t>MET,</w:t>
      </w:r>
      <w:r w:rsidRPr="00D53A2B">
        <w:rPr>
          <w:rFonts w:eastAsia="Calibri"/>
          <w:lang w:eastAsia="en-US"/>
        </w:rPr>
        <w:t xml:space="preserve"> </w:t>
      </w:r>
      <w:r w:rsidR="00FE7A41" w:rsidRPr="00D53A2B">
        <w:rPr>
          <w:rFonts w:eastAsia="Calibri"/>
          <w:lang w:eastAsia="en-US"/>
        </w:rPr>
        <w:t>elek, varil</w:t>
      </w:r>
      <w:r w:rsidRPr="00D53A2B">
        <w:rPr>
          <w:rFonts w:eastAsia="Calibri"/>
          <w:lang w:eastAsia="en-US"/>
        </w:rPr>
        <w:t xml:space="preserve"> ve manuel hatlar için geçerlidir. Aşağıdaki özel </w:t>
      </w:r>
      <w:r w:rsidR="00651500" w:rsidRPr="00D53A2B">
        <w:rPr>
          <w:rFonts w:eastAsia="Calibri"/>
          <w:lang w:eastAsia="en-US"/>
        </w:rPr>
        <w:t>MET</w:t>
      </w:r>
      <w:r w:rsidRPr="00D53A2B">
        <w:rPr>
          <w:rFonts w:eastAsia="Calibri"/>
          <w:lang w:eastAsia="en-US"/>
        </w:rPr>
        <w:t>da geçerlidir.</w:t>
      </w:r>
    </w:p>
    <w:p w14:paraId="7640D445" w14:textId="77777777" w:rsidR="00C22B2F" w:rsidRPr="00D53A2B" w:rsidRDefault="00C22B2F" w:rsidP="00A202FD">
      <w:pPr>
        <w:jc w:val="both"/>
        <w:rPr>
          <w:rFonts w:eastAsia="Calibri"/>
          <w:lang w:eastAsia="en-US"/>
        </w:rPr>
      </w:pPr>
    </w:p>
    <w:p w14:paraId="0F22DAA2" w14:textId="2F23E547" w:rsidR="00C22B2F" w:rsidRPr="00D53A2B" w:rsidRDefault="008747C3" w:rsidP="00A202FD">
      <w:pPr>
        <w:pStyle w:val="Balk3"/>
        <w:rPr>
          <w:rFonts w:eastAsia="Calibri" w:cs="Times New Roman"/>
          <w:lang w:eastAsia="en-US"/>
        </w:rPr>
      </w:pPr>
      <w:r w:rsidRPr="00D53A2B">
        <w:rPr>
          <w:rFonts w:eastAsia="Calibri" w:cs="Times New Roman"/>
          <w:lang w:eastAsia="en-US"/>
        </w:rPr>
        <w:t>5.2.1. Ayrıştırma</w:t>
      </w:r>
    </w:p>
    <w:p w14:paraId="192177AD" w14:textId="2EB1B404" w:rsidR="00C22B2F" w:rsidRPr="00D53A2B" w:rsidRDefault="008747C3" w:rsidP="00A202FD">
      <w:pPr>
        <w:pStyle w:val="MET"/>
        <w:rPr>
          <w:rFonts w:eastAsia="Calibri"/>
          <w:b w:val="0"/>
          <w:bCs/>
          <w:szCs w:val="24"/>
        </w:rPr>
      </w:pPr>
      <w:r w:rsidRPr="00D53A2B">
        <w:rPr>
          <w:rFonts w:eastAsia="Calibri"/>
          <w:szCs w:val="24"/>
        </w:rPr>
        <w:t xml:space="preserve">MET 17: </w:t>
      </w:r>
      <w:r w:rsidRPr="00D53A2B">
        <w:rPr>
          <w:rFonts w:eastAsia="Calibri"/>
          <w:b w:val="0"/>
          <w:bCs/>
          <w:szCs w:val="24"/>
        </w:rPr>
        <w:t xml:space="preserve">Jig (raf) hatlarında, iş parçası kaybını en aza indirmek ve akım taşıma verimliliğini en üst düzeye çıkarmak için jiggi düzenlemek </w:t>
      </w:r>
      <w:r w:rsidR="0031317B" w:rsidRPr="00D53A2B">
        <w:rPr>
          <w:rFonts w:eastAsia="Calibri"/>
          <w:b w:val="0"/>
          <w:bCs/>
          <w:szCs w:val="24"/>
        </w:rPr>
        <w:t>M</w:t>
      </w:r>
      <w:r w:rsidR="000C734B" w:rsidRPr="00D53A2B">
        <w:rPr>
          <w:rFonts w:eastAsia="Calibri"/>
          <w:b w:val="0"/>
          <w:bCs/>
          <w:szCs w:val="24"/>
        </w:rPr>
        <w:t>E</w:t>
      </w:r>
      <w:r w:rsidR="0031317B" w:rsidRPr="00D53A2B">
        <w:rPr>
          <w:rFonts w:eastAsia="Calibri"/>
          <w:b w:val="0"/>
          <w:bCs/>
          <w:szCs w:val="24"/>
        </w:rPr>
        <w:t>T’tir</w:t>
      </w:r>
      <w:r w:rsidRPr="00D53A2B">
        <w:rPr>
          <w:rFonts w:eastAsia="Calibri"/>
          <w:b w:val="0"/>
          <w:bCs/>
          <w:szCs w:val="24"/>
        </w:rPr>
        <w:t>, bkz. Bölüm 4.3.3.</w:t>
      </w:r>
    </w:p>
    <w:p w14:paraId="48247D3A" w14:textId="77777777" w:rsidR="00FE7A41" w:rsidRPr="00D53A2B" w:rsidRDefault="00FE7A41" w:rsidP="00A202FD">
      <w:pPr>
        <w:pStyle w:val="MET"/>
        <w:rPr>
          <w:rFonts w:eastAsia="Calibri"/>
          <w:szCs w:val="24"/>
        </w:rPr>
      </w:pPr>
    </w:p>
    <w:p w14:paraId="422C06F4" w14:textId="654F8DD2" w:rsidR="008747C3" w:rsidRPr="00D53A2B" w:rsidRDefault="008747C3" w:rsidP="00A202FD">
      <w:pPr>
        <w:pStyle w:val="Balk3"/>
        <w:rPr>
          <w:rFonts w:eastAsia="Calibri" w:cs="Times New Roman"/>
          <w:lang w:eastAsia="en-US"/>
        </w:rPr>
      </w:pPr>
      <w:r w:rsidRPr="00D53A2B">
        <w:rPr>
          <w:rFonts w:eastAsia="Calibri" w:cs="Times New Roman"/>
          <w:lang w:eastAsia="en-US"/>
        </w:rPr>
        <w:t xml:space="preserve">5.2.2 </w:t>
      </w:r>
      <w:r w:rsidR="00FE7A41" w:rsidRPr="00D53A2B">
        <w:rPr>
          <w:rFonts w:eastAsia="Calibri" w:cs="Times New Roman"/>
          <w:lang w:eastAsia="en-US"/>
        </w:rPr>
        <w:t>Ayrıştırma Hatları-</w:t>
      </w:r>
      <w:r w:rsidRPr="00D53A2B">
        <w:rPr>
          <w:rFonts w:eastAsia="Calibri" w:cs="Times New Roman"/>
          <w:lang w:eastAsia="en-US"/>
        </w:rPr>
        <w:t>dışarı sürüklenmenin azaltılması</w:t>
      </w:r>
    </w:p>
    <w:p w14:paraId="26815A96" w14:textId="77777777" w:rsidR="008747C3" w:rsidRPr="00D53A2B" w:rsidRDefault="008747C3" w:rsidP="00A202FD">
      <w:pPr>
        <w:jc w:val="both"/>
        <w:rPr>
          <w:rFonts w:eastAsia="Calibri"/>
          <w:lang w:eastAsia="en-US"/>
        </w:rPr>
      </w:pPr>
    </w:p>
    <w:p w14:paraId="2093887D" w14:textId="4A021CED" w:rsidR="008747C3" w:rsidRPr="00D53A2B" w:rsidRDefault="008747C3" w:rsidP="00A202FD">
      <w:pPr>
        <w:pStyle w:val="MET"/>
        <w:rPr>
          <w:rFonts w:eastAsia="Calibri"/>
          <w:szCs w:val="24"/>
        </w:rPr>
      </w:pPr>
      <w:r w:rsidRPr="00D53A2B">
        <w:rPr>
          <w:rFonts w:eastAsia="Calibri"/>
          <w:szCs w:val="24"/>
        </w:rPr>
        <w:t xml:space="preserve">MET 18: </w:t>
      </w:r>
      <w:r w:rsidRPr="00D53A2B">
        <w:rPr>
          <w:rFonts w:eastAsia="Calibri"/>
          <w:b w:val="0"/>
          <w:bCs/>
          <w:szCs w:val="24"/>
        </w:rPr>
        <w:t xml:space="preserve">Aşağıdaki tekniklerin bir kombinasyonu ile jig işleme hatlarında proses çözümlerinin sürüklenmesini önlemek </w:t>
      </w:r>
      <w:r w:rsidR="0031317B" w:rsidRPr="00D53A2B">
        <w:rPr>
          <w:rFonts w:eastAsia="Calibri"/>
          <w:b w:val="0"/>
          <w:bCs/>
          <w:szCs w:val="24"/>
        </w:rPr>
        <w:t>MET’tir</w:t>
      </w:r>
      <w:r w:rsidRPr="00D53A2B">
        <w:rPr>
          <w:rFonts w:eastAsia="Calibri"/>
          <w:b w:val="0"/>
          <w:bCs/>
          <w:szCs w:val="24"/>
        </w:rPr>
        <w:t xml:space="preserve"> (Bölüm 4.6.3</w:t>
      </w:r>
      <w:r w:rsidR="00E56504" w:rsidRPr="00D53A2B">
        <w:rPr>
          <w:rFonts w:eastAsia="Calibri"/>
          <w:b w:val="0"/>
          <w:bCs/>
          <w:szCs w:val="24"/>
        </w:rPr>
        <w:t>’</w:t>
      </w:r>
      <w:r w:rsidRPr="00D53A2B">
        <w:rPr>
          <w:rFonts w:eastAsia="Calibri"/>
          <w:b w:val="0"/>
          <w:bCs/>
          <w:szCs w:val="24"/>
        </w:rPr>
        <w:t>e ve ilgili referanslara bakın</w:t>
      </w:r>
      <w:r w:rsidR="00FE7A41" w:rsidRPr="00D53A2B">
        <w:rPr>
          <w:rFonts w:eastAsia="Calibri"/>
          <w:b w:val="0"/>
          <w:bCs/>
          <w:szCs w:val="24"/>
        </w:rPr>
        <w:t>ız</w:t>
      </w:r>
      <w:r w:rsidRPr="00D53A2B">
        <w:rPr>
          <w:rFonts w:eastAsia="Calibri"/>
          <w:b w:val="0"/>
          <w:bCs/>
          <w:szCs w:val="24"/>
        </w:rPr>
        <w:t>):</w:t>
      </w:r>
    </w:p>
    <w:p w14:paraId="3CCAEEE0" w14:textId="77777777" w:rsidR="008747C3" w:rsidRPr="00D53A2B" w:rsidRDefault="008747C3" w:rsidP="00A202FD">
      <w:pPr>
        <w:jc w:val="both"/>
        <w:rPr>
          <w:rFonts w:eastAsia="Calibri"/>
          <w:lang w:eastAsia="en-US"/>
        </w:rPr>
      </w:pPr>
    </w:p>
    <w:p w14:paraId="5779FF67" w14:textId="77777777" w:rsidR="008747C3" w:rsidRPr="00D53A2B" w:rsidRDefault="008747C3" w:rsidP="00602365">
      <w:pPr>
        <w:pStyle w:val="ListeParagraf"/>
        <w:numPr>
          <w:ilvl w:val="0"/>
          <w:numId w:val="214"/>
        </w:numPr>
        <w:tabs>
          <w:tab w:val="clear" w:pos="567"/>
        </w:tabs>
        <w:spacing w:line="240" w:lineRule="auto"/>
        <w:ind w:left="426" w:hanging="426"/>
        <w:rPr>
          <w:rFonts w:eastAsia="Calibri"/>
          <w:sz w:val="24"/>
          <w:szCs w:val="24"/>
        </w:rPr>
      </w:pPr>
      <w:r w:rsidRPr="00D53A2B">
        <w:rPr>
          <w:rFonts w:eastAsia="Calibri"/>
          <w:sz w:val="24"/>
          <w:szCs w:val="24"/>
        </w:rPr>
        <w:t>İşlem sıvılarının tutulmasını önlemek için iş parçalarını açılı bir şekilde jigging yaparak ve fincan şeklindeki bileşenleri baş aşağı jigging yaparak düzenleyin.</w:t>
      </w:r>
    </w:p>
    <w:p w14:paraId="517B4016" w14:textId="0235DF77" w:rsidR="008747C3" w:rsidRPr="00D53A2B" w:rsidRDefault="008747C3" w:rsidP="00602365">
      <w:pPr>
        <w:pStyle w:val="ListeParagraf"/>
        <w:numPr>
          <w:ilvl w:val="0"/>
          <w:numId w:val="214"/>
        </w:numPr>
        <w:tabs>
          <w:tab w:val="clear" w:pos="567"/>
        </w:tabs>
        <w:spacing w:line="240" w:lineRule="auto"/>
        <w:ind w:left="426" w:hanging="426"/>
        <w:rPr>
          <w:rFonts w:eastAsia="Calibri"/>
          <w:sz w:val="24"/>
          <w:szCs w:val="24"/>
        </w:rPr>
      </w:pPr>
      <w:r w:rsidRPr="00D53A2B">
        <w:rPr>
          <w:rFonts w:eastAsia="Calibri"/>
          <w:sz w:val="24"/>
          <w:szCs w:val="24"/>
        </w:rPr>
        <w:t>Jigleri çekerken boşaltma süresini en üst düzeye çıkarın. Jigleri boşaltmak için gösterge niteliğindeki referans değerleri Tablo 4.2</w:t>
      </w:r>
      <w:r w:rsidR="00E56504" w:rsidRPr="00D53A2B">
        <w:rPr>
          <w:rFonts w:eastAsia="Calibri"/>
          <w:sz w:val="24"/>
          <w:szCs w:val="24"/>
        </w:rPr>
        <w:t>’</w:t>
      </w:r>
      <w:r w:rsidRPr="00D53A2B">
        <w:rPr>
          <w:rFonts w:eastAsia="Calibri"/>
          <w:sz w:val="24"/>
          <w:szCs w:val="24"/>
        </w:rPr>
        <w:t>de verilmiştir. Bu, aşağıdakilerle sınırlı olacaktır.</w:t>
      </w:r>
    </w:p>
    <w:p w14:paraId="2E63DFD2" w14:textId="77777777" w:rsidR="008747C3" w:rsidRPr="00D53A2B" w:rsidRDefault="008747C3" w:rsidP="009077F5">
      <w:pPr>
        <w:ind w:left="360"/>
        <w:jc w:val="both"/>
        <w:rPr>
          <w:rFonts w:eastAsia="Calibri"/>
          <w:lang w:eastAsia="en-US"/>
        </w:rPr>
      </w:pPr>
      <w:r w:rsidRPr="00D53A2B">
        <w:rPr>
          <w:rFonts w:eastAsia="Calibri"/>
          <w:lang w:eastAsia="en-US"/>
        </w:rPr>
        <w:t>İşlem çözeltisinin türü</w:t>
      </w:r>
    </w:p>
    <w:p w14:paraId="488E46F7" w14:textId="77777777" w:rsidR="008747C3" w:rsidRPr="00D53A2B" w:rsidRDefault="008747C3" w:rsidP="009077F5">
      <w:pPr>
        <w:ind w:left="360"/>
        <w:jc w:val="both"/>
        <w:rPr>
          <w:rFonts w:eastAsia="Calibri"/>
          <w:lang w:eastAsia="en-US"/>
        </w:rPr>
      </w:pPr>
      <w:r w:rsidRPr="00D53A2B">
        <w:rPr>
          <w:rFonts w:eastAsia="Calibri"/>
          <w:lang w:eastAsia="en-US"/>
        </w:rPr>
        <w:t>Gerekli kalite (uzun drenaj süreleri süreç çözeltisinin alt tabaka üzerinde parçalı kurumasına neden olabilir)</w:t>
      </w:r>
    </w:p>
    <w:p w14:paraId="15455D1B" w14:textId="77777777" w:rsidR="008747C3" w:rsidRPr="00D53A2B" w:rsidRDefault="008747C3" w:rsidP="009077F5">
      <w:pPr>
        <w:ind w:left="360"/>
        <w:jc w:val="both"/>
        <w:rPr>
          <w:rFonts w:eastAsia="Calibri"/>
          <w:lang w:eastAsia="en-US"/>
        </w:rPr>
      </w:pPr>
      <w:r w:rsidRPr="00D53A2B">
        <w:rPr>
          <w:rFonts w:eastAsia="Calibri"/>
          <w:lang w:eastAsia="en-US"/>
        </w:rPr>
        <w:t>Otomatik fabrikalar için mevcut taşıyıcı süresi</w:t>
      </w:r>
    </w:p>
    <w:p w14:paraId="639AAB79" w14:textId="50AAB83D" w:rsidR="008747C3" w:rsidRPr="00D53A2B" w:rsidRDefault="008747C3" w:rsidP="00602365">
      <w:pPr>
        <w:pStyle w:val="ListeParagraf"/>
        <w:numPr>
          <w:ilvl w:val="0"/>
          <w:numId w:val="215"/>
        </w:numPr>
        <w:tabs>
          <w:tab w:val="clear" w:pos="567"/>
        </w:tabs>
        <w:spacing w:line="240" w:lineRule="auto"/>
        <w:ind w:left="426" w:hanging="426"/>
        <w:rPr>
          <w:rFonts w:eastAsia="Calibri"/>
          <w:sz w:val="24"/>
          <w:szCs w:val="24"/>
        </w:rPr>
      </w:pPr>
      <w:r w:rsidRPr="00D53A2B">
        <w:rPr>
          <w:rFonts w:eastAsia="Calibri"/>
          <w:sz w:val="24"/>
          <w:szCs w:val="24"/>
        </w:rPr>
        <w:t>İşlem solüsyonunun tutulmasını sağlayacak çatlak veya çatlakların olmaması ve jig kaplamalarının hidrofobik özelliklerini koruması için jigleri düzenli olarak inceleyin ve bakımını yapın.</w:t>
      </w:r>
    </w:p>
    <w:p w14:paraId="5EBD22DE" w14:textId="03DA4E3B" w:rsidR="008747C3" w:rsidRPr="00D53A2B" w:rsidRDefault="008747C3" w:rsidP="00602365">
      <w:pPr>
        <w:pStyle w:val="ListeParagraf"/>
        <w:numPr>
          <w:ilvl w:val="0"/>
          <w:numId w:val="215"/>
        </w:numPr>
        <w:tabs>
          <w:tab w:val="clear" w:pos="567"/>
        </w:tabs>
        <w:spacing w:line="240" w:lineRule="auto"/>
        <w:ind w:left="426" w:hanging="426"/>
        <w:rPr>
          <w:rFonts w:eastAsia="Calibri"/>
          <w:sz w:val="24"/>
          <w:szCs w:val="24"/>
        </w:rPr>
      </w:pPr>
      <w:r w:rsidRPr="00D53A2B">
        <w:rPr>
          <w:rFonts w:eastAsia="Calibri"/>
          <w:sz w:val="24"/>
          <w:szCs w:val="24"/>
        </w:rPr>
        <w:t>Müşterilerle, proses solüsyonunu tutmak veya drenaj delikleri sağlamak için minimum boşluklu bileşenler üretmek üzere anlaşın.</w:t>
      </w:r>
    </w:p>
    <w:p w14:paraId="0B283D8A" w14:textId="2158E5BE" w:rsidR="008747C3" w:rsidRPr="00D53A2B" w:rsidRDefault="008747C3" w:rsidP="00602365">
      <w:pPr>
        <w:pStyle w:val="ListeParagraf"/>
        <w:numPr>
          <w:ilvl w:val="0"/>
          <w:numId w:val="215"/>
        </w:numPr>
        <w:tabs>
          <w:tab w:val="clear" w:pos="567"/>
        </w:tabs>
        <w:spacing w:line="240" w:lineRule="auto"/>
        <w:ind w:left="426" w:hanging="426"/>
        <w:rPr>
          <w:rFonts w:eastAsia="Calibri"/>
          <w:sz w:val="24"/>
          <w:szCs w:val="24"/>
        </w:rPr>
      </w:pPr>
      <w:r w:rsidRPr="00D53A2B">
        <w:rPr>
          <w:rFonts w:eastAsia="Calibri"/>
          <w:sz w:val="24"/>
          <w:szCs w:val="24"/>
        </w:rPr>
        <w:t>Tanklar arasına drenaj çıkıntıları yerleştirin ve bunları proses tankına doğru eğin.</w:t>
      </w:r>
    </w:p>
    <w:p w14:paraId="451CF3C3" w14:textId="147B390E" w:rsidR="008747C3" w:rsidRPr="00D53A2B" w:rsidRDefault="008747C3" w:rsidP="00602365">
      <w:pPr>
        <w:pStyle w:val="ListeParagraf"/>
        <w:numPr>
          <w:ilvl w:val="0"/>
          <w:numId w:val="215"/>
        </w:numPr>
        <w:tabs>
          <w:tab w:val="clear" w:pos="567"/>
        </w:tabs>
        <w:spacing w:line="240" w:lineRule="auto"/>
        <w:ind w:left="426" w:hanging="426"/>
        <w:rPr>
          <w:rFonts w:eastAsia="Calibri"/>
          <w:sz w:val="24"/>
          <w:szCs w:val="24"/>
        </w:rPr>
      </w:pPr>
      <w:r w:rsidRPr="00D53A2B">
        <w:rPr>
          <w:rFonts w:eastAsia="Calibri"/>
          <w:sz w:val="24"/>
          <w:szCs w:val="24"/>
        </w:rPr>
        <w:t>Fazla işlem solüsyonunu püskürtmeli durulama, sisleme veya hava püskürtme yöntemiyle işlem tankına geri püskürtün (bkz. Bölüm 4.6.6 ve 4.7.5). Bu, aşağıdakilerle sınırlandırılabilir:</w:t>
      </w:r>
    </w:p>
    <w:p w14:paraId="656D07E6" w14:textId="146B22EC" w:rsidR="008747C3" w:rsidRPr="00D53A2B" w:rsidRDefault="008747C3" w:rsidP="00602365">
      <w:pPr>
        <w:pStyle w:val="ListeParagraf"/>
        <w:numPr>
          <w:ilvl w:val="0"/>
          <w:numId w:val="216"/>
        </w:numPr>
        <w:spacing w:line="240" w:lineRule="auto"/>
        <w:rPr>
          <w:rFonts w:eastAsia="Calibri"/>
          <w:sz w:val="24"/>
          <w:szCs w:val="24"/>
        </w:rPr>
      </w:pPr>
      <w:r w:rsidRPr="00D53A2B">
        <w:rPr>
          <w:rFonts w:eastAsia="Calibri"/>
          <w:sz w:val="24"/>
          <w:szCs w:val="24"/>
        </w:rPr>
        <w:t>süreç çözümünün türü</w:t>
      </w:r>
    </w:p>
    <w:p w14:paraId="1CD881D3" w14:textId="32323923" w:rsidR="008747C3" w:rsidRPr="00D53A2B" w:rsidRDefault="008747C3" w:rsidP="00602365">
      <w:pPr>
        <w:pStyle w:val="ListeParagraf"/>
        <w:numPr>
          <w:ilvl w:val="0"/>
          <w:numId w:val="216"/>
        </w:numPr>
        <w:spacing w:line="240" w:lineRule="auto"/>
        <w:rPr>
          <w:rFonts w:eastAsia="Calibri"/>
          <w:sz w:val="24"/>
          <w:szCs w:val="24"/>
        </w:rPr>
      </w:pPr>
      <w:r w:rsidRPr="00D53A2B">
        <w:rPr>
          <w:rFonts w:eastAsia="Calibri"/>
          <w:sz w:val="24"/>
          <w:szCs w:val="24"/>
        </w:rPr>
        <w:t>istenilen kalite</w:t>
      </w:r>
    </w:p>
    <w:p w14:paraId="21A0D69A" w14:textId="77777777" w:rsidR="008747C3" w:rsidRPr="00D53A2B" w:rsidRDefault="008747C3" w:rsidP="00A202FD">
      <w:pPr>
        <w:jc w:val="both"/>
        <w:rPr>
          <w:rFonts w:eastAsia="Calibri"/>
        </w:rPr>
      </w:pPr>
    </w:p>
    <w:p w14:paraId="2D26D1AE" w14:textId="33DF88B9" w:rsidR="008747C3" w:rsidRPr="00D53A2B" w:rsidRDefault="008747C3" w:rsidP="00A202FD">
      <w:pPr>
        <w:jc w:val="both"/>
        <w:rPr>
          <w:rFonts w:eastAsia="Calibri"/>
          <w:lang w:eastAsia="en-US"/>
        </w:rPr>
      </w:pPr>
      <w:r w:rsidRPr="00D53A2B">
        <w:rPr>
          <w:rFonts w:eastAsia="Calibri"/>
          <w:lang w:eastAsia="en-US"/>
        </w:rPr>
        <w:t>Spreyleme, aşırı spreylemeye, kimyasal aerosollere ve lekelere neden olan çok hızlı kurutmaya yol açabilir. Bunlar şu şekilde aşılabilir:</w:t>
      </w:r>
    </w:p>
    <w:p w14:paraId="59BCCEF6" w14:textId="77777777" w:rsidR="008747C3" w:rsidRPr="00D53A2B" w:rsidRDefault="008747C3" w:rsidP="00602365">
      <w:pPr>
        <w:pStyle w:val="ListeParagraf"/>
        <w:numPr>
          <w:ilvl w:val="0"/>
          <w:numId w:val="217"/>
        </w:numPr>
        <w:tabs>
          <w:tab w:val="clear" w:pos="567"/>
        </w:tabs>
        <w:spacing w:line="240" w:lineRule="auto"/>
        <w:ind w:left="426" w:hanging="426"/>
        <w:rPr>
          <w:rFonts w:eastAsia="Calibri"/>
          <w:sz w:val="24"/>
          <w:szCs w:val="24"/>
        </w:rPr>
      </w:pPr>
      <w:r w:rsidRPr="00D53A2B">
        <w:rPr>
          <w:rFonts w:eastAsia="Calibri"/>
          <w:sz w:val="24"/>
          <w:szCs w:val="24"/>
        </w:rPr>
        <w:t>bir tanka veya başka bir muhafazaya püskürtme</w:t>
      </w:r>
    </w:p>
    <w:p w14:paraId="6BCD89D4" w14:textId="3B5CA555" w:rsidR="008747C3" w:rsidRPr="00D53A2B" w:rsidRDefault="008747C3" w:rsidP="00602365">
      <w:pPr>
        <w:pStyle w:val="ListeParagraf"/>
        <w:numPr>
          <w:ilvl w:val="0"/>
          <w:numId w:val="217"/>
        </w:numPr>
        <w:tabs>
          <w:tab w:val="clear" w:pos="567"/>
        </w:tabs>
        <w:spacing w:line="240" w:lineRule="auto"/>
        <w:ind w:left="426" w:hanging="426"/>
        <w:rPr>
          <w:rFonts w:eastAsia="Calibri"/>
          <w:sz w:val="24"/>
          <w:szCs w:val="24"/>
        </w:rPr>
      </w:pPr>
      <w:r w:rsidRPr="00D53A2B">
        <w:rPr>
          <w:rFonts w:eastAsia="Calibri"/>
          <w:sz w:val="24"/>
          <w:szCs w:val="24"/>
        </w:rPr>
        <w:t>düşük basınçlı spreyler kullanarak (sıçramalı durulama).</w:t>
      </w:r>
    </w:p>
    <w:p w14:paraId="66EB5E5B" w14:textId="77777777" w:rsidR="008747C3" w:rsidRPr="00D53A2B" w:rsidRDefault="008747C3" w:rsidP="00A202FD">
      <w:pPr>
        <w:jc w:val="both"/>
        <w:rPr>
          <w:rFonts w:eastAsia="Calibri"/>
          <w:lang w:eastAsia="en-US"/>
        </w:rPr>
      </w:pPr>
    </w:p>
    <w:p w14:paraId="0D34186B" w14:textId="490F4509" w:rsidR="008747C3" w:rsidRPr="00D53A2B" w:rsidRDefault="008747C3" w:rsidP="00A202FD">
      <w:pPr>
        <w:jc w:val="both"/>
        <w:rPr>
          <w:rFonts w:eastAsia="Calibri"/>
          <w:lang w:eastAsia="en-US"/>
        </w:rPr>
      </w:pPr>
      <w:r w:rsidRPr="00D53A2B">
        <w:rPr>
          <w:rFonts w:eastAsia="Calibri"/>
          <w:lang w:eastAsia="en-US"/>
        </w:rPr>
        <w:t>Lejyonella bakterilerinin aerosolleri enfekte etme olasılığı vardır. Ancak bunlar tasarım ve bakımla kontrol edilebilir.</w:t>
      </w:r>
    </w:p>
    <w:p w14:paraId="75225FB7" w14:textId="77777777" w:rsidR="008747C3" w:rsidRPr="00D53A2B" w:rsidRDefault="008747C3" w:rsidP="00A202FD">
      <w:pPr>
        <w:jc w:val="both"/>
        <w:rPr>
          <w:rFonts w:eastAsia="Calibri"/>
          <w:lang w:eastAsia="en-US"/>
        </w:rPr>
      </w:pPr>
    </w:p>
    <w:p w14:paraId="4FBB34BE" w14:textId="2A4C5ED1" w:rsidR="00CB7EA5" w:rsidRPr="00D53A2B" w:rsidRDefault="008747C3" w:rsidP="00A202FD">
      <w:pPr>
        <w:pStyle w:val="Balk3"/>
        <w:rPr>
          <w:rFonts w:eastAsia="Calibri" w:cs="Times New Roman"/>
          <w:lang w:eastAsia="en-US"/>
        </w:rPr>
      </w:pPr>
      <w:r w:rsidRPr="00D53A2B">
        <w:rPr>
          <w:rFonts w:eastAsia="Calibri" w:cs="Times New Roman"/>
          <w:lang w:eastAsia="en-US"/>
        </w:rPr>
        <w:t xml:space="preserve">5.2.3 </w:t>
      </w:r>
      <w:r w:rsidR="00FE7A41" w:rsidRPr="00D53A2B">
        <w:rPr>
          <w:rFonts w:eastAsia="Calibri" w:cs="Times New Roman"/>
          <w:lang w:eastAsia="en-US"/>
        </w:rPr>
        <w:t>Varil hatları (yuvarlak boru)-</w:t>
      </w:r>
      <w:r w:rsidRPr="00D53A2B">
        <w:rPr>
          <w:rFonts w:eastAsia="Calibri" w:cs="Times New Roman"/>
          <w:lang w:eastAsia="en-US"/>
        </w:rPr>
        <w:t>sürüklenmenin azaltılması</w:t>
      </w:r>
    </w:p>
    <w:p w14:paraId="20A40D59" w14:textId="1F23728E" w:rsidR="008747C3" w:rsidRPr="00D53A2B" w:rsidRDefault="00CB7EA5" w:rsidP="00A202FD">
      <w:pPr>
        <w:pStyle w:val="MET"/>
        <w:rPr>
          <w:rFonts w:eastAsia="Calibri"/>
          <w:szCs w:val="24"/>
        </w:rPr>
      </w:pPr>
      <w:r w:rsidRPr="00D53A2B">
        <w:rPr>
          <w:rFonts w:eastAsia="Calibri"/>
          <w:szCs w:val="24"/>
        </w:rPr>
        <w:t xml:space="preserve">MET 19: </w:t>
      </w:r>
      <w:r w:rsidRPr="00D53A2B">
        <w:rPr>
          <w:rFonts w:eastAsia="Calibri"/>
          <w:b w:val="0"/>
          <w:bCs/>
          <w:szCs w:val="24"/>
        </w:rPr>
        <w:t xml:space="preserve">Aşağıdaki tekniklerin bir kombinasyonu ile </w:t>
      </w:r>
      <w:r w:rsidR="00FE7A41" w:rsidRPr="00D53A2B">
        <w:rPr>
          <w:rFonts w:eastAsia="Calibri"/>
          <w:b w:val="0"/>
          <w:bCs/>
          <w:szCs w:val="24"/>
        </w:rPr>
        <w:t>varil hatları</w:t>
      </w:r>
      <w:r w:rsidRPr="00D53A2B">
        <w:rPr>
          <w:rFonts w:eastAsia="Calibri"/>
          <w:b w:val="0"/>
          <w:bCs/>
          <w:szCs w:val="24"/>
        </w:rPr>
        <w:t xml:space="preserve"> proses çözümlerinin dışarı sürüklenmesini önlemek </w:t>
      </w:r>
      <w:r w:rsidR="0031317B" w:rsidRPr="00D53A2B">
        <w:rPr>
          <w:rFonts w:eastAsia="Calibri"/>
          <w:b w:val="0"/>
          <w:bCs/>
          <w:szCs w:val="24"/>
        </w:rPr>
        <w:t>MAT’tir</w:t>
      </w:r>
      <w:r w:rsidRPr="00D53A2B">
        <w:rPr>
          <w:rFonts w:eastAsia="Calibri"/>
          <w:b w:val="0"/>
          <w:bCs/>
          <w:szCs w:val="24"/>
        </w:rPr>
        <w:t xml:space="preserve"> (bkz. Bölüm 4.6.4):</w:t>
      </w:r>
    </w:p>
    <w:p w14:paraId="4333074D" w14:textId="77777777" w:rsidR="008747C3" w:rsidRPr="00D53A2B" w:rsidRDefault="008747C3" w:rsidP="00A202FD">
      <w:pPr>
        <w:jc w:val="both"/>
        <w:rPr>
          <w:rFonts w:eastAsia="Calibri"/>
          <w:lang w:eastAsia="en-US"/>
        </w:rPr>
      </w:pPr>
    </w:p>
    <w:p w14:paraId="3A2EF0A6" w14:textId="18A90DE7" w:rsidR="008747C3" w:rsidRPr="00D53A2B" w:rsidRDefault="00FE7A41" w:rsidP="00602365">
      <w:pPr>
        <w:pStyle w:val="ListeParagraf"/>
        <w:numPr>
          <w:ilvl w:val="0"/>
          <w:numId w:val="218"/>
        </w:numPr>
        <w:tabs>
          <w:tab w:val="clear" w:pos="567"/>
        </w:tabs>
        <w:spacing w:line="240" w:lineRule="auto"/>
        <w:ind w:left="426" w:hanging="426"/>
        <w:rPr>
          <w:rFonts w:eastAsia="Calibri"/>
          <w:sz w:val="24"/>
          <w:szCs w:val="24"/>
        </w:rPr>
      </w:pPr>
      <w:r w:rsidRPr="00D53A2B">
        <w:rPr>
          <w:rFonts w:eastAsia="Calibri"/>
          <w:sz w:val="24"/>
          <w:szCs w:val="24"/>
        </w:rPr>
        <w:t xml:space="preserve">Varil </w:t>
      </w:r>
      <w:r w:rsidR="00CB7EA5" w:rsidRPr="00D53A2B">
        <w:rPr>
          <w:rFonts w:eastAsia="Calibri"/>
          <w:sz w:val="24"/>
          <w:szCs w:val="24"/>
        </w:rPr>
        <w:t>pürüzsüz, hidrofobik plastikten yapın ve aşınmış alanlar, hasarlar, işlem solüsyonunu tutabilecek girintiler veya çıkıntılar açısından düzenli olarak inceleyin.</w:t>
      </w:r>
    </w:p>
    <w:p w14:paraId="31967888" w14:textId="17E97691" w:rsidR="00CB7EA5" w:rsidRPr="00D53A2B" w:rsidRDefault="00CB7EA5" w:rsidP="00602365">
      <w:pPr>
        <w:pStyle w:val="ListeParagraf"/>
        <w:numPr>
          <w:ilvl w:val="0"/>
          <w:numId w:val="218"/>
        </w:numPr>
        <w:tabs>
          <w:tab w:val="clear" w:pos="567"/>
        </w:tabs>
        <w:spacing w:line="240" w:lineRule="auto"/>
        <w:ind w:left="426" w:hanging="426"/>
        <w:rPr>
          <w:rFonts w:eastAsia="Calibri"/>
          <w:sz w:val="24"/>
          <w:szCs w:val="24"/>
        </w:rPr>
      </w:pPr>
      <w:r w:rsidRPr="00D53A2B">
        <w:rPr>
          <w:rFonts w:eastAsia="Calibri"/>
          <w:sz w:val="24"/>
          <w:szCs w:val="24"/>
        </w:rPr>
        <w:t xml:space="preserve">Kılcal etkileri en aza indirmek için </w:t>
      </w:r>
      <w:r w:rsidR="00FE7A41" w:rsidRPr="00D53A2B">
        <w:rPr>
          <w:rFonts w:eastAsia="Calibri"/>
          <w:sz w:val="24"/>
          <w:szCs w:val="24"/>
        </w:rPr>
        <w:t xml:space="preserve">varil </w:t>
      </w:r>
      <w:r w:rsidRPr="00D53A2B">
        <w:rPr>
          <w:rFonts w:eastAsia="Calibri"/>
          <w:sz w:val="24"/>
          <w:szCs w:val="24"/>
        </w:rPr>
        <w:t>gövdelerindeki deliklerin panellerin gerekli kalınlığına göre yeterli kesit alanına sahip olmasını sağlamak.</w:t>
      </w:r>
    </w:p>
    <w:p w14:paraId="5A29356D" w14:textId="4E3C8CC4" w:rsidR="00CB7EA5" w:rsidRPr="00D53A2B" w:rsidRDefault="00FE7A41" w:rsidP="00602365">
      <w:pPr>
        <w:pStyle w:val="ListeParagraf"/>
        <w:numPr>
          <w:ilvl w:val="0"/>
          <w:numId w:val="218"/>
        </w:numPr>
        <w:tabs>
          <w:tab w:val="clear" w:pos="567"/>
        </w:tabs>
        <w:spacing w:line="240" w:lineRule="auto"/>
        <w:ind w:left="426" w:hanging="426"/>
        <w:rPr>
          <w:rFonts w:eastAsia="Calibri"/>
          <w:sz w:val="24"/>
          <w:szCs w:val="24"/>
        </w:rPr>
      </w:pPr>
      <w:r w:rsidRPr="00D53A2B">
        <w:rPr>
          <w:rFonts w:eastAsia="Calibri"/>
          <w:sz w:val="24"/>
          <w:szCs w:val="24"/>
        </w:rPr>
        <w:t>Varil</w:t>
      </w:r>
      <w:r w:rsidR="00CB7EA5" w:rsidRPr="00D53A2B">
        <w:rPr>
          <w:rFonts w:eastAsia="Calibri"/>
          <w:sz w:val="24"/>
          <w:szCs w:val="24"/>
        </w:rPr>
        <w:t xml:space="preserve"> gövdelerindeki delik oranının, mekanik mukavemeti koruyarak drenajı sağlayacak şekilde mümkün olduğunca yüksek olmasını sağlamak.</w:t>
      </w:r>
    </w:p>
    <w:p w14:paraId="28E9CA76" w14:textId="44494E81" w:rsidR="00CB7EA5" w:rsidRPr="00D53A2B" w:rsidRDefault="00CB7EA5" w:rsidP="00602365">
      <w:pPr>
        <w:pStyle w:val="ListeParagraf"/>
        <w:numPr>
          <w:ilvl w:val="0"/>
          <w:numId w:val="218"/>
        </w:numPr>
        <w:tabs>
          <w:tab w:val="clear" w:pos="567"/>
        </w:tabs>
        <w:spacing w:line="240" w:lineRule="auto"/>
        <w:ind w:left="426" w:hanging="426"/>
        <w:rPr>
          <w:rFonts w:eastAsia="Calibri"/>
          <w:sz w:val="24"/>
          <w:szCs w:val="24"/>
        </w:rPr>
      </w:pPr>
      <w:r w:rsidRPr="00D53A2B">
        <w:rPr>
          <w:rFonts w:eastAsia="Calibri"/>
          <w:sz w:val="24"/>
          <w:szCs w:val="24"/>
        </w:rPr>
        <w:t>Deliklerin ağ tapalarla değiştirilmesi (ancak ağır iş parçalarında bu mümkün olmayabilir).</w:t>
      </w:r>
    </w:p>
    <w:p w14:paraId="4648039C" w14:textId="77777777" w:rsidR="008747C3" w:rsidRPr="00D53A2B" w:rsidRDefault="008747C3" w:rsidP="00A202FD">
      <w:pPr>
        <w:jc w:val="both"/>
        <w:rPr>
          <w:rFonts w:eastAsia="Calibri"/>
          <w:lang w:eastAsia="en-US"/>
        </w:rPr>
      </w:pPr>
    </w:p>
    <w:p w14:paraId="6E54619B" w14:textId="361002F1" w:rsidR="00CB7EA5" w:rsidRPr="00D53A2B" w:rsidRDefault="00FE7A41" w:rsidP="00A202FD">
      <w:pPr>
        <w:jc w:val="both"/>
        <w:rPr>
          <w:rFonts w:eastAsia="Calibri"/>
          <w:lang w:eastAsia="en-US"/>
        </w:rPr>
      </w:pPr>
      <w:r w:rsidRPr="00D53A2B">
        <w:rPr>
          <w:rFonts w:eastAsia="Calibri"/>
        </w:rPr>
        <w:t>Variller</w:t>
      </w:r>
      <w:r w:rsidRPr="00D53A2B">
        <w:rPr>
          <w:rFonts w:eastAsia="Calibri"/>
          <w:lang w:eastAsia="en-US"/>
        </w:rPr>
        <w:t xml:space="preserve"> </w:t>
      </w:r>
      <w:r w:rsidR="00CB7EA5" w:rsidRPr="00D53A2B">
        <w:rPr>
          <w:rFonts w:eastAsia="Calibri"/>
          <w:lang w:eastAsia="en-US"/>
        </w:rPr>
        <w:t xml:space="preserve">geri çekilirken, </w:t>
      </w:r>
      <w:r w:rsidRPr="00D53A2B">
        <w:rPr>
          <w:rFonts w:eastAsia="Calibri"/>
        </w:rPr>
        <w:t>varil</w:t>
      </w:r>
      <w:r w:rsidR="00CB7EA5" w:rsidRPr="00D53A2B">
        <w:rPr>
          <w:rFonts w:eastAsia="Calibri"/>
          <w:lang w:eastAsia="en-US"/>
        </w:rPr>
        <w:t xml:space="preserve"> işleme hatlarında proses çözeltilerinin dışarı sürüklenmesini önlemek </w:t>
      </w:r>
      <w:r w:rsidR="0031317B" w:rsidRPr="00D53A2B">
        <w:rPr>
          <w:rFonts w:eastAsia="Calibri"/>
          <w:lang w:eastAsia="en-US"/>
        </w:rPr>
        <w:t>MET’tir</w:t>
      </w:r>
      <w:r w:rsidR="00CB7EA5" w:rsidRPr="00D53A2B">
        <w:rPr>
          <w:rFonts w:eastAsia="Calibri"/>
          <w:lang w:eastAsia="en-US"/>
        </w:rPr>
        <w:t>:</w:t>
      </w:r>
    </w:p>
    <w:p w14:paraId="63CFB196" w14:textId="77777777" w:rsidR="00CB7EA5" w:rsidRPr="00D53A2B" w:rsidRDefault="00CB7EA5" w:rsidP="00602365">
      <w:pPr>
        <w:pStyle w:val="ListeParagraf"/>
        <w:numPr>
          <w:ilvl w:val="0"/>
          <w:numId w:val="219"/>
        </w:numPr>
        <w:tabs>
          <w:tab w:val="clear" w:pos="567"/>
        </w:tabs>
        <w:spacing w:line="240" w:lineRule="auto"/>
        <w:ind w:left="426" w:hanging="426"/>
        <w:rPr>
          <w:rFonts w:eastAsia="Calibri"/>
          <w:sz w:val="24"/>
          <w:szCs w:val="24"/>
        </w:rPr>
      </w:pPr>
      <w:r w:rsidRPr="00D53A2B">
        <w:rPr>
          <w:rFonts w:eastAsia="Calibri"/>
          <w:sz w:val="24"/>
          <w:szCs w:val="24"/>
        </w:rPr>
        <w:t>sürüklenmeyi en üst düzeye çıkarmak için yavaşça geri çekilme, bkz. Tablo 4.3</w:t>
      </w:r>
    </w:p>
    <w:p w14:paraId="31DCA800" w14:textId="77777777" w:rsidR="00CB7EA5" w:rsidRPr="00D53A2B" w:rsidRDefault="00CB7EA5" w:rsidP="00602365">
      <w:pPr>
        <w:pStyle w:val="ListeParagraf"/>
        <w:numPr>
          <w:ilvl w:val="0"/>
          <w:numId w:val="219"/>
        </w:numPr>
        <w:tabs>
          <w:tab w:val="clear" w:pos="567"/>
        </w:tabs>
        <w:spacing w:line="240" w:lineRule="auto"/>
        <w:ind w:left="426" w:hanging="426"/>
        <w:rPr>
          <w:rFonts w:eastAsia="Calibri"/>
          <w:sz w:val="24"/>
          <w:szCs w:val="24"/>
        </w:rPr>
      </w:pPr>
      <w:r w:rsidRPr="00D53A2B">
        <w:rPr>
          <w:rFonts w:eastAsia="Calibri"/>
          <w:sz w:val="24"/>
          <w:szCs w:val="24"/>
        </w:rPr>
        <w:t>aralıklı olarak döndürme</w:t>
      </w:r>
    </w:p>
    <w:p w14:paraId="7925E00A" w14:textId="77777777" w:rsidR="00CB7EA5" w:rsidRPr="00D53A2B" w:rsidRDefault="00CB7EA5" w:rsidP="00602365">
      <w:pPr>
        <w:pStyle w:val="ListeParagraf"/>
        <w:numPr>
          <w:ilvl w:val="0"/>
          <w:numId w:val="219"/>
        </w:numPr>
        <w:tabs>
          <w:tab w:val="clear" w:pos="567"/>
        </w:tabs>
        <w:spacing w:line="240" w:lineRule="auto"/>
        <w:ind w:left="426" w:hanging="426"/>
        <w:rPr>
          <w:rFonts w:eastAsia="Calibri"/>
          <w:sz w:val="24"/>
          <w:szCs w:val="24"/>
        </w:rPr>
      </w:pPr>
      <w:r w:rsidRPr="00D53A2B">
        <w:rPr>
          <w:rFonts w:eastAsia="Calibri"/>
          <w:sz w:val="24"/>
          <w:szCs w:val="24"/>
        </w:rPr>
        <w:t>sparging (namlunun içindeki bir boru kullanılarak durulama)</w:t>
      </w:r>
    </w:p>
    <w:p w14:paraId="3D10C9E2" w14:textId="77777777" w:rsidR="00CB7EA5" w:rsidRPr="00D53A2B" w:rsidRDefault="00CB7EA5" w:rsidP="00602365">
      <w:pPr>
        <w:pStyle w:val="ListeParagraf"/>
        <w:numPr>
          <w:ilvl w:val="0"/>
          <w:numId w:val="219"/>
        </w:numPr>
        <w:tabs>
          <w:tab w:val="clear" w:pos="567"/>
        </w:tabs>
        <w:spacing w:line="240" w:lineRule="auto"/>
        <w:ind w:left="426" w:hanging="426"/>
        <w:rPr>
          <w:rFonts w:eastAsia="Calibri"/>
          <w:sz w:val="24"/>
          <w:szCs w:val="24"/>
        </w:rPr>
      </w:pPr>
      <w:r w:rsidRPr="00D53A2B">
        <w:rPr>
          <w:rFonts w:eastAsia="Calibri"/>
          <w:sz w:val="24"/>
          <w:szCs w:val="24"/>
        </w:rPr>
        <w:t>tanklar arasına drenaj çıkıntıları yerleştirme, işlem tankına doğru eğimli hale getirme</w:t>
      </w:r>
    </w:p>
    <w:p w14:paraId="1DD4C70A" w14:textId="481DAC75" w:rsidR="00CB7EA5" w:rsidRPr="00D53A2B" w:rsidRDefault="00CB7EA5" w:rsidP="00602365">
      <w:pPr>
        <w:pStyle w:val="ListeParagraf"/>
        <w:numPr>
          <w:ilvl w:val="0"/>
          <w:numId w:val="219"/>
        </w:numPr>
        <w:tabs>
          <w:tab w:val="clear" w:pos="567"/>
        </w:tabs>
        <w:spacing w:line="240" w:lineRule="auto"/>
        <w:ind w:left="426" w:hanging="426"/>
        <w:rPr>
          <w:rFonts w:eastAsia="Calibri"/>
          <w:sz w:val="24"/>
          <w:szCs w:val="24"/>
        </w:rPr>
      </w:pPr>
      <w:r w:rsidRPr="00D53A2B">
        <w:rPr>
          <w:rFonts w:eastAsia="Calibri"/>
          <w:sz w:val="24"/>
          <w:szCs w:val="24"/>
        </w:rPr>
        <w:t>mümkün olduğunda namluyu bir ucundan eğme.</w:t>
      </w:r>
    </w:p>
    <w:p w14:paraId="079E6026" w14:textId="77777777" w:rsidR="00CB7EA5" w:rsidRPr="00D53A2B" w:rsidRDefault="00CB7EA5" w:rsidP="00A202FD">
      <w:pPr>
        <w:jc w:val="both"/>
        <w:rPr>
          <w:rFonts w:eastAsia="Calibri"/>
          <w:lang w:eastAsia="en-US"/>
        </w:rPr>
      </w:pPr>
    </w:p>
    <w:p w14:paraId="2968AC94" w14:textId="03F24692" w:rsidR="00CB7EA5" w:rsidRPr="00D53A2B" w:rsidRDefault="00CB7EA5" w:rsidP="00A202FD">
      <w:pPr>
        <w:jc w:val="both"/>
        <w:rPr>
          <w:rFonts w:eastAsia="Calibri"/>
          <w:lang w:eastAsia="en-US"/>
        </w:rPr>
      </w:pPr>
      <w:r w:rsidRPr="00D53A2B">
        <w:rPr>
          <w:rFonts w:eastAsia="Calibri"/>
          <w:lang w:eastAsia="en-US"/>
        </w:rPr>
        <w:t xml:space="preserve">Boşaltılan </w:t>
      </w:r>
      <w:r w:rsidR="00FE7A41" w:rsidRPr="00D53A2B">
        <w:rPr>
          <w:rFonts w:eastAsia="Calibri"/>
        </w:rPr>
        <w:t>varil</w:t>
      </w:r>
      <w:r w:rsidR="00FE7A41" w:rsidRPr="00D53A2B">
        <w:rPr>
          <w:rFonts w:eastAsia="Calibri"/>
          <w:lang w:eastAsia="en-US"/>
        </w:rPr>
        <w:t xml:space="preserve"> </w:t>
      </w:r>
      <w:r w:rsidRPr="00D53A2B">
        <w:rPr>
          <w:rFonts w:eastAsia="Calibri"/>
          <w:lang w:eastAsia="en-US"/>
        </w:rPr>
        <w:t>için gösterge değerleri Tablo 4.3</w:t>
      </w:r>
      <w:r w:rsidR="00E56504" w:rsidRPr="00D53A2B">
        <w:rPr>
          <w:rFonts w:eastAsia="Calibri"/>
          <w:lang w:eastAsia="en-US"/>
        </w:rPr>
        <w:t>’</w:t>
      </w:r>
      <w:r w:rsidRPr="00D53A2B">
        <w:rPr>
          <w:rFonts w:eastAsia="Calibri"/>
          <w:lang w:eastAsia="en-US"/>
        </w:rPr>
        <w:t>te verilmiştir.</w:t>
      </w:r>
    </w:p>
    <w:p w14:paraId="0D689DE2" w14:textId="77777777" w:rsidR="00CB7EA5" w:rsidRPr="00D53A2B" w:rsidRDefault="00CB7EA5" w:rsidP="00A202FD">
      <w:pPr>
        <w:jc w:val="both"/>
        <w:rPr>
          <w:rFonts w:eastAsia="Calibri"/>
          <w:lang w:eastAsia="en-US"/>
        </w:rPr>
      </w:pPr>
    </w:p>
    <w:p w14:paraId="1E237C3A" w14:textId="110051BC" w:rsidR="008747C3" w:rsidRPr="00D53A2B" w:rsidRDefault="00CB7EA5" w:rsidP="00A202FD">
      <w:pPr>
        <w:jc w:val="both"/>
        <w:rPr>
          <w:rFonts w:eastAsia="Calibri"/>
          <w:lang w:eastAsia="en-US"/>
        </w:rPr>
      </w:pPr>
      <w:r w:rsidRPr="00D53A2B">
        <w:rPr>
          <w:rFonts w:eastAsia="Calibri"/>
          <w:lang w:eastAsia="en-US"/>
        </w:rPr>
        <w:t xml:space="preserve">Bu tekniklerin </w:t>
      </w:r>
      <w:r w:rsidR="00FE7A41" w:rsidRPr="00D53A2B">
        <w:rPr>
          <w:rFonts w:eastAsia="Calibri"/>
        </w:rPr>
        <w:t>varil</w:t>
      </w:r>
      <w:r w:rsidR="00FE7A41" w:rsidRPr="00D53A2B">
        <w:rPr>
          <w:rFonts w:eastAsia="Calibri"/>
          <w:lang w:eastAsia="en-US"/>
        </w:rPr>
        <w:t xml:space="preserve"> </w:t>
      </w:r>
      <w:r w:rsidRPr="00D53A2B">
        <w:rPr>
          <w:rFonts w:eastAsia="Calibri"/>
          <w:lang w:eastAsia="en-US"/>
        </w:rPr>
        <w:t>hatlarındaki sürüklenmeyi azalttığı, ancak daha sonraki ilk durulamanın geri kazanılmasının daha etkili olduğu unutulmamalıdır (bkz. Bölüm 5.1.5 ve 5.1.6).</w:t>
      </w:r>
    </w:p>
    <w:p w14:paraId="713A2F8D" w14:textId="77777777" w:rsidR="008747C3" w:rsidRPr="00D53A2B" w:rsidRDefault="008747C3" w:rsidP="00A202FD">
      <w:pPr>
        <w:jc w:val="both"/>
        <w:rPr>
          <w:rFonts w:eastAsia="Calibri"/>
          <w:lang w:eastAsia="en-US"/>
        </w:rPr>
      </w:pPr>
    </w:p>
    <w:p w14:paraId="7316B9C1" w14:textId="10FAAF78" w:rsidR="00CB7EA5" w:rsidRPr="00D53A2B" w:rsidRDefault="00CB7EA5" w:rsidP="00A202FD">
      <w:pPr>
        <w:pStyle w:val="Balk3"/>
        <w:rPr>
          <w:rFonts w:eastAsia="Calibri" w:cs="Times New Roman"/>
          <w:lang w:eastAsia="en-US"/>
        </w:rPr>
      </w:pPr>
      <w:r w:rsidRPr="00D53A2B">
        <w:rPr>
          <w:rFonts w:eastAsia="Calibri" w:cs="Times New Roman"/>
          <w:lang w:eastAsia="en-US"/>
        </w:rPr>
        <w:t>5.2.4. Manuel hatlar</w:t>
      </w:r>
    </w:p>
    <w:p w14:paraId="036DA78E" w14:textId="01A82408" w:rsidR="00CB7EA5" w:rsidRPr="00D53A2B" w:rsidRDefault="00CB7EA5" w:rsidP="00A202FD">
      <w:pPr>
        <w:pStyle w:val="MET"/>
        <w:rPr>
          <w:rFonts w:eastAsia="Calibri"/>
          <w:szCs w:val="24"/>
        </w:rPr>
      </w:pPr>
      <w:r w:rsidRPr="00D53A2B">
        <w:rPr>
          <w:rFonts w:eastAsia="Calibri"/>
          <w:szCs w:val="24"/>
        </w:rPr>
        <w:t xml:space="preserve">MET 20: </w:t>
      </w:r>
      <w:r w:rsidRPr="00D53A2B">
        <w:rPr>
          <w:rFonts w:eastAsia="Calibri"/>
          <w:b w:val="0"/>
          <w:bCs/>
          <w:szCs w:val="24"/>
        </w:rPr>
        <w:t>Manuel hatlarda çalışırken aşağıdakiler uygundur:</w:t>
      </w:r>
    </w:p>
    <w:p w14:paraId="7165F34B" w14:textId="77777777" w:rsidR="00CB7EA5" w:rsidRPr="00D53A2B" w:rsidRDefault="00CB7EA5" w:rsidP="00A202FD">
      <w:pPr>
        <w:jc w:val="both"/>
        <w:rPr>
          <w:rFonts w:eastAsia="Calibri"/>
          <w:lang w:eastAsia="en-US"/>
        </w:rPr>
      </w:pPr>
    </w:p>
    <w:p w14:paraId="699A5F5E" w14:textId="48953EE0" w:rsidR="00CB7EA5" w:rsidRPr="00D53A2B" w:rsidRDefault="00FE7A41" w:rsidP="00602365">
      <w:pPr>
        <w:pStyle w:val="ListeParagraf"/>
        <w:numPr>
          <w:ilvl w:val="0"/>
          <w:numId w:val="220"/>
        </w:numPr>
        <w:tabs>
          <w:tab w:val="clear" w:pos="567"/>
        </w:tabs>
        <w:spacing w:line="240" w:lineRule="auto"/>
        <w:ind w:left="426" w:hanging="426"/>
        <w:rPr>
          <w:rFonts w:eastAsia="Calibri"/>
          <w:sz w:val="24"/>
          <w:szCs w:val="24"/>
        </w:rPr>
      </w:pPr>
      <w:r w:rsidRPr="00D53A2B">
        <w:rPr>
          <w:rFonts w:eastAsia="Calibri"/>
          <w:sz w:val="24"/>
          <w:szCs w:val="24"/>
        </w:rPr>
        <w:t>Eleme</w:t>
      </w:r>
      <w:r w:rsidR="00CB7EA5" w:rsidRPr="00D53A2B">
        <w:rPr>
          <w:rFonts w:eastAsia="Calibri"/>
          <w:sz w:val="24"/>
          <w:szCs w:val="24"/>
        </w:rPr>
        <w:t xml:space="preserve"> işleme sırasında Bölüm 4.3.3</w:t>
      </w:r>
      <w:r w:rsidR="00E56504" w:rsidRPr="00D53A2B">
        <w:rPr>
          <w:rFonts w:eastAsia="Calibri"/>
          <w:sz w:val="24"/>
          <w:szCs w:val="24"/>
        </w:rPr>
        <w:t>’</w:t>
      </w:r>
      <w:r w:rsidR="00CB7EA5" w:rsidRPr="00D53A2B">
        <w:rPr>
          <w:rFonts w:eastAsia="Calibri"/>
          <w:sz w:val="24"/>
          <w:szCs w:val="24"/>
        </w:rPr>
        <w:t>teki jigging tekniklerini uygulayın</w:t>
      </w:r>
    </w:p>
    <w:p w14:paraId="3B50B198" w14:textId="3E05C59F" w:rsidR="00CB7EA5" w:rsidRPr="00D53A2B" w:rsidRDefault="00CB7EA5" w:rsidP="00602365">
      <w:pPr>
        <w:pStyle w:val="ListeParagraf"/>
        <w:numPr>
          <w:ilvl w:val="0"/>
          <w:numId w:val="220"/>
        </w:numPr>
        <w:tabs>
          <w:tab w:val="clear" w:pos="567"/>
        </w:tabs>
        <w:spacing w:line="240" w:lineRule="auto"/>
        <w:ind w:left="426" w:hanging="426"/>
        <w:rPr>
          <w:rFonts w:eastAsia="Calibri"/>
          <w:sz w:val="24"/>
          <w:szCs w:val="24"/>
        </w:rPr>
      </w:pPr>
      <w:r w:rsidRPr="00D53A2B">
        <w:rPr>
          <w:rFonts w:eastAsia="Calibri"/>
          <w:sz w:val="24"/>
          <w:szCs w:val="24"/>
        </w:rPr>
        <w:t>Bölüm 5.1.5, 5.1.6</w:t>
      </w:r>
      <w:r w:rsidR="00E56504" w:rsidRPr="00D53A2B">
        <w:rPr>
          <w:rFonts w:eastAsia="Calibri"/>
          <w:sz w:val="24"/>
          <w:szCs w:val="24"/>
        </w:rPr>
        <w:t>’</w:t>
      </w:r>
      <w:r w:rsidRPr="00D53A2B">
        <w:rPr>
          <w:rFonts w:eastAsia="Calibri"/>
          <w:sz w:val="24"/>
          <w:szCs w:val="24"/>
        </w:rPr>
        <w:t>da açıklanan teknikleri ve Bölüm 5.2.2 ve 5.2.3</w:t>
      </w:r>
      <w:r w:rsidR="00E56504" w:rsidRPr="00D53A2B">
        <w:rPr>
          <w:rFonts w:eastAsia="Calibri"/>
          <w:sz w:val="24"/>
          <w:szCs w:val="24"/>
        </w:rPr>
        <w:t>’</w:t>
      </w:r>
      <w:r w:rsidRPr="00D53A2B">
        <w:rPr>
          <w:rFonts w:eastAsia="Calibri"/>
          <w:sz w:val="24"/>
          <w:szCs w:val="24"/>
        </w:rPr>
        <w:t>teki teknikleri kullanarak sürükleme kurtarma oranını artırın.</w:t>
      </w:r>
    </w:p>
    <w:p w14:paraId="7F087B13" w14:textId="55D61161" w:rsidR="00CB7EA5" w:rsidRPr="00D53A2B" w:rsidRDefault="00CB7EA5" w:rsidP="00602365">
      <w:pPr>
        <w:pStyle w:val="ListeParagraf"/>
        <w:numPr>
          <w:ilvl w:val="0"/>
          <w:numId w:val="220"/>
        </w:numPr>
        <w:tabs>
          <w:tab w:val="clear" w:pos="567"/>
        </w:tabs>
        <w:spacing w:line="240" w:lineRule="auto"/>
        <w:ind w:left="426" w:hanging="426"/>
        <w:rPr>
          <w:rFonts w:eastAsia="Calibri"/>
          <w:sz w:val="24"/>
          <w:szCs w:val="24"/>
        </w:rPr>
      </w:pPr>
      <w:r w:rsidRPr="00D53A2B">
        <w:rPr>
          <w:rFonts w:eastAsia="Calibri"/>
          <w:sz w:val="24"/>
          <w:szCs w:val="24"/>
        </w:rPr>
        <w:t xml:space="preserve">Her bir aktivitenin üzerindeki raflarda </w:t>
      </w:r>
      <w:r w:rsidR="00FE7A41" w:rsidRPr="00D53A2B">
        <w:rPr>
          <w:rFonts w:eastAsia="Calibri"/>
          <w:sz w:val="24"/>
          <w:szCs w:val="24"/>
        </w:rPr>
        <w:t>eleme</w:t>
      </w:r>
      <w:r w:rsidRPr="00D53A2B">
        <w:rPr>
          <w:rFonts w:eastAsia="Calibri"/>
          <w:sz w:val="24"/>
          <w:szCs w:val="24"/>
        </w:rPr>
        <w:t xml:space="preserve"> veya </w:t>
      </w:r>
      <w:r w:rsidR="00FE7A41" w:rsidRPr="00D53A2B">
        <w:rPr>
          <w:rFonts w:eastAsia="Calibri"/>
          <w:sz w:val="24"/>
          <w:szCs w:val="24"/>
        </w:rPr>
        <w:t>varil</w:t>
      </w:r>
      <w:r w:rsidRPr="00D53A2B">
        <w:rPr>
          <w:rFonts w:eastAsia="Calibri"/>
          <w:sz w:val="24"/>
          <w:szCs w:val="24"/>
        </w:rPr>
        <w:t xml:space="preserve"> destekleyerek doğru boşaltma süresini sağlayın ve sprey durulamanın verimliliğini artırın, Bölüm 4.7.6 ve 5.1.5.4</w:t>
      </w:r>
      <w:r w:rsidR="00E56504" w:rsidRPr="00D53A2B">
        <w:rPr>
          <w:rFonts w:eastAsia="Calibri"/>
          <w:sz w:val="24"/>
          <w:szCs w:val="24"/>
        </w:rPr>
        <w:t>’</w:t>
      </w:r>
      <w:r w:rsidRPr="00D53A2B">
        <w:rPr>
          <w:rFonts w:eastAsia="Calibri"/>
          <w:sz w:val="24"/>
          <w:szCs w:val="24"/>
        </w:rPr>
        <w:t>e bakın.</w:t>
      </w:r>
    </w:p>
    <w:p w14:paraId="20DA771A" w14:textId="77777777" w:rsidR="00CB7EA5" w:rsidRPr="00D53A2B" w:rsidRDefault="00CB7EA5" w:rsidP="00A202FD">
      <w:pPr>
        <w:jc w:val="both"/>
        <w:rPr>
          <w:rFonts w:eastAsia="Calibri"/>
          <w:lang w:eastAsia="en-US"/>
        </w:rPr>
      </w:pPr>
    </w:p>
    <w:p w14:paraId="7BA9C208" w14:textId="7FFDBCDF" w:rsidR="006D1CD7" w:rsidRPr="00D53A2B" w:rsidRDefault="006D1CD7" w:rsidP="00A202FD">
      <w:pPr>
        <w:pStyle w:val="Balk3"/>
        <w:rPr>
          <w:rFonts w:eastAsia="Calibri" w:cs="Times New Roman"/>
        </w:rPr>
      </w:pPr>
      <w:r w:rsidRPr="00D53A2B">
        <w:rPr>
          <w:rFonts w:eastAsia="Calibri" w:cs="Times New Roman"/>
        </w:rPr>
        <w:t>5.2.5 Tehlikeli maddelerin ikamesi ve/veya kontrolü</w:t>
      </w:r>
    </w:p>
    <w:p w14:paraId="69298D11" w14:textId="77777777" w:rsidR="006D1CD7" w:rsidRPr="00D53A2B" w:rsidRDefault="006D1CD7" w:rsidP="00A202FD">
      <w:pPr>
        <w:jc w:val="both"/>
        <w:rPr>
          <w:rFonts w:eastAsia="Calibri"/>
          <w:lang w:eastAsia="en-US"/>
        </w:rPr>
      </w:pPr>
    </w:p>
    <w:p w14:paraId="452DF032" w14:textId="7FB85C3C" w:rsidR="006D1CD7" w:rsidRPr="00D53A2B" w:rsidRDefault="006D1CD7" w:rsidP="00A202FD">
      <w:pPr>
        <w:pStyle w:val="MET"/>
        <w:rPr>
          <w:rFonts w:eastAsia="Calibri"/>
          <w:szCs w:val="24"/>
        </w:rPr>
      </w:pPr>
      <w:r w:rsidRPr="00D53A2B">
        <w:rPr>
          <w:rFonts w:eastAsia="Calibri"/>
          <w:szCs w:val="24"/>
        </w:rPr>
        <w:t xml:space="preserve">MET 21: </w:t>
      </w:r>
      <w:r w:rsidRPr="00D53A2B">
        <w:rPr>
          <w:rFonts w:eastAsia="Calibri"/>
          <w:b w:val="0"/>
          <w:bCs/>
          <w:szCs w:val="24"/>
        </w:rPr>
        <w:t xml:space="preserve">Daha az tehlikeli maddelerin kullanılması genel bir </w:t>
      </w:r>
      <w:r w:rsidR="0031317B" w:rsidRPr="00D53A2B">
        <w:rPr>
          <w:rFonts w:eastAsia="Calibri"/>
          <w:b w:val="0"/>
          <w:bCs/>
          <w:szCs w:val="24"/>
        </w:rPr>
        <w:t>MET’tir</w:t>
      </w:r>
      <w:r w:rsidRPr="00D53A2B">
        <w:rPr>
          <w:rFonts w:eastAsia="Calibri"/>
          <w:b w:val="0"/>
          <w:bCs/>
          <w:szCs w:val="24"/>
        </w:rPr>
        <w:t xml:space="preserve"> (bkz. Bölüm 4.9).</w:t>
      </w:r>
    </w:p>
    <w:p w14:paraId="1CDDD9D9" w14:textId="77777777" w:rsidR="006D1CD7" w:rsidRPr="00D53A2B" w:rsidRDefault="006D1CD7" w:rsidP="00A202FD">
      <w:pPr>
        <w:jc w:val="both"/>
        <w:rPr>
          <w:rFonts w:eastAsia="Calibri"/>
          <w:lang w:eastAsia="en-US"/>
        </w:rPr>
      </w:pPr>
    </w:p>
    <w:p w14:paraId="5B8C74FB" w14:textId="5BE93688" w:rsidR="006D1CD7" w:rsidRPr="00D53A2B" w:rsidRDefault="006D1CD7" w:rsidP="00A202FD">
      <w:pPr>
        <w:jc w:val="both"/>
        <w:rPr>
          <w:rFonts w:eastAsia="Calibri"/>
          <w:lang w:eastAsia="en-US"/>
        </w:rPr>
      </w:pPr>
      <w:r w:rsidRPr="00D53A2B">
        <w:rPr>
          <w:rFonts w:eastAsia="Calibri"/>
          <w:lang w:eastAsia="en-US"/>
        </w:rPr>
        <w:t>Daha az tehlikeli maddelerin ve/veya süreçlerin kullanılabileceği belirli durumlar aşağıda verilmiştir. Tehlikeli bir maddenin kullanılması gerektiğinde, tehlikeli maddenin kullanımını en aza indirme ve/veya emisyonunu azaltma teknikleri aşağıda açıklanmıştır. Bazı durumlarda, bu, süreç verimliliğini iyileştirme ve/veya faaliyetlerde malzeme kullanımını veya emisyonunu en aza indirme ile bağlantılıdır.</w:t>
      </w:r>
    </w:p>
    <w:p w14:paraId="19C0421A" w14:textId="77777777" w:rsidR="006D1CD7" w:rsidRPr="00D53A2B" w:rsidRDefault="006D1CD7" w:rsidP="00A202FD">
      <w:pPr>
        <w:jc w:val="both"/>
        <w:rPr>
          <w:rFonts w:eastAsia="Calibri"/>
          <w:lang w:eastAsia="en-US"/>
        </w:rPr>
      </w:pPr>
    </w:p>
    <w:p w14:paraId="165A4645" w14:textId="558B3374" w:rsidR="006D1CD7" w:rsidRPr="00D53A2B" w:rsidRDefault="006D1CD7" w:rsidP="00A202FD">
      <w:pPr>
        <w:pStyle w:val="Balk4"/>
        <w:rPr>
          <w:rFonts w:eastAsia="Calibri" w:cs="Times New Roman"/>
          <w:lang w:eastAsia="en-US"/>
        </w:rPr>
      </w:pPr>
      <w:r w:rsidRPr="00D53A2B">
        <w:rPr>
          <w:rFonts w:eastAsia="Calibri" w:cs="Times New Roman"/>
          <w:lang w:eastAsia="en-US"/>
        </w:rPr>
        <w:t>5.2.5.1 EDTA</w:t>
      </w:r>
    </w:p>
    <w:p w14:paraId="062923CE" w14:textId="3B174E71" w:rsidR="006D1CD7" w:rsidRPr="00D53A2B" w:rsidRDefault="006D1CD7" w:rsidP="00A202FD">
      <w:pPr>
        <w:jc w:val="both"/>
        <w:rPr>
          <w:rFonts w:eastAsia="Calibri"/>
          <w:lang w:eastAsia="en-US"/>
        </w:rPr>
      </w:pPr>
      <w:r w:rsidRPr="00D53A2B">
        <w:rPr>
          <w:rFonts w:eastAsia="Calibri"/>
          <w:lang w:eastAsia="en-US"/>
        </w:rPr>
        <w:t xml:space="preserve">Aşağıdakilerden birini yaparak EDTA ve diğer güçlü şelat oluşturucu ajanların kullanımından kaçınmak </w:t>
      </w:r>
      <w:r w:rsidR="0031317B" w:rsidRPr="00D53A2B">
        <w:rPr>
          <w:rFonts w:eastAsia="Calibri"/>
          <w:lang w:eastAsia="en-US"/>
        </w:rPr>
        <w:t>MET’tir</w:t>
      </w:r>
      <w:r w:rsidRPr="00D53A2B">
        <w:rPr>
          <w:rFonts w:eastAsia="Calibri"/>
          <w:lang w:eastAsia="en-US"/>
        </w:rPr>
        <w:t>:</w:t>
      </w:r>
    </w:p>
    <w:p w14:paraId="3CBA35A1" w14:textId="77777777" w:rsidR="006D1CD7" w:rsidRPr="00D53A2B" w:rsidRDefault="006D1CD7"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glukonik asit bazlı olanlar gibi biyolojik olarak parçalanabilir ikamelerin kullanılması (bkz. Bölüm 4.9.1)</w:t>
      </w:r>
    </w:p>
    <w:p w14:paraId="675C1754" w14:textId="4EA837E1" w:rsidR="006D1CD7" w:rsidRPr="00D53A2B" w:rsidRDefault="006D1CD7"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PCB üretiminde doğrudan kaplama gibi alternatif yöntemlerin kullanılması (bkz. Bölüm 4.15)</w:t>
      </w:r>
    </w:p>
    <w:p w14:paraId="07F64B96" w14:textId="77777777" w:rsidR="006D1CD7" w:rsidRPr="00D53A2B" w:rsidRDefault="006D1CD7" w:rsidP="00A202FD">
      <w:pPr>
        <w:jc w:val="both"/>
        <w:rPr>
          <w:rFonts w:eastAsia="Calibri"/>
          <w:lang w:eastAsia="en-US"/>
        </w:rPr>
      </w:pPr>
    </w:p>
    <w:p w14:paraId="3BAC0927" w14:textId="2C491E4F" w:rsidR="006D1CD7" w:rsidRPr="00D53A2B" w:rsidRDefault="006D1CD7" w:rsidP="00A202FD">
      <w:pPr>
        <w:jc w:val="both"/>
        <w:rPr>
          <w:rFonts w:eastAsia="Calibri"/>
          <w:lang w:eastAsia="en-US"/>
        </w:rPr>
      </w:pPr>
      <w:r w:rsidRPr="00D53A2B">
        <w:rPr>
          <w:rFonts w:eastAsia="Calibri"/>
          <w:lang w:eastAsia="en-US"/>
        </w:rPr>
        <w:t>EDTA</w:t>
      </w:r>
      <w:r w:rsidR="00E56504" w:rsidRPr="00D53A2B">
        <w:rPr>
          <w:rFonts w:eastAsia="Calibri"/>
          <w:lang w:eastAsia="en-US"/>
        </w:rPr>
        <w:t>’</w:t>
      </w:r>
      <w:r w:rsidRPr="00D53A2B">
        <w:rPr>
          <w:rFonts w:eastAsia="Calibri"/>
          <w:lang w:eastAsia="en-US"/>
        </w:rPr>
        <w:t>nın kullanıldığı yerler:</w:t>
      </w:r>
    </w:p>
    <w:p w14:paraId="1FB794B9" w14:textId="3AFF74E6" w:rsidR="006D1CD7" w:rsidRPr="00D53A2B" w:rsidRDefault="006D1CD7"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malzeme ve su tasarrufu tekniklerini kullanarak salınımını en aza indirin (Bölüm 5.1.5 ve 5.1.6</w:t>
      </w:r>
      <w:r w:rsidR="00E56504" w:rsidRPr="00D53A2B">
        <w:rPr>
          <w:rFonts w:eastAsia="Calibri"/>
          <w:sz w:val="24"/>
          <w:szCs w:val="24"/>
        </w:rPr>
        <w:t>’</w:t>
      </w:r>
      <w:r w:rsidRPr="00D53A2B">
        <w:rPr>
          <w:rFonts w:eastAsia="Calibri"/>
          <w:sz w:val="24"/>
          <w:szCs w:val="24"/>
        </w:rPr>
        <w:t>ya bakın)</w:t>
      </w:r>
    </w:p>
    <w:p w14:paraId="4A1E835B" w14:textId="7A31E30C" w:rsidR="006D1CD7" w:rsidRPr="00D53A2B" w:rsidRDefault="006D1CD7"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Bölüm 4.16.8</w:t>
      </w:r>
      <w:r w:rsidR="00E56504" w:rsidRPr="00D53A2B">
        <w:rPr>
          <w:rFonts w:eastAsia="Calibri"/>
          <w:sz w:val="24"/>
          <w:szCs w:val="24"/>
        </w:rPr>
        <w:t>’</w:t>
      </w:r>
      <w:r w:rsidRPr="00D53A2B">
        <w:rPr>
          <w:rFonts w:eastAsia="Calibri"/>
          <w:sz w:val="24"/>
          <w:szCs w:val="24"/>
        </w:rPr>
        <w:t>de açıklanan arıtma tekniklerini kullanarak atıksuya EDTA salınımı olmadığından emin olun.</w:t>
      </w:r>
    </w:p>
    <w:p w14:paraId="59607F06" w14:textId="77777777" w:rsidR="006D1CD7" w:rsidRPr="00D53A2B" w:rsidRDefault="006D1CD7" w:rsidP="00A202FD">
      <w:pPr>
        <w:jc w:val="both"/>
        <w:rPr>
          <w:rFonts w:eastAsia="Calibri"/>
          <w:lang w:eastAsia="en-US"/>
        </w:rPr>
      </w:pPr>
    </w:p>
    <w:p w14:paraId="291AFA10" w14:textId="7407146F" w:rsidR="006D1CD7" w:rsidRPr="00D53A2B" w:rsidRDefault="006D1CD7" w:rsidP="00A202FD">
      <w:pPr>
        <w:jc w:val="both"/>
        <w:rPr>
          <w:rFonts w:eastAsia="Calibri"/>
          <w:lang w:eastAsia="en-US"/>
        </w:rPr>
      </w:pPr>
      <w:r w:rsidRPr="00D53A2B">
        <w:rPr>
          <w:rFonts w:eastAsia="Calibri"/>
          <w:lang w:eastAsia="en-US"/>
        </w:rPr>
        <w:t>Siyanür güçlü bir şelat oluşturucu maddedir, ancak Bölüm 5.2.5.3</w:t>
      </w:r>
      <w:r w:rsidR="00E56504" w:rsidRPr="00D53A2B">
        <w:rPr>
          <w:rFonts w:eastAsia="Calibri"/>
          <w:lang w:eastAsia="en-US"/>
        </w:rPr>
        <w:t>’</w:t>
      </w:r>
      <w:r w:rsidRPr="00D53A2B">
        <w:rPr>
          <w:rFonts w:eastAsia="Calibri"/>
          <w:lang w:eastAsia="en-US"/>
        </w:rPr>
        <w:t>te ayrı olarak ele alınmaktadır.</w:t>
      </w:r>
    </w:p>
    <w:p w14:paraId="667A0B7D" w14:textId="77777777" w:rsidR="006D1CD7" w:rsidRPr="00D53A2B" w:rsidRDefault="006D1CD7" w:rsidP="00A202FD">
      <w:pPr>
        <w:jc w:val="both"/>
        <w:rPr>
          <w:rFonts w:eastAsia="Calibri"/>
          <w:lang w:eastAsia="en-US"/>
        </w:rPr>
      </w:pPr>
    </w:p>
    <w:p w14:paraId="6E84A00B" w14:textId="18CF8C02" w:rsidR="006D1CD7" w:rsidRPr="00D53A2B" w:rsidRDefault="00B54484" w:rsidP="00A202FD">
      <w:pPr>
        <w:pStyle w:val="Balk4"/>
        <w:rPr>
          <w:rFonts w:eastAsia="Calibri" w:cs="Times New Roman"/>
          <w:lang w:eastAsia="en-US"/>
        </w:rPr>
      </w:pPr>
      <w:r w:rsidRPr="00D53A2B">
        <w:rPr>
          <w:rFonts w:eastAsia="Calibri" w:cs="Times New Roman"/>
          <w:lang w:eastAsia="en-US"/>
        </w:rPr>
        <w:t>5.2.5.2 PFOS (perflorooktan sülfonat)</w:t>
      </w:r>
    </w:p>
    <w:p w14:paraId="2AA8B728" w14:textId="16867CDC" w:rsidR="006D1CD7" w:rsidRPr="00D53A2B" w:rsidRDefault="00B54484" w:rsidP="00A202FD">
      <w:pPr>
        <w:jc w:val="both"/>
        <w:rPr>
          <w:rFonts w:eastAsia="Calibri"/>
          <w:lang w:eastAsia="en-US"/>
        </w:rPr>
      </w:pPr>
      <w:r w:rsidRPr="00D53A2B">
        <w:rPr>
          <w:rFonts w:eastAsia="Calibri"/>
          <w:lang w:eastAsia="en-US"/>
        </w:rPr>
        <w:t>PFOS</w:t>
      </w:r>
      <w:r w:rsidR="00E56504" w:rsidRPr="00D53A2B">
        <w:rPr>
          <w:rFonts w:eastAsia="Calibri"/>
          <w:lang w:eastAsia="en-US"/>
        </w:rPr>
        <w:t>’</w:t>
      </w:r>
      <w:r w:rsidRPr="00D53A2B">
        <w:rPr>
          <w:rFonts w:eastAsia="Calibri"/>
          <w:lang w:eastAsia="en-US"/>
        </w:rPr>
        <w:t>un yerine kullanılabilecek sınırlı sayıda seçenek bulunmaktadır ve sağlık ve güvenlik özellikle önemli bir faktör olabilir.</w:t>
      </w:r>
    </w:p>
    <w:p w14:paraId="631BFDFD" w14:textId="77777777" w:rsidR="006D1CD7" w:rsidRPr="00D53A2B" w:rsidRDefault="006D1CD7" w:rsidP="00A202FD">
      <w:pPr>
        <w:jc w:val="both"/>
        <w:rPr>
          <w:rFonts w:eastAsia="Calibri"/>
          <w:lang w:eastAsia="en-US"/>
        </w:rPr>
      </w:pPr>
    </w:p>
    <w:p w14:paraId="45B9179E" w14:textId="31C4A92C" w:rsidR="006D1CD7" w:rsidRPr="00D53A2B" w:rsidRDefault="00B54484" w:rsidP="00A202FD">
      <w:pPr>
        <w:jc w:val="both"/>
        <w:rPr>
          <w:rFonts w:eastAsia="Calibri"/>
          <w:lang w:eastAsia="en-US"/>
        </w:rPr>
      </w:pPr>
      <w:r w:rsidRPr="00D53A2B">
        <w:rPr>
          <w:rFonts w:eastAsia="Calibri"/>
          <w:lang w:eastAsia="en-US"/>
        </w:rPr>
        <w:t xml:space="preserve">PFOS kullanıldığında, kullanımın en aza indirilmesi </w:t>
      </w:r>
      <w:r w:rsidR="0031317B" w:rsidRPr="00D53A2B">
        <w:rPr>
          <w:rFonts w:eastAsia="Calibri"/>
          <w:lang w:eastAsia="en-US"/>
        </w:rPr>
        <w:t>M</w:t>
      </w:r>
      <w:r w:rsidR="000C734B" w:rsidRPr="00D53A2B">
        <w:rPr>
          <w:rFonts w:eastAsia="Calibri"/>
          <w:lang w:eastAsia="en-US"/>
        </w:rPr>
        <w:t>E</w:t>
      </w:r>
      <w:r w:rsidR="0031317B" w:rsidRPr="00D53A2B">
        <w:rPr>
          <w:rFonts w:eastAsia="Calibri"/>
          <w:lang w:eastAsia="en-US"/>
        </w:rPr>
        <w:t>T’tir</w:t>
      </w:r>
      <w:r w:rsidRPr="00D53A2B">
        <w:rPr>
          <w:rFonts w:eastAsia="Calibri"/>
          <w:lang w:eastAsia="en-US"/>
        </w:rPr>
        <w:t>:</w:t>
      </w:r>
    </w:p>
    <w:p w14:paraId="14FA1D58" w14:textId="77777777" w:rsidR="00B54484" w:rsidRPr="00D53A2B" w:rsidRDefault="00B54484"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PFOS içeren malzemelerin yüzey gerilimini ölçerek eklenmesinin izlenmesi ve kontrolü (bkz. Bölüm 4.9.2)</w:t>
      </w:r>
    </w:p>
    <w:p w14:paraId="5A446879" w14:textId="77777777" w:rsidR="00B54484" w:rsidRPr="00D53A2B" w:rsidRDefault="00B54484"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yüzen yalıtım bölümleri kullanılarak hava emisyonlarının en aza indirilmesi (bkz. Bölüm 4.4.3)</w:t>
      </w:r>
    </w:p>
    <w:p w14:paraId="7014F6F1" w14:textId="3F5799CB" w:rsidR="006D1CD7" w:rsidRPr="00D53A2B" w:rsidRDefault="00B54484"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Bölüm 4.18</w:t>
      </w:r>
      <w:r w:rsidR="00E56504" w:rsidRPr="00D53A2B">
        <w:rPr>
          <w:rFonts w:eastAsia="Calibri"/>
          <w:sz w:val="24"/>
          <w:szCs w:val="24"/>
        </w:rPr>
        <w:t>’</w:t>
      </w:r>
      <w:r w:rsidRPr="00D53A2B">
        <w:rPr>
          <w:rFonts w:eastAsia="Calibri"/>
          <w:sz w:val="24"/>
          <w:szCs w:val="24"/>
        </w:rPr>
        <w:t>de açıklandığı gibi tehlikeli dumanların hava emisyonlarının kontrol edilmesi.</w:t>
      </w:r>
    </w:p>
    <w:p w14:paraId="52C17EC1" w14:textId="77777777" w:rsidR="006D1CD7" w:rsidRPr="00D53A2B" w:rsidRDefault="006D1CD7" w:rsidP="00A202FD">
      <w:pPr>
        <w:jc w:val="both"/>
        <w:rPr>
          <w:rFonts w:eastAsia="Calibri"/>
          <w:lang w:eastAsia="en-US"/>
        </w:rPr>
      </w:pPr>
    </w:p>
    <w:p w14:paraId="39C238C9" w14:textId="2DDD73A1" w:rsidR="00B54484" w:rsidRPr="00D53A2B" w:rsidRDefault="00B54484" w:rsidP="00A202FD">
      <w:pPr>
        <w:jc w:val="both"/>
        <w:rPr>
          <w:rFonts w:eastAsia="Calibri"/>
          <w:lang w:eastAsia="en-US"/>
        </w:rPr>
      </w:pPr>
      <w:r w:rsidRPr="00D53A2B">
        <w:rPr>
          <w:rFonts w:eastAsia="Calibri"/>
          <w:lang w:eastAsia="en-US"/>
        </w:rPr>
        <w:t>PFOS</w:t>
      </w:r>
      <w:r w:rsidR="00E56504" w:rsidRPr="00D53A2B">
        <w:rPr>
          <w:rFonts w:eastAsia="Calibri"/>
          <w:lang w:eastAsia="en-US"/>
        </w:rPr>
        <w:t>’</w:t>
      </w:r>
      <w:r w:rsidRPr="00D53A2B">
        <w:rPr>
          <w:rFonts w:eastAsia="Calibri"/>
          <w:lang w:eastAsia="en-US"/>
        </w:rPr>
        <w:t xml:space="preserve">un kullanıldığı durumlarda, malzeme döngüsünü kapatmak gibi malzeme koruma teknikleriyle çevreye emisyonunu en aza indirmek </w:t>
      </w:r>
      <w:r w:rsidR="0031317B" w:rsidRPr="00D53A2B">
        <w:rPr>
          <w:rFonts w:eastAsia="Calibri"/>
          <w:lang w:eastAsia="en-US"/>
        </w:rPr>
        <w:t>MET’tir</w:t>
      </w:r>
      <w:r w:rsidRPr="00D53A2B">
        <w:rPr>
          <w:rFonts w:eastAsia="Calibri"/>
          <w:lang w:eastAsia="en-US"/>
        </w:rPr>
        <w:t>, bkz. Bölüm 5.1.6.3.</w:t>
      </w:r>
    </w:p>
    <w:p w14:paraId="6083CD2D" w14:textId="77777777" w:rsidR="00B54484" w:rsidRPr="00D53A2B" w:rsidRDefault="00B54484" w:rsidP="00A202FD">
      <w:pPr>
        <w:jc w:val="both"/>
        <w:rPr>
          <w:rFonts w:eastAsia="Calibri"/>
          <w:lang w:eastAsia="en-US"/>
        </w:rPr>
      </w:pPr>
    </w:p>
    <w:p w14:paraId="76C7D3B3" w14:textId="4050FD5F" w:rsidR="00B54484" w:rsidRPr="00D53A2B" w:rsidRDefault="00B54484" w:rsidP="00A202FD">
      <w:pPr>
        <w:jc w:val="both"/>
        <w:rPr>
          <w:rFonts w:eastAsia="Calibri"/>
          <w:lang w:eastAsia="en-US"/>
        </w:rPr>
      </w:pPr>
      <w:r w:rsidRPr="00D53A2B">
        <w:rPr>
          <w:rFonts w:eastAsia="Calibri"/>
          <w:lang w:eastAsia="en-US"/>
        </w:rPr>
        <w:t xml:space="preserve">Eloksal tesislerinde, PFOS içermeyen yüzey aktif maddeler kullanmak </w:t>
      </w:r>
      <w:r w:rsidR="0031317B" w:rsidRPr="00D53A2B">
        <w:rPr>
          <w:rFonts w:eastAsia="Calibri"/>
          <w:lang w:eastAsia="en-US"/>
        </w:rPr>
        <w:t>MET’tir</w:t>
      </w:r>
      <w:r w:rsidRPr="00D53A2B">
        <w:rPr>
          <w:rFonts w:eastAsia="Calibri"/>
          <w:lang w:eastAsia="en-US"/>
        </w:rPr>
        <w:t>, bkz. Bölüm 4.9.2</w:t>
      </w:r>
    </w:p>
    <w:p w14:paraId="6B117129" w14:textId="77777777" w:rsidR="00B54484" w:rsidRPr="00D53A2B" w:rsidRDefault="00B54484" w:rsidP="00A202FD">
      <w:pPr>
        <w:jc w:val="both"/>
        <w:rPr>
          <w:rFonts w:eastAsia="Calibri"/>
          <w:lang w:eastAsia="en-US"/>
        </w:rPr>
      </w:pPr>
    </w:p>
    <w:p w14:paraId="667F831A" w14:textId="07050C54" w:rsidR="00B54484" w:rsidRPr="00D53A2B" w:rsidRDefault="00B54484" w:rsidP="00A202FD">
      <w:pPr>
        <w:jc w:val="both"/>
        <w:rPr>
          <w:rFonts w:eastAsia="Calibri"/>
          <w:lang w:eastAsia="en-US"/>
        </w:rPr>
      </w:pPr>
      <w:r w:rsidRPr="00D53A2B">
        <w:rPr>
          <w:rFonts w:eastAsia="Calibri"/>
          <w:lang w:eastAsia="en-US"/>
        </w:rPr>
        <w:t>Diğer proseslerde, PFOS</w:t>
      </w:r>
      <w:r w:rsidR="00E56504" w:rsidRPr="00D53A2B">
        <w:rPr>
          <w:rFonts w:eastAsia="Calibri"/>
          <w:lang w:eastAsia="en-US"/>
        </w:rPr>
        <w:t>’</w:t>
      </w:r>
      <w:r w:rsidRPr="00D53A2B">
        <w:rPr>
          <w:rFonts w:eastAsia="Calibri"/>
          <w:lang w:eastAsia="en-US"/>
        </w:rPr>
        <w:t xml:space="preserve">u aşamalı olarak ortadan kaldırmaya çalışmak </w:t>
      </w:r>
      <w:r w:rsidR="0031317B" w:rsidRPr="00D53A2B">
        <w:rPr>
          <w:rFonts w:eastAsia="Calibri"/>
          <w:lang w:eastAsia="en-US"/>
        </w:rPr>
        <w:t>MET’tir</w:t>
      </w:r>
      <w:r w:rsidRPr="00D53A2B">
        <w:rPr>
          <w:rFonts w:eastAsia="Calibri"/>
          <w:lang w:eastAsia="en-US"/>
        </w:rPr>
        <w:t>. Belirtilen bölümlerde bu seçeneklere ilişkin sınırlamalar tartışılmıştır:</w:t>
      </w:r>
    </w:p>
    <w:p w14:paraId="537BE558" w14:textId="4C659EF9" w:rsidR="00B54484" w:rsidRPr="00D53A2B" w:rsidRDefault="00B54484"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PFOS içermeyen prosesler kullanılarak: alkali siyanür içermeyen çinko elektrokaplama için ikameler Bölüm 4.9.4.2 ve altı değerlikli krom prosesleri için, Bölüm 4.9.6</w:t>
      </w:r>
      <w:r w:rsidR="00E56504" w:rsidRPr="00D53A2B">
        <w:rPr>
          <w:rFonts w:eastAsia="Calibri"/>
          <w:sz w:val="24"/>
          <w:szCs w:val="24"/>
        </w:rPr>
        <w:t>’</w:t>
      </w:r>
      <w:r w:rsidRPr="00D53A2B">
        <w:rPr>
          <w:rFonts w:eastAsia="Calibri"/>
          <w:sz w:val="24"/>
          <w:szCs w:val="24"/>
        </w:rPr>
        <w:t>ya bakın.</w:t>
      </w:r>
    </w:p>
    <w:p w14:paraId="4AD7181A" w14:textId="526F801B" w:rsidR="00B54484" w:rsidRPr="00D53A2B" w:rsidRDefault="00B54484"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otomatik hatlar için prosesi veya ilgili tankı kapatma, Bölüm 4.2.3 ve 4.18.2</w:t>
      </w:r>
      <w:r w:rsidR="00E56504" w:rsidRPr="00D53A2B">
        <w:rPr>
          <w:rFonts w:eastAsia="Calibri"/>
          <w:sz w:val="24"/>
          <w:szCs w:val="24"/>
        </w:rPr>
        <w:t>’</w:t>
      </w:r>
      <w:r w:rsidRPr="00D53A2B">
        <w:rPr>
          <w:rFonts w:eastAsia="Calibri"/>
          <w:sz w:val="24"/>
          <w:szCs w:val="24"/>
        </w:rPr>
        <w:t>ye bakın.</w:t>
      </w:r>
    </w:p>
    <w:p w14:paraId="625511E2" w14:textId="77777777" w:rsidR="00B54484" w:rsidRPr="00D53A2B" w:rsidRDefault="00B54484" w:rsidP="00A202FD">
      <w:pPr>
        <w:jc w:val="both"/>
        <w:rPr>
          <w:rFonts w:eastAsia="Calibri"/>
          <w:lang w:eastAsia="en-US"/>
        </w:rPr>
      </w:pPr>
    </w:p>
    <w:p w14:paraId="1CAD7796" w14:textId="6E0E8083" w:rsidR="00B54484" w:rsidRPr="00D53A2B" w:rsidRDefault="00B54484" w:rsidP="00A202FD">
      <w:pPr>
        <w:pStyle w:val="Balk4"/>
        <w:rPr>
          <w:rFonts w:eastAsia="Calibri" w:cs="Times New Roman"/>
          <w:lang w:eastAsia="en-US"/>
        </w:rPr>
      </w:pPr>
      <w:r w:rsidRPr="00D53A2B">
        <w:rPr>
          <w:rFonts w:eastAsia="Calibri" w:cs="Times New Roman"/>
          <w:lang w:eastAsia="en-US"/>
        </w:rPr>
        <w:t>5.2.5.3 Siyanür</w:t>
      </w:r>
    </w:p>
    <w:p w14:paraId="74CFDF95" w14:textId="63E5A022" w:rsidR="00B54484" w:rsidRPr="00D53A2B" w:rsidRDefault="00B54484" w:rsidP="00A202FD">
      <w:pPr>
        <w:jc w:val="both"/>
        <w:rPr>
          <w:rFonts w:eastAsia="Calibri"/>
          <w:lang w:eastAsia="en-US"/>
        </w:rPr>
      </w:pPr>
      <w:r w:rsidRPr="00D53A2B">
        <w:rPr>
          <w:rFonts w:eastAsia="Calibri"/>
          <w:lang w:eastAsia="en-US"/>
        </w:rPr>
        <w:t xml:space="preserve">Tüm uygulamalarda siyanürü değiştirmek mümkün değildir, bkz. Tablo 4.9. Siyanür çözeltilerinin kullanılması gereken durumlarda, siyanür prosesleri 5.1.6.3 ile kapalı devre teknolojisinin kullanılması </w:t>
      </w:r>
      <w:r w:rsidR="0031317B" w:rsidRPr="00D53A2B">
        <w:rPr>
          <w:rFonts w:eastAsia="Calibri"/>
          <w:lang w:eastAsia="en-US"/>
        </w:rPr>
        <w:t>MET’tir</w:t>
      </w:r>
      <w:r w:rsidRPr="00D53A2B">
        <w:rPr>
          <w:rFonts w:eastAsia="Calibri"/>
          <w:lang w:eastAsia="en-US"/>
        </w:rPr>
        <w:t>.</w:t>
      </w:r>
    </w:p>
    <w:p w14:paraId="65C15CB9" w14:textId="77777777" w:rsidR="00B54484" w:rsidRPr="00D53A2B" w:rsidRDefault="00B54484" w:rsidP="00A202FD">
      <w:pPr>
        <w:jc w:val="both"/>
        <w:rPr>
          <w:rFonts w:eastAsia="Calibri"/>
          <w:lang w:eastAsia="en-US"/>
        </w:rPr>
      </w:pPr>
    </w:p>
    <w:p w14:paraId="460F2050" w14:textId="54362324" w:rsidR="00B54484" w:rsidRPr="00D53A2B" w:rsidRDefault="00B54484" w:rsidP="00A202FD">
      <w:pPr>
        <w:jc w:val="both"/>
        <w:rPr>
          <w:rFonts w:eastAsia="Calibri"/>
          <w:lang w:eastAsia="en-US"/>
        </w:rPr>
      </w:pPr>
      <w:r w:rsidRPr="00D53A2B">
        <w:rPr>
          <w:rFonts w:eastAsia="Calibri"/>
          <w:lang w:eastAsia="en-US"/>
        </w:rPr>
        <w:t xml:space="preserve">Ancak, siyanür yağdan arındırma </w:t>
      </w:r>
      <w:r w:rsidR="00651500" w:rsidRPr="00D53A2B">
        <w:rPr>
          <w:rFonts w:eastAsia="Calibri"/>
          <w:lang w:eastAsia="en-US"/>
        </w:rPr>
        <w:t>MET</w:t>
      </w:r>
      <w:r w:rsidRPr="00D53A2B">
        <w:rPr>
          <w:rFonts w:eastAsia="Calibri"/>
          <w:lang w:eastAsia="en-US"/>
        </w:rPr>
        <w:t>değildir (bkz. Bölüm 4.9.5 ve 4.9.14).</w:t>
      </w:r>
    </w:p>
    <w:p w14:paraId="4D57879C" w14:textId="77777777" w:rsidR="00B54484" w:rsidRPr="00D53A2B" w:rsidRDefault="00B54484" w:rsidP="00A202FD">
      <w:pPr>
        <w:jc w:val="both"/>
        <w:rPr>
          <w:rFonts w:eastAsia="Calibri"/>
          <w:lang w:eastAsia="en-US"/>
        </w:rPr>
      </w:pPr>
    </w:p>
    <w:p w14:paraId="0F8C2E8F" w14:textId="5BDE0D34" w:rsidR="00B54484" w:rsidRPr="00D53A2B" w:rsidRDefault="00B54484" w:rsidP="00A202FD">
      <w:pPr>
        <w:jc w:val="both"/>
        <w:rPr>
          <w:rFonts w:eastAsia="Calibri"/>
          <w:lang w:eastAsia="en-US"/>
        </w:rPr>
      </w:pPr>
      <w:r w:rsidRPr="00D53A2B">
        <w:rPr>
          <w:rFonts w:eastAsia="Calibri"/>
          <w:lang w:eastAsia="en-US"/>
        </w:rPr>
        <w:t xml:space="preserve">Siyanür proses çözeltilerinin çalkalanması gerektiğinde, karbonat oluşumunu artırdığı için düşük basınçlı çalkalama kullanmak </w:t>
      </w:r>
      <w:r w:rsidR="00651500" w:rsidRPr="00D53A2B">
        <w:rPr>
          <w:rFonts w:eastAsia="Calibri"/>
          <w:lang w:eastAsia="en-US"/>
        </w:rPr>
        <w:t>MET</w:t>
      </w:r>
      <w:r w:rsidRPr="00D53A2B">
        <w:rPr>
          <w:rFonts w:eastAsia="Calibri"/>
          <w:lang w:eastAsia="en-US"/>
        </w:rPr>
        <w:t>değildir (bkz. Bölüm 5.1.3)</w:t>
      </w:r>
    </w:p>
    <w:p w14:paraId="0E9169B3" w14:textId="77777777" w:rsidR="00B54484" w:rsidRPr="00D53A2B" w:rsidRDefault="00B54484" w:rsidP="00A202FD">
      <w:pPr>
        <w:jc w:val="both"/>
        <w:rPr>
          <w:rFonts w:eastAsia="Calibri"/>
          <w:lang w:eastAsia="en-US"/>
        </w:rPr>
      </w:pPr>
    </w:p>
    <w:p w14:paraId="7B631F40" w14:textId="33EE0658" w:rsidR="00B54484" w:rsidRPr="00D53A2B" w:rsidRDefault="00B54484" w:rsidP="00A202FD">
      <w:pPr>
        <w:pStyle w:val="Balk4"/>
        <w:rPr>
          <w:rFonts w:eastAsia="Calibri" w:cs="Times New Roman"/>
          <w:lang w:eastAsia="en-US"/>
        </w:rPr>
      </w:pPr>
      <w:r w:rsidRPr="00D53A2B">
        <w:rPr>
          <w:rFonts w:eastAsia="Calibri" w:cs="Times New Roman"/>
          <w:lang w:eastAsia="en-US"/>
        </w:rPr>
        <w:t>5.2.5.4 Çinko siyanür</w:t>
      </w:r>
    </w:p>
    <w:p w14:paraId="7D92D8F4" w14:textId="765EF4E0" w:rsidR="00B54484" w:rsidRPr="00D53A2B" w:rsidRDefault="001C4F8B" w:rsidP="00A202FD">
      <w:pPr>
        <w:jc w:val="both"/>
        <w:rPr>
          <w:rFonts w:eastAsia="Calibri"/>
          <w:lang w:eastAsia="en-US"/>
        </w:rPr>
      </w:pPr>
      <w:r w:rsidRPr="00D53A2B">
        <w:rPr>
          <w:rFonts w:eastAsia="Calibri"/>
          <w:lang w:eastAsia="en-US"/>
        </w:rPr>
        <w:t xml:space="preserve">Çinko siyanür çözeltilerini kullanarak ikame etmek </w:t>
      </w:r>
      <w:r w:rsidR="0031317B" w:rsidRPr="00D53A2B">
        <w:rPr>
          <w:rFonts w:eastAsia="Calibri"/>
          <w:lang w:eastAsia="en-US"/>
        </w:rPr>
        <w:t>MET’tir</w:t>
      </w:r>
      <w:r w:rsidRPr="00D53A2B">
        <w:rPr>
          <w:rFonts w:eastAsia="Calibri"/>
          <w:lang w:eastAsia="en-US"/>
        </w:rPr>
        <w:t xml:space="preserve"> (bkz. Bölüm 4.9.4):</w:t>
      </w:r>
    </w:p>
    <w:p w14:paraId="652181DE" w14:textId="77777777" w:rsidR="00B54484" w:rsidRPr="00D53A2B" w:rsidRDefault="00B54484" w:rsidP="00A202FD">
      <w:pPr>
        <w:jc w:val="both"/>
        <w:rPr>
          <w:rFonts w:eastAsia="Calibri"/>
          <w:lang w:eastAsia="en-US"/>
        </w:rPr>
      </w:pPr>
    </w:p>
    <w:p w14:paraId="321B279B" w14:textId="7026D9E2" w:rsidR="001C4F8B" w:rsidRPr="00D53A2B" w:rsidRDefault="001C4F8B"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Optimum enerji verimliliği, azaltılmış çevresel emisyonlar ve parlak dekoratif yüzeyler için asit çinko (bkz. Bölüm 4.9.4.3).</w:t>
      </w:r>
    </w:p>
    <w:p w14:paraId="399FD0E3" w14:textId="56CB3CD3" w:rsidR="00B54484" w:rsidRPr="00D53A2B" w:rsidRDefault="001C4F8B"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Metal dağılımının önemli olduğu alkali siyanürsüz çinko (bkz. Bölüm 4.9.4.2, ancak PFOS içerebileceğini unutmayın, bkz. Bölüm 5.2.5.2).</w:t>
      </w:r>
    </w:p>
    <w:p w14:paraId="5BBE70C4" w14:textId="77777777" w:rsidR="00B54484" w:rsidRPr="00D53A2B" w:rsidRDefault="00B54484" w:rsidP="00A202FD">
      <w:pPr>
        <w:jc w:val="both"/>
        <w:rPr>
          <w:rFonts w:eastAsia="Calibri"/>
          <w:lang w:eastAsia="en-US"/>
        </w:rPr>
      </w:pPr>
    </w:p>
    <w:p w14:paraId="6EE8DE7A" w14:textId="1FBD843A" w:rsidR="00B54484" w:rsidRPr="00D53A2B" w:rsidRDefault="001C4F8B" w:rsidP="00A202FD">
      <w:pPr>
        <w:pStyle w:val="Balk4"/>
        <w:rPr>
          <w:rFonts w:eastAsia="Calibri" w:cs="Times New Roman"/>
          <w:lang w:eastAsia="en-US"/>
        </w:rPr>
      </w:pPr>
      <w:r w:rsidRPr="00D53A2B">
        <w:rPr>
          <w:rFonts w:eastAsia="Calibri" w:cs="Times New Roman"/>
          <w:lang w:eastAsia="en-US"/>
        </w:rPr>
        <w:t>5.2.5.5 Bakır siyanür</w:t>
      </w:r>
    </w:p>
    <w:p w14:paraId="39FEFE0D" w14:textId="7B454082" w:rsidR="00B54484" w:rsidRPr="00D53A2B" w:rsidRDefault="001C4F8B" w:rsidP="00A202FD">
      <w:pPr>
        <w:jc w:val="both"/>
        <w:rPr>
          <w:rFonts w:eastAsia="Calibri"/>
          <w:lang w:eastAsia="en-US"/>
        </w:rPr>
      </w:pPr>
      <w:r w:rsidRPr="00D53A2B">
        <w:rPr>
          <w:rFonts w:eastAsia="Calibri"/>
          <w:lang w:eastAsia="en-US"/>
        </w:rPr>
        <w:t xml:space="preserve">Siyanür bakırını asit veya pirofosfat bakırla değiştirmek </w:t>
      </w:r>
      <w:r w:rsidR="0031317B" w:rsidRPr="00D53A2B">
        <w:rPr>
          <w:rFonts w:eastAsia="Calibri"/>
          <w:lang w:eastAsia="en-US"/>
        </w:rPr>
        <w:t>MET’tir</w:t>
      </w:r>
      <w:r w:rsidRPr="00D53A2B">
        <w:rPr>
          <w:rFonts w:eastAsia="Calibri"/>
          <w:lang w:eastAsia="en-US"/>
        </w:rPr>
        <w:t xml:space="preserve"> (bkz. Bölüm 4.9.5), ancak şunlar hariç:</w:t>
      </w:r>
    </w:p>
    <w:p w14:paraId="2ABAC22E" w14:textId="77777777" w:rsidR="001C4F8B" w:rsidRPr="00D53A2B" w:rsidRDefault="001C4F8B"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çelik, çinko döküm, alüminyum ve alüminyum alaşımları üzerindeki çarpma kaplamaları için</w:t>
      </w:r>
    </w:p>
    <w:p w14:paraId="3C01F8EF" w14:textId="59B822F8" w:rsidR="001C4F8B" w:rsidRPr="00D53A2B" w:rsidRDefault="001C4F8B" w:rsidP="00602365">
      <w:pPr>
        <w:pStyle w:val="ListeParagraf"/>
        <w:numPr>
          <w:ilvl w:val="0"/>
          <w:numId w:val="221"/>
        </w:numPr>
        <w:tabs>
          <w:tab w:val="clear" w:pos="567"/>
        </w:tabs>
        <w:spacing w:line="240" w:lineRule="auto"/>
        <w:ind w:left="426" w:hanging="284"/>
        <w:rPr>
          <w:rFonts w:eastAsia="Calibri"/>
          <w:sz w:val="24"/>
          <w:szCs w:val="24"/>
        </w:rPr>
      </w:pPr>
      <w:r w:rsidRPr="00D53A2B">
        <w:rPr>
          <w:rFonts w:eastAsia="Calibri"/>
          <w:sz w:val="24"/>
          <w:szCs w:val="24"/>
        </w:rPr>
        <w:t>çelik veya diğer yüzeyler üzerindeki bakır çarpma kaplamalarının ardından bakır kaplama yapılması gerekir.</w:t>
      </w:r>
    </w:p>
    <w:p w14:paraId="74756433" w14:textId="77777777" w:rsidR="001C4F8B" w:rsidRPr="00D53A2B" w:rsidRDefault="001C4F8B" w:rsidP="00A202FD">
      <w:pPr>
        <w:jc w:val="both"/>
        <w:rPr>
          <w:rFonts w:eastAsia="Calibri"/>
          <w:lang w:eastAsia="en-US"/>
        </w:rPr>
      </w:pPr>
    </w:p>
    <w:p w14:paraId="362010CA" w14:textId="221714CA" w:rsidR="001C4F8B" w:rsidRPr="00D53A2B" w:rsidRDefault="001C4F8B" w:rsidP="00A202FD">
      <w:pPr>
        <w:pStyle w:val="Balk4"/>
        <w:rPr>
          <w:rFonts w:eastAsia="Calibri" w:cs="Times New Roman"/>
          <w:lang w:eastAsia="en-US"/>
        </w:rPr>
      </w:pPr>
      <w:r w:rsidRPr="00D53A2B">
        <w:rPr>
          <w:rFonts w:eastAsia="Calibri" w:cs="Times New Roman"/>
          <w:lang w:eastAsia="en-US"/>
        </w:rPr>
        <w:t>5.2.5.6 Kadmiyum</w:t>
      </w:r>
    </w:p>
    <w:p w14:paraId="2E96B66A" w14:textId="246B61B9" w:rsidR="001C4F8B" w:rsidRPr="00D53A2B" w:rsidRDefault="001C4F8B" w:rsidP="00A202FD">
      <w:pPr>
        <w:jc w:val="both"/>
        <w:rPr>
          <w:rFonts w:eastAsia="Calibri"/>
          <w:lang w:eastAsia="en-US"/>
        </w:rPr>
      </w:pPr>
      <w:r w:rsidRPr="00D53A2B">
        <w:rPr>
          <w:rFonts w:eastAsia="Calibri"/>
          <w:lang w:eastAsia="en-US"/>
        </w:rPr>
        <w:t xml:space="preserve">Kapalı devre bir sistemde kadmiyum kaplamak </w:t>
      </w:r>
      <w:r w:rsidR="0031317B" w:rsidRPr="00D53A2B">
        <w:rPr>
          <w:rFonts w:eastAsia="Calibri"/>
          <w:lang w:eastAsia="en-US"/>
        </w:rPr>
        <w:t>M</w:t>
      </w:r>
      <w:r w:rsidR="002505AB" w:rsidRPr="00D53A2B">
        <w:rPr>
          <w:rFonts w:eastAsia="Calibri"/>
          <w:lang w:eastAsia="en-US"/>
        </w:rPr>
        <w:t>E</w:t>
      </w:r>
      <w:r w:rsidR="0031317B" w:rsidRPr="00D53A2B">
        <w:rPr>
          <w:rFonts w:eastAsia="Calibri"/>
          <w:lang w:eastAsia="en-US"/>
        </w:rPr>
        <w:t>T’tir</w:t>
      </w:r>
      <w:r w:rsidRPr="00D53A2B">
        <w:rPr>
          <w:rFonts w:eastAsia="Calibri"/>
          <w:lang w:eastAsia="en-US"/>
        </w:rPr>
        <w:t>, bkz. Bölüm 5.1.6.3.</w:t>
      </w:r>
    </w:p>
    <w:p w14:paraId="66E0BB2D" w14:textId="77777777" w:rsidR="001C4F8B" w:rsidRPr="00D53A2B" w:rsidRDefault="001C4F8B" w:rsidP="00A202FD">
      <w:pPr>
        <w:jc w:val="both"/>
        <w:rPr>
          <w:rFonts w:eastAsia="Calibri"/>
          <w:lang w:eastAsia="en-US"/>
        </w:rPr>
      </w:pPr>
    </w:p>
    <w:p w14:paraId="7970653B" w14:textId="72C55187" w:rsidR="001C4F8B" w:rsidRPr="00D53A2B" w:rsidRDefault="001C4F8B" w:rsidP="00A202FD">
      <w:pPr>
        <w:jc w:val="both"/>
        <w:rPr>
          <w:rFonts w:eastAsia="Calibri"/>
          <w:lang w:eastAsia="en-US"/>
        </w:rPr>
      </w:pPr>
      <w:r w:rsidRPr="00D53A2B">
        <w:rPr>
          <w:rFonts w:eastAsia="Calibri"/>
          <w:lang w:eastAsia="en-US"/>
        </w:rPr>
        <w:t xml:space="preserve">Kadmiyum kaplamayı ayrı ayrı kapalı alanlarda, suya ayrı olarak izlenen bir emisyon seviyesiyle gerçekleştirmek </w:t>
      </w:r>
      <w:r w:rsidR="0031317B" w:rsidRPr="00D53A2B">
        <w:rPr>
          <w:rFonts w:eastAsia="Calibri"/>
          <w:lang w:eastAsia="en-US"/>
        </w:rPr>
        <w:t>MET’tir</w:t>
      </w:r>
      <w:r w:rsidRPr="00D53A2B">
        <w:rPr>
          <w:rFonts w:eastAsia="Calibri"/>
          <w:lang w:eastAsia="en-US"/>
        </w:rPr>
        <w:t>.</w:t>
      </w:r>
    </w:p>
    <w:p w14:paraId="5FA07D72" w14:textId="77777777" w:rsidR="001C4F8B" w:rsidRPr="00D53A2B" w:rsidRDefault="001C4F8B" w:rsidP="00A202FD">
      <w:pPr>
        <w:jc w:val="both"/>
        <w:rPr>
          <w:rFonts w:eastAsia="Calibri"/>
          <w:lang w:eastAsia="en-US"/>
        </w:rPr>
      </w:pPr>
    </w:p>
    <w:p w14:paraId="6D07CE58" w14:textId="200266DC" w:rsidR="001C4F8B" w:rsidRPr="00D53A2B" w:rsidRDefault="001C4F8B" w:rsidP="00A202FD">
      <w:pPr>
        <w:pStyle w:val="Balk4"/>
        <w:rPr>
          <w:rFonts w:eastAsia="Calibri" w:cs="Times New Roman"/>
          <w:lang w:eastAsia="en-US"/>
        </w:rPr>
      </w:pPr>
      <w:r w:rsidRPr="00D53A2B">
        <w:rPr>
          <w:rFonts w:eastAsia="Calibri" w:cs="Times New Roman"/>
          <w:lang w:eastAsia="en-US"/>
        </w:rPr>
        <w:t>5.2.5.7 Altı değerlikli krom</w:t>
      </w:r>
    </w:p>
    <w:p w14:paraId="62672BC6" w14:textId="141BEE25" w:rsidR="001C4F8B" w:rsidRPr="00D53A2B" w:rsidRDefault="001C4F8B" w:rsidP="00A202FD">
      <w:pPr>
        <w:jc w:val="both"/>
        <w:rPr>
          <w:rFonts w:eastAsia="Calibri"/>
          <w:lang w:eastAsia="en-US"/>
        </w:rPr>
      </w:pPr>
      <w:r w:rsidRPr="00D53A2B">
        <w:rPr>
          <w:rFonts w:eastAsia="Calibri"/>
          <w:lang w:eastAsia="en-US"/>
        </w:rPr>
        <w:t>Altı değerlikli kromun yerine ikame Bölüm 4.9.8</w:t>
      </w:r>
      <w:r w:rsidR="00E56504" w:rsidRPr="00D53A2B">
        <w:rPr>
          <w:rFonts w:eastAsia="Calibri"/>
          <w:lang w:eastAsia="en-US"/>
        </w:rPr>
        <w:t>’</w:t>
      </w:r>
      <w:r w:rsidRPr="00D53A2B">
        <w:rPr>
          <w:rFonts w:eastAsia="Calibri"/>
          <w:lang w:eastAsia="en-US"/>
        </w:rPr>
        <w:t>de ve daha ayrıntılı olarak Ek 8.10</w:t>
      </w:r>
      <w:r w:rsidR="00E56504" w:rsidRPr="00D53A2B">
        <w:rPr>
          <w:rFonts w:eastAsia="Calibri"/>
          <w:lang w:eastAsia="en-US"/>
        </w:rPr>
        <w:t>’</w:t>
      </w:r>
      <w:r w:rsidRPr="00D53A2B">
        <w:rPr>
          <w:rFonts w:eastAsia="Calibri"/>
          <w:lang w:eastAsia="en-US"/>
        </w:rPr>
        <w:t xml:space="preserve">da ele alınmıştır: </w:t>
      </w:r>
      <w:r w:rsidR="00651500" w:rsidRPr="00D53A2B">
        <w:rPr>
          <w:rFonts w:eastAsia="Calibri"/>
          <w:lang w:eastAsia="en-US"/>
        </w:rPr>
        <w:t>MET</w:t>
      </w:r>
      <w:r w:rsidR="002505AB" w:rsidRPr="00D53A2B">
        <w:rPr>
          <w:rFonts w:eastAsia="Calibri"/>
          <w:lang w:eastAsia="en-US"/>
        </w:rPr>
        <w:t xml:space="preserve"> </w:t>
      </w:r>
      <w:r w:rsidRPr="00D53A2B">
        <w:rPr>
          <w:rFonts w:eastAsia="Calibri"/>
          <w:lang w:eastAsia="en-US"/>
        </w:rPr>
        <w:t>aşağıdaki bölümlerde açıklanmıştır. İkame için genel sınırlamalar vardır: üç değerlikli krom büyük ölçekli çelik kaplamada ekonomik bir ölçekte kullanılmamıştır ve sert krom uygulamaları için kullanılamaz. Kromik asit anodizasyonunun sınırlı kullanımı vardır, esas olarak havacılık, elektronik ve diğer uzman uygulamaları için. Yerine geçecek bir şey yoktur.</w:t>
      </w:r>
    </w:p>
    <w:p w14:paraId="7AF8D276" w14:textId="77777777" w:rsidR="001C4F8B" w:rsidRPr="00D53A2B" w:rsidRDefault="001C4F8B" w:rsidP="00A202FD">
      <w:pPr>
        <w:jc w:val="both"/>
        <w:rPr>
          <w:rFonts w:eastAsia="Calibri"/>
          <w:lang w:eastAsia="en-US"/>
        </w:rPr>
      </w:pPr>
    </w:p>
    <w:p w14:paraId="6F851114" w14:textId="08663A65" w:rsidR="001C4F8B" w:rsidRPr="00D53A2B" w:rsidRDefault="001C4F8B" w:rsidP="00A202FD">
      <w:pPr>
        <w:pStyle w:val="Balk5"/>
        <w:ind w:left="1134" w:hanging="1134"/>
        <w:rPr>
          <w:rFonts w:eastAsia="Calibri"/>
          <w:szCs w:val="24"/>
        </w:rPr>
      </w:pPr>
      <w:r w:rsidRPr="00D53A2B">
        <w:rPr>
          <w:rFonts w:eastAsia="Calibri"/>
          <w:szCs w:val="24"/>
        </w:rPr>
        <w:t>5.2.5.7.1 Dekoratif krom kaplama</w:t>
      </w:r>
    </w:p>
    <w:p w14:paraId="4B70EDAF" w14:textId="37FF5B92" w:rsidR="001C4F8B" w:rsidRPr="00D53A2B" w:rsidRDefault="001C4F8B" w:rsidP="00A202FD">
      <w:pPr>
        <w:jc w:val="both"/>
        <w:rPr>
          <w:rFonts w:eastAsia="Calibri"/>
          <w:lang w:eastAsia="en-US"/>
        </w:rPr>
      </w:pPr>
      <w:r w:rsidRPr="00D53A2B">
        <w:rPr>
          <w:rFonts w:eastAsia="Calibri"/>
          <w:lang w:eastAsia="en-US"/>
        </w:rPr>
        <w:t xml:space="preserve">Dekoratif kullanımlar için, hekzavalent kromun yerine </w:t>
      </w:r>
      <w:r w:rsidR="00651500" w:rsidRPr="00D53A2B">
        <w:rPr>
          <w:rFonts w:eastAsia="Calibri"/>
          <w:lang w:eastAsia="en-US"/>
        </w:rPr>
        <w:t>MET</w:t>
      </w:r>
      <w:r w:rsidRPr="00D53A2B">
        <w:rPr>
          <w:rFonts w:eastAsia="Calibri"/>
          <w:lang w:eastAsia="en-US"/>
        </w:rPr>
        <w:t>kullanılabilir:</w:t>
      </w:r>
    </w:p>
    <w:p w14:paraId="6639F46B" w14:textId="043D4843" w:rsidR="001C4F8B" w:rsidRPr="00D53A2B" w:rsidRDefault="001C4F8B" w:rsidP="00602365">
      <w:pPr>
        <w:pStyle w:val="ListeParagraf"/>
        <w:numPr>
          <w:ilvl w:val="0"/>
          <w:numId w:val="222"/>
        </w:numPr>
        <w:tabs>
          <w:tab w:val="clear" w:pos="567"/>
        </w:tabs>
        <w:spacing w:line="240" w:lineRule="auto"/>
        <w:ind w:left="426" w:hanging="426"/>
        <w:rPr>
          <w:rFonts w:eastAsia="Calibri"/>
          <w:sz w:val="24"/>
          <w:szCs w:val="24"/>
        </w:rPr>
      </w:pPr>
      <w:r w:rsidRPr="00D53A2B">
        <w:rPr>
          <w:rFonts w:eastAsia="Calibri"/>
          <w:sz w:val="24"/>
          <w:szCs w:val="24"/>
        </w:rPr>
        <w:t>Üç değerlikli krom ile kaplama yoluyla. Arttırılmış korozyon direncinin gerektiği durumlarda, bu, altında artırılmış nikel tabakası bulunan üç değerlikli krom çözeltisi ve/veya organik pasifleştirme ile elde edilebilir (Cr(III) klorür bazlı çözeltiler için, Bölüm 4.9.8.3</w:t>
      </w:r>
      <w:r w:rsidR="00E56504" w:rsidRPr="00D53A2B">
        <w:rPr>
          <w:rFonts w:eastAsia="Calibri"/>
          <w:sz w:val="24"/>
          <w:szCs w:val="24"/>
        </w:rPr>
        <w:t>’</w:t>
      </w:r>
      <w:r w:rsidRPr="00D53A2B">
        <w:rPr>
          <w:rFonts w:eastAsia="Calibri"/>
          <w:sz w:val="24"/>
          <w:szCs w:val="24"/>
        </w:rPr>
        <w:t>e ve Cr(III) sülfat bazlı çözeltiler için, 4.9.8.4</w:t>
      </w:r>
      <w:r w:rsidR="00E56504" w:rsidRPr="00D53A2B">
        <w:rPr>
          <w:rFonts w:eastAsia="Calibri"/>
          <w:sz w:val="24"/>
          <w:szCs w:val="24"/>
        </w:rPr>
        <w:t>’</w:t>
      </w:r>
      <w:r w:rsidRPr="00D53A2B">
        <w:rPr>
          <w:rFonts w:eastAsia="Calibri"/>
          <w:sz w:val="24"/>
          <w:szCs w:val="24"/>
        </w:rPr>
        <w:t>e bakın).</w:t>
      </w:r>
    </w:p>
    <w:p w14:paraId="598B869F" w14:textId="60D145F0" w:rsidR="001C4F8B" w:rsidRPr="00D53A2B" w:rsidRDefault="001C4F8B" w:rsidP="00A202FD">
      <w:pPr>
        <w:jc w:val="both"/>
        <w:rPr>
          <w:rFonts w:eastAsia="Calibri"/>
          <w:lang w:eastAsia="en-US"/>
        </w:rPr>
      </w:pPr>
      <w:r w:rsidRPr="00D53A2B">
        <w:rPr>
          <w:rFonts w:eastAsia="Calibri"/>
          <w:lang w:eastAsia="en-US"/>
        </w:rPr>
        <w:t>Veya:</w:t>
      </w:r>
    </w:p>
    <w:p w14:paraId="322B5709" w14:textId="446FBBE9" w:rsidR="001C4F8B" w:rsidRPr="00D53A2B" w:rsidRDefault="00824834" w:rsidP="00602365">
      <w:pPr>
        <w:pStyle w:val="ListeParagraf"/>
        <w:numPr>
          <w:ilvl w:val="0"/>
          <w:numId w:val="222"/>
        </w:numPr>
        <w:tabs>
          <w:tab w:val="clear" w:pos="567"/>
        </w:tabs>
        <w:spacing w:line="240" w:lineRule="auto"/>
        <w:ind w:left="426" w:hanging="426"/>
        <w:rPr>
          <w:rFonts w:eastAsia="Calibri"/>
          <w:sz w:val="24"/>
          <w:szCs w:val="24"/>
        </w:rPr>
      </w:pPr>
      <w:r w:rsidRPr="00D53A2B">
        <w:rPr>
          <w:rFonts w:eastAsia="Calibri"/>
          <w:sz w:val="24"/>
          <w:szCs w:val="24"/>
        </w:rPr>
        <w:t>Şartnamelerin izin verdiği durumlarda, kalay-kobalt alaşımı gibi krom içermeyen bir teknikle (bkz. Bölüm 4.9.9).</w:t>
      </w:r>
    </w:p>
    <w:p w14:paraId="0231E574" w14:textId="77777777" w:rsidR="006D1CD7" w:rsidRPr="00D53A2B" w:rsidRDefault="006D1CD7" w:rsidP="00A202FD">
      <w:pPr>
        <w:jc w:val="both"/>
        <w:rPr>
          <w:rFonts w:eastAsia="Calibri"/>
          <w:lang w:eastAsia="en-US"/>
        </w:rPr>
      </w:pPr>
    </w:p>
    <w:p w14:paraId="55A40A57" w14:textId="1D8419C2" w:rsidR="00824834" w:rsidRPr="00D53A2B" w:rsidRDefault="00824834" w:rsidP="00A202FD">
      <w:pPr>
        <w:jc w:val="both"/>
        <w:rPr>
          <w:rFonts w:eastAsia="Calibri"/>
          <w:lang w:eastAsia="en-US"/>
        </w:rPr>
      </w:pPr>
      <w:r w:rsidRPr="00D53A2B">
        <w:rPr>
          <w:rFonts w:eastAsia="Calibri"/>
          <w:lang w:eastAsia="en-US"/>
        </w:rPr>
        <w:t>Ancak, müşteri spesifikasyonlarının bunu gerektirmesi gibi, altı değerlikli kromun dekoratif yüzeyler için kullanıldığı kurulum düzeyinde nedenler olabilir:</w:t>
      </w:r>
    </w:p>
    <w:p w14:paraId="1D47CCB1" w14:textId="77777777" w:rsidR="00824834" w:rsidRPr="00D53A2B" w:rsidRDefault="00824834" w:rsidP="00602365">
      <w:pPr>
        <w:pStyle w:val="ListeParagraf"/>
        <w:numPr>
          <w:ilvl w:val="0"/>
          <w:numId w:val="222"/>
        </w:numPr>
        <w:tabs>
          <w:tab w:val="clear" w:pos="567"/>
        </w:tabs>
        <w:spacing w:line="240" w:lineRule="auto"/>
        <w:ind w:left="426" w:hanging="426"/>
        <w:rPr>
          <w:rFonts w:eastAsia="Calibri"/>
          <w:sz w:val="24"/>
          <w:szCs w:val="24"/>
        </w:rPr>
      </w:pPr>
      <w:r w:rsidRPr="00D53A2B">
        <w:rPr>
          <w:rFonts w:eastAsia="Calibri"/>
          <w:sz w:val="24"/>
          <w:szCs w:val="24"/>
        </w:rPr>
        <w:t>Renk</w:t>
      </w:r>
    </w:p>
    <w:p w14:paraId="66845E3E" w14:textId="77777777" w:rsidR="00824834" w:rsidRPr="00D53A2B" w:rsidRDefault="00824834" w:rsidP="00602365">
      <w:pPr>
        <w:pStyle w:val="ListeParagraf"/>
        <w:numPr>
          <w:ilvl w:val="0"/>
          <w:numId w:val="222"/>
        </w:numPr>
        <w:tabs>
          <w:tab w:val="clear" w:pos="567"/>
        </w:tabs>
        <w:spacing w:line="240" w:lineRule="auto"/>
        <w:ind w:left="426" w:hanging="426"/>
        <w:rPr>
          <w:rFonts w:eastAsia="Calibri"/>
          <w:sz w:val="24"/>
          <w:szCs w:val="24"/>
        </w:rPr>
      </w:pPr>
      <w:r w:rsidRPr="00D53A2B">
        <w:rPr>
          <w:rFonts w:eastAsia="Calibri"/>
          <w:sz w:val="24"/>
          <w:szCs w:val="24"/>
        </w:rPr>
        <w:t>Yüksek korozyon direnci</w:t>
      </w:r>
    </w:p>
    <w:p w14:paraId="7F205659" w14:textId="77777777" w:rsidR="00824834" w:rsidRPr="00D53A2B" w:rsidRDefault="00824834" w:rsidP="00602365">
      <w:pPr>
        <w:pStyle w:val="ListeParagraf"/>
        <w:numPr>
          <w:ilvl w:val="0"/>
          <w:numId w:val="222"/>
        </w:numPr>
        <w:tabs>
          <w:tab w:val="clear" w:pos="567"/>
        </w:tabs>
        <w:spacing w:line="240" w:lineRule="auto"/>
        <w:ind w:left="426" w:hanging="426"/>
        <w:rPr>
          <w:rFonts w:eastAsia="Calibri"/>
          <w:sz w:val="24"/>
          <w:szCs w:val="24"/>
        </w:rPr>
      </w:pPr>
      <w:r w:rsidRPr="00D53A2B">
        <w:rPr>
          <w:rFonts w:eastAsia="Calibri"/>
          <w:sz w:val="24"/>
          <w:szCs w:val="24"/>
        </w:rPr>
        <w:t>Sertlik veya aşınma direnci.</w:t>
      </w:r>
    </w:p>
    <w:p w14:paraId="1A1A7B73" w14:textId="77777777" w:rsidR="00824834" w:rsidRPr="00D53A2B" w:rsidRDefault="00824834" w:rsidP="00A202FD">
      <w:pPr>
        <w:jc w:val="both"/>
        <w:rPr>
          <w:rFonts w:eastAsia="Calibri"/>
          <w:lang w:eastAsia="en-US"/>
        </w:rPr>
      </w:pPr>
    </w:p>
    <w:p w14:paraId="3B87C18E" w14:textId="00E1D0BE" w:rsidR="00824834" w:rsidRPr="00D53A2B" w:rsidRDefault="00824834" w:rsidP="00A202FD">
      <w:pPr>
        <w:jc w:val="both"/>
        <w:rPr>
          <w:rFonts w:eastAsia="Calibri"/>
          <w:lang w:eastAsia="en-US"/>
        </w:rPr>
      </w:pPr>
      <w:r w:rsidRPr="00D53A2B">
        <w:rPr>
          <w:rFonts w:eastAsia="Calibri"/>
          <w:lang w:eastAsia="en-US"/>
        </w:rPr>
        <w:t xml:space="preserve">Büyük ölçekli çelik bobin kaplama için üç değerlikli krom kullanmak </w:t>
      </w:r>
      <w:r w:rsidR="00651500" w:rsidRPr="00D53A2B">
        <w:rPr>
          <w:rFonts w:eastAsia="Calibri"/>
          <w:lang w:eastAsia="en-US"/>
        </w:rPr>
        <w:t>MET</w:t>
      </w:r>
      <w:r w:rsidRPr="00D53A2B">
        <w:rPr>
          <w:rFonts w:eastAsia="Calibri"/>
          <w:lang w:eastAsia="en-US"/>
        </w:rPr>
        <w:t>değildir çünkü teknik olarak kanıtlanmamıştır. Elektrolit bileşiminin kaplama verimliliğini hat hızı için yeterli olanın altına düşürmesi muhtemeldir.</w:t>
      </w:r>
    </w:p>
    <w:p w14:paraId="7D996BF9" w14:textId="77777777" w:rsidR="00824834" w:rsidRPr="00D53A2B" w:rsidRDefault="00824834" w:rsidP="00A202FD">
      <w:pPr>
        <w:jc w:val="both"/>
        <w:rPr>
          <w:rFonts w:eastAsia="Calibri"/>
          <w:lang w:eastAsia="en-US"/>
        </w:rPr>
      </w:pPr>
    </w:p>
    <w:p w14:paraId="2A42BDD5" w14:textId="32AD79C3" w:rsidR="00824834" w:rsidRPr="00D53A2B" w:rsidRDefault="00824834" w:rsidP="00A202FD">
      <w:pPr>
        <w:jc w:val="both"/>
        <w:rPr>
          <w:rFonts w:eastAsia="Calibri"/>
          <w:lang w:eastAsia="en-US"/>
        </w:rPr>
      </w:pPr>
      <w:r w:rsidRPr="00D53A2B">
        <w:rPr>
          <w:rFonts w:eastAsia="Calibri"/>
          <w:lang w:eastAsia="en-US"/>
        </w:rPr>
        <w:t>Altı değerlikli krom gibi kaplama sistemleri önemli bir yatırımdır ve anotlar gibi özel ekipmanların yanı sıra çözümleri de içerir. Çözüm, farklı müşteri partileri için basitçe değiştirilemez. Ancak, altı değerlikli krom miktarını en aza indirmek için soğuk krom tekniği kullanmak mümkündür (bkz. Bölüm 4.9.8.2) ve aynı kurulumda birden fazla dekoratif altı değerlikli krom işlem hattı varsa, altı değerlikli özellikler için bir veya daha fazla hat ve üç değerlikli krom için bir veya daha fazla hat çalıştırma seçeneği mevcuttur.</w:t>
      </w:r>
    </w:p>
    <w:p w14:paraId="15EDE9E0" w14:textId="77777777" w:rsidR="00824834" w:rsidRPr="00D53A2B" w:rsidRDefault="00824834" w:rsidP="00A202FD">
      <w:pPr>
        <w:jc w:val="both"/>
        <w:rPr>
          <w:rFonts w:eastAsia="Calibri"/>
          <w:lang w:eastAsia="en-US"/>
        </w:rPr>
      </w:pPr>
    </w:p>
    <w:p w14:paraId="0F748462" w14:textId="1DACEA53" w:rsidR="00824834" w:rsidRPr="00D53A2B" w:rsidRDefault="00824834" w:rsidP="00A202FD">
      <w:pPr>
        <w:jc w:val="both"/>
        <w:rPr>
          <w:rFonts w:eastAsia="Calibri"/>
          <w:lang w:eastAsia="en-US"/>
        </w:rPr>
      </w:pPr>
      <w:r w:rsidRPr="00D53A2B">
        <w:rPr>
          <w:rFonts w:eastAsia="Calibri"/>
          <w:lang w:eastAsia="en-US"/>
        </w:rPr>
        <w:t xml:space="preserve">Üç değerlikli veya diğer çözeltilere geçilirken, </w:t>
      </w:r>
      <w:r w:rsidR="00651500" w:rsidRPr="00D53A2B">
        <w:rPr>
          <w:rFonts w:eastAsia="Calibri"/>
          <w:lang w:eastAsia="en-US"/>
        </w:rPr>
        <w:t>atıksu</w:t>
      </w:r>
      <w:r w:rsidRPr="00D53A2B">
        <w:rPr>
          <w:rFonts w:eastAsia="Calibri"/>
          <w:lang w:eastAsia="en-US"/>
        </w:rPr>
        <w:t xml:space="preserve">arıtımına müdahale eden kompleks oluşturucu maddelerin kontrol edilmesi </w:t>
      </w:r>
      <w:r w:rsidR="0031317B" w:rsidRPr="00D53A2B">
        <w:rPr>
          <w:rFonts w:eastAsia="Calibri"/>
          <w:lang w:eastAsia="en-US"/>
        </w:rPr>
        <w:t>MET’tir</w:t>
      </w:r>
      <w:r w:rsidRPr="00D53A2B">
        <w:rPr>
          <w:rFonts w:eastAsia="Calibri"/>
          <w:lang w:eastAsia="en-US"/>
        </w:rPr>
        <w:t>, bkz. Bölüm 5.1.8.2.</w:t>
      </w:r>
    </w:p>
    <w:p w14:paraId="2B7E8B17" w14:textId="77777777" w:rsidR="00824834" w:rsidRPr="00D53A2B" w:rsidRDefault="00824834" w:rsidP="00A202FD">
      <w:pPr>
        <w:jc w:val="both"/>
        <w:rPr>
          <w:rFonts w:eastAsia="Calibri"/>
          <w:lang w:eastAsia="en-US"/>
        </w:rPr>
      </w:pPr>
    </w:p>
    <w:p w14:paraId="218D227F" w14:textId="0AA0A4FB" w:rsidR="00824834" w:rsidRPr="00D53A2B" w:rsidRDefault="00824834" w:rsidP="00A202FD">
      <w:pPr>
        <w:pStyle w:val="Balk5"/>
        <w:ind w:left="1134" w:hanging="1134"/>
        <w:rPr>
          <w:rFonts w:eastAsia="Calibri"/>
          <w:szCs w:val="24"/>
        </w:rPr>
      </w:pPr>
      <w:r w:rsidRPr="00D53A2B">
        <w:rPr>
          <w:rFonts w:eastAsia="Calibri"/>
          <w:szCs w:val="24"/>
        </w:rPr>
        <w:t>5.2.5.7.2 Altı değerlikli krom kaplama</w:t>
      </w:r>
    </w:p>
    <w:p w14:paraId="1528A4C2" w14:textId="77777777" w:rsidR="00824834" w:rsidRPr="00D53A2B" w:rsidRDefault="00824834" w:rsidP="00A202FD">
      <w:pPr>
        <w:jc w:val="both"/>
        <w:rPr>
          <w:rFonts w:eastAsia="Calibri"/>
          <w:lang w:eastAsia="en-US"/>
        </w:rPr>
      </w:pPr>
    </w:p>
    <w:p w14:paraId="29F71084" w14:textId="2B5FC52C" w:rsidR="00824834" w:rsidRPr="00D53A2B" w:rsidRDefault="00E80A9A" w:rsidP="00A202FD">
      <w:pPr>
        <w:jc w:val="both"/>
        <w:rPr>
          <w:rFonts w:eastAsia="Calibri"/>
          <w:lang w:eastAsia="en-US"/>
        </w:rPr>
      </w:pPr>
      <w:r w:rsidRPr="00D53A2B">
        <w:rPr>
          <w:rFonts w:eastAsia="Calibri"/>
          <w:lang w:eastAsia="en-US"/>
        </w:rPr>
        <w:t xml:space="preserve">Altı değerlikli krom kaplama kullanıldığında, </w:t>
      </w:r>
      <w:r w:rsidR="00651500" w:rsidRPr="00D53A2B">
        <w:rPr>
          <w:rFonts w:eastAsia="Calibri"/>
          <w:lang w:eastAsia="en-US"/>
        </w:rPr>
        <w:t>MET</w:t>
      </w:r>
      <w:r w:rsidR="002505AB" w:rsidRPr="00D53A2B">
        <w:rPr>
          <w:rFonts w:eastAsia="Calibri"/>
          <w:lang w:eastAsia="en-US"/>
        </w:rPr>
        <w:t xml:space="preserve"> </w:t>
      </w:r>
      <w:r w:rsidRPr="00D53A2B">
        <w:rPr>
          <w:rFonts w:eastAsia="Calibri"/>
          <w:lang w:eastAsia="en-US"/>
        </w:rPr>
        <w:t>şunları sağlar:</w:t>
      </w:r>
    </w:p>
    <w:p w14:paraId="16589A33" w14:textId="1C557FDC" w:rsidR="00824834" w:rsidRPr="00D53A2B" w:rsidRDefault="00E80A9A" w:rsidP="00602365">
      <w:pPr>
        <w:pStyle w:val="ListeParagraf"/>
        <w:numPr>
          <w:ilvl w:val="0"/>
          <w:numId w:val="223"/>
        </w:numPr>
        <w:tabs>
          <w:tab w:val="clear" w:pos="567"/>
        </w:tabs>
        <w:spacing w:line="240" w:lineRule="auto"/>
        <w:ind w:left="426" w:hanging="426"/>
        <w:rPr>
          <w:rFonts w:eastAsia="Calibri"/>
          <w:sz w:val="24"/>
          <w:szCs w:val="24"/>
        </w:rPr>
      </w:pPr>
      <w:r w:rsidRPr="00D53A2B">
        <w:rPr>
          <w:rFonts w:eastAsia="Calibri"/>
          <w:sz w:val="24"/>
          <w:szCs w:val="24"/>
        </w:rPr>
        <w:t>Hava emisyonlarını aşağıdakilerden birini veya birkaçını kullanarak azaltın (bkz. Bölüm 4.18):</w:t>
      </w:r>
    </w:p>
    <w:p w14:paraId="6C88601B" w14:textId="407E08BB" w:rsidR="00E80A9A" w:rsidRPr="00BF4451" w:rsidRDefault="00E80A9A" w:rsidP="009077F5">
      <w:pPr>
        <w:rPr>
          <w:rFonts w:eastAsia="Calibri"/>
        </w:rPr>
      </w:pPr>
      <w:r w:rsidRPr="00BF4451">
        <w:rPr>
          <w:rFonts w:eastAsia="Calibri"/>
        </w:rPr>
        <w:t>Kaplama sırasında kaplama solüsyonunun, özellikle kaplama süreleri uzun olduğunda veya çalışma dışı dönemlerde, mekanik veya manuel olarak örtülmesi.</w:t>
      </w:r>
    </w:p>
    <w:p w14:paraId="31F99D18" w14:textId="00CEB968" w:rsidR="00E80A9A" w:rsidRPr="00CB4CD4" w:rsidRDefault="00E80A9A" w:rsidP="009077F5">
      <w:pPr>
        <w:rPr>
          <w:rFonts w:eastAsia="Calibri"/>
        </w:rPr>
      </w:pPr>
      <w:r w:rsidRPr="00BF4451">
        <w:rPr>
          <w:rFonts w:eastAsia="Calibri"/>
        </w:rPr>
        <w:t>Kapalı devre malzeme geri kazanım sistemi için buharlaştırıcıdaki sislerin yoğunlaşmasıyla hava ekstraksiyonunu kullanın. Kaplama işlemine müdahale eden maddelerin yeniden kullanımdan önce veya banyo bakımı sırasında kondensatlardan çıkarılması gerekebilir (bkz. Bölüm 4.7.11.6).</w:t>
      </w:r>
    </w:p>
    <w:p w14:paraId="6CBBD6CE" w14:textId="19AF1331" w:rsidR="00E80A9A" w:rsidRPr="00624FF6" w:rsidRDefault="00E80A9A" w:rsidP="009077F5">
      <w:pPr>
        <w:rPr>
          <w:rFonts w:eastAsia="Calibri"/>
        </w:rPr>
      </w:pPr>
      <w:r w:rsidRPr="00A26EE8">
        <w:rPr>
          <w:rFonts w:eastAsia="Calibri"/>
        </w:rPr>
        <w:t>Yeni hatlar için veya proses hattını yeniden inşa ederken ve iş parçalarının yeterli boyut homojenliğine sahip olduğu durumlarda, kaplama hattını veya kaplama tankını kapatın (bkz. Bölüm 4.2).</w:t>
      </w:r>
    </w:p>
    <w:p w14:paraId="06166198" w14:textId="3CC8797B" w:rsidR="00E80A9A" w:rsidRPr="00D53A2B" w:rsidRDefault="00E80A9A" w:rsidP="00602365">
      <w:pPr>
        <w:pStyle w:val="ListeParagraf"/>
        <w:numPr>
          <w:ilvl w:val="0"/>
          <w:numId w:val="223"/>
        </w:numPr>
        <w:tabs>
          <w:tab w:val="clear" w:pos="567"/>
        </w:tabs>
        <w:spacing w:line="240" w:lineRule="auto"/>
        <w:ind w:left="426" w:hanging="426"/>
        <w:rPr>
          <w:rFonts w:eastAsia="Calibri"/>
          <w:sz w:val="24"/>
          <w:szCs w:val="24"/>
        </w:rPr>
      </w:pPr>
      <w:r w:rsidRPr="00D53A2B">
        <w:rPr>
          <w:rFonts w:eastAsia="Calibri"/>
          <w:sz w:val="24"/>
          <w:szCs w:val="24"/>
        </w:rPr>
        <w:t>Altı değerlikli krom çözeltilerini kapalı devre temelinde çalıştırın (yukarıdaki Bölüm 4.7.11.6 ve Bölüm 5.1.6.3</w:t>
      </w:r>
      <w:r w:rsidR="00E56504" w:rsidRPr="00D53A2B">
        <w:rPr>
          <w:rFonts w:eastAsia="Calibri"/>
          <w:sz w:val="24"/>
          <w:szCs w:val="24"/>
        </w:rPr>
        <w:t>’</w:t>
      </w:r>
      <w:r w:rsidRPr="00D53A2B">
        <w:rPr>
          <w:rFonts w:eastAsia="Calibri"/>
          <w:sz w:val="24"/>
          <w:szCs w:val="24"/>
        </w:rPr>
        <w:t>e bakın). Bu, işlem çözeltisinde PFOS ve Cr(VI)</w:t>
      </w:r>
      <w:r w:rsidR="00E56504" w:rsidRPr="00D53A2B">
        <w:rPr>
          <w:rFonts w:eastAsia="Calibri"/>
          <w:sz w:val="24"/>
          <w:szCs w:val="24"/>
        </w:rPr>
        <w:t>’</w:t>
      </w:r>
      <w:r w:rsidRPr="00D53A2B">
        <w:rPr>
          <w:rFonts w:eastAsia="Calibri"/>
          <w:sz w:val="24"/>
          <w:szCs w:val="24"/>
        </w:rPr>
        <w:t>yı korur.</w:t>
      </w:r>
    </w:p>
    <w:p w14:paraId="524DD3D4" w14:textId="77777777" w:rsidR="00824834" w:rsidRPr="00D53A2B" w:rsidRDefault="00824834" w:rsidP="00A202FD">
      <w:pPr>
        <w:jc w:val="both"/>
        <w:rPr>
          <w:rFonts w:eastAsia="Calibri"/>
          <w:lang w:eastAsia="en-US"/>
        </w:rPr>
      </w:pPr>
    </w:p>
    <w:p w14:paraId="19C17F5B" w14:textId="5A6D8454" w:rsidR="00824834" w:rsidRPr="00D53A2B" w:rsidRDefault="00E80A9A" w:rsidP="00A202FD">
      <w:pPr>
        <w:pStyle w:val="Balk5"/>
        <w:ind w:left="1134"/>
        <w:rPr>
          <w:rFonts w:eastAsia="Calibri"/>
          <w:szCs w:val="24"/>
        </w:rPr>
      </w:pPr>
      <w:r w:rsidRPr="00D53A2B">
        <w:rPr>
          <w:rFonts w:eastAsia="Calibri"/>
          <w:szCs w:val="24"/>
        </w:rPr>
        <w:t>5.2.5.7.3. Krom dönüşüm (pasifleştirme) kaplamaları</w:t>
      </w:r>
    </w:p>
    <w:p w14:paraId="5C19C42D" w14:textId="77777777" w:rsidR="00E80A9A" w:rsidRPr="00D53A2B" w:rsidRDefault="00E80A9A" w:rsidP="00A202FD">
      <w:pPr>
        <w:jc w:val="both"/>
      </w:pPr>
      <w:bookmarkStart w:id="287" w:name="_Toc24226852"/>
      <w:bookmarkStart w:id="288" w:name="_Toc24276842"/>
      <w:bookmarkStart w:id="289" w:name="_Toc24277109"/>
      <w:bookmarkStart w:id="290" w:name="_Toc24310644"/>
      <w:bookmarkEnd w:id="287"/>
      <w:bookmarkEnd w:id="288"/>
      <w:bookmarkEnd w:id="289"/>
      <w:bookmarkEnd w:id="290"/>
    </w:p>
    <w:p w14:paraId="69505950" w14:textId="1C404B79" w:rsidR="00E80A9A" w:rsidRPr="00D53A2B" w:rsidRDefault="00E80A9A" w:rsidP="00A202FD">
      <w:pPr>
        <w:jc w:val="both"/>
      </w:pPr>
      <w:r w:rsidRPr="00D53A2B">
        <w:t>Cr(VI) pasivasyonlarının kullanımındaki azalmalar Ömrünü Tamamlamış Araçlar ve RoHS direktifleri [98, EC, 2003, 99, EC, 2000] tarafından yönlendirilmektedir. Ancak, bu BREF</w:t>
      </w:r>
      <w:r w:rsidR="00E56504" w:rsidRPr="00D53A2B">
        <w:t>’</w:t>
      </w:r>
      <w:r w:rsidRPr="00D53A2B">
        <w:t xml:space="preserve">in (2004) hazırlanması sırasında, TWG mevcut alternatiflerin yeni olduğunu ve hiçbir </w:t>
      </w:r>
      <w:r w:rsidR="00651500" w:rsidRPr="00D53A2B">
        <w:t>MET</w:t>
      </w:r>
      <w:r w:rsidRPr="00D53A2B">
        <w:t>sonucuna varılamayacağını bildirmektedir. Üç değerlikli pasivasyonlar kullanılabilir, ancak on kata kadar krom konsantrasyonuna sahip olmaları ve daha yüksek enerji girişi gerektirmeleri gerekir. Ek kaplamalar kullanılmadan Cr(VI) sistemleriyle elde edilen kahverengi, zeytin yeşili veya siyah pasivasyonların daha yüksek korozyon direncine ulaşamazlar. Krom olmayan sistemler hakkında yeterli veri sağlanmamıştır ve bunlar çevre için tehlikeli maddeler içerebilir.</w:t>
      </w:r>
    </w:p>
    <w:p w14:paraId="110831F0" w14:textId="77777777" w:rsidR="00E80A9A" w:rsidRPr="00D53A2B" w:rsidRDefault="00E80A9A" w:rsidP="00A202FD">
      <w:pPr>
        <w:jc w:val="both"/>
      </w:pPr>
    </w:p>
    <w:p w14:paraId="33297E36" w14:textId="4B73B1EC" w:rsidR="00E80A9A" w:rsidRPr="00D53A2B" w:rsidRDefault="00E80A9A" w:rsidP="00A202FD">
      <w:pPr>
        <w:pStyle w:val="Balk5"/>
        <w:ind w:left="1134"/>
        <w:rPr>
          <w:szCs w:val="24"/>
        </w:rPr>
      </w:pPr>
      <w:r w:rsidRPr="00D53A2B">
        <w:rPr>
          <w:szCs w:val="24"/>
        </w:rPr>
        <w:t>5.2.5.7.4 Fosfo-kromat kaplamalar</w:t>
      </w:r>
    </w:p>
    <w:p w14:paraId="5AAFE7FC" w14:textId="77777777" w:rsidR="00E80A9A" w:rsidRPr="00D53A2B" w:rsidRDefault="00E80A9A" w:rsidP="00A202FD">
      <w:pPr>
        <w:jc w:val="both"/>
      </w:pPr>
    </w:p>
    <w:p w14:paraId="6993D9B9" w14:textId="3A298139" w:rsidR="00E80A9A" w:rsidRPr="00D53A2B" w:rsidRDefault="00E80A9A" w:rsidP="00A202FD">
      <w:pPr>
        <w:jc w:val="both"/>
      </w:pPr>
      <w:r w:rsidRPr="00D53A2B">
        <w:t xml:space="preserve">Altı değerlikli kromun altı değerlikli olmayan krom sistemleriyle değiştirilmesi </w:t>
      </w:r>
      <w:r w:rsidR="0031317B" w:rsidRPr="00D53A2B">
        <w:t>MET’tir</w:t>
      </w:r>
      <w:r w:rsidRPr="00D53A2B">
        <w:t>, bkz. Bölüm 4.9.12.</w:t>
      </w:r>
    </w:p>
    <w:p w14:paraId="7404CDB7" w14:textId="77777777" w:rsidR="00E80A9A" w:rsidRPr="00D53A2B" w:rsidRDefault="00E80A9A" w:rsidP="00A202FD">
      <w:pPr>
        <w:jc w:val="both"/>
      </w:pPr>
    </w:p>
    <w:p w14:paraId="0C85D4EC" w14:textId="1CE9B5B3" w:rsidR="00E80A9A" w:rsidRPr="00D53A2B" w:rsidRDefault="00E80A9A" w:rsidP="00A202FD">
      <w:pPr>
        <w:pStyle w:val="Balk3"/>
        <w:rPr>
          <w:rFonts w:cs="Times New Roman"/>
        </w:rPr>
      </w:pPr>
      <w:r w:rsidRPr="00D53A2B">
        <w:rPr>
          <w:rFonts w:cs="Times New Roman"/>
        </w:rPr>
        <w:t>5.2.6 Parlatma ve cilalama yerine geçenler</w:t>
      </w:r>
    </w:p>
    <w:p w14:paraId="05647DC4" w14:textId="77777777" w:rsidR="00E80A9A" w:rsidRPr="00D53A2B" w:rsidRDefault="00E80A9A" w:rsidP="00A202FD">
      <w:pPr>
        <w:jc w:val="both"/>
      </w:pPr>
    </w:p>
    <w:p w14:paraId="6D1F2ABF" w14:textId="28FD72CA" w:rsidR="00E80A9A" w:rsidRPr="00D53A2B" w:rsidRDefault="00E80A9A" w:rsidP="00A202FD">
      <w:pPr>
        <w:pStyle w:val="MET"/>
        <w:rPr>
          <w:szCs w:val="24"/>
        </w:rPr>
      </w:pPr>
      <w:r w:rsidRPr="00D53A2B">
        <w:rPr>
          <w:szCs w:val="24"/>
        </w:rPr>
        <w:t xml:space="preserve">MET 22: </w:t>
      </w:r>
      <w:r w:rsidRPr="00D53A2B">
        <w:rPr>
          <w:b w:val="0"/>
          <w:bCs/>
          <w:szCs w:val="24"/>
        </w:rPr>
        <w:t xml:space="preserve">Mekanik parlatma ve cilalamanın yerine asitli bakır kullanmak </w:t>
      </w:r>
      <w:r w:rsidR="0031317B" w:rsidRPr="00D53A2B">
        <w:rPr>
          <w:b w:val="0"/>
          <w:bCs/>
          <w:szCs w:val="24"/>
        </w:rPr>
        <w:t>MET’tir</w:t>
      </w:r>
      <w:r w:rsidRPr="00D53A2B">
        <w:rPr>
          <w:b w:val="0"/>
          <w:bCs/>
          <w:szCs w:val="24"/>
        </w:rPr>
        <w:t>. Ancak, bu her zaman teknik olarak mümkün değildir. Artan maliyet, toz ve gürültü azaltma tekniklerine duyulan ihtiyaçla telafi edilebilir, bkz. Bölüm 4.9.13.</w:t>
      </w:r>
    </w:p>
    <w:p w14:paraId="2DCCA5A9" w14:textId="77777777" w:rsidR="00E80A9A" w:rsidRPr="00D53A2B" w:rsidRDefault="00E80A9A" w:rsidP="00A202FD">
      <w:pPr>
        <w:jc w:val="both"/>
      </w:pPr>
    </w:p>
    <w:p w14:paraId="2DCE812A" w14:textId="6E69B146" w:rsidR="0036672C" w:rsidRPr="00D53A2B" w:rsidRDefault="00E80A9A" w:rsidP="00A202FD">
      <w:pPr>
        <w:pStyle w:val="Balk3"/>
        <w:rPr>
          <w:rFonts w:cs="Times New Roman"/>
        </w:rPr>
      </w:pPr>
      <w:r w:rsidRPr="00D53A2B">
        <w:rPr>
          <w:rFonts w:cs="Times New Roman"/>
        </w:rPr>
        <w:t>5.2.7 Yağ giderme için ikame ve seçenekler</w:t>
      </w:r>
    </w:p>
    <w:p w14:paraId="18BB0B9C" w14:textId="363AF2A7" w:rsidR="00E80A9A" w:rsidRPr="00D53A2B" w:rsidRDefault="0036672C" w:rsidP="00A202FD">
      <w:pPr>
        <w:pStyle w:val="MET"/>
        <w:rPr>
          <w:szCs w:val="24"/>
        </w:rPr>
      </w:pPr>
      <w:r w:rsidRPr="00D53A2B">
        <w:rPr>
          <w:szCs w:val="24"/>
        </w:rPr>
        <w:t xml:space="preserve">Met 23: </w:t>
      </w:r>
      <w:r w:rsidRPr="00D53A2B">
        <w:rPr>
          <w:b w:val="0"/>
          <w:bCs/>
          <w:szCs w:val="24"/>
        </w:rPr>
        <w:t xml:space="preserve">Yüzey işleme operatörleri, özellikle sözleşmeli veya toptancı dükkanlar, müşterileri tarafından iş parçalarının veya alt tabakaların yüzeyindeki yağ veya gres türü hakkında her zaman iyi bilgilendirilmez. Önceki işlemin müşterisi veya operatörüyle (bkz. Bölüm 4.3.2) bağlantı kurmak </w:t>
      </w:r>
      <w:r w:rsidR="0031317B" w:rsidRPr="00D53A2B">
        <w:rPr>
          <w:b w:val="0"/>
          <w:bCs/>
          <w:szCs w:val="24"/>
        </w:rPr>
        <w:t>MET’tir</w:t>
      </w:r>
      <w:r w:rsidRPr="00D53A2B">
        <w:rPr>
          <w:b w:val="0"/>
          <w:bCs/>
          <w:szCs w:val="24"/>
        </w:rPr>
        <w:t>:</w:t>
      </w:r>
    </w:p>
    <w:p w14:paraId="1EB493F3" w14:textId="77777777" w:rsidR="0036672C" w:rsidRPr="00D53A2B" w:rsidRDefault="0036672C" w:rsidP="00602365">
      <w:pPr>
        <w:pStyle w:val="ListeParagraf"/>
        <w:numPr>
          <w:ilvl w:val="0"/>
          <w:numId w:val="223"/>
        </w:numPr>
        <w:tabs>
          <w:tab w:val="clear" w:pos="567"/>
        </w:tabs>
        <w:spacing w:line="240" w:lineRule="auto"/>
        <w:ind w:left="425" w:hanging="425"/>
        <w:rPr>
          <w:sz w:val="24"/>
          <w:szCs w:val="24"/>
        </w:rPr>
      </w:pPr>
      <w:r w:rsidRPr="00D53A2B">
        <w:rPr>
          <w:sz w:val="24"/>
          <w:szCs w:val="24"/>
        </w:rPr>
        <w:t xml:space="preserve">Yağ veya gres miktarını en aza indirme </w:t>
      </w:r>
    </w:p>
    <w:p w14:paraId="2D4B772C" w14:textId="55C5C21C" w:rsidR="0036672C" w:rsidRPr="00D53A2B" w:rsidRDefault="0036672C" w:rsidP="00A202FD">
      <w:pPr>
        <w:ind w:left="425" w:hanging="425"/>
        <w:jc w:val="both"/>
      </w:pPr>
      <w:r w:rsidRPr="00D53A2B">
        <w:t>ve/veya</w:t>
      </w:r>
    </w:p>
    <w:p w14:paraId="7439A866" w14:textId="287BF61B" w:rsidR="00E80A9A" w:rsidRPr="00D53A2B" w:rsidRDefault="0036672C" w:rsidP="00602365">
      <w:pPr>
        <w:pStyle w:val="ListeParagraf"/>
        <w:numPr>
          <w:ilvl w:val="0"/>
          <w:numId w:val="223"/>
        </w:numPr>
        <w:tabs>
          <w:tab w:val="clear" w:pos="567"/>
        </w:tabs>
        <w:spacing w:line="240" w:lineRule="auto"/>
        <w:ind w:left="425" w:hanging="425"/>
        <w:rPr>
          <w:sz w:val="24"/>
          <w:szCs w:val="24"/>
        </w:rPr>
      </w:pPr>
      <w:r w:rsidRPr="00D53A2B">
        <w:rPr>
          <w:sz w:val="24"/>
          <w:szCs w:val="24"/>
        </w:rPr>
        <w:t>En çevre dostu yağ giderme sistemlerinin kullanımına izin veren yağları, gresleri veya sistemleri seçin.</w:t>
      </w:r>
    </w:p>
    <w:p w14:paraId="38F42703" w14:textId="3D991476" w:rsidR="00E80A9A" w:rsidRPr="00D53A2B" w:rsidRDefault="003834D3" w:rsidP="00A202FD">
      <w:pPr>
        <w:jc w:val="both"/>
      </w:pPr>
      <w:r w:rsidRPr="00D53A2B">
        <w:t xml:space="preserve">Aşırı yağ bulunan yerlerde, yağı çıkarmak için santrifüj (Bölüm 4.9.14.1) veya hava bıçağı (Bölüm 4.9.15) gibi fiziksel yöntemler kullanmak </w:t>
      </w:r>
      <w:r w:rsidR="0031317B" w:rsidRPr="00D53A2B">
        <w:t>MET’tir</w:t>
      </w:r>
      <w:r w:rsidRPr="00D53A2B">
        <w:t>. Alternatif olarak, büyük, kalite açısından kritik ve/veya yüksek değerli parçalar için elle silme kullanılabilir (bkz. Bölüm 4.9.15).</w:t>
      </w:r>
    </w:p>
    <w:p w14:paraId="7715F64C" w14:textId="77777777" w:rsidR="00E80A9A" w:rsidRPr="00D53A2B" w:rsidRDefault="00E80A9A" w:rsidP="00A202FD">
      <w:pPr>
        <w:jc w:val="both"/>
      </w:pPr>
    </w:p>
    <w:p w14:paraId="51E10262" w14:textId="11AFFAD7" w:rsidR="00E80A9A" w:rsidRPr="00D53A2B" w:rsidRDefault="003834D3" w:rsidP="00A202FD">
      <w:pPr>
        <w:pStyle w:val="Balk4"/>
        <w:rPr>
          <w:rFonts w:cs="Times New Roman"/>
        </w:rPr>
      </w:pPr>
      <w:r w:rsidRPr="00D53A2B">
        <w:rPr>
          <w:rFonts w:cs="Times New Roman"/>
        </w:rPr>
        <w:t>5.2.7.1 Siyanürle yağ giderme</w:t>
      </w:r>
    </w:p>
    <w:p w14:paraId="6F31C7E3" w14:textId="2E59D64F" w:rsidR="00E80A9A" w:rsidRPr="00D53A2B" w:rsidRDefault="003834D3" w:rsidP="00A202FD">
      <w:pPr>
        <w:jc w:val="both"/>
      </w:pPr>
      <w:r w:rsidRPr="00D53A2B">
        <w:t xml:space="preserve">Siyanürlü yağ gidermenin diğer tekniklerle değiştirilmesi </w:t>
      </w:r>
      <w:r w:rsidR="0031317B" w:rsidRPr="00D53A2B">
        <w:t>MAT’tir</w:t>
      </w:r>
      <w:r w:rsidRPr="00D53A2B">
        <w:t>, bkz. Bölüm 5.2.5.3 ve 4.9.5.</w:t>
      </w:r>
    </w:p>
    <w:p w14:paraId="1D8B2E5B" w14:textId="77777777" w:rsidR="003834D3" w:rsidRPr="00D53A2B" w:rsidRDefault="003834D3" w:rsidP="00A202FD">
      <w:pPr>
        <w:jc w:val="both"/>
      </w:pPr>
    </w:p>
    <w:p w14:paraId="225D4DD0" w14:textId="399B72E2" w:rsidR="003834D3" w:rsidRPr="00D53A2B" w:rsidRDefault="003834D3" w:rsidP="00A202FD">
      <w:pPr>
        <w:pStyle w:val="Balk4"/>
        <w:rPr>
          <w:rFonts w:cs="Times New Roman"/>
        </w:rPr>
      </w:pPr>
      <w:r w:rsidRPr="00D53A2B">
        <w:rPr>
          <w:rFonts w:cs="Times New Roman"/>
        </w:rPr>
        <w:t>5.2.7.2 Çözücüyle yağ giderme</w:t>
      </w:r>
    </w:p>
    <w:p w14:paraId="773DE784" w14:textId="5C72BE52" w:rsidR="003834D3" w:rsidRPr="00D53A2B" w:rsidRDefault="003834D3" w:rsidP="00A202FD">
      <w:pPr>
        <w:jc w:val="both"/>
      </w:pPr>
      <w:r w:rsidRPr="00D53A2B">
        <w:t>Bu sektördeki tüm durumlarda çözücü yağ giderme diğer tekniklerle değiştirilebilir (bkz. Bölüm 4.9.14 ve özellikle 4.9.14.2) çünkü sonraki işlemler su bazlıdır ve uyumsuzluk sorunları yoktur. Çözücü bazlı sistemlerin kullanılması için kurulum düzeyinde yerel nedenler olabilir, örneğin:</w:t>
      </w:r>
    </w:p>
    <w:p w14:paraId="0F11FEC1" w14:textId="77777777" w:rsidR="003834D3" w:rsidRPr="00D53A2B" w:rsidRDefault="003834D3" w:rsidP="00602365">
      <w:pPr>
        <w:pStyle w:val="ListeParagraf"/>
        <w:numPr>
          <w:ilvl w:val="0"/>
          <w:numId w:val="225"/>
        </w:numPr>
        <w:tabs>
          <w:tab w:val="clear" w:pos="567"/>
        </w:tabs>
        <w:ind w:left="426" w:hanging="426"/>
        <w:rPr>
          <w:sz w:val="24"/>
          <w:szCs w:val="24"/>
        </w:rPr>
      </w:pPr>
      <w:r w:rsidRPr="00D53A2B">
        <w:rPr>
          <w:sz w:val="24"/>
          <w:szCs w:val="24"/>
        </w:rPr>
        <w:t>su bazlı bir sistem, işlenen yüzeye zarar verebilir</w:t>
      </w:r>
    </w:p>
    <w:p w14:paraId="7FA89916" w14:textId="460CC8D4" w:rsidR="003834D3" w:rsidRPr="00D53A2B" w:rsidRDefault="003834D3" w:rsidP="00602365">
      <w:pPr>
        <w:pStyle w:val="ListeParagraf"/>
        <w:numPr>
          <w:ilvl w:val="0"/>
          <w:numId w:val="225"/>
        </w:numPr>
        <w:tabs>
          <w:tab w:val="clear" w:pos="567"/>
        </w:tabs>
        <w:ind w:left="426" w:hanging="426"/>
        <w:rPr>
          <w:sz w:val="24"/>
          <w:szCs w:val="24"/>
        </w:rPr>
      </w:pPr>
      <w:r w:rsidRPr="00D53A2B">
        <w:rPr>
          <w:sz w:val="24"/>
          <w:szCs w:val="24"/>
        </w:rPr>
        <w:t>bir müşterinin belirli bir kalite gereksinimi vardır</w:t>
      </w:r>
    </w:p>
    <w:p w14:paraId="34BD026F" w14:textId="77777777" w:rsidR="003834D3" w:rsidRPr="00D53A2B" w:rsidRDefault="003834D3" w:rsidP="00A202FD">
      <w:pPr>
        <w:jc w:val="both"/>
      </w:pPr>
    </w:p>
    <w:p w14:paraId="45A776B8" w14:textId="76288E25" w:rsidR="003834D3" w:rsidRPr="00D53A2B" w:rsidRDefault="003834D3" w:rsidP="00A202FD">
      <w:pPr>
        <w:pStyle w:val="Balk4"/>
        <w:rPr>
          <w:rFonts w:cs="Times New Roman"/>
        </w:rPr>
      </w:pPr>
      <w:r w:rsidRPr="00D53A2B">
        <w:rPr>
          <w:rFonts w:cs="Times New Roman"/>
        </w:rPr>
        <w:t>5.2.7.3 Sulu yağ giderme</w:t>
      </w:r>
    </w:p>
    <w:p w14:paraId="53E57F5A" w14:textId="6BD8A2B0" w:rsidR="003834D3" w:rsidRPr="00D53A2B" w:rsidRDefault="0031317B" w:rsidP="00A202FD">
      <w:pPr>
        <w:jc w:val="both"/>
      </w:pPr>
      <w:r w:rsidRPr="00D53A2B">
        <w:t>MET,</w:t>
      </w:r>
      <w:r w:rsidR="003834D3" w:rsidRPr="00D53A2B">
        <w:t xml:space="preserve"> çözelti rejenerasyonu ve/veya sürekli bakım ile çevrim içi veya çevrim dışı uzun ömürlü sistemler kullanarak sulu yağ giderme sistemlerinde kimyasal ve enerji kullanımını azaltmaktır (bkz. Bölümler 4.9.14.4, 4.9.14.5 ve 4.11.13).</w:t>
      </w:r>
    </w:p>
    <w:p w14:paraId="32AE8B06" w14:textId="77777777" w:rsidR="00F40DB1" w:rsidRPr="00D53A2B" w:rsidRDefault="00F40DB1" w:rsidP="00A202FD">
      <w:pPr>
        <w:jc w:val="both"/>
      </w:pPr>
    </w:p>
    <w:p w14:paraId="6B928CA1" w14:textId="5DA1EAF6" w:rsidR="003834D3" w:rsidRPr="00D53A2B" w:rsidRDefault="003834D3" w:rsidP="00A202FD">
      <w:pPr>
        <w:pStyle w:val="Balk4"/>
        <w:rPr>
          <w:rFonts w:cs="Times New Roman"/>
        </w:rPr>
      </w:pPr>
      <w:r w:rsidRPr="00D53A2B">
        <w:rPr>
          <w:rFonts w:cs="Times New Roman"/>
        </w:rPr>
        <w:t>5.2.7.4 Yüksek performanslı yağ giderme</w:t>
      </w:r>
    </w:p>
    <w:p w14:paraId="12D90631" w14:textId="4822476C" w:rsidR="003834D3" w:rsidRPr="00D53A2B" w:rsidRDefault="003834D3" w:rsidP="00A202FD">
      <w:pPr>
        <w:jc w:val="both"/>
      </w:pPr>
      <w:r w:rsidRPr="00D53A2B">
        <w:t xml:space="preserve">Yüksek performanslı temizleme ve yağdan arındırma gereksinimleri için, tekniklerin bir kombinasyonunun kullanılması (bkz. Bölüm 4.9.14.9) veya kuru buz veya ultrasonik temizleme gibi uzman tekniklerin kullanılması (bkz. Bölüm 4.9.14.6 ve 4.9.14.7) </w:t>
      </w:r>
      <w:r w:rsidR="0031317B" w:rsidRPr="00D53A2B">
        <w:t>MET’tir</w:t>
      </w:r>
      <w:r w:rsidRPr="00D53A2B">
        <w:t>.</w:t>
      </w:r>
    </w:p>
    <w:p w14:paraId="582F6144" w14:textId="77777777" w:rsidR="003834D3" w:rsidRPr="00D53A2B" w:rsidRDefault="003834D3" w:rsidP="00A202FD">
      <w:pPr>
        <w:jc w:val="both"/>
      </w:pPr>
    </w:p>
    <w:p w14:paraId="794FFD2D" w14:textId="2F4A98E9" w:rsidR="003834D3" w:rsidRPr="00D53A2B" w:rsidRDefault="003834D3" w:rsidP="00A202FD">
      <w:pPr>
        <w:pStyle w:val="Balk3"/>
        <w:rPr>
          <w:rFonts w:cs="Times New Roman"/>
        </w:rPr>
      </w:pPr>
      <w:r w:rsidRPr="00D53A2B">
        <w:rPr>
          <w:rFonts w:cs="Times New Roman"/>
        </w:rPr>
        <w:t>5.2.8 Yağ çözücü solüsyonların bakımı</w:t>
      </w:r>
    </w:p>
    <w:p w14:paraId="6EF92AE6" w14:textId="2BDCAA61" w:rsidR="003834D3" w:rsidRPr="00D53A2B" w:rsidRDefault="003834D3" w:rsidP="00A202FD">
      <w:pPr>
        <w:jc w:val="both"/>
      </w:pPr>
      <w:r w:rsidRPr="00D53A2B">
        <w:t xml:space="preserve">Malzeme kullanımını ve enerji tüketimini azaltmak için, yağ giderme solüsyonlarının bakımını yapmak ve ömrünü uzatmak için bu tekniklerden birini veya bir kombinasyonunu kullanmak </w:t>
      </w:r>
      <w:r w:rsidR="0031317B" w:rsidRPr="00D53A2B">
        <w:t>MET’tir</w:t>
      </w:r>
      <w:r w:rsidRPr="00D53A2B">
        <w:t>. Uygun teknikler Bölüm 4.11.13</w:t>
      </w:r>
      <w:r w:rsidR="00E56504" w:rsidRPr="00D53A2B">
        <w:t>’</w:t>
      </w:r>
      <w:r w:rsidRPr="00D53A2B">
        <w:t>te verilmiştir.</w:t>
      </w:r>
    </w:p>
    <w:p w14:paraId="7234BF1D" w14:textId="77777777" w:rsidR="003834D3" w:rsidRPr="00D53A2B" w:rsidRDefault="003834D3" w:rsidP="00A202FD">
      <w:pPr>
        <w:jc w:val="both"/>
      </w:pPr>
    </w:p>
    <w:p w14:paraId="7D289B9F" w14:textId="1B34DC3A" w:rsidR="003834D3" w:rsidRPr="00D53A2B" w:rsidRDefault="003834D3" w:rsidP="00A202FD">
      <w:pPr>
        <w:pStyle w:val="Balk3"/>
        <w:rPr>
          <w:rFonts w:cs="Times New Roman"/>
        </w:rPr>
      </w:pPr>
      <w:r w:rsidRPr="00D53A2B">
        <w:rPr>
          <w:rFonts w:cs="Times New Roman"/>
        </w:rPr>
        <w:t>5.2.9 Dekapaj ve diğer güçlü asit çözeltileri – çözeltilerin ömrünü uzatma ve geri kazanım teknikleri</w:t>
      </w:r>
    </w:p>
    <w:p w14:paraId="344C2011" w14:textId="77777777" w:rsidR="003834D3" w:rsidRPr="00D53A2B" w:rsidRDefault="003834D3" w:rsidP="00A202FD">
      <w:pPr>
        <w:jc w:val="both"/>
      </w:pPr>
    </w:p>
    <w:p w14:paraId="57F5C9C0" w14:textId="34F3DC61" w:rsidR="003834D3" w:rsidRPr="00D53A2B" w:rsidRDefault="003834D3" w:rsidP="00A202FD">
      <w:pPr>
        <w:pStyle w:val="MET"/>
        <w:rPr>
          <w:szCs w:val="24"/>
        </w:rPr>
      </w:pPr>
      <w:r w:rsidRPr="00D53A2B">
        <w:rPr>
          <w:szCs w:val="24"/>
        </w:rPr>
        <w:t xml:space="preserve">MET 25: </w:t>
      </w:r>
      <w:r w:rsidR="00084951" w:rsidRPr="00D53A2B">
        <w:rPr>
          <w:b w:val="0"/>
          <w:bCs/>
          <w:szCs w:val="24"/>
        </w:rPr>
        <w:t>Asit tüketiminin yüksek olduğu durumlarda, Bölüm 4.11.14</w:t>
      </w:r>
      <w:r w:rsidR="00E56504" w:rsidRPr="00D53A2B">
        <w:rPr>
          <w:b w:val="0"/>
          <w:bCs/>
          <w:szCs w:val="24"/>
        </w:rPr>
        <w:t>’</w:t>
      </w:r>
      <w:r w:rsidR="00084951" w:rsidRPr="00D53A2B">
        <w:rPr>
          <w:b w:val="0"/>
          <w:bCs/>
          <w:szCs w:val="24"/>
        </w:rPr>
        <w:t xml:space="preserve">teki tekniklerden birini kullanarak asidin ömrünü uzatmak veya elektroliz kullanarak yan metalleri gidermek ve bazı organik bileşikleri oksitlemek suretiyle elektrolitik dekapaj asitlerinin ömrünü uzatmak </w:t>
      </w:r>
      <w:r w:rsidR="0031317B" w:rsidRPr="00D53A2B">
        <w:rPr>
          <w:b w:val="0"/>
          <w:bCs/>
          <w:szCs w:val="24"/>
        </w:rPr>
        <w:t>MET’tir</w:t>
      </w:r>
      <w:r w:rsidR="00084951" w:rsidRPr="00D53A2B">
        <w:rPr>
          <w:b w:val="0"/>
          <w:bCs/>
          <w:szCs w:val="24"/>
        </w:rPr>
        <w:t xml:space="preserve"> (bkz. Bölüm 4.11.8).</w:t>
      </w:r>
    </w:p>
    <w:p w14:paraId="2569AD71" w14:textId="77777777" w:rsidR="003834D3" w:rsidRPr="00D53A2B" w:rsidRDefault="003834D3" w:rsidP="00A202FD">
      <w:pPr>
        <w:jc w:val="both"/>
      </w:pPr>
    </w:p>
    <w:p w14:paraId="58FEDE41" w14:textId="49234279" w:rsidR="003834D3" w:rsidRPr="00D53A2B" w:rsidRDefault="00084951" w:rsidP="00A202FD">
      <w:pPr>
        <w:jc w:val="both"/>
      </w:pPr>
      <w:r w:rsidRPr="00D53A2B">
        <w:t xml:space="preserve">Dekapaj ve diğer kuvvetli asitler de geri kazanılabilir veya harici olarak yeniden kullanılabilir, bkz. Bölüm 4.17.3 ve 5.1.6.4, ancak her durumda </w:t>
      </w:r>
      <w:r w:rsidR="00651500" w:rsidRPr="00D53A2B">
        <w:t>MET</w:t>
      </w:r>
      <w:r w:rsidRPr="00D53A2B">
        <w:t>olmayabilir.</w:t>
      </w:r>
    </w:p>
    <w:p w14:paraId="1DD20FBC" w14:textId="77777777" w:rsidR="003834D3" w:rsidRPr="00D53A2B" w:rsidRDefault="003834D3" w:rsidP="00A202FD">
      <w:pPr>
        <w:jc w:val="both"/>
      </w:pPr>
    </w:p>
    <w:p w14:paraId="399FCD4B" w14:textId="45B695D8" w:rsidR="003834D3" w:rsidRPr="00D53A2B" w:rsidRDefault="00084951" w:rsidP="00A202FD">
      <w:pPr>
        <w:pStyle w:val="Balk3"/>
        <w:rPr>
          <w:rFonts w:cs="Times New Roman"/>
        </w:rPr>
      </w:pPr>
      <w:r w:rsidRPr="00D53A2B">
        <w:rPr>
          <w:rFonts w:cs="Times New Roman"/>
        </w:rPr>
        <w:t>5.2.10 Altı değerlikli kromatlama çözeltilerinin geri kazanımı</w:t>
      </w:r>
    </w:p>
    <w:p w14:paraId="3067C08C" w14:textId="77777777" w:rsidR="003834D3" w:rsidRPr="00D53A2B" w:rsidRDefault="003834D3" w:rsidP="00A202FD">
      <w:pPr>
        <w:jc w:val="both"/>
      </w:pPr>
    </w:p>
    <w:p w14:paraId="537D31E3" w14:textId="28DC6D74" w:rsidR="003834D3" w:rsidRPr="00D53A2B" w:rsidRDefault="00084951" w:rsidP="00A202FD">
      <w:pPr>
        <w:jc w:val="both"/>
      </w:pPr>
      <w:r w:rsidRPr="00D53A2B">
        <w:t xml:space="preserve">MET 26: Gümüş içeren siyah kromatlama çözeltileri gibi konsantre ve pahalı çözeltilerde altı değerlikli kromu geri kazanmak yalnızca </w:t>
      </w:r>
      <w:r w:rsidR="0031317B" w:rsidRPr="00D53A2B">
        <w:t>MET’tir</w:t>
      </w:r>
      <w:r w:rsidRPr="00D53A2B">
        <w:t>. Sektör için normal ölçekte kullanılan iyon değişimi veya membran elektroliz teknikleri gibi uygun teknikler Bölüm 4.10, 4.11.10 ve 4.11.11</w:t>
      </w:r>
      <w:r w:rsidR="00E56504" w:rsidRPr="00D53A2B">
        <w:t>’</w:t>
      </w:r>
      <w:r w:rsidRPr="00D53A2B">
        <w:t>de referans alınmıştır. Diğer çözeltiler için yeni kimyasalların telafi maliyetleri yalnızca 3-4 EUR/l</w:t>
      </w:r>
      <w:r w:rsidR="00E56504" w:rsidRPr="00D53A2B">
        <w:t>’</w:t>
      </w:r>
      <w:r w:rsidRPr="00D53A2B">
        <w:t>dir.</w:t>
      </w:r>
    </w:p>
    <w:p w14:paraId="67D0E410" w14:textId="77777777" w:rsidR="00084951" w:rsidRPr="00D53A2B" w:rsidRDefault="00084951" w:rsidP="00A202FD">
      <w:pPr>
        <w:jc w:val="both"/>
      </w:pPr>
    </w:p>
    <w:p w14:paraId="00C2D9CC" w14:textId="53A7571F" w:rsidR="00084951" w:rsidRPr="00D53A2B" w:rsidRDefault="00084951" w:rsidP="00A202FD">
      <w:pPr>
        <w:pStyle w:val="Balk3"/>
        <w:rPr>
          <w:rFonts w:cs="Times New Roman"/>
        </w:rPr>
      </w:pPr>
      <w:r w:rsidRPr="00D53A2B">
        <w:rPr>
          <w:rFonts w:cs="Times New Roman"/>
        </w:rPr>
        <w:t>5.2.11 Anotlama</w:t>
      </w:r>
    </w:p>
    <w:p w14:paraId="215D8D04" w14:textId="242285C3" w:rsidR="00084951" w:rsidRPr="00CC3DCB" w:rsidRDefault="00084951" w:rsidP="00A202FD">
      <w:pPr>
        <w:jc w:val="both"/>
        <w:rPr>
          <w:color w:val="000000" w:themeColor="text1"/>
        </w:rPr>
      </w:pPr>
      <w:r w:rsidRPr="00D53A2B">
        <w:t xml:space="preserve">Genel </w:t>
      </w:r>
      <w:bookmarkStart w:id="291" w:name="_Hlk198722342"/>
      <w:r w:rsidR="00CD1A0D" w:rsidRPr="00CC3DCB">
        <w:rPr>
          <w:color w:val="000000" w:themeColor="text1"/>
        </w:rPr>
        <w:t xml:space="preserve">MET’e </w:t>
      </w:r>
      <w:bookmarkEnd w:id="291"/>
      <w:r w:rsidRPr="00CC3DCB">
        <w:rPr>
          <w:color w:val="000000" w:themeColor="text1"/>
        </w:rPr>
        <w:t xml:space="preserve"> ek olarak, yukarıda açıklanan prosesler ve kimyasallar için ilgili herhangi bir özel </w:t>
      </w:r>
      <w:r w:rsidR="0031317B" w:rsidRPr="00CC3DCB">
        <w:rPr>
          <w:color w:val="000000" w:themeColor="text1"/>
        </w:rPr>
        <w:t>MET,</w:t>
      </w:r>
      <w:r w:rsidRPr="00CC3DCB">
        <w:rPr>
          <w:color w:val="000000" w:themeColor="text1"/>
        </w:rPr>
        <w:t xml:space="preserve"> anodizasyona uygulanır. Ek olarak, aşağıdaki </w:t>
      </w:r>
      <w:r w:rsidR="00651500" w:rsidRPr="00CC3DCB">
        <w:rPr>
          <w:color w:val="000000" w:themeColor="text1"/>
        </w:rPr>
        <w:t>MET</w:t>
      </w:r>
      <w:r w:rsidRPr="00CC3DCB">
        <w:rPr>
          <w:color w:val="000000" w:themeColor="text1"/>
        </w:rPr>
        <w:t>özellikle anodizasyona uygulanır:</w:t>
      </w:r>
    </w:p>
    <w:p w14:paraId="26A088A1" w14:textId="0BEB3580" w:rsidR="00084951" w:rsidRPr="00CC3DCB" w:rsidRDefault="00084951" w:rsidP="00602365">
      <w:pPr>
        <w:pStyle w:val="ListeParagraf"/>
        <w:numPr>
          <w:ilvl w:val="0"/>
          <w:numId w:val="225"/>
        </w:numPr>
        <w:tabs>
          <w:tab w:val="clear" w:pos="567"/>
        </w:tabs>
        <w:ind w:left="426" w:hanging="426"/>
        <w:rPr>
          <w:color w:val="000000" w:themeColor="text1"/>
          <w:sz w:val="24"/>
          <w:szCs w:val="24"/>
        </w:rPr>
      </w:pPr>
      <w:r w:rsidRPr="00CC3DCB">
        <w:rPr>
          <w:color w:val="000000" w:themeColor="text1"/>
          <w:sz w:val="24"/>
          <w:szCs w:val="24"/>
        </w:rPr>
        <w:t>Isı geri kazanımı: Bölüm 4.4.3</w:t>
      </w:r>
      <w:r w:rsidR="00E56504" w:rsidRPr="00CC3DCB">
        <w:rPr>
          <w:color w:val="000000" w:themeColor="text1"/>
          <w:sz w:val="24"/>
          <w:szCs w:val="24"/>
        </w:rPr>
        <w:t>’</w:t>
      </w:r>
      <w:r w:rsidRPr="00CC3DCB">
        <w:rPr>
          <w:color w:val="000000" w:themeColor="text1"/>
          <w:sz w:val="24"/>
          <w:szCs w:val="24"/>
        </w:rPr>
        <w:t xml:space="preserve">te açıklanan tekniklerden birini kullanarak anodize sızdırmazlık banyolarından ısıyı geri kazanmak </w:t>
      </w:r>
      <w:r w:rsidR="0031317B" w:rsidRPr="00CC3DCB">
        <w:rPr>
          <w:color w:val="000000" w:themeColor="text1"/>
          <w:sz w:val="24"/>
          <w:szCs w:val="24"/>
        </w:rPr>
        <w:t>MET’tir</w:t>
      </w:r>
      <w:r w:rsidRPr="00CC3DCB">
        <w:rPr>
          <w:color w:val="000000" w:themeColor="text1"/>
          <w:sz w:val="24"/>
          <w:szCs w:val="24"/>
        </w:rPr>
        <w:t>.</w:t>
      </w:r>
    </w:p>
    <w:p w14:paraId="085A8F63" w14:textId="3F9B6FBE" w:rsidR="00084951" w:rsidRPr="00CC3DCB" w:rsidRDefault="00084951" w:rsidP="00602365">
      <w:pPr>
        <w:pStyle w:val="ListeParagraf"/>
        <w:numPr>
          <w:ilvl w:val="0"/>
          <w:numId w:val="225"/>
        </w:numPr>
        <w:tabs>
          <w:tab w:val="clear" w:pos="567"/>
        </w:tabs>
        <w:ind w:left="426" w:hanging="426"/>
        <w:rPr>
          <w:color w:val="000000" w:themeColor="text1"/>
          <w:sz w:val="24"/>
          <w:szCs w:val="24"/>
        </w:rPr>
      </w:pPr>
      <w:r w:rsidRPr="00CC3DCB">
        <w:rPr>
          <w:color w:val="000000" w:themeColor="text1"/>
          <w:sz w:val="24"/>
          <w:szCs w:val="24"/>
        </w:rPr>
        <w:t xml:space="preserve">Kostik aşındırmanın geri kazanımı: Aşağıdaki durumlarda kostik aşındırmayı geri kazanmak </w:t>
      </w:r>
      <w:r w:rsidR="0031317B" w:rsidRPr="00CC3DCB">
        <w:rPr>
          <w:color w:val="000000" w:themeColor="text1"/>
          <w:sz w:val="24"/>
          <w:szCs w:val="24"/>
        </w:rPr>
        <w:t>MET’tir</w:t>
      </w:r>
      <w:r w:rsidRPr="00CC3DCB">
        <w:rPr>
          <w:color w:val="000000" w:themeColor="text1"/>
          <w:sz w:val="24"/>
          <w:szCs w:val="24"/>
        </w:rPr>
        <w:t xml:space="preserve"> (bkz. Bölüm 4.11.5):</w:t>
      </w:r>
    </w:p>
    <w:p w14:paraId="050076BA" w14:textId="77777777" w:rsidR="00084951" w:rsidRPr="00CC3DCB" w:rsidRDefault="00084951" w:rsidP="009077F5">
      <w:pPr>
        <w:pStyle w:val="ListeParagraf"/>
        <w:numPr>
          <w:ilvl w:val="0"/>
          <w:numId w:val="300"/>
        </w:numPr>
        <w:tabs>
          <w:tab w:val="clear" w:pos="567"/>
        </w:tabs>
        <w:spacing w:line="240" w:lineRule="auto"/>
        <w:rPr>
          <w:color w:val="000000" w:themeColor="text1"/>
          <w:sz w:val="24"/>
          <w:szCs w:val="24"/>
        </w:rPr>
      </w:pPr>
      <w:r w:rsidRPr="00CC3DCB">
        <w:rPr>
          <w:color w:val="000000" w:themeColor="text1"/>
          <w:sz w:val="24"/>
          <w:szCs w:val="24"/>
        </w:rPr>
        <w:t>yüksek miktarda kostik solüsyon tüketimi vardır</w:t>
      </w:r>
    </w:p>
    <w:p w14:paraId="7DD77803" w14:textId="77777777" w:rsidR="00084951" w:rsidRPr="00CC3DCB" w:rsidRDefault="00084951" w:rsidP="009077F5">
      <w:pPr>
        <w:pStyle w:val="ListeParagraf"/>
        <w:numPr>
          <w:ilvl w:val="0"/>
          <w:numId w:val="300"/>
        </w:numPr>
        <w:tabs>
          <w:tab w:val="clear" w:pos="567"/>
        </w:tabs>
        <w:spacing w:line="240" w:lineRule="auto"/>
        <w:rPr>
          <w:color w:val="000000" w:themeColor="text1"/>
          <w:sz w:val="24"/>
          <w:szCs w:val="24"/>
        </w:rPr>
      </w:pPr>
      <w:r w:rsidRPr="00CC3DCB">
        <w:rPr>
          <w:color w:val="000000" w:themeColor="text1"/>
          <w:sz w:val="24"/>
          <w:szCs w:val="24"/>
        </w:rPr>
        <w:t>alüminyum oksitin çökelmesini engellemek için herhangi bir katkı maddesi kullanılmamıştır</w:t>
      </w:r>
    </w:p>
    <w:p w14:paraId="351BDBA5" w14:textId="4E23FF01" w:rsidR="00084951" w:rsidRPr="00CC3DCB" w:rsidRDefault="00084951" w:rsidP="009077F5">
      <w:pPr>
        <w:pStyle w:val="ListeParagraf"/>
        <w:numPr>
          <w:ilvl w:val="0"/>
          <w:numId w:val="300"/>
        </w:numPr>
        <w:tabs>
          <w:tab w:val="clear" w:pos="567"/>
        </w:tabs>
        <w:spacing w:line="240" w:lineRule="auto"/>
        <w:rPr>
          <w:color w:val="000000" w:themeColor="text1"/>
          <w:sz w:val="24"/>
          <w:szCs w:val="24"/>
        </w:rPr>
      </w:pPr>
      <w:r w:rsidRPr="00CC3DCB">
        <w:rPr>
          <w:color w:val="000000" w:themeColor="text1"/>
          <w:sz w:val="24"/>
          <w:szCs w:val="24"/>
        </w:rPr>
        <w:t>elde edilen aşındırılmış yüzey teknik özelliklere uygundur.</w:t>
      </w:r>
    </w:p>
    <w:p w14:paraId="0207637F" w14:textId="575EBB96" w:rsidR="00084951" w:rsidRPr="00CC3DCB" w:rsidRDefault="00084951" w:rsidP="00602365">
      <w:pPr>
        <w:pStyle w:val="ListeParagraf"/>
        <w:numPr>
          <w:ilvl w:val="0"/>
          <w:numId w:val="225"/>
        </w:numPr>
        <w:tabs>
          <w:tab w:val="clear" w:pos="567"/>
        </w:tabs>
        <w:ind w:left="426" w:hanging="426"/>
        <w:rPr>
          <w:color w:val="000000" w:themeColor="text1"/>
          <w:sz w:val="24"/>
          <w:szCs w:val="24"/>
        </w:rPr>
      </w:pPr>
      <w:r w:rsidRPr="00CC3DCB">
        <w:rPr>
          <w:color w:val="000000" w:themeColor="text1"/>
          <w:sz w:val="24"/>
          <w:szCs w:val="24"/>
        </w:rPr>
        <w:t xml:space="preserve">Kapalı devre durulama: Anodizasyonda iyon değişimi ile kapalı durulanmış su çevrimi kullanılması </w:t>
      </w:r>
      <w:r w:rsidR="00651500" w:rsidRPr="00CC3DCB">
        <w:rPr>
          <w:color w:val="000000" w:themeColor="text1"/>
          <w:sz w:val="24"/>
          <w:szCs w:val="24"/>
        </w:rPr>
        <w:t>MET</w:t>
      </w:r>
      <w:r w:rsidRPr="00CC3DCB">
        <w:rPr>
          <w:color w:val="000000" w:themeColor="text1"/>
          <w:sz w:val="24"/>
          <w:szCs w:val="24"/>
        </w:rPr>
        <w:t>değildir, çünkü uzaklaştırılan kimyasalların çevresel etkisi ve miktarı, rejenerasyon için gereken kimyasallarla benzerdir.</w:t>
      </w:r>
    </w:p>
    <w:p w14:paraId="6070962F" w14:textId="78AC7FC5" w:rsidR="00084951" w:rsidRPr="00CC3DCB" w:rsidRDefault="00084951" w:rsidP="00602365">
      <w:pPr>
        <w:pStyle w:val="ListeParagraf"/>
        <w:numPr>
          <w:ilvl w:val="0"/>
          <w:numId w:val="225"/>
        </w:numPr>
        <w:tabs>
          <w:tab w:val="clear" w:pos="567"/>
        </w:tabs>
        <w:ind w:left="426" w:hanging="426"/>
        <w:rPr>
          <w:color w:val="000000" w:themeColor="text1"/>
          <w:sz w:val="24"/>
          <w:szCs w:val="24"/>
        </w:rPr>
      </w:pPr>
      <w:r w:rsidRPr="00CC3DCB">
        <w:rPr>
          <w:color w:val="000000" w:themeColor="text1"/>
          <w:sz w:val="24"/>
          <w:szCs w:val="24"/>
        </w:rPr>
        <w:t>PFOS içermeyen yüzey aktif maddeler kullanın (bkz. Bölüm 5.2.5.2).</w:t>
      </w:r>
    </w:p>
    <w:p w14:paraId="6F6EF302" w14:textId="77777777" w:rsidR="00084951" w:rsidRPr="00CC3DCB" w:rsidRDefault="00084951" w:rsidP="00A202FD">
      <w:pPr>
        <w:jc w:val="both"/>
        <w:rPr>
          <w:color w:val="000000" w:themeColor="text1"/>
        </w:rPr>
      </w:pPr>
    </w:p>
    <w:p w14:paraId="2EA56E81" w14:textId="07670640" w:rsidR="00084951" w:rsidRPr="00CC3DCB" w:rsidRDefault="00084951" w:rsidP="00A202FD">
      <w:pPr>
        <w:pStyle w:val="Balk3"/>
        <w:rPr>
          <w:rFonts w:cs="Times New Roman"/>
        </w:rPr>
      </w:pPr>
      <w:r w:rsidRPr="00CC3DCB">
        <w:rPr>
          <w:rFonts w:cs="Times New Roman"/>
        </w:rPr>
        <w:t>5.2.12 Sürekli bobin – büyük ölçekli çelik bobin</w:t>
      </w:r>
    </w:p>
    <w:p w14:paraId="1D6A1AAE" w14:textId="5B7260D5" w:rsidR="00084951" w:rsidRPr="00D53A2B" w:rsidRDefault="00084951" w:rsidP="00602365">
      <w:pPr>
        <w:pStyle w:val="ListeParagraf"/>
        <w:numPr>
          <w:ilvl w:val="0"/>
          <w:numId w:val="225"/>
        </w:numPr>
        <w:tabs>
          <w:tab w:val="clear" w:pos="567"/>
        </w:tabs>
        <w:ind w:left="426" w:hanging="426"/>
        <w:rPr>
          <w:sz w:val="24"/>
          <w:szCs w:val="24"/>
        </w:rPr>
      </w:pPr>
      <w:r w:rsidRPr="00CC3DCB">
        <w:rPr>
          <w:color w:val="000000" w:themeColor="text1"/>
          <w:sz w:val="24"/>
          <w:szCs w:val="24"/>
        </w:rPr>
        <w:t>Bölüm 5.1</w:t>
      </w:r>
      <w:r w:rsidR="00E56504" w:rsidRPr="00CC3DCB">
        <w:rPr>
          <w:color w:val="000000" w:themeColor="text1"/>
          <w:sz w:val="24"/>
          <w:szCs w:val="24"/>
        </w:rPr>
        <w:t>’</w:t>
      </w:r>
      <w:r w:rsidRPr="00CC3DCB">
        <w:rPr>
          <w:color w:val="000000" w:themeColor="text1"/>
          <w:sz w:val="24"/>
          <w:szCs w:val="24"/>
        </w:rPr>
        <w:t xml:space="preserve">de açıklanan genel </w:t>
      </w:r>
      <w:r w:rsidR="00CD1A0D" w:rsidRPr="00CC3DCB">
        <w:rPr>
          <w:color w:val="000000" w:themeColor="text1"/>
        </w:rPr>
        <w:t xml:space="preserve"> MET’e</w:t>
      </w:r>
      <w:r w:rsidRPr="00CC3DCB">
        <w:rPr>
          <w:color w:val="000000" w:themeColor="text1"/>
          <w:sz w:val="24"/>
          <w:szCs w:val="24"/>
        </w:rPr>
        <w:t xml:space="preserve"> ek olarak, süreçler ve kimyasallar için ilgili herhangi bir </w:t>
      </w:r>
      <w:r w:rsidR="00651500" w:rsidRPr="00CC3DCB">
        <w:rPr>
          <w:color w:val="000000" w:themeColor="text1"/>
          <w:sz w:val="24"/>
          <w:szCs w:val="24"/>
        </w:rPr>
        <w:t>MET</w:t>
      </w:r>
      <w:r w:rsidRPr="00CC3DCB">
        <w:rPr>
          <w:color w:val="000000" w:themeColor="text1"/>
          <w:sz w:val="24"/>
          <w:szCs w:val="24"/>
        </w:rPr>
        <w:t>(yukarıda Bölüm 5.1 ve 5.2</w:t>
      </w:r>
      <w:r w:rsidR="00E56504" w:rsidRPr="00CC3DCB">
        <w:rPr>
          <w:color w:val="000000" w:themeColor="text1"/>
          <w:sz w:val="24"/>
          <w:szCs w:val="24"/>
        </w:rPr>
        <w:t>’</w:t>
      </w:r>
      <w:r w:rsidRPr="00CC3DCB">
        <w:rPr>
          <w:color w:val="000000" w:themeColor="text1"/>
          <w:sz w:val="24"/>
          <w:szCs w:val="24"/>
        </w:rPr>
        <w:t xml:space="preserve">de açıklanmıştır) büyük ölçekli çelik bobin kaplaması için geçerlidir. Aşağıdaki </w:t>
      </w:r>
      <w:r w:rsidR="00651500" w:rsidRPr="00CC3DCB">
        <w:rPr>
          <w:color w:val="000000" w:themeColor="text1"/>
          <w:sz w:val="24"/>
          <w:szCs w:val="24"/>
        </w:rPr>
        <w:t>MET</w:t>
      </w:r>
      <w:r w:rsidRPr="00CC3DCB">
        <w:rPr>
          <w:color w:val="000000" w:themeColor="text1"/>
          <w:sz w:val="24"/>
          <w:szCs w:val="24"/>
        </w:rPr>
        <w:t xml:space="preserve">özellikle bobin </w:t>
      </w:r>
      <w:r w:rsidRPr="00D53A2B">
        <w:rPr>
          <w:sz w:val="24"/>
          <w:szCs w:val="24"/>
        </w:rPr>
        <w:t>işleme için geçerlidir:</w:t>
      </w:r>
    </w:p>
    <w:p w14:paraId="6C700165" w14:textId="77777777" w:rsidR="00084951" w:rsidRPr="00D53A2B" w:rsidRDefault="00084951" w:rsidP="00602365">
      <w:pPr>
        <w:pStyle w:val="ListeParagraf"/>
        <w:numPr>
          <w:ilvl w:val="0"/>
          <w:numId w:val="225"/>
        </w:numPr>
        <w:tabs>
          <w:tab w:val="clear" w:pos="567"/>
        </w:tabs>
        <w:ind w:left="426" w:hanging="426"/>
        <w:rPr>
          <w:sz w:val="24"/>
          <w:szCs w:val="24"/>
        </w:rPr>
      </w:pPr>
      <w:r w:rsidRPr="00D53A2B">
        <w:rPr>
          <w:sz w:val="24"/>
          <w:szCs w:val="24"/>
        </w:rPr>
        <w:t>Sürekli proses optimizasyonunu sağlamak için gerçek zamanlı proses kontrolünü kullanın (bkz. Bölüm 4.1.5).</w:t>
      </w:r>
    </w:p>
    <w:p w14:paraId="1FF27DDF" w14:textId="77777777" w:rsidR="00084951" w:rsidRPr="00D53A2B" w:rsidRDefault="00084951" w:rsidP="00602365">
      <w:pPr>
        <w:pStyle w:val="ListeParagraf"/>
        <w:numPr>
          <w:ilvl w:val="0"/>
          <w:numId w:val="225"/>
        </w:numPr>
        <w:tabs>
          <w:tab w:val="clear" w:pos="567"/>
        </w:tabs>
        <w:ind w:left="426" w:hanging="426"/>
        <w:rPr>
          <w:sz w:val="24"/>
          <w:szCs w:val="24"/>
        </w:rPr>
      </w:pPr>
      <w:r w:rsidRPr="00D53A2B">
        <w:rPr>
          <w:sz w:val="24"/>
          <w:szCs w:val="24"/>
        </w:rPr>
        <w:t>Motorları değiştirirken veya yeni ekipman, hat veya tesisatlar için enerji tasarruflu motorlar kullanın (bkz. Bölüm 4.4.1.3).</w:t>
      </w:r>
    </w:p>
    <w:p w14:paraId="34D3A95B" w14:textId="77777777" w:rsidR="00084951" w:rsidRPr="00D53A2B" w:rsidRDefault="00084951" w:rsidP="00602365">
      <w:pPr>
        <w:pStyle w:val="ListeParagraf"/>
        <w:numPr>
          <w:ilvl w:val="0"/>
          <w:numId w:val="225"/>
        </w:numPr>
        <w:tabs>
          <w:tab w:val="clear" w:pos="567"/>
        </w:tabs>
        <w:ind w:left="426" w:hanging="426"/>
        <w:rPr>
          <w:sz w:val="24"/>
          <w:szCs w:val="24"/>
        </w:rPr>
      </w:pPr>
      <w:r w:rsidRPr="00D53A2B">
        <w:rPr>
          <w:sz w:val="24"/>
          <w:szCs w:val="24"/>
        </w:rPr>
        <w:t>Proses çözeltilerinden dışarı sürüklenmeyi önlemek veya durulama suyunun içeri sürüklenmesiyle proses çözeltilerinin seyrelmesini önlemek için sıkma silindirleri kullanın (bkz. Bölüm 4.6 ve 4.14.5).</w:t>
      </w:r>
    </w:p>
    <w:p w14:paraId="3714DDA1" w14:textId="77777777" w:rsidR="00084951" w:rsidRPr="00D53A2B" w:rsidRDefault="00084951" w:rsidP="00602365">
      <w:pPr>
        <w:pStyle w:val="ListeParagraf"/>
        <w:numPr>
          <w:ilvl w:val="0"/>
          <w:numId w:val="225"/>
        </w:numPr>
        <w:tabs>
          <w:tab w:val="clear" w:pos="567"/>
        </w:tabs>
        <w:ind w:left="426" w:hanging="426"/>
        <w:rPr>
          <w:sz w:val="24"/>
          <w:szCs w:val="24"/>
        </w:rPr>
      </w:pPr>
      <w:r w:rsidRPr="00D53A2B">
        <w:rPr>
          <w:sz w:val="24"/>
          <w:szCs w:val="24"/>
        </w:rPr>
        <w:t>Elektrotların polaritesini elektrolitik yağ giderme ve elektrolitik asitleme proseslerinde düzenli aralıklarla değiştirin (bkz. Bölüm 4.8.3).</w:t>
      </w:r>
    </w:p>
    <w:p w14:paraId="36872D99" w14:textId="77777777" w:rsidR="00084951" w:rsidRPr="00D53A2B" w:rsidRDefault="00084951" w:rsidP="00602365">
      <w:pPr>
        <w:pStyle w:val="ListeParagraf"/>
        <w:numPr>
          <w:ilvl w:val="0"/>
          <w:numId w:val="225"/>
        </w:numPr>
        <w:tabs>
          <w:tab w:val="clear" w:pos="567"/>
        </w:tabs>
        <w:ind w:left="426" w:hanging="426"/>
        <w:rPr>
          <w:sz w:val="24"/>
          <w:szCs w:val="24"/>
        </w:rPr>
      </w:pPr>
      <w:r w:rsidRPr="00D53A2B">
        <w:rPr>
          <w:sz w:val="24"/>
          <w:szCs w:val="24"/>
        </w:rPr>
        <w:t>Kapalı bir elektrostatik yağlayıcı kullanarak yağ kullanımını en aza indirin (bkz. Bölüm 4.14.16).</w:t>
      </w:r>
    </w:p>
    <w:p w14:paraId="7AED24B0" w14:textId="77777777" w:rsidR="00084951" w:rsidRPr="00D53A2B" w:rsidRDefault="00084951" w:rsidP="00602365">
      <w:pPr>
        <w:pStyle w:val="ListeParagraf"/>
        <w:numPr>
          <w:ilvl w:val="0"/>
          <w:numId w:val="225"/>
        </w:numPr>
        <w:tabs>
          <w:tab w:val="clear" w:pos="567"/>
        </w:tabs>
        <w:ind w:left="426" w:hanging="426"/>
        <w:rPr>
          <w:sz w:val="24"/>
          <w:szCs w:val="24"/>
        </w:rPr>
      </w:pPr>
      <w:r w:rsidRPr="00D53A2B">
        <w:rPr>
          <w:sz w:val="24"/>
          <w:szCs w:val="24"/>
        </w:rPr>
        <w:t>Elektrolitik prosesler için anot-katot boşluğunu optimize edin (bkz. Bölüm 4.14.12).</w:t>
      </w:r>
    </w:p>
    <w:p w14:paraId="76A57988" w14:textId="77777777" w:rsidR="00084951" w:rsidRPr="00D53A2B" w:rsidRDefault="00084951" w:rsidP="00602365">
      <w:pPr>
        <w:pStyle w:val="ListeParagraf"/>
        <w:numPr>
          <w:ilvl w:val="0"/>
          <w:numId w:val="225"/>
        </w:numPr>
        <w:tabs>
          <w:tab w:val="clear" w:pos="567"/>
        </w:tabs>
        <w:ind w:left="426" w:hanging="426"/>
        <w:rPr>
          <w:sz w:val="24"/>
          <w:szCs w:val="24"/>
        </w:rPr>
      </w:pPr>
      <w:r w:rsidRPr="00D53A2B">
        <w:rPr>
          <w:sz w:val="24"/>
          <w:szCs w:val="24"/>
        </w:rPr>
        <w:t>İletken rulo performansını parlatarak optimize edin (bkz. Bölüm 4.14.13).</w:t>
      </w:r>
    </w:p>
    <w:p w14:paraId="45345183" w14:textId="0702A418" w:rsidR="00084951" w:rsidRPr="00D53A2B" w:rsidRDefault="00084951" w:rsidP="00602365">
      <w:pPr>
        <w:pStyle w:val="ListeParagraf"/>
        <w:numPr>
          <w:ilvl w:val="0"/>
          <w:numId w:val="225"/>
        </w:numPr>
        <w:tabs>
          <w:tab w:val="clear" w:pos="567"/>
        </w:tabs>
        <w:ind w:left="426" w:hanging="426"/>
        <w:rPr>
          <w:sz w:val="24"/>
          <w:szCs w:val="24"/>
        </w:rPr>
      </w:pPr>
      <w:r w:rsidRPr="00D53A2B">
        <w:rPr>
          <w:sz w:val="24"/>
          <w:szCs w:val="24"/>
        </w:rPr>
        <w:t>Şeridin kenarında oluşan metal birikimini gidermek için kenar parlatıcıları kullanın</w:t>
      </w:r>
      <w:r w:rsidR="002505AB" w:rsidRPr="00D53A2B">
        <w:rPr>
          <w:sz w:val="24"/>
          <w:szCs w:val="24"/>
        </w:rPr>
        <w:t xml:space="preserve"> </w:t>
      </w:r>
      <w:r w:rsidRPr="00D53A2B">
        <w:rPr>
          <w:sz w:val="24"/>
          <w:szCs w:val="24"/>
        </w:rPr>
        <w:t>(Bölüm 4.14.14</w:t>
      </w:r>
      <w:r w:rsidR="00E56504" w:rsidRPr="00D53A2B">
        <w:rPr>
          <w:sz w:val="24"/>
          <w:szCs w:val="24"/>
        </w:rPr>
        <w:t>’</w:t>
      </w:r>
      <w:r w:rsidRPr="00D53A2B">
        <w:rPr>
          <w:sz w:val="24"/>
          <w:szCs w:val="24"/>
        </w:rPr>
        <w:t>e bakın).</w:t>
      </w:r>
    </w:p>
    <w:p w14:paraId="2FF6CA02" w14:textId="2E42491F" w:rsidR="00084951" w:rsidRPr="00D53A2B" w:rsidRDefault="00084951" w:rsidP="00602365">
      <w:pPr>
        <w:pStyle w:val="ListeParagraf"/>
        <w:numPr>
          <w:ilvl w:val="0"/>
          <w:numId w:val="225"/>
        </w:numPr>
        <w:tabs>
          <w:tab w:val="clear" w:pos="567"/>
        </w:tabs>
        <w:ind w:left="426" w:hanging="426"/>
        <w:rPr>
          <w:sz w:val="24"/>
          <w:szCs w:val="24"/>
        </w:rPr>
      </w:pPr>
      <w:r w:rsidRPr="00D53A2B">
        <w:rPr>
          <w:sz w:val="24"/>
          <w:szCs w:val="24"/>
        </w:rPr>
        <w:t>Sadece bir tarafı kaplarken devrilmeyi önlemek için kenar maskeleri kullanın (Bölüm 4.14.15</w:t>
      </w:r>
      <w:r w:rsidR="00E56504" w:rsidRPr="00D53A2B">
        <w:rPr>
          <w:sz w:val="24"/>
          <w:szCs w:val="24"/>
        </w:rPr>
        <w:t>’</w:t>
      </w:r>
      <w:r w:rsidRPr="00D53A2B">
        <w:rPr>
          <w:sz w:val="24"/>
          <w:szCs w:val="24"/>
        </w:rPr>
        <w:t>e bakın).</w:t>
      </w:r>
    </w:p>
    <w:p w14:paraId="2DDBD110" w14:textId="77777777" w:rsidR="00084951" w:rsidRPr="00D53A2B" w:rsidRDefault="00084951" w:rsidP="00A202FD">
      <w:pPr>
        <w:jc w:val="both"/>
      </w:pPr>
    </w:p>
    <w:p w14:paraId="6C724849" w14:textId="40CBFB6A" w:rsidR="00084951" w:rsidRPr="00D53A2B" w:rsidRDefault="00084951" w:rsidP="00A202FD">
      <w:pPr>
        <w:pStyle w:val="Balk3"/>
        <w:rPr>
          <w:rFonts w:cs="Times New Roman"/>
        </w:rPr>
      </w:pPr>
      <w:r w:rsidRPr="00D53A2B">
        <w:rPr>
          <w:rFonts w:cs="Times New Roman"/>
        </w:rPr>
        <w:t>5.2.13 Baskılı devre kartları (PCB</w:t>
      </w:r>
      <w:r w:rsidR="00E56504" w:rsidRPr="00D53A2B">
        <w:rPr>
          <w:rFonts w:cs="Times New Roman"/>
        </w:rPr>
        <w:t>’</w:t>
      </w:r>
      <w:r w:rsidRPr="00D53A2B">
        <w:rPr>
          <w:rFonts w:cs="Times New Roman"/>
        </w:rPr>
        <w:t>ler)</w:t>
      </w:r>
    </w:p>
    <w:p w14:paraId="3A63854D" w14:textId="4DE71CCA" w:rsidR="00084951" w:rsidRPr="00D53A2B" w:rsidRDefault="00AA5BA3" w:rsidP="00A202FD">
      <w:pPr>
        <w:jc w:val="both"/>
      </w:pPr>
      <w:r w:rsidRPr="00D53A2B">
        <w:t>Bölüm 5.1</w:t>
      </w:r>
      <w:r w:rsidR="00E56504" w:rsidRPr="00D53A2B">
        <w:t>’</w:t>
      </w:r>
      <w:r w:rsidRPr="00D53A2B">
        <w:t xml:space="preserve">de açıklanan genel </w:t>
      </w:r>
      <w:r w:rsidR="00CD1A0D">
        <w:t xml:space="preserve"> </w:t>
      </w:r>
      <w:r w:rsidR="00CD1A0D" w:rsidRPr="00CC3DCB">
        <w:rPr>
          <w:color w:val="000000" w:themeColor="text1"/>
        </w:rPr>
        <w:t xml:space="preserve">MET’e </w:t>
      </w:r>
      <w:r w:rsidRPr="00D53A2B">
        <w:t xml:space="preserve">ek olarak, prosesler ve kimyasallar için ilgili herhangi bir </w:t>
      </w:r>
      <w:r w:rsidR="00651500" w:rsidRPr="00D53A2B">
        <w:t>MET</w:t>
      </w:r>
      <w:r w:rsidR="00E56504" w:rsidRPr="00D53A2B">
        <w:t xml:space="preserve"> </w:t>
      </w:r>
      <w:r w:rsidRPr="00D53A2B">
        <w:t>(yukarıda Bölüm 5.2 ve 5.3</w:t>
      </w:r>
      <w:r w:rsidR="00E56504" w:rsidRPr="00D53A2B">
        <w:t>’</w:t>
      </w:r>
      <w:r w:rsidRPr="00D53A2B">
        <w:t xml:space="preserve">te açıklanmıştır) baskılı devre kartı üretimine uygulanır. Aşağıdaki </w:t>
      </w:r>
      <w:r w:rsidR="00651500" w:rsidRPr="00D53A2B">
        <w:t>MET</w:t>
      </w:r>
      <w:r w:rsidRPr="00D53A2B">
        <w:t>özellikle PCB üretimine uygulanır:</w:t>
      </w:r>
    </w:p>
    <w:p w14:paraId="7BC2639C" w14:textId="7C0B38BE" w:rsidR="0031161F" w:rsidRPr="00D53A2B" w:rsidRDefault="0031161F" w:rsidP="00602365">
      <w:pPr>
        <w:pStyle w:val="ListeParagraf"/>
        <w:numPr>
          <w:ilvl w:val="0"/>
          <w:numId w:val="225"/>
        </w:numPr>
        <w:tabs>
          <w:tab w:val="clear" w:pos="567"/>
        </w:tabs>
        <w:ind w:left="426" w:hanging="426"/>
        <w:rPr>
          <w:sz w:val="24"/>
          <w:szCs w:val="24"/>
        </w:rPr>
      </w:pPr>
      <w:r w:rsidRPr="00D53A2B">
        <w:rPr>
          <w:sz w:val="24"/>
          <w:szCs w:val="24"/>
        </w:rPr>
        <w:t>Durulama: Adımlar arasında durulama yaparken, sürüklenmeyi azaltmak için sıkma (silme) silindirleri, spreyler ve Bölüm 4.6, 4.7 ve özellikle 4.7.5</w:t>
      </w:r>
      <w:r w:rsidR="00E56504" w:rsidRPr="00D53A2B">
        <w:rPr>
          <w:sz w:val="24"/>
          <w:szCs w:val="24"/>
        </w:rPr>
        <w:t>’</w:t>
      </w:r>
      <w:r w:rsidRPr="00D53A2B">
        <w:rPr>
          <w:sz w:val="24"/>
          <w:szCs w:val="24"/>
        </w:rPr>
        <w:t>te diğer işlemler için açıklanan çoklu durulama tekniklerini kullanın.</w:t>
      </w:r>
    </w:p>
    <w:p w14:paraId="6B745F4A" w14:textId="77777777" w:rsidR="0031161F" w:rsidRPr="00D53A2B" w:rsidRDefault="0031161F" w:rsidP="00602365">
      <w:pPr>
        <w:pStyle w:val="ListeParagraf"/>
        <w:numPr>
          <w:ilvl w:val="0"/>
          <w:numId w:val="225"/>
        </w:numPr>
        <w:tabs>
          <w:tab w:val="clear" w:pos="567"/>
        </w:tabs>
        <w:ind w:left="426" w:hanging="426"/>
        <w:rPr>
          <w:sz w:val="24"/>
          <w:szCs w:val="24"/>
        </w:rPr>
      </w:pPr>
      <w:r w:rsidRPr="00D53A2B">
        <w:rPr>
          <w:sz w:val="24"/>
          <w:szCs w:val="24"/>
        </w:rPr>
        <w:t>İç katmanların üretimi: Bu alan hızla değişiyor ve teknolojik gelişmeler müşteri spesifikasyonlarını yönlendiriyor. Oksit bağlamaya alternatif teknikler gibi düşük çevresel etkiye sahip teknikler kullanın, bkz. Bölüm 4.15.1.</w:t>
      </w:r>
    </w:p>
    <w:p w14:paraId="6C173EFE" w14:textId="6A789164" w:rsidR="00084951" w:rsidRPr="00D53A2B" w:rsidRDefault="0031161F" w:rsidP="00602365">
      <w:pPr>
        <w:pStyle w:val="ListeParagraf"/>
        <w:numPr>
          <w:ilvl w:val="0"/>
          <w:numId w:val="225"/>
        </w:numPr>
        <w:tabs>
          <w:tab w:val="clear" w:pos="567"/>
        </w:tabs>
        <w:ind w:left="426" w:hanging="426"/>
        <w:rPr>
          <w:sz w:val="24"/>
          <w:szCs w:val="24"/>
        </w:rPr>
      </w:pPr>
      <w:r w:rsidRPr="00D53A2B">
        <w:rPr>
          <w:sz w:val="24"/>
          <w:szCs w:val="24"/>
        </w:rPr>
        <w:t>Kuru dirençler: Kuru direnç geliştirirken (bkz. Bölüm 4.15.5):</w:t>
      </w:r>
    </w:p>
    <w:p w14:paraId="46095B5F" w14:textId="77777777" w:rsidR="0031161F" w:rsidRPr="00BF4451" w:rsidRDefault="0031161F" w:rsidP="009077F5">
      <w:pPr>
        <w:ind w:left="360"/>
      </w:pPr>
      <w:r w:rsidRPr="00BF4451">
        <w:t>taze geliştirici solüsyonuyla durulayarak sürüklenmeyi azaltın</w:t>
      </w:r>
    </w:p>
    <w:p w14:paraId="70031A2F" w14:textId="77777777" w:rsidR="0031161F" w:rsidRPr="00BF4451" w:rsidRDefault="0031161F" w:rsidP="009077F5">
      <w:pPr>
        <w:ind w:left="360"/>
      </w:pPr>
      <w:r w:rsidRPr="00BF4451">
        <w:t>geliştiricinin püskürtülmesini optimize edin</w:t>
      </w:r>
    </w:p>
    <w:p w14:paraId="421072A3" w14:textId="77777777" w:rsidR="0031161F" w:rsidRPr="00F804A4" w:rsidRDefault="0031161F" w:rsidP="009077F5">
      <w:pPr>
        <w:ind w:left="360"/>
      </w:pPr>
      <w:r w:rsidRPr="00BF4451">
        <w:t>geliştirici solüsyonunun konsantrasyonlarını kontrol edin</w:t>
      </w:r>
    </w:p>
    <w:p w14:paraId="0740FADA" w14:textId="66E034F3" w:rsidR="00AA5BA3" w:rsidRPr="00314BD6" w:rsidRDefault="0031161F" w:rsidP="009077F5">
      <w:pPr>
        <w:ind w:left="360"/>
      </w:pPr>
      <w:r w:rsidRPr="00CB4CD4">
        <w:t>geliştirilen direnci, ultrafiltrasyon gibi yöntemlerle atıksudan ayırın</w:t>
      </w:r>
    </w:p>
    <w:p w14:paraId="5699B06F" w14:textId="14356769" w:rsidR="0031161F" w:rsidRPr="00D53A2B" w:rsidRDefault="0031161F" w:rsidP="00602365">
      <w:pPr>
        <w:pStyle w:val="ListeParagraf"/>
        <w:numPr>
          <w:ilvl w:val="0"/>
          <w:numId w:val="228"/>
        </w:numPr>
        <w:tabs>
          <w:tab w:val="clear" w:pos="567"/>
        </w:tabs>
        <w:spacing w:line="240" w:lineRule="auto"/>
        <w:ind w:left="426" w:hanging="426"/>
        <w:rPr>
          <w:sz w:val="24"/>
          <w:szCs w:val="24"/>
        </w:rPr>
      </w:pPr>
      <w:r w:rsidRPr="00D53A2B">
        <w:rPr>
          <w:sz w:val="24"/>
          <w:szCs w:val="24"/>
        </w:rPr>
        <w:t>Genel olarak aşındırma: Bölüm 4.6 ve 4.7.10</w:t>
      </w:r>
      <w:r w:rsidR="00E56504" w:rsidRPr="00D53A2B">
        <w:rPr>
          <w:sz w:val="24"/>
          <w:szCs w:val="24"/>
        </w:rPr>
        <w:t>’</w:t>
      </w:r>
      <w:r w:rsidRPr="00D53A2B">
        <w:rPr>
          <w:sz w:val="24"/>
          <w:szCs w:val="24"/>
        </w:rPr>
        <w:t>da açıklanan sürükleme ve çoklu durulama tekniklerini kullanın. İlk durulamayı aşındırma solüsyonuna geri besleyin.</w:t>
      </w:r>
    </w:p>
    <w:p w14:paraId="61128856" w14:textId="77777777" w:rsidR="0031161F" w:rsidRPr="00D53A2B" w:rsidRDefault="0031161F" w:rsidP="00602365">
      <w:pPr>
        <w:pStyle w:val="ListeParagraf"/>
        <w:numPr>
          <w:ilvl w:val="0"/>
          <w:numId w:val="228"/>
        </w:numPr>
        <w:tabs>
          <w:tab w:val="clear" w:pos="567"/>
        </w:tabs>
        <w:spacing w:line="240" w:lineRule="auto"/>
        <w:ind w:left="426" w:hanging="426"/>
        <w:rPr>
          <w:sz w:val="24"/>
          <w:szCs w:val="24"/>
        </w:rPr>
      </w:pPr>
      <w:r w:rsidRPr="00D53A2B">
        <w:rPr>
          <w:sz w:val="24"/>
          <w:szCs w:val="24"/>
        </w:rPr>
        <w:t>Asit aşındırma: Asit ve hidrojen peroksit konsantrasyonunu düzenli olarak izleyin ve optimum bir konsantrasyonu koruyun (bkz. Bölüm 4.15.6).</w:t>
      </w:r>
    </w:p>
    <w:p w14:paraId="48A62A6F" w14:textId="1F05284E" w:rsidR="00AA5BA3" w:rsidRPr="00D53A2B" w:rsidRDefault="0031161F" w:rsidP="00602365">
      <w:pPr>
        <w:pStyle w:val="ListeParagraf"/>
        <w:numPr>
          <w:ilvl w:val="0"/>
          <w:numId w:val="228"/>
        </w:numPr>
        <w:tabs>
          <w:tab w:val="clear" w:pos="567"/>
        </w:tabs>
        <w:spacing w:line="240" w:lineRule="auto"/>
        <w:ind w:left="426" w:hanging="426"/>
        <w:rPr>
          <w:sz w:val="24"/>
          <w:szCs w:val="24"/>
        </w:rPr>
      </w:pPr>
      <w:r w:rsidRPr="00D53A2B">
        <w:rPr>
          <w:sz w:val="24"/>
          <w:szCs w:val="24"/>
        </w:rPr>
        <w:t>Alkali aşındırma: Aşındırıcı ve bakır seviyesini düzenli olarak izleyin ve optimum bir konsantrasyonu koruyun. Amonyaklı aşındırma için aşındırma solüsyonunu yenileyin ve bakırı açıklandığı gibi geri kazanın (bkz. Bölüm 4.15.7).</w:t>
      </w:r>
    </w:p>
    <w:p w14:paraId="705BAB72" w14:textId="425C3634" w:rsidR="00656B33" w:rsidRPr="00D53A2B" w:rsidRDefault="00656B33" w:rsidP="00602365">
      <w:pPr>
        <w:pStyle w:val="ListeParagraf"/>
        <w:numPr>
          <w:ilvl w:val="0"/>
          <w:numId w:val="228"/>
        </w:numPr>
        <w:tabs>
          <w:tab w:val="clear" w:pos="567"/>
        </w:tabs>
        <w:spacing w:line="240" w:lineRule="auto"/>
        <w:ind w:left="426" w:hanging="426"/>
        <w:rPr>
          <w:sz w:val="24"/>
          <w:szCs w:val="24"/>
        </w:rPr>
      </w:pPr>
      <w:r w:rsidRPr="00D53A2B">
        <w:rPr>
          <w:sz w:val="24"/>
          <w:szCs w:val="24"/>
        </w:rPr>
        <w:t>Direnç sıyırma: Akışın büyüklüğüne göre filtreleme, santrifüj veya ultrafiltrasyon ile direnci atıksudan ayırın (bkz. Bölüm 4.15.8).</w:t>
      </w:r>
    </w:p>
    <w:p w14:paraId="6269112F" w14:textId="20B84530" w:rsidR="00656B33" w:rsidRPr="00D53A2B" w:rsidRDefault="00656B33" w:rsidP="00602365">
      <w:pPr>
        <w:pStyle w:val="ListeParagraf"/>
        <w:numPr>
          <w:ilvl w:val="0"/>
          <w:numId w:val="228"/>
        </w:numPr>
        <w:tabs>
          <w:tab w:val="clear" w:pos="567"/>
        </w:tabs>
        <w:spacing w:line="240" w:lineRule="auto"/>
        <w:ind w:left="426" w:hanging="426"/>
        <w:rPr>
          <w:sz w:val="24"/>
          <w:szCs w:val="24"/>
        </w:rPr>
      </w:pPr>
      <w:r w:rsidRPr="00D53A2B">
        <w:rPr>
          <w:sz w:val="24"/>
          <w:szCs w:val="24"/>
        </w:rPr>
        <w:t>Aşındırma (kalay) direncinin sıyrılması: Durulama sularını toplayın ve ayrı ayrı konsantre edin. Kalay açısından zengin çamuru çökeltin ve harici geri kazanım için gönderin (bkz. Bölüm 4.15.9).</w:t>
      </w:r>
    </w:p>
    <w:p w14:paraId="22A35239" w14:textId="73C521B8" w:rsidR="00AA5BA3" w:rsidRPr="00D53A2B" w:rsidRDefault="00656B33" w:rsidP="00602365">
      <w:pPr>
        <w:pStyle w:val="ListeParagraf"/>
        <w:numPr>
          <w:ilvl w:val="0"/>
          <w:numId w:val="228"/>
        </w:numPr>
        <w:tabs>
          <w:tab w:val="clear" w:pos="567"/>
        </w:tabs>
        <w:spacing w:line="240" w:lineRule="auto"/>
        <w:ind w:left="426" w:hanging="426"/>
        <w:rPr>
          <w:sz w:val="24"/>
          <w:szCs w:val="24"/>
        </w:rPr>
      </w:pPr>
      <w:r w:rsidRPr="00D53A2B">
        <w:rPr>
          <w:sz w:val="24"/>
          <w:szCs w:val="24"/>
        </w:rPr>
        <w:t>Kullanılmış çözeltilerin bertarafı: Birçok çözelti, şunlar için kullanılanlar gibi kompleksleştirici maddeler içerir:</w:t>
      </w:r>
    </w:p>
    <w:p w14:paraId="3A4AB0C8" w14:textId="77777777" w:rsidR="00656B33" w:rsidRPr="00D53A2B" w:rsidRDefault="00656B33" w:rsidP="00602365">
      <w:pPr>
        <w:pStyle w:val="ListeParagraf"/>
        <w:numPr>
          <w:ilvl w:val="0"/>
          <w:numId w:val="229"/>
        </w:numPr>
        <w:rPr>
          <w:sz w:val="24"/>
          <w:szCs w:val="24"/>
        </w:rPr>
      </w:pPr>
      <w:r w:rsidRPr="00D53A2B">
        <w:rPr>
          <w:sz w:val="24"/>
          <w:szCs w:val="24"/>
        </w:rPr>
        <w:t>daldırma veya doğrudan kaplama</w:t>
      </w:r>
    </w:p>
    <w:p w14:paraId="1CB561AC" w14:textId="5E6CCAA9" w:rsidR="00AA5BA3" w:rsidRPr="00D53A2B" w:rsidRDefault="00656B33" w:rsidP="00602365">
      <w:pPr>
        <w:pStyle w:val="ListeParagraf"/>
        <w:numPr>
          <w:ilvl w:val="0"/>
          <w:numId w:val="229"/>
        </w:numPr>
        <w:rPr>
          <w:sz w:val="24"/>
          <w:szCs w:val="24"/>
        </w:rPr>
      </w:pPr>
      <w:r w:rsidRPr="00D53A2B">
        <w:rPr>
          <w:sz w:val="24"/>
          <w:szCs w:val="24"/>
        </w:rPr>
        <w:t>iç katmanlar için siyah veya kahverengi oksit işlemi</w:t>
      </w:r>
    </w:p>
    <w:p w14:paraId="33DD6D56" w14:textId="77777777" w:rsidR="00E56504" w:rsidRPr="00D53A2B" w:rsidRDefault="00E56504" w:rsidP="00A202FD">
      <w:pPr>
        <w:jc w:val="both"/>
      </w:pPr>
    </w:p>
    <w:p w14:paraId="3848C3FA" w14:textId="1A078409" w:rsidR="00656B33" w:rsidRPr="00D53A2B" w:rsidRDefault="00656B33" w:rsidP="00A202FD">
      <w:pPr>
        <w:jc w:val="both"/>
      </w:pPr>
      <w:r w:rsidRPr="00D53A2B">
        <w:t>Bunları Bölüm 4.15.10</w:t>
      </w:r>
      <w:r w:rsidR="00E56504" w:rsidRPr="00D53A2B">
        <w:t>’</w:t>
      </w:r>
      <w:r w:rsidRPr="00D53A2B">
        <w:t xml:space="preserve">a göre değerlendirmek ve bertaraf etmek </w:t>
      </w:r>
      <w:r w:rsidR="00E56504" w:rsidRPr="00D53A2B">
        <w:t>MET’tir</w:t>
      </w:r>
      <w:r w:rsidRPr="00D53A2B">
        <w:t>.</w:t>
      </w:r>
    </w:p>
    <w:p w14:paraId="581AEA73" w14:textId="36A7831A" w:rsidR="00656B33" w:rsidRPr="00D53A2B" w:rsidRDefault="00656B33" w:rsidP="00602365">
      <w:pPr>
        <w:pStyle w:val="ListeParagraf"/>
        <w:numPr>
          <w:ilvl w:val="0"/>
          <w:numId w:val="228"/>
        </w:numPr>
        <w:tabs>
          <w:tab w:val="clear" w:pos="567"/>
        </w:tabs>
        <w:spacing w:line="240" w:lineRule="auto"/>
        <w:ind w:left="426" w:hanging="426"/>
        <w:rPr>
          <w:sz w:val="24"/>
          <w:szCs w:val="24"/>
        </w:rPr>
      </w:pPr>
      <w:r w:rsidRPr="00D53A2B">
        <w:rPr>
          <w:sz w:val="24"/>
          <w:szCs w:val="24"/>
        </w:rPr>
        <w:t>Lehim maskesi uygulamasından kaynaklanan hava emisyonlarını azaltmak için: yüksek katı maddeli, düşük VOC reçineleri kullanın (bkz. Bölüm 4.15.11).</w:t>
      </w:r>
    </w:p>
    <w:p w14:paraId="189EB220" w14:textId="77777777" w:rsidR="000D691C" w:rsidRPr="00D53A2B" w:rsidRDefault="000D691C" w:rsidP="00A202FD">
      <w:pPr>
        <w:tabs>
          <w:tab w:val="left" w:pos="567"/>
        </w:tabs>
        <w:spacing w:after="240"/>
        <w:ind w:left="567" w:hanging="283"/>
        <w:contextualSpacing/>
        <w:jc w:val="both"/>
      </w:pPr>
    </w:p>
    <w:p w14:paraId="4A43E847" w14:textId="77777777" w:rsidR="0007690F" w:rsidRPr="00D53A2B" w:rsidRDefault="0007690F" w:rsidP="00A202FD">
      <w:pPr>
        <w:tabs>
          <w:tab w:val="left" w:pos="567"/>
        </w:tabs>
        <w:spacing w:after="240"/>
        <w:ind w:left="567" w:hanging="283"/>
        <w:contextualSpacing/>
        <w:jc w:val="both"/>
        <w:sectPr w:rsidR="0007690F" w:rsidRPr="00D53A2B" w:rsidSect="008A41DE">
          <w:headerReference w:type="even" r:id="rId10"/>
          <w:headerReference w:type="default" r:id="rId11"/>
          <w:type w:val="nextColumn"/>
          <w:pgSz w:w="11906" w:h="16838" w:code="9"/>
          <w:pgMar w:top="1418" w:right="1700" w:bottom="1418" w:left="1418" w:header="0" w:footer="3" w:gutter="0"/>
          <w:cols w:space="708"/>
          <w:noEndnote/>
          <w:docGrid w:linePitch="360"/>
        </w:sectPr>
      </w:pPr>
    </w:p>
    <w:p w14:paraId="2A32CE53" w14:textId="610C8136" w:rsidR="0007690F" w:rsidRPr="00D53A2B" w:rsidRDefault="00984365" w:rsidP="00A202FD">
      <w:pPr>
        <w:pStyle w:val="Balk1"/>
        <w:jc w:val="both"/>
        <w:rPr>
          <w:szCs w:val="24"/>
          <w:lang w:eastAsia="en-US"/>
        </w:rPr>
      </w:pPr>
      <w:r>
        <w:rPr>
          <w:szCs w:val="24"/>
          <w:lang w:eastAsia="en-US"/>
        </w:rPr>
        <w:t xml:space="preserve">                                                                                                                                              </w:t>
      </w:r>
      <w:r w:rsidR="0007690F" w:rsidRPr="00D53A2B">
        <w:rPr>
          <w:szCs w:val="24"/>
          <w:lang w:eastAsia="en-US"/>
        </w:rPr>
        <w:t>EK-6</w:t>
      </w:r>
    </w:p>
    <w:p w14:paraId="7A221A85" w14:textId="0F1D6BD6" w:rsidR="0007690F" w:rsidRDefault="0007690F" w:rsidP="00A202FD">
      <w:pPr>
        <w:pStyle w:val="Balk1"/>
        <w:jc w:val="both"/>
        <w:rPr>
          <w:szCs w:val="24"/>
          <w:lang w:eastAsia="en-US"/>
        </w:rPr>
      </w:pPr>
      <w:r w:rsidRPr="00D53A2B">
        <w:rPr>
          <w:szCs w:val="24"/>
          <w:lang w:eastAsia="en-US"/>
        </w:rPr>
        <w:t>DÖKÜMHANE VE DEMİR İŞLEME SANAYİSİ İÇİN MEVCUT EN İYİ TEKNİKLER</w:t>
      </w:r>
    </w:p>
    <w:p w14:paraId="76BEB479" w14:textId="0D1E8DF5" w:rsidR="00286B0A" w:rsidRDefault="00286B0A" w:rsidP="00286B0A">
      <w:pPr>
        <w:rPr>
          <w:lang w:eastAsia="en-US"/>
        </w:rPr>
      </w:pPr>
    </w:p>
    <w:p w14:paraId="7F331A8E" w14:textId="5FDB0D4D" w:rsidR="00286B0A" w:rsidRDefault="00096112" w:rsidP="009077F5">
      <w:pPr>
        <w:jc w:val="both"/>
        <w:rPr>
          <w:lang w:eastAsia="en-US"/>
        </w:rPr>
      </w:pPr>
      <w:r>
        <w:rPr>
          <w:lang w:eastAsia="en-US"/>
        </w:rPr>
        <w:t>1-</w:t>
      </w:r>
      <w:r w:rsidR="00286B0A">
        <w:rPr>
          <w:lang w:eastAsia="en-US"/>
        </w:rPr>
        <w:tab/>
        <w:t xml:space="preserve">Bu MET sonuçları, </w:t>
      </w:r>
      <w:r w:rsidR="00351381" w:rsidRPr="00351381">
        <w:rPr>
          <w:lang w:eastAsia="en-US"/>
        </w:rPr>
        <w:t xml:space="preserve">Bu EK Endüstriyel emisyonların Yönetimi Yönetmeliği’nin EK-1 inde yer alan </w:t>
      </w:r>
      <w:r w:rsidR="00286B0A">
        <w:rPr>
          <w:lang w:eastAsia="en-US"/>
        </w:rPr>
        <w:t xml:space="preserve"> 2.3, 2.4, 2.5 ve 6.11 no.’lu kısımlarda açıklanan faaliyetleri kapsar:</w:t>
      </w:r>
    </w:p>
    <w:p w14:paraId="668EC22E" w14:textId="77777777" w:rsidR="00286B0A" w:rsidRDefault="00286B0A" w:rsidP="009077F5">
      <w:pPr>
        <w:jc w:val="both"/>
        <w:rPr>
          <w:lang w:eastAsia="en-US"/>
        </w:rPr>
      </w:pPr>
    </w:p>
    <w:p w14:paraId="0DBC3DA6" w14:textId="2B438B21" w:rsidR="00286B0A" w:rsidRDefault="00286B0A" w:rsidP="009077F5">
      <w:pPr>
        <w:pStyle w:val="ListeParagraf"/>
        <w:numPr>
          <w:ilvl w:val="2"/>
          <w:numId w:val="316"/>
        </w:numPr>
        <w:ind w:left="709" w:firstLine="0"/>
      </w:pPr>
      <w:r>
        <w:t>2.3: Demirli metallerin işlenmesi:Her bir çekicin enerjisi 50 kilo julü aşan ve kullanılan ısıl gücün 20 MW’ı geçtiği çekiçlerle yapılan dövme işlemleri.</w:t>
      </w:r>
    </w:p>
    <w:p w14:paraId="0995C21B" w14:textId="4A44916A" w:rsidR="00286B0A" w:rsidRDefault="00286B0A" w:rsidP="009077F5">
      <w:pPr>
        <w:pStyle w:val="ListeParagraf"/>
        <w:numPr>
          <w:ilvl w:val="2"/>
          <w:numId w:val="316"/>
        </w:numPr>
        <w:ind w:left="709" w:firstLine="0"/>
      </w:pPr>
      <w:r>
        <w:t>2.4: Günlük üretim kapasitesi 20 tonu aşan demirli metal dökümhanelerinin işletilmesi.</w:t>
      </w:r>
    </w:p>
    <w:p w14:paraId="24429FD4" w14:textId="77777777" w:rsidR="00096112" w:rsidRDefault="00286B0A" w:rsidP="00096112">
      <w:pPr>
        <w:pStyle w:val="ListeParagraf"/>
        <w:numPr>
          <w:ilvl w:val="2"/>
          <w:numId w:val="316"/>
        </w:numPr>
        <w:ind w:left="709" w:firstLine="0"/>
      </w:pPr>
      <w:r>
        <w:t>2.5. Demir dışı metallerin işlenmesi:Kurşun ve kadmiyum için günlük 4 tonu, diğer metaller için ise günlük 20 tonu aşan eritme kapasitesine sahip geri kazanılmış ürünlerin de dahil olduğu demir dışı metallerin eritilmesi ve alaşımlanması ile demir dışı metal dökümhanelerinin işletilmesi.</w:t>
      </w:r>
    </w:p>
    <w:p w14:paraId="3F84CC24" w14:textId="362B859D" w:rsidR="00286B0A" w:rsidRDefault="00286B0A" w:rsidP="009077F5">
      <w:pPr>
        <w:pStyle w:val="ListeParagraf"/>
        <w:numPr>
          <w:ilvl w:val="2"/>
          <w:numId w:val="316"/>
        </w:numPr>
        <w:ind w:left="709" w:firstLine="0"/>
      </w:pPr>
      <w:r>
        <w:t>6.11: Kentsel Atıksu Arıtımı Yönetmeliği kapsamında olmayan ve ana kirletici yükün bu MET sonuçları kapsamında yer alan faaliyetlerden kaynaklandığı bağımsız atık su arıtma işlemleri.</w:t>
      </w:r>
    </w:p>
    <w:p w14:paraId="649869E7" w14:textId="77777777" w:rsidR="00286B0A" w:rsidRDefault="00286B0A" w:rsidP="009077F5">
      <w:pPr>
        <w:jc w:val="both"/>
        <w:rPr>
          <w:lang w:eastAsia="en-US"/>
        </w:rPr>
      </w:pPr>
    </w:p>
    <w:p w14:paraId="4623A12D" w14:textId="6AC3A3C5" w:rsidR="00286B0A" w:rsidRDefault="00744F00" w:rsidP="009077F5">
      <w:pPr>
        <w:jc w:val="both"/>
        <w:rPr>
          <w:lang w:eastAsia="en-US"/>
        </w:rPr>
      </w:pPr>
      <w:r>
        <w:rPr>
          <w:lang w:eastAsia="en-US"/>
        </w:rPr>
        <w:t>2-</w:t>
      </w:r>
      <w:r w:rsidR="00286B0A">
        <w:rPr>
          <w:lang w:eastAsia="en-US"/>
        </w:rPr>
        <w:tab/>
        <w:t>Bu MET sonuçları ayrıca şunları da kapsamaktadır:</w:t>
      </w:r>
    </w:p>
    <w:p w14:paraId="5FEB2884" w14:textId="5CBD3F38" w:rsidR="00286B0A" w:rsidRDefault="00286B0A" w:rsidP="009077F5">
      <w:pPr>
        <w:pStyle w:val="ListeParagraf"/>
        <w:numPr>
          <w:ilvl w:val="0"/>
          <w:numId w:val="317"/>
        </w:numPr>
      </w:pPr>
      <w:r>
        <w:t>Son şekline veya yakın bir şekline ulaşan gri veya nodüler demir dökümleri üretimi için sürekli döküm işlemleri uygulayan demirli metal dökümhaneleri.</w:t>
      </w:r>
    </w:p>
    <w:p w14:paraId="5B7E42BE" w14:textId="4995F3D7" w:rsidR="00286B0A" w:rsidRDefault="00286B0A" w:rsidP="009077F5">
      <w:pPr>
        <w:pStyle w:val="ListeParagraf"/>
        <w:numPr>
          <w:ilvl w:val="0"/>
          <w:numId w:val="317"/>
        </w:numPr>
      </w:pPr>
      <w:r>
        <w:t>Alaşımlı külçeler, hurdalar, geri kazanılmış ürünler veya sıvı metal kullanılarak son şekline veya yakın bir şekline ulaşan dökümler üreten demir dışı metal dökümhaneleri.</w:t>
      </w:r>
    </w:p>
    <w:p w14:paraId="15D3575B" w14:textId="114F4C0F" w:rsidR="00286B0A" w:rsidRDefault="00286B0A" w:rsidP="009077F5">
      <w:pPr>
        <w:pStyle w:val="ListeParagraf"/>
        <w:numPr>
          <w:ilvl w:val="0"/>
          <w:numId w:val="317"/>
        </w:numPr>
      </w:pPr>
      <w:r>
        <w:t>Farklı kaynaklardan gelen atık suyun birleşik arıtımı, eğer ana kirletici yük bu MET  sonuçları kapsamındaki faaliyetlerden kaynaklanıyorsa ve atık su arıtımı Kentsel Atıksu Arıtımı Yönetmeliği kapsamına girmiyorsa.</w:t>
      </w:r>
    </w:p>
    <w:p w14:paraId="67CAF9D9" w14:textId="0786A971" w:rsidR="00286B0A" w:rsidRDefault="00286B0A" w:rsidP="009077F5">
      <w:pPr>
        <w:pStyle w:val="ListeParagraf"/>
        <w:numPr>
          <w:ilvl w:val="0"/>
          <w:numId w:val="317"/>
        </w:numPr>
      </w:pPr>
      <w:r>
        <w:t>Demirli ve demir dışı metal dökümhanelerinde kalıpların ve çekirdeklerin kaplanması.</w:t>
      </w:r>
    </w:p>
    <w:p w14:paraId="70DFF815" w14:textId="60C6B6D3" w:rsidR="00286B0A" w:rsidRDefault="00286B0A" w:rsidP="009077F5">
      <w:pPr>
        <w:pStyle w:val="ListeParagraf"/>
        <w:numPr>
          <w:ilvl w:val="0"/>
          <w:numId w:val="317"/>
        </w:numPr>
      </w:pPr>
      <w:r>
        <w:t>Malzemelerin depolanması, transferi ve taşınması; dökümhanelerde hurda ve kumun depolanması ve taşınması da dahil.</w:t>
      </w:r>
    </w:p>
    <w:p w14:paraId="5B3D404D" w14:textId="47216302" w:rsidR="00286B0A" w:rsidRDefault="00286B0A" w:rsidP="009077F5">
      <w:pPr>
        <w:pStyle w:val="ListeParagraf"/>
        <w:numPr>
          <w:ilvl w:val="0"/>
          <w:numId w:val="317"/>
        </w:numPr>
      </w:pPr>
      <w:r>
        <w:t>Yanma ürünlerinin malzemeyle doğrudan temas ettiği (örneğin, doğrudan hammadde ısıtma veya kurutma gibi) faaliyetlerle doğrudan ilişkili yanma süreçleri.</w:t>
      </w:r>
    </w:p>
    <w:p w14:paraId="2FAC8281" w14:textId="77777777" w:rsidR="00351381" w:rsidRDefault="00351381" w:rsidP="009077F5">
      <w:pPr>
        <w:jc w:val="both"/>
        <w:rPr>
          <w:lang w:eastAsia="en-US"/>
        </w:rPr>
      </w:pPr>
    </w:p>
    <w:p w14:paraId="57D8C1C8" w14:textId="3DB6B51E" w:rsidR="00286B0A" w:rsidRDefault="00744F00" w:rsidP="009077F5">
      <w:pPr>
        <w:jc w:val="both"/>
        <w:rPr>
          <w:lang w:eastAsia="en-US"/>
        </w:rPr>
      </w:pPr>
      <w:r>
        <w:rPr>
          <w:lang w:eastAsia="en-US"/>
        </w:rPr>
        <w:t>3-</w:t>
      </w:r>
      <w:r w:rsidR="00286B0A">
        <w:rPr>
          <w:lang w:eastAsia="en-US"/>
        </w:rPr>
        <w:t>)</w:t>
      </w:r>
      <w:r w:rsidR="00286B0A">
        <w:rPr>
          <w:lang w:eastAsia="en-US"/>
        </w:rPr>
        <w:tab/>
        <w:t>Bu MET sonuçları şunları kapsamaz:</w:t>
      </w:r>
    </w:p>
    <w:p w14:paraId="318F0081" w14:textId="43CCD530" w:rsidR="00286B0A" w:rsidRDefault="00286B0A" w:rsidP="009077F5">
      <w:pPr>
        <w:pStyle w:val="ListeParagraf"/>
        <w:numPr>
          <w:ilvl w:val="0"/>
          <w:numId w:val="318"/>
        </w:numPr>
      </w:pPr>
      <w:r>
        <w:t>Demir ve/veya çeliğin sürekli dökümü (ör. ince levhalar, ince şeritler ve levhalar üretmek için). Bu, Demir ve Çelik Üretimi için MET sonuçları kapsamında yer alır.</w:t>
      </w:r>
    </w:p>
    <w:p w14:paraId="56132F73" w14:textId="7D74B381" w:rsidR="00286B0A" w:rsidRDefault="00286B0A" w:rsidP="009077F5">
      <w:pPr>
        <w:pStyle w:val="ListeParagraf"/>
        <w:numPr>
          <w:ilvl w:val="0"/>
          <w:numId w:val="318"/>
        </w:numPr>
      </w:pPr>
      <w:r>
        <w:t>Ek şekillendirme gerektiren yarı işlenmiş demir dışı metal ürünlerin üretimi. Bu, Demir Dışı Metaller Sanayisi için MET sonuçları kapsamında yer alır.</w:t>
      </w:r>
    </w:p>
    <w:p w14:paraId="39103FC5" w14:textId="01EFD718" w:rsidR="00286B0A" w:rsidRDefault="00286B0A" w:rsidP="009077F5">
      <w:pPr>
        <w:pStyle w:val="ListeParagraf"/>
        <w:numPr>
          <w:ilvl w:val="0"/>
          <w:numId w:val="318"/>
        </w:numPr>
      </w:pPr>
      <w:r>
        <w:t>Döküm parçalarının kaplanması. Bu, Organik Çözücüler Kullanılarak Yüzey İşlemleri için MET sonuçları kapsamında yer alabilir.</w:t>
      </w:r>
    </w:p>
    <w:p w14:paraId="3F6B3F1C" w14:textId="0E2770DF" w:rsidR="00286B0A" w:rsidRDefault="00286B0A" w:rsidP="009077F5">
      <w:pPr>
        <w:pStyle w:val="ListeParagraf"/>
        <w:numPr>
          <w:ilvl w:val="0"/>
          <w:numId w:val="318"/>
        </w:numPr>
      </w:pPr>
      <w:r>
        <w:t>Pres dövme işlemleri.</w:t>
      </w:r>
    </w:p>
    <w:p w14:paraId="1060E726" w14:textId="5EFBD2E8" w:rsidR="00286B0A" w:rsidRDefault="00286B0A" w:rsidP="009077F5">
      <w:pPr>
        <w:pStyle w:val="ListeParagraf"/>
        <w:numPr>
          <w:ilvl w:val="0"/>
          <w:numId w:val="318"/>
        </w:numPr>
      </w:pPr>
      <w:r>
        <w:t>Dolaylı soğutma sistemlerinden gelen atık su. Bu, Endüstriyel Soğutma Sistemleri için MET sonuçları kapsamında yer alabilir.</w:t>
      </w:r>
    </w:p>
    <w:p w14:paraId="70904557" w14:textId="523D8E8E" w:rsidR="00286B0A" w:rsidRDefault="00286B0A" w:rsidP="009077F5">
      <w:pPr>
        <w:pStyle w:val="ListeParagraf"/>
        <w:numPr>
          <w:ilvl w:val="0"/>
          <w:numId w:val="318"/>
        </w:numPr>
      </w:pPr>
      <w:r>
        <w:t>Haddehaneler, Demirli Metallerin İşlenmesi Sanayisi için MET sonuçları kapsamında yer alır.</w:t>
      </w:r>
    </w:p>
    <w:p w14:paraId="69C0FEB5" w14:textId="090BDC95" w:rsidR="00286B0A" w:rsidRDefault="00286B0A" w:rsidP="009077F5">
      <w:pPr>
        <w:pStyle w:val="ListeParagraf"/>
        <w:numPr>
          <w:ilvl w:val="0"/>
          <w:numId w:val="318"/>
        </w:numPr>
      </w:pPr>
      <w:r>
        <w:t>Doğrudan temas ısıtma, kurutma veya nesne ve malzemelerin herhangi bir başka işleminde kullanılmayan sıcak gaz üreten tesisler. Bunlar, Büyük Yanma Tesisleri için MET sonuçları veya Avrupa Parlamentosu ve Konseyi'nin (AB) 2015/2193 sayılı Direktifi kapsamında yer alabilir.</w:t>
      </w:r>
    </w:p>
    <w:p w14:paraId="02C86DB5" w14:textId="77777777" w:rsidR="00351381" w:rsidRDefault="00351381" w:rsidP="009077F5">
      <w:pPr>
        <w:jc w:val="both"/>
        <w:rPr>
          <w:lang w:eastAsia="en-US"/>
        </w:rPr>
      </w:pPr>
    </w:p>
    <w:p w14:paraId="2BF8595F" w14:textId="22969CA4" w:rsidR="00286B0A" w:rsidRDefault="00744F00" w:rsidP="009077F5">
      <w:pPr>
        <w:jc w:val="both"/>
        <w:rPr>
          <w:lang w:eastAsia="en-US"/>
        </w:rPr>
      </w:pPr>
      <w:r>
        <w:rPr>
          <w:lang w:eastAsia="en-US"/>
        </w:rPr>
        <w:t>4-</w:t>
      </w:r>
      <w:r w:rsidR="00286B0A">
        <w:rPr>
          <w:lang w:eastAsia="en-US"/>
        </w:rPr>
        <w:tab/>
        <w:t>Bu MET sonuçları kapsamındaki faaliyetlerle ilgili olabilecek diğer MET sonuçları ve referans belgeler şunlardır:</w:t>
      </w:r>
    </w:p>
    <w:p w14:paraId="71894F66" w14:textId="216F0323" w:rsidR="00286B0A" w:rsidRDefault="00286B0A" w:rsidP="009077F5">
      <w:pPr>
        <w:pStyle w:val="ListeParagraf"/>
        <w:numPr>
          <w:ilvl w:val="0"/>
          <w:numId w:val="319"/>
        </w:numPr>
      </w:pPr>
      <w:r>
        <w:t>Metallerin ve Plastiklerin Yüzey İşlemi;</w:t>
      </w:r>
    </w:p>
    <w:p w14:paraId="3BB7FD9B" w14:textId="79073DE6" w:rsidR="00286B0A" w:rsidRDefault="00286B0A" w:rsidP="009077F5">
      <w:pPr>
        <w:pStyle w:val="ListeParagraf"/>
        <w:numPr>
          <w:ilvl w:val="0"/>
          <w:numId w:val="319"/>
        </w:numPr>
      </w:pPr>
      <w:r>
        <w:t>Atık Yönetimi;</w:t>
      </w:r>
    </w:p>
    <w:p w14:paraId="1C88FF66" w14:textId="770217F9" w:rsidR="00286B0A" w:rsidRDefault="00286B0A" w:rsidP="009077F5">
      <w:pPr>
        <w:pStyle w:val="ListeParagraf"/>
        <w:numPr>
          <w:ilvl w:val="0"/>
          <w:numId w:val="319"/>
        </w:numPr>
      </w:pPr>
      <w:r>
        <w:t>IED Tesislerinden Havaya ve Suya Emisyonların İzlenmesi;</w:t>
      </w:r>
    </w:p>
    <w:p w14:paraId="4EBAA899" w14:textId="5BE35D22" w:rsidR="00286B0A" w:rsidRDefault="00286B0A" w:rsidP="009077F5">
      <w:pPr>
        <w:pStyle w:val="ListeParagraf"/>
        <w:numPr>
          <w:ilvl w:val="0"/>
          <w:numId w:val="319"/>
        </w:numPr>
      </w:pPr>
      <w:r>
        <w:t>Ekonomi ve Çapraz Medya Etkileri;</w:t>
      </w:r>
    </w:p>
    <w:p w14:paraId="69E2C66D" w14:textId="7377BEE3" w:rsidR="00286B0A" w:rsidRDefault="00286B0A" w:rsidP="009077F5">
      <w:pPr>
        <w:pStyle w:val="ListeParagraf"/>
        <w:numPr>
          <w:ilvl w:val="0"/>
          <w:numId w:val="319"/>
        </w:numPr>
      </w:pPr>
      <w:r>
        <w:t>Depolamadan Kaynaklanan Emisyonlar ;</w:t>
      </w:r>
    </w:p>
    <w:p w14:paraId="3BE3436D" w14:textId="0AE989D0" w:rsidR="00286B0A" w:rsidRDefault="00286B0A" w:rsidP="009077F5">
      <w:pPr>
        <w:pStyle w:val="ListeParagraf"/>
        <w:numPr>
          <w:ilvl w:val="0"/>
          <w:numId w:val="319"/>
        </w:numPr>
      </w:pPr>
      <w:r>
        <w:t>Enerji Verimliliği.</w:t>
      </w:r>
    </w:p>
    <w:p w14:paraId="68389730" w14:textId="7B789B40" w:rsidR="00286B0A" w:rsidRPr="00286B0A" w:rsidRDefault="00744F00" w:rsidP="009077F5">
      <w:pPr>
        <w:jc w:val="both"/>
        <w:rPr>
          <w:lang w:eastAsia="en-US"/>
        </w:rPr>
      </w:pPr>
      <w:r>
        <w:rPr>
          <w:lang w:eastAsia="en-US"/>
        </w:rPr>
        <w:t>5-</w:t>
      </w:r>
      <w:r w:rsidR="00286B0A">
        <w:rPr>
          <w:lang w:eastAsia="en-US"/>
        </w:rPr>
        <w:tab/>
        <w:t>Bu MET sonuçları, kimyasalların kaydı, değerlendirilmesi, yetkilendirilmesi ve</w:t>
      </w:r>
      <w:r w:rsidR="00351381">
        <w:rPr>
          <w:lang w:eastAsia="en-US"/>
        </w:rPr>
        <w:t xml:space="preserve"> </w:t>
      </w:r>
      <w:r w:rsidR="00286B0A">
        <w:rPr>
          <w:lang w:eastAsia="en-US"/>
        </w:rPr>
        <w:t>kısıtlanması (REACH) ile maddelerin ve karışımların sınıflandırılması, etiketlenmesi ve</w:t>
      </w:r>
      <w:r w:rsidR="00351381">
        <w:rPr>
          <w:lang w:eastAsia="en-US"/>
        </w:rPr>
        <w:t xml:space="preserve"> </w:t>
      </w:r>
      <w:r w:rsidR="00286B0A">
        <w:rPr>
          <w:lang w:eastAsia="en-US"/>
        </w:rPr>
        <w:t>ambalajlanması (CLP) gibi diğer ilgili mevzuatlara halel getirmeksizin uygulanır.</w:t>
      </w:r>
    </w:p>
    <w:p w14:paraId="720771E4" w14:textId="77777777" w:rsidR="0007690F" w:rsidRPr="00D53A2B" w:rsidRDefault="0007690F" w:rsidP="00A202FD">
      <w:pPr>
        <w:pStyle w:val="Balk2"/>
        <w:rPr>
          <w:rFonts w:cs="Times New Roman"/>
          <w:szCs w:val="24"/>
        </w:rPr>
      </w:pPr>
      <w:r w:rsidRPr="00D53A2B">
        <w:rPr>
          <w:rFonts w:cs="Times New Roman"/>
          <w:bCs/>
          <w:szCs w:val="24"/>
        </w:rPr>
        <w:t>1.1. Genel MET sonuçları</w:t>
      </w:r>
    </w:p>
    <w:p w14:paraId="22A925C0" w14:textId="77777777" w:rsidR="0007690F" w:rsidRPr="00D53A2B" w:rsidRDefault="0007690F" w:rsidP="00A202FD">
      <w:pPr>
        <w:pStyle w:val="Balk3"/>
        <w:rPr>
          <w:rFonts w:cs="Times New Roman"/>
        </w:rPr>
      </w:pPr>
      <w:r w:rsidRPr="00D53A2B">
        <w:rPr>
          <w:rFonts w:cs="Times New Roman"/>
        </w:rPr>
        <w:t>1.1.1. Genel çevresel performans</w:t>
      </w:r>
    </w:p>
    <w:p w14:paraId="4E19FC35" w14:textId="77777777" w:rsidR="0007690F" w:rsidRPr="00D53A2B" w:rsidRDefault="0007690F" w:rsidP="00A202FD">
      <w:pPr>
        <w:widowControl w:val="0"/>
        <w:spacing w:after="240" w:line="276" w:lineRule="auto"/>
        <w:ind w:firstLine="1"/>
        <w:contextualSpacing/>
        <w:jc w:val="both"/>
        <w:rPr>
          <w:b/>
          <w:bCs/>
        </w:rPr>
      </w:pPr>
      <w:r w:rsidRPr="00D53A2B">
        <w:rPr>
          <w:b/>
          <w:bCs/>
        </w:rPr>
        <w:t>MET 1. Genel çevresel performansı iyileştirmek için, MET, aşağıdaki tüm özellikleri içeren bir çevre yönetim sistemi (ÇYS) geliştirmeli ve uygulamalıdır:</w:t>
      </w:r>
    </w:p>
    <w:p w14:paraId="26758026" w14:textId="1B9EAC64" w:rsidR="00870AC4" w:rsidRDefault="00870AC4" w:rsidP="00870AC4">
      <w:pPr>
        <w:widowControl w:val="0"/>
        <w:spacing w:after="240" w:line="276" w:lineRule="auto"/>
        <w:ind w:firstLine="1"/>
        <w:contextualSpacing/>
        <w:jc w:val="both"/>
      </w:pPr>
      <w:r>
        <w:t>(i) Etkili bir ÇYS’nin uygulanmasından yönetimin, üst yönetim dahil olmak üzere, sorumluluk alması, liderlik yapması ve hesap verebilirliği;</w:t>
      </w:r>
    </w:p>
    <w:p w14:paraId="04C1FFCF" w14:textId="77777777" w:rsidR="00870AC4" w:rsidRDefault="00870AC4" w:rsidP="00870AC4">
      <w:pPr>
        <w:widowControl w:val="0"/>
        <w:spacing w:after="240" w:line="276" w:lineRule="auto"/>
        <w:ind w:firstLine="1"/>
        <w:contextualSpacing/>
        <w:jc w:val="both"/>
      </w:pPr>
      <w:r>
        <w:t>(ii) Organizasyonun bağlamını belirleme, ilgili tarafların ihtiyaçlarını ve beklentilerini tanımlama, çevre için potansiyel risklerle ilişkili kurulum özelliklerini ve çevre ile insan sağlığına ilişkin geçerli yasal gereklilikleri belirleme; (iii) Kurulumun çevresel performansının sürekli iyileştirilmesini içeren bir çevre politikası geliştirme;</w:t>
      </w:r>
    </w:p>
    <w:p w14:paraId="217F5F0D" w14:textId="77777777" w:rsidR="00870AC4" w:rsidRDefault="00870AC4" w:rsidP="00870AC4">
      <w:pPr>
        <w:widowControl w:val="0"/>
        <w:spacing w:after="240" w:line="276" w:lineRule="auto"/>
        <w:ind w:firstLine="1"/>
        <w:contextualSpacing/>
        <w:jc w:val="both"/>
      </w:pPr>
      <w:r>
        <w:t xml:space="preserve">(iv) Uygun yasal gerekliliklere uyumu sağlamak da dahil olmak üzere, önemli çevresel yönler ile ilgili hedefler ve performans göstergeleri belirleme; </w:t>
      </w:r>
    </w:p>
    <w:p w14:paraId="2E6E27B4" w14:textId="77777777" w:rsidR="00870AC4" w:rsidRDefault="00870AC4" w:rsidP="00870AC4">
      <w:pPr>
        <w:widowControl w:val="0"/>
        <w:spacing w:after="240" w:line="276" w:lineRule="auto"/>
        <w:ind w:firstLine="1"/>
        <w:contextualSpacing/>
        <w:jc w:val="both"/>
      </w:pPr>
      <w:r>
        <w:t>(v) Çevresel hedeflere ulaşmak ve çevresel riskleri önlemek için gerekli prosedürleri ve eylemleri (gerekirse düzeltici ve önleyici eylemler dahil) planlama ve uygulama;</w:t>
      </w:r>
    </w:p>
    <w:p w14:paraId="52F5DDC9" w14:textId="77777777" w:rsidR="00870AC4" w:rsidRDefault="00870AC4" w:rsidP="00870AC4">
      <w:pPr>
        <w:widowControl w:val="0"/>
        <w:spacing w:after="240" w:line="276" w:lineRule="auto"/>
        <w:ind w:firstLine="1"/>
        <w:contextualSpacing/>
        <w:jc w:val="both"/>
      </w:pPr>
      <w:r>
        <w:t>(vi) Çevresel yönler ve hedeflerle ilgili yapıların, rollerin ve sorumlulukların belirlenmesi ve gerekli finansal ve insan kaynaklarının sağlanması;</w:t>
      </w:r>
    </w:p>
    <w:p w14:paraId="3D4A471B" w14:textId="77777777" w:rsidR="00870AC4" w:rsidRDefault="00870AC4" w:rsidP="00870AC4">
      <w:pPr>
        <w:widowControl w:val="0"/>
        <w:spacing w:after="240" w:line="276" w:lineRule="auto"/>
        <w:ind w:firstLine="1"/>
        <w:contextualSpacing/>
        <w:jc w:val="both"/>
      </w:pPr>
      <w:r>
        <w:t xml:space="preserve">(vii) Çalışanların, kurulumun çevresel performansını etkileyebilecek işleri hakkında gerekli yeterlilik ve farkındalığının sağlanması (örneğin, bilgi ve eğitim sağlanarak); </w:t>
      </w:r>
    </w:p>
    <w:p w14:paraId="65969D8A" w14:textId="77777777" w:rsidR="00870AC4" w:rsidRDefault="00870AC4" w:rsidP="00870AC4">
      <w:pPr>
        <w:widowControl w:val="0"/>
        <w:spacing w:after="240" w:line="276" w:lineRule="auto"/>
        <w:ind w:firstLine="1"/>
        <w:contextualSpacing/>
        <w:jc w:val="both"/>
      </w:pPr>
      <w:r>
        <w:t>(viii) Dahili ve harici iletişim;</w:t>
      </w:r>
    </w:p>
    <w:p w14:paraId="5E26A2F4" w14:textId="77777777" w:rsidR="00870AC4" w:rsidRDefault="00870AC4" w:rsidP="00870AC4">
      <w:pPr>
        <w:widowControl w:val="0"/>
        <w:spacing w:after="240" w:line="276" w:lineRule="auto"/>
        <w:ind w:firstLine="1"/>
        <w:contextualSpacing/>
        <w:jc w:val="both"/>
      </w:pPr>
      <w:r>
        <w:t>(ix) Çalışanların iyi çevre yönetim uygulamalarına katılımının teşvik edilmesi;</w:t>
      </w:r>
    </w:p>
    <w:p w14:paraId="0B465318" w14:textId="77777777" w:rsidR="00870AC4" w:rsidRDefault="00870AC4" w:rsidP="00870AC4">
      <w:pPr>
        <w:widowControl w:val="0"/>
        <w:spacing w:after="240" w:line="276" w:lineRule="auto"/>
        <w:ind w:firstLine="1"/>
        <w:contextualSpacing/>
        <w:jc w:val="both"/>
      </w:pPr>
      <w:r>
        <w:t>(x) Çevresel etkisi önemli faaliyetleri kontrol etmek ve ilgili kayıtları tutmak için bir yönetim kılavuzu ve yazılı prosedürlerin oluşturulması ve sürdürülmesi;</w:t>
      </w:r>
    </w:p>
    <w:p w14:paraId="23EE7B24" w14:textId="77777777" w:rsidR="00870AC4" w:rsidRDefault="00870AC4" w:rsidP="00870AC4">
      <w:pPr>
        <w:widowControl w:val="0"/>
        <w:spacing w:after="240" w:line="276" w:lineRule="auto"/>
        <w:ind w:firstLine="1"/>
        <w:contextualSpacing/>
        <w:jc w:val="both"/>
      </w:pPr>
      <w:r>
        <w:t>(xi) Etkili operasyonel planlama ve süreç kontrolü;</w:t>
      </w:r>
    </w:p>
    <w:p w14:paraId="0EF6C921" w14:textId="77777777" w:rsidR="00870AC4" w:rsidRDefault="00870AC4" w:rsidP="00870AC4">
      <w:pPr>
        <w:widowControl w:val="0"/>
        <w:spacing w:after="240" w:line="276" w:lineRule="auto"/>
        <w:ind w:firstLine="1"/>
        <w:contextualSpacing/>
        <w:jc w:val="both"/>
      </w:pPr>
      <w:r>
        <w:t>(xii) Uygun bakım programlarının uygulanması;(xiii) Acil durum hazırlığı ve yanıt protokolleri, acil durumların olumsuz (çevresel) etkilerinin önlenmesi ve/veya hafifletilmesi;</w:t>
      </w:r>
    </w:p>
    <w:p w14:paraId="2C8EC18B" w14:textId="77777777" w:rsidR="00870AC4" w:rsidRDefault="00870AC4" w:rsidP="00870AC4">
      <w:pPr>
        <w:widowControl w:val="0"/>
        <w:spacing w:after="240" w:line="276" w:lineRule="auto"/>
        <w:ind w:firstLine="1"/>
        <w:contextualSpacing/>
        <w:jc w:val="both"/>
      </w:pPr>
      <w:r>
        <w:t>(xiv) (Yeni) bir kurulum veya bir kısmının (yeniden) tasarlanması durumunda, inşaat, bakım, işletme ve devre dışı bırakma dahil tüm yaşam boyu çevresel etkilerinin dikkate alınması;</w:t>
      </w:r>
    </w:p>
    <w:p w14:paraId="7BA3C111" w14:textId="77777777" w:rsidR="00870AC4" w:rsidRDefault="00870AC4" w:rsidP="00870AC4">
      <w:pPr>
        <w:widowControl w:val="0"/>
        <w:spacing w:after="240" w:line="276" w:lineRule="auto"/>
        <w:ind w:firstLine="1"/>
        <w:contextualSpacing/>
        <w:jc w:val="both"/>
      </w:pPr>
      <w:r>
        <w:t>(xv) İzleme ve ölçüm programının uygulanması; gerekirse, Hava ve Su Emisyonları İzleme Referans Raporu’nda bilgi bulunabilir;</w:t>
      </w:r>
    </w:p>
    <w:p w14:paraId="5432A5A1" w14:textId="77777777" w:rsidR="00870AC4" w:rsidRDefault="00870AC4" w:rsidP="00870AC4">
      <w:pPr>
        <w:widowControl w:val="0"/>
        <w:spacing w:after="240" w:line="276" w:lineRule="auto"/>
        <w:ind w:firstLine="1"/>
        <w:contextualSpacing/>
        <w:jc w:val="both"/>
      </w:pPr>
      <w:r>
        <w:t>(xvi) Düzenli olarak sektörel karşılaştırmaların uygulanması;</w:t>
      </w:r>
    </w:p>
    <w:p w14:paraId="36090674" w14:textId="77777777" w:rsidR="00870AC4" w:rsidRDefault="00870AC4" w:rsidP="00870AC4">
      <w:pPr>
        <w:widowControl w:val="0"/>
        <w:spacing w:after="240" w:line="276" w:lineRule="auto"/>
        <w:ind w:firstLine="1"/>
        <w:contextualSpacing/>
        <w:jc w:val="both"/>
      </w:pPr>
      <w:r>
        <w:t>(xvii) Çevresel performansı değerlendirmek ve ÇYS’nin planlanan düzenlemelere uygunluğunu, doğru şekilde uygulanıp uygulanmadığını ve sürdürüldüğünü belirlemek için periyodik bağımsız (mümkün olduğunca) iç denetimler ve periyodik bağımsız dış denetimler;</w:t>
      </w:r>
    </w:p>
    <w:p w14:paraId="13495860" w14:textId="77777777" w:rsidR="00870AC4" w:rsidRDefault="00870AC4" w:rsidP="00870AC4">
      <w:pPr>
        <w:widowControl w:val="0"/>
        <w:spacing w:after="240" w:line="276" w:lineRule="auto"/>
        <w:ind w:firstLine="1"/>
        <w:contextualSpacing/>
        <w:jc w:val="both"/>
      </w:pPr>
      <w:r>
        <w:t>(xviii) Uyumsuzlukların nedenlerinin değerlendirilmesi, uyumsuzluklara karşı düzeltici eylemlerin uygulanması, düzeltici eylemlerin etkinliğinin gözden geçirilmesi ve benzer uyumsuzlukların olup olmadığının veya potansiyel olarak meydana gelip gelmeyeceğinin belirlenmesi;</w:t>
      </w:r>
    </w:p>
    <w:p w14:paraId="7FD0123E" w14:textId="77777777" w:rsidR="00870AC4" w:rsidRDefault="00870AC4" w:rsidP="00870AC4">
      <w:pPr>
        <w:widowControl w:val="0"/>
        <w:spacing w:after="240" w:line="276" w:lineRule="auto"/>
        <w:ind w:firstLine="1"/>
        <w:contextualSpacing/>
        <w:jc w:val="both"/>
      </w:pPr>
      <w:r>
        <w:t>(xix) Üst yönetim tarafından ÇYS’nin periyodik gözden geçirilmesi, uygunluğu, yeterliliği ve etkinliğinin değerlendirilmesi;</w:t>
      </w:r>
    </w:p>
    <w:p w14:paraId="6C58DDA4" w14:textId="77777777" w:rsidR="00870AC4" w:rsidRDefault="00870AC4" w:rsidP="00870AC4">
      <w:pPr>
        <w:widowControl w:val="0"/>
        <w:spacing w:after="240" w:line="276" w:lineRule="auto"/>
        <w:ind w:firstLine="1"/>
        <w:contextualSpacing/>
        <w:jc w:val="both"/>
      </w:pPr>
      <w:r>
        <w:t>(xx) Temizleme tekniklerinin gelişimini takip etme ve dikkate alma.</w:t>
      </w:r>
    </w:p>
    <w:p w14:paraId="283BC601" w14:textId="77777777" w:rsidR="00870AC4" w:rsidRDefault="00870AC4" w:rsidP="00870AC4">
      <w:pPr>
        <w:widowControl w:val="0"/>
        <w:spacing w:after="240" w:line="276" w:lineRule="auto"/>
        <w:ind w:firstLine="1"/>
        <w:contextualSpacing/>
        <w:jc w:val="both"/>
      </w:pPr>
      <w:r>
        <w:t>Özellikle dökümhaneler ve demirhaneler endüstrisi için, MET, ÇYS’de aşağıdaki özellikleri de içermelidir:</w:t>
      </w:r>
    </w:p>
    <w:p w14:paraId="1827DDB9" w14:textId="77777777" w:rsidR="00870AC4" w:rsidRDefault="00870AC4" w:rsidP="00870AC4">
      <w:pPr>
        <w:widowControl w:val="0"/>
        <w:spacing w:after="240" w:line="276" w:lineRule="auto"/>
        <w:ind w:firstLine="1"/>
        <w:contextualSpacing/>
        <w:jc w:val="both"/>
      </w:pPr>
      <w:r>
        <w:t xml:space="preserve">(xxi) </w:t>
      </w:r>
      <w:r>
        <w:tab/>
        <w:t>Girdi ve çıktılar envanteri (MET 2’ye bakınız);</w:t>
      </w:r>
    </w:p>
    <w:p w14:paraId="4C71AF04" w14:textId="77777777" w:rsidR="00870AC4" w:rsidRDefault="00870AC4" w:rsidP="00870AC4">
      <w:pPr>
        <w:widowControl w:val="0"/>
        <w:spacing w:after="240" w:line="276" w:lineRule="auto"/>
        <w:ind w:firstLine="1"/>
        <w:contextualSpacing/>
        <w:jc w:val="both"/>
      </w:pPr>
      <w:r>
        <w:t>(xxii) Kimyasallar yönetim sistemi (MET 3’e bakınız);</w:t>
      </w:r>
    </w:p>
    <w:p w14:paraId="4053F7C2" w14:textId="77777777" w:rsidR="00870AC4" w:rsidRDefault="00870AC4" w:rsidP="00870AC4">
      <w:pPr>
        <w:widowControl w:val="0"/>
        <w:spacing w:after="240" w:line="276" w:lineRule="auto"/>
        <w:ind w:firstLine="1"/>
        <w:contextualSpacing/>
        <w:jc w:val="both"/>
      </w:pPr>
      <w:r>
        <w:t>(xxiii) Sızıntıların ve dökülmelerin önlenmesi ve kontrolü için bir plan (MET 4 (a)’ya bakınız);</w:t>
      </w:r>
    </w:p>
    <w:p w14:paraId="70549601" w14:textId="77777777" w:rsidR="00870AC4" w:rsidRDefault="00870AC4" w:rsidP="00870AC4">
      <w:pPr>
        <w:widowControl w:val="0"/>
        <w:spacing w:after="240" w:line="276" w:lineRule="auto"/>
        <w:ind w:firstLine="1"/>
        <w:contextualSpacing/>
        <w:jc w:val="both"/>
      </w:pPr>
      <w:r>
        <w:t>(xxiv) OTNOC yönetim planı (MET 5’e bakınız);</w:t>
      </w:r>
    </w:p>
    <w:p w14:paraId="780B9DF8" w14:textId="77777777" w:rsidR="00870AC4" w:rsidRDefault="00870AC4" w:rsidP="00870AC4">
      <w:pPr>
        <w:widowControl w:val="0"/>
        <w:spacing w:after="240" w:line="276" w:lineRule="auto"/>
        <w:ind w:firstLine="1"/>
        <w:contextualSpacing/>
        <w:jc w:val="both"/>
      </w:pPr>
      <w:r>
        <w:t>(xxv) Enerji verimliliği planı ve denetimler (MET 7 (a)’ya bakınız);</w:t>
      </w:r>
    </w:p>
    <w:p w14:paraId="70B82BCD" w14:textId="77777777" w:rsidR="00870AC4" w:rsidRDefault="00870AC4" w:rsidP="00870AC4">
      <w:pPr>
        <w:widowControl w:val="0"/>
        <w:spacing w:after="240" w:line="276" w:lineRule="auto"/>
        <w:ind w:firstLine="1"/>
        <w:contextualSpacing/>
        <w:jc w:val="both"/>
      </w:pPr>
      <w:r>
        <w:t>(xxvi) Su yönetimi planı ve denetimler (MET 35 (a)’ya bakınız);</w:t>
      </w:r>
    </w:p>
    <w:p w14:paraId="64754949" w14:textId="77777777" w:rsidR="00870AC4" w:rsidRDefault="00870AC4" w:rsidP="00870AC4">
      <w:pPr>
        <w:widowControl w:val="0"/>
        <w:spacing w:after="240" w:line="276" w:lineRule="auto"/>
        <w:ind w:firstLine="1"/>
        <w:contextualSpacing/>
        <w:jc w:val="both"/>
      </w:pPr>
      <w:r>
        <w:t>(xxvii) Gürültü ve/veya titreşim yönetim planı (MET 8’e bakınız);</w:t>
      </w:r>
    </w:p>
    <w:p w14:paraId="0289726E" w14:textId="77777777" w:rsidR="00870AC4" w:rsidRDefault="00870AC4" w:rsidP="00870AC4">
      <w:pPr>
        <w:widowControl w:val="0"/>
        <w:spacing w:after="240" w:line="276" w:lineRule="auto"/>
        <w:ind w:firstLine="1"/>
        <w:contextualSpacing/>
        <w:jc w:val="both"/>
      </w:pPr>
      <w:r>
        <w:t>(xxviii) Atık yönetimi planı (MET 10’a bakınız);</w:t>
      </w:r>
    </w:p>
    <w:p w14:paraId="53E52947" w14:textId="6DF79191" w:rsidR="00870AC4" w:rsidRPr="00D53A2B" w:rsidRDefault="00870AC4" w:rsidP="00870AC4">
      <w:pPr>
        <w:widowControl w:val="0"/>
        <w:spacing w:after="240" w:line="276" w:lineRule="auto"/>
        <w:ind w:firstLine="1"/>
        <w:contextualSpacing/>
        <w:jc w:val="both"/>
      </w:pPr>
      <w:r>
        <w:t>(xxix) Dökümhaneler için koku yönetim planı (MET 32’ye bakınız).</w:t>
      </w:r>
    </w:p>
    <w:p w14:paraId="7C8C330A" w14:textId="77777777" w:rsidR="0007690F" w:rsidRPr="00D53A2B" w:rsidRDefault="0007690F" w:rsidP="00A202FD">
      <w:pPr>
        <w:widowControl w:val="0"/>
        <w:spacing w:after="240" w:line="276" w:lineRule="auto"/>
        <w:ind w:firstLine="1"/>
        <w:contextualSpacing/>
        <w:jc w:val="both"/>
        <w:rPr>
          <w:b/>
          <w:bCs/>
          <w:i/>
          <w:iCs/>
        </w:rPr>
      </w:pPr>
      <w:r w:rsidRPr="00D53A2B">
        <w:rPr>
          <w:b/>
          <w:bCs/>
          <w:i/>
          <w:iCs/>
        </w:rPr>
        <w:t>Not</w:t>
      </w:r>
    </w:p>
    <w:p w14:paraId="298EF2C2" w14:textId="77777777" w:rsidR="0007690F" w:rsidRPr="00D53A2B" w:rsidRDefault="0007690F" w:rsidP="00A202FD">
      <w:pPr>
        <w:widowControl w:val="0"/>
        <w:spacing w:after="240" w:line="276" w:lineRule="auto"/>
        <w:ind w:firstLine="1"/>
        <w:contextualSpacing/>
        <w:jc w:val="both"/>
      </w:pPr>
      <w:r w:rsidRPr="00D53A2B">
        <w:t>Regülasyon (EC) No 1221/2009, Avrupa Birliği çevre yönetimi ve denetim sistemini (belirlemektedir; bu, bu MET ile tutarlı bir ÇYS örneğidir.</w:t>
      </w:r>
    </w:p>
    <w:p w14:paraId="6C03B425"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p w14:paraId="6522EE11" w14:textId="77777777" w:rsidR="0007690F" w:rsidRPr="00D53A2B" w:rsidRDefault="0007690F" w:rsidP="00A202FD">
      <w:pPr>
        <w:widowControl w:val="0"/>
        <w:spacing w:after="240" w:line="276" w:lineRule="auto"/>
        <w:ind w:firstLine="1"/>
        <w:contextualSpacing/>
        <w:jc w:val="both"/>
      </w:pPr>
      <w:r w:rsidRPr="00D53A2B">
        <w:t>ÇYS'nin detay seviyesi ve formalizasyon derecesi, genellikle kurulumun doğasına, ölçeğine ve karmaşıklığına ve sahip olabileceği çevresel etkilerin yelpazesiyle ilgili olacaktır.</w:t>
      </w:r>
    </w:p>
    <w:p w14:paraId="677B2492" w14:textId="77777777" w:rsidR="00243470" w:rsidRPr="00D53A2B" w:rsidRDefault="00243470" w:rsidP="00A202FD">
      <w:pPr>
        <w:widowControl w:val="0"/>
        <w:spacing w:after="240" w:line="276" w:lineRule="auto"/>
        <w:ind w:firstLine="1"/>
        <w:contextualSpacing/>
        <w:jc w:val="both"/>
      </w:pPr>
    </w:p>
    <w:p w14:paraId="0814017C" w14:textId="77777777" w:rsidR="0007690F" w:rsidRPr="00D53A2B" w:rsidRDefault="0007690F" w:rsidP="00A202FD">
      <w:pPr>
        <w:widowControl w:val="0"/>
        <w:spacing w:after="240" w:line="276" w:lineRule="auto"/>
        <w:ind w:firstLine="1"/>
        <w:contextualSpacing/>
        <w:jc w:val="both"/>
        <w:rPr>
          <w:b/>
          <w:bCs/>
        </w:rPr>
      </w:pPr>
      <w:r w:rsidRPr="00D53A2B">
        <w:rPr>
          <w:b/>
          <w:bCs/>
        </w:rPr>
        <w:t>MET 2. Genel çevresel performansı iyileştirmek için, MET, ÇYS'nin bir parçası olarak (MET 1’e bakınız), aşağıdaki tüm özellikleri içeren bir girdi ve çıktı envanteri oluşturmalı, sürdürmeli ve düzenli olarak gözden geçirmelidir (önemli bir değişiklik meydana geldiğinde de dahil):</w:t>
      </w:r>
    </w:p>
    <w:p w14:paraId="02899677" w14:textId="77777777" w:rsidR="0007690F" w:rsidRPr="00D53A2B" w:rsidRDefault="0007690F" w:rsidP="00A202FD">
      <w:pPr>
        <w:widowControl w:val="0"/>
        <w:spacing w:after="240" w:line="276" w:lineRule="auto"/>
        <w:ind w:firstLine="1"/>
        <w:contextualSpacing/>
        <w:jc w:val="both"/>
      </w:pPr>
      <w:r w:rsidRPr="00D53A2B">
        <w:t>(i) Üretim süreçleri hakkında bilgi, şunları içeren:</w:t>
      </w:r>
    </w:p>
    <w:p w14:paraId="735E1158" w14:textId="77777777" w:rsidR="0007690F" w:rsidRPr="00D53A2B" w:rsidRDefault="0007690F" w:rsidP="00A202FD">
      <w:pPr>
        <w:widowControl w:val="0"/>
        <w:spacing w:after="240" w:line="276" w:lineRule="auto"/>
        <w:ind w:firstLine="720"/>
        <w:contextualSpacing/>
        <w:jc w:val="both"/>
      </w:pPr>
      <w:r w:rsidRPr="00D53A2B">
        <w:t>(a) Hava, su ve toprak emisyonlarının kaynağını gösteren basitleştirilmiş süreç akış şemaları;</w:t>
      </w:r>
    </w:p>
    <w:p w14:paraId="7ACC4D10" w14:textId="35442DC4" w:rsidR="0007690F" w:rsidRPr="00D53A2B" w:rsidRDefault="0007690F" w:rsidP="00A202FD">
      <w:pPr>
        <w:widowControl w:val="0"/>
        <w:spacing w:after="240" w:line="276" w:lineRule="auto"/>
        <w:ind w:firstLine="720"/>
        <w:contextualSpacing/>
        <w:jc w:val="both"/>
      </w:pPr>
      <w:r w:rsidRPr="00D53A2B">
        <w:t>(b) Emisyonları önlemek veya azaltmak için süreç entegre teknikleri ve atıksu/atık gaz</w:t>
      </w:r>
      <w:r w:rsidR="004F2731" w:rsidRPr="00D53A2B">
        <w:t xml:space="preserve"> </w:t>
      </w:r>
      <w:r w:rsidRPr="00D53A2B">
        <w:t>arıtma tekniklerinin açıklamaları, bunların performansı (örneğin, bertaraf verimliliği dahil);</w:t>
      </w:r>
    </w:p>
    <w:p w14:paraId="0AB5458B" w14:textId="77777777" w:rsidR="0007690F" w:rsidRPr="00D53A2B" w:rsidRDefault="0007690F" w:rsidP="00A202FD">
      <w:pPr>
        <w:widowControl w:val="0"/>
        <w:spacing w:after="240" w:line="276" w:lineRule="auto"/>
        <w:ind w:firstLine="1"/>
        <w:contextualSpacing/>
        <w:jc w:val="both"/>
      </w:pPr>
      <w:r w:rsidRPr="00D53A2B">
        <w:t>(ii) Kullanılan hammadde (örneğin hurda, hammadde, kum) ve yakıtların (örneğin kok) miktarı ve özellikleri hakkında bilgi;</w:t>
      </w:r>
    </w:p>
    <w:p w14:paraId="67399A2B" w14:textId="77777777" w:rsidR="0007690F" w:rsidRPr="00D53A2B" w:rsidRDefault="0007690F" w:rsidP="00A202FD">
      <w:pPr>
        <w:widowControl w:val="0"/>
        <w:spacing w:after="240" w:line="276" w:lineRule="auto"/>
        <w:ind w:firstLine="1"/>
        <w:contextualSpacing/>
        <w:jc w:val="both"/>
      </w:pPr>
      <w:r w:rsidRPr="00D53A2B">
        <w:t>(iii) Su tüketimi ve kullanımı hakkında bilgi (örneğin, akış diyagramları ve su kütlesi dengeleri);</w:t>
      </w:r>
    </w:p>
    <w:p w14:paraId="27DC5810" w14:textId="77777777" w:rsidR="0007690F" w:rsidRPr="00D53A2B" w:rsidRDefault="0007690F" w:rsidP="00A202FD">
      <w:pPr>
        <w:widowControl w:val="0"/>
        <w:spacing w:after="240" w:line="276" w:lineRule="auto"/>
        <w:ind w:firstLine="1"/>
        <w:contextualSpacing/>
        <w:jc w:val="both"/>
      </w:pPr>
      <w:r w:rsidRPr="00D53A2B">
        <w:t>(iv) Enerji tüketimi ve kullanımı hakkında bilgi;</w:t>
      </w:r>
    </w:p>
    <w:p w14:paraId="4B2B1BA1" w14:textId="66984041" w:rsidR="0007690F" w:rsidRPr="00D53A2B" w:rsidRDefault="0007690F" w:rsidP="00A202FD">
      <w:pPr>
        <w:widowControl w:val="0"/>
        <w:spacing w:after="240" w:line="276" w:lineRule="auto"/>
        <w:ind w:firstLine="1"/>
        <w:contextualSpacing/>
        <w:jc w:val="both"/>
      </w:pPr>
      <w:r w:rsidRPr="00D53A2B">
        <w:t>(v) Atıksu akışlarının özellikleri hakkında bilgi, şunları içeren:</w:t>
      </w:r>
    </w:p>
    <w:p w14:paraId="4FCFC3B5" w14:textId="77777777" w:rsidR="0007690F" w:rsidRPr="00D53A2B" w:rsidRDefault="0007690F" w:rsidP="00A202FD">
      <w:pPr>
        <w:widowControl w:val="0"/>
        <w:spacing w:after="240" w:line="276" w:lineRule="auto"/>
        <w:ind w:firstLine="720"/>
        <w:contextualSpacing/>
        <w:jc w:val="both"/>
      </w:pPr>
      <w:r w:rsidRPr="00D53A2B">
        <w:t>(a) Akış, pH, sıcaklık ve iletkenliğin ortalama değerleri ve değişkenlikleri;</w:t>
      </w:r>
    </w:p>
    <w:p w14:paraId="7093D6E2" w14:textId="77777777" w:rsidR="0007690F" w:rsidRPr="00D53A2B" w:rsidRDefault="0007690F" w:rsidP="00A202FD">
      <w:pPr>
        <w:widowControl w:val="0"/>
        <w:spacing w:after="240" w:line="276" w:lineRule="auto"/>
        <w:ind w:firstLine="720"/>
        <w:contextualSpacing/>
        <w:jc w:val="both"/>
      </w:pPr>
      <w:r w:rsidRPr="00D53A2B">
        <w:t>(b) İlgili maddelerin/parametrelerin (örneğin toplam askıda katı maddeler, TOC veya COD, hidrokarbon yağ indeksi, metaller) ortalama konsantrasyon ve kütle akış değerleri ve bunların değişkenlikleri;</w:t>
      </w:r>
    </w:p>
    <w:p w14:paraId="0AD15428" w14:textId="77777777" w:rsidR="00243470" w:rsidRPr="00D53A2B" w:rsidRDefault="0007690F" w:rsidP="00A202FD">
      <w:pPr>
        <w:widowControl w:val="0"/>
        <w:spacing w:after="240" w:line="276" w:lineRule="auto"/>
        <w:ind w:firstLine="1"/>
        <w:contextualSpacing/>
        <w:jc w:val="both"/>
      </w:pPr>
      <w:r w:rsidRPr="00D53A2B">
        <w:t>(vi) Kullanılan proses kim</w:t>
      </w:r>
    </w:p>
    <w:p w14:paraId="72A79E06" w14:textId="7B2D1025" w:rsidR="0007690F" w:rsidRPr="00D53A2B" w:rsidRDefault="0007690F" w:rsidP="00A202FD">
      <w:pPr>
        <w:widowControl w:val="0"/>
        <w:spacing w:after="240" w:line="276" w:lineRule="auto"/>
        <w:ind w:firstLine="1"/>
        <w:contextualSpacing/>
        <w:jc w:val="both"/>
      </w:pPr>
      <w:r w:rsidRPr="00D53A2B">
        <w:t>yasallarının miktarı ve özellikleri hakkında bilgi:</w:t>
      </w:r>
    </w:p>
    <w:p w14:paraId="23664B2F" w14:textId="77777777" w:rsidR="0007690F" w:rsidRPr="00D53A2B" w:rsidRDefault="0007690F" w:rsidP="00A202FD">
      <w:pPr>
        <w:widowControl w:val="0"/>
        <w:spacing w:after="240" w:line="276" w:lineRule="auto"/>
        <w:ind w:firstLine="720"/>
        <w:contextualSpacing/>
        <w:jc w:val="both"/>
      </w:pPr>
      <w:r w:rsidRPr="00D53A2B">
        <w:t>(a) Çevre ve/veya insan sağlığı üzerinde olumsuz etkileri olabilecek proses kimyasallarının kimliği ve özellikleri;</w:t>
      </w:r>
    </w:p>
    <w:p w14:paraId="265F1F6B" w14:textId="77777777" w:rsidR="0007690F" w:rsidRPr="00D53A2B" w:rsidRDefault="0007690F" w:rsidP="00A202FD">
      <w:pPr>
        <w:widowControl w:val="0"/>
        <w:spacing w:after="240" w:line="276" w:lineRule="auto"/>
        <w:ind w:firstLine="720"/>
        <w:contextualSpacing/>
        <w:jc w:val="both"/>
      </w:pPr>
      <w:r w:rsidRPr="00D53A2B">
        <w:t>(b) Kullanılan proses kimyasallarının miktarları ve kullanım yerleri;</w:t>
      </w:r>
    </w:p>
    <w:p w14:paraId="2A452171" w14:textId="77777777" w:rsidR="0007690F" w:rsidRPr="00D53A2B" w:rsidRDefault="0007690F" w:rsidP="00A202FD">
      <w:pPr>
        <w:widowControl w:val="0"/>
        <w:spacing w:after="240" w:line="276" w:lineRule="auto"/>
        <w:ind w:firstLine="1"/>
        <w:contextualSpacing/>
        <w:jc w:val="both"/>
      </w:pPr>
      <w:r w:rsidRPr="00D53A2B">
        <w:t>(vii) Atık gaz akışlarının özellikleri hakkında bilgi, şunları içeren:</w:t>
      </w:r>
    </w:p>
    <w:p w14:paraId="3920B029" w14:textId="77777777" w:rsidR="0007690F" w:rsidRPr="00D53A2B" w:rsidRDefault="0007690F" w:rsidP="00A202FD">
      <w:pPr>
        <w:widowControl w:val="0"/>
        <w:spacing w:after="240" w:line="276" w:lineRule="auto"/>
        <w:ind w:firstLine="720"/>
        <w:contextualSpacing/>
        <w:jc w:val="both"/>
      </w:pPr>
      <w:r w:rsidRPr="00D53A2B">
        <w:t>(a) Akış ve sıcaklığın ortalama değerleri ve değişkenlikleri;</w:t>
      </w:r>
    </w:p>
    <w:p w14:paraId="3612F301" w14:textId="77777777" w:rsidR="0007690F" w:rsidRPr="00D53A2B" w:rsidRDefault="0007690F" w:rsidP="00A202FD">
      <w:pPr>
        <w:widowControl w:val="0"/>
        <w:spacing w:after="240" w:line="276" w:lineRule="auto"/>
        <w:ind w:firstLine="720"/>
        <w:contextualSpacing/>
        <w:jc w:val="both"/>
      </w:pPr>
      <w:r w:rsidRPr="00D53A2B">
        <w:t>(b) İlgili maddelerin (örneğin toz, NO</w:t>
      </w:r>
      <w:r w:rsidRPr="00D53A2B">
        <w:rPr>
          <w:vertAlign w:val="subscript"/>
        </w:rPr>
        <w:t>X</w:t>
      </w:r>
      <w:r w:rsidRPr="00D53A2B">
        <w:t>, SO</w:t>
      </w:r>
      <w:r w:rsidRPr="00D53A2B">
        <w:rPr>
          <w:vertAlign w:val="subscript"/>
        </w:rPr>
        <w:t>2</w:t>
      </w:r>
      <w:r w:rsidRPr="00D53A2B">
        <w:t>, CO, metaller) ortalama konsantrasyon ve kütle akış değerleri ve bunların değişkenlikleri;</w:t>
      </w:r>
    </w:p>
    <w:p w14:paraId="10014C9A" w14:textId="77777777" w:rsidR="0007690F" w:rsidRPr="00D53A2B" w:rsidRDefault="0007690F" w:rsidP="00A202FD">
      <w:pPr>
        <w:widowControl w:val="0"/>
        <w:spacing w:after="240" w:line="276" w:lineRule="auto"/>
        <w:ind w:firstLine="720"/>
        <w:contextualSpacing/>
        <w:jc w:val="both"/>
      </w:pPr>
      <w:r w:rsidRPr="00D53A2B">
        <w:t>(c) Atık gaz arıtma sistemini (örneğin oksijen, azot, su buharı) veya kurulum güvenliğini etkileyebilecek diğer maddelerin varlığı;</w:t>
      </w:r>
    </w:p>
    <w:p w14:paraId="1CE45E41" w14:textId="230F88F2" w:rsidR="0007690F" w:rsidRPr="00D53A2B" w:rsidRDefault="0007690F" w:rsidP="00A202FD">
      <w:pPr>
        <w:widowControl w:val="0"/>
        <w:spacing w:after="240" w:line="276" w:lineRule="auto"/>
        <w:ind w:firstLine="720"/>
        <w:contextualSpacing/>
        <w:jc w:val="both"/>
      </w:pPr>
      <w:r w:rsidRPr="00D53A2B">
        <w:t xml:space="preserve">(d) </w:t>
      </w:r>
      <w:r w:rsidR="00233B55" w:rsidRPr="00233B55">
        <w:t>(d) CMR 1A, CMR 1B veya CMR 2 olarak sınıflandırılan maddelerin varlığı; bu tür maddelerin varlığı örneğin, SEA Yönetmeliğine göre değerlendirilebilir;</w:t>
      </w:r>
    </w:p>
    <w:p w14:paraId="0000A0D5" w14:textId="77777777" w:rsidR="0007690F" w:rsidRPr="00D53A2B" w:rsidRDefault="0007690F" w:rsidP="00A202FD">
      <w:pPr>
        <w:widowControl w:val="0"/>
        <w:spacing w:after="240" w:line="276" w:lineRule="auto"/>
        <w:ind w:firstLine="1"/>
        <w:contextualSpacing/>
        <w:jc w:val="both"/>
      </w:pPr>
      <w:r w:rsidRPr="00D53A2B">
        <w:t>(viii) Üretilen atıkların miktarı ve özellikleri hakkında bilgi.</w:t>
      </w:r>
    </w:p>
    <w:p w14:paraId="3326CE37" w14:textId="77777777" w:rsidR="0007690F" w:rsidRPr="00D53A2B" w:rsidRDefault="0007690F" w:rsidP="00A202FD">
      <w:pPr>
        <w:widowControl w:val="0"/>
        <w:spacing w:after="240" w:line="276" w:lineRule="auto"/>
        <w:ind w:firstLine="1"/>
        <w:contextualSpacing/>
        <w:jc w:val="both"/>
        <w:rPr>
          <w:b/>
          <w:bCs/>
          <w:i/>
          <w:iCs/>
        </w:rPr>
      </w:pPr>
      <w:r w:rsidRPr="00D53A2B">
        <w:rPr>
          <w:b/>
          <w:bCs/>
          <w:i/>
          <w:iCs/>
        </w:rPr>
        <w:t>Uygulanabilirlik</w:t>
      </w:r>
    </w:p>
    <w:p w14:paraId="72C1EEB8" w14:textId="77777777" w:rsidR="0007690F" w:rsidRPr="00D53A2B" w:rsidRDefault="0007690F" w:rsidP="00A202FD">
      <w:pPr>
        <w:widowControl w:val="0"/>
        <w:spacing w:after="240" w:line="276" w:lineRule="auto"/>
        <w:ind w:firstLine="1"/>
        <w:contextualSpacing/>
        <w:jc w:val="both"/>
      </w:pPr>
      <w:r w:rsidRPr="00D53A2B">
        <w:t>Envanterin detay seviyesi ve formalizasyon derecesi, genellikle tesisin doğası, ölçeği ve karmaşıklığına ve sahip olabileceği çevresel etkilerin yelpazesiyle ilgili olacaktır.</w:t>
      </w:r>
    </w:p>
    <w:p w14:paraId="6CA36191" w14:textId="77777777" w:rsidR="00F40C62" w:rsidRPr="00D53A2B" w:rsidRDefault="00F40C62" w:rsidP="00A202FD">
      <w:pPr>
        <w:widowControl w:val="0"/>
        <w:spacing w:after="240" w:line="276" w:lineRule="auto"/>
        <w:ind w:firstLine="1"/>
        <w:contextualSpacing/>
        <w:jc w:val="both"/>
      </w:pPr>
    </w:p>
    <w:p w14:paraId="14EFEF33" w14:textId="77777777" w:rsidR="0007690F" w:rsidRPr="00D53A2B" w:rsidRDefault="0007690F" w:rsidP="00A202FD">
      <w:pPr>
        <w:widowControl w:val="0"/>
        <w:spacing w:after="240" w:line="276" w:lineRule="auto"/>
        <w:ind w:firstLine="1"/>
        <w:contextualSpacing/>
        <w:jc w:val="both"/>
        <w:rPr>
          <w:b/>
          <w:bCs/>
        </w:rPr>
      </w:pPr>
      <w:r w:rsidRPr="00D53A2B">
        <w:rPr>
          <w:b/>
          <w:bCs/>
        </w:rPr>
        <w:t>MET 3. Genel çevresel performansı iyileştirmek amacıyla, MET, ÇYS'nin (Çevre Yönetim Sistemi) bir parçası olarak, aşağıdaki tüm özellikleri içeren bir kimyasallar yönetim sistemi (KYS) geliştirmeyi ve uygulamayı önerir (Bkz. MET 1):</w:t>
      </w:r>
    </w:p>
    <w:p w14:paraId="53B82FCC" w14:textId="77777777" w:rsidR="0007690F" w:rsidRPr="00D53A2B" w:rsidRDefault="0007690F" w:rsidP="00A202FD">
      <w:pPr>
        <w:widowControl w:val="0"/>
        <w:spacing w:after="240" w:line="276" w:lineRule="auto"/>
        <w:ind w:firstLine="1"/>
        <w:contextualSpacing/>
        <w:jc w:val="both"/>
      </w:pPr>
      <w:r w:rsidRPr="00D53A2B">
        <w:t>(i)İşlem kimyasallarının tüketimini ve bunlarla ilişkili riskleri azaltmaya yönelik bir politika, bu politikanın içinde daha az zararlı işlem kimyasalları ve tedarikçilerini seçme amacı da bulunmakta olup, tehlikeli maddeler ve çok yüksek endişe taşıyan maddelerle ilişkili risklerin en aza indirilmesi ve fazla miktarda işlem kimyasalı tedarikinin engellenmesi hedeflenmektedir. İşlem kimyasallarının seçimi şu temellere dayanır:</w:t>
      </w:r>
    </w:p>
    <w:p w14:paraId="5C0E8EC2" w14:textId="77777777" w:rsidR="0007690F" w:rsidRPr="00D53A2B" w:rsidRDefault="0007690F" w:rsidP="00A202FD">
      <w:pPr>
        <w:widowControl w:val="0"/>
        <w:spacing w:after="240" w:line="276" w:lineRule="auto"/>
        <w:ind w:firstLine="720"/>
        <w:contextualSpacing/>
        <w:jc w:val="both"/>
      </w:pPr>
      <w:r w:rsidRPr="00D53A2B">
        <w:t>(a) Biyolojik yok edilebilirlik/biyolojik bozulabilirlik, ekotoksisite ve çevreye salınım potansiyelinin karşılaştırmalı analizi, çevreye salınımları azaltmak için;</w:t>
      </w:r>
    </w:p>
    <w:p w14:paraId="358786AA" w14:textId="77777777" w:rsidR="0007690F" w:rsidRPr="00D53A2B" w:rsidRDefault="0007690F" w:rsidP="00A202FD">
      <w:pPr>
        <w:widowControl w:val="0"/>
        <w:spacing w:after="240" w:line="276" w:lineRule="auto"/>
        <w:ind w:firstLine="720"/>
        <w:contextualSpacing/>
        <w:jc w:val="both"/>
      </w:pPr>
      <w:r w:rsidRPr="00D53A2B">
        <w:t>(b) İşlem kimyasallarının risklerinin, kimyasalların tehlike sınıflandırması, tesis içindeki geçiş yolları, potansiyel salınım ve maruz kalma seviyeleri göz önünde bulundurularak karakterize edilmesi;</w:t>
      </w:r>
    </w:p>
    <w:p w14:paraId="2B45E799" w14:textId="77777777" w:rsidR="0007690F" w:rsidRPr="00D53A2B" w:rsidRDefault="0007690F" w:rsidP="00A202FD">
      <w:pPr>
        <w:widowControl w:val="0"/>
        <w:spacing w:after="240" w:line="276" w:lineRule="auto"/>
        <w:ind w:firstLine="720"/>
        <w:contextualSpacing/>
        <w:jc w:val="both"/>
      </w:pPr>
      <w:r w:rsidRPr="00D53A2B">
        <w:t>(c) Geri kazanım ve yeniden kullanım potansiyeli (Bkz. MET 17 (f));</w:t>
      </w:r>
    </w:p>
    <w:p w14:paraId="33D2A922" w14:textId="77777777" w:rsidR="0007690F" w:rsidRPr="00D53A2B" w:rsidRDefault="0007690F" w:rsidP="00A202FD">
      <w:pPr>
        <w:widowControl w:val="0"/>
        <w:spacing w:after="240" w:line="276" w:lineRule="auto"/>
        <w:ind w:firstLine="720"/>
        <w:contextualSpacing/>
        <w:jc w:val="both"/>
      </w:pPr>
      <w:r w:rsidRPr="00D53A2B">
        <w:t>(d) Tehlikeli maddeler ve çok yüksek endişe taşıyan maddelerin kullanımını azaltmak amacıyla, her yıl düzenli olarak (örneğin yıllık) yeni ve daha güvenli alternatiflerin tespiti için potansiyel ikame analizi yapılması; bu, işlemin değiştirilmesi ya da çevresel etkileri olmayan ya da daha düşük olan başka işlem kimyasallarının kullanılması yoluyla gerçekleştirilebilir (Bkz. MET 11 dökümhaneler için);</w:t>
      </w:r>
    </w:p>
    <w:p w14:paraId="33AF3AF2" w14:textId="77777777" w:rsidR="0007690F" w:rsidRPr="00D53A2B" w:rsidRDefault="0007690F" w:rsidP="00A202FD">
      <w:pPr>
        <w:widowControl w:val="0"/>
        <w:spacing w:after="240" w:line="276" w:lineRule="auto"/>
        <w:ind w:firstLine="720"/>
        <w:contextualSpacing/>
        <w:jc w:val="both"/>
      </w:pPr>
      <w:r w:rsidRPr="00D53A2B">
        <w:t>(e)Tehlikeli maddeler ve çok yüksek endişe taşıyan maddelerle ilgili düzenleyici değişikliklerin izlenmesi ve geçerli yasal gereksinimlerle uyumun sağlanması.</w:t>
      </w:r>
    </w:p>
    <w:p w14:paraId="6475153A" w14:textId="77777777" w:rsidR="0007690F" w:rsidRPr="00D53A2B" w:rsidRDefault="0007690F" w:rsidP="00A202FD">
      <w:pPr>
        <w:widowControl w:val="0"/>
        <w:spacing w:after="240" w:line="276" w:lineRule="auto"/>
        <w:ind w:firstLine="1"/>
        <w:contextualSpacing/>
        <w:jc w:val="both"/>
      </w:pPr>
      <w:r w:rsidRPr="00D53A2B">
        <w:t>İşlem kimyasallarının envanteri (Bkz. MET 2 (vi)), işlem kimyasallarının seçimi için gerekli bilgileri sağlamak ve korumak amacıyla kullanılabilir.</w:t>
      </w:r>
    </w:p>
    <w:p w14:paraId="7ABC3E90" w14:textId="77777777" w:rsidR="0007690F" w:rsidRPr="00D53A2B" w:rsidRDefault="0007690F" w:rsidP="00A202FD">
      <w:pPr>
        <w:widowControl w:val="0"/>
        <w:spacing w:after="240" w:line="276" w:lineRule="auto"/>
        <w:ind w:firstLine="1"/>
        <w:contextualSpacing/>
        <w:jc w:val="both"/>
      </w:pPr>
      <w:r w:rsidRPr="00D53A2B">
        <w:t>(ii) Tehlikeli maddeler ve çok yüksek endişe taşıyan maddelerle ilişkili riskleri azaltmak veya ortadan kaldırmak amacıyla hedefler ve eylem planları.</w:t>
      </w:r>
    </w:p>
    <w:p w14:paraId="22B91B1E" w14:textId="77777777" w:rsidR="0007690F" w:rsidRPr="00D53A2B" w:rsidRDefault="0007690F" w:rsidP="00A202FD">
      <w:pPr>
        <w:widowControl w:val="0"/>
        <w:spacing w:after="240" w:line="276" w:lineRule="auto"/>
        <w:ind w:firstLine="1"/>
        <w:contextualSpacing/>
        <w:jc w:val="both"/>
      </w:pPr>
      <w:r w:rsidRPr="00D53A2B">
        <w:t>(iii) İşlem kimyasallarının tedariki, taşınması, depolanması ve kullanımı, işlem kimyasalları içeren atıkların bertarafı ve kullanılmayan işlem kimyasallarının geri dönüşümü için prosedürlerin geliştirilmesi ve uygulanması; bu, çevreye salınımları engellemek veya azaltmak için yapılmalıdır (örneğin, MET 4’e bakınız).</w:t>
      </w:r>
    </w:p>
    <w:p w14:paraId="32520AAB" w14:textId="77777777" w:rsidR="0007690F" w:rsidRPr="00D53A2B" w:rsidRDefault="0007690F" w:rsidP="00A202FD">
      <w:pPr>
        <w:widowControl w:val="0"/>
        <w:spacing w:after="240" w:line="276" w:lineRule="auto"/>
        <w:ind w:firstLine="1"/>
        <w:contextualSpacing/>
        <w:jc w:val="both"/>
        <w:rPr>
          <w:b/>
          <w:bCs/>
          <w:i/>
          <w:iCs/>
        </w:rPr>
      </w:pPr>
      <w:r w:rsidRPr="00D53A2B">
        <w:rPr>
          <w:b/>
          <w:bCs/>
          <w:i/>
          <w:iCs/>
        </w:rPr>
        <w:t>Uygulanabilirlik</w:t>
      </w:r>
    </w:p>
    <w:p w14:paraId="10700183" w14:textId="77777777" w:rsidR="0007690F" w:rsidRPr="00D53A2B" w:rsidRDefault="0007690F" w:rsidP="00A202FD">
      <w:pPr>
        <w:widowControl w:val="0"/>
        <w:spacing w:after="240" w:line="276" w:lineRule="auto"/>
        <w:ind w:firstLine="1"/>
        <w:contextualSpacing/>
        <w:jc w:val="both"/>
      </w:pPr>
      <w:r w:rsidRPr="00D53A2B">
        <w:rPr>
          <w:b/>
          <w:bCs/>
        </w:rPr>
        <w:t xml:space="preserve">KYS'nin </w:t>
      </w:r>
      <w:r w:rsidRPr="00D53A2B">
        <w:t>detay seviyesi ve formelleşme derecesi, genellikle tesisin doğasına, ölçeğine ve karmaşıklığına bağlı olacaktır.</w:t>
      </w:r>
    </w:p>
    <w:p w14:paraId="7E60F3D2" w14:textId="77777777" w:rsidR="00F40C62" w:rsidRPr="00D53A2B" w:rsidRDefault="00F40C62" w:rsidP="00A202FD">
      <w:pPr>
        <w:widowControl w:val="0"/>
        <w:spacing w:after="240" w:line="276" w:lineRule="auto"/>
        <w:ind w:firstLine="1"/>
        <w:contextualSpacing/>
        <w:jc w:val="both"/>
      </w:pPr>
    </w:p>
    <w:p w14:paraId="33F6CBB1" w14:textId="77777777" w:rsidR="0007690F" w:rsidRPr="00D53A2B" w:rsidRDefault="0007690F" w:rsidP="00A202FD">
      <w:pPr>
        <w:widowControl w:val="0"/>
        <w:spacing w:after="240" w:line="276" w:lineRule="auto"/>
        <w:ind w:firstLine="1"/>
        <w:contextualSpacing/>
        <w:jc w:val="both"/>
        <w:rPr>
          <w:b/>
          <w:bCs/>
        </w:rPr>
      </w:pPr>
      <w:r w:rsidRPr="00D53A2B">
        <w:rPr>
          <w:b/>
          <w:bCs/>
        </w:rPr>
        <w:t>MET 4. Toprak ve yer altı suyu salınımlarını önlemek veya azaltmak amacıyla, MET aşağıda verilen tüm teknikleri kullanmayı önerir.</w:t>
      </w:r>
    </w:p>
    <w:p w14:paraId="1DF11B9F" w14:textId="77777777" w:rsidR="0007690F" w:rsidRPr="00D53A2B" w:rsidRDefault="0007690F" w:rsidP="00A202FD">
      <w:pPr>
        <w:widowControl w:val="0"/>
        <w:spacing w:after="240" w:line="276" w:lineRule="auto"/>
        <w:ind w:firstLine="1"/>
        <w:contextualSpacing/>
        <w:jc w:val="both"/>
      </w:pPr>
    </w:p>
    <w:tbl>
      <w:tblPr>
        <w:tblStyle w:val="TabloKlavuzu"/>
        <w:tblW w:w="0" w:type="auto"/>
        <w:tblLook w:val="04A0" w:firstRow="1" w:lastRow="0" w:firstColumn="1" w:lastColumn="0" w:noHBand="0" w:noVBand="1"/>
      </w:tblPr>
      <w:tblGrid>
        <w:gridCol w:w="1844"/>
        <w:gridCol w:w="4552"/>
        <w:gridCol w:w="2664"/>
      </w:tblGrid>
      <w:tr w:rsidR="0007690F" w:rsidRPr="00D53A2B" w14:paraId="34AEACBF" w14:textId="77777777" w:rsidTr="00A202FD">
        <w:trPr>
          <w:trHeight w:val="320"/>
        </w:trPr>
        <w:tc>
          <w:tcPr>
            <w:tcW w:w="6219" w:type="dxa"/>
            <w:noWrap/>
            <w:hideMark/>
          </w:tcPr>
          <w:p w14:paraId="45BD5FD4"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Teknik</w:t>
            </w:r>
          </w:p>
        </w:tc>
        <w:tc>
          <w:tcPr>
            <w:tcW w:w="16208" w:type="dxa"/>
            <w:noWrap/>
            <w:hideMark/>
          </w:tcPr>
          <w:p w14:paraId="0D122348"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Açıklama</w:t>
            </w:r>
          </w:p>
        </w:tc>
        <w:tc>
          <w:tcPr>
            <w:tcW w:w="9243" w:type="dxa"/>
            <w:noWrap/>
            <w:hideMark/>
          </w:tcPr>
          <w:p w14:paraId="0BE03DC7"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Geçerlilik</w:t>
            </w:r>
          </w:p>
        </w:tc>
      </w:tr>
      <w:tr w:rsidR="0007690F" w:rsidRPr="00D53A2B" w14:paraId="6B6B8991" w14:textId="77777777" w:rsidTr="00A202FD">
        <w:trPr>
          <w:trHeight w:val="320"/>
        </w:trPr>
        <w:tc>
          <w:tcPr>
            <w:tcW w:w="6219" w:type="dxa"/>
            <w:vMerge w:val="restart"/>
            <w:noWrap/>
            <w:hideMark/>
          </w:tcPr>
          <w:p w14:paraId="2C25F0BB"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a. Sızıntı ve dökülme önleme ve kontrol planının kurulması ve uygulanması</w:t>
            </w:r>
          </w:p>
        </w:tc>
        <w:tc>
          <w:tcPr>
            <w:tcW w:w="16208" w:type="dxa"/>
            <w:noWrap/>
            <w:hideMark/>
          </w:tcPr>
          <w:p w14:paraId="46910B80"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Sızıntı ve dökülme önleme ve kontrol planı, ÇYS'nin (Bkz. MET 1) bir parçasıdır ve şunları içerir, ancak bunlarla sınırlı değildir: </w:t>
            </w:r>
          </w:p>
        </w:tc>
        <w:tc>
          <w:tcPr>
            <w:tcW w:w="9243" w:type="dxa"/>
            <w:vMerge w:val="restart"/>
            <w:noWrap/>
            <w:hideMark/>
          </w:tcPr>
          <w:p w14:paraId="457317F9"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Planın detay seviyesi, genellikle tesisin doğasına, ölçeğine, karmaşıklığına ve kullanılan sıvıların türü ve miktarına bağlı olacaktır.</w:t>
            </w:r>
          </w:p>
        </w:tc>
      </w:tr>
      <w:tr w:rsidR="0007690F" w:rsidRPr="00D53A2B" w14:paraId="6D5413AA" w14:textId="77777777" w:rsidTr="00A202FD">
        <w:trPr>
          <w:trHeight w:val="320"/>
        </w:trPr>
        <w:tc>
          <w:tcPr>
            <w:tcW w:w="6219" w:type="dxa"/>
            <w:vMerge/>
            <w:hideMark/>
          </w:tcPr>
          <w:p w14:paraId="17895EEA"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0C0AE564"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Küçük ve büyük dökülmeler için siteye özgü kaza planları; </w:t>
            </w:r>
          </w:p>
        </w:tc>
        <w:tc>
          <w:tcPr>
            <w:tcW w:w="9243" w:type="dxa"/>
            <w:vMerge/>
            <w:hideMark/>
          </w:tcPr>
          <w:p w14:paraId="190EF184"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2851A3DB" w14:textId="77777777" w:rsidTr="00A202FD">
        <w:trPr>
          <w:trHeight w:val="320"/>
        </w:trPr>
        <w:tc>
          <w:tcPr>
            <w:tcW w:w="6219" w:type="dxa"/>
            <w:vMerge/>
            <w:hideMark/>
          </w:tcPr>
          <w:p w14:paraId="4D83623C"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445C6CD7"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İlgili kişilerin rol ve sorumluluklarının belirlenmesi; </w:t>
            </w:r>
          </w:p>
        </w:tc>
        <w:tc>
          <w:tcPr>
            <w:tcW w:w="9243" w:type="dxa"/>
            <w:vMerge/>
            <w:hideMark/>
          </w:tcPr>
          <w:p w14:paraId="28C8542A"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1DAD8748" w14:textId="77777777" w:rsidTr="00A202FD">
        <w:trPr>
          <w:trHeight w:val="320"/>
        </w:trPr>
        <w:tc>
          <w:tcPr>
            <w:tcW w:w="6219" w:type="dxa"/>
            <w:vMerge/>
            <w:hideMark/>
          </w:tcPr>
          <w:p w14:paraId="5F07BECE"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472FD228"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Personelin çevre bilincinin artırılması ve dökülme olaylarına karşı eğitilmesi; </w:t>
            </w:r>
          </w:p>
        </w:tc>
        <w:tc>
          <w:tcPr>
            <w:tcW w:w="9243" w:type="dxa"/>
            <w:vMerge/>
            <w:hideMark/>
          </w:tcPr>
          <w:p w14:paraId="109E22E6"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575D5F4C" w14:textId="77777777" w:rsidTr="00A202FD">
        <w:trPr>
          <w:trHeight w:val="320"/>
        </w:trPr>
        <w:tc>
          <w:tcPr>
            <w:tcW w:w="6219" w:type="dxa"/>
            <w:vMerge/>
            <w:hideMark/>
          </w:tcPr>
          <w:p w14:paraId="252B91B3"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138150E1"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Tehlikeli maddeler ve çok yüksek endişe taşıyan maddelerin dökülme ve/veya sızıntı riski taşıyan alanların belirlenmesi ve bunların risklerine göre sıralanması; </w:t>
            </w:r>
          </w:p>
        </w:tc>
        <w:tc>
          <w:tcPr>
            <w:tcW w:w="9243" w:type="dxa"/>
            <w:vMerge/>
            <w:hideMark/>
          </w:tcPr>
          <w:p w14:paraId="63087AD6"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13151C8B" w14:textId="77777777" w:rsidTr="00A202FD">
        <w:trPr>
          <w:trHeight w:val="320"/>
        </w:trPr>
        <w:tc>
          <w:tcPr>
            <w:tcW w:w="6219" w:type="dxa"/>
            <w:vMerge/>
            <w:hideMark/>
          </w:tcPr>
          <w:p w14:paraId="341DD49B"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77720AA8"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Dökülme kontrol ekipmanlarının belirlenmesi ve düzenli olarak kullanımda, iyi durumda ve bu tür olayların meydana gelebileceği noktalara yakın olmasının sağlanması; </w:t>
            </w:r>
          </w:p>
        </w:tc>
        <w:tc>
          <w:tcPr>
            <w:tcW w:w="9243" w:type="dxa"/>
            <w:vMerge/>
            <w:hideMark/>
          </w:tcPr>
          <w:p w14:paraId="6D0FD2C1"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634B2718" w14:textId="77777777" w:rsidTr="00A202FD">
        <w:trPr>
          <w:trHeight w:val="320"/>
        </w:trPr>
        <w:tc>
          <w:tcPr>
            <w:tcW w:w="6219" w:type="dxa"/>
            <w:vMerge/>
            <w:hideMark/>
          </w:tcPr>
          <w:p w14:paraId="2BF4BFAA"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676994F4"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Dökülme kontrolünden kaynaklanan atıkların yönetimi için kılavuzlar; </w:t>
            </w:r>
          </w:p>
        </w:tc>
        <w:tc>
          <w:tcPr>
            <w:tcW w:w="9243" w:type="dxa"/>
            <w:vMerge/>
            <w:hideMark/>
          </w:tcPr>
          <w:p w14:paraId="58843752"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139A27EA" w14:textId="77777777" w:rsidTr="00A202FD">
        <w:trPr>
          <w:trHeight w:val="320"/>
        </w:trPr>
        <w:tc>
          <w:tcPr>
            <w:tcW w:w="6219" w:type="dxa"/>
            <w:vMerge/>
            <w:hideMark/>
          </w:tcPr>
          <w:p w14:paraId="5527A98C"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6DA033ED"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Depolama ve işleme alanlarının düzenli (yılda en az bir kez) denetimi, sızıntı tespiti ekipmanlarının test edilmesi ve kalibrasyonu ile vana, flanşlar gibi sızıntıların hızlıca tamir edilmesi.</w:t>
            </w:r>
          </w:p>
        </w:tc>
        <w:tc>
          <w:tcPr>
            <w:tcW w:w="9243" w:type="dxa"/>
            <w:vMerge/>
            <w:hideMark/>
          </w:tcPr>
          <w:p w14:paraId="35F503A9"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2EBC2634" w14:textId="77777777" w:rsidTr="00A202FD">
        <w:trPr>
          <w:trHeight w:val="320"/>
        </w:trPr>
        <w:tc>
          <w:tcPr>
            <w:tcW w:w="6219" w:type="dxa"/>
            <w:vMerge w:val="restart"/>
            <w:noWrap/>
            <w:hideMark/>
          </w:tcPr>
          <w:p w14:paraId="1BF9F45B"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b. İşlem alanları ve hammadde depolama alanlarının yapısal düzenlemesi ve yönetimi</w:t>
            </w:r>
          </w:p>
        </w:tc>
        <w:tc>
          <w:tcPr>
            <w:tcW w:w="16208" w:type="dxa"/>
            <w:noWrap/>
            <w:hideMark/>
          </w:tcPr>
          <w:p w14:paraId="5F201150"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Bu teknikler şunları içerir: </w:t>
            </w:r>
          </w:p>
        </w:tc>
        <w:tc>
          <w:tcPr>
            <w:tcW w:w="9243" w:type="dxa"/>
            <w:vMerge w:val="restart"/>
            <w:noWrap/>
            <w:hideMark/>
          </w:tcPr>
          <w:p w14:paraId="6C450420"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Genel olarak uygulanabilir.</w:t>
            </w:r>
          </w:p>
        </w:tc>
      </w:tr>
      <w:tr w:rsidR="0007690F" w:rsidRPr="00D53A2B" w14:paraId="729F65C8" w14:textId="77777777" w:rsidTr="00A202FD">
        <w:trPr>
          <w:trHeight w:val="320"/>
        </w:trPr>
        <w:tc>
          <w:tcPr>
            <w:tcW w:w="6219" w:type="dxa"/>
            <w:vMerge/>
            <w:hideMark/>
          </w:tcPr>
          <w:p w14:paraId="031265FF"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73DF9797"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İşlem alanları ve hurda/ham madde alanları için su geçirmez (örneğin, beton) zemin; </w:t>
            </w:r>
          </w:p>
        </w:tc>
        <w:tc>
          <w:tcPr>
            <w:tcW w:w="9243" w:type="dxa"/>
            <w:vMerge/>
            <w:hideMark/>
          </w:tcPr>
          <w:p w14:paraId="63C75F49"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36D4BD1A" w14:textId="77777777" w:rsidTr="00A202FD">
        <w:trPr>
          <w:trHeight w:val="320"/>
        </w:trPr>
        <w:tc>
          <w:tcPr>
            <w:tcW w:w="6219" w:type="dxa"/>
            <w:vMerge/>
            <w:hideMark/>
          </w:tcPr>
          <w:p w14:paraId="6810A9EE"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62540E76"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Çeşitli hammadde türleri için ayrı depolama, üretim hatlarına yakın olarak; bu, örneğin depolama alanlarında bölmeler veya kutular kullanılarak sağlanabilir.</w:t>
            </w:r>
          </w:p>
        </w:tc>
        <w:tc>
          <w:tcPr>
            <w:tcW w:w="9243" w:type="dxa"/>
            <w:vMerge/>
            <w:hideMark/>
          </w:tcPr>
          <w:p w14:paraId="4DBBC080"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7CC8AD5F" w14:textId="77777777" w:rsidTr="00A202FD">
        <w:trPr>
          <w:trHeight w:val="320"/>
        </w:trPr>
        <w:tc>
          <w:tcPr>
            <w:tcW w:w="6219" w:type="dxa"/>
            <w:vMerge w:val="restart"/>
            <w:noWrap/>
            <w:hideMark/>
          </w:tcPr>
          <w:p w14:paraId="1A6756AE"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c. Yüzeysel drenaj suyunun kirlenmesinin önlenmesi</w:t>
            </w:r>
          </w:p>
        </w:tc>
        <w:tc>
          <w:tcPr>
            <w:tcW w:w="16208" w:type="dxa"/>
            <w:noWrap/>
            <w:hideMark/>
          </w:tcPr>
          <w:p w14:paraId="09750896"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Üretim alanları ve/veya işlem kimyasallarının, atıkların veya maddelerin depolandığı ya da işlendiği alanlar, yüzeysel drenaj suyundan korunmaktadır. Bu, en azından aşağıdaki tekniklerle sağlanır: </w:t>
            </w:r>
          </w:p>
        </w:tc>
        <w:tc>
          <w:tcPr>
            <w:tcW w:w="9243" w:type="dxa"/>
            <w:vMerge w:val="restart"/>
            <w:noWrap/>
            <w:hideMark/>
          </w:tcPr>
          <w:p w14:paraId="69D71EE2"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Genel olarak uygulanabilir.</w:t>
            </w:r>
          </w:p>
        </w:tc>
      </w:tr>
      <w:tr w:rsidR="0007690F" w:rsidRPr="00D53A2B" w14:paraId="5BB68577" w14:textId="77777777" w:rsidTr="00A202FD">
        <w:trPr>
          <w:trHeight w:val="320"/>
        </w:trPr>
        <w:tc>
          <w:tcPr>
            <w:tcW w:w="6219" w:type="dxa"/>
            <w:vMerge/>
            <w:hideMark/>
          </w:tcPr>
          <w:p w14:paraId="39B01D95"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346BB193"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Tesis etrafında drenaj kanalları ve/veya dış kuyruk seti; </w:t>
            </w:r>
          </w:p>
        </w:tc>
        <w:tc>
          <w:tcPr>
            <w:tcW w:w="9243" w:type="dxa"/>
            <w:vMerge/>
            <w:hideMark/>
          </w:tcPr>
          <w:p w14:paraId="22882314"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60035B58" w14:textId="77777777" w:rsidTr="00A202FD">
        <w:trPr>
          <w:trHeight w:val="320"/>
        </w:trPr>
        <w:tc>
          <w:tcPr>
            <w:tcW w:w="6219" w:type="dxa"/>
            <w:vMerge/>
            <w:hideMark/>
          </w:tcPr>
          <w:p w14:paraId="042AFFD9"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00A5E49A"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Üretim ve/veya depolama alanları için çatı ile damlalık sistemleri.</w:t>
            </w:r>
          </w:p>
        </w:tc>
        <w:tc>
          <w:tcPr>
            <w:tcW w:w="9243" w:type="dxa"/>
            <w:vMerge/>
            <w:hideMark/>
          </w:tcPr>
          <w:p w14:paraId="773FA755"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7F880548" w14:textId="77777777" w:rsidTr="00A202FD">
        <w:trPr>
          <w:trHeight w:val="320"/>
        </w:trPr>
        <w:tc>
          <w:tcPr>
            <w:tcW w:w="6219" w:type="dxa"/>
            <w:noWrap/>
            <w:hideMark/>
          </w:tcPr>
          <w:p w14:paraId="7BD420E6"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d. Potansiyel olarak kirlenmiş yüzeysel drenaj suyunun toplanması</w:t>
            </w:r>
          </w:p>
        </w:tc>
        <w:tc>
          <w:tcPr>
            <w:tcW w:w="16208" w:type="dxa"/>
            <w:noWrap/>
            <w:hideMark/>
          </w:tcPr>
          <w:p w14:paraId="13FF00E8"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Potansiyel olarak kirlenmiş alanlardan gelen yüzeysel drenaj suyu ayrı olarak toplanır ve yalnızca uygun önlemler alındıktan sonra deşarj edilir, örneğin izleme, arıtma, yeniden kullanım.</w:t>
            </w:r>
          </w:p>
        </w:tc>
        <w:tc>
          <w:tcPr>
            <w:tcW w:w="9243" w:type="dxa"/>
            <w:noWrap/>
            <w:hideMark/>
          </w:tcPr>
          <w:p w14:paraId="38D286BE"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Genel olarak uygulanabilir.</w:t>
            </w:r>
          </w:p>
        </w:tc>
      </w:tr>
      <w:tr w:rsidR="0007690F" w:rsidRPr="00D53A2B" w14:paraId="2E2DFAC9" w14:textId="77777777" w:rsidTr="00A202FD">
        <w:trPr>
          <w:trHeight w:val="320"/>
        </w:trPr>
        <w:tc>
          <w:tcPr>
            <w:tcW w:w="6219" w:type="dxa"/>
            <w:vMerge w:val="restart"/>
            <w:noWrap/>
            <w:hideMark/>
          </w:tcPr>
          <w:p w14:paraId="203F8854"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e. İşlem kimyasallarının güvenli bir şekilde işlenmesi ve depolanması</w:t>
            </w:r>
          </w:p>
        </w:tc>
        <w:tc>
          <w:tcPr>
            <w:tcW w:w="16208" w:type="dxa"/>
            <w:noWrap/>
            <w:hideMark/>
          </w:tcPr>
          <w:p w14:paraId="405DCB05"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Bu aşağıdaki önlemleri içerir: </w:t>
            </w:r>
          </w:p>
        </w:tc>
        <w:tc>
          <w:tcPr>
            <w:tcW w:w="9243" w:type="dxa"/>
            <w:vMerge w:val="restart"/>
            <w:noWrap/>
            <w:hideMark/>
          </w:tcPr>
          <w:p w14:paraId="694243C0"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Genel olarak uygulanabilir.</w:t>
            </w:r>
          </w:p>
        </w:tc>
      </w:tr>
      <w:tr w:rsidR="0007690F" w:rsidRPr="00D53A2B" w14:paraId="0BA07DA4" w14:textId="77777777" w:rsidTr="00A202FD">
        <w:trPr>
          <w:trHeight w:val="320"/>
        </w:trPr>
        <w:tc>
          <w:tcPr>
            <w:tcW w:w="6219" w:type="dxa"/>
            <w:vMerge/>
            <w:hideMark/>
          </w:tcPr>
          <w:p w14:paraId="34FAC949"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1408CE50"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İlgili sıvılara karşı su geçirmez zeminli, çatılı ve havalandırmalı alanlarda depolama; </w:t>
            </w:r>
          </w:p>
        </w:tc>
        <w:tc>
          <w:tcPr>
            <w:tcW w:w="9243" w:type="dxa"/>
            <w:vMerge/>
            <w:hideMark/>
          </w:tcPr>
          <w:p w14:paraId="30DF8FE8"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18D38612" w14:textId="77777777" w:rsidTr="00A202FD">
        <w:trPr>
          <w:trHeight w:val="320"/>
        </w:trPr>
        <w:tc>
          <w:tcPr>
            <w:tcW w:w="6219" w:type="dxa"/>
            <w:vMerge/>
            <w:hideMark/>
          </w:tcPr>
          <w:p w14:paraId="2700C58F"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63A7D5A4"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Hidrolik istasyonlar ve yağ veya gresle yağlanan ekipmanlar için yağ geçirmez tepsiler veya bodrumlar kullanımı; </w:t>
            </w:r>
          </w:p>
        </w:tc>
        <w:tc>
          <w:tcPr>
            <w:tcW w:w="9243" w:type="dxa"/>
            <w:vMerge/>
            <w:hideMark/>
          </w:tcPr>
          <w:p w14:paraId="38BBD47D"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2EE5CD7C" w14:textId="77777777" w:rsidTr="00A202FD">
        <w:trPr>
          <w:trHeight w:val="320"/>
        </w:trPr>
        <w:tc>
          <w:tcPr>
            <w:tcW w:w="6219" w:type="dxa"/>
            <w:vMerge/>
            <w:hideMark/>
          </w:tcPr>
          <w:p w14:paraId="05CB1F08"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5C723C1D"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Dökülen sıvıların toplanması; </w:t>
            </w:r>
          </w:p>
        </w:tc>
        <w:tc>
          <w:tcPr>
            <w:tcW w:w="9243" w:type="dxa"/>
            <w:vMerge/>
            <w:hideMark/>
          </w:tcPr>
          <w:p w14:paraId="257905F2"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3EC6596E" w14:textId="77777777" w:rsidTr="00A202FD">
        <w:trPr>
          <w:trHeight w:val="320"/>
        </w:trPr>
        <w:tc>
          <w:tcPr>
            <w:tcW w:w="6219" w:type="dxa"/>
            <w:vMerge/>
            <w:hideMark/>
          </w:tcPr>
          <w:p w14:paraId="4108ED35"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0E80D7F5" w14:textId="7C35D4AB"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xml:space="preserve">— </w:t>
            </w:r>
            <w:r w:rsidR="00784CFD" w:rsidRPr="00784CFD">
              <w:rPr>
                <w:sz w:val="22"/>
                <w:szCs w:val="22"/>
              </w:rPr>
              <w:t>Proses kimyasalları, yağlayıcılar ve kaplamalar vb. için yükleme/boşaltma alanları, olası sızıntı ve dökülmelerin kontrol altına alınacağı ve saha içi arıtmaya (bkz. MET 36) veya saha dışı arıtmaya gönderileceği şekilde tasarlanmalı ve inşa edilmelidir.</w:t>
            </w:r>
          </w:p>
        </w:tc>
        <w:tc>
          <w:tcPr>
            <w:tcW w:w="9243" w:type="dxa"/>
            <w:vMerge/>
            <w:hideMark/>
          </w:tcPr>
          <w:p w14:paraId="7FE99356"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105F85D9" w14:textId="77777777" w:rsidTr="00A202FD">
        <w:trPr>
          <w:trHeight w:val="320"/>
        </w:trPr>
        <w:tc>
          <w:tcPr>
            <w:tcW w:w="6219" w:type="dxa"/>
            <w:vMerge/>
            <w:hideMark/>
          </w:tcPr>
          <w:p w14:paraId="5A61AF4B" w14:textId="77777777" w:rsidR="0007690F" w:rsidRPr="0051382C" w:rsidRDefault="0007690F" w:rsidP="00A202FD">
            <w:pPr>
              <w:widowControl w:val="0"/>
              <w:spacing w:after="240" w:line="276" w:lineRule="auto"/>
              <w:ind w:firstLine="1"/>
              <w:contextualSpacing/>
              <w:jc w:val="both"/>
              <w:rPr>
                <w:b/>
                <w:bCs/>
                <w:sz w:val="22"/>
                <w:szCs w:val="22"/>
              </w:rPr>
            </w:pPr>
          </w:p>
        </w:tc>
        <w:tc>
          <w:tcPr>
            <w:tcW w:w="16208" w:type="dxa"/>
            <w:noWrap/>
            <w:hideMark/>
          </w:tcPr>
          <w:p w14:paraId="708EC462"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Yüksek derecede yanıcı sıvılar (örneğin, metil format, TEA, DMEA, alkol içeren kalıp kaplamaları) uyumsuz maddelerden (örneğin, oksitleyiciler) ayrı olarak kapalı ve iyi havalandırılmış depolama alanlarında saklanır.</w:t>
            </w:r>
          </w:p>
        </w:tc>
        <w:tc>
          <w:tcPr>
            <w:tcW w:w="9243" w:type="dxa"/>
            <w:vMerge/>
            <w:hideMark/>
          </w:tcPr>
          <w:p w14:paraId="3010D246"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D53A2B" w14:paraId="4175D1FA" w14:textId="77777777" w:rsidTr="00A202FD">
        <w:trPr>
          <w:trHeight w:val="320"/>
        </w:trPr>
        <w:tc>
          <w:tcPr>
            <w:tcW w:w="6219" w:type="dxa"/>
            <w:noWrap/>
            <w:hideMark/>
          </w:tcPr>
          <w:p w14:paraId="3B9E9512"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f. İyi temizlik</w:t>
            </w:r>
          </w:p>
        </w:tc>
        <w:tc>
          <w:tcPr>
            <w:tcW w:w="16208" w:type="dxa"/>
            <w:noWrap/>
            <w:hideMark/>
          </w:tcPr>
          <w:p w14:paraId="4DC9B911"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Salınımların önlenmesi veya azaltılması amacıyla alınan bir dizi önlem (örneğin, ekipman, iş yüzeyleri, zeminler ve taşıma yollarının düzenli bakım ve temizliği, çevreyi koruma ve dökülmelerin hızla temizlenmesi).</w:t>
            </w:r>
          </w:p>
        </w:tc>
        <w:tc>
          <w:tcPr>
            <w:tcW w:w="9243" w:type="dxa"/>
            <w:noWrap/>
            <w:hideMark/>
          </w:tcPr>
          <w:p w14:paraId="4ECD9FBC"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Genel olarak uygulanabilir.</w:t>
            </w:r>
          </w:p>
        </w:tc>
      </w:tr>
    </w:tbl>
    <w:p w14:paraId="60054620" w14:textId="77777777" w:rsidR="0007690F" w:rsidRPr="00D53A2B" w:rsidRDefault="0007690F" w:rsidP="00A202FD">
      <w:pPr>
        <w:widowControl w:val="0"/>
        <w:spacing w:after="240" w:line="276" w:lineRule="auto"/>
        <w:ind w:firstLine="1"/>
        <w:contextualSpacing/>
        <w:jc w:val="both"/>
      </w:pPr>
      <w:r w:rsidRPr="00D53A2B">
        <w:rPr>
          <w:vanish/>
        </w:rPr>
        <w:t>Formun Üstü</w:t>
      </w:r>
    </w:p>
    <w:p w14:paraId="45601F74" w14:textId="77777777" w:rsidR="0007690F" w:rsidRPr="00D53A2B" w:rsidRDefault="0007690F" w:rsidP="00A202FD">
      <w:pPr>
        <w:widowControl w:val="0"/>
        <w:spacing w:after="240" w:line="276" w:lineRule="auto"/>
        <w:ind w:firstLine="1"/>
        <w:contextualSpacing/>
        <w:jc w:val="both"/>
      </w:pPr>
      <w:r w:rsidRPr="00D53A2B">
        <w:rPr>
          <w:b/>
          <w:bCs/>
        </w:rPr>
        <w:t>MET 5.</w:t>
      </w:r>
      <w:r w:rsidRPr="00D53A2B">
        <w:t> </w:t>
      </w:r>
      <w:r w:rsidRPr="00D53A2B">
        <w:rPr>
          <w:b/>
          <w:bCs/>
        </w:rPr>
        <w:t>OTNOC (Çevreyi Korumak için Kritik Ekipman Arızaları ve Diğer Anormal Durumlar) sıklığını azaltmak ve OTNOC sırasında salımları azaltmak için, MET, bir risk temelli OTNOC yönetim planı kurmayı ve uygulamayı önermektedir. Bu plan, ÇYS'nin (bkz. MET 1) aşağıdaki tüm unsurları içermelidir:</w:t>
      </w:r>
    </w:p>
    <w:p w14:paraId="13A37937" w14:textId="77777777" w:rsidR="0007690F" w:rsidRPr="00D53A2B" w:rsidRDefault="0007690F" w:rsidP="00A202FD">
      <w:pPr>
        <w:widowControl w:val="0"/>
        <w:spacing w:after="240" w:line="276" w:lineRule="auto"/>
        <w:ind w:firstLine="1"/>
        <w:contextualSpacing/>
        <w:jc w:val="both"/>
      </w:pPr>
      <w:r w:rsidRPr="00D53A2B">
        <w:t>(i) OTNOC potansiyelinin (örneğin, çevre koruma için kritik ekipman arızası ('kritik ekipman')), kök nedenlerinin ve potansiyel sonuçlarının belirlenmesi;</w:t>
      </w:r>
    </w:p>
    <w:p w14:paraId="016DDED1" w14:textId="6EF0E3A2" w:rsidR="0007690F" w:rsidRPr="00D53A2B" w:rsidRDefault="0007690F" w:rsidP="00A202FD">
      <w:pPr>
        <w:widowControl w:val="0"/>
        <w:spacing w:after="240" w:line="276" w:lineRule="auto"/>
        <w:ind w:firstLine="1"/>
        <w:contextualSpacing/>
        <w:jc w:val="both"/>
      </w:pPr>
      <w:r w:rsidRPr="00D53A2B">
        <w:t xml:space="preserve">(ii) Kritik ekipmanların uygun şekilde tasarımı (örneğin, gaz emisyonu </w:t>
      </w:r>
      <w:r w:rsidR="0087379A">
        <w:t>arıtımı</w:t>
      </w:r>
      <w:r w:rsidRPr="00D53A2B">
        <w:t xml:space="preserve">, atıksu </w:t>
      </w:r>
      <w:r w:rsidR="0087379A">
        <w:t>arıtımı</w:t>
      </w:r>
      <w:r w:rsidRPr="00D53A2B">
        <w:t>);</w:t>
      </w:r>
    </w:p>
    <w:p w14:paraId="6F09B55D" w14:textId="77777777" w:rsidR="0007690F" w:rsidRPr="00D53A2B" w:rsidRDefault="0007690F" w:rsidP="00A202FD">
      <w:pPr>
        <w:widowControl w:val="0"/>
        <w:spacing w:after="240" w:line="276" w:lineRule="auto"/>
        <w:ind w:firstLine="1"/>
        <w:contextualSpacing/>
        <w:jc w:val="both"/>
      </w:pPr>
      <w:r w:rsidRPr="00D53A2B">
        <w:t>(iii) Kritik ekipmanlar için bir denetim planı ve preventif bakım programının kurulması ve uygulanması (bkz. MET 1 (xii));</w:t>
      </w:r>
    </w:p>
    <w:p w14:paraId="627FAEE4" w14:textId="77777777" w:rsidR="0007690F" w:rsidRPr="00D53A2B" w:rsidRDefault="0007690F" w:rsidP="00A202FD">
      <w:pPr>
        <w:widowControl w:val="0"/>
        <w:spacing w:after="240" w:line="276" w:lineRule="auto"/>
        <w:ind w:firstLine="1"/>
        <w:contextualSpacing/>
        <w:jc w:val="both"/>
      </w:pPr>
      <w:r w:rsidRPr="00D53A2B">
        <w:t>(iv) OTNOC sırasında salımların izlenmesi (yani, tahmin edilmesi veya mümkünse ölçülmesi) ve bu salımlarla ilgili koşulların kaydedilmesi;</w:t>
      </w:r>
    </w:p>
    <w:p w14:paraId="57653AD1" w14:textId="77777777" w:rsidR="0007690F" w:rsidRPr="00D53A2B" w:rsidRDefault="0007690F" w:rsidP="00A202FD">
      <w:pPr>
        <w:widowControl w:val="0"/>
        <w:spacing w:after="240" w:line="276" w:lineRule="auto"/>
        <w:ind w:firstLine="1"/>
        <w:contextualSpacing/>
        <w:jc w:val="both"/>
      </w:pPr>
      <w:r w:rsidRPr="00D53A2B">
        <w:t>(v) OTNOC sırasında gerçekleşen salımların periyodik olarak değerlendirilmesi (örneğin, olayların sıklığı, süresi, salınan kirletici maddelerin miktarı) ve gerekirse düzeltici önlemlerin uygulanması;</w:t>
      </w:r>
    </w:p>
    <w:p w14:paraId="618E4388" w14:textId="77777777" w:rsidR="0007690F" w:rsidRPr="00D53A2B" w:rsidRDefault="0007690F" w:rsidP="00A202FD">
      <w:pPr>
        <w:widowControl w:val="0"/>
        <w:spacing w:after="240" w:line="276" w:lineRule="auto"/>
        <w:ind w:firstLine="1"/>
        <w:contextualSpacing/>
        <w:jc w:val="both"/>
      </w:pPr>
      <w:r w:rsidRPr="00D53A2B">
        <w:t>(vi) OTNOC ile ilgili belirlenen listeyi düzenli olarak gözden geçirme ve güncelleme (v. maddesindeki periyodik değerlendirme sonrasında);</w:t>
      </w:r>
    </w:p>
    <w:p w14:paraId="29C1AFEB" w14:textId="77777777" w:rsidR="0007690F" w:rsidRPr="00D53A2B" w:rsidRDefault="0007690F" w:rsidP="00A202FD">
      <w:pPr>
        <w:widowControl w:val="0"/>
        <w:spacing w:after="240" w:line="276" w:lineRule="auto"/>
        <w:ind w:firstLine="1"/>
        <w:contextualSpacing/>
        <w:jc w:val="both"/>
      </w:pPr>
      <w:r w:rsidRPr="00D53A2B">
        <w:t>(vii) Yedek sistemlerin düzenli olarak test edilmesi.</w:t>
      </w:r>
    </w:p>
    <w:p w14:paraId="06869959" w14:textId="77777777" w:rsidR="0007690F" w:rsidRPr="00D53A2B" w:rsidRDefault="0007690F" w:rsidP="00A202FD">
      <w:pPr>
        <w:widowControl w:val="0"/>
        <w:spacing w:after="240" w:line="276" w:lineRule="auto"/>
        <w:ind w:firstLine="1"/>
        <w:contextualSpacing/>
        <w:jc w:val="both"/>
        <w:rPr>
          <w:b/>
          <w:bCs/>
          <w:i/>
          <w:iCs/>
        </w:rPr>
      </w:pPr>
      <w:r w:rsidRPr="00D53A2B">
        <w:rPr>
          <w:b/>
          <w:bCs/>
          <w:i/>
          <w:iCs/>
        </w:rPr>
        <w:t>Uygulanabilirlik</w:t>
      </w:r>
      <w:r w:rsidRPr="00D53A2B">
        <w:br/>
        <w:t>OTNOC yönetim planının detay düzeyi ve formalleşme derecesi, genellikle tesisin doğasına, ölçeğine ve karmaşıklığına bağlı olarak değişir ve tesisin çevresel etkilerinin kapsamına göre şekillenir.</w:t>
      </w:r>
    </w:p>
    <w:p w14:paraId="74B5B00A" w14:textId="77777777" w:rsidR="0007690F" w:rsidRPr="00D53A2B" w:rsidRDefault="0007690F" w:rsidP="00A202FD">
      <w:pPr>
        <w:pStyle w:val="Balk3"/>
        <w:rPr>
          <w:rFonts w:cs="Times New Roman"/>
        </w:rPr>
      </w:pPr>
      <w:r w:rsidRPr="00D53A2B">
        <w:rPr>
          <w:rFonts w:cs="Times New Roman"/>
        </w:rPr>
        <w:t>1.1.2. İzleme</w:t>
      </w:r>
    </w:p>
    <w:p w14:paraId="792F5F1F" w14:textId="77777777" w:rsidR="0007690F" w:rsidRPr="00D53A2B" w:rsidRDefault="0007690F" w:rsidP="00A202FD">
      <w:pPr>
        <w:widowControl w:val="0"/>
        <w:spacing w:after="240" w:line="276" w:lineRule="auto"/>
        <w:ind w:firstLine="1"/>
        <w:contextualSpacing/>
        <w:jc w:val="both"/>
      </w:pPr>
      <w:r w:rsidRPr="00D53A2B">
        <w:rPr>
          <w:b/>
          <w:bCs/>
        </w:rPr>
        <w:t>MET 6.</w:t>
      </w:r>
      <w:r w:rsidRPr="00D53A2B">
        <w:t> </w:t>
      </w:r>
      <w:r w:rsidRPr="00D53A2B">
        <w:rPr>
          <w:b/>
          <w:bCs/>
        </w:rPr>
        <w:t>MET, aşağıdaki öğeleri her yıl en az bir kez izlemelidir:</w:t>
      </w:r>
    </w:p>
    <w:p w14:paraId="29613341" w14:textId="77777777" w:rsidR="0007690F" w:rsidRPr="00D53A2B" w:rsidRDefault="0007690F" w:rsidP="00602365">
      <w:pPr>
        <w:widowControl w:val="0"/>
        <w:numPr>
          <w:ilvl w:val="0"/>
          <w:numId w:val="248"/>
        </w:numPr>
        <w:spacing w:after="240" w:line="276" w:lineRule="auto"/>
        <w:contextualSpacing/>
        <w:jc w:val="both"/>
      </w:pPr>
      <w:r w:rsidRPr="00D53A2B">
        <w:t>Su, enerji ve kullanılan malzemelerin (proses kimyasalları dahil) tüketimi, yıllık ortalama olarak ifade edilmelidir;</w:t>
      </w:r>
    </w:p>
    <w:p w14:paraId="10F81C5C" w14:textId="06165A4F" w:rsidR="0007690F" w:rsidRPr="00D53A2B" w:rsidRDefault="0007690F" w:rsidP="00602365">
      <w:pPr>
        <w:widowControl w:val="0"/>
        <w:numPr>
          <w:ilvl w:val="0"/>
          <w:numId w:val="248"/>
        </w:numPr>
        <w:spacing w:after="240" w:line="276" w:lineRule="auto"/>
        <w:contextualSpacing/>
        <w:jc w:val="both"/>
      </w:pPr>
      <w:r w:rsidRPr="00D53A2B">
        <w:t>Üretilen atıksu miktarı, yıllık ortalama olarak ifade edilmelidir;</w:t>
      </w:r>
    </w:p>
    <w:p w14:paraId="19649D70" w14:textId="77777777" w:rsidR="0007690F" w:rsidRPr="00D53A2B" w:rsidRDefault="0007690F" w:rsidP="00602365">
      <w:pPr>
        <w:widowControl w:val="0"/>
        <w:numPr>
          <w:ilvl w:val="0"/>
          <w:numId w:val="248"/>
        </w:numPr>
        <w:spacing w:after="240" w:line="276" w:lineRule="auto"/>
        <w:contextualSpacing/>
        <w:jc w:val="both"/>
      </w:pPr>
      <w:r w:rsidRPr="00D53A2B">
        <w:t>Her tür malzemenin geri kazanım, geri dönüşüm ve/veya yeniden kullanım miktarı, yıllık ortalama olarak ifade edilmelidir;</w:t>
      </w:r>
    </w:p>
    <w:p w14:paraId="43F88503" w14:textId="77777777" w:rsidR="0007690F" w:rsidRPr="00D53A2B" w:rsidRDefault="0007690F" w:rsidP="00602365">
      <w:pPr>
        <w:widowControl w:val="0"/>
        <w:numPr>
          <w:ilvl w:val="0"/>
          <w:numId w:val="248"/>
        </w:numPr>
        <w:spacing w:after="240" w:line="276" w:lineRule="auto"/>
        <w:contextualSpacing/>
        <w:jc w:val="both"/>
      </w:pPr>
      <w:r w:rsidRPr="00D53A2B">
        <w:t>Her tür atık ve her tür atığın bertarafa gönderilen miktarı, yıllık ortalama olarak ifade edilmelidir.</w:t>
      </w:r>
    </w:p>
    <w:p w14:paraId="3013AE31" w14:textId="77777777" w:rsidR="0007690F" w:rsidRPr="00D53A2B" w:rsidRDefault="0007690F" w:rsidP="00A202FD">
      <w:pPr>
        <w:widowControl w:val="0"/>
        <w:spacing w:after="240" w:line="276" w:lineRule="auto"/>
        <w:ind w:firstLine="1"/>
        <w:contextualSpacing/>
        <w:jc w:val="both"/>
      </w:pPr>
      <w:r w:rsidRPr="00D53A2B">
        <w:rPr>
          <w:b/>
          <w:bCs/>
        </w:rPr>
        <w:t>Açıklama</w:t>
      </w:r>
      <w:r w:rsidRPr="00D53A2B">
        <w:br/>
        <w:t>İzleme tercihen doğrudan ölçümleri içermelidir. Hesaplamalar veya kayıtlar (örneğin, uygun sayaçlar veya faturalar kullanılarak) da kullanılabilir. İzleme, en uygun düzeyde (örneğin, proses veya tesis düzeyinde) yapılmalı ve proses veya tesisdeki önemli değişiklikleri dikkate almalıdır.</w:t>
      </w:r>
    </w:p>
    <w:p w14:paraId="7E0E4911" w14:textId="77777777" w:rsidR="0007690F" w:rsidRPr="00D53A2B" w:rsidRDefault="0007690F" w:rsidP="00A202FD">
      <w:pPr>
        <w:pStyle w:val="Balk3"/>
        <w:rPr>
          <w:rFonts w:cs="Times New Roman"/>
        </w:rPr>
      </w:pPr>
      <w:r w:rsidRPr="00D53A2B">
        <w:rPr>
          <w:rFonts w:cs="Times New Roman"/>
        </w:rPr>
        <w:t>1.1.3. Enerji verimliliği</w:t>
      </w:r>
    </w:p>
    <w:p w14:paraId="05160505" w14:textId="77777777" w:rsidR="0007690F" w:rsidRPr="00D53A2B" w:rsidRDefault="0007690F" w:rsidP="00A202FD">
      <w:pPr>
        <w:widowControl w:val="0"/>
        <w:spacing w:after="240" w:line="276" w:lineRule="auto"/>
        <w:ind w:firstLine="1"/>
        <w:contextualSpacing/>
        <w:jc w:val="both"/>
        <w:rPr>
          <w:b/>
          <w:bCs/>
        </w:rPr>
      </w:pPr>
      <w:r w:rsidRPr="00D53A2B">
        <w:rPr>
          <w:b/>
          <w:bCs/>
        </w:rPr>
        <w:t>MET 7. MET, tesisin genel enerji verimliliğini artırmak için aşağıda verilen tüm teknikleri kullanmalıdır.</w:t>
      </w:r>
    </w:p>
    <w:tbl>
      <w:tblPr>
        <w:tblStyle w:val="TabloKlavuzu"/>
        <w:tblW w:w="0" w:type="auto"/>
        <w:tblLook w:val="04A0" w:firstRow="1" w:lastRow="0" w:firstColumn="1" w:lastColumn="0" w:noHBand="0" w:noVBand="1"/>
      </w:tblPr>
      <w:tblGrid>
        <w:gridCol w:w="1580"/>
        <w:gridCol w:w="5860"/>
        <w:gridCol w:w="1620"/>
      </w:tblGrid>
      <w:tr w:rsidR="0007690F" w:rsidRPr="00D53A2B" w14:paraId="5DE45669" w14:textId="77777777" w:rsidTr="00A202FD">
        <w:trPr>
          <w:trHeight w:val="320"/>
        </w:trPr>
        <w:tc>
          <w:tcPr>
            <w:tcW w:w="1581" w:type="dxa"/>
            <w:noWrap/>
            <w:hideMark/>
          </w:tcPr>
          <w:p w14:paraId="38CB3D66"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Teknik</w:t>
            </w:r>
          </w:p>
        </w:tc>
        <w:tc>
          <w:tcPr>
            <w:tcW w:w="5861" w:type="dxa"/>
            <w:noWrap/>
            <w:hideMark/>
          </w:tcPr>
          <w:p w14:paraId="67FF4ED0"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Açıklama</w:t>
            </w:r>
          </w:p>
        </w:tc>
        <w:tc>
          <w:tcPr>
            <w:tcW w:w="1620" w:type="dxa"/>
            <w:noWrap/>
            <w:hideMark/>
          </w:tcPr>
          <w:p w14:paraId="487F7CD2"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Uygulama Alanı</w:t>
            </w:r>
          </w:p>
        </w:tc>
      </w:tr>
      <w:tr w:rsidR="0007690F" w:rsidRPr="00D53A2B" w14:paraId="6B8DC7A1" w14:textId="77777777" w:rsidTr="00A202FD">
        <w:trPr>
          <w:trHeight w:val="320"/>
        </w:trPr>
        <w:tc>
          <w:tcPr>
            <w:tcW w:w="1581" w:type="dxa"/>
            <w:noWrap/>
            <w:hideMark/>
          </w:tcPr>
          <w:p w14:paraId="1BD3D6FC"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a. Enerji verimliliği planı ve denetimler</w:t>
            </w:r>
          </w:p>
        </w:tc>
        <w:tc>
          <w:tcPr>
            <w:tcW w:w="5861" w:type="dxa"/>
            <w:noWrap/>
            <w:hideMark/>
          </w:tcPr>
          <w:p w14:paraId="28EB370C"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Enerji verimliliği planı, ÇYS'nin bir parçasıdır (bkz. MET 1) ve faaliyet/proseslerin spesifik enerji tüketiminin (örneğin kWh/t sıvı metal) tanımlanması, enerji verimliliği hedeflerinin belirlenmesi ve bu hedeflere ulaşmak için aksiyonların uygulanmasını içerir. Denetimler (ÇYS'nin bir parçası olarak, bkz. MET 1) her yıl en az bir kez yapılır, böylece enerji verimliliği planının hedeflerinin karşılandığından emin olunur ve denetimlerin önerileri takip edilip uygulanır. Enerji verimliliği planı, daha büyük bir tesisin genel enerji verimliliği planına (örneğin, yüzey işlemleri faaliyetleri) entegre edilebilir. Enerji verimliliği planının, denetimlerin ve enerji dengesi kaydının detay seviyesi genellikle tesisin doğasına, ölçeğine, karmaşıklığına ve kullanılan enerji kaynaklarına bağlıdır.</w:t>
            </w:r>
          </w:p>
        </w:tc>
        <w:tc>
          <w:tcPr>
            <w:tcW w:w="1620" w:type="dxa"/>
            <w:noWrap/>
            <w:hideMark/>
          </w:tcPr>
          <w:p w14:paraId="62AB955C"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Genellikle uygulanabilir.</w:t>
            </w:r>
          </w:p>
        </w:tc>
      </w:tr>
      <w:tr w:rsidR="0007690F" w:rsidRPr="00D53A2B" w14:paraId="53A951C9" w14:textId="77777777" w:rsidTr="00A202FD">
        <w:trPr>
          <w:trHeight w:val="4280"/>
        </w:trPr>
        <w:tc>
          <w:tcPr>
            <w:tcW w:w="1581" w:type="dxa"/>
            <w:noWrap/>
            <w:hideMark/>
          </w:tcPr>
          <w:p w14:paraId="39306A31"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b. Enerji dengesi kaydı</w:t>
            </w:r>
          </w:p>
        </w:tc>
        <w:tc>
          <w:tcPr>
            <w:tcW w:w="5861" w:type="dxa"/>
            <w:noWrap/>
            <w:hideMark/>
          </w:tcPr>
          <w:p w14:paraId="1166B9A3"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Enerji tüketimi ve üretimini (enerji ihracatı dahil) enerji kaynağı türüne göre bir yıl boyunca sağlayan bir enerji dengesi kaydının hazırlanması. Örneğin: </w:t>
            </w:r>
          </w:p>
          <w:p w14:paraId="2CEC61E8"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Enerji tüketimi: elektrik, doğal gaz, yenilenebilir enerji, ithal ısı ve/veya soğutma; </w:t>
            </w:r>
          </w:p>
          <w:p w14:paraId="0374C3E6"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Enerji üretimi: elektrik ve/veya buhar. </w:t>
            </w:r>
          </w:p>
          <w:p w14:paraId="318BEE07"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Bu, aşağıdakileri içerir: </w:t>
            </w:r>
          </w:p>
          <w:p w14:paraId="6037411B"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Proseslerin enerji sınırlarının tanımlanması; </w:t>
            </w:r>
          </w:p>
          <w:p w14:paraId="42C99C59"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Tesise sağlanan enerji cinsinden enerji tüketimi hakkında bilgi; </w:t>
            </w:r>
          </w:p>
          <w:p w14:paraId="4B7FDF9E"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Tesisten ihraç edilen enerji hakkında bilgi; </w:t>
            </w:r>
          </w:p>
          <w:p w14:paraId="03B28FB6"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Enerji akışı bilgisi (örneğin, Sankey diyagramları veya enerji dengeleri) enerjinin prosesler boyunca nasıl kullanıldığını gösterir.</w:t>
            </w:r>
          </w:p>
        </w:tc>
        <w:tc>
          <w:tcPr>
            <w:tcW w:w="1620" w:type="dxa"/>
            <w:noWrap/>
            <w:hideMark/>
          </w:tcPr>
          <w:p w14:paraId="743FEE63"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Genellikle uygulanabilir.</w:t>
            </w:r>
          </w:p>
        </w:tc>
      </w:tr>
      <w:tr w:rsidR="0007690F" w:rsidRPr="00D53A2B" w14:paraId="736B68B4" w14:textId="77777777" w:rsidTr="0051382C">
        <w:trPr>
          <w:trHeight w:val="3255"/>
        </w:trPr>
        <w:tc>
          <w:tcPr>
            <w:tcW w:w="1581" w:type="dxa"/>
            <w:noWrap/>
            <w:hideMark/>
          </w:tcPr>
          <w:p w14:paraId="21B375BF"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c. Genel enerji tasarrufu tekniklerinin kullanımı</w:t>
            </w:r>
          </w:p>
        </w:tc>
        <w:tc>
          <w:tcPr>
            <w:tcW w:w="5861" w:type="dxa"/>
            <w:noWrap/>
            <w:hideMark/>
          </w:tcPr>
          <w:p w14:paraId="7CB8DF2C"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Aşağıdaki teknikleri içerir: </w:t>
            </w:r>
          </w:p>
          <w:p w14:paraId="5B56A36D"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Brülör bakımı ve kontrolü; </w:t>
            </w:r>
          </w:p>
          <w:p w14:paraId="25C883F6"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Enerji verimli motorlar; </w:t>
            </w:r>
          </w:p>
          <w:p w14:paraId="187B3568"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Enerji verimli aydınlatma; </w:t>
            </w:r>
          </w:p>
          <w:p w14:paraId="49BCA3BB"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Buhar ve kompresör hava dağıtım sistemlerinin optimizasyonu; </w:t>
            </w:r>
          </w:p>
          <w:p w14:paraId="64E22BAD"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Buhar dağıtım sistemlerinin düzenli olarak denetlenmesi ve bakımı, buhar sızıntılarını önlemek veya azaltmak için; </w:t>
            </w:r>
          </w:p>
          <w:p w14:paraId="53B27785"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Proses kontrol sistemleri; </w:t>
            </w:r>
          </w:p>
          <w:p w14:paraId="00A003D5"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Değişken hız sürücüleri; </w:t>
            </w:r>
          </w:p>
          <w:p w14:paraId="15BFC60B"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Klima ve bina ısıtmasının optimizasyonu.</w:t>
            </w:r>
          </w:p>
        </w:tc>
        <w:tc>
          <w:tcPr>
            <w:tcW w:w="1620" w:type="dxa"/>
            <w:noWrap/>
            <w:hideMark/>
          </w:tcPr>
          <w:p w14:paraId="791D484B"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Genellikle uygulanabilir.</w:t>
            </w:r>
          </w:p>
        </w:tc>
      </w:tr>
    </w:tbl>
    <w:p w14:paraId="7A9CC8EF" w14:textId="77777777" w:rsidR="0007690F" w:rsidRPr="00D53A2B" w:rsidRDefault="0007690F" w:rsidP="00A202FD">
      <w:pPr>
        <w:spacing w:after="240"/>
        <w:ind w:firstLine="1"/>
        <w:contextualSpacing/>
        <w:jc w:val="both"/>
      </w:pPr>
    </w:p>
    <w:p w14:paraId="5B659ABB" w14:textId="0D902827" w:rsidR="00464754" w:rsidRPr="00D53A2B" w:rsidRDefault="00464754" w:rsidP="00A202FD">
      <w:pPr>
        <w:pStyle w:val="Balk3"/>
        <w:rPr>
          <w:rFonts w:cs="Times New Roman"/>
        </w:rPr>
      </w:pPr>
      <w:r w:rsidRPr="00D53A2B">
        <w:rPr>
          <w:rFonts w:cs="Times New Roman"/>
        </w:rPr>
        <w:t>1.1.4. Gürültü ve Titreşimler</w:t>
      </w:r>
    </w:p>
    <w:p w14:paraId="1787E5B7" w14:textId="41C79580" w:rsidR="00464754" w:rsidRPr="00D53A2B" w:rsidRDefault="00464754" w:rsidP="00A202FD">
      <w:pPr>
        <w:jc w:val="both"/>
        <w:rPr>
          <w:b/>
          <w:bCs/>
        </w:rPr>
      </w:pPr>
      <w:r w:rsidRPr="00D53A2B">
        <w:rPr>
          <w:rStyle w:val="oj-bold"/>
          <w:b/>
          <w:bCs/>
          <w:color w:val="333333"/>
        </w:rPr>
        <w:t>MET 8. </w:t>
      </w:r>
      <w:r w:rsidRPr="00D53A2B">
        <w:rPr>
          <w:rStyle w:val="oj-bold"/>
          <w:color w:val="333333"/>
        </w:rPr>
        <w:t xml:space="preserve">Gürültü ve titreşim emisyonlarını önlemek veya bunun mümkün olmadığı durumlarda azaltmak için, ÇYS’nin bir parçası olarak (bkz. </w:t>
      </w:r>
      <w:r w:rsidR="00831B53" w:rsidRPr="00D53A2B">
        <w:rPr>
          <w:rStyle w:val="oj-bold"/>
          <w:color w:val="333333"/>
        </w:rPr>
        <w:t>MET</w:t>
      </w:r>
      <w:r w:rsidRPr="00D53A2B">
        <w:rPr>
          <w:rStyle w:val="oj-bold"/>
          <w:color w:val="333333"/>
        </w:rPr>
        <w:t>1) aşağıdaki tüm unsurları içeren bir gürültü ve/veya titreşim yönetim planı oluşturmalı, uygulamalı ve düzenli olarak gözden geçirmelidir:</w:t>
      </w:r>
    </w:p>
    <w:tbl>
      <w:tblPr>
        <w:tblW w:w="5000" w:type="pct"/>
        <w:shd w:val="clear" w:color="auto" w:fill="FFFFFF"/>
        <w:tblCellMar>
          <w:left w:w="0" w:type="dxa"/>
          <w:right w:w="0" w:type="dxa"/>
        </w:tblCellMar>
        <w:tblLook w:val="04A0" w:firstRow="1" w:lastRow="0" w:firstColumn="1" w:lastColumn="0" w:noHBand="0" w:noVBand="1"/>
      </w:tblPr>
      <w:tblGrid>
        <w:gridCol w:w="367"/>
        <w:gridCol w:w="8703"/>
      </w:tblGrid>
      <w:tr w:rsidR="00464754" w:rsidRPr="00D53A2B" w14:paraId="6957D1F6" w14:textId="77777777" w:rsidTr="00464754">
        <w:tc>
          <w:tcPr>
            <w:tcW w:w="0" w:type="auto"/>
            <w:shd w:val="clear" w:color="auto" w:fill="FFFFFF"/>
            <w:hideMark/>
          </w:tcPr>
          <w:p w14:paraId="53846197" w14:textId="77777777" w:rsidR="00464754" w:rsidRPr="00D53A2B" w:rsidRDefault="00464754" w:rsidP="00A202FD">
            <w:pPr>
              <w:jc w:val="both"/>
            </w:pPr>
            <w:r w:rsidRPr="00D53A2B">
              <w:t>—</w:t>
            </w:r>
          </w:p>
        </w:tc>
        <w:tc>
          <w:tcPr>
            <w:tcW w:w="0" w:type="auto"/>
            <w:shd w:val="clear" w:color="auto" w:fill="FFFFFF"/>
            <w:hideMark/>
          </w:tcPr>
          <w:p w14:paraId="18A0BBF8" w14:textId="77777777" w:rsidR="00464754" w:rsidRPr="00D53A2B" w:rsidRDefault="00464754" w:rsidP="00A202FD">
            <w:pPr>
              <w:jc w:val="both"/>
            </w:pPr>
            <w:r w:rsidRPr="00D53A2B">
              <w:t>uygun eylemleri ve zaman çizelgelerini içeren bir protokol;</w:t>
            </w:r>
          </w:p>
        </w:tc>
      </w:tr>
    </w:tbl>
    <w:p w14:paraId="691EC566" w14:textId="77777777" w:rsidR="00464754" w:rsidRPr="00D53A2B" w:rsidRDefault="00464754" w:rsidP="00A202FD">
      <w:pPr>
        <w:jc w:val="both"/>
        <w:rPr>
          <w:vanish/>
        </w:rPr>
      </w:pPr>
    </w:p>
    <w:tbl>
      <w:tblPr>
        <w:tblW w:w="5000" w:type="pct"/>
        <w:shd w:val="clear" w:color="auto" w:fill="FFFFFF"/>
        <w:tblCellMar>
          <w:left w:w="0" w:type="dxa"/>
          <w:right w:w="0" w:type="dxa"/>
        </w:tblCellMar>
        <w:tblLook w:val="04A0" w:firstRow="1" w:lastRow="0" w:firstColumn="1" w:lastColumn="0" w:noHBand="0" w:noVBand="1"/>
      </w:tblPr>
      <w:tblGrid>
        <w:gridCol w:w="299"/>
        <w:gridCol w:w="8771"/>
      </w:tblGrid>
      <w:tr w:rsidR="00464754" w:rsidRPr="00D53A2B" w14:paraId="5CCDA276" w14:textId="77777777" w:rsidTr="00464754">
        <w:tc>
          <w:tcPr>
            <w:tcW w:w="0" w:type="auto"/>
            <w:shd w:val="clear" w:color="auto" w:fill="FFFFFF"/>
            <w:hideMark/>
          </w:tcPr>
          <w:p w14:paraId="5C87BDA2" w14:textId="77777777" w:rsidR="00464754" w:rsidRPr="00D53A2B" w:rsidRDefault="00464754" w:rsidP="00A202FD">
            <w:pPr>
              <w:jc w:val="both"/>
            </w:pPr>
            <w:r w:rsidRPr="00D53A2B">
              <w:t>—</w:t>
            </w:r>
          </w:p>
        </w:tc>
        <w:tc>
          <w:tcPr>
            <w:tcW w:w="0" w:type="auto"/>
            <w:shd w:val="clear" w:color="auto" w:fill="FFFFFF"/>
            <w:hideMark/>
          </w:tcPr>
          <w:p w14:paraId="5E82D90D" w14:textId="77777777" w:rsidR="00464754" w:rsidRPr="00D53A2B" w:rsidRDefault="00464754" w:rsidP="00A202FD">
            <w:pPr>
              <w:jc w:val="both"/>
            </w:pPr>
            <w:r w:rsidRPr="00D53A2B">
              <w:t>gürültü ve/veya titreşim emisyonlarının izlenmesine yönelik bir protokol;</w:t>
            </w:r>
          </w:p>
        </w:tc>
      </w:tr>
    </w:tbl>
    <w:p w14:paraId="57DE616E" w14:textId="77777777" w:rsidR="00464754" w:rsidRPr="00D53A2B" w:rsidRDefault="00464754" w:rsidP="00A202FD">
      <w:pPr>
        <w:jc w:val="both"/>
        <w:rPr>
          <w:vanish/>
        </w:rPr>
      </w:pPr>
    </w:p>
    <w:tbl>
      <w:tblPr>
        <w:tblW w:w="5000" w:type="pct"/>
        <w:shd w:val="clear" w:color="auto" w:fill="FFFFFF"/>
        <w:tblCellMar>
          <w:left w:w="0" w:type="dxa"/>
          <w:right w:w="0" w:type="dxa"/>
        </w:tblCellMar>
        <w:tblLook w:val="04A0" w:firstRow="1" w:lastRow="0" w:firstColumn="1" w:lastColumn="0" w:noHBand="0" w:noVBand="1"/>
      </w:tblPr>
      <w:tblGrid>
        <w:gridCol w:w="240"/>
        <w:gridCol w:w="8830"/>
      </w:tblGrid>
      <w:tr w:rsidR="00464754" w:rsidRPr="00D53A2B" w14:paraId="69C03DB0" w14:textId="77777777" w:rsidTr="00464754">
        <w:tc>
          <w:tcPr>
            <w:tcW w:w="0" w:type="auto"/>
            <w:shd w:val="clear" w:color="auto" w:fill="FFFFFF"/>
            <w:hideMark/>
          </w:tcPr>
          <w:p w14:paraId="094CADA1" w14:textId="77777777" w:rsidR="00464754" w:rsidRPr="00D53A2B" w:rsidRDefault="00464754" w:rsidP="00A202FD">
            <w:pPr>
              <w:jc w:val="both"/>
            </w:pPr>
            <w:r w:rsidRPr="00D53A2B">
              <w:t>—</w:t>
            </w:r>
          </w:p>
        </w:tc>
        <w:tc>
          <w:tcPr>
            <w:tcW w:w="0" w:type="auto"/>
            <w:shd w:val="clear" w:color="auto" w:fill="FFFFFF"/>
            <w:hideMark/>
          </w:tcPr>
          <w:p w14:paraId="5DADA5D8" w14:textId="77777777" w:rsidR="00464754" w:rsidRPr="00D53A2B" w:rsidRDefault="00464754" w:rsidP="00A202FD">
            <w:pPr>
              <w:jc w:val="both"/>
            </w:pPr>
            <w:r w:rsidRPr="00D53A2B">
              <w:t>tespit edilen gürültü ve titreşim olaylarına yanıt verme protokolü, örneğin şikayetleri yönetme ve/veya düzeltici eylemlerde bulunma;</w:t>
            </w:r>
          </w:p>
        </w:tc>
      </w:tr>
    </w:tbl>
    <w:p w14:paraId="0F0B6A33" w14:textId="77777777" w:rsidR="00464754" w:rsidRPr="00D53A2B" w:rsidRDefault="00464754" w:rsidP="00A202FD">
      <w:pPr>
        <w:jc w:val="both"/>
        <w:rPr>
          <w:vanish/>
        </w:rPr>
      </w:pPr>
    </w:p>
    <w:tbl>
      <w:tblPr>
        <w:tblW w:w="5000" w:type="pct"/>
        <w:shd w:val="clear" w:color="auto" w:fill="FFFFFF"/>
        <w:tblCellMar>
          <w:left w:w="0" w:type="dxa"/>
          <w:right w:w="0" w:type="dxa"/>
        </w:tblCellMar>
        <w:tblLook w:val="04A0" w:firstRow="1" w:lastRow="0" w:firstColumn="1" w:lastColumn="0" w:noHBand="0" w:noVBand="1"/>
      </w:tblPr>
      <w:tblGrid>
        <w:gridCol w:w="240"/>
        <w:gridCol w:w="8830"/>
      </w:tblGrid>
      <w:tr w:rsidR="00464754" w:rsidRPr="00D53A2B" w14:paraId="0B19A590" w14:textId="77777777" w:rsidTr="00464754">
        <w:tc>
          <w:tcPr>
            <w:tcW w:w="0" w:type="auto"/>
            <w:shd w:val="clear" w:color="auto" w:fill="FFFFFF"/>
            <w:hideMark/>
          </w:tcPr>
          <w:p w14:paraId="43F5D129" w14:textId="77777777" w:rsidR="00464754" w:rsidRPr="00D53A2B" w:rsidRDefault="00464754" w:rsidP="00A202FD">
            <w:pPr>
              <w:jc w:val="both"/>
            </w:pPr>
            <w:r w:rsidRPr="00D53A2B">
              <w:t>—</w:t>
            </w:r>
          </w:p>
        </w:tc>
        <w:tc>
          <w:tcPr>
            <w:tcW w:w="0" w:type="auto"/>
            <w:shd w:val="clear" w:color="auto" w:fill="FFFFFF"/>
            <w:hideMark/>
          </w:tcPr>
          <w:p w14:paraId="4865F94C" w14:textId="77777777" w:rsidR="00464754" w:rsidRPr="00D53A2B" w:rsidRDefault="00464754" w:rsidP="00A202FD">
            <w:pPr>
              <w:jc w:val="both"/>
            </w:pPr>
            <w:r w:rsidRPr="00D53A2B">
              <w:t>Kaynağı/kaynakları belirlemek, gürültü ve/veya titreşim maruziyetini ölçmek/tahmin etmek, kaynakların katkılarını karakterize etmek ve önleme ve/veya azaltma önlemlerini uygulamak üzere tasarlanmış bir gürültü ve/veya titreşim azaltma programı.</w:t>
            </w:r>
          </w:p>
        </w:tc>
      </w:tr>
    </w:tbl>
    <w:p w14:paraId="71F14DB1" w14:textId="77777777" w:rsidR="00464754" w:rsidRPr="00D53A2B" w:rsidRDefault="00464754" w:rsidP="00A202FD">
      <w:pPr>
        <w:jc w:val="both"/>
        <w:rPr>
          <w:b/>
          <w:bCs/>
        </w:rPr>
      </w:pPr>
      <w:r w:rsidRPr="00D53A2B">
        <w:rPr>
          <w:rStyle w:val="oj-italic"/>
          <w:b/>
          <w:bCs/>
          <w:i/>
          <w:iCs/>
          <w:color w:val="333333"/>
        </w:rPr>
        <w:t>Uygulanabilirlik</w:t>
      </w:r>
    </w:p>
    <w:p w14:paraId="513E6AF9" w14:textId="77777777" w:rsidR="00464754" w:rsidRPr="00D53A2B" w:rsidRDefault="00464754" w:rsidP="00A202FD">
      <w:pPr>
        <w:jc w:val="both"/>
      </w:pPr>
      <w:r w:rsidRPr="00D53A2B">
        <w:t>Uygulanabilirlik, hassas alıcılarda gürültü ve/veya titreşim rahatsızlığının beklendiği ve/veya kanıtlandığı durumlarla sınırlıdır.</w:t>
      </w:r>
    </w:p>
    <w:p w14:paraId="0F877A25" w14:textId="77777777" w:rsidR="00464754" w:rsidRPr="00D53A2B" w:rsidRDefault="00464754" w:rsidP="008A41DE">
      <w:pPr>
        <w:widowControl w:val="0"/>
        <w:spacing w:after="240" w:line="276" w:lineRule="auto"/>
        <w:contextualSpacing/>
        <w:jc w:val="both"/>
      </w:pPr>
    </w:p>
    <w:p w14:paraId="6BD5694A" w14:textId="77777777" w:rsidR="0007690F" w:rsidRPr="00D53A2B" w:rsidRDefault="0007690F" w:rsidP="00A202FD">
      <w:pPr>
        <w:widowControl w:val="0"/>
        <w:spacing w:after="240" w:line="276" w:lineRule="auto"/>
        <w:ind w:firstLine="1"/>
        <w:contextualSpacing/>
        <w:jc w:val="both"/>
        <w:rPr>
          <w:b/>
          <w:bCs/>
        </w:rPr>
      </w:pPr>
      <w:r w:rsidRPr="00D53A2B">
        <w:rPr>
          <w:b/>
          <w:bCs/>
        </w:rPr>
        <w:t>MET 9.</w:t>
      </w:r>
      <w:r w:rsidRPr="00D53A2B">
        <w:t> </w:t>
      </w:r>
      <w:r w:rsidRPr="00D53A2B">
        <w:rPr>
          <w:b/>
          <w:bCs/>
        </w:rPr>
        <w:t>Gürültü emisyonlarını önlemek veya, bunun pratik olmadığı durumlarda, bunları azaltmak için, MET, aşağıdaki tekniklerden birini veya bir kombinasyonunu kullanmayı önerir.</w:t>
      </w:r>
    </w:p>
    <w:tbl>
      <w:tblPr>
        <w:tblStyle w:val="TabloKlavuzu"/>
        <w:tblW w:w="0" w:type="auto"/>
        <w:tblLook w:val="04A0" w:firstRow="1" w:lastRow="0" w:firstColumn="1" w:lastColumn="0" w:noHBand="0" w:noVBand="1"/>
      </w:tblPr>
      <w:tblGrid>
        <w:gridCol w:w="1980"/>
        <w:gridCol w:w="3314"/>
        <w:gridCol w:w="3766"/>
      </w:tblGrid>
      <w:tr w:rsidR="0007690F" w:rsidRPr="0051382C" w14:paraId="5B52DCE3" w14:textId="77777777" w:rsidTr="00A202FD">
        <w:trPr>
          <w:trHeight w:val="320"/>
        </w:trPr>
        <w:tc>
          <w:tcPr>
            <w:tcW w:w="1980" w:type="dxa"/>
            <w:noWrap/>
            <w:hideMark/>
          </w:tcPr>
          <w:p w14:paraId="75352E72"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Teknik</w:t>
            </w:r>
          </w:p>
        </w:tc>
        <w:tc>
          <w:tcPr>
            <w:tcW w:w="3315" w:type="dxa"/>
            <w:noWrap/>
            <w:hideMark/>
          </w:tcPr>
          <w:p w14:paraId="1443C147"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Açıklama</w:t>
            </w:r>
          </w:p>
        </w:tc>
        <w:tc>
          <w:tcPr>
            <w:tcW w:w="3767" w:type="dxa"/>
            <w:noWrap/>
            <w:hideMark/>
          </w:tcPr>
          <w:p w14:paraId="065A8FFF"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Uygulama Alanı</w:t>
            </w:r>
          </w:p>
        </w:tc>
      </w:tr>
      <w:tr w:rsidR="0007690F" w:rsidRPr="0051382C" w14:paraId="5C2EF857" w14:textId="77777777" w:rsidTr="00A202FD">
        <w:trPr>
          <w:trHeight w:val="320"/>
        </w:trPr>
        <w:tc>
          <w:tcPr>
            <w:tcW w:w="1980" w:type="dxa"/>
            <w:noWrap/>
            <w:hideMark/>
          </w:tcPr>
          <w:p w14:paraId="14F0D399"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a. Ekipman ve binaların uygun yerleştirilmesi</w:t>
            </w:r>
          </w:p>
        </w:tc>
        <w:tc>
          <w:tcPr>
            <w:tcW w:w="3315" w:type="dxa"/>
            <w:noWrap/>
            <w:hideMark/>
          </w:tcPr>
          <w:p w14:paraId="75F253F8"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Yayılma kaynağı ile alıcı arasındaki mesafeyi artırmak, binaları gürültü engelleri olarak kullanmak ve ekipmanları ve/veya bina açıklıklarını yeniden yerleştirmek.</w:t>
            </w:r>
          </w:p>
        </w:tc>
        <w:tc>
          <w:tcPr>
            <w:tcW w:w="3767" w:type="dxa"/>
            <w:noWrap/>
            <w:hideMark/>
          </w:tcPr>
          <w:p w14:paraId="6C8C448E"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Mevcut tesisler için, ekipmanların ve bina açıklıklarının yeniden yerleştirilmesi, alan eksikliği ve/veya yüksek maliyetler nedeniyle uygulanabilir olmayabilir.</w:t>
            </w:r>
          </w:p>
        </w:tc>
      </w:tr>
      <w:tr w:rsidR="0007690F" w:rsidRPr="0051382C" w14:paraId="6AA3C1D7" w14:textId="77777777" w:rsidTr="00A202FD">
        <w:trPr>
          <w:trHeight w:val="320"/>
        </w:trPr>
        <w:tc>
          <w:tcPr>
            <w:tcW w:w="1980" w:type="dxa"/>
            <w:vMerge w:val="restart"/>
            <w:noWrap/>
            <w:hideMark/>
          </w:tcPr>
          <w:p w14:paraId="10FA0C15"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b. Operasyonel önlemler</w:t>
            </w:r>
          </w:p>
        </w:tc>
        <w:tc>
          <w:tcPr>
            <w:tcW w:w="3315" w:type="dxa"/>
            <w:noWrap/>
            <w:hideMark/>
          </w:tcPr>
          <w:p w14:paraId="63AE3960"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En azından şunları içerir: </w:t>
            </w:r>
          </w:p>
        </w:tc>
        <w:tc>
          <w:tcPr>
            <w:tcW w:w="3767" w:type="dxa"/>
            <w:vMerge w:val="restart"/>
            <w:noWrap/>
            <w:hideMark/>
          </w:tcPr>
          <w:p w14:paraId="2DDBF71C"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Genellikle uygulanabilir.</w:t>
            </w:r>
          </w:p>
        </w:tc>
      </w:tr>
      <w:tr w:rsidR="0007690F" w:rsidRPr="0051382C" w14:paraId="75A1F0AF" w14:textId="77777777" w:rsidTr="00A202FD">
        <w:trPr>
          <w:trHeight w:val="320"/>
        </w:trPr>
        <w:tc>
          <w:tcPr>
            <w:tcW w:w="1980" w:type="dxa"/>
            <w:vMerge/>
            <w:hideMark/>
          </w:tcPr>
          <w:p w14:paraId="275038B0" w14:textId="77777777" w:rsidR="0007690F" w:rsidRPr="0051382C" w:rsidRDefault="0007690F" w:rsidP="00A202FD">
            <w:pPr>
              <w:widowControl w:val="0"/>
              <w:spacing w:after="240" w:line="276" w:lineRule="auto"/>
              <w:ind w:firstLine="1"/>
              <w:contextualSpacing/>
              <w:jc w:val="both"/>
              <w:rPr>
                <w:b/>
                <w:bCs/>
                <w:sz w:val="22"/>
                <w:szCs w:val="22"/>
              </w:rPr>
            </w:pPr>
          </w:p>
        </w:tc>
        <w:tc>
          <w:tcPr>
            <w:tcW w:w="3315" w:type="dxa"/>
            <w:noWrap/>
            <w:hideMark/>
          </w:tcPr>
          <w:p w14:paraId="4B9B7AC6"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Ekipman denetimi ve bakımı; </w:t>
            </w:r>
          </w:p>
        </w:tc>
        <w:tc>
          <w:tcPr>
            <w:tcW w:w="3767" w:type="dxa"/>
            <w:vMerge/>
            <w:hideMark/>
          </w:tcPr>
          <w:p w14:paraId="26C1D8AB"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51382C" w14:paraId="193CEF27" w14:textId="77777777" w:rsidTr="00A202FD">
        <w:trPr>
          <w:trHeight w:val="320"/>
        </w:trPr>
        <w:tc>
          <w:tcPr>
            <w:tcW w:w="1980" w:type="dxa"/>
            <w:vMerge/>
            <w:hideMark/>
          </w:tcPr>
          <w:p w14:paraId="609B5E3C" w14:textId="77777777" w:rsidR="0007690F" w:rsidRPr="0051382C" w:rsidRDefault="0007690F" w:rsidP="00A202FD">
            <w:pPr>
              <w:widowControl w:val="0"/>
              <w:spacing w:after="240" w:line="276" w:lineRule="auto"/>
              <w:ind w:firstLine="1"/>
              <w:contextualSpacing/>
              <w:jc w:val="both"/>
              <w:rPr>
                <w:b/>
                <w:bCs/>
                <w:sz w:val="22"/>
                <w:szCs w:val="22"/>
              </w:rPr>
            </w:pPr>
          </w:p>
        </w:tc>
        <w:tc>
          <w:tcPr>
            <w:tcW w:w="3315" w:type="dxa"/>
            <w:noWrap/>
            <w:hideMark/>
          </w:tcPr>
          <w:p w14:paraId="437B1CF5"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Kapalı alanların kapı ve pencerelerinin kapatılması, mümkünse otomatik kapanan kapılar kullanılması; </w:t>
            </w:r>
          </w:p>
        </w:tc>
        <w:tc>
          <w:tcPr>
            <w:tcW w:w="3767" w:type="dxa"/>
            <w:vMerge/>
            <w:hideMark/>
          </w:tcPr>
          <w:p w14:paraId="6512B1D4"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51382C" w14:paraId="527AFDBA" w14:textId="77777777" w:rsidTr="00A202FD">
        <w:trPr>
          <w:trHeight w:val="320"/>
        </w:trPr>
        <w:tc>
          <w:tcPr>
            <w:tcW w:w="1980" w:type="dxa"/>
            <w:vMerge/>
            <w:hideMark/>
          </w:tcPr>
          <w:p w14:paraId="51AF7C8A" w14:textId="77777777" w:rsidR="0007690F" w:rsidRPr="0051382C" w:rsidRDefault="0007690F" w:rsidP="00A202FD">
            <w:pPr>
              <w:widowControl w:val="0"/>
              <w:spacing w:after="240" w:line="276" w:lineRule="auto"/>
              <w:ind w:firstLine="1"/>
              <w:contextualSpacing/>
              <w:jc w:val="both"/>
              <w:rPr>
                <w:b/>
                <w:bCs/>
                <w:sz w:val="22"/>
                <w:szCs w:val="22"/>
              </w:rPr>
            </w:pPr>
          </w:p>
        </w:tc>
        <w:tc>
          <w:tcPr>
            <w:tcW w:w="3315" w:type="dxa"/>
            <w:noWrap/>
            <w:hideMark/>
          </w:tcPr>
          <w:p w14:paraId="54499E03"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Deneyimli personel tarafından ekipman kullanımı; </w:t>
            </w:r>
          </w:p>
        </w:tc>
        <w:tc>
          <w:tcPr>
            <w:tcW w:w="3767" w:type="dxa"/>
            <w:vMerge/>
            <w:hideMark/>
          </w:tcPr>
          <w:p w14:paraId="273FB7CD"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51382C" w14:paraId="68766042" w14:textId="77777777" w:rsidTr="00A202FD">
        <w:trPr>
          <w:trHeight w:val="320"/>
        </w:trPr>
        <w:tc>
          <w:tcPr>
            <w:tcW w:w="1980" w:type="dxa"/>
            <w:vMerge/>
            <w:hideMark/>
          </w:tcPr>
          <w:p w14:paraId="5364A2A2" w14:textId="77777777" w:rsidR="0007690F" w:rsidRPr="0051382C" w:rsidRDefault="0007690F" w:rsidP="00A202FD">
            <w:pPr>
              <w:widowControl w:val="0"/>
              <w:spacing w:after="240" w:line="276" w:lineRule="auto"/>
              <w:ind w:firstLine="1"/>
              <w:contextualSpacing/>
              <w:jc w:val="both"/>
              <w:rPr>
                <w:b/>
                <w:bCs/>
                <w:sz w:val="22"/>
                <w:szCs w:val="22"/>
              </w:rPr>
            </w:pPr>
          </w:p>
        </w:tc>
        <w:tc>
          <w:tcPr>
            <w:tcW w:w="3315" w:type="dxa"/>
            <w:noWrap/>
            <w:hideMark/>
          </w:tcPr>
          <w:p w14:paraId="56C0076D"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Mümkünse gece gürültülü faaliyetlerden kaçınılması; </w:t>
            </w:r>
          </w:p>
        </w:tc>
        <w:tc>
          <w:tcPr>
            <w:tcW w:w="3767" w:type="dxa"/>
            <w:vMerge/>
            <w:hideMark/>
          </w:tcPr>
          <w:p w14:paraId="1FE9D3FD"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51382C" w14:paraId="25FEEDCA" w14:textId="77777777" w:rsidTr="00A202FD">
        <w:trPr>
          <w:trHeight w:val="320"/>
        </w:trPr>
        <w:tc>
          <w:tcPr>
            <w:tcW w:w="1980" w:type="dxa"/>
            <w:vMerge/>
            <w:hideMark/>
          </w:tcPr>
          <w:p w14:paraId="2057AB88" w14:textId="77777777" w:rsidR="0007690F" w:rsidRPr="0051382C" w:rsidRDefault="0007690F" w:rsidP="00A202FD">
            <w:pPr>
              <w:widowControl w:val="0"/>
              <w:spacing w:after="240" w:line="276" w:lineRule="auto"/>
              <w:ind w:firstLine="1"/>
              <w:contextualSpacing/>
              <w:jc w:val="both"/>
              <w:rPr>
                <w:b/>
                <w:bCs/>
                <w:sz w:val="22"/>
                <w:szCs w:val="22"/>
              </w:rPr>
            </w:pPr>
          </w:p>
        </w:tc>
        <w:tc>
          <w:tcPr>
            <w:tcW w:w="3315" w:type="dxa"/>
            <w:noWrap/>
            <w:hideMark/>
          </w:tcPr>
          <w:p w14:paraId="5E5C34EE"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Üretim ve bakım faaliyetlerinde, malzeme ve malzeme taşıma işlemlerinde gürültü kontrolü sağlanması, örneğin malzeme transferi işlemlerinin sayısının azaltılması, parçaların sert yüzeylere düşme yüksekliğinin azaltılması.</w:t>
            </w:r>
          </w:p>
        </w:tc>
        <w:tc>
          <w:tcPr>
            <w:tcW w:w="3767" w:type="dxa"/>
            <w:vMerge/>
            <w:hideMark/>
          </w:tcPr>
          <w:p w14:paraId="126774F7"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51382C" w14:paraId="14883B7B" w14:textId="77777777" w:rsidTr="00A202FD">
        <w:trPr>
          <w:trHeight w:val="320"/>
        </w:trPr>
        <w:tc>
          <w:tcPr>
            <w:tcW w:w="1980" w:type="dxa"/>
            <w:noWrap/>
            <w:hideMark/>
          </w:tcPr>
          <w:p w14:paraId="3FF531DA"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c. Düşük gürültülü ekipman</w:t>
            </w:r>
          </w:p>
        </w:tc>
        <w:tc>
          <w:tcPr>
            <w:tcW w:w="3315" w:type="dxa"/>
            <w:noWrap/>
            <w:hideMark/>
          </w:tcPr>
          <w:p w14:paraId="3C865F5F"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Bu, doğrudan tahrik motorlarını; düşük gürültülü kompresörler, pompalar ve fanları; düşük gürültülü taşıma ekipmanlarını içerir.</w:t>
            </w:r>
          </w:p>
        </w:tc>
        <w:tc>
          <w:tcPr>
            <w:tcW w:w="3767" w:type="dxa"/>
            <w:noWrap/>
            <w:hideMark/>
          </w:tcPr>
          <w:p w14:paraId="0A059DED"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w:t>
            </w:r>
          </w:p>
        </w:tc>
      </w:tr>
      <w:tr w:rsidR="0007690F" w:rsidRPr="0051382C" w14:paraId="16B2F69F" w14:textId="77777777" w:rsidTr="00A202FD">
        <w:trPr>
          <w:trHeight w:val="320"/>
        </w:trPr>
        <w:tc>
          <w:tcPr>
            <w:tcW w:w="1980" w:type="dxa"/>
            <w:vMerge w:val="restart"/>
            <w:noWrap/>
            <w:hideMark/>
          </w:tcPr>
          <w:p w14:paraId="495EA1DE"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d. Gürültü kontrol ekipmanları</w:t>
            </w:r>
          </w:p>
        </w:tc>
        <w:tc>
          <w:tcPr>
            <w:tcW w:w="3315" w:type="dxa"/>
            <w:noWrap/>
            <w:hideMark/>
          </w:tcPr>
          <w:p w14:paraId="4E74A6BA"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Şunlar gibi teknikleri içerir: </w:t>
            </w:r>
          </w:p>
        </w:tc>
        <w:tc>
          <w:tcPr>
            <w:tcW w:w="3767" w:type="dxa"/>
            <w:vMerge w:val="restart"/>
            <w:noWrap/>
            <w:hideMark/>
          </w:tcPr>
          <w:p w14:paraId="6C2D08AE"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Mevcut tesislerde alan eksikliği nedeniyle uygulanabilirlik sınırlı olabilir.</w:t>
            </w:r>
          </w:p>
        </w:tc>
      </w:tr>
      <w:tr w:rsidR="0007690F" w:rsidRPr="0051382C" w14:paraId="18F1AED4" w14:textId="77777777" w:rsidTr="00A202FD">
        <w:trPr>
          <w:trHeight w:val="320"/>
        </w:trPr>
        <w:tc>
          <w:tcPr>
            <w:tcW w:w="1980" w:type="dxa"/>
            <w:vMerge/>
            <w:hideMark/>
          </w:tcPr>
          <w:p w14:paraId="6AABEB87" w14:textId="77777777" w:rsidR="0007690F" w:rsidRPr="0051382C" w:rsidRDefault="0007690F" w:rsidP="00A202FD">
            <w:pPr>
              <w:widowControl w:val="0"/>
              <w:spacing w:after="240" w:line="276" w:lineRule="auto"/>
              <w:ind w:firstLine="1"/>
              <w:contextualSpacing/>
              <w:jc w:val="both"/>
              <w:rPr>
                <w:b/>
                <w:bCs/>
                <w:sz w:val="22"/>
                <w:szCs w:val="22"/>
              </w:rPr>
            </w:pPr>
          </w:p>
        </w:tc>
        <w:tc>
          <w:tcPr>
            <w:tcW w:w="3315" w:type="dxa"/>
            <w:noWrap/>
            <w:hideMark/>
          </w:tcPr>
          <w:p w14:paraId="60779BF8"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Gürültü azaltıcıların kullanımı; </w:t>
            </w:r>
          </w:p>
        </w:tc>
        <w:tc>
          <w:tcPr>
            <w:tcW w:w="3767" w:type="dxa"/>
            <w:vMerge/>
            <w:hideMark/>
          </w:tcPr>
          <w:p w14:paraId="67A75195"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51382C" w14:paraId="2A6C8BF4" w14:textId="77777777" w:rsidTr="00A202FD">
        <w:trPr>
          <w:trHeight w:val="320"/>
        </w:trPr>
        <w:tc>
          <w:tcPr>
            <w:tcW w:w="1980" w:type="dxa"/>
            <w:vMerge/>
            <w:hideMark/>
          </w:tcPr>
          <w:p w14:paraId="0ACCAB7F" w14:textId="77777777" w:rsidR="0007690F" w:rsidRPr="0051382C" w:rsidRDefault="0007690F" w:rsidP="00A202FD">
            <w:pPr>
              <w:widowControl w:val="0"/>
              <w:spacing w:after="240" w:line="276" w:lineRule="auto"/>
              <w:ind w:firstLine="1"/>
              <w:contextualSpacing/>
              <w:jc w:val="both"/>
              <w:rPr>
                <w:b/>
                <w:bCs/>
                <w:sz w:val="22"/>
                <w:szCs w:val="22"/>
              </w:rPr>
            </w:pPr>
          </w:p>
        </w:tc>
        <w:tc>
          <w:tcPr>
            <w:tcW w:w="3315" w:type="dxa"/>
            <w:noWrap/>
            <w:hideMark/>
          </w:tcPr>
          <w:p w14:paraId="68DBEE9E"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Ekipmanların akustik yalıtımı; </w:t>
            </w:r>
          </w:p>
        </w:tc>
        <w:tc>
          <w:tcPr>
            <w:tcW w:w="3767" w:type="dxa"/>
            <w:vMerge/>
            <w:hideMark/>
          </w:tcPr>
          <w:p w14:paraId="585E082D"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51382C" w14:paraId="19205AE5" w14:textId="77777777" w:rsidTr="00A202FD">
        <w:trPr>
          <w:trHeight w:val="320"/>
        </w:trPr>
        <w:tc>
          <w:tcPr>
            <w:tcW w:w="1980" w:type="dxa"/>
            <w:vMerge/>
            <w:hideMark/>
          </w:tcPr>
          <w:p w14:paraId="2141CECF" w14:textId="77777777" w:rsidR="0007690F" w:rsidRPr="0051382C" w:rsidRDefault="0007690F" w:rsidP="00A202FD">
            <w:pPr>
              <w:widowControl w:val="0"/>
              <w:spacing w:after="240" w:line="276" w:lineRule="auto"/>
              <w:ind w:firstLine="1"/>
              <w:contextualSpacing/>
              <w:jc w:val="both"/>
              <w:rPr>
                <w:b/>
                <w:bCs/>
                <w:sz w:val="22"/>
                <w:szCs w:val="22"/>
              </w:rPr>
            </w:pPr>
          </w:p>
        </w:tc>
        <w:tc>
          <w:tcPr>
            <w:tcW w:w="3315" w:type="dxa"/>
            <w:noWrap/>
            <w:hideMark/>
          </w:tcPr>
          <w:p w14:paraId="74A79364"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Gürültülü ekipman ve süreçlerin (örneğin hammadde boşaltma, çekiçleme, kompresörler, fanlar, dökme, son işlem) kapatılması; </w:t>
            </w:r>
          </w:p>
        </w:tc>
        <w:tc>
          <w:tcPr>
            <w:tcW w:w="3767" w:type="dxa"/>
            <w:vMerge/>
            <w:hideMark/>
          </w:tcPr>
          <w:p w14:paraId="5BCE6C5F"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51382C" w14:paraId="00B9A83E" w14:textId="77777777" w:rsidTr="00A202FD">
        <w:trPr>
          <w:trHeight w:val="320"/>
        </w:trPr>
        <w:tc>
          <w:tcPr>
            <w:tcW w:w="1980" w:type="dxa"/>
            <w:vMerge/>
            <w:hideMark/>
          </w:tcPr>
          <w:p w14:paraId="094BC9A1" w14:textId="77777777" w:rsidR="0007690F" w:rsidRPr="0051382C" w:rsidRDefault="0007690F" w:rsidP="00A202FD">
            <w:pPr>
              <w:widowControl w:val="0"/>
              <w:spacing w:after="240" w:line="276" w:lineRule="auto"/>
              <w:ind w:firstLine="1"/>
              <w:contextualSpacing/>
              <w:jc w:val="both"/>
              <w:rPr>
                <w:b/>
                <w:bCs/>
                <w:sz w:val="22"/>
                <w:szCs w:val="22"/>
              </w:rPr>
            </w:pPr>
          </w:p>
        </w:tc>
        <w:tc>
          <w:tcPr>
            <w:tcW w:w="3315" w:type="dxa"/>
            <w:noWrap/>
            <w:hideMark/>
          </w:tcPr>
          <w:p w14:paraId="3B82CF13"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Yüksek ses yalıtım özelliklerine sahip yapı malzemelerinin kullanımı (örneğin, duvarlar, çatılar, pencereler, kapılar için).</w:t>
            </w:r>
          </w:p>
        </w:tc>
        <w:tc>
          <w:tcPr>
            <w:tcW w:w="3767" w:type="dxa"/>
            <w:vMerge/>
            <w:hideMark/>
          </w:tcPr>
          <w:p w14:paraId="244EDE7A" w14:textId="77777777" w:rsidR="0007690F" w:rsidRPr="0051382C" w:rsidRDefault="0007690F" w:rsidP="00A202FD">
            <w:pPr>
              <w:widowControl w:val="0"/>
              <w:spacing w:after="240" w:line="276" w:lineRule="auto"/>
              <w:ind w:firstLine="1"/>
              <w:contextualSpacing/>
              <w:jc w:val="both"/>
              <w:rPr>
                <w:sz w:val="22"/>
                <w:szCs w:val="22"/>
              </w:rPr>
            </w:pPr>
          </w:p>
        </w:tc>
      </w:tr>
      <w:tr w:rsidR="0007690F" w:rsidRPr="0051382C" w14:paraId="63405FEE" w14:textId="77777777" w:rsidTr="00A202FD">
        <w:trPr>
          <w:trHeight w:val="320"/>
        </w:trPr>
        <w:tc>
          <w:tcPr>
            <w:tcW w:w="1980" w:type="dxa"/>
            <w:noWrap/>
            <w:hideMark/>
          </w:tcPr>
          <w:p w14:paraId="6D7815A8"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e. Gürültü kontrolü</w:t>
            </w:r>
          </w:p>
        </w:tc>
        <w:tc>
          <w:tcPr>
            <w:tcW w:w="3315" w:type="dxa"/>
            <w:noWrap/>
            <w:hideMark/>
          </w:tcPr>
          <w:p w14:paraId="32E3C4A5"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Yayılma kaynağı ile alıcılar arasında engeller yerleştirilmesi (örneğin, koruma duvarları, hendekler).</w:t>
            </w:r>
          </w:p>
        </w:tc>
        <w:tc>
          <w:tcPr>
            <w:tcW w:w="3767" w:type="dxa"/>
            <w:noWrap/>
            <w:hideMark/>
          </w:tcPr>
          <w:p w14:paraId="66FBC1A2"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Sadece mevcut tesislere uygulanabilir, çünkü yeni tesislerin tasarımında bu tekniğin gereksiz olması beklenir. Mevcut tesislerde engellerin yerleştirilmesi, alan eksikliği nedeniyle uygulanamayabilir.</w:t>
            </w:r>
          </w:p>
        </w:tc>
      </w:tr>
    </w:tbl>
    <w:p w14:paraId="37AD25DF" w14:textId="77777777" w:rsidR="0007690F" w:rsidRPr="00D53A2B" w:rsidRDefault="0007690F" w:rsidP="00A202FD">
      <w:pPr>
        <w:widowControl w:val="0"/>
        <w:spacing w:after="240" w:line="276" w:lineRule="auto"/>
        <w:ind w:firstLine="1"/>
        <w:contextualSpacing/>
        <w:jc w:val="both"/>
      </w:pPr>
    </w:p>
    <w:p w14:paraId="0892B1E2" w14:textId="77777777" w:rsidR="0007690F" w:rsidRPr="00D53A2B" w:rsidRDefault="0007690F" w:rsidP="00A202FD">
      <w:pPr>
        <w:pStyle w:val="Balk3"/>
        <w:rPr>
          <w:rFonts w:cs="Times New Roman"/>
        </w:rPr>
      </w:pPr>
      <w:r w:rsidRPr="00D53A2B">
        <w:rPr>
          <w:rFonts w:cs="Times New Roman"/>
        </w:rPr>
        <w:t>1.1.5. Atıklar</w:t>
      </w:r>
    </w:p>
    <w:p w14:paraId="7EBEE4B8" w14:textId="77777777" w:rsidR="0007690F" w:rsidRPr="00D53A2B" w:rsidRDefault="0007690F" w:rsidP="00A202FD">
      <w:pPr>
        <w:widowControl w:val="0"/>
        <w:spacing w:after="240" w:line="276" w:lineRule="auto"/>
        <w:ind w:firstLine="1"/>
        <w:contextualSpacing/>
        <w:jc w:val="both"/>
      </w:pPr>
      <w:r w:rsidRPr="00D53A2B">
        <w:rPr>
          <w:b/>
          <w:bCs/>
        </w:rPr>
        <w:t>MET 10.</w:t>
      </w:r>
      <w:r w:rsidRPr="00D53A2B">
        <w:t> Malzeme verimliliğini artırmak ve atıkların bertaraf edilmek üzere gönderilen miktarını azaltmak amacıyla, MET, bir atık yönetim planı oluşturmayı, uygulamayı ve düzenli olarak gözden geçirmeyi öngörmektedir.</w:t>
      </w:r>
    </w:p>
    <w:p w14:paraId="7C595AD4" w14:textId="77777777" w:rsidR="0007690F" w:rsidRPr="00D53A2B" w:rsidRDefault="0007690F" w:rsidP="00A202FD">
      <w:pPr>
        <w:widowControl w:val="0"/>
        <w:spacing w:after="240" w:line="276" w:lineRule="auto"/>
        <w:ind w:firstLine="1"/>
        <w:contextualSpacing/>
        <w:jc w:val="both"/>
      </w:pPr>
      <w:r w:rsidRPr="00D53A2B">
        <w:rPr>
          <w:b/>
          <w:bCs/>
        </w:rPr>
        <w:t>Açıklama</w:t>
      </w:r>
    </w:p>
    <w:p w14:paraId="0AFE7E1D" w14:textId="77777777" w:rsidR="0007690F" w:rsidRPr="00D53A2B" w:rsidRDefault="0007690F" w:rsidP="00A202FD">
      <w:pPr>
        <w:widowControl w:val="0"/>
        <w:spacing w:after="240" w:line="276" w:lineRule="auto"/>
        <w:ind w:firstLine="1"/>
        <w:contextualSpacing/>
        <w:jc w:val="both"/>
      </w:pPr>
      <w:r w:rsidRPr="00D53A2B">
        <w:t>Bir atık yönetim planı, ÇYS'nin (bkz. MET 1) bir parçası olup, aşağıdaki hedeflere yönelik bir dizi önlem içermektedir:</w:t>
      </w:r>
    </w:p>
    <w:p w14:paraId="6038E531" w14:textId="77777777" w:rsidR="0007690F" w:rsidRPr="00D53A2B" w:rsidRDefault="0007690F" w:rsidP="00A202FD">
      <w:pPr>
        <w:widowControl w:val="0"/>
        <w:spacing w:after="240" w:line="276" w:lineRule="auto"/>
        <w:ind w:firstLine="1"/>
        <w:contextualSpacing/>
        <w:jc w:val="both"/>
      </w:pPr>
      <w:r w:rsidRPr="00D53A2B">
        <w:t>I. Atık üretimini en aza indirmek;</w:t>
      </w:r>
      <w:r w:rsidRPr="00D53A2B">
        <w:br/>
        <w:t>II. Atıkların yeniden kullanımı, geri dönüştürülmesi ve/veya geri kazanılmasını optimize etmek;</w:t>
      </w:r>
      <w:r w:rsidRPr="00D53A2B">
        <w:br/>
        <w:t>III. Atıkların doğru bir şekilde bertaraf edilmesini sağlamak.</w:t>
      </w:r>
    </w:p>
    <w:p w14:paraId="01BD6DA9" w14:textId="77777777" w:rsidR="0007690F" w:rsidRPr="00D53A2B" w:rsidRDefault="0007690F" w:rsidP="008A41DE">
      <w:pPr>
        <w:widowControl w:val="0"/>
        <w:spacing w:after="240" w:line="276" w:lineRule="auto"/>
        <w:ind w:right="281" w:firstLine="1"/>
        <w:contextualSpacing/>
        <w:jc w:val="both"/>
      </w:pPr>
      <w:r w:rsidRPr="00D53A2B">
        <w:t>Atık yönetim planı, daha büyük bir tesisin genel atık yönetim planına (örneğin, yüzey işlemleri faaliyetleri) entegre edilebilir.</w:t>
      </w:r>
    </w:p>
    <w:p w14:paraId="5B248C3D" w14:textId="77777777" w:rsidR="0007690F" w:rsidRPr="00D53A2B" w:rsidRDefault="0007690F" w:rsidP="00A202FD">
      <w:pPr>
        <w:widowControl w:val="0"/>
        <w:spacing w:after="240" w:line="276" w:lineRule="auto"/>
        <w:ind w:firstLine="1"/>
        <w:contextualSpacing/>
        <w:jc w:val="both"/>
        <w:rPr>
          <w:b/>
          <w:bCs/>
          <w:i/>
          <w:iCs/>
        </w:rPr>
      </w:pPr>
      <w:r w:rsidRPr="00D53A2B">
        <w:rPr>
          <w:b/>
          <w:bCs/>
          <w:i/>
          <w:iCs/>
        </w:rPr>
        <w:t>Uygulanabilirlik</w:t>
      </w:r>
    </w:p>
    <w:p w14:paraId="2424E192" w14:textId="77777777" w:rsidR="0007690F" w:rsidRPr="00D53A2B" w:rsidRDefault="0007690F" w:rsidP="00A202FD">
      <w:pPr>
        <w:widowControl w:val="0"/>
        <w:spacing w:after="240" w:line="276" w:lineRule="auto"/>
        <w:ind w:firstLine="1"/>
        <w:contextualSpacing/>
        <w:jc w:val="both"/>
      </w:pPr>
      <w:r w:rsidRPr="00D53A2B">
        <w:t>Atık yönetim planının detay seviyesi ve resmi hale getirilme derecesi, genellikle tesisin doğasına, ölçeğine ve karmaşıklığına bağlı olarak değişecektir.</w:t>
      </w:r>
    </w:p>
    <w:p w14:paraId="142DC44B" w14:textId="77777777" w:rsidR="00464754" w:rsidRPr="00D53A2B" w:rsidRDefault="00464754" w:rsidP="00A202FD">
      <w:pPr>
        <w:widowControl w:val="0"/>
        <w:spacing w:after="240" w:line="276" w:lineRule="auto"/>
        <w:ind w:firstLine="1"/>
        <w:contextualSpacing/>
        <w:jc w:val="both"/>
        <w:rPr>
          <w:b/>
          <w:bCs/>
        </w:rPr>
      </w:pPr>
    </w:p>
    <w:p w14:paraId="35EE6D9D" w14:textId="5E844A93" w:rsidR="0007690F" w:rsidRPr="00D53A2B" w:rsidRDefault="0007690F" w:rsidP="00A202FD">
      <w:pPr>
        <w:pStyle w:val="Balk2"/>
        <w:rPr>
          <w:rFonts w:cs="Times New Roman"/>
          <w:szCs w:val="24"/>
        </w:rPr>
      </w:pPr>
      <w:r w:rsidRPr="00D53A2B">
        <w:rPr>
          <w:rFonts w:cs="Times New Roman"/>
          <w:szCs w:val="24"/>
        </w:rPr>
        <w:t>1.2. Dökümhaneler için MET Sonuçları</w:t>
      </w:r>
    </w:p>
    <w:p w14:paraId="16EFF621" w14:textId="77777777" w:rsidR="0007690F" w:rsidRPr="00D53A2B" w:rsidRDefault="0007690F" w:rsidP="00A202FD">
      <w:pPr>
        <w:widowControl w:val="0"/>
        <w:spacing w:after="240" w:line="276" w:lineRule="auto"/>
        <w:ind w:firstLine="1"/>
        <w:contextualSpacing/>
        <w:jc w:val="both"/>
      </w:pPr>
      <w:r w:rsidRPr="00D53A2B">
        <w:t>Bu bölümdeki MET sonuçları, kadmiyum, titanyum ve değerli metaller dökümhaneleri ile çan ve sanat dökümünü kapsamaz.</w:t>
      </w:r>
    </w:p>
    <w:p w14:paraId="0EC21E84" w14:textId="77777777" w:rsidR="0007690F" w:rsidRPr="00D53A2B" w:rsidRDefault="0007690F" w:rsidP="00A202FD">
      <w:pPr>
        <w:pStyle w:val="Balk3"/>
        <w:rPr>
          <w:rFonts w:cs="Times New Roman"/>
        </w:rPr>
      </w:pPr>
      <w:r w:rsidRPr="00D53A2B">
        <w:rPr>
          <w:rFonts w:cs="Times New Roman"/>
        </w:rPr>
        <w:t>1.2.1. Dökümhaneler için Genel MET Sonuçları</w:t>
      </w:r>
    </w:p>
    <w:p w14:paraId="48196F37" w14:textId="77777777" w:rsidR="0007690F" w:rsidRPr="00D53A2B" w:rsidRDefault="0007690F" w:rsidP="00A202FD">
      <w:pPr>
        <w:widowControl w:val="0"/>
        <w:spacing w:after="240" w:line="276" w:lineRule="auto"/>
        <w:ind w:firstLine="1"/>
        <w:contextualSpacing/>
        <w:jc w:val="both"/>
      </w:pPr>
      <w:r w:rsidRPr="00D53A2B">
        <w:t>Bu bölümdeki MET sonuçları, Bölüm 1.1'de verilen genel MET sonuçlarına ek olarak uygulanır.</w:t>
      </w:r>
    </w:p>
    <w:p w14:paraId="12CC72D7" w14:textId="77777777" w:rsidR="0007690F" w:rsidRPr="00D53A2B" w:rsidRDefault="0007690F" w:rsidP="00A202FD">
      <w:pPr>
        <w:pStyle w:val="Balk4"/>
        <w:rPr>
          <w:rFonts w:cs="Times New Roman"/>
        </w:rPr>
      </w:pPr>
      <w:r w:rsidRPr="00D53A2B">
        <w:rPr>
          <w:rFonts w:cs="Times New Roman"/>
        </w:rPr>
        <w:t>1.2.1.1. Tehlikeli Maddeler ve Çok Yüksek Endişe Uyandıran Maddeler</w:t>
      </w:r>
    </w:p>
    <w:p w14:paraId="485E5E1F" w14:textId="77777777" w:rsidR="0007690F" w:rsidRPr="00D53A2B" w:rsidRDefault="0007690F" w:rsidP="00A202FD">
      <w:pPr>
        <w:widowControl w:val="0"/>
        <w:spacing w:after="240" w:line="276" w:lineRule="auto"/>
        <w:ind w:firstLine="1"/>
        <w:contextualSpacing/>
        <w:jc w:val="both"/>
      </w:pPr>
      <w:r w:rsidRPr="00D53A2B">
        <w:rPr>
          <w:b/>
          <w:bCs/>
        </w:rPr>
        <w:t>MET 11.</w:t>
      </w:r>
      <w:r w:rsidRPr="00D53A2B">
        <w:t> Kimyasal bağlayıcı kum kullanarak kalıp ve çekirdek yapımında, tehlikeli maddelerin ve çok yüksek endişe uyandıran maddelerin kullanımını önlemek veya azaltmak amacıyla, MET, daha az tehlikeli veya tehlikesiz alternatif maddelerin kullanılmasını önerir.</w:t>
      </w:r>
    </w:p>
    <w:p w14:paraId="674DB80E" w14:textId="77777777" w:rsidR="0007690F" w:rsidRPr="00D53A2B" w:rsidRDefault="0007690F" w:rsidP="00A202FD">
      <w:pPr>
        <w:widowControl w:val="0"/>
        <w:spacing w:after="240" w:line="276" w:lineRule="auto"/>
        <w:ind w:firstLine="1"/>
        <w:contextualSpacing/>
        <w:jc w:val="both"/>
      </w:pPr>
      <w:r w:rsidRPr="00D53A2B">
        <w:rPr>
          <w:b/>
          <w:bCs/>
        </w:rPr>
        <w:t>Açıklama</w:t>
      </w:r>
    </w:p>
    <w:p w14:paraId="2B9AE766" w14:textId="77777777" w:rsidR="0007690F" w:rsidRPr="00D53A2B" w:rsidRDefault="0007690F" w:rsidP="00A202FD">
      <w:pPr>
        <w:widowControl w:val="0"/>
        <w:spacing w:after="240" w:line="276" w:lineRule="auto"/>
        <w:ind w:firstLine="1"/>
        <w:contextualSpacing/>
        <w:jc w:val="both"/>
      </w:pPr>
      <w:r w:rsidRPr="00D53A2B">
        <w:t>Kalıp ve çekirdek yapımında kullanılan tehlikeli maddeler ve çok yüksek endişe uyandıran maddeler, aşağıdaki gibi örneklerle, daha az tehlikeli maddeler veya mümkünse tehlikesiz maddelerle değiştirilir:</w:t>
      </w:r>
    </w:p>
    <w:p w14:paraId="70AC069F" w14:textId="77777777" w:rsidR="0007690F" w:rsidRPr="00D53A2B" w:rsidRDefault="0007690F" w:rsidP="00602365">
      <w:pPr>
        <w:widowControl w:val="0"/>
        <w:numPr>
          <w:ilvl w:val="0"/>
          <w:numId w:val="249"/>
        </w:numPr>
        <w:spacing w:after="240" w:line="276" w:lineRule="auto"/>
        <w:contextualSpacing/>
        <w:jc w:val="both"/>
      </w:pPr>
      <w:r w:rsidRPr="00D53A2B">
        <w:t>Kalıp ve çekirdek yapımında alifatik organik bağlayıcıların (aromatik yerine) kullanımı (bkz. MET 25 (d), (e) ve (f));</w:t>
      </w:r>
    </w:p>
    <w:p w14:paraId="12870869" w14:textId="77777777" w:rsidR="0007690F" w:rsidRPr="00D53A2B" w:rsidRDefault="0007690F" w:rsidP="00602365">
      <w:pPr>
        <w:widowControl w:val="0"/>
        <w:numPr>
          <w:ilvl w:val="0"/>
          <w:numId w:val="249"/>
        </w:numPr>
        <w:spacing w:after="240" w:line="276" w:lineRule="auto"/>
        <w:contextualSpacing/>
        <w:jc w:val="both"/>
      </w:pPr>
      <w:r w:rsidRPr="00D53A2B">
        <w:t>Soğuk kutu çekirdek yapımında aromatik olmayan çözücüler kullanımı (bkz. MET 25 (j));</w:t>
      </w:r>
    </w:p>
    <w:p w14:paraId="615A675A" w14:textId="77777777" w:rsidR="0007690F" w:rsidRPr="00D53A2B" w:rsidRDefault="0007690F" w:rsidP="00602365">
      <w:pPr>
        <w:widowControl w:val="0"/>
        <w:numPr>
          <w:ilvl w:val="0"/>
          <w:numId w:val="249"/>
        </w:numPr>
        <w:spacing w:after="240" w:line="276" w:lineRule="auto"/>
        <w:contextualSpacing/>
        <w:jc w:val="both"/>
      </w:pPr>
      <w:r w:rsidRPr="00D53A2B">
        <w:t>Kalıp ve çekirdek yapımında inorganik bağlayıcıların kullanımı (bkz. MET 25 (d), (e) ve (f));</w:t>
      </w:r>
    </w:p>
    <w:p w14:paraId="643BE546" w14:textId="77777777" w:rsidR="0007690F" w:rsidRPr="00D53A2B" w:rsidRDefault="0007690F" w:rsidP="00602365">
      <w:pPr>
        <w:widowControl w:val="0"/>
        <w:numPr>
          <w:ilvl w:val="0"/>
          <w:numId w:val="249"/>
        </w:numPr>
        <w:spacing w:after="240" w:line="276" w:lineRule="auto"/>
        <w:contextualSpacing/>
        <w:jc w:val="both"/>
      </w:pPr>
      <w:r w:rsidRPr="00D53A2B">
        <w:t>Kalıp ve çekirdek yapımında su bazlı kaplamaların kullanımı (bkz. MET 25 (l)).</w:t>
      </w:r>
    </w:p>
    <w:p w14:paraId="68D798C0" w14:textId="77777777" w:rsidR="0007690F" w:rsidRPr="00D53A2B" w:rsidRDefault="0007690F" w:rsidP="00A202FD">
      <w:pPr>
        <w:pStyle w:val="Balk4"/>
        <w:rPr>
          <w:rFonts w:cs="Times New Roman"/>
        </w:rPr>
      </w:pPr>
      <w:r w:rsidRPr="00D53A2B">
        <w:rPr>
          <w:rFonts w:eastAsia="Times New Roman" w:cs="Times New Roman"/>
        </w:rPr>
        <w:t>1.2.1.2. Emisyonların İzlenmesi</w:t>
      </w:r>
    </w:p>
    <w:p w14:paraId="320BF44A" w14:textId="77777777" w:rsidR="0007690F" w:rsidRPr="00D53A2B" w:rsidRDefault="0007690F" w:rsidP="00A202FD">
      <w:pPr>
        <w:pStyle w:val="Balk5"/>
        <w:rPr>
          <w:szCs w:val="24"/>
        </w:rPr>
      </w:pPr>
      <w:r w:rsidRPr="00D53A2B">
        <w:rPr>
          <w:szCs w:val="24"/>
        </w:rPr>
        <w:t>1.2.1.2.1. Hava Kirliliği Emisyonlarının İzlenmesi</w:t>
      </w:r>
    </w:p>
    <w:p w14:paraId="0FA77C00" w14:textId="7DD2D9F2" w:rsidR="0007690F" w:rsidRDefault="0007690F" w:rsidP="00A202FD">
      <w:pPr>
        <w:widowControl w:val="0"/>
        <w:spacing w:after="240" w:line="276" w:lineRule="auto"/>
        <w:ind w:firstLine="1"/>
        <w:contextualSpacing/>
        <w:jc w:val="both"/>
        <w:rPr>
          <w:b/>
          <w:bCs/>
        </w:rPr>
      </w:pPr>
      <w:r w:rsidRPr="00D53A2B">
        <w:rPr>
          <w:b/>
          <w:bCs/>
        </w:rPr>
        <w:t>MET 12.</w:t>
      </w:r>
      <w:r w:rsidRPr="00D53A2B">
        <w:t> </w:t>
      </w:r>
      <w:r w:rsidRPr="00D53A2B">
        <w:rPr>
          <w:b/>
          <w:bCs/>
        </w:rPr>
        <w:t>MET, baca gazı emisyonlarını aşağıda belirtilen sıklıkla izlemeyi ve AB standartlarına uygun olmayı önerir. AB standartları mevcut değilse, MET, ISO, ulusal veya diğer uluslararası standartları kullanarak, eşdeğer bilimsel kaliteye sahip verilerin sağlanmasını temin eder.</w:t>
      </w:r>
    </w:p>
    <w:p w14:paraId="1D000A6F" w14:textId="77777777" w:rsidR="008A41DE" w:rsidRPr="00D53A2B" w:rsidRDefault="008A41DE" w:rsidP="00A202FD">
      <w:pPr>
        <w:widowControl w:val="0"/>
        <w:spacing w:after="240" w:line="276" w:lineRule="auto"/>
        <w:ind w:firstLine="1"/>
        <w:contextualSpacing/>
        <w:jc w:val="both"/>
        <w:rPr>
          <w:b/>
          <w:bCs/>
        </w:rPr>
      </w:pPr>
    </w:p>
    <w:tbl>
      <w:tblPr>
        <w:tblStyle w:val="TabloKlavuzu7"/>
        <w:tblW w:w="8926" w:type="dxa"/>
        <w:tblLook w:val="04A0" w:firstRow="1" w:lastRow="0" w:firstColumn="1" w:lastColumn="0" w:noHBand="0" w:noVBand="1"/>
      </w:tblPr>
      <w:tblGrid>
        <w:gridCol w:w="1689"/>
        <w:gridCol w:w="2066"/>
        <w:gridCol w:w="1661"/>
        <w:gridCol w:w="1285"/>
        <w:gridCol w:w="1023"/>
        <w:gridCol w:w="1336"/>
      </w:tblGrid>
      <w:tr w:rsidR="001F53FB" w:rsidRPr="0051382C" w14:paraId="14DF8EF6" w14:textId="77777777" w:rsidTr="008A41DE">
        <w:trPr>
          <w:trHeight w:val="320"/>
        </w:trPr>
        <w:tc>
          <w:tcPr>
            <w:tcW w:w="1689" w:type="dxa"/>
            <w:noWrap/>
            <w:hideMark/>
          </w:tcPr>
          <w:p w14:paraId="274CB98F"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Madde/Parametre</w:t>
            </w:r>
          </w:p>
        </w:tc>
        <w:tc>
          <w:tcPr>
            <w:tcW w:w="2066" w:type="dxa"/>
            <w:noWrap/>
            <w:hideMark/>
          </w:tcPr>
          <w:p w14:paraId="45776735"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Süreç(ler)/Kaynak(lar)</w:t>
            </w:r>
          </w:p>
        </w:tc>
        <w:tc>
          <w:tcPr>
            <w:tcW w:w="1661" w:type="dxa"/>
            <w:noWrap/>
            <w:hideMark/>
          </w:tcPr>
          <w:p w14:paraId="10BF484E"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Dökümhane/Fırın Türü</w:t>
            </w:r>
          </w:p>
        </w:tc>
        <w:tc>
          <w:tcPr>
            <w:tcW w:w="1285" w:type="dxa"/>
            <w:noWrap/>
            <w:hideMark/>
          </w:tcPr>
          <w:p w14:paraId="154588F8"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Standart(lar)</w:t>
            </w:r>
          </w:p>
        </w:tc>
        <w:tc>
          <w:tcPr>
            <w:tcW w:w="1023" w:type="dxa"/>
            <w:noWrap/>
            <w:hideMark/>
          </w:tcPr>
          <w:p w14:paraId="27A44127"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Minimum İzleme Sıklığı</w:t>
            </w:r>
          </w:p>
        </w:tc>
        <w:tc>
          <w:tcPr>
            <w:tcW w:w="1202" w:type="dxa"/>
            <w:noWrap/>
            <w:hideMark/>
          </w:tcPr>
          <w:p w14:paraId="63642B57" w14:textId="61B5B3DC"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İlgili </w:t>
            </w:r>
            <w:r w:rsidR="00831B53" w:rsidRPr="0051382C">
              <w:rPr>
                <w:b/>
                <w:bCs/>
                <w:sz w:val="22"/>
                <w:szCs w:val="22"/>
              </w:rPr>
              <w:t>MET</w:t>
            </w:r>
            <w:r w:rsidRPr="0051382C">
              <w:rPr>
                <w:b/>
                <w:bCs/>
                <w:sz w:val="22"/>
                <w:szCs w:val="22"/>
              </w:rPr>
              <w:t>(En İyi Uygulamalar)</w:t>
            </w:r>
          </w:p>
        </w:tc>
      </w:tr>
      <w:tr w:rsidR="001F53FB" w:rsidRPr="0051382C" w14:paraId="7BC0DCEA" w14:textId="77777777" w:rsidTr="008A41DE">
        <w:trPr>
          <w:trHeight w:val="320"/>
        </w:trPr>
        <w:tc>
          <w:tcPr>
            <w:tcW w:w="1689" w:type="dxa"/>
            <w:noWrap/>
            <w:hideMark/>
          </w:tcPr>
          <w:p w14:paraId="5F7C2B7D"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Aminler</w:t>
            </w:r>
          </w:p>
        </w:tc>
        <w:tc>
          <w:tcPr>
            <w:tcW w:w="2066" w:type="dxa"/>
            <w:noWrap/>
            <w:hideMark/>
          </w:tcPr>
          <w:p w14:paraId="399D3620" w14:textId="7636A7C8"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Kaybolan kalıplarla kalıplama ve maça yapımı</w:t>
            </w:r>
            <w:r w:rsidR="00A26EE8" w:rsidRPr="009077F5">
              <w:rPr>
                <w:sz w:val="22"/>
                <w:szCs w:val="22"/>
                <w:vertAlign w:val="superscript"/>
              </w:rPr>
              <w:t>(2)</w:t>
            </w:r>
          </w:p>
        </w:tc>
        <w:tc>
          <w:tcPr>
            <w:tcW w:w="1661" w:type="dxa"/>
            <w:noWrap/>
            <w:hideMark/>
          </w:tcPr>
          <w:p w14:paraId="5F3229B0"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22762A64"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EN standardı mevcut değil</w:t>
            </w:r>
          </w:p>
        </w:tc>
        <w:tc>
          <w:tcPr>
            <w:tcW w:w="1023" w:type="dxa"/>
            <w:noWrap/>
            <w:hideMark/>
          </w:tcPr>
          <w:p w14:paraId="2A4515EC"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3766BF2C" w14:textId="358815C4" w:rsidR="0007690F" w:rsidRPr="0051382C" w:rsidRDefault="00831B53" w:rsidP="00A202FD">
            <w:pPr>
              <w:widowControl w:val="0"/>
              <w:spacing w:after="240" w:line="276" w:lineRule="auto"/>
              <w:ind w:firstLine="1"/>
              <w:contextualSpacing/>
              <w:jc w:val="both"/>
              <w:rPr>
                <w:sz w:val="22"/>
                <w:szCs w:val="22"/>
              </w:rPr>
            </w:pPr>
            <w:r w:rsidRPr="0051382C">
              <w:rPr>
                <w:sz w:val="22"/>
                <w:szCs w:val="22"/>
              </w:rPr>
              <w:t>MET</w:t>
            </w:r>
            <w:r w:rsidR="0007690F" w:rsidRPr="0051382C">
              <w:rPr>
                <w:sz w:val="22"/>
                <w:szCs w:val="22"/>
              </w:rPr>
              <w:t>26</w:t>
            </w:r>
          </w:p>
        </w:tc>
      </w:tr>
      <w:tr w:rsidR="001F53FB" w:rsidRPr="0051382C" w14:paraId="3D981799" w14:textId="77777777" w:rsidTr="008A41DE">
        <w:trPr>
          <w:trHeight w:val="320"/>
        </w:trPr>
        <w:tc>
          <w:tcPr>
            <w:tcW w:w="1689" w:type="dxa"/>
            <w:vMerge w:val="restart"/>
            <w:noWrap/>
            <w:hideMark/>
          </w:tcPr>
          <w:p w14:paraId="30E7E65C"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Benzen</w:t>
            </w:r>
          </w:p>
          <w:p w14:paraId="4B7D19E2" w14:textId="77777777" w:rsidR="0007690F" w:rsidRPr="0051382C" w:rsidRDefault="0007690F" w:rsidP="00A202FD">
            <w:pPr>
              <w:widowControl w:val="0"/>
              <w:spacing w:after="240" w:line="276" w:lineRule="auto"/>
              <w:ind w:firstLine="1"/>
              <w:contextualSpacing/>
              <w:jc w:val="both"/>
              <w:rPr>
                <w:b/>
                <w:bCs/>
                <w:sz w:val="22"/>
                <w:szCs w:val="22"/>
              </w:rPr>
            </w:pPr>
            <w:r w:rsidRPr="0051382C">
              <w:rPr>
                <w:sz w:val="22"/>
                <w:szCs w:val="22"/>
              </w:rPr>
              <w:t> </w:t>
            </w:r>
          </w:p>
        </w:tc>
        <w:tc>
          <w:tcPr>
            <w:tcW w:w="2066" w:type="dxa"/>
            <w:noWrap/>
            <w:hideMark/>
          </w:tcPr>
          <w:p w14:paraId="1956D15D" w14:textId="622AE6F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Kaybolan kalıplarla kalıplama ve maça yapımı</w:t>
            </w:r>
            <w:r w:rsidR="00A26EE8" w:rsidRPr="009077F5">
              <w:rPr>
                <w:sz w:val="22"/>
                <w:szCs w:val="22"/>
                <w:vertAlign w:val="superscript"/>
              </w:rPr>
              <w:t>(3)</w:t>
            </w:r>
          </w:p>
        </w:tc>
        <w:tc>
          <w:tcPr>
            <w:tcW w:w="1661" w:type="dxa"/>
            <w:noWrap/>
            <w:hideMark/>
          </w:tcPr>
          <w:p w14:paraId="32AAA398"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5752CAA5"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EN standardı mevcut değil</w:t>
            </w:r>
          </w:p>
        </w:tc>
        <w:tc>
          <w:tcPr>
            <w:tcW w:w="1023" w:type="dxa"/>
            <w:noWrap/>
            <w:hideMark/>
          </w:tcPr>
          <w:p w14:paraId="1E350046"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72583938" w14:textId="672C3590" w:rsidR="0007690F" w:rsidRPr="0051382C" w:rsidRDefault="00831B53" w:rsidP="00A202FD">
            <w:pPr>
              <w:widowControl w:val="0"/>
              <w:spacing w:after="240" w:line="276" w:lineRule="auto"/>
              <w:ind w:firstLine="1"/>
              <w:contextualSpacing/>
              <w:jc w:val="both"/>
              <w:rPr>
                <w:sz w:val="22"/>
                <w:szCs w:val="22"/>
              </w:rPr>
            </w:pPr>
            <w:r w:rsidRPr="0051382C">
              <w:rPr>
                <w:sz w:val="22"/>
                <w:szCs w:val="22"/>
              </w:rPr>
              <w:t>MET</w:t>
            </w:r>
            <w:r w:rsidR="0007690F" w:rsidRPr="0051382C">
              <w:rPr>
                <w:sz w:val="22"/>
                <w:szCs w:val="22"/>
              </w:rPr>
              <w:t>26</w:t>
            </w:r>
          </w:p>
        </w:tc>
      </w:tr>
      <w:tr w:rsidR="001F53FB" w:rsidRPr="0051382C" w14:paraId="64C9AA0B" w14:textId="77777777" w:rsidTr="008A41DE">
        <w:trPr>
          <w:trHeight w:val="320"/>
        </w:trPr>
        <w:tc>
          <w:tcPr>
            <w:tcW w:w="1689" w:type="dxa"/>
            <w:vMerge/>
            <w:noWrap/>
            <w:hideMark/>
          </w:tcPr>
          <w:p w14:paraId="0ECE24F9" w14:textId="77777777" w:rsidR="0007690F" w:rsidRPr="0051382C" w:rsidRDefault="0007690F" w:rsidP="00A202FD">
            <w:pPr>
              <w:widowControl w:val="0"/>
              <w:spacing w:after="240" w:line="276" w:lineRule="auto"/>
              <w:ind w:firstLine="1"/>
              <w:contextualSpacing/>
              <w:jc w:val="both"/>
              <w:rPr>
                <w:sz w:val="22"/>
                <w:szCs w:val="22"/>
              </w:rPr>
            </w:pPr>
          </w:p>
        </w:tc>
        <w:tc>
          <w:tcPr>
            <w:tcW w:w="2066" w:type="dxa"/>
            <w:noWrap/>
            <w:hideMark/>
          </w:tcPr>
          <w:p w14:paraId="156D1683" w14:textId="44790FFA"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Kaybolan kalıplarla döküm, soğutma ve temizleme (tam kalıp süreci dahil</w:t>
            </w:r>
            <w:r w:rsidRPr="009077F5">
              <w:rPr>
                <w:sz w:val="22"/>
                <w:szCs w:val="22"/>
                <w:vertAlign w:val="superscript"/>
              </w:rPr>
              <w:t>)</w:t>
            </w:r>
            <w:r w:rsidR="00A26EE8" w:rsidRPr="009077F5">
              <w:rPr>
                <w:sz w:val="22"/>
                <w:szCs w:val="22"/>
                <w:vertAlign w:val="superscript"/>
              </w:rPr>
              <w:t>(3)</w:t>
            </w:r>
          </w:p>
        </w:tc>
        <w:tc>
          <w:tcPr>
            <w:tcW w:w="1661" w:type="dxa"/>
            <w:noWrap/>
            <w:hideMark/>
          </w:tcPr>
          <w:p w14:paraId="15055FF5"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0A3EEE9B"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2B54776B"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w:t>
            </w:r>
          </w:p>
        </w:tc>
        <w:tc>
          <w:tcPr>
            <w:tcW w:w="1202" w:type="dxa"/>
            <w:noWrap/>
            <w:hideMark/>
          </w:tcPr>
          <w:p w14:paraId="627605CE" w14:textId="47C14329" w:rsidR="0007690F" w:rsidRPr="0051382C" w:rsidRDefault="00831B53" w:rsidP="00A202FD">
            <w:pPr>
              <w:widowControl w:val="0"/>
              <w:spacing w:after="240" w:line="276" w:lineRule="auto"/>
              <w:ind w:firstLine="1"/>
              <w:contextualSpacing/>
              <w:jc w:val="both"/>
              <w:rPr>
                <w:sz w:val="22"/>
                <w:szCs w:val="22"/>
              </w:rPr>
            </w:pPr>
            <w:r w:rsidRPr="0051382C">
              <w:rPr>
                <w:sz w:val="22"/>
                <w:szCs w:val="22"/>
              </w:rPr>
              <w:t>MET</w:t>
            </w:r>
            <w:r w:rsidR="0007690F" w:rsidRPr="0051382C">
              <w:rPr>
                <w:sz w:val="22"/>
                <w:szCs w:val="22"/>
              </w:rPr>
              <w:t>27</w:t>
            </w:r>
          </w:p>
        </w:tc>
      </w:tr>
      <w:tr w:rsidR="001F53FB" w:rsidRPr="0051382C" w14:paraId="05EE6A20" w14:textId="77777777" w:rsidTr="008A41DE">
        <w:trPr>
          <w:trHeight w:val="320"/>
        </w:trPr>
        <w:tc>
          <w:tcPr>
            <w:tcW w:w="1689" w:type="dxa"/>
            <w:noWrap/>
            <w:hideMark/>
          </w:tcPr>
          <w:p w14:paraId="278D4BA7"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B[a]P</w:t>
            </w:r>
          </w:p>
        </w:tc>
        <w:tc>
          <w:tcPr>
            <w:tcW w:w="2066" w:type="dxa"/>
            <w:noWrap/>
            <w:hideMark/>
          </w:tcPr>
          <w:p w14:paraId="729C0F78" w14:textId="557F2846"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Metal eritme</w:t>
            </w:r>
            <w:r w:rsidR="00A26EE8" w:rsidRPr="009077F5">
              <w:rPr>
                <w:sz w:val="22"/>
                <w:szCs w:val="22"/>
                <w:vertAlign w:val="superscript"/>
              </w:rPr>
              <w:t>(4)</w:t>
            </w:r>
          </w:p>
        </w:tc>
        <w:tc>
          <w:tcPr>
            <w:tcW w:w="1661" w:type="dxa"/>
            <w:noWrap/>
            <w:hideMark/>
          </w:tcPr>
          <w:p w14:paraId="680A6B92"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Dökme demir</w:t>
            </w:r>
          </w:p>
        </w:tc>
        <w:tc>
          <w:tcPr>
            <w:tcW w:w="1285" w:type="dxa"/>
            <w:noWrap/>
            <w:hideMark/>
          </w:tcPr>
          <w:p w14:paraId="72CDBF57"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EN standardı mevcut değil</w:t>
            </w:r>
          </w:p>
        </w:tc>
        <w:tc>
          <w:tcPr>
            <w:tcW w:w="1023" w:type="dxa"/>
            <w:noWrap/>
            <w:hideMark/>
          </w:tcPr>
          <w:p w14:paraId="5A325DBF"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59434D04" w14:textId="77777777" w:rsidR="0007690F" w:rsidRPr="0051382C" w:rsidRDefault="0007690F" w:rsidP="00A202FD">
            <w:pPr>
              <w:widowControl w:val="0"/>
              <w:spacing w:after="240" w:line="276" w:lineRule="auto"/>
              <w:ind w:firstLine="1"/>
              <w:contextualSpacing/>
              <w:jc w:val="both"/>
              <w:rPr>
                <w:sz w:val="22"/>
                <w:szCs w:val="22"/>
              </w:rPr>
            </w:pPr>
            <w:r w:rsidRPr="0051382C">
              <w:rPr>
                <w:sz w:val="22"/>
                <w:szCs w:val="22"/>
              </w:rPr>
              <w:t> </w:t>
            </w:r>
          </w:p>
        </w:tc>
      </w:tr>
      <w:tr w:rsidR="004313D9" w:rsidRPr="0051382C" w14:paraId="4CE91F74" w14:textId="77777777" w:rsidTr="008A41DE">
        <w:trPr>
          <w:trHeight w:val="320"/>
        </w:trPr>
        <w:tc>
          <w:tcPr>
            <w:tcW w:w="1689" w:type="dxa"/>
            <w:vMerge w:val="restart"/>
            <w:noWrap/>
            <w:hideMark/>
          </w:tcPr>
          <w:p w14:paraId="2669EEAC" w14:textId="77777777" w:rsidR="004313D9" w:rsidRPr="0051382C" w:rsidRDefault="004313D9" w:rsidP="00A202FD">
            <w:pPr>
              <w:widowControl w:val="0"/>
              <w:spacing w:after="240" w:line="276" w:lineRule="auto"/>
              <w:ind w:firstLine="1"/>
              <w:contextualSpacing/>
              <w:jc w:val="both"/>
              <w:rPr>
                <w:b/>
                <w:bCs/>
                <w:sz w:val="22"/>
                <w:szCs w:val="22"/>
              </w:rPr>
            </w:pPr>
            <w:r w:rsidRPr="0051382C">
              <w:rPr>
                <w:b/>
                <w:bCs/>
                <w:sz w:val="22"/>
                <w:szCs w:val="22"/>
              </w:rPr>
              <w:t>Karbon monoksit (CO)</w:t>
            </w:r>
          </w:p>
          <w:p w14:paraId="48F5F3EE" w14:textId="77777777" w:rsidR="004313D9" w:rsidRPr="0051382C" w:rsidRDefault="004313D9" w:rsidP="00A202FD">
            <w:pPr>
              <w:widowControl w:val="0"/>
              <w:spacing w:after="240" w:line="276" w:lineRule="auto"/>
              <w:ind w:firstLine="1"/>
              <w:contextualSpacing/>
              <w:jc w:val="both"/>
              <w:rPr>
                <w:b/>
                <w:bCs/>
                <w:sz w:val="22"/>
                <w:szCs w:val="22"/>
              </w:rPr>
            </w:pPr>
            <w:r w:rsidRPr="0051382C">
              <w:rPr>
                <w:sz w:val="22"/>
                <w:szCs w:val="22"/>
              </w:rPr>
              <w:t> </w:t>
            </w:r>
          </w:p>
        </w:tc>
        <w:tc>
          <w:tcPr>
            <w:tcW w:w="2066" w:type="dxa"/>
            <w:noWrap/>
            <w:hideMark/>
          </w:tcPr>
          <w:p w14:paraId="1E9BDB30" w14:textId="1D09611B"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Isıl işlem</w:t>
            </w:r>
            <w:r w:rsidRPr="009077F5">
              <w:rPr>
                <w:sz w:val="22"/>
                <w:szCs w:val="22"/>
                <w:vertAlign w:val="superscript"/>
              </w:rPr>
              <w:t>(5)</w:t>
            </w:r>
          </w:p>
        </w:tc>
        <w:tc>
          <w:tcPr>
            <w:tcW w:w="1661" w:type="dxa"/>
            <w:noWrap/>
            <w:hideMark/>
          </w:tcPr>
          <w:p w14:paraId="5C347F3A"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Tümü</w:t>
            </w:r>
          </w:p>
        </w:tc>
        <w:tc>
          <w:tcPr>
            <w:tcW w:w="1285" w:type="dxa"/>
            <w:vMerge w:val="restart"/>
            <w:noWrap/>
            <w:hideMark/>
          </w:tcPr>
          <w:p w14:paraId="44A05494"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EN 15058</w:t>
            </w:r>
          </w:p>
          <w:p w14:paraId="55D99006"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p w14:paraId="1677235A"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p w14:paraId="6501B626" w14:textId="31482D14" w:rsidR="004313D9" w:rsidRPr="0051382C" w:rsidRDefault="004313D9" w:rsidP="00A202FD">
            <w:pPr>
              <w:widowControl w:val="0"/>
              <w:spacing w:after="240" w:line="276" w:lineRule="auto"/>
              <w:ind w:firstLine="1"/>
              <w:contextualSpacing/>
              <w:jc w:val="both"/>
              <w:rPr>
                <w:sz w:val="22"/>
                <w:szCs w:val="22"/>
              </w:rPr>
            </w:pPr>
          </w:p>
        </w:tc>
        <w:tc>
          <w:tcPr>
            <w:tcW w:w="1023" w:type="dxa"/>
            <w:noWrap/>
            <w:hideMark/>
          </w:tcPr>
          <w:p w14:paraId="0DB5C718"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11A39DCB" w14:textId="456AD9CC"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MET24</w:t>
            </w:r>
          </w:p>
        </w:tc>
      </w:tr>
      <w:tr w:rsidR="004313D9" w:rsidRPr="0051382C" w14:paraId="0BD00915" w14:textId="77777777" w:rsidTr="008A41DE">
        <w:trPr>
          <w:trHeight w:val="320"/>
        </w:trPr>
        <w:tc>
          <w:tcPr>
            <w:tcW w:w="1689" w:type="dxa"/>
            <w:vMerge/>
            <w:noWrap/>
            <w:hideMark/>
          </w:tcPr>
          <w:p w14:paraId="26689383" w14:textId="77777777" w:rsidR="004313D9" w:rsidRPr="0051382C" w:rsidRDefault="004313D9" w:rsidP="00A202FD">
            <w:pPr>
              <w:widowControl w:val="0"/>
              <w:spacing w:after="240" w:line="276" w:lineRule="auto"/>
              <w:ind w:firstLine="1"/>
              <w:contextualSpacing/>
              <w:jc w:val="both"/>
              <w:rPr>
                <w:sz w:val="22"/>
                <w:szCs w:val="22"/>
              </w:rPr>
            </w:pPr>
          </w:p>
        </w:tc>
        <w:tc>
          <w:tcPr>
            <w:tcW w:w="2066" w:type="dxa"/>
            <w:noWrap/>
            <w:hideMark/>
          </w:tcPr>
          <w:p w14:paraId="14EFD16C"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Metal eritme</w:t>
            </w:r>
          </w:p>
        </w:tc>
        <w:tc>
          <w:tcPr>
            <w:tcW w:w="1661" w:type="dxa"/>
            <w:noWrap/>
            <w:hideMark/>
          </w:tcPr>
          <w:p w14:paraId="4F41E4FD"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Dökme demir: CBC, HBC ve döner fırınlar</w:t>
            </w:r>
          </w:p>
        </w:tc>
        <w:tc>
          <w:tcPr>
            <w:tcW w:w="1285" w:type="dxa"/>
            <w:vMerge/>
            <w:noWrap/>
            <w:hideMark/>
          </w:tcPr>
          <w:p w14:paraId="2DFAA610" w14:textId="55BCBCB5" w:rsidR="004313D9" w:rsidRPr="0051382C" w:rsidRDefault="004313D9" w:rsidP="00A202FD">
            <w:pPr>
              <w:widowControl w:val="0"/>
              <w:spacing w:after="240" w:line="276" w:lineRule="auto"/>
              <w:ind w:firstLine="1"/>
              <w:contextualSpacing/>
              <w:jc w:val="both"/>
              <w:rPr>
                <w:sz w:val="22"/>
                <w:szCs w:val="22"/>
              </w:rPr>
            </w:pPr>
          </w:p>
        </w:tc>
        <w:tc>
          <w:tcPr>
            <w:tcW w:w="1023" w:type="dxa"/>
            <w:noWrap/>
            <w:hideMark/>
          </w:tcPr>
          <w:p w14:paraId="03C179B9"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tc>
        <w:tc>
          <w:tcPr>
            <w:tcW w:w="1202" w:type="dxa"/>
            <w:noWrap/>
            <w:hideMark/>
          </w:tcPr>
          <w:p w14:paraId="306773BE" w14:textId="342C5062"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MET38</w:t>
            </w:r>
          </w:p>
        </w:tc>
      </w:tr>
      <w:tr w:rsidR="004313D9" w:rsidRPr="0051382C" w14:paraId="1E0C9ACD" w14:textId="77777777" w:rsidTr="008A41DE">
        <w:trPr>
          <w:trHeight w:val="320"/>
        </w:trPr>
        <w:tc>
          <w:tcPr>
            <w:tcW w:w="1689" w:type="dxa"/>
            <w:noWrap/>
            <w:hideMark/>
          </w:tcPr>
          <w:p w14:paraId="46F921ED"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tc>
        <w:tc>
          <w:tcPr>
            <w:tcW w:w="2066" w:type="dxa"/>
            <w:noWrap/>
            <w:hideMark/>
          </w:tcPr>
          <w:p w14:paraId="5E975CE2"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tc>
        <w:tc>
          <w:tcPr>
            <w:tcW w:w="1661" w:type="dxa"/>
            <w:noWrap/>
            <w:hideMark/>
          </w:tcPr>
          <w:p w14:paraId="6FD3377F" w14:textId="51D637CE"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NFM</w:t>
            </w:r>
            <w:r w:rsidRPr="009077F5">
              <w:rPr>
                <w:sz w:val="22"/>
                <w:szCs w:val="22"/>
                <w:vertAlign w:val="superscript"/>
              </w:rPr>
              <w:t>(5)</w:t>
            </w:r>
          </w:p>
        </w:tc>
        <w:tc>
          <w:tcPr>
            <w:tcW w:w="1285" w:type="dxa"/>
            <w:vMerge/>
            <w:noWrap/>
            <w:hideMark/>
          </w:tcPr>
          <w:p w14:paraId="1504E479" w14:textId="1DF887CA" w:rsidR="004313D9" w:rsidRPr="0051382C" w:rsidRDefault="004313D9" w:rsidP="00A202FD">
            <w:pPr>
              <w:widowControl w:val="0"/>
              <w:spacing w:after="240" w:line="276" w:lineRule="auto"/>
              <w:ind w:firstLine="1"/>
              <w:contextualSpacing/>
              <w:jc w:val="both"/>
              <w:rPr>
                <w:sz w:val="22"/>
                <w:szCs w:val="22"/>
              </w:rPr>
            </w:pPr>
          </w:p>
        </w:tc>
        <w:tc>
          <w:tcPr>
            <w:tcW w:w="1023" w:type="dxa"/>
            <w:noWrap/>
            <w:hideMark/>
          </w:tcPr>
          <w:p w14:paraId="77BDA7A2"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tc>
        <w:tc>
          <w:tcPr>
            <w:tcW w:w="1202" w:type="dxa"/>
            <w:noWrap/>
            <w:hideMark/>
          </w:tcPr>
          <w:p w14:paraId="41D4DC1A" w14:textId="6815D84F"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MET43</w:t>
            </w:r>
          </w:p>
        </w:tc>
      </w:tr>
      <w:tr w:rsidR="004313D9" w:rsidRPr="0051382C" w14:paraId="1C1CF852" w14:textId="77777777" w:rsidTr="008A41DE">
        <w:trPr>
          <w:trHeight w:val="320"/>
        </w:trPr>
        <w:tc>
          <w:tcPr>
            <w:tcW w:w="1689" w:type="dxa"/>
            <w:vMerge w:val="restart"/>
            <w:noWrap/>
            <w:hideMark/>
          </w:tcPr>
          <w:p w14:paraId="649B7DA4" w14:textId="77777777" w:rsidR="004313D9" w:rsidRPr="0051382C" w:rsidRDefault="004313D9" w:rsidP="00A202FD">
            <w:pPr>
              <w:widowControl w:val="0"/>
              <w:spacing w:after="240" w:line="276" w:lineRule="auto"/>
              <w:ind w:firstLine="1"/>
              <w:contextualSpacing/>
              <w:jc w:val="both"/>
              <w:rPr>
                <w:b/>
                <w:bCs/>
                <w:sz w:val="22"/>
                <w:szCs w:val="22"/>
              </w:rPr>
            </w:pPr>
            <w:r w:rsidRPr="0051382C">
              <w:rPr>
                <w:b/>
                <w:bCs/>
                <w:sz w:val="22"/>
                <w:szCs w:val="22"/>
              </w:rPr>
              <w:t>Toz</w:t>
            </w:r>
          </w:p>
          <w:p w14:paraId="3C2FEE3F"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p w14:paraId="15D3AF6C"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p w14:paraId="74FD6F1D"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p w14:paraId="399CA42C"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p w14:paraId="4952F08B"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p w14:paraId="0DE2E60E"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p w14:paraId="54A06D98"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p w14:paraId="29993723"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 </w:t>
            </w:r>
          </w:p>
          <w:p w14:paraId="75E50829" w14:textId="77777777" w:rsidR="004313D9" w:rsidRPr="0051382C" w:rsidRDefault="004313D9" w:rsidP="00A202FD">
            <w:pPr>
              <w:widowControl w:val="0"/>
              <w:spacing w:after="240" w:line="276" w:lineRule="auto"/>
              <w:ind w:firstLine="1"/>
              <w:contextualSpacing/>
              <w:jc w:val="both"/>
              <w:rPr>
                <w:b/>
                <w:bCs/>
                <w:sz w:val="22"/>
                <w:szCs w:val="22"/>
              </w:rPr>
            </w:pPr>
            <w:r w:rsidRPr="0051382C">
              <w:rPr>
                <w:sz w:val="22"/>
                <w:szCs w:val="22"/>
              </w:rPr>
              <w:t> </w:t>
            </w:r>
          </w:p>
        </w:tc>
        <w:tc>
          <w:tcPr>
            <w:tcW w:w="2066" w:type="dxa"/>
            <w:noWrap/>
            <w:hideMark/>
          </w:tcPr>
          <w:p w14:paraId="6E7713EA" w14:textId="4D5A9065"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Isıl işlem</w:t>
            </w:r>
            <w:r w:rsidRPr="009077F5">
              <w:rPr>
                <w:sz w:val="22"/>
                <w:szCs w:val="22"/>
                <w:vertAlign w:val="superscript"/>
              </w:rPr>
              <w:t>(4)</w:t>
            </w:r>
          </w:p>
        </w:tc>
        <w:tc>
          <w:tcPr>
            <w:tcW w:w="1661" w:type="dxa"/>
            <w:noWrap/>
            <w:hideMark/>
          </w:tcPr>
          <w:p w14:paraId="6943DE22"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Tümü</w:t>
            </w:r>
          </w:p>
        </w:tc>
        <w:tc>
          <w:tcPr>
            <w:tcW w:w="1285" w:type="dxa"/>
            <w:vMerge/>
            <w:noWrap/>
          </w:tcPr>
          <w:p w14:paraId="6BADAE5E" w14:textId="5D135DCA" w:rsidR="004313D9" w:rsidRPr="0051382C" w:rsidRDefault="004313D9" w:rsidP="00A202FD">
            <w:pPr>
              <w:widowControl w:val="0"/>
              <w:spacing w:after="240" w:line="276" w:lineRule="auto"/>
              <w:ind w:firstLine="1"/>
              <w:contextualSpacing/>
              <w:jc w:val="both"/>
              <w:rPr>
                <w:sz w:val="22"/>
                <w:szCs w:val="22"/>
              </w:rPr>
            </w:pPr>
          </w:p>
        </w:tc>
        <w:tc>
          <w:tcPr>
            <w:tcW w:w="1023" w:type="dxa"/>
            <w:noWrap/>
            <w:hideMark/>
          </w:tcPr>
          <w:p w14:paraId="01073B32" w14:textId="77777777"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0D76A823" w14:textId="1FA13EC1" w:rsidR="004313D9" w:rsidRPr="0051382C" w:rsidRDefault="004313D9" w:rsidP="00A202FD">
            <w:pPr>
              <w:widowControl w:val="0"/>
              <w:spacing w:after="240" w:line="276" w:lineRule="auto"/>
              <w:ind w:firstLine="1"/>
              <w:contextualSpacing/>
              <w:jc w:val="both"/>
              <w:rPr>
                <w:sz w:val="22"/>
                <w:szCs w:val="22"/>
              </w:rPr>
            </w:pPr>
            <w:r w:rsidRPr="0051382C">
              <w:rPr>
                <w:sz w:val="22"/>
                <w:szCs w:val="22"/>
              </w:rPr>
              <w:t>MET24</w:t>
            </w:r>
          </w:p>
        </w:tc>
      </w:tr>
      <w:tr w:rsidR="004313D9" w:rsidRPr="0051382C" w14:paraId="4C4BF21C" w14:textId="77777777" w:rsidTr="008A41DE">
        <w:trPr>
          <w:trHeight w:val="320"/>
        </w:trPr>
        <w:tc>
          <w:tcPr>
            <w:tcW w:w="1689" w:type="dxa"/>
            <w:vMerge/>
            <w:noWrap/>
            <w:hideMark/>
          </w:tcPr>
          <w:p w14:paraId="1E6F2A36"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29B30F3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eritme</w:t>
            </w:r>
          </w:p>
        </w:tc>
        <w:tc>
          <w:tcPr>
            <w:tcW w:w="1661" w:type="dxa"/>
            <w:noWrap/>
            <w:hideMark/>
          </w:tcPr>
          <w:p w14:paraId="555C0FB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285" w:type="dxa"/>
            <w:vMerge w:val="restart"/>
            <w:noWrap/>
            <w:hideMark/>
          </w:tcPr>
          <w:p w14:paraId="47D3569A" w14:textId="704A44B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EN 13284-1</w:t>
            </w:r>
            <w:r w:rsidRPr="009077F5">
              <w:rPr>
                <w:sz w:val="22"/>
                <w:szCs w:val="22"/>
                <w:vertAlign w:val="superscript"/>
              </w:rPr>
              <w:t>(7)(8)</w:t>
            </w:r>
          </w:p>
        </w:tc>
        <w:tc>
          <w:tcPr>
            <w:tcW w:w="1023" w:type="dxa"/>
            <w:noWrap/>
            <w:hideMark/>
          </w:tcPr>
          <w:p w14:paraId="11AE2AD0"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61AD315F" w14:textId="12B75F59"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MET38, MET40, MET43</w:t>
            </w:r>
          </w:p>
        </w:tc>
      </w:tr>
      <w:tr w:rsidR="004313D9" w:rsidRPr="0051382C" w14:paraId="1FD3A813" w14:textId="77777777" w:rsidTr="008A41DE">
        <w:trPr>
          <w:trHeight w:val="320"/>
        </w:trPr>
        <w:tc>
          <w:tcPr>
            <w:tcW w:w="1689" w:type="dxa"/>
            <w:vMerge/>
            <w:noWrap/>
            <w:hideMark/>
          </w:tcPr>
          <w:p w14:paraId="18940BE5"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0298FD01" w14:textId="29A6FC8C"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Nodülerizasyon</w:t>
            </w:r>
            <w:r w:rsidRPr="009077F5">
              <w:rPr>
                <w:sz w:val="22"/>
                <w:szCs w:val="22"/>
                <w:vertAlign w:val="superscript"/>
              </w:rPr>
              <w:t>(9)</w:t>
            </w:r>
          </w:p>
        </w:tc>
        <w:tc>
          <w:tcPr>
            <w:tcW w:w="1661" w:type="dxa"/>
            <w:noWrap/>
            <w:hideMark/>
          </w:tcPr>
          <w:p w14:paraId="422EB44E"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Dökme demir</w:t>
            </w:r>
          </w:p>
        </w:tc>
        <w:tc>
          <w:tcPr>
            <w:tcW w:w="1285" w:type="dxa"/>
            <w:vMerge/>
            <w:noWrap/>
            <w:hideMark/>
          </w:tcPr>
          <w:p w14:paraId="14C7DCDF" w14:textId="084B36EA" w:rsidR="004313D9" w:rsidRPr="0051382C" w:rsidRDefault="004313D9" w:rsidP="004313D9">
            <w:pPr>
              <w:widowControl w:val="0"/>
              <w:spacing w:after="240" w:line="276" w:lineRule="auto"/>
              <w:ind w:firstLine="1"/>
              <w:contextualSpacing/>
              <w:jc w:val="both"/>
              <w:rPr>
                <w:sz w:val="22"/>
                <w:szCs w:val="22"/>
              </w:rPr>
            </w:pPr>
          </w:p>
        </w:tc>
        <w:tc>
          <w:tcPr>
            <w:tcW w:w="1023" w:type="dxa"/>
            <w:noWrap/>
            <w:hideMark/>
          </w:tcPr>
          <w:p w14:paraId="52711AE5" w14:textId="27154D63"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r w:rsidRPr="009077F5">
              <w:rPr>
                <w:sz w:val="22"/>
                <w:szCs w:val="22"/>
                <w:vertAlign w:val="superscript"/>
              </w:rPr>
              <w:t>(6)</w:t>
            </w:r>
          </w:p>
        </w:tc>
        <w:tc>
          <w:tcPr>
            <w:tcW w:w="1202" w:type="dxa"/>
            <w:noWrap/>
            <w:hideMark/>
          </w:tcPr>
          <w:p w14:paraId="5821B2C2" w14:textId="4489B914"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MET39</w:t>
            </w:r>
          </w:p>
        </w:tc>
      </w:tr>
      <w:tr w:rsidR="004313D9" w:rsidRPr="0051382C" w14:paraId="626F23DA" w14:textId="77777777" w:rsidTr="008A41DE">
        <w:trPr>
          <w:trHeight w:val="320"/>
        </w:trPr>
        <w:tc>
          <w:tcPr>
            <w:tcW w:w="1689" w:type="dxa"/>
            <w:vMerge/>
            <w:noWrap/>
            <w:hideMark/>
          </w:tcPr>
          <w:p w14:paraId="15E3B473"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5B8E678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Rafine etme</w:t>
            </w:r>
          </w:p>
        </w:tc>
        <w:tc>
          <w:tcPr>
            <w:tcW w:w="1661" w:type="dxa"/>
            <w:noWrap/>
            <w:hideMark/>
          </w:tcPr>
          <w:p w14:paraId="0127B33E"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Çelik</w:t>
            </w:r>
          </w:p>
        </w:tc>
        <w:tc>
          <w:tcPr>
            <w:tcW w:w="1285" w:type="dxa"/>
            <w:vMerge/>
            <w:noWrap/>
            <w:hideMark/>
          </w:tcPr>
          <w:p w14:paraId="6B140047" w14:textId="7C293A2F" w:rsidR="004313D9" w:rsidRPr="0051382C" w:rsidRDefault="004313D9" w:rsidP="004313D9">
            <w:pPr>
              <w:widowControl w:val="0"/>
              <w:spacing w:after="240" w:line="276" w:lineRule="auto"/>
              <w:ind w:firstLine="1"/>
              <w:contextualSpacing/>
              <w:jc w:val="both"/>
              <w:rPr>
                <w:sz w:val="22"/>
                <w:szCs w:val="22"/>
              </w:rPr>
            </w:pPr>
          </w:p>
        </w:tc>
        <w:tc>
          <w:tcPr>
            <w:tcW w:w="1023" w:type="dxa"/>
            <w:noWrap/>
            <w:hideMark/>
          </w:tcPr>
          <w:p w14:paraId="795B8AD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47E97660" w14:textId="4F94A9E9"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MET41</w:t>
            </w:r>
          </w:p>
        </w:tc>
      </w:tr>
      <w:tr w:rsidR="004313D9" w:rsidRPr="0051382C" w14:paraId="2644400A" w14:textId="77777777" w:rsidTr="008A41DE">
        <w:trPr>
          <w:trHeight w:val="320"/>
        </w:trPr>
        <w:tc>
          <w:tcPr>
            <w:tcW w:w="1689" w:type="dxa"/>
            <w:vMerge/>
            <w:noWrap/>
            <w:hideMark/>
          </w:tcPr>
          <w:p w14:paraId="5CBF6060"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34E1183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Kaybolan kalıplarla kalıplama ve maça yapımı</w:t>
            </w:r>
          </w:p>
        </w:tc>
        <w:tc>
          <w:tcPr>
            <w:tcW w:w="1661" w:type="dxa"/>
            <w:noWrap/>
            <w:hideMark/>
          </w:tcPr>
          <w:p w14:paraId="3A6AF1EA"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vMerge/>
            <w:noWrap/>
            <w:hideMark/>
          </w:tcPr>
          <w:p w14:paraId="33CF621E" w14:textId="7F8344B1" w:rsidR="004313D9" w:rsidRPr="0051382C" w:rsidRDefault="004313D9" w:rsidP="004313D9">
            <w:pPr>
              <w:widowControl w:val="0"/>
              <w:spacing w:after="240" w:line="276" w:lineRule="auto"/>
              <w:ind w:firstLine="1"/>
              <w:contextualSpacing/>
              <w:jc w:val="both"/>
              <w:rPr>
                <w:sz w:val="22"/>
                <w:szCs w:val="22"/>
              </w:rPr>
            </w:pPr>
          </w:p>
        </w:tc>
        <w:tc>
          <w:tcPr>
            <w:tcW w:w="1023" w:type="dxa"/>
            <w:noWrap/>
            <w:hideMark/>
          </w:tcPr>
          <w:p w14:paraId="35F3F702"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202" w:type="dxa"/>
            <w:noWrap/>
            <w:hideMark/>
          </w:tcPr>
          <w:p w14:paraId="6B57E6F5" w14:textId="6648C921"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MET26</w:t>
            </w:r>
          </w:p>
        </w:tc>
      </w:tr>
      <w:tr w:rsidR="004313D9" w:rsidRPr="0051382C" w14:paraId="61551A84" w14:textId="77777777" w:rsidTr="008A41DE">
        <w:trPr>
          <w:trHeight w:val="320"/>
        </w:trPr>
        <w:tc>
          <w:tcPr>
            <w:tcW w:w="1689" w:type="dxa"/>
            <w:vMerge/>
            <w:noWrap/>
            <w:hideMark/>
          </w:tcPr>
          <w:p w14:paraId="23597D00"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3B1D39C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Kaybolan kalıplarla döküm, soğutma ve temizleme (tam kalıp süreci dahil)</w:t>
            </w:r>
          </w:p>
        </w:tc>
        <w:tc>
          <w:tcPr>
            <w:tcW w:w="1661" w:type="dxa"/>
            <w:noWrap/>
            <w:hideMark/>
          </w:tcPr>
          <w:p w14:paraId="6B3E336C"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vMerge/>
            <w:noWrap/>
            <w:hideMark/>
          </w:tcPr>
          <w:p w14:paraId="4C47B5E9" w14:textId="3A30E1BC" w:rsidR="004313D9" w:rsidRPr="0051382C" w:rsidRDefault="004313D9" w:rsidP="004313D9">
            <w:pPr>
              <w:widowControl w:val="0"/>
              <w:spacing w:after="240" w:line="276" w:lineRule="auto"/>
              <w:ind w:firstLine="1"/>
              <w:contextualSpacing/>
              <w:jc w:val="both"/>
              <w:rPr>
                <w:sz w:val="22"/>
                <w:szCs w:val="22"/>
              </w:rPr>
            </w:pPr>
          </w:p>
        </w:tc>
        <w:tc>
          <w:tcPr>
            <w:tcW w:w="1023" w:type="dxa"/>
            <w:noWrap/>
            <w:hideMark/>
          </w:tcPr>
          <w:p w14:paraId="761A9943"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202" w:type="dxa"/>
            <w:noWrap/>
            <w:hideMark/>
          </w:tcPr>
          <w:p w14:paraId="75769593" w14:textId="1C242F14"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MET27</w:t>
            </w:r>
          </w:p>
        </w:tc>
      </w:tr>
      <w:tr w:rsidR="004313D9" w:rsidRPr="0051382C" w14:paraId="2044E23C" w14:textId="77777777" w:rsidTr="008A41DE">
        <w:trPr>
          <w:trHeight w:val="320"/>
        </w:trPr>
        <w:tc>
          <w:tcPr>
            <w:tcW w:w="1689" w:type="dxa"/>
            <w:vMerge/>
            <w:noWrap/>
            <w:hideMark/>
          </w:tcPr>
          <w:p w14:paraId="18E72C5F"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779DF9F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Son işlem</w:t>
            </w:r>
          </w:p>
        </w:tc>
        <w:tc>
          <w:tcPr>
            <w:tcW w:w="1661" w:type="dxa"/>
            <w:noWrap/>
            <w:hideMark/>
          </w:tcPr>
          <w:p w14:paraId="028CA26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vMerge/>
            <w:noWrap/>
            <w:hideMark/>
          </w:tcPr>
          <w:p w14:paraId="683EF925" w14:textId="67DAA9A3" w:rsidR="004313D9" w:rsidRPr="0051382C" w:rsidRDefault="004313D9" w:rsidP="004313D9">
            <w:pPr>
              <w:widowControl w:val="0"/>
              <w:spacing w:after="240" w:line="276" w:lineRule="auto"/>
              <w:ind w:firstLine="1"/>
              <w:contextualSpacing/>
              <w:jc w:val="both"/>
              <w:rPr>
                <w:sz w:val="22"/>
                <w:szCs w:val="22"/>
              </w:rPr>
            </w:pPr>
          </w:p>
        </w:tc>
        <w:tc>
          <w:tcPr>
            <w:tcW w:w="1023" w:type="dxa"/>
            <w:noWrap/>
            <w:hideMark/>
          </w:tcPr>
          <w:p w14:paraId="52E8F55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202" w:type="dxa"/>
            <w:noWrap/>
            <w:hideMark/>
          </w:tcPr>
          <w:p w14:paraId="4E189625" w14:textId="28F9A6EF"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MET30</w:t>
            </w:r>
          </w:p>
        </w:tc>
      </w:tr>
      <w:tr w:rsidR="004313D9" w:rsidRPr="0051382C" w14:paraId="597735CB" w14:textId="77777777" w:rsidTr="008A41DE">
        <w:trPr>
          <w:trHeight w:val="320"/>
        </w:trPr>
        <w:tc>
          <w:tcPr>
            <w:tcW w:w="1689" w:type="dxa"/>
            <w:vMerge/>
            <w:noWrap/>
            <w:hideMark/>
          </w:tcPr>
          <w:p w14:paraId="0DA7D4A4"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7A955DE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Kayıp köpük döküm</w:t>
            </w:r>
          </w:p>
        </w:tc>
        <w:tc>
          <w:tcPr>
            <w:tcW w:w="1661" w:type="dxa"/>
            <w:noWrap/>
            <w:hideMark/>
          </w:tcPr>
          <w:p w14:paraId="4F41892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Dökme demir ve NFM</w:t>
            </w:r>
          </w:p>
        </w:tc>
        <w:tc>
          <w:tcPr>
            <w:tcW w:w="1285" w:type="dxa"/>
            <w:vMerge/>
            <w:noWrap/>
            <w:hideMark/>
          </w:tcPr>
          <w:p w14:paraId="20380D77" w14:textId="6E392DD2" w:rsidR="004313D9" w:rsidRPr="0051382C" w:rsidRDefault="004313D9" w:rsidP="004313D9">
            <w:pPr>
              <w:widowControl w:val="0"/>
              <w:spacing w:after="240" w:line="276" w:lineRule="auto"/>
              <w:ind w:firstLine="1"/>
              <w:contextualSpacing/>
              <w:jc w:val="both"/>
              <w:rPr>
                <w:sz w:val="22"/>
                <w:szCs w:val="22"/>
              </w:rPr>
            </w:pPr>
          </w:p>
        </w:tc>
        <w:tc>
          <w:tcPr>
            <w:tcW w:w="1023" w:type="dxa"/>
            <w:noWrap/>
            <w:hideMark/>
          </w:tcPr>
          <w:p w14:paraId="216955B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202" w:type="dxa"/>
            <w:noWrap/>
            <w:hideMark/>
          </w:tcPr>
          <w:p w14:paraId="610A0BE5" w14:textId="05CD5B0B"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MET28</w:t>
            </w:r>
          </w:p>
        </w:tc>
      </w:tr>
      <w:tr w:rsidR="004313D9" w:rsidRPr="0051382C" w14:paraId="4B4C24FD" w14:textId="77777777" w:rsidTr="008A41DE">
        <w:trPr>
          <w:trHeight w:val="320"/>
        </w:trPr>
        <w:tc>
          <w:tcPr>
            <w:tcW w:w="1689" w:type="dxa"/>
            <w:vMerge/>
            <w:noWrap/>
            <w:hideMark/>
          </w:tcPr>
          <w:p w14:paraId="4D579246"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339365FE"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Kalıcı kalıplarda döküm</w:t>
            </w:r>
          </w:p>
        </w:tc>
        <w:tc>
          <w:tcPr>
            <w:tcW w:w="1661" w:type="dxa"/>
            <w:noWrap/>
            <w:hideMark/>
          </w:tcPr>
          <w:p w14:paraId="38BC7D9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vMerge/>
            <w:noWrap/>
            <w:hideMark/>
          </w:tcPr>
          <w:p w14:paraId="322AEC2A" w14:textId="28E380A5" w:rsidR="004313D9" w:rsidRPr="0051382C" w:rsidRDefault="004313D9" w:rsidP="004313D9">
            <w:pPr>
              <w:widowControl w:val="0"/>
              <w:spacing w:after="240" w:line="276" w:lineRule="auto"/>
              <w:ind w:firstLine="1"/>
              <w:contextualSpacing/>
              <w:jc w:val="both"/>
              <w:rPr>
                <w:sz w:val="22"/>
                <w:szCs w:val="22"/>
              </w:rPr>
            </w:pPr>
          </w:p>
        </w:tc>
        <w:tc>
          <w:tcPr>
            <w:tcW w:w="1023" w:type="dxa"/>
            <w:noWrap/>
            <w:hideMark/>
          </w:tcPr>
          <w:p w14:paraId="33B2C6B9"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202" w:type="dxa"/>
            <w:noWrap/>
            <w:hideMark/>
          </w:tcPr>
          <w:p w14:paraId="6C7E7B46" w14:textId="20FF2FBC"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MET29</w:t>
            </w:r>
          </w:p>
        </w:tc>
      </w:tr>
      <w:tr w:rsidR="004313D9" w:rsidRPr="0051382C" w14:paraId="5ECBAEB1" w14:textId="77777777" w:rsidTr="008A41DE">
        <w:trPr>
          <w:trHeight w:val="320"/>
        </w:trPr>
        <w:tc>
          <w:tcPr>
            <w:tcW w:w="1689" w:type="dxa"/>
            <w:vMerge/>
            <w:noWrap/>
            <w:hideMark/>
          </w:tcPr>
          <w:p w14:paraId="4333E1CA"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3869E11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Kum geri kullanımı</w:t>
            </w:r>
          </w:p>
        </w:tc>
        <w:tc>
          <w:tcPr>
            <w:tcW w:w="1661" w:type="dxa"/>
            <w:noWrap/>
            <w:hideMark/>
          </w:tcPr>
          <w:p w14:paraId="50ED1FF9"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vMerge/>
            <w:noWrap/>
            <w:hideMark/>
          </w:tcPr>
          <w:p w14:paraId="33F06D86" w14:textId="52B3FC2B" w:rsidR="004313D9" w:rsidRPr="0051382C" w:rsidRDefault="004313D9" w:rsidP="004313D9">
            <w:pPr>
              <w:widowControl w:val="0"/>
              <w:spacing w:after="240" w:line="276" w:lineRule="auto"/>
              <w:ind w:firstLine="1"/>
              <w:contextualSpacing/>
              <w:jc w:val="both"/>
              <w:rPr>
                <w:sz w:val="22"/>
                <w:szCs w:val="22"/>
              </w:rPr>
            </w:pPr>
          </w:p>
        </w:tc>
        <w:tc>
          <w:tcPr>
            <w:tcW w:w="1023" w:type="dxa"/>
            <w:noWrap/>
            <w:hideMark/>
          </w:tcPr>
          <w:p w14:paraId="29A66DE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202" w:type="dxa"/>
            <w:noWrap/>
            <w:hideMark/>
          </w:tcPr>
          <w:p w14:paraId="70D2B737" w14:textId="69C7A09E"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MET31</w:t>
            </w:r>
          </w:p>
        </w:tc>
      </w:tr>
      <w:tr w:rsidR="004313D9" w:rsidRPr="0051382C" w14:paraId="0F1A5E76" w14:textId="77777777" w:rsidTr="008A41DE">
        <w:trPr>
          <w:trHeight w:val="320"/>
        </w:trPr>
        <w:tc>
          <w:tcPr>
            <w:tcW w:w="1689" w:type="dxa"/>
            <w:noWrap/>
            <w:hideMark/>
          </w:tcPr>
          <w:p w14:paraId="46F9A3ED" w14:textId="05218296"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Formaldehit</w:t>
            </w:r>
            <w:r w:rsidRPr="009077F5">
              <w:rPr>
                <w:b/>
                <w:bCs/>
                <w:sz w:val="22"/>
                <w:szCs w:val="22"/>
                <w:vertAlign w:val="superscript"/>
              </w:rPr>
              <w:t>(4)</w:t>
            </w:r>
          </w:p>
        </w:tc>
        <w:tc>
          <w:tcPr>
            <w:tcW w:w="2066" w:type="dxa"/>
            <w:noWrap/>
            <w:hideMark/>
          </w:tcPr>
          <w:p w14:paraId="72129CF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Kaybolan kalıplarla kalıplama ve maça yapımı</w:t>
            </w:r>
          </w:p>
        </w:tc>
        <w:tc>
          <w:tcPr>
            <w:tcW w:w="1661" w:type="dxa"/>
            <w:noWrap/>
            <w:hideMark/>
          </w:tcPr>
          <w:p w14:paraId="4F1C1F0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04DEEFB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Geliştirme aşamasında olan EN standardı</w:t>
            </w:r>
          </w:p>
        </w:tc>
        <w:tc>
          <w:tcPr>
            <w:tcW w:w="1023" w:type="dxa"/>
            <w:noWrap/>
            <w:hideMark/>
          </w:tcPr>
          <w:p w14:paraId="779E09DA"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04ECE503" w14:textId="3355946B"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MET26</w:t>
            </w:r>
          </w:p>
        </w:tc>
      </w:tr>
      <w:tr w:rsidR="004313D9" w:rsidRPr="0051382C" w14:paraId="2F297F74" w14:textId="77777777" w:rsidTr="008A41DE">
        <w:trPr>
          <w:trHeight w:val="320"/>
        </w:trPr>
        <w:tc>
          <w:tcPr>
            <w:tcW w:w="1689" w:type="dxa"/>
            <w:noWrap/>
            <w:hideMark/>
          </w:tcPr>
          <w:p w14:paraId="01A69B7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2066" w:type="dxa"/>
            <w:noWrap/>
            <w:hideMark/>
          </w:tcPr>
          <w:p w14:paraId="6FA668A9"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Kaybolan kalıplarla döküm, soğutma ve temizleme (tam kalıp süreci dahil)</w:t>
            </w:r>
          </w:p>
        </w:tc>
        <w:tc>
          <w:tcPr>
            <w:tcW w:w="1661" w:type="dxa"/>
            <w:noWrap/>
            <w:hideMark/>
          </w:tcPr>
          <w:p w14:paraId="5E0A0C1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427E9490"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0D1639B9"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28B126C8" w14:textId="24CA3B42"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MET27</w:t>
            </w:r>
          </w:p>
        </w:tc>
      </w:tr>
      <w:tr w:rsidR="004313D9" w:rsidRPr="0051382C" w14:paraId="5960A5BC" w14:textId="77777777" w:rsidTr="008A41DE">
        <w:trPr>
          <w:trHeight w:val="900"/>
        </w:trPr>
        <w:tc>
          <w:tcPr>
            <w:tcW w:w="1689" w:type="dxa"/>
            <w:vMerge w:val="restart"/>
            <w:noWrap/>
            <w:hideMark/>
          </w:tcPr>
          <w:p w14:paraId="660B52D7"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Gaz halindeki klorürler</w:t>
            </w:r>
          </w:p>
        </w:tc>
        <w:tc>
          <w:tcPr>
            <w:tcW w:w="2066" w:type="dxa"/>
            <w:vMerge w:val="restart"/>
            <w:noWrap/>
            <w:hideMark/>
          </w:tcPr>
          <w:p w14:paraId="5B75E9CE"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eritme</w:t>
            </w:r>
          </w:p>
        </w:tc>
        <w:tc>
          <w:tcPr>
            <w:tcW w:w="1661" w:type="dxa"/>
            <w:noWrap/>
            <w:hideMark/>
          </w:tcPr>
          <w:p w14:paraId="55976CA9" w14:textId="663A8D8B"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Dökme demir: CBC, HBC ve döner fırınlar</w:t>
            </w:r>
            <w:r w:rsidRPr="009077F5">
              <w:rPr>
                <w:sz w:val="22"/>
                <w:szCs w:val="22"/>
                <w:vertAlign w:val="superscript"/>
              </w:rPr>
              <w:t>,(4)</w:t>
            </w:r>
          </w:p>
        </w:tc>
        <w:tc>
          <w:tcPr>
            <w:tcW w:w="1285" w:type="dxa"/>
            <w:vMerge w:val="restart"/>
            <w:noWrap/>
            <w:hideMark/>
          </w:tcPr>
          <w:p w14:paraId="2D306DA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EN 1911</w:t>
            </w:r>
          </w:p>
        </w:tc>
        <w:tc>
          <w:tcPr>
            <w:tcW w:w="1023" w:type="dxa"/>
            <w:vMerge w:val="restart"/>
            <w:noWrap/>
            <w:hideMark/>
          </w:tcPr>
          <w:p w14:paraId="35EB8CD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vMerge w:val="restart"/>
            <w:noWrap/>
            <w:hideMark/>
          </w:tcPr>
          <w:p w14:paraId="2886E089" w14:textId="789D50C4"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MET38, MET43</w:t>
            </w:r>
          </w:p>
        </w:tc>
      </w:tr>
      <w:tr w:rsidR="004313D9" w:rsidRPr="0051382C" w14:paraId="4269EAC8" w14:textId="77777777" w:rsidTr="008A41DE">
        <w:trPr>
          <w:trHeight w:val="249"/>
        </w:trPr>
        <w:tc>
          <w:tcPr>
            <w:tcW w:w="1689" w:type="dxa"/>
            <w:vMerge/>
            <w:noWrap/>
          </w:tcPr>
          <w:p w14:paraId="3EF6FB65"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vMerge/>
            <w:noWrap/>
          </w:tcPr>
          <w:p w14:paraId="24172BC2" w14:textId="77777777" w:rsidR="004313D9" w:rsidRPr="0051382C" w:rsidRDefault="004313D9" w:rsidP="004313D9">
            <w:pPr>
              <w:widowControl w:val="0"/>
              <w:spacing w:after="240" w:line="276" w:lineRule="auto"/>
              <w:ind w:firstLine="1"/>
              <w:contextualSpacing/>
              <w:jc w:val="both"/>
              <w:rPr>
                <w:sz w:val="22"/>
                <w:szCs w:val="22"/>
              </w:rPr>
            </w:pPr>
          </w:p>
        </w:tc>
        <w:tc>
          <w:tcPr>
            <w:tcW w:w="1661" w:type="dxa"/>
            <w:noWrap/>
          </w:tcPr>
          <w:p w14:paraId="27F671B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xml:space="preserve"> Alüminyum</w:t>
            </w:r>
            <w:r w:rsidRPr="009077F5">
              <w:rPr>
                <w:sz w:val="22"/>
                <w:szCs w:val="22"/>
                <w:vertAlign w:val="superscript"/>
              </w:rPr>
              <w:t>(4)</w:t>
            </w:r>
          </w:p>
        </w:tc>
        <w:tc>
          <w:tcPr>
            <w:tcW w:w="1285" w:type="dxa"/>
            <w:vMerge/>
            <w:noWrap/>
          </w:tcPr>
          <w:p w14:paraId="34746054" w14:textId="77777777" w:rsidR="004313D9" w:rsidRPr="0051382C" w:rsidRDefault="004313D9" w:rsidP="004313D9">
            <w:pPr>
              <w:widowControl w:val="0"/>
              <w:spacing w:after="240" w:line="276" w:lineRule="auto"/>
              <w:ind w:firstLine="1"/>
              <w:contextualSpacing/>
              <w:jc w:val="both"/>
              <w:rPr>
                <w:sz w:val="22"/>
                <w:szCs w:val="22"/>
              </w:rPr>
            </w:pPr>
          </w:p>
        </w:tc>
        <w:tc>
          <w:tcPr>
            <w:tcW w:w="1023" w:type="dxa"/>
            <w:vMerge/>
            <w:noWrap/>
          </w:tcPr>
          <w:p w14:paraId="6FA045DD" w14:textId="77777777" w:rsidR="004313D9" w:rsidRPr="0051382C" w:rsidRDefault="004313D9" w:rsidP="004313D9">
            <w:pPr>
              <w:widowControl w:val="0"/>
              <w:spacing w:after="240" w:line="276" w:lineRule="auto"/>
              <w:ind w:firstLine="1"/>
              <w:contextualSpacing/>
              <w:jc w:val="both"/>
              <w:rPr>
                <w:sz w:val="22"/>
                <w:szCs w:val="22"/>
              </w:rPr>
            </w:pPr>
          </w:p>
        </w:tc>
        <w:tc>
          <w:tcPr>
            <w:tcW w:w="1202" w:type="dxa"/>
            <w:vMerge/>
            <w:noWrap/>
          </w:tcPr>
          <w:p w14:paraId="72A516D5" w14:textId="77777777" w:rsidR="004313D9" w:rsidRPr="0051382C" w:rsidRDefault="004313D9" w:rsidP="004313D9">
            <w:pPr>
              <w:widowControl w:val="0"/>
              <w:spacing w:after="240" w:line="276" w:lineRule="auto"/>
              <w:ind w:firstLine="1"/>
              <w:contextualSpacing/>
              <w:jc w:val="both"/>
              <w:rPr>
                <w:sz w:val="22"/>
                <w:szCs w:val="22"/>
              </w:rPr>
            </w:pPr>
          </w:p>
        </w:tc>
      </w:tr>
      <w:tr w:rsidR="004313D9" w:rsidRPr="0051382C" w14:paraId="4878C32D" w14:textId="77777777" w:rsidTr="008A41DE">
        <w:trPr>
          <w:trHeight w:val="930"/>
        </w:trPr>
        <w:tc>
          <w:tcPr>
            <w:tcW w:w="1689" w:type="dxa"/>
            <w:vMerge w:val="restart"/>
            <w:noWrap/>
            <w:hideMark/>
          </w:tcPr>
          <w:p w14:paraId="6BC2FF73"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Gaz halindeki florürler</w:t>
            </w:r>
          </w:p>
        </w:tc>
        <w:tc>
          <w:tcPr>
            <w:tcW w:w="2066" w:type="dxa"/>
            <w:vMerge w:val="restart"/>
            <w:noWrap/>
            <w:hideMark/>
          </w:tcPr>
          <w:p w14:paraId="32CEDD0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eritme</w:t>
            </w:r>
          </w:p>
        </w:tc>
        <w:tc>
          <w:tcPr>
            <w:tcW w:w="1661" w:type="dxa"/>
            <w:noWrap/>
            <w:hideMark/>
          </w:tcPr>
          <w:p w14:paraId="4502584B" w14:textId="001B9E79"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Dökme demir: CBC, HBC ve döner fırınlar</w:t>
            </w:r>
            <w:r w:rsidRPr="009077F5">
              <w:rPr>
                <w:sz w:val="22"/>
                <w:szCs w:val="22"/>
                <w:vertAlign w:val="superscript"/>
              </w:rPr>
              <w:t>(4),</w:t>
            </w:r>
          </w:p>
        </w:tc>
        <w:tc>
          <w:tcPr>
            <w:tcW w:w="1285" w:type="dxa"/>
            <w:vMerge w:val="restart"/>
            <w:noWrap/>
            <w:hideMark/>
          </w:tcPr>
          <w:p w14:paraId="06020DAA"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Geliştirme aşamasında olan EN standardı</w:t>
            </w:r>
          </w:p>
        </w:tc>
        <w:tc>
          <w:tcPr>
            <w:tcW w:w="1023" w:type="dxa"/>
            <w:vMerge w:val="restart"/>
            <w:noWrap/>
            <w:hideMark/>
          </w:tcPr>
          <w:p w14:paraId="17D2F320"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vMerge w:val="restart"/>
            <w:noWrap/>
            <w:hideMark/>
          </w:tcPr>
          <w:p w14:paraId="12C5C73A" w14:textId="46492454"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MET38, MET43</w:t>
            </w:r>
          </w:p>
        </w:tc>
      </w:tr>
      <w:tr w:rsidR="004313D9" w:rsidRPr="0051382C" w14:paraId="0920F42D" w14:textId="77777777" w:rsidTr="008A41DE">
        <w:trPr>
          <w:trHeight w:val="219"/>
        </w:trPr>
        <w:tc>
          <w:tcPr>
            <w:tcW w:w="1689" w:type="dxa"/>
            <w:vMerge/>
            <w:noWrap/>
          </w:tcPr>
          <w:p w14:paraId="6337CBF2"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vMerge/>
            <w:noWrap/>
          </w:tcPr>
          <w:p w14:paraId="6E97DEEC" w14:textId="77777777" w:rsidR="004313D9" w:rsidRPr="0051382C" w:rsidRDefault="004313D9" w:rsidP="004313D9">
            <w:pPr>
              <w:widowControl w:val="0"/>
              <w:spacing w:after="240" w:line="276" w:lineRule="auto"/>
              <w:ind w:firstLine="1"/>
              <w:contextualSpacing/>
              <w:jc w:val="both"/>
              <w:rPr>
                <w:sz w:val="22"/>
                <w:szCs w:val="22"/>
              </w:rPr>
            </w:pPr>
          </w:p>
        </w:tc>
        <w:tc>
          <w:tcPr>
            <w:tcW w:w="1661" w:type="dxa"/>
            <w:noWrap/>
          </w:tcPr>
          <w:p w14:paraId="53500609"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xml:space="preserve"> Alüminyum</w:t>
            </w:r>
          </w:p>
        </w:tc>
        <w:tc>
          <w:tcPr>
            <w:tcW w:w="1285" w:type="dxa"/>
            <w:vMerge/>
            <w:noWrap/>
          </w:tcPr>
          <w:p w14:paraId="40045C50" w14:textId="77777777" w:rsidR="004313D9" w:rsidRPr="0051382C" w:rsidRDefault="004313D9" w:rsidP="004313D9">
            <w:pPr>
              <w:widowControl w:val="0"/>
              <w:spacing w:after="240" w:line="276" w:lineRule="auto"/>
              <w:ind w:firstLine="1"/>
              <w:contextualSpacing/>
              <w:jc w:val="both"/>
              <w:rPr>
                <w:sz w:val="22"/>
                <w:szCs w:val="22"/>
              </w:rPr>
            </w:pPr>
          </w:p>
        </w:tc>
        <w:tc>
          <w:tcPr>
            <w:tcW w:w="1023" w:type="dxa"/>
            <w:vMerge/>
            <w:noWrap/>
          </w:tcPr>
          <w:p w14:paraId="02564920" w14:textId="77777777" w:rsidR="004313D9" w:rsidRPr="0051382C" w:rsidRDefault="004313D9" w:rsidP="004313D9">
            <w:pPr>
              <w:widowControl w:val="0"/>
              <w:spacing w:after="240" w:line="276" w:lineRule="auto"/>
              <w:ind w:firstLine="1"/>
              <w:contextualSpacing/>
              <w:jc w:val="both"/>
              <w:rPr>
                <w:sz w:val="22"/>
                <w:szCs w:val="22"/>
              </w:rPr>
            </w:pPr>
          </w:p>
        </w:tc>
        <w:tc>
          <w:tcPr>
            <w:tcW w:w="1202" w:type="dxa"/>
            <w:vMerge/>
            <w:noWrap/>
          </w:tcPr>
          <w:p w14:paraId="433FFEDB" w14:textId="77777777" w:rsidR="004313D9" w:rsidRPr="0051382C" w:rsidRDefault="004313D9" w:rsidP="004313D9">
            <w:pPr>
              <w:widowControl w:val="0"/>
              <w:spacing w:after="240" w:line="276" w:lineRule="auto"/>
              <w:ind w:firstLine="1"/>
              <w:contextualSpacing/>
              <w:jc w:val="both"/>
              <w:rPr>
                <w:sz w:val="22"/>
                <w:szCs w:val="22"/>
              </w:rPr>
            </w:pPr>
          </w:p>
        </w:tc>
      </w:tr>
      <w:tr w:rsidR="004313D9" w:rsidRPr="0051382C" w14:paraId="0E0DC1BF" w14:textId="77777777" w:rsidTr="008A41DE">
        <w:trPr>
          <w:trHeight w:val="320"/>
        </w:trPr>
        <w:tc>
          <w:tcPr>
            <w:tcW w:w="1689" w:type="dxa"/>
            <w:noWrap/>
            <w:hideMark/>
          </w:tcPr>
          <w:p w14:paraId="5BE47DA5"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Metaller</w:t>
            </w:r>
          </w:p>
        </w:tc>
        <w:tc>
          <w:tcPr>
            <w:tcW w:w="2066" w:type="dxa"/>
            <w:noWrap/>
            <w:hideMark/>
          </w:tcPr>
          <w:p w14:paraId="67B51D2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661" w:type="dxa"/>
            <w:noWrap/>
            <w:hideMark/>
          </w:tcPr>
          <w:p w14:paraId="2A2C1E7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285" w:type="dxa"/>
            <w:noWrap/>
            <w:hideMark/>
          </w:tcPr>
          <w:p w14:paraId="79995EA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0BD1C31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202" w:type="dxa"/>
            <w:noWrap/>
            <w:hideMark/>
          </w:tcPr>
          <w:p w14:paraId="0936956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089E0DB5" w14:textId="77777777" w:rsidTr="008A41DE">
        <w:trPr>
          <w:trHeight w:val="320"/>
        </w:trPr>
        <w:tc>
          <w:tcPr>
            <w:tcW w:w="1689" w:type="dxa"/>
            <w:vMerge w:val="restart"/>
            <w:noWrap/>
            <w:hideMark/>
          </w:tcPr>
          <w:p w14:paraId="40CE7A81"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Kadmiyum ve bileşikleri</w:t>
            </w:r>
          </w:p>
          <w:p w14:paraId="4C3E709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p w14:paraId="127246DF" w14:textId="77777777" w:rsidR="004313D9" w:rsidRPr="0051382C" w:rsidRDefault="004313D9" w:rsidP="004313D9">
            <w:pPr>
              <w:widowControl w:val="0"/>
              <w:spacing w:after="240" w:line="276" w:lineRule="auto"/>
              <w:ind w:firstLine="1"/>
              <w:contextualSpacing/>
              <w:jc w:val="both"/>
              <w:rPr>
                <w:b/>
                <w:bCs/>
                <w:sz w:val="22"/>
                <w:szCs w:val="22"/>
              </w:rPr>
            </w:pPr>
            <w:r w:rsidRPr="0051382C">
              <w:rPr>
                <w:sz w:val="22"/>
                <w:szCs w:val="22"/>
              </w:rPr>
              <w:t> </w:t>
            </w:r>
          </w:p>
        </w:tc>
        <w:tc>
          <w:tcPr>
            <w:tcW w:w="2066" w:type="dxa"/>
            <w:noWrap/>
            <w:hideMark/>
          </w:tcPr>
          <w:p w14:paraId="45158FB6" w14:textId="7E7AA881"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Kaybolan kalıplarla döküm, soğutma ve temizleme (tam kalıp süreci dahil)</w:t>
            </w:r>
            <w:r w:rsidRPr="009077F5">
              <w:rPr>
                <w:sz w:val="22"/>
                <w:szCs w:val="22"/>
                <w:vertAlign w:val="superscript"/>
              </w:rPr>
              <w:t>(4)</w:t>
            </w:r>
          </w:p>
        </w:tc>
        <w:tc>
          <w:tcPr>
            <w:tcW w:w="1661" w:type="dxa"/>
            <w:noWrap/>
            <w:hideMark/>
          </w:tcPr>
          <w:p w14:paraId="6737038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448EED5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EN 14385</w:t>
            </w:r>
          </w:p>
        </w:tc>
        <w:tc>
          <w:tcPr>
            <w:tcW w:w="1023" w:type="dxa"/>
            <w:noWrap/>
            <w:hideMark/>
          </w:tcPr>
          <w:p w14:paraId="3A331AC3"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5596789D"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21B88068" w14:textId="77777777" w:rsidTr="008A41DE">
        <w:trPr>
          <w:trHeight w:val="320"/>
        </w:trPr>
        <w:tc>
          <w:tcPr>
            <w:tcW w:w="1689" w:type="dxa"/>
            <w:vMerge/>
            <w:noWrap/>
            <w:hideMark/>
          </w:tcPr>
          <w:p w14:paraId="32809718"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0A31525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eritme</w:t>
            </w:r>
          </w:p>
        </w:tc>
        <w:tc>
          <w:tcPr>
            <w:tcW w:w="1661" w:type="dxa"/>
            <w:noWrap/>
            <w:hideMark/>
          </w:tcPr>
          <w:p w14:paraId="21313059"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77187E2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01AC8460"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525F010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38B95784" w14:textId="77777777" w:rsidTr="008A41DE">
        <w:trPr>
          <w:trHeight w:val="320"/>
        </w:trPr>
        <w:tc>
          <w:tcPr>
            <w:tcW w:w="1689" w:type="dxa"/>
            <w:vMerge/>
            <w:noWrap/>
            <w:hideMark/>
          </w:tcPr>
          <w:p w14:paraId="3E22EC19"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5CC85E83" w14:textId="7429C009"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Son işlem</w:t>
            </w:r>
            <w:r w:rsidRPr="009077F5">
              <w:rPr>
                <w:sz w:val="22"/>
                <w:szCs w:val="22"/>
                <w:vertAlign w:val="superscript"/>
              </w:rPr>
              <w:t>(4)</w:t>
            </w:r>
          </w:p>
        </w:tc>
        <w:tc>
          <w:tcPr>
            <w:tcW w:w="1661" w:type="dxa"/>
            <w:noWrap/>
            <w:hideMark/>
          </w:tcPr>
          <w:p w14:paraId="0DDEA2D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311A682D"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5D1B5E2A"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7DF84699"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69604534" w14:textId="77777777" w:rsidTr="008A41DE">
        <w:trPr>
          <w:trHeight w:val="320"/>
        </w:trPr>
        <w:tc>
          <w:tcPr>
            <w:tcW w:w="1689" w:type="dxa"/>
            <w:vMerge w:val="restart"/>
            <w:noWrap/>
            <w:hideMark/>
          </w:tcPr>
          <w:p w14:paraId="395F2737"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Krom ve bileşikleri</w:t>
            </w:r>
          </w:p>
          <w:p w14:paraId="12702EAB" w14:textId="77777777" w:rsidR="004313D9" w:rsidRPr="0051382C" w:rsidRDefault="004313D9" w:rsidP="004313D9">
            <w:pPr>
              <w:widowControl w:val="0"/>
              <w:spacing w:after="240" w:line="276" w:lineRule="auto"/>
              <w:ind w:firstLine="1"/>
              <w:contextualSpacing/>
              <w:jc w:val="both"/>
              <w:rPr>
                <w:b/>
                <w:bCs/>
                <w:sz w:val="22"/>
                <w:szCs w:val="22"/>
              </w:rPr>
            </w:pPr>
            <w:r w:rsidRPr="0051382C">
              <w:rPr>
                <w:sz w:val="22"/>
                <w:szCs w:val="22"/>
              </w:rPr>
              <w:t> </w:t>
            </w:r>
          </w:p>
        </w:tc>
        <w:tc>
          <w:tcPr>
            <w:tcW w:w="2066" w:type="dxa"/>
            <w:noWrap/>
            <w:hideMark/>
          </w:tcPr>
          <w:p w14:paraId="74BB06BF" w14:textId="04CA87E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Kaybolan kalıplarla döküm, soğutma ve temizleme (tam kalıp süreci dahil)</w:t>
            </w:r>
            <w:r w:rsidRPr="00B956E1">
              <w:rPr>
                <w:sz w:val="22"/>
                <w:szCs w:val="22"/>
                <w:vertAlign w:val="superscript"/>
              </w:rPr>
              <w:t xml:space="preserve"> (4)</w:t>
            </w:r>
          </w:p>
        </w:tc>
        <w:tc>
          <w:tcPr>
            <w:tcW w:w="1661" w:type="dxa"/>
            <w:noWrap/>
            <w:hideMark/>
          </w:tcPr>
          <w:p w14:paraId="45FEC92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5A78532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551B0BE2"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09A3BB9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4FA4D175" w14:textId="77777777" w:rsidTr="008A41DE">
        <w:trPr>
          <w:trHeight w:val="320"/>
        </w:trPr>
        <w:tc>
          <w:tcPr>
            <w:tcW w:w="1689" w:type="dxa"/>
            <w:vMerge/>
            <w:noWrap/>
            <w:hideMark/>
          </w:tcPr>
          <w:p w14:paraId="2D4BC252"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4E6A82E1" w14:textId="1BE84E66"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eritme</w:t>
            </w:r>
            <w:r w:rsidRPr="00B956E1">
              <w:rPr>
                <w:sz w:val="22"/>
                <w:szCs w:val="22"/>
                <w:vertAlign w:val="superscript"/>
              </w:rPr>
              <w:t>(4)</w:t>
            </w:r>
          </w:p>
        </w:tc>
        <w:tc>
          <w:tcPr>
            <w:tcW w:w="1661" w:type="dxa"/>
            <w:noWrap/>
            <w:hideMark/>
          </w:tcPr>
          <w:p w14:paraId="672BC95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15D78252"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07AF3F5C"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691E6F6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49650B63" w14:textId="77777777" w:rsidTr="008A41DE">
        <w:trPr>
          <w:trHeight w:val="320"/>
        </w:trPr>
        <w:tc>
          <w:tcPr>
            <w:tcW w:w="1689" w:type="dxa"/>
            <w:noWrap/>
            <w:hideMark/>
          </w:tcPr>
          <w:p w14:paraId="010445D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2066" w:type="dxa"/>
            <w:noWrap/>
            <w:hideMark/>
          </w:tcPr>
          <w:p w14:paraId="1BF7A511" w14:textId="70D1DEB5"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Son işlem</w:t>
            </w:r>
            <w:r w:rsidRPr="00B956E1">
              <w:rPr>
                <w:sz w:val="22"/>
                <w:szCs w:val="22"/>
                <w:vertAlign w:val="superscript"/>
              </w:rPr>
              <w:t>(4)</w:t>
            </w:r>
          </w:p>
        </w:tc>
        <w:tc>
          <w:tcPr>
            <w:tcW w:w="1661" w:type="dxa"/>
            <w:noWrap/>
            <w:hideMark/>
          </w:tcPr>
          <w:p w14:paraId="068448DC"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1BEBCA12"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3FB3E1D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72EB5692"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7DCECA77" w14:textId="77777777" w:rsidTr="008A41DE">
        <w:trPr>
          <w:trHeight w:val="320"/>
        </w:trPr>
        <w:tc>
          <w:tcPr>
            <w:tcW w:w="1689" w:type="dxa"/>
            <w:vMerge w:val="restart"/>
            <w:noWrap/>
            <w:hideMark/>
          </w:tcPr>
          <w:p w14:paraId="4472A19E"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Nikel ve bileşikleri</w:t>
            </w:r>
          </w:p>
          <w:p w14:paraId="7CAEFD4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p w14:paraId="603715DC" w14:textId="77777777" w:rsidR="004313D9" w:rsidRPr="0051382C" w:rsidRDefault="004313D9" w:rsidP="004313D9">
            <w:pPr>
              <w:widowControl w:val="0"/>
              <w:spacing w:after="240" w:line="276" w:lineRule="auto"/>
              <w:ind w:firstLine="1"/>
              <w:contextualSpacing/>
              <w:jc w:val="both"/>
              <w:rPr>
                <w:b/>
                <w:bCs/>
                <w:sz w:val="22"/>
                <w:szCs w:val="22"/>
              </w:rPr>
            </w:pPr>
            <w:r w:rsidRPr="0051382C">
              <w:rPr>
                <w:sz w:val="22"/>
                <w:szCs w:val="22"/>
              </w:rPr>
              <w:t> </w:t>
            </w:r>
          </w:p>
        </w:tc>
        <w:tc>
          <w:tcPr>
            <w:tcW w:w="2066" w:type="dxa"/>
            <w:noWrap/>
            <w:hideMark/>
          </w:tcPr>
          <w:p w14:paraId="3C4E7203" w14:textId="0F5C595D"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Kaybolan kalıplarla döküm, soğutma ve temizleme (tam kalıp süreci dahil)</w:t>
            </w:r>
            <w:r w:rsidRPr="00B956E1">
              <w:rPr>
                <w:sz w:val="22"/>
                <w:szCs w:val="22"/>
                <w:vertAlign w:val="superscript"/>
              </w:rPr>
              <w:t xml:space="preserve"> (4)</w:t>
            </w:r>
          </w:p>
        </w:tc>
        <w:tc>
          <w:tcPr>
            <w:tcW w:w="1661" w:type="dxa"/>
            <w:noWrap/>
            <w:hideMark/>
          </w:tcPr>
          <w:p w14:paraId="2878B5C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39E37C13"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671BAF6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2C240B3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5A3AE405" w14:textId="77777777" w:rsidTr="008A41DE">
        <w:trPr>
          <w:trHeight w:val="320"/>
        </w:trPr>
        <w:tc>
          <w:tcPr>
            <w:tcW w:w="1689" w:type="dxa"/>
            <w:vMerge/>
            <w:noWrap/>
            <w:hideMark/>
          </w:tcPr>
          <w:p w14:paraId="013A2BC0"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2FAD033F" w14:textId="3929021B"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eritme</w:t>
            </w:r>
            <w:r w:rsidRPr="00B956E1">
              <w:rPr>
                <w:sz w:val="22"/>
                <w:szCs w:val="22"/>
                <w:vertAlign w:val="superscript"/>
              </w:rPr>
              <w:t>(4)</w:t>
            </w:r>
          </w:p>
        </w:tc>
        <w:tc>
          <w:tcPr>
            <w:tcW w:w="1661" w:type="dxa"/>
            <w:noWrap/>
            <w:hideMark/>
          </w:tcPr>
          <w:p w14:paraId="1B625EF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27E19E8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158B881C"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24F15AF3"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64A32063" w14:textId="77777777" w:rsidTr="008A41DE">
        <w:trPr>
          <w:trHeight w:val="320"/>
        </w:trPr>
        <w:tc>
          <w:tcPr>
            <w:tcW w:w="1689" w:type="dxa"/>
            <w:vMerge/>
            <w:noWrap/>
            <w:hideMark/>
          </w:tcPr>
          <w:p w14:paraId="204A7DCE"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64C90BDE" w14:textId="4DC1233D"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Son işlem</w:t>
            </w:r>
            <w:r w:rsidRPr="00B956E1">
              <w:rPr>
                <w:sz w:val="22"/>
                <w:szCs w:val="22"/>
                <w:vertAlign w:val="superscript"/>
              </w:rPr>
              <w:t>(4)</w:t>
            </w:r>
          </w:p>
        </w:tc>
        <w:tc>
          <w:tcPr>
            <w:tcW w:w="1661" w:type="dxa"/>
            <w:noWrap/>
            <w:hideMark/>
          </w:tcPr>
          <w:p w14:paraId="0FD9412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1CA5588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0E41E0FA"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10609790"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6D7D7065" w14:textId="77777777" w:rsidTr="008A41DE">
        <w:trPr>
          <w:trHeight w:val="320"/>
        </w:trPr>
        <w:tc>
          <w:tcPr>
            <w:tcW w:w="1689" w:type="dxa"/>
            <w:vMerge w:val="restart"/>
            <w:noWrap/>
            <w:hideMark/>
          </w:tcPr>
          <w:p w14:paraId="611E7531"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Kurşun ve bileşikleri</w:t>
            </w:r>
          </w:p>
          <w:p w14:paraId="6882C2F9"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p w14:paraId="7B7EB30E"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p w14:paraId="46A80FCE" w14:textId="77777777" w:rsidR="004313D9" w:rsidRPr="0051382C" w:rsidRDefault="004313D9" w:rsidP="004313D9">
            <w:pPr>
              <w:widowControl w:val="0"/>
              <w:spacing w:after="240" w:line="276" w:lineRule="auto"/>
              <w:ind w:firstLine="1"/>
              <w:contextualSpacing/>
              <w:jc w:val="both"/>
              <w:rPr>
                <w:b/>
                <w:bCs/>
                <w:sz w:val="22"/>
                <w:szCs w:val="22"/>
              </w:rPr>
            </w:pPr>
            <w:r w:rsidRPr="0051382C">
              <w:rPr>
                <w:sz w:val="22"/>
                <w:szCs w:val="22"/>
              </w:rPr>
              <w:t> </w:t>
            </w:r>
          </w:p>
        </w:tc>
        <w:tc>
          <w:tcPr>
            <w:tcW w:w="2066" w:type="dxa"/>
            <w:noWrap/>
            <w:hideMark/>
          </w:tcPr>
          <w:p w14:paraId="38732515" w14:textId="1B8739BA"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Kaybolan kalıplarla döküm, soğutma ve temizleme (tam kalıp süreci dahil</w:t>
            </w:r>
            <w:r w:rsidRPr="00B956E1">
              <w:rPr>
                <w:sz w:val="22"/>
                <w:szCs w:val="22"/>
                <w:vertAlign w:val="superscript"/>
              </w:rPr>
              <w:t>(4)</w:t>
            </w:r>
            <w:r w:rsidRPr="0051382C">
              <w:rPr>
                <w:sz w:val="22"/>
                <w:szCs w:val="22"/>
              </w:rPr>
              <w:t>)</w:t>
            </w:r>
          </w:p>
        </w:tc>
        <w:tc>
          <w:tcPr>
            <w:tcW w:w="1661" w:type="dxa"/>
            <w:noWrap/>
            <w:hideMark/>
          </w:tcPr>
          <w:p w14:paraId="346268E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3E5F2A5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63E7AC22"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49C3897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5AAE9190" w14:textId="77777777" w:rsidTr="008A41DE">
        <w:trPr>
          <w:trHeight w:val="320"/>
        </w:trPr>
        <w:tc>
          <w:tcPr>
            <w:tcW w:w="1689" w:type="dxa"/>
            <w:vMerge/>
            <w:noWrap/>
            <w:hideMark/>
          </w:tcPr>
          <w:p w14:paraId="004DCE8D"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43F9B470"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eritme</w:t>
            </w:r>
          </w:p>
        </w:tc>
        <w:tc>
          <w:tcPr>
            <w:tcW w:w="1661" w:type="dxa"/>
            <w:noWrap/>
            <w:hideMark/>
          </w:tcPr>
          <w:p w14:paraId="5D8C15E3"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Dökme demir: CBC ve HBC, NFM</w:t>
            </w:r>
          </w:p>
        </w:tc>
        <w:tc>
          <w:tcPr>
            <w:tcW w:w="1285" w:type="dxa"/>
            <w:noWrap/>
            <w:hideMark/>
          </w:tcPr>
          <w:p w14:paraId="62308E9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7BDB0A9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1D3378D0" w14:textId="5F18C058"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MET38, MET43</w:t>
            </w:r>
          </w:p>
        </w:tc>
      </w:tr>
      <w:tr w:rsidR="004313D9" w:rsidRPr="0051382C" w14:paraId="1249FD60" w14:textId="77777777" w:rsidTr="008A41DE">
        <w:trPr>
          <w:trHeight w:val="320"/>
        </w:trPr>
        <w:tc>
          <w:tcPr>
            <w:tcW w:w="1689" w:type="dxa"/>
            <w:vMerge/>
            <w:noWrap/>
            <w:hideMark/>
          </w:tcPr>
          <w:p w14:paraId="76131E85"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5686D30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Kalıcı kalıplarda döküm</w:t>
            </w:r>
          </w:p>
        </w:tc>
        <w:tc>
          <w:tcPr>
            <w:tcW w:w="1661" w:type="dxa"/>
            <w:noWrap/>
            <w:hideMark/>
          </w:tcPr>
          <w:p w14:paraId="0D5A46A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Kurşun</w:t>
            </w:r>
          </w:p>
        </w:tc>
        <w:tc>
          <w:tcPr>
            <w:tcW w:w="1285" w:type="dxa"/>
            <w:noWrap/>
            <w:hideMark/>
          </w:tcPr>
          <w:p w14:paraId="5B55345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6EC6700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4DC4CF1A" w14:textId="02F1C72F"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MET29</w:t>
            </w:r>
          </w:p>
        </w:tc>
      </w:tr>
      <w:tr w:rsidR="004313D9" w:rsidRPr="0051382C" w14:paraId="549BF6E7" w14:textId="77777777" w:rsidTr="008A41DE">
        <w:trPr>
          <w:trHeight w:val="320"/>
        </w:trPr>
        <w:tc>
          <w:tcPr>
            <w:tcW w:w="1689" w:type="dxa"/>
            <w:vMerge/>
            <w:noWrap/>
            <w:hideMark/>
          </w:tcPr>
          <w:p w14:paraId="3B8A190D" w14:textId="77777777" w:rsidR="004313D9" w:rsidRPr="0051382C" w:rsidRDefault="004313D9" w:rsidP="004313D9">
            <w:pPr>
              <w:widowControl w:val="0"/>
              <w:spacing w:after="240" w:line="276" w:lineRule="auto"/>
              <w:ind w:firstLine="1"/>
              <w:contextualSpacing/>
              <w:jc w:val="both"/>
              <w:rPr>
                <w:sz w:val="22"/>
                <w:szCs w:val="22"/>
              </w:rPr>
            </w:pPr>
          </w:p>
        </w:tc>
        <w:tc>
          <w:tcPr>
            <w:tcW w:w="2066" w:type="dxa"/>
            <w:noWrap/>
            <w:hideMark/>
          </w:tcPr>
          <w:p w14:paraId="3BEFE502" w14:textId="0D13039C"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Son işlem</w:t>
            </w:r>
            <w:r w:rsidRPr="00B956E1">
              <w:rPr>
                <w:sz w:val="22"/>
                <w:szCs w:val="22"/>
                <w:vertAlign w:val="superscript"/>
              </w:rPr>
              <w:t>(4)</w:t>
            </w:r>
          </w:p>
        </w:tc>
        <w:tc>
          <w:tcPr>
            <w:tcW w:w="1661" w:type="dxa"/>
            <w:noWrap/>
            <w:hideMark/>
          </w:tcPr>
          <w:p w14:paraId="7D315D0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69CAFDE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2B7B8CD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3DD5F81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7A20424F" w14:textId="77777777" w:rsidTr="008A41DE">
        <w:trPr>
          <w:trHeight w:val="839"/>
        </w:trPr>
        <w:tc>
          <w:tcPr>
            <w:tcW w:w="1689" w:type="dxa"/>
            <w:noWrap/>
            <w:hideMark/>
          </w:tcPr>
          <w:p w14:paraId="7E5BE69D"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Çinko ve bileşikleri</w:t>
            </w:r>
          </w:p>
        </w:tc>
        <w:tc>
          <w:tcPr>
            <w:tcW w:w="2066" w:type="dxa"/>
            <w:noWrap/>
            <w:hideMark/>
          </w:tcPr>
          <w:p w14:paraId="26AB080D" w14:textId="46AC86AF"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eritme</w:t>
            </w:r>
            <w:r w:rsidRPr="00B956E1">
              <w:rPr>
                <w:sz w:val="22"/>
                <w:szCs w:val="22"/>
                <w:vertAlign w:val="superscript"/>
              </w:rPr>
              <w:t>(4)</w:t>
            </w:r>
          </w:p>
        </w:tc>
        <w:tc>
          <w:tcPr>
            <w:tcW w:w="1661" w:type="dxa"/>
            <w:noWrap/>
            <w:hideMark/>
          </w:tcPr>
          <w:p w14:paraId="0A60ADAC"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39F355E2"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023" w:type="dxa"/>
            <w:noWrap/>
            <w:hideMark/>
          </w:tcPr>
          <w:p w14:paraId="473293F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7A646FC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r>
      <w:tr w:rsidR="004313D9" w:rsidRPr="0051382C" w14:paraId="6B50A072" w14:textId="77777777" w:rsidTr="008A41DE">
        <w:trPr>
          <w:trHeight w:val="320"/>
        </w:trPr>
        <w:tc>
          <w:tcPr>
            <w:tcW w:w="1689" w:type="dxa"/>
            <w:vMerge w:val="restart"/>
            <w:noWrap/>
            <w:hideMark/>
          </w:tcPr>
          <w:p w14:paraId="429CD300"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Azot Oksitler (NOX)</w:t>
            </w:r>
          </w:p>
          <w:p w14:paraId="15577C0C"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p w14:paraId="583E920E"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p w14:paraId="7375F7AD"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tc>
        <w:tc>
          <w:tcPr>
            <w:tcW w:w="2066" w:type="dxa"/>
            <w:noWrap/>
            <w:hideMark/>
          </w:tcPr>
          <w:p w14:paraId="0FABAAD3" w14:textId="6C3B16B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Isıl işlem ()</w:t>
            </w:r>
            <w:r w:rsidRPr="00B956E1">
              <w:rPr>
                <w:sz w:val="22"/>
                <w:szCs w:val="22"/>
                <w:vertAlign w:val="superscript"/>
              </w:rPr>
              <w:t xml:space="preserve"> (</w:t>
            </w:r>
            <w:r>
              <w:rPr>
                <w:sz w:val="22"/>
                <w:szCs w:val="22"/>
                <w:vertAlign w:val="superscript"/>
              </w:rPr>
              <w:t>5</w:t>
            </w:r>
            <w:r w:rsidRPr="00B956E1">
              <w:rPr>
                <w:sz w:val="22"/>
                <w:szCs w:val="22"/>
                <w:vertAlign w:val="superscript"/>
              </w:rPr>
              <w:t>)</w:t>
            </w:r>
          </w:p>
        </w:tc>
        <w:tc>
          <w:tcPr>
            <w:tcW w:w="1661" w:type="dxa"/>
            <w:noWrap/>
            <w:hideMark/>
          </w:tcPr>
          <w:p w14:paraId="47C5279C"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718D660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EN 14792</w:t>
            </w:r>
          </w:p>
        </w:tc>
        <w:tc>
          <w:tcPr>
            <w:tcW w:w="1023" w:type="dxa"/>
            <w:noWrap/>
            <w:hideMark/>
          </w:tcPr>
          <w:p w14:paraId="5890435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3174DD0A" w14:textId="271D051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MET24</w:t>
            </w:r>
          </w:p>
        </w:tc>
      </w:tr>
      <w:tr w:rsidR="004313D9" w:rsidRPr="0051382C" w14:paraId="04EFDE65" w14:textId="77777777" w:rsidTr="008A41DE">
        <w:trPr>
          <w:trHeight w:val="320"/>
        </w:trPr>
        <w:tc>
          <w:tcPr>
            <w:tcW w:w="1689" w:type="dxa"/>
            <w:vMerge/>
            <w:noWrap/>
            <w:hideMark/>
          </w:tcPr>
          <w:p w14:paraId="0F283120"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13F147E8" w14:textId="31E35C99"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Termal kum geri kazanımı (cold-box prosesi dışı) ()</w:t>
            </w:r>
            <w:r w:rsidRPr="00B956E1">
              <w:rPr>
                <w:sz w:val="22"/>
                <w:szCs w:val="22"/>
                <w:vertAlign w:val="superscript"/>
              </w:rPr>
              <w:t xml:space="preserve"> (</w:t>
            </w:r>
            <w:r>
              <w:rPr>
                <w:sz w:val="22"/>
                <w:szCs w:val="22"/>
                <w:vertAlign w:val="superscript"/>
              </w:rPr>
              <w:t>5</w:t>
            </w:r>
            <w:r w:rsidRPr="00B956E1">
              <w:rPr>
                <w:sz w:val="22"/>
                <w:szCs w:val="22"/>
                <w:vertAlign w:val="superscript"/>
              </w:rPr>
              <w:t>)</w:t>
            </w:r>
          </w:p>
        </w:tc>
        <w:tc>
          <w:tcPr>
            <w:tcW w:w="1661" w:type="dxa"/>
            <w:noWrap/>
            <w:hideMark/>
          </w:tcPr>
          <w:p w14:paraId="2A605A5C"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4D775569"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76147CC0"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0B02C944" w14:textId="362416F8"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MET31</w:t>
            </w:r>
          </w:p>
        </w:tc>
      </w:tr>
      <w:tr w:rsidR="004313D9" w:rsidRPr="0051382C" w14:paraId="782792D2" w14:textId="77777777" w:rsidTr="008A41DE">
        <w:trPr>
          <w:trHeight w:val="320"/>
        </w:trPr>
        <w:tc>
          <w:tcPr>
            <w:tcW w:w="1689" w:type="dxa"/>
            <w:vMerge/>
            <w:noWrap/>
            <w:hideMark/>
          </w:tcPr>
          <w:p w14:paraId="01336E03"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2D1007BD"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Cold-box prosesi kaynaklı termal kum geri kazanımı</w:t>
            </w:r>
          </w:p>
        </w:tc>
        <w:tc>
          <w:tcPr>
            <w:tcW w:w="1661" w:type="dxa"/>
            <w:noWrap/>
            <w:hideMark/>
          </w:tcPr>
          <w:p w14:paraId="5B059C4D"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85" w:type="dxa"/>
            <w:noWrap/>
            <w:hideMark/>
          </w:tcPr>
          <w:p w14:paraId="014A159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122C364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452A05A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r>
      <w:tr w:rsidR="004313D9" w:rsidRPr="0051382C" w14:paraId="09A7E4CC" w14:textId="77777777" w:rsidTr="008A41DE">
        <w:trPr>
          <w:trHeight w:val="320"/>
        </w:trPr>
        <w:tc>
          <w:tcPr>
            <w:tcW w:w="1689" w:type="dxa"/>
            <w:vMerge/>
            <w:noWrap/>
            <w:hideMark/>
          </w:tcPr>
          <w:p w14:paraId="21387ED2"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0F6613E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eritim</w:t>
            </w:r>
          </w:p>
        </w:tc>
        <w:tc>
          <w:tcPr>
            <w:tcW w:w="1661" w:type="dxa"/>
            <w:noWrap/>
            <w:hideMark/>
          </w:tcPr>
          <w:p w14:paraId="5A1782E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Dökme demir: CBC, HBC ve döner fırınlar</w:t>
            </w:r>
          </w:p>
        </w:tc>
        <w:tc>
          <w:tcPr>
            <w:tcW w:w="1285" w:type="dxa"/>
            <w:noWrap/>
            <w:hideMark/>
          </w:tcPr>
          <w:p w14:paraId="5305B1E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1C86F0E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7FD42BF9" w14:textId="797ADE54"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MET38</w:t>
            </w:r>
          </w:p>
        </w:tc>
      </w:tr>
      <w:tr w:rsidR="004313D9" w:rsidRPr="0051382C" w14:paraId="4F776BAC" w14:textId="77777777" w:rsidTr="008A41DE">
        <w:trPr>
          <w:trHeight w:val="320"/>
        </w:trPr>
        <w:tc>
          <w:tcPr>
            <w:tcW w:w="1689" w:type="dxa"/>
            <w:noWrap/>
            <w:hideMark/>
          </w:tcPr>
          <w:p w14:paraId="09012AF9"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tc>
        <w:tc>
          <w:tcPr>
            <w:tcW w:w="2066" w:type="dxa"/>
            <w:noWrap/>
            <w:hideMark/>
          </w:tcPr>
          <w:p w14:paraId="0CDA432A"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661" w:type="dxa"/>
            <w:noWrap/>
            <w:hideMark/>
          </w:tcPr>
          <w:p w14:paraId="2C4F584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NFM (9)</w:t>
            </w:r>
          </w:p>
        </w:tc>
        <w:tc>
          <w:tcPr>
            <w:tcW w:w="1285" w:type="dxa"/>
            <w:noWrap/>
            <w:hideMark/>
          </w:tcPr>
          <w:p w14:paraId="7AFA9A92"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7B08B9C3"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18CB6F3E" w14:textId="7935CF3D"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MET43</w:t>
            </w:r>
          </w:p>
        </w:tc>
      </w:tr>
      <w:tr w:rsidR="004313D9" w:rsidRPr="0051382C" w14:paraId="72C2124A" w14:textId="77777777" w:rsidTr="008A41DE">
        <w:trPr>
          <w:trHeight w:val="320"/>
        </w:trPr>
        <w:tc>
          <w:tcPr>
            <w:tcW w:w="1689" w:type="dxa"/>
            <w:vMerge w:val="restart"/>
            <w:noWrap/>
            <w:hideMark/>
          </w:tcPr>
          <w:p w14:paraId="336A90A2"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PCDD/F</w:t>
            </w:r>
          </w:p>
          <w:p w14:paraId="1A3B66F4"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p w14:paraId="73E958C8"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tc>
        <w:tc>
          <w:tcPr>
            <w:tcW w:w="2066" w:type="dxa"/>
            <w:noWrap/>
            <w:hideMark/>
          </w:tcPr>
          <w:p w14:paraId="59FFEF0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eritim</w:t>
            </w:r>
          </w:p>
        </w:tc>
        <w:tc>
          <w:tcPr>
            <w:tcW w:w="1661" w:type="dxa"/>
            <w:noWrap/>
            <w:hideMark/>
          </w:tcPr>
          <w:p w14:paraId="4A82FCC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Dökme demir: CBC, HBC ve döner fırınlar</w:t>
            </w:r>
          </w:p>
        </w:tc>
        <w:tc>
          <w:tcPr>
            <w:tcW w:w="1285" w:type="dxa"/>
            <w:noWrap/>
            <w:hideMark/>
          </w:tcPr>
          <w:p w14:paraId="1E28081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EN 1948-1, EN 1948-2, EN 1948-3</w:t>
            </w:r>
          </w:p>
        </w:tc>
        <w:tc>
          <w:tcPr>
            <w:tcW w:w="1023" w:type="dxa"/>
            <w:noWrap/>
            <w:hideMark/>
          </w:tcPr>
          <w:p w14:paraId="00CBB4ED"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21E895A8" w14:textId="128D5128"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MET38</w:t>
            </w:r>
          </w:p>
        </w:tc>
      </w:tr>
      <w:tr w:rsidR="004313D9" w:rsidRPr="0051382C" w14:paraId="42737CE6" w14:textId="77777777" w:rsidTr="008A41DE">
        <w:trPr>
          <w:trHeight w:val="320"/>
        </w:trPr>
        <w:tc>
          <w:tcPr>
            <w:tcW w:w="1689" w:type="dxa"/>
            <w:vMerge/>
            <w:noWrap/>
            <w:hideMark/>
          </w:tcPr>
          <w:p w14:paraId="1A44986F"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549899A3"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661" w:type="dxa"/>
            <w:noWrap/>
            <w:hideMark/>
          </w:tcPr>
          <w:p w14:paraId="7D4AEEB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Dökme demir: Endüksiyon (8)</w:t>
            </w:r>
          </w:p>
        </w:tc>
        <w:tc>
          <w:tcPr>
            <w:tcW w:w="1285" w:type="dxa"/>
            <w:noWrap/>
            <w:hideMark/>
          </w:tcPr>
          <w:p w14:paraId="3EB4968E"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3100A8B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01555A3D" w14:textId="0A64942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MET38</w:t>
            </w:r>
          </w:p>
        </w:tc>
      </w:tr>
      <w:tr w:rsidR="004313D9" w:rsidRPr="0051382C" w14:paraId="51653CBD" w14:textId="77777777" w:rsidTr="008A41DE">
        <w:trPr>
          <w:trHeight w:val="320"/>
        </w:trPr>
        <w:tc>
          <w:tcPr>
            <w:tcW w:w="1689" w:type="dxa"/>
            <w:vMerge/>
            <w:noWrap/>
            <w:hideMark/>
          </w:tcPr>
          <w:p w14:paraId="638B59DF"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7403AEE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661" w:type="dxa"/>
            <w:noWrap/>
            <w:hideMark/>
          </w:tcPr>
          <w:p w14:paraId="4C59CD8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Çelik ve NFM (8)</w:t>
            </w:r>
          </w:p>
        </w:tc>
        <w:tc>
          <w:tcPr>
            <w:tcW w:w="1285" w:type="dxa"/>
            <w:noWrap/>
            <w:hideMark/>
          </w:tcPr>
          <w:p w14:paraId="2C2E866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0FE675B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173E7041" w14:textId="5C713C6C"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MET40, MET43</w:t>
            </w:r>
          </w:p>
        </w:tc>
      </w:tr>
      <w:tr w:rsidR="004313D9" w:rsidRPr="0051382C" w14:paraId="2BD68E1F" w14:textId="77777777" w:rsidTr="008A41DE">
        <w:trPr>
          <w:trHeight w:val="320"/>
        </w:trPr>
        <w:tc>
          <w:tcPr>
            <w:tcW w:w="1689" w:type="dxa"/>
            <w:noWrap/>
            <w:hideMark/>
          </w:tcPr>
          <w:p w14:paraId="33D7F14F"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Fenol</w:t>
            </w:r>
          </w:p>
        </w:tc>
        <w:tc>
          <w:tcPr>
            <w:tcW w:w="2066" w:type="dxa"/>
            <w:noWrap/>
            <w:hideMark/>
          </w:tcPr>
          <w:p w14:paraId="7E512495" w14:textId="7A6425A2"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xml:space="preserve">Kayıp kalıplar kullanılarak kalıplama ve mağaza yapımı </w:t>
            </w:r>
            <w:r w:rsidRPr="009077F5">
              <w:rPr>
                <w:sz w:val="22"/>
                <w:szCs w:val="22"/>
                <w:vertAlign w:val="superscript"/>
              </w:rPr>
              <w:t>(11)</w:t>
            </w:r>
          </w:p>
        </w:tc>
        <w:tc>
          <w:tcPr>
            <w:tcW w:w="1661" w:type="dxa"/>
            <w:noWrap/>
            <w:hideMark/>
          </w:tcPr>
          <w:p w14:paraId="09F573E0"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286B02B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EN standardı mevcut değil</w:t>
            </w:r>
          </w:p>
        </w:tc>
        <w:tc>
          <w:tcPr>
            <w:tcW w:w="1023" w:type="dxa"/>
            <w:noWrap/>
            <w:hideMark/>
          </w:tcPr>
          <w:p w14:paraId="2C53CBA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25B85661" w14:textId="36C1449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MET26</w:t>
            </w:r>
          </w:p>
        </w:tc>
      </w:tr>
      <w:tr w:rsidR="004313D9" w:rsidRPr="0051382C" w14:paraId="3DC2AA80" w14:textId="77777777" w:rsidTr="008A41DE">
        <w:trPr>
          <w:trHeight w:val="320"/>
        </w:trPr>
        <w:tc>
          <w:tcPr>
            <w:tcW w:w="1689" w:type="dxa"/>
            <w:noWrap/>
            <w:hideMark/>
          </w:tcPr>
          <w:p w14:paraId="61170EA8"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tc>
        <w:tc>
          <w:tcPr>
            <w:tcW w:w="2066" w:type="dxa"/>
            <w:noWrap/>
            <w:hideMark/>
          </w:tcPr>
          <w:p w14:paraId="4C9A233D" w14:textId="6F049FB3"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xml:space="preserve">Döküm, soğutma ve kayıp kalıplar kullanarak sarsma </w:t>
            </w:r>
            <w:r w:rsidRPr="009077F5">
              <w:rPr>
                <w:sz w:val="22"/>
                <w:szCs w:val="22"/>
                <w:vertAlign w:val="superscript"/>
              </w:rPr>
              <w:t>(11)</w:t>
            </w:r>
          </w:p>
        </w:tc>
        <w:tc>
          <w:tcPr>
            <w:tcW w:w="1661" w:type="dxa"/>
            <w:noWrap/>
            <w:hideMark/>
          </w:tcPr>
          <w:p w14:paraId="5046BDB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85" w:type="dxa"/>
            <w:noWrap/>
            <w:hideMark/>
          </w:tcPr>
          <w:p w14:paraId="44E803AC"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13E1A532"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528B1C1F" w14:textId="252D27EC"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MET27</w:t>
            </w:r>
          </w:p>
        </w:tc>
      </w:tr>
      <w:tr w:rsidR="004313D9" w:rsidRPr="0051382C" w14:paraId="3F97ACB9" w14:textId="77777777" w:rsidTr="008A41DE">
        <w:trPr>
          <w:trHeight w:val="320"/>
        </w:trPr>
        <w:tc>
          <w:tcPr>
            <w:tcW w:w="1689" w:type="dxa"/>
            <w:vMerge w:val="restart"/>
            <w:noWrap/>
            <w:hideMark/>
          </w:tcPr>
          <w:p w14:paraId="7013D726"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Kükürt dioksit (SO2)</w:t>
            </w:r>
          </w:p>
          <w:p w14:paraId="4431C72A"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p w14:paraId="44B26190"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tc>
        <w:tc>
          <w:tcPr>
            <w:tcW w:w="2066" w:type="dxa"/>
            <w:noWrap/>
            <w:hideMark/>
          </w:tcPr>
          <w:p w14:paraId="0A5599D9"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Sülfonik asit katalizörleri kullanılan kumun termal geri kazanımı</w:t>
            </w:r>
          </w:p>
        </w:tc>
        <w:tc>
          <w:tcPr>
            <w:tcW w:w="1661" w:type="dxa"/>
            <w:noWrap/>
            <w:hideMark/>
          </w:tcPr>
          <w:p w14:paraId="10FBC6B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26032CC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EN 14791</w:t>
            </w:r>
          </w:p>
        </w:tc>
        <w:tc>
          <w:tcPr>
            <w:tcW w:w="1023" w:type="dxa"/>
            <w:noWrap/>
            <w:hideMark/>
          </w:tcPr>
          <w:p w14:paraId="62D8AC8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Yılda bir kez</w:t>
            </w:r>
          </w:p>
        </w:tc>
        <w:tc>
          <w:tcPr>
            <w:tcW w:w="1202" w:type="dxa"/>
            <w:noWrap/>
            <w:hideMark/>
          </w:tcPr>
          <w:p w14:paraId="2D5F644D" w14:textId="4132488B"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MET31</w:t>
            </w:r>
          </w:p>
        </w:tc>
      </w:tr>
      <w:tr w:rsidR="004313D9" w:rsidRPr="0051382C" w14:paraId="2451E2BE" w14:textId="77777777" w:rsidTr="008A41DE">
        <w:trPr>
          <w:trHeight w:val="320"/>
        </w:trPr>
        <w:tc>
          <w:tcPr>
            <w:tcW w:w="1689" w:type="dxa"/>
            <w:vMerge/>
            <w:noWrap/>
            <w:hideMark/>
          </w:tcPr>
          <w:p w14:paraId="38CA0B60"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3A23375E"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eritim</w:t>
            </w:r>
          </w:p>
        </w:tc>
        <w:tc>
          <w:tcPr>
            <w:tcW w:w="1661" w:type="dxa"/>
            <w:noWrap/>
            <w:hideMark/>
          </w:tcPr>
          <w:p w14:paraId="740FF4A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Dökme demir: CBC, HBC ve döner fırınlar</w:t>
            </w:r>
          </w:p>
        </w:tc>
        <w:tc>
          <w:tcPr>
            <w:tcW w:w="1285" w:type="dxa"/>
            <w:noWrap/>
            <w:hideMark/>
          </w:tcPr>
          <w:p w14:paraId="23298CE7"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0C0F327E"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3E10C492" w14:textId="7CC3FECF"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MET38</w:t>
            </w:r>
          </w:p>
        </w:tc>
      </w:tr>
      <w:tr w:rsidR="004313D9" w:rsidRPr="0051382C" w14:paraId="1D987E90" w14:textId="77777777" w:rsidTr="008A41DE">
        <w:trPr>
          <w:trHeight w:val="320"/>
        </w:trPr>
        <w:tc>
          <w:tcPr>
            <w:tcW w:w="1689" w:type="dxa"/>
            <w:vMerge/>
            <w:noWrap/>
            <w:hideMark/>
          </w:tcPr>
          <w:p w14:paraId="7474545C"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2DD5363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661" w:type="dxa"/>
            <w:noWrap/>
            <w:hideMark/>
          </w:tcPr>
          <w:p w14:paraId="678EED38" w14:textId="157EB738"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xml:space="preserve">NFM </w:t>
            </w:r>
            <w:r w:rsidRPr="009077F5">
              <w:rPr>
                <w:sz w:val="22"/>
                <w:szCs w:val="22"/>
                <w:vertAlign w:val="superscript"/>
              </w:rPr>
              <w:t>(5) (12)</w:t>
            </w:r>
          </w:p>
        </w:tc>
        <w:tc>
          <w:tcPr>
            <w:tcW w:w="1285" w:type="dxa"/>
            <w:noWrap/>
            <w:hideMark/>
          </w:tcPr>
          <w:p w14:paraId="712F717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44216A5A"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50F9E379" w14:textId="2C82C8B4"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MET43</w:t>
            </w:r>
          </w:p>
        </w:tc>
      </w:tr>
      <w:tr w:rsidR="004313D9" w:rsidRPr="0051382C" w14:paraId="276B6B04" w14:textId="77777777" w:rsidTr="008A41DE">
        <w:trPr>
          <w:trHeight w:val="320"/>
        </w:trPr>
        <w:tc>
          <w:tcPr>
            <w:tcW w:w="1689" w:type="dxa"/>
            <w:vMerge w:val="restart"/>
            <w:noWrap/>
            <w:hideMark/>
          </w:tcPr>
          <w:p w14:paraId="7E3C1979"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Toplam Uçucu Organik Karbon (TVOC)</w:t>
            </w:r>
          </w:p>
          <w:p w14:paraId="62AA3BE1"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p w14:paraId="37C80992"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p w14:paraId="1023EFEC"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p w14:paraId="4DB7E7F5"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p w14:paraId="234A76D3"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p w14:paraId="7ABD47CD" w14:textId="77777777" w:rsidR="004313D9" w:rsidRPr="0051382C" w:rsidRDefault="004313D9" w:rsidP="004313D9">
            <w:pPr>
              <w:widowControl w:val="0"/>
              <w:spacing w:after="240" w:line="276" w:lineRule="auto"/>
              <w:ind w:firstLine="1"/>
              <w:contextualSpacing/>
              <w:jc w:val="both"/>
              <w:rPr>
                <w:b/>
                <w:bCs/>
                <w:sz w:val="22"/>
                <w:szCs w:val="22"/>
              </w:rPr>
            </w:pPr>
            <w:r w:rsidRPr="0051382C">
              <w:rPr>
                <w:b/>
                <w:bCs/>
                <w:sz w:val="22"/>
                <w:szCs w:val="22"/>
              </w:rPr>
              <w:t> </w:t>
            </w:r>
          </w:p>
        </w:tc>
        <w:tc>
          <w:tcPr>
            <w:tcW w:w="2066" w:type="dxa"/>
            <w:noWrap/>
            <w:hideMark/>
          </w:tcPr>
          <w:p w14:paraId="4A788AC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Kayıp kalıplar kullanılarak kalıplama ve mağaza yapımı</w:t>
            </w:r>
          </w:p>
        </w:tc>
        <w:tc>
          <w:tcPr>
            <w:tcW w:w="1661" w:type="dxa"/>
            <w:noWrap/>
            <w:hideMark/>
          </w:tcPr>
          <w:p w14:paraId="0D716963"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Tümü</w:t>
            </w:r>
          </w:p>
        </w:tc>
        <w:tc>
          <w:tcPr>
            <w:tcW w:w="1285" w:type="dxa"/>
            <w:noWrap/>
            <w:hideMark/>
          </w:tcPr>
          <w:p w14:paraId="52E4B40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EN 12619</w:t>
            </w:r>
          </w:p>
        </w:tc>
        <w:tc>
          <w:tcPr>
            <w:tcW w:w="1023" w:type="dxa"/>
            <w:noWrap/>
            <w:hideMark/>
          </w:tcPr>
          <w:p w14:paraId="2ADC8D06"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6A1AF665" w14:textId="15F4E91F"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MET26</w:t>
            </w:r>
          </w:p>
        </w:tc>
      </w:tr>
      <w:tr w:rsidR="004313D9" w:rsidRPr="0051382C" w14:paraId="02982A15" w14:textId="77777777" w:rsidTr="008A41DE">
        <w:trPr>
          <w:trHeight w:val="320"/>
        </w:trPr>
        <w:tc>
          <w:tcPr>
            <w:tcW w:w="1689" w:type="dxa"/>
            <w:vMerge/>
            <w:noWrap/>
            <w:hideMark/>
          </w:tcPr>
          <w:p w14:paraId="5EF548A0"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02F0099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Kayıp köpük dökümü</w:t>
            </w:r>
          </w:p>
        </w:tc>
        <w:tc>
          <w:tcPr>
            <w:tcW w:w="1661" w:type="dxa"/>
            <w:noWrap/>
            <w:hideMark/>
          </w:tcPr>
          <w:p w14:paraId="4DAD2CDD"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85" w:type="dxa"/>
            <w:noWrap/>
            <w:hideMark/>
          </w:tcPr>
          <w:p w14:paraId="079F04EA"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7A8C3B5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70CCF9CD" w14:textId="6BDDFEE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MET28</w:t>
            </w:r>
          </w:p>
        </w:tc>
      </w:tr>
      <w:tr w:rsidR="004313D9" w:rsidRPr="0051382C" w14:paraId="552032FF" w14:textId="77777777" w:rsidTr="008A41DE">
        <w:trPr>
          <w:trHeight w:val="320"/>
        </w:trPr>
        <w:tc>
          <w:tcPr>
            <w:tcW w:w="1689" w:type="dxa"/>
            <w:vMerge/>
            <w:noWrap/>
            <w:hideMark/>
          </w:tcPr>
          <w:p w14:paraId="22931DCE"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00EB27D5"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Döküm, soğutma ve kayıp kalıplar kullanarak sarsma</w:t>
            </w:r>
          </w:p>
        </w:tc>
        <w:tc>
          <w:tcPr>
            <w:tcW w:w="1661" w:type="dxa"/>
            <w:noWrap/>
            <w:hideMark/>
          </w:tcPr>
          <w:p w14:paraId="5863BF24"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85" w:type="dxa"/>
            <w:noWrap/>
            <w:hideMark/>
          </w:tcPr>
          <w:p w14:paraId="05A89ABB"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30449DEC"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536B4418" w14:textId="21573108"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MET27</w:t>
            </w:r>
          </w:p>
        </w:tc>
      </w:tr>
      <w:tr w:rsidR="004313D9" w:rsidRPr="0051382C" w14:paraId="22BC39C7" w14:textId="77777777" w:rsidTr="008A41DE">
        <w:trPr>
          <w:trHeight w:val="320"/>
        </w:trPr>
        <w:tc>
          <w:tcPr>
            <w:tcW w:w="1689" w:type="dxa"/>
            <w:vMerge/>
            <w:noWrap/>
            <w:hideMark/>
          </w:tcPr>
          <w:p w14:paraId="4F513827"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79E40FF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Kum yeniden kullanımı</w:t>
            </w:r>
          </w:p>
        </w:tc>
        <w:tc>
          <w:tcPr>
            <w:tcW w:w="1661" w:type="dxa"/>
            <w:noWrap/>
            <w:hideMark/>
          </w:tcPr>
          <w:p w14:paraId="3D46B60E"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85" w:type="dxa"/>
            <w:noWrap/>
            <w:hideMark/>
          </w:tcPr>
          <w:p w14:paraId="5CC2F9D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3EF7CD9A"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439769A2" w14:textId="1F41367C"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MET31</w:t>
            </w:r>
          </w:p>
        </w:tc>
      </w:tr>
      <w:tr w:rsidR="004313D9" w:rsidRPr="0051382C" w14:paraId="5FA71D26" w14:textId="77777777" w:rsidTr="008A41DE">
        <w:trPr>
          <w:trHeight w:val="320"/>
        </w:trPr>
        <w:tc>
          <w:tcPr>
            <w:tcW w:w="1689" w:type="dxa"/>
            <w:vMerge/>
            <w:noWrap/>
            <w:hideMark/>
          </w:tcPr>
          <w:p w14:paraId="2A015D89"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116E2D3C"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Metal eritim</w:t>
            </w:r>
          </w:p>
        </w:tc>
        <w:tc>
          <w:tcPr>
            <w:tcW w:w="1661" w:type="dxa"/>
            <w:noWrap/>
            <w:hideMark/>
          </w:tcPr>
          <w:p w14:paraId="4ACA0FD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Dökme demir</w:t>
            </w:r>
          </w:p>
        </w:tc>
        <w:tc>
          <w:tcPr>
            <w:tcW w:w="1285" w:type="dxa"/>
            <w:noWrap/>
            <w:hideMark/>
          </w:tcPr>
          <w:p w14:paraId="44CDA78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20A0E7BF"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57E74DF9" w14:textId="16DFEA95"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MET38</w:t>
            </w:r>
          </w:p>
        </w:tc>
      </w:tr>
      <w:tr w:rsidR="004313D9" w:rsidRPr="0051382C" w14:paraId="0D8522F3" w14:textId="77777777" w:rsidTr="008A41DE">
        <w:trPr>
          <w:trHeight w:val="320"/>
        </w:trPr>
        <w:tc>
          <w:tcPr>
            <w:tcW w:w="1689" w:type="dxa"/>
            <w:vMerge/>
            <w:noWrap/>
            <w:hideMark/>
          </w:tcPr>
          <w:p w14:paraId="291636E3"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54447483"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w:t>
            </w:r>
          </w:p>
        </w:tc>
        <w:tc>
          <w:tcPr>
            <w:tcW w:w="1661" w:type="dxa"/>
            <w:noWrap/>
            <w:hideMark/>
          </w:tcPr>
          <w:p w14:paraId="61369B75" w14:textId="3947A5A1"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xml:space="preserve">Çelik ve NFM </w:t>
            </w:r>
            <w:r w:rsidRPr="009077F5">
              <w:rPr>
                <w:sz w:val="22"/>
                <w:szCs w:val="22"/>
                <w:vertAlign w:val="superscript"/>
              </w:rPr>
              <w:t>(4)</w:t>
            </w:r>
          </w:p>
        </w:tc>
        <w:tc>
          <w:tcPr>
            <w:tcW w:w="1285" w:type="dxa"/>
            <w:noWrap/>
            <w:hideMark/>
          </w:tcPr>
          <w:p w14:paraId="06F6B77E"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41EA0409"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49A9AE00"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r>
      <w:tr w:rsidR="00F72785" w:rsidRPr="0051382C" w14:paraId="0167E638" w14:textId="77777777" w:rsidTr="008A41DE">
        <w:trPr>
          <w:trHeight w:val="320"/>
        </w:trPr>
        <w:tc>
          <w:tcPr>
            <w:tcW w:w="1689" w:type="dxa"/>
            <w:vMerge/>
            <w:noWrap/>
            <w:hideMark/>
          </w:tcPr>
          <w:p w14:paraId="479A7BCD" w14:textId="77777777" w:rsidR="004313D9" w:rsidRPr="0051382C" w:rsidRDefault="004313D9" w:rsidP="004313D9">
            <w:pPr>
              <w:widowControl w:val="0"/>
              <w:spacing w:after="240" w:line="276" w:lineRule="auto"/>
              <w:ind w:firstLine="1"/>
              <w:contextualSpacing/>
              <w:jc w:val="both"/>
              <w:rPr>
                <w:b/>
                <w:bCs/>
                <w:sz w:val="22"/>
                <w:szCs w:val="22"/>
              </w:rPr>
            </w:pPr>
          </w:p>
        </w:tc>
        <w:tc>
          <w:tcPr>
            <w:tcW w:w="2066" w:type="dxa"/>
            <w:noWrap/>
            <w:hideMark/>
          </w:tcPr>
          <w:p w14:paraId="0C8C31CE" w14:textId="0CA9D381"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xml:space="preserve">Kalıcı kalıplarda döküm </w:t>
            </w:r>
            <w:r w:rsidRPr="009077F5">
              <w:rPr>
                <w:sz w:val="22"/>
                <w:szCs w:val="22"/>
                <w:vertAlign w:val="superscript"/>
              </w:rPr>
              <w:t>(13)</w:t>
            </w:r>
          </w:p>
        </w:tc>
        <w:tc>
          <w:tcPr>
            <w:tcW w:w="1661" w:type="dxa"/>
            <w:noWrap/>
            <w:hideMark/>
          </w:tcPr>
          <w:p w14:paraId="795F6680" w14:textId="6A23B050"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 xml:space="preserve">Tüm </w:t>
            </w:r>
            <w:r w:rsidRPr="009077F5">
              <w:rPr>
                <w:sz w:val="22"/>
                <w:szCs w:val="22"/>
                <w:vertAlign w:val="superscript"/>
              </w:rPr>
              <w:t>(4)</w:t>
            </w:r>
          </w:p>
        </w:tc>
        <w:tc>
          <w:tcPr>
            <w:tcW w:w="1285" w:type="dxa"/>
            <w:noWrap/>
            <w:hideMark/>
          </w:tcPr>
          <w:p w14:paraId="5BEC4551"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023" w:type="dxa"/>
            <w:noWrap/>
            <w:hideMark/>
          </w:tcPr>
          <w:p w14:paraId="122C2858" w14:textId="7777777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w:t>
            </w:r>
          </w:p>
        </w:tc>
        <w:tc>
          <w:tcPr>
            <w:tcW w:w="1202" w:type="dxa"/>
            <w:noWrap/>
            <w:hideMark/>
          </w:tcPr>
          <w:p w14:paraId="43146B5F" w14:textId="07249DB7" w:rsidR="004313D9" w:rsidRPr="0051382C" w:rsidRDefault="004313D9" w:rsidP="004313D9">
            <w:pPr>
              <w:widowControl w:val="0"/>
              <w:spacing w:after="240" w:line="276" w:lineRule="auto"/>
              <w:ind w:firstLine="1"/>
              <w:contextualSpacing/>
              <w:jc w:val="both"/>
              <w:rPr>
                <w:sz w:val="22"/>
                <w:szCs w:val="22"/>
              </w:rPr>
            </w:pPr>
            <w:r w:rsidRPr="0051382C">
              <w:rPr>
                <w:sz w:val="22"/>
                <w:szCs w:val="22"/>
              </w:rPr>
              <w:t>MET29</w:t>
            </w:r>
          </w:p>
        </w:tc>
      </w:tr>
      <w:tr w:rsidR="004313D9" w:rsidRPr="0051382C" w14:paraId="5A07B881" w14:textId="77777777" w:rsidTr="008A41DE">
        <w:trPr>
          <w:trHeight w:val="320"/>
        </w:trPr>
        <w:tc>
          <w:tcPr>
            <w:tcW w:w="8926" w:type="dxa"/>
            <w:gridSpan w:val="6"/>
            <w:noWrap/>
          </w:tcPr>
          <w:p w14:paraId="5B4A4D49" w14:textId="0668BEB8" w:rsidR="004313D9" w:rsidRPr="009077F5" w:rsidRDefault="004313D9" w:rsidP="004313D9">
            <w:pPr>
              <w:widowControl w:val="0"/>
              <w:spacing w:after="240" w:line="276" w:lineRule="auto"/>
              <w:ind w:firstLine="1"/>
              <w:contextualSpacing/>
              <w:jc w:val="both"/>
              <w:rPr>
                <w:sz w:val="20"/>
                <w:szCs w:val="20"/>
              </w:rPr>
            </w:pPr>
            <w:r w:rsidRPr="001F53FB">
              <w:rPr>
                <w:sz w:val="22"/>
                <w:szCs w:val="22"/>
              </w:rPr>
              <w:t>(</w:t>
            </w:r>
            <w:r w:rsidRPr="009077F5">
              <w:rPr>
                <w:sz w:val="20"/>
                <w:szCs w:val="20"/>
              </w:rPr>
              <w:t>1)   Mümkün olduğunca, ölçümler normal çalışma koşullarında beklenen en yüksek emisyon durumunda gerçekleştirilir.</w:t>
            </w:r>
          </w:p>
          <w:p w14:paraId="43DC884D" w14:textId="378C1BCF" w:rsidR="004313D9" w:rsidRPr="009077F5" w:rsidRDefault="004313D9" w:rsidP="004313D9">
            <w:pPr>
              <w:widowControl w:val="0"/>
              <w:spacing w:after="240" w:line="276" w:lineRule="auto"/>
              <w:ind w:firstLine="1"/>
              <w:contextualSpacing/>
              <w:jc w:val="both"/>
              <w:rPr>
                <w:sz w:val="20"/>
                <w:szCs w:val="20"/>
              </w:rPr>
            </w:pPr>
            <w:r w:rsidRPr="009077F5">
              <w:rPr>
                <w:sz w:val="20"/>
                <w:szCs w:val="20"/>
              </w:rPr>
              <w:t>(2)   İzleme, sadece aminlerin kullanıldığı soğuk kutu işleminde geçerlidir.</w:t>
            </w:r>
          </w:p>
          <w:p w14:paraId="14C204F7" w14:textId="3058D82D" w:rsidR="004313D9" w:rsidRPr="009077F5" w:rsidRDefault="004313D9" w:rsidP="004313D9">
            <w:pPr>
              <w:widowControl w:val="0"/>
              <w:spacing w:after="240" w:line="276" w:lineRule="auto"/>
              <w:ind w:firstLine="1"/>
              <w:contextualSpacing/>
              <w:jc w:val="both"/>
              <w:rPr>
                <w:sz w:val="20"/>
                <w:szCs w:val="20"/>
              </w:rPr>
            </w:pPr>
            <w:r w:rsidRPr="009077F5">
              <w:rPr>
                <w:sz w:val="20"/>
                <w:szCs w:val="20"/>
              </w:rPr>
              <w:t>(3)   İzleme, sadece aromatik bağlayıcılar/kimyasallar kullanıldığında veya tam kalıp işlemi kullanıldığında geçerlidir.</w:t>
            </w:r>
          </w:p>
          <w:p w14:paraId="5851766E" w14:textId="0BA61986" w:rsidR="004313D9" w:rsidRPr="009077F5" w:rsidRDefault="004313D9" w:rsidP="004313D9">
            <w:pPr>
              <w:widowControl w:val="0"/>
              <w:spacing w:after="240" w:line="276" w:lineRule="auto"/>
              <w:ind w:firstLine="1"/>
              <w:contextualSpacing/>
              <w:jc w:val="both"/>
              <w:rPr>
                <w:sz w:val="20"/>
                <w:szCs w:val="20"/>
              </w:rPr>
            </w:pPr>
            <w:r w:rsidRPr="009077F5">
              <w:rPr>
                <w:sz w:val="20"/>
                <w:szCs w:val="20"/>
              </w:rPr>
              <w:t>(4)   İzleme, yalnızca ilgili madde/parametre, BAT 2'de belirtilen girdi ve çıktı envanterine göre atık gaz akışında ilgili olarak tanımlandığında geçerlidir.</w:t>
            </w:r>
          </w:p>
          <w:p w14:paraId="60EAA7E9" w14:textId="3FEC0051" w:rsidR="004313D9" w:rsidRPr="009077F5" w:rsidRDefault="004313D9" w:rsidP="004313D9">
            <w:pPr>
              <w:widowControl w:val="0"/>
              <w:spacing w:after="240" w:line="276" w:lineRule="auto"/>
              <w:ind w:firstLine="1"/>
              <w:contextualSpacing/>
              <w:jc w:val="both"/>
              <w:rPr>
                <w:sz w:val="20"/>
                <w:szCs w:val="20"/>
              </w:rPr>
            </w:pPr>
            <w:r w:rsidRPr="009077F5">
              <w:rPr>
                <w:sz w:val="20"/>
                <w:szCs w:val="20"/>
              </w:rPr>
              <w:t>(5)   Yalnızca elektrik kullanıldığında izleme geçerli değildir.</w:t>
            </w:r>
          </w:p>
          <w:p w14:paraId="523BF297" w14:textId="146F721A" w:rsidR="004313D9" w:rsidRPr="009077F5" w:rsidRDefault="004313D9" w:rsidP="004313D9">
            <w:pPr>
              <w:widowControl w:val="0"/>
              <w:spacing w:after="240" w:line="276" w:lineRule="auto"/>
              <w:ind w:firstLine="1"/>
              <w:contextualSpacing/>
              <w:jc w:val="both"/>
              <w:rPr>
                <w:sz w:val="20"/>
                <w:szCs w:val="20"/>
              </w:rPr>
            </w:pPr>
            <w:r w:rsidRPr="009077F5">
              <w:rPr>
                <w:sz w:val="20"/>
                <w:szCs w:val="20"/>
              </w:rPr>
              <w:t>(6)   Kupol fırını ile ilişkili ve toz kütle akışı &gt; 0,5 kg/saat olan tüm bacalar için sürekli izleme geçerlidir.</w:t>
            </w:r>
          </w:p>
          <w:p w14:paraId="528C2850" w14:textId="4ABF0362" w:rsidR="004313D9" w:rsidRPr="009077F5" w:rsidRDefault="004313D9" w:rsidP="004313D9">
            <w:pPr>
              <w:widowControl w:val="0"/>
              <w:spacing w:after="240" w:line="276" w:lineRule="auto"/>
              <w:ind w:firstLine="1"/>
              <w:contextualSpacing/>
              <w:jc w:val="both"/>
              <w:rPr>
                <w:sz w:val="20"/>
                <w:szCs w:val="20"/>
              </w:rPr>
            </w:pPr>
            <w:r w:rsidRPr="009077F5">
              <w:rPr>
                <w:sz w:val="20"/>
                <w:szCs w:val="20"/>
              </w:rPr>
              <w:t>(7)   Ölçümler sürekli ise, bunun yerine aşağıdaki genel EN standartları uygulanır: EN 15267-1, EN 15267-2, EN 15267-3 ve EN 14181.</w:t>
            </w:r>
          </w:p>
          <w:p w14:paraId="583B9690" w14:textId="1008E9CD" w:rsidR="004313D9" w:rsidRPr="009077F5" w:rsidRDefault="004313D9" w:rsidP="004313D9">
            <w:pPr>
              <w:widowControl w:val="0"/>
              <w:spacing w:after="240" w:line="276" w:lineRule="auto"/>
              <w:ind w:firstLine="1"/>
              <w:contextualSpacing/>
              <w:jc w:val="both"/>
              <w:rPr>
                <w:sz w:val="20"/>
                <w:szCs w:val="20"/>
              </w:rPr>
            </w:pPr>
            <w:r w:rsidRPr="009077F5">
              <w:rPr>
                <w:sz w:val="20"/>
                <w:szCs w:val="20"/>
              </w:rPr>
              <w:t>(8)   Ölçümler sürekli ise, EN 13284-2 de uygulanır.</w:t>
            </w:r>
          </w:p>
          <w:p w14:paraId="6FB4C601" w14:textId="7583FBDA" w:rsidR="004313D9" w:rsidRPr="009077F5" w:rsidRDefault="004313D9" w:rsidP="004313D9">
            <w:pPr>
              <w:widowControl w:val="0"/>
              <w:spacing w:after="240" w:line="276" w:lineRule="auto"/>
              <w:ind w:firstLine="1"/>
              <w:contextualSpacing/>
              <w:jc w:val="both"/>
              <w:rPr>
                <w:sz w:val="20"/>
                <w:szCs w:val="20"/>
              </w:rPr>
            </w:pPr>
            <w:r w:rsidRPr="009077F5">
              <w:rPr>
                <w:sz w:val="20"/>
                <w:szCs w:val="20"/>
              </w:rPr>
              <w:t>(9)   BAT 39 (a) kullanıldığında izleme uygulanmaz.</w:t>
            </w:r>
          </w:p>
          <w:p w14:paraId="4DAE8543" w14:textId="3A779EA6" w:rsidR="004313D9" w:rsidRPr="009077F5" w:rsidRDefault="004313D9" w:rsidP="004313D9">
            <w:pPr>
              <w:widowControl w:val="0"/>
              <w:spacing w:after="240" w:line="276" w:lineRule="auto"/>
              <w:ind w:firstLine="1"/>
              <w:contextualSpacing/>
              <w:jc w:val="both"/>
              <w:rPr>
                <w:sz w:val="20"/>
                <w:szCs w:val="20"/>
              </w:rPr>
            </w:pPr>
            <w:r w:rsidRPr="009077F5">
              <w:rPr>
                <w:sz w:val="20"/>
                <w:szCs w:val="20"/>
              </w:rPr>
              <w:t>(10)   İzleme sadece kurşun dökümhanelerine veya alaşım elementi olarak kurşun kullanan diğer NFM dökümhanelerine uygulanır.</w:t>
            </w:r>
          </w:p>
          <w:p w14:paraId="0327C3F8" w14:textId="2AEB5D81" w:rsidR="004313D9" w:rsidRPr="009077F5" w:rsidRDefault="004313D9" w:rsidP="004313D9">
            <w:pPr>
              <w:widowControl w:val="0"/>
              <w:spacing w:after="240" w:line="276" w:lineRule="auto"/>
              <w:ind w:firstLine="1"/>
              <w:contextualSpacing/>
              <w:jc w:val="both"/>
              <w:rPr>
                <w:sz w:val="20"/>
                <w:szCs w:val="20"/>
              </w:rPr>
            </w:pPr>
            <w:r w:rsidRPr="009077F5">
              <w:rPr>
                <w:sz w:val="20"/>
                <w:szCs w:val="20"/>
              </w:rPr>
              <w:t>(11)   İzleme sadece fenolik bazlı bağlayıcı sistemler kullanıldığında uygulanır.</w:t>
            </w:r>
          </w:p>
          <w:p w14:paraId="1D6ECF4E" w14:textId="122AD3B8" w:rsidR="004313D9" w:rsidRPr="009077F5" w:rsidRDefault="004313D9" w:rsidP="004313D9">
            <w:pPr>
              <w:widowControl w:val="0"/>
              <w:spacing w:after="240" w:line="276" w:lineRule="auto"/>
              <w:ind w:firstLine="1"/>
              <w:contextualSpacing/>
              <w:jc w:val="both"/>
              <w:rPr>
                <w:sz w:val="20"/>
                <w:szCs w:val="20"/>
              </w:rPr>
            </w:pPr>
            <w:r w:rsidRPr="009077F5">
              <w:rPr>
                <w:sz w:val="20"/>
                <w:szCs w:val="20"/>
              </w:rPr>
              <w:t>(12)   Sadece doğal gaz kullanıldığında izleme uygulanmaz.</w:t>
            </w:r>
          </w:p>
          <w:p w14:paraId="4561F52E" w14:textId="226EDD41" w:rsidR="004313D9" w:rsidRPr="0051382C" w:rsidRDefault="004313D9" w:rsidP="004313D9">
            <w:pPr>
              <w:widowControl w:val="0"/>
              <w:spacing w:after="240" w:line="276" w:lineRule="auto"/>
              <w:ind w:firstLine="1"/>
              <w:contextualSpacing/>
              <w:jc w:val="both"/>
              <w:rPr>
                <w:sz w:val="22"/>
                <w:szCs w:val="22"/>
              </w:rPr>
            </w:pPr>
            <w:r w:rsidRPr="009077F5">
              <w:rPr>
                <w:sz w:val="20"/>
                <w:szCs w:val="20"/>
              </w:rPr>
              <w:t>(13)   İzleme, kimyasal olarak bağlanmış kum içeren çekirdekler kullanıldığında geçerlidir.</w:t>
            </w:r>
          </w:p>
        </w:tc>
      </w:tr>
    </w:tbl>
    <w:p w14:paraId="09F7A97F" w14:textId="77777777" w:rsidR="0007690F" w:rsidRPr="00D53A2B" w:rsidRDefault="0007690F" w:rsidP="00A202FD">
      <w:pPr>
        <w:widowControl w:val="0"/>
        <w:spacing w:after="240" w:line="276" w:lineRule="auto"/>
        <w:ind w:firstLine="1"/>
        <w:contextualSpacing/>
        <w:jc w:val="both"/>
        <w:rPr>
          <w:b/>
          <w:bCs/>
        </w:rPr>
      </w:pPr>
    </w:p>
    <w:p w14:paraId="7D2E149F" w14:textId="77777777" w:rsidR="0007690F" w:rsidRPr="00D53A2B" w:rsidRDefault="0007690F" w:rsidP="00A202FD">
      <w:pPr>
        <w:pStyle w:val="Balk5"/>
        <w:rPr>
          <w:szCs w:val="24"/>
        </w:rPr>
      </w:pPr>
      <w:r w:rsidRPr="00D53A2B">
        <w:rPr>
          <w:szCs w:val="24"/>
        </w:rPr>
        <w:t xml:space="preserve">1.2.1.2.2. Suya </w:t>
      </w:r>
      <w:r w:rsidRPr="00D53A2B">
        <w:rPr>
          <w:strike/>
          <w:szCs w:val="24"/>
        </w:rPr>
        <w:t xml:space="preserve">olan </w:t>
      </w:r>
      <w:r w:rsidRPr="00D53A2B">
        <w:rPr>
          <w:szCs w:val="24"/>
        </w:rPr>
        <w:t>Emisyonların İzlenmesi</w:t>
      </w:r>
    </w:p>
    <w:p w14:paraId="6BDA18E6" w14:textId="77777777" w:rsidR="0007690F" w:rsidRPr="00D53A2B" w:rsidRDefault="0007690F" w:rsidP="00A202FD">
      <w:pPr>
        <w:widowControl w:val="0"/>
        <w:spacing w:after="240" w:line="276" w:lineRule="auto"/>
        <w:ind w:firstLine="1"/>
        <w:contextualSpacing/>
        <w:jc w:val="both"/>
      </w:pPr>
      <w:r w:rsidRPr="00D53A2B">
        <w:rPr>
          <w:b/>
          <w:bCs/>
        </w:rPr>
        <w:t>MET 13.</w:t>
      </w:r>
      <w:r w:rsidRPr="00D53A2B">
        <w:t> </w:t>
      </w:r>
      <w:r w:rsidRPr="00D53A2B">
        <w:rPr>
          <w:b/>
          <w:bCs/>
        </w:rPr>
        <w:t>MET, suya yapılan emisyonları aşağıda belirtilen en az sıklıkta izlemeyi ve AB standartlarına uygun olmayı önerir. Eğer AB standartları mevcut değilse, MET, ISO, ulusal veya diğer uluslararası standartları kullanarak, eşdeğer bilimsel kaliteye sahip verilerin sağlanmasını temin eder.</w:t>
      </w:r>
    </w:p>
    <w:tbl>
      <w:tblPr>
        <w:tblStyle w:val="TabloKlavuzu"/>
        <w:tblW w:w="0" w:type="auto"/>
        <w:tblLook w:val="04A0" w:firstRow="1" w:lastRow="0" w:firstColumn="1" w:lastColumn="0" w:noHBand="0" w:noVBand="1"/>
      </w:tblPr>
      <w:tblGrid>
        <w:gridCol w:w="2217"/>
        <w:gridCol w:w="3106"/>
        <w:gridCol w:w="1970"/>
        <w:gridCol w:w="850"/>
        <w:gridCol w:w="917"/>
      </w:tblGrid>
      <w:tr w:rsidR="0007690F" w:rsidRPr="0051382C" w14:paraId="5C426A1E" w14:textId="77777777" w:rsidTr="00CB4CD4">
        <w:trPr>
          <w:trHeight w:val="320"/>
        </w:trPr>
        <w:tc>
          <w:tcPr>
            <w:tcW w:w="2279" w:type="dxa"/>
            <w:noWrap/>
            <w:hideMark/>
          </w:tcPr>
          <w:p w14:paraId="28FA1ED3"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Madde/Parametre</w:t>
            </w:r>
          </w:p>
        </w:tc>
        <w:tc>
          <w:tcPr>
            <w:tcW w:w="3197" w:type="dxa"/>
            <w:noWrap/>
            <w:hideMark/>
          </w:tcPr>
          <w:p w14:paraId="1E7D5474"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Süreç</w:t>
            </w:r>
          </w:p>
        </w:tc>
        <w:tc>
          <w:tcPr>
            <w:tcW w:w="2025" w:type="dxa"/>
            <w:noWrap/>
            <w:hideMark/>
          </w:tcPr>
          <w:p w14:paraId="491DAAC6"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Standart(lar)</w:t>
            </w:r>
          </w:p>
        </w:tc>
        <w:tc>
          <w:tcPr>
            <w:tcW w:w="870" w:type="dxa"/>
            <w:noWrap/>
            <w:hideMark/>
          </w:tcPr>
          <w:p w14:paraId="122D5675" w14:textId="762FCC98"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Asgari İzleme Sıklığı </w:t>
            </w:r>
            <w:r w:rsidRPr="009077F5">
              <w:rPr>
                <w:b/>
                <w:bCs/>
                <w:sz w:val="22"/>
                <w:szCs w:val="22"/>
                <w:vertAlign w:val="superscript"/>
              </w:rPr>
              <w:t>(</w:t>
            </w:r>
            <w:r w:rsidR="0033114E" w:rsidRPr="009077F5">
              <w:rPr>
                <w:b/>
                <w:bCs/>
                <w:sz w:val="22"/>
                <w:szCs w:val="22"/>
                <w:vertAlign w:val="superscript"/>
              </w:rPr>
              <w:t>1</w:t>
            </w:r>
            <w:r w:rsidRPr="009077F5">
              <w:rPr>
                <w:b/>
                <w:bCs/>
                <w:sz w:val="22"/>
                <w:szCs w:val="22"/>
                <w:vertAlign w:val="superscript"/>
              </w:rPr>
              <w:t>)</w:t>
            </w:r>
          </w:p>
        </w:tc>
        <w:tc>
          <w:tcPr>
            <w:tcW w:w="939" w:type="dxa"/>
            <w:noWrap/>
            <w:hideMark/>
          </w:tcPr>
          <w:p w14:paraId="705A88E3" w14:textId="36485005" w:rsidR="0007690F" w:rsidRPr="0051382C" w:rsidRDefault="0007690F" w:rsidP="00CC3DCB">
            <w:pPr>
              <w:widowControl w:val="0"/>
              <w:spacing w:after="240" w:line="276" w:lineRule="auto"/>
              <w:ind w:firstLine="1"/>
              <w:contextualSpacing/>
              <w:jc w:val="both"/>
              <w:rPr>
                <w:b/>
                <w:bCs/>
                <w:sz w:val="22"/>
                <w:szCs w:val="22"/>
              </w:rPr>
            </w:pPr>
            <w:r w:rsidRPr="00CC3DCB">
              <w:rPr>
                <w:b/>
                <w:bCs/>
                <w:color w:val="000000" w:themeColor="text1"/>
                <w:sz w:val="22"/>
                <w:szCs w:val="22"/>
              </w:rPr>
              <w:t xml:space="preserve">İlgili </w:t>
            </w:r>
            <w:r w:rsidR="00CD1A0D" w:rsidRPr="00CC3DCB">
              <w:rPr>
                <w:color w:val="000000" w:themeColor="text1"/>
              </w:rPr>
              <w:t>MET</w:t>
            </w:r>
          </w:p>
        </w:tc>
      </w:tr>
      <w:tr w:rsidR="0007690F" w:rsidRPr="0051382C" w14:paraId="266BA534" w14:textId="77777777" w:rsidTr="00CB4CD4">
        <w:trPr>
          <w:trHeight w:val="320"/>
        </w:trPr>
        <w:tc>
          <w:tcPr>
            <w:tcW w:w="2279" w:type="dxa"/>
            <w:noWrap/>
            <w:hideMark/>
          </w:tcPr>
          <w:p w14:paraId="7AEDF243" w14:textId="22C8D3C3"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Adsorbe edilebilir organik </w:t>
            </w:r>
            <w:r w:rsidR="00462D7E">
              <w:rPr>
                <w:b/>
                <w:bCs/>
                <w:sz w:val="22"/>
                <w:szCs w:val="22"/>
              </w:rPr>
              <w:t>E</w:t>
            </w:r>
            <w:r w:rsidRPr="0051382C">
              <w:rPr>
                <w:b/>
                <w:bCs/>
                <w:sz w:val="22"/>
                <w:szCs w:val="22"/>
              </w:rPr>
              <w:t xml:space="preserve">bağlı halojenler (AOX) </w:t>
            </w:r>
            <w:r w:rsidRPr="009077F5">
              <w:rPr>
                <w:b/>
                <w:bCs/>
                <w:sz w:val="22"/>
                <w:szCs w:val="22"/>
                <w:vertAlign w:val="superscript"/>
              </w:rPr>
              <w:t>(</w:t>
            </w:r>
            <w:r w:rsidR="0033114E" w:rsidRPr="009077F5">
              <w:rPr>
                <w:b/>
                <w:bCs/>
                <w:sz w:val="22"/>
                <w:szCs w:val="22"/>
                <w:vertAlign w:val="superscript"/>
              </w:rPr>
              <w:t>2</w:t>
            </w:r>
            <w:r w:rsidRPr="009077F5">
              <w:rPr>
                <w:b/>
                <w:bCs/>
                <w:sz w:val="22"/>
                <w:szCs w:val="22"/>
                <w:vertAlign w:val="superscript"/>
              </w:rPr>
              <w:t>)</w:t>
            </w:r>
          </w:p>
        </w:tc>
        <w:tc>
          <w:tcPr>
            <w:tcW w:w="3197" w:type="dxa"/>
            <w:noWrap/>
            <w:hideMark/>
          </w:tcPr>
          <w:p w14:paraId="1573EDBA" w14:textId="22934A90"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Kupola gazlarının ıslak yıkamadan çıkan atıksuyu</w:t>
            </w:r>
          </w:p>
        </w:tc>
        <w:tc>
          <w:tcPr>
            <w:tcW w:w="2025" w:type="dxa"/>
            <w:noWrap/>
            <w:hideMark/>
          </w:tcPr>
          <w:p w14:paraId="1B73B5F0"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EN ISO 9562</w:t>
            </w:r>
          </w:p>
        </w:tc>
        <w:tc>
          <w:tcPr>
            <w:tcW w:w="870" w:type="dxa"/>
            <w:noWrap/>
            <w:hideMark/>
          </w:tcPr>
          <w:p w14:paraId="411788F6" w14:textId="0D70B31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3 ayda bir </w:t>
            </w:r>
            <w:r w:rsidRPr="009077F5">
              <w:rPr>
                <w:b/>
                <w:bCs/>
                <w:sz w:val="22"/>
                <w:szCs w:val="22"/>
                <w:vertAlign w:val="superscript"/>
              </w:rPr>
              <w:t>(</w:t>
            </w:r>
            <w:r w:rsidR="0033114E" w:rsidRPr="009077F5">
              <w:rPr>
                <w:b/>
                <w:bCs/>
                <w:sz w:val="22"/>
                <w:szCs w:val="22"/>
                <w:vertAlign w:val="superscript"/>
              </w:rPr>
              <w:t>3</w:t>
            </w:r>
            <w:r w:rsidRPr="009077F5">
              <w:rPr>
                <w:b/>
                <w:bCs/>
                <w:sz w:val="22"/>
                <w:szCs w:val="22"/>
                <w:vertAlign w:val="superscript"/>
              </w:rPr>
              <w:t>)</w:t>
            </w:r>
          </w:p>
        </w:tc>
        <w:tc>
          <w:tcPr>
            <w:tcW w:w="939" w:type="dxa"/>
            <w:vMerge w:val="restart"/>
            <w:noWrap/>
            <w:hideMark/>
          </w:tcPr>
          <w:p w14:paraId="3EEE17DD" w14:textId="33ED31D7" w:rsidR="0007690F" w:rsidRPr="0051382C" w:rsidRDefault="00831B53" w:rsidP="00A202FD">
            <w:pPr>
              <w:widowControl w:val="0"/>
              <w:spacing w:after="240" w:line="276" w:lineRule="auto"/>
              <w:ind w:firstLine="1"/>
              <w:contextualSpacing/>
              <w:jc w:val="both"/>
              <w:rPr>
                <w:b/>
                <w:bCs/>
                <w:sz w:val="22"/>
                <w:szCs w:val="22"/>
              </w:rPr>
            </w:pPr>
            <w:r w:rsidRPr="0051382C">
              <w:rPr>
                <w:b/>
                <w:bCs/>
                <w:sz w:val="22"/>
                <w:szCs w:val="22"/>
              </w:rPr>
              <w:t>MET</w:t>
            </w:r>
            <w:r w:rsidR="0007690F" w:rsidRPr="0051382C">
              <w:rPr>
                <w:b/>
                <w:bCs/>
                <w:sz w:val="22"/>
                <w:szCs w:val="22"/>
              </w:rPr>
              <w:t>36</w:t>
            </w:r>
          </w:p>
          <w:p w14:paraId="4F165299"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0B142CDC" w14:textId="77777777" w:rsidTr="00CB4CD4">
        <w:trPr>
          <w:trHeight w:val="320"/>
        </w:trPr>
        <w:tc>
          <w:tcPr>
            <w:tcW w:w="2279" w:type="dxa"/>
            <w:noWrap/>
            <w:hideMark/>
          </w:tcPr>
          <w:p w14:paraId="0AAD8BC5" w14:textId="2309661D"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Biyokimyasal oksijen ihtiyacı (BO</w:t>
            </w:r>
            <w:r w:rsidR="00DE1226">
              <w:rPr>
                <w:b/>
                <w:bCs/>
                <w:sz w:val="22"/>
                <w:szCs w:val="22"/>
              </w:rPr>
              <w:t>İ</w:t>
            </w:r>
            <w:r w:rsidRPr="0051382C">
              <w:rPr>
                <w:b/>
                <w:bCs/>
                <w:sz w:val="22"/>
                <w:szCs w:val="22"/>
              </w:rPr>
              <w:t xml:space="preserve">₅) </w:t>
            </w:r>
            <w:r w:rsidRPr="009077F5">
              <w:rPr>
                <w:b/>
                <w:bCs/>
                <w:sz w:val="22"/>
                <w:szCs w:val="22"/>
                <w:vertAlign w:val="superscript"/>
              </w:rPr>
              <w:t>(</w:t>
            </w:r>
            <w:r w:rsidR="0033114E" w:rsidRPr="009077F5">
              <w:rPr>
                <w:b/>
                <w:bCs/>
                <w:sz w:val="22"/>
                <w:szCs w:val="22"/>
                <w:vertAlign w:val="superscript"/>
              </w:rPr>
              <w:t>3</w:t>
            </w:r>
            <w:r w:rsidRPr="009077F5">
              <w:rPr>
                <w:b/>
                <w:bCs/>
                <w:sz w:val="22"/>
                <w:szCs w:val="22"/>
                <w:vertAlign w:val="superscript"/>
              </w:rPr>
              <w:t>)</w:t>
            </w:r>
          </w:p>
        </w:tc>
        <w:tc>
          <w:tcPr>
            <w:tcW w:w="3197" w:type="dxa"/>
            <w:vMerge w:val="restart"/>
            <w:noWrap/>
            <w:hideMark/>
          </w:tcPr>
          <w:p w14:paraId="3ED7A9CE"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Basınçlı döküm, gaz arıtma (örneğin ıslak yıkama), bitirme işlemi, ısıl işlem, kirlenmiş yüzey akışı, doğrudan soğutma, ıslak kum regenerasyonu ve kupola fırını cüruf granülasyonu</w:t>
            </w:r>
          </w:p>
          <w:p w14:paraId="729A283D"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noWrap/>
            <w:hideMark/>
          </w:tcPr>
          <w:p w14:paraId="1F069549"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Çeşitli EN standartları mevcut (örn. EN 1899-1, EN ISO 5815)</w:t>
            </w:r>
          </w:p>
        </w:tc>
        <w:tc>
          <w:tcPr>
            <w:tcW w:w="870" w:type="dxa"/>
            <w:vMerge w:val="restart"/>
            <w:noWrap/>
            <w:hideMark/>
          </w:tcPr>
          <w:p w14:paraId="5A99E55D"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5D010470"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21647955" w14:textId="77777777" w:rsidTr="00CB4CD4">
        <w:trPr>
          <w:trHeight w:val="320"/>
        </w:trPr>
        <w:tc>
          <w:tcPr>
            <w:tcW w:w="2279" w:type="dxa"/>
            <w:noWrap/>
            <w:hideMark/>
          </w:tcPr>
          <w:p w14:paraId="2009A42E" w14:textId="1630A354"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Kimyasal oksijen ihtiyacı (</w:t>
            </w:r>
            <w:r w:rsidR="00DE1226">
              <w:rPr>
                <w:b/>
                <w:bCs/>
                <w:sz w:val="22"/>
                <w:szCs w:val="22"/>
              </w:rPr>
              <w:t>KOİ</w:t>
            </w:r>
            <w:r w:rsidRPr="0051382C">
              <w:rPr>
                <w:b/>
                <w:bCs/>
                <w:sz w:val="22"/>
                <w:szCs w:val="22"/>
              </w:rPr>
              <w:t xml:space="preserve">) </w:t>
            </w:r>
            <w:r w:rsidRPr="009077F5">
              <w:rPr>
                <w:b/>
                <w:bCs/>
                <w:sz w:val="22"/>
                <w:szCs w:val="22"/>
                <w:vertAlign w:val="superscript"/>
              </w:rPr>
              <w:t>(</w:t>
            </w:r>
            <w:r w:rsidR="0033114E" w:rsidRPr="009077F5">
              <w:rPr>
                <w:b/>
                <w:bCs/>
                <w:sz w:val="22"/>
                <w:szCs w:val="22"/>
                <w:vertAlign w:val="superscript"/>
              </w:rPr>
              <w:t>3</w:t>
            </w:r>
            <w:r w:rsidRPr="009077F5">
              <w:rPr>
                <w:b/>
                <w:bCs/>
                <w:sz w:val="22"/>
                <w:szCs w:val="22"/>
                <w:vertAlign w:val="superscript"/>
              </w:rPr>
              <w:t>)</w:t>
            </w:r>
            <w:r w:rsidRPr="0051382C">
              <w:rPr>
                <w:b/>
                <w:bCs/>
                <w:sz w:val="22"/>
                <w:szCs w:val="22"/>
              </w:rPr>
              <w:t xml:space="preserve"> </w:t>
            </w:r>
            <w:r w:rsidRPr="009077F5">
              <w:rPr>
                <w:b/>
                <w:bCs/>
                <w:sz w:val="22"/>
                <w:szCs w:val="22"/>
                <w:vertAlign w:val="superscript"/>
              </w:rPr>
              <w:t>(</w:t>
            </w:r>
            <w:r w:rsidR="0033114E" w:rsidRPr="009077F5">
              <w:rPr>
                <w:b/>
                <w:bCs/>
                <w:sz w:val="22"/>
                <w:szCs w:val="22"/>
                <w:vertAlign w:val="superscript"/>
              </w:rPr>
              <w:t>4</w:t>
            </w:r>
            <w:r w:rsidRPr="009077F5">
              <w:rPr>
                <w:b/>
                <w:bCs/>
                <w:sz w:val="22"/>
                <w:szCs w:val="22"/>
                <w:vertAlign w:val="superscript"/>
              </w:rPr>
              <w:t>)</w:t>
            </w:r>
          </w:p>
        </w:tc>
        <w:tc>
          <w:tcPr>
            <w:tcW w:w="3197" w:type="dxa"/>
            <w:vMerge/>
            <w:noWrap/>
            <w:hideMark/>
          </w:tcPr>
          <w:p w14:paraId="2CEC2B4A"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noWrap/>
            <w:hideMark/>
          </w:tcPr>
          <w:p w14:paraId="7B4580A8"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EN standardı bulunmamaktadır</w:t>
            </w:r>
          </w:p>
        </w:tc>
        <w:tc>
          <w:tcPr>
            <w:tcW w:w="870" w:type="dxa"/>
            <w:vMerge/>
            <w:noWrap/>
            <w:hideMark/>
          </w:tcPr>
          <w:p w14:paraId="3465B7E0"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3D4BD62E"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789A7B5F" w14:textId="77777777" w:rsidTr="00CB4CD4">
        <w:trPr>
          <w:trHeight w:val="320"/>
        </w:trPr>
        <w:tc>
          <w:tcPr>
            <w:tcW w:w="2279" w:type="dxa"/>
            <w:noWrap/>
            <w:hideMark/>
          </w:tcPr>
          <w:p w14:paraId="268F6475" w14:textId="62F67CA5"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Hidrokarbon yağ indeksi (HOI) </w:t>
            </w:r>
            <w:r w:rsidRPr="009077F5">
              <w:rPr>
                <w:b/>
                <w:bCs/>
                <w:sz w:val="22"/>
                <w:szCs w:val="22"/>
                <w:vertAlign w:val="superscript"/>
              </w:rPr>
              <w:t>(</w:t>
            </w:r>
            <w:r w:rsidR="0033114E" w:rsidRPr="009077F5">
              <w:rPr>
                <w:b/>
                <w:bCs/>
                <w:sz w:val="22"/>
                <w:szCs w:val="22"/>
                <w:vertAlign w:val="superscript"/>
              </w:rPr>
              <w:t>2</w:t>
            </w:r>
            <w:r w:rsidRPr="009077F5">
              <w:rPr>
                <w:b/>
                <w:bCs/>
                <w:sz w:val="22"/>
                <w:szCs w:val="22"/>
                <w:vertAlign w:val="superscript"/>
              </w:rPr>
              <w:t>)</w:t>
            </w:r>
          </w:p>
        </w:tc>
        <w:tc>
          <w:tcPr>
            <w:tcW w:w="3197" w:type="dxa"/>
            <w:vMerge/>
            <w:noWrap/>
            <w:hideMark/>
          </w:tcPr>
          <w:p w14:paraId="660DA748"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noWrap/>
            <w:hideMark/>
          </w:tcPr>
          <w:p w14:paraId="34D759A3"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EN ISO 9377-2</w:t>
            </w:r>
          </w:p>
        </w:tc>
        <w:tc>
          <w:tcPr>
            <w:tcW w:w="870" w:type="dxa"/>
            <w:vMerge/>
            <w:noWrap/>
            <w:hideMark/>
          </w:tcPr>
          <w:p w14:paraId="44968BF2"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5E839290"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20386035" w14:textId="77777777" w:rsidTr="00CB4CD4">
        <w:trPr>
          <w:trHeight w:val="320"/>
        </w:trPr>
        <w:tc>
          <w:tcPr>
            <w:tcW w:w="2279" w:type="dxa"/>
            <w:noWrap/>
            <w:hideMark/>
          </w:tcPr>
          <w:p w14:paraId="597BDC47"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Metaller/Metaloidler</w:t>
            </w:r>
          </w:p>
        </w:tc>
        <w:tc>
          <w:tcPr>
            <w:tcW w:w="3197" w:type="dxa"/>
            <w:vMerge/>
            <w:noWrap/>
            <w:hideMark/>
          </w:tcPr>
          <w:p w14:paraId="7FBE77DD"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vMerge w:val="restart"/>
            <w:noWrap/>
            <w:hideMark/>
          </w:tcPr>
          <w:p w14:paraId="490964F4"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Çeşitli EN standartları mevcut (örn. EN ISO 11885, EN ISO 15586, EN ISO 17294-2)</w:t>
            </w:r>
          </w:p>
          <w:p w14:paraId="0872AE4D" w14:textId="77777777" w:rsidR="0007690F" w:rsidRPr="0051382C" w:rsidRDefault="0007690F" w:rsidP="00A202FD">
            <w:pPr>
              <w:widowControl w:val="0"/>
              <w:spacing w:after="240" w:line="276" w:lineRule="auto"/>
              <w:ind w:firstLine="1"/>
              <w:contextualSpacing/>
              <w:jc w:val="both"/>
              <w:rPr>
                <w:b/>
                <w:bCs/>
                <w:sz w:val="22"/>
                <w:szCs w:val="22"/>
              </w:rPr>
            </w:pPr>
          </w:p>
        </w:tc>
        <w:tc>
          <w:tcPr>
            <w:tcW w:w="870" w:type="dxa"/>
            <w:vMerge/>
            <w:noWrap/>
            <w:hideMark/>
          </w:tcPr>
          <w:p w14:paraId="3295624A"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27E89211"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1C52D80C" w14:textId="77777777" w:rsidTr="00CB4CD4">
        <w:trPr>
          <w:trHeight w:val="320"/>
        </w:trPr>
        <w:tc>
          <w:tcPr>
            <w:tcW w:w="2279" w:type="dxa"/>
            <w:noWrap/>
            <w:hideMark/>
          </w:tcPr>
          <w:p w14:paraId="2DCF966A" w14:textId="2518A973"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Arsenik (As)</w:t>
            </w:r>
            <w:r w:rsidRPr="009077F5">
              <w:rPr>
                <w:b/>
                <w:bCs/>
                <w:sz w:val="22"/>
                <w:szCs w:val="22"/>
                <w:vertAlign w:val="superscript"/>
              </w:rPr>
              <w:t xml:space="preserve"> (</w:t>
            </w:r>
            <w:r w:rsidR="0033114E" w:rsidRPr="009077F5">
              <w:rPr>
                <w:b/>
                <w:bCs/>
                <w:sz w:val="22"/>
                <w:szCs w:val="22"/>
                <w:vertAlign w:val="superscript"/>
              </w:rPr>
              <w:t>2</w:t>
            </w:r>
            <w:r w:rsidRPr="009077F5">
              <w:rPr>
                <w:b/>
                <w:bCs/>
                <w:sz w:val="22"/>
                <w:szCs w:val="22"/>
                <w:vertAlign w:val="superscript"/>
              </w:rPr>
              <w:t>)</w:t>
            </w:r>
          </w:p>
        </w:tc>
        <w:tc>
          <w:tcPr>
            <w:tcW w:w="3197" w:type="dxa"/>
            <w:vMerge/>
            <w:noWrap/>
            <w:hideMark/>
          </w:tcPr>
          <w:p w14:paraId="0FCA2D16"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vMerge/>
            <w:noWrap/>
            <w:hideMark/>
          </w:tcPr>
          <w:p w14:paraId="5A3070E5" w14:textId="77777777" w:rsidR="0007690F" w:rsidRPr="0051382C" w:rsidRDefault="0007690F" w:rsidP="00A202FD">
            <w:pPr>
              <w:widowControl w:val="0"/>
              <w:spacing w:after="240" w:line="276" w:lineRule="auto"/>
              <w:ind w:firstLine="1"/>
              <w:contextualSpacing/>
              <w:jc w:val="both"/>
              <w:rPr>
                <w:b/>
                <w:bCs/>
                <w:sz w:val="22"/>
                <w:szCs w:val="22"/>
              </w:rPr>
            </w:pPr>
          </w:p>
        </w:tc>
        <w:tc>
          <w:tcPr>
            <w:tcW w:w="870" w:type="dxa"/>
            <w:vMerge/>
            <w:noWrap/>
            <w:hideMark/>
          </w:tcPr>
          <w:p w14:paraId="0F67DB1C"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1E4D7373"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754F2A40" w14:textId="77777777" w:rsidTr="00CB4CD4">
        <w:trPr>
          <w:trHeight w:val="320"/>
        </w:trPr>
        <w:tc>
          <w:tcPr>
            <w:tcW w:w="2279" w:type="dxa"/>
            <w:noWrap/>
            <w:hideMark/>
          </w:tcPr>
          <w:p w14:paraId="313712F6" w14:textId="3E295CA5"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Kadmiyum (Cd</w:t>
            </w:r>
            <w:r w:rsidRPr="009077F5">
              <w:rPr>
                <w:b/>
                <w:bCs/>
                <w:sz w:val="22"/>
                <w:szCs w:val="22"/>
                <w:vertAlign w:val="superscript"/>
              </w:rPr>
              <w:t>) (</w:t>
            </w:r>
            <w:r w:rsidR="0033114E" w:rsidRPr="009077F5">
              <w:rPr>
                <w:b/>
                <w:bCs/>
                <w:sz w:val="22"/>
                <w:szCs w:val="22"/>
                <w:vertAlign w:val="superscript"/>
              </w:rPr>
              <w:t>2</w:t>
            </w:r>
            <w:r w:rsidRPr="0051382C">
              <w:rPr>
                <w:b/>
                <w:bCs/>
                <w:sz w:val="22"/>
                <w:szCs w:val="22"/>
              </w:rPr>
              <w:t>)</w:t>
            </w:r>
          </w:p>
        </w:tc>
        <w:tc>
          <w:tcPr>
            <w:tcW w:w="3197" w:type="dxa"/>
            <w:vMerge/>
            <w:noWrap/>
            <w:hideMark/>
          </w:tcPr>
          <w:p w14:paraId="28DF2F9A"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vMerge/>
            <w:noWrap/>
            <w:hideMark/>
          </w:tcPr>
          <w:p w14:paraId="1531DE52" w14:textId="77777777" w:rsidR="0007690F" w:rsidRPr="0051382C" w:rsidRDefault="0007690F" w:rsidP="00A202FD">
            <w:pPr>
              <w:widowControl w:val="0"/>
              <w:spacing w:after="240" w:line="276" w:lineRule="auto"/>
              <w:ind w:firstLine="1"/>
              <w:contextualSpacing/>
              <w:jc w:val="both"/>
              <w:rPr>
                <w:b/>
                <w:bCs/>
                <w:sz w:val="22"/>
                <w:szCs w:val="22"/>
              </w:rPr>
            </w:pPr>
          </w:p>
        </w:tc>
        <w:tc>
          <w:tcPr>
            <w:tcW w:w="870" w:type="dxa"/>
            <w:vMerge/>
            <w:noWrap/>
            <w:hideMark/>
          </w:tcPr>
          <w:p w14:paraId="352AAC2F"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411C49FC"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335CCBB4" w14:textId="77777777" w:rsidTr="00CB4CD4">
        <w:trPr>
          <w:trHeight w:val="320"/>
        </w:trPr>
        <w:tc>
          <w:tcPr>
            <w:tcW w:w="2279" w:type="dxa"/>
            <w:noWrap/>
            <w:hideMark/>
          </w:tcPr>
          <w:p w14:paraId="7914D40E" w14:textId="53D404CD"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Krom (Cr) </w:t>
            </w:r>
            <w:r w:rsidRPr="009077F5">
              <w:rPr>
                <w:b/>
                <w:bCs/>
                <w:sz w:val="22"/>
                <w:szCs w:val="22"/>
                <w:vertAlign w:val="superscript"/>
              </w:rPr>
              <w:t>(</w:t>
            </w:r>
            <w:r w:rsidR="0033114E" w:rsidRPr="009077F5">
              <w:rPr>
                <w:b/>
                <w:bCs/>
                <w:sz w:val="22"/>
                <w:szCs w:val="22"/>
                <w:vertAlign w:val="superscript"/>
              </w:rPr>
              <w:t>2</w:t>
            </w:r>
            <w:r w:rsidRPr="009077F5">
              <w:rPr>
                <w:b/>
                <w:bCs/>
                <w:sz w:val="22"/>
                <w:szCs w:val="22"/>
                <w:vertAlign w:val="superscript"/>
              </w:rPr>
              <w:t>)</w:t>
            </w:r>
          </w:p>
        </w:tc>
        <w:tc>
          <w:tcPr>
            <w:tcW w:w="3197" w:type="dxa"/>
            <w:vMerge/>
            <w:noWrap/>
            <w:hideMark/>
          </w:tcPr>
          <w:p w14:paraId="2F181233"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vMerge/>
            <w:noWrap/>
            <w:hideMark/>
          </w:tcPr>
          <w:p w14:paraId="497F04C5" w14:textId="77777777" w:rsidR="0007690F" w:rsidRPr="0051382C" w:rsidRDefault="0007690F" w:rsidP="00A202FD">
            <w:pPr>
              <w:widowControl w:val="0"/>
              <w:spacing w:after="240" w:line="276" w:lineRule="auto"/>
              <w:ind w:firstLine="1"/>
              <w:contextualSpacing/>
              <w:jc w:val="both"/>
              <w:rPr>
                <w:b/>
                <w:bCs/>
                <w:sz w:val="22"/>
                <w:szCs w:val="22"/>
              </w:rPr>
            </w:pPr>
          </w:p>
        </w:tc>
        <w:tc>
          <w:tcPr>
            <w:tcW w:w="870" w:type="dxa"/>
            <w:vMerge/>
            <w:noWrap/>
            <w:hideMark/>
          </w:tcPr>
          <w:p w14:paraId="28E6D608"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3AADA9ED"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5570E3C1" w14:textId="77777777" w:rsidTr="00CB4CD4">
        <w:trPr>
          <w:trHeight w:val="320"/>
        </w:trPr>
        <w:tc>
          <w:tcPr>
            <w:tcW w:w="2279" w:type="dxa"/>
            <w:noWrap/>
            <w:hideMark/>
          </w:tcPr>
          <w:p w14:paraId="09FF93BB" w14:textId="07C904AB"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Bakır (Cu) </w:t>
            </w:r>
            <w:r w:rsidRPr="009077F5">
              <w:rPr>
                <w:b/>
                <w:bCs/>
                <w:sz w:val="22"/>
                <w:szCs w:val="22"/>
                <w:vertAlign w:val="superscript"/>
              </w:rPr>
              <w:t>(</w:t>
            </w:r>
            <w:r w:rsidR="0033114E" w:rsidRPr="009077F5">
              <w:rPr>
                <w:b/>
                <w:bCs/>
                <w:sz w:val="22"/>
                <w:szCs w:val="22"/>
                <w:vertAlign w:val="superscript"/>
              </w:rPr>
              <w:t>2</w:t>
            </w:r>
            <w:r w:rsidRPr="009077F5">
              <w:rPr>
                <w:b/>
                <w:bCs/>
                <w:sz w:val="22"/>
                <w:szCs w:val="22"/>
                <w:vertAlign w:val="superscript"/>
              </w:rPr>
              <w:t>)</w:t>
            </w:r>
          </w:p>
        </w:tc>
        <w:tc>
          <w:tcPr>
            <w:tcW w:w="3197" w:type="dxa"/>
            <w:vMerge/>
            <w:noWrap/>
            <w:hideMark/>
          </w:tcPr>
          <w:p w14:paraId="2CD33085"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vMerge/>
            <w:noWrap/>
            <w:hideMark/>
          </w:tcPr>
          <w:p w14:paraId="3CF93203" w14:textId="77777777" w:rsidR="0007690F" w:rsidRPr="0051382C" w:rsidRDefault="0007690F" w:rsidP="00A202FD">
            <w:pPr>
              <w:widowControl w:val="0"/>
              <w:spacing w:after="240" w:line="276" w:lineRule="auto"/>
              <w:ind w:firstLine="1"/>
              <w:contextualSpacing/>
              <w:jc w:val="both"/>
              <w:rPr>
                <w:b/>
                <w:bCs/>
                <w:sz w:val="22"/>
                <w:szCs w:val="22"/>
              </w:rPr>
            </w:pPr>
          </w:p>
        </w:tc>
        <w:tc>
          <w:tcPr>
            <w:tcW w:w="870" w:type="dxa"/>
            <w:vMerge/>
            <w:noWrap/>
            <w:hideMark/>
          </w:tcPr>
          <w:p w14:paraId="3F0072CF"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0F414140"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4EBD6B1D" w14:textId="77777777" w:rsidTr="00CB4CD4">
        <w:trPr>
          <w:trHeight w:val="320"/>
        </w:trPr>
        <w:tc>
          <w:tcPr>
            <w:tcW w:w="2279" w:type="dxa"/>
            <w:noWrap/>
            <w:hideMark/>
          </w:tcPr>
          <w:p w14:paraId="66DE4318" w14:textId="45C4BF94"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Demir (Fe)</w:t>
            </w:r>
            <w:r w:rsidRPr="009077F5">
              <w:rPr>
                <w:b/>
                <w:bCs/>
                <w:sz w:val="22"/>
                <w:szCs w:val="22"/>
                <w:vertAlign w:val="superscript"/>
              </w:rPr>
              <w:t xml:space="preserve"> (</w:t>
            </w:r>
            <w:r w:rsidR="0033114E" w:rsidRPr="009077F5">
              <w:rPr>
                <w:b/>
                <w:bCs/>
                <w:sz w:val="22"/>
                <w:szCs w:val="22"/>
                <w:vertAlign w:val="superscript"/>
              </w:rPr>
              <w:t>2</w:t>
            </w:r>
            <w:r w:rsidRPr="009077F5">
              <w:rPr>
                <w:b/>
                <w:bCs/>
                <w:sz w:val="22"/>
                <w:szCs w:val="22"/>
                <w:vertAlign w:val="superscript"/>
              </w:rPr>
              <w:t>)</w:t>
            </w:r>
          </w:p>
        </w:tc>
        <w:tc>
          <w:tcPr>
            <w:tcW w:w="3197" w:type="dxa"/>
            <w:vMerge/>
            <w:noWrap/>
            <w:hideMark/>
          </w:tcPr>
          <w:p w14:paraId="77C0E3B4"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vMerge/>
            <w:noWrap/>
            <w:hideMark/>
          </w:tcPr>
          <w:p w14:paraId="3DEC777D" w14:textId="77777777" w:rsidR="0007690F" w:rsidRPr="0051382C" w:rsidRDefault="0007690F" w:rsidP="00A202FD">
            <w:pPr>
              <w:widowControl w:val="0"/>
              <w:spacing w:after="240" w:line="276" w:lineRule="auto"/>
              <w:ind w:firstLine="1"/>
              <w:contextualSpacing/>
              <w:jc w:val="both"/>
              <w:rPr>
                <w:b/>
                <w:bCs/>
                <w:sz w:val="22"/>
                <w:szCs w:val="22"/>
              </w:rPr>
            </w:pPr>
          </w:p>
        </w:tc>
        <w:tc>
          <w:tcPr>
            <w:tcW w:w="870" w:type="dxa"/>
            <w:vMerge/>
            <w:noWrap/>
            <w:hideMark/>
          </w:tcPr>
          <w:p w14:paraId="33B0BD12"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1E521A08"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45DDA428" w14:textId="77777777" w:rsidTr="00CB4CD4">
        <w:trPr>
          <w:trHeight w:val="320"/>
        </w:trPr>
        <w:tc>
          <w:tcPr>
            <w:tcW w:w="2279" w:type="dxa"/>
            <w:noWrap/>
            <w:hideMark/>
          </w:tcPr>
          <w:p w14:paraId="53C318F1" w14:textId="27F67818"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Kurşun (Pb</w:t>
            </w:r>
            <w:r w:rsidRPr="009077F5">
              <w:rPr>
                <w:b/>
                <w:bCs/>
                <w:sz w:val="22"/>
                <w:szCs w:val="22"/>
                <w:vertAlign w:val="superscript"/>
              </w:rPr>
              <w:t>) (</w:t>
            </w:r>
            <w:r w:rsidR="0033114E" w:rsidRPr="009077F5">
              <w:rPr>
                <w:b/>
                <w:bCs/>
                <w:sz w:val="22"/>
                <w:szCs w:val="22"/>
                <w:vertAlign w:val="superscript"/>
              </w:rPr>
              <w:t>2</w:t>
            </w:r>
            <w:r w:rsidRPr="009077F5">
              <w:rPr>
                <w:b/>
                <w:bCs/>
                <w:sz w:val="22"/>
                <w:szCs w:val="22"/>
                <w:vertAlign w:val="superscript"/>
              </w:rPr>
              <w:t>)</w:t>
            </w:r>
          </w:p>
        </w:tc>
        <w:tc>
          <w:tcPr>
            <w:tcW w:w="3197" w:type="dxa"/>
            <w:vMerge/>
            <w:noWrap/>
            <w:hideMark/>
          </w:tcPr>
          <w:p w14:paraId="7EA0B47B"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vMerge/>
            <w:noWrap/>
            <w:hideMark/>
          </w:tcPr>
          <w:p w14:paraId="7638D834" w14:textId="77777777" w:rsidR="0007690F" w:rsidRPr="0051382C" w:rsidRDefault="0007690F" w:rsidP="00A202FD">
            <w:pPr>
              <w:widowControl w:val="0"/>
              <w:spacing w:after="240" w:line="276" w:lineRule="auto"/>
              <w:ind w:firstLine="1"/>
              <w:contextualSpacing/>
              <w:jc w:val="both"/>
              <w:rPr>
                <w:b/>
                <w:bCs/>
                <w:sz w:val="22"/>
                <w:szCs w:val="22"/>
              </w:rPr>
            </w:pPr>
          </w:p>
        </w:tc>
        <w:tc>
          <w:tcPr>
            <w:tcW w:w="870" w:type="dxa"/>
            <w:vMerge/>
            <w:noWrap/>
            <w:hideMark/>
          </w:tcPr>
          <w:p w14:paraId="7DCB371A"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780DD628"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1B4F5DDB" w14:textId="77777777" w:rsidTr="00CB4CD4">
        <w:trPr>
          <w:trHeight w:val="320"/>
        </w:trPr>
        <w:tc>
          <w:tcPr>
            <w:tcW w:w="2279" w:type="dxa"/>
            <w:noWrap/>
            <w:hideMark/>
          </w:tcPr>
          <w:p w14:paraId="62EF7476" w14:textId="3569F6B4"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Nikel (Ni) </w:t>
            </w:r>
            <w:r w:rsidRPr="009077F5">
              <w:rPr>
                <w:b/>
                <w:bCs/>
                <w:sz w:val="22"/>
                <w:szCs w:val="22"/>
                <w:vertAlign w:val="superscript"/>
              </w:rPr>
              <w:t>(</w:t>
            </w:r>
            <w:r w:rsidR="0033114E" w:rsidRPr="009077F5">
              <w:rPr>
                <w:b/>
                <w:bCs/>
                <w:sz w:val="22"/>
                <w:szCs w:val="22"/>
                <w:vertAlign w:val="superscript"/>
              </w:rPr>
              <w:t>2</w:t>
            </w:r>
            <w:r w:rsidRPr="009077F5">
              <w:rPr>
                <w:b/>
                <w:bCs/>
                <w:sz w:val="22"/>
                <w:szCs w:val="22"/>
                <w:vertAlign w:val="superscript"/>
              </w:rPr>
              <w:t>)</w:t>
            </w:r>
          </w:p>
        </w:tc>
        <w:tc>
          <w:tcPr>
            <w:tcW w:w="3197" w:type="dxa"/>
            <w:vMerge/>
            <w:noWrap/>
            <w:hideMark/>
          </w:tcPr>
          <w:p w14:paraId="1753BC38"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vMerge/>
            <w:noWrap/>
            <w:hideMark/>
          </w:tcPr>
          <w:p w14:paraId="026872A9" w14:textId="77777777" w:rsidR="0007690F" w:rsidRPr="0051382C" w:rsidRDefault="0007690F" w:rsidP="00A202FD">
            <w:pPr>
              <w:widowControl w:val="0"/>
              <w:spacing w:after="240" w:line="276" w:lineRule="auto"/>
              <w:ind w:firstLine="1"/>
              <w:contextualSpacing/>
              <w:jc w:val="both"/>
              <w:rPr>
                <w:b/>
                <w:bCs/>
                <w:sz w:val="22"/>
                <w:szCs w:val="22"/>
              </w:rPr>
            </w:pPr>
          </w:p>
        </w:tc>
        <w:tc>
          <w:tcPr>
            <w:tcW w:w="870" w:type="dxa"/>
            <w:vMerge/>
            <w:noWrap/>
            <w:hideMark/>
          </w:tcPr>
          <w:p w14:paraId="7C03675A"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29A0DD1D"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15C457C4" w14:textId="77777777" w:rsidTr="00CB4CD4">
        <w:trPr>
          <w:trHeight w:val="320"/>
        </w:trPr>
        <w:tc>
          <w:tcPr>
            <w:tcW w:w="2279" w:type="dxa"/>
            <w:noWrap/>
            <w:hideMark/>
          </w:tcPr>
          <w:p w14:paraId="4ED05680" w14:textId="3D2A23E5"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Çinko (Zn) </w:t>
            </w:r>
            <w:r w:rsidRPr="009077F5">
              <w:rPr>
                <w:b/>
                <w:bCs/>
                <w:sz w:val="22"/>
                <w:szCs w:val="22"/>
                <w:vertAlign w:val="superscript"/>
              </w:rPr>
              <w:t>(</w:t>
            </w:r>
            <w:r w:rsidR="0033114E" w:rsidRPr="009077F5">
              <w:rPr>
                <w:b/>
                <w:bCs/>
                <w:sz w:val="22"/>
                <w:szCs w:val="22"/>
                <w:vertAlign w:val="superscript"/>
              </w:rPr>
              <w:t>2</w:t>
            </w:r>
            <w:r w:rsidRPr="009077F5">
              <w:rPr>
                <w:b/>
                <w:bCs/>
                <w:sz w:val="22"/>
                <w:szCs w:val="22"/>
                <w:vertAlign w:val="superscript"/>
              </w:rPr>
              <w:t>)</w:t>
            </w:r>
          </w:p>
        </w:tc>
        <w:tc>
          <w:tcPr>
            <w:tcW w:w="3197" w:type="dxa"/>
            <w:vMerge/>
            <w:noWrap/>
            <w:hideMark/>
          </w:tcPr>
          <w:p w14:paraId="29935254"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vMerge/>
            <w:noWrap/>
            <w:hideMark/>
          </w:tcPr>
          <w:p w14:paraId="13CA3497" w14:textId="77777777" w:rsidR="0007690F" w:rsidRPr="0051382C" w:rsidRDefault="0007690F" w:rsidP="00A202FD">
            <w:pPr>
              <w:widowControl w:val="0"/>
              <w:spacing w:after="240" w:line="276" w:lineRule="auto"/>
              <w:ind w:firstLine="1"/>
              <w:contextualSpacing/>
              <w:jc w:val="both"/>
              <w:rPr>
                <w:b/>
                <w:bCs/>
                <w:sz w:val="22"/>
                <w:szCs w:val="22"/>
              </w:rPr>
            </w:pPr>
          </w:p>
        </w:tc>
        <w:tc>
          <w:tcPr>
            <w:tcW w:w="870" w:type="dxa"/>
            <w:vMerge/>
            <w:noWrap/>
            <w:hideMark/>
          </w:tcPr>
          <w:p w14:paraId="4F5030B0"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5268B3BE"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2A8F5A81" w14:textId="77777777" w:rsidTr="00CB4CD4">
        <w:trPr>
          <w:trHeight w:val="320"/>
        </w:trPr>
        <w:tc>
          <w:tcPr>
            <w:tcW w:w="2279" w:type="dxa"/>
            <w:noWrap/>
            <w:hideMark/>
          </w:tcPr>
          <w:p w14:paraId="2867C894" w14:textId="14AFCD21"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Cıva (Hg) </w:t>
            </w:r>
            <w:r w:rsidRPr="009077F5">
              <w:rPr>
                <w:b/>
                <w:bCs/>
                <w:sz w:val="22"/>
                <w:szCs w:val="22"/>
                <w:vertAlign w:val="superscript"/>
              </w:rPr>
              <w:t>(</w:t>
            </w:r>
            <w:r w:rsidR="0033114E" w:rsidRPr="009077F5">
              <w:rPr>
                <w:b/>
                <w:bCs/>
                <w:sz w:val="22"/>
                <w:szCs w:val="22"/>
                <w:vertAlign w:val="superscript"/>
              </w:rPr>
              <w:t>2</w:t>
            </w:r>
            <w:r w:rsidRPr="009077F5">
              <w:rPr>
                <w:b/>
                <w:bCs/>
                <w:sz w:val="22"/>
                <w:szCs w:val="22"/>
                <w:vertAlign w:val="superscript"/>
              </w:rPr>
              <w:t>)</w:t>
            </w:r>
          </w:p>
        </w:tc>
        <w:tc>
          <w:tcPr>
            <w:tcW w:w="3197" w:type="dxa"/>
            <w:vMerge/>
            <w:noWrap/>
            <w:hideMark/>
          </w:tcPr>
          <w:p w14:paraId="3086AF75"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noWrap/>
            <w:hideMark/>
          </w:tcPr>
          <w:p w14:paraId="3A05DF3D"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Çeşitli EN standartları mevcut (örn. EN ISO 12846, EN ISO 17852)</w:t>
            </w:r>
          </w:p>
        </w:tc>
        <w:tc>
          <w:tcPr>
            <w:tcW w:w="870" w:type="dxa"/>
            <w:vMerge/>
            <w:noWrap/>
            <w:hideMark/>
          </w:tcPr>
          <w:p w14:paraId="0E5208CC"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7C282138"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2799034F" w14:textId="77777777" w:rsidTr="00CB4CD4">
        <w:trPr>
          <w:trHeight w:val="320"/>
        </w:trPr>
        <w:tc>
          <w:tcPr>
            <w:tcW w:w="2279" w:type="dxa"/>
            <w:noWrap/>
            <w:hideMark/>
          </w:tcPr>
          <w:p w14:paraId="588FD5C3" w14:textId="375D22A9"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Fenol İndeksi </w:t>
            </w:r>
            <w:r w:rsidRPr="009077F5">
              <w:rPr>
                <w:b/>
                <w:bCs/>
                <w:sz w:val="22"/>
                <w:szCs w:val="22"/>
                <w:vertAlign w:val="superscript"/>
              </w:rPr>
              <w:t>(</w:t>
            </w:r>
            <w:r w:rsidR="0033114E" w:rsidRPr="009077F5">
              <w:rPr>
                <w:b/>
                <w:bCs/>
                <w:sz w:val="22"/>
                <w:szCs w:val="22"/>
                <w:vertAlign w:val="superscript"/>
              </w:rPr>
              <w:t>5</w:t>
            </w:r>
            <w:r w:rsidRPr="009077F5">
              <w:rPr>
                <w:b/>
                <w:bCs/>
                <w:sz w:val="22"/>
                <w:szCs w:val="22"/>
                <w:vertAlign w:val="superscript"/>
              </w:rPr>
              <w:t>)</w:t>
            </w:r>
          </w:p>
        </w:tc>
        <w:tc>
          <w:tcPr>
            <w:tcW w:w="3197" w:type="dxa"/>
            <w:vMerge/>
            <w:noWrap/>
            <w:hideMark/>
          </w:tcPr>
          <w:p w14:paraId="21087DF2"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noWrap/>
            <w:hideMark/>
          </w:tcPr>
          <w:p w14:paraId="5DD47A2A"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EN ISO 14402</w:t>
            </w:r>
          </w:p>
        </w:tc>
        <w:tc>
          <w:tcPr>
            <w:tcW w:w="870" w:type="dxa"/>
            <w:vMerge/>
            <w:noWrap/>
            <w:hideMark/>
          </w:tcPr>
          <w:p w14:paraId="3B5F8183"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59F859C7"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7AB3890B" w14:textId="77777777" w:rsidTr="00CB4CD4">
        <w:trPr>
          <w:trHeight w:val="320"/>
        </w:trPr>
        <w:tc>
          <w:tcPr>
            <w:tcW w:w="2279" w:type="dxa"/>
            <w:noWrap/>
            <w:hideMark/>
          </w:tcPr>
          <w:p w14:paraId="3420A346" w14:textId="0B0785AA"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Toplam Azot (TN) </w:t>
            </w:r>
            <w:r w:rsidRPr="009077F5">
              <w:rPr>
                <w:b/>
                <w:bCs/>
                <w:sz w:val="22"/>
                <w:szCs w:val="22"/>
                <w:vertAlign w:val="superscript"/>
              </w:rPr>
              <w:t>(</w:t>
            </w:r>
            <w:r w:rsidR="0033114E" w:rsidRPr="009077F5">
              <w:rPr>
                <w:b/>
                <w:bCs/>
                <w:sz w:val="22"/>
                <w:szCs w:val="22"/>
                <w:vertAlign w:val="superscript"/>
              </w:rPr>
              <w:t>3</w:t>
            </w:r>
            <w:r w:rsidRPr="009077F5">
              <w:rPr>
                <w:b/>
                <w:bCs/>
                <w:sz w:val="22"/>
                <w:szCs w:val="22"/>
                <w:vertAlign w:val="superscript"/>
              </w:rPr>
              <w:t>)</w:t>
            </w:r>
          </w:p>
        </w:tc>
        <w:tc>
          <w:tcPr>
            <w:tcW w:w="3197" w:type="dxa"/>
            <w:vMerge/>
            <w:noWrap/>
            <w:hideMark/>
          </w:tcPr>
          <w:p w14:paraId="63248966"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noWrap/>
            <w:hideMark/>
          </w:tcPr>
          <w:p w14:paraId="0BB7E726"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Çeşitli EN standartları mevcut (örn. EN 12260, EN ISO 11905-1)</w:t>
            </w:r>
          </w:p>
        </w:tc>
        <w:tc>
          <w:tcPr>
            <w:tcW w:w="870" w:type="dxa"/>
            <w:vMerge/>
            <w:noWrap/>
            <w:hideMark/>
          </w:tcPr>
          <w:p w14:paraId="292B4F29"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7D888DC4"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2908E7EC" w14:textId="77777777" w:rsidTr="00CB4CD4">
        <w:trPr>
          <w:trHeight w:val="320"/>
        </w:trPr>
        <w:tc>
          <w:tcPr>
            <w:tcW w:w="2279" w:type="dxa"/>
            <w:noWrap/>
            <w:hideMark/>
          </w:tcPr>
          <w:p w14:paraId="549D5A1D" w14:textId="13925748"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Toplam Organik Karbon (TOC) </w:t>
            </w:r>
            <w:r w:rsidRPr="009077F5">
              <w:rPr>
                <w:b/>
                <w:bCs/>
                <w:sz w:val="22"/>
                <w:szCs w:val="22"/>
                <w:vertAlign w:val="superscript"/>
              </w:rPr>
              <w:t>(</w:t>
            </w:r>
            <w:r w:rsidR="0033114E" w:rsidRPr="009077F5">
              <w:rPr>
                <w:b/>
                <w:bCs/>
                <w:sz w:val="22"/>
                <w:szCs w:val="22"/>
                <w:vertAlign w:val="superscript"/>
              </w:rPr>
              <w:t>3</w:t>
            </w:r>
            <w:r w:rsidRPr="009077F5">
              <w:rPr>
                <w:b/>
                <w:bCs/>
                <w:sz w:val="22"/>
                <w:szCs w:val="22"/>
                <w:vertAlign w:val="superscript"/>
              </w:rPr>
              <w:t>) (</w:t>
            </w:r>
            <w:r w:rsidR="0033114E" w:rsidRPr="009077F5">
              <w:rPr>
                <w:b/>
                <w:bCs/>
                <w:sz w:val="22"/>
                <w:szCs w:val="22"/>
                <w:vertAlign w:val="superscript"/>
              </w:rPr>
              <w:t>4</w:t>
            </w:r>
            <w:r w:rsidRPr="009077F5">
              <w:rPr>
                <w:b/>
                <w:bCs/>
                <w:sz w:val="22"/>
                <w:szCs w:val="22"/>
                <w:vertAlign w:val="superscript"/>
              </w:rPr>
              <w:t>)</w:t>
            </w:r>
          </w:p>
        </w:tc>
        <w:tc>
          <w:tcPr>
            <w:tcW w:w="3197" w:type="dxa"/>
            <w:vMerge/>
            <w:noWrap/>
            <w:hideMark/>
          </w:tcPr>
          <w:p w14:paraId="3396F2C3"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noWrap/>
            <w:hideMark/>
          </w:tcPr>
          <w:p w14:paraId="40EBEFB7"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EN 1484</w:t>
            </w:r>
          </w:p>
        </w:tc>
        <w:tc>
          <w:tcPr>
            <w:tcW w:w="870" w:type="dxa"/>
            <w:vMerge/>
            <w:noWrap/>
            <w:hideMark/>
          </w:tcPr>
          <w:p w14:paraId="36582742"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6EE6D867" w14:textId="77777777" w:rsidR="0007690F" w:rsidRPr="0051382C" w:rsidRDefault="0007690F" w:rsidP="00A202FD">
            <w:pPr>
              <w:widowControl w:val="0"/>
              <w:spacing w:after="240" w:line="276" w:lineRule="auto"/>
              <w:ind w:firstLine="1"/>
              <w:contextualSpacing/>
              <w:jc w:val="both"/>
              <w:rPr>
                <w:b/>
                <w:bCs/>
                <w:sz w:val="22"/>
                <w:szCs w:val="22"/>
              </w:rPr>
            </w:pPr>
          </w:p>
        </w:tc>
      </w:tr>
      <w:tr w:rsidR="0007690F" w:rsidRPr="0051382C" w14:paraId="28371A60" w14:textId="77777777" w:rsidTr="00CB4CD4">
        <w:trPr>
          <w:trHeight w:val="320"/>
        </w:trPr>
        <w:tc>
          <w:tcPr>
            <w:tcW w:w="2279" w:type="dxa"/>
            <w:noWrap/>
            <w:hideMark/>
          </w:tcPr>
          <w:p w14:paraId="55B60FFD" w14:textId="702B2B83"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 xml:space="preserve">Toplam Askıda Katı Madde (TSS) </w:t>
            </w:r>
            <w:r w:rsidRPr="009077F5">
              <w:rPr>
                <w:b/>
                <w:bCs/>
                <w:sz w:val="22"/>
                <w:szCs w:val="22"/>
                <w:vertAlign w:val="superscript"/>
              </w:rPr>
              <w:t>(</w:t>
            </w:r>
            <w:r w:rsidR="0033114E" w:rsidRPr="009077F5">
              <w:rPr>
                <w:b/>
                <w:bCs/>
                <w:sz w:val="22"/>
                <w:szCs w:val="22"/>
                <w:vertAlign w:val="superscript"/>
              </w:rPr>
              <w:t>3</w:t>
            </w:r>
            <w:r w:rsidRPr="009077F5">
              <w:rPr>
                <w:b/>
                <w:bCs/>
                <w:sz w:val="22"/>
                <w:szCs w:val="22"/>
                <w:vertAlign w:val="superscript"/>
              </w:rPr>
              <w:t>)</w:t>
            </w:r>
          </w:p>
        </w:tc>
        <w:tc>
          <w:tcPr>
            <w:tcW w:w="3197" w:type="dxa"/>
            <w:vMerge/>
            <w:noWrap/>
            <w:hideMark/>
          </w:tcPr>
          <w:p w14:paraId="44905326" w14:textId="77777777" w:rsidR="0007690F" w:rsidRPr="0051382C" w:rsidRDefault="0007690F" w:rsidP="00A202FD">
            <w:pPr>
              <w:widowControl w:val="0"/>
              <w:spacing w:after="240" w:line="276" w:lineRule="auto"/>
              <w:ind w:firstLine="1"/>
              <w:contextualSpacing/>
              <w:jc w:val="both"/>
              <w:rPr>
                <w:b/>
                <w:bCs/>
                <w:sz w:val="22"/>
                <w:szCs w:val="22"/>
              </w:rPr>
            </w:pPr>
          </w:p>
        </w:tc>
        <w:tc>
          <w:tcPr>
            <w:tcW w:w="2025" w:type="dxa"/>
            <w:noWrap/>
            <w:hideMark/>
          </w:tcPr>
          <w:p w14:paraId="6FD2A468" w14:textId="77777777" w:rsidR="0007690F" w:rsidRPr="0051382C" w:rsidRDefault="0007690F" w:rsidP="00A202FD">
            <w:pPr>
              <w:widowControl w:val="0"/>
              <w:spacing w:after="240" w:line="276" w:lineRule="auto"/>
              <w:ind w:firstLine="1"/>
              <w:contextualSpacing/>
              <w:jc w:val="both"/>
              <w:rPr>
                <w:b/>
                <w:bCs/>
                <w:sz w:val="22"/>
                <w:szCs w:val="22"/>
              </w:rPr>
            </w:pPr>
            <w:r w:rsidRPr="0051382C">
              <w:rPr>
                <w:b/>
                <w:bCs/>
                <w:sz w:val="22"/>
                <w:szCs w:val="22"/>
              </w:rPr>
              <w:t>EN 872</w:t>
            </w:r>
          </w:p>
        </w:tc>
        <w:tc>
          <w:tcPr>
            <w:tcW w:w="870" w:type="dxa"/>
            <w:vMerge/>
            <w:noWrap/>
            <w:hideMark/>
          </w:tcPr>
          <w:p w14:paraId="7EFA0E2F" w14:textId="77777777" w:rsidR="0007690F" w:rsidRPr="0051382C" w:rsidRDefault="0007690F" w:rsidP="00A202FD">
            <w:pPr>
              <w:widowControl w:val="0"/>
              <w:spacing w:after="240" w:line="276" w:lineRule="auto"/>
              <w:ind w:firstLine="1"/>
              <w:contextualSpacing/>
              <w:jc w:val="both"/>
              <w:rPr>
                <w:b/>
                <w:bCs/>
                <w:sz w:val="22"/>
                <w:szCs w:val="22"/>
              </w:rPr>
            </w:pPr>
          </w:p>
        </w:tc>
        <w:tc>
          <w:tcPr>
            <w:tcW w:w="939" w:type="dxa"/>
            <w:vMerge/>
            <w:noWrap/>
            <w:hideMark/>
          </w:tcPr>
          <w:p w14:paraId="59FF0A33" w14:textId="77777777" w:rsidR="0007690F" w:rsidRPr="0051382C" w:rsidRDefault="0007690F" w:rsidP="00A202FD">
            <w:pPr>
              <w:widowControl w:val="0"/>
              <w:spacing w:after="240" w:line="276" w:lineRule="auto"/>
              <w:ind w:firstLine="1"/>
              <w:contextualSpacing/>
              <w:jc w:val="both"/>
              <w:rPr>
                <w:b/>
                <w:bCs/>
                <w:sz w:val="22"/>
                <w:szCs w:val="22"/>
              </w:rPr>
            </w:pPr>
          </w:p>
        </w:tc>
      </w:tr>
      <w:tr w:rsidR="00CB4CD4" w:rsidRPr="0051382C" w14:paraId="2835642E" w14:textId="77777777" w:rsidTr="00FE1046">
        <w:trPr>
          <w:trHeight w:val="320"/>
        </w:trPr>
        <w:tc>
          <w:tcPr>
            <w:tcW w:w="9310" w:type="dxa"/>
            <w:gridSpan w:val="5"/>
            <w:noWrap/>
          </w:tcPr>
          <w:p w14:paraId="0452A7C7" w14:textId="051B95BE" w:rsidR="00CB4CD4" w:rsidRPr="009077F5" w:rsidRDefault="00CB4CD4" w:rsidP="00CB4CD4">
            <w:pPr>
              <w:widowControl w:val="0"/>
              <w:spacing w:after="240" w:line="276" w:lineRule="auto"/>
              <w:ind w:firstLine="1"/>
              <w:contextualSpacing/>
              <w:jc w:val="both"/>
              <w:rPr>
                <w:b/>
                <w:bCs/>
                <w:sz w:val="20"/>
                <w:szCs w:val="20"/>
              </w:rPr>
            </w:pPr>
            <w:r w:rsidRPr="009077F5">
              <w:rPr>
                <w:b/>
                <w:bCs/>
                <w:sz w:val="20"/>
                <w:szCs w:val="20"/>
              </w:rPr>
              <w:t>(1)Minimum izleme sıklığından daha seyrek toplu deşarj durumunda, izleme her toplu deşarj için bir kez gerçekleştirilir.</w:t>
            </w:r>
          </w:p>
          <w:p w14:paraId="24B5ADE3" w14:textId="0E4C4735" w:rsidR="00CB4CD4" w:rsidRPr="009077F5" w:rsidRDefault="00CB4CD4" w:rsidP="00CB4CD4">
            <w:pPr>
              <w:widowControl w:val="0"/>
              <w:spacing w:after="240" w:line="276" w:lineRule="auto"/>
              <w:ind w:firstLine="1"/>
              <w:contextualSpacing/>
              <w:jc w:val="both"/>
              <w:rPr>
                <w:b/>
                <w:bCs/>
                <w:sz w:val="20"/>
                <w:szCs w:val="20"/>
              </w:rPr>
            </w:pPr>
            <w:r w:rsidRPr="009077F5">
              <w:rPr>
                <w:b/>
                <w:bCs/>
                <w:sz w:val="20"/>
                <w:szCs w:val="20"/>
              </w:rPr>
              <w:t>(2)İzleme, yalnızca BAT 2'de belirtilen girdi ve çıktı envanterine dayalı olarak atık su akışında ilgili olduğu belirlenen madde/parametre için geçerlidir.</w:t>
            </w:r>
          </w:p>
          <w:p w14:paraId="67C62C39" w14:textId="085A2790" w:rsidR="00CB4CD4" w:rsidRPr="009077F5" w:rsidRDefault="00CB4CD4" w:rsidP="00CB4CD4">
            <w:pPr>
              <w:widowControl w:val="0"/>
              <w:spacing w:after="240" w:line="276" w:lineRule="auto"/>
              <w:ind w:firstLine="1"/>
              <w:contextualSpacing/>
              <w:jc w:val="both"/>
              <w:rPr>
                <w:b/>
                <w:bCs/>
                <w:sz w:val="20"/>
                <w:szCs w:val="20"/>
              </w:rPr>
            </w:pPr>
            <w:r w:rsidRPr="009077F5">
              <w:rPr>
                <w:b/>
                <w:bCs/>
                <w:sz w:val="20"/>
                <w:szCs w:val="20"/>
              </w:rPr>
              <w:t>(3)   Dolaylı deşarj durumunda, aşağı akıştaki atık su arıtma tesisi ilgili kirleticileri azaltmak için uygun şekilde tasarlanmış ve donatılmışsa, minimum izleme sıklığı 6 ayda bir kez azaltılabilir.</w:t>
            </w:r>
          </w:p>
          <w:p w14:paraId="0B5BF34D" w14:textId="43076934" w:rsidR="00CB4CD4" w:rsidRPr="009077F5" w:rsidRDefault="00CB4CD4" w:rsidP="00CB4CD4">
            <w:pPr>
              <w:widowControl w:val="0"/>
              <w:spacing w:after="240" w:line="276" w:lineRule="auto"/>
              <w:ind w:firstLine="1"/>
              <w:contextualSpacing/>
              <w:jc w:val="both"/>
              <w:rPr>
                <w:b/>
                <w:bCs/>
                <w:sz w:val="20"/>
                <w:szCs w:val="20"/>
              </w:rPr>
            </w:pPr>
            <w:r w:rsidRPr="009077F5">
              <w:rPr>
                <w:b/>
                <w:bCs/>
                <w:sz w:val="20"/>
                <w:szCs w:val="20"/>
              </w:rPr>
              <w:t>(4)   COD veya TOC izlenir. TOC izleme, çok toksik bileşiklerin kullanımına dayanmadığı için tercih edilen seçenektir.</w:t>
            </w:r>
          </w:p>
          <w:p w14:paraId="7ABC632B" w14:textId="0E5BC05E" w:rsidR="00CB4CD4" w:rsidRPr="0051382C" w:rsidRDefault="00CB4CD4" w:rsidP="00CB4CD4">
            <w:pPr>
              <w:widowControl w:val="0"/>
              <w:spacing w:after="240" w:line="276" w:lineRule="auto"/>
              <w:ind w:firstLine="1"/>
              <w:contextualSpacing/>
              <w:jc w:val="both"/>
              <w:rPr>
                <w:b/>
                <w:bCs/>
                <w:sz w:val="22"/>
                <w:szCs w:val="22"/>
              </w:rPr>
            </w:pPr>
            <w:r w:rsidRPr="009077F5">
              <w:rPr>
                <w:b/>
                <w:bCs/>
                <w:sz w:val="20"/>
                <w:szCs w:val="20"/>
              </w:rPr>
              <w:t>(5)   İzleme, fenolik bağlama sistemleri kullanıldığında geçerlidir.</w:t>
            </w:r>
          </w:p>
        </w:tc>
      </w:tr>
    </w:tbl>
    <w:p w14:paraId="64FB922A" w14:textId="77777777" w:rsidR="0007690F" w:rsidRPr="00D53A2B" w:rsidRDefault="0007690F" w:rsidP="00A202FD">
      <w:pPr>
        <w:widowControl w:val="0"/>
        <w:spacing w:after="240" w:line="276" w:lineRule="auto"/>
        <w:ind w:firstLine="1"/>
        <w:contextualSpacing/>
        <w:jc w:val="both"/>
        <w:rPr>
          <w:b/>
          <w:bCs/>
        </w:rPr>
      </w:pPr>
    </w:p>
    <w:p w14:paraId="2223456D" w14:textId="77777777" w:rsidR="0007690F" w:rsidRPr="00D53A2B" w:rsidRDefault="0007690F" w:rsidP="00A202FD">
      <w:pPr>
        <w:pStyle w:val="Balk4"/>
        <w:rPr>
          <w:rFonts w:cs="Times New Roman"/>
        </w:rPr>
      </w:pPr>
      <w:r w:rsidRPr="00D53A2B">
        <w:rPr>
          <w:rFonts w:eastAsia="Times New Roman" w:cs="Times New Roman"/>
        </w:rPr>
        <w:t>1.2.1.3. Enerji Verimliliği</w:t>
      </w:r>
    </w:p>
    <w:p w14:paraId="3E2B3D37" w14:textId="77777777" w:rsidR="0007690F" w:rsidRPr="00D53A2B" w:rsidRDefault="0007690F" w:rsidP="00A202FD">
      <w:pPr>
        <w:widowControl w:val="0"/>
        <w:spacing w:after="240" w:line="276" w:lineRule="auto"/>
        <w:ind w:firstLine="1"/>
        <w:contextualSpacing/>
        <w:jc w:val="both"/>
      </w:pPr>
      <w:r w:rsidRPr="00D53A2B">
        <w:rPr>
          <w:b/>
          <w:bCs/>
        </w:rPr>
        <w:t>MET 14</w:t>
      </w:r>
      <w:r w:rsidRPr="00D53A2B">
        <w:t>. Enerji verimliliğini artırmak için, MET, aşağıda verilen tekniklerin (a) ile (f) tümünü ve (g) ile (n) tekniklerinin uygun bir kombinasyonunu kullanılır:</w:t>
      </w:r>
    </w:p>
    <w:tbl>
      <w:tblPr>
        <w:tblStyle w:val="TabloKlavuzu"/>
        <w:tblW w:w="0" w:type="auto"/>
        <w:tblLook w:val="04A0" w:firstRow="1" w:lastRow="0" w:firstColumn="1" w:lastColumn="0" w:noHBand="0" w:noVBand="1"/>
      </w:tblPr>
      <w:tblGrid>
        <w:gridCol w:w="2263"/>
        <w:gridCol w:w="3402"/>
        <w:gridCol w:w="3395"/>
      </w:tblGrid>
      <w:tr w:rsidR="0007690F" w:rsidRPr="00D53A2B" w14:paraId="718CCD44" w14:textId="77777777" w:rsidTr="00A202FD">
        <w:trPr>
          <w:trHeight w:val="320"/>
        </w:trPr>
        <w:tc>
          <w:tcPr>
            <w:tcW w:w="2263" w:type="dxa"/>
            <w:noWrap/>
            <w:hideMark/>
          </w:tcPr>
          <w:p w14:paraId="1BD83FEC"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3403" w:type="dxa"/>
            <w:noWrap/>
            <w:hideMark/>
          </w:tcPr>
          <w:p w14:paraId="52190B83"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3396" w:type="dxa"/>
            <w:noWrap/>
            <w:hideMark/>
          </w:tcPr>
          <w:p w14:paraId="25DB8512" w14:textId="77777777" w:rsidR="0007690F" w:rsidRPr="00D53A2B" w:rsidRDefault="0007690F" w:rsidP="00A202FD">
            <w:pPr>
              <w:widowControl w:val="0"/>
              <w:spacing w:after="240" w:line="276" w:lineRule="auto"/>
              <w:ind w:firstLine="1"/>
              <w:contextualSpacing/>
              <w:jc w:val="both"/>
              <w:rPr>
                <w:b/>
                <w:bCs/>
              </w:rPr>
            </w:pPr>
            <w:r w:rsidRPr="00D53A2B">
              <w:rPr>
                <w:b/>
                <w:bCs/>
              </w:rPr>
              <w:t>Uygulama Alanı</w:t>
            </w:r>
          </w:p>
        </w:tc>
      </w:tr>
      <w:tr w:rsidR="0007690F" w:rsidRPr="00D53A2B" w14:paraId="701B0C9D" w14:textId="77777777" w:rsidTr="00A202FD">
        <w:trPr>
          <w:trHeight w:val="320"/>
        </w:trPr>
        <w:tc>
          <w:tcPr>
            <w:tcW w:w="9062" w:type="dxa"/>
            <w:gridSpan w:val="3"/>
            <w:noWrap/>
          </w:tcPr>
          <w:p w14:paraId="41AB9FB7" w14:textId="77777777" w:rsidR="0007690F" w:rsidRPr="00D53A2B" w:rsidRDefault="0007690F" w:rsidP="00A202FD">
            <w:pPr>
              <w:widowControl w:val="0"/>
              <w:spacing w:after="240" w:line="276" w:lineRule="auto"/>
              <w:ind w:firstLine="1"/>
              <w:contextualSpacing/>
              <w:jc w:val="both"/>
              <w:rPr>
                <w:i/>
                <w:iCs/>
              </w:rPr>
            </w:pPr>
            <w:r w:rsidRPr="00D53A2B">
              <w:rPr>
                <w:i/>
                <w:iCs/>
              </w:rPr>
              <w:t>Tasarım ve işletme</w:t>
            </w:r>
          </w:p>
        </w:tc>
      </w:tr>
      <w:tr w:rsidR="0007690F" w:rsidRPr="00D53A2B" w14:paraId="0A98C0AA" w14:textId="77777777" w:rsidTr="00A202FD">
        <w:trPr>
          <w:trHeight w:val="320"/>
        </w:trPr>
        <w:tc>
          <w:tcPr>
            <w:tcW w:w="2263" w:type="dxa"/>
            <w:noWrap/>
            <w:hideMark/>
          </w:tcPr>
          <w:p w14:paraId="58BFDAC5" w14:textId="77777777" w:rsidR="0007690F" w:rsidRPr="00D53A2B" w:rsidRDefault="0007690F" w:rsidP="00A202FD">
            <w:pPr>
              <w:widowControl w:val="0"/>
              <w:spacing w:after="240" w:line="276" w:lineRule="auto"/>
              <w:ind w:firstLine="1"/>
              <w:contextualSpacing/>
              <w:jc w:val="both"/>
              <w:rPr>
                <w:b/>
                <w:bCs/>
              </w:rPr>
            </w:pPr>
            <w:r w:rsidRPr="00D53A2B">
              <w:rPr>
                <w:b/>
                <w:bCs/>
              </w:rPr>
              <w:t>a. Enerji verimli fırın seçimi</w:t>
            </w:r>
          </w:p>
        </w:tc>
        <w:tc>
          <w:tcPr>
            <w:tcW w:w="3403" w:type="dxa"/>
            <w:noWrap/>
            <w:hideMark/>
          </w:tcPr>
          <w:p w14:paraId="53389B98" w14:textId="77777777" w:rsidR="0007690F" w:rsidRPr="00D53A2B" w:rsidRDefault="0007690F" w:rsidP="00A202FD">
            <w:pPr>
              <w:widowControl w:val="0"/>
              <w:spacing w:after="240" w:line="276" w:lineRule="auto"/>
              <w:ind w:firstLine="1"/>
              <w:contextualSpacing/>
              <w:jc w:val="both"/>
            </w:pPr>
            <w:r w:rsidRPr="00D53A2B">
              <w:t>Fırın tipinin enerji verimliliğini artırma.</w:t>
            </w:r>
          </w:p>
        </w:tc>
        <w:tc>
          <w:tcPr>
            <w:tcW w:w="3396" w:type="dxa"/>
            <w:noWrap/>
            <w:hideMark/>
          </w:tcPr>
          <w:p w14:paraId="3DB602DE" w14:textId="77777777" w:rsidR="0007690F" w:rsidRPr="00D53A2B" w:rsidRDefault="0007690F" w:rsidP="00A202FD">
            <w:pPr>
              <w:widowControl w:val="0"/>
              <w:spacing w:after="240" w:line="276" w:lineRule="auto"/>
              <w:ind w:firstLine="1"/>
              <w:contextualSpacing/>
              <w:jc w:val="both"/>
            </w:pPr>
            <w:r w:rsidRPr="00D53A2B">
              <w:t>Sadece yeni tesisler ve/veya büyük tesis yenilemeleri için uygulanabilir.</w:t>
            </w:r>
          </w:p>
        </w:tc>
      </w:tr>
      <w:tr w:rsidR="0007690F" w:rsidRPr="00D53A2B" w14:paraId="108BD090" w14:textId="77777777" w:rsidTr="00A202FD">
        <w:trPr>
          <w:trHeight w:val="320"/>
        </w:trPr>
        <w:tc>
          <w:tcPr>
            <w:tcW w:w="2263" w:type="dxa"/>
            <w:noWrap/>
            <w:hideMark/>
          </w:tcPr>
          <w:p w14:paraId="2123EE36" w14:textId="77777777" w:rsidR="0007690F" w:rsidRPr="00D53A2B" w:rsidRDefault="0007690F" w:rsidP="00A202FD">
            <w:pPr>
              <w:widowControl w:val="0"/>
              <w:spacing w:after="240" w:line="276" w:lineRule="auto"/>
              <w:ind w:firstLine="1"/>
              <w:contextualSpacing/>
              <w:jc w:val="both"/>
              <w:rPr>
                <w:b/>
                <w:bCs/>
              </w:rPr>
            </w:pPr>
            <w:r w:rsidRPr="00D53A2B">
              <w:rPr>
                <w:b/>
                <w:bCs/>
              </w:rPr>
              <w:t>b. Fırınların termal verimliliğini maksimize etme teknikleri</w:t>
            </w:r>
          </w:p>
        </w:tc>
        <w:tc>
          <w:tcPr>
            <w:tcW w:w="3403" w:type="dxa"/>
            <w:noWrap/>
            <w:hideMark/>
          </w:tcPr>
          <w:p w14:paraId="7A7646C9" w14:textId="77777777" w:rsidR="0007690F" w:rsidRPr="00D53A2B" w:rsidRDefault="0007690F" w:rsidP="00A202FD">
            <w:pPr>
              <w:widowControl w:val="0"/>
              <w:spacing w:after="240" w:line="276" w:lineRule="auto"/>
              <w:ind w:firstLine="1"/>
              <w:contextualSpacing/>
              <w:jc w:val="both"/>
            </w:pPr>
            <w:r w:rsidRPr="00D53A2B">
              <w:t>Fırınların termal verimliliğini artırmaya yönelik teknikler.</w:t>
            </w:r>
          </w:p>
        </w:tc>
        <w:tc>
          <w:tcPr>
            <w:tcW w:w="3396" w:type="dxa"/>
            <w:noWrap/>
            <w:hideMark/>
          </w:tcPr>
          <w:p w14:paraId="26867D90" w14:textId="77777777" w:rsidR="0007690F" w:rsidRPr="00D53A2B" w:rsidRDefault="0007690F" w:rsidP="00A202FD">
            <w:pPr>
              <w:widowControl w:val="0"/>
              <w:spacing w:after="240" w:line="276" w:lineRule="auto"/>
              <w:ind w:firstLine="1"/>
              <w:contextualSpacing/>
              <w:jc w:val="both"/>
            </w:pPr>
            <w:r w:rsidRPr="00D53A2B">
              <w:t>Genelde uygulanabilir.</w:t>
            </w:r>
          </w:p>
        </w:tc>
      </w:tr>
      <w:tr w:rsidR="0007690F" w:rsidRPr="00D53A2B" w14:paraId="3F259E11" w14:textId="77777777" w:rsidTr="00A202FD">
        <w:trPr>
          <w:trHeight w:val="320"/>
        </w:trPr>
        <w:tc>
          <w:tcPr>
            <w:tcW w:w="2263" w:type="dxa"/>
            <w:noWrap/>
            <w:hideMark/>
          </w:tcPr>
          <w:p w14:paraId="5ECCD038" w14:textId="77777777" w:rsidR="0007690F" w:rsidRPr="00D53A2B" w:rsidRDefault="0007690F" w:rsidP="00A202FD">
            <w:pPr>
              <w:widowControl w:val="0"/>
              <w:spacing w:after="240" w:line="276" w:lineRule="auto"/>
              <w:ind w:firstLine="1"/>
              <w:contextualSpacing/>
              <w:jc w:val="both"/>
              <w:rPr>
                <w:b/>
                <w:bCs/>
              </w:rPr>
            </w:pPr>
            <w:r w:rsidRPr="00D53A2B">
              <w:rPr>
                <w:b/>
                <w:bCs/>
              </w:rPr>
              <w:t>c. Fırın otomasyonu ve kontrolü</w:t>
            </w:r>
          </w:p>
        </w:tc>
        <w:tc>
          <w:tcPr>
            <w:tcW w:w="3403" w:type="dxa"/>
            <w:noWrap/>
            <w:hideMark/>
          </w:tcPr>
          <w:p w14:paraId="725CDF1D" w14:textId="77777777" w:rsidR="0007690F" w:rsidRPr="00D53A2B" w:rsidRDefault="0007690F" w:rsidP="00A202FD">
            <w:pPr>
              <w:widowControl w:val="0"/>
              <w:spacing w:after="240" w:line="276" w:lineRule="auto"/>
              <w:ind w:firstLine="1"/>
              <w:contextualSpacing/>
              <w:jc w:val="both"/>
            </w:pPr>
            <w:r w:rsidRPr="00D53A2B">
              <w:t>Fırınların otomasyon ve kontrol sistemleri.</w:t>
            </w:r>
          </w:p>
        </w:tc>
        <w:tc>
          <w:tcPr>
            <w:tcW w:w="3396" w:type="dxa"/>
            <w:noWrap/>
            <w:hideMark/>
          </w:tcPr>
          <w:p w14:paraId="6FE85584" w14:textId="77777777" w:rsidR="0007690F" w:rsidRPr="00D53A2B" w:rsidRDefault="0007690F" w:rsidP="00A202FD">
            <w:pPr>
              <w:widowControl w:val="0"/>
              <w:spacing w:after="240" w:line="276" w:lineRule="auto"/>
              <w:ind w:firstLine="1"/>
              <w:contextualSpacing/>
              <w:jc w:val="both"/>
            </w:pPr>
            <w:r w:rsidRPr="00D53A2B">
              <w:t>Genelde uygulanabilir.</w:t>
            </w:r>
          </w:p>
        </w:tc>
      </w:tr>
      <w:tr w:rsidR="0007690F" w:rsidRPr="00D53A2B" w14:paraId="7C724E04" w14:textId="77777777" w:rsidTr="00A202FD">
        <w:trPr>
          <w:trHeight w:val="320"/>
        </w:trPr>
        <w:tc>
          <w:tcPr>
            <w:tcW w:w="2263" w:type="dxa"/>
            <w:noWrap/>
            <w:hideMark/>
          </w:tcPr>
          <w:p w14:paraId="212DC86C" w14:textId="77777777" w:rsidR="0007690F" w:rsidRPr="00D53A2B" w:rsidRDefault="0007690F" w:rsidP="00A202FD">
            <w:pPr>
              <w:widowControl w:val="0"/>
              <w:spacing w:after="240" w:line="276" w:lineRule="auto"/>
              <w:ind w:firstLine="1"/>
              <w:contextualSpacing/>
              <w:jc w:val="both"/>
              <w:rPr>
                <w:b/>
                <w:bCs/>
              </w:rPr>
            </w:pPr>
            <w:r w:rsidRPr="00D53A2B">
              <w:rPr>
                <w:b/>
                <w:bCs/>
              </w:rPr>
              <w:t>d. Temiz hurda kullanımı</w:t>
            </w:r>
          </w:p>
        </w:tc>
        <w:tc>
          <w:tcPr>
            <w:tcW w:w="3403" w:type="dxa"/>
            <w:noWrap/>
            <w:hideMark/>
          </w:tcPr>
          <w:p w14:paraId="746E8D54" w14:textId="77777777" w:rsidR="0007690F" w:rsidRPr="00D53A2B" w:rsidRDefault="0007690F" w:rsidP="00A202FD">
            <w:pPr>
              <w:widowControl w:val="0"/>
              <w:spacing w:after="240" w:line="276" w:lineRule="auto"/>
              <w:ind w:firstLine="1"/>
              <w:contextualSpacing/>
              <w:jc w:val="both"/>
            </w:pPr>
            <w:r w:rsidRPr="00D53A2B">
              <w:t>Temiz hurda kullanımı.</w:t>
            </w:r>
          </w:p>
        </w:tc>
        <w:tc>
          <w:tcPr>
            <w:tcW w:w="3396" w:type="dxa"/>
            <w:noWrap/>
            <w:hideMark/>
          </w:tcPr>
          <w:p w14:paraId="5030D543" w14:textId="77777777" w:rsidR="0007690F" w:rsidRPr="00D53A2B" w:rsidRDefault="0007690F" w:rsidP="00A202FD">
            <w:pPr>
              <w:widowControl w:val="0"/>
              <w:spacing w:after="240" w:line="276" w:lineRule="auto"/>
              <w:ind w:firstLine="1"/>
              <w:contextualSpacing/>
              <w:jc w:val="both"/>
            </w:pPr>
            <w:r w:rsidRPr="00D53A2B">
              <w:t>Genelde uygulanabilir.</w:t>
            </w:r>
          </w:p>
        </w:tc>
      </w:tr>
      <w:tr w:rsidR="0007690F" w:rsidRPr="00D53A2B" w14:paraId="4E5790CB" w14:textId="77777777" w:rsidTr="00A202FD">
        <w:trPr>
          <w:trHeight w:val="320"/>
        </w:trPr>
        <w:tc>
          <w:tcPr>
            <w:tcW w:w="2263" w:type="dxa"/>
            <w:noWrap/>
            <w:hideMark/>
          </w:tcPr>
          <w:p w14:paraId="4827F81F" w14:textId="77777777" w:rsidR="0007690F" w:rsidRPr="00D53A2B" w:rsidRDefault="0007690F" w:rsidP="00A202FD">
            <w:pPr>
              <w:widowControl w:val="0"/>
              <w:spacing w:after="240" w:line="276" w:lineRule="auto"/>
              <w:ind w:firstLine="1"/>
              <w:contextualSpacing/>
              <w:jc w:val="both"/>
              <w:rPr>
                <w:b/>
                <w:bCs/>
              </w:rPr>
            </w:pPr>
            <w:r w:rsidRPr="00D53A2B">
              <w:rPr>
                <w:b/>
                <w:bCs/>
              </w:rPr>
              <w:t>e. Döküm verimini artırma ve hurda üretimini azaltma</w:t>
            </w:r>
          </w:p>
        </w:tc>
        <w:tc>
          <w:tcPr>
            <w:tcW w:w="3403" w:type="dxa"/>
            <w:noWrap/>
            <w:hideMark/>
          </w:tcPr>
          <w:p w14:paraId="4066A317" w14:textId="77777777" w:rsidR="0007690F" w:rsidRPr="00D53A2B" w:rsidRDefault="0007690F" w:rsidP="00A202FD">
            <w:pPr>
              <w:widowControl w:val="0"/>
              <w:spacing w:after="240" w:line="276" w:lineRule="auto"/>
              <w:ind w:firstLine="1"/>
              <w:contextualSpacing/>
              <w:jc w:val="both"/>
            </w:pPr>
            <w:r w:rsidRPr="00D53A2B">
              <w:t>Döküm verimliliğini artırmak, hurda miktarını azaltmak.</w:t>
            </w:r>
          </w:p>
        </w:tc>
        <w:tc>
          <w:tcPr>
            <w:tcW w:w="3396" w:type="dxa"/>
            <w:noWrap/>
            <w:hideMark/>
          </w:tcPr>
          <w:p w14:paraId="3C8B7D6D" w14:textId="77777777" w:rsidR="0007690F" w:rsidRPr="00D53A2B" w:rsidRDefault="0007690F" w:rsidP="00A202FD">
            <w:pPr>
              <w:widowControl w:val="0"/>
              <w:spacing w:after="240" w:line="276" w:lineRule="auto"/>
              <w:ind w:firstLine="1"/>
              <w:contextualSpacing/>
              <w:jc w:val="both"/>
            </w:pPr>
            <w:r w:rsidRPr="00D53A2B">
              <w:t>Genelde uygulanabilir.</w:t>
            </w:r>
          </w:p>
        </w:tc>
      </w:tr>
      <w:tr w:rsidR="0007690F" w:rsidRPr="00D53A2B" w14:paraId="1068D8B3" w14:textId="77777777" w:rsidTr="00A202FD">
        <w:trPr>
          <w:trHeight w:val="6372"/>
        </w:trPr>
        <w:tc>
          <w:tcPr>
            <w:tcW w:w="2263" w:type="dxa"/>
            <w:noWrap/>
            <w:hideMark/>
          </w:tcPr>
          <w:p w14:paraId="105A9F8E" w14:textId="77777777" w:rsidR="0007690F" w:rsidRPr="00D53A2B" w:rsidRDefault="0007690F" w:rsidP="00A202FD">
            <w:pPr>
              <w:widowControl w:val="0"/>
              <w:spacing w:after="240" w:line="276" w:lineRule="auto"/>
              <w:ind w:firstLine="1"/>
              <w:contextualSpacing/>
              <w:jc w:val="both"/>
              <w:rPr>
                <w:b/>
                <w:bCs/>
              </w:rPr>
            </w:pPr>
            <w:r w:rsidRPr="00D53A2B">
              <w:rPr>
                <w:b/>
                <w:bCs/>
              </w:rPr>
              <w:t>f. Enerji kayıplarını azaltma / lezyon öncesi ısınma uygulamaları iyileştirme</w:t>
            </w:r>
          </w:p>
          <w:p w14:paraId="7FA7BBF6" w14:textId="77777777" w:rsidR="0007690F" w:rsidRPr="00D53A2B" w:rsidRDefault="0007690F" w:rsidP="00A202FD">
            <w:pPr>
              <w:widowControl w:val="0"/>
              <w:spacing w:after="240" w:line="276" w:lineRule="auto"/>
              <w:ind w:firstLine="1"/>
              <w:contextualSpacing/>
              <w:jc w:val="both"/>
            </w:pPr>
            <w:r w:rsidRPr="00D53A2B">
              <w:t> </w:t>
            </w:r>
          </w:p>
          <w:p w14:paraId="60E2C11B" w14:textId="77777777" w:rsidR="0007690F" w:rsidRPr="00D53A2B" w:rsidRDefault="0007690F" w:rsidP="00A202FD">
            <w:pPr>
              <w:widowControl w:val="0"/>
              <w:spacing w:after="240" w:line="276" w:lineRule="auto"/>
              <w:ind w:firstLine="1"/>
              <w:contextualSpacing/>
              <w:jc w:val="both"/>
            </w:pPr>
            <w:r w:rsidRPr="00D53A2B">
              <w:t> </w:t>
            </w:r>
          </w:p>
          <w:p w14:paraId="761702A5" w14:textId="77777777" w:rsidR="0007690F" w:rsidRPr="00D53A2B" w:rsidRDefault="0007690F" w:rsidP="00A202FD">
            <w:pPr>
              <w:widowControl w:val="0"/>
              <w:spacing w:after="240" w:line="276" w:lineRule="auto"/>
              <w:ind w:firstLine="1"/>
              <w:contextualSpacing/>
              <w:jc w:val="both"/>
            </w:pPr>
            <w:r w:rsidRPr="00D53A2B">
              <w:t> </w:t>
            </w:r>
          </w:p>
          <w:p w14:paraId="6BCD6BF9" w14:textId="77777777" w:rsidR="0007690F" w:rsidRPr="00D53A2B" w:rsidRDefault="0007690F" w:rsidP="00A202FD">
            <w:pPr>
              <w:widowControl w:val="0"/>
              <w:spacing w:after="240" w:line="276" w:lineRule="auto"/>
              <w:ind w:firstLine="1"/>
              <w:contextualSpacing/>
              <w:jc w:val="both"/>
            </w:pPr>
            <w:r w:rsidRPr="00D53A2B">
              <w:t> </w:t>
            </w:r>
          </w:p>
          <w:p w14:paraId="42B42F5C" w14:textId="77777777" w:rsidR="0007690F" w:rsidRPr="00D53A2B" w:rsidRDefault="0007690F" w:rsidP="00A202FD">
            <w:pPr>
              <w:widowControl w:val="0"/>
              <w:spacing w:after="240" w:line="276" w:lineRule="auto"/>
              <w:ind w:firstLine="1"/>
              <w:contextualSpacing/>
              <w:jc w:val="both"/>
            </w:pPr>
            <w:r w:rsidRPr="00D53A2B">
              <w:t> </w:t>
            </w:r>
          </w:p>
          <w:p w14:paraId="1589B8A9" w14:textId="77777777" w:rsidR="0007690F" w:rsidRPr="00D53A2B" w:rsidRDefault="0007690F" w:rsidP="00A202FD">
            <w:pPr>
              <w:widowControl w:val="0"/>
              <w:spacing w:after="240" w:line="276" w:lineRule="auto"/>
              <w:ind w:firstLine="1"/>
              <w:contextualSpacing/>
              <w:jc w:val="both"/>
              <w:rPr>
                <w:b/>
                <w:bCs/>
              </w:rPr>
            </w:pPr>
            <w:r w:rsidRPr="00D53A2B">
              <w:t> </w:t>
            </w:r>
          </w:p>
        </w:tc>
        <w:tc>
          <w:tcPr>
            <w:tcW w:w="3403" w:type="dxa"/>
            <w:noWrap/>
            <w:hideMark/>
          </w:tcPr>
          <w:p w14:paraId="5F7DF5DF" w14:textId="77777777" w:rsidR="0007690F" w:rsidRPr="00D53A2B" w:rsidRDefault="0007690F" w:rsidP="00A202FD">
            <w:pPr>
              <w:widowControl w:val="0"/>
              <w:spacing w:after="240" w:line="276" w:lineRule="auto"/>
              <w:ind w:firstLine="1"/>
              <w:contextualSpacing/>
              <w:jc w:val="both"/>
            </w:pPr>
            <w:r w:rsidRPr="00D53A2B">
              <w:t>Şu unsurları içerir:</w:t>
            </w:r>
          </w:p>
          <w:p w14:paraId="7E4E5AFA" w14:textId="77777777" w:rsidR="0007690F" w:rsidRPr="00D53A2B" w:rsidRDefault="0007690F" w:rsidP="00A202FD">
            <w:pPr>
              <w:widowControl w:val="0"/>
              <w:spacing w:after="240" w:line="276" w:lineRule="auto"/>
              <w:ind w:firstLine="1"/>
              <w:contextualSpacing/>
              <w:jc w:val="both"/>
            </w:pPr>
            <w:r w:rsidRPr="00D53A2B">
              <w:t>- Temiz, ısınmış döküm kova kullanımı;</w:t>
            </w:r>
          </w:p>
          <w:p w14:paraId="1F052966" w14:textId="77777777" w:rsidR="0007690F" w:rsidRPr="00D53A2B" w:rsidRDefault="0007690F" w:rsidP="00A202FD">
            <w:pPr>
              <w:widowControl w:val="0"/>
              <w:spacing w:after="240" w:line="276" w:lineRule="auto"/>
              <w:ind w:firstLine="1"/>
              <w:contextualSpacing/>
              <w:jc w:val="both"/>
            </w:pPr>
            <w:r w:rsidRPr="00D53A2B">
              <w:t>- Isıyı korumak için kovaların kapaklarının kapalı tutulması;</w:t>
            </w:r>
          </w:p>
          <w:p w14:paraId="2411FC35" w14:textId="77777777" w:rsidR="0007690F" w:rsidRPr="00D53A2B" w:rsidRDefault="0007690F" w:rsidP="00A202FD">
            <w:pPr>
              <w:widowControl w:val="0"/>
              <w:spacing w:after="240" w:line="276" w:lineRule="auto"/>
              <w:ind w:firstLine="1"/>
              <w:contextualSpacing/>
              <w:jc w:val="both"/>
            </w:pPr>
            <w:r w:rsidRPr="00D53A2B">
              <w:t>- Kovalara ısıtma uygulamak için enerji verimli tekniklerin kullanımı (örneğin, alevsiz mikroporoz yakıcılar veya oksijenli yakıcılar);</w:t>
            </w:r>
          </w:p>
          <w:p w14:paraId="61054209" w14:textId="77777777" w:rsidR="0007690F" w:rsidRPr="00D53A2B" w:rsidRDefault="0007690F" w:rsidP="00A202FD">
            <w:pPr>
              <w:widowControl w:val="0"/>
              <w:spacing w:after="240" w:line="276" w:lineRule="auto"/>
              <w:ind w:firstLine="1"/>
              <w:contextualSpacing/>
              <w:jc w:val="both"/>
            </w:pPr>
            <w:r w:rsidRPr="00D53A2B">
              <w:t>- Isıyı koruyucu kapakları olan büyük kovaların kullanılması;</w:t>
            </w:r>
          </w:p>
          <w:p w14:paraId="21C349BC" w14:textId="77777777" w:rsidR="0007690F" w:rsidRPr="00D53A2B" w:rsidRDefault="0007690F" w:rsidP="00A202FD">
            <w:pPr>
              <w:widowControl w:val="0"/>
              <w:spacing w:after="240" w:line="276" w:lineRule="auto"/>
              <w:ind w:firstLine="1"/>
              <w:contextualSpacing/>
              <w:jc w:val="both"/>
            </w:pPr>
            <w:r w:rsidRPr="00D53A2B">
              <w:t>- Eritilmiş metalin bir kovadan diğerine transferinin minimize edilmesi;</w:t>
            </w:r>
          </w:p>
          <w:p w14:paraId="5BF06B71" w14:textId="77777777" w:rsidR="0007690F" w:rsidRPr="00D53A2B" w:rsidRDefault="0007690F" w:rsidP="00A202FD">
            <w:pPr>
              <w:widowControl w:val="0"/>
              <w:spacing w:after="240" w:line="276" w:lineRule="auto"/>
              <w:ind w:firstLine="1"/>
              <w:contextualSpacing/>
              <w:jc w:val="both"/>
            </w:pPr>
            <w:r w:rsidRPr="00D53A2B">
              <w:t>- Eritilmiş metalin mümkün olduğunca hızlı transferi.</w:t>
            </w:r>
          </w:p>
        </w:tc>
        <w:tc>
          <w:tcPr>
            <w:tcW w:w="3396" w:type="dxa"/>
            <w:noWrap/>
            <w:hideMark/>
          </w:tcPr>
          <w:p w14:paraId="3156A618" w14:textId="77777777" w:rsidR="0007690F" w:rsidRPr="00D53A2B" w:rsidRDefault="0007690F" w:rsidP="00A202FD">
            <w:pPr>
              <w:widowControl w:val="0"/>
              <w:spacing w:after="240" w:line="276" w:lineRule="auto"/>
              <w:ind w:firstLine="1"/>
              <w:contextualSpacing/>
              <w:jc w:val="both"/>
            </w:pPr>
            <w:r w:rsidRPr="00D53A2B">
              <w:t> </w:t>
            </w:r>
          </w:p>
          <w:p w14:paraId="642EAA9A" w14:textId="77777777" w:rsidR="0007690F" w:rsidRPr="00D53A2B" w:rsidRDefault="0007690F" w:rsidP="00A202FD">
            <w:pPr>
              <w:widowControl w:val="0"/>
              <w:spacing w:after="240" w:line="276" w:lineRule="auto"/>
              <w:ind w:firstLine="1"/>
              <w:contextualSpacing/>
              <w:jc w:val="both"/>
            </w:pPr>
            <w:r w:rsidRPr="00D53A2B">
              <w:t> </w:t>
            </w:r>
          </w:p>
          <w:p w14:paraId="6D53C583" w14:textId="77777777" w:rsidR="0007690F" w:rsidRPr="00D53A2B" w:rsidRDefault="0007690F" w:rsidP="00A202FD">
            <w:pPr>
              <w:widowControl w:val="0"/>
              <w:spacing w:after="240" w:line="276" w:lineRule="auto"/>
              <w:ind w:firstLine="1"/>
              <w:contextualSpacing/>
              <w:jc w:val="both"/>
            </w:pPr>
            <w:r w:rsidRPr="00D53A2B">
              <w:t> </w:t>
            </w:r>
          </w:p>
          <w:p w14:paraId="41CD1E30" w14:textId="77777777" w:rsidR="0007690F" w:rsidRPr="00D53A2B" w:rsidRDefault="0007690F" w:rsidP="00A202FD">
            <w:pPr>
              <w:widowControl w:val="0"/>
              <w:spacing w:after="240" w:line="276" w:lineRule="auto"/>
              <w:ind w:firstLine="1"/>
              <w:contextualSpacing/>
              <w:jc w:val="both"/>
            </w:pPr>
            <w:r w:rsidRPr="00D53A2B">
              <w:t> </w:t>
            </w:r>
          </w:p>
          <w:p w14:paraId="750BEAFB" w14:textId="77777777" w:rsidR="0007690F" w:rsidRPr="00D53A2B" w:rsidRDefault="0007690F" w:rsidP="00A202FD">
            <w:pPr>
              <w:widowControl w:val="0"/>
              <w:spacing w:after="240" w:line="276" w:lineRule="auto"/>
              <w:ind w:firstLine="1"/>
              <w:contextualSpacing/>
              <w:jc w:val="both"/>
            </w:pPr>
            <w:r w:rsidRPr="00D53A2B">
              <w:t> </w:t>
            </w:r>
          </w:p>
          <w:p w14:paraId="65428D54" w14:textId="77777777" w:rsidR="0007690F" w:rsidRPr="00D53A2B" w:rsidRDefault="0007690F" w:rsidP="00A202FD">
            <w:pPr>
              <w:widowControl w:val="0"/>
              <w:spacing w:after="240" w:line="276" w:lineRule="auto"/>
              <w:ind w:firstLine="1"/>
              <w:contextualSpacing/>
              <w:jc w:val="both"/>
            </w:pPr>
            <w:r w:rsidRPr="00D53A2B">
              <w:t> </w:t>
            </w:r>
          </w:p>
          <w:p w14:paraId="4534A9F4" w14:textId="77777777" w:rsidR="0007690F" w:rsidRPr="00D53A2B" w:rsidRDefault="0007690F" w:rsidP="00A202FD">
            <w:pPr>
              <w:widowControl w:val="0"/>
              <w:spacing w:after="240" w:line="276" w:lineRule="auto"/>
              <w:ind w:firstLine="1"/>
              <w:contextualSpacing/>
              <w:jc w:val="both"/>
            </w:pPr>
            <w:r w:rsidRPr="00D53A2B">
              <w:t>Büyük kovalar (örneğin, &gt; 2 t) ve alt döküm kovaları tasarım kısıtlamaları nedeniyle uygulanamayabilir.</w:t>
            </w:r>
          </w:p>
        </w:tc>
      </w:tr>
      <w:tr w:rsidR="0007690F" w:rsidRPr="00D53A2B" w14:paraId="1587A981" w14:textId="77777777" w:rsidTr="00A202FD">
        <w:trPr>
          <w:trHeight w:val="320"/>
        </w:trPr>
        <w:tc>
          <w:tcPr>
            <w:tcW w:w="2263" w:type="dxa"/>
            <w:noWrap/>
            <w:hideMark/>
          </w:tcPr>
          <w:p w14:paraId="214E0373" w14:textId="77777777" w:rsidR="0007690F" w:rsidRPr="00D53A2B" w:rsidRDefault="0007690F" w:rsidP="00A202FD">
            <w:pPr>
              <w:widowControl w:val="0"/>
              <w:spacing w:after="240" w:line="276" w:lineRule="auto"/>
              <w:ind w:firstLine="1"/>
              <w:contextualSpacing/>
              <w:jc w:val="both"/>
              <w:rPr>
                <w:b/>
                <w:bCs/>
              </w:rPr>
            </w:pPr>
            <w:r w:rsidRPr="00D53A2B">
              <w:rPr>
                <w:b/>
                <w:bCs/>
              </w:rPr>
              <w:t>g. Oksijen-yakıt yanma</w:t>
            </w:r>
          </w:p>
        </w:tc>
        <w:tc>
          <w:tcPr>
            <w:tcW w:w="3403" w:type="dxa"/>
            <w:noWrap/>
            <w:hideMark/>
          </w:tcPr>
          <w:p w14:paraId="48E72400" w14:textId="77777777" w:rsidR="0007690F" w:rsidRPr="00D53A2B" w:rsidRDefault="0007690F" w:rsidP="00A202FD">
            <w:pPr>
              <w:widowControl w:val="0"/>
              <w:spacing w:after="240" w:line="276" w:lineRule="auto"/>
              <w:ind w:firstLine="1"/>
              <w:contextualSpacing/>
              <w:jc w:val="both"/>
            </w:pPr>
            <w:r w:rsidRPr="00D53A2B">
              <w:t>Oksijen-yakıt bazlı yakma tekniklerinin kullanımı.</w:t>
            </w:r>
          </w:p>
        </w:tc>
        <w:tc>
          <w:tcPr>
            <w:tcW w:w="3396" w:type="dxa"/>
            <w:noWrap/>
            <w:hideMark/>
          </w:tcPr>
          <w:p w14:paraId="665CE9F1" w14:textId="77777777" w:rsidR="0007690F" w:rsidRPr="00D53A2B" w:rsidRDefault="0007690F" w:rsidP="00A202FD">
            <w:pPr>
              <w:widowControl w:val="0"/>
              <w:spacing w:after="240" w:line="276" w:lineRule="auto"/>
              <w:ind w:firstLine="1"/>
              <w:contextualSpacing/>
              <w:jc w:val="both"/>
            </w:pPr>
            <w:r w:rsidRPr="00D53A2B">
              <w:t>Mevcut tesislerde, fırın tasarımı ve minimum atık gaz akış ihtiyacı nedeniyle sınırlı olabilir.</w:t>
            </w:r>
          </w:p>
        </w:tc>
      </w:tr>
      <w:tr w:rsidR="0007690F" w:rsidRPr="00D53A2B" w14:paraId="6A6A71E9" w14:textId="77777777" w:rsidTr="00A202FD">
        <w:trPr>
          <w:trHeight w:val="320"/>
        </w:trPr>
        <w:tc>
          <w:tcPr>
            <w:tcW w:w="2263" w:type="dxa"/>
            <w:noWrap/>
            <w:hideMark/>
          </w:tcPr>
          <w:p w14:paraId="107E835F" w14:textId="77777777" w:rsidR="0007690F" w:rsidRPr="00D53A2B" w:rsidRDefault="0007690F" w:rsidP="00A202FD">
            <w:pPr>
              <w:widowControl w:val="0"/>
              <w:spacing w:after="240" w:line="276" w:lineRule="auto"/>
              <w:ind w:firstLine="1"/>
              <w:contextualSpacing/>
              <w:jc w:val="both"/>
              <w:rPr>
                <w:b/>
                <w:bCs/>
              </w:rPr>
            </w:pPr>
            <w:r w:rsidRPr="00D53A2B">
              <w:rPr>
                <w:b/>
                <w:bCs/>
              </w:rPr>
              <w:t>h. İndüksiyon fırınlarında orta frekanslı güç kullanımı</w:t>
            </w:r>
          </w:p>
        </w:tc>
        <w:tc>
          <w:tcPr>
            <w:tcW w:w="3403" w:type="dxa"/>
            <w:noWrap/>
            <w:hideMark/>
          </w:tcPr>
          <w:p w14:paraId="60828E41" w14:textId="77777777" w:rsidR="0007690F" w:rsidRPr="00D53A2B" w:rsidRDefault="0007690F" w:rsidP="00A202FD">
            <w:pPr>
              <w:widowControl w:val="0"/>
              <w:spacing w:after="240" w:line="276" w:lineRule="auto"/>
              <w:ind w:firstLine="1"/>
              <w:contextualSpacing/>
              <w:jc w:val="both"/>
            </w:pPr>
            <w:r w:rsidRPr="00D53A2B">
              <w:t>250 Hz orta frekanslı indüksiyon fırınlarının kullanımı, ana frekanslı (50 Hz) fırınlar yerine.</w:t>
            </w:r>
          </w:p>
        </w:tc>
        <w:tc>
          <w:tcPr>
            <w:tcW w:w="3396" w:type="dxa"/>
            <w:noWrap/>
            <w:hideMark/>
          </w:tcPr>
          <w:p w14:paraId="0B983D0A" w14:textId="77777777" w:rsidR="0007690F" w:rsidRPr="00D53A2B" w:rsidRDefault="0007690F" w:rsidP="00A202FD">
            <w:pPr>
              <w:widowControl w:val="0"/>
              <w:spacing w:after="240" w:line="276" w:lineRule="auto"/>
              <w:ind w:firstLine="1"/>
              <w:contextualSpacing/>
              <w:jc w:val="both"/>
            </w:pPr>
            <w:r w:rsidRPr="00D53A2B">
              <w:t>Genelde uygulanabilir.</w:t>
            </w:r>
          </w:p>
        </w:tc>
      </w:tr>
      <w:tr w:rsidR="0007690F" w:rsidRPr="00D53A2B" w14:paraId="1E248118" w14:textId="77777777" w:rsidTr="00A202FD">
        <w:trPr>
          <w:trHeight w:val="5544"/>
        </w:trPr>
        <w:tc>
          <w:tcPr>
            <w:tcW w:w="2263" w:type="dxa"/>
            <w:noWrap/>
            <w:hideMark/>
          </w:tcPr>
          <w:p w14:paraId="10A0EA37" w14:textId="77777777" w:rsidR="0007690F" w:rsidRPr="00D53A2B" w:rsidRDefault="0007690F" w:rsidP="00A202FD">
            <w:pPr>
              <w:widowControl w:val="0"/>
              <w:spacing w:after="240" w:line="276" w:lineRule="auto"/>
              <w:ind w:firstLine="1"/>
              <w:contextualSpacing/>
              <w:jc w:val="both"/>
              <w:rPr>
                <w:b/>
                <w:bCs/>
              </w:rPr>
            </w:pPr>
            <w:r w:rsidRPr="00D53A2B">
              <w:rPr>
                <w:b/>
                <w:bCs/>
              </w:rPr>
              <w:t>i. Kompresör hava sistemi optimizasyonu</w:t>
            </w:r>
          </w:p>
          <w:p w14:paraId="0845E90B" w14:textId="77777777" w:rsidR="0007690F" w:rsidRPr="00D53A2B" w:rsidRDefault="0007690F" w:rsidP="00A202FD">
            <w:pPr>
              <w:widowControl w:val="0"/>
              <w:spacing w:after="240" w:line="276" w:lineRule="auto"/>
              <w:ind w:firstLine="1"/>
              <w:contextualSpacing/>
              <w:jc w:val="both"/>
            </w:pPr>
            <w:r w:rsidRPr="00D53A2B">
              <w:t> </w:t>
            </w:r>
          </w:p>
          <w:p w14:paraId="7D0A1326" w14:textId="77777777" w:rsidR="0007690F" w:rsidRPr="00D53A2B" w:rsidRDefault="0007690F" w:rsidP="00A202FD">
            <w:pPr>
              <w:widowControl w:val="0"/>
              <w:spacing w:after="240" w:line="276" w:lineRule="auto"/>
              <w:ind w:firstLine="1"/>
              <w:contextualSpacing/>
              <w:jc w:val="both"/>
            </w:pPr>
            <w:r w:rsidRPr="00D53A2B">
              <w:t> </w:t>
            </w:r>
          </w:p>
          <w:p w14:paraId="068D95F0" w14:textId="77777777" w:rsidR="0007690F" w:rsidRPr="00D53A2B" w:rsidRDefault="0007690F" w:rsidP="00A202FD">
            <w:pPr>
              <w:widowControl w:val="0"/>
              <w:spacing w:after="240" w:line="276" w:lineRule="auto"/>
              <w:ind w:firstLine="1"/>
              <w:contextualSpacing/>
              <w:jc w:val="both"/>
            </w:pPr>
            <w:r w:rsidRPr="00D53A2B">
              <w:t> </w:t>
            </w:r>
          </w:p>
          <w:p w14:paraId="00BDD8DB" w14:textId="77777777" w:rsidR="0007690F" w:rsidRPr="00D53A2B" w:rsidRDefault="0007690F" w:rsidP="00A202FD">
            <w:pPr>
              <w:widowControl w:val="0"/>
              <w:spacing w:after="240" w:line="276" w:lineRule="auto"/>
              <w:ind w:firstLine="1"/>
              <w:contextualSpacing/>
              <w:jc w:val="both"/>
            </w:pPr>
            <w:r w:rsidRPr="00D53A2B">
              <w:t> </w:t>
            </w:r>
          </w:p>
          <w:p w14:paraId="0E34F3AC" w14:textId="77777777" w:rsidR="0007690F" w:rsidRPr="00D53A2B" w:rsidRDefault="0007690F" w:rsidP="00A202FD">
            <w:pPr>
              <w:widowControl w:val="0"/>
              <w:spacing w:after="240" w:line="276" w:lineRule="auto"/>
              <w:ind w:firstLine="1"/>
              <w:contextualSpacing/>
              <w:jc w:val="both"/>
            </w:pPr>
            <w:r w:rsidRPr="00D53A2B">
              <w:t> </w:t>
            </w:r>
          </w:p>
          <w:p w14:paraId="2074C41C" w14:textId="77777777" w:rsidR="0007690F" w:rsidRPr="00D53A2B" w:rsidRDefault="0007690F" w:rsidP="00A202FD">
            <w:pPr>
              <w:widowControl w:val="0"/>
              <w:spacing w:after="240" w:line="276" w:lineRule="auto"/>
              <w:ind w:firstLine="1"/>
              <w:contextualSpacing/>
              <w:jc w:val="both"/>
              <w:rPr>
                <w:b/>
                <w:bCs/>
              </w:rPr>
            </w:pPr>
            <w:r w:rsidRPr="00D53A2B">
              <w:t> </w:t>
            </w:r>
          </w:p>
        </w:tc>
        <w:tc>
          <w:tcPr>
            <w:tcW w:w="3403" w:type="dxa"/>
            <w:noWrap/>
            <w:hideMark/>
          </w:tcPr>
          <w:p w14:paraId="3A94351C" w14:textId="77777777" w:rsidR="0007690F" w:rsidRPr="00D53A2B" w:rsidRDefault="0007690F" w:rsidP="00A202FD">
            <w:pPr>
              <w:widowControl w:val="0"/>
              <w:spacing w:after="240" w:line="276" w:lineRule="auto"/>
              <w:ind w:firstLine="1"/>
              <w:contextualSpacing/>
              <w:jc w:val="both"/>
            </w:pPr>
            <w:r w:rsidRPr="00D53A2B">
              <w:t>Aşağıdaki önlemleri içerir:</w:t>
            </w:r>
          </w:p>
          <w:p w14:paraId="62C64794" w14:textId="77777777" w:rsidR="0007690F" w:rsidRPr="00D53A2B" w:rsidRDefault="0007690F" w:rsidP="00A202FD">
            <w:pPr>
              <w:widowControl w:val="0"/>
              <w:spacing w:after="240" w:line="276" w:lineRule="auto"/>
              <w:ind w:firstLine="1"/>
              <w:contextualSpacing/>
              <w:jc w:val="both"/>
            </w:pPr>
            <w:r w:rsidRPr="00D53A2B">
              <w:t>- Sistem bakımı ile sızıntıların azaltılması;</w:t>
            </w:r>
          </w:p>
          <w:p w14:paraId="6BB4D72C" w14:textId="77777777" w:rsidR="0007690F" w:rsidRPr="00D53A2B" w:rsidRDefault="0007690F" w:rsidP="00A202FD">
            <w:pPr>
              <w:widowControl w:val="0"/>
              <w:spacing w:after="240" w:line="276" w:lineRule="auto"/>
              <w:ind w:firstLine="1"/>
              <w:contextualSpacing/>
              <w:jc w:val="both"/>
            </w:pPr>
            <w:r w:rsidRPr="00D53A2B">
              <w:t>- Akış, sıcaklık ve basınç gibi çalışma parametrelerinin verimli izlenmesi;</w:t>
            </w:r>
          </w:p>
          <w:p w14:paraId="13AFAE18" w14:textId="77777777" w:rsidR="0007690F" w:rsidRPr="00D53A2B" w:rsidRDefault="0007690F" w:rsidP="00A202FD">
            <w:pPr>
              <w:widowControl w:val="0"/>
              <w:spacing w:after="240" w:line="276" w:lineRule="auto"/>
              <w:ind w:firstLine="1"/>
              <w:contextualSpacing/>
              <w:jc w:val="both"/>
            </w:pPr>
            <w:r w:rsidRPr="00D53A2B">
              <w:t>- Basınç kayıplarının minimize edilmesi;</w:t>
            </w:r>
          </w:p>
          <w:p w14:paraId="55B692FA" w14:textId="77777777" w:rsidR="0007690F" w:rsidRPr="00D53A2B" w:rsidRDefault="0007690F" w:rsidP="00A202FD">
            <w:pPr>
              <w:widowControl w:val="0"/>
              <w:spacing w:after="240" w:line="276" w:lineRule="auto"/>
              <w:ind w:firstLine="1"/>
              <w:contextualSpacing/>
              <w:jc w:val="both"/>
            </w:pPr>
            <w:r w:rsidRPr="00D53A2B">
              <w:t>- Yük yönetiminin verimli bir şekilde yapılması;</w:t>
            </w:r>
          </w:p>
          <w:p w14:paraId="58316CDE" w14:textId="77777777" w:rsidR="0007690F" w:rsidRPr="00D53A2B" w:rsidRDefault="0007690F" w:rsidP="00A202FD">
            <w:pPr>
              <w:widowControl w:val="0"/>
              <w:spacing w:after="240" w:line="276" w:lineRule="auto"/>
              <w:ind w:firstLine="1"/>
              <w:contextualSpacing/>
              <w:jc w:val="both"/>
            </w:pPr>
            <w:r w:rsidRPr="00D53A2B">
              <w:t>- Giriş hava sıcaklığının azaltılması;</w:t>
            </w:r>
          </w:p>
          <w:p w14:paraId="7B2A57A3" w14:textId="77777777" w:rsidR="0007690F" w:rsidRPr="00D53A2B" w:rsidRDefault="0007690F" w:rsidP="00A202FD">
            <w:pPr>
              <w:widowControl w:val="0"/>
              <w:spacing w:after="240" w:line="276" w:lineRule="auto"/>
              <w:ind w:firstLine="1"/>
              <w:contextualSpacing/>
              <w:jc w:val="both"/>
            </w:pPr>
            <w:r w:rsidRPr="00D53A2B">
              <w:t>- Verimli kompresör kontrol sistemi kullanımı.</w:t>
            </w:r>
          </w:p>
        </w:tc>
        <w:tc>
          <w:tcPr>
            <w:tcW w:w="3396" w:type="dxa"/>
            <w:noWrap/>
            <w:hideMark/>
          </w:tcPr>
          <w:p w14:paraId="22710400" w14:textId="77777777" w:rsidR="0007690F" w:rsidRPr="00D53A2B" w:rsidRDefault="0007690F" w:rsidP="00A202FD">
            <w:pPr>
              <w:widowControl w:val="0"/>
              <w:spacing w:after="240" w:line="276" w:lineRule="auto"/>
              <w:ind w:firstLine="1"/>
              <w:contextualSpacing/>
              <w:jc w:val="both"/>
            </w:pPr>
            <w:r w:rsidRPr="00D53A2B">
              <w:t> </w:t>
            </w:r>
          </w:p>
          <w:p w14:paraId="64B32A2C" w14:textId="77777777" w:rsidR="0007690F" w:rsidRPr="00D53A2B" w:rsidRDefault="0007690F" w:rsidP="00A202FD">
            <w:pPr>
              <w:widowControl w:val="0"/>
              <w:spacing w:after="240" w:line="276" w:lineRule="auto"/>
              <w:ind w:firstLine="1"/>
              <w:contextualSpacing/>
              <w:jc w:val="both"/>
            </w:pPr>
            <w:r w:rsidRPr="00D53A2B">
              <w:t> </w:t>
            </w:r>
          </w:p>
          <w:p w14:paraId="4865C056" w14:textId="77777777" w:rsidR="0007690F" w:rsidRPr="00D53A2B" w:rsidRDefault="0007690F" w:rsidP="00A202FD">
            <w:pPr>
              <w:widowControl w:val="0"/>
              <w:spacing w:after="240" w:line="276" w:lineRule="auto"/>
              <w:ind w:firstLine="1"/>
              <w:contextualSpacing/>
              <w:jc w:val="both"/>
            </w:pPr>
            <w:r w:rsidRPr="00D53A2B">
              <w:t> </w:t>
            </w:r>
          </w:p>
          <w:p w14:paraId="029081BB" w14:textId="77777777" w:rsidR="0007690F" w:rsidRPr="00D53A2B" w:rsidRDefault="0007690F" w:rsidP="00A202FD">
            <w:pPr>
              <w:widowControl w:val="0"/>
              <w:spacing w:after="240" w:line="276" w:lineRule="auto"/>
              <w:ind w:firstLine="1"/>
              <w:contextualSpacing/>
              <w:jc w:val="both"/>
            </w:pPr>
            <w:r w:rsidRPr="00D53A2B">
              <w:t> </w:t>
            </w:r>
          </w:p>
          <w:p w14:paraId="7CCD9847" w14:textId="77777777" w:rsidR="0007690F" w:rsidRPr="00D53A2B" w:rsidRDefault="0007690F" w:rsidP="00A202FD">
            <w:pPr>
              <w:widowControl w:val="0"/>
              <w:spacing w:after="240" w:line="276" w:lineRule="auto"/>
              <w:ind w:firstLine="1"/>
              <w:contextualSpacing/>
              <w:jc w:val="both"/>
            </w:pPr>
            <w:r w:rsidRPr="00D53A2B">
              <w:t> </w:t>
            </w:r>
          </w:p>
          <w:p w14:paraId="7657E895" w14:textId="77777777" w:rsidR="0007690F" w:rsidRPr="00D53A2B" w:rsidRDefault="0007690F" w:rsidP="00A202FD">
            <w:pPr>
              <w:widowControl w:val="0"/>
              <w:spacing w:after="240" w:line="276" w:lineRule="auto"/>
              <w:ind w:firstLine="1"/>
              <w:contextualSpacing/>
              <w:jc w:val="both"/>
            </w:pPr>
            <w:r w:rsidRPr="00D53A2B">
              <w:t> </w:t>
            </w:r>
          </w:p>
          <w:p w14:paraId="25829896" w14:textId="77777777" w:rsidR="0007690F" w:rsidRPr="00D53A2B" w:rsidRDefault="0007690F" w:rsidP="00A202FD">
            <w:pPr>
              <w:widowControl w:val="0"/>
              <w:spacing w:after="240" w:line="276" w:lineRule="auto"/>
              <w:ind w:firstLine="1"/>
              <w:contextualSpacing/>
              <w:jc w:val="both"/>
            </w:pPr>
            <w:r w:rsidRPr="00D53A2B">
              <w:t>Genelde uygulanabilir.</w:t>
            </w:r>
          </w:p>
        </w:tc>
      </w:tr>
      <w:tr w:rsidR="0007690F" w:rsidRPr="00D53A2B" w14:paraId="3B85C19D" w14:textId="77777777" w:rsidTr="00A202FD">
        <w:trPr>
          <w:trHeight w:val="320"/>
        </w:trPr>
        <w:tc>
          <w:tcPr>
            <w:tcW w:w="2263" w:type="dxa"/>
            <w:noWrap/>
            <w:hideMark/>
          </w:tcPr>
          <w:p w14:paraId="79793DF2" w14:textId="77777777" w:rsidR="0007690F" w:rsidRPr="00D53A2B" w:rsidRDefault="0007690F" w:rsidP="00A202FD">
            <w:pPr>
              <w:widowControl w:val="0"/>
              <w:spacing w:after="240" w:line="276" w:lineRule="auto"/>
              <w:ind w:firstLine="1"/>
              <w:contextualSpacing/>
              <w:jc w:val="both"/>
              <w:rPr>
                <w:b/>
                <w:bCs/>
              </w:rPr>
            </w:pPr>
            <w:r w:rsidRPr="00D53A2B">
              <w:rPr>
                <w:b/>
                <w:bCs/>
              </w:rPr>
              <w:t>j. Su bazlı kaplamalar için çekirdeklerin mikrodalga ile kurutulması</w:t>
            </w:r>
          </w:p>
        </w:tc>
        <w:tc>
          <w:tcPr>
            <w:tcW w:w="3403" w:type="dxa"/>
            <w:noWrap/>
            <w:hideMark/>
          </w:tcPr>
          <w:p w14:paraId="3B4A7103" w14:textId="77777777" w:rsidR="0007690F" w:rsidRPr="00D53A2B" w:rsidRDefault="0007690F" w:rsidP="00A202FD">
            <w:pPr>
              <w:widowControl w:val="0"/>
              <w:spacing w:after="240" w:line="276" w:lineRule="auto"/>
              <w:ind w:firstLine="1"/>
              <w:contextualSpacing/>
              <w:jc w:val="both"/>
            </w:pPr>
            <w:r w:rsidRPr="00D53A2B">
              <w:t>Mikrodalga fırınlarının (örneğin, 2.450 Hz frekansı ile) kullanımı, su bazlı kaplamalarla kaplanmış çekirdeklerin hızlı ve homojen şekilde kurutulmasını sağlar.</w:t>
            </w:r>
          </w:p>
        </w:tc>
        <w:tc>
          <w:tcPr>
            <w:tcW w:w="3396" w:type="dxa"/>
            <w:noWrap/>
            <w:hideMark/>
          </w:tcPr>
          <w:p w14:paraId="31DE62EC" w14:textId="77777777" w:rsidR="0007690F" w:rsidRPr="00D53A2B" w:rsidRDefault="0007690F" w:rsidP="00A202FD">
            <w:pPr>
              <w:widowControl w:val="0"/>
              <w:spacing w:after="240" w:line="276" w:lineRule="auto"/>
              <w:ind w:firstLine="1"/>
              <w:contextualSpacing/>
              <w:jc w:val="both"/>
            </w:pPr>
            <w:r w:rsidRPr="00D53A2B">
              <w:t>Sürekli döküm süreçlerine veya büyük döküm parçaları üretimine uygulanamayabilir. Ayrıca, geri kazanılmış kumlar karbon izleri taşıyorsa, çekirdeklerin üretimi için uygun olmayabilir.</w:t>
            </w:r>
          </w:p>
        </w:tc>
      </w:tr>
      <w:tr w:rsidR="0007690F" w:rsidRPr="00D53A2B" w14:paraId="58B68594" w14:textId="77777777" w:rsidTr="00A202FD">
        <w:trPr>
          <w:trHeight w:val="320"/>
        </w:trPr>
        <w:tc>
          <w:tcPr>
            <w:tcW w:w="9062" w:type="dxa"/>
            <w:gridSpan w:val="3"/>
            <w:noWrap/>
          </w:tcPr>
          <w:p w14:paraId="156181A0" w14:textId="77777777" w:rsidR="0007690F" w:rsidRPr="00D53A2B" w:rsidRDefault="0007690F" w:rsidP="00A202FD">
            <w:pPr>
              <w:widowControl w:val="0"/>
              <w:spacing w:after="240" w:line="276" w:lineRule="auto"/>
              <w:ind w:firstLine="1"/>
              <w:contextualSpacing/>
              <w:jc w:val="both"/>
              <w:rPr>
                <w:i/>
                <w:iCs/>
              </w:rPr>
            </w:pPr>
            <w:r w:rsidRPr="00D53A2B">
              <w:rPr>
                <w:i/>
                <w:iCs/>
              </w:rPr>
              <w:t>Isı geri kazanım teknikleri</w:t>
            </w:r>
          </w:p>
        </w:tc>
      </w:tr>
      <w:tr w:rsidR="0007690F" w:rsidRPr="00D53A2B" w14:paraId="534CCE71" w14:textId="77777777" w:rsidTr="00A202FD">
        <w:trPr>
          <w:trHeight w:val="320"/>
        </w:trPr>
        <w:tc>
          <w:tcPr>
            <w:tcW w:w="2263" w:type="dxa"/>
            <w:noWrap/>
            <w:hideMark/>
          </w:tcPr>
          <w:p w14:paraId="6D2F7048" w14:textId="77777777" w:rsidR="0007690F" w:rsidRPr="00D53A2B" w:rsidRDefault="0007690F" w:rsidP="00A202FD">
            <w:pPr>
              <w:widowControl w:val="0"/>
              <w:spacing w:after="240" w:line="276" w:lineRule="auto"/>
              <w:ind w:firstLine="1"/>
              <w:contextualSpacing/>
              <w:jc w:val="both"/>
              <w:rPr>
                <w:b/>
                <w:bCs/>
              </w:rPr>
            </w:pPr>
            <w:r w:rsidRPr="00D53A2B">
              <w:rPr>
                <w:b/>
                <w:bCs/>
              </w:rPr>
              <w:t>k. Geri kazanılmış ısı ile hurda ön ısınması</w:t>
            </w:r>
          </w:p>
        </w:tc>
        <w:tc>
          <w:tcPr>
            <w:tcW w:w="3403" w:type="dxa"/>
            <w:noWrap/>
            <w:hideMark/>
          </w:tcPr>
          <w:p w14:paraId="4FF35B1D" w14:textId="77777777" w:rsidR="0007690F" w:rsidRPr="00D53A2B" w:rsidRDefault="0007690F" w:rsidP="00A202FD">
            <w:pPr>
              <w:widowControl w:val="0"/>
              <w:spacing w:after="240" w:line="276" w:lineRule="auto"/>
              <w:ind w:firstLine="1"/>
              <w:contextualSpacing/>
              <w:jc w:val="both"/>
            </w:pPr>
            <w:r w:rsidRPr="00D53A2B">
              <w:t>Sıcak baca gazlarından geri kazanılan ısı ile hurda ön ısınması.</w:t>
            </w:r>
          </w:p>
        </w:tc>
        <w:tc>
          <w:tcPr>
            <w:tcW w:w="3396" w:type="dxa"/>
            <w:noWrap/>
            <w:hideMark/>
          </w:tcPr>
          <w:p w14:paraId="45FB432C" w14:textId="77777777" w:rsidR="0007690F" w:rsidRPr="00D53A2B" w:rsidRDefault="0007690F" w:rsidP="00A202FD">
            <w:pPr>
              <w:widowControl w:val="0"/>
              <w:spacing w:after="240" w:line="276" w:lineRule="auto"/>
              <w:ind w:firstLine="1"/>
              <w:contextualSpacing/>
              <w:jc w:val="both"/>
            </w:pPr>
            <w:r w:rsidRPr="00D53A2B">
              <w:t>Sadece demir içermeyen metal dökümhanelerinde şaft fırınları ve çelik dökümhanelerinde EAF’lerde uygulanabilir.</w:t>
            </w:r>
          </w:p>
        </w:tc>
      </w:tr>
      <w:tr w:rsidR="0007690F" w:rsidRPr="00D53A2B" w14:paraId="1C596BF7" w14:textId="77777777" w:rsidTr="00A202FD">
        <w:trPr>
          <w:trHeight w:val="320"/>
        </w:trPr>
        <w:tc>
          <w:tcPr>
            <w:tcW w:w="2263" w:type="dxa"/>
            <w:noWrap/>
            <w:hideMark/>
          </w:tcPr>
          <w:p w14:paraId="4498AEA0" w14:textId="77777777" w:rsidR="0007690F" w:rsidRPr="00D53A2B" w:rsidRDefault="0007690F" w:rsidP="00A202FD">
            <w:pPr>
              <w:widowControl w:val="0"/>
              <w:spacing w:after="240" w:line="276" w:lineRule="auto"/>
              <w:ind w:firstLine="1"/>
              <w:contextualSpacing/>
              <w:jc w:val="both"/>
              <w:rPr>
                <w:b/>
                <w:bCs/>
              </w:rPr>
            </w:pPr>
            <w:r w:rsidRPr="00D53A2B">
              <w:rPr>
                <w:b/>
                <w:bCs/>
              </w:rPr>
              <w:t>l. Fırınlarda oluşan çıkış gazlarıdan ısı geri kazanımı</w:t>
            </w:r>
          </w:p>
        </w:tc>
        <w:tc>
          <w:tcPr>
            <w:tcW w:w="3403" w:type="dxa"/>
            <w:noWrap/>
            <w:hideMark/>
          </w:tcPr>
          <w:p w14:paraId="30700758" w14:textId="77777777" w:rsidR="0007690F" w:rsidRPr="00D53A2B" w:rsidRDefault="0007690F" w:rsidP="00A202FD">
            <w:pPr>
              <w:widowControl w:val="0"/>
              <w:spacing w:after="240" w:line="276" w:lineRule="auto"/>
              <w:ind w:firstLine="1"/>
              <w:contextualSpacing/>
              <w:jc w:val="both"/>
            </w:pPr>
            <w:r w:rsidRPr="00D53A2B">
              <w:t>Sıcak çıkış gazları atık ısı, geri kazanılır (örneğin ısı değiştiriciler aracılığıyla) ve tesis içinde veya dışında yeniden kullanılır (örneğin, termal yağ/sıcak su/ısıtma devrelerinde, buhar üretimi veya yanma havasının ön ısınması için (bkz. teknik (m))). Bu aşağıdaki durumları içerebilir:</w:t>
            </w:r>
          </w:p>
          <w:p w14:paraId="54D67EEE" w14:textId="77777777" w:rsidR="0007690F" w:rsidRPr="00D53A2B" w:rsidRDefault="0007690F" w:rsidP="00602365">
            <w:pPr>
              <w:widowControl w:val="0"/>
              <w:numPr>
                <w:ilvl w:val="0"/>
                <w:numId w:val="250"/>
              </w:numPr>
              <w:spacing w:after="240" w:line="276" w:lineRule="auto"/>
              <w:contextualSpacing/>
              <w:jc w:val="both"/>
            </w:pPr>
            <w:r w:rsidRPr="00D53A2B">
              <w:t>Kupol fırınlarının sıcak çıkış gazlarından fazla ısı, örneğin buhar üretimi, termal yağ ısınması, su ısınması için kullanılır.</w:t>
            </w:r>
          </w:p>
          <w:p w14:paraId="43D040A2" w14:textId="77777777" w:rsidR="0007690F" w:rsidRPr="00D53A2B" w:rsidRDefault="0007690F" w:rsidP="00602365">
            <w:pPr>
              <w:widowControl w:val="0"/>
              <w:numPr>
                <w:ilvl w:val="0"/>
                <w:numId w:val="250"/>
              </w:numPr>
              <w:spacing w:after="240" w:line="276" w:lineRule="auto"/>
              <w:contextualSpacing/>
              <w:jc w:val="both"/>
            </w:pPr>
            <w:r w:rsidRPr="00D53A2B">
              <w:t>Fırın soğutma sisteminden fazla ısı, örneğin hammadde kurutma, alan ısıtması, su ısınması için kullanılır.</w:t>
            </w:r>
          </w:p>
          <w:p w14:paraId="274C6E54" w14:textId="77777777" w:rsidR="0007690F" w:rsidRPr="00D53A2B" w:rsidRDefault="0007690F" w:rsidP="00602365">
            <w:pPr>
              <w:widowControl w:val="0"/>
              <w:numPr>
                <w:ilvl w:val="0"/>
                <w:numId w:val="250"/>
              </w:numPr>
              <w:spacing w:after="240" w:line="276" w:lineRule="auto"/>
              <w:contextualSpacing/>
              <w:jc w:val="both"/>
            </w:pPr>
            <w:r w:rsidRPr="00D53A2B">
              <w:t>Alüminyum dökümhanelerindeki yakıtla çalışan fırınlarda, fazla ısı, örneğin tesisin ısıtılması ve/veya döküm temizleme tesisi için su ısınması için kullanılır.</w:t>
            </w:r>
          </w:p>
          <w:p w14:paraId="3A316070" w14:textId="77777777" w:rsidR="0007690F" w:rsidRPr="00D53A2B" w:rsidRDefault="0007690F" w:rsidP="00602365">
            <w:pPr>
              <w:widowControl w:val="0"/>
              <w:numPr>
                <w:ilvl w:val="0"/>
                <w:numId w:val="250"/>
              </w:numPr>
              <w:spacing w:after="240" w:line="276" w:lineRule="auto"/>
              <w:contextualSpacing/>
              <w:jc w:val="both"/>
            </w:pPr>
            <w:r w:rsidRPr="00D53A2B">
              <w:t>Düşük kaliteli ısı, Yüksek Moleküler Ağırlıklı Sıvılar kullanılarak Elektrik Üretiminde, Organik Rankine Döngüsü (ORC) kullanılarak dönüştürülür.</w:t>
            </w:r>
          </w:p>
        </w:tc>
        <w:tc>
          <w:tcPr>
            <w:tcW w:w="3396" w:type="dxa"/>
            <w:noWrap/>
            <w:hideMark/>
          </w:tcPr>
          <w:p w14:paraId="134D6CF3" w14:textId="77777777" w:rsidR="0007690F" w:rsidRPr="00D53A2B" w:rsidRDefault="0007690F" w:rsidP="00A202FD">
            <w:pPr>
              <w:widowControl w:val="0"/>
              <w:spacing w:after="240" w:line="276" w:lineRule="auto"/>
              <w:ind w:firstLine="1"/>
              <w:contextualSpacing/>
              <w:jc w:val="both"/>
            </w:pPr>
            <w:r w:rsidRPr="00D53A2B">
              <w:t>Uygulama, uygun bir ısı talebinin eksikliği nedeniyle kısıtlanabilir.</w:t>
            </w:r>
          </w:p>
        </w:tc>
      </w:tr>
      <w:tr w:rsidR="0007690F" w:rsidRPr="00D53A2B" w14:paraId="33AFAB02" w14:textId="77777777" w:rsidTr="00A202FD">
        <w:trPr>
          <w:trHeight w:val="320"/>
        </w:trPr>
        <w:tc>
          <w:tcPr>
            <w:tcW w:w="2263" w:type="dxa"/>
            <w:noWrap/>
            <w:hideMark/>
          </w:tcPr>
          <w:p w14:paraId="2D8F935C" w14:textId="77777777" w:rsidR="0007690F" w:rsidRPr="00D53A2B" w:rsidRDefault="0007690F" w:rsidP="00A202FD">
            <w:pPr>
              <w:widowControl w:val="0"/>
              <w:spacing w:after="240" w:line="276" w:lineRule="auto"/>
              <w:ind w:firstLine="1"/>
              <w:contextualSpacing/>
              <w:jc w:val="both"/>
              <w:rPr>
                <w:b/>
                <w:bCs/>
              </w:rPr>
            </w:pPr>
            <w:r w:rsidRPr="00D53A2B">
              <w:rPr>
                <w:b/>
                <w:bCs/>
              </w:rPr>
              <w:t>m. Yanma havasının ön ısınması</w:t>
            </w:r>
          </w:p>
        </w:tc>
        <w:tc>
          <w:tcPr>
            <w:tcW w:w="3403" w:type="dxa"/>
            <w:noWrap/>
            <w:hideMark/>
          </w:tcPr>
          <w:p w14:paraId="781505D6" w14:textId="77777777" w:rsidR="0007690F" w:rsidRPr="00D53A2B" w:rsidRDefault="0007690F" w:rsidP="00A202FD">
            <w:pPr>
              <w:widowControl w:val="0"/>
              <w:spacing w:after="240" w:line="276" w:lineRule="auto"/>
              <w:ind w:firstLine="1"/>
              <w:contextualSpacing/>
              <w:jc w:val="both"/>
            </w:pPr>
            <w:r w:rsidRPr="00D53A2B">
              <w:t>Bölüm 1.4.1'e bakınız.</w:t>
            </w:r>
          </w:p>
        </w:tc>
        <w:tc>
          <w:tcPr>
            <w:tcW w:w="3396" w:type="dxa"/>
            <w:noWrap/>
            <w:hideMark/>
          </w:tcPr>
          <w:p w14:paraId="598DE5A4" w14:textId="77777777" w:rsidR="0007690F" w:rsidRPr="00D53A2B" w:rsidRDefault="0007690F" w:rsidP="00A202FD">
            <w:pPr>
              <w:widowControl w:val="0"/>
              <w:spacing w:after="240" w:line="276" w:lineRule="auto"/>
              <w:ind w:firstLine="1"/>
              <w:contextualSpacing/>
              <w:jc w:val="both"/>
            </w:pPr>
            <w:r w:rsidRPr="00D53A2B">
              <w:t>Genelde uygulanabilir.</w:t>
            </w:r>
          </w:p>
        </w:tc>
      </w:tr>
      <w:tr w:rsidR="0007690F" w:rsidRPr="00D53A2B" w14:paraId="5FE1E6EA" w14:textId="77777777" w:rsidTr="00A202FD">
        <w:trPr>
          <w:trHeight w:val="320"/>
        </w:trPr>
        <w:tc>
          <w:tcPr>
            <w:tcW w:w="2263" w:type="dxa"/>
            <w:noWrap/>
            <w:hideMark/>
          </w:tcPr>
          <w:p w14:paraId="75402AD0" w14:textId="77777777" w:rsidR="0007690F" w:rsidRPr="00D53A2B" w:rsidRDefault="0007690F" w:rsidP="00A202FD">
            <w:pPr>
              <w:widowControl w:val="0"/>
              <w:spacing w:after="240" w:line="276" w:lineRule="auto"/>
              <w:ind w:firstLine="1"/>
              <w:contextualSpacing/>
              <w:jc w:val="both"/>
              <w:rPr>
                <w:b/>
                <w:bCs/>
              </w:rPr>
            </w:pPr>
            <w:r w:rsidRPr="00D53A2B">
              <w:rPr>
                <w:b/>
                <w:bCs/>
              </w:rPr>
              <w:t>n. İndüksiyon fırınlarında atık ısının kullanımı</w:t>
            </w:r>
          </w:p>
        </w:tc>
        <w:tc>
          <w:tcPr>
            <w:tcW w:w="3403" w:type="dxa"/>
            <w:noWrap/>
            <w:hideMark/>
          </w:tcPr>
          <w:p w14:paraId="39B76B85" w14:textId="77777777" w:rsidR="0007690F" w:rsidRPr="00D53A2B" w:rsidRDefault="0007690F" w:rsidP="00A202FD">
            <w:pPr>
              <w:widowControl w:val="0"/>
              <w:spacing w:after="240" w:line="276" w:lineRule="auto"/>
              <w:ind w:firstLine="1"/>
              <w:contextualSpacing/>
              <w:jc w:val="both"/>
            </w:pPr>
            <w:r w:rsidRPr="00D53A2B">
              <w:t>İndüksiyon fırınlarından gelen atık ısının, ısı değiştiriciler kullanılarak hammadde (örneğin hurda), alan ısıtması veya sıcak su temini için geri kazanılması.</w:t>
            </w:r>
          </w:p>
        </w:tc>
        <w:tc>
          <w:tcPr>
            <w:tcW w:w="3396" w:type="dxa"/>
            <w:noWrap/>
            <w:hideMark/>
          </w:tcPr>
          <w:p w14:paraId="4CA48DD4" w14:textId="77777777" w:rsidR="0007690F" w:rsidRPr="00D53A2B" w:rsidRDefault="0007690F" w:rsidP="00A202FD">
            <w:pPr>
              <w:widowControl w:val="0"/>
              <w:spacing w:after="240" w:line="276" w:lineRule="auto"/>
              <w:ind w:firstLine="1"/>
              <w:contextualSpacing/>
              <w:jc w:val="both"/>
            </w:pPr>
            <w:r w:rsidRPr="00D53A2B">
              <w:t>Genelde uygulanabilir.</w:t>
            </w:r>
          </w:p>
        </w:tc>
      </w:tr>
    </w:tbl>
    <w:p w14:paraId="7864843C" w14:textId="77777777" w:rsidR="0007690F" w:rsidRPr="00D53A2B" w:rsidRDefault="0007690F" w:rsidP="00A202FD">
      <w:pPr>
        <w:widowControl w:val="0"/>
        <w:spacing w:after="240" w:line="276" w:lineRule="auto"/>
        <w:ind w:firstLine="1"/>
        <w:contextualSpacing/>
        <w:jc w:val="both"/>
      </w:pPr>
    </w:p>
    <w:p w14:paraId="4331DAD9" w14:textId="77777777" w:rsidR="0007690F" w:rsidRPr="00D53A2B" w:rsidRDefault="0007690F" w:rsidP="00A202FD">
      <w:pPr>
        <w:widowControl w:val="0"/>
        <w:spacing w:after="240" w:line="276" w:lineRule="auto"/>
        <w:ind w:firstLine="1"/>
        <w:contextualSpacing/>
        <w:jc w:val="both"/>
      </w:pPr>
      <w:r w:rsidRPr="00D53A2B">
        <w:t>Enerji verimliliğini artırmaya yönelik sektörle ilgili diğer teknikler, bu MET sonuçlarının 1.2.2.1 ve 1.2.4.1 Bölümlerinde verilmiştir.</w:t>
      </w:r>
    </w:p>
    <w:p w14:paraId="6AA583C8" w14:textId="77777777" w:rsidR="0007690F" w:rsidRPr="00D53A2B" w:rsidRDefault="0007690F" w:rsidP="00A202FD">
      <w:pPr>
        <w:widowControl w:val="0"/>
        <w:spacing w:after="240" w:line="276" w:lineRule="auto"/>
        <w:ind w:firstLine="1"/>
        <w:contextualSpacing/>
        <w:jc w:val="both"/>
        <w:rPr>
          <w:i/>
          <w:iCs/>
        </w:rPr>
      </w:pPr>
      <w:r w:rsidRPr="00D53A2B">
        <w:rPr>
          <w:i/>
          <w:iCs/>
        </w:rPr>
        <w:t>Tablo 1.1</w:t>
      </w:r>
    </w:p>
    <w:p w14:paraId="6ABD7E66" w14:textId="77777777" w:rsidR="0007690F" w:rsidRPr="00D53A2B" w:rsidRDefault="0007690F" w:rsidP="00A202FD">
      <w:pPr>
        <w:widowControl w:val="0"/>
        <w:spacing w:after="240" w:line="276" w:lineRule="auto"/>
        <w:ind w:firstLine="1"/>
        <w:contextualSpacing/>
        <w:jc w:val="both"/>
        <w:rPr>
          <w:b/>
          <w:bCs/>
        </w:rPr>
      </w:pPr>
      <w:r w:rsidRPr="00D53A2B">
        <w:rPr>
          <w:b/>
          <w:bCs/>
        </w:rPr>
        <w:t>Dökme demir dökümhanelerinde belirli enerji tüketimi için MET ile ilişkili çevresel performans seviyeleri (MET-AEPL'leri)</w:t>
      </w:r>
    </w:p>
    <w:tbl>
      <w:tblPr>
        <w:tblStyle w:val="TabloKlavuzu"/>
        <w:tblW w:w="0" w:type="auto"/>
        <w:tblLook w:val="04A0" w:firstRow="1" w:lastRow="0" w:firstColumn="1" w:lastColumn="0" w:noHBand="0" w:noVBand="1"/>
      </w:tblPr>
      <w:tblGrid>
        <w:gridCol w:w="2830"/>
        <w:gridCol w:w="2976"/>
        <w:gridCol w:w="3254"/>
      </w:tblGrid>
      <w:tr w:rsidR="0007690F" w:rsidRPr="00D53A2B" w14:paraId="0B145756" w14:textId="77777777" w:rsidTr="00A202FD">
        <w:trPr>
          <w:trHeight w:val="320"/>
        </w:trPr>
        <w:tc>
          <w:tcPr>
            <w:tcW w:w="2830" w:type="dxa"/>
            <w:noWrap/>
            <w:hideMark/>
          </w:tcPr>
          <w:p w14:paraId="02A6FABB" w14:textId="77777777" w:rsidR="0007690F" w:rsidRPr="00D53A2B" w:rsidRDefault="0007690F" w:rsidP="00A202FD">
            <w:pPr>
              <w:widowControl w:val="0"/>
              <w:spacing w:after="240" w:line="276" w:lineRule="auto"/>
              <w:ind w:firstLine="1"/>
              <w:contextualSpacing/>
              <w:jc w:val="both"/>
              <w:rPr>
                <w:b/>
                <w:bCs/>
              </w:rPr>
            </w:pPr>
            <w:r w:rsidRPr="00D53A2B">
              <w:rPr>
                <w:b/>
                <w:bCs/>
              </w:rPr>
              <w:t>Proses – Fırın tipi</w:t>
            </w:r>
          </w:p>
        </w:tc>
        <w:tc>
          <w:tcPr>
            <w:tcW w:w="2977" w:type="dxa"/>
            <w:noWrap/>
            <w:hideMark/>
          </w:tcPr>
          <w:p w14:paraId="5AED8C15"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3255" w:type="dxa"/>
            <w:noWrap/>
            <w:hideMark/>
          </w:tcPr>
          <w:p w14:paraId="6623EBA7" w14:textId="77777777" w:rsidR="0007690F" w:rsidRPr="00D53A2B" w:rsidRDefault="0007690F" w:rsidP="00A202FD">
            <w:pPr>
              <w:widowControl w:val="0"/>
              <w:spacing w:after="240" w:line="276" w:lineRule="auto"/>
              <w:ind w:firstLine="1"/>
              <w:contextualSpacing/>
              <w:jc w:val="both"/>
              <w:rPr>
                <w:b/>
                <w:bCs/>
              </w:rPr>
            </w:pPr>
            <w:r w:rsidRPr="00D53A2B">
              <w:rPr>
                <w:b/>
                <w:bCs/>
              </w:rPr>
              <w:t>MET-AEPL (Yıllık ortalama)</w:t>
            </w:r>
          </w:p>
        </w:tc>
      </w:tr>
      <w:tr w:rsidR="0007690F" w:rsidRPr="00D53A2B" w14:paraId="6E74FD2B" w14:textId="77777777" w:rsidTr="00A202FD">
        <w:trPr>
          <w:trHeight w:val="320"/>
        </w:trPr>
        <w:tc>
          <w:tcPr>
            <w:tcW w:w="2830" w:type="dxa"/>
            <w:noWrap/>
            <w:hideMark/>
          </w:tcPr>
          <w:p w14:paraId="266746C6" w14:textId="77777777" w:rsidR="0007690F" w:rsidRPr="00D53A2B" w:rsidRDefault="0007690F" w:rsidP="00A202FD">
            <w:pPr>
              <w:widowControl w:val="0"/>
              <w:spacing w:after="240" w:line="276" w:lineRule="auto"/>
              <w:ind w:firstLine="1"/>
              <w:contextualSpacing/>
              <w:jc w:val="both"/>
            </w:pPr>
            <w:r w:rsidRPr="00D53A2B">
              <w:t>Erime ve tutma – Soğuk üfleme kubilesi</w:t>
            </w:r>
          </w:p>
        </w:tc>
        <w:tc>
          <w:tcPr>
            <w:tcW w:w="2977" w:type="dxa"/>
            <w:noWrap/>
            <w:hideMark/>
          </w:tcPr>
          <w:p w14:paraId="6312ED2C" w14:textId="77777777" w:rsidR="0007690F" w:rsidRPr="00D53A2B" w:rsidRDefault="0007690F" w:rsidP="00A202FD">
            <w:pPr>
              <w:widowControl w:val="0"/>
              <w:spacing w:after="240" w:line="276" w:lineRule="auto"/>
              <w:ind w:firstLine="1"/>
              <w:contextualSpacing/>
              <w:jc w:val="both"/>
            </w:pPr>
            <w:r w:rsidRPr="00D53A2B">
              <w:t>kWh/zaman sıvı metal</w:t>
            </w:r>
          </w:p>
        </w:tc>
        <w:tc>
          <w:tcPr>
            <w:tcW w:w="3255" w:type="dxa"/>
            <w:noWrap/>
            <w:hideMark/>
          </w:tcPr>
          <w:p w14:paraId="6821A99E" w14:textId="77777777" w:rsidR="0007690F" w:rsidRPr="00D53A2B" w:rsidRDefault="0007690F" w:rsidP="00A202FD">
            <w:pPr>
              <w:widowControl w:val="0"/>
              <w:spacing w:after="240" w:line="276" w:lineRule="auto"/>
              <w:ind w:firstLine="1"/>
              <w:contextualSpacing/>
              <w:jc w:val="both"/>
            </w:pPr>
            <w:r w:rsidRPr="00D53A2B">
              <w:t>900 – 1.750</w:t>
            </w:r>
          </w:p>
        </w:tc>
      </w:tr>
      <w:tr w:rsidR="0007690F" w:rsidRPr="00D53A2B" w14:paraId="10F3D8E5" w14:textId="77777777" w:rsidTr="00A202FD">
        <w:trPr>
          <w:trHeight w:val="320"/>
        </w:trPr>
        <w:tc>
          <w:tcPr>
            <w:tcW w:w="2830" w:type="dxa"/>
            <w:noWrap/>
            <w:hideMark/>
          </w:tcPr>
          <w:p w14:paraId="1921549B" w14:textId="77777777" w:rsidR="0007690F" w:rsidRPr="00D53A2B" w:rsidRDefault="0007690F" w:rsidP="00A202FD">
            <w:pPr>
              <w:widowControl w:val="0"/>
              <w:spacing w:after="240" w:line="276" w:lineRule="auto"/>
              <w:ind w:firstLine="1"/>
              <w:contextualSpacing/>
              <w:jc w:val="both"/>
            </w:pPr>
            <w:r w:rsidRPr="00D53A2B">
              <w:t>Erime ve tutma – Sıcak üfleme kubilesi</w:t>
            </w:r>
          </w:p>
        </w:tc>
        <w:tc>
          <w:tcPr>
            <w:tcW w:w="2977" w:type="dxa"/>
            <w:noWrap/>
            <w:hideMark/>
          </w:tcPr>
          <w:p w14:paraId="2EB78D0F" w14:textId="77777777" w:rsidR="0007690F" w:rsidRPr="00D53A2B" w:rsidRDefault="0007690F" w:rsidP="00A202FD">
            <w:pPr>
              <w:widowControl w:val="0"/>
              <w:spacing w:after="240" w:line="276" w:lineRule="auto"/>
              <w:ind w:firstLine="1"/>
              <w:contextualSpacing/>
              <w:jc w:val="both"/>
            </w:pPr>
            <w:r w:rsidRPr="00D53A2B">
              <w:t>kWh/zaman sıvı metal</w:t>
            </w:r>
          </w:p>
        </w:tc>
        <w:tc>
          <w:tcPr>
            <w:tcW w:w="3255" w:type="dxa"/>
            <w:noWrap/>
            <w:hideMark/>
          </w:tcPr>
          <w:p w14:paraId="52AB4E9E" w14:textId="77777777" w:rsidR="0007690F" w:rsidRPr="00D53A2B" w:rsidRDefault="0007690F" w:rsidP="00A202FD">
            <w:pPr>
              <w:widowControl w:val="0"/>
              <w:spacing w:after="240" w:line="276" w:lineRule="auto"/>
              <w:ind w:firstLine="1"/>
              <w:contextualSpacing/>
              <w:jc w:val="both"/>
            </w:pPr>
            <w:r w:rsidRPr="00D53A2B">
              <w:t>900 – 1.500</w:t>
            </w:r>
          </w:p>
        </w:tc>
      </w:tr>
      <w:tr w:rsidR="0007690F" w:rsidRPr="00D53A2B" w14:paraId="13218D0C" w14:textId="77777777" w:rsidTr="00A202FD">
        <w:trPr>
          <w:trHeight w:val="320"/>
        </w:trPr>
        <w:tc>
          <w:tcPr>
            <w:tcW w:w="2830" w:type="dxa"/>
            <w:noWrap/>
            <w:hideMark/>
          </w:tcPr>
          <w:p w14:paraId="75D48654" w14:textId="77777777" w:rsidR="0007690F" w:rsidRPr="00D53A2B" w:rsidRDefault="0007690F" w:rsidP="00A202FD">
            <w:pPr>
              <w:widowControl w:val="0"/>
              <w:spacing w:after="240" w:line="276" w:lineRule="auto"/>
              <w:ind w:firstLine="1"/>
              <w:contextualSpacing/>
              <w:jc w:val="both"/>
            </w:pPr>
            <w:r w:rsidRPr="00D53A2B">
              <w:t>Erime ve tutma – Indüksiyon</w:t>
            </w:r>
          </w:p>
        </w:tc>
        <w:tc>
          <w:tcPr>
            <w:tcW w:w="2977" w:type="dxa"/>
            <w:noWrap/>
            <w:hideMark/>
          </w:tcPr>
          <w:p w14:paraId="75324D1B" w14:textId="77777777" w:rsidR="0007690F" w:rsidRPr="00D53A2B" w:rsidRDefault="0007690F" w:rsidP="00A202FD">
            <w:pPr>
              <w:widowControl w:val="0"/>
              <w:spacing w:after="240" w:line="276" w:lineRule="auto"/>
              <w:ind w:firstLine="1"/>
              <w:contextualSpacing/>
              <w:jc w:val="both"/>
            </w:pPr>
            <w:r w:rsidRPr="00D53A2B">
              <w:t>kWh/t sıvı metal</w:t>
            </w:r>
          </w:p>
        </w:tc>
        <w:tc>
          <w:tcPr>
            <w:tcW w:w="3255" w:type="dxa"/>
            <w:noWrap/>
            <w:hideMark/>
          </w:tcPr>
          <w:p w14:paraId="25C50A1C" w14:textId="77777777" w:rsidR="0007690F" w:rsidRPr="00D53A2B" w:rsidRDefault="0007690F" w:rsidP="00A202FD">
            <w:pPr>
              <w:widowControl w:val="0"/>
              <w:spacing w:after="240" w:line="276" w:lineRule="auto"/>
              <w:ind w:firstLine="1"/>
              <w:contextualSpacing/>
              <w:jc w:val="both"/>
            </w:pPr>
            <w:r w:rsidRPr="00D53A2B">
              <w:t>600 – 1.200</w:t>
            </w:r>
          </w:p>
        </w:tc>
      </w:tr>
      <w:tr w:rsidR="0007690F" w:rsidRPr="00D53A2B" w14:paraId="714469C9" w14:textId="77777777" w:rsidTr="00A202FD">
        <w:trPr>
          <w:trHeight w:val="320"/>
        </w:trPr>
        <w:tc>
          <w:tcPr>
            <w:tcW w:w="2830" w:type="dxa"/>
            <w:noWrap/>
            <w:hideMark/>
          </w:tcPr>
          <w:p w14:paraId="092CB3AB" w14:textId="77777777" w:rsidR="0007690F" w:rsidRPr="00D53A2B" w:rsidRDefault="0007690F" w:rsidP="00A202FD">
            <w:pPr>
              <w:widowControl w:val="0"/>
              <w:spacing w:after="240" w:line="276" w:lineRule="auto"/>
              <w:ind w:firstLine="1"/>
              <w:contextualSpacing/>
              <w:jc w:val="both"/>
            </w:pPr>
            <w:r w:rsidRPr="00D53A2B">
              <w:t>Erime ve tutma – Döner fırın</w:t>
            </w:r>
          </w:p>
        </w:tc>
        <w:tc>
          <w:tcPr>
            <w:tcW w:w="2977" w:type="dxa"/>
            <w:noWrap/>
            <w:hideMark/>
          </w:tcPr>
          <w:p w14:paraId="12F56457" w14:textId="77777777" w:rsidR="0007690F" w:rsidRPr="00D53A2B" w:rsidRDefault="0007690F" w:rsidP="00A202FD">
            <w:pPr>
              <w:widowControl w:val="0"/>
              <w:spacing w:after="240" w:line="276" w:lineRule="auto"/>
              <w:ind w:firstLine="1"/>
              <w:contextualSpacing/>
              <w:jc w:val="both"/>
            </w:pPr>
            <w:r w:rsidRPr="00D53A2B">
              <w:t>kWh/t sıvı metal</w:t>
            </w:r>
          </w:p>
        </w:tc>
        <w:tc>
          <w:tcPr>
            <w:tcW w:w="3255" w:type="dxa"/>
            <w:noWrap/>
            <w:hideMark/>
          </w:tcPr>
          <w:p w14:paraId="6B172070" w14:textId="77777777" w:rsidR="0007690F" w:rsidRPr="00D53A2B" w:rsidRDefault="0007690F" w:rsidP="00A202FD">
            <w:pPr>
              <w:widowControl w:val="0"/>
              <w:spacing w:after="240" w:line="276" w:lineRule="auto"/>
              <w:ind w:firstLine="1"/>
              <w:contextualSpacing/>
              <w:jc w:val="both"/>
            </w:pPr>
            <w:r w:rsidRPr="00D53A2B">
              <w:t>800 – 950</w:t>
            </w:r>
          </w:p>
        </w:tc>
      </w:tr>
      <w:tr w:rsidR="0007690F" w:rsidRPr="00D53A2B" w14:paraId="4EFE7F5C" w14:textId="77777777" w:rsidTr="00A202FD">
        <w:trPr>
          <w:trHeight w:val="320"/>
        </w:trPr>
        <w:tc>
          <w:tcPr>
            <w:tcW w:w="2830" w:type="dxa"/>
            <w:noWrap/>
            <w:hideMark/>
          </w:tcPr>
          <w:p w14:paraId="689B4305" w14:textId="77777777" w:rsidR="0007690F" w:rsidRPr="00D53A2B" w:rsidRDefault="0007690F" w:rsidP="00A202FD">
            <w:pPr>
              <w:widowControl w:val="0"/>
              <w:spacing w:after="240" w:line="276" w:lineRule="auto"/>
              <w:ind w:firstLine="1"/>
              <w:contextualSpacing/>
              <w:jc w:val="both"/>
            </w:pPr>
            <w:r w:rsidRPr="00D53A2B">
              <w:t>Ladle ön ısıtma</w:t>
            </w:r>
          </w:p>
        </w:tc>
        <w:tc>
          <w:tcPr>
            <w:tcW w:w="2977" w:type="dxa"/>
            <w:noWrap/>
            <w:hideMark/>
          </w:tcPr>
          <w:p w14:paraId="27671286" w14:textId="77777777" w:rsidR="0007690F" w:rsidRPr="00D53A2B" w:rsidRDefault="0007690F" w:rsidP="00A202FD">
            <w:pPr>
              <w:widowControl w:val="0"/>
              <w:spacing w:after="240" w:line="276" w:lineRule="auto"/>
              <w:ind w:firstLine="1"/>
              <w:contextualSpacing/>
              <w:jc w:val="both"/>
            </w:pPr>
            <w:r w:rsidRPr="00D53A2B">
              <w:t>kWh/t sıvı metal</w:t>
            </w:r>
          </w:p>
        </w:tc>
        <w:tc>
          <w:tcPr>
            <w:tcW w:w="3255" w:type="dxa"/>
            <w:noWrap/>
            <w:hideMark/>
          </w:tcPr>
          <w:p w14:paraId="383E7440" w14:textId="77777777" w:rsidR="0007690F" w:rsidRPr="00D53A2B" w:rsidRDefault="0007690F" w:rsidP="00A202FD">
            <w:pPr>
              <w:widowControl w:val="0"/>
              <w:spacing w:after="240" w:line="276" w:lineRule="auto"/>
              <w:ind w:firstLine="1"/>
              <w:contextualSpacing/>
              <w:jc w:val="both"/>
            </w:pPr>
            <w:r w:rsidRPr="00D53A2B">
              <w:t>50 – 150</w:t>
            </w:r>
          </w:p>
        </w:tc>
      </w:tr>
    </w:tbl>
    <w:p w14:paraId="1468CA89" w14:textId="77777777" w:rsidR="0007690F" w:rsidRPr="00D53A2B" w:rsidRDefault="0007690F" w:rsidP="00A202FD">
      <w:pPr>
        <w:widowControl w:val="0"/>
        <w:spacing w:after="240" w:line="276" w:lineRule="auto"/>
        <w:ind w:firstLine="1"/>
        <w:contextualSpacing/>
        <w:jc w:val="both"/>
      </w:pPr>
    </w:p>
    <w:p w14:paraId="132EA2A5" w14:textId="77777777" w:rsidR="0007690F" w:rsidRPr="00D53A2B" w:rsidRDefault="0007690F" w:rsidP="00A202FD">
      <w:pPr>
        <w:widowControl w:val="0"/>
        <w:spacing w:after="240" w:line="276" w:lineRule="auto"/>
        <w:ind w:firstLine="1"/>
        <w:contextualSpacing/>
        <w:jc w:val="both"/>
        <w:rPr>
          <w:i/>
          <w:iCs/>
        </w:rPr>
      </w:pPr>
      <w:r w:rsidRPr="00D53A2B">
        <w:rPr>
          <w:i/>
          <w:iCs/>
        </w:rPr>
        <w:t>Tablo 1.2</w:t>
      </w:r>
    </w:p>
    <w:p w14:paraId="7F22423E" w14:textId="77777777" w:rsidR="0007690F" w:rsidRPr="00D53A2B" w:rsidRDefault="0007690F" w:rsidP="00A202FD">
      <w:pPr>
        <w:widowControl w:val="0"/>
        <w:spacing w:after="240" w:line="276" w:lineRule="auto"/>
        <w:ind w:firstLine="1"/>
        <w:contextualSpacing/>
        <w:jc w:val="both"/>
      </w:pPr>
      <w:r w:rsidRPr="00D53A2B">
        <w:rPr>
          <w:b/>
          <w:bCs/>
        </w:rPr>
        <w:t>Çelik dökümhanelerinde belirli enerji tüketimi için MET ile ilişkili çevresel performans seviyeleri (MET-AEPL'leri)</w:t>
      </w:r>
    </w:p>
    <w:tbl>
      <w:tblPr>
        <w:tblStyle w:val="TabloKlavuzu"/>
        <w:tblW w:w="0" w:type="auto"/>
        <w:tblLook w:val="04A0" w:firstRow="1" w:lastRow="0" w:firstColumn="1" w:lastColumn="0" w:noHBand="0" w:noVBand="1"/>
      </w:tblPr>
      <w:tblGrid>
        <w:gridCol w:w="2405"/>
        <w:gridCol w:w="3248"/>
        <w:gridCol w:w="3407"/>
      </w:tblGrid>
      <w:tr w:rsidR="0007690F" w:rsidRPr="00D53A2B" w14:paraId="05D9077D" w14:textId="77777777" w:rsidTr="00A202FD">
        <w:trPr>
          <w:trHeight w:val="320"/>
        </w:trPr>
        <w:tc>
          <w:tcPr>
            <w:tcW w:w="2405" w:type="dxa"/>
            <w:noWrap/>
            <w:hideMark/>
          </w:tcPr>
          <w:p w14:paraId="60544E77" w14:textId="77777777" w:rsidR="0007690F" w:rsidRPr="00D53A2B" w:rsidRDefault="0007690F" w:rsidP="00A202FD">
            <w:pPr>
              <w:widowControl w:val="0"/>
              <w:spacing w:after="240" w:line="276" w:lineRule="auto"/>
              <w:ind w:firstLine="1"/>
              <w:contextualSpacing/>
              <w:jc w:val="both"/>
              <w:rPr>
                <w:b/>
                <w:bCs/>
              </w:rPr>
            </w:pPr>
            <w:r w:rsidRPr="00D53A2B">
              <w:rPr>
                <w:b/>
                <w:bCs/>
              </w:rPr>
              <w:t>Proses – Fırın tipi</w:t>
            </w:r>
          </w:p>
        </w:tc>
        <w:tc>
          <w:tcPr>
            <w:tcW w:w="3249" w:type="dxa"/>
            <w:noWrap/>
            <w:hideMark/>
          </w:tcPr>
          <w:p w14:paraId="1D531482"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3408" w:type="dxa"/>
            <w:noWrap/>
            <w:hideMark/>
          </w:tcPr>
          <w:p w14:paraId="17467A93" w14:textId="77777777" w:rsidR="0007690F" w:rsidRPr="00D53A2B" w:rsidRDefault="0007690F" w:rsidP="00A202FD">
            <w:pPr>
              <w:widowControl w:val="0"/>
              <w:spacing w:after="240" w:line="276" w:lineRule="auto"/>
              <w:ind w:firstLine="1"/>
              <w:contextualSpacing/>
              <w:jc w:val="both"/>
              <w:rPr>
                <w:b/>
                <w:bCs/>
              </w:rPr>
            </w:pPr>
            <w:r w:rsidRPr="00D53A2B">
              <w:rPr>
                <w:b/>
                <w:bCs/>
              </w:rPr>
              <w:t>MET-AEPL (Yıllık ortalama)</w:t>
            </w:r>
          </w:p>
        </w:tc>
      </w:tr>
      <w:tr w:rsidR="0007690F" w:rsidRPr="00D53A2B" w14:paraId="021CA6B2" w14:textId="77777777" w:rsidTr="00A202FD">
        <w:trPr>
          <w:trHeight w:val="320"/>
        </w:trPr>
        <w:tc>
          <w:tcPr>
            <w:tcW w:w="2405" w:type="dxa"/>
            <w:noWrap/>
            <w:hideMark/>
          </w:tcPr>
          <w:p w14:paraId="7200EEB8" w14:textId="77777777" w:rsidR="0007690F" w:rsidRPr="00D53A2B" w:rsidRDefault="0007690F" w:rsidP="00A202FD">
            <w:pPr>
              <w:widowControl w:val="0"/>
              <w:spacing w:after="240" w:line="276" w:lineRule="auto"/>
              <w:ind w:firstLine="1"/>
              <w:contextualSpacing/>
              <w:jc w:val="both"/>
            </w:pPr>
            <w:r w:rsidRPr="00D53A2B">
              <w:t>Erime – (EAF/indüksiyon)</w:t>
            </w:r>
          </w:p>
        </w:tc>
        <w:tc>
          <w:tcPr>
            <w:tcW w:w="3249" w:type="dxa"/>
            <w:noWrap/>
            <w:hideMark/>
          </w:tcPr>
          <w:p w14:paraId="28D2FE68" w14:textId="77777777" w:rsidR="0007690F" w:rsidRPr="00D53A2B" w:rsidRDefault="0007690F" w:rsidP="00A202FD">
            <w:pPr>
              <w:widowControl w:val="0"/>
              <w:spacing w:after="240" w:line="276" w:lineRule="auto"/>
              <w:ind w:firstLine="1"/>
              <w:contextualSpacing/>
              <w:jc w:val="both"/>
            </w:pPr>
            <w:r w:rsidRPr="00D53A2B">
              <w:t>kWh/t sıvı metal</w:t>
            </w:r>
          </w:p>
        </w:tc>
        <w:tc>
          <w:tcPr>
            <w:tcW w:w="3408" w:type="dxa"/>
            <w:noWrap/>
            <w:hideMark/>
          </w:tcPr>
          <w:p w14:paraId="4176B578" w14:textId="77777777" w:rsidR="0007690F" w:rsidRPr="00D53A2B" w:rsidRDefault="0007690F" w:rsidP="00A202FD">
            <w:pPr>
              <w:widowControl w:val="0"/>
              <w:spacing w:after="240" w:line="276" w:lineRule="auto"/>
              <w:ind w:firstLine="1"/>
              <w:contextualSpacing/>
              <w:jc w:val="both"/>
            </w:pPr>
            <w:r w:rsidRPr="00D53A2B">
              <w:t>600 – 1.200</w:t>
            </w:r>
          </w:p>
        </w:tc>
      </w:tr>
      <w:tr w:rsidR="0007690F" w:rsidRPr="00D53A2B" w14:paraId="695ACFB0" w14:textId="77777777" w:rsidTr="00A202FD">
        <w:trPr>
          <w:trHeight w:val="320"/>
        </w:trPr>
        <w:tc>
          <w:tcPr>
            <w:tcW w:w="2405" w:type="dxa"/>
            <w:noWrap/>
            <w:hideMark/>
          </w:tcPr>
          <w:p w14:paraId="2033B5EF" w14:textId="77777777" w:rsidR="0007690F" w:rsidRPr="00D53A2B" w:rsidRDefault="0007690F" w:rsidP="00A202FD">
            <w:pPr>
              <w:widowControl w:val="0"/>
              <w:spacing w:after="240" w:line="276" w:lineRule="auto"/>
              <w:ind w:firstLine="1"/>
              <w:contextualSpacing/>
              <w:jc w:val="both"/>
            </w:pPr>
            <w:r w:rsidRPr="00D53A2B">
              <w:t>Pota Isıtma</w:t>
            </w:r>
          </w:p>
        </w:tc>
        <w:tc>
          <w:tcPr>
            <w:tcW w:w="3249" w:type="dxa"/>
            <w:noWrap/>
            <w:hideMark/>
          </w:tcPr>
          <w:p w14:paraId="7AD75F4D" w14:textId="77777777" w:rsidR="0007690F" w:rsidRPr="00D53A2B" w:rsidRDefault="0007690F" w:rsidP="00A202FD">
            <w:pPr>
              <w:widowControl w:val="0"/>
              <w:spacing w:after="240" w:line="276" w:lineRule="auto"/>
              <w:ind w:firstLine="1"/>
              <w:contextualSpacing/>
              <w:jc w:val="both"/>
            </w:pPr>
            <w:r w:rsidRPr="00D53A2B">
              <w:t>kWh/t sıvı metal</w:t>
            </w:r>
          </w:p>
        </w:tc>
        <w:tc>
          <w:tcPr>
            <w:tcW w:w="3408" w:type="dxa"/>
            <w:noWrap/>
            <w:hideMark/>
          </w:tcPr>
          <w:p w14:paraId="336FF6C6" w14:textId="77777777" w:rsidR="0007690F" w:rsidRPr="00D53A2B" w:rsidRDefault="0007690F" w:rsidP="00A202FD">
            <w:pPr>
              <w:widowControl w:val="0"/>
              <w:spacing w:after="240" w:line="276" w:lineRule="auto"/>
              <w:ind w:firstLine="1"/>
              <w:contextualSpacing/>
              <w:jc w:val="both"/>
            </w:pPr>
            <w:r w:rsidRPr="00D53A2B">
              <w:t>100 – 300</w:t>
            </w:r>
          </w:p>
        </w:tc>
      </w:tr>
    </w:tbl>
    <w:p w14:paraId="5BDE70E5" w14:textId="77777777" w:rsidR="0007690F" w:rsidRPr="00D53A2B" w:rsidRDefault="0007690F" w:rsidP="00A202FD">
      <w:pPr>
        <w:widowControl w:val="0"/>
        <w:spacing w:after="240" w:line="276" w:lineRule="auto"/>
        <w:ind w:firstLine="1"/>
        <w:contextualSpacing/>
        <w:jc w:val="both"/>
      </w:pPr>
    </w:p>
    <w:p w14:paraId="7F9DF8D9" w14:textId="77777777" w:rsidR="0007690F" w:rsidRPr="00D53A2B" w:rsidRDefault="0007690F" w:rsidP="00A202FD">
      <w:pPr>
        <w:widowControl w:val="0"/>
        <w:spacing w:after="240" w:line="276" w:lineRule="auto"/>
        <w:ind w:firstLine="1"/>
        <w:contextualSpacing/>
        <w:jc w:val="both"/>
        <w:rPr>
          <w:i/>
          <w:iCs/>
        </w:rPr>
      </w:pPr>
      <w:r w:rsidRPr="00D53A2B">
        <w:rPr>
          <w:i/>
          <w:iCs/>
        </w:rPr>
        <w:t>Tablo 1.3</w:t>
      </w:r>
    </w:p>
    <w:p w14:paraId="6A60A01B" w14:textId="77777777" w:rsidR="0007690F" w:rsidRPr="00D53A2B" w:rsidRDefault="0007690F" w:rsidP="00A202FD">
      <w:pPr>
        <w:widowControl w:val="0"/>
        <w:spacing w:after="240" w:line="276" w:lineRule="auto"/>
        <w:ind w:firstLine="1"/>
        <w:contextualSpacing/>
        <w:jc w:val="both"/>
      </w:pPr>
      <w:r w:rsidRPr="00D53A2B">
        <w:rPr>
          <w:b/>
          <w:bCs/>
        </w:rPr>
        <w:t>Alüminyum dökümhanelerinde belirli enerji tüketimi için MET ile ilişkili çevresel performans seviyeleri (MET-AEPL'leri)</w:t>
      </w:r>
    </w:p>
    <w:tbl>
      <w:tblPr>
        <w:tblStyle w:val="TabloKlavuzu"/>
        <w:tblW w:w="0" w:type="auto"/>
        <w:tblLook w:val="04A0" w:firstRow="1" w:lastRow="0" w:firstColumn="1" w:lastColumn="0" w:noHBand="0" w:noVBand="1"/>
      </w:tblPr>
      <w:tblGrid>
        <w:gridCol w:w="2674"/>
        <w:gridCol w:w="2849"/>
        <w:gridCol w:w="3537"/>
      </w:tblGrid>
      <w:tr w:rsidR="0007690F" w:rsidRPr="00D53A2B" w14:paraId="65C5A02C" w14:textId="77777777" w:rsidTr="00A202FD">
        <w:trPr>
          <w:trHeight w:val="516"/>
        </w:trPr>
        <w:tc>
          <w:tcPr>
            <w:tcW w:w="2674" w:type="dxa"/>
            <w:noWrap/>
            <w:hideMark/>
          </w:tcPr>
          <w:p w14:paraId="17EB0EA4" w14:textId="77777777" w:rsidR="0007690F" w:rsidRPr="00D53A2B" w:rsidRDefault="0007690F" w:rsidP="00A202FD">
            <w:pPr>
              <w:widowControl w:val="0"/>
              <w:spacing w:after="240" w:line="276" w:lineRule="auto"/>
              <w:ind w:firstLine="1"/>
              <w:contextualSpacing/>
              <w:jc w:val="both"/>
              <w:rPr>
                <w:b/>
                <w:bCs/>
              </w:rPr>
            </w:pPr>
            <w:r w:rsidRPr="00D53A2B">
              <w:rPr>
                <w:b/>
                <w:bCs/>
              </w:rPr>
              <w:t>Proses</w:t>
            </w:r>
          </w:p>
        </w:tc>
        <w:tc>
          <w:tcPr>
            <w:tcW w:w="2850" w:type="dxa"/>
            <w:noWrap/>
            <w:hideMark/>
          </w:tcPr>
          <w:p w14:paraId="2F9D7375"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3538" w:type="dxa"/>
            <w:noWrap/>
            <w:hideMark/>
          </w:tcPr>
          <w:p w14:paraId="46632D17" w14:textId="77777777" w:rsidR="0007690F" w:rsidRPr="00D53A2B" w:rsidRDefault="0007690F" w:rsidP="00A202FD">
            <w:pPr>
              <w:widowControl w:val="0"/>
              <w:spacing w:after="240" w:line="276" w:lineRule="auto"/>
              <w:ind w:firstLine="1"/>
              <w:contextualSpacing/>
              <w:jc w:val="both"/>
              <w:rPr>
                <w:b/>
                <w:bCs/>
              </w:rPr>
            </w:pPr>
            <w:r w:rsidRPr="00D53A2B">
              <w:rPr>
                <w:b/>
                <w:bCs/>
              </w:rPr>
              <w:t>MET-AEPL (Yıllık ortalama)</w:t>
            </w:r>
          </w:p>
        </w:tc>
      </w:tr>
      <w:tr w:rsidR="0007690F" w:rsidRPr="00D53A2B" w14:paraId="6F4EECCB" w14:textId="77777777" w:rsidTr="00A202FD">
        <w:trPr>
          <w:trHeight w:val="320"/>
        </w:trPr>
        <w:tc>
          <w:tcPr>
            <w:tcW w:w="2674" w:type="dxa"/>
            <w:noWrap/>
            <w:hideMark/>
          </w:tcPr>
          <w:p w14:paraId="699EA980" w14:textId="77777777" w:rsidR="0007690F" w:rsidRPr="00D53A2B" w:rsidRDefault="0007690F" w:rsidP="00A202FD">
            <w:pPr>
              <w:widowControl w:val="0"/>
              <w:spacing w:after="240" w:line="276" w:lineRule="auto"/>
              <w:ind w:firstLine="1"/>
              <w:contextualSpacing/>
              <w:jc w:val="both"/>
            </w:pPr>
            <w:r w:rsidRPr="00D53A2B">
              <w:t>Erime ve tutma</w:t>
            </w:r>
          </w:p>
        </w:tc>
        <w:tc>
          <w:tcPr>
            <w:tcW w:w="2850" w:type="dxa"/>
            <w:noWrap/>
            <w:hideMark/>
          </w:tcPr>
          <w:p w14:paraId="06D97476" w14:textId="77777777" w:rsidR="0007690F" w:rsidRPr="00D53A2B" w:rsidRDefault="0007690F" w:rsidP="00A202FD">
            <w:pPr>
              <w:widowControl w:val="0"/>
              <w:spacing w:after="240" w:line="276" w:lineRule="auto"/>
              <w:ind w:firstLine="1"/>
              <w:contextualSpacing/>
              <w:jc w:val="both"/>
            </w:pPr>
            <w:r w:rsidRPr="00D53A2B">
              <w:t>kWh/t sıvı metal</w:t>
            </w:r>
          </w:p>
        </w:tc>
        <w:tc>
          <w:tcPr>
            <w:tcW w:w="3538" w:type="dxa"/>
            <w:noWrap/>
            <w:hideMark/>
          </w:tcPr>
          <w:p w14:paraId="5F5587FD" w14:textId="77777777" w:rsidR="0007690F" w:rsidRPr="00D53A2B" w:rsidRDefault="0007690F" w:rsidP="00A202FD">
            <w:pPr>
              <w:widowControl w:val="0"/>
              <w:spacing w:after="240" w:line="276" w:lineRule="auto"/>
              <w:ind w:firstLine="1"/>
              <w:contextualSpacing/>
              <w:jc w:val="both"/>
            </w:pPr>
            <w:r w:rsidRPr="00D53A2B">
              <w:t>600 – 2.000</w:t>
            </w:r>
          </w:p>
        </w:tc>
      </w:tr>
    </w:tbl>
    <w:p w14:paraId="41DF1990" w14:textId="77777777" w:rsidR="0007690F" w:rsidRPr="00D53A2B" w:rsidRDefault="0007690F" w:rsidP="00A202FD">
      <w:pPr>
        <w:widowControl w:val="0"/>
        <w:spacing w:after="240" w:line="276" w:lineRule="auto"/>
        <w:ind w:firstLine="1"/>
        <w:contextualSpacing/>
        <w:jc w:val="both"/>
      </w:pPr>
    </w:p>
    <w:p w14:paraId="26E47FDB" w14:textId="77777777" w:rsidR="0007690F" w:rsidRPr="00D53A2B" w:rsidRDefault="0007690F" w:rsidP="00A202FD">
      <w:pPr>
        <w:pStyle w:val="Balk4"/>
        <w:rPr>
          <w:rFonts w:cs="Times New Roman"/>
        </w:rPr>
      </w:pPr>
      <w:r w:rsidRPr="00D53A2B">
        <w:rPr>
          <w:rFonts w:cs="Times New Roman"/>
        </w:rPr>
        <w:t>1.2.1.4. Malzeme verimliliği</w:t>
      </w:r>
    </w:p>
    <w:p w14:paraId="2709C688" w14:textId="77777777" w:rsidR="0007690F" w:rsidRPr="00D53A2B" w:rsidRDefault="0007690F" w:rsidP="00A202FD">
      <w:pPr>
        <w:pStyle w:val="Balk5"/>
        <w:ind w:left="1134"/>
        <w:rPr>
          <w:szCs w:val="24"/>
        </w:rPr>
      </w:pPr>
      <w:r w:rsidRPr="00D53A2B">
        <w:rPr>
          <w:szCs w:val="24"/>
        </w:rPr>
        <w:t>1.2.1.4.1. Atık, ambalaj ve kullanılmayan proses kimyasallarının depolanması ve taşınması</w:t>
      </w:r>
    </w:p>
    <w:p w14:paraId="3D121E4E" w14:textId="77777777" w:rsidR="0007690F" w:rsidRPr="00D53A2B" w:rsidRDefault="0007690F" w:rsidP="00A202FD">
      <w:pPr>
        <w:widowControl w:val="0"/>
        <w:spacing w:after="240" w:line="276" w:lineRule="auto"/>
        <w:ind w:firstLine="1"/>
        <w:contextualSpacing/>
        <w:jc w:val="both"/>
      </w:pPr>
      <w:r w:rsidRPr="00D53A2B">
        <w:rPr>
          <w:b/>
          <w:bCs/>
        </w:rPr>
        <w:t>MET 15.</w:t>
      </w:r>
      <w:r w:rsidRPr="00D53A2B">
        <w:t> </w:t>
      </w:r>
      <w:r w:rsidRPr="00D53A2B">
        <w:rPr>
          <w:b/>
          <w:bCs/>
        </w:rPr>
        <w:t>Atıkların, ambalajların ve kullanılmayan proses kimyasallarının depolanması ve taşınmasıyla ilişkili çevresel riskleri önlemek veya azaltmak ve bunların yeniden kullanımı ve/veya geri dönüşümünü kolaylaştırmak amacıyla, MET aşağıda verilen tüm teknikleri kullanmayı önerir.</w:t>
      </w:r>
    </w:p>
    <w:tbl>
      <w:tblPr>
        <w:tblStyle w:val="TabloKlavuzu"/>
        <w:tblW w:w="0" w:type="auto"/>
        <w:tblLook w:val="04A0" w:firstRow="1" w:lastRow="0" w:firstColumn="1" w:lastColumn="0" w:noHBand="0" w:noVBand="1"/>
      </w:tblPr>
      <w:tblGrid>
        <w:gridCol w:w="2688"/>
        <w:gridCol w:w="6372"/>
      </w:tblGrid>
      <w:tr w:rsidR="0007690F" w:rsidRPr="00D53A2B" w14:paraId="4928844D" w14:textId="77777777" w:rsidTr="00A202FD">
        <w:trPr>
          <w:trHeight w:val="320"/>
        </w:trPr>
        <w:tc>
          <w:tcPr>
            <w:tcW w:w="2689" w:type="dxa"/>
            <w:noWrap/>
            <w:hideMark/>
          </w:tcPr>
          <w:p w14:paraId="7B217A70"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6373" w:type="dxa"/>
            <w:noWrap/>
            <w:hideMark/>
          </w:tcPr>
          <w:p w14:paraId="4E630E4D"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r>
      <w:tr w:rsidR="0007690F" w:rsidRPr="00D53A2B" w14:paraId="574DF90D" w14:textId="77777777" w:rsidTr="00A202FD">
        <w:trPr>
          <w:trHeight w:val="320"/>
        </w:trPr>
        <w:tc>
          <w:tcPr>
            <w:tcW w:w="2689" w:type="dxa"/>
            <w:vMerge w:val="restart"/>
            <w:noWrap/>
            <w:hideMark/>
          </w:tcPr>
          <w:p w14:paraId="32686021" w14:textId="77777777" w:rsidR="0007690F" w:rsidRPr="00D53A2B" w:rsidRDefault="0007690F" w:rsidP="00A202FD">
            <w:pPr>
              <w:widowControl w:val="0"/>
              <w:spacing w:after="240" w:line="276" w:lineRule="auto"/>
              <w:ind w:firstLine="1"/>
              <w:contextualSpacing/>
              <w:jc w:val="both"/>
              <w:rPr>
                <w:b/>
                <w:bCs/>
              </w:rPr>
            </w:pPr>
            <w:r w:rsidRPr="00D53A2B">
              <w:rPr>
                <w:b/>
                <w:bCs/>
              </w:rPr>
              <w:t>a.</w:t>
            </w:r>
            <w:r w:rsidRPr="00D53A2B">
              <w:t> Atık türlerinin uygun şekilde depolanması</w:t>
            </w:r>
          </w:p>
        </w:tc>
        <w:tc>
          <w:tcPr>
            <w:tcW w:w="6373" w:type="dxa"/>
            <w:noWrap/>
            <w:hideMark/>
          </w:tcPr>
          <w:p w14:paraId="693CA9E1" w14:textId="77777777" w:rsidR="0007690F" w:rsidRPr="00D53A2B" w:rsidRDefault="0007690F" w:rsidP="00A202FD">
            <w:pPr>
              <w:widowControl w:val="0"/>
              <w:spacing w:after="240" w:line="276" w:lineRule="auto"/>
              <w:ind w:firstLine="1"/>
              <w:contextualSpacing/>
              <w:jc w:val="both"/>
            </w:pPr>
            <w:r w:rsidRPr="00D53A2B">
              <w:t>- Kumaş filtre tozları, geçirimsiz yüzeylerde, kapalı alanlarda ve kapalı kaplarda/torbalarda depolanır. </w:t>
            </w:r>
          </w:p>
        </w:tc>
      </w:tr>
      <w:tr w:rsidR="0007690F" w:rsidRPr="00D53A2B" w14:paraId="0C29032F" w14:textId="77777777" w:rsidTr="00A202FD">
        <w:trPr>
          <w:trHeight w:val="320"/>
        </w:trPr>
        <w:tc>
          <w:tcPr>
            <w:tcW w:w="2689" w:type="dxa"/>
            <w:vMerge/>
            <w:hideMark/>
          </w:tcPr>
          <w:p w14:paraId="6558392B" w14:textId="77777777" w:rsidR="0007690F" w:rsidRPr="00D53A2B" w:rsidRDefault="0007690F" w:rsidP="00A202FD">
            <w:pPr>
              <w:widowControl w:val="0"/>
              <w:spacing w:after="240" w:line="276" w:lineRule="auto"/>
              <w:ind w:firstLine="1"/>
              <w:contextualSpacing/>
              <w:jc w:val="both"/>
              <w:rPr>
                <w:b/>
                <w:bCs/>
              </w:rPr>
            </w:pPr>
          </w:p>
        </w:tc>
        <w:tc>
          <w:tcPr>
            <w:tcW w:w="6373" w:type="dxa"/>
            <w:noWrap/>
            <w:hideMark/>
          </w:tcPr>
          <w:p w14:paraId="04961179" w14:textId="77777777" w:rsidR="0007690F" w:rsidRPr="00D53A2B" w:rsidRDefault="0007690F" w:rsidP="00A202FD">
            <w:pPr>
              <w:widowControl w:val="0"/>
              <w:spacing w:after="240" w:line="276" w:lineRule="auto"/>
              <w:ind w:firstLine="1"/>
              <w:contextualSpacing/>
              <w:jc w:val="both"/>
            </w:pPr>
            <w:r w:rsidRPr="00D53A2B">
              <w:t>- Diğer atık türleri (ör. cüruf, oksit, kullanılmış fırın refrakter kaplamaları) birbirinden ayrı olarak, geçirimsiz yüzeylerde ve yüzey akış suyundan korunan kapalı alanlarda depolanır.</w:t>
            </w:r>
          </w:p>
        </w:tc>
      </w:tr>
      <w:tr w:rsidR="0007690F" w:rsidRPr="00D53A2B" w14:paraId="735921CB" w14:textId="77777777" w:rsidTr="00A202FD">
        <w:trPr>
          <w:trHeight w:val="320"/>
        </w:trPr>
        <w:tc>
          <w:tcPr>
            <w:tcW w:w="2689" w:type="dxa"/>
            <w:noWrap/>
            <w:hideMark/>
          </w:tcPr>
          <w:p w14:paraId="1C6BECB5" w14:textId="77777777" w:rsidR="0007690F" w:rsidRPr="00D53A2B" w:rsidRDefault="0007690F" w:rsidP="00A202FD">
            <w:pPr>
              <w:widowControl w:val="0"/>
              <w:spacing w:after="240" w:line="276" w:lineRule="auto"/>
              <w:ind w:firstLine="1"/>
              <w:contextualSpacing/>
              <w:jc w:val="both"/>
              <w:rPr>
                <w:b/>
                <w:bCs/>
              </w:rPr>
            </w:pPr>
            <w:r w:rsidRPr="00D53A2B">
              <w:rPr>
                <w:b/>
                <w:bCs/>
              </w:rPr>
              <w:t>b.</w:t>
            </w:r>
            <w:r w:rsidRPr="00D53A2B">
              <w:t> Dahili hurdanın yeniden kullanımı</w:t>
            </w:r>
          </w:p>
        </w:tc>
        <w:tc>
          <w:tcPr>
            <w:tcW w:w="6373" w:type="dxa"/>
            <w:noWrap/>
            <w:hideMark/>
          </w:tcPr>
          <w:p w14:paraId="73648BEE" w14:textId="77777777" w:rsidR="0007690F" w:rsidRPr="00D53A2B" w:rsidRDefault="0007690F" w:rsidP="00A202FD">
            <w:pPr>
              <w:widowControl w:val="0"/>
              <w:spacing w:after="240" w:line="276" w:lineRule="auto"/>
              <w:ind w:firstLine="1"/>
              <w:contextualSpacing/>
              <w:jc w:val="both"/>
            </w:pPr>
            <w:r w:rsidRPr="00D53A2B">
              <w:t>Dahili hurda, doğrudan veya işlemden geçirildikten sonra yeniden kullanılır. Dahili hurdanın yeniden kullanım oranı, içerdiği safsızlık oranına bağlıdır.</w:t>
            </w:r>
          </w:p>
        </w:tc>
      </w:tr>
      <w:tr w:rsidR="0007690F" w:rsidRPr="00D53A2B" w14:paraId="10D8AA49" w14:textId="77777777" w:rsidTr="00A202FD">
        <w:trPr>
          <w:trHeight w:val="320"/>
        </w:trPr>
        <w:tc>
          <w:tcPr>
            <w:tcW w:w="2689" w:type="dxa"/>
            <w:noWrap/>
            <w:hideMark/>
          </w:tcPr>
          <w:p w14:paraId="3D725E29" w14:textId="77777777" w:rsidR="0007690F" w:rsidRPr="00D53A2B" w:rsidRDefault="0007690F" w:rsidP="00A202FD">
            <w:pPr>
              <w:widowControl w:val="0"/>
              <w:spacing w:after="240" w:line="276" w:lineRule="auto"/>
              <w:ind w:firstLine="1"/>
              <w:contextualSpacing/>
              <w:jc w:val="both"/>
              <w:rPr>
                <w:b/>
                <w:bCs/>
              </w:rPr>
            </w:pPr>
            <w:r w:rsidRPr="00D53A2B">
              <w:rPr>
                <w:b/>
                <w:bCs/>
              </w:rPr>
              <w:t>c.</w:t>
            </w:r>
            <w:r w:rsidRPr="00D53A2B">
              <w:t> Ambalajların yeniden kullanımı/geri dönüşümü</w:t>
            </w:r>
          </w:p>
        </w:tc>
        <w:tc>
          <w:tcPr>
            <w:tcW w:w="6373" w:type="dxa"/>
            <w:noWrap/>
            <w:hideMark/>
          </w:tcPr>
          <w:p w14:paraId="679316A5" w14:textId="77777777" w:rsidR="0007690F" w:rsidRPr="00D53A2B" w:rsidRDefault="0007690F" w:rsidP="00A202FD">
            <w:pPr>
              <w:widowControl w:val="0"/>
              <w:spacing w:after="240" w:line="276" w:lineRule="auto"/>
              <w:ind w:firstLine="1"/>
              <w:contextualSpacing/>
              <w:jc w:val="both"/>
            </w:pPr>
            <w:r w:rsidRPr="00D53A2B">
              <w:t>Proses kimyasallarının ambalajları, tamamen boşaltılmasını kolaylaştıracak şekilde seçilir (ör. ambalaj açıklığının boyutu veya ambalaj malzemesinin yapısı dikkate alınır). Boşaltıldıktan sonra, ambalaj yeniden kullanılır, tedarikçiye iade edilir veya malzeme geri dönüşümüne gönderilir. Tercihen, proses kimyasalları büyük kaplarda saklanır.</w:t>
            </w:r>
          </w:p>
        </w:tc>
      </w:tr>
      <w:tr w:rsidR="0007690F" w:rsidRPr="00D53A2B" w14:paraId="1A9EC6D0" w14:textId="77777777" w:rsidTr="00A202FD">
        <w:trPr>
          <w:trHeight w:val="320"/>
        </w:trPr>
        <w:tc>
          <w:tcPr>
            <w:tcW w:w="2689" w:type="dxa"/>
            <w:noWrap/>
            <w:hideMark/>
          </w:tcPr>
          <w:p w14:paraId="63096D09" w14:textId="77777777" w:rsidR="0007690F" w:rsidRPr="00D53A2B" w:rsidRDefault="0007690F" w:rsidP="00A202FD">
            <w:pPr>
              <w:widowControl w:val="0"/>
              <w:spacing w:after="240" w:line="276" w:lineRule="auto"/>
              <w:ind w:firstLine="1"/>
              <w:contextualSpacing/>
              <w:jc w:val="both"/>
              <w:rPr>
                <w:b/>
                <w:bCs/>
              </w:rPr>
            </w:pPr>
            <w:r w:rsidRPr="00D53A2B">
              <w:rPr>
                <w:b/>
                <w:bCs/>
              </w:rPr>
              <w:t>d.</w:t>
            </w:r>
            <w:r w:rsidRPr="00D53A2B">
              <w:t>Kullanılmamış proses kimyasallarının iadesi</w:t>
            </w:r>
          </w:p>
        </w:tc>
        <w:tc>
          <w:tcPr>
            <w:tcW w:w="6373" w:type="dxa"/>
            <w:noWrap/>
            <w:hideMark/>
          </w:tcPr>
          <w:p w14:paraId="7BA8ED26" w14:textId="77777777" w:rsidR="0007690F" w:rsidRPr="00D53A2B" w:rsidRDefault="0007690F" w:rsidP="00A202FD">
            <w:pPr>
              <w:widowControl w:val="0"/>
              <w:spacing w:after="240" w:line="276" w:lineRule="auto"/>
              <w:ind w:firstLine="1"/>
              <w:contextualSpacing/>
              <w:jc w:val="both"/>
            </w:pPr>
            <w:r w:rsidRPr="00D53A2B">
              <w:t>Kullanılmamış proses kimyasalları (yani orijinal kaplarında kalan kimyasallar), tedarikçilerine iade edilir.</w:t>
            </w:r>
          </w:p>
        </w:tc>
      </w:tr>
    </w:tbl>
    <w:p w14:paraId="583DE4B7" w14:textId="77777777" w:rsidR="0007690F" w:rsidRPr="00D53A2B" w:rsidRDefault="0007690F" w:rsidP="00A202FD">
      <w:pPr>
        <w:widowControl w:val="0"/>
        <w:spacing w:after="240" w:line="276" w:lineRule="auto"/>
        <w:ind w:firstLine="1"/>
        <w:contextualSpacing/>
        <w:jc w:val="both"/>
      </w:pPr>
    </w:p>
    <w:p w14:paraId="597C2170" w14:textId="77777777" w:rsidR="0007690F" w:rsidRPr="00D53A2B" w:rsidRDefault="0007690F" w:rsidP="00A202FD">
      <w:pPr>
        <w:pStyle w:val="Balk5"/>
        <w:ind w:left="1134"/>
        <w:rPr>
          <w:szCs w:val="24"/>
        </w:rPr>
      </w:pPr>
      <w:r w:rsidRPr="00D53A2B">
        <w:rPr>
          <w:szCs w:val="24"/>
        </w:rPr>
        <w:t>1.2.1.4.2. Döküm Sürecinde Operasyonel Malzeme Verimliliği</w:t>
      </w:r>
    </w:p>
    <w:p w14:paraId="0A1BA12E" w14:textId="77777777" w:rsidR="0007690F" w:rsidRPr="00D53A2B" w:rsidRDefault="0007690F" w:rsidP="00A202FD">
      <w:pPr>
        <w:widowControl w:val="0"/>
        <w:spacing w:after="240" w:line="276" w:lineRule="auto"/>
        <w:ind w:firstLine="1"/>
        <w:contextualSpacing/>
        <w:jc w:val="both"/>
      </w:pPr>
      <w:r w:rsidRPr="00D53A2B">
        <w:rPr>
          <w:b/>
          <w:bCs/>
        </w:rPr>
        <w:t>MET 16.</w:t>
      </w:r>
      <w:r w:rsidRPr="00D53A2B">
        <w:t> Döküm sürecinde malzeme verimliliğini artırmak için MET, aşağıda verilen tekniklerden ya (a) tekniğini ya da (a) tekniğini (b) ve (c) tekniklerinden biri veya her ikisi ile birlikte kullanmayı içerir.</w:t>
      </w:r>
    </w:p>
    <w:tbl>
      <w:tblPr>
        <w:tblStyle w:val="TabloKlavuzu"/>
        <w:tblW w:w="0" w:type="auto"/>
        <w:tblLook w:val="04A0" w:firstRow="1" w:lastRow="0" w:firstColumn="1" w:lastColumn="0" w:noHBand="0" w:noVBand="1"/>
      </w:tblPr>
      <w:tblGrid>
        <w:gridCol w:w="2813"/>
        <w:gridCol w:w="6247"/>
      </w:tblGrid>
      <w:tr w:rsidR="0007690F" w:rsidRPr="00D53A2B" w14:paraId="362CB5B3" w14:textId="77777777" w:rsidTr="00A202FD">
        <w:trPr>
          <w:trHeight w:val="320"/>
        </w:trPr>
        <w:tc>
          <w:tcPr>
            <w:tcW w:w="7671" w:type="dxa"/>
            <w:noWrap/>
            <w:hideMark/>
          </w:tcPr>
          <w:p w14:paraId="61030CDE"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17531" w:type="dxa"/>
            <w:noWrap/>
            <w:hideMark/>
          </w:tcPr>
          <w:p w14:paraId="4D119277"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r>
      <w:tr w:rsidR="0007690F" w:rsidRPr="00D53A2B" w14:paraId="230ECFD4" w14:textId="77777777" w:rsidTr="00A202FD">
        <w:trPr>
          <w:trHeight w:val="320"/>
        </w:trPr>
        <w:tc>
          <w:tcPr>
            <w:tcW w:w="7671" w:type="dxa"/>
            <w:noWrap/>
            <w:hideMark/>
          </w:tcPr>
          <w:p w14:paraId="6C435F07" w14:textId="77777777" w:rsidR="0007690F" w:rsidRPr="00D53A2B" w:rsidRDefault="0007690F" w:rsidP="00A202FD">
            <w:pPr>
              <w:widowControl w:val="0"/>
              <w:spacing w:after="240" w:line="276" w:lineRule="auto"/>
              <w:ind w:firstLine="1"/>
              <w:contextualSpacing/>
              <w:jc w:val="both"/>
              <w:rPr>
                <w:b/>
                <w:bCs/>
              </w:rPr>
            </w:pPr>
            <w:r w:rsidRPr="00D53A2B">
              <w:rPr>
                <w:b/>
                <w:bCs/>
              </w:rPr>
              <w:t>a. Döküm verimini artırma ve hurda oluşumunu azaltma</w:t>
            </w:r>
          </w:p>
        </w:tc>
        <w:tc>
          <w:tcPr>
            <w:tcW w:w="17531" w:type="dxa"/>
            <w:noWrap/>
            <w:hideMark/>
          </w:tcPr>
          <w:p w14:paraId="6FA188ED" w14:textId="77777777" w:rsidR="0007690F" w:rsidRPr="00D53A2B" w:rsidRDefault="0007690F" w:rsidP="00A202FD">
            <w:pPr>
              <w:widowControl w:val="0"/>
              <w:spacing w:after="240" w:line="276" w:lineRule="auto"/>
              <w:ind w:firstLine="1"/>
              <w:contextualSpacing/>
              <w:jc w:val="both"/>
            </w:pPr>
            <w:r w:rsidRPr="00D53A2B">
              <w:t>Döküm verimini artırma ve hurda oluşumunu azaltma için yöntemler uygulanır. (Bkz. Bölüm 1.4.2)</w:t>
            </w:r>
          </w:p>
        </w:tc>
      </w:tr>
      <w:tr w:rsidR="0007690F" w:rsidRPr="00D53A2B" w14:paraId="168A5DF2" w14:textId="77777777" w:rsidTr="00A202FD">
        <w:trPr>
          <w:trHeight w:val="320"/>
        </w:trPr>
        <w:tc>
          <w:tcPr>
            <w:tcW w:w="7671" w:type="dxa"/>
            <w:noWrap/>
            <w:hideMark/>
          </w:tcPr>
          <w:p w14:paraId="0A47C8DE" w14:textId="77777777" w:rsidR="0007690F" w:rsidRPr="00D53A2B" w:rsidRDefault="0007690F" w:rsidP="00A202FD">
            <w:pPr>
              <w:widowControl w:val="0"/>
              <w:spacing w:after="240" w:line="276" w:lineRule="auto"/>
              <w:ind w:firstLine="1"/>
              <w:contextualSpacing/>
              <w:jc w:val="both"/>
              <w:rPr>
                <w:b/>
                <w:bCs/>
              </w:rPr>
            </w:pPr>
            <w:r w:rsidRPr="00D53A2B">
              <w:rPr>
                <w:b/>
                <w:bCs/>
              </w:rPr>
              <w:t>b. Döküm, döküm alma ve katılaşma için bilgisayar destekli simülasyon kullanımı</w:t>
            </w:r>
          </w:p>
        </w:tc>
        <w:tc>
          <w:tcPr>
            <w:tcW w:w="17531" w:type="dxa"/>
            <w:noWrap/>
            <w:hideMark/>
          </w:tcPr>
          <w:p w14:paraId="7EF19FBF" w14:textId="77777777" w:rsidR="0007690F" w:rsidRPr="00D53A2B" w:rsidRDefault="0007690F" w:rsidP="00A202FD">
            <w:pPr>
              <w:widowControl w:val="0"/>
              <w:spacing w:after="240" w:line="276" w:lineRule="auto"/>
              <w:ind w:firstLine="1"/>
              <w:contextualSpacing/>
              <w:jc w:val="both"/>
            </w:pPr>
            <w:r w:rsidRPr="00D53A2B">
              <w:t>Döküm, döküm alma ve katılaşma sürecini optimize etmek, hatalı döküm sayısını en aza indirmek ve dökümhane verimliliğini artırmak için bilgisayar simülasyon sistemi kullanılır.</w:t>
            </w:r>
          </w:p>
        </w:tc>
      </w:tr>
      <w:tr w:rsidR="0007690F" w:rsidRPr="00D53A2B" w14:paraId="5C271DDE" w14:textId="77777777" w:rsidTr="00A202FD">
        <w:trPr>
          <w:trHeight w:val="320"/>
        </w:trPr>
        <w:tc>
          <w:tcPr>
            <w:tcW w:w="7671" w:type="dxa"/>
            <w:noWrap/>
            <w:hideMark/>
          </w:tcPr>
          <w:p w14:paraId="5542D49F" w14:textId="77777777" w:rsidR="0007690F" w:rsidRPr="00D53A2B" w:rsidRDefault="0007690F" w:rsidP="00A202FD">
            <w:pPr>
              <w:widowControl w:val="0"/>
              <w:spacing w:after="240" w:line="276" w:lineRule="auto"/>
              <w:ind w:firstLine="1"/>
              <w:contextualSpacing/>
              <w:jc w:val="both"/>
              <w:rPr>
                <w:b/>
                <w:bCs/>
              </w:rPr>
            </w:pPr>
            <w:r w:rsidRPr="00D53A2B">
              <w:rPr>
                <w:b/>
                <w:bCs/>
              </w:rPr>
              <w:t>c. Topoloji optimizasyonu ile hafif dökümlerin üretimi</w:t>
            </w:r>
          </w:p>
        </w:tc>
        <w:tc>
          <w:tcPr>
            <w:tcW w:w="17531" w:type="dxa"/>
            <w:noWrap/>
            <w:hideMark/>
          </w:tcPr>
          <w:p w14:paraId="7FE3AB14" w14:textId="77777777" w:rsidR="0007690F" w:rsidRPr="00D53A2B" w:rsidRDefault="0007690F" w:rsidP="00A202FD">
            <w:pPr>
              <w:widowControl w:val="0"/>
              <w:spacing w:after="240" w:line="276" w:lineRule="auto"/>
              <w:ind w:firstLine="1"/>
              <w:contextualSpacing/>
              <w:jc w:val="both"/>
            </w:pPr>
            <w:r w:rsidRPr="00D53A2B">
              <w:t>Ürün performans gereksinimlerini karşılarken ürün kütlesini azaltmak için algoritmalar ve bilgisayar programları aracılığıyla döküm simülasyonunu içeren topoloji optimizasyonu kullanılır.</w:t>
            </w:r>
          </w:p>
        </w:tc>
      </w:tr>
    </w:tbl>
    <w:p w14:paraId="63B1B460" w14:textId="77777777" w:rsidR="0007690F" w:rsidRPr="00D53A2B" w:rsidRDefault="0007690F" w:rsidP="00A202FD">
      <w:pPr>
        <w:widowControl w:val="0"/>
        <w:spacing w:after="240" w:line="276" w:lineRule="auto"/>
        <w:ind w:firstLine="1"/>
        <w:contextualSpacing/>
        <w:jc w:val="both"/>
      </w:pPr>
    </w:p>
    <w:p w14:paraId="3361A1D7" w14:textId="77777777" w:rsidR="0007690F" w:rsidRPr="00D53A2B" w:rsidRDefault="0007690F" w:rsidP="00A202FD">
      <w:pPr>
        <w:widowControl w:val="0"/>
        <w:spacing w:after="240" w:line="276" w:lineRule="auto"/>
        <w:ind w:firstLine="1"/>
        <w:contextualSpacing/>
        <w:jc w:val="both"/>
        <w:rPr>
          <w:i/>
          <w:iCs/>
        </w:rPr>
      </w:pPr>
      <w:r w:rsidRPr="00D53A2B">
        <w:rPr>
          <w:i/>
          <w:iCs/>
        </w:rPr>
        <w:t>Tablo 1.4</w:t>
      </w:r>
    </w:p>
    <w:p w14:paraId="438A7C36" w14:textId="77777777" w:rsidR="0007690F" w:rsidRPr="00D53A2B" w:rsidRDefault="0007690F" w:rsidP="00A202FD">
      <w:pPr>
        <w:widowControl w:val="0"/>
        <w:spacing w:after="240" w:line="276" w:lineRule="auto"/>
        <w:ind w:firstLine="1"/>
        <w:contextualSpacing/>
        <w:jc w:val="both"/>
      </w:pPr>
      <w:r w:rsidRPr="00D53A2B">
        <w:rPr>
          <w:b/>
          <w:bCs/>
        </w:rPr>
        <w:t>Operasyonel Malzeme Verimliliği için Belirleyici Seviyeler</w:t>
      </w:r>
    </w:p>
    <w:tbl>
      <w:tblPr>
        <w:tblStyle w:val="TabloKlavuzu"/>
        <w:tblW w:w="0" w:type="auto"/>
        <w:tblLook w:val="04A0" w:firstRow="1" w:lastRow="0" w:firstColumn="1" w:lastColumn="0" w:noHBand="0" w:noVBand="1"/>
      </w:tblPr>
      <w:tblGrid>
        <w:gridCol w:w="3262"/>
        <w:gridCol w:w="1552"/>
        <w:gridCol w:w="4246"/>
      </w:tblGrid>
      <w:tr w:rsidR="0007690F" w:rsidRPr="00D53A2B" w14:paraId="12240E06" w14:textId="77777777" w:rsidTr="00A202FD">
        <w:trPr>
          <w:trHeight w:val="320"/>
        </w:trPr>
        <w:tc>
          <w:tcPr>
            <w:tcW w:w="3263" w:type="dxa"/>
            <w:noWrap/>
            <w:hideMark/>
          </w:tcPr>
          <w:p w14:paraId="32CC0BEB" w14:textId="77777777" w:rsidR="0007690F" w:rsidRPr="00D53A2B" w:rsidRDefault="0007690F" w:rsidP="00A202FD">
            <w:pPr>
              <w:widowControl w:val="0"/>
              <w:spacing w:after="240" w:line="276" w:lineRule="auto"/>
              <w:ind w:firstLine="1"/>
              <w:contextualSpacing/>
              <w:jc w:val="both"/>
              <w:rPr>
                <w:b/>
                <w:bCs/>
              </w:rPr>
            </w:pPr>
            <w:r w:rsidRPr="00D53A2B">
              <w:rPr>
                <w:b/>
                <w:bCs/>
              </w:rPr>
              <w:t>Dökümhane Türü</w:t>
            </w:r>
          </w:p>
        </w:tc>
        <w:tc>
          <w:tcPr>
            <w:tcW w:w="1552" w:type="dxa"/>
            <w:noWrap/>
            <w:hideMark/>
          </w:tcPr>
          <w:p w14:paraId="58F20A37"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4247" w:type="dxa"/>
            <w:noWrap/>
            <w:hideMark/>
          </w:tcPr>
          <w:p w14:paraId="587EC3A2" w14:textId="77777777" w:rsidR="0007690F" w:rsidRPr="00D53A2B" w:rsidRDefault="0007690F" w:rsidP="00A202FD">
            <w:pPr>
              <w:widowControl w:val="0"/>
              <w:spacing w:after="240" w:line="276" w:lineRule="auto"/>
              <w:ind w:firstLine="1"/>
              <w:contextualSpacing/>
              <w:jc w:val="both"/>
              <w:rPr>
                <w:b/>
                <w:bCs/>
              </w:rPr>
            </w:pPr>
            <w:r w:rsidRPr="00D53A2B">
              <w:rPr>
                <w:b/>
                <w:bCs/>
              </w:rPr>
              <w:t>Belirleyici Seviyeler </w:t>
            </w:r>
            <w:r w:rsidRPr="00D53A2B">
              <w:rPr>
                <w:b/>
                <w:bCs/>
                <w:i/>
                <w:iCs/>
              </w:rPr>
              <w:t>(Yıllık Ortalama)</w:t>
            </w:r>
          </w:p>
        </w:tc>
      </w:tr>
      <w:tr w:rsidR="0007690F" w:rsidRPr="00D53A2B" w14:paraId="0634712B" w14:textId="77777777" w:rsidTr="00A202FD">
        <w:trPr>
          <w:trHeight w:val="320"/>
        </w:trPr>
        <w:tc>
          <w:tcPr>
            <w:tcW w:w="3263" w:type="dxa"/>
            <w:noWrap/>
            <w:hideMark/>
          </w:tcPr>
          <w:p w14:paraId="0C3AAC70" w14:textId="77777777" w:rsidR="0007690F" w:rsidRPr="00D53A2B" w:rsidRDefault="0007690F" w:rsidP="00A202FD">
            <w:pPr>
              <w:widowControl w:val="0"/>
              <w:spacing w:after="240" w:line="276" w:lineRule="auto"/>
              <w:ind w:firstLine="1"/>
              <w:contextualSpacing/>
              <w:jc w:val="both"/>
            </w:pPr>
            <w:r w:rsidRPr="00D53A2B">
              <w:t>Dökme demir dökümhaneleri</w:t>
            </w:r>
          </w:p>
        </w:tc>
        <w:tc>
          <w:tcPr>
            <w:tcW w:w="1552" w:type="dxa"/>
            <w:noWrap/>
            <w:hideMark/>
          </w:tcPr>
          <w:p w14:paraId="41F5F744" w14:textId="77777777" w:rsidR="0007690F" w:rsidRPr="00D53A2B" w:rsidRDefault="0007690F" w:rsidP="00A202FD">
            <w:pPr>
              <w:widowControl w:val="0"/>
              <w:spacing w:after="240" w:line="276" w:lineRule="auto"/>
              <w:ind w:firstLine="1"/>
              <w:contextualSpacing/>
              <w:jc w:val="both"/>
            </w:pPr>
            <w:r w:rsidRPr="00D53A2B">
              <w:t>%</w:t>
            </w:r>
          </w:p>
        </w:tc>
        <w:tc>
          <w:tcPr>
            <w:tcW w:w="4247" w:type="dxa"/>
            <w:noWrap/>
            <w:hideMark/>
          </w:tcPr>
          <w:p w14:paraId="141BB67C" w14:textId="77777777" w:rsidR="0007690F" w:rsidRPr="00D53A2B" w:rsidRDefault="0007690F" w:rsidP="00A202FD">
            <w:pPr>
              <w:widowControl w:val="0"/>
              <w:spacing w:after="240" w:line="276" w:lineRule="auto"/>
              <w:ind w:firstLine="1"/>
              <w:contextualSpacing/>
              <w:jc w:val="both"/>
            </w:pPr>
            <w:r w:rsidRPr="00D53A2B">
              <w:t>50 – 97 (24) (25)</w:t>
            </w:r>
          </w:p>
        </w:tc>
      </w:tr>
      <w:tr w:rsidR="0007690F" w:rsidRPr="00D53A2B" w14:paraId="1753627F" w14:textId="77777777" w:rsidTr="00A202FD">
        <w:trPr>
          <w:trHeight w:val="320"/>
        </w:trPr>
        <w:tc>
          <w:tcPr>
            <w:tcW w:w="3263" w:type="dxa"/>
            <w:noWrap/>
            <w:hideMark/>
          </w:tcPr>
          <w:p w14:paraId="24E621FD" w14:textId="77777777" w:rsidR="0007690F" w:rsidRPr="00D53A2B" w:rsidRDefault="0007690F" w:rsidP="00A202FD">
            <w:pPr>
              <w:widowControl w:val="0"/>
              <w:spacing w:after="240" w:line="276" w:lineRule="auto"/>
              <w:ind w:firstLine="1"/>
              <w:contextualSpacing/>
              <w:jc w:val="both"/>
            </w:pPr>
            <w:r w:rsidRPr="00D53A2B">
              <w:t>Çelik dökümhaneleri</w:t>
            </w:r>
          </w:p>
        </w:tc>
        <w:tc>
          <w:tcPr>
            <w:tcW w:w="1552" w:type="dxa"/>
            <w:noWrap/>
            <w:hideMark/>
          </w:tcPr>
          <w:p w14:paraId="2BB2B68F" w14:textId="77777777" w:rsidR="0007690F" w:rsidRPr="00D53A2B" w:rsidRDefault="0007690F" w:rsidP="00A202FD">
            <w:pPr>
              <w:widowControl w:val="0"/>
              <w:spacing w:after="240" w:line="276" w:lineRule="auto"/>
              <w:ind w:firstLine="1"/>
              <w:contextualSpacing/>
              <w:jc w:val="both"/>
            </w:pPr>
            <w:r w:rsidRPr="00D53A2B">
              <w:t>%</w:t>
            </w:r>
          </w:p>
        </w:tc>
        <w:tc>
          <w:tcPr>
            <w:tcW w:w="4247" w:type="dxa"/>
            <w:noWrap/>
            <w:hideMark/>
          </w:tcPr>
          <w:p w14:paraId="02126904" w14:textId="77777777" w:rsidR="0007690F" w:rsidRPr="00D53A2B" w:rsidRDefault="0007690F" w:rsidP="00A202FD">
            <w:pPr>
              <w:widowControl w:val="0"/>
              <w:spacing w:after="240" w:line="276" w:lineRule="auto"/>
              <w:ind w:firstLine="1"/>
              <w:contextualSpacing/>
              <w:jc w:val="both"/>
            </w:pPr>
            <w:r w:rsidRPr="00D53A2B">
              <w:t>50 – 100 (24) (25)</w:t>
            </w:r>
          </w:p>
        </w:tc>
      </w:tr>
      <w:tr w:rsidR="0007690F" w:rsidRPr="00D53A2B" w14:paraId="2C14822A" w14:textId="77777777" w:rsidTr="00A202FD">
        <w:trPr>
          <w:trHeight w:val="320"/>
        </w:trPr>
        <w:tc>
          <w:tcPr>
            <w:tcW w:w="3263" w:type="dxa"/>
            <w:noWrap/>
            <w:hideMark/>
          </w:tcPr>
          <w:p w14:paraId="74F663C6" w14:textId="77777777" w:rsidR="0007690F" w:rsidRPr="00D53A2B" w:rsidRDefault="0007690F" w:rsidP="00A202FD">
            <w:pPr>
              <w:widowControl w:val="0"/>
              <w:spacing w:after="240" w:line="276" w:lineRule="auto"/>
              <w:ind w:firstLine="1"/>
              <w:contextualSpacing/>
              <w:jc w:val="both"/>
            </w:pPr>
            <w:r w:rsidRPr="00D53A2B">
              <w:t>NFM dökümhaneleri (HPDC hariç) – Kurşun (Pb)</w:t>
            </w:r>
          </w:p>
        </w:tc>
        <w:tc>
          <w:tcPr>
            <w:tcW w:w="1552" w:type="dxa"/>
            <w:noWrap/>
            <w:hideMark/>
          </w:tcPr>
          <w:p w14:paraId="2B5E9845" w14:textId="77777777" w:rsidR="0007690F" w:rsidRPr="00D53A2B" w:rsidRDefault="0007690F" w:rsidP="00A202FD">
            <w:pPr>
              <w:widowControl w:val="0"/>
              <w:spacing w:after="240" w:line="276" w:lineRule="auto"/>
              <w:ind w:firstLine="1"/>
              <w:contextualSpacing/>
              <w:jc w:val="both"/>
            </w:pPr>
            <w:r w:rsidRPr="00D53A2B">
              <w:t>%</w:t>
            </w:r>
          </w:p>
        </w:tc>
        <w:tc>
          <w:tcPr>
            <w:tcW w:w="4247" w:type="dxa"/>
            <w:noWrap/>
            <w:hideMark/>
          </w:tcPr>
          <w:p w14:paraId="670453EC" w14:textId="77777777" w:rsidR="0007690F" w:rsidRPr="00D53A2B" w:rsidRDefault="0007690F" w:rsidP="00A202FD">
            <w:pPr>
              <w:widowControl w:val="0"/>
              <w:spacing w:after="240" w:line="276" w:lineRule="auto"/>
              <w:ind w:firstLine="1"/>
              <w:contextualSpacing/>
              <w:jc w:val="both"/>
            </w:pPr>
            <w:r w:rsidRPr="00D53A2B">
              <w:t>50 – 97,5 (24)</w:t>
            </w:r>
          </w:p>
        </w:tc>
      </w:tr>
      <w:tr w:rsidR="0007690F" w:rsidRPr="00D53A2B" w14:paraId="7F5245FB" w14:textId="77777777" w:rsidTr="00A202FD">
        <w:trPr>
          <w:trHeight w:val="320"/>
        </w:trPr>
        <w:tc>
          <w:tcPr>
            <w:tcW w:w="3263" w:type="dxa"/>
            <w:noWrap/>
            <w:hideMark/>
          </w:tcPr>
          <w:p w14:paraId="29D261A5" w14:textId="77777777" w:rsidR="0007690F" w:rsidRPr="00D53A2B" w:rsidRDefault="0007690F" w:rsidP="00A202FD">
            <w:pPr>
              <w:widowControl w:val="0"/>
              <w:spacing w:after="240" w:line="276" w:lineRule="auto"/>
              <w:ind w:firstLine="1"/>
              <w:contextualSpacing/>
              <w:jc w:val="both"/>
            </w:pPr>
            <w:r w:rsidRPr="00D53A2B">
              <w:t>NFM dökümhaneleri (HPDC hariç) – Kurşun dışındaki metaller</w:t>
            </w:r>
          </w:p>
        </w:tc>
        <w:tc>
          <w:tcPr>
            <w:tcW w:w="1552" w:type="dxa"/>
            <w:noWrap/>
            <w:hideMark/>
          </w:tcPr>
          <w:p w14:paraId="06F8CF5C" w14:textId="77777777" w:rsidR="0007690F" w:rsidRPr="00D53A2B" w:rsidRDefault="0007690F" w:rsidP="00A202FD">
            <w:pPr>
              <w:widowControl w:val="0"/>
              <w:spacing w:after="240" w:line="276" w:lineRule="auto"/>
              <w:ind w:firstLine="1"/>
              <w:contextualSpacing/>
              <w:jc w:val="both"/>
            </w:pPr>
            <w:r w:rsidRPr="00D53A2B">
              <w:t>%</w:t>
            </w:r>
          </w:p>
        </w:tc>
        <w:tc>
          <w:tcPr>
            <w:tcW w:w="4247" w:type="dxa"/>
            <w:noWrap/>
            <w:hideMark/>
          </w:tcPr>
          <w:p w14:paraId="1237BCCA" w14:textId="77777777" w:rsidR="0007690F" w:rsidRPr="00D53A2B" w:rsidRDefault="0007690F" w:rsidP="00A202FD">
            <w:pPr>
              <w:widowControl w:val="0"/>
              <w:spacing w:after="240" w:line="276" w:lineRule="auto"/>
              <w:ind w:firstLine="1"/>
              <w:contextualSpacing/>
              <w:jc w:val="both"/>
            </w:pPr>
            <w:r w:rsidRPr="00D53A2B">
              <w:t>50 – 98 (24)</w:t>
            </w:r>
          </w:p>
        </w:tc>
      </w:tr>
      <w:tr w:rsidR="0007690F" w:rsidRPr="00D53A2B" w14:paraId="276612BC" w14:textId="77777777" w:rsidTr="00A202FD">
        <w:trPr>
          <w:trHeight w:val="320"/>
        </w:trPr>
        <w:tc>
          <w:tcPr>
            <w:tcW w:w="3263" w:type="dxa"/>
            <w:noWrap/>
            <w:hideMark/>
          </w:tcPr>
          <w:p w14:paraId="12539BA8" w14:textId="77777777" w:rsidR="0007690F" w:rsidRPr="00D53A2B" w:rsidRDefault="0007690F" w:rsidP="00A202FD">
            <w:pPr>
              <w:widowControl w:val="0"/>
              <w:spacing w:after="240" w:line="276" w:lineRule="auto"/>
              <w:ind w:firstLine="1"/>
              <w:contextualSpacing/>
              <w:jc w:val="both"/>
            </w:pPr>
            <w:r w:rsidRPr="00D53A2B">
              <w:t>NFM dökümhaneleri (HPDC)</w:t>
            </w:r>
          </w:p>
        </w:tc>
        <w:tc>
          <w:tcPr>
            <w:tcW w:w="1552" w:type="dxa"/>
            <w:noWrap/>
            <w:hideMark/>
          </w:tcPr>
          <w:p w14:paraId="2C873E0B" w14:textId="77777777" w:rsidR="0007690F" w:rsidRPr="00D53A2B" w:rsidRDefault="0007690F" w:rsidP="00A202FD">
            <w:pPr>
              <w:widowControl w:val="0"/>
              <w:spacing w:after="240" w:line="276" w:lineRule="auto"/>
              <w:ind w:firstLine="1"/>
              <w:contextualSpacing/>
              <w:jc w:val="both"/>
            </w:pPr>
            <w:r w:rsidRPr="00D53A2B">
              <w:t>%</w:t>
            </w:r>
          </w:p>
        </w:tc>
        <w:tc>
          <w:tcPr>
            <w:tcW w:w="4247" w:type="dxa"/>
            <w:noWrap/>
            <w:hideMark/>
          </w:tcPr>
          <w:p w14:paraId="5B6406CF" w14:textId="77777777" w:rsidR="0007690F" w:rsidRPr="00D53A2B" w:rsidRDefault="0007690F" w:rsidP="00A202FD">
            <w:pPr>
              <w:widowControl w:val="0"/>
              <w:spacing w:after="240" w:line="276" w:lineRule="auto"/>
              <w:ind w:firstLine="1"/>
              <w:contextualSpacing/>
              <w:jc w:val="both"/>
            </w:pPr>
            <w:r w:rsidRPr="00D53A2B">
              <w:t>60 – 97 (24)</w:t>
            </w:r>
          </w:p>
        </w:tc>
      </w:tr>
    </w:tbl>
    <w:p w14:paraId="11E9807B" w14:textId="77777777" w:rsidR="0007690F" w:rsidRPr="00D53A2B" w:rsidRDefault="0007690F" w:rsidP="00A202FD">
      <w:pPr>
        <w:widowControl w:val="0"/>
        <w:spacing w:after="240" w:line="276" w:lineRule="auto"/>
        <w:ind w:firstLine="1"/>
        <w:contextualSpacing/>
        <w:jc w:val="both"/>
      </w:pPr>
      <w:r w:rsidRPr="00D53A2B">
        <w:t>İlgili izleme MET 6'da verilmiştir.</w:t>
      </w:r>
    </w:p>
    <w:p w14:paraId="45F29B6A" w14:textId="77777777" w:rsidR="0007690F" w:rsidRPr="00D53A2B" w:rsidRDefault="0007690F" w:rsidP="00A202FD">
      <w:pPr>
        <w:pStyle w:val="Balk5"/>
        <w:ind w:left="1134"/>
        <w:rPr>
          <w:szCs w:val="24"/>
        </w:rPr>
      </w:pPr>
      <w:r w:rsidRPr="00D53A2B">
        <w:rPr>
          <w:szCs w:val="24"/>
        </w:rPr>
        <w:t>1.2.1.4.3. Malzeme Tüketiminin Azaltılması</w:t>
      </w:r>
    </w:p>
    <w:p w14:paraId="07411C36" w14:textId="5108BAAA" w:rsidR="0007690F" w:rsidRPr="00D53A2B" w:rsidRDefault="0007690F" w:rsidP="00A202FD">
      <w:pPr>
        <w:widowControl w:val="0"/>
        <w:spacing w:after="240" w:line="276" w:lineRule="auto"/>
        <w:ind w:firstLine="1"/>
        <w:contextualSpacing/>
        <w:jc w:val="both"/>
      </w:pPr>
      <w:r w:rsidRPr="00D53A2B">
        <w:rPr>
          <w:b/>
          <w:bCs/>
        </w:rPr>
        <w:t>MET 17.</w:t>
      </w:r>
      <w:r w:rsidRPr="00D53A2B">
        <w:t> Malzeme (ö</w:t>
      </w:r>
      <w:r w:rsidR="006F398B">
        <w:t>nek</w:t>
      </w:r>
      <w:r w:rsidRPr="00D53A2B">
        <w:t xml:space="preserve"> kimyasallar, bağlayıcılar) tüketimini azaltmak için, MET aşağıda verilen tekniklerin uygun bir kombinasyonunu kullanılır.</w:t>
      </w:r>
    </w:p>
    <w:tbl>
      <w:tblPr>
        <w:tblStyle w:val="TabloKlavuzu"/>
        <w:tblW w:w="0" w:type="auto"/>
        <w:tblLook w:val="04A0" w:firstRow="1" w:lastRow="0" w:firstColumn="1" w:lastColumn="0" w:noHBand="0" w:noVBand="1"/>
      </w:tblPr>
      <w:tblGrid>
        <w:gridCol w:w="2033"/>
        <w:gridCol w:w="4136"/>
        <w:gridCol w:w="2891"/>
      </w:tblGrid>
      <w:tr w:rsidR="0007690F" w:rsidRPr="00D53A2B" w14:paraId="7AFCAB61" w14:textId="77777777" w:rsidTr="00A202FD">
        <w:trPr>
          <w:trHeight w:val="320"/>
        </w:trPr>
        <w:tc>
          <w:tcPr>
            <w:tcW w:w="1952" w:type="dxa"/>
            <w:noWrap/>
            <w:hideMark/>
          </w:tcPr>
          <w:p w14:paraId="67E3E9E7"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4185" w:type="dxa"/>
            <w:noWrap/>
            <w:hideMark/>
          </w:tcPr>
          <w:p w14:paraId="2D913C27"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2925" w:type="dxa"/>
            <w:noWrap/>
            <w:hideMark/>
          </w:tcPr>
          <w:p w14:paraId="37BD79F6"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tc>
      </w:tr>
      <w:tr w:rsidR="0007690F" w:rsidRPr="00D53A2B" w14:paraId="38DF56C4" w14:textId="77777777" w:rsidTr="00A202FD">
        <w:trPr>
          <w:trHeight w:val="320"/>
        </w:trPr>
        <w:tc>
          <w:tcPr>
            <w:tcW w:w="9062" w:type="dxa"/>
            <w:gridSpan w:val="3"/>
            <w:noWrap/>
            <w:hideMark/>
          </w:tcPr>
          <w:p w14:paraId="4A47A059" w14:textId="77777777" w:rsidR="0007690F" w:rsidRPr="00D53A2B" w:rsidRDefault="0007690F" w:rsidP="00A202FD">
            <w:pPr>
              <w:widowControl w:val="0"/>
              <w:spacing w:after="240" w:line="276" w:lineRule="auto"/>
              <w:ind w:firstLine="1"/>
              <w:contextualSpacing/>
              <w:jc w:val="both"/>
              <w:rPr>
                <w:b/>
                <w:bCs/>
              </w:rPr>
            </w:pPr>
            <w:r w:rsidRPr="00D53A2B">
              <w:rPr>
                <w:b/>
                <w:bCs/>
              </w:rPr>
              <w:t>Alüminyum yüksek basınçlı döküm için teknikler</w:t>
            </w:r>
          </w:p>
        </w:tc>
      </w:tr>
      <w:tr w:rsidR="0007690F" w:rsidRPr="00D53A2B" w14:paraId="6AB35F09" w14:textId="77777777" w:rsidTr="00A202FD">
        <w:trPr>
          <w:trHeight w:val="320"/>
        </w:trPr>
        <w:tc>
          <w:tcPr>
            <w:tcW w:w="1952" w:type="dxa"/>
            <w:noWrap/>
            <w:hideMark/>
          </w:tcPr>
          <w:p w14:paraId="6B106E46" w14:textId="77777777" w:rsidR="0007690F" w:rsidRPr="00D53A2B" w:rsidRDefault="0007690F" w:rsidP="00A202FD">
            <w:pPr>
              <w:widowControl w:val="0"/>
              <w:spacing w:after="240" w:line="276" w:lineRule="auto"/>
              <w:ind w:firstLine="1"/>
              <w:contextualSpacing/>
              <w:jc w:val="both"/>
              <w:rPr>
                <w:b/>
                <w:bCs/>
              </w:rPr>
            </w:pPr>
            <w:r w:rsidRPr="00D53A2B">
              <w:rPr>
                <w:b/>
                <w:bCs/>
              </w:rPr>
              <w:t>a.</w:t>
            </w:r>
            <w:r w:rsidRPr="00D53A2B">
              <w:t> Ayırıcı madde ve suyun ayrı püskürtülmesi</w:t>
            </w:r>
          </w:p>
        </w:tc>
        <w:tc>
          <w:tcPr>
            <w:tcW w:w="4185" w:type="dxa"/>
            <w:noWrap/>
            <w:hideMark/>
          </w:tcPr>
          <w:p w14:paraId="706361CC" w14:textId="77777777" w:rsidR="0007690F" w:rsidRPr="00D53A2B" w:rsidRDefault="0007690F" w:rsidP="00A202FD">
            <w:pPr>
              <w:widowControl w:val="0"/>
              <w:spacing w:after="240" w:line="276" w:lineRule="auto"/>
              <w:ind w:firstLine="1"/>
              <w:contextualSpacing/>
              <w:jc w:val="both"/>
            </w:pPr>
            <w:r w:rsidRPr="00D53A2B">
              <w:t>Bölüm 1.4.2’ye bakın.</w:t>
            </w:r>
          </w:p>
        </w:tc>
        <w:tc>
          <w:tcPr>
            <w:tcW w:w="2925" w:type="dxa"/>
            <w:noWrap/>
            <w:hideMark/>
          </w:tcPr>
          <w:p w14:paraId="2FABBE61"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00664875" w14:textId="77777777" w:rsidTr="00A202FD">
        <w:trPr>
          <w:trHeight w:val="320"/>
        </w:trPr>
        <w:tc>
          <w:tcPr>
            <w:tcW w:w="1952" w:type="dxa"/>
            <w:noWrap/>
            <w:hideMark/>
          </w:tcPr>
          <w:p w14:paraId="7E51C743" w14:textId="77777777" w:rsidR="0007690F" w:rsidRPr="00D53A2B" w:rsidRDefault="0007690F" w:rsidP="00A202FD">
            <w:pPr>
              <w:widowControl w:val="0"/>
              <w:spacing w:after="240" w:line="276" w:lineRule="auto"/>
              <w:ind w:firstLine="1"/>
              <w:contextualSpacing/>
              <w:jc w:val="both"/>
              <w:rPr>
                <w:b/>
                <w:bCs/>
              </w:rPr>
            </w:pPr>
            <w:r w:rsidRPr="00D53A2B">
              <w:rPr>
                <w:b/>
                <w:bCs/>
              </w:rPr>
              <w:t>b.</w:t>
            </w:r>
            <w:r w:rsidRPr="00D53A2B">
              <w:t> Ayırıcı madde ve su tüketiminin en aza indirilmesi</w:t>
            </w:r>
          </w:p>
        </w:tc>
        <w:tc>
          <w:tcPr>
            <w:tcW w:w="4185" w:type="dxa"/>
            <w:noWrap/>
            <w:hideMark/>
          </w:tcPr>
          <w:p w14:paraId="2256643B" w14:textId="77777777" w:rsidR="0007690F" w:rsidRPr="00D53A2B" w:rsidRDefault="0007690F" w:rsidP="00A202FD">
            <w:pPr>
              <w:widowControl w:val="0"/>
              <w:spacing w:after="240" w:line="276" w:lineRule="auto"/>
              <w:ind w:firstLine="1"/>
              <w:contextualSpacing/>
              <w:jc w:val="both"/>
            </w:pPr>
            <w:r w:rsidRPr="00D53A2B">
              <w:t>Ayırıcı madde ve su tüketimini en aza indirmek için alınan önlemler şunları içerir: - Otomatik püskürtme sisteminin kullanımı; - Ayırıcı maddenin seyrelme faktörünün optimize edilmesi; - Kalıp içi soğutma uygulaması; - Ayırıcı maddenin kapalı kalıpta uygulanması; - Ayırıcı maddenin tüketiminin ölçülmesi; - Kalıp yüzey sıcaklığının ölçülmesi ile kalıptaki sıcak noktaların tespit edilmesi.</w:t>
            </w:r>
          </w:p>
        </w:tc>
        <w:tc>
          <w:tcPr>
            <w:tcW w:w="2925" w:type="dxa"/>
            <w:noWrap/>
            <w:hideMark/>
          </w:tcPr>
          <w:p w14:paraId="674FEDE5"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7A8C46B4" w14:textId="77777777" w:rsidTr="00A202FD">
        <w:trPr>
          <w:trHeight w:val="320"/>
        </w:trPr>
        <w:tc>
          <w:tcPr>
            <w:tcW w:w="9062" w:type="dxa"/>
            <w:gridSpan w:val="3"/>
            <w:noWrap/>
            <w:hideMark/>
          </w:tcPr>
          <w:p w14:paraId="6EF650F2" w14:textId="77777777" w:rsidR="0007690F" w:rsidRPr="00D53A2B" w:rsidRDefault="0007690F" w:rsidP="00A202FD">
            <w:pPr>
              <w:widowControl w:val="0"/>
              <w:spacing w:after="240" w:line="276" w:lineRule="auto"/>
              <w:ind w:firstLine="1"/>
              <w:contextualSpacing/>
              <w:jc w:val="both"/>
              <w:rPr>
                <w:b/>
                <w:bCs/>
              </w:rPr>
            </w:pPr>
            <w:r w:rsidRPr="00D53A2B">
              <w:rPr>
                <w:b/>
                <w:bCs/>
              </w:rPr>
              <w:t>Kimyasal bağlı kum ve çekirdek yapımı kullanan süreçler için teknikler</w:t>
            </w:r>
          </w:p>
        </w:tc>
      </w:tr>
      <w:tr w:rsidR="0007690F" w:rsidRPr="00D53A2B" w14:paraId="4A8BE6D5" w14:textId="77777777" w:rsidTr="00A202FD">
        <w:trPr>
          <w:trHeight w:val="320"/>
        </w:trPr>
        <w:tc>
          <w:tcPr>
            <w:tcW w:w="1952" w:type="dxa"/>
            <w:noWrap/>
            <w:hideMark/>
          </w:tcPr>
          <w:p w14:paraId="72815A1A" w14:textId="77777777" w:rsidR="0007690F" w:rsidRPr="00D53A2B" w:rsidRDefault="0007690F" w:rsidP="00A202FD">
            <w:pPr>
              <w:widowControl w:val="0"/>
              <w:spacing w:after="240" w:line="276" w:lineRule="auto"/>
              <w:ind w:firstLine="1"/>
              <w:contextualSpacing/>
              <w:jc w:val="both"/>
              <w:rPr>
                <w:b/>
                <w:bCs/>
              </w:rPr>
            </w:pPr>
            <w:r w:rsidRPr="00D53A2B">
              <w:rPr>
                <w:b/>
                <w:bCs/>
              </w:rPr>
              <w:t>c.</w:t>
            </w:r>
            <w:r w:rsidRPr="00D53A2B">
              <w:t> Bağlayıcı ve reçine tüketiminin optimizasyonu</w:t>
            </w:r>
          </w:p>
        </w:tc>
        <w:tc>
          <w:tcPr>
            <w:tcW w:w="4185" w:type="dxa"/>
            <w:noWrap/>
            <w:hideMark/>
          </w:tcPr>
          <w:p w14:paraId="676A9B3E" w14:textId="77777777" w:rsidR="0007690F" w:rsidRPr="00D53A2B" w:rsidRDefault="0007690F" w:rsidP="00A202FD">
            <w:pPr>
              <w:widowControl w:val="0"/>
              <w:spacing w:after="240" w:line="276" w:lineRule="auto"/>
              <w:ind w:firstLine="1"/>
              <w:contextualSpacing/>
              <w:jc w:val="both"/>
            </w:pPr>
            <w:r w:rsidRPr="00D53A2B">
              <w:t>Bölüm 1.4.2’ye bakın.</w:t>
            </w:r>
          </w:p>
        </w:tc>
        <w:tc>
          <w:tcPr>
            <w:tcW w:w="2925" w:type="dxa"/>
            <w:noWrap/>
            <w:hideMark/>
          </w:tcPr>
          <w:p w14:paraId="7FD286D7"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549961EC" w14:textId="77777777" w:rsidTr="00A202FD">
        <w:trPr>
          <w:trHeight w:val="320"/>
        </w:trPr>
        <w:tc>
          <w:tcPr>
            <w:tcW w:w="1952" w:type="dxa"/>
            <w:noWrap/>
            <w:hideMark/>
          </w:tcPr>
          <w:p w14:paraId="7423559D" w14:textId="77777777" w:rsidR="0007690F" w:rsidRPr="00D53A2B" w:rsidRDefault="0007690F" w:rsidP="00A202FD">
            <w:pPr>
              <w:widowControl w:val="0"/>
              <w:spacing w:after="240" w:line="276" w:lineRule="auto"/>
              <w:ind w:firstLine="1"/>
              <w:contextualSpacing/>
              <w:jc w:val="both"/>
              <w:rPr>
                <w:b/>
                <w:bCs/>
              </w:rPr>
            </w:pPr>
            <w:r w:rsidRPr="00D53A2B">
              <w:rPr>
                <w:b/>
                <w:bCs/>
              </w:rPr>
              <w:t>d.</w:t>
            </w:r>
            <w:r w:rsidRPr="00D53A2B">
              <w:t> Kalıp ve çekirdek kum kayıplarının en aza indirilmesi</w:t>
            </w:r>
          </w:p>
        </w:tc>
        <w:tc>
          <w:tcPr>
            <w:tcW w:w="4185" w:type="dxa"/>
            <w:noWrap/>
            <w:hideMark/>
          </w:tcPr>
          <w:p w14:paraId="0A9858E1" w14:textId="77777777" w:rsidR="0007690F" w:rsidRPr="00D53A2B" w:rsidRDefault="0007690F" w:rsidP="00A202FD">
            <w:pPr>
              <w:widowControl w:val="0"/>
              <w:spacing w:after="240" w:line="276" w:lineRule="auto"/>
              <w:ind w:firstLine="1"/>
              <w:contextualSpacing/>
              <w:jc w:val="both"/>
            </w:pPr>
            <w:r w:rsidRPr="00D53A2B">
              <w:t>Çeşitli ürün tiplerinin üretim parametreleri, yeni ürünlere geçişte zaman ve malzeme kayıplarını en aza indiren bir elektronik veritabanında saklanır.</w:t>
            </w:r>
          </w:p>
        </w:tc>
        <w:tc>
          <w:tcPr>
            <w:tcW w:w="2925" w:type="dxa"/>
            <w:noWrap/>
            <w:hideMark/>
          </w:tcPr>
          <w:p w14:paraId="1196787F"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4E466C5A" w14:textId="77777777" w:rsidTr="00A202FD">
        <w:trPr>
          <w:trHeight w:val="320"/>
        </w:trPr>
        <w:tc>
          <w:tcPr>
            <w:tcW w:w="1952" w:type="dxa"/>
            <w:noWrap/>
            <w:hideMark/>
          </w:tcPr>
          <w:p w14:paraId="1B4E8702" w14:textId="77777777" w:rsidR="0007690F" w:rsidRPr="00D53A2B" w:rsidRDefault="0007690F" w:rsidP="00A202FD">
            <w:pPr>
              <w:widowControl w:val="0"/>
              <w:spacing w:after="240" w:line="276" w:lineRule="auto"/>
              <w:ind w:firstLine="1"/>
              <w:contextualSpacing/>
              <w:jc w:val="both"/>
              <w:rPr>
                <w:b/>
                <w:bCs/>
              </w:rPr>
            </w:pPr>
            <w:r w:rsidRPr="00D53A2B">
              <w:rPr>
                <w:b/>
                <w:bCs/>
              </w:rPr>
              <w:t>e.</w:t>
            </w:r>
            <w:r w:rsidRPr="00D53A2B">
              <w:t> Soğuk sertleşme süreçleri için en iyi uygulamaların kullanılması</w:t>
            </w:r>
          </w:p>
        </w:tc>
        <w:tc>
          <w:tcPr>
            <w:tcW w:w="4185" w:type="dxa"/>
            <w:noWrap/>
            <w:hideMark/>
          </w:tcPr>
          <w:p w14:paraId="2E9E1D43" w14:textId="77777777" w:rsidR="0007690F" w:rsidRPr="00D53A2B" w:rsidRDefault="0007690F" w:rsidP="00A202FD">
            <w:pPr>
              <w:widowControl w:val="0"/>
              <w:spacing w:after="240" w:line="276" w:lineRule="auto"/>
              <w:ind w:firstLine="1"/>
              <w:contextualSpacing/>
              <w:jc w:val="both"/>
            </w:pPr>
            <w:r w:rsidRPr="00D53A2B">
              <w:t>Bölüm 1.4.2’ye bakın.</w:t>
            </w:r>
          </w:p>
        </w:tc>
        <w:tc>
          <w:tcPr>
            <w:tcW w:w="2925" w:type="dxa"/>
            <w:noWrap/>
            <w:hideMark/>
          </w:tcPr>
          <w:p w14:paraId="02D55C66"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015D21DB" w14:textId="77777777" w:rsidTr="00A202FD">
        <w:trPr>
          <w:trHeight w:val="320"/>
        </w:trPr>
        <w:tc>
          <w:tcPr>
            <w:tcW w:w="1952" w:type="dxa"/>
            <w:noWrap/>
            <w:hideMark/>
          </w:tcPr>
          <w:p w14:paraId="7EB7947B" w14:textId="77777777" w:rsidR="0007690F" w:rsidRPr="00D53A2B" w:rsidRDefault="0007690F" w:rsidP="00A202FD">
            <w:pPr>
              <w:widowControl w:val="0"/>
              <w:spacing w:after="240" w:line="276" w:lineRule="auto"/>
              <w:ind w:firstLine="1"/>
              <w:contextualSpacing/>
              <w:jc w:val="both"/>
              <w:rPr>
                <w:b/>
                <w:bCs/>
              </w:rPr>
            </w:pPr>
            <w:r w:rsidRPr="00D53A2B">
              <w:rPr>
                <w:b/>
                <w:bCs/>
              </w:rPr>
              <w:t>f.</w:t>
            </w:r>
            <w:r w:rsidRPr="00D53A2B">
              <w:t> Asit yıkama suyundan aminlerin geri kazanımı</w:t>
            </w:r>
          </w:p>
        </w:tc>
        <w:tc>
          <w:tcPr>
            <w:tcW w:w="4185" w:type="dxa"/>
            <w:noWrap/>
            <w:hideMark/>
          </w:tcPr>
          <w:p w14:paraId="63C83714" w14:textId="77777777" w:rsidR="0007690F" w:rsidRPr="00D53A2B" w:rsidRDefault="0007690F" w:rsidP="00A202FD">
            <w:pPr>
              <w:widowControl w:val="0"/>
              <w:spacing w:after="240" w:line="276" w:lineRule="auto"/>
              <w:ind w:firstLine="1"/>
              <w:contextualSpacing/>
              <w:jc w:val="both"/>
            </w:pPr>
            <w:r w:rsidRPr="00D53A2B">
              <w:t>Soğuk kutu çıkış gazlarını işlemek için asit yıkama kullanıldığında (ör. sülfürik asit kullanılarak), amin sülfat oluşur. Aminler, amin sülfatın sodyum hidroksit ile işlenmesi yoluyla geri kazanılır. Bu işlem, tesiste veya tesis dışında gerçekleştirilebilir.</w:t>
            </w:r>
          </w:p>
        </w:tc>
        <w:tc>
          <w:tcPr>
            <w:tcW w:w="2925" w:type="dxa"/>
            <w:noWrap/>
            <w:hideMark/>
          </w:tcPr>
          <w:p w14:paraId="12F5F8F9" w14:textId="77777777" w:rsidR="0007690F" w:rsidRPr="00D53A2B" w:rsidRDefault="0007690F" w:rsidP="00A202FD">
            <w:pPr>
              <w:widowControl w:val="0"/>
              <w:spacing w:after="240" w:line="276" w:lineRule="auto"/>
              <w:ind w:firstLine="1"/>
              <w:contextualSpacing/>
              <w:jc w:val="both"/>
            </w:pPr>
            <w:r w:rsidRPr="00D53A2B">
              <w:t>Güvenlik önlemleri (patlama riski) nedeniyle uygulanabilirlik sınırlı olabilir.</w:t>
            </w:r>
          </w:p>
        </w:tc>
      </w:tr>
      <w:tr w:rsidR="0007690F" w:rsidRPr="00D53A2B" w14:paraId="1E52680E" w14:textId="77777777" w:rsidTr="00A202FD">
        <w:trPr>
          <w:trHeight w:val="320"/>
        </w:trPr>
        <w:tc>
          <w:tcPr>
            <w:tcW w:w="1952" w:type="dxa"/>
            <w:noWrap/>
            <w:hideMark/>
          </w:tcPr>
          <w:p w14:paraId="6CE88747" w14:textId="77777777" w:rsidR="0007690F" w:rsidRPr="00D53A2B" w:rsidRDefault="0007690F" w:rsidP="00A202FD">
            <w:pPr>
              <w:widowControl w:val="0"/>
              <w:spacing w:after="240" w:line="276" w:lineRule="auto"/>
              <w:ind w:firstLine="1"/>
              <w:contextualSpacing/>
              <w:jc w:val="both"/>
              <w:rPr>
                <w:b/>
                <w:bCs/>
              </w:rPr>
            </w:pPr>
            <w:r w:rsidRPr="00D53A2B">
              <w:rPr>
                <w:b/>
                <w:bCs/>
              </w:rPr>
              <w:t>g.</w:t>
            </w:r>
            <w:r w:rsidRPr="00D53A2B">
              <w:t> Gaz sertleşme süreçleri için en iyi uygulamaların kullanılması</w:t>
            </w:r>
          </w:p>
        </w:tc>
        <w:tc>
          <w:tcPr>
            <w:tcW w:w="4185" w:type="dxa"/>
            <w:noWrap/>
            <w:hideMark/>
          </w:tcPr>
          <w:p w14:paraId="2F9A9BE4" w14:textId="77777777" w:rsidR="0007690F" w:rsidRPr="00D53A2B" w:rsidRDefault="0007690F" w:rsidP="00A202FD">
            <w:pPr>
              <w:widowControl w:val="0"/>
              <w:spacing w:after="240" w:line="276" w:lineRule="auto"/>
              <w:ind w:firstLine="1"/>
              <w:contextualSpacing/>
              <w:jc w:val="both"/>
            </w:pPr>
            <w:r w:rsidRPr="00D53A2B">
              <w:t>Bölüm 1.4.2’ye bakın.</w:t>
            </w:r>
          </w:p>
        </w:tc>
        <w:tc>
          <w:tcPr>
            <w:tcW w:w="2925" w:type="dxa"/>
            <w:noWrap/>
            <w:hideMark/>
          </w:tcPr>
          <w:p w14:paraId="595B4AD3"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7C861A81" w14:textId="77777777" w:rsidTr="00A202FD">
        <w:trPr>
          <w:trHeight w:val="320"/>
        </w:trPr>
        <w:tc>
          <w:tcPr>
            <w:tcW w:w="1952" w:type="dxa"/>
            <w:noWrap/>
            <w:hideMark/>
          </w:tcPr>
          <w:p w14:paraId="5A6EAE09" w14:textId="77777777" w:rsidR="0007690F" w:rsidRPr="00D53A2B" w:rsidRDefault="0007690F" w:rsidP="00A202FD">
            <w:pPr>
              <w:widowControl w:val="0"/>
              <w:spacing w:after="240" w:line="276" w:lineRule="auto"/>
              <w:ind w:firstLine="1"/>
              <w:contextualSpacing/>
              <w:jc w:val="both"/>
              <w:rPr>
                <w:b/>
                <w:bCs/>
              </w:rPr>
            </w:pPr>
            <w:r w:rsidRPr="00D53A2B">
              <w:rPr>
                <w:b/>
                <w:bCs/>
              </w:rPr>
              <w:t>h.</w:t>
            </w:r>
            <w:r w:rsidRPr="00D53A2B">
              <w:t> Alternatif kalıplama/çekirdek yapımı süreçlerinin uygulanması</w:t>
            </w:r>
          </w:p>
        </w:tc>
        <w:tc>
          <w:tcPr>
            <w:tcW w:w="4185" w:type="dxa"/>
            <w:noWrap/>
            <w:hideMark/>
          </w:tcPr>
          <w:p w14:paraId="63177E03" w14:textId="77777777" w:rsidR="0007690F" w:rsidRPr="00D53A2B" w:rsidRDefault="0007690F" w:rsidP="00A202FD">
            <w:pPr>
              <w:widowControl w:val="0"/>
              <w:spacing w:after="240" w:line="276" w:lineRule="auto"/>
              <w:ind w:firstLine="1"/>
              <w:contextualSpacing/>
              <w:jc w:val="both"/>
            </w:pPr>
            <w:r w:rsidRPr="00D53A2B">
              <w:t>Daha az bağlayıcı kullanılan veya hiç bağlayıcı kullanılmayan alternatif kalıplama/çekirdek yapımı süreçleri şunları içerir:</w:t>
            </w:r>
          </w:p>
          <w:p w14:paraId="174A24C4" w14:textId="77777777" w:rsidR="0007690F" w:rsidRPr="00D53A2B" w:rsidRDefault="0007690F" w:rsidP="00A202FD">
            <w:pPr>
              <w:widowControl w:val="0"/>
              <w:spacing w:after="240" w:line="276" w:lineRule="auto"/>
              <w:ind w:firstLine="1"/>
              <w:contextualSpacing/>
              <w:jc w:val="both"/>
            </w:pPr>
            <w:r w:rsidRPr="00D53A2B">
              <w:t xml:space="preserve"> - Köpük kalıp döküm süreci;</w:t>
            </w:r>
          </w:p>
          <w:p w14:paraId="1271275B" w14:textId="77777777" w:rsidR="0007690F" w:rsidRPr="00D53A2B" w:rsidRDefault="0007690F" w:rsidP="00A202FD">
            <w:pPr>
              <w:widowControl w:val="0"/>
              <w:spacing w:after="240" w:line="276" w:lineRule="auto"/>
              <w:ind w:firstLine="1"/>
              <w:contextualSpacing/>
              <w:jc w:val="both"/>
            </w:pPr>
            <w:r w:rsidRPr="00D53A2B">
              <w:t xml:space="preserve"> - Vakumlu kalıplama.</w:t>
            </w:r>
          </w:p>
        </w:tc>
        <w:tc>
          <w:tcPr>
            <w:tcW w:w="2925" w:type="dxa"/>
            <w:noWrap/>
            <w:hideMark/>
          </w:tcPr>
          <w:p w14:paraId="19FF91B9" w14:textId="77777777" w:rsidR="0007690F" w:rsidRPr="00D53A2B" w:rsidRDefault="0007690F" w:rsidP="00A202FD">
            <w:pPr>
              <w:widowControl w:val="0"/>
              <w:spacing w:after="240" w:line="276" w:lineRule="auto"/>
              <w:ind w:firstLine="1"/>
              <w:contextualSpacing/>
              <w:jc w:val="both"/>
            </w:pPr>
            <w:r w:rsidRPr="00D53A2B">
              <w:t>Mevcut tesislere köpük kalıp döküm sürecinin uygulanabilirliği, gerekli altyapı değişiklikleri nedeniyle sınırlı olabilir. Vakumlu kalıplamanın uygulanabilirliği, büyük kalıp kutuları (ör. 1,5 m × 1,5 m’den büyük) durumunda sınırlı olabilir.</w:t>
            </w:r>
          </w:p>
        </w:tc>
      </w:tr>
    </w:tbl>
    <w:p w14:paraId="3FB3BED3" w14:textId="77777777" w:rsidR="0007690F" w:rsidRPr="00D53A2B" w:rsidRDefault="0007690F" w:rsidP="00A202FD">
      <w:pPr>
        <w:widowControl w:val="0"/>
        <w:spacing w:after="240" w:line="276" w:lineRule="auto"/>
        <w:ind w:firstLine="1"/>
        <w:contextualSpacing/>
        <w:jc w:val="both"/>
      </w:pPr>
    </w:p>
    <w:p w14:paraId="6DAC7725" w14:textId="77777777" w:rsidR="0007690F" w:rsidRPr="00D53A2B" w:rsidRDefault="0007690F" w:rsidP="00A202FD">
      <w:pPr>
        <w:pStyle w:val="Balk5"/>
        <w:rPr>
          <w:szCs w:val="24"/>
        </w:rPr>
      </w:pPr>
      <w:r w:rsidRPr="00D53A2B">
        <w:rPr>
          <w:szCs w:val="24"/>
        </w:rPr>
        <w:t>1.2.1.4.4. Kumun Yeniden Kullanımı</w:t>
      </w:r>
    </w:p>
    <w:p w14:paraId="0C63C61F" w14:textId="77777777" w:rsidR="0007690F" w:rsidRPr="00D53A2B" w:rsidRDefault="0007690F" w:rsidP="00A202FD">
      <w:pPr>
        <w:widowControl w:val="0"/>
        <w:spacing w:after="240" w:line="276" w:lineRule="auto"/>
        <w:ind w:firstLine="1"/>
        <w:contextualSpacing/>
        <w:jc w:val="both"/>
      </w:pPr>
      <w:r w:rsidRPr="00D53A2B">
        <w:rPr>
          <w:b/>
          <w:bCs/>
        </w:rPr>
        <w:t>MET 18.</w:t>
      </w:r>
      <w:r w:rsidRPr="00D53A2B">
        <w:t> Yeni kum tüketimini ve kayıp kalıp döküm sürecinde harcanmış kum oluşumunu azaltmak için, MET (En İyi Mevcut Teknikler) aşağıda verilen tekniklerden biri veya uygun bir kombinasyonu kullanılır.</w:t>
      </w:r>
    </w:p>
    <w:tbl>
      <w:tblPr>
        <w:tblStyle w:val="TabloKlavuzu"/>
        <w:tblW w:w="0" w:type="auto"/>
        <w:tblLook w:val="04A0" w:firstRow="1" w:lastRow="0" w:firstColumn="1" w:lastColumn="0" w:noHBand="0" w:noVBand="1"/>
      </w:tblPr>
      <w:tblGrid>
        <w:gridCol w:w="6716"/>
        <w:gridCol w:w="2069"/>
        <w:gridCol w:w="141"/>
        <w:gridCol w:w="95"/>
      </w:tblGrid>
      <w:tr w:rsidR="0007690F" w:rsidRPr="00D53A2B" w14:paraId="6639D367" w14:textId="77777777" w:rsidTr="008A41DE">
        <w:trPr>
          <w:gridAfter w:val="1"/>
          <w:wAfter w:w="95" w:type="dxa"/>
          <w:trHeight w:val="320"/>
        </w:trPr>
        <w:tc>
          <w:tcPr>
            <w:tcW w:w="6716" w:type="dxa"/>
            <w:noWrap/>
            <w:hideMark/>
          </w:tcPr>
          <w:p w14:paraId="6AB45A84"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2210" w:type="dxa"/>
            <w:gridSpan w:val="2"/>
            <w:noWrap/>
            <w:hideMark/>
          </w:tcPr>
          <w:p w14:paraId="24017031"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tc>
      </w:tr>
      <w:tr w:rsidR="0007690F" w:rsidRPr="00D53A2B" w14:paraId="451F3D47" w14:textId="77777777" w:rsidTr="008A41DE">
        <w:trPr>
          <w:gridAfter w:val="1"/>
          <w:wAfter w:w="95" w:type="dxa"/>
          <w:trHeight w:val="320"/>
        </w:trPr>
        <w:tc>
          <w:tcPr>
            <w:tcW w:w="6716" w:type="dxa"/>
            <w:noWrap/>
            <w:hideMark/>
          </w:tcPr>
          <w:p w14:paraId="536FFAD2" w14:textId="77777777" w:rsidR="0007690F" w:rsidRPr="00D53A2B" w:rsidRDefault="0007690F" w:rsidP="00A202FD">
            <w:pPr>
              <w:widowControl w:val="0"/>
              <w:spacing w:after="240" w:line="276" w:lineRule="auto"/>
              <w:ind w:firstLine="1"/>
              <w:contextualSpacing/>
              <w:jc w:val="both"/>
              <w:rPr>
                <w:b/>
                <w:bCs/>
              </w:rPr>
            </w:pPr>
            <w:r w:rsidRPr="00D53A2B">
              <w:rPr>
                <w:b/>
                <w:bCs/>
              </w:rPr>
              <w:t>a.Yeşil kumun optimize edilmiş yeniden şartlandırılması</w:t>
            </w:r>
            <w:r w:rsidRPr="00D53A2B">
              <w:t>: Yeşil kum yeniden şartlandırma süreci, hammaddenin tüketimini ve yeşil kumun yeniden kullanımını optimize etmek için bir bilgisayar sistemiyle kontrol edilir. Örnekler: soğutma (buharlaşma veya akışkan yatak), bağlayıcılar ve katkı maddelerinin eklenmesi, nemlendirme, karıştırma, kalite kontrolü.</w:t>
            </w:r>
          </w:p>
        </w:tc>
        <w:tc>
          <w:tcPr>
            <w:tcW w:w="2210" w:type="dxa"/>
            <w:gridSpan w:val="2"/>
            <w:noWrap/>
            <w:hideMark/>
          </w:tcPr>
          <w:p w14:paraId="09F6336B"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79AEF477" w14:textId="77777777" w:rsidTr="008A41DE">
        <w:trPr>
          <w:trHeight w:val="320"/>
        </w:trPr>
        <w:tc>
          <w:tcPr>
            <w:tcW w:w="6716" w:type="dxa"/>
            <w:noWrap/>
            <w:hideMark/>
          </w:tcPr>
          <w:p w14:paraId="5A7EA97A" w14:textId="77777777" w:rsidR="0007690F" w:rsidRPr="00D53A2B" w:rsidRDefault="0007690F" w:rsidP="00A202FD">
            <w:pPr>
              <w:widowControl w:val="0"/>
              <w:spacing w:after="240" w:line="276" w:lineRule="auto"/>
              <w:ind w:firstLine="1"/>
              <w:contextualSpacing/>
              <w:jc w:val="both"/>
              <w:rPr>
                <w:b/>
                <w:bCs/>
              </w:rPr>
            </w:pPr>
            <w:r w:rsidRPr="00D53A2B">
              <w:rPr>
                <w:b/>
                <w:bCs/>
              </w:rPr>
              <w:t>b.Düşük atıklı yeşil kum yeniden şartlandırılması</w:t>
            </w:r>
            <w:r w:rsidRPr="00D53A2B">
              <w:t>: Alüminyum dökümhanelerinde, parlaklık/renge dayalı olarak yeşil kumdaki safsızlıkları tanımlayan bir tarayıcı kullanılır. Bu safsızlıklar, yeşil kumdan hava darbesi ile ayrılır.</w:t>
            </w:r>
          </w:p>
        </w:tc>
        <w:tc>
          <w:tcPr>
            <w:tcW w:w="2069" w:type="dxa"/>
            <w:noWrap/>
            <w:hideMark/>
          </w:tcPr>
          <w:p w14:paraId="4838A19C" w14:textId="77777777" w:rsidR="0007690F" w:rsidRPr="00D53A2B" w:rsidRDefault="0007690F" w:rsidP="00A202FD">
            <w:pPr>
              <w:widowControl w:val="0"/>
              <w:spacing w:after="240" w:line="276" w:lineRule="auto"/>
              <w:ind w:firstLine="1"/>
              <w:contextualSpacing/>
              <w:jc w:val="both"/>
            </w:pPr>
            <w:r w:rsidRPr="00D53A2B">
              <w:t>Genel</w:t>
            </w:r>
          </w:p>
        </w:tc>
        <w:tc>
          <w:tcPr>
            <w:tcW w:w="236" w:type="dxa"/>
            <w:gridSpan w:val="2"/>
            <w:noWrap/>
            <w:hideMark/>
          </w:tcPr>
          <w:p w14:paraId="3F9CB3EA" w14:textId="77777777" w:rsidR="0007690F" w:rsidRPr="00D53A2B" w:rsidRDefault="0007690F" w:rsidP="00A202FD">
            <w:pPr>
              <w:widowControl w:val="0"/>
              <w:spacing w:after="240" w:line="276" w:lineRule="auto"/>
              <w:ind w:firstLine="1"/>
              <w:contextualSpacing/>
              <w:jc w:val="both"/>
            </w:pPr>
          </w:p>
        </w:tc>
      </w:tr>
      <w:tr w:rsidR="0007690F" w:rsidRPr="00D53A2B" w14:paraId="58D653CE" w14:textId="77777777" w:rsidTr="008A41DE">
        <w:trPr>
          <w:gridAfter w:val="1"/>
          <w:wAfter w:w="95" w:type="dxa"/>
          <w:trHeight w:val="320"/>
        </w:trPr>
        <w:tc>
          <w:tcPr>
            <w:tcW w:w="6716" w:type="dxa"/>
            <w:noWrap/>
            <w:hideMark/>
          </w:tcPr>
          <w:p w14:paraId="47E57EFA" w14:textId="77777777" w:rsidR="0007690F" w:rsidRPr="00D53A2B" w:rsidRDefault="0007690F" w:rsidP="00A202FD">
            <w:pPr>
              <w:widowControl w:val="0"/>
              <w:spacing w:after="240" w:line="276" w:lineRule="auto"/>
              <w:ind w:firstLine="1"/>
              <w:contextualSpacing/>
              <w:jc w:val="both"/>
              <w:rPr>
                <w:b/>
                <w:bCs/>
              </w:rPr>
            </w:pPr>
            <w:r w:rsidRPr="00D53A2B">
              <w:rPr>
                <w:b/>
                <w:bCs/>
              </w:rPr>
              <w:t>c.Kille bağlanmış kumun vakumla karıştırılması ve soğutulması</w:t>
            </w:r>
            <w:r w:rsidRPr="00D53A2B">
              <w:t>: Bu teknik için, MET 25'in (b) maddesine bakınız.</w:t>
            </w:r>
          </w:p>
        </w:tc>
        <w:tc>
          <w:tcPr>
            <w:tcW w:w="2210" w:type="dxa"/>
            <w:gridSpan w:val="2"/>
            <w:noWrap/>
            <w:hideMark/>
          </w:tcPr>
          <w:p w14:paraId="4A451F80"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1E9D1337" w14:textId="77777777" w:rsidTr="008A41DE">
        <w:trPr>
          <w:gridAfter w:val="1"/>
          <w:wAfter w:w="95" w:type="dxa"/>
          <w:trHeight w:val="320"/>
        </w:trPr>
        <w:tc>
          <w:tcPr>
            <w:tcW w:w="6716" w:type="dxa"/>
            <w:noWrap/>
            <w:hideMark/>
          </w:tcPr>
          <w:p w14:paraId="3159EBAA" w14:textId="77777777" w:rsidR="0007690F" w:rsidRPr="00D53A2B" w:rsidRDefault="0007690F" w:rsidP="00A202FD">
            <w:pPr>
              <w:widowControl w:val="0"/>
              <w:spacing w:after="240" w:line="276" w:lineRule="auto"/>
              <w:ind w:firstLine="1"/>
              <w:contextualSpacing/>
              <w:jc w:val="both"/>
              <w:rPr>
                <w:b/>
                <w:bCs/>
              </w:rPr>
            </w:pPr>
            <w:r w:rsidRPr="00D53A2B">
              <w:rPr>
                <w:b/>
                <w:bCs/>
              </w:rPr>
              <w:t>d.Soğuk bağlayıcı kumun mekanik geri kazanımı</w:t>
            </w:r>
            <w:r w:rsidRPr="00D53A2B">
              <w:t>: Kırıcılar veya değirmenler kullanılarak, soğuk bağlayıcı kumun geri kazanımı için mekanik teknikler (ör. parçaların kırılması, kum fraksiyonlarının ayrılması) uygulanır.</w:t>
            </w:r>
          </w:p>
        </w:tc>
        <w:tc>
          <w:tcPr>
            <w:tcW w:w="2210" w:type="dxa"/>
            <w:gridSpan w:val="2"/>
            <w:noWrap/>
            <w:hideMark/>
          </w:tcPr>
          <w:p w14:paraId="61B2ACD3" w14:textId="77777777" w:rsidR="0007690F" w:rsidRPr="00D53A2B" w:rsidRDefault="0007690F" w:rsidP="00A202FD">
            <w:pPr>
              <w:widowControl w:val="0"/>
              <w:spacing w:after="240" w:line="276" w:lineRule="auto"/>
              <w:ind w:firstLine="1"/>
              <w:contextualSpacing/>
              <w:jc w:val="both"/>
            </w:pPr>
            <w:r w:rsidRPr="00D53A2B">
              <w:t>Silikatla bağlanmış kum için uygulanabilir olmayabilir.</w:t>
            </w:r>
          </w:p>
        </w:tc>
      </w:tr>
      <w:tr w:rsidR="0007690F" w:rsidRPr="00D53A2B" w14:paraId="4252E532" w14:textId="77777777" w:rsidTr="008A41DE">
        <w:trPr>
          <w:gridAfter w:val="1"/>
          <w:wAfter w:w="95" w:type="dxa"/>
          <w:trHeight w:val="320"/>
        </w:trPr>
        <w:tc>
          <w:tcPr>
            <w:tcW w:w="6716" w:type="dxa"/>
            <w:noWrap/>
            <w:hideMark/>
          </w:tcPr>
          <w:p w14:paraId="0AF6E26D" w14:textId="77777777" w:rsidR="0007690F" w:rsidRPr="00D53A2B" w:rsidRDefault="0007690F" w:rsidP="00A202FD">
            <w:pPr>
              <w:widowControl w:val="0"/>
              <w:spacing w:after="240" w:line="276" w:lineRule="auto"/>
              <w:ind w:firstLine="1"/>
              <w:contextualSpacing/>
              <w:jc w:val="both"/>
              <w:rPr>
                <w:b/>
                <w:bCs/>
              </w:rPr>
            </w:pPr>
            <w:r w:rsidRPr="00D53A2B">
              <w:rPr>
                <w:b/>
                <w:bCs/>
              </w:rPr>
              <w:t>e.Kille veya kimyasal bağlanmış kumun taşlama çarkı ile soğuk mekanik geri kazanımı</w:t>
            </w:r>
            <w:r w:rsidRPr="00D53A2B">
              <w:t>: Kullanılmış kum tanelerinden kil tabakalarını ve kimyasal bağlayıcıları çıkarmak için dönen bir taşlama çarkı kullanılır.</w:t>
            </w:r>
          </w:p>
        </w:tc>
        <w:tc>
          <w:tcPr>
            <w:tcW w:w="2210" w:type="dxa"/>
            <w:gridSpan w:val="2"/>
            <w:noWrap/>
            <w:hideMark/>
          </w:tcPr>
          <w:p w14:paraId="3C5920FA"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3C7F07E1" w14:textId="77777777" w:rsidTr="008A41DE">
        <w:trPr>
          <w:gridAfter w:val="1"/>
          <w:wAfter w:w="95" w:type="dxa"/>
          <w:trHeight w:val="320"/>
        </w:trPr>
        <w:tc>
          <w:tcPr>
            <w:tcW w:w="6716" w:type="dxa"/>
            <w:noWrap/>
            <w:hideMark/>
          </w:tcPr>
          <w:p w14:paraId="012F88DB" w14:textId="77777777" w:rsidR="0007690F" w:rsidRPr="00D53A2B" w:rsidRDefault="0007690F" w:rsidP="00A202FD">
            <w:pPr>
              <w:widowControl w:val="0"/>
              <w:spacing w:after="240" w:line="276" w:lineRule="auto"/>
              <w:ind w:firstLine="1"/>
              <w:contextualSpacing/>
              <w:jc w:val="both"/>
              <w:rPr>
                <w:b/>
                <w:bCs/>
              </w:rPr>
            </w:pPr>
            <w:r w:rsidRPr="00D53A2B">
              <w:rPr>
                <w:b/>
                <w:bCs/>
              </w:rPr>
              <w:t>f.Kumun darbe tamburu kullanılarak soğuk mekanik geri kazanımı</w:t>
            </w:r>
            <w:r w:rsidRPr="00D53A2B">
              <w:t>: Kum tanelerinin aşındırıcı temizliği için küçük bıçaklarla donatılmış, dönen iç bir eksene sahip bir darbe tamburu kullanılır. Eğer bentonit ve kimyasal bağlayıcılarla karışık bir kum kullanılıyorsa, yeşil kumdaki manyetik özelliklere sahip parçaların çıkarılması için önceden manyetik bir ayırma işlemi yapılır.</w:t>
            </w:r>
          </w:p>
        </w:tc>
        <w:tc>
          <w:tcPr>
            <w:tcW w:w="2210" w:type="dxa"/>
            <w:gridSpan w:val="2"/>
            <w:noWrap/>
            <w:hideMark/>
          </w:tcPr>
          <w:p w14:paraId="17A1FD4C"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4D130F66" w14:textId="77777777" w:rsidTr="008A41DE">
        <w:trPr>
          <w:gridAfter w:val="1"/>
          <w:wAfter w:w="95" w:type="dxa"/>
          <w:trHeight w:val="320"/>
        </w:trPr>
        <w:tc>
          <w:tcPr>
            <w:tcW w:w="6716" w:type="dxa"/>
            <w:noWrap/>
            <w:hideMark/>
          </w:tcPr>
          <w:p w14:paraId="705E1BB7" w14:textId="77777777" w:rsidR="0007690F" w:rsidRPr="00D53A2B" w:rsidRDefault="0007690F" w:rsidP="00A202FD">
            <w:pPr>
              <w:widowControl w:val="0"/>
              <w:spacing w:after="240" w:line="276" w:lineRule="auto"/>
              <w:ind w:firstLine="1"/>
              <w:contextualSpacing/>
              <w:jc w:val="both"/>
              <w:rPr>
                <w:b/>
                <w:bCs/>
              </w:rPr>
            </w:pPr>
            <w:r w:rsidRPr="00D53A2B">
              <w:rPr>
                <w:b/>
                <w:bCs/>
              </w:rPr>
              <w:t>g.Pnömatik sistem kullanılarak kumun soğuk geri kazanımı</w:t>
            </w:r>
            <w:r w:rsidRPr="00D53A2B">
              <w:t>: Kum tanelerinden bağlayıcıları aşındırma ve darbe yoluyla çıkarma. Kinetik enerji, sıkıştırılmış hava akışıyla sağlanır.</w:t>
            </w:r>
          </w:p>
        </w:tc>
        <w:tc>
          <w:tcPr>
            <w:tcW w:w="2210" w:type="dxa"/>
            <w:gridSpan w:val="2"/>
            <w:noWrap/>
            <w:hideMark/>
          </w:tcPr>
          <w:p w14:paraId="655A1CE3"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3E28ACFD" w14:textId="77777777" w:rsidTr="008A41DE">
        <w:trPr>
          <w:gridAfter w:val="1"/>
          <w:wAfter w:w="95" w:type="dxa"/>
          <w:trHeight w:val="320"/>
        </w:trPr>
        <w:tc>
          <w:tcPr>
            <w:tcW w:w="6716" w:type="dxa"/>
            <w:noWrap/>
            <w:hideMark/>
          </w:tcPr>
          <w:p w14:paraId="6F429B36" w14:textId="77777777" w:rsidR="0007690F" w:rsidRPr="00D53A2B" w:rsidRDefault="0007690F" w:rsidP="00A202FD">
            <w:pPr>
              <w:widowControl w:val="0"/>
              <w:spacing w:after="240" w:line="276" w:lineRule="auto"/>
              <w:ind w:firstLine="1"/>
              <w:contextualSpacing/>
              <w:jc w:val="both"/>
              <w:rPr>
                <w:b/>
                <w:bCs/>
              </w:rPr>
            </w:pPr>
            <w:r w:rsidRPr="00D53A2B">
              <w:rPr>
                <w:b/>
                <w:bCs/>
              </w:rPr>
              <w:t>h. Kumun termal geri kazanımı</w:t>
            </w:r>
            <w:r w:rsidRPr="00D53A2B">
              <w:t>: Kimyasal bağlanmış ve karışık kumda bulunan bağlayıcıları ve kirleticileri yakmak için ısı kullanılır. Bu işlem, doğru tane boyutuna getirmek ve herhangi bir metalik kirleticiyi çıkarmak için mekanik bir ön işlemle birleştirilir. Karışık kum söz konusu olduğunda, kimyasal bağlayıcı kum oranı yeterince yüksek olmalıdır.</w:t>
            </w:r>
          </w:p>
        </w:tc>
        <w:tc>
          <w:tcPr>
            <w:tcW w:w="2210" w:type="dxa"/>
            <w:gridSpan w:val="2"/>
            <w:noWrap/>
            <w:hideMark/>
          </w:tcPr>
          <w:p w14:paraId="69495AAE" w14:textId="77777777" w:rsidR="0007690F" w:rsidRPr="00D53A2B" w:rsidRDefault="0007690F" w:rsidP="00A202FD">
            <w:pPr>
              <w:widowControl w:val="0"/>
              <w:spacing w:after="240" w:line="276" w:lineRule="auto"/>
              <w:ind w:firstLine="1"/>
              <w:contextualSpacing/>
              <w:jc w:val="both"/>
            </w:pPr>
            <w:r w:rsidRPr="00D53A2B">
              <w:t>İnorganik bağlayıcılardan kaynaklanan kalıntılar içeren kullanılmış kumlar için uygulanabilir olmayabilir.</w:t>
            </w:r>
          </w:p>
        </w:tc>
      </w:tr>
      <w:tr w:rsidR="0007690F" w:rsidRPr="00D53A2B" w14:paraId="6263C491" w14:textId="77777777" w:rsidTr="008A41DE">
        <w:trPr>
          <w:gridAfter w:val="1"/>
          <w:wAfter w:w="95" w:type="dxa"/>
          <w:trHeight w:val="320"/>
        </w:trPr>
        <w:tc>
          <w:tcPr>
            <w:tcW w:w="6716" w:type="dxa"/>
            <w:noWrap/>
            <w:hideMark/>
          </w:tcPr>
          <w:p w14:paraId="39812F57" w14:textId="77777777" w:rsidR="0007690F" w:rsidRPr="00D53A2B" w:rsidRDefault="0007690F" w:rsidP="00A202FD">
            <w:pPr>
              <w:widowControl w:val="0"/>
              <w:spacing w:after="240" w:line="276" w:lineRule="auto"/>
              <w:ind w:firstLine="1"/>
              <w:contextualSpacing/>
              <w:jc w:val="both"/>
              <w:rPr>
                <w:b/>
                <w:bCs/>
              </w:rPr>
            </w:pPr>
            <w:r w:rsidRPr="00D53A2B">
              <w:rPr>
                <w:b/>
                <w:bCs/>
              </w:rPr>
              <w:t>i.Karışık organik-bentonit kumlar için kombine geri kazanım (mekanik-termal-mekanik)</w:t>
            </w:r>
            <w:r w:rsidRPr="00D53A2B">
              <w:t>: Ön işleme (eleme, manyetik ayırma) ve kurutmadan sonra, kum mekanik veya pnömatik olarak temizlenir ve bağlayıcının bir kısmı çıkarılır. Termal adımda, organik bileşenler yakılır ve inorganik bileşenler toz halinde transfer edilir veya tanelere yapışır. Son mekanik işlemde, bu tane tabakaları mekanik veya pnömatik olarak çıkarılır ve toz olarak atılır.</w:t>
            </w:r>
          </w:p>
        </w:tc>
        <w:tc>
          <w:tcPr>
            <w:tcW w:w="2210" w:type="dxa"/>
            <w:gridSpan w:val="2"/>
            <w:noWrap/>
            <w:hideMark/>
          </w:tcPr>
          <w:p w14:paraId="2C01F6BF" w14:textId="77777777" w:rsidR="0007690F" w:rsidRPr="00D53A2B" w:rsidRDefault="0007690F" w:rsidP="00A202FD">
            <w:pPr>
              <w:widowControl w:val="0"/>
              <w:spacing w:after="240" w:line="276" w:lineRule="auto"/>
              <w:ind w:firstLine="1"/>
              <w:contextualSpacing/>
              <w:jc w:val="both"/>
            </w:pPr>
            <w:r w:rsidRPr="00D53A2B">
              <w:t>Asidik bağlayıcılar içeren çekirdek kumları veya su camı içeren kumlar için uygulanabilir olmayabilir.</w:t>
            </w:r>
          </w:p>
        </w:tc>
      </w:tr>
      <w:tr w:rsidR="0007690F" w:rsidRPr="00D53A2B" w14:paraId="29D9BD3F" w14:textId="77777777" w:rsidTr="008A41DE">
        <w:trPr>
          <w:gridAfter w:val="1"/>
          <w:wAfter w:w="95" w:type="dxa"/>
          <w:trHeight w:val="320"/>
        </w:trPr>
        <w:tc>
          <w:tcPr>
            <w:tcW w:w="6716" w:type="dxa"/>
            <w:noWrap/>
            <w:hideMark/>
          </w:tcPr>
          <w:p w14:paraId="2878DDF2" w14:textId="77777777" w:rsidR="0007690F" w:rsidRPr="00D53A2B" w:rsidRDefault="0007690F" w:rsidP="00A202FD">
            <w:pPr>
              <w:widowControl w:val="0"/>
              <w:spacing w:after="240" w:line="276" w:lineRule="auto"/>
              <w:ind w:firstLine="1"/>
              <w:contextualSpacing/>
              <w:jc w:val="both"/>
              <w:rPr>
                <w:b/>
                <w:bCs/>
              </w:rPr>
            </w:pPr>
            <w:r w:rsidRPr="00D53A2B">
              <w:rPr>
                <w:b/>
                <w:bCs/>
              </w:rPr>
              <w:t>j.Birleşik kum geri kazanımı ve alüminyum dökümlerin ısıl işlemi</w:t>
            </w:r>
            <w:r w:rsidRPr="00D53A2B">
              <w:t>: Döküm ve katılaşmadan sonra, kalıplar/döküm birimleri fırına yüklenir. Birimler 420 °C'nin üzerine çıktığında bağlayıcılar yanar, çekirdekler/kalıplar parçalanır ve dökümler ısıl işlemden geçer. Kum, son temizlik için fırının altına düşer. Soğutulduktan sonra, kum çekirdek kum mikserine ek işlem gerektirmeden geri gönderilir.</w:t>
            </w:r>
          </w:p>
        </w:tc>
        <w:tc>
          <w:tcPr>
            <w:tcW w:w="2210" w:type="dxa"/>
            <w:gridSpan w:val="2"/>
            <w:noWrap/>
            <w:hideMark/>
          </w:tcPr>
          <w:p w14:paraId="3FE75CA3"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38654673" w14:textId="77777777" w:rsidTr="008A41DE">
        <w:trPr>
          <w:gridAfter w:val="1"/>
          <w:wAfter w:w="95" w:type="dxa"/>
          <w:trHeight w:val="320"/>
        </w:trPr>
        <w:tc>
          <w:tcPr>
            <w:tcW w:w="6716" w:type="dxa"/>
            <w:noWrap/>
            <w:hideMark/>
          </w:tcPr>
          <w:p w14:paraId="213DE02C" w14:textId="77777777" w:rsidR="0007690F" w:rsidRPr="00D53A2B" w:rsidRDefault="0007690F" w:rsidP="00A202FD">
            <w:pPr>
              <w:widowControl w:val="0"/>
              <w:spacing w:after="240" w:line="276" w:lineRule="auto"/>
              <w:ind w:firstLine="1"/>
              <w:contextualSpacing/>
              <w:jc w:val="both"/>
              <w:rPr>
                <w:b/>
                <w:bCs/>
              </w:rPr>
            </w:pPr>
            <w:r w:rsidRPr="00D53A2B">
              <w:rPr>
                <w:b/>
                <w:bCs/>
              </w:rPr>
              <w:t>k.Yeşil kum, silikat veya CO</w:t>
            </w:r>
            <w:r w:rsidRPr="00D53A2B">
              <w:rPr>
                <w:b/>
                <w:bCs/>
                <w:vertAlign w:val="subscript"/>
              </w:rPr>
              <w:t>2</w:t>
            </w:r>
            <w:r w:rsidRPr="00D53A2B">
              <w:rPr>
                <w:b/>
                <w:bCs/>
              </w:rPr>
              <w:t xml:space="preserve"> bağlanmış kumlar için ıslak geri kazanım</w:t>
            </w:r>
            <w:r w:rsidRPr="00D53A2B">
              <w:t>: Kum, çamur oluşturmak için su ile karıştırılır. Kum tanelerinden bağlayıcı kalıntıların çıkarılması, kum taneleri arasında yoğun sürtünme ile gerçekleştirilir. Bağlayıcılar yıkama suyuna bırakılır. Yıkanan kum kurutulur, elenir ve son olarak soğutulur.</w:t>
            </w:r>
          </w:p>
        </w:tc>
        <w:tc>
          <w:tcPr>
            <w:tcW w:w="2210" w:type="dxa"/>
            <w:gridSpan w:val="2"/>
            <w:noWrap/>
            <w:hideMark/>
          </w:tcPr>
          <w:p w14:paraId="5DCDB9FF"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34DCF99F" w14:textId="77777777" w:rsidTr="008A41DE">
        <w:trPr>
          <w:gridAfter w:val="1"/>
          <w:wAfter w:w="95" w:type="dxa"/>
          <w:trHeight w:val="320"/>
        </w:trPr>
        <w:tc>
          <w:tcPr>
            <w:tcW w:w="6716" w:type="dxa"/>
            <w:noWrap/>
            <w:hideMark/>
          </w:tcPr>
          <w:p w14:paraId="204C8950" w14:textId="77777777" w:rsidR="0007690F" w:rsidRPr="00D53A2B" w:rsidRDefault="0007690F" w:rsidP="00A202FD">
            <w:pPr>
              <w:widowControl w:val="0"/>
              <w:spacing w:after="240" w:line="276" w:lineRule="auto"/>
              <w:ind w:firstLine="1"/>
              <w:contextualSpacing/>
              <w:jc w:val="both"/>
              <w:rPr>
                <w:b/>
                <w:bCs/>
              </w:rPr>
            </w:pPr>
            <w:r w:rsidRPr="00D53A2B">
              <w:rPr>
                <w:b/>
                <w:bCs/>
              </w:rPr>
              <w:t>l.Pnömatik sistem kullanarak sodyum silikat (su camı) kumunun geri kazanımı</w:t>
            </w:r>
            <w:r w:rsidRPr="00D53A2B">
              <w:t>: Silikat tabakasını kırılgan hale getirmek için kum ısıtılır ve ardından pnömatik sistem (g tekniği) kullanılır. Geri kazanılan kum, yeniden kullanılmadan önce soğutulur.</w:t>
            </w:r>
          </w:p>
        </w:tc>
        <w:tc>
          <w:tcPr>
            <w:tcW w:w="2210" w:type="dxa"/>
            <w:gridSpan w:val="2"/>
            <w:noWrap/>
            <w:hideMark/>
          </w:tcPr>
          <w:p w14:paraId="333C8C3E"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0699B32C" w14:textId="77777777" w:rsidTr="008A41DE">
        <w:trPr>
          <w:gridAfter w:val="1"/>
          <w:wAfter w:w="95" w:type="dxa"/>
          <w:trHeight w:val="320"/>
        </w:trPr>
        <w:tc>
          <w:tcPr>
            <w:tcW w:w="6716" w:type="dxa"/>
            <w:noWrap/>
            <w:hideMark/>
          </w:tcPr>
          <w:p w14:paraId="1C610D19" w14:textId="77777777" w:rsidR="0007690F" w:rsidRPr="00D53A2B" w:rsidRDefault="0007690F" w:rsidP="00A202FD">
            <w:pPr>
              <w:widowControl w:val="0"/>
              <w:spacing w:after="240" w:line="276" w:lineRule="auto"/>
              <w:ind w:firstLine="1"/>
              <w:contextualSpacing/>
              <w:jc w:val="both"/>
              <w:rPr>
                <w:b/>
                <w:bCs/>
              </w:rPr>
            </w:pPr>
            <w:r w:rsidRPr="00D53A2B">
              <w:rPr>
                <w:b/>
                <w:bCs/>
              </w:rPr>
              <w:t>m.Çekirdek kumunun dahili yeniden kullanımı (soğuk kutu veya furan-asit bağlayıcılar)</w:t>
            </w:r>
            <w:r w:rsidRPr="00D53A2B">
              <w:t>: Kırılmış/hatalı çekirdeklerden ve çekirdek yapım makinelerinden çıkan fazla kum (spesifik bir birimde sertleştikten sonra), bir kırma ünitesine beslenir. Sonuçta ortaya çıkan kum, yeni çekirdek üretimi için yeni kumla karıştırılır.</w:t>
            </w:r>
          </w:p>
        </w:tc>
        <w:tc>
          <w:tcPr>
            <w:tcW w:w="2210" w:type="dxa"/>
            <w:gridSpan w:val="2"/>
            <w:noWrap/>
            <w:hideMark/>
          </w:tcPr>
          <w:p w14:paraId="524044BC"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6CB9136D" w14:textId="77777777" w:rsidTr="008A41DE">
        <w:trPr>
          <w:gridAfter w:val="1"/>
          <w:wAfter w:w="95" w:type="dxa"/>
          <w:trHeight w:val="320"/>
        </w:trPr>
        <w:tc>
          <w:tcPr>
            <w:tcW w:w="6716" w:type="dxa"/>
            <w:noWrap/>
            <w:hideMark/>
          </w:tcPr>
          <w:p w14:paraId="517B4E6A" w14:textId="77777777" w:rsidR="0007690F" w:rsidRPr="00D53A2B" w:rsidRDefault="0007690F" w:rsidP="00A202FD">
            <w:pPr>
              <w:widowControl w:val="0"/>
              <w:spacing w:after="240" w:line="276" w:lineRule="auto"/>
              <w:ind w:firstLine="1"/>
              <w:contextualSpacing/>
              <w:jc w:val="both"/>
              <w:rPr>
                <w:b/>
                <w:bCs/>
              </w:rPr>
            </w:pPr>
            <w:r w:rsidRPr="00D53A2B">
              <w:rPr>
                <w:b/>
                <w:bCs/>
              </w:rPr>
              <w:t>n.Yeşil kum devresinden çıkan tozun kalıp yapımında yeniden kullanımı</w:t>
            </w:r>
            <w:r w:rsidRPr="00D53A2B">
              <w:t>: Titreşimli çıkarma ünitesi ve kuru yeşil kumun dozajlama ve taşıma istasyonlarından toplanan toz (aktif bağlayıcı bileşikler içeren), yeşil kum devresine geri dönüştürülür.</w:t>
            </w:r>
          </w:p>
        </w:tc>
        <w:tc>
          <w:tcPr>
            <w:tcW w:w="2210" w:type="dxa"/>
            <w:gridSpan w:val="2"/>
            <w:noWrap/>
            <w:hideMark/>
          </w:tcPr>
          <w:p w14:paraId="027C1187" w14:textId="77777777" w:rsidR="0007690F" w:rsidRPr="00D53A2B" w:rsidRDefault="0007690F" w:rsidP="00A202FD">
            <w:pPr>
              <w:widowControl w:val="0"/>
              <w:spacing w:after="240" w:line="276" w:lineRule="auto"/>
              <w:ind w:firstLine="1"/>
              <w:contextualSpacing/>
              <w:jc w:val="both"/>
            </w:pPr>
            <w:r w:rsidRPr="00D53A2B">
              <w:t>Genel olarak uygulanabilir.</w:t>
            </w:r>
          </w:p>
        </w:tc>
      </w:tr>
    </w:tbl>
    <w:p w14:paraId="132B1CF6" w14:textId="77777777" w:rsidR="0007690F" w:rsidRPr="00D53A2B" w:rsidRDefault="0007690F" w:rsidP="00A202FD">
      <w:pPr>
        <w:widowControl w:val="0"/>
        <w:spacing w:after="240" w:line="276" w:lineRule="auto"/>
        <w:ind w:firstLine="1"/>
        <w:contextualSpacing/>
        <w:jc w:val="both"/>
      </w:pPr>
    </w:p>
    <w:p w14:paraId="7802C42F" w14:textId="77777777" w:rsidR="0007690F" w:rsidRPr="00D53A2B" w:rsidRDefault="0007690F" w:rsidP="00A202FD">
      <w:pPr>
        <w:widowControl w:val="0"/>
        <w:spacing w:after="240" w:line="276" w:lineRule="auto"/>
        <w:ind w:firstLine="1"/>
        <w:contextualSpacing/>
        <w:jc w:val="both"/>
      </w:pPr>
      <w:r w:rsidRPr="00D53A2B">
        <w:rPr>
          <w:b/>
          <w:bCs/>
        </w:rPr>
        <w:t>Tablo 1.5</w:t>
      </w:r>
    </w:p>
    <w:p w14:paraId="1D2D2F78" w14:textId="77777777" w:rsidR="0007690F" w:rsidRPr="00D53A2B" w:rsidRDefault="0007690F" w:rsidP="00A202FD">
      <w:pPr>
        <w:widowControl w:val="0"/>
        <w:spacing w:after="240" w:line="276" w:lineRule="auto"/>
        <w:ind w:firstLine="1"/>
        <w:contextualSpacing/>
        <w:jc w:val="both"/>
      </w:pPr>
      <w:r w:rsidRPr="00D53A2B">
        <w:rPr>
          <w:b/>
          <w:bCs/>
        </w:rPr>
        <w:t>Kum Yeniden Kullanımı İçin MET’a Uygun Çevresel Performans Düzeyleri (MET-AEPL'ler)</w:t>
      </w:r>
    </w:p>
    <w:tbl>
      <w:tblPr>
        <w:tblStyle w:val="TabloKlavuzu"/>
        <w:tblW w:w="0" w:type="auto"/>
        <w:tblLook w:val="04A0" w:firstRow="1" w:lastRow="0" w:firstColumn="1" w:lastColumn="0" w:noHBand="0" w:noVBand="1"/>
      </w:tblPr>
      <w:tblGrid>
        <w:gridCol w:w="3255"/>
        <w:gridCol w:w="1701"/>
        <w:gridCol w:w="3970"/>
      </w:tblGrid>
      <w:tr w:rsidR="0007690F" w:rsidRPr="00D53A2B" w14:paraId="648905CD" w14:textId="77777777" w:rsidTr="008A41DE">
        <w:trPr>
          <w:trHeight w:val="320"/>
        </w:trPr>
        <w:tc>
          <w:tcPr>
            <w:tcW w:w="3255" w:type="dxa"/>
            <w:noWrap/>
            <w:hideMark/>
          </w:tcPr>
          <w:p w14:paraId="6982D3C0" w14:textId="77777777" w:rsidR="0007690F" w:rsidRPr="00D53A2B" w:rsidRDefault="0007690F" w:rsidP="00A202FD">
            <w:pPr>
              <w:widowControl w:val="0"/>
              <w:spacing w:after="240" w:line="276" w:lineRule="auto"/>
              <w:ind w:firstLine="1"/>
              <w:contextualSpacing/>
              <w:jc w:val="both"/>
              <w:rPr>
                <w:b/>
                <w:bCs/>
              </w:rPr>
            </w:pPr>
            <w:r w:rsidRPr="00D53A2B">
              <w:rPr>
                <w:b/>
                <w:bCs/>
              </w:rPr>
              <w:t>Dökümhane Türü</w:t>
            </w:r>
          </w:p>
        </w:tc>
        <w:tc>
          <w:tcPr>
            <w:tcW w:w="1701" w:type="dxa"/>
            <w:noWrap/>
            <w:hideMark/>
          </w:tcPr>
          <w:p w14:paraId="5B025FB0"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3970" w:type="dxa"/>
            <w:noWrap/>
            <w:hideMark/>
          </w:tcPr>
          <w:p w14:paraId="051DD535" w14:textId="77777777" w:rsidR="0007690F" w:rsidRPr="00D53A2B" w:rsidRDefault="0007690F" w:rsidP="00A202FD">
            <w:pPr>
              <w:widowControl w:val="0"/>
              <w:spacing w:after="240" w:line="276" w:lineRule="auto"/>
              <w:ind w:firstLine="1"/>
              <w:contextualSpacing/>
              <w:jc w:val="both"/>
              <w:rPr>
                <w:b/>
                <w:bCs/>
              </w:rPr>
            </w:pPr>
            <w:r w:rsidRPr="00D53A2B">
              <w:rPr>
                <w:b/>
                <w:bCs/>
              </w:rPr>
              <w:t>MET-AEPL (26) </w:t>
            </w:r>
            <w:r w:rsidRPr="00D53A2B">
              <w:rPr>
                <w:b/>
                <w:bCs/>
                <w:i/>
                <w:iCs/>
              </w:rPr>
              <w:t>(Yıllık Ortalama)</w:t>
            </w:r>
          </w:p>
        </w:tc>
      </w:tr>
      <w:tr w:rsidR="0007690F" w:rsidRPr="00D53A2B" w14:paraId="7906D079" w14:textId="77777777" w:rsidTr="008A41DE">
        <w:trPr>
          <w:trHeight w:val="320"/>
        </w:trPr>
        <w:tc>
          <w:tcPr>
            <w:tcW w:w="3255" w:type="dxa"/>
            <w:noWrap/>
            <w:hideMark/>
          </w:tcPr>
          <w:p w14:paraId="77B08879" w14:textId="77777777" w:rsidR="0007690F" w:rsidRPr="00D53A2B" w:rsidRDefault="0007690F" w:rsidP="00A202FD">
            <w:pPr>
              <w:widowControl w:val="0"/>
              <w:spacing w:after="240" w:line="276" w:lineRule="auto"/>
              <w:ind w:firstLine="1"/>
              <w:contextualSpacing/>
              <w:jc w:val="both"/>
            </w:pPr>
            <w:r w:rsidRPr="00D53A2B">
              <w:t>Dökme demir dökümhaneleri</w:t>
            </w:r>
          </w:p>
        </w:tc>
        <w:tc>
          <w:tcPr>
            <w:tcW w:w="1701" w:type="dxa"/>
            <w:noWrap/>
            <w:hideMark/>
          </w:tcPr>
          <w:p w14:paraId="4A708597" w14:textId="77777777" w:rsidR="0007690F" w:rsidRPr="00D53A2B" w:rsidRDefault="0007690F" w:rsidP="00A202FD">
            <w:pPr>
              <w:widowControl w:val="0"/>
              <w:spacing w:after="240" w:line="276" w:lineRule="auto"/>
              <w:ind w:firstLine="1"/>
              <w:contextualSpacing/>
              <w:jc w:val="both"/>
            </w:pPr>
            <w:r w:rsidRPr="00D53A2B">
              <w:t>%</w:t>
            </w:r>
          </w:p>
        </w:tc>
        <w:tc>
          <w:tcPr>
            <w:tcW w:w="3970" w:type="dxa"/>
            <w:noWrap/>
            <w:hideMark/>
          </w:tcPr>
          <w:p w14:paraId="59C1C09B" w14:textId="77777777" w:rsidR="0007690F" w:rsidRPr="00D53A2B" w:rsidRDefault="0007690F" w:rsidP="00A202FD">
            <w:pPr>
              <w:widowControl w:val="0"/>
              <w:spacing w:after="240" w:line="276" w:lineRule="auto"/>
              <w:ind w:firstLine="1"/>
              <w:contextualSpacing/>
              <w:jc w:val="both"/>
            </w:pPr>
            <w:r w:rsidRPr="00D53A2B">
              <w:t>&gt; 90</w:t>
            </w:r>
          </w:p>
        </w:tc>
      </w:tr>
      <w:tr w:rsidR="0007690F" w:rsidRPr="00D53A2B" w14:paraId="7F7FFC87" w14:textId="77777777" w:rsidTr="008A41DE">
        <w:trPr>
          <w:trHeight w:val="320"/>
        </w:trPr>
        <w:tc>
          <w:tcPr>
            <w:tcW w:w="3255" w:type="dxa"/>
            <w:noWrap/>
            <w:hideMark/>
          </w:tcPr>
          <w:p w14:paraId="1578ADD1" w14:textId="77777777" w:rsidR="0007690F" w:rsidRPr="00D53A2B" w:rsidRDefault="0007690F" w:rsidP="00A202FD">
            <w:pPr>
              <w:widowControl w:val="0"/>
              <w:spacing w:after="240" w:line="276" w:lineRule="auto"/>
              <w:ind w:firstLine="1"/>
              <w:contextualSpacing/>
              <w:jc w:val="both"/>
            </w:pPr>
            <w:r w:rsidRPr="00D53A2B">
              <w:t>Çelik dökümhaneleri</w:t>
            </w:r>
          </w:p>
        </w:tc>
        <w:tc>
          <w:tcPr>
            <w:tcW w:w="1701" w:type="dxa"/>
            <w:noWrap/>
            <w:hideMark/>
          </w:tcPr>
          <w:p w14:paraId="51B0E824" w14:textId="77777777" w:rsidR="0007690F" w:rsidRPr="00D53A2B" w:rsidRDefault="0007690F" w:rsidP="00A202FD">
            <w:pPr>
              <w:widowControl w:val="0"/>
              <w:spacing w:after="240" w:line="276" w:lineRule="auto"/>
              <w:ind w:firstLine="1"/>
              <w:contextualSpacing/>
              <w:jc w:val="both"/>
            </w:pPr>
            <w:r w:rsidRPr="00D53A2B">
              <w:t>%</w:t>
            </w:r>
          </w:p>
        </w:tc>
        <w:tc>
          <w:tcPr>
            <w:tcW w:w="3970" w:type="dxa"/>
            <w:noWrap/>
            <w:hideMark/>
          </w:tcPr>
          <w:p w14:paraId="0AC69648" w14:textId="77777777" w:rsidR="0007690F" w:rsidRPr="00D53A2B" w:rsidRDefault="0007690F" w:rsidP="00A202FD">
            <w:pPr>
              <w:widowControl w:val="0"/>
              <w:spacing w:after="240" w:line="276" w:lineRule="auto"/>
              <w:ind w:firstLine="1"/>
              <w:contextualSpacing/>
              <w:jc w:val="both"/>
            </w:pPr>
            <w:r w:rsidRPr="00D53A2B">
              <w:t>&gt; 80</w:t>
            </w:r>
          </w:p>
        </w:tc>
      </w:tr>
      <w:tr w:rsidR="0007690F" w:rsidRPr="00D53A2B" w14:paraId="5768B809" w14:textId="77777777" w:rsidTr="008A41DE">
        <w:trPr>
          <w:trHeight w:val="320"/>
        </w:trPr>
        <w:tc>
          <w:tcPr>
            <w:tcW w:w="3255" w:type="dxa"/>
            <w:noWrap/>
            <w:hideMark/>
          </w:tcPr>
          <w:p w14:paraId="6C07C5F8" w14:textId="77777777" w:rsidR="0007690F" w:rsidRPr="00D53A2B" w:rsidRDefault="0007690F" w:rsidP="00A202FD">
            <w:pPr>
              <w:widowControl w:val="0"/>
              <w:spacing w:after="240" w:line="276" w:lineRule="auto"/>
              <w:ind w:firstLine="1"/>
              <w:contextualSpacing/>
              <w:jc w:val="both"/>
            </w:pPr>
            <w:r w:rsidRPr="00D53A2B">
              <w:t>NFM (Demir dışı metaller) dökümhaneleri (27)</w:t>
            </w:r>
          </w:p>
        </w:tc>
        <w:tc>
          <w:tcPr>
            <w:tcW w:w="1701" w:type="dxa"/>
            <w:noWrap/>
            <w:hideMark/>
          </w:tcPr>
          <w:p w14:paraId="0142AFE9" w14:textId="77777777" w:rsidR="0007690F" w:rsidRPr="00D53A2B" w:rsidRDefault="0007690F" w:rsidP="00A202FD">
            <w:pPr>
              <w:widowControl w:val="0"/>
              <w:spacing w:after="240" w:line="276" w:lineRule="auto"/>
              <w:ind w:firstLine="1"/>
              <w:contextualSpacing/>
              <w:jc w:val="both"/>
            </w:pPr>
            <w:r w:rsidRPr="00D53A2B">
              <w:t>%</w:t>
            </w:r>
          </w:p>
        </w:tc>
        <w:tc>
          <w:tcPr>
            <w:tcW w:w="3970" w:type="dxa"/>
            <w:noWrap/>
            <w:hideMark/>
          </w:tcPr>
          <w:p w14:paraId="76633803" w14:textId="77777777" w:rsidR="0007690F" w:rsidRPr="00D53A2B" w:rsidRDefault="0007690F" w:rsidP="00A202FD">
            <w:pPr>
              <w:widowControl w:val="0"/>
              <w:spacing w:after="240" w:line="276" w:lineRule="auto"/>
              <w:ind w:firstLine="1"/>
              <w:contextualSpacing/>
              <w:jc w:val="both"/>
            </w:pPr>
            <w:r w:rsidRPr="00D53A2B">
              <w:t>&gt; 90</w:t>
            </w:r>
          </w:p>
        </w:tc>
      </w:tr>
    </w:tbl>
    <w:p w14:paraId="67691AB1" w14:textId="77777777" w:rsidR="0007690F" w:rsidRPr="00D53A2B" w:rsidRDefault="0007690F" w:rsidP="00A202FD">
      <w:pPr>
        <w:widowControl w:val="0"/>
        <w:spacing w:after="240" w:line="276" w:lineRule="auto"/>
        <w:ind w:firstLine="1"/>
        <w:contextualSpacing/>
        <w:jc w:val="both"/>
      </w:pPr>
    </w:p>
    <w:p w14:paraId="4631E7F2" w14:textId="77777777" w:rsidR="0007690F" w:rsidRPr="00D53A2B" w:rsidRDefault="0007690F" w:rsidP="00A202FD">
      <w:pPr>
        <w:widowControl w:val="0"/>
        <w:spacing w:after="240" w:line="276" w:lineRule="auto"/>
        <w:ind w:firstLine="1"/>
        <w:contextualSpacing/>
        <w:jc w:val="both"/>
      </w:pPr>
      <w:r w:rsidRPr="00D53A2B">
        <w:rPr>
          <w:b/>
          <w:bCs/>
        </w:rPr>
        <w:t>İlgili izleme MET 6'da verilmiştir.</w:t>
      </w:r>
    </w:p>
    <w:p w14:paraId="039BFB1F" w14:textId="77777777" w:rsidR="0007690F" w:rsidRPr="00D53A2B" w:rsidRDefault="0007690F" w:rsidP="00A202FD">
      <w:pPr>
        <w:pStyle w:val="Balk5"/>
        <w:rPr>
          <w:szCs w:val="24"/>
        </w:rPr>
      </w:pPr>
      <w:r w:rsidRPr="00D53A2B">
        <w:rPr>
          <w:szCs w:val="24"/>
        </w:rPr>
        <w:t>1.2.1.4.5. Oluşan kalıntıların ve bertaraf edilen atıkların azaltılması</w:t>
      </w:r>
    </w:p>
    <w:p w14:paraId="11FD7D53" w14:textId="77777777" w:rsidR="0007690F" w:rsidRPr="00D53A2B" w:rsidRDefault="0007690F" w:rsidP="00A202FD">
      <w:pPr>
        <w:widowControl w:val="0"/>
        <w:spacing w:after="240" w:line="276" w:lineRule="auto"/>
        <w:ind w:firstLine="1"/>
        <w:contextualSpacing/>
        <w:jc w:val="both"/>
        <w:rPr>
          <w:b/>
          <w:bCs/>
        </w:rPr>
      </w:pPr>
      <w:r w:rsidRPr="00D53A2B">
        <w:rPr>
          <w:b/>
          <w:bCs/>
        </w:rPr>
        <w:t>MET 19. Metal eritme sırasında oluşan kalıntı miktarını ve bertaraf edilen atık miktarını azaltmak için, MET, aşağıda verilen tüm tekniklerin kullanılmasını içerir.</w:t>
      </w:r>
    </w:p>
    <w:tbl>
      <w:tblPr>
        <w:tblStyle w:val="TabloKlavuzu"/>
        <w:tblW w:w="0" w:type="auto"/>
        <w:tblLook w:val="04A0" w:firstRow="1" w:lastRow="0" w:firstColumn="1" w:lastColumn="0" w:noHBand="0" w:noVBand="1"/>
      </w:tblPr>
      <w:tblGrid>
        <w:gridCol w:w="3255"/>
        <w:gridCol w:w="5671"/>
      </w:tblGrid>
      <w:tr w:rsidR="0007690F" w:rsidRPr="00D53A2B" w14:paraId="3483FE1C" w14:textId="77777777" w:rsidTr="008A41DE">
        <w:trPr>
          <w:trHeight w:val="320"/>
        </w:trPr>
        <w:tc>
          <w:tcPr>
            <w:tcW w:w="3255" w:type="dxa"/>
            <w:noWrap/>
            <w:hideMark/>
          </w:tcPr>
          <w:p w14:paraId="44BDA14F"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5671" w:type="dxa"/>
            <w:noWrap/>
            <w:hideMark/>
          </w:tcPr>
          <w:p w14:paraId="39E22A78"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r>
      <w:tr w:rsidR="0007690F" w:rsidRPr="00D53A2B" w14:paraId="38CB843C" w14:textId="77777777" w:rsidTr="008A41DE">
        <w:trPr>
          <w:trHeight w:val="320"/>
        </w:trPr>
        <w:tc>
          <w:tcPr>
            <w:tcW w:w="8926" w:type="dxa"/>
            <w:gridSpan w:val="2"/>
            <w:noWrap/>
            <w:hideMark/>
          </w:tcPr>
          <w:p w14:paraId="46B83AB5" w14:textId="77777777" w:rsidR="0007690F" w:rsidRPr="00D53A2B" w:rsidRDefault="0007690F" w:rsidP="00A202FD">
            <w:pPr>
              <w:widowControl w:val="0"/>
              <w:spacing w:after="240" w:line="276" w:lineRule="auto"/>
              <w:ind w:firstLine="1"/>
              <w:contextualSpacing/>
              <w:jc w:val="both"/>
              <w:rPr>
                <w:b/>
                <w:bCs/>
              </w:rPr>
            </w:pPr>
            <w:r w:rsidRPr="00D53A2B">
              <w:rPr>
                <w:b/>
                <w:bCs/>
              </w:rPr>
              <w:t>Tüm fırın türleri için teknikler</w:t>
            </w:r>
          </w:p>
          <w:p w14:paraId="24B116FC"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3F08CDE1" w14:textId="77777777" w:rsidTr="008A41DE">
        <w:trPr>
          <w:trHeight w:val="320"/>
        </w:trPr>
        <w:tc>
          <w:tcPr>
            <w:tcW w:w="3255" w:type="dxa"/>
            <w:vMerge w:val="restart"/>
            <w:noWrap/>
            <w:hideMark/>
          </w:tcPr>
          <w:p w14:paraId="729CBE98" w14:textId="77777777" w:rsidR="0007690F" w:rsidRPr="00D53A2B" w:rsidRDefault="0007690F" w:rsidP="00A202FD">
            <w:pPr>
              <w:widowControl w:val="0"/>
              <w:spacing w:after="240" w:line="276" w:lineRule="auto"/>
              <w:ind w:firstLine="1"/>
              <w:contextualSpacing/>
              <w:jc w:val="both"/>
              <w:rPr>
                <w:b/>
                <w:bCs/>
              </w:rPr>
            </w:pPr>
            <w:r w:rsidRPr="00D53A2B">
              <w:rPr>
                <w:b/>
                <w:bCs/>
              </w:rPr>
              <w:t>a. Cüruf oluşumunun en aza indirilmesi</w:t>
            </w:r>
          </w:p>
        </w:tc>
        <w:tc>
          <w:tcPr>
            <w:tcW w:w="5671" w:type="dxa"/>
            <w:noWrap/>
            <w:hideMark/>
          </w:tcPr>
          <w:p w14:paraId="0248D465" w14:textId="77777777" w:rsidR="0007690F" w:rsidRPr="00D53A2B" w:rsidRDefault="0007690F" w:rsidP="00A202FD">
            <w:pPr>
              <w:widowControl w:val="0"/>
              <w:spacing w:after="240" w:line="276" w:lineRule="auto"/>
              <w:ind w:firstLine="1"/>
              <w:contextualSpacing/>
              <w:jc w:val="both"/>
            </w:pPr>
            <w:r w:rsidRPr="00D53A2B">
              <w:t>Cüruf oluşumu, süreç içi önlemlerle en aza indirilebilir: </w:t>
            </w:r>
          </w:p>
        </w:tc>
      </w:tr>
      <w:tr w:rsidR="0007690F" w:rsidRPr="00D53A2B" w14:paraId="37CB2D7C" w14:textId="77777777" w:rsidTr="008A41DE">
        <w:trPr>
          <w:trHeight w:val="320"/>
        </w:trPr>
        <w:tc>
          <w:tcPr>
            <w:tcW w:w="3255" w:type="dxa"/>
            <w:vMerge/>
            <w:hideMark/>
          </w:tcPr>
          <w:p w14:paraId="4FCF0A81" w14:textId="77777777" w:rsidR="0007690F" w:rsidRPr="00D53A2B" w:rsidRDefault="0007690F" w:rsidP="00A202FD">
            <w:pPr>
              <w:widowControl w:val="0"/>
              <w:spacing w:after="240" w:line="276" w:lineRule="auto"/>
              <w:ind w:firstLine="1"/>
              <w:contextualSpacing/>
              <w:jc w:val="both"/>
              <w:rPr>
                <w:b/>
                <w:bCs/>
              </w:rPr>
            </w:pPr>
          </w:p>
        </w:tc>
        <w:tc>
          <w:tcPr>
            <w:tcW w:w="5671" w:type="dxa"/>
            <w:noWrap/>
            <w:hideMark/>
          </w:tcPr>
          <w:p w14:paraId="54D2D892" w14:textId="77777777" w:rsidR="0007690F" w:rsidRPr="00D53A2B" w:rsidRDefault="0007690F" w:rsidP="00A202FD">
            <w:pPr>
              <w:widowControl w:val="0"/>
              <w:spacing w:after="240" w:line="276" w:lineRule="auto"/>
              <w:ind w:firstLine="1"/>
              <w:contextualSpacing/>
              <w:jc w:val="both"/>
            </w:pPr>
            <w:r w:rsidRPr="00D53A2B">
              <w:t>— Temiz hurdaların kullanılması; </w:t>
            </w:r>
          </w:p>
        </w:tc>
      </w:tr>
      <w:tr w:rsidR="0007690F" w:rsidRPr="00D53A2B" w14:paraId="3AE17365" w14:textId="77777777" w:rsidTr="008A41DE">
        <w:trPr>
          <w:trHeight w:val="320"/>
        </w:trPr>
        <w:tc>
          <w:tcPr>
            <w:tcW w:w="3255" w:type="dxa"/>
            <w:vMerge/>
            <w:hideMark/>
          </w:tcPr>
          <w:p w14:paraId="089CBCBA" w14:textId="77777777" w:rsidR="0007690F" w:rsidRPr="00D53A2B" w:rsidRDefault="0007690F" w:rsidP="00A202FD">
            <w:pPr>
              <w:widowControl w:val="0"/>
              <w:spacing w:after="240" w:line="276" w:lineRule="auto"/>
              <w:ind w:firstLine="1"/>
              <w:contextualSpacing/>
              <w:jc w:val="both"/>
              <w:rPr>
                <w:b/>
                <w:bCs/>
              </w:rPr>
            </w:pPr>
          </w:p>
        </w:tc>
        <w:tc>
          <w:tcPr>
            <w:tcW w:w="5671" w:type="dxa"/>
            <w:noWrap/>
            <w:hideMark/>
          </w:tcPr>
          <w:p w14:paraId="0000D469" w14:textId="77777777" w:rsidR="0007690F" w:rsidRPr="00D53A2B" w:rsidRDefault="0007690F" w:rsidP="00A202FD">
            <w:pPr>
              <w:widowControl w:val="0"/>
              <w:spacing w:after="240" w:line="276" w:lineRule="auto"/>
              <w:ind w:firstLine="1"/>
              <w:contextualSpacing/>
              <w:jc w:val="both"/>
            </w:pPr>
            <w:r w:rsidRPr="00D53A2B">
              <w:t>— Metal sıcaklığının teorik erime noktasına yakın tutulması; </w:t>
            </w:r>
          </w:p>
        </w:tc>
      </w:tr>
      <w:tr w:rsidR="0007690F" w:rsidRPr="00D53A2B" w14:paraId="5721AD73" w14:textId="77777777" w:rsidTr="008A41DE">
        <w:trPr>
          <w:trHeight w:val="320"/>
        </w:trPr>
        <w:tc>
          <w:tcPr>
            <w:tcW w:w="3255" w:type="dxa"/>
            <w:vMerge/>
            <w:hideMark/>
          </w:tcPr>
          <w:p w14:paraId="7614CCD2" w14:textId="77777777" w:rsidR="0007690F" w:rsidRPr="00D53A2B" w:rsidRDefault="0007690F" w:rsidP="00A202FD">
            <w:pPr>
              <w:widowControl w:val="0"/>
              <w:spacing w:after="240" w:line="276" w:lineRule="auto"/>
              <w:ind w:firstLine="1"/>
              <w:contextualSpacing/>
              <w:jc w:val="both"/>
              <w:rPr>
                <w:b/>
                <w:bCs/>
              </w:rPr>
            </w:pPr>
          </w:p>
        </w:tc>
        <w:tc>
          <w:tcPr>
            <w:tcW w:w="5671" w:type="dxa"/>
            <w:noWrap/>
            <w:hideMark/>
          </w:tcPr>
          <w:p w14:paraId="170287D5" w14:textId="77777777" w:rsidR="0007690F" w:rsidRPr="00D53A2B" w:rsidRDefault="0007690F" w:rsidP="00A202FD">
            <w:pPr>
              <w:widowControl w:val="0"/>
              <w:spacing w:after="240" w:line="276" w:lineRule="auto"/>
              <w:ind w:firstLine="1"/>
              <w:contextualSpacing/>
              <w:jc w:val="both"/>
            </w:pPr>
            <w:r w:rsidRPr="00D53A2B">
              <w:t>— Yüksek sıcaklık zirvelerinden kaçınılması; </w:t>
            </w:r>
          </w:p>
        </w:tc>
      </w:tr>
      <w:tr w:rsidR="0007690F" w:rsidRPr="00D53A2B" w14:paraId="3858AE9C" w14:textId="77777777" w:rsidTr="008A41DE">
        <w:trPr>
          <w:trHeight w:val="320"/>
        </w:trPr>
        <w:tc>
          <w:tcPr>
            <w:tcW w:w="3255" w:type="dxa"/>
            <w:vMerge/>
            <w:hideMark/>
          </w:tcPr>
          <w:p w14:paraId="42080206" w14:textId="77777777" w:rsidR="0007690F" w:rsidRPr="00D53A2B" w:rsidRDefault="0007690F" w:rsidP="00A202FD">
            <w:pPr>
              <w:widowControl w:val="0"/>
              <w:spacing w:after="240" w:line="276" w:lineRule="auto"/>
              <w:ind w:firstLine="1"/>
              <w:contextualSpacing/>
              <w:jc w:val="both"/>
              <w:rPr>
                <w:b/>
                <w:bCs/>
              </w:rPr>
            </w:pPr>
          </w:p>
        </w:tc>
        <w:tc>
          <w:tcPr>
            <w:tcW w:w="5671" w:type="dxa"/>
            <w:noWrap/>
            <w:hideMark/>
          </w:tcPr>
          <w:p w14:paraId="48427393" w14:textId="77777777" w:rsidR="0007690F" w:rsidRPr="00D53A2B" w:rsidRDefault="0007690F" w:rsidP="00A202FD">
            <w:pPr>
              <w:widowControl w:val="0"/>
              <w:spacing w:after="240" w:line="276" w:lineRule="auto"/>
              <w:ind w:firstLine="1"/>
              <w:contextualSpacing/>
              <w:jc w:val="both"/>
            </w:pPr>
            <w:r w:rsidRPr="00D53A2B">
              <w:t>— Erimiş metalin ergitme fırınında uzun süre bekletilmesinin önlenmesi veya ayrı bir bekletme fırınının kullanılması; </w:t>
            </w:r>
          </w:p>
        </w:tc>
      </w:tr>
      <w:tr w:rsidR="0007690F" w:rsidRPr="00D53A2B" w14:paraId="5EC9960B" w14:textId="77777777" w:rsidTr="008A41DE">
        <w:trPr>
          <w:trHeight w:val="320"/>
        </w:trPr>
        <w:tc>
          <w:tcPr>
            <w:tcW w:w="3255" w:type="dxa"/>
            <w:vMerge/>
            <w:hideMark/>
          </w:tcPr>
          <w:p w14:paraId="3D2F7934" w14:textId="77777777" w:rsidR="0007690F" w:rsidRPr="00D53A2B" w:rsidRDefault="0007690F" w:rsidP="00A202FD">
            <w:pPr>
              <w:widowControl w:val="0"/>
              <w:spacing w:after="240" w:line="276" w:lineRule="auto"/>
              <w:ind w:firstLine="1"/>
              <w:contextualSpacing/>
              <w:jc w:val="both"/>
              <w:rPr>
                <w:b/>
                <w:bCs/>
              </w:rPr>
            </w:pPr>
          </w:p>
        </w:tc>
        <w:tc>
          <w:tcPr>
            <w:tcW w:w="5671" w:type="dxa"/>
            <w:noWrap/>
            <w:hideMark/>
          </w:tcPr>
          <w:p w14:paraId="61499442" w14:textId="77777777" w:rsidR="0007690F" w:rsidRPr="00D53A2B" w:rsidRDefault="0007690F" w:rsidP="00A202FD">
            <w:pPr>
              <w:widowControl w:val="0"/>
              <w:spacing w:after="240" w:line="276" w:lineRule="auto"/>
              <w:ind w:firstLine="1"/>
              <w:contextualSpacing/>
              <w:jc w:val="both"/>
            </w:pPr>
            <w:r w:rsidRPr="00D53A2B">
              <w:t>— Uygun akıların kullanılması; </w:t>
            </w:r>
          </w:p>
        </w:tc>
      </w:tr>
      <w:tr w:rsidR="0007690F" w:rsidRPr="00D53A2B" w14:paraId="6347A381" w14:textId="77777777" w:rsidTr="008A41DE">
        <w:trPr>
          <w:trHeight w:val="320"/>
        </w:trPr>
        <w:tc>
          <w:tcPr>
            <w:tcW w:w="3255" w:type="dxa"/>
            <w:vMerge/>
            <w:hideMark/>
          </w:tcPr>
          <w:p w14:paraId="768E1DAD" w14:textId="77777777" w:rsidR="0007690F" w:rsidRPr="00D53A2B" w:rsidRDefault="0007690F" w:rsidP="00A202FD">
            <w:pPr>
              <w:widowControl w:val="0"/>
              <w:spacing w:after="240" w:line="276" w:lineRule="auto"/>
              <w:ind w:firstLine="1"/>
              <w:contextualSpacing/>
              <w:jc w:val="both"/>
              <w:rPr>
                <w:b/>
                <w:bCs/>
              </w:rPr>
            </w:pPr>
          </w:p>
        </w:tc>
        <w:tc>
          <w:tcPr>
            <w:tcW w:w="5671" w:type="dxa"/>
            <w:noWrap/>
            <w:hideMark/>
          </w:tcPr>
          <w:p w14:paraId="45157573" w14:textId="77777777" w:rsidR="0007690F" w:rsidRPr="00D53A2B" w:rsidRDefault="0007690F" w:rsidP="00A202FD">
            <w:pPr>
              <w:widowControl w:val="0"/>
              <w:spacing w:after="240" w:line="276" w:lineRule="auto"/>
              <w:ind w:firstLine="1"/>
              <w:contextualSpacing/>
              <w:jc w:val="both"/>
            </w:pPr>
            <w:r w:rsidRPr="00D53A2B">
              <w:t>— Fırın astarının uygun şekilde seçilmesi; </w:t>
            </w:r>
          </w:p>
        </w:tc>
      </w:tr>
      <w:tr w:rsidR="0007690F" w:rsidRPr="00D53A2B" w14:paraId="77BE7F8F" w14:textId="77777777" w:rsidTr="008A41DE">
        <w:trPr>
          <w:trHeight w:val="320"/>
        </w:trPr>
        <w:tc>
          <w:tcPr>
            <w:tcW w:w="3255" w:type="dxa"/>
            <w:vMerge/>
            <w:hideMark/>
          </w:tcPr>
          <w:p w14:paraId="4E5866D3" w14:textId="77777777" w:rsidR="0007690F" w:rsidRPr="00D53A2B" w:rsidRDefault="0007690F" w:rsidP="00A202FD">
            <w:pPr>
              <w:widowControl w:val="0"/>
              <w:spacing w:after="240" w:line="276" w:lineRule="auto"/>
              <w:ind w:firstLine="1"/>
              <w:contextualSpacing/>
              <w:jc w:val="both"/>
              <w:rPr>
                <w:b/>
                <w:bCs/>
              </w:rPr>
            </w:pPr>
          </w:p>
        </w:tc>
        <w:tc>
          <w:tcPr>
            <w:tcW w:w="5671" w:type="dxa"/>
            <w:noWrap/>
            <w:hideMark/>
          </w:tcPr>
          <w:p w14:paraId="306D9A20" w14:textId="77777777" w:rsidR="0007690F" w:rsidRPr="00D53A2B" w:rsidRDefault="0007690F" w:rsidP="00A202FD">
            <w:pPr>
              <w:widowControl w:val="0"/>
              <w:spacing w:after="240" w:line="276" w:lineRule="auto"/>
              <w:ind w:firstLine="1"/>
              <w:contextualSpacing/>
              <w:jc w:val="both"/>
            </w:pPr>
            <w:r w:rsidRPr="00D53A2B">
              <w:t>— Fırın duvarlarının aşınmasını önlemek için su soğutmasının uygulanması; </w:t>
            </w:r>
          </w:p>
        </w:tc>
      </w:tr>
      <w:tr w:rsidR="0007690F" w:rsidRPr="00D53A2B" w14:paraId="623B181C" w14:textId="77777777" w:rsidTr="008A41DE">
        <w:trPr>
          <w:trHeight w:val="320"/>
        </w:trPr>
        <w:tc>
          <w:tcPr>
            <w:tcW w:w="3255" w:type="dxa"/>
            <w:vMerge/>
            <w:hideMark/>
          </w:tcPr>
          <w:p w14:paraId="62308B28" w14:textId="77777777" w:rsidR="0007690F" w:rsidRPr="00D53A2B" w:rsidRDefault="0007690F" w:rsidP="00A202FD">
            <w:pPr>
              <w:widowControl w:val="0"/>
              <w:spacing w:after="240" w:line="276" w:lineRule="auto"/>
              <w:ind w:firstLine="1"/>
              <w:contextualSpacing/>
              <w:jc w:val="both"/>
              <w:rPr>
                <w:b/>
                <w:bCs/>
              </w:rPr>
            </w:pPr>
          </w:p>
        </w:tc>
        <w:tc>
          <w:tcPr>
            <w:tcW w:w="5671" w:type="dxa"/>
            <w:noWrap/>
            <w:hideMark/>
          </w:tcPr>
          <w:p w14:paraId="7B576142" w14:textId="77777777" w:rsidR="0007690F" w:rsidRPr="00D53A2B" w:rsidRDefault="0007690F" w:rsidP="00A202FD">
            <w:pPr>
              <w:widowControl w:val="0"/>
              <w:spacing w:after="240" w:line="276" w:lineRule="auto"/>
              <w:ind w:firstLine="1"/>
              <w:contextualSpacing/>
              <w:jc w:val="both"/>
            </w:pPr>
            <w:r w:rsidRPr="00D53A2B">
              <w:t>— Sıvı alüminyum cürufunun sıyrılması.</w:t>
            </w:r>
          </w:p>
        </w:tc>
      </w:tr>
      <w:tr w:rsidR="0007690F" w:rsidRPr="00D53A2B" w14:paraId="41A5BCBF" w14:textId="77777777" w:rsidTr="008A41DE">
        <w:trPr>
          <w:trHeight w:val="320"/>
        </w:trPr>
        <w:tc>
          <w:tcPr>
            <w:tcW w:w="3255" w:type="dxa"/>
            <w:noWrap/>
            <w:hideMark/>
          </w:tcPr>
          <w:p w14:paraId="1018E32F" w14:textId="77777777" w:rsidR="0007690F" w:rsidRPr="00D53A2B" w:rsidRDefault="0007690F" w:rsidP="00A202FD">
            <w:pPr>
              <w:widowControl w:val="0"/>
              <w:spacing w:after="240" w:line="276" w:lineRule="auto"/>
              <w:ind w:firstLine="1"/>
              <w:contextualSpacing/>
              <w:jc w:val="both"/>
              <w:rPr>
                <w:b/>
                <w:bCs/>
              </w:rPr>
            </w:pPr>
            <w:r w:rsidRPr="00D53A2B">
              <w:rPr>
                <w:b/>
                <w:bCs/>
              </w:rPr>
              <w:t>b. Cüruf/filtre tozu/kullanılmış refrakter astarların mekanik ön işleme tabi tutulması</w:t>
            </w:r>
          </w:p>
        </w:tc>
        <w:tc>
          <w:tcPr>
            <w:tcW w:w="5671" w:type="dxa"/>
            <w:noWrap/>
            <w:hideMark/>
          </w:tcPr>
          <w:p w14:paraId="25D042F7" w14:textId="77777777" w:rsidR="0007690F" w:rsidRPr="00D53A2B" w:rsidRDefault="0007690F" w:rsidP="00A202FD">
            <w:pPr>
              <w:widowControl w:val="0"/>
              <w:spacing w:after="240" w:line="276" w:lineRule="auto"/>
              <w:ind w:firstLine="1"/>
              <w:contextualSpacing/>
              <w:jc w:val="both"/>
            </w:pPr>
            <w:r w:rsidRPr="00D53A2B">
              <w:t>Geri dönüşümü kolaylaştırmak için mekanik ön işlem yapılır. Ayrıntılar için Bölüm 1.4.2'ye bakınız. Bu işlem ayrıca tesis dışında da gerçekleştirilebilir.</w:t>
            </w:r>
          </w:p>
        </w:tc>
      </w:tr>
      <w:tr w:rsidR="0007690F" w:rsidRPr="00D53A2B" w14:paraId="177258DD" w14:textId="77777777" w:rsidTr="008A41DE">
        <w:trPr>
          <w:trHeight w:val="320"/>
        </w:trPr>
        <w:tc>
          <w:tcPr>
            <w:tcW w:w="8926" w:type="dxa"/>
            <w:gridSpan w:val="2"/>
            <w:noWrap/>
            <w:hideMark/>
          </w:tcPr>
          <w:p w14:paraId="0E46BC03" w14:textId="77777777" w:rsidR="0007690F" w:rsidRPr="00D53A2B" w:rsidRDefault="0007690F" w:rsidP="00A202FD">
            <w:pPr>
              <w:widowControl w:val="0"/>
              <w:spacing w:after="240" w:line="276" w:lineRule="auto"/>
              <w:ind w:firstLine="1"/>
              <w:contextualSpacing/>
              <w:jc w:val="both"/>
              <w:rPr>
                <w:b/>
                <w:bCs/>
              </w:rPr>
            </w:pPr>
            <w:r w:rsidRPr="00D53A2B">
              <w:rPr>
                <w:b/>
                <w:bCs/>
              </w:rPr>
              <w:t>Kupol fırınları için teknikler</w:t>
            </w:r>
          </w:p>
          <w:p w14:paraId="4AA783A6"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0C00FE36" w14:textId="77777777" w:rsidTr="008A41DE">
        <w:trPr>
          <w:trHeight w:val="320"/>
        </w:trPr>
        <w:tc>
          <w:tcPr>
            <w:tcW w:w="3255" w:type="dxa"/>
            <w:noWrap/>
            <w:hideMark/>
          </w:tcPr>
          <w:p w14:paraId="18C7DCCC" w14:textId="77777777" w:rsidR="0007690F" w:rsidRPr="00D53A2B" w:rsidRDefault="0007690F" w:rsidP="00A202FD">
            <w:pPr>
              <w:widowControl w:val="0"/>
              <w:spacing w:after="240" w:line="276" w:lineRule="auto"/>
              <w:ind w:firstLine="1"/>
              <w:contextualSpacing/>
              <w:jc w:val="both"/>
              <w:rPr>
                <w:b/>
                <w:bCs/>
              </w:rPr>
            </w:pPr>
            <w:r w:rsidRPr="00D53A2B">
              <w:rPr>
                <w:b/>
                <w:bCs/>
              </w:rPr>
              <w:t>c. Cüruf asitlik/bazlık dengesinin ayarlanması</w:t>
            </w:r>
          </w:p>
        </w:tc>
        <w:tc>
          <w:tcPr>
            <w:tcW w:w="5671" w:type="dxa"/>
            <w:noWrap/>
            <w:hideMark/>
          </w:tcPr>
          <w:p w14:paraId="466E2EAA" w14:textId="77777777" w:rsidR="0007690F" w:rsidRPr="00D53A2B" w:rsidRDefault="0007690F" w:rsidP="00A202FD">
            <w:pPr>
              <w:widowControl w:val="0"/>
              <w:spacing w:after="240" w:line="276" w:lineRule="auto"/>
              <w:ind w:firstLine="1"/>
              <w:contextualSpacing/>
              <w:jc w:val="both"/>
            </w:pPr>
            <w:r w:rsidRPr="00D53A2B">
              <w:t>Ayrıntılar için Bölüm 1.4.2'ye bakınız.</w:t>
            </w:r>
          </w:p>
        </w:tc>
      </w:tr>
      <w:tr w:rsidR="0007690F" w:rsidRPr="00D53A2B" w14:paraId="017D54C6" w14:textId="77777777" w:rsidTr="008A41DE">
        <w:trPr>
          <w:trHeight w:val="320"/>
        </w:trPr>
        <w:tc>
          <w:tcPr>
            <w:tcW w:w="3255" w:type="dxa"/>
            <w:noWrap/>
            <w:hideMark/>
          </w:tcPr>
          <w:p w14:paraId="1D2517EA" w14:textId="77777777" w:rsidR="0007690F" w:rsidRPr="00D53A2B" w:rsidRDefault="0007690F" w:rsidP="00A202FD">
            <w:pPr>
              <w:widowControl w:val="0"/>
              <w:spacing w:after="240" w:line="276" w:lineRule="auto"/>
              <w:ind w:firstLine="1"/>
              <w:contextualSpacing/>
              <w:jc w:val="both"/>
              <w:rPr>
                <w:b/>
                <w:bCs/>
              </w:rPr>
            </w:pPr>
            <w:r w:rsidRPr="00D53A2B">
              <w:rPr>
                <w:b/>
                <w:bCs/>
              </w:rPr>
              <w:t>d. Kok tozunun toplanması ve geri dönüştürülmesi</w:t>
            </w:r>
          </w:p>
        </w:tc>
        <w:tc>
          <w:tcPr>
            <w:tcW w:w="5671" w:type="dxa"/>
            <w:noWrap/>
            <w:hideMark/>
          </w:tcPr>
          <w:p w14:paraId="33132BA0" w14:textId="77777777" w:rsidR="0007690F" w:rsidRPr="00D53A2B" w:rsidRDefault="0007690F" w:rsidP="00A202FD">
            <w:pPr>
              <w:widowControl w:val="0"/>
              <w:spacing w:after="240" w:line="276" w:lineRule="auto"/>
              <w:ind w:firstLine="1"/>
              <w:contextualSpacing/>
              <w:jc w:val="both"/>
            </w:pPr>
            <w:r w:rsidRPr="00D53A2B">
              <w:t>Kokun taşınması, işlenmesi ve beslenmesi sırasında oluşan kok tozu (örneğin, konveyör bantlarının altında ve/veya besleme noktalarında toplama sistemleri kullanılarak) toplanır ve sürece geri kazandırılır (kupan fırınına enjekte edilir veya karbon geri kazanımı için kullanılır).</w:t>
            </w:r>
          </w:p>
        </w:tc>
      </w:tr>
      <w:tr w:rsidR="0007690F" w:rsidRPr="00D53A2B" w14:paraId="03E43C2D" w14:textId="77777777" w:rsidTr="008A41DE">
        <w:trPr>
          <w:trHeight w:val="320"/>
        </w:trPr>
        <w:tc>
          <w:tcPr>
            <w:tcW w:w="3255" w:type="dxa"/>
            <w:noWrap/>
            <w:hideMark/>
          </w:tcPr>
          <w:p w14:paraId="4029D385" w14:textId="77777777" w:rsidR="0007690F" w:rsidRPr="00D53A2B" w:rsidRDefault="0007690F" w:rsidP="00A202FD">
            <w:pPr>
              <w:widowControl w:val="0"/>
              <w:spacing w:after="240" w:line="276" w:lineRule="auto"/>
              <w:ind w:firstLine="1"/>
              <w:contextualSpacing/>
              <w:jc w:val="both"/>
              <w:rPr>
                <w:b/>
                <w:bCs/>
              </w:rPr>
            </w:pPr>
            <w:r w:rsidRPr="00D53A2B">
              <w:rPr>
                <w:b/>
                <w:bCs/>
              </w:rPr>
              <w:t>e. Çinko içeren hurdaların kullanıldığı kupan fırınlarında filtre tozunun geri dönüştürülmesi</w:t>
            </w:r>
          </w:p>
        </w:tc>
        <w:tc>
          <w:tcPr>
            <w:tcW w:w="5671" w:type="dxa"/>
            <w:noWrap/>
            <w:hideMark/>
          </w:tcPr>
          <w:p w14:paraId="1FA479E0" w14:textId="77777777" w:rsidR="0007690F" w:rsidRPr="00D53A2B" w:rsidRDefault="0007690F" w:rsidP="00A202FD">
            <w:pPr>
              <w:widowControl w:val="0"/>
              <w:spacing w:after="240" w:line="276" w:lineRule="auto"/>
              <w:ind w:firstLine="1"/>
              <w:contextualSpacing/>
              <w:jc w:val="both"/>
            </w:pPr>
            <w:r w:rsidRPr="00D53A2B">
              <w:t>Kupan filtre tozu, tozdaki çinko içeriğini %18'in üzerine çıkararak Zn geri kazanımını mümkün kılacak bir seviyeye ulaşana kadar kısmen kupan fırınına yeniden enjekte edilir.</w:t>
            </w:r>
          </w:p>
        </w:tc>
      </w:tr>
      <w:tr w:rsidR="0007690F" w:rsidRPr="00D53A2B" w14:paraId="03C06326" w14:textId="77777777" w:rsidTr="008A41DE">
        <w:trPr>
          <w:trHeight w:val="320"/>
        </w:trPr>
        <w:tc>
          <w:tcPr>
            <w:tcW w:w="8926" w:type="dxa"/>
            <w:gridSpan w:val="2"/>
            <w:noWrap/>
            <w:hideMark/>
          </w:tcPr>
          <w:p w14:paraId="65E54DDB" w14:textId="77777777" w:rsidR="0007690F" w:rsidRPr="00D53A2B" w:rsidRDefault="0007690F" w:rsidP="00A202FD">
            <w:pPr>
              <w:widowControl w:val="0"/>
              <w:spacing w:after="240" w:line="276" w:lineRule="auto"/>
              <w:ind w:firstLine="1"/>
              <w:contextualSpacing/>
              <w:jc w:val="both"/>
              <w:rPr>
                <w:b/>
                <w:bCs/>
              </w:rPr>
            </w:pPr>
            <w:r w:rsidRPr="00D53A2B">
              <w:rPr>
                <w:b/>
                <w:bCs/>
              </w:rPr>
              <w:t>EAF</w:t>
            </w:r>
            <w:r w:rsidRPr="00D53A2B">
              <w:t xml:space="preserve"> </w:t>
            </w:r>
            <w:r w:rsidRPr="00D53A2B">
              <w:rPr>
                <w:b/>
                <w:bCs/>
              </w:rPr>
              <w:t>(Elektrik Ark Ocakları) için teknikler</w:t>
            </w:r>
          </w:p>
          <w:p w14:paraId="28E8BDA6"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29E31353" w14:textId="77777777" w:rsidTr="008A41DE">
        <w:trPr>
          <w:trHeight w:val="320"/>
        </w:trPr>
        <w:tc>
          <w:tcPr>
            <w:tcW w:w="3255" w:type="dxa"/>
            <w:noWrap/>
            <w:hideMark/>
          </w:tcPr>
          <w:p w14:paraId="06A8541E" w14:textId="77777777" w:rsidR="0007690F" w:rsidRPr="00D53A2B" w:rsidRDefault="0007690F" w:rsidP="00A202FD">
            <w:pPr>
              <w:widowControl w:val="0"/>
              <w:spacing w:after="240" w:line="276" w:lineRule="auto"/>
              <w:ind w:firstLine="1"/>
              <w:contextualSpacing/>
              <w:jc w:val="both"/>
              <w:rPr>
                <w:b/>
                <w:bCs/>
              </w:rPr>
            </w:pPr>
            <w:r w:rsidRPr="00D53A2B">
              <w:rPr>
                <w:b/>
                <w:bCs/>
              </w:rPr>
              <w:t>f. EAF</w:t>
            </w:r>
            <w:r w:rsidRPr="00D53A2B">
              <w:t xml:space="preserve"> </w:t>
            </w:r>
            <w:r w:rsidRPr="00D53A2B">
              <w:rPr>
                <w:b/>
                <w:bCs/>
              </w:rPr>
              <w:t>(Elektrik Ark Ocakları)’te filtre tozunun geri dönüştürülmesi</w:t>
            </w:r>
          </w:p>
        </w:tc>
        <w:tc>
          <w:tcPr>
            <w:tcW w:w="5671" w:type="dxa"/>
            <w:noWrap/>
            <w:hideMark/>
          </w:tcPr>
          <w:p w14:paraId="02AFB5EE" w14:textId="77777777" w:rsidR="0007690F" w:rsidRPr="00D53A2B" w:rsidRDefault="0007690F" w:rsidP="00A202FD">
            <w:pPr>
              <w:widowControl w:val="0"/>
              <w:spacing w:after="240" w:line="276" w:lineRule="auto"/>
              <w:ind w:firstLine="1"/>
              <w:contextualSpacing/>
              <w:jc w:val="both"/>
            </w:pPr>
            <w:r w:rsidRPr="00D53A2B">
              <w:t>Toplanan kuru filtre tozu, genellikle ön işlemden sonra (örneğin peletleme veya briketleme ile), tozdaki metal içeriğinin geri kazanılması için fırında geri dönüştürülür. İnorganik içerik ise cürüfa aktarılır.</w:t>
            </w:r>
          </w:p>
        </w:tc>
      </w:tr>
    </w:tbl>
    <w:p w14:paraId="076922E9" w14:textId="77777777" w:rsidR="0007690F" w:rsidRPr="00D53A2B" w:rsidRDefault="0007690F" w:rsidP="00A202FD">
      <w:pPr>
        <w:widowControl w:val="0"/>
        <w:spacing w:after="240" w:line="276" w:lineRule="auto"/>
        <w:ind w:firstLine="1"/>
        <w:contextualSpacing/>
        <w:jc w:val="both"/>
      </w:pPr>
      <w:r w:rsidRPr="00D53A2B">
        <w:rPr>
          <w:vanish/>
        </w:rPr>
        <w:t>Formun Altı</w:t>
      </w:r>
    </w:p>
    <w:p w14:paraId="676D0142" w14:textId="0B62B8A7" w:rsidR="0007690F" w:rsidRPr="00D53A2B" w:rsidRDefault="0007690F" w:rsidP="00A202FD">
      <w:pPr>
        <w:widowControl w:val="0"/>
        <w:spacing w:after="240" w:line="276" w:lineRule="auto"/>
        <w:ind w:firstLine="1"/>
        <w:contextualSpacing/>
        <w:jc w:val="both"/>
      </w:pPr>
      <w:r w:rsidRPr="00D53A2B">
        <w:rPr>
          <w:b/>
          <w:bCs/>
        </w:rPr>
        <w:t xml:space="preserve">MET 20. Atık bertarafını azaltmak amacıyla, MET (En İyi Mevcut Teknikler), kullanılmış kum, ince taneli kum, cüruflar, refrakter astarları ve toplanan filtre tozu (örneğin, kumaş filtre tozu) için bertaraf yerine </w:t>
      </w:r>
      <w:r w:rsidR="007349AC">
        <w:rPr>
          <w:b/>
          <w:bCs/>
        </w:rPr>
        <w:t>lisanslı tesislerde</w:t>
      </w:r>
      <w:r w:rsidRPr="00D53A2B">
        <w:rPr>
          <w:b/>
          <w:bCs/>
        </w:rPr>
        <w:t xml:space="preserve"> geri </w:t>
      </w:r>
      <w:r w:rsidR="007349AC">
        <w:rPr>
          <w:b/>
          <w:bCs/>
        </w:rPr>
        <w:t>kazanımı</w:t>
      </w:r>
      <w:r w:rsidRPr="00D53A2B">
        <w:rPr>
          <w:b/>
          <w:bCs/>
        </w:rPr>
        <w:t xml:space="preserve"> ve/veya diğer geri kazanım yöntemlerini önceliklendirmeyi öngörür.</w:t>
      </w:r>
    </w:p>
    <w:p w14:paraId="5BD63F28"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p w14:paraId="4541B6E0" w14:textId="3985EDE4" w:rsidR="0007690F" w:rsidRDefault="007349AC" w:rsidP="00A202FD">
      <w:pPr>
        <w:widowControl w:val="0"/>
        <w:spacing w:after="240" w:line="276" w:lineRule="auto"/>
        <w:ind w:firstLine="1"/>
        <w:contextualSpacing/>
        <w:jc w:val="both"/>
      </w:pPr>
      <w:r>
        <w:t>Lisanslı tesislerde</w:t>
      </w:r>
      <w:r w:rsidR="0007690F" w:rsidRPr="00D53A2B">
        <w:t xml:space="preserve"> geri dönüşüm ve/veya diğer geri kazanım yöntemleri, bertaraf işlemine göre önceliklidir. Kullanılmış kum, ince taneli kum, cüruflar ve refrakter astarları</w:t>
      </w:r>
      <w:r>
        <w:t xml:space="preserve">ile ilgili yan ürün onayı alınması durumunda ve/veya lisanslı tesise gönderilmesi durumunda </w:t>
      </w:r>
      <w:r w:rsidR="0007690F" w:rsidRPr="00D53A2B">
        <w:t xml:space="preserve"> şu şekilde </w:t>
      </w:r>
      <w:r>
        <w:t>kullanılabilir</w:t>
      </w:r>
      <w:r w:rsidR="0007690F" w:rsidRPr="00D53A2B">
        <w:t>:</w:t>
      </w:r>
    </w:p>
    <w:p w14:paraId="62041F9D" w14:textId="77777777" w:rsidR="007349AC" w:rsidRPr="00D53A2B" w:rsidRDefault="007349AC" w:rsidP="00A202FD">
      <w:pPr>
        <w:widowControl w:val="0"/>
        <w:spacing w:after="240" w:line="276" w:lineRule="auto"/>
        <w:ind w:firstLine="1"/>
        <w:contextualSpacing/>
        <w:jc w:val="both"/>
      </w:pPr>
    </w:p>
    <w:p w14:paraId="051184F2" w14:textId="77777777" w:rsidR="0007690F" w:rsidRPr="00D53A2B" w:rsidRDefault="0007690F" w:rsidP="00A202FD">
      <w:pPr>
        <w:widowControl w:val="0"/>
        <w:spacing w:after="240" w:line="276" w:lineRule="auto"/>
        <w:ind w:firstLine="1"/>
        <w:contextualSpacing/>
        <w:jc w:val="both"/>
      </w:pPr>
      <w:r w:rsidRPr="00D53A2B">
        <w:rPr>
          <w:b/>
          <w:bCs/>
        </w:rPr>
        <w:t>Geri dönüştürme</w:t>
      </w:r>
      <w:r w:rsidRPr="00D53A2B">
        <w:t>: Yol yapımı, yapı malzemeleri (çimento, tuğla, fayans gibi) üretiminde kullanılır.</w:t>
      </w:r>
    </w:p>
    <w:p w14:paraId="0C25FC07" w14:textId="45208D36" w:rsidR="0007690F" w:rsidRPr="00D53A2B" w:rsidRDefault="0007690F" w:rsidP="00A202FD">
      <w:pPr>
        <w:widowControl w:val="0"/>
        <w:spacing w:after="240" w:line="276" w:lineRule="auto"/>
        <w:ind w:firstLine="1"/>
        <w:contextualSpacing/>
        <w:jc w:val="both"/>
      </w:pPr>
      <w:r w:rsidRPr="00D53A2B">
        <w:rPr>
          <w:b/>
          <w:bCs/>
        </w:rPr>
        <w:t>Geri kazanım</w:t>
      </w:r>
      <w:r w:rsidRPr="00D53A2B">
        <w:t xml:space="preserve">: </w:t>
      </w:r>
      <w:r w:rsidR="007349AC">
        <w:t>D</w:t>
      </w:r>
      <w:r w:rsidRPr="00D53A2B">
        <w:t>epo alanlarının (örneğin, depolama alanlarındaki yollar ve kalıcı kaplamalar) inşasında kullanılır.</w:t>
      </w:r>
    </w:p>
    <w:p w14:paraId="2842504B" w14:textId="332BA3E8" w:rsidR="0007690F" w:rsidRPr="00D53A2B" w:rsidRDefault="0007690F" w:rsidP="00A202FD">
      <w:pPr>
        <w:widowControl w:val="0"/>
        <w:spacing w:after="240" w:line="276" w:lineRule="auto"/>
        <w:ind w:firstLine="1"/>
        <w:contextualSpacing/>
        <w:jc w:val="both"/>
      </w:pPr>
      <w:r w:rsidRPr="00D53A2B">
        <w:rPr>
          <w:b/>
          <w:bCs/>
        </w:rPr>
        <w:t>Filtre tozu</w:t>
      </w:r>
      <w:r w:rsidR="007349AC">
        <w:rPr>
          <w:b/>
          <w:bCs/>
        </w:rPr>
        <w:t>nun değerlendirilebi,leçeği alanlar</w:t>
      </w:r>
      <w:r w:rsidRPr="00D53A2B">
        <w:t>:</w:t>
      </w:r>
    </w:p>
    <w:p w14:paraId="130F061F" w14:textId="77777777" w:rsidR="0007690F" w:rsidRPr="00D53A2B" w:rsidRDefault="0007690F" w:rsidP="00602365">
      <w:pPr>
        <w:widowControl w:val="0"/>
        <w:numPr>
          <w:ilvl w:val="0"/>
          <w:numId w:val="251"/>
        </w:numPr>
        <w:spacing w:after="240" w:line="276" w:lineRule="auto"/>
        <w:contextualSpacing/>
        <w:jc w:val="both"/>
      </w:pPr>
      <w:r w:rsidRPr="00D53A2B">
        <w:t>Metalurji,</w:t>
      </w:r>
    </w:p>
    <w:p w14:paraId="426A8191" w14:textId="77777777" w:rsidR="0007690F" w:rsidRPr="00D53A2B" w:rsidRDefault="0007690F" w:rsidP="00602365">
      <w:pPr>
        <w:widowControl w:val="0"/>
        <w:numPr>
          <w:ilvl w:val="0"/>
          <w:numId w:val="251"/>
        </w:numPr>
        <w:spacing w:after="240" w:line="276" w:lineRule="auto"/>
        <w:contextualSpacing/>
        <w:jc w:val="both"/>
      </w:pPr>
      <w:r w:rsidRPr="00D53A2B">
        <w:t>Kum üretimi,</w:t>
      </w:r>
    </w:p>
    <w:p w14:paraId="0AF97B42" w14:textId="77777777" w:rsidR="0007690F" w:rsidRPr="00D53A2B" w:rsidRDefault="0007690F" w:rsidP="00602365">
      <w:pPr>
        <w:widowControl w:val="0"/>
        <w:numPr>
          <w:ilvl w:val="0"/>
          <w:numId w:val="251"/>
        </w:numPr>
        <w:spacing w:after="240" w:line="276" w:lineRule="auto"/>
        <w:contextualSpacing/>
        <w:jc w:val="both"/>
      </w:pPr>
      <w:r w:rsidRPr="00D53A2B">
        <w:t>İnşaat sektörü.</w:t>
      </w:r>
    </w:p>
    <w:p w14:paraId="1FFA55D1"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p w14:paraId="61BAE74D" w14:textId="77777777" w:rsidR="0007690F" w:rsidRPr="00D53A2B" w:rsidRDefault="0007690F" w:rsidP="00A202FD">
      <w:pPr>
        <w:widowControl w:val="0"/>
        <w:spacing w:after="240" w:line="276" w:lineRule="auto"/>
        <w:ind w:firstLine="1"/>
        <w:contextualSpacing/>
        <w:jc w:val="both"/>
      </w:pPr>
      <w:r w:rsidRPr="00D53A2B">
        <w:t>Geri dönüşüm ve/veya diğer geri kazanım yöntemleri, atığın fizikokimyasal özelliklerine (örneğin, organik/metal içeriği, tane boyutu) bağlı olarak sınırlanabilir.</w:t>
      </w:r>
    </w:p>
    <w:p w14:paraId="1C1A0DC1" w14:textId="77777777" w:rsidR="00DC779F" w:rsidRPr="00D53A2B" w:rsidRDefault="00DC779F" w:rsidP="00A202FD">
      <w:pPr>
        <w:widowControl w:val="0"/>
        <w:spacing w:after="240" w:line="276" w:lineRule="auto"/>
        <w:ind w:firstLine="1"/>
        <w:contextualSpacing/>
        <w:jc w:val="both"/>
      </w:pPr>
    </w:p>
    <w:p w14:paraId="5A484D89" w14:textId="77777777" w:rsidR="0007690F" w:rsidRPr="00D53A2B" w:rsidRDefault="0007690F" w:rsidP="00A202FD">
      <w:pPr>
        <w:widowControl w:val="0"/>
        <w:spacing w:after="240" w:line="276" w:lineRule="auto"/>
        <w:ind w:firstLine="1"/>
        <w:contextualSpacing/>
        <w:jc w:val="both"/>
      </w:pPr>
      <w:r w:rsidRPr="00D53A2B">
        <w:t>Geri dönüşüm ve/veya geri kazanım için uygun üçüncü taraf talebinin bulunmaması durumunda uygulanamayabilir.</w:t>
      </w:r>
    </w:p>
    <w:tbl>
      <w:tblPr>
        <w:tblStyle w:val="TabloKlavuzu"/>
        <w:tblW w:w="8809" w:type="dxa"/>
        <w:tblLook w:val="04A0" w:firstRow="1" w:lastRow="0" w:firstColumn="1" w:lastColumn="0" w:noHBand="0" w:noVBand="1"/>
      </w:tblPr>
      <w:tblGrid>
        <w:gridCol w:w="1451"/>
        <w:gridCol w:w="871"/>
        <w:gridCol w:w="2692"/>
        <w:gridCol w:w="1904"/>
        <w:gridCol w:w="1904"/>
      </w:tblGrid>
      <w:tr w:rsidR="0007690F" w:rsidRPr="00D53A2B" w14:paraId="3E64093D" w14:textId="77777777" w:rsidTr="00A202FD">
        <w:trPr>
          <w:trHeight w:val="350"/>
        </w:trPr>
        <w:tc>
          <w:tcPr>
            <w:tcW w:w="1451" w:type="dxa"/>
            <w:vMerge w:val="restart"/>
            <w:noWrap/>
          </w:tcPr>
          <w:p w14:paraId="22D3756F" w14:textId="77777777" w:rsidR="0007690F" w:rsidRPr="00D53A2B" w:rsidRDefault="0007690F" w:rsidP="00A202FD">
            <w:pPr>
              <w:widowControl w:val="0"/>
              <w:spacing w:after="240" w:line="276" w:lineRule="auto"/>
              <w:ind w:firstLine="1"/>
              <w:contextualSpacing/>
              <w:jc w:val="both"/>
              <w:rPr>
                <w:b/>
                <w:bCs/>
              </w:rPr>
            </w:pPr>
            <w:r w:rsidRPr="00D53A2B">
              <w:rPr>
                <w:b/>
                <w:bCs/>
              </w:rPr>
              <w:t>Atık Türü</w:t>
            </w:r>
          </w:p>
        </w:tc>
        <w:tc>
          <w:tcPr>
            <w:tcW w:w="858" w:type="dxa"/>
            <w:vMerge w:val="restart"/>
            <w:noWrap/>
          </w:tcPr>
          <w:p w14:paraId="254CF60C"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6500" w:type="dxa"/>
            <w:gridSpan w:val="3"/>
            <w:noWrap/>
          </w:tcPr>
          <w:p w14:paraId="1487F238" w14:textId="77777777" w:rsidR="0007690F" w:rsidRPr="00D53A2B" w:rsidRDefault="0007690F" w:rsidP="00A202FD">
            <w:pPr>
              <w:widowControl w:val="0"/>
              <w:spacing w:after="240" w:line="276" w:lineRule="auto"/>
              <w:ind w:firstLine="1"/>
              <w:contextualSpacing/>
              <w:jc w:val="both"/>
              <w:rPr>
                <w:b/>
                <w:bCs/>
              </w:rPr>
            </w:pPr>
            <w:r w:rsidRPr="00D53A2B">
              <w:rPr>
                <w:b/>
                <w:bCs/>
              </w:rPr>
              <w:t>MET-AEPL (Yıllık Ortalama)</w:t>
            </w:r>
          </w:p>
        </w:tc>
      </w:tr>
      <w:tr w:rsidR="0007690F" w:rsidRPr="00D53A2B" w14:paraId="6832250B" w14:textId="77777777" w:rsidTr="00A202FD">
        <w:trPr>
          <w:trHeight w:val="350"/>
        </w:trPr>
        <w:tc>
          <w:tcPr>
            <w:tcW w:w="1451" w:type="dxa"/>
            <w:vMerge/>
            <w:noWrap/>
            <w:hideMark/>
          </w:tcPr>
          <w:p w14:paraId="1EC33A29" w14:textId="77777777" w:rsidR="0007690F" w:rsidRPr="00D53A2B" w:rsidRDefault="0007690F" w:rsidP="00A202FD">
            <w:pPr>
              <w:widowControl w:val="0"/>
              <w:spacing w:after="240" w:line="276" w:lineRule="auto"/>
              <w:ind w:firstLine="1"/>
              <w:contextualSpacing/>
              <w:jc w:val="both"/>
              <w:rPr>
                <w:b/>
                <w:bCs/>
              </w:rPr>
            </w:pPr>
          </w:p>
        </w:tc>
        <w:tc>
          <w:tcPr>
            <w:tcW w:w="858" w:type="dxa"/>
            <w:vMerge/>
            <w:noWrap/>
            <w:hideMark/>
          </w:tcPr>
          <w:p w14:paraId="429AF7EF" w14:textId="77777777" w:rsidR="0007690F" w:rsidRPr="00D53A2B" w:rsidRDefault="0007690F" w:rsidP="00A202FD">
            <w:pPr>
              <w:widowControl w:val="0"/>
              <w:spacing w:after="240" w:line="276" w:lineRule="auto"/>
              <w:ind w:firstLine="1"/>
              <w:contextualSpacing/>
              <w:jc w:val="both"/>
              <w:rPr>
                <w:b/>
                <w:bCs/>
              </w:rPr>
            </w:pPr>
          </w:p>
        </w:tc>
        <w:tc>
          <w:tcPr>
            <w:tcW w:w="2692" w:type="dxa"/>
            <w:noWrap/>
            <w:hideMark/>
          </w:tcPr>
          <w:p w14:paraId="4E2658C6" w14:textId="77777777" w:rsidR="0007690F" w:rsidRPr="00D53A2B" w:rsidRDefault="0007690F" w:rsidP="00A202FD">
            <w:pPr>
              <w:widowControl w:val="0"/>
              <w:spacing w:after="240" w:line="276" w:lineRule="auto"/>
              <w:ind w:firstLine="1"/>
              <w:contextualSpacing/>
              <w:jc w:val="both"/>
              <w:rPr>
                <w:b/>
                <w:bCs/>
              </w:rPr>
            </w:pPr>
            <w:r w:rsidRPr="00D53A2B">
              <w:rPr>
                <w:b/>
                <w:bCs/>
              </w:rPr>
              <w:t>NFM Dökümhaneleri (Demir Dışı Metal Dökümhaneleri)</w:t>
            </w:r>
          </w:p>
        </w:tc>
        <w:tc>
          <w:tcPr>
            <w:tcW w:w="1904" w:type="dxa"/>
            <w:noWrap/>
            <w:hideMark/>
          </w:tcPr>
          <w:p w14:paraId="302892AD" w14:textId="77777777" w:rsidR="0007690F" w:rsidRPr="00D53A2B" w:rsidRDefault="0007690F" w:rsidP="00A202FD">
            <w:pPr>
              <w:widowControl w:val="0"/>
              <w:spacing w:after="240" w:line="276" w:lineRule="auto"/>
              <w:ind w:firstLine="1"/>
              <w:contextualSpacing/>
              <w:jc w:val="both"/>
              <w:rPr>
                <w:b/>
                <w:bCs/>
              </w:rPr>
            </w:pPr>
            <w:r w:rsidRPr="00D53A2B">
              <w:rPr>
                <w:b/>
                <w:bCs/>
              </w:rPr>
              <w:t>Dökme Demir Dökümhaneleri</w:t>
            </w:r>
          </w:p>
        </w:tc>
        <w:tc>
          <w:tcPr>
            <w:tcW w:w="1904" w:type="dxa"/>
            <w:noWrap/>
            <w:hideMark/>
          </w:tcPr>
          <w:p w14:paraId="1F8FBC29" w14:textId="77777777" w:rsidR="0007690F" w:rsidRPr="00D53A2B" w:rsidRDefault="0007690F" w:rsidP="00A202FD">
            <w:pPr>
              <w:widowControl w:val="0"/>
              <w:spacing w:after="240" w:line="276" w:lineRule="auto"/>
              <w:ind w:firstLine="1"/>
              <w:contextualSpacing/>
              <w:jc w:val="both"/>
              <w:rPr>
                <w:b/>
                <w:bCs/>
              </w:rPr>
            </w:pPr>
            <w:r w:rsidRPr="00D53A2B">
              <w:rPr>
                <w:b/>
                <w:bCs/>
              </w:rPr>
              <w:t>Çelik Dökümhaneleri</w:t>
            </w:r>
          </w:p>
        </w:tc>
      </w:tr>
      <w:tr w:rsidR="0007690F" w:rsidRPr="00D53A2B" w14:paraId="1541AF58" w14:textId="77777777" w:rsidTr="00A202FD">
        <w:trPr>
          <w:trHeight w:val="350"/>
        </w:trPr>
        <w:tc>
          <w:tcPr>
            <w:tcW w:w="1451" w:type="dxa"/>
            <w:noWrap/>
            <w:hideMark/>
          </w:tcPr>
          <w:p w14:paraId="66C40105" w14:textId="77777777" w:rsidR="0007690F" w:rsidRPr="00D53A2B" w:rsidRDefault="0007690F" w:rsidP="00A202FD">
            <w:pPr>
              <w:widowControl w:val="0"/>
              <w:spacing w:after="240" w:line="276" w:lineRule="auto"/>
              <w:ind w:firstLine="1"/>
              <w:contextualSpacing/>
              <w:jc w:val="both"/>
              <w:rPr>
                <w:b/>
                <w:bCs/>
              </w:rPr>
            </w:pPr>
            <w:r w:rsidRPr="00D53A2B">
              <w:rPr>
                <w:b/>
                <w:bCs/>
              </w:rPr>
              <w:t>Cüruf (Slag)</w:t>
            </w:r>
          </w:p>
        </w:tc>
        <w:tc>
          <w:tcPr>
            <w:tcW w:w="858" w:type="dxa"/>
            <w:vMerge w:val="restart"/>
            <w:noWrap/>
            <w:hideMark/>
          </w:tcPr>
          <w:p w14:paraId="0867F77C" w14:textId="77777777" w:rsidR="0007690F" w:rsidRPr="00D53A2B" w:rsidRDefault="0007690F" w:rsidP="00A202FD">
            <w:pPr>
              <w:widowControl w:val="0"/>
              <w:spacing w:after="240" w:line="276" w:lineRule="auto"/>
              <w:ind w:firstLine="1"/>
              <w:contextualSpacing/>
              <w:jc w:val="both"/>
            </w:pPr>
            <w:r w:rsidRPr="00D53A2B">
              <w:t>kg/sıvı metal tonu</w:t>
            </w:r>
          </w:p>
          <w:p w14:paraId="178DFB49" w14:textId="77777777" w:rsidR="0007690F" w:rsidRPr="00D53A2B" w:rsidRDefault="0007690F" w:rsidP="00A202FD">
            <w:pPr>
              <w:widowControl w:val="0"/>
              <w:spacing w:after="240" w:line="276" w:lineRule="auto"/>
              <w:ind w:firstLine="1"/>
              <w:contextualSpacing/>
              <w:jc w:val="both"/>
            </w:pPr>
            <w:r w:rsidRPr="00D53A2B">
              <w:t> </w:t>
            </w:r>
          </w:p>
          <w:p w14:paraId="3CEDCB94" w14:textId="77777777" w:rsidR="0007690F" w:rsidRPr="00D53A2B" w:rsidRDefault="0007690F" w:rsidP="00A202FD">
            <w:pPr>
              <w:widowControl w:val="0"/>
              <w:spacing w:after="240" w:line="276" w:lineRule="auto"/>
              <w:ind w:firstLine="1"/>
              <w:contextualSpacing/>
              <w:jc w:val="both"/>
            </w:pPr>
            <w:r w:rsidRPr="00D53A2B">
              <w:t> </w:t>
            </w:r>
          </w:p>
          <w:p w14:paraId="09A7BF1E" w14:textId="77777777" w:rsidR="0007690F" w:rsidRPr="00D53A2B" w:rsidRDefault="0007690F" w:rsidP="00A202FD">
            <w:pPr>
              <w:widowControl w:val="0"/>
              <w:spacing w:after="240" w:line="276" w:lineRule="auto"/>
              <w:ind w:firstLine="1"/>
              <w:contextualSpacing/>
              <w:jc w:val="both"/>
            </w:pPr>
            <w:r w:rsidRPr="00D53A2B">
              <w:t> </w:t>
            </w:r>
          </w:p>
        </w:tc>
        <w:tc>
          <w:tcPr>
            <w:tcW w:w="2692" w:type="dxa"/>
            <w:noWrap/>
            <w:hideMark/>
          </w:tcPr>
          <w:p w14:paraId="035B86EB" w14:textId="77777777" w:rsidR="0007690F" w:rsidRPr="00D53A2B" w:rsidRDefault="0007690F" w:rsidP="00A202FD">
            <w:pPr>
              <w:widowControl w:val="0"/>
              <w:spacing w:after="240" w:line="276" w:lineRule="auto"/>
              <w:ind w:firstLine="1"/>
              <w:contextualSpacing/>
              <w:jc w:val="both"/>
            </w:pPr>
            <w:r w:rsidRPr="00D53A2B">
              <w:t>0 – 50</w:t>
            </w:r>
          </w:p>
        </w:tc>
        <w:tc>
          <w:tcPr>
            <w:tcW w:w="1904" w:type="dxa"/>
            <w:noWrap/>
            <w:hideMark/>
          </w:tcPr>
          <w:p w14:paraId="69538E81" w14:textId="77777777" w:rsidR="0007690F" w:rsidRPr="00D53A2B" w:rsidRDefault="0007690F" w:rsidP="00A202FD">
            <w:pPr>
              <w:widowControl w:val="0"/>
              <w:spacing w:after="240" w:line="276" w:lineRule="auto"/>
              <w:ind w:firstLine="1"/>
              <w:contextualSpacing/>
              <w:jc w:val="both"/>
            </w:pPr>
            <w:r w:rsidRPr="00D53A2B">
              <w:t xml:space="preserve">0 – 50 </w:t>
            </w:r>
          </w:p>
        </w:tc>
        <w:tc>
          <w:tcPr>
            <w:tcW w:w="1904" w:type="dxa"/>
            <w:noWrap/>
            <w:hideMark/>
          </w:tcPr>
          <w:p w14:paraId="458EE05A" w14:textId="77777777" w:rsidR="0007690F" w:rsidRPr="00D53A2B" w:rsidRDefault="0007690F" w:rsidP="00A202FD">
            <w:pPr>
              <w:widowControl w:val="0"/>
              <w:spacing w:after="240" w:line="276" w:lineRule="auto"/>
              <w:ind w:firstLine="1"/>
              <w:contextualSpacing/>
              <w:jc w:val="both"/>
            </w:pPr>
            <w:r w:rsidRPr="00D53A2B">
              <w:t xml:space="preserve">0 – 50 </w:t>
            </w:r>
          </w:p>
        </w:tc>
      </w:tr>
      <w:tr w:rsidR="0007690F" w:rsidRPr="00D53A2B" w14:paraId="6F479506" w14:textId="77777777" w:rsidTr="00A202FD">
        <w:trPr>
          <w:trHeight w:val="350"/>
        </w:trPr>
        <w:tc>
          <w:tcPr>
            <w:tcW w:w="1451" w:type="dxa"/>
            <w:noWrap/>
            <w:hideMark/>
          </w:tcPr>
          <w:p w14:paraId="13F083DC" w14:textId="77777777" w:rsidR="0007690F" w:rsidRPr="00D53A2B" w:rsidRDefault="0007690F" w:rsidP="00A202FD">
            <w:pPr>
              <w:widowControl w:val="0"/>
              <w:spacing w:after="240" w:line="276" w:lineRule="auto"/>
              <w:ind w:firstLine="1"/>
              <w:contextualSpacing/>
              <w:jc w:val="both"/>
              <w:rPr>
                <w:b/>
                <w:bCs/>
              </w:rPr>
            </w:pPr>
            <w:r w:rsidRPr="00D53A2B">
              <w:rPr>
                <w:b/>
                <w:bCs/>
              </w:rPr>
              <w:t>(Dross)</w:t>
            </w:r>
          </w:p>
          <w:p w14:paraId="0CFF4DF1" w14:textId="77777777" w:rsidR="0007690F" w:rsidRPr="00D53A2B" w:rsidRDefault="0007690F" w:rsidP="00A202FD">
            <w:pPr>
              <w:widowControl w:val="0"/>
              <w:spacing w:after="240" w:line="276" w:lineRule="auto"/>
              <w:ind w:firstLine="1"/>
              <w:contextualSpacing/>
              <w:jc w:val="both"/>
              <w:rPr>
                <w:b/>
                <w:bCs/>
              </w:rPr>
            </w:pPr>
            <w:r w:rsidRPr="00D53A2B">
              <w:rPr>
                <w:b/>
                <w:bCs/>
              </w:rPr>
              <w:t>Demir Cürufu</w:t>
            </w:r>
          </w:p>
        </w:tc>
        <w:tc>
          <w:tcPr>
            <w:tcW w:w="858" w:type="dxa"/>
            <w:vMerge/>
            <w:noWrap/>
            <w:hideMark/>
          </w:tcPr>
          <w:p w14:paraId="395DC0D0" w14:textId="77777777" w:rsidR="0007690F" w:rsidRPr="00D53A2B" w:rsidRDefault="0007690F" w:rsidP="00A202FD">
            <w:pPr>
              <w:widowControl w:val="0"/>
              <w:spacing w:after="240" w:line="276" w:lineRule="auto"/>
              <w:ind w:firstLine="1"/>
              <w:contextualSpacing/>
              <w:jc w:val="both"/>
            </w:pPr>
          </w:p>
        </w:tc>
        <w:tc>
          <w:tcPr>
            <w:tcW w:w="2692" w:type="dxa"/>
            <w:noWrap/>
            <w:hideMark/>
          </w:tcPr>
          <w:p w14:paraId="5CBAB01F" w14:textId="77777777" w:rsidR="0007690F" w:rsidRPr="00D53A2B" w:rsidRDefault="0007690F" w:rsidP="00A202FD">
            <w:pPr>
              <w:widowControl w:val="0"/>
              <w:spacing w:after="240" w:line="276" w:lineRule="auto"/>
              <w:ind w:firstLine="1"/>
              <w:contextualSpacing/>
              <w:jc w:val="both"/>
            </w:pPr>
            <w:r w:rsidRPr="00D53A2B">
              <w:t>0 – 30</w:t>
            </w:r>
          </w:p>
        </w:tc>
        <w:tc>
          <w:tcPr>
            <w:tcW w:w="1904" w:type="dxa"/>
            <w:noWrap/>
            <w:hideMark/>
          </w:tcPr>
          <w:p w14:paraId="010376D3" w14:textId="77777777" w:rsidR="0007690F" w:rsidRPr="00D53A2B" w:rsidRDefault="0007690F" w:rsidP="00A202FD">
            <w:pPr>
              <w:widowControl w:val="0"/>
              <w:spacing w:after="240" w:line="276" w:lineRule="auto"/>
              <w:ind w:firstLine="1"/>
              <w:contextualSpacing/>
              <w:jc w:val="both"/>
            </w:pPr>
            <w:r w:rsidRPr="00D53A2B">
              <w:t>0 – 30</w:t>
            </w:r>
          </w:p>
        </w:tc>
        <w:tc>
          <w:tcPr>
            <w:tcW w:w="1904" w:type="dxa"/>
            <w:noWrap/>
            <w:hideMark/>
          </w:tcPr>
          <w:p w14:paraId="7CF21CCB" w14:textId="77777777" w:rsidR="0007690F" w:rsidRPr="00D53A2B" w:rsidRDefault="0007690F" w:rsidP="00A202FD">
            <w:pPr>
              <w:widowControl w:val="0"/>
              <w:spacing w:after="240" w:line="276" w:lineRule="auto"/>
              <w:ind w:firstLine="1"/>
              <w:contextualSpacing/>
              <w:jc w:val="both"/>
            </w:pPr>
            <w:r w:rsidRPr="00D53A2B">
              <w:t>0 – 30</w:t>
            </w:r>
          </w:p>
        </w:tc>
      </w:tr>
      <w:tr w:rsidR="0007690F" w:rsidRPr="00D53A2B" w14:paraId="1E812011" w14:textId="77777777" w:rsidTr="00A202FD">
        <w:trPr>
          <w:trHeight w:val="350"/>
        </w:trPr>
        <w:tc>
          <w:tcPr>
            <w:tcW w:w="1451" w:type="dxa"/>
            <w:noWrap/>
            <w:hideMark/>
          </w:tcPr>
          <w:p w14:paraId="282D0789" w14:textId="77777777" w:rsidR="0007690F" w:rsidRPr="00D53A2B" w:rsidRDefault="0007690F" w:rsidP="00A202FD">
            <w:pPr>
              <w:widowControl w:val="0"/>
              <w:spacing w:after="240" w:line="276" w:lineRule="auto"/>
              <w:ind w:firstLine="1"/>
              <w:contextualSpacing/>
              <w:jc w:val="both"/>
              <w:rPr>
                <w:b/>
                <w:bCs/>
              </w:rPr>
            </w:pPr>
            <w:r w:rsidRPr="00D53A2B">
              <w:rPr>
                <w:b/>
                <w:bCs/>
              </w:rPr>
              <w:t xml:space="preserve">Filtre Tozu </w:t>
            </w:r>
          </w:p>
        </w:tc>
        <w:tc>
          <w:tcPr>
            <w:tcW w:w="858" w:type="dxa"/>
            <w:vMerge/>
            <w:noWrap/>
            <w:hideMark/>
          </w:tcPr>
          <w:p w14:paraId="6286CC17" w14:textId="77777777" w:rsidR="0007690F" w:rsidRPr="00D53A2B" w:rsidRDefault="0007690F" w:rsidP="00A202FD">
            <w:pPr>
              <w:widowControl w:val="0"/>
              <w:spacing w:after="240" w:line="276" w:lineRule="auto"/>
              <w:ind w:firstLine="1"/>
              <w:contextualSpacing/>
              <w:jc w:val="both"/>
            </w:pPr>
          </w:p>
        </w:tc>
        <w:tc>
          <w:tcPr>
            <w:tcW w:w="2692" w:type="dxa"/>
            <w:noWrap/>
            <w:hideMark/>
          </w:tcPr>
          <w:p w14:paraId="68506678" w14:textId="77777777" w:rsidR="0007690F" w:rsidRPr="00D53A2B" w:rsidRDefault="0007690F" w:rsidP="00A202FD">
            <w:pPr>
              <w:widowControl w:val="0"/>
              <w:spacing w:after="240" w:line="276" w:lineRule="auto"/>
              <w:ind w:firstLine="1"/>
              <w:contextualSpacing/>
              <w:jc w:val="both"/>
            </w:pPr>
            <w:r w:rsidRPr="00D53A2B">
              <w:t>0 – 05</w:t>
            </w:r>
          </w:p>
        </w:tc>
        <w:tc>
          <w:tcPr>
            <w:tcW w:w="1904" w:type="dxa"/>
            <w:noWrap/>
            <w:hideMark/>
          </w:tcPr>
          <w:p w14:paraId="6F77FACF" w14:textId="77777777" w:rsidR="0007690F" w:rsidRPr="00D53A2B" w:rsidRDefault="0007690F" w:rsidP="00A202FD">
            <w:pPr>
              <w:widowControl w:val="0"/>
              <w:spacing w:after="240" w:line="276" w:lineRule="auto"/>
              <w:ind w:firstLine="1"/>
              <w:contextualSpacing/>
              <w:jc w:val="both"/>
            </w:pPr>
            <w:r w:rsidRPr="00D53A2B">
              <w:t>0 – 60</w:t>
            </w:r>
          </w:p>
        </w:tc>
        <w:tc>
          <w:tcPr>
            <w:tcW w:w="1904" w:type="dxa"/>
            <w:noWrap/>
            <w:hideMark/>
          </w:tcPr>
          <w:p w14:paraId="68DDC2A5" w14:textId="77777777" w:rsidR="0007690F" w:rsidRPr="00D53A2B" w:rsidRDefault="0007690F" w:rsidP="00A202FD">
            <w:pPr>
              <w:widowControl w:val="0"/>
              <w:spacing w:after="240" w:line="276" w:lineRule="auto"/>
              <w:ind w:firstLine="1"/>
              <w:contextualSpacing/>
              <w:jc w:val="both"/>
            </w:pPr>
            <w:r w:rsidRPr="00D53A2B">
              <w:t>0 – 10</w:t>
            </w:r>
          </w:p>
        </w:tc>
      </w:tr>
      <w:tr w:rsidR="0007690F" w:rsidRPr="00D53A2B" w14:paraId="5A4F0677" w14:textId="77777777" w:rsidTr="00A202FD">
        <w:trPr>
          <w:trHeight w:val="1197"/>
        </w:trPr>
        <w:tc>
          <w:tcPr>
            <w:tcW w:w="1451" w:type="dxa"/>
            <w:noWrap/>
            <w:hideMark/>
          </w:tcPr>
          <w:p w14:paraId="5AB7E3C5" w14:textId="77777777" w:rsidR="0007690F" w:rsidRPr="00D53A2B" w:rsidRDefault="0007690F" w:rsidP="00A202FD">
            <w:pPr>
              <w:widowControl w:val="0"/>
              <w:spacing w:after="240" w:line="276" w:lineRule="auto"/>
              <w:ind w:firstLine="1"/>
              <w:contextualSpacing/>
              <w:jc w:val="both"/>
              <w:rPr>
                <w:b/>
                <w:bCs/>
              </w:rPr>
            </w:pPr>
            <w:r w:rsidRPr="00D53A2B">
              <w:rPr>
                <w:b/>
                <w:bCs/>
              </w:rPr>
              <w:t xml:space="preserve">Kullanılmış Refrakter Astarları </w:t>
            </w:r>
          </w:p>
        </w:tc>
        <w:tc>
          <w:tcPr>
            <w:tcW w:w="858" w:type="dxa"/>
            <w:vMerge/>
            <w:noWrap/>
            <w:hideMark/>
          </w:tcPr>
          <w:p w14:paraId="5BA9F43A" w14:textId="77777777" w:rsidR="0007690F" w:rsidRPr="00D53A2B" w:rsidRDefault="0007690F" w:rsidP="00A202FD">
            <w:pPr>
              <w:widowControl w:val="0"/>
              <w:spacing w:after="240" w:line="276" w:lineRule="auto"/>
              <w:ind w:firstLine="1"/>
              <w:contextualSpacing/>
              <w:jc w:val="both"/>
            </w:pPr>
          </w:p>
        </w:tc>
        <w:tc>
          <w:tcPr>
            <w:tcW w:w="2692" w:type="dxa"/>
            <w:noWrap/>
            <w:hideMark/>
          </w:tcPr>
          <w:p w14:paraId="220B31FC" w14:textId="77777777" w:rsidR="0007690F" w:rsidRPr="00D53A2B" w:rsidRDefault="0007690F" w:rsidP="00A202FD">
            <w:pPr>
              <w:widowControl w:val="0"/>
              <w:spacing w:after="240" w:line="276" w:lineRule="auto"/>
              <w:ind w:firstLine="1"/>
              <w:contextualSpacing/>
              <w:jc w:val="both"/>
            </w:pPr>
            <w:r w:rsidRPr="00D53A2B">
              <w:t>0 – 5</w:t>
            </w:r>
          </w:p>
        </w:tc>
        <w:tc>
          <w:tcPr>
            <w:tcW w:w="1904" w:type="dxa"/>
            <w:noWrap/>
            <w:hideMark/>
          </w:tcPr>
          <w:p w14:paraId="22894D04" w14:textId="77777777" w:rsidR="0007690F" w:rsidRPr="00D53A2B" w:rsidRDefault="0007690F" w:rsidP="00A202FD">
            <w:pPr>
              <w:widowControl w:val="0"/>
              <w:spacing w:after="240" w:line="276" w:lineRule="auto"/>
              <w:ind w:firstLine="1"/>
              <w:contextualSpacing/>
              <w:jc w:val="both"/>
            </w:pPr>
            <w:r w:rsidRPr="00D53A2B">
              <w:t>0 – 20</w:t>
            </w:r>
          </w:p>
        </w:tc>
        <w:tc>
          <w:tcPr>
            <w:tcW w:w="1904" w:type="dxa"/>
            <w:noWrap/>
            <w:hideMark/>
          </w:tcPr>
          <w:p w14:paraId="085C5C56" w14:textId="77777777" w:rsidR="0007690F" w:rsidRPr="00D53A2B" w:rsidRDefault="0007690F" w:rsidP="00A202FD">
            <w:pPr>
              <w:widowControl w:val="0"/>
              <w:spacing w:after="240" w:line="276" w:lineRule="auto"/>
              <w:ind w:firstLine="1"/>
              <w:contextualSpacing/>
              <w:jc w:val="both"/>
            </w:pPr>
            <w:r w:rsidRPr="00D53A2B">
              <w:t>0 – 20</w:t>
            </w:r>
          </w:p>
        </w:tc>
      </w:tr>
    </w:tbl>
    <w:p w14:paraId="24B7D80D" w14:textId="77777777" w:rsidR="0007690F" w:rsidRPr="00D53A2B" w:rsidRDefault="0007690F" w:rsidP="00A202FD">
      <w:pPr>
        <w:widowControl w:val="0"/>
        <w:spacing w:after="240" w:line="276" w:lineRule="auto"/>
        <w:ind w:firstLine="1"/>
        <w:contextualSpacing/>
        <w:jc w:val="both"/>
      </w:pPr>
    </w:p>
    <w:p w14:paraId="3BE835E0" w14:textId="77777777" w:rsidR="0007690F" w:rsidRPr="00D53A2B" w:rsidRDefault="0007690F" w:rsidP="00A202FD">
      <w:pPr>
        <w:widowControl w:val="0"/>
        <w:spacing w:after="240" w:line="276" w:lineRule="auto"/>
        <w:ind w:firstLine="1"/>
        <w:contextualSpacing/>
        <w:jc w:val="both"/>
      </w:pPr>
      <w:r w:rsidRPr="00D53A2B">
        <w:t>İlgili izleme, MET 6'da verilmiştir.</w:t>
      </w:r>
    </w:p>
    <w:p w14:paraId="5667B355" w14:textId="77777777" w:rsidR="0007690F" w:rsidRPr="00D53A2B" w:rsidRDefault="0007690F" w:rsidP="00A202FD">
      <w:pPr>
        <w:pStyle w:val="Balk4"/>
        <w:rPr>
          <w:rFonts w:cs="Times New Roman"/>
        </w:rPr>
      </w:pPr>
      <w:r w:rsidRPr="00D53A2B">
        <w:rPr>
          <w:rFonts w:cs="Times New Roman"/>
        </w:rPr>
        <w:t>1.2.1.5. Hava Yaygın Emisyonları</w:t>
      </w:r>
    </w:p>
    <w:p w14:paraId="63579F5D" w14:textId="77777777" w:rsidR="0007690F" w:rsidRPr="00D53A2B" w:rsidRDefault="0007690F" w:rsidP="00A202FD">
      <w:pPr>
        <w:widowControl w:val="0"/>
        <w:spacing w:after="240" w:line="276" w:lineRule="auto"/>
        <w:ind w:firstLine="1"/>
        <w:contextualSpacing/>
        <w:jc w:val="both"/>
      </w:pPr>
      <w:r w:rsidRPr="00D53A2B">
        <w:rPr>
          <w:b/>
          <w:bCs/>
        </w:rPr>
        <w:t>MET 21.</w:t>
      </w:r>
      <w:r w:rsidRPr="00D53A2B">
        <w:t> Hava yaygın emisyonlarını önlemek veya bu mümkün olmadığında azaltmak amacıyla, MET aşağıda verilen tüm tekniklerin kullanılmasını gerektirir.</w:t>
      </w:r>
    </w:p>
    <w:tbl>
      <w:tblPr>
        <w:tblStyle w:val="TabloKlavuzu"/>
        <w:tblW w:w="0" w:type="auto"/>
        <w:tblLook w:val="04A0" w:firstRow="1" w:lastRow="0" w:firstColumn="1" w:lastColumn="0" w:noHBand="0" w:noVBand="1"/>
      </w:tblPr>
      <w:tblGrid>
        <w:gridCol w:w="2689"/>
        <w:gridCol w:w="3549"/>
        <w:gridCol w:w="2688"/>
      </w:tblGrid>
      <w:tr w:rsidR="0007690F" w:rsidRPr="00D53A2B" w14:paraId="60239C08" w14:textId="77777777" w:rsidTr="008A41DE">
        <w:trPr>
          <w:trHeight w:val="320"/>
        </w:trPr>
        <w:tc>
          <w:tcPr>
            <w:tcW w:w="2689" w:type="dxa"/>
            <w:noWrap/>
            <w:hideMark/>
          </w:tcPr>
          <w:p w14:paraId="3389AAAC"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3549" w:type="dxa"/>
            <w:noWrap/>
            <w:hideMark/>
          </w:tcPr>
          <w:p w14:paraId="436553F0"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2688" w:type="dxa"/>
            <w:noWrap/>
            <w:hideMark/>
          </w:tcPr>
          <w:p w14:paraId="2151F4A8"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tc>
      </w:tr>
      <w:tr w:rsidR="0007690F" w:rsidRPr="00D53A2B" w14:paraId="0A2BF4B3" w14:textId="77777777" w:rsidTr="008A41DE">
        <w:trPr>
          <w:trHeight w:val="320"/>
        </w:trPr>
        <w:tc>
          <w:tcPr>
            <w:tcW w:w="2689" w:type="dxa"/>
            <w:noWrap/>
            <w:hideMark/>
          </w:tcPr>
          <w:p w14:paraId="5125D84A" w14:textId="77777777" w:rsidR="0007690F" w:rsidRPr="00D53A2B" w:rsidRDefault="0007690F" w:rsidP="00A202FD">
            <w:pPr>
              <w:widowControl w:val="0"/>
              <w:spacing w:after="240" w:line="276" w:lineRule="auto"/>
              <w:ind w:firstLine="1"/>
              <w:contextualSpacing/>
              <w:jc w:val="both"/>
              <w:rPr>
                <w:b/>
                <w:bCs/>
              </w:rPr>
            </w:pPr>
            <w:r w:rsidRPr="00D53A2B">
              <w:rPr>
                <w:b/>
                <w:bCs/>
              </w:rPr>
              <w:t>a. Taşıma ekipmanlarının (konteynerler) ve taşıma araçlarının kargo alanının kapatılması</w:t>
            </w:r>
          </w:p>
        </w:tc>
        <w:tc>
          <w:tcPr>
            <w:tcW w:w="3549" w:type="dxa"/>
            <w:noWrap/>
            <w:hideMark/>
          </w:tcPr>
          <w:p w14:paraId="33E7729D" w14:textId="77777777" w:rsidR="0007690F" w:rsidRPr="00D53A2B" w:rsidRDefault="0007690F" w:rsidP="00A202FD">
            <w:pPr>
              <w:widowControl w:val="0"/>
              <w:spacing w:after="240" w:line="276" w:lineRule="auto"/>
              <w:ind w:firstLine="1"/>
              <w:contextualSpacing/>
              <w:jc w:val="both"/>
            </w:pPr>
            <w:r w:rsidRPr="00D53A2B">
              <w:t>Taşıma araçlarının kargo alanı ve taşıma ekipmanları (konteynerler) kapatılır (örneğin, branda ile).</w:t>
            </w:r>
          </w:p>
        </w:tc>
        <w:tc>
          <w:tcPr>
            <w:tcW w:w="2688" w:type="dxa"/>
            <w:noWrap/>
            <w:hideMark/>
          </w:tcPr>
          <w:p w14:paraId="5124C1CF"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0D52A6B4" w14:textId="77777777" w:rsidTr="008A41DE">
        <w:trPr>
          <w:trHeight w:val="320"/>
        </w:trPr>
        <w:tc>
          <w:tcPr>
            <w:tcW w:w="2689" w:type="dxa"/>
            <w:noWrap/>
            <w:hideMark/>
          </w:tcPr>
          <w:p w14:paraId="535729FA" w14:textId="77777777" w:rsidR="0007690F" w:rsidRPr="00D53A2B" w:rsidRDefault="0007690F" w:rsidP="00A202FD">
            <w:pPr>
              <w:widowControl w:val="0"/>
              <w:spacing w:after="240" w:line="276" w:lineRule="auto"/>
              <w:ind w:firstLine="1"/>
              <w:contextualSpacing/>
              <w:jc w:val="both"/>
              <w:rPr>
                <w:b/>
                <w:bCs/>
              </w:rPr>
            </w:pPr>
            <w:r w:rsidRPr="00D53A2B">
              <w:rPr>
                <w:b/>
                <w:bCs/>
              </w:rPr>
              <w:t>b. Yolların ve taşıma araçlarının tekerleklerinin temizlenmesi</w:t>
            </w:r>
          </w:p>
        </w:tc>
        <w:tc>
          <w:tcPr>
            <w:tcW w:w="3549" w:type="dxa"/>
            <w:noWrap/>
            <w:hideMark/>
          </w:tcPr>
          <w:p w14:paraId="51F24971" w14:textId="77777777" w:rsidR="0007690F" w:rsidRPr="00D53A2B" w:rsidRDefault="0007690F" w:rsidP="00A202FD">
            <w:pPr>
              <w:widowControl w:val="0"/>
              <w:spacing w:after="240" w:line="276" w:lineRule="auto"/>
              <w:ind w:firstLine="1"/>
              <w:contextualSpacing/>
              <w:jc w:val="both"/>
            </w:pPr>
            <w:r w:rsidRPr="00D53A2B">
              <w:t>Yollar ve taşıma araçlarının tekerlekleri düzenli olarak temizlenir, örneğin mobil vakum sistemleri, su lagünleri kullanılarak.</w:t>
            </w:r>
          </w:p>
        </w:tc>
        <w:tc>
          <w:tcPr>
            <w:tcW w:w="2688" w:type="dxa"/>
            <w:noWrap/>
            <w:hideMark/>
          </w:tcPr>
          <w:p w14:paraId="56F843EC"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7246BE86" w14:textId="77777777" w:rsidTr="008A41DE">
        <w:trPr>
          <w:trHeight w:val="320"/>
        </w:trPr>
        <w:tc>
          <w:tcPr>
            <w:tcW w:w="2689" w:type="dxa"/>
            <w:noWrap/>
            <w:hideMark/>
          </w:tcPr>
          <w:p w14:paraId="36D2056F" w14:textId="77777777" w:rsidR="0007690F" w:rsidRPr="00D53A2B" w:rsidRDefault="0007690F" w:rsidP="00A202FD">
            <w:pPr>
              <w:widowControl w:val="0"/>
              <w:spacing w:after="240" w:line="276" w:lineRule="auto"/>
              <w:ind w:firstLine="1"/>
              <w:contextualSpacing/>
              <w:jc w:val="both"/>
              <w:rPr>
                <w:b/>
                <w:bCs/>
              </w:rPr>
            </w:pPr>
            <w:r w:rsidRPr="00D53A2B">
              <w:rPr>
                <w:b/>
                <w:bCs/>
              </w:rPr>
              <w:t>c. Kapalı konveyörlerin kullanılması</w:t>
            </w:r>
          </w:p>
        </w:tc>
        <w:tc>
          <w:tcPr>
            <w:tcW w:w="3549" w:type="dxa"/>
            <w:noWrap/>
            <w:hideMark/>
          </w:tcPr>
          <w:p w14:paraId="32273616" w14:textId="77777777" w:rsidR="0007690F" w:rsidRPr="00D53A2B" w:rsidRDefault="0007690F" w:rsidP="00A202FD">
            <w:pPr>
              <w:widowControl w:val="0"/>
              <w:spacing w:after="240" w:line="276" w:lineRule="auto"/>
              <w:ind w:firstLine="1"/>
              <w:contextualSpacing/>
              <w:jc w:val="both"/>
            </w:pPr>
            <w:r w:rsidRPr="00D53A2B">
              <w:t>Malzemeler, konveyör sistemleri kullanılarak transfer edilir, örneğin kapalı konveyörler, pnömatik taşıma. Malzeme düşüşleri minimize edilir.</w:t>
            </w:r>
          </w:p>
        </w:tc>
        <w:tc>
          <w:tcPr>
            <w:tcW w:w="2688" w:type="dxa"/>
            <w:noWrap/>
            <w:hideMark/>
          </w:tcPr>
          <w:p w14:paraId="2552BDC4"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7A3681C5" w14:textId="77777777" w:rsidTr="008A41DE">
        <w:trPr>
          <w:trHeight w:val="320"/>
        </w:trPr>
        <w:tc>
          <w:tcPr>
            <w:tcW w:w="2689" w:type="dxa"/>
            <w:noWrap/>
            <w:hideMark/>
          </w:tcPr>
          <w:p w14:paraId="1F080EF9" w14:textId="77777777" w:rsidR="0007690F" w:rsidRPr="00D53A2B" w:rsidRDefault="0007690F" w:rsidP="00A202FD">
            <w:pPr>
              <w:widowControl w:val="0"/>
              <w:spacing w:after="240" w:line="276" w:lineRule="auto"/>
              <w:ind w:firstLine="1"/>
              <w:contextualSpacing/>
              <w:jc w:val="both"/>
              <w:rPr>
                <w:b/>
                <w:bCs/>
              </w:rPr>
            </w:pPr>
            <w:r w:rsidRPr="00D53A2B">
              <w:rPr>
                <w:b/>
                <w:bCs/>
              </w:rPr>
              <w:t>d. Kalıplama ve döküm süreç alanlarının vakumla temizlenmesi</w:t>
            </w:r>
          </w:p>
        </w:tc>
        <w:tc>
          <w:tcPr>
            <w:tcW w:w="3549" w:type="dxa"/>
            <w:noWrap/>
            <w:hideMark/>
          </w:tcPr>
          <w:p w14:paraId="13331657" w14:textId="77777777" w:rsidR="0007690F" w:rsidRPr="00D53A2B" w:rsidRDefault="0007690F" w:rsidP="00A202FD">
            <w:pPr>
              <w:widowControl w:val="0"/>
              <w:spacing w:after="240" w:line="276" w:lineRule="auto"/>
              <w:ind w:firstLine="1"/>
              <w:contextualSpacing/>
              <w:jc w:val="both"/>
            </w:pPr>
            <w:r w:rsidRPr="00D53A2B">
              <w:t>Kum kalıplama dökümhanelerinde kalıplama ve döküm süreç alanları düzenli olarak vakumla temizlenir.</w:t>
            </w:r>
          </w:p>
        </w:tc>
        <w:tc>
          <w:tcPr>
            <w:tcW w:w="2688" w:type="dxa"/>
            <w:noWrap/>
            <w:hideMark/>
          </w:tcPr>
          <w:p w14:paraId="29ECBDB5" w14:textId="77777777" w:rsidR="0007690F" w:rsidRPr="00D53A2B" w:rsidRDefault="0007690F" w:rsidP="00A202FD">
            <w:pPr>
              <w:widowControl w:val="0"/>
              <w:spacing w:after="240" w:line="276" w:lineRule="auto"/>
              <w:ind w:firstLine="1"/>
              <w:contextualSpacing/>
              <w:jc w:val="both"/>
            </w:pPr>
            <w:r w:rsidRPr="00D53A2B">
              <w:t>Kumun teknik veya güvenlik ile ilgili bir işlevi olan alanlarda uygulanamayabilir.</w:t>
            </w:r>
          </w:p>
        </w:tc>
      </w:tr>
      <w:tr w:rsidR="0007690F" w:rsidRPr="00D53A2B" w14:paraId="6A29B92B" w14:textId="77777777" w:rsidTr="008A41DE">
        <w:trPr>
          <w:trHeight w:val="320"/>
        </w:trPr>
        <w:tc>
          <w:tcPr>
            <w:tcW w:w="2689" w:type="dxa"/>
            <w:noWrap/>
            <w:hideMark/>
          </w:tcPr>
          <w:p w14:paraId="181D6B8A" w14:textId="77777777" w:rsidR="0007690F" w:rsidRPr="00D53A2B" w:rsidRDefault="0007690F" w:rsidP="00A202FD">
            <w:pPr>
              <w:widowControl w:val="0"/>
              <w:spacing w:after="240" w:line="276" w:lineRule="auto"/>
              <w:ind w:firstLine="1"/>
              <w:contextualSpacing/>
              <w:jc w:val="both"/>
              <w:rPr>
                <w:b/>
                <w:bCs/>
              </w:rPr>
            </w:pPr>
            <w:r w:rsidRPr="00D53A2B">
              <w:rPr>
                <w:b/>
                <w:bCs/>
              </w:rPr>
              <w:t>e. Alkol bazlı kaplamaların su bazlı kaplamalarla değiştirilmesi</w:t>
            </w:r>
          </w:p>
        </w:tc>
        <w:tc>
          <w:tcPr>
            <w:tcW w:w="3549" w:type="dxa"/>
            <w:noWrap/>
            <w:hideMark/>
          </w:tcPr>
          <w:p w14:paraId="3BB3421C" w14:textId="77777777" w:rsidR="0007690F" w:rsidRPr="00D53A2B" w:rsidRDefault="0007690F" w:rsidP="00A202FD">
            <w:pPr>
              <w:widowControl w:val="0"/>
              <w:spacing w:after="240" w:line="276" w:lineRule="auto"/>
              <w:ind w:firstLine="1"/>
              <w:contextualSpacing/>
              <w:jc w:val="both"/>
            </w:pPr>
            <w:r w:rsidRPr="00D53A2B">
              <w:t>Bakınız Bölüm 1.4.3.</w:t>
            </w:r>
          </w:p>
        </w:tc>
        <w:tc>
          <w:tcPr>
            <w:tcW w:w="2688" w:type="dxa"/>
            <w:noWrap/>
            <w:hideMark/>
          </w:tcPr>
          <w:p w14:paraId="66FBEFC1" w14:textId="77777777" w:rsidR="0007690F" w:rsidRPr="00D53A2B" w:rsidRDefault="0007690F" w:rsidP="00A202FD">
            <w:pPr>
              <w:widowControl w:val="0"/>
              <w:spacing w:after="240" w:line="276" w:lineRule="auto"/>
              <w:ind w:firstLine="1"/>
              <w:contextualSpacing/>
              <w:jc w:val="both"/>
            </w:pPr>
            <w:r w:rsidRPr="00D53A2B">
              <w:t>Büyük veya karmaşık döküm şekilleri durumunda, kuruma havasının dolaşımı ile ilgili zorluklar nedeniyle uygulanabilirlik sınırlı olabilir. Su camı bağlayıcılı kumlar, magnezyum döküm süreci, vakum kalıplama veya MgO kaplamalı manganez çelik dökümleri için geçerli değildir.</w:t>
            </w:r>
          </w:p>
        </w:tc>
      </w:tr>
      <w:tr w:rsidR="0007690F" w:rsidRPr="00D53A2B" w14:paraId="465276CA" w14:textId="77777777" w:rsidTr="008A41DE">
        <w:trPr>
          <w:trHeight w:val="5623"/>
        </w:trPr>
        <w:tc>
          <w:tcPr>
            <w:tcW w:w="2689" w:type="dxa"/>
            <w:noWrap/>
            <w:hideMark/>
          </w:tcPr>
          <w:p w14:paraId="5DB1A2B3" w14:textId="77777777" w:rsidR="0007690F" w:rsidRPr="00D53A2B" w:rsidRDefault="0007690F" w:rsidP="00A202FD">
            <w:pPr>
              <w:widowControl w:val="0"/>
              <w:spacing w:after="240" w:line="276" w:lineRule="auto"/>
              <w:ind w:firstLine="1"/>
              <w:contextualSpacing/>
              <w:jc w:val="both"/>
              <w:rPr>
                <w:b/>
                <w:bCs/>
              </w:rPr>
            </w:pPr>
            <w:r w:rsidRPr="00D53A2B">
              <w:rPr>
                <w:b/>
                <w:bCs/>
              </w:rPr>
              <w:t>f. Su verme işleminde emisyonların kontrolü</w:t>
            </w:r>
          </w:p>
        </w:tc>
        <w:tc>
          <w:tcPr>
            <w:tcW w:w="3549" w:type="dxa"/>
            <w:noWrap/>
            <w:hideMark/>
          </w:tcPr>
          <w:p w14:paraId="02BBA571" w14:textId="77777777" w:rsidR="0007690F" w:rsidRPr="00D53A2B" w:rsidRDefault="0007690F" w:rsidP="00A202FD">
            <w:pPr>
              <w:widowControl w:val="0"/>
              <w:spacing w:after="240" w:line="276" w:lineRule="auto"/>
              <w:ind w:firstLine="1"/>
              <w:contextualSpacing/>
              <w:jc w:val="both"/>
            </w:pPr>
            <w:r w:rsidRPr="00D53A2B">
              <w:t>Aşağıdaki işlemleri içerir: </w:t>
            </w:r>
          </w:p>
          <w:p w14:paraId="73C68F8D" w14:textId="77777777" w:rsidR="0007690F" w:rsidRPr="00D53A2B" w:rsidRDefault="0007690F" w:rsidP="00A202FD">
            <w:pPr>
              <w:widowControl w:val="0"/>
              <w:spacing w:after="240" w:line="276" w:lineRule="auto"/>
              <w:ind w:firstLine="1"/>
              <w:contextualSpacing/>
              <w:jc w:val="both"/>
            </w:pPr>
            <w:r w:rsidRPr="00D53A2B">
              <w:t>- Su verme işlemi (örneğin, poliüretan veya polialkileen glikol içeren su bazlı polimer çözümleri kullanarak) emisyonların üretilmesinin minimize edilmesi. </w:t>
            </w:r>
          </w:p>
          <w:p w14:paraId="237E1A93" w14:textId="46C3A224" w:rsidR="0007690F" w:rsidRPr="00D53A2B" w:rsidRDefault="0007690F" w:rsidP="00A202FD">
            <w:pPr>
              <w:widowControl w:val="0"/>
              <w:spacing w:after="240" w:line="276" w:lineRule="auto"/>
              <w:ind w:firstLine="1"/>
              <w:contextualSpacing/>
              <w:jc w:val="both"/>
            </w:pPr>
            <w:r w:rsidRPr="00D53A2B">
              <w:t xml:space="preserve">- Su verme işleminden (özellikle yağlı soğutma banyolarından) emisyonların kaynağa mümkün olduğunca yakın bir şekilde toplanması, örneğin çatı havalandırması, egzoz kubbeleri veya kenar çıkarıcılar kullanılarak. Çekilen gazlar </w:t>
            </w:r>
            <w:r w:rsidR="007942DA">
              <w:t>arıtılabilir</w:t>
            </w:r>
            <w:r w:rsidRPr="00D53A2B">
              <w:t>, örneğin ESP kullanılarak. </w:t>
            </w:r>
          </w:p>
          <w:p w14:paraId="37CE37AB" w14:textId="77777777" w:rsidR="0007690F" w:rsidRPr="00D53A2B" w:rsidRDefault="0007690F" w:rsidP="00A202FD">
            <w:pPr>
              <w:widowControl w:val="0"/>
              <w:spacing w:after="240" w:line="276" w:lineRule="auto"/>
              <w:ind w:firstLine="1"/>
              <w:contextualSpacing/>
              <w:jc w:val="both"/>
            </w:pPr>
            <w:r w:rsidRPr="00D53A2B">
              <w:t>- Soğutma ortamı olarak ısıl su kullanımı.</w:t>
            </w:r>
          </w:p>
        </w:tc>
        <w:tc>
          <w:tcPr>
            <w:tcW w:w="2688" w:type="dxa"/>
            <w:noWrap/>
            <w:hideMark/>
          </w:tcPr>
          <w:p w14:paraId="7D3A72C9"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55E5D405" w14:textId="77777777" w:rsidTr="008A41DE">
        <w:trPr>
          <w:trHeight w:val="5028"/>
        </w:trPr>
        <w:tc>
          <w:tcPr>
            <w:tcW w:w="2689" w:type="dxa"/>
            <w:noWrap/>
            <w:hideMark/>
          </w:tcPr>
          <w:p w14:paraId="64A40144" w14:textId="77777777" w:rsidR="0007690F" w:rsidRPr="00D53A2B" w:rsidRDefault="0007690F" w:rsidP="00A202FD">
            <w:pPr>
              <w:widowControl w:val="0"/>
              <w:spacing w:after="240" w:line="276" w:lineRule="auto"/>
              <w:ind w:firstLine="1"/>
              <w:contextualSpacing/>
              <w:jc w:val="both"/>
              <w:rPr>
                <w:b/>
                <w:bCs/>
              </w:rPr>
            </w:pPr>
            <w:r w:rsidRPr="00D53A2B">
              <w:rPr>
                <w:b/>
                <w:bCs/>
              </w:rPr>
              <w:t>g. Metal eritme işlemlerinde transfer işlemlerinden kaynaklanan emisyonların kontrolü</w:t>
            </w:r>
          </w:p>
        </w:tc>
        <w:tc>
          <w:tcPr>
            <w:tcW w:w="3549" w:type="dxa"/>
            <w:noWrap/>
            <w:hideMark/>
          </w:tcPr>
          <w:p w14:paraId="02D17E66" w14:textId="77777777" w:rsidR="0007690F" w:rsidRPr="00D53A2B" w:rsidRDefault="0007690F" w:rsidP="00A202FD">
            <w:pPr>
              <w:widowControl w:val="0"/>
              <w:spacing w:after="240" w:line="276" w:lineRule="auto"/>
              <w:ind w:firstLine="1"/>
              <w:contextualSpacing/>
              <w:jc w:val="both"/>
            </w:pPr>
            <w:r w:rsidRPr="00D53A2B">
              <w:t>Aşağıdaki işlemleri içerir: </w:t>
            </w:r>
          </w:p>
          <w:p w14:paraId="39EAC9B9" w14:textId="77777777" w:rsidR="0007690F" w:rsidRPr="00D53A2B" w:rsidRDefault="0007690F" w:rsidP="00A202FD">
            <w:pPr>
              <w:widowControl w:val="0"/>
              <w:spacing w:after="240" w:line="276" w:lineRule="auto"/>
              <w:ind w:firstLine="1"/>
              <w:contextualSpacing/>
              <w:jc w:val="both"/>
            </w:pPr>
            <w:r w:rsidRPr="00D53A2B">
              <w:t>- Transfer işlemlerinden (örneğin, ocak yüklemesi/boşaltılması) kaynaklanan yaygın emisyonların (örneğin, toz, duman) kaynağa mümkün olduğunca yakın bir şekilde çıkarılması, örneğin kapaklar kullanılarak. Çekilen gazlar, örneğin kumaş filtresi, ıslak yıkama ile işlenebilir. </w:t>
            </w:r>
          </w:p>
          <w:p w14:paraId="7F49A0A9" w14:textId="77777777" w:rsidR="0007690F" w:rsidRPr="00D53A2B" w:rsidRDefault="0007690F" w:rsidP="00A202FD">
            <w:pPr>
              <w:widowControl w:val="0"/>
              <w:spacing w:after="240" w:line="276" w:lineRule="auto"/>
              <w:ind w:firstLine="1"/>
              <w:contextualSpacing/>
              <w:jc w:val="both"/>
            </w:pPr>
            <w:r w:rsidRPr="00D53A2B">
              <w:t>- Sıvı metal transferinden kaynaklanan yaygın emisyonların minimize edilmesi, örneğin kanallar kullanılarak kapaklar kullanılması.</w:t>
            </w:r>
          </w:p>
        </w:tc>
        <w:tc>
          <w:tcPr>
            <w:tcW w:w="2688" w:type="dxa"/>
            <w:noWrap/>
            <w:hideMark/>
          </w:tcPr>
          <w:p w14:paraId="46A57E29" w14:textId="77777777" w:rsidR="0007690F" w:rsidRPr="00D53A2B" w:rsidRDefault="0007690F" w:rsidP="00A202FD">
            <w:pPr>
              <w:widowControl w:val="0"/>
              <w:spacing w:after="240" w:line="276" w:lineRule="auto"/>
              <w:ind w:firstLine="1"/>
              <w:contextualSpacing/>
              <w:jc w:val="both"/>
            </w:pPr>
            <w:r w:rsidRPr="00D53A2B">
              <w:t>Genel olarak uygulanabilir.</w:t>
            </w:r>
          </w:p>
        </w:tc>
      </w:tr>
    </w:tbl>
    <w:p w14:paraId="6D039795" w14:textId="77777777" w:rsidR="0007690F" w:rsidRPr="00D53A2B" w:rsidRDefault="0007690F" w:rsidP="00A202FD">
      <w:pPr>
        <w:widowControl w:val="0"/>
        <w:spacing w:after="240" w:line="276" w:lineRule="auto"/>
        <w:ind w:firstLine="1"/>
        <w:contextualSpacing/>
        <w:jc w:val="both"/>
      </w:pPr>
      <w:r w:rsidRPr="00D53A2B">
        <w:t>Yaygın emisyonları önlemek veya azaltmak için daha fazla süreç spesifik tekniği MET 24, MET 26, MET 27, MET 28, MET 29, MET 30, MET 31, MET 38, MET 39, MET 40, MET 41 ve MET 43'te bulabilirsiniz.</w:t>
      </w:r>
    </w:p>
    <w:p w14:paraId="3DDB322E" w14:textId="77777777" w:rsidR="0007690F" w:rsidRPr="00D53A2B" w:rsidRDefault="0007690F" w:rsidP="00A202FD">
      <w:pPr>
        <w:pStyle w:val="Balk4"/>
        <w:rPr>
          <w:rFonts w:cs="Times New Roman"/>
        </w:rPr>
      </w:pPr>
      <w:r w:rsidRPr="00D53A2B">
        <w:rPr>
          <w:rFonts w:cs="Times New Roman"/>
        </w:rPr>
        <w:t>1.2.1.6. Baca gazı Emisyonları</w:t>
      </w:r>
    </w:p>
    <w:p w14:paraId="1D20DCB7" w14:textId="77777777" w:rsidR="0007690F" w:rsidRPr="00D53A2B" w:rsidRDefault="0007690F" w:rsidP="00A202FD">
      <w:pPr>
        <w:widowControl w:val="0"/>
        <w:spacing w:after="240" w:line="276" w:lineRule="auto"/>
        <w:ind w:firstLine="1"/>
        <w:contextualSpacing/>
        <w:jc w:val="both"/>
        <w:rPr>
          <w:b/>
          <w:bCs/>
        </w:rPr>
      </w:pPr>
      <w:r w:rsidRPr="00D53A2B">
        <w:rPr>
          <w:b/>
          <w:bCs/>
        </w:rPr>
        <w:t>MET 22.</w:t>
      </w:r>
      <w:r w:rsidRPr="00D53A2B">
        <w:t> </w:t>
      </w:r>
      <w:r w:rsidRPr="00D53A2B">
        <w:rPr>
          <w:b/>
          <w:bCs/>
        </w:rPr>
        <w:t>Malzeme geri kazanımını kolaylaştırmak, baca gazı emisyonları hava yoluyla azaltmak ve enerji verimliliğini artırmak için, MET benzer özelliklere sahip atık gaz akışlarını birleştirerek emisyon noktalarının sayısını minimize etmeyi önerir.</w:t>
      </w:r>
    </w:p>
    <w:p w14:paraId="10C00F55" w14:textId="77777777" w:rsidR="0007690F" w:rsidRPr="00D53A2B" w:rsidRDefault="0007690F" w:rsidP="00A202FD">
      <w:pPr>
        <w:widowControl w:val="0"/>
        <w:spacing w:after="240" w:line="276" w:lineRule="auto"/>
        <w:ind w:firstLine="1"/>
        <w:contextualSpacing/>
        <w:jc w:val="both"/>
      </w:pPr>
      <w:r w:rsidRPr="00D53A2B">
        <w:rPr>
          <w:b/>
          <w:bCs/>
        </w:rPr>
        <w:t>Açıklama</w:t>
      </w:r>
    </w:p>
    <w:p w14:paraId="3318E1DB" w14:textId="6368466F" w:rsidR="0007690F" w:rsidRPr="00D53A2B" w:rsidRDefault="0007690F" w:rsidP="00A202FD">
      <w:pPr>
        <w:widowControl w:val="0"/>
        <w:spacing w:after="240" w:line="276" w:lineRule="auto"/>
        <w:ind w:firstLine="1"/>
        <w:contextualSpacing/>
        <w:jc w:val="both"/>
      </w:pPr>
      <w:r w:rsidRPr="00D53A2B">
        <w:t xml:space="preserve">Benzer özelliklere sahip atık gazların birleşik </w:t>
      </w:r>
      <w:r w:rsidR="007942DA">
        <w:t>arıtımı</w:t>
      </w:r>
      <w:r w:rsidRPr="00D53A2B">
        <w:t xml:space="preserve">, ayrı atık gaz akışlarının </w:t>
      </w:r>
      <w:r w:rsidR="007942DA">
        <w:t>arıtımından</w:t>
      </w:r>
      <w:r w:rsidRPr="00D53A2B">
        <w:t xml:space="preserve"> daha etkili ve verimli bir </w:t>
      </w:r>
      <w:r w:rsidR="007942DA">
        <w:t>arıtım</w:t>
      </w:r>
      <w:r w:rsidRPr="00D53A2B">
        <w:t xml:space="preserve"> sağlar. Atık gazların birleştirilmesi, tesis güvenliğini (örneğin, alt/üst patlama sınırlarına yakın konsantrasyonların önlenmesi), teknik (örneğin, atık gaz akışlarının uyumluluğu, ilgili maddelerin konsantrasyonu), çevresel (örneğin, malzeme geri kazanımını veya kirletici giderimini maksimize etme) ve ekonomik faktörleri (örneğin, farklı üretim birimleri arasındaki mesafe) dikkate alarak yapılır. Atık gazların birleştirilmesi, emisyonların seyreltilmesine yol açmamalıdır.</w:t>
      </w:r>
    </w:p>
    <w:p w14:paraId="5C9D6E51" w14:textId="77777777" w:rsidR="0007690F" w:rsidRPr="00D53A2B" w:rsidRDefault="0007690F" w:rsidP="00A202FD">
      <w:pPr>
        <w:pStyle w:val="Balk4"/>
        <w:rPr>
          <w:rFonts w:cs="Times New Roman"/>
        </w:rPr>
      </w:pPr>
      <w:r w:rsidRPr="00D53A2B">
        <w:rPr>
          <w:rFonts w:cs="Times New Roman"/>
        </w:rPr>
        <w:t>1.2.1.7. Termal Süreçlerden Kaynaklanan Hava Kirliliği Emisyonları</w:t>
      </w:r>
    </w:p>
    <w:p w14:paraId="1E9DF883" w14:textId="77777777" w:rsidR="0007690F" w:rsidRPr="00D53A2B" w:rsidRDefault="0007690F" w:rsidP="00A202FD">
      <w:pPr>
        <w:widowControl w:val="0"/>
        <w:spacing w:after="240" w:line="276" w:lineRule="auto"/>
        <w:ind w:firstLine="1"/>
        <w:contextualSpacing/>
        <w:jc w:val="both"/>
        <w:rPr>
          <w:b/>
          <w:bCs/>
        </w:rPr>
      </w:pPr>
      <w:r w:rsidRPr="00D53A2B">
        <w:rPr>
          <w:b/>
          <w:bCs/>
        </w:rPr>
        <w:t>MET 23. Metal eritme işlemlerinden havaya yapılan emisyonları engellemek veya azaltmak için, MET, fosilsiz enerji kaynaklarından üretilen elektriğin, aşağıda belirtilen (a) ile (e) teknikleriyle birleştirilmesini veya (a) ile (e) teknikleriyle birlikte (f) ile (i) arasında uygun bir teknik kombinasyonunun kullanılmasını önerir.</w:t>
      </w:r>
    </w:p>
    <w:tbl>
      <w:tblPr>
        <w:tblStyle w:val="TabloKlavuzu"/>
        <w:tblW w:w="0" w:type="auto"/>
        <w:tblLook w:val="04A0" w:firstRow="1" w:lastRow="0" w:firstColumn="1" w:lastColumn="0" w:noHBand="0" w:noVBand="1"/>
      </w:tblPr>
      <w:tblGrid>
        <w:gridCol w:w="2497"/>
        <w:gridCol w:w="4071"/>
        <w:gridCol w:w="2492"/>
      </w:tblGrid>
      <w:tr w:rsidR="0007690F" w:rsidRPr="00D53A2B" w14:paraId="66A32931" w14:textId="77777777" w:rsidTr="00A202FD">
        <w:trPr>
          <w:trHeight w:val="320"/>
        </w:trPr>
        <w:tc>
          <w:tcPr>
            <w:tcW w:w="2497" w:type="dxa"/>
            <w:noWrap/>
            <w:hideMark/>
          </w:tcPr>
          <w:p w14:paraId="2D538053"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4072" w:type="dxa"/>
            <w:noWrap/>
            <w:hideMark/>
          </w:tcPr>
          <w:p w14:paraId="776EB59C"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2493" w:type="dxa"/>
            <w:noWrap/>
            <w:hideMark/>
          </w:tcPr>
          <w:p w14:paraId="6D3A0A1F" w14:textId="77777777" w:rsidR="0007690F" w:rsidRPr="00D53A2B" w:rsidRDefault="0007690F" w:rsidP="00A202FD">
            <w:pPr>
              <w:widowControl w:val="0"/>
              <w:spacing w:after="240" w:line="276" w:lineRule="auto"/>
              <w:ind w:firstLine="1"/>
              <w:contextualSpacing/>
              <w:jc w:val="both"/>
              <w:rPr>
                <w:b/>
                <w:bCs/>
              </w:rPr>
            </w:pPr>
            <w:r w:rsidRPr="00D53A2B">
              <w:rPr>
                <w:b/>
                <w:bCs/>
              </w:rPr>
              <w:t>Uygulama Alanı</w:t>
            </w:r>
          </w:p>
        </w:tc>
      </w:tr>
      <w:tr w:rsidR="0007690F" w:rsidRPr="00D53A2B" w14:paraId="7D3AF6FA" w14:textId="77777777" w:rsidTr="00A202FD">
        <w:trPr>
          <w:trHeight w:val="320"/>
        </w:trPr>
        <w:tc>
          <w:tcPr>
            <w:tcW w:w="9062" w:type="dxa"/>
            <w:gridSpan w:val="3"/>
            <w:noWrap/>
            <w:hideMark/>
          </w:tcPr>
          <w:p w14:paraId="1C70263A" w14:textId="77777777" w:rsidR="0007690F" w:rsidRPr="00D53A2B" w:rsidRDefault="0007690F" w:rsidP="00A202FD">
            <w:pPr>
              <w:widowControl w:val="0"/>
              <w:spacing w:after="240" w:line="276" w:lineRule="auto"/>
              <w:ind w:firstLine="1"/>
              <w:contextualSpacing/>
              <w:jc w:val="both"/>
              <w:rPr>
                <w:b/>
                <w:bCs/>
              </w:rPr>
            </w:pPr>
            <w:r w:rsidRPr="00D53A2B">
              <w:rPr>
                <w:b/>
                <w:bCs/>
              </w:rPr>
              <w:t>Genel teknikler</w:t>
            </w:r>
          </w:p>
          <w:p w14:paraId="1577485A" w14:textId="77777777" w:rsidR="0007690F" w:rsidRPr="00D53A2B" w:rsidRDefault="0007690F" w:rsidP="00A202FD">
            <w:pPr>
              <w:widowControl w:val="0"/>
              <w:spacing w:after="240" w:line="276" w:lineRule="auto"/>
              <w:ind w:firstLine="1"/>
              <w:contextualSpacing/>
              <w:jc w:val="both"/>
            </w:pPr>
            <w:r w:rsidRPr="00D53A2B">
              <w:t> </w:t>
            </w:r>
          </w:p>
          <w:p w14:paraId="1C1F70E6"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47218EC1" w14:textId="77777777" w:rsidTr="00A202FD">
        <w:trPr>
          <w:trHeight w:val="320"/>
        </w:trPr>
        <w:tc>
          <w:tcPr>
            <w:tcW w:w="2497" w:type="dxa"/>
            <w:noWrap/>
            <w:hideMark/>
          </w:tcPr>
          <w:p w14:paraId="5A21C357" w14:textId="77777777" w:rsidR="0007690F" w:rsidRPr="00D53A2B" w:rsidRDefault="0007690F" w:rsidP="00A202FD">
            <w:pPr>
              <w:widowControl w:val="0"/>
              <w:spacing w:after="240" w:line="276" w:lineRule="auto"/>
              <w:ind w:firstLine="1"/>
              <w:contextualSpacing/>
              <w:jc w:val="both"/>
            </w:pPr>
            <w:r w:rsidRPr="00D53A2B">
              <w:t>a. </w:t>
            </w:r>
            <w:r w:rsidRPr="00D53A2B">
              <w:rPr>
                <w:b/>
                <w:bCs/>
              </w:rPr>
              <w:t>Uygun bir fırın tipi seçimi ve fırınların termal verimliliğinin maksimize edilmesi</w:t>
            </w:r>
          </w:p>
        </w:tc>
        <w:tc>
          <w:tcPr>
            <w:tcW w:w="4072" w:type="dxa"/>
            <w:noWrap/>
            <w:hideMark/>
          </w:tcPr>
          <w:p w14:paraId="5C4FB772" w14:textId="77777777" w:rsidR="0007690F" w:rsidRPr="00D53A2B" w:rsidRDefault="0007690F" w:rsidP="00A202FD">
            <w:pPr>
              <w:widowControl w:val="0"/>
              <w:spacing w:after="240" w:line="276" w:lineRule="auto"/>
              <w:ind w:firstLine="1"/>
              <w:contextualSpacing/>
              <w:jc w:val="both"/>
            </w:pPr>
            <w:r w:rsidRPr="00D53A2B">
              <w:t>Bölüm 4.4.1'e bakınız</w:t>
            </w:r>
          </w:p>
        </w:tc>
        <w:tc>
          <w:tcPr>
            <w:tcW w:w="2493" w:type="dxa"/>
            <w:noWrap/>
            <w:hideMark/>
          </w:tcPr>
          <w:p w14:paraId="793D7E41" w14:textId="77777777" w:rsidR="0007690F" w:rsidRPr="00D53A2B" w:rsidRDefault="0007690F" w:rsidP="00A202FD">
            <w:pPr>
              <w:widowControl w:val="0"/>
              <w:spacing w:after="240" w:line="276" w:lineRule="auto"/>
              <w:ind w:firstLine="1"/>
              <w:contextualSpacing/>
              <w:jc w:val="both"/>
            </w:pPr>
            <w:r w:rsidRPr="00D53A2B">
              <w:t>Uygun fırın tipi seçimi yalnızca yeni tesisler ve büyük tesis iyileştirmeleri için geçerlidir.</w:t>
            </w:r>
          </w:p>
        </w:tc>
      </w:tr>
      <w:tr w:rsidR="0007690F" w:rsidRPr="00D53A2B" w14:paraId="74612766" w14:textId="77777777" w:rsidTr="00A202FD">
        <w:trPr>
          <w:trHeight w:val="320"/>
        </w:trPr>
        <w:tc>
          <w:tcPr>
            <w:tcW w:w="2497" w:type="dxa"/>
            <w:noWrap/>
            <w:hideMark/>
          </w:tcPr>
          <w:p w14:paraId="6D6E67CA" w14:textId="77777777" w:rsidR="0007690F" w:rsidRPr="00D53A2B" w:rsidRDefault="0007690F" w:rsidP="00A202FD">
            <w:pPr>
              <w:widowControl w:val="0"/>
              <w:spacing w:after="240" w:line="276" w:lineRule="auto"/>
              <w:ind w:firstLine="1"/>
              <w:contextualSpacing/>
              <w:jc w:val="both"/>
            </w:pPr>
            <w:r w:rsidRPr="00D53A2B">
              <w:t>b. </w:t>
            </w:r>
            <w:r w:rsidRPr="00D53A2B">
              <w:rPr>
                <w:b/>
                <w:bCs/>
              </w:rPr>
              <w:t>Temiz hurda kullanımı</w:t>
            </w:r>
          </w:p>
        </w:tc>
        <w:tc>
          <w:tcPr>
            <w:tcW w:w="4072" w:type="dxa"/>
            <w:noWrap/>
            <w:hideMark/>
          </w:tcPr>
          <w:p w14:paraId="3F909CE1" w14:textId="77777777" w:rsidR="0007690F" w:rsidRPr="00D53A2B" w:rsidRDefault="0007690F" w:rsidP="00A202FD">
            <w:pPr>
              <w:widowControl w:val="0"/>
              <w:spacing w:after="240" w:line="276" w:lineRule="auto"/>
              <w:ind w:firstLine="1"/>
              <w:contextualSpacing/>
              <w:jc w:val="both"/>
            </w:pPr>
            <w:r w:rsidRPr="00D53A2B">
              <w:t>Bölüm 1.4.1'e bakınız</w:t>
            </w:r>
          </w:p>
        </w:tc>
        <w:tc>
          <w:tcPr>
            <w:tcW w:w="2493" w:type="dxa"/>
            <w:noWrap/>
            <w:hideMark/>
          </w:tcPr>
          <w:p w14:paraId="29DF3E2E" w14:textId="77777777" w:rsidR="0007690F" w:rsidRPr="00D53A2B" w:rsidRDefault="0007690F" w:rsidP="00A202FD">
            <w:pPr>
              <w:widowControl w:val="0"/>
              <w:spacing w:after="240" w:line="276" w:lineRule="auto"/>
              <w:ind w:firstLine="1"/>
              <w:contextualSpacing/>
              <w:jc w:val="both"/>
            </w:pPr>
            <w:r w:rsidRPr="00D53A2B">
              <w:t>Genellikle uygulanabilir.</w:t>
            </w:r>
          </w:p>
        </w:tc>
      </w:tr>
      <w:tr w:rsidR="0007690F" w:rsidRPr="00D53A2B" w14:paraId="3251282A" w14:textId="77777777" w:rsidTr="00A202FD">
        <w:trPr>
          <w:trHeight w:val="320"/>
        </w:trPr>
        <w:tc>
          <w:tcPr>
            <w:tcW w:w="9062" w:type="dxa"/>
            <w:gridSpan w:val="3"/>
            <w:noWrap/>
            <w:hideMark/>
          </w:tcPr>
          <w:p w14:paraId="4E317934" w14:textId="77777777" w:rsidR="0007690F" w:rsidRPr="00D53A2B" w:rsidRDefault="0007690F" w:rsidP="00A202FD">
            <w:pPr>
              <w:widowControl w:val="0"/>
              <w:spacing w:after="240" w:line="276" w:lineRule="auto"/>
              <w:ind w:firstLine="1"/>
              <w:contextualSpacing/>
              <w:jc w:val="both"/>
              <w:rPr>
                <w:b/>
                <w:bCs/>
              </w:rPr>
            </w:pPr>
            <w:r w:rsidRPr="00D53A2B">
              <w:rPr>
                <w:b/>
                <w:bCs/>
              </w:rPr>
              <w:t>PCDD/F emisyonlarını minimize etmek için birincil kontrol önlemleri</w:t>
            </w:r>
          </w:p>
          <w:p w14:paraId="5B039130" w14:textId="77777777" w:rsidR="0007690F" w:rsidRPr="00D53A2B" w:rsidRDefault="0007690F" w:rsidP="00A202FD">
            <w:pPr>
              <w:widowControl w:val="0"/>
              <w:spacing w:after="240" w:line="276" w:lineRule="auto"/>
              <w:ind w:firstLine="1"/>
              <w:contextualSpacing/>
              <w:jc w:val="both"/>
            </w:pPr>
            <w:r w:rsidRPr="00D53A2B">
              <w:t> </w:t>
            </w:r>
          </w:p>
          <w:p w14:paraId="32E5BB5A"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0F0149C6" w14:textId="77777777" w:rsidTr="00A202FD">
        <w:trPr>
          <w:trHeight w:val="320"/>
        </w:trPr>
        <w:tc>
          <w:tcPr>
            <w:tcW w:w="2497" w:type="dxa"/>
            <w:noWrap/>
            <w:hideMark/>
          </w:tcPr>
          <w:p w14:paraId="6E7E9D22" w14:textId="77777777" w:rsidR="0007690F" w:rsidRPr="00D53A2B" w:rsidRDefault="0007690F" w:rsidP="00A202FD">
            <w:pPr>
              <w:widowControl w:val="0"/>
              <w:spacing w:after="240" w:line="276" w:lineRule="auto"/>
              <w:ind w:firstLine="1"/>
              <w:contextualSpacing/>
              <w:jc w:val="both"/>
            </w:pPr>
            <w:r w:rsidRPr="00D53A2B">
              <w:t>c. </w:t>
            </w:r>
            <w:r w:rsidRPr="00D53A2B">
              <w:rPr>
                <w:b/>
                <w:bCs/>
              </w:rPr>
              <w:t>Kupol fırınlarında, çıkış gazların ikincil yanma odasındaki kalma süresinin maksimize edilmesi ve sıcaklığın optimizasyonu</w:t>
            </w:r>
          </w:p>
        </w:tc>
        <w:tc>
          <w:tcPr>
            <w:tcW w:w="4072" w:type="dxa"/>
            <w:noWrap/>
            <w:hideMark/>
          </w:tcPr>
          <w:p w14:paraId="0A5F254E" w14:textId="77777777" w:rsidR="0007690F" w:rsidRPr="00D53A2B" w:rsidRDefault="0007690F" w:rsidP="00A202FD">
            <w:pPr>
              <w:widowControl w:val="0"/>
              <w:spacing w:after="240" w:line="276" w:lineRule="auto"/>
              <w:ind w:firstLine="1"/>
              <w:contextualSpacing/>
              <w:jc w:val="both"/>
            </w:pPr>
            <w:r w:rsidRPr="00D53A2B">
              <w:t>Kupol fırınlarında, ikincil yanma odasının sıcaklığı (T &gt; 850 °C) optimize edilir ve sürekli olarak izlenir, çıkış gazların kalma süresi maksimize edilir (&gt; 2 s).</w:t>
            </w:r>
          </w:p>
        </w:tc>
        <w:tc>
          <w:tcPr>
            <w:tcW w:w="2493" w:type="dxa"/>
            <w:noWrap/>
            <w:hideMark/>
          </w:tcPr>
          <w:p w14:paraId="7F26CFDD" w14:textId="77777777" w:rsidR="0007690F" w:rsidRPr="00D53A2B" w:rsidRDefault="0007690F" w:rsidP="00A202FD">
            <w:pPr>
              <w:widowControl w:val="0"/>
              <w:spacing w:after="240" w:line="276" w:lineRule="auto"/>
              <w:ind w:firstLine="1"/>
              <w:contextualSpacing/>
              <w:jc w:val="both"/>
            </w:pPr>
            <w:r w:rsidRPr="00D53A2B">
              <w:t>Genellikle uygulanabilir.</w:t>
            </w:r>
          </w:p>
        </w:tc>
      </w:tr>
      <w:tr w:rsidR="0007690F" w:rsidRPr="00D53A2B" w14:paraId="639A79D1" w14:textId="77777777" w:rsidTr="00A202FD">
        <w:trPr>
          <w:trHeight w:val="320"/>
        </w:trPr>
        <w:tc>
          <w:tcPr>
            <w:tcW w:w="2497" w:type="dxa"/>
            <w:noWrap/>
            <w:hideMark/>
          </w:tcPr>
          <w:p w14:paraId="3F77E767" w14:textId="77777777" w:rsidR="0007690F" w:rsidRPr="00D53A2B" w:rsidRDefault="0007690F" w:rsidP="00A202FD">
            <w:pPr>
              <w:widowControl w:val="0"/>
              <w:spacing w:after="240" w:line="276" w:lineRule="auto"/>
              <w:ind w:firstLine="1"/>
              <w:contextualSpacing/>
              <w:jc w:val="both"/>
            </w:pPr>
            <w:r w:rsidRPr="00D53A2B">
              <w:t>d. </w:t>
            </w:r>
            <w:r w:rsidRPr="00D53A2B">
              <w:rPr>
                <w:b/>
                <w:bCs/>
              </w:rPr>
              <w:t>Çıkış gazların hızlı soğutulması</w:t>
            </w:r>
          </w:p>
        </w:tc>
        <w:tc>
          <w:tcPr>
            <w:tcW w:w="4072" w:type="dxa"/>
            <w:noWrap/>
            <w:hideMark/>
          </w:tcPr>
          <w:p w14:paraId="75F53647" w14:textId="77777777" w:rsidR="0007690F" w:rsidRPr="00D53A2B" w:rsidRDefault="0007690F" w:rsidP="00A202FD">
            <w:pPr>
              <w:widowControl w:val="0"/>
              <w:spacing w:after="240" w:line="276" w:lineRule="auto"/>
              <w:ind w:firstLine="1"/>
              <w:contextualSpacing/>
              <w:jc w:val="both"/>
            </w:pPr>
            <w:r w:rsidRPr="00D53A2B">
              <w:t>Çıkış-gazları, PCDD/F'in de novo sentezini engellemek için 400 °C üzerindeki sıcaklıklardan 250 °C'nin altına hızlı bir şekilde soğutulur. Bu, fırının uygun şekilde tasarlanması ve/veya bir soğutma sistemi kullanılarak sağlanır.</w:t>
            </w:r>
          </w:p>
        </w:tc>
        <w:tc>
          <w:tcPr>
            <w:tcW w:w="2493" w:type="dxa"/>
            <w:noWrap/>
            <w:hideMark/>
          </w:tcPr>
          <w:p w14:paraId="5B303628"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2B55DE3B" w14:textId="77777777" w:rsidTr="00A202FD">
        <w:trPr>
          <w:trHeight w:val="320"/>
        </w:trPr>
        <w:tc>
          <w:tcPr>
            <w:tcW w:w="2497" w:type="dxa"/>
            <w:noWrap/>
            <w:hideMark/>
          </w:tcPr>
          <w:p w14:paraId="3840263C" w14:textId="77777777" w:rsidR="0007690F" w:rsidRPr="00D53A2B" w:rsidRDefault="0007690F" w:rsidP="00A202FD">
            <w:pPr>
              <w:widowControl w:val="0"/>
              <w:spacing w:after="240" w:line="276" w:lineRule="auto"/>
              <w:ind w:firstLine="1"/>
              <w:contextualSpacing/>
              <w:jc w:val="both"/>
            </w:pPr>
            <w:r w:rsidRPr="00D53A2B">
              <w:t>e. </w:t>
            </w:r>
            <w:r w:rsidRPr="00D53A2B">
              <w:rPr>
                <w:b/>
                <w:bCs/>
              </w:rPr>
              <w:t>Isı değiştiricilerde toz birikiminin minimize edilmesi</w:t>
            </w:r>
          </w:p>
        </w:tc>
        <w:tc>
          <w:tcPr>
            <w:tcW w:w="4072" w:type="dxa"/>
            <w:noWrap/>
            <w:hideMark/>
          </w:tcPr>
          <w:p w14:paraId="1007A770" w14:textId="77777777" w:rsidR="0007690F" w:rsidRPr="00D53A2B" w:rsidRDefault="0007690F" w:rsidP="00A202FD">
            <w:pPr>
              <w:widowControl w:val="0"/>
              <w:spacing w:after="240" w:line="276" w:lineRule="auto"/>
              <w:ind w:firstLine="1"/>
              <w:contextualSpacing/>
              <w:jc w:val="both"/>
            </w:pPr>
            <w:r w:rsidRPr="00D53A2B">
              <w:t>Çıkış gazlarının soğuma yolundaki toz birikimi, özellikle ısı değiştiricilerde minimize edilir, örneğin dikey değiştirici boruları kullanarak, değiştirici boruların verimli iç temizlikleri ve yüksek sıcaklıkta toz giderme ile.</w:t>
            </w:r>
          </w:p>
        </w:tc>
        <w:tc>
          <w:tcPr>
            <w:tcW w:w="2493" w:type="dxa"/>
            <w:noWrap/>
            <w:hideMark/>
          </w:tcPr>
          <w:p w14:paraId="10AF2CC9"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6EC7A8DE" w14:textId="77777777" w:rsidTr="00A202FD">
        <w:trPr>
          <w:trHeight w:val="320"/>
        </w:trPr>
        <w:tc>
          <w:tcPr>
            <w:tcW w:w="9062" w:type="dxa"/>
            <w:gridSpan w:val="3"/>
            <w:noWrap/>
            <w:hideMark/>
          </w:tcPr>
          <w:p w14:paraId="183B54A7" w14:textId="77777777" w:rsidR="0007690F" w:rsidRPr="00D53A2B" w:rsidRDefault="0007690F" w:rsidP="00A202FD">
            <w:pPr>
              <w:widowControl w:val="0"/>
              <w:spacing w:after="240" w:line="276" w:lineRule="auto"/>
              <w:ind w:firstLine="1"/>
              <w:contextualSpacing/>
              <w:jc w:val="both"/>
              <w:rPr>
                <w:b/>
                <w:bCs/>
              </w:rPr>
            </w:pPr>
            <w:r w:rsidRPr="00D53A2B">
              <w:rPr>
                <w:b/>
                <w:bCs/>
              </w:rPr>
              <w:t>NO</w:t>
            </w:r>
            <w:r w:rsidRPr="00D53A2B">
              <w:rPr>
                <w:b/>
                <w:bCs/>
                <w:vertAlign w:val="subscript"/>
              </w:rPr>
              <w:t>X</w:t>
            </w:r>
            <w:r w:rsidRPr="00D53A2B">
              <w:rPr>
                <w:b/>
                <w:bCs/>
              </w:rPr>
              <w:t xml:space="preserve"> ve SO</w:t>
            </w:r>
            <w:r w:rsidRPr="00D53A2B">
              <w:rPr>
                <w:b/>
                <w:bCs/>
                <w:vertAlign w:val="subscript"/>
              </w:rPr>
              <w:t>2</w:t>
            </w:r>
            <w:r w:rsidRPr="00D53A2B">
              <w:rPr>
                <w:b/>
                <w:bCs/>
              </w:rPr>
              <w:t xml:space="preserve"> emisyonlarının oluşumunu azaltmaya yönelik teknikler</w:t>
            </w:r>
          </w:p>
          <w:p w14:paraId="372B4EA1" w14:textId="77777777" w:rsidR="0007690F" w:rsidRPr="00D53A2B" w:rsidRDefault="0007690F" w:rsidP="00A202FD">
            <w:pPr>
              <w:widowControl w:val="0"/>
              <w:spacing w:after="240" w:line="276" w:lineRule="auto"/>
              <w:ind w:firstLine="1"/>
              <w:contextualSpacing/>
              <w:jc w:val="both"/>
            </w:pPr>
            <w:r w:rsidRPr="00D53A2B">
              <w:t> </w:t>
            </w:r>
          </w:p>
          <w:p w14:paraId="137446AA"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3C9B2BB6" w14:textId="77777777" w:rsidTr="00A202FD">
        <w:trPr>
          <w:trHeight w:val="320"/>
        </w:trPr>
        <w:tc>
          <w:tcPr>
            <w:tcW w:w="2497" w:type="dxa"/>
            <w:noWrap/>
            <w:hideMark/>
          </w:tcPr>
          <w:p w14:paraId="7CA646EE" w14:textId="77777777" w:rsidR="0007690F" w:rsidRPr="00D53A2B" w:rsidRDefault="0007690F" w:rsidP="00A202FD">
            <w:pPr>
              <w:widowControl w:val="0"/>
              <w:spacing w:after="240" w:line="276" w:lineRule="auto"/>
              <w:ind w:firstLine="1"/>
              <w:contextualSpacing/>
              <w:jc w:val="both"/>
            </w:pPr>
            <w:r w:rsidRPr="00D53A2B">
              <w:t>f. </w:t>
            </w:r>
            <w:r w:rsidRPr="00D53A2B">
              <w:rPr>
                <w:b/>
                <w:bCs/>
              </w:rPr>
              <w:t>Düşük NO</w:t>
            </w:r>
            <w:r w:rsidRPr="00D53A2B">
              <w:rPr>
                <w:b/>
                <w:bCs/>
                <w:vertAlign w:val="subscript"/>
              </w:rPr>
              <w:t xml:space="preserve">X </w:t>
            </w:r>
            <w:r w:rsidRPr="00D53A2B">
              <w:rPr>
                <w:b/>
                <w:bCs/>
              </w:rPr>
              <w:t>oluşum potansiyeline sahip bir yakıt veya yakıt kombinasyonunun kullanılması</w:t>
            </w:r>
          </w:p>
        </w:tc>
        <w:tc>
          <w:tcPr>
            <w:tcW w:w="4072" w:type="dxa"/>
            <w:noWrap/>
            <w:hideMark/>
          </w:tcPr>
          <w:p w14:paraId="11FC0316" w14:textId="77777777" w:rsidR="0007690F" w:rsidRPr="00D53A2B" w:rsidRDefault="0007690F" w:rsidP="00A202FD">
            <w:pPr>
              <w:widowControl w:val="0"/>
              <w:spacing w:after="240" w:line="276" w:lineRule="auto"/>
              <w:ind w:firstLine="1"/>
              <w:contextualSpacing/>
              <w:jc w:val="both"/>
            </w:pPr>
            <w:r w:rsidRPr="00D53A2B">
              <w:t>Düşük NOX oluşum potansiyeline sahip yakıtlar doğal gaz ve sıvılaştırılmış petrol gazını içerir.</w:t>
            </w:r>
          </w:p>
        </w:tc>
        <w:tc>
          <w:tcPr>
            <w:tcW w:w="2493" w:type="dxa"/>
            <w:noWrap/>
            <w:hideMark/>
          </w:tcPr>
          <w:p w14:paraId="0C0F28C1" w14:textId="77777777" w:rsidR="0007690F" w:rsidRPr="00D53A2B" w:rsidRDefault="0007690F" w:rsidP="00A202FD">
            <w:pPr>
              <w:widowControl w:val="0"/>
              <w:spacing w:after="240" w:line="276" w:lineRule="auto"/>
              <w:ind w:firstLine="1"/>
              <w:contextualSpacing/>
              <w:jc w:val="both"/>
            </w:pPr>
            <w:r w:rsidRPr="00D53A2B">
              <w:t>Farklı yakıt türlerinin bulunabilirliğine bağlı kısıtlamalarla uygulanabilir, bu durum üye devletin enerji politikalarından etkilenebilir.</w:t>
            </w:r>
          </w:p>
        </w:tc>
      </w:tr>
      <w:tr w:rsidR="0007690F" w:rsidRPr="00D53A2B" w14:paraId="5ADBA745" w14:textId="77777777" w:rsidTr="00A202FD">
        <w:trPr>
          <w:trHeight w:val="320"/>
        </w:trPr>
        <w:tc>
          <w:tcPr>
            <w:tcW w:w="2497" w:type="dxa"/>
            <w:noWrap/>
            <w:hideMark/>
          </w:tcPr>
          <w:p w14:paraId="27E8B66B" w14:textId="77777777" w:rsidR="0007690F" w:rsidRPr="00D53A2B" w:rsidRDefault="0007690F" w:rsidP="00A202FD">
            <w:pPr>
              <w:widowControl w:val="0"/>
              <w:spacing w:after="240" w:line="276" w:lineRule="auto"/>
              <w:ind w:firstLine="1"/>
              <w:contextualSpacing/>
              <w:jc w:val="both"/>
            </w:pPr>
            <w:r w:rsidRPr="00D53A2B">
              <w:t>g. </w:t>
            </w:r>
            <w:r w:rsidRPr="00D53A2B">
              <w:rPr>
                <w:b/>
                <w:bCs/>
              </w:rPr>
              <w:t>Düşük sülfür içeriğine sahip bir yakıt veya yakıt kombinasyonunun kullanılması</w:t>
            </w:r>
          </w:p>
        </w:tc>
        <w:tc>
          <w:tcPr>
            <w:tcW w:w="4072" w:type="dxa"/>
            <w:noWrap/>
            <w:hideMark/>
          </w:tcPr>
          <w:p w14:paraId="25AADD6C" w14:textId="77777777" w:rsidR="0007690F" w:rsidRPr="00D53A2B" w:rsidRDefault="0007690F" w:rsidP="00A202FD">
            <w:pPr>
              <w:widowControl w:val="0"/>
              <w:spacing w:after="240" w:line="276" w:lineRule="auto"/>
              <w:ind w:firstLine="1"/>
              <w:contextualSpacing/>
              <w:jc w:val="both"/>
            </w:pPr>
            <w:r w:rsidRPr="00D53A2B">
              <w:t>Düşük sülfür içeriğine sahip yakıtlar doğal gaz ve sıvılaştırılmış petrol gazını içerir.</w:t>
            </w:r>
          </w:p>
        </w:tc>
        <w:tc>
          <w:tcPr>
            <w:tcW w:w="2493" w:type="dxa"/>
            <w:noWrap/>
            <w:hideMark/>
          </w:tcPr>
          <w:p w14:paraId="26FD34B4" w14:textId="77777777" w:rsidR="0007690F" w:rsidRPr="00D53A2B" w:rsidRDefault="0007690F" w:rsidP="00A202FD">
            <w:pPr>
              <w:widowControl w:val="0"/>
              <w:spacing w:after="240" w:line="276" w:lineRule="auto"/>
              <w:ind w:firstLine="1"/>
              <w:contextualSpacing/>
              <w:jc w:val="both"/>
            </w:pPr>
            <w:r w:rsidRPr="00D53A2B">
              <w:t>Farklı yakıt türlerinin bulunabilirliğine bağlı kısıtlamalarla uygulanabilir, bu durum üye devletin enerji politikalarından etkilenebilir.</w:t>
            </w:r>
          </w:p>
        </w:tc>
      </w:tr>
      <w:tr w:rsidR="0007690F" w:rsidRPr="00D53A2B" w14:paraId="3D7A7158" w14:textId="77777777" w:rsidTr="00A202FD">
        <w:trPr>
          <w:trHeight w:val="320"/>
        </w:trPr>
        <w:tc>
          <w:tcPr>
            <w:tcW w:w="2497" w:type="dxa"/>
            <w:noWrap/>
            <w:hideMark/>
          </w:tcPr>
          <w:p w14:paraId="37ACDFA7" w14:textId="77777777" w:rsidR="0007690F" w:rsidRPr="00D53A2B" w:rsidRDefault="0007690F" w:rsidP="00A202FD">
            <w:pPr>
              <w:widowControl w:val="0"/>
              <w:spacing w:after="240" w:line="276" w:lineRule="auto"/>
              <w:ind w:firstLine="1"/>
              <w:contextualSpacing/>
              <w:jc w:val="both"/>
            </w:pPr>
            <w:r w:rsidRPr="00D53A2B">
              <w:t>h. </w:t>
            </w:r>
            <w:r w:rsidRPr="00D53A2B">
              <w:rPr>
                <w:b/>
                <w:bCs/>
              </w:rPr>
              <w:t>Düşük NO</w:t>
            </w:r>
            <w:r w:rsidRPr="00D53A2B">
              <w:rPr>
                <w:b/>
                <w:bCs/>
                <w:vertAlign w:val="subscript"/>
              </w:rPr>
              <w:t xml:space="preserve">X </w:t>
            </w:r>
            <w:r w:rsidRPr="00D53A2B">
              <w:rPr>
                <w:b/>
                <w:bCs/>
              </w:rPr>
              <w:t>brülörleri</w:t>
            </w:r>
          </w:p>
        </w:tc>
        <w:tc>
          <w:tcPr>
            <w:tcW w:w="4072" w:type="dxa"/>
            <w:noWrap/>
            <w:hideMark/>
          </w:tcPr>
          <w:p w14:paraId="7E0CDE7C"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2493" w:type="dxa"/>
            <w:noWrap/>
            <w:hideMark/>
          </w:tcPr>
          <w:p w14:paraId="4EC02C90" w14:textId="77777777" w:rsidR="0007690F" w:rsidRPr="00D53A2B" w:rsidRDefault="0007690F" w:rsidP="00A202FD">
            <w:pPr>
              <w:widowControl w:val="0"/>
              <w:spacing w:after="240" w:line="276" w:lineRule="auto"/>
              <w:ind w:firstLine="1"/>
              <w:contextualSpacing/>
              <w:jc w:val="both"/>
            </w:pPr>
            <w:r w:rsidRPr="00D53A2B">
              <w:t>Mevcut tesislere uygulanabilirlik, fırın tasarımı ve/veya operasyonel kısıtlamalarla sınırlı olabilir.</w:t>
            </w:r>
          </w:p>
        </w:tc>
      </w:tr>
      <w:tr w:rsidR="0007690F" w:rsidRPr="00D53A2B" w14:paraId="0EAB6CF7" w14:textId="77777777" w:rsidTr="00A202FD">
        <w:trPr>
          <w:trHeight w:val="320"/>
        </w:trPr>
        <w:tc>
          <w:tcPr>
            <w:tcW w:w="2497" w:type="dxa"/>
            <w:noWrap/>
            <w:hideMark/>
          </w:tcPr>
          <w:p w14:paraId="1D5B1F6D" w14:textId="77777777" w:rsidR="0007690F" w:rsidRPr="00D53A2B" w:rsidRDefault="0007690F" w:rsidP="00A202FD">
            <w:pPr>
              <w:widowControl w:val="0"/>
              <w:spacing w:after="240" w:line="276" w:lineRule="auto"/>
              <w:ind w:firstLine="1"/>
              <w:contextualSpacing/>
              <w:jc w:val="both"/>
            </w:pPr>
            <w:r w:rsidRPr="00D53A2B">
              <w:t>i. </w:t>
            </w:r>
            <w:r w:rsidRPr="00D53A2B">
              <w:rPr>
                <w:b/>
                <w:bCs/>
              </w:rPr>
              <w:t>Oksijenli yakıtla yakma</w:t>
            </w:r>
          </w:p>
        </w:tc>
        <w:tc>
          <w:tcPr>
            <w:tcW w:w="4072" w:type="dxa"/>
            <w:noWrap/>
            <w:hideMark/>
          </w:tcPr>
          <w:p w14:paraId="4BD16600"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2493" w:type="dxa"/>
            <w:noWrap/>
            <w:hideMark/>
          </w:tcPr>
          <w:p w14:paraId="3B42D9D4" w14:textId="77777777" w:rsidR="0007690F" w:rsidRPr="00D53A2B" w:rsidRDefault="0007690F" w:rsidP="00A202FD">
            <w:pPr>
              <w:widowControl w:val="0"/>
              <w:spacing w:after="240" w:line="276" w:lineRule="auto"/>
              <w:ind w:firstLine="1"/>
              <w:contextualSpacing/>
              <w:jc w:val="both"/>
            </w:pPr>
            <w:r w:rsidRPr="00D53A2B">
              <w:t>Mevcut tesislere uygulanabilirlik, fırın tasarımı ve minimum atık gaz akışı gerekliliği ile sınırlı olabilir.</w:t>
            </w:r>
          </w:p>
        </w:tc>
      </w:tr>
    </w:tbl>
    <w:p w14:paraId="617FF620" w14:textId="77777777" w:rsidR="0007690F" w:rsidRPr="00D53A2B" w:rsidRDefault="0007690F" w:rsidP="00A202FD">
      <w:pPr>
        <w:widowControl w:val="0"/>
        <w:spacing w:after="240" w:line="276" w:lineRule="auto"/>
        <w:ind w:firstLine="1"/>
        <w:contextualSpacing/>
        <w:jc w:val="both"/>
      </w:pPr>
    </w:p>
    <w:p w14:paraId="051224E3" w14:textId="51AFDE23" w:rsidR="0007690F" w:rsidRPr="00D53A2B" w:rsidRDefault="00831B53" w:rsidP="00A202FD">
      <w:pPr>
        <w:widowControl w:val="0"/>
        <w:spacing w:after="240" w:line="276" w:lineRule="auto"/>
        <w:ind w:firstLine="1"/>
        <w:contextualSpacing/>
        <w:jc w:val="both"/>
      </w:pPr>
      <w:r w:rsidRPr="00D53A2B">
        <w:t>MET-İES</w:t>
      </w:r>
      <w:r w:rsidR="0007690F" w:rsidRPr="00D53A2B">
        <w:t>, metal eritme için şu şekilde verilmiştir:</w:t>
      </w:r>
    </w:p>
    <w:p w14:paraId="241DC43A" w14:textId="77777777" w:rsidR="0007690F" w:rsidRPr="00D53A2B" w:rsidRDefault="0007690F" w:rsidP="00602365">
      <w:pPr>
        <w:widowControl w:val="0"/>
        <w:numPr>
          <w:ilvl w:val="0"/>
          <w:numId w:val="252"/>
        </w:numPr>
        <w:spacing w:after="240" w:line="276" w:lineRule="auto"/>
        <w:contextualSpacing/>
        <w:jc w:val="both"/>
      </w:pPr>
      <w:r w:rsidRPr="00D53A2B">
        <w:t>Dökme demir dökümhaneleri için Tablo 1.18'de;</w:t>
      </w:r>
    </w:p>
    <w:p w14:paraId="24FD9B8C" w14:textId="77777777" w:rsidR="0007690F" w:rsidRPr="00D53A2B" w:rsidRDefault="0007690F" w:rsidP="00602365">
      <w:pPr>
        <w:widowControl w:val="0"/>
        <w:numPr>
          <w:ilvl w:val="0"/>
          <w:numId w:val="252"/>
        </w:numPr>
        <w:spacing w:after="240" w:line="276" w:lineRule="auto"/>
        <w:contextualSpacing/>
        <w:jc w:val="both"/>
      </w:pPr>
      <w:r w:rsidRPr="00D53A2B">
        <w:t>Çelik dökümhaneleri için Tablo 1.20'de;</w:t>
      </w:r>
    </w:p>
    <w:p w14:paraId="3044FF5C" w14:textId="77777777" w:rsidR="0007690F" w:rsidRPr="00D53A2B" w:rsidRDefault="0007690F" w:rsidP="00602365">
      <w:pPr>
        <w:widowControl w:val="0"/>
        <w:numPr>
          <w:ilvl w:val="0"/>
          <w:numId w:val="252"/>
        </w:numPr>
        <w:spacing w:after="240" w:line="276" w:lineRule="auto"/>
        <w:contextualSpacing/>
        <w:jc w:val="both"/>
      </w:pPr>
      <w:r w:rsidRPr="00D53A2B">
        <w:t>NFM dökümhaneleri için Tablo 1.22'de.</w:t>
      </w:r>
    </w:p>
    <w:p w14:paraId="62053A6C" w14:textId="77777777" w:rsidR="0007690F" w:rsidRPr="00D53A2B" w:rsidRDefault="0007690F" w:rsidP="00A202FD">
      <w:pPr>
        <w:widowControl w:val="0"/>
        <w:spacing w:after="240" w:line="276" w:lineRule="auto"/>
        <w:ind w:firstLine="1"/>
        <w:contextualSpacing/>
        <w:jc w:val="both"/>
        <w:rPr>
          <w:b/>
          <w:bCs/>
        </w:rPr>
      </w:pPr>
      <w:r w:rsidRPr="00D53A2B">
        <w:rPr>
          <w:b/>
          <w:bCs/>
        </w:rPr>
        <w:t>MET 24. Isıl işlemden havaya yapılan emisyonları engellemek veya azaltmak için, MET, fosilsiz enerji kaynaklarından üretilen elektriğin, aşağıda verilen (a) ve (d) teknikleriyle birleştirilmesini veya aşağıdaki tüm tekniklerin kullanılmasını önerir.</w:t>
      </w:r>
    </w:p>
    <w:tbl>
      <w:tblPr>
        <w:tblStyle w:val="EIPPCBTable"/>
        <w:tblW w:w="0" w:type="auto"/>
        <w:tblLook w:val="04A0" w:firstRow="1" w:lastRow="0" w:firstColumn="1" w:lastColumn="0" w:noHBand="0" w:noVBand="1"/>
      </w:tblPr>
      <w:tblGrid>
        <w:gridCol w:w="2392"/>
        <w:gridCol w:w="3651"/>
        <w:gridCol w:w="3017"/>
      </w:tblGrid>
      <w:tr w:rsidR="0007690F" w:rsidRPr="00D53A2B" w14:paraId="608593F7" w14:textId="77777777" w:rsidTr="00CC3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9F1E71" w14:textId="77777777" w:rsidR="0007690F" w:rsidRPr="00D53A2B" w:rsidRDefault="0007690F" w:rsidP="00A202FD">
            <w:pPr>
              <w:widowControl w:val="0"/>
              <w:spacing w:after="240" w:line="276" w:lineRule="auto"/>
              <w:ind w:firstLine="1"/>
              <w:contextualSpacing/>
              <w:jc w:val="both"/>
              <w:rPr>
                <w:b w:val="0"/>
                <w:bCs/>
              </w:rPr>
            </w:pPr>
            <w:r w:rsidRPr="00D53A2B">
              <w:rPr>
                <w:bCs/>
              </w:rPr>
              <w:t>Teknik</w:t>
            </w:r>
          </w:p>
        </w:tc>
        <w:tc>
          <w:tcPr>
            <w:tcW w:w="0" w:type="auto"/>
            <w:hideMark/>
          </w:tcPr>
          <w:p w14:paraId="5C5FD3C1" w14:textId="77777777" w:rsidR="0007690F" w:rsidRPr="00D53A2B" w:rsidRDefault="0007690F"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Cs/>
              </w:rPr>
              <w:t>Açıklama</w:t>
            </w:r>
          </w:p>
        </w:tc>
        <w:tc>
          <w:tcPr>
            <w:tcW w:w="0" w:type="auto"/>
            <w:hideMark/>
          </w:tcPr>
          <w:p w14:paraId="634B72F2" w14:textId="77777777" w:rsidR="0007690F" w:rsidRPr="00D53A2B" w:rsidRDefault="0007690F"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Cs/>
              </w:rPr>
              <w:t>Uygulama Alanı</w:t>
            </w:r>
          </w:p>
        </w:tc>
      </w:tr>
      <w:tr w:rsidR="0007690F" w:rsidRPr="00D53A2B" w14:paraId="78BA0C95" w14:textId="77777777" w:rsidTr="00CC3DCB">
        <w:tc>
          <w:tcPr>
            <w:cnfStyle w:val="001000000000" w:firstRow="0" w:lastRow="0" w:firstColumn="1" w:lastColumn="0" w:oddVBand="0" w:evenVBand="0" w:oddHBand="0" w:evenHBand="0" w:firstRowFirstColumn="0" w:firstRowLastColumn="0" w:lastRowFirstColumn="0" w:lastRowLastColumn="0"/>
            <w:tcW w:w="0" w:type="auto"/>
            <w:gridSpan w:val="3"/>
            <w:hideMark/>
          </w:tcPr>
          <w:p w14:paraId="7F8A53B4" w14:textId="77777777" w:rsidR="0007690F" w:rsidRPr="00CC3DCB" w:rsidRDefault="0007690F" w:rsidP="00A202FD">
            <w:pPr>
              <w:widowControl w:val="0"/>
              <w:spacing w:after="240" w:line="276" w:lineRule="auto"/>
              <w:ind w:firstLine="1"/>
              <w:contextualSpacing/>
              <w:jc w:val="both"/>
              <w:rPr>
                <w:b w:val="0"/>
                <w:bCs/>
              </w:rPr>
            </w:pPr>
            <w:r w:rsidRPr="00CC3DCB">
              <w:rPr>
                <w:b w:val="0"/>
                <w:bCs/>
              </w:rPr>
              <w:t>Genel Teknikler</w:t>
            </w:r>
          </w:p>
        </w:tc>
      </w:tr>
      <w:tr w:rsidR="0007690F" w:rsidRPr="00D53A2B" w14:paraId="36EBDD29"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1481BB6C" w14:textId="77777777" w:rsidR="0007690F" w:rsidRPr="00CC3DCB" w:rsidRDefault="0007690F" w:rsidP="00A202FD">
            <w:pPr>
              <w:widowControl w:val="0"/>
              <w:spacing w:after="240" w:line="276" w:lineRule="auto"/>
              <w:ind w:firstLine="1"/>
              <w:contextualSpacing/>
              <w:jc w:val="both"/>
              <w:rPr>
                <w:b w:val="0"/>
                <w:bCs/>
              </w:rPr>
            </w:pPr>
            <w:r w:rsidRPr="00CC3DCB">
              <w:rPr>
                <w:b w:val="0"/>
                <w:bCs/>
              </w:rPr>
              <w:t>a. Uygun bir fırın tipi seçimi ve fırınların termal verimliliğinin maksimize edilmesi</w:t>
            </w:r>
          </w:p>
        </w:tc>
        <w:tc>
          <w:tcPr>
            <w:tcW w:w="0" w:type="auto"/>
            <w:hideMark/>
          </w:tcPr>
          <w:p w14:paraId="4FFFEB7C" w14:textId="77777777" w:rsidR="0007690F" w:rsidRPr="00CC3DC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Cs/>
              </w:rPr>
            </w:pPr>
            <w:r w:rsidRPr="00CC3DCB">
              <w:rPr>
                <w:bCs/>
              </w:rPr>
              <w:t>Bölüm 1.4.3'e bakınız</w:t>
            </w:r>
          </w:p>
        </w:tc>
        <w:tc>
          <w:tcPr>
            <w:tcW w:w="0" w:type="auto"/>
            <w:hideMark/>
          </w:tcPr>
          <w:p w14:paraId="27F9D84D" w14:textId="77777777" w:rsidR="0007690F" w:rsidRPr="00CC3DC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Cs/>
              </w:rPr>
            </w:pPr>
            <w:r w:rsidRPr="00CC3DCB">
              <w:rPr>
                <w:bCs/>
              </w:rPr>
              <w:t>Yalnızca yeni tesisler ve büyük tesis yenilemeleri için uygulanabilir.</w:t>
            </w:r>
          </w:p>
        </w:tc>
      </w:tr>
      <w:tr w:rsidR="0007690F" w:rsidRPr="00D53A2B" w14:paraId="67702537" w14:textId="77777777" w:rsidTr="00CC3DCB">
        <w:tc>
          <w:tcPr>
            <w:cnfStyle w:val="001000000000" w:firstRow="0" w:lastRow="0" w:firstColumn="1" w:lastColumn="0" w:oddVBand="0" w:evenVBand="0" w:oddHBand="0" w:evenHBand="0" w:firstRowFirstColumn="0" w:firstRowLastColumn="0" w:lastRowFirstColumn="0" w:lastRowLastColumn="0"/>
            <w:tcW w:w="0" w:type="auto"/>
            <w:gridSpan w:val="3"/>
            <w:hideMark/>
          </w:tcPr>
          <w:p w14:paraId="119049E9" w14:textId="77777777" w:rsidR="0007690F" w:rsidRPr="00CC3DCB" w:rsidRDefault="0007690F" w:rsidP="00A202FD">
            <w:pPr>
              <w:widowControl w:val="0"/>
              <w:spacing w:after="240" w:line="276" w:lineRule="auto"/>
              <w:ind w:firstLine="1"/>
              <w:contextualSpacing/>
              <w:jc w:val="both"/>
              <w:rPr>
                <w:b w:val="0"/>
                <w:bCs/>
              </w:rPr>
            </w:pPr>
            <w:r w:rsidRPr="00CC3DCB">
              <w:rPr>
                <w:b w:val="0"/>
                <w:bCs/>
              </w:rPr>
              <w:t>NO</w:t>
            </w:r>
            <w:r w:rsidRPr="00CC3DCB">
              <w:rPr>
                <w:b w:val="0"/>
                <w:bCs/>
                <w:vertAlign w:val="subscript"/>
              </w:rPr>
              <w:t xml:space="preserve">X </w:t>
            </w:r>
            <w:r w:rsidRPr="00CC3DCB">
              <w:rPr>
                <w:b w:val="0"/>
                <w:bCs/>
              </w:rPr>
              <w:t>Emisyonlarının Azaltılması Teknikleri</w:t>
            </w:r>
          </w:p>
        </w:tc>
      </w:tr>
      <w:tr w:rsidR="0007690F" w:rsidRPr="00D53A2B" w14:paraId="45FA0257"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5450AA50" w14:textId="77777777" w:rsidR="0007690F" w:rsidRPr="00CC3DCB" w:rsidRDefault="0007690F" w:rsidP="00A202FD">
            <w:pPr>
              <w:widowControl w:val="0"/>
              <w:spacing w:after="240" w:line="276" w:lineRule="auto"/>
              <w:ind w:firstLine="1"/>
              <w:contextualSpacing/>
              <w:jc w:val="both"/>
              <w:rPr>
                <w:b w:val="0"/>
                <w:bCs/>
              </w:rPr>
            </w:pPr>
            <w:r w:rsidRPr="00CC3DCB">
              <w:rPr>
                <w:b w:val="0"/>
                <w:bCs/>
              </w:rPr>
              <w:t>b. Düşük NO</w:t>
            </w:r>
            <w:r w:rsidRPr="00CC3DCB">
              <w:rPr>
                <w:b w:val="0"/>
                <w:bCs/>
                <w:vertAlign w:val="subscript"/>
              </w:rPr>
              <w:t>X</w:t>
            </w:r>
            <w:r w:rsidRPr="00CC3DCB">
              <w:rPr>
                <w:b w:val="0"/>
                <w:bCs/>
              </w:rPr>
              <w:t xml:space="preserve"> oluşum potansiyeline sahip bir yakıt veya yakıt kombinasyonu kullanımı</w:t>
            </w:r>
          </w:p>
        </w:tc>
        <w:tc>
          <w:tcPr>
            <w:tcW w:w="0" w:type="auto"/>
            <w:hideMark/>
          </w:tcPr>
          <w:p w14:paraId="35A29827" w14:textId="77777777" w:rsidR="0007690F" w:rsidRPr="00CC3DC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Cs/>
              </w:rPr>
            </w:pPr>
            <w:r w:rsidRPr="00CC3DCB">
              <w:rPr>
                <w:bCs/>
              </w:rPr>
              <w:t>Düşük NO</w:t>
            </w:r>
            <w:r w:rsidRPr="00CC3DCB">
              <w:rPr>
                <w:bCs/>
                <w:vertAlign w:val="subscript"/>
              </w:rPr>
              <w:t>X</w:t>
            </w:r>
            <w:r w:rsidRPr="00CC3DCB">
              <w:rPr>
                <w:bCs/>
              </w:rPr>
              <w:t xml:space="preserve"> oluşum potansiyeline sahip yakıtlar arasında doğalgaz ve sıvılaştırılmış petrol gazı bulunmaktadır.</w:t>
            </w:r>
          </w:p>
        </w:tc>
        <w:tc>
          <w:tcPr>
            <w:tcW w:w="0" w:type="auto"/>
            <w:hideMark/>
          </w:tcPr>
          <w:p w14:paraId="39B3E8E2" w14:textId="77777777" w:rsidR="0007690F" w:rsidRPr="00CC3DC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Cs/>
              </w:rPr>
            </w:pPr>
            <w:r w:rsidRPr="00CC3DCB">
              <w:rPr>
                <w:bCs/>
              </w:rPr>
              <w:t>Farklı yakıt türlerinin mevcudiyetine bağlı kısıtlamalar içinde uygulanabilir, bu da Üye Devletin enerji politikalarından etkilenebilir.</w:t>
            </w:r>
          </w:p>
        </w:tc>
      </w:tr>
      <w:tr w:rsidR="0007690F" w:rsidRPr="00D53A2B" w14:paraId="3A232543"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23388E16" w14:textId="77777777" w:rsidR="0007690F" w:rsidRPr="00CC3DCB" w:rsidRDefault="0007690F" w:rsidP="00A202FD">
            <w:pPr>
              <w:widowControl w:val="0"/>
              <w:spacing w:after="240" w:line="276" w:lineRule="auto"/>
              <w:ind w:firstLine="1"/>
              <w:contextualSpacing/>
              <w:jc w:val="both"/>
              <w:rPr>
                <w:b w:val="0"/>
                <w:bCs/>
              </w:rPr>
            </w:pPr>
            <w:r w:rsidRPr="00CC3DCB">
              <w:rPr>
                <w:b w:val="0"/>
                <w:bCs/>
              </w:rPr>
              <w:t>c. Düşük-NOX brülörleri</w:t>
            </w:r>
          </w:p>
        </w:tc>
        <w:tc>
          <w:tcPr>
            <w:tcW w:w="0" w:type="auto"/>
            <w:hideMark/>
          </w:tcPr>
          <w:p w14:paraId="4BAFAA99" w14:textId="77777777" w:rsidR="0007690F" w:rsidRPr="00CC3DC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Cs/>
              </w:rPr>
            </w:pPr>
            <w:r w:rsidRPr="00CC3DCB">
              <w:rPr>
                <w:bCs/>
              </w:rPr>
              <w:t>Bölüm 1.4.3'e bakınız.</w:t>
            </w:r>
          </w:p>
        </w:tc>
        <w:tc>
          <w:tcPr>
            <w:tcW w:w="0" w:type="auto"/>
            <w:hideMark/>
          </w:tcPr>
          <w:p w14:paraId="2D3089CC" w14:textId="77777777" w:rsidR="0007690F" w:rsidRPr="00CC3DC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Cs/>
              </w:rPr>
            </w:pPr>
            <w:r w:rsidRPr="00CC3DCB">
              <w:rPr>
                <w:bCs/>
              </w:rPr>
              <w:t>Mevcut tesislere uygulanabilirlik, fırın tasarımı ve/veya operasyonel kısıtlamalarla sınırlı olabilir.</w:t>
            </w:r>
          </w:p>
        </w:tc>
      </w:tr>
      <w:tr w:rsidR="0007690F" w:rsidRPr="00D53A2B" w14:paraId="15A0AC65"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7159401F" w14:textId="77777777" w:rsidR="0007690F" w:rsidRPr="00CC3DCB" w:rsidRDefault="0007690F" w:rsidP="00A202FD">
            <w:pPr>
              <w:widowControl w:val="0"/>
              <w:spacing w:after="240" w:line="276" w:lineRule="auto"/>
              <w:ind w:firstLine="1"/>
              <w:contextualSpacing/>
              <w:jc w:val="both"/>
              <w:rPr>
                <w:b w:val="0"/>
                <w:bCs/>
              </w:rPr>
            </w:pPr>
            <w:r w:rsidRPr="00CC3DCB">
              <w:rPr>
                <w:b w:val="0"/>
                <w:bCs/>
              </w:rPr>
              <w:t>Teknik</w:t>
            </w:r>
          </w:p>
        </w:tc>
        <w:tc>
          <w:tcPr>
            <w:tcW w:w="0" w:type="auto"/>
            <w:hideMark/>
          </w:tcPr>
          <w:p w14:paraId="07FDDBBA" w14:textId="77777777" w:rsidR="0007690F" w:rsidRPr="00CC3DC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Cs/>
              </w:rPr>
            </w:pPr>
            <w:r w:rsidRPr="00CC3DCB">
              <w:rPr>
                <w:bCs/>
              </w:rPr>
              <w:t>Açıklama</w:t>
            </w:r>
          </w:p>
        </w:tc>
        <w:tc>
          <w:tcPr>
            <w:tcW w:w="0" w:type="auto"/>
            <w:hideMark/>
          </w:tcPr>
          <w:p w14:paraId="30E328CA" w14:textId="77777777" w:rsidR="0007690F" w:rsidRPr="00CC3DC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Cs/>
              </w:rPr>
            </w:pPr>
            <w:r w:rsidRPr="00CC3DCB">
              <w:rPr>
                <w:bCs/>
              </w:rPr>
              <w:t>Uygulama Alanı</w:t>
            </w:r>
          </w:p>
        </w:tc>
      </w:tr>
      <w:tr w:rsidR="0007690F" w:rsidRPr="00D53A2B" w14:paraId="10BECFB2"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50025E74" w14:textId="77777777" w:rsidR="0007690F" w:rsidRPr="00CC3DCB" w:rsidRDefault="0007690F" w:rsidP="00A202FD">
            <w:pPr>
              <w:widowControl w:val="0"/>
              <w:spacing w:after="240" w:line="276" w:lineRule="auto"/>
              <w:ind w:firstLine="1"/>
              <w:contextualSpacing/>
              <w:jc w:val="both"/>
              <w:rPr>
                <w:b w:val="0"/>
                <w:bCs/>
              </w:rPr>
            </w:pPr>
            <w:r w:rsidRPr="00CC3DCB">
              <w:rPr>
                <w:b w:val="0"/>
                <w:bCs/>
              </w:rPr>
              <w:t>d. Emisyon kaynağına olabildiğince yakın gaz çıkışı toplama</w:t>
            </w:r>
          </w:p>
        </w:tc>
        <w:tc>
          <w:tcPr>
            <w:tcW w:w="0" w:type="auto"/>
            <w:hideMark/>
          </w:tcPr>
          <w:p w14:paraId="05EE7816" w14:textId="77777777" w:rsidR="0007690F" w:rsidRPr="00CC3DC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Cs/>
              </w:rPr>
            </w:pPr>
            <w:r w:rsidRPr="00CC3DCB">
              <w:rPr>
                <w:bCs/>
              </w:rPr>
              <w:t>Isıl işlem fırınlarından (örneğin, tavlama, yaşlandırma, normalizasyon) çıkan gazlar, başlıklar veya kapaklı çıkışlar kullanılarak toplanır. Toplanan emisyonlar, kumaş filtreleri gibi tekniklerle işlenebilir.</w:t>
            </w:r>
          </w:p>
        </w:tc>
        <w:tc>
          <w:tcPr>
            <w:tcW w:w="0" w:type="auto"/>
            <w:hideMark/>
          </w:tcPr>
          <w:p w14:paraId="2881A5B5" w14:textId="77777777" w:rsidR="0007690F" w:rsidRPr="00CC3DC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Cs/>
              </w:rPr>
            </w:pPr>
            <w:r w:rsidRPr="00CC3DCB">
              <w:rPr>
                <w:bCs/>
              </w:rPr>
              <w:t>Genellikle uygulanabilir.</w:t>
            </w:r>
          </w:p>
        </w:tc>
      </w:tr>
    </w:tbl>
    <w:p w14:paraId="0332A953" w14:textId="3F6ABACA" w:rsidR="0007690F" w:rsidRPr="00D53A2B" w:rsidRDefault="0007690F" w:rsidP="00A202FD">
      <w:pPr>
        <w:widowControl w:val="0"/>
        <w:spacing w:after="240" w:line="276" w:lineRule="auto"/>
        <w:ind w:firstLine="1"/>
        <w:contextualSpacing/>
        <w:jc w:val="both"/>
      </w:pPr>
      <w:r w:rsidRPr="00D53A2B">
        <w:rPr>
          <w:b/>
          <w:bCs/>
        </w:rPr>
        <w:t>Tablo 1.7</w:t>
      </w:r>
      <w:r w:rsidRPr="00D53A2B">
        <w:br/>
        <w:t>Isıl işlemden havaya yapılan toz ve NOX emisyonlarına dair MET ile ilişkili emisyon seviyeleri (</w:t>
      </w:r>
      <w:r w:rsidR="00831B53" w:rsidRPr="00D53A2B">
        <w:t>MET-İES</w:t>
      </w:r>
      <w:r w:rsidRPr="00D53A2B">
        <w:t>) ve ısıl işlemden havaya yapılan CO emisyonları için göstergelik emisyon seviyesi</w:t>
      </w:r>
    </w:p>
    <w:tbl>
      <w:tblPr>
        <w:tblStyle w:val="EIPPCBTable"/>
        <w:tblW w:w="0" w:type="auto"/>
        <w:tblLook w:val="04A0" w:firstRow="1" w:lastRow="0" w:firstColumn="1" w:lastColumn="0" w:noHBand="0" w:noVBand="1"/>
      </w:tblPr>
      <w:tblGrid>
        <w:gridCol w:w="2097"/>
        <w:gridCol w:w="1031"/>
        <w:gridCol w:w="2707"/>
        <w:gridCol w:w="3225"/>
      </w:tblGrid>
      <w:tr w:rsidR="0007690F" w:rsidRPr="00D53A2B" w14:paraId="1262F613" w14:textId="77777777" w:rsidTr="00CC3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967778" w14:textId="77777777" w:rsidR="0007690F" w:rsidRPr="00D53A2B" w:rsidRDefault="0007690F" w:rsidP="00A202FD">
            <w:pPr>
              <w:widowControl w:val="0"/>
              <w:spacing w:after="240" w:line="276" w:lineRule="auto"/>
              <w:ind w:firstLine="1"/>
              <w:contextualSpacing/>
              <w:jc w:val="both"/>
              <w:rPr>
                <w:b w:val="0"/>
                <w:bCs/>
              </w:rPr>
            </w:pPr>
            <w:r w:rsidRPr="00D53A2B">
              <w:rPr>
                <w:bCs/>
              </w:rPr>
              <w:t>Madde/Parametre</w:t>
            </w:r>
          </w:p>
        </w:tc>
        <w:tc>
          <w:tcPr>
            <w:tcW w:w="0" w:type="auto"/>
            <w:hideMark/>
          </w:tcPr>
          <w:p w14:paraId="2C7217C8" w14:textId="77777777" w:rsidR="0007690F" w:rsidRPr="00D53A2B" w:rsidRDefault="0007690F"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Cs/>
              </w:rPr>
              <w:t>Birim</w:t>
            </w:r>
          </w:p>
        </w:tc>
        <w:tc>
          <w:tcPr>
            <w:tcW w:w="0" w:type="auto"/>
            <w:hideMark/>
          </w:tcPr>
          <w:p w14:paraId="30070E54" w14:textId="49681028" w:rsidR="0007690F" w:rsidRPr="00D53A2B" w:rsidRDefault="00831B53"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Cs/>
              </w:rPr>
              <w:t>MET-İES</w:t>
            </w:r>
            <w:r w:rsidR="0007690F" w:rsidRPr="00D53A2B">
              <w:rPr>
                <w:bCs/>
              </w:rPr>
              <w:t xml:space="preserve"> (Günlük ortalama veya örnekleme süresi boyunca ortalama)</w:t>
            </w:r>
          </w:p>
        </w:tc>
        <w:tc>
          <w:tcPr>
            <w:tcW w:w="0" w:type="auto"/>
            <w:hideMark/>
          </w:tcPr>
          <w:p w14:paraId="19BD689C" w14:textId="77777777" w:rsidR="0007690F" w:rsidRPr="00D53A2B" w:rsidRDefault="0007690F"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Cs/>
              </w:rPr>
              <w:t>Göstergelik emisyon seviyesi (Günlük ortalama veya örnekleme süresi boyunca ortalama)</w:t>
            </w:r>
          </w:p>
        </w:tc>
      </w:tr>
      <w:tr w:rsidR="0007690F" w:rsidRPr="00D53A2B" w14:paraId="0CDE83B5"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798702BA" w14:textId="77777777" w:rsidR="0007690F" w:rsidRPr="00D53A2B" w:rsidRDefault="0007690F" w:rsidP="00A202FD">
            <w:pPr>
              <w:widowControl w:val="0"/>
              <w:spacing w:after="240" w:line="276" w:lineRule="auto"/>
              <w:ind w:firstLine="1"/>
              <w:contextualSpacing/>
              <w:jc w:val="both"/>
            </w:pPr>
            <w:r w:rsidRPr="00D53A2B">
              <w:t>Toz</w:t>
            </w:r>
          </w:p>
        </w:tc>
        <w:tc>
          <w:tcPr>
            <w:tcW w:w="0" w:type="auto"/>
            <w:vMerge w:val="restart"/>
            <w:hideMark/>
          </w:tcPr>
          <w:p w14:paraId="4B8092E1"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mg/Nm</w:t>
            </w:r>
            <w:r w:rsidRPr="00D53A2B">
              <w:rPr>
                <w:vertAlign w:val="superscript"/>
              </w:rPr>
              <w:t>3</w:t>
            </w:r>
          </w:p>
        </w:tc>
        <w:tc>
          <w:tcPr>
            <w:tcW w:w="0" w:type="auto"/>
            <w:hideMark/>
          </w:tcPr>
          <w:p w14:paraId="1E8F9E94"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1 – 5 (31)</w:t>
            </w:r>
          </w:p>
        </w:tc>
        <w:tc>
          <w:tcPr>
            <w:tcW w:w="0" w:type="auto"/>
            <w:hideMark/>
          </w:tcPr>
          <w:p w14:paraId="06C34945"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Göstergelik seviye yok</w:t>
            </w:r>
          </w:p>
        </w:tc>
      </w:tr>
      <w:tr w:rsidR="0007690F" w:rsidRPr="00D53A2B" w14:paraId="652DACEF"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4F6F6D9A" w14:textId="77777777" w:rsidR="0007690F" w:rsidRPr="00D53A2B" w:rsidRDefault="0007690F" w:rsidP="00A202FD">
            <w:pPr>
              <w:widowControl w:val="0"/>
              <w:spacing w:after="240" w:line="276" w:lineRule="auto"/>
              <w:ind w:firstLine="1"/>
              <w:contextualSpacing/>
              <w:jc w:val="both"/>
            </w:pPr>
            <w:r w:rsidRPr="00D53A2B">
              <w:t>NO</w:t>
            </w:r>
            <w:r w:rsidRPr="00D53A2B">
              <w:rPr>
                <w:vertAlign w:val="subscript"/>
              </w:rPr>
              <w:t>X</w:t>
            </w:r>
          </w:p>
        </w:tc>
        <w:tc>
          <w:tcPr>
            <w:tcW w:w="0" w:type="auto"/>
            <w:vMerge/>
            <w:hideMark/>
          </w:tcPr>
          <w:p w14:paraId="00CC854A"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p>
        </w:tc>
        <w:tc>
          <w:tcPr>
            <w:tcW w:w="0" w:type="auto"/>
            <w:hideMark/>
          </w:tcPr>
          <w:p w14:paraId="41222147"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20 – 120 (32) (33)</w:t>
            </w:r>
          </w:p>
        </w:tc>
        <w:tc>
          <w:tcPr>
            <w:tcW w:w="0" w:type="auto"/>
            <w:hideMark/>
          </w:tcPr>
          <w:p w14:paraId="55637FE1"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Göstergelik seviye yok</w:t>
            </w:r>
          </w:p>
        </w:tc>
      </w:tr>
      <w:tr w:rsidR="0007690F" w:rsidRPr="00D53A2B" w14:paraId="112229A4"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245030A1" w14:textId="77777777" w:rsidR="0007690F" w:rsidRPr="00D53A2B" w:rsidRDefault="0007690F" w:rsidP="00A202FD">
            <w:pPr>
              <w:widowControl w:val="0"/>
              <w:spacing w:after="240" w:line="276" w:lineRule="auto"/>
              <w:ind w:firstLine="1"/>
              <w:contextualSpacing/>
              <w:jc w:val="both"/>
            </w:pPr>
            <w:r w:rsidRPr="00D53A2B">
              <w:t>CO</w:t>
            </w:r>
          </w:p>
        </w:tc>
        <w:tc>
          <w:tcPr>
            <w:tcW w:w="0" w:type="auto"/>
            <w:vMerge/>
            <w:hideMark/>
          </w:tcPr>
          <w:p w14:paraId="3366683B"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p>
        </w:tc>
        <w:tc>
          <w:tcPr>
            <w:tcW w:w="0" w:type="auto"/>
            <w:hideMark/>
          </w:tcPr>
          <w:p w14:paraId="7AB96DCE" w14:textId="21B0AB65" w:rsidR="0007690F" w:rsidRPr="00D53A2B" w:rsidRDefault="00831B53"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MET-İES</w:t>
            </w:r>
            <w:r w:rsidR="0007690F" w:rsidRPr="00D53A2B">
              <w:t xml:space="preserve"> yok</w:t>
            </w:r>
          </w:p>
        </w:tc>
        <w:tc>
          <w:tcPr>
            <w:tcW w:w="0" w:type="auto"/>
            <w:hideMark/>
          </w:tcPr>
          <w:p w14:paraId="36B677E4"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10 – 100 (33)</w:t>
            </w:r>
          </w:p>
        </w:tc>
      </w:tr>
    </w:tbl>
    <w:p w14:paraId="66A43AD0" w14:textId="77777777" w:rsidR="0007690F" w:rsidRPr="00D53A2B" w:rsidRDefault="0007690F" w:rsidP="00A202FD">
      <w:pPr>
        <w:widowControl w:val="0"/>
        <w:spacing w:after="240" w:line="276" w:lineRule="auto"/>
        <w:ind w:firstLine="1"/>
        <w:contextualSpacing/>
        <w:jc w:val="both"/>
      </w:pPr>
      <w:r w:rsidRPr="00D53A2B">
        <w:t>İlgili izleme, MET 12'de verilmiştir.</w:t>
      </w:r>
    </w:p>
    <w:p w14:paraId="45712D48" w14:textId="77777777" w:rsidR="0007690F" w:rsidRPr="00D53A2B" w:rsidRDefault="0007690F" w:rsidP="00A202FD">
      <w:pPr>
        <w:pStyle w:val="Balk4"/>
        <w:rPr>
          <w:rFonts w:cs="Times New Roman"/>
        </w:rPr>
      </w:pPr>
      <w:r w:rsidRPr="00D53A2B">
        <w:rPr>
          <w:rFonts w:cs="Times New Roman"/>
        </w:rPr>
        <w:t>1.2.1.8. Kaybolan kalıplar ve çekirdek yapımı ile yapılan dökümden havaya salınan emisyonlar</w:t>
      </w:r>
    </w:p>
    <w:p w14:paraId="21E2F654" w14:textId="77777777" w:rsidR="0007690F" w:rsidRPr="00D53A2B" w:rsidRDefault="0007690F" w:rsidP="00A202FD">
      <w:pPr>
        <w:widowControl w:val="0"/>
        <w:spacing w:after="240" w:line="276" w:lineRule="auto"/>
        <w:ind w:firstLine="1"/>
        <w:contextualSpacing/>
        <w:jc w:val="both"/>
        <w:rPr>
          <w:b/>
          <w:bCs/>
        </w:rPr>
      </w:pPr>
      <w:r w:rsidRPr="00D53A2B">
        <w:rPr>
          <w:b/>
          <w:bCs/>
        </w:rPr>
        <w:t>MET 25. Kaybolan kalıplar ve çekirdek yapımı ile dökümden havaya salınan emisyonları önlemek veya azaltmak için, MET, aşağıda belirtilen tekniklerin uygun bir kombinasyonunu kullanılır:</w:t>
      </w:r>
    </w:p>
    <w:p w14:paraId="1B10BFD2" w14:textId="77777777" w:rsidR="0007690F" w:rsidRPr="00D53A2B" w:rsidRDefault="0007690F" w:rsidP="00602365">
      <w:pPr>
        <w:widowControl w:val="0"/>
        <w:numPr>
          <w:ilvl w:val="0"/>
          <w:numId w:val="251"/>
        </w:numPr>
        <w:spacing w:after="240" w:line="276" w:lineRule="auto"/>
        <w:contextualSpacing/>
        <w:jc w:val="both"/>
      </w:pPr>
      <w:r w:rsidRPr="00D53A2B">
        <w:t>Kil bağlı kum ile döküm yapılması durumunda, aşağıda verilen tekniklerden (a) ile (c) arasındaki uygun bir kombinasyonun kullanılması;</w:t>
      </w:r>
    </w:p>
    <w:p w14:paraId="6C9BA3D1" w14:textId="77777777" w:rsidR="0007690F" w:rsidRPr="00D53A2B" w:rsidRDefault="0007690F" w:rsidP="00602365">
      <w:pPr>
        <w:widowControl w:val="0"/>
        <w:numPr>
          <w:ilvl w:val="0"/>
          <w:numId w:val="251"/>
        </w:numPr>
        <w:spacing w:after="240" w:line="276" w:lineRule="auto"/>
        <w:contextualSpacing/>
        <w:jc w:val="both"/>
      </w:pPr>
      <w:r w:rsidRPr="00D53A2B">
        <w:t>Kimyasal bağlayıcı kum ile döküm ve çekirdek yapımı yapılması durumunda, aşağıda verilen tekniklerden (d), (e) veya (f) birinin ve aşağıda verilen tekniklerden (g) ile (k) arasındaki uygun bir kombinasyonun kullanılması;</w:t>
      </w:r>
    </w:p>
    <w:p w14:paraId="29E88289" w14:textId="77777777" w:rsidR="0007690F" w:rsidRPr="00D53A2B" w:rsidRDefault="0007690F" w:rsidP="00602365">
      <w:pPr>
        <w:widowControl w:val="0"/>
        <w:numPr>
          <w:ilvl w:val="0"/>
          <w:numId w:val="251"/>
        </w:numPr>
        <w:spacing w:after="240" w:line="276" w:lineRule="auto"/>
        <w:contextualSpacing/>
        <w:jc w:val="both"/>
      </w:pPr>
      <w:r w:rsidRPr="00D53A2B">
        <w:t>Kalıplara ve çekirdeklere uygulanan kaplamaların seçilmesinde aşağıda belirtilen teknik (l) kullanılmalıdır.</w:t>
      </w:r>
    </w:p>
    <w:p w14:paraId="57E4941D" w14:textId="77777777" w:rsidR="0007690F" w:rsidRPr="00D53A2B" w:rsidRDefault="0007690F" w:rsidP="00A202FD">
      <w:pPr>
        <w:widowControl w:val="0"/>
        <w:spacing w:after="240" w:line="276" w:lineRule="auto"/>
        <w:ind w:firstLine="1"/>
        <w:contextualSpacing/>
        <w:jc w:val="both"/>
      </w:pPr>
    </w:p>
    <w:tbl>
      <w:tblPr>
        <w:tblStyle w:val="TabloKlavuzu"/>
        <w:tblW w:w="0" w:type="auto"/>
        <w:tblLook w:val="04A0" w:firstRow="1" w:lastRow="0" w:firstColumn="1" w:lastColumn="0" w:noHBand="0" w:noVBand="1"/>
      </w:tblPr>
      <w:tblGrid>
        <w:gridCol w:w="1886"/>
        <w:gridCol w:w="4127"/>
        <w:gridCol w:w="3047"/>
      </w:tblGrid>
      <w:tr w:rsidR="0007690F" w:rsidRPr="00D53A2B" w14:paraId="2741DC08" w14:textId="77777777" w:rsidTr="00A202FD">
        <w:trPr>
          <w:trHeight w:val="320"/>
        </w:trPr>
        <w:tc>
          <w:tcPr>
            <w:tcW w:w="1886" w:type="dxa"/>
            <w:noWrap/>
            <w:hideMark/>
          </w:tcPr>
          <w:p w14:paraId="77130E46"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4128" w:type="dxa"/>
            <w:noWrap/>
            <w:hideMark/>
          </w:tcPr>
          <w:p w14:paraId="3117894B"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3048" w:type="dxa"/>
            <w:noWrap/>
            <w:hideMark/>
          </w:tcPr>
          <w:p w14:paraId="6EFAD171" w14:textId="77777777" w:rsidR="0007690F" w:rsidRPr="00D53A2B" w:rsidRDefault="0007690F" w:rsidP="00A202FD">
            <w:pPr>
              <w:widowControl w:val="0"/>
              <w:spacing w:after="240" w:line="276" w:lineRule="auto"/>
              <w:ind w:firstLine="1"/>
              <w:contextualSpacing/>
              <w:jc w:val="both"/>
              <w:rPr>
                <w:b/>
                <w:bCs/>
              </w:rPr>
            </w:pPr>
            <w:r w:rsidRPr="00D53A2B">
              <w:rPr>
                <w:b/>
                <w:bCs/>
              </w:rPr>
              <w:t>Uygulama Alanı</w:t>
            </w:r>
          </w:p>
        </w:tc>
      </w:tr>
      <w:tr w:rsidR="0007690F" w:rsidRPr="00D53A2B" w14:paraId="5974C0A8" w14:textId="77777777" w:rsidTr="00A202FD">
        <w:trPr>
          <w:trHeight w:val="320"/>
        </w:trPr>
        <w:tc>
          <w:tcPr>
            <w:tcW w:w="9062" w:type="dxa"/>
            <w:gridSpan w:val="3"/>
            <w:noWrap/>
            <w:hideMark/>
          </w:tcPr>
          <w:p w14:paraId="24A2DBAD" w14:textId="77777777" w:rsidR="0007690F" w:rsidRPr="00D53A2B" w:rsidRDefault="0007690F" w:rsidP="00A202FD">
            <w:pPr>
              <w:widowControl w:val="0"/>
              <w:spacing w:after="240" w:line="276" w:lineRule="auto"/>
              <w:ind w:firstLine="1"/>
              <w:contextualSpacing/>
              <w:jc w:val="both"/>
              <w:rPr>
                <w:b/>
                <w:bCs/>
              </w:rPr>
            </w:pPr>
            <w:r w:rsidRPr="00D53A2B">
              <w:rPr>
                <w:b/>
                <w:bCs/>
              </w:rPr>
              <w:t>Kil bağlı kumla kalıplama için teknikler (yeşil kum)</w:t>
            </w:r>
          </w:p>
          <w:p w14:paraId="16D23B3D" w14:textId="77777777" w:rsidR="0007690F" w:rsidRPr="00D53A2B" w:rsidRDefault="0007690F" w:rsidP="00A202FD">
            <w:pPr>
              <w:widowControl w:val="0"/>
              <w:spacing w:after="240" w:line="276" w:lineRule="auto"/>
              <w:ind w:firstLine="1"/>
              <w:contextualSpacing/>
              <w:jc w:val="both"/>
            </w:pPr>
            <w:r w:rsidRPr="00D53A2B">
              <w:t> </w:t>
            </w:r>
          </w:p>
          <w:p w14:paraId="1A376044"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58D52FA6" w14:textId="77777777" w:rsidTr="00A202FD">
        <w:trPr>
          <w:trHeight w:val="320"/>
        </w:trPr>
        <w:tc>
          <w:tcPr>
            <w:tcW w:w="1886" w:type="dxa"/>
            <w:vMerge w:val="restart"/>
            <w:noWrap/>
            <w:hideMark/>
          </w:tcPr>
          <w:p w14:paraId="6F0FD075" w14:textId="77777777" w:rsidR="0007690F" w:rsidRPr="00D53A2B" w:rsidRDefault="0007690F" w:rsidP="00A202FD">
            <w:pPr>
              <w:widowControl w:val="0"/>
              <w:spacing w:after="240" w:line="276" w:lineRule="auto"/>
              <w:ind w:firstLine="1"/>
              <w:contextualSpacing/>
              <w:jc w:val="both"/>
            </w:pPr>
            <w:r w:rsidRPr="00D53A2B">
              <w:t>a. Yeşil kum kalıplamasında en iyi uygulamalar</w:t>
            </w:r>
          </w:p>
        </w:tc>
        <w:tc>
          <w:tcPr>
            <w:tcW w:w="4128" w:type="dxa"/>
            <w:noWrap/>
            <w:hideMark/>
          </w:tcPr>
          <w:p w14:paraId="4CBD1A21" w14:textId="77777777" w:rsidR="0007690F" w:rsidRPr="00D53A2B" w:rsidRDefault="0007690F" w:rsidP="00A202FD">
            <w:pPr>
              <w:widowControl w:val="0"/>
              <w:spacing w:after="240" w:line="276" w:lineRule="auto"/>
              <w:ind w:firstLine="1"/>
              <w:contextualSpacing/>
              <w:jc w:val="both"/>
            </w:pPr>
            <w:r w:rsidRPr="00D53A2B">
              <w:t>Bu, aşağıdaki teknikleri içerir: </w:t>
            </w:r>
          </w:p>
        </w:tc>
        <w:tc>
          <w:tcPr>
            <w:tcW w:w="3048" w:type="dxa"/>
            <w:vMerge w:val="restart"/>
            <w:noWrap/>
            <w:hideMark/>
          </w:tcPr>
          <w:p w14:paraId="0DA0471F" w14:textId="77777777" w:rsidR="0007690F" w:rsidRPr="00D53A2B" w:rsidRDefault="0007690F" w:rsidP="00A202FD">
            <w:pPr>
              <w:widowControl w:val="0"/>
              <w:spacing w:after="240" w:line="276" w:lineRule="auto"/>
              <w:ind w:firstLine="1"/>
              <w:contextualSpacing/>
              <w:jc w:val="both"/>
            </w:pPr>
            <w:r w:rsidRPr="00D53A2B">
              <w:t>Genellikle uygulanabilir.</w:t>
            </w:r>
          </w:p>
        </w:tc>
      </w:tr>
      <w:tr w:rsidR="0007690F" w:rsidRPr="00D53A2B" w14:paraId="13BD4AAC" w14:textId="77777777" w:rsidTr="00A202FD">
        <w:trPr>
          <w:trHeight w:val="320"/>
        </w:trPr>
        <w:tc>
          <w:tcPr>
            <w:tcW w:w="1886" w:type="dxa"/>
            <w:vMerge/>
            <w:hideMark/>
          </w:tcPr>
          <w:p w14:paraId="0591E6C6"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494EE9E2" w14:textId="77777777" w:rsidR="0007690F" w:rsidRPr="00D53A2B" w:rsidRDefault="0007690F" w:rsidP="00A202FD">
            <w:pPr>
              <w:widowControl w:val="0"/>
              <w:spacing w:after="240" w:line="276" w:lineRule="auto"/>
              <w:ind w:firstLine="1"/>
              <w:contextualSpacing/>
              <w:jc w:val="both"/>
            </w:pPr>
            <w:r w:rsidRPr="00D53A2B">
              <w:t>— Geri dönen yeşil kumu kimyasal özelliklerini geri kazandırmak için gerekli ana bileşenlerin (örneğin, kil, su, kömür tozu veya diğer katkı maddeleri) hassas şekilde eklenmesi; </w:t>
            </w:r>
          </w:p>
        </w:tc>
        <w:tc>
          <w:tcPr>
            <w:tcW w:w="3048" w:type="dxa"/>
            <w:vMerge/>
            <w:hideMark/>
          </w:tcPr>
          <w:p w14:paraId="736F6687" w14:textId="77777777" w:rsidR="0007690F" w:rsidRPr="00D53A2B" w:rsidRDefault="0007690F" w:rsidP="00A202FD">
            <w:pPr>
              <w:widowControl w:val="0"/>
              <w:spacing w:after="240" w:line="276" w:lineRule="auto"/>
              <w:ind w:firstLine="1"/>
              <w:contextualSpacing/>
              <w:jc w:val="both"/>
            </w:pPr>
          </w:p>
        </w:tc>
      </w:tr>
      <w:tr w:rsidR="0007690F" w:rsidRPr="00D53A2B" w14:paraId="1A3E108D" w14:textId="77777777" w:rsidTr="00A202FD">
        <w:trPr>
          <w:trHeight w:val="320"/>
        </w:trPr>
        <w:tc>
          <w:tcPr>
            <w:tcW w:w="1886" w:type="dxa"/>
            <w:vMerge/>
            <w:hideMark/>
          </w:tcPr>
          <w:p w14:paraId="5FE66540"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24C72E01" w14:textId="77777777" w:rsidR="0007690F" w:rsidRPr="00D53A2B" w:rsidRDefault="0007690F" w:rsidP="00A202FD">
            <w:pPr>
              <w:widowControl w:val="0"/>
              <w:spacing w:after="240" w:line="276" w:lineRule="auto"/>
              <w:ind w:firstLine="1"/>
              <w:contextualSpacing/>
              <w:jc w:val="both"/>
            </w:pPr>
            <w:r w:rsidRPr="00D53A2B">
              <w:t>— Yeşil kum özelliklerinin düzenli olarak test edilmesi (örneğin, günlük testler) (örneğin, nem, yeşil direnç, sıkıştırılabilirlik, geçirgenlik, yanma kaybı, uçucu madde içeriği).</w:t>
            </w:r>
          </w:p>
        </w:tc>
        <w:tc>
          <w:tcPr>
            <w:tcW w:w="3048" w:type="dxa"/>
            <w:vMerge/>
            <w:hideMark/>
          </w:tcPr>
          <w:p w14:paraId="083CA978" w14:textId="77777777" w:rsidR="0007690F" w:rsidRPr="00D53A2B" w:rsidRDefault="0007690F" w:rsidP="00A202FD">
            <w:pPr>
              <w:widowControl w:val="0"/>
              <w:spacing w:after="240" w:line="276" w:lineRule="auto"/>
              <w:ind w:firstLine="1"/>
              <w:contextualSpacing/>
              <w:jc w:val="both"/>
            </w:pPr>
          </w:p>
        </w:tc>
      </w:tr>
      <w:tr w:rsidR="0007690F" w:rsidRPr="00D53A2B" w14:paraId="0ACE650E" w14:textId="77777777" w:rsidTr="00A202FD">
        <w:trPr>
          <w:trHeight w:val="320"/>
        </w:trPr>
        <w:tc>
          <w:tcPr>
            <w:tcW w:w="1886" w:type="dxa"/>
            <w:noWrap/>
            <w:hideMark/>
          </w:tcPr>
          <w:p w14:paraId="5A0DAE4A" w14:textId="77777777" w:rsidR="0007690F" w:rsidRPr="00D53A2B" w:rsidRDefault="0007690F" w:rsidP="00A202FD">
            <w:pPr>
              <w:widowControl w:val="0"/>
              <w:spacing w:after="240" w:line="276" w:lineRule="auto"/>
              <w:ind w:firstLine="1"/>
              <w:contextualSpacing/>
              <w:jc w:val="both"/>
            </w:pPr>
            <w:r w:rsidRPr="00D53A2B">
              <w:t>b. Kil bağlı kumu vakumlu karıştırma ve soğutma ile hazırlama</w:t>
            </w:r>
          </w:p>
        </w:tc>
        <w:tc>
          <w:tcPr>
            <w:tcW w:w="4128" w:type="dxa"/>
            <w:noWrap/>
            <w:hideMark/>
          </w:tcPr>
          <w:p w14:paraId="59E42825" w14:textId="77777777" w:rsidR="0007690F" w:rsidRPr="00D53A2B" w:rsidRDefault="0007690F" w:rsidP="00A202FD">
            <w:pPr>
              <w:widowControl w:val="0"/>
              <w:spacing w:after="240" w:line="276" w:lineRule="auto"/>
              <w:ind w:firstLine="1"/>
              <w:contextualSpacing/>
              <w:jc w:val="both"/>
            </w:pPr>
            <w:r w:rsidRPr="00D53A2B">
              <w:t>Karıştırma ve soğutma işlemleri, kum karıştırıcısı düşük basınç altında çalıştırılarak tek bir işlem adımına birleşir ve bu, suyun kontrollü buharlaşmasıyla soğuma sağlar.</w:t>
            </w:r>
          </w:p>
        </w:tc>
        <w:tc>
          <w:tcPr>
            <w:tcW w:w="3048" w:type="dxa"/>
            <w:noWrap/>
            <w:hideMark/>
          </w:tcPr>
          <w:p w14:paraId="20E4F66D" w14:textId="77777777" w:rsidR="0007690F" w:rsidRPr="00D53A2B" w:rsidRDefault="0007690F" w:rsidP="00A202FD">
            <w:pPr>
              <w:widowControl w:val="0"/>
              <w:spacing w:after="240" w:line="276" w:lineRule="auto"/>
              <w:ind w:firstLine="1"/>
              <w:contextualSpacing/>
              <w:jc w:val="both"/>
            </w:pPr>
            <w:r w:rsidRPr="00D53A2B">
              <w:t>Genellikle uygulanabilir.</w:t>
            </w:r>
          </w:p>
        </w:tc>
      </w:tr>
      <w:tr w:rsidR="0007690F" w:rsidRPr="00D53A2B" w14:paraId="7F38633E" w14:textId="77777777" w:rsidTr="00A202FD">
        <w:trPr>
          <w:trHeight w:val="320"/>
        </w:trPr>
        <w:tc>
          <w:tcPr>
            <w:tcW w:w="1886" w:type="dxa"/>
            <w:noWrap/>
            <w:hideMark/>
          </w:tcPr>
          <w:p w14:paraId="2B077911" w14:textId="77777777" w:rsidR="0007690F" w:rsidRPr="00D53A2B" w:rsidRDefault="0007690F" w:rsidP="00A202FD">
            <w:pPr>
              <w:widowControl w:val="0"/>
              <w:spacing w:after="240" w:line="276" w:lineRule="auto"/>
              <w:ind w:firstLine="1"/>
              <w:contextualSpacing/>
              <w:jc w:val="both"/>
            </w:pPr>
            <w:r w:rsidRPr="00D53A2B">
              <w:t>c. Kömür tozunun yerine geçici maddeler kullanımı</w:t>
            </w:r>
          </w:p>
        </w:tc>
        <w:tc>
          <w:tcPr>
            <w:tcW w:w="4128" w:type="dxa"/>
            <w:noWrap/>
            <w:hideMark/>
          </w:tcPr>
          <w:p w14:paraId="58BC56BE" w14:textId="77777777" w:rsidR="0007690F" w:rsidRPr="00D53A2B" w:rsidRDefault="0007690F" w:rsidP="00A202FD">
            <w:pPr>
              <w:widowControl w:val="0"/>
              <w:spacing w:after="240" w:line="276" w:lineRule="auto"/>
              <w:ind w:firstLine="1"/>
              <w:contextualSpacing/>
              <w:jc w:val="both"/>
            </w:pPr>
            <w:r w:rsidRPr="00D53A2B">
              <w:t>Kömür tozu, grafit, kok unu ve zeolitler gibi katkı maddeleriyle değiştirilir ve bu, döküm işlemi sırasında önemli ölçüde daha düşük yaygın emisyonlar sağlar.</w:t>
            </w:r>
          </w:p>
        </w:tc>
        <w:tc>
          <w:tcPr>
            <w:tcW w:w="3048" w:type="dxa"/>
            <w:noWrap/>
            <w:hideMark/>
          </w:tcPr>
          <w:p w14:paraId="4C58A17F" w14:textId="77777777" w:rsidR="0007690F" w:rsidRPr="00D53A2B" w:rsidRDefault="0007690F" w:rsidP="00A202FD">
            <w:pPr>
              <w:widowControl w:val="0"/>
              <w:spacing w:after="240" w:line="276" w:lineRule="auto"/>
              <w:ind w:firstLine="1"/>
              <w:contextualSpacing/>
              <w:jc w:val="both"/>
            </w:pPr>
            <w:r w:rsidRPr="00D53A2B">
              <w:t>Uygulama, operasyonel kısıtlamalar nedeniyle sınırlı olabilir (örneğin, daha az verimli döküm veya döküm hataları).</w:t>
            </w:r>
          </w:p>
        </w:tc>
      </w:tr>
      <w:tr w:rsidR="0007690F" w:rsidRPr="00D53A2B" w14:paraId="5FE6CCB9" w14:textId="77777777" w:rsidTr="00A202FD">
        <w:trPr>
          <w:trHeight w:val="320"/>
        </w:trPr>
        <w:tc>
          <w:tcPr>
            <w:tcW w:w="9062" w:type="dxa"/>
            <w:gridSpan w:val="3"/>
            <w:noWrap/>
            <w:hideMark/>
          </w:tcPr>
          <w:p w14:paraId="188921EA" w14:textId="6F424CD7" w:rsidR="0007690F" w:rsidRPr="00D53A2B" w:rsidRDefault="0007690F" w:rsidP="00A202FD">
            <w:pPr>
              <w:widowControl w:val="0"/>
              <w:spacing w:after="240" w:line="276" w:lineRule="auto"/>
              <w:ind w:firstLine="1"/>
              <w:contextualSpacing/>
              <w:jc w:val="both"/>
              <w:rPr>
                <w:b/>
                <w:bCs/>
              </w:rPr>
            </w:pPr>
            <w:r w:rsidRPr="00D53A2B">
              <w:rPr>
                <w:b/>
                <w:bCs/>
              </w:rPr>
              <w:t>Kimyasal bağlı kumla kalıplama ve çekirdek yapımı için emisyonları önleme teknikleri</w:t>
            </w:r>
          </w:p>
        </w:tc>
      </w:tr>
      <w:tr w:rsidR="0007690F" w:rsidRPr="00D53A2B" w14:paraId="334F5A48" w14:textId="77777777" w:rsidTr="00A202FD">
        <w:trPr>
          <w:trHeight w:val="320"/>
        </w:trPr>
        <w:tc>
          <w:tcPr>
            <w:tcW w:w="1886" w:type="dxa"/>
            <w:vMerge w:val="restart"/>
            <w:noWrap/>
            <w:hideMark/>
          </w:tcPr>
          <w:p w14:paraId="3448B052" w14:textId="77777777" w:rsidR="0007690F" w:rsidRPr="00D53A2B" w:rsidRDefault="0007690F" w:rsidP="00A202FD">
            <w:pPr>
              <w:widowControl w:val="0"/>
              <w:spacing w:after="240" w:line="276" w:lineRule="auto"/>
              <w:ind w:firstLine="1"/>
              <w:contextualSpacing/>
              <w:jc w:val="both"/>
            </w:pPr>
            <w:r w:rsidRPr="00D53A2B">
              <w:t>d. Düşük emisyonlu soğuk kürleme bağlayıcı sisteminin seçimi</w:t>
            </w:r>
          </w:p>
        </w:tc>
        <w:tc>
          <w:tcPr>
            <w:tcW w:w="4128" w:type="dxa"/>
            <w:noWrap/>
            <w:hideMark/>
          </w:tcPr>
          <w:p w14:paraId="63A10ED5" w14:textId="77777777" w:rsidR="0007690F" w:rsidRPr="00D53A2B" w:rsidRDefault="0007690F" w:rsidP="00A202FD">
            <w:pPr>
              <w:widowControl w:val="0"/>
              <w:spacing w:after="240" w:line="276" w:lineRule="auto"/>
              <w:ind w:firstLine="1"/>
              <w:contextualSpacing/>
              <w:jc w:val="both"/>
            </w:pPr>
            <w:r w:rsidRPr="00D53A2B">
              <w:t>Formaldehit, fenol, furfüril alkol, izosiyanatlar vb. düşük emisyonlar üreten bir soğuk kürleme bağlayıcı sistemi seçilir. Bu, aşağıdaki kullanımını içerir: </w:t>
            </w:r>
          </w:p>
        </w:tc>
        <w:tc>
          <w:tcPr>
            <w:tcW w:w="3048" w:type="dxa"/>
            <w:vMerge w:val="restart"/>
            <w:noWrap/>
            <w:hideMark/>
          </w:tcPr>
          <w:p w14:paraId="34C2E170" w14:textId="77777777" w:rsidR="0007690F" w:rsidRPr="00D53A2B" w:rsidRDefault="0007690F" w:rsidP="00A202FD">
            <w:pPr>
              <w:widowControl w:val="0"/>
              <w:spacing w:after="240" w:line="276" w:lineRule="auto"/>
              <w:ind w:firstLine="1"/>
              <w:contextualSpacing/>
              <w:jc w:val="both"/>
            </w:pPr>
            <w:r w:rsidRPr="00D53A2B">
              <w:t>Ürün özelliklerine bağlı olarak uygulanabilirlik sınırlı olabilir.</w:t>
            </w:r>
          </w:p>
        </w:tc>
      </w:tr>
      <w:tr w:rsidR="0007690F" w:rsidRPr="00D53A2B" w14:paraId="7FF5B93B" w14:textId="77777777" w:rsidTr="00A202FD">
        <w:trPr>
          <w:trHeight w:val="320"/>
        </w:trPr>
        <w:tc>
          <w:tcPr>
            <w:tcW w:w="1886" w:type="dxa"/>
            <w:vMerge/>
            <w:hideMark/>
          </w:tcPr>
          <w:p w14:paraId="064758C5"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7A254485" w14:textId="77777777" w:rsidR="0007690F" w:rsidRPr="00D53A2B" w:rsidRDefault="0007690F" w:rsidP="00A202FD">
            <w:pPr>
              <w:widowControl w:val="0"/>
              <w:spacing w:after="240" w:line="276" w:lineRule="auto"/>
              <w:ind w:firstLine="1"/>
              <w:contextualSpacing/>
              <w:jc w:val="both"/>
            </w:pPr>
            <w:r w:rsidRPr="00D53A2B">
              <w:t>— Düşük furfüril alkol içeriğine sahip furan reçineleri (örneğin, %40’tan az) demir döküm üretimi için; </w:t>
            </w:r>
          </w:p>
        </w:tc>
        <w:tc>
          <w:tcPr>
            <w:tcW w:w="3048" w:type="dxa"/>
            <w:vMerge/>
            <w:hideMark/>
          </w:tcPr>
          <w:p w14:paraId="02C2A30C" w14:textId="77777777" w:rsidR="0007690F" w:rsidRPr="00D53A2B" w:rsidRDefault="0007690F" w:rsidP="00A202FD">
            <w:pPr>
              <w:widowControl w:val="0"/>
              <w:spacing w:after="240" w:line="276" w:lineRule="auto"/>
              <w:ind w:firstLine="1"/>
              <w:contextualSpacing/>
              <w:jc w:val="both"/>
            </w:pPr>
          </w:p>
        </w:tc>
      </w:tr>
      <w:tr w:rsidR="0007690F" w:rsidRPr="00D53A2B" w14:paraId="4B10FF8A" w14:textId="77777777" w:rsidTr="00A202FD">
        <w:trPr>
          <w:trHeight w:val="320"/>
        </w:trPr>
        <w:tc>
          <w:tcPr>
            <w:tcW w:w="1886" w:type="dxa"/>
            <w:vMerge/>
            <w:hideMark/>
          </w:tcPr>
          <w:p w14:paraId="10CFFD48"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16346C7B" w14:textId="77777777" w:rsidR="0007690F" w:rsidRPr="00D53A2B" w:rsidRDefault="0007690F" w:rsidP="00A202FD">
            <w:pPr>
              <w:widowControl w:val="0"/>
              <w:spacing w:after="240" w:line="276" w:lineRule="auto"/>
              <w:ind w:firstLine="1"/>
              <w:contextualSpacing/>
              <w:jc w:val="both"/>
            </w:pPr>
            <w:r w:rsidRPr="00D53A2B">
              <w:t>— Düşük kükürt asidik katalizör içeren fenol/furan sistemleri çelik döküm üretimi için; </w:t>
            </w:r>
          </w:p>
        </w:tc>
        <w:tc>
          <w:tcPr>
            <w:tcW w:w="3048" w:type="dxa"/>
            <w:vMerge/>
            <w:hideMark/>
          </w:tcPr>
          <w:p w14:paraId="74325C6F" w14:textId="77777777" w:rsidR="0007690F" w:rsidRPr="00D53A2B" w:rsidRDefault="0007690F" w:rsidP="00A202FD">
            <w:pPr>
              <w:widowControl w:val="0"/>
              <w:spacing w:after="240" w:line="276" w:lineRule="auto"/>
              <w:ind w:firstLine="1"/>
              <w:contextualSpacing/>
              <w:jc w:val="both"/>
            </w:pPr>
          </w:p>
        </w:tc>
      </w:tr>
      <w:tr w:rsidR="0007690F" w:rsidRPr="00D53A2B" w14:paraId="581D8A51" w14:textId="77777777" w:rsidTr="00A202FD">
        <w:trPr>
          <w:trHeight w:val="320"/>
        </w:trPr>
        <w:tc>
          <w:tcPr>
            <w:tcW w:w="1886" w:type="dxa"/>
            <w:vMerge/>
            <w:hideMark/>
          </w:tcPr>
          <w:p w14:paraId="66283CA7"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30ABC59C" w14:textId="77777777" w:rsidR="0007690F" w:rsidRPr="00D53A2B" w:rsidRDefault="0007690F" w:rsidP="00A202FD">
            <w:pPr>
              <w:widowControl w:val="0"/>
              <w:spacing w:after="240" w:line="276" w:lineRule="auto"/>
              <w:ind w:firstLine="1"/>
              <w:contextualSpacing/>
              <w:jc w:val="both"/>
            </w:pPr>
            <w:r w:rsidRPr="00D53A2B">
              <w:t>— Alifatik organik bağlayıcılar (örneğin, alifatik polialkollerle) demir, çelik, alüminyum veya magnezyum dökümleri üretimi için; </w:t>
            </w:r>
          </w:p>
        </w:tc>
        <w:tc>
          <w:tcPr>
            <w:tcW w:w="3048" w:type="dxa"/>
            <w:vMerge/>
            <w:hideMark/>
          </w:tcPr>
          <w:p w14:paraId="48C8BD93" w14:textId="77777777" w:rsidR="0007690F" w:rsidRPr="00D53A2B" w:rsidRDefault="0007690F" w:rsidP="00A202FD">
            <w:pPr>
              <w:widowControl w:val="0"/>
              <w:spacing w:after="240" w:line="276" w:lineRule="auto"/>
              <w:ind w:firstLine="1"/>
              <w:contextualSpacing/>
              <w:jc w:val="both"/>
            </w:pPr>
          </w:p>
        </w:tc>
      </w:tr>
      <w:tr w:rsidR="0007690F" w:rsidRPr="00D53A2B" w14:paraId="30720312" w14:textId="77777777" w:rsidTr="00A202FD">
        <w:trPr>
          <w:trHeight w:val="320"/>
        </w:trPr>
        <w:tc>
          <w:tcPr>
            <w:tcW w:w="1886" w:type="dxa"/>
            <w:vMerge/>
            <w:hideMark/>
          </w:tcPr>
          <w:p w14:paraId="00501E12"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1C9E4772" w14:textId="77777777" w:rsidR="0007690F" w:rsidRPr="00D53A2B" w:rsidRDefault="0007690F" w:rsidP="00A202FD">
            <w:pPr>
              <w:widowControl w:val="0"/>
              <w:spacing w:after="240" w:line="276" w:lineRule="auto"/>
              <w:ind w:firstLine="1"/>
              <w:contextualSpacing/>
              <w:jc w:val="both"/>
            </w:pPr>
            <w:r w:rsidRPr="00D53A2B">
              <w:t>— Polisialatlara dayalı inorganik jeopolimerler (gri demir, alüminyum ve çelik dökümleri üretimi için); </w:t>
            </w:r>
          </w:p>
        </w:tc>
        <w:tc>
          <w:tcPr>
            <w:tcW w:w="3048" w:type="dxa"/>
            <w:vMerge/>
            <w:hideMark/>
          </w:tcPr>
          <w:p w14:paraId="7F27AF03" w14:textId="77777777" w:rsidR="0007690F" w:rsidRPr="00D53A2B" w:rsidRDefault="0007690F" w:rsidP="00A202FD">
            <w:pPr>
              <w:widowControl w:val="0"/>
              <w:spacing w:after="240" w:line="276" w:lineRule="auto"/>
              <w:ind w:firstLine="1"/>
              <w:contextualSpacing/>
              <w:jc w:val="both"/>
            </w:pPr>
          </w:p>
        </w:tc>
      </w:tr>
      <w:tr w:rsidR="0007690F" w:rsidRPr="00D53A2B" w14:paraId="67CF720F" w14:textId="77777777" w:rsidTr="00A202FD">
        <w:trPr>
          <w:trHeight w:val="320"/>
        </w:trPr>
        <w:tc>
          <w:tcPr>
            <w:tcW w:w="1886" w:type="dxa"/>
            <w:vMerge/>
            <w:hideMark/>
          </w:tcPr>
          <w:p w14:paraId="20ECA27B"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31221377" w14:textId="77777777" w:rsidR="0007690F" w:rsidRPr="00D53A2B" w:rsidRDefault="0007690F" w:rsidP="00A202FD">
            <w:pPr>
              <w:widowControl w:val="0"/>
              <w:spacing w:after="240" w:line="276" w:lineRule="auto"/>
              <w:ind w:firstLine="1"/>
              <w:contextualSpacing/>
              <w:jc w:val="both"/>
            </w:pPr>
            <w:r w:rsidRPr="00D53A2B">
              <w:t>— Ester silikat (orta ve büyük çelik dökümleri üretimi için); </w:t>
            </w:r>
          </w:p>
        </w:tc>
        <w:tc>
          <w:tcPr>
            <w:tcW w:w="3048" w:type="dxa"/>
            <w:vMerge/>
            <w:hideMark/>
          </w:tcPr>
          <w:p w14:paraId="03517A5A" w14:textId="77777777" w:rsidR="0007690F" w:rsidRPr="00D53A2B" w:rsidRDefault="0007690F" w:rsidP="00A202FD">
            <w:pPr>
              <w:widowControl w:val="0"/>
              <w:spacing w:after="240" w:line="276" w:lineRule="auto"/>
              <w:ind w:firstLine="1"/>
              <w:contextualSpacing/>
              <w:jc w:val="both"/>
            </w:pPr>
          </w:p>
        </w:tc>
      </w:tr>
      <w:tr w:rsidR="0007690F" w:rsidRPr="00D53A2B" w14:paraId="06F964B9" w14:textId="77777777" w:rsidTr="00A202FD">
        <w:trPr>
          <w:trHeight w:val="320"/>
        </w:trPr>
        <w:tc>
          <w:tcPr>
            <w:tcW w:w="1886" w:type="dxa"/>
            <w:vMerge/>
            <w:hideMark/>
          </w:tcPr>
          <w:p w14:paraId="1C579F77"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688D65EE" w14:textId="77777777" w:rsidR="0007690F" w:rsidRPr="00D53A2B" w:rsidRDefault="0007690F" w:rsidP="00A202FD">
            <w:pPr>
              <w:widowControl w:val="0"/>
              <w:spacing w:after="240" w:line="276" w:lineRule="auto"/>
              <w:ind w:firstLine="1"/>
              <w:contextualSpacing/>
              <w:jc w:val="both"/>
            </w:pPr>
            <w:r w:rsidRPr="00D53A2B">
              <w:t>— Alkid yağı (örneğin, çelik dökümhanelerinde tek dökümler veya küçük üretim partileri için); </w:t>
            </w:r>
          </w:p>
        </w:tc>
        <w:tc>
          <w:tcPr>
            <w:tcW w:w="3048" w:type="dxa"/>
            <w:vMerge/>
            <w:hideMark/>
          </w:tcPr>
          <w:p w14:paraId="138C432A" w14:textId="77777777" w:rsidR="0007690F" w:rsidRPr="00D53A2B" w:rsidRDefault="0007690F" w:rsidP="00A202FD">
            <w:pPr>
              <w:widowControl w:val="0"/>
              <w:spacing w:after="240" w:line="276" w:lineRule="auto"/>
              <w:ind w:firstLine="1"/>
              <w:contextualSpacing/>
              <w:jc w:val="both"/>
            </w:pPr>
          </w:p>
        </w:tc>
      </w:tr>
      <w:tr w:rsidR="0007690F" w:rsidRPr="00D53A2B" w14:paraId="068A32FC" w14:textId="77777777" w:rsidTr="00A202FD">
        <w:trPr>
          <w:trHeight w:val="320"/>
        </w:trPr>
        <w:tc>
          <w:tcPr>
            <w:tcW w:w="1886" w:type="dxa"/>
            <w:vMerge/>
            <w:hideMark/>
          </w:tcPr>
          <w:p w14:paraId="2899C51B"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2E2B639E" w14:textId="77777777" w:rsidR="0007690F" w:rsidRPr="00D53A2B" w:rsidRDefault="0007690F" w:rsidP="00A202FD">
            <w:pPr>
              <w:widowControl w:val="0"/>
              <w:spacing w:after="240" w:line="276" w:lineRule="auto"/>
              <w:ind w:firstLine="1"/>
              <w:contextualSpacing/>
              <w:jc w:val="both"/>
            </w:pPr>
            <w:r w:rsidRPr="00D53A2B">
              <w:t>— Resol-ester (örneğin, küçük veya orta üretim için daha hafif alaşımlar); </w:t>
            </w:r>
          </w:p>
        </w:tc>
        <w:tc>
          <w:tcPr>
            <w:tcW w:w="3048" w:type="dxa"/>
            <w:vMerge/>
            <w:hideMark/>
          </w:tcPr>
          <w:p w14:paraId="519970D3" w14:textId="77777777" w:rsidR="0007690F" w:rsidRPr="00D53A2B" w:rsidRDefault="0007690F" w:rsidP="00A202FD">
            <w:pPr>
              <w:widowControl w:val="0"/>
              <w:spacing w:after="240" w:line="276" w:lineRule="auto"/>
              <w:ind w:firstLine="1"/>
              <w:contextualSpacing/>
              <w:jc w:val="both"/>
            </w:pPr>
          </w:p>
        </w:tc>
      </w:tr>
      <w:tr w:rsidR="0007690F" w:rsidRPr="00D53A2B" w14:paraId="4C22B72B" w14:textId="77777777" w:rsidTr="00A202FD">
        <w:trPr>
          <w:trHeight w:val="320"/>
        </w:trPr>
        <w:tc>
          <w:tcPr>
            <w:tcW w:w="1886" w:type="dxa"/>
            <w:vMerge/>
            <w:hideMark/>
          </w:tcPr>
          <w:p w14:paraId="7ED2A956"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72B7467E" w14:textId="77777777" w:rsidR="0007690F" w:rsidRPr="00D53A2B" w:rsidRDefault="0007690F" w:rsidP="00A202FD">
            <w:pPr>
              <w:widowControl w:val="0"/>
              <w:spacing w:after="240" w:line="276" w:lineRule="auto"/>
              <w:ind w:firstLine="1"/>
              <w:contextualSpacing/>
              <w:jc w:val="both"/>
            </w:pPr>
            <w:r w:rsidRPr="00D53A2B">
              <w:t>— Çimento (örneğin, çok büyük dökümler için).</w:t>
            </w:r>
          </w:p>
        </w:tc>
        <w:tc>
          <w:tcPr>
            <w:tcW w:w="3048" w:type="dxa"/>
            <w:vMerge/>
            <w:hideMark/>
          </w:tcPr>
          <w:p w14:paraId="7C185285" w14:textId="77777777" w:rsidR="0007690F" w:rsidRPr="00D53A2B" w:rsidRDefault="0007690F" w:rsidP="00A202FD">
            <w:pPr>
              <w:widowControl w:val="0"/>
              <w:spacing w:after="240" w:line="276" w:lineRule="auto"/>
              <w:ind w:firstLine="1"/>
              <w:contextualSpacing/>
              <w:jc w:val="both"/>
            </w:pPr>
          </w:p>
        </w:tc>
      </w:tr>
      <w:tr w:rsidR="0007690F" w:rsidRPr="00D53A2B" w14:paraId="1807A1D8" w14:textId="77777777" w:rsidTr="00A202FD">
        <w:trPr>
          <w:trHeight w:val="320"/>
        </w:trPr>
        <w:tc>
          <w:tcPr>
            <w:tcW w:w="1886" w:type="dxa"/>
            <w:vMerge w:val="restart"/>
            <w:noWrap/>
            <w:hideMark/>
          </w:tcPr>
          <w:p w14:paraId="6AD9DA64" w14:textId="77777777" w:rsidR="0007690F" w:rsidRPr="00D53A2B" w:rsidRDefault="0007690F" w:rsidP="00A202FD">
            <w:pPr>
              <w:widowControl w:val="0"/>
              <w:spacing w:after="240" w:line="276" w:lineRule="auto"/>
              <w:ind w:firstLine="1"/>
              <w:contextualSpacing/>
              <w:jc w:val="both"/>
            </w:pPr>
            <w:r w:rsidRPr="00D53A2B">
              <w:t>e. Düşük emisyonlu gazla kürleme bağlayıcı sisteminin seçimi</w:t>
            </w:r>
          </w:p>
        </w:tc>
        <w:tc>
          <w:tcPr>
            <w:tcW w:w="4128" w:type="dxa"/>
            <w:noWrap/>
            <w:hideMark/>
          </w:tcPr>
          <w:p w14:paraId="429C0C23" w14:textId="77777777" w:rsidR="0007690F" w:rsidRPr="00D53A2B" w:rsidRDefault="0007690F" w:rsidP="00A202FD">
            <w:pPr>
              <w:widowControl w:val="0"/>
              <w:spacing w:after="240" w:line="276" w:lineRule="auto"/>
              <w:ind w:firstLine="1"/>
              <w:contextualSpacing/>
              <w:jc w:val="both"/>
            </w:pPr>
            <w:r w:rsidRPr="00D53A2B">
              <w:t>Aminler, benzen, formaldehit, fenol, izosiyanatlar vb. düşük emisyonlar üreten bir gazla kürleme bağlayıcı sistemi seçilir. Bu, aşağıdaki kullanımını içerir: </w:t>
            </w:r>
          </w:p>
        </w:tc>
        <w:tc>
          <w:tcPr>
            <w:tcW w:w="3048" w:type="dxa"/>
            <w:vMerge w:val="restart"/>
            <w:noWrap/>
            <w:hideMark/>
          </w:tcPr>
          <w:p w14:paraId="778A8470" w14:textId="77777777" w:rsidR="0007690F" w:rsidRPr="00D53A2B" w:rsidRDefault="0007690F" w:rsidP="00A202FD">
            <w:pPr>
              <w:widowControl w:val="0"/>
              <w:spacing w:after="240" w:line="276" w:lineRule="auto"/>
              <w:ind w:firstLine="1"/>
              <w:contextualSpacing/>
              <w:jc w:val="both"/>
            </w:pPr>
            <w:r w:rsidRPr="00D53A2B">
              <w:t>Ürün özelliklerine bağlı olarak uygulanabilirlik sınırlı olabilir.</w:t>
            </w:r>
          </w:p>
        </w:tc>
      </w:tr>
      <w:tr w:rsidR="0007690F" w:rsidRPr="00D53A2B" w14:paraId="77F3ECC6" w14:textId="77777777" w:rsidTr="00A202FD">
        <w:trPr>
          <w:trHeight w:val="320"/>
        </w:trPr>
        <w:tc>
          <w:tcPr>
            <w:tcW w:w="1886" w:type="dxa"/>
            <w:vMerge/>
            <w:hideMark/>
          </w:tcPr>
          <w:p w14:paraId="77D89755"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4B329D1A" w14:textId="77777777" w:rsidR="0007690F" w:rsidRPr="00D53A2B" w:rsidRDefault="0007690F" w:rsidP="00A202FD">
            <w:pPr>
              <w:widowControl w:val="0"/>
              <w:spacing w:after="240" w:line="276" w:lineRule="auto"/>
              <w:ind w:firstLine="1"/>
              <w:contextualSpacing/>
              <w:jc w:val="both"/>
            </w:pPr>
            <w:r w:rsidRPr="00D53A2B">
              <w:t>— Na2SiO3 (su camı) gibi inorganik bağlayıcılar, CO2 veya organik esterlerle sertleştirilir (örneğin, alüminyum dökümünde); </w:t>
            </w:r>
          </w:p>
        </w:tc>
        <w:tc>
          <w:tcPr>
            <w:tcW w:w="3048" w:type="dxa"/>
            <w:vMerge/>
            <w:hideMark/>
          </w:tcPr>
          <w:p w14:paraId="6FC1C6C8" w14:textId="77777777" w:rsidR="0007690F" w:rsidRPr="00D53A2B" w:rsidRDefault="0007690F" w:rsidP="00A202FD">
            <w:pPr>
              <w:widowControl w:val="0"/>
              <w:spacing w:after="240" w:line="276" w:lineRule="auto"/>
              <w:ind w:firstLine="1"/>
              <w:contextualSpacing/>
              <w:jc w:val="both"/>
            </w:pPr>
          </w:p>
        </w:tc>
      </w:tr>
      <w:tr w:rsidR="0007690F" w:rsidRPr="00D53A2B" w14:paraId="1A57CCC2" w14:textId="77777777" w:rsidTr="00A202FD">
        <w:trPr>
          <w:trHeight w:val="320"/>
        </w:trPr>
        <w:tc>
          <w:tcPr>
            <w:tcW w:w="1886" w:type="dxa"/>
            <w:vMerge/>
            <w:hideMark/>
          </w:tcPr>
          <w:p w14:paraId="63CF6D86"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27A9A8CA" w14:textId="77777777" w:rsidR="0007690F" w:rsidRPr="00D53A2B" w:rsidRDefault="0007690F" w:rsidP="00A202FD">
            <w:pPr>
              <w:widowControl w:val="0"/>
              <w:spacing w:after="240" w:line="276" w:lineRule="auto"/>
              <w:ind w:firstLine="1"/>
              <w:contextualSpacing/>
              <w:jc w:val="both"/>
            </w:pPr>
            <w:r w:rsidRPr="00D53A2B">
              <w:t>— CO2 ile sertleştirilen polysialatlar temelinde inorganik jeopolimerler (gri demir, alüminyum, çelik dökümleri üretimi için); </w:t>
            </w:r>
          </w:p>
        </w:tc>
        <w:tc>
          <w:tcPr>
            <w:tcW w:w="3048" w:type="dxa"/>
            <w:vMerge/>
            <w:hideMark/>
          </w:tcPr>
          <w:p w14:paraId="32BD1192" w14:textId="77777777" w:rsidR="0007690F" w:rsidRPr="00D53A2B" w:rsidRDefault="0007690F" w:rsidP="00A202FD">
            <w:pPr>
              <w:widowControl w:val="0"/>
              <w:spacing w:after="240" w:line="276" w:lineRule="auto"/>
              <w:ind w:firstLine="1"/>
              <w:contextualSpacing/>
              <w:jc w:val="both"/>
            </w:pPr>
          </w:p>
        </w:tc>
      </w:tr>
      <w:tr w:rsidR="0007690F" w:rsidRPr="00D53A2B" w14:paraId="259398D1" w14:textId="77777777" w:rsidTr="00A202FD">
        <w:trPr>
          <w:trHeight w:val="320"/>
        </w:trPr>
        <w:tc>
          <w:tcPr>
            <w:tcW w:w="1886" w:type="dxa"/>
            <w:vMerge/>
            <w:hideMark/>
          </w:tcPr>
          <w:p w14:paraId="3556E33A"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6157FD1D" w14:textId="77777777" w:rsidR="0007690F" w:rsidRPr="00D53A2B" w:rsidRDefault="0007690F" w:rsidP="00A202FD">
            <w:pPr>
              <w:widowControl w:val="0"/>
              <w:spacing w:after="240" w:line="276" w:lineRule="auto"/>
              <w:ind w:firstLine="1"/>
              <w:contextualSpacing/>
              <w:jc w:val="both"/>
            </w:pPr>
            <w:r w:rsidRPr="00D53A2B">
              <w:t>— Alifatik organik bağlayıcılar (örneğin, alifatik polialkollerle) demir, çelik, alüminyum veya magnezyum dökümleri üretimi için; </w:t>
            </w:r>
          </w:p>
        </w:tc>
        <w:tc>
          <w:tcPr>
            <w:tcW w:w="3048" w:type="dxa"/>
            <w:vMerge/>
            <w:hideMark/>
          </w:tcPr>
          <w:p w14:paraId="07962199" w14:textId="77777777" w:rsidR="0007690F" w:rsidRPr="00D53A2B" w:rsidRDefault="0007690F" w:rsidP="00A202FD">
            <w:pPr>
              <w:widowControl w:val="0"/>
              <w:spacing w:after="240" w:line="276" w:lineRule="auto"/>
              <w:ind w:firstLine="1"/>
              <w:contextualSpacing/>
              <w:jc w:val="both"/>
            </w:pPr>
          </w:p>
        </w:tc>
      </w:tr>
      <w:tr w:rsidR="0007690F" w:rsidRPr="00D53A2B" w14:paraId="13D57E1E" w14:textId="77777777" w:rsidTr="00A202FD">
        <w:trPr>
          <w:trHeight w:val="320"/>
        </w:trPr>
        <w:tc>
          <w:tcPr>
            <w:tcW w:w="1886" w:type="dxa"/>
            <w:vMerge/>
            <w:hideMark/>
          </w:tcPr>
          <w:p w14:paraId="2A5A402D"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635CC54E" w14:textId="77777777" w:rsidR="0007690F" w:rsidRPr="00D53A2B" w:rsidRDefault="0007690F" w:rsidP="00A202FD">
            <w:pPr>
              <w:widowControl w:val="0"/>
              <w:spacing w:after="240" w:line="276" w:lineRule="auto"/>
              <w:ind w:firstLine="1"/>
              <w:contextualSpacing/>
              <w:jc w:val="both"/>
            </w:pPr>
            <w:r w:rsidRPr="00D53A2B">
              <w:t>— Düşük serbest fenol ve formaldehit içeriğine sahip fenolik üretan bağlayıcılar (demir ve çelik dökümleri üretimi için); </w:t>
            </w:r>
          </w:p>
        </w:tc>
        <w:tc>
          <w:tcPr>
            <w:tcW w:w="3048" w:type="dxa"/>
            <w:vMerge/>
            <w:hideMark/>
          </w:tcPr>
          <w:p w14:paraId="790A1BB2" w14:textId="77777777" w:rsidR="0007690F" w:rsidRPr="00D53A2B" w:rsidRDefault="0007690F" w:rsidP="00A202FD">
            <w:pPr>
              <w:widowControl w:val="0"/>
              <w:spacing w:after="240" w:line="276" w:lineRule="auto"/>
              <w:ind w:firstLine="1"/>
              <w:contextualSpacing/>
              <w:jc w:val="both"/>
            </w:pPr>
          </w:p>
        </w:tc>
      </w:tr>
      <w:tr w:rsidR="0007690F" w:rsidRPr="00D53A2B" w14:paraId="3B5A5C99" w14:textId="77777777" w:rsidTr="00A202FD">
        <w:trPr>
          <w:trHeight w:val="320"/>
        </w:trPr>
        <w:tc>
          <w:tcPr>
            <w:tcW w:w="1886" w:type="dxa"/>
            <w:vMerge/>
            <w:hideMark/>
          </w:tcPr>
          <w:p w14:paraId="00540185"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31CAFCC5" w14:textId="77777777" w:rsidR="0007690F" w:rsidRPr="00D53A2B" w:rsidRDefault="0007690F" w:rsidP="00A202FD">
            <w:pPr>
              <w:widowControl w:val="0"/>
              <w:spacing w:after="240" w:line="276" w:lineRule="auto"/>
              <w:ind w:firstLine="1"/>
              <w:contextualSpacing/>
              <w:jc w:val="both"/>
            </w:pPr>
            <w:r w:rsidRPr="00D53A2B">
              <w:t>— Çözücülerinin azaltılmış miktarlarıyla fenolik üretan bağlayıcılar (demir ve çelik dökümleri üretimi için).</w:t>
            </w:r>
          </w:p>
        </w:tc>
        <w:tc>
          <w:tcPr>
            <w:tcW w:w="3048" w:type="dxa"/>
            <w:vMerge/>
            <w:hideMark/>
          </w:tcPr>
          <w:p w14:paraId="534FE6E9" w14:textId="77777777" w:rsidR="0007690F" w:rsidRPr="00D53A2B" w:rsidRDefault="0007690F" w:rsidP="00A202FD">
            <w:pPr>
              <w:widowControl w:val="0"/>
              <w:spacing w:after="240" w:line="276" w:lineRule="auto"/>
              <w:ind w:firstLine="1"/>
              <w:contextualSpacing/>
              <w:jc w:val="both"/>
            </w:pPr>
          </w:p>
        </w:tc>
      </w:tr>
      <w:tr w:rsidR="0007690F" w:rsidRPr="00D53A2B" w14:paraId="18931CC0" w14:textId="77777777" w:rsidTr="00A202FD">
        <w:trPr>
          <w:trHeight w:val="320"/>
        </w:trPr>
        <w:tc>
          <w:tcPr>
            <w:tcW w:w="1886" w:type="dxa"/>
            <w:vMerge w:val="restart"/>
            <w:noWrap/>
            <w:hideMark/>
          </w:tcPr>
          <w:p w14:paraId="149F3F43" w14:textId="77777777" w:rsidR="0007690F" w:rsidRPr="00D53A2B" w:rsidRDefault="0007690F" w:rsidP="00A202FD">
            <w:pPr>
              <w:widowControl w:val="0"/>
              <w:spacing w:after="240" w:line="276" w:lineRule="auto"/>
              <w:ind w:firstLine="1"/>
              <w:contextualSpacing/>
              <w:jc w:val="both"/>
            </w:pPr>
            <w:r w:rsidRPr="00D53A2B">
              <w:t>f. Düşük emisyonlu sıcak kürleme bağlayıcı sisteminin seçimi</w:t>
            </w:r>
          </w:p>
        </w:tc>
        <w:tc>
          <w:tcPr>
            <w:tcW w:w="4128" w:type="dxa"/>
            <w:noWrap/>
            <w:hideMark/>
          </w:tcPr>
          <w:p w14:paraId="3C4AB379" w14:textId="77777777" w:rsidR="0007690F" w:rsidRPr="00D53A2B" w:rsidRDefault="0007690F" w:rsidP="00A202FD">
            <w:pPr>
              <w:widowControl w:val="0"/>
              <w:spacing w:after="240" w:line="276" w:lineRule="auto"/>
              <w:ind w:firstLine="1"/>
              <w:contextualSpacing/>
              <w:jc w:val="both"/>
            </w:pPr>
            <w:r w:rsidRPr="00D53A2B">
              <w:t>Formaldehit, fenol, furfüril alkol, benzen, izosiyanatlar vb. düşük emisyonlar üreten bir sıcak kürleme bağlayıcı sistemi seçilir. Bu, aşağıdaki kullanımını içerir: </w:t>
            </w:r>
          </w:p>
        </w:tc>
        <w:tc>
          <w:tcPr>
            <w:tcW w:w="3048" w:type="dxa"/>
            <w:vMerge w:val="restart"/>
            <w:noWrap/>
            <w:hideMark/>
          </w:tcPr>
          <w:p w14:paraId="18D40366" w14:textId="77777777" w:rsidR="0007690F" w:rsidRPr="00D53A2B" w:rsidRDefault="0007690F" w:rsidP="00A202FD">
            <w:pPr>
              <w:widowControl w:val="0"/>
              <w:spacing w:after="240" w:line="276" w:lineRule="auto"/>
              <w:ind w:firstLine="1"/>
              <w:contextualSpacing/>
              <w:jc w:val="both"/>
            </w:pPr>
            <w:r w:rsidRPr="00D53A2B">
              <w:t>Ürün özelliklerine bağlı olarak uygulanabilirlik sınırlı olabilir.</w:t>
            </w:r>
          </w:p>
        </w:tc>
      </w:tr>
      <w:tr w:rsidR="0007690F" w:rsidRPr="00D53A2B" w14:paraId="018A7332" w14:textId="77777777" w:rsidTr="00A202FD">
        <w:trPr>
          <w:trHeight w:val="320"/>
        </w:trPr>
        <w:tc>
          <w:tcPr>
            <w:tcW w:w="1886" w:type="dxa"/>
            <w:vMerge/>
            <w:hideMark/>
          </w:tcPr>
          <w:p w14:paraId="5EC2AA2B"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6D072B34" w14:textId="77777777" w:rsidR="0007690F" w:rsidRPr="00D53A2B" w:rsidRDefault="0007690F" w:rsidP="00A202FD">
            <w:pPr>
              <w:widowControl w:val="0"/>
              <w:spacing w:after="240" w:line="276" w:lineRule="auto"/>
              <w:ind w:firstLine="1"/>
              <w:contextualSpacing/>
              <w:jc w:val="both"/>
            </w:pPr>
            <w:r w:rsidRPr="00D53A2B">
              <w:t>— Polisialatlar temelinde inorganik bağlayıcılar; </w:t>
            </w:r>
          </w:p>
        </w:tc>
        <w:tc>
          <w:tcPr>
            <w:tcW w:w="3048" w:type="dxa"/>
            <w:vMerge/>
            <w:hideMark/>
          </w:tcPr>
          <w:p w14:paraId="47116632" w14:textId="77777777" w:rsidR="0007690F" w:rsidRPr="00D53A2B" w:rsidRDefault="0007690F" w:rsidP="00A202FD">
            <w:pPr>
              <w:widowControl w:val="0"/>
              <w:spacing w:after="240" w:line="276" w:lineRule="auto"/>
              <w:ind w:firstLine="1"/>
              <w:contextualSpacing/>
              <w:jc w:val="both"/>
            </w:pPr>
          </w:p>
        </w:tc>
      </w:tr>
      <w:tr w:rsidR="0007690F" w:rsidRPr="00D53A2B" w14:paraId="7A47D9AB" w14:textId="77777777" w:rsidTr="00A202FD">
        <w:trPr>
          <w:trHeight w:val="320"/>
        </w:trPr>
        <w:tc>
          <w:tcPr>
            <w:tcW w:w="1886" w:type="dxa"/>
            <w:vMerge/>
            <w:hideMark/>
          </w:tcPr>
          <w:p w14:paraId="3771EF46"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28F52D6B" w14:textId="77777777" w:rsidR="0007690F" w:rsidRPr="00D53A2B" w:rsidRDefault="0007690F" w:rsidP="00A202FD">
            <w:pPr>
              <w:widowControl w:val="0"/>
              <w:spacing w:after="240" w:line="276" w:lineRule="auto"/>
              <w:ind w:firstLine="1"/>
              <w:contextualSpacing/>
              <w:jc w:val="both"/>
            </w:pPr>
            <w:r w:rsidRPr="00D53A2B">
              <w:t>— Fenol, formaldehit ve izosiyanatlar içermeyen sıcak kutu işlemiyle sertleştirilen inorganik bağlayıcılar (örneğin, karmaşık şekilli alüminyum dökümleri hazırlamak için); </w:t>
            </w:r>
          </w:p>
        </w:tc>
        <w:tc>
          <w:tcPr>
            <w:tcW w:w="3048" w:type="dxa"/>
            <w:vMerge/>
            <w:hideMark/>
          </w:tcPr>
          <w:p w14:paraId="60DC30C5" w14:textId="77777777" w:rsidR="0007690F" w:rsidRPr="00D53A2B" w:rsidRDefault="0007690F" w:rsidP="00A202FD">
            <w:pPr>
              <w:widowControl w:val="0"/>
              <w:spacing w:after="240" w:line="276" w:lineRule="auto"/>
              <w:ind w:firstLine="1"/>
              <w:contextualSpacing/>
              <w:jc w:val="both"/>
            </w:pPr>
          </w:p>
        </w:tc>
      </w:tr>
      <w:tr w:rsidR="0007690F" w:rsidRPr="00D53A2B" w14:paraId="34C1260C" w14:textId="77777777" w:rsidTr="00A202FD">
        <w:trPr>
          <w:trHeight w:val="320"/>
        </w:trPr>
        <w:tc>
          <w:tcPr>
            <w:tcW w:w="1886" w:type="dxa"/>
            <w:vMerge/>
            <w:hideMark/>
          </w:tcPr>
          <w:p w14:paraId="317668BD" w14:textId="77777777" w:rsidR="0007690F" w:rsidRPr="00D53A2B" w:rsidRDefault="0007690F" w:rsidP="00A202FD">
            <w:pPr>
              <w:widowControl w:val="0"/>
              <w:spacing w:after="240" w:line="276" w:lineRule="auto"/>
              <w:ind w:firstLine="1"/>
              <w:contextualSpacing/>
              <w:jc w:val="both"/>
            </w:pPr>
          </w:p>
        </w:tc>
        <w:tc>
          <w:tcPr>
            <w:tcW w:w="4128" w:type="dxa"/>
            <w:noWrap/>
            <w:hideMark/>
          </w:tcPr>
          <w:p w14:paraId="269CD8A1" w14:textId="77777777" w:rsidR="0007690F" w:rsidRPr="00D53A2B" w:rsidRDefault="0007690F" w:rsidP="00A202FD">
            <w:pPr>
              <w:widowControl w:val="0"/>
              <w:spacing w:after="240" w:line="276" w:lineRule="auto"/>
              <w:ind w:firstLine="1"/>
              <w:contextualSpacing/>
              <w:jc w:val="both"/>
            </w:pPr>
            <w:r w:rsidRPr="00D53A2B">
              <w:t>— Alifatik poliüretan sıcak kutu bağlayıcıları (soğuk kutu işlemine alternatif olarak kullanılır).</w:t>
            </w:r>
          </w:p>
        </w:tc>
        <w:tc>
          <w:tcPr>
            <w:tcW w:w="3048" w:type="dxa"/>
            <w:vMerge/>
            <w:hideMark/>
          </w:tcPr>
          <w:p w14:paraId="6A2F5447" w14:textId="77777777" w:rsidR="0007690F" w:rsidRPr="00D53A2B" w:rsidRDefault="0007690F" w:rsidP="00A202FD">
            <w:pPr>
              <w:widowControl w:val="0"/>
              <w:spacing w:after="240" w:line="276" w:lineRule="auto"/>
              <w:ind w:firstLine="1"/>
              <w:contextualSpacing/>
              <w:jc w:val="both"/>
            </w:pPr>
          </w:p>
        </w:tc>
      </w:tr>
      <w:tr w:rsidR="00967E59" w:rsidRPr="00D53A2B" w14:paraId="242A8F3C" w14:textId="77777777" w:rsidTr="006011C6">
        <w:trPr>
          <w:trHeight w:val="320"/>
        </w:trPr>
        <w:tc>
          <w:tcPr>
            <w:tcW w:w="9062" w:type="dxa"/>
            <w:gridSpan w:val="3"/>
            <w:noWrap/>
            <w:hideMark/>
          </w:tcPr>
          <w:p w14:paraId="3DC1AA11" w14:textId="77777777" w:rsidR="00967E59" w:rsidRPr="00D53A2B" w:rsidRDefault="00967E59" w:rsidP="00A202FD">
            <w:pPr>
              <w:widowControl w:val="0"/>
              <w:spacing w:after="240" w:line="276" w:lineRule="auto"/>
              <w:ind w:firstLine="1"/>
              <w:contextualSpacing/>
              <w:jc w:val="both"/>
              <w:rPr>
                <w:b/>
                <w:bCs/>
              </w:rPr>
            </w:pPr>
            <w:r w:rsidRPr="00D53A2B">
              <w:rPr>
                <w:b/>
                <w:bCs/>
              </w:rPr>
              <w:t>Kimyasal bağlı kumla kalıplama ve çekirdek yapımı için genel teknikler</w:t>
            </w:r>
          </w:p>
          <w:p w14:paraId="5A9F1662" w14:textId="0354B5EB" w:rsidR="00967E59" w:rsidRPr="00D53A2B" w:rsidRDefault="00967E59" w:rsidP="00967E59">
            <w:pPr>
              <w:widowControl w:val="0"/>
              <w:spacing w:after="240" w:line="276" w:lineRule="auto"/>
              <w:ind w:firstLine="1"/>
              <w:contextualSpacing/>
              <w:jc w:val="both"/>
            </w:pPr>
          </w:p>
        </w:tc>
      </w:tr>
      <w:tr w:rsidR="0007690F" w:rsidRPr="00D53A2B" w14:paraId="3382D754" w14:textId="77777777" w:rsidTr="00A202FD">
        <w:trPr>
          <w:trHeight w:val="320"/>
        </w:trPr>
        <w:tc>
          <w:tcPr>
            <w:tcW w:w="1886" w:type="dxa"/>
            <w:noWrap/>
            <w:hideMark/>
          </w:tcPr>
          <w:p w14:paraId="0FC5BE47" w14:textId="77777777" w:rsidR="0007690F" w:rsidRPr="00D53A2B" w:rsidRDefault="0007690F" w:rsidP="00A202FD">
            <w:pPr>
              <w:widowControl w:val="0"/>
              <w:spacing w:after="240" w:line="276" w:lineRule="auto"/>
              <w:ind w:firstLine="1"/>
              <w:contextualSpacing/>
              <w:jc w:val="both"/>
            </w:pPr>
            <w:r w:rsidRPr="00D53A2B">
              <w:t>g. Bağlayıcı ve reçine tüketiminin optimizasyonu</w:t>
            </w:r>
          </w:p>
        </w:tc>
        <w:tc>
          <w:tcPr>
            <w:tcW w:w="4128" w:type="dxa"/>
            <w:noWrap/>
            <w:hideMark/>
          </w:tcPr>
          <w:p w14:paraId="3021563A"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3048" w:type="dxa"/>
            <w:noWrap/>
            <w:hideMark/>
          </w:tcPr>
          <w:p w14:paraId="09F5BDE6" w14:textId="77777777" w:rsidR="0007690F" w:rsidRPr="00D53A2B" w:rsidRDefault="0007690F" w:rsidP="00A202FD">
            <w:pPr>
              <w:widowControl w:val="0"/>
              <w:spacing w:after="240" w:line="276" w:lineRule="auto"/>
              <w:ind w:firstLine="1"/>
              <w:contextualSpacing/>
              <w:jc w:val="both"/>
            </w:pPr>
            <w:r w:rsidRPr="00D53A2B">
              <w:t>Genellikle uygulanabilir.</w:t>
            </w:r>
          </w:p>
        </w:tc>
      </w:tr>
      <w:tr w:rsidR="0007690F" w:rsidRPr="00D53A2B" w14:paraId="3A17A577" w14:textId="77777777" w:rsidTr="00A202FD">
        <w:trPr>
          <w:trHeight w:val="320"/>
        </w:trPr>
        <w:tc>
          <w:tcPr>
            <w:tcW w:w="1886" w:type="dxa"/>
            <w:noWrap/>
            <w:hideMark/>
          </w:tcPr>
          <w:p w14:paraId="3D8B82E3" w14:textId="77777777" w:rsidR="0007690F" w:rsidRPr="00D53A2B" w:rsidRDefault="0007690F" w:rsidP="00A202FD">
            <w:pPr>
              <w:widowControl w:val="0"/>
              <w:spacing w:after="240" w:line="276" w:lineRule="auto"/>
              <w:ind w:firstLine="1"/>
              <w:contextualSpacing/>
              <w:jc w:val="both"/>
            </w:pPr>
            <w:r w:rsidRPr="00D53A2B">
              <w:t>h. Soğuk kürleme süreçleri için en iyi uygulamalar</w:t>
            </w:r>
          </w:p>
        </w:tc>
        <w:tc>
          <w:tcPr>
            <w:tcW w:w="4128" w:type="dxa"/>
            <w:noWrap/>
            <w:hideMark/>
          </w:tcPr>
          <w:p w14:paraId="2C292259"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3048" w:type="dxa"/>
            <w:noWrap/>
            <w:hideMark/>
          </w:tcPr>
          <w:p w14:paraId="411768AE" w14:textId="77777777" w:rsidR="0007690F" w:rsidRPr="00D53A2B" w:rsidRDefault="0007690F" w:rsidP="00A202FD">
            <w:pPr>
              <w:widowControl w:val="0"/>
              <w:spacing w:after="240" w:line="276" w:lineRule="auto"/>
              <w:ind w:firstLine="1"/>
              <w:contextualSpacing/>
              <w:jc w:val="both"/>
            </w:pPr>
            <w:r w:rsidRPr="00D53A2B">
              <w:t>Genellikle uygulanabilir.</w:t>
            </w:r>
          </w:p>
        </w:tc>
      </w:tr>
      <w:tr w:rsidR="0007690F" w:rsidRPr="00D53A2B" w14:paraId="14F85C90" w14:textId="77777777" w:rsidTr="00A202FD">
        <w:trPr>
          <w:trHeight w:val="320"/>
        </w:trPr>
        <w:tc>
          <w:tcPr>
            <w:tcW w:w="1886" w:type="dxa"/>
            <w:noWrap/>
            <w:hideMark/>
          </w:tcPr>
          <w:p w14:paraId="3833A04C" w14:textId="77777777" w:rsidR="0007690F" w:rsidRPr="00D53A2B" w:rsidRDefault="0007690F" w:rsidP="00A202FD">
            <w:pPr>
              <w:widowControl w:val="0"/>
              <w:spacing w:after="240" w:line="276" w:lineRule="auto"/>
              <w:ind w:firstLine="1"/>
              <w:contextualSpacing/>
              <w:jc w:val="both"/>
            </w:pPr>
            <w:r w:rsidRPr="00D53A2B">
              <w:t>i. Gazla sertleştirme süreçleri için en iyi uygulamalar</w:t>
            </w:r>
          </w:p>
        </w:tc>
        <w:tc>
          <w:tcPr>
            <w:tcW w:w="4128" w:type="dxa"/>
            <w:noWrap/>
            <w:hideMark/>
          </w:tcPr>
          <w:p w14:paraId="2F9943D3"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3048" w:type="dxa"/>
            <w:noWrap/>
            <w:hideMark/>
          </w:tcPr>
          <w:p w14:paraId="25CBC2AE" w14:textId="77777777" w:rsidR="0007690F" w:rsidRPr="00D53A2B" w:rsidRDefault="0007690F" w:rsidP="00A202FD">
            <w:pPr>
              <w:widowControl w:val="0"/>
              <w:spacing w:after="240" w:line="276" w:lineRule="auto"/>
              <w:ind w:firstLine="1"/>
              <w:contextualSpacing/>
              <w:jc w:val="both"/>
            </w:pPr>
            <w:r w:rsidRPr="00D53A2B">
              <w:t>Genellikle uygulanabilir.</w:t>
            </w:r>
          </w:p>
        </w:tc>
      </w:tr>
      <w:tr w:rsidR="0007690F" w:rsidRPr="00D53A2B" w14:paraId="30C0E3A7" w14:textId="77777777" w:rsidTr="00A202FD">
        <w:trPr>
          <w:trHeight w:val="320"/>
        </w:trPr>
        <w:tc>
          <w:tcPr>
            <w:tcW w:w="1886" w:type="dxa"/>
            <w:noWrap/>
            <w:hideMark/>
          </w:tcPr>
          <w:p w14:paraId="1703C181" w14:textId="77777777" w:rsidR="0007690F" w:rsidRPr="00D53A2B" w:rsidRDefault="0007690F" w:rsidP="00A202FD">
            <w:pPr>
              <w:widowControl w:val="0"/>
              <w:spacing w:after="240" w:line="276" w:lineRule="auto"/>
              <w:ind w:firstLine="1"/>
              <w:contextualSpacing/>
              <w:jc w:val="both"/>
            </w:pPr>
            <w:r w:rsidRPr="00D53A2B">
              <w:t>j. Soğuk kutu çekirdek üretimi için aromatik olmayan çözücüler kullanımı</w:t>
            </w:r>
          </w:p>
        </w:tc>
        <w:tc>
          <w:tcPr>
            <w:tcW w:w="4128" w:type="dxa"/>
            <w:noWrap/>
            <w:hideMark/>
          </w:tcPr>
          <w:p w14:paraId="06232664" w14:textId="77777777" w:rsidR="0007690F" w:rsidRPr="00D53A2B" w:rsidRDefault="0007690F" w:rsidP="00A202FD">
            <w:pPr>
              <w:widowControl w:val="0"/>
              <w:spacing w:after="240" w:line="276" w:lineRule="auto"/>
              <w:ind w:firstLine="1"/>
              <w:contextualSpacing/>
              <w:jc w:val="both"/>
            </w:pPr>
            <w:r w:rsidRPr="00D53A2B">
              <w:t>VOC emisyonlarını (örneğin, benzen, toluen) azaltmak için protein veya hayvansal yağ (örneğin, bitkisel yağların yağ asidi metil esterleri) veya silikat esterleri temelinde aromatik olmayan çözücüler kullanılır.</w:t>
            </w:r>
          </w:p>
        </w:tc>
        <w:tc>
          <w:tcPr>
            <w:tcW w:w="3048" w:type="dxa"/>
            <w:noWrap/>
            <w:hideMark/>
          </w:tcPr>
          <w:p w14:paraId="0D848A78" w14:textId="77777777" w:rsidR="0007690F" w:rsidRPr="00D53A2B" w:rsidRDefault="0007690F" w:rsidP="00A202FD">
            <w:pPr>
              <w:widowControl w:val="0"/>
              <w:spacing w:after="240" w:line="276" w:lineRule="auto"/>
              <w:ind w:firstLine="1"/>
              <w:contextualSpacing/>
              <w:jc w:val="both"/>
            </w:pPr>
            <w:r w:rsidRPr="00D53A2B">
              <w:t>Genellikle uygulanabilir.</w:t>
            </w:r>
          </w:p>
        </w:tc>
      </w:tr>
      <w:tr w:rsidR="0007690F" w:rsidRPr="00D53A2B" w14:paraId="2B16D4C3" w14:textId="77777777" w:rsidTr="00A202FD">
        <w:trPr>
          <w:trHeight w:val="10132"/>
        </w:trPr>
        <w:tc>
          <w:tcPr>
            <w:tcW w:w="1886" w:type="dxa"/>
            <w:noWrap/>
            <w:hideMark/>
          </w:tcPr>
          <w:p w14:paraId="72EA5123" w14:textId="77777777" w:rsidR="0007690F" w:rsidRPr="00D53A2B" w:rsidRDefault="0007690F" w:rsidP="00A202FD">
            <w:pPr>
              <w:widowControl w:val="0"/>
              <w:spacing w:after="240" w:line="276" w:lineRule="auto"/>
              <w:ind w:firstLine="1"/>
              <w:contextualSpacing/>
              <w:jc w:val="both"/>
            </w:pPr>
            <w:r w:rsidRPr="00D53A2B">
              <w:t>k. Sıcak kürleme işlemleri için en iyi uygulamalar</w:t>
            </w:r>
          </w:p>
        </w:tc>
        <w:tc>
          <w:tcPr>
            <w:tcW w:w="4128" w:type="dxa"/>
            <w:noWrap/>
            <w:hideMark/>
          </w:tcPr>
          <w:p w14:paraId="223792E5" w14:textId="77777777" w:rsidR="0007690F" w:rsidRPr="00D53A2B" w:rsidRDefault="0007690F" w:rsidP="00A202FD">
            <w:pPr>
              <w:widowControl w:val="0"/>
              <w:spacing w:after="240" w:line="276" w:lineRule="auto"/>
              <w:ind w:firstLine="1"/>
              <w:contextualSpacing/>
              <w:jc w:val="both"/>
            </w:pPr>
            <w:r w:rsidRPr="00D53A2B">
              <w:t>Bir dizi sıcak kürleme işlemi kullanılabilir ve her işlem optimize edilmek için bir dizi önlem alınır, şunları içerir: </w:t>
            </w:r>
          </w:p>
          <w:p w14:paraId="490B1350" w14:textId="77777777" w:rsidR="0007690F" w:rsidRPr="00D53A2B" w:rsidRDefault="0007690F" w:rsidP="00A202FD">
            <w:pPr>
              <w:widowControl w:val="0"/>
              <w:spacing w:after="240" w:line="276" w:lineRule="auto"/>
              <w:ind w:firstLine="1"/>
              <w:contextualSpacing/>
              <w:jc w:val="both"/>
              <w:rPr>
                <w:b/>
                <w:bCs/>
              </w:rPr>
            </w:pPr>
            <w:r w:rsidRPr="00D53A2B">
              <w:rPr>
                <w:b/>
                <w:bCs/>
              </w:rPr>
              <w:t>Hot-box işlemi</w:t>
            </w:r>
            <w:r w:rsidRPr="00D53A2B">
              <w:t>: </w:t>
            </w:r>
          </w:p>
          <w:p w14:paraId="48F0BFC6" w14:textId="77777777" w:rsidR="0007690F" w:rsidRPr="00D53A2B" w:rsidRDefault="0007690F" w:rsidP="00A202FD">
            <w:pPr>
              <w:widowControl w:val="0"/>
              <w:spacing w:after="240" w:line="276" w:lineRule="auto"/>
              <w:ind w:firstLine="1"/>
              <w:contextualSpacing/>
              <w:jc w:val="both"/>
            </w:pPr>
            <w:r w:rsidRPr="00D53A2B">
              <w:t>— Kürleme optimum sıcaklık aralığında yapılır (örneğin, 220 °C ile 300 °C); </w:t>
            </w:r>
          </w:p>
          <w:p w14:paraId="56F9F55B" w14:textId="77777777" w:rsidR="0007690F" w:rsidRPr="00D53A2B" w:rsidRDefault="0007690F" w:rsidP="00A202FD">
            <w:pPr>
              <w:widowControl w:val="0"/>
              <w:spacing w:after="240" w:line="276" w:lineRule="auto"/>
              <w:ind w:firstLine="1"/>
              <w:contextualSpacing/>
              <w:jc w:val="both"/>
            </w:pPr>
            <w:r w:rsidRPr="00D53A2B">
              <w:t>— Çekirdek yüzeyinde döküm sırasında kırılganlık oluşturabilecek yanmaları önlemek için genellikle su bazlı kaplamalarla önceden kaplanır; </w:t>
            </w:r>
          </w:p>
          <w:p w14:paraId="4E468983" w14:textId="77777777" w:rsidR="0007690F" w:rsidRPr="00D53A2B" w:rsidRDefault="0007690F" w:rsidP="00A202FD">
            <w:pPr>
              <w:widowControl w:val="0"/>
              <w:spacing w:after="240" w:line="276" w:lineRule="auto"/>
              <w:ind w:firstLine="1"/>
              <w:contextualSpacing/>
              <w:jc w:val="both"/>
            </w:pPr>
            <w:r w:rsidRPr="00D53A2B">
              <w:t>— Çekirdek üfleme makineleri ve etrafları iyi havalandırılır ve formaldehitin verimli bir şekilde yakalanabilmesi için egzoz edilir. </w:t>
            </w:r>
          </w:p>
          <w:p w14:paraId="03163E2F" w14:textId="77777777" w:rsidR="0007690F" w:rsidRPr="00D53A2B" w:rsidRDefault="0007690F" w:rsidP="00A202FD">
            <w:pPr>
              <w:widowControl w:val="0"/>
              <w:spacing w:after="240" w:line="276" w:lineRule="auto"/>
              <w:ind w:firstLine="1"/>
              <w:contextualSpacing/>
              <w:jc w:val="both"/>
              <w:rPr>
                <w:b/>
                <w:bCs/>
              </w:rPr>
            </w:pPr>
            <w:r w:rsidRPr="00D53A2B">
              <w:rPr>
                <w:b/>
                <w:bCs/>
              </w:rPr>
              <w:t>Warm-box işlemi</w:t>
            </w:r>
            <w:r w:rsidRPr="00D53A2B">
              <w:t>: </w:t>
            </w:r>
          </w:p>
          <w:p w14:paraId="075C5184" w14:textId="77777777" w:rsidR="0007690F" w:rsidRPr="00D53A2B" w:rsidRDefault="0007690F" w:rsidP="00A202FD">
            <w:pPr>
              <w:widowControl w:val="0"/>
              <w:spacing w:after="240" w:line="276" w:lineRule="auto"/>
              <w:ind w:firstLine="1"/>
              <w:contextualSpacing/>
              <w:jc w:val="both"/>
            </w:pPr>
            <w:r w:rsidRPr="00D53A2B">
              <w:t>— Kürleme, hot-box işlemine göre daha düşük optimum sıcaklık aralığında yapılır (örneğin, 150 °C ile 190 °C), bu da daha düşük emisyonlar ve daha düşük enerji tüketimi sağlar. </w:t>
            </w:r>
          </w:p>
          <w:p w14:paraId="7BAFF085" w14:textId="77777777" w:rsidR="0007690F" w:rsidRPr="00D53A2B" w:rsidRDefault="0007690F" w:rsidP="00A202FD">
            <w:pPr>
              <w:widowControl w:val="0"/>
              <w:spacing w:after="240" w:line="276" w:lineRule="auto"/>
              <w:ind w:firstLine="1"/>
              <w:contextualSpacing/>
              <w:jc w:val="both"/>
              <w:rPr>
                <w:b/>
                <w:bCs/>
              </w:rPr>
            </w:pPr>
            <w:r w:rsidRPr="00D53A2B">
              <w:rPr>
                <w:b/>
                <w:bCs/>
              </w:rPr>
              <w:t>Shell (Croning)</w:t>
            </w:r>
            <w:r w:rsidRPr="00D53A2B">
              <w:t>: </w:t>
            </w:r>
          </w:p>
          <w:p w14:paraId="27AB1EA9" w14:textId="77777777" w:rsidR="0007690F" w:rsidRPr="00D53A2B" w:rsidRDefault="0007690F" w:rsidP="00A202FD">
            <w:pPr>
              <w:widowControl w:val="0"/>
              <w:spacing w:after="240" w:line="276" w:lineRule="auto"/>
              <w:ind w:firstLine="1"/>
              <w:contextualSpacing/>
              <w:jc w:val="both"/>
            </w:pPr>
            <w:r w:rsidRPr="00D53A2B">
              <w:t>— Fenol-formaldehit reçinesi ile önceden kaplanmış kumlar, 160 °C’de dekompoze olan heksametilentetramin ile bağlanır, bu da formaldehit ve amonyak salınımına yol açar. </w:t>
            </w:r>
          </w:p>
          <w:p w14:paraId="6AC409CA" w14:textId="77777777" w:rsidR="0007690F" w:rsidRPr="00D53A2B" w:rsidRDefault="0007690F" w:rsidP="00A202FD">
            <w:pPr>
              <w:widowControl w:val="0"/>
              <w:spacing w:after="240" w:line="276" w:lineRule="auto"/>
              <w:ind w:firstLine="1"/>
              <w:contextualSpacing/>
              <w:jc w:val="both"/>
            </w:pPr>
            <w:r w:rsidRPr="00D53A2B">
              <w:t>Kürleme ve/veya çekirdek üfleme alanı, kürleme sırasında salınan amonyak ve formaldehidi verimli bir şekilde yakalamak için iyi havalandırılır ve egzoz edilir.</w:t>
            </w:r>
          </w:p>
        </w:tc>
        <w:tc>
          <w:tcPr>
            <w:tcW w:w="3048" w:type="dxa"/>
            <w:noWrap/>
            <w:hideMark/>
          </w:tcPr>
          <w:p w14:paraId="7DB886C3" w14:textId="77777777" w:rsidR="0007690F" w:rsidRPr="00D53A2B" w:rsidRDefault="0007690F" w:rsidP="00A202FD">
            <w:pPr>
              <w:widowControl w:val="0"/>
              <w:spacing w:after="240" w:line="276" w:lineRule="auto"/>
              <w:ind w:firstLine="1"/>
              <w:contextualSpacing/>
              <w:jc w:val="both"/>
            </w:pPr>
            <w:r w:rsidRPr="00D53A2B">
              <w:t>Genellikle uygulanabilir.</w:t>
            </w:r>
          </w:p>
        </w:tc>
      </w:tr>
      <w:tr w:rsidR="0007690F" w:rsidRPr="00D53A2B" w14:paraId="25DB65D9" w14:textId="77777777" w:rsidTr="00A202FD">
        <w:trPr>
          <w:trHeight w:val="320"/>
        </w:trPr>
        <w:tc>
          <w:tcPr>
            <w:tcW w:w="9062" w:type="dxa"/>
            <w:gridSpan w:val="3"/>
            <w:noWrap/>
            <w:hideMark/>
          </w:tcPr>
          <w:p w14:paraId="4DBB4F3B" w14:textId="3CCEDC11" w:rsidR="0007690F" w:rsidRPr="00D53A2B" w:rsidRDefault="0007690F" w:rsidP="00A202FD">
            <w:pPr>
              <w:widowControl w:val="0"/>
              <w:spacing w:after="240" w:line="276" w:lineRule="auto"/>
              <w:ind w:firstLine="1"/>
              <w:contextualSpacing/>
              <w:jc w:val="both"/>
              <w:rPr>
                <w:b/>
                <w:bCs/>
              </w:rPr>
            </w:pPr>
            <w:r w:rsidRPr="00D53A2B">
              <w:rPr>
                <w:b/>
                <w:bCs/>
              </w:rPr>
              <w:t>Kalıplara ve çekirdeklerine uygulanan kaplamalarla ilgili teknikler</w:t>
            </w:r>
          </w:p>
        </w:tc>
      </w:tr>
      <w:tr w:rsidR="0007690F" w:rsidRPr="00D53A2B" w14:paraId="14C0C057" w14:textId="77777777" w:rsidTr="00A202FD">
        <w:trPr>
          <w:trHeight w:val="320"/>
        </w:trPr>
        <w:tc>
          <w:tcPr>
            <w:tcW w:w="1886" w:type="dxa"/>
            <w:vMerge w:val="restart"/>
            <w:noWrap/>
            <w:hideMark/>
          </w:tcPr>
          <w:p w14:paraId="6CDF0062" w14:textId="77777777" w:rsidR="0007690F" w:rsidRPr="00D53A2B" w:rsidRDefault="0007690F" w:rsidP="00A202FD">
            <w:pPr>
              <w:widowControl w:val="0"/>
              <w:spacing w:after="240" w:line="276" w:lineRule="auto"/>
              <w:ind w:firstLine="1"/>
              <w:contextualSpacing/>
              <w:jc w:val="both"/>
            </w:pPr>
            <w:r w:rsidRPr="00D53A2B">
              <w:t>l. Alkol bazlı kaplamaların su bazlı kaplamalarla değiştirilmesi</w:t>
            </w:r>
          </w:p>
        </w:tc>
        <w:tc>
          <w:tcPr>
            <w:tcW w:w="4128" w:type="dxa"/>
            <w:vMerge w:val="restart"/>
            <w:noWrap/>
            <w:hideMark/>
          </w:tcPr>
          <w:p w14:paraId="421EA58A"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3048" w:type="dxa"/>
            <w:noWrap/>
            <w:hideMark/>
          </w:tcPr>
          <w:p w14:paraId="2CC17560" w14:textId="77777777" w:rsidR="0007690F" w:rsidRPr="00D53A2B" w:rsidRDefault="0007690F" w:rsidP="00A202FD">
            <w:pPr>
              <w:widowControl w:val="0"/>
              <w:spacing w:after="240" w:line="276" w:lineRule="auto"/>
              <w:ind w:firstLine="1"/>
              <w:contextualSpacing/>
              <w:jc w:val="both"/>
            </w:pPr>
            <w:r w:rsidRPr="00D53A2B">
              <w:t>Büyük veya karmaşık döküm şekilleri durumunda, kurutma havasının dolaşımında zorluklar nedeniyle uygulanabilirlik sınırlı olabilir. </w:t>
            </w:r>
          </w:p>
        </w:tc>
      </w:tr>
      <w:tr w:rsidR="0007690F" w:rsidRPr="00D53A2B" w14:paraId="40614404" w14:textId="77777777" w:rsidTr="00A202FD">
        <w:trPr>
          <w:trHeight w:val="320"/>
        </w:trPr>
        <w:tc>
          <w:tcPr>
            <w:tcW w:w="1886" w:type="dxa"/>
            <w:vMerge/>
            <w:hideMark/>
          </w:tcPr>
          <w:p w14:paraId="419F82A0" w14:textId="77777777" w:rsidR="0007690F" w:rsidRPr="00D53A2B" w:rsidRDefault="0007690F" w:rsidP="00A202FD">
            <w:pPr>
              <w:widowControl w:val="0"/>
              <w:spacing w:after="240" w:line="276" w:lineRule="auto"/>
              <w:ind w:firstLine="1"/>
              <w:contextualSpacing/>
              <w:jc w:val="both"/>
            </w:pPr>
          </w:p>
        </w:tc>
        <w:tc>
          <w:tcPr>
            <w:tcW w:w="4128" w:type="dxa"/>
            <w:vMerge/>
            <w:hideMark/>
          </w:tcPr>
          <w:p w14:paraId="1F6316BC" w14:textId="77777777" w:rsidR="0007690F" w:rsidRPr="00D53A2B" w:rsidRDefault="0007690F" w:rsidP="00A202FD">
            <w:pPr>
              <w:widowControl w:val="0"/>
              <w:spacing w:after="240" w:line="276" w:lineRule="auto"/>
              <w:ind w:firstLine="1"/>
              <w:contextualSpacing/>
              <w:jc w:val="both"/>
            </w:pPr>
          </w:p>
        </w:tc>
        <w:tc>
          <w:tcPr>
            <w:tcW w:w="3048" w:type="dxa"/>
            <w:noWrap/>
            <w:hideMark/>
          </w:tcPr>
          <w:p w14:paraId="376BDF46" w14:textId="77777777" w:rsidR="0007690F" w:rsidRPr="00D53A2B" w:rsidRDefault="0007690F" w:rsidP="00A202FD">
            <w:pPr>
              <w:widowControl w:val="0"/>
              <w:spacing w:after="240" w:line="276" w:lineRule="auto"/>
              <w:ind w:firstLine="1"/>
              <w:contextualSpacing/>
              <w:jc w:val="both"/>
              <w:rPr>
                <w:b/>
                <w:bCs/>
              </w:rPr>
            </w:pPr>
            <w:r w:rsidRPr="00D53A2B">
              <w:rPr>
                <w:b/>
                <w:bCs/>
              </w:rPr>
              <w:t>Su camı ile bağlı kumlar</w:t>
            </w:r>
            <w:r w:rsidRPr="00D53A2B">
              <w:t>, </w:t>
            </w:r>
            <w:r w:rsidRPr="00D53A2B">
              <w:rPr>
                <w:b/>
                <w:bCs/>
              </w:rPr>
              <w:t>magnezyum döküm işlemi</w:t>
            </w:r>
            <w:r w:rsidRPr="00D53A2B">
              <w:t>, </w:t>
            </w:r>
            <w:r w:rsidRPr="00D53A2B">
              <w:rPr>
                <w:b/>
                <w:bCs/>
              </w:rPr>
              <w:t>vakum kalıplama</w:t>
            </w:r>
            <w:r w:rsidRPr="00D53A2B">
              <w:t> veya </w:t>
            </w:r>
            <w:r w:rsidRPr="00D53A2B">
              <w:rPr>
                <w:b/>
                <w:bCs/>
              </w:rPr>
              <w:t>manganez çeliği dökümleri ile MgO kaplama üretimi</w:t>
            </w:r>
            <w:r w:rsidRPr="00D53A2B">
              <w:t> için uygulanmaz.</w:t>
            </w:r>
          </w:p>
        </w:tc>
      </w:tr>
    </w:tbl>
    <w:p w14:paraId="6E7B2125" w14:textId="77777777" w:rsidR="0007690F" w:rsidRPr="00D53A2B" w:rsidRDefault="0007690F" w:rsidP="00A202FD">
      <w:pPr>
        <w:widowControl w:val="0"/>
        <w:spacing w:after="240" w:line="276" w:lineRule="auto"/>
        <w:ind w:firstLine="1"/>
        <w:contextualSpacing/>
        <w:jc w:val="both"/>
      </w:pPr>
    </w:p>
    <w:p w14:paraId="04B38487" w14:textId="77777777" w:rsidR="0007690F" w:rsidRPr="00D53A2B" w:rsidRDefault="0007690F" w:rsidP="00A202FD">
      <w:pPr>
        <w:widowControl w:val="0"/>
        <w:spacing w:after="240" w:line="276" w:lineRule="auto"/>
        <w:ind w:firstLine="1"/>
        <w:contextualSpacing/>
        <w:jc w:val="both"/>
      </w:pPr>
      <w:r w:rsidRPr="00D53A2B">
        <w:t>Tablo 1.8</w:t>
      </w:r>
    </w:p>
    <w:p w14:paraId="75EFDAB9" w14:textId="4C23E5D9" w:rsidR="0007690F" w:rsidRPr="00D53A2B" w:rsidRDefault="0007690F" w:rsidP="00A202FD">
      <w:pPr>
        <w:widowControl w:val="0"/>
        <w:spacing w:after="240" w:line="276" w:lineRule="auto"/>
        <w:ind w:firstLine="1"/>
        <w:contextualSpacing/>
        <w:jc w:val="both"/>
      </w:pPr>
      <w:r w:rsidRPr="00D53A2B">
        <w:t>Kaybolan kalıplar ve çekirdek yapımı ile yapılan dökümden havaya salınan toz, aminler, benzen, formaldehit, fenol ve TVOC için MET ile ilişkilendirilmiş emisyon seviyeleri (</w:t>
      </w:r>
      <w:r w:rsidR="00831B53" w:rsidRPr="00D53A2B">
        <w:t>MET-İES</w:t>
      </w:r>
      <w:r w:rsidRPr="00D53A2B">
        <w:t>)</w:t>
      </w:r>
    </w:p>
    <w:tbl>
      <w:tblPr>
        <w:tblStyle w:val="TabloKlavuzu"/>
        <w:tblW w:w="0" w:type="auto"/>
        <w:tblLook w:val="04A0" w:firstRow="1" w:lastRow="0" w:firstColumn="1" w:lastColumn="0" w:noHBand="0" w:noVBand="1"/>
      </w:tblPr>
      <w:tblGrid>
        <w:gridCol w:w="2069"/>
        <w:gridCol w:w="3122"/>
        <w:gridCol w:w="3869"/>
      </w:tblGrid>
      <w:tr w:rsidR="0007690F" w:rsidRPr="00D53A2B" w14:paraId="23A515B0" w14:textId="77777777" w:rsidTr="00A202FD">
        <w:trPr>
          <w:trHeight w:val="320"/>
        </w:trPr>
        <w:tc>
          <w:tcPr>
            <w:tcW w:w="1970" w:type="dxa"/>
            <w:noWrap/>
            <w:hideMark/>
          </w:tcPr>
          <w:p w14:paraId="0DA6E771" w14:textId="77777777" w:rsidR="0007690F" w:rsidRPr="00D53A2B" w:rsidRDefault="0007690F" w:rsidP="00A202FD">
            <w:pPr>
              <w:widowControl w:val="0"/>
              <w:spacing w:after="240" w:line="276" w:lineRule="auto"/>
              <w:ind w:firstLine="1"/>
              <w:contextualSpacing/>
              <w:jc w:val="both"/>
              <w:rPr>
                <w:b/>
                <w:bCs/>
              </w:rPr>
            </w:pPr>
            <w:r w:rsidRPr="00D53A2B">
              <w:rPr>
                <w:b/>
                <w:bCs/>
              </w:rPr>
              <w:t>Madde/Parametre</w:t>
            </w:r>
          </w:p>
        </w:tc>
        <w:tc>
          <w:tcPr>
            <w:tcW w:w="3167" w:type="dxa"/>
            <w:noWrap/>
            <w:hideMark/>
          </w:tcPr>
          <w:p w14:paraId="570993D2"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3925" w:type="dxa"/>
            <w:noWrap/>
            <w:hideMark/>
          </w:tcPr>
          <w:p w14:paraId="2578BADA" w14:textId="10645C35" w:rsidR="0007690F" w:rsidRPr="00D53A2B" w:rsidRDefault="00831B53" w:rsidP="00A202FD">
            <w:pPr>
              <w:widowControl w:val="0"/>
              <w:spacing w:after="240" w:line="276" w:lineRule="auto"/>
              <w:ind w:firstLine="1"/>
              <w:contextualSpacing/>
              <w:jc w:val="both"/>
              <w:rPr>
                <w:b/>
                <w:bCs/>
              </w:rPr>
            </w:pPr>
            <w:r w:rsidRPr="00D53A2B">
              <w:rPr>
                <w:b/>
                <w:bCs/>
              </w:rPr>
              <w:t>MET-İES</w:t>
            </w:r>
            <w:r w:rsidR="0007690F" w:rsidRPr="00D53A2B">
              <w:rPr>
                <w:b/>
                <w:bCs/>
              </w:rPr>
              <w:t xml:space="preserve"> (Günlük Ortalama veya Örnekleme Dönemi Ortalaması)</w:t>
            </w:r>
          </w:p>
        </w:tc>
      </w:tr>
      <w:tr w:rsidR="0007690F" w:rsidRPr="00D53A2B" w14:paraId="06E99099" w14:textId="77777777" w:rsidTr="00A202FD">
        <w:trPr>
          <w:trHeight w:val="320"/>
        </w:trPr>
        <w:tc>
          <w:tcPr>
            <w:tcW w:w="1970" w:type="dxa"/>
            <w:noWrap/>
            <w:hideMark/>
          </w:tcPr>
          <w:p w14:paraId="0F3DC846" w14:textId="77777777" w:rsidR="0007690F" w:rsidRPr="00D53A2B" w:rsidRDefault="0007690F" w:rsidP="00A202FD">
            <w:pPr>
              <w:widowControl w:val="0"/>
              <w:spacing w:after="240" w:line="276" w:lineRule="auto"/>
              <w:ind w:firstLine="1"/>
              <w:contextualSpacing/>
              <w:jc w:val="both"/>
            </w:pPr>
            <w:r w:rsidRPr="00D53A2B">
              <w:t>Toz</w:t>
            </w:r>
          </w:p>
        </w:tc>
        <w:tc>
          <w:tcPr>
            <w:tcW w:w="3167" w:type="dxa"/>
            <w:vMerge w:val="restart"/>
            <w:noWrap/>
            <w:hideMark/>
          </w:tcPr>
          <w:p w14:paraId="5038D5E8" w14:textId="77777777" w:rsidR="0007690F" w:rsidRPr="00D53A2B" w:rsidRDefault="0007690F" w:rsidP="00A202FD">
            <w:pPr>
              <w:widowControl w:val="0"/>
              <w:spacing w:after="240" w:line="276" w:lineRule="auto"/>
              <w:ind w:firstLine="1"/>
              <w:contextualSpacing/>
              <w:jc w:val="both"/>
            </w:pPr>
            <w:r w:rsidRPr="00D53A2B">
              <w:t>mg/Nm³</w:t>
            </w:r>
          </w:p>
          <w:p w14:paraId="2F731321" w14:textId="77777777" w:rsidR="0007690F" w:rsidRPr="00D53A2B" w:rsidRDefault="0007690F" w:rsidP="00A202FD">
            <w:pPr>
              <w:widowControl w:val="0"/>
              <w:spacing w:after="240" w:line="276" w:lineRule="auto"/>
              <w:ind w:firstLine="1"/>
              <w:contextualSpacing/>
              <w:jc w:val="both"/>
            </w:pPr>
            <w:r w:rsidRPr="00D53A2B">
              <w:t> </w:t>
            </w:r>
          </w:p>
          <w:p w14:paraId="6CB19767" w14:textId="77777777" w:rsidR="0007690F" w:rsidRPr="00D53A2B" w:rsidRDefault="0007690F" w:rsidP="00A202FD">
            <w:pPr>
              <w:widowControl w:val="0"/>
              <w:spacing w:after="240" w:line="276" w:lineRule="auto"/>
              <w:ind w:firstLine="1"/>
              <w:contextualSpacing/>
              <w:jc w:val="both"/>
            </w:pPr>
            <w:r w:rsidRPr="00D53A2B">
              <w:t> </w:t>
            </w:r>
          </w:p>
          <w:p w14:paraId="740A3005" w14:textId="77777777" w:rsidR="0007690F" w:rsidRPr="00D53A2B" w:rsidRDefault="0007690F" w:rsidP="00A202FD">
            <w:pPr>
              <w:widowControl w:val="0"/>
              <w:spacing w:after="240" w:line="276" w:lineRule="auto"/>
              <w:ind w:firstLine="1"/>
              <w:contextualSpacing/>
              <w:jc w:val="both"/>
            </w:pPr>
            <w:r w:rsidRPr="00D53A2B">
              <w:t> </w:t>
            </w:r>
          </w:p>
          <w:p w14:paraId="45E11558" w14:textId="77777777" w:rsidR="0007690F" w:rsidRPr="00D53A2B" w:rsidRDefault="0007690F" w:rsidP="00A202FD">
            <w:pPr>
              <w:widowControl w:val="0"/>
              <w:spacing w:after="240" w:line="276" w:lineRule="auto"/>
              <w:ind w:firstLine="1"/>
              <w:contextualSpacing/>
              <w:jc w:val="both"/>
            </w:pPr>
            <w:r w:rsidRPr="00D53A2B">
              <w:t> </w:t>
            </w:r>
          </w:p>
        </w:tc>
        <w:tc>
          <w:tcPr>
            <w:tcW w:w="3925" w:type="dxa"/>
            <w:noWrap/>
            <w:hideMark/>
          </w:tcPr>
          <w:p w14:paraId="66FCAF9A" w14:textId="77777777" w:rsidR="0007690F" w:rsidRPr="00D53A2B" w:rsidRDefault="0007690F" w:rsidP="00A202FD">
            <w:pPr>
              <w:widowControl w:val="0"/>
              <w:spacing w:after="240" w:line="276" w:lineRule="auto"/>
              <w:ind w:firstLine="1"/>
              <w:contextualSpacing/>
              <w:jc w:val="both"/>
            </w:pPr>
            <w:r w:rsidRPr="00D53A2B">
              <w:t>1 – 5</w:t>
            </w:r>
          </w:p>
        </w:tc>
      </w:tr>
      <w:tr w:rsidR="0007690F" w:rsidRPr="00D53A2B" w14:paraId="03F8D4A8" w14:textId="77777777" w:rsidTr="00A202FD">
        <w:trPr>
          <w:trHeight w:val="320"/>
        </w:trPr>
        <w:tc>
          <w:tcPr>
            <w:tcW w:w="1970" w:type="dxa"/>
            <w:noWrap/>
            <w:hideMark/>
          </w:tcPr>
          <w:p w14:paraId="495CF567" w14:textId="77777777" w:rsidR="0007690F" w:rsidRPr="00D53A2B" w:rsidRDefault="0007690F" w:rsidP="00A202FD">
            <w:pPr>
              <w:widowControl w:val="0"/>
              <w:spacing w:after="240" w:line="276" w:lineRule="auto"/>
              <w:ind w:firstLine="1"/>
              <w:contextualSpacing/>
              <w:jc w:val="both"/>
            </w:pPr>
            <w:r w:rsidRPr="00D53A2B">
              <w:t>Aminler</w:t>
            </w:r>
          </w:p>
        </w:tc>
        <w:tc>
          <w:tcPr>
            <w:tcW w:w="3167" w:type="dxa"/>
            <w:vMerge/>
            <w:noWrap/>
            <w:hideMark/>
          </w:tcPr>
          <w:p w14:paraId="0E3F56A0" w14:textId="77777777" w:rsidR="0007690F" w:rsidRPr="00D53A2B" w:rsidRDefault="0007690F" w:rsidP="00A202FD">
            <w:pPr>
              <w:widowControl w:val="0"/>
              <w:spacing w:after="240" w:line="276" w:lineRule="auto"/>
              <w:ind w:firstLine="1"/>
              <w:contextualSpacing/>
              <w:jc w:val="both"/>
            </w:pPr>
          </w:p>
        </w:tc>
        <w:tc>
          <w:tcPr>
            <w:tcW w:w="3925" w:type="dxa"/>
            <w:noWrap/>
            <w:hideMark/>
          </w:tcPr>
          <w:p w14:paraId="2EEAE250" w14:textId="77777777" w:rsidR="0007690F" w:rsidRPr="00D53A2B" w:rsidRDefault="0007690F" w:rsidP="00A202FD">
            <w:pPr>
              <w:widowControl w:val="0"/>
              <w:spacing w:after="240" w:line="276" w:lineRule="auto"/>
              <w:ind w:firstLine="1"/>
              <w:contextualSpacing/>
              <w:jc w:val="both"/>
            </w:pPr>
            <w:r w:rsidRPr="00D53A2B">
              <w:t>&lt; 0,5 – 2,5</w:t>
            </w:r>
          </w:p>
        </w:tc>
      </w:tr>
      <w:tr w:rsidR="0007690F" w:rsidRPr="00D53A2B" w14:paraId="7D00C22C" w14:textId="77777777" w:rsidTr="00A202FD">
        <w:trPr>
          <w:trHeight w:val="320"/>
        </w:trPr>
        <w:tc>
          <w:tcPr>
            <w:tcW w:w="1970" w:type="dxa"/>
            <w:noWrap/>
            <w:hideMark/>
          </w:tcPr>
          <w:p w14:paraId="7C02F058" w14:textId="77777777" w:rsidR="0007690F" w:rsidRPr="00D53A2B" w:rsidRDefault="0007690F" w:rsidP="00A202FD">
            <w:pPr>
              <w:widowControl w:val="0"/>
              <w:spacing w:after="240" w:line="276" w:lineRule="auto"/>
              <w:ind w:firstLine="1"/>
              <w:contextualSpacing/>
              <w:jc w:val="both"/>
            </w:pPr>
            <w:r w:rsidRPr="00D53A2B">
              <w:t>Benzen</w:t>
            </w:r>
          </w:p>
        </w:tc>
        <w:tc>
          <w:tcPr>
            <w:tcW w:w="3167" w:type="dxa"/>
            <w:vMerge/>
            <w:noWrap/>
            <w:hideMark/>
          </w:tcPr>
          <w:p w14:paraId="17CB4C78" w14:textId="77777777" w:rsidR="0007690F" w:rsidRPr="00D53A2B" w:rsidRDefault="0007690F" w:rsidP="00A202FD">
            <w:pPr>
              <w:widowControl w:val="0"/>
              <w:spacing w:after="240" w:line="276" w:lineRule="auto"/>
              <w:ind w:firstLine="1"/>
              <w:contextualSpacing/>
              <w:jc w:val="both"/>
            </w:pPr>
          </w:p>
        </w:tc>
        <w:tc>
          <w:tcPr>
            <w:tcW w:w="3925" w:type="dxa"/>
            <w:noWrap/>
            <w:hideMark/>
          </w:tcPr>
          <w:p w14:paraId="6D414BAB" w14:textId="77777777" w:rsidR="0007690F" w:rsidRPr="00D53A2B" w:rsidRDefault="0007690F" w:rsidP="00A202FD">
            <w:pPr>
              <w:widowControl w:val="0"/>
              <w:spacing w:after="240" w:line="276" w:lineRule="auto"/>
              <w:ind w:firstLine="1"/>
              <w:contextualSpacing/>
              <w:jc w:val="both"/>
            </w:pPr>
            <w:r w:rsidRPr="00D53A2B">
              <w:t>&lt; 1 – 2</w:t>
            </w:r>
          </w:p>
        </w:tc>
      </w:tr>
      <w:tr w:rsidR="0007690F" w:rsidRPr="00D53A2B" w14:paraId="463CCE37" w14:textId="77777777" w:rsidTr="00A202FD">
        <w:trPr>
          <w:trHeight w:val="320"/>
        </w:trPr>
        <w:tc>
          <w:tcPr>
            <w:tcW w:w="1970" w:type="dxa"/>
            <w:noWrap/>
            <w:hideMark/>
          </w:tcPr>
          <w:p w14:paraId="21261749" w14:textId="77777777" w:rsidR="0007690F" w:rsidRPr="00D53A2B" w:rsidRDefault="0007690F" w:rsidP="00A202FD">
            <w:pPr>
              <w:widowControl w:val="0"/>
              <w:spacing w:after="240" w:line="276" w:lineRule="auto"/>
              <w:ind w:firstLine="1"/>
              <w:contextualSpacing/>
              <w:jc w:val="both"/>
            </w:pPr>
            <w:r w:rsidRPr="00D53A2B">
              <w:t>Formaldehit</w:t>
            </w:r>
          </w:p>
        </w:tc>
        <w:tc>
          <w:tcPr>
            <w:tcW w:w="3167" w:type="dxa"/>
            <w:vMerge/>
            <w:noWrap/>
            <w:hideMark/>
          </w:tcPr>
          <w:p w14:paraId="4D580464" w14:textId="77777777" w:rsidR="0007690F" w:rsidRPr="00D53A2B" w:rsidRDefault="0007690F" w:rsidP="00A202FD">
            <w:pPr>
              <w:widowControl w:val="0"/>
              <w:spacing w:after="240" w:line="276" w:lineRule="auto"/>
              <w:ind w:firstLine="1"/>
              <w:contextualSpacing/>
              <w:jc w:val="both"/>
            </w:pPr>
          </w:p>
        </w:tc>
        <w:tc>
          <w:tcPr>
            <w:tcW w:w="3925" w:type="dxa"/>
            <w:noWrap/>
            <w:hideMark/>
          </w:tcPr>
          <w:p w14:paraId="44AD44FF" w14:textId="77777777" w:rsidR="0007690F" w:rsidRPr="00D53A2B" w:rsidRDefault="0007690F" w:rsidP="00A202FD">
            <w:pPr>
              <w:widowControl w:val="0"/>
              <w:spacing w:after="240" w:line="276" w:lineRule="auto"/>
              <w:ind w:firstLine="1"/>
              <w:contextualSpacing/>
              <w:jc w:val="both"/>
            </w:pPr>
            <w:r w:rsidRPr="00D53A2B">
              <w:t>&lt; 1 – 2</w:t>
            </w:r>
          </w:p>
        </w:tc>
      </w:tr>
      <w:tr w:rsidR="0007690F" w:rsidRPr="00D53A2B" w14:paraId="04EB2A46" w14:textId="77777777" w:rsidTr="00A202FD">
        <w:trPr>
          <w:trHeight w:val="320"/>
        </w:trPr>
        <w:tc>
          <w:tcPr>
            <w:tcW w:w="1970" w:type="dxa"/>
            <w:noWrap/>
            <w:hideMark/>
          </w:tcPr>
          <w:p w14:paraId="25BFFD2F" w14:textId="77777777" w:rsidR="0007690F" w:rsidRPr="00D53A2B" w:rsidRDefault="0007690F" w:rsidP="00A202FD">
            <w:pPr>
              <w:widowControl w:val="0"/>
              <w:spacing w:after="240" w:line="276" w:lineRule="auto"/>
              <w:ind w:firstLine="1"/>
              <w:contextualSpacing/>
              <w:jc w:val="both"/>
            </w:pPr>
            <w:r w:rsidRPr="00D53A2B">
              <w:t>Fenol</w:t>
            </w:r>
          </w:p>
        </w:tc>
        <w:tc>
          <w:tcPr>
            <w:tcW w:w="3167" w:type="dxa"/>
            <w:vMerge/>
            <w:noWrap/>
            <w:hideMark/>
          </w:tcPr>
          <w:p w14:paraId="5160A873" w14:textId="77777777" w:rsidR="0007690F" w:rsidRPr="00D53A2B" w:rsidRDefault="0007690F" w:rsidP="00A202FD">
            <w:pPr>
              <w:widowControl w:val="0"/>
              <w:spacing w:after="240" w:line="276" w:lineRule="auto"/>
              <w:ind w:firstLine="1"/>
              <w:contextualSpacing/>
              <w:jc w:val="both"/>
            </w:pPr>
          </w:p>
        </w:tc>
        <w:tc>
          <w:tcPr>
            <w:tcW w:w="3925" w:type="dxa"/>
            <w:noWrap/>
            <w:hideMark/>
          </w:tcPr>
          <w:p w14:paraId="042B1C59" w14:textId="77777777" w:rsidR="0007690F" w:rsidRPr="00D53A2B" w:rsidRDefault="0007690F" w:rsidP="00A202FD">
            <w:pPr>
              <w:widowControl w:val="0"/>
              <w:spacing w:after="240" w:line="276" w:lineRule="auto"/>
              <w:ind w:firstLine="1"/>
              <w:contextualSpacing/>
              <w:jc w:val="both"/>
            </w:pPr>
            <w:r w:rsidRPr="00D53A2B">
              <w:t>&lt; 1 – 2</w:t>
            </w:r>
          </w:p>
        </w:tc>
      </w:tr>
      <w:tr w:rsidR="0007690F" w:rsidRPr="00D53A2B" w14:paraId="539FF6DE" w14:textId="77777777" w:rsidTr="00A202FD">
        <w:trPr>
          <w:trHeight w:val="320"/>
        </w:trPr>
        <w:tc>
          <w:tcPr>
            <w:tcW w:w="1970" w:type="dxa"/>
            <w:noWrap/>
            <w:hideMark/>
          </w:tcPr>
          <w:p w14:paraId="4CC16BC9" w14:textId="77777777" w:rsidR="0007690F" w:rsidRPr="00D53A2B" w:rsidRDefault="0007690F" w:rsidP="00A202FD">
            <w:pPr>
              <w:widowControl w:val="0"/>
              <w:spacing w:after="240" w:line="276" w:lineRule="auto"/>
              <w:ind w:firstLine="1"/>
              <w:contextualSpacing/>
              <w:jc w:val="both"/>
            </w:pPr>
            <w:r w:rsidRPr="00D53A2B">
              <w:t>TVOC</w:t>
            </w:r>
          </w:p>
        </w:tc>
        <w:tc>
          <w:tcPr>
            <w:tcW w:w="3167" w:type="dxa"/>
            <w:noWrap/>
            <w:hideMark/>
          </w:tcPr>
          <w:p w14:paraId="3350EC3D" w14:textId="77777777" w:rsidR="0007690F" w:rsidRPr="00D53A2B" w:rsidRDefault="0007690F" w:rsidP="00A202FD">
            <w:pPr>
              <w:widowControl w:val="0"/>
              <w:spacing w:after="240" w:line="276" w:lineRule="auto"/>
              <w:ind w:firstLine="1"/>
              <w:contextualSpacing/>
              <w:jc w:val="both"/>
            </w:pPr>
            <w:r w:rsidRPr="00D53A2B">
              <w:t>mg C/Nm³</w:t>
            </w:r>
          </w:p>
        </w:tc>
        <w:tc>
          <w:tcPr>
            <w:tcW w:w="3925" w:type="dxa"/>
            <w:noWrap/>
            <w:hideMark/>
          </w:tcPr>
          <w:p w14:paraId="4283C16B" w14:textId="77777777" w:rsidR="0007690F" w:rsidRPr="00D53A2B" w:rsidRDefault="0007690F" w:rsidP="00A202FD">
            <w:pPr>
              <w:widowControl w:val="0"/>
              <w:spacing w:after="240" w:line="276" w:lineRule="auto"/>
              <w:ind w:firstLine="1"/>
              <w:contextualSpacing/>
              <w:jc w:val="both"/>
            </w:pPr>
            <w:r w:rsidRPr="00D53A2B">
              <w:t>15 – 50</w:t>
            </w:r>
          </w:p>
        </w:tc>
      </w:tr>
    </w:tbl>
    <w:p w14:paraId="3ACE8A0D" w14:textId="77777777" w:rsidR="0007690F" w:rsidRPr="00D53A2B" w:rsidRDefault="0007690F" w:rsidP="00A202FD">
      <w:pPr>
        <w:widowControl w:val="0"/>
        <w:spacing w:after="240" w:line="276" w:lineRule="auto"/>
        <w:ind w:firstLine="1"/>
        <w:contextualSpacing/>
        <w:jc w:val="both"/>
      </w:pPr>
    </w:p>
    <w:p w14:paraId="2092E1AD" w14:textId="77777777" w:rsidR="0007690F" w:rsidRPr="00D53A2B" w:rsidRDefault="0007690F" w:rsidP="00A202FD">
      <w:pPr>
        <w:widowControl w:val="0"/>
        <w:spacing w:after="240" w:line="276" w:lineRule="auto"/>
        <w:ind w:firstLine="1"/>
        <w:contextualSpacing/>
        <w:jc w:val="both"/>
      </w:pPr>
      <w:r w:rsidRPr="00D53A2B">
        <w:t>(a) </w:t>
      </w:r>
      <w:r w:rsidRPr="00D53A2B">
        <w:rPr>
          <w:b/>
          <w:bCs/>
        </w:rPr>
        <w:t>Organik bağlayıcı sistemleri</w:t>
      </w:r>
      <w:r w:rsidRPr="00D53A2B">
        <w:t>, çekirdek yapımında CMR 1A, CMR 1B veya CMR 2 olarak sınıflandırılan maddelerin düşük veya hiç emisyon üretmemesini sağlayacak şekilde kullanılır (MET 25'teki teknik (d), (e) ve/veya (f) kullanılarak);</w:t>
      </w:r>
    </w:p>
    <w:p w14:paraId="3DE8723B" w14:textId="77777777" w:rsidR="0007690F" w:rsidRPr="00D53A2B" w:rsidRDefault="0007690F" w:rsidP="00A202FD">
      <w:pPr>
        <w:widowControl w:val="0"/>
        <w:spacing w:after="240" w:line="276" w:lineRule="auto"/>
        <w:ind w:firstLine="1"/>
        <w:contextualSpacing/>
        <w:jc w:val="both"/>
      </w:pPr>
      <w:r w:rsidRPr="00D53A2B">
        <w:t>(b) Aşağıdaki koşullardan biri veya her ikisi sağlanır:</w:t>
      </w:r>
    </w:p>
    <w:p w14:paraId="197306BF" w14:textId="77777777" w:rsidR="0007690F" w:rsidRPr="00D53A2B" w:rsidRDefault="0007690F" w:rsidP="00A202FD">
      <w:pPr>
        <w:widowControl w:val="0"/>
        <w:spacing w:after="240" w:line="276" w:lineRule="auto"/>
        <w:ind w:firstLine="1"/>
        <w:contextualSpacing/>
        <w:jc w:val="both"/>
      </w:pPr>
      <w:r w:rsidRPr="00D53A2B">
        <w:t>— Termal veya katalitik oksidasyon uygulanamaz,</w:t>
      </w:r>
    </w:p>
    <w:p w14:paraId="6CD68189" w14:textId="77777777" w:rsidR="0007690F" w:rsidRPr="00D53A2B" w:rsidRDefault="0007690F" w:rsidP="00A202FD">
      <w:pPr>
        <w:widowControl w:val="0"/>
        <w:spacing w:after="240" w:line="276" w:lineRule="auto"/>
        <w:ind w:firstLine="1"/>
        <w:contextualSpacing/>
        <w:jc w:val="both"/>
      </w:pPr>
      <w:r w:rsidRPr="00D53A2B">
        <w:t>— Su bazlı kaplamalarla ikame edilemez.</w:t>
      </w:r>
    </w:p>
    <w:p w14:paraId="7C344ECA" w14:textId="77777777" w:rsidR="0007690F" w:rsidRPr="00D53A2B" w:rsidRDefault="0007690F" w:rsidP="00A202FD">
      <w:pPr>
        <w:widowControl w:val="0"/>
        <w:spacing w:after="240" w:line="276" w:lineRule="auto"/>
        <w:ind w:firstLine="1"/>
        <w:contextualSpacing/>
        <w:jc w:val="both"/>
      </w:pPr>
      <w:r w:rsidRPr="00D53A2B">
        <w:t>İlgili izleme </w:t>
      </w:r>
      <w:r w:rsidRPr="00D53A2B">
        <w:rPr>
          <w:b/>
          <w:bCs/>
        </w:rPr>
        <w:t>MET 12</w:t>
      </w:r>
      <w:r w:rsidRPr="00D53A2B">
        <w:t>'de verilmiştir.</w:t>
      </w:r>
    </w:p>
    <w:p w14:paraId="06F44ACB" w14:textId="297B22E6" w:rsidR="00F90E63" w:rsidRPr="00D53A2B" w:rsidRDefault="00F90E63" w:rsidP="00A202FD">
      <w:pPr>
        <w:pStyle w:val="Balk4"/>
        <w:rPr>
          <w:rFonts w:cs="Times New Roman"/>
        </w:rPr>
      </w:pPr>
      <w:r w:rsidRPr="00D53A2B">
        <w:rPr>
          <w:rFonts w:cs="Times New Roman"/>
        </w:rPr>
        <w:t>1.2.1.9. Tam kalıp süreci dahil olmak üzere kayıp kalıp kullanan dökümhanelerde döküm, soğutma ve silkme süreçlerinden kaynaklanan havaya emisyonlar</w:t>
      </w:r>
    </w:p>
    <w:p w14:paraId="7DBF9C7B" w14:textId="672B65FB" w:rsidR="0007690F" w:rsidRPr="00D53A2B" w:rsidRDefault="0007690F" w:rsidP="00A202FD">
      <w:pPr>
        <w:widowControl w:val="0"/>
        <w:spacing w:after="240" w:line="276" w:lineRule="auto"/>
        <w:ind w:firstLine="1"/>
        <w:contextualSpacing/>
        <w:jc w:val="both"/>
        <w:rPr>
          <w:b/>
          <w:bCs/>
        </w:rPr>
      </w:pPr>
      <w:r w:rsidRPr="00D53A2B">
        <w:rPr>
          <w:b/>
          <w:bCs/>
        </w:rPr>
        <w:t>MET 27.</w:t>
      </w:r>
      <w:r w:rsidRPr="00D53A2B">
        <w:t> </w:t>
      </w:r>
      <w:r w:rsidRPr="00D53A2B">
        <w:rPr>
          <w:b/>
          <w:bCs/>
        </w:rPr>
        <w:t>Kaybolan kalıplar ve tam kalıp süreci de dahil olmak üzere dökümhanelerde döküm, soğutma ve silkeleme işlemlerinden havaya salınan emisyonları azaltmak için, MET şunları yapar:</w:t>
      </w:r>
    </w:p>
    <w:tbl>
      <w:tblPr>
        <w:tblStyle w:val="TabloKlavuzu"/>
        <w:tblW w:w="0" w:type="auto"/>
        <w:tblLook w:val="04A0" w:firstRow="1" w:lastRow="0" w:firstColumn="1" w:lastColumn="0" w:noHBand="0" w:noVBand="1"/>
      </w:tblPr>
      <w:tblGrid>
        <w:gridCol w:w="2079"/>
        <w:gridCol w:w="3870"/>
        <w:gridCol w:w="3111"/>
      </w:tblGrid>
      <w:tr w:rsidR="0007690F" w:rsidRPr="008A41DE" w14:paraId="703880AD" w14:textId="77777777" w:rsidTr="00A202FD">
        <w:trPr>
          <w:trHeight w:val="320"/>
        </w:trPr>
        <w:tc>
          <w:tcPr>
            <w:tcW w:w="2079" w:type="dxa"/>
            <w:noWrap/>
            <w:hideMark/>
          </w:tcPr>
          <w:p w14:paraId="3AE319B0"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Teknik</w:t>
            </w:r>
          </w:p>
        </w:tc>
        <w:tc>
          <w:tcPr>
            <w:tcW w:w="3871" w:type="dxa"/>
            <w:noWrap/>
            <w:hideMark/>
          </w:tcPr>
          <w:p w14:paraId="355D4A48"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Açıklama</w:t>
            </w:r>
          </w:p>
        </w:tc>
        <w:tc>
          <w:tcPr>
            <w:tcW w:w="3112" w:type="dxa"/>
            <w:noWrap/>
            <w:hideMark/>
          </w:tcPr>
          <w:p w14:paraId="56F781B9"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Uygulanabilirlik</w:t>
            </w:r>
          </w:p>
        </w:tc>
      </w:tr>
      <w:tr w:rsidR="0007690F" w:rsidRPr="008A41DE" w14:paraId="5A776069" w14:textId="77777777" w:rsidTr="00A202FD">
        <w:trPr>
          <w:trHeight w:val="547"/>
        </w:trPr>
        <w:tc>
          <w:tcPr>
            <w:tcW w:w="9062" w:type="dxa"/>
            <w:gridSpan w:val="3"/>
            <w:noWrap/>
            <w:hideMark/>
          </w:tcPr>
          <w:p w14:paraId="42AD7152"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Emisyonların Toplanması</w:t>
            </w:r>
          </w:p>
          <w:p w14:paraId="12E13607"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 </w:t>
            </w:r>
          </w:p>
          <w:p w14:paraId="64E258D9"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 </w:t>
            </w:r>
          </w:p>
        </w:tc>
      </w:tr>
      <w:tr w:rsidR="0007690F" w:rsidRPr="008A41DE" w14:paraId="28CEA33E" w14:textId="77777777" w:rsidTr="009077F5">
        <w:trPr>
          <w:trHeight w:val="9629"/>
        </w:trPr>
        <w:tc>
          <w:tcPr>
            <w:tcW w:w="2079" w:type="dxa"/>
            <w:noWrap/>
            <w:hideMark/>
          </w:tcPr>
          <w:p w14:paraId="30BA8558"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a. Döküm, soğutma ve silkeleme (kalıbın ayrılması) işlemleri sırasında oluşan emisyonların kaynağa mümkün olduğunca yakın bir yerden çekilmesi</w:t>
            </w:r>
          </w:p>
        </w:tc>
        <w:tc>
          <w:tcPr>
            <w:tcW w:w="3871" w:type="dxa"/>
            <w:hideMark/>
          </w:tcPr>
          <w:p w14:paraId="7E9A5BB4" w14:textId="56EDF99A"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Döküm (özellikle döküm sırasında oluşan emisyonlar), soğutma ve silkeleme işlemleri sırasında oluşan emisyonlar uygun şekilde çekilir.</w:t>
            </w:r>
            <w:r w:rsidRPr="008A41DE">
              <w:rPr>
                <w:sz w:val="22"/>
                <w:szCs w:val="22"/>
              </w:rPr>
              <w:br/>
            </w:r>
            <w:r w:rsidRPr="008A41DE">
              <w:rPr>
                <w:sz w:val="22"/>
                <w:szCs w:val="22"/>
              </w:rPr>
              <w:br/>
              <w:t>Döküm ve soğutma işlemleri için şunlar dahildir:</w:t>
            </w:r>
            <w:r w:rsidRPr="008A41DE">
              <w:rPr>
                <w:sz w:val="22"/>
                <w:szCs w:val="22"/>
              </w:rPr>
              <w:br/>
            </w:r>
            <w:r w:rsidRPr="008A41DE">
              <w:rPr>
                <w:sz w:val="22"/>
                <w:szCs w:val="22"/>
              </w:rPr>
              <w:br/>
              <w:t>— Döküm işleminin havalandırıcılar ve kaplama kullanılarak emisyonların yakalanmasını kolaylaştırmak için sabit bir alan veya pozisyonla sınırlandırılması (ör. seri dökümde);</w:t>
            </w:r>
            <w:r w:rsidRPr="008A41DE">
              <w:rPr>
                <w:sz w:val="22"/>
                <w:szCs w:val="22"/>
              </w:rPr>
              <w:br/>
            </w:r>
            <w:r w:rsidRPr="008A41DE">
              <w:rPr>
                <w:sz w:val="22"/>
                <w:szCs w:val="22"/>
              </w:rPr>
              <w:br/>
              <w:t>— Döküm ve soğutma hatlarının kaplanması.</w:t>
            </w:r>
            <w:r w:rsidRPr="008A41DE">
              <w:rPr>
                <w:sz w:val="22"/>
                <w:szCs w:val="22"/>
              </w:rPr>
              <w:br/>
            </w:r>
            <w:r w:rsidRPr="008A41DE">
              <w:rPr>
                <w:sz w:val="22"/>
                <w:szCs w:val="22"/>
              </w:rPr>
              <w:br/>
              <w:t>silkeleme işlemi için şunlar dahildir:</w:t>
            </w:r>
            <w:r w:rsidRPr="008A41DE">
              <w:rPr>
                <w:sz w:val="22"/>
                <w:szCs w:val="22"/>
              </w:rPr>
              <w:br/>
            </w:r>
            <w:r w:rsidRPr="008A41DE">
              <w:rPr>
                <w:sz w:val="22"/>
                <w:szCs w:val="22"/>
              </w:rPr>
              <w:br/>
              <w:t>— Çalkayıcının her iki yanında ve arkasında yer alan havalandırıcı panellerin kullanımı;</w:t>
            </w:r>
            <w:r w:rsidRPr="008A41DE">
              <w:rPr>
                <w:sz w:val="22"/>
                <w:szCs w:val="22"/>
              </w:rPr>
              <w:br/>
            </w:r>
            <w:r w:rsidRPr="008A41DE">
              <w:rPr>
                <w:sz w:val="22"/>
                <w:szCs w:val="22"/>
              </w:rPr>
              <w:br/>
              <w:t>— Çatı açıklıkları veya çıkarılabilir kapaklarla donatılmış kapalı ünitelerin kullanımı ;</w:t>
            </w:r>
            <w:r w:rsidRPr="008A41DE">
              <w:rPr>
                <w:sz w:val="22"/>
                <w:szCs w:val="22"/>
              </w:rPr>
              <w:br/>
            </w:r>
            <w:r w:rsidRPr="008A41DE">
              <w:rPr>
                <w:sz w:val="22"/>
                <w:szCs w:val="22"/>
              </w:rPr>
              <w:br/>
              <w:t>— Çalkayıcının altında, kum toplama kutusunda bir çekim noktasının kurulumu.</w:t>
            </w:r>
          </w:p>
        </w:tc>
        <w:tc>
          <w:tcPr>
            <w:tcW w:w="3112" w:type="dxa"/>
            <w:noWrap/>
            <w:hideMark/>
          </w:tcPr>
          <w:p w14:paraId="02BD0753"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Uygulanabilirlik, dökme demir ve çelik dökümhanelerinde büyük dökümler üretildiği durumlarda sınırlı olabilir.</w:t>
            </w:r>
          </w:p>
        </w:tc>
      </w:tr>
      <w:tr w:rsidR="0007690F" w:rsidRPr="008A41DE" w14:paraId="24E4C390" w14:textId="77777777" w:rsidTr="00A202FD">
        <w:trPr>
          <w:trHeight w:val="320"/>
        </w:trPr>
        <w:tc>
          <w:tcPr>
            <w:tcW w:w="9062" w:type="dxa"/>
            <w:gridSpan w:val="3"/>
            <w:noWrap/>
            <w:hideMark/>
          </w:tcPr>
          <w:p w14:paraId="1A593BD3"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Atık Gaz Arıtımı</w:t>
            </w:r>
          </w:p>
          <w:p w14:paraId="6C58BDE7"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 </w:t>
            </w:r>
          </w:p>
          <w:p w14:paraId="237A4639"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 </w:t>
            </w:r>
          </w:p>
        </w:tc>
      </w:tr>
      <w:tr w:rsidR="0007690F" w:rsidRPr="008A41DE" w14:paraId="59B52511" w14:textId="77777777" w:rsidTr="00A202FD">
        <w:trPr>
          <w:trHeight w:val="320"/>
        </w:trPr>
        <w:tc>
          <w:tcPr>
            <w:tcW w:w="2079" w:type="dxa"/>
            <w:noWrap/>
            <w:hideMark/>
          </w:tcPr>
          <w:p w14:paraId="772F3065"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 Siklon</w:t>
            </w:r>
          </w:p>
        </w:tc>
        <w:tc>
          <w:tcPr>
            <w:tcW w:w="3871" w:type="dxa"/>
            <w:noWrap/>
            <w:hideMark/>
          </w:tcPr>
          <w:p w14:paraId="68607EA9"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Bkz. Bölüm 1.4.3.</w:t>
            </w:r>
          </w:p>
        </w:tc>
        <w:tc>
          <w:tcPr>
            <w:tcW w:w="3112" w:type="dxa"/>
            <w:noWrap/>
            <w:hideMark/>
          </w:tcPr>
          <w:p w14:paraId="58E80FDB"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1A1809E4" w14:textId="77777777" w:rsidTr="00A202FD">
        <w:trPr>
          <w:trHeight w:val="320"/>
        </w:trPr>
        <w:tc>
          <w:tcPr>
            <w:tcW w:w="2079" w:type="dxa"/>
            <w:noWrap/>
            <w:hideMark/>
          </w:tcPr>
          <w:p w14:paraId="155BD538"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c. Kumaş Filtresi</w:t>
            </w:r>
          </w:p>
        </w:tc>
        <w:tc>
          <w:tcPr>
            <w:tcW w:w="3871" w:type="dxa"/>
            <w:noWrap/>
            <w:hideMark/>
          </w:tcPr>
          <w:p w14:paraId="7F0F893A"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Bkz. Bölüm 1.4.3.</w:t>
            </w:r>
          </w:p>
        </w:tc>
        <w:tc>
          <w:tcPr>
            <w:tcW w:w="3112" w:type="dxa"/>
            <w:noWrap/>
            <w:hideMark/>
          </w:tcPr>
          <w:p w14:paraId="121065A4"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14FBADF4" w14:textId="77777777" w:rsidTr="00A202FD">
        <w:trPr>
          <w:trHeight w:val="320"/>
        </w:trPr>
        <w:tc>
          <w:tcPr>
            <w:tcW w:w="2079" w:type="dxa"/>
            <w:noWrap/>
            <w:hideMark/>
          </w:tcPr>
          <w:p w14:paraId="274023FB"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d. Islak Temizleme</w:t>
            </w:r>
          </w:p>
        </w:tc>
        <w:tc>
          <w:tcPr>
            <w:tcW w:w="3871" w:type="dxa"/>
            <w:noWrap/>
            <w:hideMark/>
          </w:tcPr>
          <w:p w14:paraId="62B117D8"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Bkz. Bölüm 1.4.3.</w:t>
            </w:r>
          </w:p>
        </w:tc>
        <w:tc>
          <w:tcPr>
            <w:tcW w:w="3112" w:type="dxa"/>
            <w:noWrap/>
            <w:hideMark/>
          </w:tcPr>
          <w:p w14:paraId="3EEC9422"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25A5391D" w14:textId="77777777" w:rsidTr="00A202FD">
        <w:trPr>
          <w:trHeight w:val="320"/>
        </w:trPr>
        <w:tc>
          <w:tcPr>
            <w:tcW w:w="2079" w:type="dxa"/>
            <w:noWrap/>
            <w:hideMark/>
          </w:tcPr>
          <w:p w14:paraId="164D15B4"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e. Adsorpsiyon</w:t>
            </w:r>
          </w:p>
        </w:tc>
        <w:tc>
          <w:tcPr>
            <w:tcW w:w="3871" w:type="dxa"/>
            <w:noWrap/>
            <w:hideMark/>
          </w:tcPr>
          <w:p w14:paraId="26464660"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Bkz. Bölüm 1.4.3.</w:t>
            </w:r>
          </w:p>
        </w:tc>
        <w:tc>
          <w:tcPr>
            <w:tcW w:w="3112" w:type="dxa"/>
            <w:noWrap/>
            <w:hideMark/>
          </w:tcPr>
          <w:p w14:paraId="71069C40"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537C43AE" w14:textId="77777777" w:rsidTr="00A202FD">
        <w:trPr>
          <w:trHeight w:val="320"/>
        </w:trPr>
        <w:tc>
          <w:tcPr>
            <w:tcW w:w="2079" w:type="dxa"/>
            <w:noWrap/>
            <w:hideMark/>
          </w:tcPr>
          <w:p w14:paraId="4E8CDCBC"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f. Biyofiltre</w:t>
            </w:r>
          </w:p>
        </w:tc>
        <w:tc>
          <w:tcPr>
            <w:tcW w:w="3871" w:type="dxa"/>
            <w:noWrap/>
            <w:hideMark/>
          </w:tcPr>
          <w:p w14:paraId="0CFCF1EA"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Atık gaz akışı, organik bir materyal (ör. turba, funda, kompost, kök, ağaç kabuğu, yumuşak ağaç ve farklı kombinasyonlar) veya bazı inert materyaller (ör. kil, aktif karbon, poliüretan) içeren bir yataktan geçirilir. Burada, doğal olarak bulunan mikroorganizmalar tarafından karbondioksite, suya, inorganik tuzlara ve biyokütleye dönüştürülür.</w:t>
            </w:r>
          </w:p>
        </w:tc>
        <w:tc>
          <w:tcPr>
            <w:tcW w:w="3112" w:type="dxa"/>
            <w:noWrap/>
            <w:hideMark/>
          </w:tcPr>
          <w:p w14:paraId="5ED95AC6"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Yalnızca biyolojik olarak bozunabilir bileşiklerin arıtımı için uygulanabilir.</w:t>
            </w:r>
          </w:p>
        </w:tc>
      </w:tr>
      <w:tr w:rsidR="0007690F" w:rsidRPr="008A41DE" w14:paraId="3433DD34" w14:textId="77777777" w:rsidTr="00A202FD">
        <w:trPr>
          <w:trHeight w:val="320"/>
        </w:trPr>
        <w:tc>
          <w:tcPr>
            <w:tcW w:w="2079" w:type="dxa"/>
            <w:noWrap/>
            <w:hideMark/>
          </w:tcPr>
          <w:p w14:paraId="613D5DAC"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 Termal Oksidasyon</w:t>
            </w:r>
          </w:p>
        </w:tc>
        <w:tc>
          <w:tcPr>
            <w:tcW w:w="3871" w:type="dxa"/>
            <w:noWrap/>
            <w:hideMark/>
          </w:tcPr>
          <w:p w14:paraId="0A3F8C2B"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Bkz. Bölüm 1.4.3.</w:t>
            </w:r>
          </w:p>
        </w:tc>
        <w:tc>
          <w:tcPr>
            <w:tcW w:w="3112" w:type="dxa"/>
            <w:noWrap/>
            <w:hideMark/>
          </w:tcPr>
          <w:p w14:paraId="42F10AB0"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Geri kazanımlı ve rejeneratif termal oksidasyonun mevcut tesislere uygulanabilirliği tasarım ve/veya operasyonel kısıtlamalar nedeniyle sınırlı olabilir. Uygulanabilirlik, ilgili bileşiğin düşük konsantrasyonu nedeniyle enerji talebinin aşırı olduğu durumlarda kısıtlanabilir.</w:t>
            </w:r>
          </w:p>
        </w:tc>
      </w:tr>
      <w:tr w:rsidR="0007690F" w:rsidRPr="008A41DE" w14:paraId="1E67C92D" w14:textId="77777777" w:rsidTr="00A202FD">
        <w:trPr>
          <w:trHeight w:val="320"/>
        </w:trPr>
        <w:tc>
          <w:tcPr>
            <w:tcW w:w="2079" w:type="dxa"/>
            <w:noWrap/>
            <w:hideMark/>
          </w:tcPr>
          <w:p w14:paraId="44B9D082"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h. Katalitik Oksidasyon</w:t>
            </w:r>
          </w:p>
        </w:tc>
        <w:tc>
          <w:tcPr>
            <w:tcW w:w="3871" w:type="dxa"/>
            <w:noWrap/>
            <w:hideMark/>
          </w:tcPr>
          <w:p w14:paraId="2780E30B"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Bkz. Bölüm 1.4.3.</w:t>
            </w:r>
          </w:p>
        </w:tc>
        <w:tc>
          <w:tcPr>
            <w:tcW w:w="3112" w:type="dxa"/>
            <w:noWrap/>
            <w:hideMark/>
          </w:tcPr>
          <w:p w14:paraId="1692F258"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Atık gazlarda katalizör zehirlerinin varlığı veya ilgili bileşiğin düşük konsantrasyonu nedeniyle enerji talebinin aşırı olduğu durumlarda uygulanabilirlik kısıtlanabilir.</w:t>
            </w:r>
          </w:p>
        </w:tc>
      </w:tr>
    </w:tbl>
    <w:p w14:paraId="0E9D8776" w14:textId="77777777" w:rsidR="0007690F" w:rsidRPr="00D53A2B" w:rsidRDefault="0007690F" w:rsidP="00A202FD">
      <w:pPr>
        <w:widowControl w:val="0"/>
        <w:spacing w:after="240" w:line="276" w:lineRule="auto"/>
        <w:ind w:firstLine="1"/>
        <w:contextualSpacing/>
        <w:jc w:val="both"/>
      </w:pPr>
    </w:p>
    <w:p w14:paraId="4C62719D" w14:textId="77777777" w:rsidR="0007690F" w:rsidRPr="00D53A2B" w:rsidRDefault="0007690F" w:rsidP="00A202FD">
      <w:pPr>
        <w:widowControl w:val="0"/>
        <w:spacing w:after="240" w:line="276" w:lineRule="auto"/>
        <w:ind w:firstLine="1"/>
        <w:contextualSpacing/>
        <w:jc w:val="both"/>
      </w:pPr>
      <w:r w:rsidRPr="00D53A2B">
        <w:rPr>
          <w:b/>
          <w:bCs/>
        </w:rPr>
        <w:t>Tablo 1.9</w:t>
      </w:r>
    </w:p>
    <w:p w14:paraId="77AD7344" w14:textId="3AB73D8E" w:rsidR="0007690F" w:rsidRPr="00D53A2B" w:rsidRDefault="0007690F" w:rsidP="00A202FD">
      <w:pPr>
        <w:widowControl w:val="0"/>
        <w:spacing w:after="240" w:line="276" w:lineRule="auto"/>
        <w:ind w:firstLine="1"/>
        <w:contextualSpacing/>
        <w:jc w:val="both"/>
      </w:pPr>
      <w:r w:rsidRPr="00D53A2B">
        <w:t>Kaybolan kalıpların kullanıldığı dökümhanelerde, döküm, soğutma ve silkeleme (kalıp ayrılması) işlemlerinden kaynaklanan baca gazındaki toz, benzen, formaldehit, fenol ve toplam uçucu organik bileşiklerin (TVOC) MET (En İyi Mevcut Teknikler) ile ilişkili emisyon seviyeleri (</w:t>
      </w:r>
      <w:r w:rsidR="00831B53" w:rsidRPr="00D53A2B">
        <w:t>MET-İES</w:t>
      </w:r>
      <w:r w:rsidRPr="00D53A2B">
        <w:t>)</w:t>
      </w:r>
    </w:p>
    <w:tbl>
      <w:tblPr>
        <w:tblStyle w:val="EIPPCBTable"/>
        <w:tblW w:w="0" w:type="auto"/>
        <w:tblLook w:val="04A0" w:firstRow="1" w:lastRow="0" w:firstColumn="1" w:lastColumn="0" w:noHBand="0" w:noVBand="1"/>
      </w:tblPr>
      <w:tblGrid>
        <w:gridCol w:w="2097"/>
        <w:gridCol w:w="1204"/>
        <w:gridCol w:w="5759"/>
      </w:tblGrid>
      <w:tr w:rsidR="0007690F" w:rsidRPr="00D53A2B" w14:paraId="01E988ED" w14:textId="77777777" w:rsidTr="00CC3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2BF2BC" w14:textId="77777777" w:rsidR="0007690F" w:rsidRPr="00D53A2B" w:rsidRDefault="0007690F" w:rsidP="00A202FD">
            <w:pPr>
              <w:widowControl w:val="0"/>
              <w:spacing w:after="240" w:line="276" w:lineRule="auto"/>
              <w:ind w:firstLine="1"/>
              <w:contextualSpacing/>
              <w:jc w:val="both"/>
              <w:rPr>
                <w:b w:val="0"/>
                <w:bCs/>
              </w:rPr>
            </w:pPr>
            <w:r w:rsidRPr="00D53A2B">
              <w:rPr>
                <w:bCs/>
              </w:rPr>
              <w:t>Madde/Parametre</w:t>
            </w:r>
          </w:p>
        </w:tc>
        <w:tc>
          <w:tcPr>
            <w:tcW w:w="0" w:type="auto"/>
            <w:hideMark/>
          </w:tcPr>
          <w:p w14:paraId="350BFA07" w14:textId="77777777" w:rsidR="0007690F" w:rsidRPr="00D53A2B" w:rsidRDefault="0007690F"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Cs/>
              </w:rPr>
              <w:t>Birim</w:t>
            </w:r>
          </w:p>
        </w:tc>
        <w:tc>
          <w:tcPr>
            <w:tcW w:w="0" w:type="auto"/>
            <w:hideMark/>
          </w:tcPr>
          <w:p w14:paraId="2783AF51" w14:textId="1AECBC4D" w:rsidR="0007690F" w:rsidRPr="00D53A2B" w:rsidRDefault="00831B53"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Cs/>
              </w:rPr>
              <w:t>MET-İES</w:t>
            </w:r>
            <w:r w:rsidR="0007690F" w:rsidRPr="00D53A2B">
              <w:rPr>
                <w:bCs/>
              </w:rPr>
              <w:t> </w:t>
            </w:r>
            <w:r w:rsidR="0007690F" w:rsidRPr="00D53A2B">
              <w:rPr>
                <w:bCs/>
                <w:i/>
                <w:iCs/>
              </w:rPr>
              <w:t>(Günlük ortalama veya örnekleme dönemi ortalaması)</w:t>
            </w:r>
          </w:p>
        </w:tc>
      </w:tr>
      <w:tr w:rsidR="0007690F" w:rsidRPr="00D53A2B" w14:paraId="2D6E785A"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77369F0C" w14:textId="77777777" w:rsidR="0007690F" w:rsidRPr="00D53A2B" w:rsidRDefault="0007690F" w:rsidP="00A202FD">
            <w:pPr>
              <w:widowControl w:val="0"/>
              <w:spacing w:after="240" w:line="276" w:lineRule="auto"/>
              <w:ind w:firstLine="1"/>
              <w:contextualSpacing/>
              <w:jc w:val="both"/>
            </w:pPr>
            <w:r w:rsidRPr="00D53A2B">
              <w:rPr>
                <w:bCs/>
              </w:rPr>
              <w:t>Toz</w:t>
            </w:r>
          </w:p>
        </w:tc>
        <w:tc>
          <w:tcPr>
            <w:tcW w:w="0" w:type="auto"/>
            <w:hideMark/>
          </w:tcPr>
          <w:p w14:paraId="05807CFC"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mg/Nm³</w:t>
            </w:r>
          </w:p>
        </w:tc>
        <w:tc>
          <w:tcPr>
            <w:tcW w:w="0" w:type="auto"/>
            <w:hideMark/>
          </w:tcPr>
          <w:p w14:paraId="2D479010"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1 – 5</w:t>
            </w:r>
          </w:p>
        </w:tc>
      </w:tr>
      <w:tr w:rsidR="0007690F" w:rsidRPr="00D53A2B" w14:paraId="165E3A49"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020BD390" w14:textId="77777777" w:rsidR="0007690F" w:rsidRPr="00D53A2B" w:rsidRDefault="0007690F" w:rsidP="00A202FD">
            <w:pPr>
              <w:widowControl w:val="0"/>
              <w:spacing w:after="240" w:line="276" w:lineRule="auto"/>
              <w:ind w:firstLine="1"/>
              <w:contextualSpacing/>
              <w:jc w:val="both"/>
            </w:pPr>
            <w:r w:rsidRPr="00D53A2B">
              <w:rPr>
                <w:bCs/>
              </w:rPr>
              <w:t>Benzen</w:t>
            </w:r>
          </w:p>
        </w:tc>
        <w:tc>
          <w:tcPr>
            <w:tcW w:w="0" w:type="auto"/>
            <w:hideMark/>
          </w:tcPr>
          <w:p w14:paraId="1ABFFE00"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mg/Nm³</w:t>
            </w:r>
          </w:p>
        </w:tc>
        <w:tc>
          <w:tcPr>
            <w:tcW w:w="0" w:type="auto"/>
            <w:hideMark/>
          </w:tcPr>
          <w:p w14:paraId="528012CE"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&lt; 1 – 2 (39)</w:t>
            </w:r>
          </w:p>
        </w:tc>
      </w:tr>
      <w:tr w:rsidR="0007690F" w:rsidRPr="00D53A2B" w14:paraId="4DDE1F9C"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37EEC701" w14:textId="77777777" w:rsidR="0007690F" w:rsidRPr="00D53A2B" w:rsidRDefault="0007690F" w:rsidP="00A202FD">
            <w:pPr>
              <w:widowControl w:val="0"/>
              <w:spacing w:after="240" w:line="276" w:lineRule="auto"/>
              <w:ind w:firstLine="1"/>
              <w:contextualSpacing/>
              <w:jc w:val="both"/>
            </w:pPr>
            <w:r w:rsidRPr="00D53A2B">
              <w:rPr>
                <w:bCs/>
              </w:rPr>
              <w:t>Formaldehit</w:t>
            </w:r>
          </w:p>
        </w:tc>
        <w:tc>
          <w:tcPr>
            <w:tcW w:w="0" w:type="auto"/>
            <w:hideMark/>
          </w:tcPr>
          <w:p w14:paraId="5E554BF3"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mg/Nm³</w:t>
            </w:r>
          </w:p>
        </w:tc>
        <w:tc>
          <w:tcPr>
            <w:tcW w:w="0" w:type="auto"/>
            <w:hideMark/>
          </w:tcPr>
          <w:p w14:paraId="094F9A46"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&lt; 1 – 2 (40)</w:t>
            </w:r>
          </w:p>
        </w:tc>
      </w:tr>
      <w:tr w:rsidR="0007690F" w:rsidRPr="00D53A2B" w14:paraId="001521DF"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5D6F75A4" w14:textId="77777777" w:rsidR="0007690F" w:rsidRPr="00D53A2B" w:rsidRDefault="0007690F" w:rsidP="00A202FD">
            <w:pPr>
              <w:widowControl w:val="0"/>
              <w:spacing w:after="240" w:line="276" w:lineRule="auto"/>
              <w:ind w:firstLine="1"/>
              <w:contextualSpacing/>
              <w:jc w:val="both"/>
            </w:pPr>
            <w:r w:rsidRPr="00D53A2B">
              <w:rPr>
                <w:bCs/>
              </w:rPr>
              <w:t>Fenol</w:t>
            </w:r>
          </w:p>
        </w:tc>
        <w:tc>
          <w:tcPr>
            <w:tcW w:w="0" w:type="auto"/>
            <w:hideMark/>
          </w:tcPr>
          <w:p w14:paraId="180109D8"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mg/Nm³</w:t>
            </w:r>
          </w:p>
        </w:tc>
        <w:tc>
          <w:tcPr>
            <w:tcW w:w="0" w:type="auto"/>
            <w:hideMark/>
          </w:tcPr>
          <w:p w14:paraId="7AE36135"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&lt; 1 – 2 (41)</w:t>
            </w:r>
          </w:p>
        </w:tc>
      </w:tr>
      <w:tr w:rsidR="0007690F" w:rsidRPr="00D53A2B" w14:paraId="643A71E4"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45C125FA" w14:textId="77777777" w:rsidR="0007690F" w:rsidRPr="00D53A2B" w:rsidRDefault="0007690F" w:rsidP="00A202FD">
            <w:pPr>
              <w:widowControl w:val="0"/>
              <w:spacing w:after="240" w:line="276" w:lineRule="auto"/>
              <w:ind w:firstLine="1"/>
              <w:contextualSpacing/>
              <w:jc w:val="both"/>
            </w:pPr>
            <w:r w:rsidRPr="00D53A2B">
              <w:rPr>
                <w:bCs/>
              </w:rPr>
              <w:t>TVOC</w:t>
            </w:r>
          </w:p>
        </w:tc>
        <w:tc>
          <w:tcPr>
            <w:tcW w:w="0" w:type="auto"/>
            <w:hideMark/>
          </w:tcPr>
          <w:p w14:paraId="1DDAC9FB"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 C/Nm³</w:t>
            </w:r>
          </w:p>
        </w:tc>
        <w:tc>
          <w:tcPr>
            <w:tcW w:w="0" w:type="auto"/>
            <w:hideMark/>
          </w:tcPr>
          <w:p w14:paraId="6D836158"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15 – 50 (42)</w:t>
            </w:r>
          </w:p>
        </w:tc>
      </w:tr>
    </w:tbl>
    <w:p w14:paraId="31301AA9" w14:textId="77777777" w:rsidR="0007690F" w:rsidRPr="00D53A2B" w:rsidRDefault="0007690F" w:rsidP="00A202FD">
      <w:pPr>
        <w:widowControl w:val="0"/>
        <w:spacing w:after="240" w:line="276" w:lineRule="auto"/>
        <w:ind w:firstLine="1"/>
        <w:contextualSpacing/>
        <w:jc w:val="both"/>
      </w:pPr>
      <w:r w:rsidRPr="00D53A2B">
        <w:t>İlgili izleme yöntemleri </w:t>
      </w:r>
      <w:r w:rsidRPr="00D53A2B">
        <w:rPr>
          <w:b/>
          <w:bCs/>
        </w:rPr>
        <w:t>MET 12</w:t>
      </w:r>
      <w:r w:rsidRPr="00D53A2B">
        <w:t>'de belirtilmiştir.</w:t>
      </w:r>
    </w:p>
    <w:p w14:paraId="305F9B6A" w14:textId="1CFB65BC" w:rsidR="00F90E63" w:rsidRPr="00D53A2B" w:rsidRDefault="00F90E63" w:rsidP="00A202FD">
      <w:pPr>
        <w:pStyle w:val="Balk4"/>
        <w:rPr>
          <w:rFonts w:cs="Times New Roman"/>
        </w:rPr>
      </w:pPr>
      <w:r w:rsidRPr="00D53A2B">
        <w:rPr>
          <w:rFonts w:cs="Times New Roman"/>
        </w:rPr>
        <w:t>1.2.1.10. Kaybolan köpük dökümünden havaya emisyonlar</w:t>
      </w:r>
    </w:p>
    <w:p w14:paraId="1D7B8F47" w14:textId="49B7DD8C" w:rsidR="0007690F" w:rsidRDefault="0007690F" w:rsidP="00A202FD">
      <w:pPr>
        <w:widowControl w:val="0"/>
        <w:spacing w:after="240" w:line="276" w:lineRule="auto"/>
        <w:ind w:firstLine="1"/>
        <w:contextualSpacing/>
        <w:jc w:val="both"/>
        <w:rPr>
          <w:b/>
          <w:bCs/>
        </w:rPr>
      </w:pPr>
      <w:r w:rsidRPr="00D53A2B">
        <w:rPr>
          <w:b/>
          <w:bCs/>
        </w:rPr>
        <w:t>MET 28.</w:t>
      </w:r>
      <w:r w:rsidRPr="00D53A2B">
        <w:t> </w:t>
      </w:r>
      <w:r w:rsidRPr="00D53A2B">
        <w:rPr>
          <w:b/>
          <w:bCs/>
        </w:rPr>
        <w:t>Kaybolan köpük döküm yönteminden kaynaklanan toz ve toplam uçucu organik bileşik (TVOC) emisyonlarını azaltmak için, MET (En İyi Mevcut Teknikler), emisyonların (a) tekniği kullanılarak toplanmasını ve aşağıda belirtilen (b)ile (d) arasındaki uygun tekniklerin bir kombinasyonu ile baca gazlarının arıtılmasını içerir.</w:t>
      </w:r>
    </w:p>
    <w:p w14:paraId="2DBB1276" w14:textId="77777777" w:rsidR="008A41DE" w:rsidRPr="00D53A2B" w:rsidRDefault="008A41DE" w:rsidP="00A202FD">
      <w:pPr>
        <w:widowControl w:val="0"/>
        <w:spacing w:after="240" w:line="276" w:lineRule="auto"/>
        <w:ind w:firstLine="1"/>
        <w:contextualSpacing/>
        <w:jc w:val="both"/>
      </w:pPr>
    </w:p>
    <w:tbl>
      <w:tblPr>
        <w:tblStyle w:val="TabloKlavuzu1"/>
        <w:tblW w:w="8926" w:type="dxa"/>
        <w:tblLook w:val="04A0" w:firstRow="1" w:lastRow="0" w:firstColumn="1" w:lastColumn="0" w:noHBand="0" w:noVBand="1"/>
      </w:tblPr>
      <w:tblGrid>
        <w:gridCol w:w="1604"/>
        <w:gridCol w:w="3224"/>
        <w:gridCol w:w="4174"/>
      </w:tblGrid>
      <w:tr w:rsidR="0007690F" w:rsidRPr="00D53A2B" w14:paraId="10FF412A" w14:textId="77777777" w:rsidTr="008A41DE">
        <w:trPr>
          <w:trHeight w:val="320"/>
        </w:trPr>
        <w:tc>
          <w:tcPr>
            <w:tcW w:w="1528" w:type="dxa"/>
            <w:noWrap/>
            <w:hideMark/>
          </w:tcPr>
          <w:p w14:paraId="28344E04"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3224" w:type="dxa"/>
            <w:noWrap/>
            <w:hideMark/>
          </w:tcPr>
          <w:p w14:paraId="79A1C445"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4174" w:type="dxa"/>
            <w:noWrap/>
            <w:hideMark/>
          </w:tcPr>
          <w:p w14:paraId="4DF37C95"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tc>
      </w:tr>
      <w:tr w:rsidR="0007690F" w:rsidRPr="00D53A2B" w14:paraId="28562D98" w14:textId="77777777" w:rsidTr="008A41DE">
        <w:trPr>
          <w:trHeight w:val="320"/>
        </w:trPr>
        <w:tc>
          <w:tcPr>
            <w:tcW w:w="1528" w:type="dxa"/>
            <w:noWrap/>
            <w:hideMark/>
          </w:tcPr>
          <w:p w14:paraId="2B73A45A" w14:textId="77777777" w:rsidR="0007690F" w:rsidRPr="00D53A2B" w:rsidRDefault="0007690F" w:rsidP="00A202FD">
            <w:pPr>
              <w:widowControl w:val="0"/>
              <w:spacing w:after="240" w:line="276" w:lineRule="auto"/>
              <w:ind w:firstLine="1"/>
              <w:contextualSpacing/>
              <w:jc w:val="both"/>
              <w:rPr>
                <w:b/>
                <w:bCs/>
              </w:rPr>
            </w:pPr>
            <w:r w:rsidRPr="00D53A2B">
              <w:rPr>
                <w:b/>
                <w:bCs/>
              </w:rPr>
              <w:t>Emisyonların Toplanması</w:t>
            </w:r>
          </w:p>
        </w:tc>
        <w:tc>
          <w:tcPr>
            <w:tcW w:w="3224" w:type="dxa"/>
            <w:noWrap/>
            <w:hideMark/>
          </w:tcPr>
          <w:p w14:paraId="0E74DE19" w14:textId="77777777" w:rsidR="0007690F" w:rsidRPr="00D53A2B" w:rsidRDefault="0007690F" w:rsidP="00A202FD">
            <w:pPr>
              <w:widowControl w:val="0"/>
              <w:spacing w:after="240" w:line="276" w:lineRule="auto"/>
              <w:ind w:firstLine="1"/>
              <w:contextualSpacing/>
              <w:jc w:val="both"/>
            </w:pPr>
            <w:r w:rsidRPr="00D53A2B">
              <w:t> </w:t>
            </w:r>
          </w:p>
        </w:tc>
        <w:tc>
          <w:tcPr>
            <w:tcW w:w="4174" w:type="dxa"/>
            <w:noWrap/>
            <w:hideMark/>
          </w:tcPr>
          <w:p w14:paraId="347930E9" w14:textId="77777777" w:rsidR="0007690F" w:rsidRPr="00D53A2B" w:rsidRDefault="0007690F" w:rsidP="00A202FD">
            <w:pPr>
              <w:widowControl w:val="0"/>
              <w:spacing w:after="240" w:line="276" w:lineRule="auto"/>
              <w:ind w:firstLine="1"/>
              <w:contextualSpacing/>
              <w:jc w:val="both"/>
            </w:pPr>
            <w:r w:rsidRPr="00D53A2B">
              <w:t> </w:t>
            </w:r>
          </w:p>
        </w:tc>
      </w:tr>
      <w:tr w:rsidR="00CC3DCB" w:rsidRPr="00D53A2B" w14:paraId="4985A5FC" w14:textId="77777777" w:rsidTr="008A41DE">
        <w:trPr>
          <w:trHeight w:val="320"/>
        </w:trPr>
        <w:tc>
          <w:tcPr>
            <w:tcW w:w="4752" w:type="dxa"/>
            <w:gridSpan w:val="2"/>
            <w:noWrap/>
            <w:hideMark/>
          </w:tcPr>
          <w:p w14:paraId="1979404B" w14:textId="3087D85A" w:rsidR="00CC3DCB" w:rsidRPr="00D53A2B" w:rsidRDefault="00CC3DCB" w:rsidP="00CC3DCB">
            <w:pPr>
              <w:widowControl w:val="0"/>
              <w:spacing w:after="240" w:line="276" w:lineRule="auto"/>
              <w:contextualSpacing/>
              <w:jc w:val="both"/>
            </w:pPr>
            <w:r w:rsidRPr="00D53A2B">
              <w:rPr>
                <w:b/>
                <w:bCs/>
              </w:rPr>
              <w:t>a.</w:t>
            </w:r>
            <w:r w:rsidRPr="00D53A2B">
              <w:t>Kaybolan köpük döküm işlemi sırasında oluşan emisyonların kaynağa mümkün olduğunca yakın bir noktadan çekilmesi.</w:t>
            </w:r>
          </w:p>
        </w:tc>
        <w:tc>
          <w:tcPr>
            <w:tcW w:w="4174" w:type="dxa"/>
            <w:noWrap/>
            <w:hideMark/>
          </w:tcPr>
          <w:p w14:paraId="5BA44F5E" w14:textId="77777777" w:rsidR="00CC3DCB" w:rsidRPr="00D53A2B" w:rsidRDefault="00CC3DCB" w:rsidP="00A202FD">
            <w:pPr>
              <w:widowControl w:val="0"/>
              <w:spacing w:after="240" w:line="276" w:lineRule="auto"/>
              <w:ind w:firstLine="1"/>
              <w:contextualSpacing/>
              <w:jc w:val="both"/>
            </w:pPr>
            <w:r w:rsidRPr="00D53A2B">
              <w:t>Kaybolan köpük döküm işlemlerinde, genişletilmiş polimerin döküm ve söküm sırasında pirolizi ile oluşan emisyonlar, örneğin bir kaplama ya da davlumbaz kullanılarak toplanır.</w:t>
            </w:r>
          </w:p>
        </w:tc>
      </w:tr>
      <w:tr w:rsidR="00CC3DCB" w:rsidRPr="00D53A2B" w14:paraId="0A43D103" w14:textId="77777777" w:rsidTr="008A41DE">
        <w:trPr>
          <w:trHeight w:val="409"/>
        </w:trPr>
        <w:tc>
          <w:tcPr>
            <w:tcW w:w="4752" w:type="dxa"/>
            <w:gridSpan w:val="2"/>
            <w:noWrap/>
            <w:hideMark/>
          </w:tcPr>
          <w:p w14:paraId="4175E531" w14:textId="77777777" w:rsidR="00CC3DCB" w:rsidRPr="00D53A2B" w:rsidRDefault="00CC3DCB" w:rsidP="00A202FD">
            <w:pPr>
              <w:widowControl w:val="0"/>
              <w:spacing w:after="240" w:line="276" w:lineRule="auto"/>
              <w:ind w:firstLine="1"/>
              <w:contextualSpacing/>
              <w:jc w:val="both"/>
              <w:rPr>
                <w:b/>
                <w:bCs/>
              </w:rPr>
            </w:pPr>
            <w:r w:rsidRPr="00D53A2B">
              <w:rPr>
                <w:b/>
                <w:bCs/>
              </w:rPr>
              <w:t>Baca Gazı Arıtımı</w:t>
            </w:r>
          </w:p>
          <w:p w14:paraId="7FD9DA24" w14:textId="20644348" w:rsidR="00CC3DCB" w:rsidRPr="00D53A2B" w:rsidRDefault="00CC3DCB" w:rsidP="00A202FD">
            <w:pPr>
              <w:widowControl w:val="0"/>
              <w:spacing w:after="240" w:line="276" w:lineRule="auto"/>
              <w:ind w:firstLine="1"/>
              <w:contextualSpacing/>
              <w:jc w:val="both"/>
            </w:pPr>
            <w:r w:rsidRPr="00D53A2B">
              <w:t> </w:t>
            </w:r>
          </w:p>
        </w:tc>
        <w:tc>
          <w:tcPr>
            <w:tcW w:w="4174" w:type="dxa"/>
            <w:noWrap/>
            <w:hideMark/>
          </w:tcPr>
          <w:p w14:paraId="63929AA6" w14:textId="77777777" w:rsidR="00CC3DCB" w:rsidRPr="00D53A2B" w:rsidRDefault="00CC3DCB" w:rsidP="00A202FD">
            <w:pPr>
              <w:widowControl w:val="0"/>
              <w:spacing w:after="240" w:line="276" w:lineRule="auto"/>
              <w:ind w:firstLine="1"/>
              <w:contextualSpacing/>
              <w:jc w:val="both"/>
            </w:pPr>
            <w:r w:rsidRPr="00D53A2B">
              <w:t> </w:t>
            </w:r>
          </w:p>
        </w:tc>
      </w:tr>
      <w:tr w:rsidR="00CC3DCB" w:rsidRPr="00D53A2B" w14:paraId="0814A574" w14:textId="77777777" w:rsidTr="008A41DE">
        <w:trPr>
          <w:trHeight w:val="320"/>
        </w:trPr>
        <w:tc>
          <w:tcPr>
            <w:tcW w:w="4752" w:type="dxa"/>
            <w:gridSpan w:val="2"/>
            <w:noWrap/>
            <w:hideMark/>
          </w:tcPr>
          <w:p w14:paraId="72FC8921" w14:textId="6A3B05EF" w:rsidR="00CC3DCB" w:rsidRPr="00D53A2B" w:rsidRDefault="00CC3DCB" w:rsidP="00CC3DCB">
            <w:pPr>
              <w:widowControl w:val="0"/>
              <w:spacing w:after="240" w:line="276" w:lineRule="auto"/>
              <w:ind w:firstLine="1"/>
              <w:contextualSpacing/>
              <w:jc w:val="both"/>
            </w:pPr>
            <w:r w:rsidRPr="00D53A2B">
              <w:rPr>
                <w:b/>
                <w:bCs/>
              </w:rPr>
              <w:t>b.</w:t>
            </w:r>
            <w:r w:rsidRPr="00D53A2B">
              <w:t>Torba filtre</w:t>
            </w:r>
          </w:p>
        </w:tc>
        <w:tc>
          <w:tcPr>
            <w:tcW w:w="4174" w:type="dxa"/>
            <w:noWrap/>
            <w:hideMark/>
          </w:tcPr>
          <w:p w14:paraId="5D25A415" w14:textId="77777777" w:rsidR="00CC3DCB" w:rsidRPr="00D53A2B" w:rsidRDefault="00CC3DCB" w:rsidP="00A202FD">
            <w:pPr>
              <w:widowControl w:val="0"/>
              <w:spacing w:after="240" w:line="276" w:lineRule="auto"/>
              <w:ind w:firstLine="1"/>
              <w:contextualSpacing/>
              <w:jc w:val="both"/>
            </w:pPr>
            <w:r w:rsidRPr="00D53A2B">
              <w:t>Bkz. Bölüm 1.4.3.</w:t>
            </w:r>
          </w:p>
        </w:tc>
      </w:tr>
      <w:tr w:rsidR="00CC3DCB" w:rsidRPr="00D53A2B" w14:paraId="223FE43A" w14:textId="77777777" w:rsidTr="008A41DE">
        <w:trPr>
          <w:trHeight w:val="320"/>
        </w:trPr>
        <w:tc>
          <w:tcPr>
            <w:tcW w:w="4752" w:type="dxa"/>
            <w:gridSpan w:val="2"/>
            <w:noWrap/>
            <w:hideMark/>
          </w:tcPr>
          <w:p w14:paraId="1F6733DB" w14:textId="70E83B48" w:rsidR="00CC3DCB" w:rsidRPr="00D53A2B" w:rsidRDefault="00CC3DCB" w:rsidP="00CC3DCB">
            <w:pPr>
              <w:widowControl w:val="0"/>
              <w:spacing w:after="240" w:line="276" w:lineRule="auto"/>
              <w:ind w:firstLine="1"/>
              <w:contextualSpacing/>
              <w:jc w:val="both"/>
            </w:pPr>
            <w:r w:rsidRPr="00D53A2B">
              <w:rPr>
                <w:b/>
                <w:bCs/>
              </w:rPr>
              <w:t>c.</w:t>
            </w:r>
            <w:r w:rsidRPr="00D53A2B">
              <w:t>Islak yıkama</w:t>
            </w:r>
          </w:p>
        </w:tc>
        <w:tc>
          <w:tcPr>
            <w:tcW w:w="4174" w:type="dxa"/>
            <w:noWrap/>
            <w:hideMark/>
          </w:tcPr>
          <w:p w14:paraId="553D0D9B" w14:textId="77777777" w:rsidR="00CC3DCB" w:rsidRPr="00D53A2B" w:rsidRDefault="00CC3DCB" w:rsidP="00A202FD">
            <w:pPr>
              <w:widowControl w:val="0"/>
              <w:spacing w:after="240" w:line="276" w:lineRule="auto"/>
              <w:ind w:firstLine="1"/>
              <w:contextualSpacing/>
              <w:jc w:val="both"/>
            </w:pPr>
            <w:r w:rsidRPr="00D53A2B">
              <w:t>Bkz. Bölüm 1.4.3.</w:t>
            </w:r>
          </w:p>
        </w:tc>
      </w:tr>
      <w:tr w:rsidR="00CC3DCB" w:rsidRPr="00D53A2B" w14:paraId="03383260" w14:textId="77777777" w:rsidTr="008A41DE">
        <w:trPr>
          <w:trHeight w:val="320"/>
        </w:trPr>
        <w:tc>
          <w:tcPr>
            <w:tcW w:w="4752" w:type="dxa"/>
            <w:gridSpan w:val="2"/>
            <w:noWrap/>
            <w:hideMark/>
          </w:tcPr>
          <w:p w14:paraId="4E731409" w14:textId="18371A57" w:rsidR="00CC3DCB" w:rsidRPr="00D53A2B" w:rsidRDefault="00CC3DCB" w:rsidP="00CC3DCB">
            <w:pPr>
              <w:widowControl w:val="0"/>
              <w:spacing w:after="240" w:line="276" w:lineRule="auto"/>
              <w:ind w:firstLine="1"/>
              <w:contextualSpacing/>
              <w:jc w:val="both"/>
            </w:pPr>
            <w:r w:rsidRPr="00D53A2B">
              <w:rPr>
                <w:b/>
                <w:bCs/>
              </w:rPr>
              <w:t>d.</w:t>
            </w:r>
            <w:r w:rsidRPr="00D53A2B">
              <w:t>Termal oksidasyon</w:t>
            </w:r>
          </w:p>
        </w:tc>
        <w:tc>
          <w:tcPr>
            <w:tcW w:w="4174" w:type="dxa"/>
            <w:noWrap/>
            <w:hideMark/>
          </w:tcPr>
          <w:p w14:paraId="2FD46BCC" w14:textId="77777777" w:rsidR="00CC3DCB" w:rsidRPr="00D53A2B" w:rsidRDefault="00CC3DCB" w:rsidP="00A202FD">
            <w:pPr>
              <w:widowControl w:val="0"/>
              <w:spacing w:after="240" w:line="276" w:lineRule="auto"/>
              <w:ind w:firstLine="1"/>
              <w:contextualSpacing/>
              <w:jc w:val="both"/>
            </w:pPr>
            <w:r w:rsidRPr="00D53A2B">
              <w:t>Bkz. Bölüm 1.4.3.</w:t>
            </w:r>
          </w:p>
        </w:tc>
      </w:tr>
    </w:tbl>
    <w:p w14:paraId="1DF1485F" w14:textId="77777777" w:rsidR="0007690F" w:rsidRPr="00D53A2B" w:rsidRDefault="0007690F" w:rsidP="00A202FD">
      <w:pPr>
        <w:widowControl w:val="0"/>
        <w:spacing w:after="240" w:line="276" w:lineRule="auto"/>
        <w:ind w:firstLine="1"/>
        <w:contextualSpacing/>
        <w:jc w:val="both"/>
      </w:pPr>
    </w:p>
    <w:p w14:paraId="4C722088" w14:textId="77777777" w:rsidR="0007690F" w:rsidRPr="00D53A2B" w:rsidRDefault="0007690F" w:rsidP="00A202FD">
      <w:pPr>
        <w:widowControl w:val="0"/>
        <w:spacing w:after="240" w:line="276" w:lineRule="auto"/>
        <w:ind w:firstLine="1"/>
        <w:contextualSpacing/>
        <w:jc w:val="both"/>
      </w:pPr>
      <w:r w:rsidRPr="00D53A2B">
        <w:rPr>
          <w:b/>
          <w:bCs/>
        </w:rPr>
        <w:t>Tablo 1.10</w:t>
      </w:r>
    </w:p>
    <w:p w14:paraId="5156DED7" w14:textId="5C6D8D48" w:rsidR="0007690F" w:rsidRPr="00D53A2B" w:rsidRDefault="0007690F" w:rsidP="00A202FD">
      <w:pPr>
        <w:widowControl w:val="0"/>
        <w:spacing w:after="240" w:line="276" w:lineRule="auto"/>
        <w:ind w:firstLine="1"/>
        <w:contextualSpacing/>
        <w:jc w:val="both"/>
      </w:pPr>
      <w:r w:rsidRPr="00D53A2B">
        <w:rPr>
          <w:b/>
          <w:bCs/>
        </w:rPr>
        <w:t>Kalıcı kalıpların kullanıldığı dökümhanelerde kaybolan köpük dökümünden kaynaklanan toz ve TVOC için hava emisyonlarına ilişkin MET ile ilişkili emisyon seviyeleri (</w:t>
      </w:r>
      <w:r w:rsidR="00831B53" w:rsidRPr="00D53A2B">
        <w:rPr>
          <w:b/>
          <w:bCs/>
        </w:rPr>
        <w:t>MET-İES</w:t>
      </w:r>
      <w:r w:rsidRPr="00D53A2B">
        <w:rPr>
          <w:b/>
          <w:bCs/>
        </w:rPr>
        <w:t>)</w:t>
      </w:r>
    </w:p>
    <w:tbl>
      <w:tblPr>
        <w:tblStyle w:val="EIPPCBTable"/>
        <w:tblW w:w="0" w:type="auto"/>
        <w:tblLook w:val="04A0" w:firstRow="1" w:lastRow="0" w:firstColumn="1" w:lastColumn="0" w:noHBand="0" w:noVBand="1"/>
      </w:tblPr>
      <w:tblGrid>
        <w:gridCol w:w="1310"/>
        <w:gridCol w:w="1199"/>
        <w:gridCol w:w="6551"/>
      </w:tblGrid>
      <w:tr w:rsidR="0007690F" w:rsidRPr="00D53A2B" w14:paraId="27FC07D8" w14:textId="77777777" w:rsidTr="00CC3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AFCB5B" w14:textId="77777777" w:rsidR="0007690F" w:rsidRPr="00D53A2B" w:rsidRDefault="0007690F" w:rsidP="00A202FD">
            <w:pPr>
              <w:widowControl w:val="0"/>
              <w:spacing w:after="240" w:line="276" w:lineRule="auto"/>
              <w:ind w:firstLine="1"/>
              <w:contextualSpacing/>
              <w:jc w:val="both"/>
              <w:rPr>
                <w:b w:val="0"/>
                <w:bCs/>
              </w:rPr>
            </w:pPr>
            <w:r w:rsidRPr="00D53A2B">
              <w:rPr>
                <w:bCs/>
              </w:rPr>
              <w:t>Parametre</w:t>
            </w:r>
          </w:p>
        </w:tc>
        <w:tc>
          <w:tcPr>
            <w:tcW w:w="0" w:type="auto"/>
            <w:hideMark/>
          </w:tcPr>
          <w:p w14:paraId="4F190F17" w14:textId="77777777" w:rsidR="0007690F" w:rsidRPr="00D53A2B" w:rsidRDefault="0007690F"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Cs/>
              </w:rPr>
              <w:t>Birim</w:t>
            </w:r>
          </w:p>
        </w:tc>
        <w:tc>
          <w:tcPr>
            <w:tcW w:w="0" w:type="auto"/>
            <w:hideMark/>
          </w:tcPr>
          <w:p w14:paraId="0F64C591" w14:textId="3BAE468D" w:rsidR="0007690F" w:rsidRPr="00D53A2B" w:rsidRDefault="00831B53"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Cs/>
              </w:rPr>
              <w:t>MET-İES</w:t>
            </w:r>
            <w:r w:rsidR="0007690F" w:rsidRPr="00D53A2B">
              <w:rPr>
                <w:bCs/>
              </w:rPr>
              <w:t> (Günlük ortalama veya numune alma süresi boyunca ortalama)</w:t>
            </w:r>
          </w:p>
        </w:tc>
      </w:tr>
      <w:tr w:rsidR="0007690F" w:rsidRPr="00D53A2B" w14:paraId="49F9E557"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0AC5BDD7" w14:textId="77777777" w:rsidR="0007690F" w:rsidRPr="00D53A2B" w:rsidRDefault="0007690F" w:rsidP="00A202FD">
            <w:pPr>
              <w:widowControl w:val="0"/>
              <w:spacing w:after="240" w:line="276" w:lineRule="auto"/>
              <w:ind w:firstLine="1"/>
              <w:contextualSpacing/>
              <w:jc w:val="both"/>
            </w:pPr>
            <w:r w:rsidRPr="00D53A2B">
              <w:rPr>
                <w:bCs/>
              </w:rPr>
              <w:t>Toz</w:t>
            </w:r>
          </w:p>
        </w:tc>
        <w:tc>
          <w:tcPr>
            <w:tcW w:w="0" w:type="auto"/>
            <w:hideMark/>
          </w:tcPr>
          <w:p w14:paraId="5F10A8CF"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mg/Nm³</w:t>
            </w:r>
          </w:p>
        </w:tc>
        <w:tc>
          <w:tcPr>
            <w:tcW w:w="0" w:type="auto"/>
            <w:hideMark/>
          </w:tcPr>
          <w:p w14:paraId="1D2906E3"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1 – 5</w:t>
            </w:r>
          </w:p>
        </w:tc>
      </w:tr>
      <w:tr w:rsidR="0007690F" w:rsidRPr="00D53A2B" w14:paraId="2A764480" w14:textId="77777777" w:rsidTr="00CC3DCB">
        <w:tc>
          <w:tcPr>
            <w:cnfStyle w:val="001000000000" w:firstRow="0" w:lastRow="0" w:firstColumn="1" w:lastColumn="0" w:oddVBand="0" w:evenVBand="0" w:oddHBand="0" w:evenHBand="0" w:firstRowFirstColumn="0" w:firstRowLastColumn="0" w:lastRowFirstColumn="0" w:lastRowLastColumn="0"/>
            <w:tcW w:w="0" w:type="auto"/>
            <w:hideMark/>
          </w:tcPr>
          <w:p w14:paraId="12E02143" w14:textId="77777777" w:rsidR="0007690F" w:rsidRPr="00D53A2B" w:rsidRDefault="0007690F" w:rsidP="00A202FD">
            <w:pPr>
              <w:widowControl w:val="0"/>
              <w:spacing w:after="240" w:line="276" w:lineRule="auto"/>
              <w:ind w:firstLine="1"/>
              <w:contextualSpacing/>
              <w:jc w:val="both"/>
            </w:pPr>
            <w:r w:rsidRPr="00D53A2B">
              <w:rPr>
                <w:bCs/>
              </w:rPr>
              <w:t>TVOC</w:t>
            </w:r>
          </w:p>
        </w:tc>
        <w:tc>
          <w:tcPr>
            <w:tcW w:w="0" w:type="auto"/>
            <w:hideMark/>
          </w:tcPr>
          <w:p w14:paraId="3B68B4F9"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 C/Nm³</w:t>
            </w:r>
          </w:p>
        </w:tc>
        <w:tc>
          <w:tcPr>
            <w:tcW w:w="0" w:type="auto"/>
            <w:hideMark/>
          </w:tcPr>
          <w:p w14:paraId="3AF37FB0"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15 – 50 (43)</w:t>
            </w:r>
          </w:p>
        </w:tc>
      </w:tr>
    </w:tbl>
    <w:p w14:paraId="162EB9DF" w14:textId="77777777" w:rsidR="0007690F" w:rsidRPr="00D53A2B" w:rsidRDefault="0007690F" w:rsidP="00A202FD">
      <w:pPr>
        <w:widowControl w:val="0"/>
        <w:spacing w:after="240" w:line="276" w:lineRule="auto"/>
        <w:ind w:firstLine="1"/>
        <w:contextualSpacing/>
        <w:jc w:val="both"/>
      </w:pPr>
      <w:r w:rsidRPr="00D53A2B">
        <w:t>İlgili izleme, MET 12'de belirtilmiştir.</w:t>
      </w:r>
    </w:p>
    <w:p w14:paraId="199D4B8C" w14:textId="77777777" w:rsidR="0007690F" w:rsidRPr="00D53A2B" w:rsidRDefault="0007690F" w:rsidP="00A202FD">
      <w:pPr>
        <w:pStyle w:val="Balk4"/>
        <w:rPr>
          <w:rFonts w:cs="Times New Roman"/>
        </w:rPr>
      </w:pPr>
      <w:r w:rsidRPr="00D53A2B">
        <w:rPr>
          <w:rFonts w:cs="Times New Roman"/>
        </w:rPr>
        <w:t>1.2.1.11. Kalıcı kalıpların kullanıldığı dökümhanelerde döküm işlemlerinden kaynaklanan hava emisyonları</w:t>
      </w:r>
    </w:p>
    <w:p w14:paraId="426801CA" w14:textId="77777777" w:rsidR="0007690F" w:rsidRPr="00D53A2B" w:rsidRDefault="0007690F" w:rsidP="00A202FD">
      <w:pPr>
        <w:widowControl w:val="0"/>
        <w:spacing w:after="240" w:line="276" w:lineRule="auto"/>
        <w:ind w:firstLine="1"/>
        <w:contextualSpacing/>
        <w:jc w:val="both"/>
      </w:pPr>
      <w:r w:rsidRPr="00D53A2B">
        <w:rPr>
          <w:b/>
          <w:bCs/>
        </w:rPr>
        <w:t>MET 29</w:t>
      </w:r>
      <w:r w:rsidRPr="00D53A2B">
        <w:t xml:space="preserve">: </w:t>
      </w:r>
      <w:r w:rsidRPr="00D53A2B">
        <w:rPr>
          <w:b/>
          <w:bCs/>
        </w:rPr>
        <w:t>Kalıcı kalıpların kullanıldığı dökümhanelerde döküm işlemlerinden kaynaklanan hava emisyonlarını önlemek veya azaltmak için MET şunlardır:</w:t>
      </w:r>
    </w:p>
    <w:p w14:paraId="2B198A9C" w14:textId="77777777" w:rsidR="0007690F" w:rsidRPr="00D53A2B" w:rsidRDefault="0007690F" w:rsidP="00602365">
      <w:pPr>
        <w:widowControl w:val="0"/>
        <w:numPr>
          <w:ilvl w:val="0"/>
          <w:numId w:val="253"/>
        </w:numPr>
        <w:spacing w:after="240" w:line="276" w:lineRule="auto"/>
        <w:contextualSpacing/>
        <w:jc w:val="both"/>
      </w:pPr>
      <w:r w:rsidRPr="00D53A2B">
        <w:t>(a) ila (e) arasındaki tekniklerden birini veya bir kombinasyonunu kullanarak emisyon oluşumunu önlemek;</w:t>
      </w:r>
    </w:p>
    <w:p w14:paraId="0DE74F8D" w14:textId="77777777" w:rsidR="0007690F" w:rsidRPr="00D53A2B" w:rsidRDefault="0007690F" w:rsidP="00602365">
      <w:pPr>
        <w:widowControl w:val="0"/>
        <w:numPr>
          <w:ilvl w:val="0"/>
          <w:numId w:val="253"/>
        </w:numPr>
        <w:spacing w:after="240" w:line="276" w:lineRule="auto"/>
        <w:contextualSpacing/>
        <w:jc w:val="both"/>
      </w:pPr>
      <w:r w:rsidRPr="00D53A2B">
        <w:t>(f) tekniğini kullanarak emisyonları toplamak;</w:t>
      </w:r>
    </w:p>
    <w:p w14:paraId="7DE395A2" w14:textId="77777777" w:rsidR="0007690F" w:rsidRPr="00D53A2B" w:rsidRDefault="0007690F" w:rsidP="00602365">
      <w:pPr>
        <w:widowControl w:val="0"/>
        <w:numPr>
          <w:ilvl w:val="0"/>
          <w:numId w:val="253"/>
        </w:numPr>
        <w:spacing w:after="240" w:line="276" w:lineRule="auto"/>
        <w:contextualSpacing/>
        <w:jc w:val="both"/>
      </w:pPr>
      <w:r w:rsidRPr="00D53A2B">
        <w:t>aşağıda verilen (g) ila (j) arasındaki tekniklerden birini veya bir kombinasyonunu kullanarak baca gazlarını arıtmak.</w:t>
      </w:r>
    </w:p>
    <w:tbl>
      <w:tblPr>
        <w:tblStyle w:val="TabloKlavuzu"/>
        <w:tblW w:w="8926" w:type="dxa"/>
        <w:tblLook w:val="04A0" w:firstRow="1" w:lastRow="0" w:firstColumn="1" w:lastColumn="0" w:noHBand="0" w:noVBand="1"/>
      </w:tblPr>
      <w:tblGrid>
        <w:gridCol w:w="1884"/>
        <w:gridCol w:w="3249"/>
        <w:gridCol w:w="3793"/>
      </w:tblGrid>
      <w:tr w:rsidR="0007690F" w:rsidRPr="008A41DE" w14:paraId="5B6B9777" w14:textId="77777777" w:rsidTr="008A41DE">
        <w:trPr>
          <w:trHeight w:val="320"/>
        </w:trPr>
        <w:tc>
          <w:tcPr>
            <w:tcW w:w="1884" w:type="dxa"/>
            <w:noWrap/>
            <w:hideMark/>
          </w:tcPr>
          <w:p w14:paraId="1EF057A6"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Teknik</w:t>
            </w:r>
          </w:p>
        </w:tc>
        <w:tc>
          <w:tcPr>
            <w:tcW w:w="3249" w:type="dxa"/>
            <w:noWrap/>
            <w:hideMark/>
          </w:tcPr>
          <w:p w14:paraId="055F2F16"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Açıklama</w:t>
            </w:r>
          </w:p>
        </w:tc>
        <w:tc>
          <w:tcPr>
            <w:tcW w:w="3793" w:type="dxa"/>
            <w:noWrap/>
            <w:hideMark/>
          </w:tcPr>
          <w:p w14:paraId="2F9DFFD0"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Uygulanabilirlik</w:t>
            </w:r>
          </w:p>
        </w:tc>
      </w:tr>
      <w:tr w:rsidR="0007690F" w:rsidRPr="008A41DE" w14:paraId="225C1A66" w14:textId="77777777" w:rsidTr="008A41DE">
        <w:trPr>
          <w:trHeight w:val="320"/>
        </w:trPr>
        <w:tc>
          <w:tcPr>
            <w:tcW w:w="8926" w:type="dxa"/>
            <w:gridSpan w:val="3"/>
            <w:noWrap/>
            <w:hideMark/>
          </w:tcPr>
          <w:p w14:paraId="499EA651"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Emisyonların önlenmesi</w:t>
            </w:r>
          </w:p>
          <w:p w14:paraId="665F5574"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 </w:t>
            </w:r>
          </w:p>
          <w:p w14:paraId="725E2FC9"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 </w:t>
            </w:r>
          </w:p>
        </w:tc>
      </w:tr>
      <w:tr w:rsidR="0007690F" w:rsidRPr="008A41DE" w14:paraId="48EF072B" w14:textId="77777777" w:rsidTr="008A41DE">
        <w:trPr>
          <w:trHeight w:val="320"/>
        </w:trPr>
        <w:tc>
          <w:tcPr>
            <w:tcW w:w="1884" w:type="dxa"/>
            <w:vMerge w:val="restart"/>
            <w:noWrap/>
            <w:hideMark/>
          </w:tcPr>
          <w:p w14:paraId="426D6F94"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a.Yerçekimi ve düşük basınçlı kalıpla döküm için genel teknikler</w:t>
            </w:r>
            <w:r w:rsidRPr="008A41DE">
              <w:rPr>
                <w:sz w:val="22"/>
                <w:szCs w:val="22"/>
              </w:rPr>
              <w:t> </w:t>
            </w:r>
          </w:p>
        </w:tc>
        <w:tc>
          <w:tcPr>
            <w:tcW w:w="3249" w:type="dxa"/>
            <w:noWrap/>
          </w:tcPr>
          <w:p w14:paraId="7B5E6744" w14:textId="77777777" w:rsidR="0007690F" w:rsidRPr="008A41DE" w:rsidRDefault="0007690F" w:rsidP="00A202FD">
            <w:pPr>
              <w:widowControl w:val="0"/>
              <w:spacing w:after="240" w:line="276" w:lineRule="auto"/>
              <w:ind w:firstLine="1"/>
              <w:contextualSpacing/>
              <w:jc w:val="both"/>
              <w:rPr>
                <w:b/>
                <w:bCs/>
                <w:sz w:val="22"/>
                <w:szCs w:val="22"/>
              </w:rPr>
            </w:pPr>
          </w:p>
        </w:tc>
        <w:tc>
          <w:tcPr>
            <w:tcW w:w="3793" w:type="dxa"/>
            <w:vMerge w:val="restart"/>
            <w:noWrap/>
            <w:hideMark/>
          </w:tcPr>
          <w:p w14:paraId="6FAC881F"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1383B367" w14:textId="77777777" w:rsidTr="008A41DE">
        <w:trPr>
          <w:trHeight w:val="906"/>
        </w:trPr>
        <w:tc>
          <w:tcPr>
            <w:tcW w:w="1884" w:type="dxa"/>
            <w:vMerge/>
            <w:hideMark/>
          </w:tcPr>
          <w:p w14:paraId="14F2EAD8" w14:textId="77777777" w:rsidR="0007690F" w:rsidRPr="008A41DE" w:rsidRDefault="0007690F" w:rsidP="00A202FD">
            <w:pPr>
              <w:widowControl w:val="0"/>
              <w:spacing w:after="240" w:line="276" w:lineRule="auto"/>
              <w:ind w:firstLine="1"/>
              <w:contextualSpacing/>
              <w:jc w:val="both"/>
              <w:rPr>
                <w:b/>
                <w:bCs/>
                <w:sz w:val="22"/>
                <w:szCs w:val="22"/>
              </w:rPr>
            </w:pPr>
          </w:p>
        </w:tc>
        <w:tc>
          <w:tcPr>
            <w:tcW w:w="3249" w:type="dxa"/>
            <w:noWrap/>
            <w:hideMark/>
          </w:tcPr>
          <w:p w14:paraId="46281B5D"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Bu teknikler şunları içerir: </w:t>
            </w:r>
          </w:p>
          <w:p w14:paraId="0BAE8FC9"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 dökümlerin yüzey kusurlarını önlemek için uygun bir yağlayıcı seçimi; </w:t>
            </w:r>
          </w:p>
        </w:tc>
        <w:tc>
          <w:tcPr>
            <w:tcW w:w="3793" w:type="dxa"/>
            <w:vMerge/>
            <w:hideMark/>
          </w:tcPr>
          <w:p w14:paraId="42CED30F" w14:textId="77777777" w:rsidR="0007690F" w:rsidRPr="008A41DE" w:rsidRDefault="0007690F" w:rsidP="00A202FD">
            <w:pPr>
              <w:widowControl w:val="0"/>
              <w:spacing w:after="240" w:line="276" w:lineRule="auto"/>
              <w:ind w:firstLine="1"/>
              <w:contextualSpacing/>
              <w:jc w:val="both"/>
              <w:rPr>
                <w:sz w:val="22"/>
                <w:szCs w:val="22"/>
              </w:rPr>
            </w:pPr>
          </w:p>
        </w:tc>
      </w:tr>
      <w:tr w:rsidR="0007690F" w:rsidRPr="008A41DE" w14:paraId="3B715DA5" w14:textId="77777777" w:rsidTr="008A41DE">
        <w:trPr>
          <w:trHeight w:val="320"/>
        </w:trPr>
        <w:tc>
          <w:tcPr>
            <w:tcW w:w="1884" w:type="dxa"/>
            <w:vMerge/>
            <w:hideMark/>
          </w:tcPr>
          <w:p w14:paraId="3E863ECD" w14:textId="77777777" w:rsidR="0007690F" w:rsidRPr="008A41DE" w:rsidRDefault="0007690F" w:rsidP="00A202FD">
            <w:pPr>
              <w:widowControl w:val="0"/>
              <w:spacing w:after="240" w:line="276" w:lineRule="auto"/>
              <w:ind w:firstLine="1"/>
              <w:contextualSpacing/>
              <w:jc w:val="both"/>
              <w:rPr>
                <w:b/>
                <w:bCs/>
                <w:sz w:val="22"/>
                <w:szCs w:val="22"/>
              </w:rPr>
            </w:pPr>
          </w:p>
        </w:tc>
        <w:tc>
          <w:tcPr>
            <w:tcW w:w="3249" w:type="dxa"/>
            <w:noWrap/>
            <w:hideMark/>
          </w:tcPr>
          <w:p w14:paraId="3F2403C8"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 aşırı kullanımı önlemek için optimize edilmiş yağlayıcı hazırlama ve uygulama.</w:t>
            </w:r>
          </w:p>
        </w:tc>
        <w:tc>
          <w:tcPr>
            <w:tcW w:w="3793" w:type="dxa"/>
            <w:vMerge/>
            <w:hideMark/>
          </w:tcPr>
          <w:p w14:paraId="63B1EA2B" w14:textId="77777777" w:rsidR="0007690F" w:rsidRPr="008A41DE" w:rsidRDefault="0007690F" w:rsidP="00A202FD">
            <w:pPr>
              <w:widowControl w:val="0"/>
              <w:spacing w:after="240" w:line="276" w:lineRule="auto"/>
              <w:ind w:firstLine="1"/>
              <w:contextualSpacing/>
              <w:jc w:val="both"/>
              <w:rPr>
                <w:sz w:val="22"/>
                <w:szCs w:val="22"/>
              </w:rPr>
            </w:pPr>
          </w:p>
        </w:tc>
      </w:tr>
      <w:tr w:rsidR="0007690F" w:rsidRPr="008A41DE" w14:paraId="4C9FC70A" w14:textId="77777777" w:rsidTr="008A41DE">
        <w:trPr>
          <w:trHeight w:val="1822"/>
        </w:trPr>
        <w:tc>
          <w:tcPr>
            <w:tcW w:w="1884" w:type="dxa"/>
            <w:vMerge w:val="restart"/>
            <w:noWrap/>
            <w:hideMark/>
          </w:tcPr>
          <w:p w14:paraId="07225D9C"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b.Yüksek basınçlı kalıpla döküm için genel teknikler</w:t>
            </w:r>
            <w:r w:rsidRPr="008A41DE">
              <w:rPr>
                <w:sz w:val="22"/>
                <w:szCs w:val="22"/>
              </w:rPr>
              <w:t> </w:t>
            </w:r>
          </w:p>
        </w:tc>
        <w:tc>
          <w:tcPr>
            <w:tcW w:w="3249" w:type="dxa"/>
            <w:noWrap/>
          </w:tcPr>
          <w:p w14:paraId="4C6DD4E8"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Bu teknikler şunları içerir: </w:t>
            </w:r>
          </w:p>
          <w:p w14:paraId="2C8D9AB4" w14:textId="77777777" w:rsidR="0007690F" w:rsidRPr="008A41DE" w:rsidRDefault="0007690F" w:rsidP="00A202FD">
            <w:pPr>
              <w:widowControl w:val="0"/>
              <w:spacing w:after="240" w:line="276" w:lineRule="auto"/>
              <w:ind w:firstLine="1"/>
              <w:contextualSpacing/>
              <w:jc w:val="both"/>
              <w:rPr>
                <w:b/>
                <w:bCs/>
                <w:sz w:val="22"/>
                <w:szCs w:val="22"/>
              </w:rPr>
            </w:pPr>
            <w:r w:rsidRPr="008A41DE">
              <w:rPr>
                <w:sz w:val="22"/>
                <w:szCs w:val="22"/>
              </w:rPr>
              <w:t>— silikon yağları, ester yağları, sentetik mumlar gibi su bazlı emülsiyonlar kullanılarak kalıbın ve pistonların doğru şekilde yağlanması; </w:t>
            </w:r>
          </w:p>
        </w:tc>
        <w:tc>
          <w:tcPr>
            <w:tcW w:w="3793" w:type="dxa"/>
            <w:vMerge w:val="restart"/>
            <w:noWrap/>
            <w:hideMark/>
          </w:tcPr>
          <w:p w14:paraId="4F74BDBC"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6E75BDFB" w14:textId="77777777" w:rsidTr="008A41DE">
        <w:trPr>
          <w:trHeight w:val="320"/>
        </w:trPr>
        <w:tc>
          <w:tcPr>
            <w:tcW w:w="1884" w:type="dxa"/>
            <w:vMerge/>
            <w:hideMark/>
          </w:tcPr>
          <w:p w14:paraId="28A39A22" w14:textId="77777777" w:rsidR="0007690F" w:rsidRPr="008A41DE" w:rsidRDefault="0007690F" w:rsidP="00A202FD">
            <w:pPr>
              <w:widowControl w:val="0"/>
              <w:spacing w:after="240" w:line="276" w:lineRule="auto"/>
              <w:ind w:firstLine="1"/>
              <w:contextualSpacing/>
              <w:jc w:val="both"/>
              <w:rPr>
                <w:b/>
                <w:bCs/>
                <w:sz w:val="22"/>
                <w:szCs w:val="22"/>
              </w:rPr>
            </w:pPr>
          </w:p>
        </w:tc>
        <w:tc>
          <w:tcPr>
            <w:tcW w:w="3249" w:type="dxa"/>
            <w:noWrap/>
            <w:hideMark/>
          </w:tcPr>
          <w:p w14:paraId="275CD97A"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 serbest bırakma maddesi ve su tüketiminin minimuma indirilmesi (örn. mikro-sprey kullanımı).</w:t>
            </w:r>
          </w:p>
        </w:tc>
        <w:tc>
          <w:tcPr>
            <w:tcW w:w="3793" w:type="dxa"/>
            <w:vMerge/>
            <w:hideMark/>
          </w:tcPr>
          <w:p w14:paraId="300FEFF8" w14:textId="77777777" w:rsidR="0007690F" w:rsidRPr="008A41DE" w:rsidRDefault="0007690F" w:rsidP="00A202FD">
            <w:pPr>
              <w:widowControl w:val="0"/>
              <w:spacing w:after="240" w:line="276" w:lineRule="auto"/>
              <w:ind w:firstLine="1"/>
              <w:contextualSpacing/>
              <w:jc w:val="both"/>
              <w:rPr>
                <w:sz w:val="22"/>
                <w:szCs w:val="22"/>
              </w:rPr>
            </w:pPr>
          </w:p>
        </w:tc>
      </w:tr>
      <w:tr w:rsidR="0007690F" w:rsidRPr="008A41DE" w14:paraId="447134D6" w14:textId="77777777" w:rsidTr="008A41DE">
        <w:trPr>
          <w:trHeight w:val="320"/>
        </w:trPr>
        <w:tc>
          <w:tcPr>
            <w:tcW w:w="1884" w:type="dxa"/>
            <w:vMerge w:val="restart"/>
            <w:noWrap/>
            <w:hideMark/>
          </w:tcPr>
          <w:p w14:paraId="36062B90"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c. Santrifüj ve sürekli döküm için proses parametrelerinin optimizasyonu</w:t>
            </w:r>
            <w:r w:rsidRPr="008A41DE">
              <w:rPr>
                <w:sz w:val="22"/>
                <w:szCs w:val="22"/>
              </w:rPr>
              <w:t> </w:t>
            </w:r>
          </w:p>
        </w:tc>
        <w:tc>
          <w:tcPr>
            <w:tcW w:w="3249" w:type="dxa"/>
            <w:noWrap/>
            <w:hideMark/>
          </w:tcPr>
          <w:p w14:paraId="25C20403" w14:textId="77777777" w:rsidR="0007690F" w:rsidRPr="008A41DE" w:rsidRDefault="0007690F" w:rsidP="00A202FD">
            <w:pPr>
              <w:widowControl w:val="0"/>
              <w:spacing w:after="240" w:line="276" w:lineRule="auto"/>
              <w:ind w:firstLine="1"/>
              <w:contextualSpacing/>
              <w:jc w:val="both"/>
              <w:rPr>
                <w:b/>
                <w:bCs/>
                <w:sz w:val="22"/>
                <w:szCs w:val="22"/>
              </w:rPr>
            </w:pPr>
          </w:p>
        </w:tc>
        <w:tc>
          <w:tcPr>
            <w:tcW w:w="3793" w:type="dxa"/>
            <w:vMerge w:val="restart"/>
            <w:noWrap/>
            <w:hideMark/>
          </w:tcPr>
          <w:p w14:paraId="1F20B29F"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47D56E36" w14:textId="77777777" w:rsidTr="008A41DE">
        <w:trPr>
          <w:trHeight w:val="320"/>
        </w:trPr>
        <w:tc>
          <w:tcPr>
            <w:tcW w:w="1884" w:type="dxa"/>
            <w:vMerge/>
            <w:hideMark/>
          </w:tcPr>
          <w:p w14:paraId="4604BCA0" w14:textId="77777777" w:rsidR="0007690F" w:rsidRPr="008A41DE" w:rsidRDefault="0007690F" w:rsidP="00A202FD">
            <w:pPr>
              <w:widowControl w:val="0"/>
              <w:spacing w:after="240" w:line="276" w:lineRule="auto"/>
              <w:ind w:firstLine="1"/>
              <w:contextualSpacing/>
              <w:jc w:val="both"/>
              <w:rPr>
                <w:b/>
                <w:bCs/>
                <w:sz w:val="22"/>
                <w:szCs w:val="22"/>
              </w:rPr>
            </w:pPr>
          </w:p>
        </w:tc>
        <w:tc>
          <w:tcPr>
            <w:tcW w:w="3249" w:type="dxa"/>
            <w:noWrap/>
            <w:hideMark/>
          </w:tcPr>
          <w:p w14:paraId="3EC51985"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Santrifüj dökümde, kalıp dönüşü, döküm sıcaklığı ve kalıp ön ısıtma sıcaklığı gibi önemli parametreler optimize edilir. Sürekli dökümde, döküm oranı, döküm sıcaklığı ve soğutma hızı optimize edilir.</w:t>
            </w:r>
          </w:p>
        </w:tc>
        <w:tc>
          <w:tcPr>
            <w:tcW w:w="3793" w:type="dxa"/>
            <w:vMerge/>
            <w:hideMark/>
          </w:tcPr>
          <w:p w14:paraId="2A70E387" w14:textId="77777777" w:rsidR="0007690F" w:rsidRPr="008A41DE" w:rsidRDefault="0007690F" w:rsidP="00A202FD">
            <w:pPr>
              <w:widowControl w:val="0"/>
              <w:spacing w:after="240" w:line="276" w:lineRule="auto"/>
              <w:ind w:firstLine="1"/>
              <w:contextualSpacing/>
              <w:jc w:val="both"/>
              <w:rPr>
                <w:sz w:val="22"/>
                <w:szCs w:val="22"/>
              </w:rPr>
            </w:pPr>
          </w:p>
        </w:tc>
      </w:tr>
      <w:tr w:rsidR="0007690F" w:rsidRPr="008A41DE" w14:paraId="0D664A16" w14:textId="77777777" w:rsidTr="008A41DE">
        <w:trPr>
          <w:trHeight w:val="320"/>
        </w:trPr>
        <w:tc>
          <w:tcPr>
            <w:tcW w:w="1884" w:type="dxa"/>
            <w:vMerge w:val="restart"/>
            <w:noWrap/>
            <w:hideMark/>
          </w:tcPr>
          <w:p w14:paraId="61F1E1FC"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d. Yüksek basınçlı kalıpla dökümde serbest bırakma maddesi ve suyun ayrı püskürtülmesi</w:t>
            </w:r>
            <w:r w:rsidRPr="008A41DE">
              <w:rPr>
                <w:sz w:val="22"/>
                <w:szCs w:val="22"/>
              </w:rPr>
              <w:t> </w:t>
            </w:r>
          </w:p>
        </w:tc>
        <w:tc>
          <w:tcPr>
            <w:tcW w:w="3249" w:type="dxa"/>
            <w:noWrap/>
            <w:hideMark/>
          </w:tcPr>
          <w:p w14:paraId="17776E9F" w14:textId="77777777" w:rsidR="0007690F" w:rsidRPr="008A41DE" w:rsidRDefault="0007690F" w:rsidP="00A202FD">
            <w:pPr>
              <w:widowControl w:val="0"/>
              <w:spacing w:after="240" w:line="276" w:lineRule="auto"/>
              <w:ind w:firstLine="1"/>
              <w:contextualSpacing/>
              <w:jc w:val="both"/>
              <w:rPr>
                <w:b/>
                <w:bCs/>
                <w:sz w:val="22"/>
                <w:szCs w:val="22"/>
              </w:rPr>
            </w:pPr>
          </w:p>
        </w:tc>
        <w:tc>
          <w:tcPr>
            <w:tcW w:w="3793" w:type="dxa"/>
            <w:vMerge w:val="restart"/>
            <w:noWrap/>
            <w:hideMark/>
          </w:tcPr>
          <w:p w14:paraId="5BDB76B8"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193CF59F" w14:textId="77777777" w:rsidTr="008A41DE">
        <w:trPr>
          <w:trHeight w:val="320"/>
        </w:trPr>
        <w:tc>
          <w:tcPr>
            <w:tcW w:w="1884" w:type="dxa"/>
            <w:vMerge/>
            <w:hideMark/>
          </w:tcPr>
          <w:p w14:paraId="2834EE48" w14:textId="77777777" w:rsidR="0007690F" w:rsidRPr="008A41DE" w:rsidRDefault="0007690F" w:rsidP="00A202FD">
            <w:pPr>
              <w:widowControl w:val="0"/>
              <w:spacing w:after="240" w:line="276" w:lineRule="auto"/>
              <w:ind w:firstLine="1"/>
              <w:contextualSpacing/>
              <w:jc w:val="both"/>
              <w:rPr>
                <w:b/>
                <w:bCs/>
                <w:sz w:val="22"/>
                <w:szCs w:val="22"/>
              </w:rPr>
            </w:pPr>
          </w:p>
        </w:tc>
        <w:tc>
          <w:tcPr>
            <w:tcW w:w="3249" w:type="dxa"/>
            <w:noWrap/>
            <w:hideMark/>
          </w:tcPr>
          <w:p w14:paraId="11A61427"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Bu teknik, emisyonları azaltmak için serbest bırakma maddesi ve suyun ayrı püskürtülmesini içerir.</w:t>
            </w:r>
          </w:p>
        </w:tc>
        <w:tc>
          <w:tcPr>
            <w:tcW w:w="3793" w:type="dxa"/>
            <w:vMerge/>
            <w:hideMark/>
          </w:tcPr>
          <w:p w14:paraId="2B5FE766" w14:textId="77777777" w:rsidR="0007690F" w:rsidRPr="008A41DE" w:rsidRDefault="0007690F" w:rsidP="00A202FD">
            <w:pPr>
              <w:widowControl w:val="0"/>
              <w:spacing w:after="240" w:line="276" w:lineRule="auto"/>
              <w:ind w:firstLine="1"/>
              <w:contextualSpacing/>
              <w:jc w:val="both"/>
              <w:rPr>
                <w:sz w:val="22"/>
                <w:szCs w:val="22"/>
              </w:rPr>
            </w:pPr>
          </w:p>
        </w:tc>
      </w:tr>
      <w:tr w:rsidR="0007690F" w:rsidRPr="008A41DE" w14:paraId="0F53361B" w14:textId="77777777" w:rsidTr="008A41DE">
        <w:trPr>
          <w:trHeight w:val="2041"/>
        </w:trPr>
        <w:tc>
          <w:tcPr>
            <w:tcW w:w="1884" w:type="dxa"/>
            <w:noWrap/>
            <w:hideMark/>
          </w:tcPr>
          <w:p w14:paraId="52A785C4"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e. Yüksek basınçlı kalıpla dökümde su içermeyen serbest bırakma maddelerinin kullanımı</w:t>
            </w:r>
            <w:r w:rsidRPr="008A41DE">
              <w:rPr>
                <w:sz w:val="22"/>
                <w:szCs w:val="22"/>
              </w:rPr>
              <w:t> </w:t>
            </w:r>
          </w:p>
        </w:tc>
        <w:tc>
          <w:tcPr>
            <w:tcW w:w="3249" w:type="dxa"/>
            <w:noWrap/>
            <w:hideMark/>
          </w:tcPr>
          <w:p w14:paraId="7FC38219" w14:textId="77777777" w:rsidR="0007690F" w:rsidRPr="008A41DE" w:rsidRDefault="0007690F" w:rsidP="00A202FD">
            <w:pPr>
              <w:widowControl w:val="0"/>
              <w:spacing w:after="240" w:line="276" w:lineRule="auto"/>
              <w:ind w:firstLine="1"/>
              <w:contextualSpacing/>
              <w:jc w:val="both"/>
              <w:rPr>
                <w:b/>
                <w:bCs/>
                <w:sz w:val="22"/>
                <w:szCs w:val="22"/>
              </w:rPr>
            </w:pPr>
            <w:r w:rsidRPr="008A41DE">
              <w:rPr>
                <w:sz w:val="22"/>
                <w:szCs w:val="22"/>
              </w:rPr>
              <w:t>Toz formunda olan su içermeyen serbest bırakma maddeleri elektrostatik kaplama yöntemiyle uygulanır.</w:t>
            </w:r>
          </w:p>
        </w:tc>
        <w:tc>
          <w:tcPr>
            <w:tcW w:w="3793" w:type="dxa"/>
            <w:noWrap/>
            <w:hideMark/>
          </w:tcPr>
          <w:p w14:paraId="0A62E761"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0B33E2F3" w14:textId="77777777" w:rsidTr="008A41DE">
        <w:trPr>
          <w:trHeight w:val="320"/>
        </w:trPr>
        <w:tc>
          <w:tcPr>
            <w:tcW w:w="8926" w:type="dxa"/>
            <w:gridSpan w:val="3"/>
            <w:noWrap/>
            <w:hideMark/>
          </w:tcPr>
          <w:p w14:paraId="064F5053"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Emisyonların toplanması</w:t>
            </w:r>
          </w:p>
          <w:p w14:paraId="2BC94191"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 </w:t>
            </w:r>
          </w:p>
          <w:p w14:paraId="62E5211B"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 </w:t>
            </w:r>
          </w:p>
        </w:tc>
      </w:tr>
      <w:tr w:rsidR="0007690F" w:rsidRPr="008A41DE" w14:paraId="78247FB2" w14:textId="77777777" w:rsidTr="008A41DE">
        <w:trPr>
          <w:trHeight w:val="2371"/>
        </w:trPr>
        <w:tc>
          <w:tcPr>
            <w:tcW w:w="1884" w:type="dxa"/>
            <w:noWrap/>
            <w:hideMark/>
          </w:tcPr>
          <w:p w14:paraId="60964B75"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f. Döküm işlemi sırasında oluşan emisyonların kaynağa mümkün olduğunca yakın bir noktada toplanması</w:t>
            </w:r>
            <w:r w:rsidRPr="008A41DE">
              <w:rPr>
                <w:sz w:val="22"/>
                <w:szCs w:val="22"/>
              </w:rPr>
              <w:t> </w:t>
            </w:r>
          </w:p>
        </w:tc>
        <w:tc>
          <w:tcPr>
            <w:tcW w:w="3249" w:type="dxa"/>
            <w:noWrap/>
            <w:hideMark/>
          </w:tcPr>
          <w:p w14:paraId="00D9B6C7" w14:textId="77777777" w:rsidR="0007690F" w:rsidRPr="008A41DE" w:rsidRDefault="0007690F" w:rsidP="00A202FD">
            <w:pPr>
              <w:widowControl w:val="0"/>
              <w:spacing w:after="240" w:line="276" w:lineRule="auto"/>
              <w:ind w:firstLine="1"/>
              <w:contextualSpacing/>
              <w:jc w:val="both"/>
              <w:rPr>
                <w:b/>
                <w:bCs/>
                <w:sz w:val="22"/>
                <w:szCs w:val="22"/>
              </w:rPr>
            </w:pPr>
            <w:r w:rsidRPr="008A41DE">
              <w:rPr>
                <w:sz w:val="22"/>
                <w:szCs w:val="22"/>
              </w:rPr>
              <w:t>Döküm işlemi sırasında (yüksek basınçlı/düşük basınçlı/yerçekimli kalıplama, santrifüj ve sürekli döküm dahil) oluşan emisyonlar kaplamalar veya aspirasyon başlıkları kullanılarak toplanır.</w:t>
            </w:r>
          </w:p>
        </w:tc>
        <w:tc>
          <w:tcPr>
            <w:tcW w:w="3793" w:type="dxa"/>
            <w:noWrap/>
            <w:hideMark/>
          </w:tcPr>
          <w:p w14:paraId="3B4599A7"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6EF44EED" w14:textId="77777777" w:rsidTr="008A41DE">
        <w:trPr>
          <w:trHeight w:val="320"/>
        </w:trPr>
        <w:tc>
          <w:tcPr>
            <w:tcW w:w="8926" w:type="dxa"/>
            <w:gridSpan w:val="3"/>
            <w:noWrap/>
            <w:hideMark/>
          </w:tcPr>
          <w:p w14:paraId="2B43C7C7"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Baca gazı arıtımı</w:t>
            </w:r>
          </w:p>
          <w:p w14:paraId="6253D75C"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 </w:t>
            </w:r>
          </w:p>
          <w:p w14:paraId="4579DBDC"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 </w:t>
            </w:r>
          </w:p>
        </w:tc>
      </w:tr>
      <w:tr w:rsidR="0007690F" w:rsidRPr="008A41DE" w14:paraId="211D8914" w14:textId="77777777" w:rsidTr="008A41DE">
        <w:trPr>
          <w:trHeight w:val="320"/>
        </w:trPr>
        <w:tc>
          <w:tcPr>
            <w:tcW w:w="1884" w:type="dxa"/>
            <w:vMerge w:val="restart"/>
            <w:noWrap/>
            <w:hideMark/>
          </w:tcPr>
          <w:p w14:paraId="2D84C94B"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 xml:space="preserve">g. Torba filtre </w:t>
            </w:r>
          </w:p>
        </w:tc>
        <w:tc>
          <w:tcPr>
            <w:tcW w:w="3249" w:type="dxa"/>
            <w:noWrap/>
            <w:hideMark/>
          </w:tcPr>
          <w:p w14:paraId="5A2B0B00" w14:textId="77777777" w:rsidR="0007690F" w:rsidRPr="008A41DE" w:rsidRDefault="0007690F" w:rsidP="00A202FD">
            <w:pPr>
              <w:widowControl w:val="0"/>
              <w:spacing w:after="240" w:line="276" w:lineRule="auto"/>
              <w:ind w:firstLine="1"/>
              <w:contextualSpacing/>
              <w:jc w:val="both"/>
              <w:rPr>
                <w:b/>
                <w:bCs/>
                <w:sz w:val="22"/>
                <w:szCs w:val="22"/>
              </w:rPr>
            </w:pPr>
          </w:p>
        </w:tc>
        <w:tc>
          <w:tcPr>
            <w:tcW w:w="3793" w:type="dxa"/>
            <w:vMerge w:val="restart"/>
            <w:noWrap/>
            <w:hideMark/>
          </w:tcPr>
          <w:p w14:paraId="4051E727"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01CD832F" w14:textId="77777777" w:rsidTr="008A41DE">
        <w:trPr>
          <w:trHeight w:val="320"/>
        </w:trPr>
        <w:tc>
          <w:tcPr>
            <w:tcW w:w="1884" w:type="dxa"/>
            <w:vMerge/>
            <w:hideMark/>
          </w:tcPr>
          <w:p w14:paraId="052089CE" w14:textId="77777777" w:rsidR="0007690F" w:rsidRPr="008A41DE" w:rsidRDefault="0007690F" w:rsidP="00A202FD">
            <w:pPr>
              <w:widowControl w:val="0"/>
              <w:spacing w:after="240" w:line="276" w:lineRule="auto"/>
              <w:ind w:firstLine="1"/>
              <w:contextualSpacing/>
              <w:jc w:val="both"/>
              <w:rPr>
                <w:b/>
                <w:bCs/>
                <w:sz w:val="22"/>
                <w:szCs w:val="22"/>
              </w:rPr>
            </w:pPr>
          </w:p>
        </w:tc>
        <w:tc>
          <w:tcPr>
            <w:tcW w:w="3249" w:type="dxa"/>
            <w:noWrap/>
            <w:hideMark/>
          </w:tcPr>
          <w:p w14:paraId="4C534687"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Bkz. Bölüm 1.4.3.</w:t>
            </w:r>
          </w:p>
        </w:tc>
        <w:tc>
          <w:tcPr>
            <w:tcW w:w="3793" w:type="dxa"/>
            <w:vMerge/>
            <w:hideMark/>
          </w:tcPr>
          <w:p w14:paraId="31C586B4" w14:textId="77777777" w:rsidR="0007690F" w:rsidRPr="008A41DE" w:rsidRDefault="0007690F" w:rsidP="00A202FD">
            <w:pPr>
              <w:widowControl w:val="0"/>
              <w:spacing w:after="240" w:line="276" w:lineRule="auto"/>
              <w:ind w:firstLine="1"/>
              <w:contextualSpacing/>
              <w:jc w:val="both"/>
              <w:rPr>
                <w:sz w:val="22"/>
                <w:szCs w:val="22"/>
              </w:rPr>
            </w:pPr>
          </w:p>
        </w:tc>
      </w:tr>
      <w:tr w:rsidR="0007690F" w:rsidRPr="008A41DE" w14:paraId="44C1E4C2" w14:textId="77777777" w:rsidTr="008A41DE">
        <w:trPr>
          <w:trHeight w:val="869"/>
        </w:trPr>
        <w:tc>
          <w:tcPr>
            <w:tcW w:w="1884" w:type="dxa"/>
            <w:noWrap/>
            <w:hideMark/>
          </w:tcPr>
          <w:p w14:paraId="442E42BE"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 xml:space="preserve">h. Islak temizleme </w:t>
            </w:r>
          </w:p>
        </w:tc>
        <w:tc>
          <w:tcPr>
            <w:tcW w:w="3249" w:type="dxa"/>
            <w:noWrap/>
            <w:hideMark/>
          </w:tcPr>
          <w:p w14:paraId="3DC3545C" w14:textId="77777777" w:rsidR="0007690F" w:rsidRPr="008A41DE" w:rsidRDefault="0007690F" w:rsidP="00A202FD">
            <w:pPr>
              <w:widowControl w:val="0"/>
              <w:spacing w:after="240" w:line="276" w:lineRule="auto"/>
              <w:ind w:firstLine="1"/>
              <w:contextualSpacing/>
              <w:jc w:val="both"/>
              <w:rPr>
                <w:b/>
                <w:bCs/>
                <w:sz w:val="22"/>
                <w:szCs w:val="22"/>
              </w:rPr>
            </w:pPr>
            <w:r w:rsidRPr="008A41DE">
              <w:rPr>
                <w:sz w:val="22"/>
                <w:szCs w:val="22"/>
              </w:rPr>
              <w:t>Bkz. Bölüm 1.4.3.</w:t>
            </w:r>
          </w:p>
        </w:tc>
        <w:tc>
          <w:tcPr>
            <w:tcW w:w="3793" w:type="dxa"/>
            <w:noWrap/>
            <w:hideMark/>
          </w:tcPr>
          <w:p w14:paraId="09881608"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53E765A0" w14:textId="77777777" w:rsidTr="008A41DE">
        <w:trPr>
          <w:trHeight w:val="59"/>
        </w:trPr>
        <w:tc>
          <w:tcPr>
            <w:tcW w:w="1884" w:type="dxa"/>
            <w:vMerge w:val="restart"/>
            <w:noWrap/>
            <w:hideMark/>
          </w:tcPr>
          <w:p w14:paraId="5D71B4A0"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i. Elektrostatik çökeltici</w:t>
            </w:r>
            <w:r w:rsidRPr="008A41DE">
              <w:rPr>
                <w:sz w:val="22"/>
                <w:szCs w:val="22"/>
              </w:rPr>
              <w:t> </w:t>
            </w:r>
          </w:p>
        </w:tc>
        <w:tc>
          <w:tcPr>
            <w:tcW w:w="3249" w:type="dxa"/>
            <w:noWrap/>
            <w:hideMark/>
          </w:tcPr>
          <w:p w14:paraId="6E2B4945" w14:textId="77777777" w:rsidR="0007690F" w:rsidRPr="008A41DE" w:rsidRDefault="0007690F" w:rsidP="00A202FD">
            <w:pPr>
              <w:widowControl w:val="0"/>
              <w:spacing w:after="240" w:line="276" w:lineRule="auto"/>
              <w:ind w:firstLine="1"/>
              <w:contextualSpacing/>
              <w:jc w:val="both"/>
              <w:rPr>
                <w:b/>
                <w:bCs/>
                <w:sz w:val="22"/>
                <w:szCs w:val="22"/>
              </w:rPr>
            </w:pPr>
          </w:p>
        </w:tc>
        <w:tc>
          <w:tcPr>
            <w:tcW w:w="3793" w:type="dxa"/>
            <w:vMerge w:val="restart"/>
            <w:noWrap/>
            <w:hideMark/>
          </w:tcPr>
          <w:p w14:paraId="0DA6D288"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Genel olarak uygulanabilir.</w:t>
            </w:r>
          </w:p>
        </w:tc>
      </w:tr>
      <w:tr w:rsidR="0007690F" w:rsidRPr="008A41DE" w14:paraId="09344A4A" w14:textId="77777777" w:rsidTr="008A41DE">
        <w:trPr>
          <w:trHeight w:val="320"/>
        </w:trPr>
        <w:tc>
          <w:tcPr>
            <w:tcW w:w="1884" w:type="dxa"/>
            <w:vMerge/>
            <w:hideMark/>
          </w:tcPr>
          <w:p w14:paraId="6F328A22" w14:textId="77777777" w:rsidR="0007690F" w:rsidRPr="008A41DE" w:rsidRDefault="0007690F" w:rsidP="00A202FD">
            <w:pPr>
              <w:widowControl w:val="0"/>
              <w:spacing w:after="240" w:line="276" w:lineRule="auto"/>
              <w:ind w:firstLine="1"/>
              <w:contextualSpacing/>
              <w:jc w:val="both"/>
              <w:rPr>
                <w:b/>
                <w:bCs/>
                <w:sz w:val="22"/>
                <w:szCs w:val="22"/>
              </w:rPr>
            </w:pPr>
          </w:p>
        </w:tc>
        <w:tc>
          <w:tcPr>
            <w:tcW w:w="3249" w:type="dxa"/>
            <w:noWrap/>
            <w:hideMark/>
          </w:tcPr>
          <w:p w14:paraId="00EA207C"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Bkz. Bölüm 1.4.3.</w:t>
            </w:r>
          </w:p>
        </w:tc>
        <w:tc>
          <w:tcPr>
            <w:tcW w:w="3793" w:type="dxa"/>
            <w:vMerge/>
            <w:hideMark/>
          </w:tcPr>
          <w:p w14:paraId="30ECD857" w14:textId="77777777" w:rsidR="0007690F" w:rsidRPr="008A41DE" w:rsidRDefault="0007690F" w:rsidP="00A202FD">
            <w:pPr>
              <w:widowControl w:val="0"/>
              <w:spacing w:after="240" w:line="276" w:lineRule="auto"/>
              <w:ind w:firstLine="1"/>
              <w:contextualSpacing/>
              <w:jc w:val="both"/>
              <w:rPr>
                <w:sz w:val="22"/>
                <w:szCs w:val="22"/>
              </w:rPr>
            </w:pPr>
          </w:p>
        </w:tc>
      </w:tr>
      <w:tr w:rsidR="0007690F" w:rsidRPr="008A41DE" w14:paraId="587DD475" w14:textId="77777777" w:rsidTr="008A41DE">
        <w:trPr>
          <w:trHeight w:val="2474"/>
        </w:trPr>
        <w:tc>
          <w:tcPr>
            <w:tcW w:w="1884" w:type="dxa"/>
            <w:noWrap/>
            <w:hideMark/>
          </w:tcPr>
          <w:p w14:paraId="3612BF34" w14:textId="77777777" w:rsidR="0007690F" w:rsidRPr="008A41DE" w:rsidRDefault="0007690F" w:rsidP="00A202FD">
            <w:pPr>
              <w:widowControl w:val="0"/>
              <w:spacing w:after="240" w:line="276" w:lineRule="auto"/>
              <w:ind w:firstLine="1"/>
              <w:contextualSpacing/>
              <w:jc w:val="both"/>
              <w:rPr>
                <w:b/>
                <w:bCs/>
                <w:sz w:val="22"/>
                <w:szCs w:val="22"/>
              </w:rPr>
            </w:pPr>
            <w:r w:rsidRPr="008A41DE">
              <w:rPr>
                <w:b/>
                <w:bCs/>
                <w:sz w:val="22"/>
                <w:szCs w:val="22"/>
              </w:rPr>
              <w:t>j. Termal oksidasyon</w:t>
            </w:r>
            <w:r w:rsidRPr="008A41DE">
              <w:rPr>
                <w:sz w:val="22"/>
                <w:szCs w:val="22"/>
              </w:rPr>
              <w:t> </w:t>
            </w:r>
          </w:p>
        </w:tc>
        <w:tc>
          <w:tcPr>
            <w:tcW w:w="3249" w:type="dxa"/>
            <w:noWrap/>
            <w:hideMark/>
          </w:tcPr>
          <w:p w14:paraId="083E0692" w14:textId="77777777" w:rsidR="0007690F" w:rsidRPr="008A41DE" w:rsidRDefault="0007690F" w:rsidP="00A202FD">
            <w:pPr>
              <w:widowControl w:val="0"/>
              <w:spacing w:after="240" w:line="276" w:lineRule="auto"/>
              <w:ind w:firstLine="1"/>
              <w:contextualSpacing/>
              <w:jc w:val="both"/>
              <w:rPr>
                <w:b/>
                <w:bCs/>
                <w:sz w:val="22"/>
                <w:szCs w:val="22"/>
              </w:rPr>
            </w:pPr>
            <w:r w:rsidRPr="008A41DE">
              <w:rPr>
                <w:sz w:val="22"/>
                <w:szCs w:val="22"/>
              </w:rPr>
              <w:t>Bkz. Bölüm 1.4.3. </w:t>
            </w:r>
          </w:p>
        </w:tc>
        <w:tc>
          <w:tcPr>
            <w:tcW w:w="3793" w:type="dxa"/>
            <w:noWrap/>
            <w:hideMark/>
          </w:tcPr>
          <w:p w14:paraId="4E8ED492" w14:textId="77777777" w:rsidR="0007690F" w:rsidRPr="008A41DE" w:rsidRDefault="0007690F" w:rsidP="00A202FD">
            <w:pPr>
              <w:widowControl w:val="0"/>
              <w:spacing w:after="240" w:line="276" w:lineRule="auto"/>
              <w:ind w:firstLine="1"/>
              <w:contextualSpacing/>
              <w:jc w:val="both"/>
              <w:rPr>
                <w:sz w:val="22"/>
                <w:szCs w:val="22"/>
              </w:rPr>
            </w:pPr>
            <w:r w:rsidRPr="008A41DE">
              <w:rPr>
                <w:sz w:val="22"/>
                <w:szCs w:val="22"/>
              </w:rPr>
              <w:t>Mevcut tesislerde iyileştirici ve rejeneratif termal oksidasyonun uygulanabilirliği, tasarım ve/veya operasyonel kısıtlamalar nedeniyle sınırlı olabilir. Süreç baca gazlarında ilgili bileşiklerin düşük konsantrasyonları nedeniyle enerji talebinin aşırı olduğu durumlarda uygulanabilirlik sınırlı olabilir.</w:t>
            </w:r>
          </w:p>
        </w:tc>
      </w:tr>
    </w:tbl>
    <w:p w14:paraId="6E4C6A29" w14:textId="77777777" w:rsidR="0007690F" w:rsidRPr="00D53A2B" w:rsidRDefault="0007690F" w:rsidP="00A202FD">
      <w:pPr>
        <w:widowControl w:val="0"/>
        <w:spacing w:after="240" w:line="276" w:lineRule="auto"/>
        <w:ind w:firstLine="1"/>
        <w:contextualSpacing/>
        <w:jc w:val="both"/>
      </w:pPr>
    </w:p>
    <w:p w14:paraId="0491A90D" w14:textId="77777777" w:rsidR="0007690F" w:rsidRPr="00D53A2B" w:rsidRDefault="0007690F" w:rsidP="00A202FD">
      <w:pPr>
        <w:widowControl w:val="0"/>
        <w:spacing w:after="240" w:line="276" w:lineRule="auto"/>
        <w:ind w:firstLine="1"/>
        <w:contextualSpacing/>
        <w:jc w:val="both"/>
        <w:rPr>
          <w:b/>
          <w:bCs/>
        </w:rPr>
      </w:pPr>
      <w:r w:rsidRPr="00D53A2B">
        <w:rPr>
          <w:b/>
          <w:bCs/>
        </w:rPr>
        <w:t>Tablo 1.11</w:t>
      </w:r>
    </w:p>
    <w:p w14:paraId="630EF877" w14:textId="1C17C8CD" w:rsidR="0007690F" w:rsidRPr="00D53A2B" w:rsidRDefault="0007690F" w:rsidP="00A202FD">
      <w:pPr>
        <w:widowControl w:val="0"/>
        <w:spacing w:after="240" w:line="276" w:lineRule="auto"/>
        <w:ind w:firstLine="1"/>
        <w:contextualSpacing/>
        <w:jc w:val="both"/>
      </w:pPr>
      <w:r w:rsidRPr="00D53A2B">
        <w:rPr>
          <w:b/>
          <w:bCs/>
        </w:rPr>
        <w:t>Kalıcı Kalıpları Kullanan Dökümhanelerdeki Döküm Sürecinden Havaya Yönlendirilmiş Toz, TVOC ve Kurşun Emisyonları İçin MET İlişkili Emisyon Seviyeleri (</w:t>
      </w:r>
      <w:r w:rsidR="00831B53" w:rsidRPr="00D53A2B">
        <w:rPr>
          <w:b/>
          <w:bCs/>
        </w:rPr>
        <w:t>MET-İES</w:t>
      </w:r>
      <w:r w:rsidRPr="00D53A2B">
        <w:rPr>
          <w:b/>
          <w:bCs/>
        </w:rPr>
        <w:t>)</w:t>
      </w:r>
    </w:p>
    <w:tbl>
      <w:tblPr>
        <w:tblStyle w:val="EIPPCBTable"/>
        <w:tblW w:w="0" w:type="auto"/>
        <w:tblLook w:val="04A0" w:firstRow="1" w:lastRow="0" w:firstColumn="1" w:lastColumn="0" w:noHBand="0" w:noVBand="1"/>
      </w:tblPr>
      <w:tblGrid>
        <w:gridCol w:w="2248"/>
        <w:gridCol w:w="1332"/>
        <w:gridCol w:w="5346"/>
      </w:tblGrid>
      <w:tr w:rsidR="0007690F" w:rsidRPr="00D53A2B" w14:paraId="5BEBA616" w14:textId="77777777" w:rsidTr="008A41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5ED588" w14:textId="77777777" w:rsidR="0007690F" w:rsidRPr="00D53A2B" w:rsidRDefault="0007690F" w:rsidP="00A202FD">
            <w:pPr>
              <w:widowControl w:val="0"/>
              <w:spacing w:after="240" w:line="276" w:lineRule="auto"/>
              <w:ind w:firstLine="1"/>
              <w:contextualSpacing/>
              <w:jc w:val="both"/>
              <w:rPr>
                <w:b w:val="0"/>
                <w:bCs/>
              </w:rPr>
            </w:pPr>
            <w:r w:rsidRPr="00D53A2B">
              <w:rPr>
                <w:bCs/>
              </w:rPr>
              <w:t>Madde/Parametre</w:t>
            </w:r>
          </w:p>
        </w:tc>
        <w:tc>
          <w:tcPr>
            <w:tcW w:w="0" w:type="auto"/>
            <w:hideMark/>
          </w:tcPr>
          <w:p w14:paraId="61329640" w14:textId="77777777" w:rsidR="0007690F" w:rsidRPr="00D53A2B" w:rsidRDefault="0007690F"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Cs/>
              </w:rPr>
              <w:t>Birim</w:t>
            </w:r>
          </w:p>
        </w:tc>
        <w:tc>
          <w:tcPr>
            <w:tcW w:w="4987" w:type="dxa"/>
            <w:hideMark/>
          </w:tcPr>
          <w:p w14:paraId="6CBAF8E7" w14:textId="58C3E0DC" w:rsidR="0007690F" w:rsidRPr="00D53A2B" w:rsidRDefault="00831B53"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Cs/>
              </w:rPr>
              <w:t>MET-İES</w:t>
            </w:r>
            <w:r w:rsidR="0007690F" w:rsidRPr="00D53A2B">
              <w:rPr>
                <w:bCs/>
              </w:rPr>
              <w:t> </w:t>
            </w:r>
            <w:r w:rsidR="0007690F" w:rsidRPr="00D53A2B">
              <w:rPr>
                <w:bCs/>
                <w:i/>
                <w:iCs/>
              </w:rPr>
              <w:t>(Günlük ortalama veya örnekleme dönemi ortalaması)</w:t>
            </w:r>
          </w:p>
        </w:tc>
      </w:tr>
      <w:tr w:rsidR="0007690F" w:rsidRPr="00D53A2B" w14:paraId="3642BE3F" w14:textId="77777777" w:rsidTr="008A41DE">
        <w:tc>
          <w:tcPr>
            <w:cnfStyle w:val="001000000000" w:firstRow="0" w:lastRow="0" w:firstColumn="1" w:lastColumn="0" w:oddVBand="0" w:evenVBand="0" w:oddHBand="0" w:evenHBand="0" w:firstRowFirstColumn="0" w:firstRowLastColumn="0" w:lastRowFirstColumn="0" w:lastRowLastColumn="0"/>
            <w:tcW w:w="0" w:type="auto"/>
            <w:hideMark/>
          </w:tcPr>
          <w:p w14:paraId="7A4F70AE" w14:textId="77777777" w:rsidR="0007690F" w:rsidRPr="00D53A2B" w:rsidRDefault="0007690F" w:rsidP="00A202FD">
            <w:pPr>
              <w:widowControl w:val="0"/>
              <w:spacing w:after="240" w:line="276" w:lineRule="auto"/>
              <w:ind w:firstLine="1"/>
              <w:contextualSpacing/>
              <w:jc w:val="both"/>
            </w:pPr>
            <w:r w:rsidRPr="00D53A2B">
              <w:rPr>
                <w:bCs/>
              </w:rPr>
              <w:t>Toz</w:t>
            </w:r>
          </w:p>
        </w:tc>
        <w:tc>
          <w:tcPr>
            <w:tcW w:w="0" w:type="auto"/>
            <w:hideMark/>
          </w:tcPr>
          <w:p w14:paraId="54A2C97B"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mg/Nm³</w:t>
            </w:r>
          </w:p>
        </w:tc>
        <w:tc>
          <w:tcPr>
            <w:tcW w:w="4987" w:type="dxa"/>
            <w:hideMark/>
          </w:tcPr>
          <w:p w14:paraId="041860B5"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1 – 5</w:t>
            </w:r>
          </w:p>
        </w:tc>
      </w:tr>
      <w:tr w:rsidR="0007690F" w:rsidRPr="00D53A2B" w14:paraId="1E210A1C" w14:textId="77777777" w:rsidTr="008A41DE">
        <w:tc>
          <w:tcPr>
            <w:cnfStyle w:val="001000000000" w:firstRow="0" w:lastRow="0" w:firstColumn="1" w:lastColumn="0" w:oddVBand="0" w:evenVBand="0" w:oddHBand="0" w:evenHBand="0" w:firstRowFirstColumn="0" w:firstRowLastColumn="0" w:lastRowFirstColumn="0" w:lastRowLastColumn="0"/>
            <w:tcW w:w="0" w:type="auto"/>
            <w:hideMark/>
          </w:tcPr>
          <w:p w14:paraId="39893D18" w14:textId="77777777" w:rsidR="0007690F" w:rsidRPr="00D53A2B" w:rsidRDefault="0007690F" w:rsidP="00A202FD">
            <w:pPr>
              <w:widowControl w:val="0"/>
              <w:spacing w:after="240" w:line="276" w:lineRule="auto"/>
              <w:ind w:firstLine="1"/>
              <w:contextualSpacing/>
              <w:jc w:val="both"/>
            </w:pPr>
            <w:r w:rsidRPr="00D53A2B">
              <w:rPr>
                <w:bCs/>
              </w:rPr>
              <w:t>Kurşun (Pb)</w:t>
            </w:r>
          </w:p>
        </w:tc>
        <w:tc>
          <w:tcPr>
            <w:tcW w:w="0" w:type="auto"/>
            <w:hideMark/>
          </w:tcPr>
          <w:p w14:paraId="60F9A320"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mg/Nm³</w:t>
            </w:r>
          </w:p>
        </w:tc>
        <w:tc>
          <w:tcPr>
            <w:tcW w:w="4987" w:type="dxa"/>
            <w:hideMark/>
          </w:tcPr>
          <w:p w14:paraId="63F3E18F" w14:textId="4AB7029F"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0,05 – 0,1 </w:t>
            </w:r>
            <w:r w:rsidRPr="00D53A2B">
              <w:rPr>
                <w:i/>
                <w:iCs/>
              </w:rPr>
              <w:t>(</w:t>
            </w:r>
            <w:r w:rsidR="007B7C9F" w:rsidRPr="00D53A2B">
              <w:rPr>
                <w:i/>
                <w:iCs/>
              </w:rPr>
              <w:t>1</w:t>
            </w:r>
            <w:r w:rsidRPr="00D53A2B">
              <w:rPr>
                <w:i/>
                <w:iCs/>
              </w:rPr>
              <w:t>)</w:t>
            </w:r>
          </w:p>
        </w:tc>
      </w:tr>
      <w:tr w:rsidR="0007690F" w:rsidRPr="00D53A2B" w14:paraId="471238E3" w14:textId="77777777" w:rsidTr="008A41DE">
        <w:tc>
          <w:tcPr>
            <w:cnfStyle w:val="001000000000" w:firstRow="0" w:lastRow="0" w:firstColumn="1" w:lastColumn="0" w:oddVBand="0" w:evenVBand="0" w:oddHBand="0" w:evenHBand="0" w:firstRowFirstColumn="0" w:firstRowLastColumn="0" w:lastRowFirstColumn="0" w:lastRowLastColumn="0"/>
            <w:tcW w:w="0" w:type="auto"/>
            <w:hideMark/>
          </w:tcPr>
          <w:p w14:paraId="748DA1DF" w14:textId="77777777" w:rsidR="0007690F" w:rsidRPr="00D53A2B" w:rsidRDefault="0007690F" w:rsidP="00A202FD">
            <w:pPr>
              <w:widowControl w:val="0"/>
              <w:spacing w:after="240" w:line="276" w:lineRule="auto"/>
              <w:ind w:firstLine="1"/>
              <w:contextualSpacing/>
              <w:jc w:val="both"/>
            </w:pPr>
            <w:r w:rsidRPr="00D53A2B">
              <w:rPr>
                <w:bCs/>
              </w:rPr>
              <w:t>TVOC</w:t>
            </w:r>
          </w:p>
        </w:tc>
        <w:tc>
          <w:tcPr>
            <w:tcW w:w="0" w:type="auto"/>
            <w:hideMark/>
          </w:tcPr>
          <w:p w14:paraId="7887CFB6"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 C/Nm³</w:t>
            </w:r>
          </w:p>
        </w:tc>
        <w:tc>
          <w:tcPr>
            <w:tcW w:w="4987" w:type="dxa"/>
            <w:hideMark/>
          </w:tcPr>
          <w:p w14:paraId="0D3861F2" w14:textId="2BB722FC"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2 – 30 </w:t>
            </w:r>
            <w:r w:rsidRPr="00D53A2B">
              <w:rPr>
                <w:i/>
                <w:iCs/>
              </w:rPr>
              <w:t>(</w:t>
            </w:r>
            <w:r w:rsidR="007B7C9F" w:rsidRPr="00D53A2B">
              <w:rPr>
                <w:i/>
                <w:iCs/>
              </w:rPr>
              <w:t>2</w:t>
            </w:r>
            <w:r w:rsidRPr="00D53A2B">
              <w:rPr>
                <w:i/>
                <w:iCs/>
              </w:rPr>
              <w:t>), (</w:t>
            </w:r>
            <w:r w:rsidR="007B7C9F" w:rsidRPr="00D53A2B">
              <w:rPr>
                <w:i/>
                <w:iCs/>
              </w:rPr>
              <w:t>3</w:t>
            </w:r>
            <w:r w:rsidRPr="00D53A2B">
              <w:rPr>
                <w:i/>
                <w:iCs/>
              </w:rPr>
              <w:t>)</w:t>
            </w:r>
          </w:p>
        </w:tc>
      </w:tr>
      <w:tr w:rsidR="006E0D2B" w:rsidRPr="00D53A2B" w14:paraId="016AFFDC" w14:textId="77777777" w:rsidTr="008A41DE">
        <w:tc>
          <w:tcPr>
            <w:cnfStyle w:val="001000000000" w:firstRow="0" w:lastRow="0" w:firstColumn="1" w:lastColumn="0" w:oddVBand="0" w:evenVBand="0" w:oddHBand="0" w:evenHBand="0" w:firstRowFirstColumn="0" w:firstRowLastColumn="0" w:lastRowFirstColumn="0" w:lastRowLastColumn="0"/>
            <w:tcW w:w="8926" w:type="dxa"/>
            <w:gridSpan w:val="3"/>
          </w:tcPr>
          <w:p w14:paraId="15935EB8" w14:textId="77777777" w:rsidR="006E0D2B" w:rsidRPr="00D53A2B" w:rsidRDefault="006E0D2B" w:rsidP="00A202FD">
            <w:pPr>
              <w:widowControl w:val="0"/>
              <w:spacing w:after="240" w:line="276" w:lineRule="auto"/>
              <w:ind w:firstLine="1"/>
              <w:contextualSpacing/>
              <w:jc w:val="both"/>
              <w:rPr>
                <w:b w:val="0"/>
                <w:bCs/>
              </w:rPr>
            </w:pPr>
            <w:r w:rsidRPr="00D53A2B">
              <w:rPr>
                <w:bCs/>
              </w:rPr>
              <w:t>1) MET-İES sadece kurşun dökümhanelerinde kullanılır</w:t>
            </w:r>
          </w:p>
          <w:p w14:paraId="51A56D98" w14:textId="77777777" w:rsidR="006E0D2B" w:rsidRPr="00D53A2B" w:rsidRDefault="006E0D2B" w:rsidP="00A202FD">
            <w:pPr>
              <w:widowControl w:val="0"/>
              <w:spacing w:after="240" w:line="276" w:lineRule="auto"/>
              <w:ind w:firstLine="1"/>
              <w:contextualSpacing/>
              <w:jc w:val="both"/>
              <w:rPr>
                <w:b w:val="0"/>
                <w:bCs/>
              </w:rPr>
            </w:pPr>
            <w:r w:rsidRPr="00D53A2B">
              <w:rPr>
                <w:bCs/>
              </w:rPr>
              <w:t xml:space="preserve"> (2) TVOC MET-İES yalnızca girdi ve çıktıların envanterine dayalı olarak atık gaz akışlarında TVOC'nin ilgili olduğu tespit edildiğinde uygulanır </w:t>
            </w:r>
          </w:p>
          <w:p w14:paraId="526A3543" w14:textId="77777777" w:rsidR="006E0D2B" w:rsidRPr="00D53A2B" w:rsidRDefault="006E0D2B" w:rsidP="00A202FD">
            <w:pPr>
              <w:widowControl w:val="0"/>
              <w:spacing w:after="240" w:line="276" w:lineRule="auto"/>
              <w:ind w:firstLine="1"/>
              <w:contextualSpacing/>
              <w:jc w:val="both"/>
              <w:rPr>
                <w:b w:val="0"/>
                <w:bCs/>
              </w:rPr>
            </w:pPr>
            <w:r w:rsidRPr="00D53A2B">
              <w:rPr>
                <w:bCs/>
              </w:rPr>
              <w:t xml:space="preserve">MET 2'de açıklanan. </w:t>
            </w:r>
          </w:p>
          <w:p w14:paraId="1BD97BB1" w14:textId="79486257" w:rsidR="006E0D2B" w:rsidRPr="00D53A2B" w:rsidRDefault="006E0D2B" w:rsidP="00A202FD">
            <w:pPr>
              <w:widowControl w:val="0"/>
              <w:spacing w:after="240" w:line="276" w:lineRule="auto"/>
              <w:ind w:firstLine="1"/>
              <w:contextualSpacing/>
              <w:jc w:val="both"/>
              <w:rPr>
                <w:b w:val="0"/>
                <w:bCs/>
              </w:rPr>
            </w:pPr>
            <w:r w:rsidRPr="00D53A2B">
              <w:rPr>
                <w:bCs/>
              </w:rPr>
              <w:t xml:space="preserve">(3) MET-İES yalnızca kimyasal olarak bağlanmış kum içeren karotlar kullanıldığında geçerlidir. </w:t>
            </w:r>
          </w:p>
        </w:tc>
      </w:tr>
    </w:tbl>
    <w:p w14:paraId="4FAF2F61" w14:textId="77777777" w:rsidR="004C49BF" w:rsidRPr="00D53A2B" w:rsidRDefault="004C49BF" w:rsidP="00A202FD">
      <w:pPr>
        <w:widowControl w:val="0"/>
        <w:spacing w:after="240" w:line="276" w:lineRule="auto"/>
        <w:ind w:firstLine="1"/>
        <w:contextualSpacing/>
        <w:jc w:val="both"/>
        <w:rPr>
          <w:b/>
          <w:bCs/>
        </w:rPr>
      </w:pPr>
    </w:p>
    <w:p w14:paraId="211D2A3E" w14:textId="5A6E2C87" w:rsidR="0007690F" w:rsidRPr="00D53A2B" w:rsidRDefault="0007690F" w:rsidP="00A202FD">
      <w:pPr>
        <w:widowControl w:val="0"/>
        <w:spacing w:after="240" w:line="276" w:lineRule="auto"/>
        <w:ind w:firstLine="1"/>
        <w:contextualSpacing/>
        <w:jc w:val="both"/>
      </w:pPr>
      <w:r w:rsidRPr="00D53A2B">
        <w:rPr>
          <w:b/>
          <w:bCs/>
        </w:rPr>
        <w:t>İlgili izleme</w:t>
      </w:r>
      <w:r w:rsidRPr="00D53A2B">
        <w:t>, MET 12'de belirtilmiştir.</w:t>
      </w:r>
    </w:p>
    <w:p w14:paraId="76EA54D4" w14:textId="77777777" w:rsidR="0007690F" w:rsidRPr="00D53A2B" w:rsidRDefault="0007690F" w:rsidP="00A202FD">
      <w:pPr>
        <w:pStyle w:val="Balk4"/>
        <w:rPr>
          <w:rFonts w:cs="Times New Roman"/>
        </w:rPr>
      </w:pPr>
      <w:r w:rsidRPr="00D53A2B">
        <w:rPr>
          <w:rFonts w:cs="Times New Roman"/>
        </w:rPr>
        <w:t>1.2.1.12. Bitirme İşlemlerinden Havaya Salınan Emisyonlar</w:t>
      </w:r>
    </w:p>
    <w:p w14:paraId="16C52DB9" w14:textId="77777777" w:rsidR="0007690F" w:rsidRPr="00D53A2B" w:rsidRDefault="0007690F" w:rsidP="00A202FD">
      <w:pPr>
        <w:widowControl w:val="0"/>
        <w:spacing w:after="240" w:line="276" w:lineRule="auto"/>
        <w:ind w:firstLine="1"/>
        <w:contextualSpacing/>
        <w:jc w:val="both"/>
      </w:pPr>
      <w:r w:rsidRPr="00D53A2B">
        <w:rPr>
          <w:b/>
          <w:bCs/>
        </w:rPr>
        <w:t>MET 30.</w:t>
      </w:r>
      <w:r w:rsidRPr="00D53A2B">
        <w:t> Bitirme işlemlerinden havaya salınan toz emisyonlarını azaltmak için, MET, emisyonları aşağıdaki tekniklerden (a) kullanarak toplamayı ve çıkış-gazları aşağıdaki tekniklerden (b) ile (d) bir veya birkaç kombinasyonu ile işlemeyi önerir.</w:t>
      </w:r>
    </w:p>
    <w:tbl>
      <w:tblPr>
        <w:tblStyle w:val="TabloKlavuzu"/>
        <w:tblW w:w="0" w:type="auto"/>
        <w:tblLook w:val="04A0" w:firstRow="1" w:lastRow="0" w:firstColumn="1" w:lastColumn="0" w:noHBand="0" w:noVBand="1"/>
      </w:tblPr>
      <w:tblGrid>
        <w:gridCol w:w="4530"/>
        <w:gridCol w:w="4396"/>
      </w:tblGrid>
      <w:tr w:rsidR="0007690F" w:rsidRPr="00D53A2B" w14:paraId="27FC6F48" w14:textId="77777777" w:rsidTr="008A41DE">
        <w:tc>
          <w:tcPr>
            <w:tcW w:w="4530" w:type="dxa"/>
          </w:tcPr>
          <w:p w14:paraId="2577CA7B"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4396" w:type="dxa"/>
          </w:tcPr>
          <w:p w14:paraId="7F9F93F7"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r>
      <w:tr w:rsidR="0007690F" w:rsidRPr="00D53A2B" w14:paraId="053ED30F" w14:textId="77777777" w:rsidTr="008A41DE">
        <w:tc>
          <w:tcPr>
            <w:tcW w:w="8926" w:type="dxa"/>
            <w:gridSpan w:val="2"/>
          </w:tcPr>
          <w:p w14:paraId="1A45DD13" w14:textId="77777777" w:rsidR="0007690F" w:rsidRPr="00D53A2B" w:rsidRDefault="0007690F" w:rsidP="00A202FD">
            <w:pPr>
              <w:widowControl w:val="0"/>
              <w:spacing w:after="240" w:line="276" w:lineRule="auto"/>
              <w:ind w:firstLine="1"/>
              <w:contextualSpacing/>
              <w:jc w:val="both"/>
              <w:rPr>
                <w:b/>
                <w:bCs/>
              </w:rPr>
            </w:pPr>
            <w:r w:rsidRPr="00D53A2B">
              <w:rPr>
                <w:b/>
                <w:bCs/>
              </w:rPr>
              <w:t>Emisyon Toplama</w:t>
            </w:r>
          </w:p>
        </w:tc>
      </w:tr>
      <w:tr w:rsidR="0007690F" w:rsidRPr="00D53A2B" w14:paraId="3911FAC5" w14:textId="77777777" w:rsidTr="008A41DE">
        <w:tc>
          <w:tcPr>
            <w:tcW w:w="4530" w:type="dxa"/>
          </w:tcPr>
          <w:p w14:paraId="56339FEB" w14:textId="77777777" w:rsidR="0007690F" w:rsidRPr="00D53A2B" w:rsidRDefault="0007690F" w:rsidP="00A202FD">
            <w:pPr>
              <w:widowControl w:val="0"/>
              <w:spacing w:after="240" w:line="276" w:lineRule="auto"/>
              <w:ind w:firstLine="1"/>
              <w:contextualSpacing/>
              <w:jc w:val="both"/>
              <w:rPr>
                <w:b/>
                <w:bCs/>
              </w:rPr>
            </w:pPr>
            <w:r w:rsidRPr="00D53A2B">
              <w:rPr>
                <w:b/>
                <w:bCs/>
              </w:rPr>
              <w:t>a. Bitirme işlemlerinden kaynaklanan emisyonların mümkün olduğunca emisyon kaynağına yakın bir şekilde toplanması</w:t>
            </w:r>
          </w:p>
        </w:tc>
        <w:tc>
          <w:tcPr>
            <w:tcW w:w="4396" w:type="dxa"/>
          </w:tcPr>
          <w:p w14:paraId="158AE06D" w14:textId="77777777" w:rsidR="0007690F" w:rsidRPr="00D53A2B" w:rsidRDefault="0007690F" w:rsidP="00A202FD">
            <w:pPr>
              <w:widowControl w:val="0"/>
              <w:spacing w:after="240" w:line="276" w:lineRule="auto"/>
              <w:ind w:firstLine="1"/>
              <w:contextualSpacing/>
              <w:jc w:val="both"/>
            </w:pPr>
            <w:r w:rsidRPr="00D53A2B">
              <w:t>Bitirme işlemlerinden kaynaklanan emisyonlar (örneğin, debur işlem (fazlalık kenar temizliği), aşındırıcı kesme, kalıp temizliği, slayt taşlama, kurşun patlatma, kaynak, çekiçleme, iğneleme vb.) uygun şekilde toplanır, örneğin:</w:t>
            </w:r>
          </w:p>
          <w:p w14:paraId="0BD07836" w14:textId="77777777" w:rsidR="0007690F" w:rsidRPr="00D53A2B" w:rsidRDefault="0007690F" w:rsidP="00602365">
            <w:pPr>
              <w:widowControl w:val="0"/>
              <w:numPr>
                <w:ilvl w:val="0"/>
                <w:numId w:val="254"/>
              </w:numPr>
              <w:spacing w:after="240" w:line="276" w:lineRule="auto"/>
              <w:contextualSpacing/>
              <w:jc w:val="both"/>
            </w:pPr>
            <w:r w:rsidRPr="00D53A2B">
              <w:t>Bitirme işlem alanının kapatılması</w:t>
            </w:r>
          </w:p>
          <w:p w14:paraId="57A07573" w14:textId="77777777" w:rsidR="0007690F" w:rsidRPr="00D53A2B" w:rsidRDefault="0007690F" w:rsidP="00602365">
            <w:pPr>
              <w:widowControl w:val="0"/>
              <w:numPr>
                <w:ilvl w:val="0"/>
                <w:numId w:val="254"/>
              </w:numPr>
              <w:spacing w:after="240" w:line="276" w:lineRule="auto"/>
              <w:contextualSpacing/>
              <w:jc w:val="both"/>
            </w:pPr>
            <w:r w:rsidRPr="00D53A2B">
              <w:t>Çatı havalandırması veya kubbe şeklindeki çatılar</w:t>
            </w:r>
          </w:p>
          <w:p w14:paraId="41C6A1B5" w14:textId="77777777" w:rsidR="0007690F" w:rsidRPr="00D53A2B" w:rsidRDefault="0007690F" w:rsidP="00602365">
            <w:pPr>
              <w:widowControl w:val="0"/>
              <w:numPr>
                <w:ilvl w:val="0"/>
                <w:numId w:val="254"/>
              </w:numPr>
              <w:spacing w:after="240" w:line="276" w:lineRule="auto"/>
              <w:contextualSpacing/>
              <w:jc w:val="both"/>
            </w:pPr>
            <w:r w:rsidRPr="00D53A2B">
              <w:t>Sert veya ayarlanabilir emiş başlıkları</w:t>
            </w:r>
          </w:p>
          <w:p w14:paraId="7C3669ED" w14:textId="77777777" w:rsidR="0007690F" w:rsidRPr="00D53A2B" w:rsidRDefault="0007690F" w:rsidP="00602365">
            <w:pPr>
              <w:widowControl w:val="0"/>
              <w:numPr>
                <w:ilvl w:val="0"/>
                <w:numId w:val="254"/>
              </w:numPr>
              <w:spacing w:after="240" w:line="276" w:lineRule="auto"/>
              <w:contextualSpacing/>
              <w:jc w:val="both"/>
            </w:pPr>
            <w:r w:rsidRPr="00D53A2B">
              <w:t>Emiş kolları</w:t>
            </w:r>
          </w:p>
          <w:p w14:paraId="4E8AACBF" w14:textId="77777777" w:rsidR="0007690F" w:rsidRPr="00D53A2B" w:rsidRDefault="0007690F" w:rsidP="00A202FD">
            <w:pPr>
              <w:widowControl w:val="0"/>
              <w:spacing w:after="240" w:line="276" w:lineRule="auto"/>
              <w:ind w:firstLine="1"/>
              <w:contextualSpacing/>
              <w:jc w:val="both"/>
            </w:pPr>
          </w:p>
        </w:tc>
      </w:tr>
      <w:tr w:rsidR="0007690F" w:rsidRPr="00D53A2B" w14:paraId="5F9A8552" w14:textId="77777777" w:rsidTr="008A41DE">
        <w:tc>
          <w:tcPr>
            <w:tcW w:w="8926" w:type="dxa"/>
            <w:gridSpan w:val="2"/>
          </w:tcPr>
          <w:p w14:paraId="01CE3A2D" w14:textId="3C4BC62B" w:rsidR="0007690F" w:rsidRPr="00D53A2B" w:rsidRDefault="0007690F" w:rsidP="00A202FD">
            <w:pPr>
              <w:widowControl w:val="0"/>
              <w:spacing w:after="240" w:line="276" w:lineRule="auto"/>
              <w:ind w:firstLine="1"/>
              <w:contextualSpacing/>
              <w:jc w:val="both"/>
            </w:pPr>
            <w:r w:rsidRPr="00D53A2B">
              <w:t xml:space="preserve">Atık Gaz </w:t>
            </w:r>
            <w:r w:rsidR="0076481D">
              <w:t>Arıtımı</w:t>
            </w:r>
          </w:p>
        </w:tc>
      </w:tr>
      <w:tr w:rsidR="0007690F" w:rsidRPr="00D53A2B" w14:paraId="3B806313" w14:textId="77777777" w:rsidTr="008A41DE">
        <w:tc>
          <w:tcPr>
            <w:tcW w:w="4530" w:type="dxa"/>
          </w:tcPr>
          <w:p w14:paraId="45F984BD" w14:textId="77777777" w:rsidR="0007690F" w:rsidRPr="00D53A2B" w:rsidRDefault="0007690F" w:rsidP="00A202FD">
            <w:pPr>
              <w:widowControl w:val="0"/>
              <w:spacing w:after="240" w:line="276" w:lineRule="auto"/>
              <w:ind w:firstLine="1"/>
              <w:contextualSpacing/>
              <w:jc w:val="both"/>
              <w:rPr>
                <w:b/>
                <w:bCs/>
              </w:rPr>
            </w:pPr>
            <w:r w:rsidRPr="00D53A2B">
              <w:rPr>
                <w:b/>
                <w:bCs/>
              </w:rPr>
              <w:t>b. Siklikon</w:t>
            </w:r>
            <w:r w:rsidRPr="00D53A2B">
              <w:rPr>
                <w:b/>
                <w:bCs/>
              </w:rPr>
              <w:br/>
            </w:r>
          </w:p>
        </w:tc>
        <w:tc>
          <w:tcPr>
            <w:tcW w:w="4396" w:type="dxa"/>
          </w:tcPr>
          <w:p w14:paraId="1066315C" w14:textId="77777777" w:rsidR="0007690F" w:rsidRPr="00D53A2B" w:rsidRDefault="0007690F" w:rsidP="00A202FD">
            <w:pPr>
              <w:widowControl w:val="0"/>
              <w:spacing w:after="240" w:line="276" w:lineRule="auto"/>
              <w:ind w:firstLine="1"/>
              <w:contextualSpacing/>
              <w:jc w:val="both"/>
            </w:pPr>
            <w:r w:rsidRPr="00D53A2B">
              <w:t>Bölüm 1.4.3'e bakınız.</w:t>
            </w:r>
          </w:p>
        </w:tc>
      </w:tr>
      <w:tr w:rsidR="0007690F" w:rsidRPr="00D53A2B" w14:paraId="3E25A139" w14:textId="77777777" w:rsidTr="008A41DE">
        <w:tc>
          <w:tcPr>
            <w:tcW w:w="4530" w:type="dxa"/>
          </w:tcPr>
          <w:p w14:paraId="4765A2C6" w14:textId="77777777" w:rsidR="0007690F" w:rsidRPr="00D53A2B" w:rsidRDefault="0007690F" w:rsidP="00A202FD">
            <w:pPr>
              <w:widowControl w:val="0"/>
              <w:spacing w:after="240" w:line="276" w:lineRule="auto"/>
              <w:ind w:firstLine="1"/>
              <w:contextualSpacing/>
              <w:jc w:val="both"/>
              <w:rPr>
                <w:b/>
                <w:bCs/>
              </w:rPr>
            </w:pPr>
            <w:r w:rsidRPr="00D53A2B">
              <w:rPr>
                <w:b/>
                <w:bCs/>
              </w:rPr>
              <w:t>c. Kumaş Filtre</w:t>
            </w:r>
          </w:p>
        </w:tc>
        <w:tc>
          <w:tcPr>
            <w:tcW w:w="4396" w:type="dxa"/>
          </w:tcPr>
          <w:p w14:paraId="21225BBA" w14:textId="77777777" w:rsidR="0007690F" w:rsidRPr="00D53A2B" w:rsidRDefault="0007690F" w:rsidP="00A202FD">
            <w:pPr>
              <w:widowControl w:val="0"/>
              <w:spacing w:after="240" w:line="276" w:lineRule="auto"/>
              <w:ind w:firstLine="1"/>
              <w:contextualSpacing/>
              <w:jc w:val="both"/>
            </w:pPr>
            <w:r w:rsidRPr="00D53A2B">
              <w:t>Bölüm 1.4.3'e bakınız.</w:t>
            </w:r>
          </w:p>
        </w:tc>
      </w:tr>
      <w:tr w:rsidR="0007690F" w:rsidRPr="00D53A2B" w14:paraId="6F1F539A" w14:textId="77777777" w:rsidTr="008A41DE">
        <w:tc>
          <w:tcPr>
            <w:tcW w:w="4530" w:type="dxa"/>
          </w:tcPr>
          <w:p w14:paraId="44A6D974" w14:textId="77777777" w:rsidR="0007690F" w:rsidRPr="00D53A2B" w:rsidRDefault="0007690F" w:rsidP="00A202FD">
            <w:pPr>
              <w:widowControl w:val="0"/>
              <w:spacing w:after="240" w:line="276" w:lineRule="auto"/>
              <w:ind w:firstLine="1"/>
              <w:contextualSpacing/>
              <w:jc w:val="both"/>
              <w:rPr>
                <w:b/>
                <w:bCs/>
              </w:rPr>
            </w:pPr>
            <w:r w:rsidRPr="00D53A2B">
              <w:rPr>
                <w:b/>
                <w:bCs/>
              </w:rPr>
              <w:t>d. Sulu yıkama</w:t>
            </w:r>
          </w:p>
        </w:tc>
        <w:tc>
          <w:tcPr>
            <w:tcW w:w="4396" w:type="dxa"/>
          </w:tcPr>
          <w:p w14:paraId="4FF1177F" w14:textId="77777777" w:rsidR="0007690F" w:rsidRPr="00D53A2B" w:rsidRDefault="0007690F" w:rsidP="00A202FD">
            <w:pPr>
              <w:widowControl w:val="0"/>
              <w:spacing w:after="240" w:line="276" w:lineRule="auto"/>
              <w:ind w:firstLine="1"/>
              <w:contextualSpacing/>
              <w:jc w:val="both"/>
            </w:pPr>
            <w:r w:rsidRPr="00D53A2B">
              <w:t>Bölüm 1.4.3'e bakınız.</w:t>
            </w:r>
          </w:p>
        </w:tc>
      </w:tr>
    </w:tbl>
    <w:p w14:paraId="1FD72D70" w14:textId="77777777" w:rsidR="0007690F" w:rsidRPr="00D53A2B" w:rsidRDefault="0007690F" w:rsidP="00A202FD">
      <w:pPr>
        <w:widowControl w:val="0"/>
        <w:spacing w:after="240" w:line="276" w:lineRule="auto"/>
        <w:ind w:firstLine="1"/>
        <w:contextualSpacing/>
        <w:jc w:val="both"/>
        <w:rPr>
          <w:b/>
          <w:bCs/>
        </w:rPr>
      </w:pPr>
    </w:p>
    <w:p w14:paraId="1CF6EA25" w14:textId="77777777" w:rsidR="0007690F" w:rsidRPr="00D53A2B" w:rsidRDefault="0007690F" w:rsidP="00A202FD">
      <w:pPr>
        <w:widowControl w:val="0"/>
        <w:spacing w:after="240" w:line="276" w:lineRule="auto"/>
        <w:ind w:firstLine="1"/>
        <w:contextualSpacing/>
        <w:jc w:val="both"/>
        <w:rPr>
          <w:b/>
          <w:bCs/>
        </w:rPr>
      </w:pPr>
      <w:r w:rsidRPr="00D53A2B">
        <w:rPr>
          <w:b/>
          <w:bCs/>
        </w:rPr>
        <w:t>Tablo 1.12</w:t>
      </w:r>
    </w:p>
    <w:p w14:paraId="478159B8" w14:textId="43A5867F" w:rsidR="0007690F" w:rsidRPr="00D53A2B" w:rsidRDefault="0007690F" w:rsidP="00A202FD">
      <w:pPr>
        <w:widowControl w:val="0"/>
        <w:spacing w:after="240" w:line="276" w:lineRule="auto"/>
        <w:ind w:firstLine="1"/>
        <w:contextualSpacing/>
        <w:jc w:val="both"/>
      </w:pPr>
      <w:r w:rsidRPr="00D53A2B">
        <w:rPr>
          <w:b/>
          <w:bCs/>
        </w:rPr>
        <w:t>Bitirme İşlemlerinden Havaya Yönlendirilmiş Toz İçin MET İlişkili Emisyon Seviyesi (</w:t>
      </w:r>
      <w:r w:rsidR="00831B53" w:rsidRPr="00D53A2B">
        <w:rPr>
          <w:b/>
          <w:bCs/>
        </w:rPr>
        <w:t>MET-İES</w:t>
      </w:r>
      <w:r w:rsidRPr="00D53A2B">
        <w:rPr>
          <w:b/>
          <w:bCs/>
        </w:rPr>
        <w:t>)</w:t>
      </w:r>
    </w:p>
    <w:tbl>
      <w:tblPr>
        <w:tblStyle w:val="EIPPCBTable"/>
        <w:tblW w:w="0" w:type="auto"/>
        <w:tblLook w:val="04A0" w:firstRow="1" w:lastRow="0" w:firstColumn="1" w:lastColumn="0" w:noHBand="0" w:noVBand="1"/>
      </w:tblPr>
      <w:tblGrid>
        <w:gridCol w:w="1190"/>
        <w:gridCol w:w="1023"/>
        <w:gridCol w:w="6456"/>
      </w:tblGrid>
      <w:tr w:rsidR="0007690F" w:rsidRPr="00D53A2B" w14:paraId="2ECF52B2" w14:textId="77777777" w:rsidTr="009843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5BBE3C" w14:textId="77777777" w:rsidR="0007690F" w:rsidRPr="00D53A2B" w:rsidRDefault="0007690F" w:rsidP="00A202FD">
            <w:pPr>
              <w:widowControl w:val="0"/>
              <w:spacing w:after="240" w:line="276" w:lineRule="auto"/>
              <w:ind w:firstLine="1"/>
              <w:contextualSpacing/>
              <w:jc w:val="both"/>
              <w:rPr>
                <w:b w:val="0"/>
                <w:bCs/>
              </w:rPr>
            </w:pPr>
            <w:r w:rsidRPr="00D53A2B">
              <w:rPr>
                <w:b w:val="0"/>
                <w:bCs/>
              </w:rPr>
              <w:t>Parametre</w:t>
            </w:r>
          </w:p>
        </w:tc>
        <w:tc>
          <w:tcPr>
            <w:tcW w:w="0" w:type="auto"/>
            <w:hideMark/>
          </w:tcPr>
          <w:p w14:paraId="029DEE33" w14:textId="77777777" w:rsidR="0007690F" w:rsidRPr="00D53A2B" w:rsidRDefault="0007690F"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 w:val="0"/>
                <w:bCs/>
              </w:rPr>
              <w:t>Birim</w:t>
            </w:r>
          </w:p>
        </w:tc>
        <w:tc>
          <w:tcPr>
            <w:tcW w:w="0" w:type="auto"/>
            <w:hideMark/>
          </w:tcPr>
          <w:p w14:paraId="7FC7CB4D" w14:textId="7E1C63F4" w:rsidR="0007690F" w:rsidRPr="00D53A2B" w:rsidRDefault="00831B53"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 w:val="0"/>
                <w:bCs/>
              </w:rPr>
              <w:t>MET-İES</w:t>
            </w:r>
            <w:r w:rsidR="0007690F" w:rsidRPr="00D53A2B">
              <w:rPr>
                <w:b w:val="0"/>
                <w:bCs/>
              </w:rPr>
              <w:t> </w:t>
            </w:r>
            <w:r w:rsidR="0007690F" w:rsidRPr="00D53A2B">
              <w:rPr>
                <w:b w:val="0"/>
                <w:bCs/>
                <w:i/>
                <w:iCs/>
              </w:rPr>
              <w:t>(Günlük ortalama veya örnekleme dönemi ortalaması)</w:t>
            </w:r>
          </w:p>
        </w:tc>
      </w:tr>
      <w:tr w:rsidR="0007690F" w:rsidRPr="00D53A2B" w14:paraId="73BB7DBF" w14:textId="77777777" w:rsidTr="00984365">
        <w:tc>
          <w:tcPr>
            <w:cnfStyle w:val="001000000000" w:firstRow="0" w:lastRow="0" w:firstColumn="1" w:lastColumn="0" w:oddVBand="0" w:evenVBand="0" w:oddHBand="0" w:evenHBand="0" w:firstRowFirstColumn="0" w:firstRowLastColumn="0" w:lastRowFirstColumn="0" w:lastRowLastColumn="0"/>
            <w:tcW w:w="0" w:type="auto"/>
            <w:hideMark/>
          </w:tcPr>
          <w:p w14:paraId="62A43BAC" w14:textId="77777777" w:rsidR="0007690F" w:rsidRPr="00D53A2B" w:rsidRDefault="0007690F" w:rsidP="00A202FD">
            <w:pPr>
              <w:widowControl w:val="0"/>
              <w:spacing w:after="240" w:line="276" w:lineRule="auto"/>
              <w:ind w:firstLine="1"/>
              <w:contextualSpacing/>
              <w:jc w:val="both"/>
            </w:pPr>
            <w:r w:rsidRPr="00D53A2B">
              <w:rPr>
                <w:b w:val="0"/>
                <w:bCs/>
              </w:rPr>
              <w:t>Toz</w:t>
            </w:r>
          </w:p>
        </w:tc>
        <w:tc>
          <w:tcPr>
            <w:tcW w:w="0" w:type="auto"/>
            <w:hideMark/>
          </w:tcPr>
          <w:p w14:paraId="51921A7D"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mg/Nm³</w:t>
            </w:r>
          </w:p>
        </w:tc>
        <w:tc>
          <w:tcPr>
            <w:tcW w:w="0" w:type="auto"/>
            <w:hideMark/>
          </w:tcPr>
          <w:p w14:paraId="6D0F018D"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1 – 5</w:t>
            </w:r>
          </w:p>
        </w:tc>
      </w:tr>
    </w:tbl>
    <w:p w14:paraId="7AD40E94" w14:textId="77777777" w:rsidR="0007690F" w:rsidRPr="00D53A2B" w:rsidRDefault="0007690F" w:rsidP="00A202FD">
      <w:pPr>
        <w:widowControl w:val="0"/>
        <w:spacing w:after="240" w:line="276" w:lineRule="auto"/>
        <w:ind w:firstLine="1"/>
        <w:contextualSpacing/>
        <w:jc w:val="both"/>
      </w:pPr>
      <w:r w:rsidRPr="00D53A2B">
        <w:rPr>
          <w:b/>
          <w:bCs/>
        </w:rPr>
        <w:t>İlgili izleme</w:t>
      </w:r>
      <w:r w:rsidRPr="00D53A2B">
        <w:t>, MET 12'de belirtilmiştir.</w:t>
      </w:r>
    </w:p>
    <w:p w14:paraId="34405042" w14:textId="77777777" w:rsidR="0007690F" w:rsidRPr="00D53A2B" w:rsidRDefault="0007690F" w:rsidP="00A202FD">
      <w:pPr>
        <w:pStyle w:val="Balk4"/>
        <w:rPr>
          <w:rFonts w:cs="Times New Roman"/>
        </w:rPr>
      </w:pPr>
      <w:r w:rsidRPr="00D53A2B">
        <w:rPr>
          <w:rFonts w:cs="Times New Roman"/>
        </w:rPr>
        <w:t>1.2.1.13. Kum Yeniden Kullanımından Kaynaklanan Hava Emisyonları</w:t>
      </w:r>
    </w:p>
    <w:p w14:paraId="2253BDA2" w14:textId="77777777" w:rsidR="0007690F" w:rsidRPr="00D53A2B" w:rsidRDefault="0007690F" w:rsidP="00A202FD">
      <w:pPr>
        <w:widowControl w:val="0"/>
        <w:spacing w:after="240" w:line="276" w:lineRule="auto"/>
        <w:ind w:firstLine="1"/>
        <w:contextualSpacing/>
        <w:jc w:val="both"/>
      </w:pPr>
      <w:r w:rsidRPr="00D53A2B">
        <w:rPr>
          <w:b/>
          <w:bCs/>
        </w:rPr>
        <w:t>MET 31.</w:t>
      </w:r>
      <w:r w:rsidRPr="00D53A2B">
        <w:t> Kum yeniden kullanımından kaynaklanan hava emisyonlarını azaltmak için, MET şunları yapmalıdır:</w:t>
      </w:r>
    </w:p>
    <w:p w14:paraId="019EB889" w14:textId="77777777" w:rsidR="0007690F" w:rsidRPr="00D53A2B" w:rsidRDefault="0007690F" w:rsidP="00A202FD">
      <w:pPr>
        <w:widowControl w:val="0"/>
        <w:spacing w:after="240" w:line="276" w:lineRule="auto"/>
        <w:ind w:firstLine="1"/>
        <w:contextualSpacing/>
        <w:jc w:val="both"/>
      </w:pPr>
      <w:r w:rsidRPr="00D53A2B">
        <w:t>Termal kum yeniden jenerasyonunda, fosilsiz enerji kaynaklarından üretilen elektriği veya (a) ve (b) tekniklerinin her ikisi kullanılır;</w:t>
      </w:r>
    </w:p>
    <w:p w14:paraId="411A1A97" w14:textId="77777777" w:rsidR="0007690F" w:rsidRPr="00D53A2B" w:rsidRDefault="0007690F" w:rsidP="00602365">
      <w:pPr>
        <w:widowControl w:val="0"/>
        <w:numPr>
          <w:ilvl w:val="0"/>
          <w:numId w:val="251"/>
        </w:numPr>
        <w:spacing w:after="240" w:line="276" w:lineRule="auto"/>
        <w:contextualSpacing/>
        <w:jc w:val="both"/>
      </w:pPr>
      <w:r w:rsidRPr="00D53A2B">
        <w:t>Emisyonları (c) tekniğini kullanarak toplayın;</w:t>
      </w:r>
    </w:p>
    <w:p w14:paraId="217ADCE3" w14:textId="7DEA8700" w:rsidR="0007690F" w:rsidRPr="00D53A2B" w:rsidRDefault="0007690F" w:rsidP="00602365">
      <w:pPr>
        <w:widowControl w:val="0"/>
        <w:numPr>
          <w:ilvl w:val="0"/>
          <w:numId w:val="251"/>
        </w:numPr>
        <w:spacing w:after="240" w:line="276" w:lineRule="auto"/>
        <w:contextualSpacing/>
        <w:jc w:val="both"/>
      </w:pPr>
      <w:r w:rsidRPr="00D53A2B">
        <w:t xml:space="preserve">Atık gazları, aşağıda verilen (d) ila (g) tekniklerinden biri veya uygun bir kombinasyonunu kullanarak </w:t>
      </w:r>
      <w:r w:rsidR="0076481D">
        <w:t>arıtılması</w:t>
      </w:r>
      <w:r w:rsidRPr="00D53A2B">
        <w:t>.</w:t>
      </w:r>
    </w:p>
    <w:tbl>
      <w:tblPr>
        <w:tblStyle w:val="TabloKlavuzu1"/>
        <w:tblW w:w="8926" w:type="dxa"/>
        <w:tblLook w:val="04A0" w:firstRow="1" w:lastRow="0" w:firstColumn="1" w:lastColumn="0" w:noHBand="0" w:noVBand="1"/>
      </w:tblPr>
      <w:tblGrid>
        <w:gridCol w:w="1630"/>
        <w:gridCol w:w="3611"/>
        <w:gridCol w:w="3685"/>
      </w:tblGrid>
      <w:tr w:rsidR="0007690F" w:rsidRPr="00D53A2B" w14:paraId="0C35A1B0" w14:textId="77777777" w:rsidTr="008A41DE">
        <w:trPr>
          <w:trHeight w:val="320"/>
        </w:trPr>
        <w:tc>
          <w:tcPr>
            <w:tcW w:w="1630" w:type="dxa"/>
            <w:noWrap/>
            <w:hideMark/>
          </w:tcPr>
          <w:p w14:paraId="0178C118"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3611" w:type="dxa"/>
            <w:noWrap/>
            <w:hideMark/>
          </w:tcPr>
          <w:p w14:paraId="109453EB"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3685" w:type="dxa"/>
            <w:noWrap/>
            <w:hideMark/>
          </w:tcPr>
          <w:p w14:paraId="25641991" w14:textId="77777777" w:rsidR="0007690F" w:rsidRPr="00D53A2B" w:rsidRDefault="0007690F" w:rsidP="00A202FD">
            <w:pPr>
              <w:widowControl w:val="0"/>
              <w:spacing w:after="240" w:line="276" w:lineRule="auto"/>
              <w:ind w:firstLine="1"/>
              <w:contextualSpacing/>
              <w:jc w:val="both"/>
              <w:rPr>
                <w:b/>
                <w:bCs/>
              </w:rPr>
            </w:pPr>
            <w:r w:rsidRPr="00D53A2B">
              <w:rPr>
                <w:b/>
                <w:bCs/>
              </w:rPr>
              <w:t>Uygulama Alanı</w:t>
            </w:r>
          </w:p>
        </w:tc>
      </w:tr>
      <w:tr w:rsidR="0007690F" w:rsidRPr="00D53A2B" w14:paraId="4D2FF0E8" w14:textId="77777777" w:rsidTr="008A41DE">
        <w:trPr>
          <w:trHeight w:val="320"/>
        </w:trPr>
        <w:tc>
          <w:tcPr>
            <w:tcW w:w="8926" w:type="dxa"/>
            <w:gridSpan w:val="3"/>
            <w:noWrap/>
            <w:hideMark/>
          </w:tcPr>
          <w:p w14:paraId="00889C25" w14:textId="77777777" w:rsidR="0007690F" w:rsidRPr="00D53A2B" w:rsidRDefault="0007690F" w:rsidP="00A202FD">
            <w:pPr>
              <w:widowControl w:val="0"/>
              <w:spacing w:after="240" w:line="276" w:lineRule="auto"/>
              <w:ind w:firstLine="1"/>
              <w:contextualSpacing/>
              <w:jc w:val="both"/>
              <w:rPr>
                <w:b/>
                <w:bCs/>
              </w:rPr>
            </w:pPr>
            <w:r w:rsidRPr="00D53A2B">
              <w:rPr>
                <w:b/>
                <w:bCs/>
              </w:rPr>
              <w:t>Emisyon üretiminin azaltılması için teknikler</w:t>
            </w:r>
          </w:p>
          <w:p w14:paraId="13DADFF1" w14:textId="77777777" w:rsidR="0007690F" w:rsidRPr="00D53A2B" w:rsidRDefault="0007690F" w:rsidP="00A202FD">
            <w:pPr>
              <w:widowControl w:val="0"/>
              <w:spacing w:after="240" w:line="276" w:lineRule="auto"/>
              <w:ind w:firstLine="1"/>
              <w:contextualSpacing/>
              <w:jc w:val="both"/>
            </w:pPr>
            <w:r w:rsidRPr="00D53A2B">
              <w:t> </w:t>
            </w:r>
          </w:p>
          <w:p w14:paraId="4ECDEDFD"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553B15B5" w14:textId="77777777" w:rsidTr="008A41DE">
        <w:trPr>
          <w:trHeight w:val="320"/>
        </w:trPr>
        <w:tc>
          <w:tcPr>
            <w:tcW w:w="1630" w:type="dxa"/>
            <w:noWrap/>
            <w:hideMark/>
          </w:tcPr>
          <w:p w14:paraId="4339C0A2" w14:textId="77777777" w:rsidR="0007690F" w:rsidRPr="00D53A2B" w:rsidRDefault="0007690F" w:rsidP="00A202FD">
            <w:pPr>
              <w:widowControl w:val="0"/>
              <w:spacing w:after="240" w:line="276" w:lineRule="auto"/>
              <w:ind w:firstLine="1"/>
              <w:contextualSpacing/>
              <w:jc w:val="both"/>
            </w:pPr>
            <w:r w:rsidRPr="00D53A2B">
              <w:t>a. Düşük NO</w:t>
            </w:r>
            <w:r w:rsidRPr="00D53A2B">
              <w:rPr>
                <w:vertAlign w:val="subscript"/>
              </w:rPr>
              <w:t xml:space="preserve">X </w:t>
            </w:r>
            <w:r w:rsidRPr="00D53A2B">
              <w:t>oluşum potansiyeline sahip yakıt veya yakıt kombinasyonu kullanımı</w:t>
            </w:r>
          </w:p>
        </w:tc>
        <w:tc>
          <w:tcPr>
            <w:tcW w:w="3611" w:type="dxa"/>
            <w:noWrap/>
            <w:hideMark/>
          </w:tcPr>
          <w:p w14:paraId="199FE437" w14:textId="77777777" w:rsidR="0007690F" w:rsidRPr="00D53A2B" w:rsidRDefault="0007690F" w:rsidP="00A202FD">
            <w:pPr>
              <w:widowControl w:val="0"/>
              <w:spacing w:after="240" w:line="276" w:lineRule="auto"/>
              <w:ind w:firstLine="1"/>
              <w:contextualSpacing/>
              <w:jc w:val="both"/>
            </w:pPr>
            <w:r w:rsidRPr="00D53A2B">
              <w:t>Düşük NO</w:t>
            </w:r>
            <w:r w:rsidRPr="00D53A2B">
              <w:rPr>
                <w:vertAlign w:val="subscript"/>
              </w:rPr>
              <w:t>X</w:t>
            </w:r>
            <w:r w:rsidRPr="00D53A2B">
              <w:t xml:space="preserve"> oluşum potansiyeline sahip yakıtlar arasında doğalgaz ve sıvılaştırılmış petrol gazı yer alır.</w:t>
            </w:r>
          </w:p>
        </w:tc>
        <w:tc>
          <w:tcPr>
            <w:tcW w:w="3685" w:type="dxa"/>
            <w:noWrap/>
            <w:hideMark/>
          </w:tcPr>
          <w:p w14:paraId="2602D1E5" w14:textId="77777777" w:rsidR="0007690F" w:rsidRPr="00D53A2B" w:rsidRDefault="0007690F" w:rsidP="00A202FD">
            <w:pPr>
              <w:widowControl w:val="0"/>
              <w:spacing w:after="240" w:line="276" w:lineRule="auto"/>
              <w:ind w:firstLine="1"/>
              <w:contextualSpacing/>
              <w:jc w:val="both"/>
            </w:pPr>
            <w:r w:rsidRPr="00D53A2B">
              <w:t>Farklı yakıt türlerinin kullanılabilirliğine bağlı kısıtlamalarla, bu yakıtlar üye ülkelerin enerji politikalarından etkilenebilir.</w:t>
            </w:r>
          </w:p>
        </w:tc>
      </w:tr>
      <w:tr w:rsidR="0007690F" w:rsidRPr="00D53A2B" w14:paraId="73C410CA" w14:textId="77777777" w:rsidTr="008A41DE">
        <w:trPr>
          <w:trHeight w:val="320"/>
        </w:trPr>
        <w:tc>
          <w:tcPr>
            <w:tcW w:w="1630" w:type="dxa"/>
            <w:noWrap/>
            <w:hideMark/>
          </w:tcPr>
          <w:p w14:paraId="56BCA096" w14:textId="77777777" w:rsidR="0007690F" w:rsidRPr="00D53A2B" w:rsidRDefault="0007690F" w:rsidP="00A202FD">
            <w:pPr>
              <w:widowControl w:val="0"/>
              <w:spacing w:after="240" w:line="276" w:lineRule="auto"/>
              <w:ind w:firstLine="1"/>
              <w:contextualSpacing/>
              <w:jc w:val="both"/>
            </w:pPr>
            <w:r w:rsidRPr="00D53A2B">
              <w:t>b. Düşük kükürt içeriğine sahip yakıt veya yakıt kombinasyonu kullanımı</w:t>
            </w:r>
          </w:p>
        </w:tc>
        <w:tc>
          <w:tcPr>
            <w:tcW w:w="3611" w:type="dxa"/>
            <w:noWrap/>
            <w:hideMark/>
          </w:tcPr>
          <w:p w14:paraId="1D69808C" w14:textId="77777777" w:rsidR="0007690F" w:rsidRPr="00D53A2B" w:rsidRDefault="0007690F" w:rsidP="00A202FD">
            <w:pPr>
              <w:widowControl w:val="0"/>
              <w:spacing w:after="240" w:line="276" w:lineRule="auto"/>
              <w:ind w:firstLine="1"/>
              <w:contextualSpacing/>
              <w:jc w:val="both"/>
            </w:pPr>
            <w:r w:rsidRPr="00D53A2B">
              <w:t>Düşük kükürt içeriğine sahip yakıtlar arasında doğalgaz ve sıvılaştırılmış petrol gazı yer alır.</w:t>
            </w:r>
          </w:p>
        </w:tc>
        <w:tc>
          <w:tcPr>
            <w:tcW w:w="3685" w:type="dxa"/>
            <w:noWrap/>
            <w:hideMark/>
          </w:tcPr>
          <w:p w14:paraId="73753D78" w14:textId="77777777" w:rsidR="0007690F" w:rsidRPr="00D53A2B" w:rsidRDefault="0007690F" w:rsidP="00A202FD">
            <w:pPr>
              <w:widowControl w:val="0"/>
              <w:spacing w:after="240" w:line="276" w:lineRule="auto"/>
              <w:ind w:firstLine="1"/>
              <w:contextualSpacing/>
              <w:jc w:val="both"/>
            </w:pPr>
            <w:r w:rsidRPr="00D53A2B">
              <w:t>Farklı yakıt türlerinin kullanılabilirliğine bağlı kısıtlamalarla, bu yakıtlar üye ülkelerin enerji politikalarından etkilenebilir.</w:t>
            </w:r>
          </w:p>
        </w:tc>
      </w:tr>
      <w:tr w:rsidR="0007690F" w:rsidRPr="00D53A2B" w14:paraId="324A37C4" w14:textId="77777777" w:rsidTr="008A41DE">
        <w:trPr>
          <w:trHeight w:val="320"/>
        </w:trPr>
        <w:tc>
          <w:tcPr>
            <w:tcW w:w="8926" w:type="dxa"/>
            <w:gridSpan w:val="3"/>
            <w:noWrap/>
            <w:hideMark/>
          </w:tcPr>
          <w:p w14:paraId="43C4FA50" w14:textId="77777777" w:rsidR="0007690F" w:rsidRPr="00D53A2B" w:rsidRDefault="0007690F" w:rsidP="00A202FD">
            <w:pPr>
              <w:widowControl w:val="0"/>
              <w:spacing w:after="240" w:line="276" w:lineRule="auto"/>
              <w:ind w:firstLine="1"/>
              <w:contextualSpacing/>
              <w:jc w:val="both"/>
              <w:rPr>
                <w:b/>
                <w:bCs/>
              </w:rPr>
            </w:pPr>
            <w:r w:rsidRPr="00D53A2B">
              <w:rPr>
                <w:b/>
                <w:bCs/>
              </w:rPr>
              <w:t>Emisyonların toplanması</w:t>
            </w:r>
          </w:p>
          <w:p w14:paraId="76C39C50" w14:textId="77777777" w:rsidR="0007690F" w:rsidRPr="00D53A2B" w:rsidRDefault="0007690F" w:rsidP="00A202FD">
            <w:pPr>
              <w:widowControl w:val="0"/>
              <w:spacing w:after="240" w:line="276" w:lineRule="auto"/>
              <w:ind w:firstLine="1"/>
              <w:contextualSpacing/>
              <w:jc w:val="both"/>
            </w:pPr>
            <w:r w:rsidRPr="00D53A2B">
              <w:t> </w:t>
            </w:r>
          </w:p>
          <w:p w14:paraId="49508D51"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59D0CB98" w14:textId="77777777" w:rsidTr="008A41DE">
        <w:trPr>
          <w:trHeight w:val="320"/>
        </w:trPr>
        <w:tc>
          <w:tcPr>
            <w:tcW w:w="1630" w:type="dxa"/>
            <w:noWrap/>
            <w:hideMark/>
          </w:tcPr>
          <w:p w14:paraId="644A1DC9" w14:textId="77777777" w:rsidR="0007690F" w:rsidRPr="00D53A2B" w:rsidRDefault="0007690F" w:rsidP="00A202FD">
            <w:pPr>
              <w:widowControl w:val="0"/>
              <w:spacing w:after="240" w:line="276" w:lineRule="auto"/>
              <w:ind w:firstLine="1"/>
              <w:contextualSpacing/>
              <w:jc w:val="both"/>
            </w:pPr>
            <w:r w:rsidRPr="00D53A2B">
              <w:t>c. Kum geri kazanımından kaynaklanan emisyonların emisyon kaynağına olabildiğince yakın bir şekilde çıkarılması</w:t>
            </w:r>
          </w:p>
        </w:tc>
        <w:tc>
          <w:tcPr>
            <w:tcW w:w="3611" w:type="dxa"/>
            <w:noWrap/>
            <w:hideMark/>
          </w:tcPr>
          <w:p w14:paraId="0A65A215" w14:textId="77777777" w:rsidR="0007690F" w:rsidRPr="00D53A2B" w:rsidRDefault="0007690F" w:rsidP="00A202FD">
            <w:pPr>
              <w:widowControl w:val="0"/>
              <w:spacing w:after="240" w:line="276" w:lineRule="auto"/>
              <w:ind w:firstLine="1"/>
              <w:contextualSpacing/>
              <w:jc w:val="both"/>
            </w:pPr>
            <w:r w:rsidRPr="00D53A2B">
              <w:t>Kum geri kazanımından kaynaklanan emisyonlar, örneğin bir muhafaza veya başlık kullanılarak çıkarılır. Bu, termal kum yeniden jenerasyonu için kullanılan akışkan yatak fırınları, döner fırınlar veya ocak fırınlarından çıkan baca gazlarının çıkarılmasını içerir.</w:t>
            </w:r>
          </w:p>
        </w:tc>
        <w:tc>
          <w:tcPr>
            <w:tcW w:w="3685" w:type="dxa"/>
            <w:noWrap/>
            <w:hideMark/>
          </w:tcPr>
          <w:p w14:paraId="7807AEFB"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30B2895A" w14:textId="77777777" w:rsidTr="008A41DE">
        <w:trPr>
          <w:trHeight w:val="320"/>
        </w:trPr>
        <w:tc>
          <w:tcPr>
            <w:tcW w:w="8926" w:type="dxa"/>
            <w:gridSpan w:val="3"/>
            <w:noWrap/>
            <w:hideMark/>
          </w:tcPr>
          <w:p w14:paraId="3A1F5C2A" w14:textId="146B6B32" w:rsidR="0007690F" w:rsidRPr="00D53A2B" w:rsidRDefault="0007690F" w:rsidP="00A202FD">
            <w:pPr>
              <w:widowControl w:val="0"/>
              <w:spacing w:after="240" w:line="276" w:lineRule="auto"/>
              <w:ind w:firstLine="1"/>
              <w:contextualSpacing/>
              <w:jc w:val="both"/>
              <w:rPr>
                <w:b/>
                <w:bCs/>
              </w:rPr>
            </w:pPr>
            <w:r w:rsidRPr="00D53A2B">
              <w:rPr>
                <w:b/>
                <w:bCs/>
              </w:rPr>
              <w:t xml:space="preserve">Atık gaz </w:t>
            </w:r>
            <w:r w:rsidR="003A37F0">
              <w:rPr>
                <w:b/>
                <w:bCs/>
              </w:rPr>
              <w:t>arıtımı</w:t>
            </w:r>
          </w:p>
          <w:p w14:paraId="601F77D8" w14:textId="77777777" w:rsidR="0007690F" w:rsidRPr="00D53A2B" w:rsidRDefault="0007690F" w:rsidP="00A202FD">
            <w:pPr>
              <w:widowControl w:val="0"/>
              <w:spacing w:after="240" w:line="276" w:lineRule="auto"/>
              <w:ind w:firstLine="1"/>
              <w:contextualSpacing/>
              <w:jc w:val="both"/>
            </w:pPr>
            <w:r w:rsidRPr="00D53A2B">
              <w:t> </w:t>
            </w:r>
          </w:p>
          <w:p w14:paraId="32458956"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7C788FA2" w14:textId="77777777" w:rsidTr="008A41DE">
        <w:trPr>
          <w:trHeight w:val="320"/>
        </w:trPr>
        <w:tc>
          <w:tcPr>
            <w:tcW w:w="1630" w:type="dxa"/>
            <w:noWrap/>
            <w:hideMark/>
          </w:tcPr>
          <w:p w14:paraId="4C4C04C1" w14:textId="77777777" w:rsidR="0007690F" w:rsidRPr="00D53A2B" w:rsidRDefault="0007690F" w:rsidP="00A202FD">
            <w:pPr>
              <w:widowControl w:val="0"/>
              <w:spacing w:after="240" w:line="276" w:lineRule="auto"/>
              <w:ind w:firstLine="1"/>
              <w:contextualSpacing/>
              <w:jc w:val="both"/>
            </w:pPr>
            <w:r w:rsidRPr="00D53A2B">
              <w:t>d. Siklon</w:t>
            </w:r>
          </w:p>
        </w:tc>
        <w:tc>
          <w:tcPr>
            <w:tcW w:w="3611" w:type="dxa"/>
            <w:noWrap/>
            <w:hideMark/>
          </w:tcPr>
          <w:p w14:paraId="1B5F4FC2"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3685" w:type="dxa"/>
            <w:noWrap/>
            <w:hideMark/>
          </w:tcPr>
          <w:p w14:paraId="328391AE"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19D6C7EA" w14:textId="77777777" w:rsidTr="008A41DE">
        <w:trPr>
          <w:trHeight w:val="360"/>
        </w:trPr>
        <w:tc>
          <w:tcPr>
            <w:tcW w:w="1630" w:type="dxa"/>
            <w:noWrap/>
            <w:hideMark/>
          </w:tcPr>
          <w:p w14:paraId="382B285F" w14:textId="77777777" w:rsidR="0007690F" w:rsidRPr="00D53A2B" w:rsidRDefault="0007690F" w:rsidP="00A202FD">
            <w:pPr>
              <w:widowControl w:val="0"/>
              <w:spacing w:after="240" w:line="276" w:lineRule="auto"/>
              <w:ind w:firstLine="1"/>
              <w:contextualSpacing/>
              <w:jc w:val="both"/>
            </w:pPr>
            <w:r w:rsidRPr="00D53A2B">
              <w:t>e. Kumaş filtresi</w:t>
            </w:r>
          </w:p>
        </w:tc>
        <w:tc>
          <w:tcPr>
            <w:tcW w:w="3611" w:type="dxa"/>
            <w:noWrap/>
            <w:hideMark/>
          </w:tcPr>
          <w:p w14:paraId="6AB89B5A"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3685" w:type="dxa"/>
            <w:noWrap/>
            <w:hideMark/>
          </w:tcPr>
          <w:p w14:paraId="472CB98A"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5A0798DB" w14:textId="77777777" w:rsidTr="008A41DE">
        <w:trPr>
          <w:trHeight w:val="320"/>
        </w:trPr>
        <w:tc>
          <w:tcPr>
            <w:tcW w:w="1630" w:type="dxa"/>
            <w:noWrap/>
            <w:hideMark/>
          </w:tcPr>
          <w:p w14:paraId="5FC01B3F" w14:textId="77777777" w:rsidR="0007690F" w:rsidRPr="00D53A2B" w:rsidRDefault="0007690F" w:rsidP="00A202FD">
            <w:pPr>
              <w:widowControl w:val="0"/>
              <w:spacing w:after="240" w:line="276" w:lineRule="auto"/>
              <w:ind w:firstLine="1"/>
              <w:contextualSpacing/>
              <w:jc w:val="both"/>
            </w:pPr>
            <w:r w:rsidRPr="00D53A2B">
              <w:t>f. Islak yıkama</w:t>
            </w:r>
          </w:p>
        </w:tc>
        <w:tc>
          <w:tcPr>
            <w:tcW w:w="3611" w:type="dxa"/>
            <w:noWrap/>
            <w:hideMark/>
          </w:tcPr>
          <w:p w14:paraId="67E2256A"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3685" w:type="dxa"/>
            <w:noWrap/>
            <w:hideMark/>
          </w:tcPr>
          <w:p w14:paraId="69C23211"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1C18A374" w14:textId="77777777" w:rsidTr="008A41DE">
        <w:trPr>
          <w:trHeight w:val="320"/>
        </w:trPr>
        <w:tc>
          <w:tcPr>
            <w:tcW w:w="1630" w:type="dxa"/>
            <w:noWrap/>
            <w:hideMark/>
          </w:tcPr>
          <w:p w14:paraId="707FEBDD" w14:textId="77777777" w:rsidR="0007690F" w:rsidRPr="00D53A2B" w:rsidRDefault="0007690F" w:rsidP="00A202FD">
            <w:pPr>
              <w:widowControl w:val="0"/>
              <w:spacing w:after="240" w:line="276" w:lineRule="auto"/>
              <w:ind w:firstLine="1"/>
              <w:contextualSpacing/>
              <w:jc w:val="both"/>
            </w:pPr>
            <w:r w:rsidRPr="00D53A2B">
              <w:t>g. Termal oksidasyon</w:t>
            </w:r>
          </w:p>
        </w:tc>
        <w:tc>
          <w:tcPr>
            <w:tcW w:w="3611" w:type="dxa"/>
            <w:noWrap/>
            <w:hideMark/>
          </w:tcPr>
          <w:p w14:paraId="7688631C"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3685" w:type="dxa"/>
            <w:noWrap/>
            <w:hideMark/>
          </w:tcPr>
          <w:p w14:paraId="694F23AD" w14:textId="77777777" w:rsidR="0007690F" w:rsidRPr="00D53A2B" w:rsidRDefault="0007690F" w:rsidP="00A202FD">
            <w:pPr>
              <w:widowControl w:val="0"/>
              <w:spacing w:after="240" w:line="276" w:lineRule="auto"/>
              <w:ind w:firstLine="1"/>
              <w:contextualSpacing/>
              <w:jc w:val="both"/>
            </w:pPr>
            <w:r w:rsidRPr="00D53A2B">
              <w:t>Kurtarıcı ve yenileyici termal oksidasyonun mevcut tesislere uygulanabilirliği, tasarım ve/veya operasyonel kısıtlamalarla sınırlı olabilir. Uygulama, süreç atık gazlarındaki bileşik(ler)in düşük konsantrasyonu nedeniyle enerji talebinin fazla olduğu durumlarda sınırlı olabilir.</w:t>
            </w:r>
          </w:p>
        </w:tc>
      </w:tr>
    </w:tbl>
    <w:p w14:paraId="7843596D" w14:textId="77777777" w:rsidR="0007690F" w:rsidRPr="00D53A2B" w:rsidRDefault="0007690F" w:rsidP="00A202FD">
      <w:pPr>
        <w:widowControl w:val="0"/>
        <w:spacing w:after="240" w:line="276" w:lineRule="auto"/>
        <w:ind w:firstLine="1"/>
        <w:contextualSpacing/>
        <w:jc w:val="both"/>
      </w:pPr>
    </w:p>
    <w:p w14:paraId="4ACAA4F5" w14:textId="77777777" w:rsidR="0007690F" w:rsidRPr="00D53A2B" w:rsidRDefault="0007690F" w:rsidP="00A202FD">
      <w:pPr>
        <w:widowControl w:val="0"/>
        <w:spacing w:after="240" w:line="276" w:lineRule="auto"/>
        <w:ind w:firstLine="1"/>
        <w:contextualSpacing/>
        <w:jc w:val="both"/>
      </w:pPr>
      <w:r w:rsidRPr="00D53A2B">
        <w:rPr>
          <w:b/>
          <w:bCs/>
        </w:rPr>
        <w:t>Tablo 1.13</w:t>
      </w:r>
    </w:p>
    <w:p w14:paraId="5B27164E" w14:textId="2AB36077" w:rsidR="0007690F" w:rsidRPr="00D53A2B" w:rsidRDefault="0007690F" w:rsidP="00A202FD">
      <w:pPr>
        <w:widowControl w:val="0"/>
        <w:spacing w:after="240" w:line="276" w:lineRule="auto"/>
        <w:ind w:firstLine="1"/>
        <w:contextualSpacing/>
        <w:jc w:val="both"/>
      </w:pPr>
      <w:r w:rsidRPr="00D53A2B">
        <w:rPr>
          <w:b/>
          <w:bCs/>
        </w:rPr>
        <w:t>Kum geri kazanımından havaya salınan toz ve TVOC için MET ile ilişkili emisyon seviyeleri (</w:t>
      </w:r>
      <w:r w:rsidR="00831B53" w:rsidRPr="00D53A2B">
        <w:rPr>
          <w:b/>
          <w:bCs/>
        </w:rPr>
        <w:t>MET-İES</w:t>
      </w:r>
      <w:r w:rsidRPr="00D53A2B">
        <w:rPr>
          <w:b/>
          <w:bCs/>
        </w:rPr>
        <w:t>)</w:t>
      </w:r>
    </w:p>
    <w:tbl>
      <w:tblPr>
        <w:tblW w:w="8926" w:type="dxa"/>
        <w:tblCellMar>
          <w:left w:w="70" w:type="dxa"/>
          <w:right w:w="70" w:type="dxa"/>
        </w:tblCellMar>
        <w:tblLook w:val="04A0" w:firstRow="1" w:lastRow="0" w:firstColumn="1" w:lastColumn="0" w:noHBand="0" w:noVBand="1"/>
      </w:tblPr>
      <w:tblGrid>
        <w:gridCol w:w="2021"/>
        <w:gridCol w:w="1300"/>
        <w:gridCol w:w="5605"/>
      </w:tblGrid>
      <w:tr w:rsidR="0007690F" w:rsidRPr="00D53A2B" w14:paraId="0C39159C" w14:textId="77777777" w:rsidTr="008A41DE">
        <w:trPr>
          <w:trHeight w:val="320"/>
        </w:trPr>
        <w:tc>
          <w:tcPr>
            <w:tcW w:w="20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8F9D3C" w14:textId="77777777" w:rsidR="0007690F" w:rsidRPr="00D53A2B" w:rsidRDefault="0007690F" w:rsidP="00A202FD">
            <w:pPr>
              <w:widowControl w:val="0"/>
              <w:spacing w:after="240" w:line="276" w:lineRule="auto"/>
              <w:ind w:firstLine="1"/>
              <w:contextualSpacing/>
              <w:jc w:val="both"/>
              <w:rPr>
                <w:b/>
                <w:bCs/>
              </w:rPr>
            </w:pPr>
            <w:r w:rsidRPr="00D53A2B">
              <w:rPr>
                <w:b/>
                <w:bCs/>
              </w:rPr>
              <w:t>Madde/Parametre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718FB3AD"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5605" w:type="dxa"/>
            <w:tcBorders>
              <w:top w:val="single" w:sz="4" w:space="0" w:color="auto"/>
              <w:left w:val="nil"/>
              <w:bottom w:val="single" w:sz="4" w:space="0" w:color="auto"/>
              <w:right w:val="single" w:sz="4" w:space="0" w:color="auto"/>
            </w:tcBorders>
            <w:shd w:val="clear" w:color="auto" w:fill="auto"/>
            <w:noWrap/>
            <w:vAlign w:val="bottom"/>
            <w:hideMark/>
          </w:tcPr>
          <w:p w14:paraId="30ECEC7C" w14:textId="12C3D251" w:rsidR="0007690F" w:rsidRPr="00D53A2B" w:rsidRDefault="00831B53" w:rsidP="00A202FD">
            <w:pPr>
              <w:widowControl w:val="0"/>
              <w:spacing w:after="240" w:line="276" w:lineRule="auto"/>
              <w:ind w:firstLine="1"/>
              <w:contextualSpacing/>
              <w:jc w:val="both"/>
              <w:rPr>
                <w:b/>
                <w:bCs/>
              </w:rPr>
            </w:pPr>
            <w:r w:rsidRPr="00D53A2B">
              <w:rPr>
                <w:b/>
                <w:bCs/>
              </w:rPr>
              <w:t>MET-İES</w:t>
            </w:r>
            <w:r w:rsidR="0007690F" w:rsidRPr="00D53A2B">
              <w:rPr>
                <w:b/>
                <w:bCs/>
              </w:rPr>
              <w:t xml:space="preserve"> (Günlük ortalama veya örnekleme dönemi ortalaması)</w:t>
            </w:r>
          </w:p>
        </w:tc>
      </w:tr>
      <w:tr w:rsidR="0007690F" w:rsidRPr="00D53A2B" w14:paraId="56B2BA3A" w14:textId="77777777" w:rsidTr="008A41DE">
        <w:trPr>
          <w:trHeight w:val="320"/>
        </w:trPr>
        <w:tc>
          <w:tcPr>
            <w:tcW w:w="2021" w:type="dxa"/>
            <w:tcBorders>
              <w:top w:val="nil"/>
              <w:left w:val="single" w:sz="4" w:space="0" w:color="auto"/>
              <w:bottom w:val="single" w:sz="4" w:space="0" w:color="auto"/>
              <w:right w:val="single" w:sz="4" w:space="0" w:color="auto"/>
            </w:tcBorders>
            <w:shd w:val="clear" w:color="auto" w:fill="auto"/>
            <w:noWrap/>
            <w:vAlign w:val="bottom"/>
            <w:hideMark/>
          </w:tcPr>
          <w:p w14:paraId="04FEBCDF" w14:textId="77777777" w:rsidR="0007690F" w:rsidRPr="00D53A2B" w:rsidRDefault="0007690F" w:rsidP="00A202FD">
            <w:pPr>
              <w:widowControl w:val="0"/>
              <w:spacing w:after="240" w:line="276" w:lineRule="auto"/>
              <w:ind w:firstLine="1"/>
              <w:contextualSpacing/>
              <w:jc w:val="both"/>
            </w:pPr>
            <w:r w:rsidRPr="00D53A2B">
              <w:t>Toz</w:t>
            </w:r>
          </w:p>
        </w:tc>
        <w:tc>
          <w:tcPr>
            <w:tcW w:w="1300" w:type="dxa"/>
            <w:tcBorders>
              <w:top w:val="nil"/>
              <w:left w:val="nil"/>
              <w:bottom w:val="single" w:sz="4" w:space="0" w:color="auto"/>
              <w:right w:val="single" w:sz="4" w:space="0" w:color="auto"/>
            </w:tcBorders>
            <w:shd w:val="clear" w:color="auto" w:fill="auto"/>
            <w:noWrap/>
            <w:vAlign w:val="bottom"/>
            <w:hideMark/>
          </w:tcPr>
          <w:p w14:paraId="3BA05728" w14:textId="77777777" w:rsidR="0007690F" w:rsidRPr="00D53A2B" w:rsidRDefault="0007690F" w:rsidP="00A202FD">
            <w:pPr>
              <w:widowControl w:val="0"/>
              <w:spacing w:after="240" w:line="276" w:lineRule="auto"/>
              <w:ind w:firstLine="1"/>
              <w:contextualSpacing/>
              <w:jc w:val="both"/>
            </w:pPr>
            <w:r w:rsidRPr="00D53A2B">
              <w:t>mg/Nm³</w:t>
            </w:r>
          </w:p>
        </w:tc>
        <w:tc>
          <w:tcPr>
            <w:tcW w:w="5605" w:type="dxa"/>
            <w:tcBorders>
              <w:top w:val="nil"/>
              <w:left w:val="nil"/>
              <w:bottom w:val="single" w:sz="4" w:space="0" w:color="auto"/>
              <w:right w:val="single" w:sz="4" w:space="0" w:color="auto"/>
            </w:tcBorders>
            <w:shd w:val="clear" w:color="auto" w:fill="auto"/>
            <w:noWrap/>
            <w:vAlign w:val="bottom"/>
            <w:hideMark/>
          </w:tcPr>
          <w:p w14:paraId="113C7074" w14:textId="77777777" w:rsidR="0007690F" w:rsidRPr="00D53A2B" w:rsidRDefault="0007690F" w:rsidP="00A202FD">
            <w:pPr>
              <w:widowControl w:val="0"/>
              <w:spacing w:after="240" w:line="276" w:lineRule="auto"/>
              <w:ind w:firstLine="1"/>
              <w:contextualSpacing/>
              <w:jc w:val="both"/>
            </w:pPr>
            <w:r w:rsidRPr="00D53A2B">
              <w:t>1 – 5</w:t>
            </w:r>
          </w:p>
        </w:tc>
      </w:tr>
      <w:tr w:rsidR="0007690F" w:rsidRPr="00D53A2B" w14:paraId="390A569A" w14:textId="77777777" w:rsidTr="008A41DE">
        <w:trPr>
          <w:trHeight w:val="320"/>
        </w:trPr>
        <w:tc>
          <w:tcPr>
            <w:tcW w:w="2021" w:type="dxa"/>
            <w:tcBorders>
              <w:top w:val="nil"/>
              <w:left w:val="single" w:sz="4" w:space="0" w:color="auto"/>
              <w:bottom w:val="single" w:sz="4" w:space="0" w:color="auto"/>
              <w:right w:val="single" w:sz="4" w:space="0" w:color="auto"/>
            </w:tcBorders>
            <w:shd w:val="clear" w:color="auto" w:fill="auto"/>
            <w:noWrap/>
            <w:vAlign w:val="bottom"/>
            <w:hideMark/>
          </w:tcPr>
          <w:p w14:paraId="219F23BB" w14:textId="77777777" w:rsidR="0007690F" w:rsidRPr="00D53A2B" w:rsidRDefault="0007690F" w:rsidP="00A202FD">
            <w:pPr>
              <w:widowControl w:val="0"/>
              <w:spacing w:after="240" w:line="276" w:lineRule="auto"/>
              <w:ind w:firstLine="1"/>
              <w:contextualSpacing/>
              <w:jc w:val="both"/>
            </w:pPr>
            <w:r w:rsidRPr="00D53A2B">
              <w:t>TVOC</w:t>
            </w:r>
          </w:p>
        </w:tc>
        <w:tc>
          <w:tcPr>
            <w:tcW w:w="1300" w:type="dxa"/>
            <w:tcBorders>
              <w:top w:val="nil"/>
              <w:left w:val="nil"/>
              <w:bottom w:val="single" w:sz="4" w:space="0" w:color="auto"/>
              <w:right w:val="single" w:sz="4" w:space="0" w:color="auto"/>
            </w:tcBorders>
            <w:shd w:val="clear" w:color="auto" w:fill="auto"/>
            <w:noWrap/>
            <w:vAlign w:val="bottom"/>
            <w:hideMark/>
          </w:tcPr>
          <w:p w14:paraId="712A7C8C" w14:textId="77777777" w:rsidR="0007690F" w:rsidRPr="00D53A2B" w:rsidRDefault="0007690F" w:rsidP="00A202FD">
            <w:pPr>
              <w:widowControl w:val="0"/>
              <w:spacing w:after="240" w:line="276" w:lineRule="auto"/>
              <w:ind w:firstLine="1"/>
              <w:contextualSpacing/>
              <w:jc w:val="both"/>
            </w:pPr>
            <w:r w:rsidRPr="00D53A2B">
              <w:t>mg C/Nm³</w:t>
            </w:r>
          </w:p>
        </w:tc>
        <w:tc>
          <w:tcPr>
            <w:tcW w:w="5605" w:type="dxa"/>
            <w:tcBorders>
              <w:top w:val="nil"/>
              <w:left w:val="nil"/>
              <w:bottom w:val="single" w:sz="4" w:space="0" w:color="auto"/>
              <w:right w:val="single" w:sz="4" w:space="0" w:color="auto"/>
            </w:tcBorders>
            <w:shd w:val="clear" w:color="auto" w:fill="auto"/>
            <w:noWrap/>
            <w:vAlign w:val="bottom"/>
            <w:hideMark/>
          </w:tcPr>
          <w:p w14:paraId="05F8E8DF" w14:textId="77777777" w:rsidR="0007690F" w:rsidRPr="00D53A2B" w:rsidRDefault="0007690F" w:rsidP="00A202FD">
            <w:pPr>
              <w:widowControl w:val="0"/>
              <w:spacing w:after="240" w:line="276" w:lineRule="auto"/>
              <w:ind w:firstLine="1"/>
              <w:contextualSpacing/>
              <w:jc w:val="both"/>
            </w:pPr>
            <w:r w:rsidRPr="00D53A2B">
              <w:t xml:space="preserve">5 – 20 </w:t>
            </w:r>
          </w:p>
        </w:tc>
      </w:tr>
    </w:tbl>
    <w:p w14:paraId="5CA9367F" w14:textId="7946873B" w:rsidR="0007690F" w:rsidRDefault="0007690F" w:rsidP="00A202FD">
      <w:pPr>
        <w:widowControl w:val="0"/>
        <w:spacing w:after="240" w:line="276" w:lineRule="auto"/>
        <w:ind w:firstLine="1"/>
        <w:contextualSpacing/>
        <w:jc w:val="both"/>
      </w:pPr>
    </w:p>
    <w:p w14:paraId="21BEE496" w14:textId="3354159A" w:rsidR="008A41DE" w:rsidRDefault="008A41DE" w:rsidP="00A202FD">
      <w:pPr>
        <w:widowControl w:val="0"/>
        <w:spacing w:after="240" w:line="276" w:lineRule="auto"/>
        <w:ind w:firstLine="1"/>
        <w:contextualSpacing/>
        <w:jc w:val="both"/>
      </w:pPr>
    </w:p>
    <w:p w14:paraId="3BCD76E2" w14:textId="77777777" w:rsidR="008A41DE" w:rsidRPr="00D53A2B" w:rsidRDefault="008A41DE" w:rsidP="00A202FD">
      <w:pPr>
        <w:widowControl w:val="0"/>
        <w:spacing w:after="240" w:line="276" w:lineRule="auto"/>
        <w:ind w:firstLine="1"/>
        <w:contextualSpacing/>
        <w:jc w:val="both"/>
      </w:pPr>
    </w:p>
    <w:p w14:paraId="629C9D32" w14:textId="1F38EA4A" w:rsidR="0007690F" w:rsidRPr="00D53A2B" w:rsidRDefault="0007690F" w:rsidP="00A202FD">
      <w:pPr>
        <w:widowControl w:val="0"/>
        <w:spacing w:after="240" w:line="276" w:lineRule="auto"/>
        <w:ind w:firstLine="1"/>
        <w:contextualSpacing/>
        <w:jc w:val="both"/>
        <w:rPr>
          <w:b/>
          <w:bCs/>
        </w:rPr>
      </w:pPr>
      <w:r w:rsidRPr="00D53A2B">
        <w:rPr>
          <w:b/>
          <w:bCs/>
        </w:rPr>
        <w:t>Kum Geri Kazanımından Havaya Salınan NOX ve SO2 İçin MET ile İlişkili Emisyon Seviyeleri (</w:t>
      </w:r>
      <w:r w:rsidR="00831B53" w:rsidRPr="00D53A2B">
        <w:rPr>
          <w:b/>
          <w:bCs/>
        </w:rPr>
        <w:t>MET-İES</w:t>
      </w:r>
      <w:r w:rsidRPr="00D53A2B">
        <w:rPr>
          <w:b/>
          <w:bCs/>
        </w:rPr>
        <w:t>)</w:t>
      </w:r>
    </w:p>
    <w:tbl>
      <w:tblPr>
        <w:tblW w:w="9062" w:type="dxa"/>
        <w:tblCellMar>
          <w:left w:w="70" w:type="dxa"/>
          <w:right w:w="70" w:type="dxa"/>
        </w:tblCellMar>
        <w:tblLook w:val="04A0" w:firstRow="1" w:lastRow="0" w:firstColumn="1" w:lastColumn="0" w:noHBand="0" w:noVBand="1"/>
      </w:tblPr>
      <w:tblGrid>
        <w:gridCol w:w="2122"/>
        <w:gridCol w:w="2727"/>
        <w:gridCol w:w="1256"/>
        <w:gridCol w:w="2957"/>
      </w:tblGrid>
      <w:tr w:rsidR="0007690F" w:rsidRPr="00D53A2B" w14:paraId="57EFF4F6" w14:textId="77777777" w:rsidTr="00A202FD">
        <w:trPr>
          <w:trHeight w:val="320"/>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47790E" w14:textId="77777777" w:rsidR="0007690F" w:rsidRPr="00D53A2B" w:rsidRDefault="0007690F" w:rsidP="00A202FD">
            <w:pPr>
              <w:widowControl w:val="0"/>
              <w:spacing w:after="240" w:line="276" w:lineRule="auto"/>
              <w:ind w:firstLine="1"/>
              <w:contextualSpacing/>
              <w:jc w:val="both"/>
              <w:rPr>
                <w:b/>
                <w:bCs/>
              </w:rPr>
            </w:pPr>
            <w:r w:rsidRPr="00D53A2B">
              <w:rPr>
                <w:b/>
                <w:bCs/>
              </w:rPr>
              <w:t>Madde/Parametre</w:t>
            </w:r>
          </w:p>
        </w:tc>
        <w:tc>
          <w:tcPr>
            <w:tcW w:w="2727" w:type="dxa"/>
            <w:tcBorders>
              <w:top w:val="single" w:sz="4" w:space="0" w:color="auto"/>
              <w:left w:val="nil"/>
              <w:bottom w:val="single" w:sz="4" w:space="0" w:color="auto"/>
              <w:right w:val="single" w:sz="4" w:space="0" w:color="auto"/>
            </w:tcBorders>
            <w:shd w:val="clear" w:color="auto" w:fill="auto"/>
            <w:noWrap/>
            <w:vAlign w:val="bottom"/>
            <w:hideMark/>
          </w:tcPr>
          <w:p w14:paraId="29FBEB86" w14:textId="77777777" w:rsidR="0007690F" w:rsidRPr="00D53A2B" w:rsidRDefault="0007690F" w:rsidP="00A202FD">
            <w:pPr>
              <w:widowControl w:val="0"/>
              <w:spacing w:after="240" w:line="276" w:lineRule="auto"/>
              <w:ind w:firstLine="1"/>
              <w:contextualSpacing/>
              <w:jc w:val="both"/>
              <w:rPr>
                <w:b/>
                <w:bCs/>
              </w:rPr>
            </w:pPr>
            <w:r w:rsidRPr="00D53A2B">
              <w:rPr>
                <w:b/>
                <w:bCs/>
              </w:rPr>
              <w:t>Proses</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40873A90"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2957" w:type="dxa"/>
            <w:tcBorders>
              <w:top w:val="single" w:sz="4" w:space="0" w:color="auto"/>
              <w:left w:val="nil"/>
              <w:bottom w:val="single" w:sz="4" w:space="0" w:color="auto"/>
              <w:right w:val="single" w:sz="4" w:space="0" w:color="auto"/>
            </w:tcBorders>
            <w:shd w:val="clear" w:color="auto" w:fill="auto"/>
            <w:noWrap/>
            <w:vAlign w:val="bottom"/>
            <w:hideMark/>
          </w:tcPr>
          <w:p w14:paraId="1EDE79B6" w14:textId="1C8B104C" w:rsidR="0007690F" w:rsidRPr="00D53A2B" w:rsidRDefault="00831B53" w:rsidP="00A202FD">
            <w:pPr>
              <w:widowControl w:val="0"/>
              <w:spacing w:after="240" w:line="276" w:lineRule="auto"/>
              <w:ind w:firstLine="1"/>
              <w:contextualSpacing/>
              <w:jc w:val="both"/>
              <w:rPr>
                <w:b/>
                <w:bCs/>
              </w:rPr>
            </w:pPr>
            <w:r w:rsidRPr="00D53A2B">
              <w:rPr>
                <w:b/>
                <w:bCs/>
              </w:rPr>
              <w:t>MET-İES</w:t>
            </w:r>
            <w:r w:rsidR="0007690F" w:rsidRPr="00D53A2B">
              <w:rPr>
                <w:b/>
                <w:bCs/>
              </w:rPr>
              <w:t xml:space="preserve"> (Günlük ortalama veya örnekleme dönemi ortalaması)</w:t>
            </w:r>
          </w:p>
        </w:tc>
      </w:tr>
      <w:tr w:rsidR="0007690F" w:rsidRPr="00D53A2B" w14:paraId="46F7AEC5" w14:textId="77777777" w:rsidTr="00A202FD">
        <w:trPr>
          <w:trHeight w:val="32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B9563E6" w14:textId="77777777" w:rsidR="0007690F" w:rsidRPr="00D53A2B" w:rsidRDefault="0007690F" w:rsidP="00A202FD">
            <w:pPr>
              <w:widowControl w:val="0"/>
              <w:spacing w:after="240" w:line="276" w:lineRule="auto"/>
              <w:ind w:firstLine="1"/>
              <w:contextualSpacing/>
              <w:jc w:val="both"/>
            </w:pPr>
            <w:r w:rsidRPr="00D53A2B">
              <w:t>NO</w:t>
            </w:r>
            <w:r w:rsidRPr="00D53A2B">
              <w:rPr>
                <w:vertAlign w:val="subscript"/>
              </w:rPr>
              <w:t>x</w:t>
            </w:r>
          </w:p>
        </w:tc>
        <w:tc>
          <w:tcPr>
            <w:tcW w:w="2727" w:type="dxa"/>
            <w:tcBorders>
              <w:top w:val="nil"/>
              <w:left w:val="nil"/>
              <w:bottom w:val="single" w:sz="4" w:space="0" w:color="auto"/>
              <w:right w:val="single" w:sz="4" w:space="0" w:color="auto"/>
            </w:tcBorders>
            <w:shd w:val="clear" w:color="auto" w:fill="auto"/>
            <w:noWrap/>
            <w:vAlign w:val="bottom"/>
            <w:hideMark/>
          </w:tcPr>
          <w:p w14:paraId="1D2642ED" w14:textId="77777777" w:rsidR="0007690F" w:rsidRPr="00D53A2B" w:rsidRDefault="0007690F" w:rsidP="00A202FD">
            <w:pPr>
              <w:widowControl w:val="0"/>
              <w:spacing w:after="240" w:line="276" w:lineRule="auto"/>
              <w:ind w:firstLine="1"/>
              <w:contextualSpacing/>
              <w:jc w:val="both"/>
            </w:pPr>
            <w:r w:rsidRPr="00D53A2B">
              <w:t>Soğuk kutu prosesi kaynaklı kumun termal geri kazanımı</w:t>
            </w:r>
          </w:p>
        </w:tc>
        <w:tc>
          <w:tcPr>
            <w:tcW w:w="1256" w:type="dxa"/>
            <w:tcBorders>
              <w:top w:val="nil"/>
              <w:left w:val="nil"/>
              <w:bottom w:val="single" w:sz="4" w:space="0" w:color="auto"/>
              <w:right w:val="single" w:sz="4" w:space="0" w:color="auto"/>
            </w:tcBorders>
            <w:shd w:val="clear" w:color="auto" w:fill="auto"/>
            <w:noWrap/>
            <w:vAlign w:val="bottom"/>
            <w:hideMark/>
          </w:tcPr>
          <w:p w14:paraId="5FE245CD" w14:textId="77777777" w:rsidR="0007690F" w:rsidRPr="00D53A2B" w:rsidRDefault="0007690F" w:rsidP="00A202FD">
            <w:pPr>
              <w:widowControl w:val="0"/>
              <w:spacing w:after="240" w:line="276" w:lineRule="auto"/>
              <w:ind w:firstLine="1"/>
              <w:contextualSpacing/>
              <w:jc w:val="both"/>
            </w:pPr>
            <w:r w:rsidRPr="00D53A2B">
              <w:t>mg/Nm³</w:t>
            </w:r>
          </w:p>
        </w:tc>
        <w:tc>
          <w:tcPr>
            <w:tcW w:w="2957" w:type="dxa"/>
            <w:tcBorders>
              <w:top w:val="nil"/>
              <w:left w:val="nil"/>
              <w:bottom w:val="single" w:sz="4" w:space="0" w:color="auto"/>
              <w:right w:val="single" w:sz="4" w:space="0" w:color="auto"/>
            </w:tcBorders>
            <w:shd w:val="clear" w:color="auto" w:fill="auto"/>
            <w:noWrap/>
            <w:vAlign w:val="bottom"/>
            <w:hideMark/>
          </w:tcPr>
          <w:p w14:paraId="069CC329" w14:textId="77777777" w:rsidR="0007690F" w:rsidRPr="00D53A2B" w:rsidRDefault="0007690F" w:rsidP="00A202FD">
            <w:pPr>
              <w:widowControl w:val="0"/>
              <w:spacing w:after="240" w:line="276" w:lineRule="auto"/>
              <w:ind w:firstLine="1"/>
              <w:contextualSpacing/>
              <w:jc w:val="both"/>
            </w:pPr>
            <w:r w:rsidRPr="00D53A2B">
              <w:t>50 – 140</w:t>
            </w:r>
          </w:p>
        </w:tc>
      </w:tr>
      <w:tr w:rsidR="0007690F" w:rsidRPr="00D53A2B" w14:paraId="03D2FCB5" w14:textId="77777777" w:rsidTr="00A202FD">
        <w:trPr>
          <w:trHeight w:val="32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6F8A238" w14:textId="77777777" w:rsidR="0007690F" w:rsidRPr="00D53A2B" w:rsidRDefault="0007690F" w:rsidP="00A202FD">
            <w:pPr>
              <w:widowControl w:val="0"/>
              <w:spacing w:after="240" w:line="276" w:lineRule="auto"/>
              <w:ind w:firstLine="1"/>
              <w:contextualSpacing/>
              <w:jc w:val="both"/>
            </w:pPr>
            <w:r w:rsidRPr="00D53A2B">
              <w:t>SO</w:t>
            </w:r>
            <w:r w:rsidRPr="00D53A2B">
              <w:rPr>
                <w:vertAlign w:val="subscript"/>
              </w:rPr>
              <w:t>2</w:t>
            </w:r>
          </w:p>
        </w:tc>
        <w:tc>
          <w:tcPr>
            <w:tcW w:w="2727" w:type="dxa"/>
            <w:tcBorders>
              <w:top w:val="nil"/>
              <w:left w:val="nil"/>
              <w:bottom w:val="single" w:sz="4" w:space="0" w:color="auto"/>
              <w:right w:val="single" w:sz="4" w:space="0" w:color="auto"/>
            </w:tcBorders>
            <w:shd w:val="clear" w:color="auto" w:fill="auto"/>
            <w:noWrap/>
            <w:vAlign w:val="bottom"/>
            <w:hideMark/>
          </w:tcPr>
          <w:p w14:paraId="2B741257" w14:textId="77777777" w:rsidR="0007690F" w:rsidRPr="00D53A2B" w:rsidRDefault="0007690F" w:rsidP="00A202FD">
            <w:pPr>
              <w:widowControl w:val="0"/>
              <w:spacing w:after="240" w:line="276" w:lineRule="auto"/>
              <w:ind w:firstLine="1"/>
              <w:contextualSpacing/>
              <w:jc w:val="both"/>
            </w:pPr>
            <w:r w:rsidRPr="00D53A2B">
              <w:t>Sülfonik asit katalizörlerinin kullanıldığı kumun termal geri kazanımı</w:t>
            </w:r>
          </w:p>
        </w:tc>
        <w:tc>
          <w:tcPr>
            <w:tcW w:w="1256" w:type="dxa"/>
            <w:tcBorders>
              <w:top w:val="nil"/>
              <w:left w:val="nil"/>
              <w:bottom w:val="single" w:sz="4" w:space="0" w:color="auto"/>
              <w:right w:val="single" w:sz="4" w:space="0" w:color="auto"/>
            </w:tcBorders>
            <w:shd w:val="clear" w:color="auto" w:fill="auto"/>
            <w:noWrap/>
            <w:vAlign w:val="bottom"/>
            <w:hideMark/>
          </w:tcPr>
          <w:p w14:paraId="1EF05ED6" w14:textId="77777777" w:rsidR="0007690F" w:rsidRPr="00D53A2B" w:rsidRDefault="0007690F" w:rsidP="00A202FD">
            <w:pPr>
              <w:widowControl w:val="0"/>
              <w:spacing w:after="240" w:line="276" w:lineRule="auto"/>
              <w:ind w:firstLine="1"/>
              <w:contextualSpacing/>
              <w:jc w:val="both"/>
            </w:pPr>
            <w:r w:rsidRPr="00D53A2B">
              <w:t>mg/Nm³</w:t>
            </w:r>
          </w:p>
        </w:tc>
        <w:tc>
          <w:tcPr>
            <w:tcW w:w="2957" w:type="dxa"/>
            <w:tcBorders>
              <w:top w:val="nil"/>
              <w:left w:val="nil"/>
              <w:bottom w:val="single" w:sz="4" w:space="0" w:color="auto"/>
              <w:right w:val="single" w:sz="4" w:space="0" w:color="auto"/>
            </w:tcBorders>
            <w:shd w:val="clear" w:color="auto" w:fill="auto"/>
            <w:noWrap/>
            <w:vAlign w:val="bottom"/>
            <w:hideMark/>
          </w:tcPr>
          <w:p w14:paraId="0672F94F" w14:textId="77777777" w:rsidR="0007690F" w:rsidRPr="00D53A2B" w:rsidRDefault="0007690F" w:rsidP="00A202FD">
            <w:pPr>
              <w:widowControl w:val="0"/>
              <w:spacing w:after="240" w:line="276" w:lineRule="auto"/>
              <w:ind w:firstLine="1"/>
              <w:contextualSpacing/>
              <w:jc w:val="both"/>
            </w:pPr>
            <w:r w:rsidRPr="00D53A2B">
              <w:t>10 – 100</w:t>
            </w:r>
          </w:p>
        </w:tc>
      </w:tr>
    </w:tbl>
    <w:p w14:paraId="50355749" w14:textId="77777777" w:rsidR="0007690F" w:rsidRPr="00D53A2B" w:rsidRDefault="0007690F" w:rsidP="00A202FD">
      <w:pPr>
        <w:widowControl w:val="0"/>
        <w:spacing w:after="240" w:line="276" w:lineRule="auto"/>
        <w:ind w:firstLine="1"/>
        <w:contextualSpacing/>
        <w:jc w:val="both"/>
        <w:rPr>
          <w:b/>
          <w:bCs/>
        </w:rPr>
      </w:pPr>
    </w:p>
    <w:p w14:paraId="296279D1" w14:textId="77777777" w:rsidR="0007690F" w:rsidRPr="00D53A2B" w:rsidRDefault="0007690F" w:rsidP="00A202FD">
      <w:pPr>
        <w:widowControl w:val="0"/>
        <w:spacing w:after="240" w:line="276" w:lineRule="auto"/>
        <w:ind w:firstLine="1"/>
        <w:contextualSpacing/>
        <w:jc w:val="both"/>
        <w:rPr>
          <w:b/>
          <w:bCs/>
        </w:rPr>
      </w:pPr>
      <w:r w:rsidRPr="00D53A2B">
        <w:rPr>
          <w:b/>
          <w:bCs/>
        </w:rPr>
        <w:t>İlgili izleme, MET 12'de belirtilmiştir.</w:t>
      </w:r>
    </w:p>
    <w:p w14:paraId="41E808CA" w14:textId="77777777" w:rsidR="0007690F" w:rsidRPr="00D53A2B" w:rsidRDefault="0007690F" w:rsidP="00A202FD">
      <w:pPr>
        <w:pStyle w:val="Balk4"/>
        <w:rPr>
          <w:rFonts w:cs="Times New Roman"/>
        </w:rPr>
      </w:pPr>
      <w:r w:rsidRPr="00D53A2B">
        <w:rPr>
          <w:rFonts w:cs="Times New Roman"/>
        </w:rPr>
        <w:t>1.2.1.14. Koku</w:t>
      </w:r>
    </w:p>
    <w:p w14:paraId="7DA5FA41" w14:textId="77777777" w:rsidR="0007690F" w:rsidRPr="00D53A2B" w:rsidRDefault="0007690F" w:rsidP="00A202FD">
      <w:pPr>
        <w:widowControl w:val="0"/>
        <w:spacing w:after="240" w:line="276" w:lineRule="auto"/>
        <w:ind w:firstLine="1"/>
        <w:contextualSpacing/>
        <w:jc w:val="both"/>
        <w:rPr>
          <w:b/>
          <w:bCs/>
        </w:rPr>
      </w:pPr>
      <w:r w:rsidRPr="00D53A2B">
        <w:rPr>
          <w:b/>
          <w:bCs/>
        </w:rPr>
        <w:t>MET 32. Koku emisyonlarını engellemek veya bu mümkün değilse, koku emisyonlarını azaltmak amacıyla, MET, aşağıdaki tüm öğeleri içeren bir koku yönetim planı oluşturmayı, uygulamayı ve düzenli olarak gözden geçirmeyi önerir. Bu plan, çevresel yönetim sisteminin (bkz. MET 1) bir parçası olmalıdır:</w:t>
      </w:r>
    </w:p>
    <w:p w14:paraId="637E9DC0" w14:textId="77777777" w:rsidR="0007690F" w:rsidRPr="00D53A2B" w:rsidRDefault="0007690F" w:rsidP="00602365">
      <w:pPr>
        <w:widowControl w:val="0"/>
        <w:numPr>
          <w:ilvl w:val="0"/>
          <w:numId w:val="255"/>
        </w:numPr>
        <w:spacing w:after="240" w:line="276" w:lineRule="auto"/>
        <w:contextualSpacing/>
        <w:jc w:val="both"/>
      </w:pPr>
      <w:r w:rsidRPr="00D53A2B">
        <w:t>Uygun eylemler ve zaman çizelgeleri içeren bir protokol.</w:t>
      </w:r>
    </w:p>
    <w:p w14:paraId="0B76BE9F" w14:textId="77777777" w:rsidR="0007690F" w:rsidRPr="00D53A2B" w:rsidRDefault="0007690F" w:rsidP="00602365">
      <w:pPr>
        <w:widowControl w:val="0"/>
        <w:numPr>
          <w:ilvl w:val="0"/>
          <w:numId w:val="255"/>
        </w:numPr>
        <w:spacing w:after="240" w:line="276" w:lineRule="auto"/>
        <w:contextualSpacing/>
        <w:jc w:val="both"/>
      </w:pPr>
      <w:r w:rsidRPr="00D53A2B">
        <w:t>MET 33'te belirtilen koku izleme protokolü. Bu protokol, koku maruziyeti ölçümü/hesaplanması veya koku etkisinin tahmin edilmesiyle tamamlanabilir.</w:t>
      </w:r>
    </w:p>
    <w:p w14:paraId="657B9481" w14:textId="77777777" w:rsidR="0007690F" w:rsidRPr="00D53A2B" w:rsidRDefault="0007690F" w:rsidP="00602365">
      <w:pPr>
        <w:widowControl w:val="0"/>
        <w:numPr>
          <w:ilvl w:val="0"/>
          <w:numId w:val="255"/>
        </w:numPr>
        <w:spacing w:after="240" w:line="276" w:lineRule="auto"/>
        <w:contextualSpacing/>
        <w:jc w:val="both"/>
      </w:pPr>
      <w:r w:rsidRPr="00D53A2B">
        <w:t>Belirlenen koku olaylarına yanıt vermek için bir protokol, örneğin şikayetleri yönetme ve/veya düzeltici önlemler alma.</w:t>
      </w:r>
    </w:p>
    <w:p w14:paraId="50FD0249" w14:textId="77777777" w:rsidR="0007690F" w:rsidRPr="00D53A2B" w:rsidRDefault="0007690F" w:rsidP="00602365">
      <w:pPr>
        <w:widowControl w:val="0"/>
        <w:numPr>
          <w:ilvl w:val="0"/>
          <w:numId w:val="255"/>
        </w:numPr>
        <w:spacing w:after="240" w:line="276" w:lineRule="auto"/>
        <w:contextualSpacing/>
        <w:jc w:val="both"/>
      </w:pPr>
      <w:r w:rsidRPr="00D53A2B">
        <w:t>Kaynağı belirlemek, koku maruziyetini ölçmek/tahmin etmek, kaynakların katkılarını karakterize etmek ve önleme ve/veya azaltma önlemleri uygulamak için tasarlanmış bir koku önleme ve azaltma programı.</w:t>
      </w:r>
    </w:p>
    <w:p w14:paraId="154D9A2A" w14:textId="77777777" w:rsidR="0007690F" w:rsidRPr="00D53A2B" w:rsidRDefault="0007690F" w:rsidP="00A202FD">
      <w:pPr>
        <w:widowControl w:val="0"/>
        <w:spacing w:after="240" w:line="276" w:lineRule="auto"/>
        <w:ind w:firstLine="1"/>
        <w:contextualSpacing/>
        <w:jc w:val="both"/>
      </w:pPr>
      <w:r w:rsidRPr="00D53A2B">
        <w:t>Uygulama</w:t>
      </w:r>
    </w:p>
    <w:p w14:paraId="5D200975" w14:textId="77777777" w:rsidR="0007690F" w:rsidRPr="00D53A2B" w:rsidRDefault="0007690F" w:rsidP="00A202FD">
      <w:pPr>
        <w:widowControl w:val="0"/>
        <w:spacing w:after="240" w:line="276" w:lineRule="auto"/>
        <w:ind w:firstLine="1"/>
        <w:contextualSpacing/>
        <w:jc w:val="both"/>
      </w:pPr>
      <w:r w:rsidRPr="00D53A2B">
        <w:t>Uygulama, hassas alıcılarda koku rahatsızlığının beklenmesi ve/veya kanıtlanması durumlarıyla sınırlıdır.</w:t>
      </w:r>
    </w:p>
    <w:p w14:paraId="3117C34B" w14:textId="77777777" w:rsidR="0007690F" w:rsidRPr="00D53A2B" w:rsidRDefault="0007690F" w:rsidP="00A202FD">
      <w:pPr>
        <w:widowControl w:val="0"/>
        <w:spacing w:after="240" w:line="276" w:lineRule="auto"/>
        <w:ind w:firstLine="1"/>
        <w:contextualSpacing/>
        <w:jc w:val="both"/>
        <w:rPr>
          <w:b/>
          <w:bCs/>
        </w:rPr>
      </w:pPr>
      <w:r w:rsidRPr="00D53A2B">
        <w:rPr>
          <w:b/>
          <w:bCs/>
        </w:rPr>
        <w:t>MET 33. MET, periyodik olarak koku izleme yapmayı önerir.</w:t>
      </w:r>
    </w:p>
    <w:p w14:paraId="77ABDC66"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p w14:paraId="17333230" w14:textId="77777777" w:rsidR="0007690F" w:rsidRPr="00D53A2B" w:rsidRDefault="0007690F" w:rsidP="00A202FD">
      <w:pPr>
        <w:widowControl w:val="0"/>
        <w:spacing w:after="240" w:line="276" w:lineRule="auto"/>
        <w:ind w:firstLine="1"/>
        <w:contextualSpacing/>
        <w:jc w:val="both"/>
      </w:pPr>
      <w:r w:rsidRPr="00D53A2B">
        <w:t>Koku, aşağıdaki yöntemlerle izlenebilir:</w:t>
      </w:r>
    </w:p>
    <w:p w14:paraId="22191C1A" w14:textId="77777777" w:rsidR="0007690F" w:rsidRPr="00D53A2B" w:rsidRDefault="0007690F" w:rsidP="00602365">
      <w:pPr>
        <w:widowControl w:val="0"/>
        <w:numPr>
          <w:ilvl w:val="0"/>
          <w:numId w:val="256"/>
        </w:numPr>
        <w:spacing w:after="240" w:line="276" w:lineRule="auto"/>
        <w:contextualSpacing/>
        <w:jc w:val="both"/>
      </w:pPr>
      <w:r w:rsidRPr="00D53A2B">
        <w:t>EN standartları (örneğin, koku yoğunluğunu belirlemek için EN 13725'e göre dinamik olfaktometri ve/veya koku maruziyetini belirlemek için EN 16841-1 veya -2).</w:t>
      </w:r>
    </w:p>
    <w:p w14:paraId="3857E1EB" w14:textId="77777777" w:rsidR="0007690F" w:rsidRPr="00D53A2B" w:rsidRDefault="0007690F" w:rsidP="00602365">
      <w:pPr>
        <w:widowControl w:val="0"/>
        <w:numPr>
          <w:ilvl w:val="0"/>
          <w:numId w:val="256"/>
        </w:numPr>
        <w:spacing w:after="240" w:line="276" w:lineRule="auto"/>
        <w:contextualSpacing/>
        <w:jc w:val="both"/>
      </w:pPr>
      <w:r w:rsidRPr="00D53A2B">
        <w:t>Alternatif yöntemler (örneğin, koku etkisinin tahmin edilmesi), bu durumda ISO, ulusal veya diğer uluslararası standartlar, eşdeğer bilimsel kalitede veri sağlanmasını garanti edecek şekilde kullanılabilir.</w:t>
      </w:r>
    </w:p>
    <w:p w14:paraId="1E82D15C" w14:textId="77777777" w:rsidR="0007690F" w:rsidRPr="00D53A2B" w:rsidRDefault="0007690F" w:rsidP="00A202FD">
      <w:pPr>
        <w:widowControl w:val="0"/>
        <w:spacing w:after="240" w:line="276" w:lineRule="auto"/>
        <w:ind w:firstLine="1"/>
        <w:contextualSpacing/>
        <w:jc w:val="both"/>
      </w:pPr>
      <w:r w:rsidRPr="00D53A2B">
        <w:t>İzleme sıklığı, koku yönetim planında belirlenir (bkz. MET 32).</w:t>
      </w:r>
    </w:p>
    <w:p w14:paraId="1BA679DC" w14:textId="77777777" w:rsidR="0007690F" w:rsidRPr="00D53A2B" w:rsidRDefault="0007690F" w:rsidP="00A202FD">
      <w:pPr>
        <w:widowControl w:val="0"/>
        <w:spacing w:after="240" w:line="276" w:lineRule="auto"/>
        <w:ind w:firstLine="1"/>
        <w:contextualSpacing/>
        <w:jc w:val="both"/>
        <w:rPr>
          <w:b/>
          <w:bCs/>
        </w:rPr>
      </w:pPr>
      <w:r w:rsidRPr="00D53A2B">
        <w:rPr>
          <w:b/>
          <w:bCs/>
        </w:rPr>
        <w:t>Uygulama</w:t>
      </w:r>
    </w:p>
    <w:p w14:paraId="5C9DB2AE" w14:textId="77777777" w:rsidR="0007690F" w:rsidRPr="00D53A2B" w:rsidRDefault="0007690F" w:rsidP="00A202FD">
      <w:pPr>
        <w:widowControl w:val="0"/>
        <w:spacing w:after="240" w:line="276" w:lineRule="auto"/>
        <w:ind w:firstLine="1"/>
        <w:contextualSpacing/>
        <w:jc w:val="both"/>
      </w:pPr>
      <w:r w:rsidRPr="00D53A2B">
        <w:t>Uygulama, hassas alıcılarda koku rahatsızlığının beklenmesi ve/veya kanıtlanması durumlarıyla sınırlıdır.</w:t>
      </w:r>
    </w:p>
    <w:p w14:paraId="28DC9B2C" w14:textId="77777777" w:rsidR="0007690F" w:rsidRPr="00D53A2B" w:rsidRDefault="0007690F" w:rsidP="00A202FD">
      <w:pPr>
        <w:widowControl w:val="0"/>
        <w:spacing w:after="240" w:line="276" w:lineRule="auto"/>
        <w:ind w:firstLine="1"/>
        <w:contextualSpacing/>
        <w:jc w:val="both"/>
        <w:rPr>
          <w:b/>
          <w:bCs/>
        </w:rPr>
      </w:pPr>
      <w:r w:rsidRPr="00D53A2B">
        <w:rPr>
          <w:b/>
          <w:bCs/>
        </w:rPr>
        <w:t>MET 34.</w:t>
      </w:r>
      <w:r w:rsidRPr="00D53A2B">
        <w:t> </w:t>
      </w:r>
      <w:r w:rsidRPr="00D53A2B">
        <w:rPr>
          <w:b/>
          <w:bCs/>
        </w:rPr>
        <w:t>Koku emisyonlarını engellemek veya bu mümkün değilse, koku emisyonlarını azaltmak amacıyla, MET, aşağıda verilen tüm tekniklerin kullanılmasını önerir.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57"/>
        <w:gridCol w:w="3532"/>
        <w:gridCol w:w="3583"/>
      </w:tblGrid>
      <w:tr w:rsidR="0007690F" w:rsidRPr="00D53A2B" w14:paraId="49E020AE" w14:textId="77777777" w:rsidTr="00A202FD">
        <w:trPr>
          <w:trHeight w:val="320"/>
        </w:trPr>
        <w:tc>
          <w:tcPr>
            <w:tcW w:w="1957" w:type="dxa"/>
            <w:shd w:val="clear" w:color="auto" w:fill="auto"/>
            <w:noWrap/>
            <w:vAlign w:val="bottom"/>
            <w:hideMark/>
          </w:tcPr>
          <w:p w14:paraId="3239B848"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3532" w:type="dxa"/>
            <w:shd w:val="clear" w:color="auto" w:fill="auto"/>
            <w:noWrap/>
            <w:vAlign w:val="bottom"/>
            <w:hideMark/>
          </w:tcPr>
          <w:p w14:paraId="6B5F7F11"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3583" w:type="dxa"/>
            <w:shd w:val="clear" w:color="auto" w:fill="auto"/>
            <w:noWrap/>
            <w:vAlign w:val="bottom"/>
            <w:hideMark/>
          </w:tcPr>
          <w:p w14:paraId="499A9202" w14:textId="77777777" w:rsidR="0007690F" w:rsidRPr="00D53A2B" w:rsidRDefault="0007690F" w:rsidP="00A202FD">
            <w:pPr>
              <w:widowControl w:val="0"/>
              <w:spacing w:after="240" w:line="276" w:lineRule="auto"/>
              <w:ind w:firstLine="1"/>
              <w:contextualSpacing/>
              <w:jc w:val="both"/>
              <w:rPr>
                <w:b/>
                <w:bCs/>
              </w:rPr>
            </w:pPr>
            <w:r w:rsidRPr="00D53A2B">
              <w:rPr>
                <w:b/>
                <w:bCs/>
              </w:rPr>
              <w:t>Uygulama</w:t>
            </w:r>
          </w:p>
        </w:tc>
      </w:tr>
      <w:tr w:rsidR="0007690F" w:rsidRPr="00D53A2B" w14:paraId="4471FF14" w14:textId="77777777" w:rsidTr="00A202FD">
        <w:trPr>
          <w:trHeight w:val="2344"/>
        </w:trPr>
        <w:tc>
          <w:tcPr>
            <w:tcW w:w="1957" w:type="dxa"/>
            <w:shd w:val="clear" w:color="auto" w:fill="auto"/>
            <w:noWrap/>
            <w:vAlign w:val="bottom"/>
            <w:hideMark/>
          </w:tcPr>
          <w:p w14:paraId="365297C4" w14:textId="77777777" w:rsidR="0007690F" w:rsidRPr="00D53A2B" w:rsidRDefault="0007690F" w:rsidP="00A202FD">
            <w:pPr>
              <w:widowControl w:val="0"/>
              <w:spacing w:after="240" w:line="276" w:lineRule="auto"/>
              <w:ind w:firstLine="1"/>
              <w:contextualSpacing/>
              <w:jc w:val="both"/>
              <w:rPr>
                <w:b/>
                <w:bCs/>
              </w:rPr>
            </w:pPr>
            <w:r w:rsidRPr="00D53A2B">
              <w:rPr>
                <w:b/>
                <w:bCs/>
              </w:rPr>
              <w:t>a. Alkol bazlı veya aromatik çözücüler içeren kimyasalların yerine geçiş</w:t>
            </w:r>
          </w:p>
        </w:tc>
        <w:tc>
          <w:tcPr>
            <w:tcW w:w="3532" w:type="dxa"/>
            <w:shd w:val="clear" w:color="auto" w:fill="auto"/>
            <w:noWrap/>
            <w:vAlign w:val="bottom"/>
            <w:hideMark/>
          </w:tcPr>
          <w:p w14:paraId="19950AE7" w14:textId="77777777" w:rsidR="0007690F" w:rsidRPr="00D53A2B" w:rsidRDefault="0007690F" w:rsidP="00A202FD">
            <w:pPr>
              <w:widowControl w:val="0"/>
              <w:spacing w:after="240" w:line="276" w:lineRule="auto"/>
              <w:ind w:firstLine="1"/>
              <w:contextualSpacing/>
              <w:jc w:val="both"/>
            </w:pPr>
            <w:r w:rsidRPr="00D53A2B">
              <w:t>- Su bazlı kaplamaların kullanımı (bkz. MET 25 (l)) </w:t>
            </w:r>
          </w:p>
          <w:p w14:paraId="05D00B73" w14:textId="77777777" w:rsidR="0007690F" w:rsidRPr="00D53A2B" w:rsidRDefault="0007690F" w:rsidP="00A202FD">
            <w:pPr>
              <w:widowControl w:val="0"/>
              <w:spacing w:after="240" w:line="276" w:lineRule="auto"/>
              <w:ind w:firstLine="1"/>
              <w:contextualSpacing/>
              <w:jc w:val="both"/>
            </w:pPr>
            <w:r w:rsidRPr="00D53A2B">
              <w:t>- Soğuk kutu çekirdek yapımında alternatif çözücülerin kullanımı (bkz. MET 25 (h))</w:t>
            </w:r>
          </w:p>
        </w:tc>
        <w:tc>
          <w:tcPr>
            <w:tcW w:w="3583" w:type="dxa"/>
            <w:shd w:val="clear" w:color="auto" w:fill="auto"/>
            <w:noWrap/>
            <w:vAlign w:val="bottom"/>
            <w:hideMark/>
          </w:tcPr>
          <w:p w14:paraId="1953F1DA" w14:textId="77777777" w:rsidR="0007690F" w:rsidRPr="00D53A2B" w:rsidRDefault="0007690F" w:rsidP="00A202FD">
            <w:pPr>
              <w:widowControl w:val="0"/>
              <w:spacing w:after="240" w:line="276" w:lineRule="auto"/>
              <w:ind w:firstLine="1"/>
              <w:contextualSpacing/>
              <w:jc w:val="both"/>
            </w:pPr>
            <w:r w:rsidRPr="00D53A2B">
              <w:t>Su bazlı kaplamaların uygulanabilirliği, hammaddelerin türüne veya ürün spesifikasyonlarına bağlı olarak sınırlı olabilir (örneğin, büyük kalıplar/çekirdekler, su camı bağlı kumlar, Mg döküm parçaları, MgO kaplamalı manganez çeliği üretimi).</w:t>
            </w:r>
          </w:p>
        </w:tc>
      </w:tr>
      <w:tr w:rsidR="0007690F" w:rsidRPr="00D53A2B" w14:paraId="7761CEC3" w14:textId="77777777" w:rsidTr="00A202FD">
        <w:trPr>
          <w:trHeight w:val="320"/>
        </w:trPr>
        <w:tc>
          <w:tcPr>
            <w:tcW w:w="1957" w:type="dxa"/>
            <w:shd w:val="clear" w:color="auto" w:fill="auto"/>
            <w:noWrap/>
            <w:vAlign w:val="bottom"/>
            <w:hideMark/>
          </w:tcPr>
          <w:p w14:paraId="645375A9" w14:textId="77777777" w:rsidR="0007690F" w:rsidRPr="00D53A2B" w:rsidRDefault="0007690F" w:rsidP="00A202FD">
            <w:pPr>
              <w:widowControl w:val="0"/>
              <w:spacing w:after="240" w:line="276" w:lineRule="auto"/>
              <w:ind w:firstLine="1"/>
              <w:contextualSpacing/>
              <w:jc w:val="both"/>
              <w:rPr>
                <w:b/>
                <w:bCs/>
              </w:rPr>
            </w:pPr>
            <w:r w:rsidRPr="00D53A2B">
              <w:rPr>
                <w:b/>
                <w:bCs/>
              </w:rPr>
              <w:t>b. Soğuk kutu çekirdek yapım sürecinden amine emisyonlarının toplanması ve işlenmesi</w:t>
            </w:r>
          </w:p>
        </w:tc>
        <w:tc>
          <w:tcPr>
            <w:tcW w:w="3532" w:type="dxa"/>
            <w:shd w:val="clear" w:color="auto" w:fill="auto"/>
            <w:noWrap/>
            <w:vAlign w:val="bottom"/>
            <w:hideMark/>
          </w:tcPr>
          <w:p w14:paraId="70D5B49A" w14:textId="77777777" w:rsidR="0007690F" w:rsidRPr="00D53A2B" w:rsidRDefault="0007690F" w:rsidP="00A202FD">
            <w:pPr>
              <w:widowControl w:val="0"/>
              <w:spacing w:after="240" w:line="276" w:lineRule="auto"/>
              <w:ind w:firstLine="1"/>
              <w:contextualSpacing/>
              <w:jc w:val="both"/>
            </w:pPr>
            <w:r w:rsidRPr="00D53A2B">
              <w:t>Soğuk kutu çekirdeklerinin gazlanmasından kaynaklanan amine içeren çıkış-gazlar, örneğin ıslak yıkama, biyofiltrem veya termal veya katalitik oksidasyon kullanılarak toplanır ve işlenir (bkz. MET 26).</w:t>
            </w:r>
          </w:p>
        </w:tc>
        <w:tc>
          <w:tcPr>
            <w:tcW w:w="3583" w:type="dxa"/>
            <w:shd w:val="clear" w:color="auto" w:fill="auto"/>
            <w:noWrap/>
            <w:vAlign w:val="bottom"/>
            <w:hideMark/>
          </w:tcPr>
          <w:p w14:paraId="517E5A7A"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64822441" w14:textId="77777777" w:rsidTr="00A202FD">
        <w:trPr>
          <w:trHeight w:val="320"/>
        </w:trPr>
        <w:tc>
          <w:tcPr>
            <w:tcW w:w="1957" w:type="dxa"/>
            <w:shd w:val="clear" w:color="auto" w:fill="auto"/>
            <w:noWrap/>
            <w:vAlign w:val="bottom"/>
            <w:hideMark/>
          </w:tcPr>
          <w:p w14:paraId="7E4603E0" w14:textId="77777777" w:rsidR="0007690F" w:rsidRPr="00D53A2B" w:rsidRDefault="0007690F" w:rsidP="00A202FD">
            <w:pPr>
              <w:widowControl w:val="0"/>
              <w:spacing w:after="240" w:line="276" w:lineRule="auto"/>
              <w:ind w:firstLine="1"/>
              <w:contextualSpacing/>
              <w:jc w:val="both"/>
              <w:rPr>
                <w:b/>
                <w:bCs/>
              </w:rPr>
            </w:pPr>
            <w:r w:rsidRPr="00D53A2B">
              <w:rPr>
                <w:b/>
                <w:bCs/>
              </w:rPr>
              <w:t>c. Kimyasal bağlayıcı kum hazırlama, döküm, soğutma ve silkeleme işleminden VOC emisyonlarının toplanması ve işlenmesi</w:t>
            </w:r>
          </w:p>
        </w:tc>
        <w:tc>
          <w:tcPr>
            <w:tcW w:w="3532" w:type="dxa"/>
            <w:shd w:val="clear" w:color="auto" w:fill="auto"/>
            <w:noWrap/>
            <w:vAlign w:val="bottom"/>
            <w:hideMark/>
          </w:tcPr>
          <w:p w14:paraId="5F0F9E16" w14:textId="77777777" w:rsidR="0007690F" w:rsidRPr="00D53A2B" w:rsidRDefault="0007690F" w:rsidP="00A202FD">
            <w:pPr>
              <w:widowControl w:val="0"/>
              <w:spacing w:after="240" w:line="276" w:lineRule="auto"/>
              <w:ind w:firstLine="1"/>
              <w:contextualSpacing/>
              <w:jc w:val="both"/>
            </w:pPr>
            <w:r w:rsidRPr="00D53A2B">
              <w:t>Kimyasal bağlayıcı kumun hazırlanması, döküm, soğutma ve silkeleme işlemlerinden kaynaklanan VOC içeren çıkış-gazları, örneğin ıslak yıkama, biyofiltrem veya termal veya katalitik oksidasyon kullanılarak toplanır ve işlenir (bkz. MET 26).</w:t>
            </w:r>
          </w:p>
        </w:tc>
        <w:tc>
          <w:tcPr>
            <w:tcW w:w="3583" w:type="dxa"/>
            <w:shd w:val="clear" w:color="auto" w:fill="auto"/>
            <w:noWrap/>
            <w:vAlign w:val="bottom"/>
            <w:hideMark/>
          </w:tcPr>
          <w:p w14:paraId="7530999D" w14:textId="77777777" w:rsidR="0007690F" w:rsidRPr="00D53A2B" w:rsidRDefault="0007690F" w:rsidP="00A202FD">
            <w:pPr>
              <w:widowControl w:val="0"/>
              <w:spacing w:after="240" w:line="276" w:lineRule="auto"/>
              <w:ind w:firstLine="1"/>
              <w:contextualSpacing/>
              <w:jc w:val="both"/>
            </w:pPr>
            <w:r w:rsidRPr="00D53A2B">
              <w:t>Genel olarak uygulanabilir.</w:t>
            </w:r>
          </w:p>
        </w:tc>
      </w:tr>
    </w:tbl>
    <w:p w14:paraId="6FB5B424" w14:textId="77777777" w:rsidR="0007690F" w:rsidRPr="00D53A2B" w:rsidRDefault="0007690F" w:rsidP="00A202FD">
      <w:pPr>
        <w:widowControl w:val="0"/>
        <w:spacing w:after="240" w:line="276" w:lineRule="auto"/>
        <w:ind w:firstLine="1"/>
        <w:contextualSpacing/>
        <w:jc w:val="both"/>
      </w:pPr>
    </w:p>
    <w:p w14:paraId="28CCC3D0" w14:textId="3863B769" w:rsidR="0007690F" w:rsidRPr="00D53A2B" w:rsidRDefault="0007690F" w:rsidP="00A202FD">
      <w:pPr>
        <w:pStyle w:val="Balk4"/>
        <w:rPr>
          <w:rFonts w:cs="Times New Roman"/>
        </w:rPr>
      </w:pPr>
      <w:r w:rsidRPr="00D53A2B">
        <w:rPr>
          <w:rFonts w:cs="Times New Roman"/>
        </w:rPr>
        <w:t>1.2.1.15. Su Tüketimi ve Atık</w:t>
      </w:r>
      <w:r w:rsidR="008447ED">
        <w:rPr>
          <w:rFonts w:cs="Times New Roman"/>
        </w:rPr>
        <w:t>s</w:t>
      </w:r>
      <w:r w:rsidRPr="00D53A2B">
        <w:rPr>
          <w:rFonts w:cs="Times New Roman"/>
        </w:rPr>
        <w:t>u Üretimi</w:t>
      </w:r>
    </w:p>
    <w:p w14:paraId="027AD8AF" w14:textId="42B9390E" w:rsidR="00507ACB" w:rsidRDefault="0007690F" w:rsidP="00507ACB">
      <w:pPr>
        <w:widowControl w:val="0"/>
        <w:spacing w:after="240" w:line="276" w:lineRule="auto"/>
        <w:ind w:firstLine="1"/>
        <w:contextualSpacing/>
        <w:jc w:val="both"/>
      </w:pPr>
      <w:r w:rsidRPr="00D53A2B">
        <w:rPr>
          <w:b/>
          <w:bCs/>
        </w:rPr>
        <w:t>MET 35.</w:t>
      </w:r>
      <w:r w:rsidRPr="00D53A2B">
        <w:t> Su tüketimini optimize etmek, üretilen atıksu miktarını azaltmak ve suyun geri dönüştürülebilirliğini artırmak amacıyla, MET (en iyi mevcut teknik), aşağıda verilen tekniklerden (a) ve (b)'yi ve (c) ile (g) arasındaki tekniklerin uygun bir kombinasyonu kullanılır.</w:t>
      </w:r>
    </w:p>
    <w:tbl>
      <w:tblPr>
        <w:tblStyle w:val="TabloKlavuzu"/>
        <w:tblW w:w="8926" w:type="dxa"/>
        <w:tblLook w:val="04A0" w:firstRow="1" w:lastRow="0" w:firstColumn="1" w:lastColumn="0" w:noHBand="0" w:noVBand="1"/>
      </w:tblPr>
      <w:tblGrid>
        <w:gridCol w:w="1990"/>
        <w:gridCol w:w="4252"/>
        <w:gridCol w:w="2760"/>
      </w:tblGrid>
      <w:tr w:rsidR="0007690F" w:rsidRPr="00D53A2B" w14:paraId="05CBC73C" w14:textId="77777777" w:rsidTr="00507ACB">
        <w:trPr>
          <w:trHeight w:val="320"/>
        </w:trPr>
        <w:tc>
          <w:tcPr>
            <w:tcW w:w="1914" w:type="dxa"/>
            <w:noWrap/>
            <w:hideMark/>
          </w:tcPr>
          <w:p w14:paraId="31E24C21"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4252" w:type="dxa"/>
            <w:noWrap/>
            <w:hideMark/>
          </w:tcPr>
          <w:p w14:paraId="518F5EFC"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2760" w:type="dxa"/>
            <w:noWrap/>
            <w:hideMark/>
          </w:tcPr>
          <w:p w14:paraId="043BD0F4"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tc>
      </w:tr>
      <w:tr w:rsidR="0007690F" w:rsidRPr="00D53A2B" w14:paraId="4A3D99CE" w14:textId="77777777" w:rsidTr="00507ACB">
        <w:trPr>
          <w:trHeight w:val="4406"/>
        </w:trPr>
        <w:tc>
          <w:tcPr>
            <w:tcW w:w="1914" w:type="dxa"/>
            <w:noWrap/>
            <w:hideMark/>
          </w:tcPr>
          <w:p w14:paraId="75A6EAD0" w14:textId="77777777" w:rsidR="0007690F" w:rsidRPr="00D53A2B" w:rsidRDefault="0007690F" w:rsidP="00A202FD">
            <w:pPr>
              <w:widowControl w:val="0"/>
              <w:spacing w:after="240" w:line="276" w:lineRule="auto"/>
              <w:ind w:firstLine="1"/>
              <w:contextualSpacing/>
              <w:jc w:val="both"/>
              <w:rPr>
                <w:b/>
                <w:bCs/>
              </w:rPr>
            </w:pPr>
            <w:r w:rsidRPr="00D53A2B">
              <w:rPr>
                <w:b/>
                <w:bCs/>
              </w:rPr>
              <w:t>a. Su yönetim planı ve denetimleri</w:t>
            </w:r>
          </w:p>
          <w:p w14:paraId="1F8B193D" w14:textId="77777777" w:rsidR="0007690F" w:rsidRPr="00D53A2B" w:rsidRDefault="0007690F" w:rsidP="00A202FD">
            <w:pPr>
              <w:widowControl w:val="0"/>
              <w:spacing w:after="240" w:line="276" w:lineRule="auto"/>
              <w:ind w:firstLine="1"/>
              <w:contextualSpacing/>
              <w:jc w:val="both"/>
            </w:pPr>
            <w:r w:rsidRPr="00D53A2B">
              <w:t> </w:t>
            </w:r>
          </w:p>
          <w:p w14:paraId="3653ED63" w14:textId="77777777" w:rsidR="0007690F" w:rsidRPr="00D53A2B" w:rsidRDefault="0007690F" w:rsidP="00A202FD">
            <w:pPr>
              <w:widowControl w:val="0"/>
              <w:spacing w:after="240" w:line="276" w:lineRule="auto"/>
              <w:ind w:firstLine="1"/>
              <w:contextualSpacing/>
              <w:jc w:val="both"/>
            </w:pPr>
            <w:r w:rsidRPr="00D53A2B">
              <w:t> </w:t>
            </w:r>
          </w:p>
          <w:p w14:paraId="4CC6B998" w14:textId="77777777" w:rsidR="0007690F" w:rsidRPr="00D53A2B" w:rsidRDefault="0007690F" w:rsidP="00A202FD">
            <w:pPr>
              <w:widowControl w:val="0"/>
              <w:spacing w:after="240" w:line="276" w:lineRule="auto"/>
              <w:ind w:firstLine="1"/>
              <w:contextualSpacing/>
              <w:jc w:val="both"/>
            </w:pPr>
            <w:r w:rsidRPr="00D53A2B">
              <w:t> </w:t>
            </w:r>
          </w:p>
          <w:p w14:paraId="7ECAD2C2" w14:textId="77777777" w:rsidR="0007690F" w:rsidRPr="00D53A2B" w:rsidRDefault="0007690F" w:rsidP="00A202FD">
            <w:pPr>
              <w:widowControl w:val="0"/>
              <w:spacing w:after="240" w:line="276" w:lineRule="auto"/>
              <w:ind w:firstLine="1"/>
              <w:contextualSpacing/>
              <w:jc w:val="both"/>
              <w:rPr>
                <w:b/>
                <w:bCs/>
              </w:rPr>
            </w:pPr>
            <w:r w:rsidRPr="00D53A2B">
              <w:t> </w:t>
            </w:r>
          </w:p>
        </w:tc>
        <w:tc>
          <w:tcPr>
            <w:tcW w:w="4252" w:type="dxa"/>
            <w:noWrap/>
            <w:hideMark/>
          </w:tcPr>
          <w:p w14:paraId="460454D0" w14:textId="77777777" w:rsidR="0007690F" w:rsidRPr="00D53A2B" w:rsidRDefault="0007690F" w:rsidP="00A202FD">
            <w:pPr>
              <w:widowControl w:val="0"/>
              <w:spacing w:after="240" w:line="276" w:lineRule="auto"/>
              <w:ind w:firstLine="1"/>
              <w:contextualSpacing/>
              <w:jc w:val="both"/>
            </w:pPr>
            <w:r w:rsidRPr="00D53A2B">
              <w:t>Su yönetim planı ve denetimleri, ÇYS'nin (Çevre Yönetim Sistemi, bkz. MET 1) bir parçasıdır ve şunları içerir:</w:t>
            </w:r>
          </w:p>
          <w:p w14:paraId="2F367E9D" w14:textId="77777777" w:rsidR="0007690F" w:rsidRPr="00D53A2B" w:rsidRDefault="0007690F" w:rsidP="00A202FD">
            <w:pPr>
              <w:widowControl w:val="0"/>
              <w:spacing w:after="240" w:line="276" w:lineRule="auto"/>
              <w:ind w:firstLine="1"/>
              <w:contextualSpacing/>
              <w:jc w:val="both"/>
            </w:pPr>
            <w:r w:rsidRPr="00D53A2B">
              <w:t>— Tesisin giriş ve çıkış envanterine dahil olan akış diyagramları ve su kütle dengesi (bkz. MET 2);</w:t>
            </w:r>
          </w:p>
          <w:p w14:paraId="58A418B6" w14:textId="77777777" w:rsidR="0007690F" w:rsidRPr="00D53A2B" w:rsidRDefault="0007690F" w:rsidP="00A202FD">
            <w:pPr>
              <w:widowControl w:val="0"/>
              <w:spacing w:after="240" w:line="276" w:lineRule="auto"/>
              <w:ind w:firstLine="1"/>
              <w:contextualSpacing/>
              <w:jc w:val="both"/>
            </w:pPr>
            <w:r w:rsidRPr="00D53A2B">
              <w:t>— Su verimliliği hedeflerinin belirlenmesi;</w:t>
            </w:r>
          </w:p>
          <w:p w14:paraId="2A54E97E" w14:textId="77777777" w:rsidR="0007690F" w:rsidRPr="00D53A2B" w:rsidRDefault="0007690F" w:rsidP="00A202FD">
            <w:pPr>
              <w:widowControl w:val="0"/>
              <w:spacing w:after="240" w:line="276" w:lineRule="auto"/>
              <w:ind w:firstLine="1"/>
              <w:contextualSpacing/>
              <w:jc w:val="both"/>
            </w:pPr>
            <w:r w:rsidRPr="00D53A2B">
              <w:t>— Su optimizasyon tekniklerinin uygulanması (ör. su kullanım kontrolü, yeniden kullanım/geri dönüşüm, sızıntıların tespiti ve tamiri).</w:t>
            </w:r>
          </w:p>
          <w:p w14:paraId="168E456B" w14:textId="77777777" w:rsidR="0007690F" w:rsidRPr="00D53A2B" w:rsidRDefault="0007690F" w:rsidP="00A202FD">
            <w:pPr>
              <w:widowControl w:val="0"/>
              <w:spacing w:after="240" w:line="276" w:lineRule="auto"/>
              <w:ind w:firstLine="1"/>
              <w:contextualSpacing/>
              <w:jc w:val="both"/>
            </w:pPr>
            <w:r w:rsidRPr="00D53A2B">
              <w:t>Denetimler, su yönetim planının hedeflerine ulaşıldığından ve denetim önerilerinin takip edilip uygulandığından emin olmak için yılda en az bir kez gerçekleştirilir.</w:t>
            </w:r>
          </w:p>
        </w:tc>
        <w:tc>
          <w:tcPr>
            <w:tcW w:w="2760" w:type="dxa"/>
            <w:noWrap/>
            <w:hideMark/>
          </w:tcPr>
          <w:p w14:paraId="6B09C7A6" w14:textId="77777777" w:rsidR="0007690F" w:rsidRPr="00D53A2B" w:rsidRDefault="0007690F" w:rsidP="00A202FD">
            <w:pPr>
              <w:widowControl w:val="0"/>
              <w:spacing w:after="240" w:line="276" w:lineRule="auto"/>
              <w:ind w:firstLine="1"/>
              <w:contextualSpacing/>
              <w:jc w:val="both"/>
            </w:pPr>
            <w:r w:rsidRPr="00D53A2B">
              <w:t>Su yönetim planı ve denetimlerinin detay seviyesi, tesisin niteliği, ölçeği ve karmaşıklığı ile ilişkilidir.</w:t>
            </w:r>
          </w:p>
          <w:p w14:paraId="713D2AD4" w14:textId="77777777" w:rsidR="0007690F" w:rsidRPr="00D53A2B" w:rsidRDefault="0007690F" w:rsidP="00A202FD">
            <w:pPr>
              <w:widowControl w:val="0"/>
              <w:spacing w:after="240" w:line="276" w:lineRule="auto"/>
              <w:ind w:firstLine="1"/>
              <w:contextualSpacing/>
              <w:jc w:val="both"/>
            </w:pPr>
            <w:r w:rsidRPr="00D53A2B">
              <w:t> </w:t>
            </w:r>
          </w:p>
          <w:p w14:paraId="52A10D36" w14:textId="77777777" w:rsidR="0007690F" w:rsidRPr="00D53A2B" w:rsidRDefault="0007690F" w:rsidP="00A202FD">
            <w:pPr>
              <w:widowControl w:val="0"/>
              <w:spacing w:after="240" w:line="276" w:lineRule="auto"/>
              <w:ind w:firstLine="1"/>
              <w:contextualSpacing/>
              <w:jc w:val="both"/>
            </w:pPr>
            <w:r w:rsidRPr="00D53A2B">
              <w:t> </w:t>
            </w:r>
          </w:p>
          <w:p w14:paraId="0784B6C0" w14:textId="77777777" w:rsidR="0007690F" w:rsidRPr="00D53A2B" w:rsidRDefault="0007690F" w:rsidP="00A202FD">
            <w:pPr>
              <w:widowControl w:val="0"/>
              <w:spacing w:after="240" w:line="276" w:lineRule="auto"/>
              <w:ind w:firstLine="1"/>
              <w:contextualSpacing/>
              <w:jc w:val="both"/>
            </w:pPr>
            <w:r w:rsidRPr="00D53A2B">
              <w:t> </w:t>
            </w:r>
          </w:p>
          <w:p w14:paraId="096386F8"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565AD700" w14:textId="77777777" w:rsidTr="00507ACB">
        <w:trPr>
          <w:trHeight w:val="320"/>
        </w:trPr>
        <w:tc>
          <w:tcPr>
            <w:tcW w:w="1914" w:type="dxa"/>
            <w:noWrap/>
            <w:hideMark/>
          </w:tcPr>
          <w:p w14:paraId="38425924" w14:textId="77777777" w:rsidR="0007690F" w:rsidRPr="00D53A2B" w:rsidRDefault="0007690F" w:rsidP="00A202FD">
            <w:pPr>
              <w:widowControl w:val="0"/>
              <w:spacing w:after="240" w:line="276" w:lineRule="auto"/>
              <w:ind w:firstLine="1"/>
              <w:contextualSpacing/>
              <w:jc w:val="both"/>
              <w:rPr>
                <w:b/>
                <w:bCs/>
              </w:rPr>
            </w:pPr>
            <w:r w:rsidRPr="00D53A2B">
              <w:rPr>
                <w:b/>
                <w:bCs/>
              </w:rPr>
              <w:t>b. Su akışlarının ayrılması</w:t>
            </w:r>
          </w:p>
        </w:tc>
        <w:tc>
          <w:tcPr>
            <w:tcW w:w="4252" w:type="dxa"/>
            <w:noWrap/>
            <w:hideMark/>
          </w:tcPr>
          <w:p w14:paraId="646283BB" w14:textId="77777777" w:rsidR="0007690F" w:rsidRPr="00D53A2B" w:rsidRDefault="0007690F" w:rsidP="00A202FD">
            <w:pPr>
              <w:widowControl w:val="0"/>
              <w:spacing w:after="240" w:line="276" w:lineRule="auto"/>
              <w:ind w:firstLine="1"/>
              <w:contextualSpacing/>
              <w:jc w:val="both"/>
            </w:pPr>
            <w:r w:rsidRPr="00D53A2B">
              <w:t>Su toplama sisteminin yerleşim düzenine bağlı olarak mevcut tesislerde uygulanabilirliği sınırlı olabilir.</w:t>
            </w:r>
          </w:p>
        </w:tc>
        <w:tc>
          <w:tcPr>
            <w:tcW w:w="2760" w:type="dxa"/>
            <w:noWrap/>
            <w:hideMark/>
          </w:tcPr>
          <w:p w14:paraId="32648BFA" w14:textId="77777777" w:rsidR="0007690F" w:rsidRPr="00D53A2B" w:rsidRDefault="0007690F" w:rsidP="00A202FD">
            <w:pPr>
              <w:widowControl w:val="0"/>
              <w:spacing w:after="240" w:line="276" w:lineRule="auto"/>
              <w:ind w:firstLine="1"/>
              <w:contextualSpacing/>
              <w:jc w:val="both"/>
            </w:pPr>
            <w:r w:rsidRPr="00D53A2B">
              <w:t>Su akışlarının ayrılması hakkında daha fazla bilgi için Bölüm 1.4.4'e bakınız.</w:t>
            </w:r>
          </w:p>
        </w:tc>
      </w:tr>
      <w:tr w:rsidR="0007690F" w:rsidRPr="00D53A2B" w14:paraId="553A28B4" w14:textId="77777777" w:rsidTr="00507ACB">
        <w:trPr>
          <w:trHeight w:val="320"/>
        </w:trPr>
        <w:tc>
          <w:tcPr>
            <w:tcW w:w="1914" w:type="dxa"/>
            <w:noWrap/>
            <w:hideMark/>
          </w:tcPr>
          <w:p w14:paraId="75F70B64" w14:textId="77777777" w:rsidR="0007690F" w:rsidRPr="00D53A2B" w:rsidRDefault="0007690F" w:rsidP="00A202FD">
            <w:pPr>
              <w:widowControl w:val="0"/>
              <w:spacing w:after="240" w:line="276" w:lineRule="auto"/>
              <w:ind w:firstLine="1"/>
              <w:contextualSpacing/>
              <w:jc w:val="both"/>
              <w:rPr>
                <w:b/>
                <w:bCs/>
              </w:rPr>
            </w:pPr>
            <w:r w:rsidRPr="00D53A2B">
              <w:rPr>
                <w:b/>
                <w:bCs/>
              </w:rPr>
              <w:t>c. Su yeniden kullanımı ve/veya geri dönüşümü</w:t>
            </w:r>
          </w:p>
        </w:tc>
        <w:tc>
          <w:tcPr>
            <w:tcW w:w="4252" w:type="dxa"/>
            <w:noWrap/>
            <w:hideMark/>
          </w:tcPr>
          <w:p w14:paraId="217CE6DA" w14:textId="2023E4B4" w:rsidR="0007690F" w:rsidRPr="00D53A2B" w:rsidRDefault="0007690F" w:rsidP="00A202FD">
            <w:pPr>
              <w:widowControl w:val="0"/>
              <w:spacing w:after="240" w:line="276" w:lineRule="auto"/>
              <w:ind w:firstLine="1"/>
              <w:contextualSpacing/>
              <w:jc w:val="both"/>
            </w:pPr>
            <w:r w:rsidRPr="00D53A2B">
              <w:t>Su akışları (ör. proses suyu, ıslak gaz yıkamadan gelen atıksular, soğutma suyu) kapalı veya yarı kapalı devrelerde, gerekirse arıtma sonrası yeniden kullanılır ve/veya geri dönüştürülür (bkz. MET 36).</w:t>
            </w:r>
          </w:p>
        </w:tc>
        <w:tc>
          <w:tcPr>
            <w:tcW w:w="2760" w:type="dxa"/>
            <w:noWrap/>
            <w:hideMark/>
          </w:tcPr>
          <w:p w14:paraId="4FB105D9" w14:textId="77777777" w:rsidR="0007690F" w:rsidRPr="00D53A2B" w:rsidRDefault="0007690F" w:rsidP="00A202FD">
            <w:pPr>
              <w:widowControl w:val="0"/>
              <w:spacing w:after="240" w:line="276" w:lineRule="auto"/>
              <w:ind w:firstLine="1"/>
              <w:contextualSpacing/>
              <w:jc w:val="both"/>
            </w:pPr>
            <w:r w:rsidRPr="00D53A2B">
              <w:t>Su yeniden kullanımı ve/veya geri dönüşüm derecesi, tesisin su dengesi, kirletici içerikleri ve/veya su akışlarının özellikleriyle sınırlıdır.</w:t>
            </w:r>
          </w:p>
        </w:tc>
      </w:tr>
      <w:tr w:rsidR="0007690F" w:rsidRPr="00D53A2B" w14:paraId="211530CE" w14:textId="77777777" w:rsidTr="00507ACB">
        <w:trPr>
          <w:trHeight w:val="320"/>
        </w:trPr>
        <w:tc>
          <w:tcPr>
            <w:tcW w:w="1914" w:type="dxa"/>
            <w:noWrap/>
            <w:hideMark/>
          </w:tcPr>
          <w:p w14:paraId="3338572F" w14:textId="1C09964C" w:rsidR="0007690F" w:rsidRPr="00D53A2B" w:rsidRDefault="0007690F" w:rsidP="00A202FD">
            <w:pPr>
              <w:widowControl w:val="0"/>
              <w:spacing w:after="240" w:line="276" w:lineRule="auto"/>
              <w:ind w:firstLine="1"/>
              <w:contextualSpacing/>
              <w:jc w:val="both"/>
              <w:rPr>
                <w:b/>
                <w:bCs/>
              </w:rPr>
            </w:pPr>
            <w:r w:rsidRPr="00D53A2B">
              <w:rPr>
                <w:b/>
                <w:bCs/>
              </w:rPr>
              <w:t>d. Proses ve depolama alanlarından atıksu oluşumunun önlenmesi</w:t>
            </w:r>
          </w:p>
        </w:tc>
        <w:tc>
          <w:tcPr>
            <w:tcW w:w="4252" w:type="dxa"/>
            <w:noWrap/>
            <w:hideMark/>
          </w:tcPr>
          <w:p w14:paraId="13757F18" w14:textId="36D7B155" w:rsidR="0007690F" w:rsidRPr="00D53A2B" w:rsidRDefault="0007690F" w:rsidP="00A202FD">
            <w:pPr>
              <w:widowControl w:val="0"/>
              <w:spacing w:after="240" w:line="276" w:lineRule="auto"/>
              <w:ind w:firstLine="1"/>
              <w:contextualSpacing/>
              <w:jc w:val="both"/>
            </w:pPr>
            <w:r w:rsidRPr="00D53A2B">
              <w:t>Proses ve depolama alanlarından atıksu oluşumunu önlemeye yönelik bilgiler için MET 4 (b)'ye bakınız.</w:t>
            </w:r>
          </w:p>
        </w:tc>
        <w:tc>
          <w:tcPr>
            <w:tcW w:w="2760" w:type="dxa"/>
            <w:noWrap/>
            <w:hideMark/>
          </w:tcPr>
          <w:p w14:paraId="1D99671B"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2CE86466" w14:textId="77777777" w:rsidTr="00507ACB">
        <w:trPr>
          <w:trHeight w:val="320"/>
        </w:trPr>
        <w:tc>
          <w:tcPr>
            <w:tcW w:w="1914" w:type="dxa"/>
            <w:noWrap/>
            <w:hideMark/>
          </w:tcPr>
          <w:p w14:paraId="44FE18F1" w14:textId="77777777" w:rsidR="0007690F" w:rsidRPr="00D53A2B" w:rsidRDefault="0007690F" w:rsidP="00A202FD">
            <w:pPr>
              <w:widowControl w:val="0"/>
              <w:spacing w:after="240" w:line="276" w:lineRule="auto"/>
              <w:ind w:firstLine="1"/>
              <w:contextualSpacing/>
              <w:jc w:val="both"/>
              <w:rPr>
                <w:b/>
                <w:bCs/>
              </w:rPr>
            </w:pPr>
            <w:r w:rsidRPr="00D53A2B">
              <w:rPr>
                <w:b/>
                <w:bCs/>
              </w:rPr>
              <w:t>e. Kuru toz toplama sistemlerinin kullanımı</w:t>
            </w:r>
          </w:p>
        </w:tc>
        <w:tc>
          <w:tcPr>
            <w:tcW w:w="4252" w:type="dxa"/>
            <w:noWrap/>
            <w:hideMark/>
          </w:tcPr>
          <w:p w14:paraId="630FA1AD" w14:textId="77777777" w:rsidR="0007690F" w:rsidRPr="00D53A2B" w:rsidRDefault="0007690F" w:rsidP="00A202FD">
            <w:pPr>
              <w:widowControl w:val="0"/>
              <w:spacing w:after="240" w:line="276" w:lineRule="auto"/>
              <w:ind w:firstLine="1"/>
              <w:contextualSpacing/>
              <w:jc w:val="both"/>
            </w:pPr>
            <w:r w:rsidRPr="00D53A2B">
              <w:t>Bu, kumaş filtreleri ve kuru ESP'ler gibi teknikleri içerir (bkz. Bölüm 1.4.3).</w:t>
            </w:r>
          </w:p>
        </w:tc>
        <w:tc>
          <w:tcPr>
            <w:tcW w:w="2760" w:type="dxa"/>
            <w:noWrap/>
            <w:hideMark/>
          </w:tcPr>
          <w:p w14:paraId="69BA58AA"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69FB0CBE" w14:textId="77777777" w:rsidTr="00507ACB">
        <w:trPr>
          <w:trHeight w:val="320"/>
        </w:trPr>
        <w:tc>
          <w:tcPr>
            <w:tcW w:w="1914" w:type="dxa"/>
            <w:noWrap/>
            <w:hideMark/>
          </w:tcPr>
          <w:p w14:paraId="6A607372" w14:textId="77777777" w:rsidR="0007690F" w:rsidRPr="00D53A2B" w:rsidRDefault="0007690F" w:rsidP="00A202FD">
            <w:pPr>
              <w:widowControl w:val="0"/>
              <w:spacing w:after="240" w:line="276" w:lineRule="auto"/>
              <w:ind w:firstLine="1"/>
              <w:contextualSpacing/>
              <w:jc w:val="both"/>
              <w:rPr>
                <w:b/>
                <w:bCs/>
              </w:rPr>
            </w:pPr>
            <w:r w:rsidRPr="00D53A2B">
              <w:rPr>
                <w:b/>
                <w:bCs/>
              </w:rPr>
              <w:t>f. Yüksek basınçlı dökümde ayırıcı madde ve suyun ayrı püskürtülmesi</w:t>
            </w:r>
          </w:p>
        </w:tc>
        <w:tc>
          <w:tcPr>
            <w:tcW w:w="4252" w:type="dxa"/>
            <w:noWrap/>
            <w:hideMark/>
          </w:tcPr>
          <w:p w14:paraId="1139C6D1" w14:textId="77777777" w:rsidR="0007690F" w:rsidRPr="00D53A2B" w:rsidRDefault="0007690F" w:rsidP="00A202FD">
            <w:pPr>
              <w:widowControl w:val="0"/>
              <w:spacing w:after="240" w:line="276" w:lineRule="auto"/>
              <w:ind w:firstLine="1"/>
              <w:contextualSpacing/>
              <w:jc w:val="both"/>
            </w:pPr>
            <w:r w:rsidRPr="00D53A2B">
              <w:t>Bu tekniğe dair daha fazla bilgi için Bölüm 1.4.2'ye bakınız.</w:t>
            </w:r>
          </w:p>
        </w:tc>
        <w:tc>
          <w:tcPr>
            <w:tcW w:w="2760" w:type="dxa"/>
            <w:noWrap/>
            <w:hideMark/>
          </w:tcPr>
          <w:p w14:paraId="708CF0B4"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01D22723" w14:textId="77777777" w:rsidTr="00507ACB">
        <w:trPr>
          <w:trHeight w:val="320"/>
        </w:trPr>
        <w:tc>
          <w:tcPr>
            <w:tcW w:w="1914" w:type="dxa"/>
            <w:noWrap/>
            <w:hideMark/>
          </w:tcPr>
          <w:p w14:paraId="5F24CFD4" w14:textId="1D45C9EE" w:rsidR="0007690F" w:rsidRPr="00D53A2B" w:rsidRDefault="0007690F" w:rsidP="00A202FD">
            <w:pPr>
              <w:widowControl w:val="0"/>
              <w:spacing w:after="240" w:line="276" w:lineRule="auto"/>
              <w:ind w:firstLine="1"/>
              <w:contextualSpacing/>
              <w:jc w:val="both"/>
              <w:rPr>
                <w:b/>
                <w:bCs/>
              </w:rPr>
            </w:pPr>
            <w:r w:rsidRPr="00D53A2B">
              <w:rPr>
                <w:b/>
                <w:bCs/>
              </w:rPr>
              <w:t>g. Atıksuyun buharlaştırılması için atık ısının kullanımı</w:t>
            </w:r>
          </w:p>
        </w:tc>
        <w:tc>
          <w:tcPr>
            <w:tcW w:w="4252" w:type="dxa"/>
            <w:noWrap/>
            <w:hideMark/>
          </w:tcPr>
          <w:p w14:paraId="2245ED0E" w14:textId="0BBAEDE9" w:rsidR="0007690F" w:rsidRPr="00D53A2B" w:rsidRDefault="0007690F" w:rsidP="00A202FD">
            <w:pPr>
              <w:widowControl w:val="0"/>
              <w:spacing w:after="240" w:line="276" w:lineRule="auto"/>
              <w:ind w:firstLine="1"/>
              <w:contextualSpacing/>
              <w:jc w:val="both"/>
            </w:pPr>
            <w:r w:rsidRPr="00D53A2B">
              <w:t>Sürekli olarak mevcut olan atık ısı, atıksuyu buharlaştırmak için kullanılabilir.</w:t>
            </w:r>
          </w:p>
        </w:tc>
        <w:tc>
          <w:tcPr>
            <w:tcW w:w="2760" w:type="dxa"/>
            <w:noWrap/>
            <w:hideMark/>
          </w:tcPr>
          <w:p w14:paraId="6FA40148" w14:textId="1960717A" w:rsidR="0007690F" w:rsidRPr="00D53A2B" w:rsidRDefault="0007690F" w:rsidP="00A202FD">
            <w:pPr>
              <w:widowControl w:val="0"/>
              <w:spacing w:after="240" w:line="276" w:lineRule="auto"/>
              <w:ind w:firstLine="1"/>
              <w:contextualSpacing/>
              <w:jc w:val="both"/>
            </w:pPr>
            <w:r w:rsidRPr="00D53A2B">
              <w:t>Uygulanabilirlik, atıksudaki kirleticilerin fizikokimyasal özellikleri ve bunların havaya salınabilirliği ile sınırlı olabilir.</w:t>
            </w:r>
          </w:p>
        </w:tc>
      </w:tr>
    </w:tbl>
    <w:p w14:paraId="7634267B" w14:textId="77777777" w:rsidR="0007690F" w:rsidRPr="00D53A2B" w:rsidRDefault="0007690F" w:rsidP="00A202FD">
      <w:pPr>
        <w:widowControl w:val="0"/>
        <w:spacing w:after="240" w:line="276" w:lineRule="auto"/>
        <w:ind w:firstLine="1"/>
        <w:contextualSpacing/>
        <w:jc w:val="both"/>
      </w:pPr>
    </w:p>
    <w:p w14:paraId="49B52270" w14:textId="77777777" w:rsidR="0007690F" w:rsidRPr="00D53A2B" w:rsidRDefault="0007690F" w:rsidP="00A202FD">
      <w:pPr>
        <w:widowControl w:val="0"/>
        <w:spacing w:after="240" w:line="276" w:lineRule="auto"/>
        <w:ind w:firstLine="1"/>
        <w:contextualSpacing/>
        <w:jc w:val="both"/>
      </w:pPr>
      <w:r w:rsidRPr="00D53A2B">
        <w:rPr>
          <w:b/>
          <w:bCs/>
        </w:rPr>
        <w:t>Tablo 1.15</w:t>
      </w:r>
    </w:p>
    <w:p w14:paraId="44F706DE" w14:textId="77777777" w:rsidR="0007690F" w:rsidRPr="00D53A2B" w:rsidRDefault="0007690F" w:rsidP="00A202FD">
      <w:pPr>
        <w:widowControl w:val="0"/>
        <w:spacing w:after="240" w:line="276" w:lineRule="auto"/>
        <w:ind w:firstLine="1"/>
        <w:contextualSpacing/>
        <w:jc w:val="both"/>
      </w:pPr>
      <w:r w:rsidRPr="00D53A2B">
        <w:rPr>
          <w:b/>
          <w:bCs/>
        </w:rPr>
        <w:t>MET'a İlişkin Çevresel Performans Seviyeleri (MET-AEPLs) için Özgül Su Tüketimi</w:t>
      </w:r>
    </w:p>
    <w:tbl>
      <w:tblPr>
        <w:tblW w:w="8926" w:type="dxa"/>
        <w:tblCellMar>
          <w:left w:w="70" w:type="dxa"/>
          <w:right w:w="70" w:type="dxa"/>
        </w:tblCellMar>
        <w:tblLook w:val="04A0" w:firstRow="1" w:lastRow="0" w:firstColumn="1" w:lastColumn="0" w:noHBand="0" w:noVBand="1"/>
      </w:tblPr>
      <w:tblGrid>
        <w:gridCol w:w="5382"/>
        <w:gridCol w:w="2126"/>
        <w:gridCol w:w="1494"/>
      </w:tblGrid>
      <w:tr w:rsidR="0007690F" w:rsidRPr="00D53A2B" w14:paraId="5CA6E2D5" w14:textId="77777777" w:rsidTr="00507ACB">
        <w:trPr>
          <w:trHeight w:val="319"/>
        </w:trPr>
        <w:tc>
          <w:tcPr>
            <w:tcW w:w="53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CF46DE" w14:textId="77777777" w:rsidR="0007690F" w:rsidRPr="00D53A2B" w:rsidRDefault="0007690F" w:rsidP="00A202FD">
            <w:pPr>
              <w:widowControl w:val="0"/>
              <w:spacing w:after="240" w:line="276" w:lineRule="auto"/>
              <w:ind w:firstLine="1"/>
              <w:contextualSpacing/>
              <w:jc w:val="both"/>
              <w:rPr>
                <w:b/>
                <w:bCs/>
              </w:rPr>
            </w:pPr>
            <w:r w:rsidRPr="00D53A2B">
              <w:rPr>
                <w:b/>
                <w:bCs/>
              </w:rPr>
              <w:t>Dökümhane Türü</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51DE92C8"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62B1DE38" w14:textId="77777777" w:rsidR="0007690F" w:rsidRPr="00D53A2B" w:rsidRDefault="0007690F" w:rsidP="00A202FD">
            <w:pPr>
              <w:widowControl w:val="0"/>
              <w:spacing w:after="240" w:line="276" w:lineRule="auto"/>
              <w:ind w:firstLine="1"/>
              <w:contextualSpacing/>
              <w:jc w:val="both"/>
              <w:rPr>
                <w:b/>
                <w:bCs/>
              </w:rPr>
            </w:pPr>
            <w:r w:rsidRPr="00D53A2B">
              <w:rPr>
                <w:b/>
                <w:bCs/>
              </w:rPr>
              <w:t>MET-AEPL (Yıllık Ortalama)</w:t>
            </w:r>
          </w:p>
        </w:tc>
      </w:tr>
      <w:tr w:rsidR="0007690F" w:rsidRPr="00D53A2B" w14:paraId="78745D6D" w14:textId="77777777" w:rsidTr="00507ACB">
        <w:trPr>
          <w:trHeight w:val="319"/>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14:paraId="0958F314" w14:textId="77777777" w:rsidR="0007690F" w:rsidRPr="00D53A2B" w:rsidRDefault="0007690F" w:rsidP="00A202FD">
            <w:pPr>
              <w:widowControl w:val="0"/>
              <w:spacing w:after="240" w:line="276" w:lineRule="auto"/>
              <w:ind w:firstLine="1"/>
              <w:contextualSpacing/>
              <w:jc w:val="both"/>
              <w:rPr>
                <w:b/>
                <w:bCs/>
              </w:rPr>
            </w:pPr>
            <w:r w:rsidRPr="00D53A2B">
              <w:rPr>
                <w:b/>
                <w:bCs/>
              </w:rPr>
              <w:t>Dökme demir dökümhaneleri</w:t>
            </w:r>
          </w:p>
        </w:tc>
        <w:tc>
          <w:tcPr>
            <w:tcW w:w="2126" w:type="dxa"/>
            <w:tcBorders>
              <w:top w:val="nil"/>
              <w:left w:val="nil"/>
              <w:bottom w:val="single" w:sz="4" w:space="0" w:color="auto"/>
              <w:right w:val="single" w:sz="4" w:space="0" w:color="auto"/>
            </w:tcBorders>
            <w:shd w:val="clear" w:color="auto" w:fill="auto"/>
            <w:noWrap/>
            <w:vAlign w:val="bottom"/>
            <w:hideMark/>
          </w:tcPr>
          <w:p w14:paraId="3471F6BF" w14:textId="77777777" w:rsidR="0007690F" w:rsidRPr="00D53A2B" w:rsidRDefault="0007690F" w:rsidP="00A202FD">
            <w:pPr>
              <w:widowControl w:val="0"/>
              <w:spacing w:after="240" w:line="276" w:lineRule="auto"/>
              <w:ind w:firstLine="1"/>
              <w:contextualSpacing/>
              <w:jc w:val="both"/>
            </w:pPr>
            <w:r w:rsidRPr="00D53A2B">
              <w:t>m³/sıvı metal tonajı</w:t>
            </w:r>
          </w:p>
        </w:tc>
        <w:tc>
          <w:tcPr>
            <w:tcW w:w="1418" w:type="dxa"/>
            <w:tcBorders>
              <w:top w:val="nil"/>
              <w:left w:val="nil"/>
              <w:bottom w:val="single" w:sz="4" w:space="0" w:color="auto"/>
              <w:right w:val="single" w:sz="4" w:space="0" w:color="auto"/>
            </w:tcBorders>
            <w:shd w:val="clear" w:color="auto" w:fill="auto"/>
            <w:noWrap/>
            <w:vAlign w:val="bottom"/>
            <w:hideMark/>
          </w:tcPr>
          <w:p w14:paraId="1313C4DF" w14:textId="77777777" w:rsidR="0007690F" w:rsidRPr="00D53A2B" w:rsidRDefault="0007690F" w:rsidP="00A202FD">
            <w:pPr>
              <w:widowControl w:val="0"/>
              <w:spacing w:after="240" w:line="276" w:lineRule="auto"/>
              <w:ind w:firstLine="1"/>
              <w:contextualSpacing/>
              <w:jc w:val="both"/>
            </w:pPr>
            <w:r w:rsidRPr="00D53A2B">
              <w:t>0,5 – 4</w:t>
            </w:r>
          </w:p>
        </w:tc>
      </w:tr>
      <w:tr w:rsidR="0007690F" w:rsidRPr="00D53A2B" w14:paraId="5256C59F" w14:textId="77777777" w:rsidTr="00507ACB">
        <w:trPr>
          <w:trHeight w:val="319"/>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14:paraId="23310434" w14:textId="77777777" w:rsidR="0007690F" w:rsidRPr="00D53A2B" w:rsidRDefault="0007690F" w:rsidP="00A202FD">
            <w:pPr>
              <w:widowControl w:val="0"/>
              <w:spacing w:after="240" w:line="276" w:lineRule="auto"/>
              <w:ind w:firstLine="1"/>
              <w:contextualSpacing/>
              <w:jc w:val="both"/>
              <w:rPr>
                <w:b/>
                <w:bCs/>
              </w:rPr>
            </w:pPr>
            <w:r w:rsidRPr="00D53A2B">
              <w:rPr>
                <w:b/>
                <w:bCs/>
              </w:rPr>
              <w:t>Çelik dökümhaneleri</w:t>
            </w:r>
          </w:p>
        </w:tc>
        <w:tc>
          <w:tcPr>
            <w:tcW w:w="2126" w:type="dxa"/>
            <w:tcBorders>
              <w:top w:val="nil"/>
              <w:left w:val="nil"/>
              <w:bottom w:val="single" w:sz="4" w:space="0" w:color="auto"/>
              <w:right w:val="single" w:sz="4" w:space="0" w:color="auto"/>
            </w:tcBorders>
            <w:shd w:val="clear" w:color="auto" w:fill="auto"/>
            <w:noWrap/>
            <w:vAlign w:val="bottom"/>
            <w:hideMark/>
          </w:tcPr>
          <w:p w14:paraId="2A7AFE0F" w14:textId="77777777" w:rsidR="0007690F" w:rsidRPr="00D53A2B" w:rsidRDefault="0007690F" w:rsidP="00A202FD">
            <w:pPr>
              <w:widowControl w:val="0"/>
              <w:spacing w:after="240" w:line="276" w:lineRule="auto"/>
              <w:ind w:firstLine="1"/>
              <w:contextualSpacing/>
              <w:jc w:val="both"/>
            </w:pPr>
            <w:r w:rsidRPr="00D53A2B">
              <w:t>m³/sıvı metal tonajı</w:t>
            </w:r>
          </w:p>
        </w:tc>
        <w:tc>
          <w:tcPr>
            <w:tcW w:w="1418" w:type="dxa"/>
            <w:tcBorders>
              <w:top w:val="nil"/>
              <w:left w:val="nil"/>
              <w:bottom w:val="single" w:sz="4" w:space="0" w:color="auto"/>
              <w:right w:val="single" w:sz="4" w:space="0" w:color="auto"/>
            </w:tcBorders>
            <w:shd w:val="clear" w:color="auto" w:fill="auto"/>
            <w:noWrap/>
            <w:vAlign w:val="bottom"/>
            <w:hideMark/>
          </w:tcPr>
          <w:p w14:paraId="4B713DA5" w14:textId="77777777" w:rsidR="0007690F" w:rsidRPr="00D53A2B" w:rsidRDefault="0007690F" w:rsidP="00A202FD">
            <w:pPr>
              <w:widowControl w:val="0"/>
              <w:spacing w:after="240" w:line="276" w:lineRule="auto"/>
              <w:ind w:firstLine="1"/>
              <w:contextualSpacing/>
              <w:jc w:val="both"/>
            </w:pPr>
            <w:r w:rsidRPr="00D53A2B">
              <w:t>0,5 – 4</w:t>
            </w:r>
          </w:p>
        </w:tc>
      </w:tr>
      <w:tr w:rsidR="0007690F" w:rsidRPr="00D53A2B" w14:paraId="648916BD" w14:textId="77777777" w:rsidTr="00507ACB">
        <w:trPr>
          <w:trHeight w:val="638"/>
        </w:trPr>
        <w:tc>
          <w:tcPr>
            <w:tcW w:w="53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84711" w14:textId="77777777" w:rsidR="0007690F" w:rsidRPr="00D53A2B" w:rsidRDefault="0007690F" w:rsidP="00A202FD">
            <w:pPr>
              <w:widowControl w:val="0"/>
              <w:spacing w:after="240" w:line="276" w:lineRule="auto"/>
              <w:ind w:firstLine="1"/>
              <w:contextualSpacing/>
              <w:jc w:val="both"/>
              <w:rPr>
                <w:b/>
                <w:bCs/>
              </w:rPr>
            </w:pPr>
            <w:r w:rsidRPr="00D53A2B">
              <w:rPr>
                <w:b/>
                <w:bCs/>
              </w:rPr>
              <w:t>Demir dışı metal dökümhaneleri</w:t>
            </w:r>
          </w:p>
          <w:p w14:paraId="1AFB3D02" w14:textId="77777777" w:rsidR="0007690F" w:rsidRPr="00D53A2B" w:rsidRDefault="0007690F" w:rsidP="00A202FD">
            <w:pPr>
              <w:widowControl w:val="0"/>
              <w:spacing w:after="240" w:line="276" w:lineRule="auto"/>
              <w:ind w:firstLine="1"/>
              <w:contextualSpacing/>
              <w:jc w:val="both"/>
              <w:rPr>
                <w:b/>
                <w:bCs/>
              </w:rPr>
            </w:pPr>
            <w:r w:rsidRPr="00D53A2B">
              <w:t>(</w:t>
            </w:r>
            <w:r w:rsidRPr="00D53A2B">
              <w:rPr>
                <w:b/>
                <w:bCs/>
              </w:rPr>
              <w:t>HPDC hariç tüm türler</w:t>
            </w:r>
            <w:r w:rsidRPr="00D53A2B">
              <w:t>)</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3360236F" w14:textId="77777777" w:rsidR="0007690F" w:rsidRPr="00D53A2B" w:rsidRDefault="0007690F" w:rsidP="00A202FD">
            <w:pPr>
              <w:widowControl w:val="0"/>
              <w:spacing w:after="240" w:line="276" w:lineRule="auto"/>
              <w:ind w:firstLine="1"/>
              <w:contextualSpacing/>
              <w:jc w:val="both"/>
            </w:pPr>
            <w:r w:rsidRPr="00D53A2B">
              <w:t>m³/sıvı metal tonajı</w:t>
            </w:r>
          </w:p>
          <w:p w14:paraId="0A3C2B86" w14:textId="77777777" w:rsidR="0007690F" w:rsidRPr="00D53A2B" w:rsidRDefault="0007690F" w:rsidP="00A202FD">
            <w:pPr>
              <w:widowControl w:val="0"/>
              <w:spacing w:after="240" w:line="276" w:lineRule="auto"/>
              <w:ind w:firstLine="1"/>
              <w:contextualSpacing/>
              <w:jc w:val="both"/>
            </w:pP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415E711F" w14:textId="77777777" w:rsidR="0007690F" w:rsidRPr="00D53A2B" w:rsidRDefault="0007690F" w:rsidP="00A202FD">
            <w:pPr>
              <w:widowControl w:val="0"/>
              <w:spacing w:after="240" w:line="276" w:lineRule="auto"/>
              <w:ind w:firstLine="1"/>
              <w:contextualSpacing/>
              <w:jc w:val="both"/>
            </w:pPr>
            <w:r w:rsidRPr="00D53A2B">
              <w:t>0,5 – 4</w:t>
            </w:r>
          </w:p>
          <w:p w14:paraId="5F268A00" w14:textId="77777777" w:rsidR="0007690F" w:rsidRPr="00D53A2B" w:rsidRDefault="0007690F" w:rsidP="00A202FD">
            <w:pPr>
              <w:widowControl w:val="0"/>
              <w:spacing w:after="240" w:line="276" w:lineRule="auto"/>
              <w:ind w:firstLine="1"/>
              <w:contextualSpacing/>
              <w:jc w:val="both"/>
            </w:pPr>
          </w:p>
        </w:tc>
      </w:tr>
      <w:tr w:rsidR="0007690F" w:rsidRPr="00D53A2B" w14:paraId="2B6B6FB2" w14:textId="77777777" w:rsidTr="00507ACB">
        <w:trPr>
          <w:trHeight w:val="319"/>
        </w:trPr>
        <w:tc>
          <w:tcPr>
            <w:tcW w:w="53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3A2A59" w14:textId="77777777" w:rsidR="0007690F" w:rsidRPr="00D53A2B" w:rsidRDefault="0007690F" w:rsidP="00A202FD">
            <w:pPr>
              <w:widowControl w:val="0"/>
              <w:spacing w:after="240" w:line="276" w:lineRule="auto"/>
              <w:ind w:firstLine="1"/>
              <w:contextualSpacing/>
              <w:jc w:val="both"/>
              <w:rPr>
                <w:b/>
                <w:bCs/>
              </w:rPr>
            </w:pPr>
            <w:r w:rsidRPr="00D53A2B">
              <w:rPr>
                <w:b/>
                <w:bCs/>
              </w:rPr>
              <w:t>Demir dışı metal HPDC dökümhaneleri</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2477826F" w14:textId="77777777" w:rsidR="0007690F" w:rsidRPr="00D53A2B" w:rsidRDefault="0007690F" w:rsidP="00A202FD">
            <w:pPr>
              <w:widowControl w:val="0"/>
              <w:spacing w:after="240" w:line="276" w:lineRule="auto"/>
              <w:ind w:firstLine="1"/>
              <w:contextualSpacing/>
              <w:jc w:val="both"/>
            </w:pPr>
            <w:r w:rsidRPr="00D53A2B">
              <w:t>m³/sıvı metal tonajı</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17D39798" w14:textId="77777777" w:rsidR="0007690F" w:rsidRPr="00D53A2B" w:rsidRDefault="0007690F" w:rsidP="00A202FD">
            <w:pPr>
              <w:widowControl w:val="0"/>
              <w:spacing w:after="240" w:line="276" w:lineRule="auto"/>
              <w:ind w:firstLine="1"/>
              <w:contextualSpacing/>
              <w:jc w:val="both"/>
            </w:pPr>
            <w:r w:rsidRPr="00D53A2B">
              <w:t>0,5 – 7</w:t>
            </w:r>
          </w:p>
        </w:tc>
      </w:tr>
    </w:tbl>
    <w:p w14:paraId="53A8D275" w14:textId="77777777" w:rsidR="0007690F" w:rsidRPr="00D53A2B" w:rsidRDefault="0007690F" w:rsidP="00A202FD">
      <w:pPr>
        <w:widowControl w:val="0"/>
        <w:spacing w:after="240" w:line="276" w:lineRule="auto"/>
        <w:ind w:firstLine="1"/>
        <w:contextualSpacing/>
        <w:jc w:val="both"/>
      </w:pPr>
      <w:r w:rsidRPr="00D53A2B">
        <w:t>İlgili izleme MET 6'da verilmiştir.</w:t>
      </w:r>
    </w:p>
    <w:p w14:paraId="0E9EC7B2" w14:textId="77777777" w:rsidR="0007690F" w:rsidRPr="00D53A2B" w:rsidRDefault="0007690F" w:rsidP="00A202FD">
      <w:pPr>
        <w:pStyle w:val="Balk4"/>
        <w:rPr>
          <w:rFonts w:cs="Times New Roman"/>
        </w:rPr>
      </w:pPr>
      <w:r w:rsidRPr="00D53A2B">
        <w:rPr>
          <w:rFonts w:cs="Times New Roman"/>
        </w:rPr>
        <w:t>1.2.1.16. Suyun Deşarj Edilmesi</w:t>
      </w:r>
    </w:p>
    <w:p w14:paraId="7C5FAE6F" w14:textId="23EE09C6" w:rsidR="0007690F" w:rsidRPr="00D53A2B" w:rsidRDefault="0007690F" w:rsidP="00A202FD">
      <w:pPr>
        <w:widowControl w:val="0"/>
        <w:spacing w:after="240" w:line="276" w:lineRule="auto"/>
        <w:ind w:firstLine="1"/>
        <w:contextualSpacing/>
        <w:jc w:val="both"/>
        <w:rPr>
          <w:b/>
          <w:bCs/>
        </w:rPr>
      </w:pPr>
      <w:r w:rsidRPr="00D53A2B">
        <w:rPr>
          <w:b/>
          <w:bCs/>
        </w:rPr>
        <w:t>MET 36. Suya olan emisyonları azaltmak için MET, aşağıda verilen tekniklerin uygun bir kombinasyonu kullanılarak atıksuyun arıtılmasını sağlamaktır.</w:t>
      </w:r>
    </w:p>
    <w:tbl>
      <w:tblPr>
        <w:tblStyle w:val="TabloKlavuzu1"/>
        <w:tblW w:w="9062" w:type="dxa"/>
        <w:tblLook w:val="04A0" w:firstRow="1" w:lastRow="0" w:firstColumn="1" w:lastColumn="0" w:noHBand="0" w:noVBand="1"/>
      </w:tblPr>
      <w:tblGrid>
        <w:gridCol w:w="4836"/>
        <w:gridCol w:w="4226"/>
      </w:tblGrid>
      <w:tr w:rsidR="0007690F" w:rsidRPr="00D53A2B" w14:paraId="518F3C0A" w14:textId="77777777" w:rsidTr="00507ACB">
        <w:trPr>
          <w:trHeight w:val="320"/>
        </w:trPr>
        <w:tc>
          <w:tcPr>
            <w:tcW w:w="4836" w:type="dxa"/>
            <w:noWrap/>
            <w:hideMark/>
          </w:tcPr>
          <w:p w14:paraId="7DB3D00E" w14:textId="77777777" w:rsidR="0007690F" w:rsidRPr="00D53A2B" w:rsidRDefault="0007690F" w:rsidP="00A202FD">
            <w:pPr>
              <w:widowControl w:val="0"/>
              <w:spacing w:after="240" w:line="276" w:lineRule="auto"/>
              <w:ind w:firstLine="1"/>
              <w:contextualSpacing/>
              <w:jc w:val="both"/>
              <w:rPr>
                <w:b/>
                <w:bCs/>
              </w:rPr>
            </w:pPr>
            <w:r w:rsidRPr="00D53A2B">
              <w:rPr>
                <w:b/>
                <w:bCs/>
              </w:rPr>
              <w:t xml:space="preserve">Teknik </w:t>
            </w:r>
          </w:p>
        </w:tc>
        <w:tc>
          <w:tcPr>
            <w:tcW w:w="4226" w:type="dxa"/>
            <w:noWrap/>
            <w:hideMark/>
          </w:tcPr>
          <w:p w14:paraId="7641B37A" w14:textId="77777777" w:rsidR="0007690F" w:rsidRPr="00D53A2B" w:rsidRDefault="0007690F" w:rsidP="00A202FD">
            <w:pPr>
              <w:widowControl w:val="0"/>
              <w:spacing w:after="240" w:line="276" w:lineRule="auto"/>
              <w:ind w:firstLine="1"/>
              <w:contextualSpacing/>
              <w:jc w:val="both"/>
              <w:rPr>
                <w:b/>
                <w:bCs/>
              </w:rPr>
            </w:pPr>
            <w:r w:rsidRPr="00D53A2B">
              <w:rPr>
                <w:b/>
                <w:bCs/>
              </w:rPr>
              <w:t>Hedeflenen Tipik Kirleticiler</w:t>
            </w:r>
          </w:p>
        </w:tc>
      </w:tr>
      <w:tr w:rsidR="0007690F" w:rsidRPr="00D53A2B" w14:paraId="4C516E8A" w14:textId="77777777" w:rsidTr="00507ACB">
        <w:trPr>
          <w:trHeight w:val="320"/>
        </w:trPr>
        <w:tc>
          <w:tcPr>
            <w:tcW w:w="4836" w:type="dxa"/>
            <w:noWrap/>
            <w:hideMark/>
          </w:tcPr>
          <w:p w14:paraId="7EFF3B0C" w14:textId="77777777" w:rsidR="0007690F" w:rsidRPr="00D53A2B" w:rsidRDefault="0007690F" w:rsidP="00A202FD">
            <w:pPr>
              <w:widowControl w:val="0"/>
              <w:spacing w:after="240" w:line="276" w:lineRule="auto"/>
              <w:ind w:firstLine="1"/>
              <w:contextualSpacing/>
              <w:jc w:val="both"/>
              <w:rPr>
                <w:b/>
                <w:bCs/>
              </w:rPr>
            </w:pPr>
            <w:r w:rsidRPr="00D53A2B">
              <w:rPr>
                <w:b/>
                <w:bCs/>
              </w:rPr>
              <w:t>Ön, birincil ve genel arıtma, örneğin:</w:t>
            </w:r>
          </w:p>
        </w:tc>
        <w:tc>
          <w:tcPr>
            <w:tcW w:w="4226" w:type="dxa"/>
            <w:noWrap/>
            <w:hideMark/>
          </w:tcPr>
          <w:p w14:paraId="20893F63"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79F8678E" w14:textId="77777777" w:rsidTr="00507ACB">
        <w:trPr>
          <w:trHeight w:val="320"/>
        </w:trPr>
        <w:tc>
          <w:tcPr>
            <w:tcW w:w="4836" w:type="dxa"/>
            <w:noWrap/>
            <w:hideMark/>
          </w:tcPr>
          <w:p w14:paraId="6B0A7919" w14:textId="77777777" w:rsidR="0007690F" w:rsidRPr="00D53A2B" w:rsidRDefault="0007690F" w:rsidP="00A202FD">
            <w:pPr>
              <w:widowControl w:val="0"/>
              <w:spacing w:after="240" w:line="276" w:lineRule="auto"/>
              <w:ind w:firstLine="1"/>
              <w:contextualSpacing/>
              <w:jc w:val="both"/>
              <w:rPr>
                <w:b/>
                <w:bCs/>
              </w:rPr>
            </w:pPr>
            <w:r w:rsidRPr="00D53A2B">
              <w:rPr>
                <w:b/>
                <w:bCs/>
              </w:rPr>
              <w:t>a.</w:t>
            </w:r>
            <w:r w:rsidRPr="00D53A2B">
              <w:t> Dengeleme</w:t>
            </w:r>
          </w:p>
        </w:tc>
        <w:tc>
          <w:tcPr>
            <w:tcW w:w="4226" w:type="dxa"/>
            <w:noWrap/>
            <w:hideMark/>
          </w:tcPr>
          <w:p w14:paraId="0BD4B38A" w14:textId="77777777" w:rsidR="0007690F" w:rsidRPr="00D53A2B" w:rsidRDefault="0007690F" w:rsidP="00A202FD">
            <w:pPr>
              <w:widowControl w:val="0"/>
              <w:spacing w:after="240" w:line="276" w:lineRule="auto"/>
              <w:ind w:firstLine="1"/>
              <w:contextualSpacing/>
              <w:jc w:val="both"/>
            </w:pPr>
            <w:r w:rsidRPr="00D53A2B">
              <w:t>Tüm kirleticiler</w:t>
            </w:r>
          </w:p>
        </w:tc>
      </w:tr>
      <w:tr w:rsidR="0007690F" w:rsidRPr="00D53A2B" w14:paraId="2428C3CF" w14:textId="77777777" w:rsidTr="00507ACB">
        <w:trPr>
          <w:trHeight w:val="320"/>
        </w:trPr>
        <w:tc>
          <w:tcPr>
            <w:tcW w:w="4836" w:type="dxa"/>
            <w:noWrap/>
            <w:hideMark/>
          </w:tcPr>
          <w:p w14:paraId="49A9BC27" w14:textId="77777777" w:rsidR="0007690F" w:rsidRPr="00D53A2B" w:rsidRDefault="0007690F" w:rsidP="00A202FD">
            <w:pPr>
              <w:widowControl w:val="0"/>
              <w:spacing w:after="240" w:line="276" w:lineRule="auto"/>
              <w:ind w:firstLine="1"/>
              <w:contextualSpacing/>
              <w:jc w:val="both"/>
              <w:rPr>
                <w:b/>
                <w:bCs/>
              </w:rPr>
            </w:pPr>
            <w:r w:rsidRPr="00D53A2B">
              <w:rPr>
                <w:b/>
                <w:bCs/>
              </w:rPr>
              <w:t>b.</w:t>
            </w:r>
            <w:r w:rsidRPr="00D53A2B">
              <w:t> Nötrleştirme</w:t>
            </w:r>
          </w:p>
        </w:tc>
        <w:tc>
          <w:tcPr>
            <w:tcW w:w="4226" w:type="dxa"/>
            <w:noWrap/>
            <w:hideMark/>
          </w:tcPr>
          <w:p w14:paraId="0FA410E4" w14:textId="77777777" w:rsidR="0007690F" w:rsidRPr="00D53A2B" w:rsidRDefault="0007690F" w:rsidP="00A202FD">
            <w:pPr>
              <w:widowControl w:val="0"/>
              <w:spacing w:after="240" w:line="276" w:lineRule="auto"/>
              <w:ind w:firstLine="1"/>
              <w:contextualSpacing/>
              <w:jc w:val="both"/>
            </w:pPr>
            <w:r w:rsidRPr="00D53A2B">
              <w:t>Asitler, alkali maddeler</w:t>
            </w:r>
          </w:p>
        </w:tc>
      </w:tr>
      <w:tr w:rsidR="0007690F" w:rsidRPr="00D53A2B" w14:paraId="57FD7D51" w14:textId="77777777" w:rsidTr="00507ACB">
        <w:trPr>
          <w:trHeight w:val="320"/>
        </w:trPr>
        <w:tc>
          <w:tcPr>
            <w:tcW w:w="4836" w:type="dxa"/>
            <w:noWrap/>
            <w:hideMark/>
          </w:tcPr>
          <w:p w14:paraId="4AECB2E4" w14:textId="3952171C" w:rsidR="0007690F" w:rsidRPr="00D53A2B" w:rsidRDefault="0007690F" w:rsidP="00A202FD">
            <w:pPr>
              <w:widowControl w:val="0"/>
              <w:spacing w:after="240" w:line="276" w:lineRule="auto"/>
              <w:ind w:firstLine="1"/>
              <w:contextualSpacing/>
              <w:jc w:val="both"/>
              <w:rPr>
                <w:b/>
                <w:bCs/>
              </w:rPr>
            </w:pPr>
            <w:r w:rsidRPr="00D53A2B">
              <w:rPr>
                <w:b/>
                <w:bCs/>
              </w:rPr>
              <w:t>c.</w:t>
            </w:r>
            <w:r w:rsidRPr="00D53A2B">
              <w:t xml:space="preserve"> Fiziksel ayrıştırma, örneğin ekranlar, elekler, kum </w:t>
            </w:r>
            <w:r w:rsidR="008D07F8">
              <w:t>tutucu</w:t>
            </w:r>
            <w:r w:rsidRPr="00D53A2B">
              <w:t>lar, yağ ayırıcılar, hidroklonlar, yağ-su ayırıcılar veya birincil çökelme tankları ile</w:t>
            </w:r>
          </w:p>
        </w:tc>
        <w:tc>
          <w:tcPr>
            <w:tcW w:w="4226" w:type="dxa"/>
            <w:noWrap/>
            <w:hideMark/>
          </w:tcPr>
          <w:p w14:paraId="7597B4BC" w14:textId="77777777" w:rsidR="0007690F" w:rsidRPr="00D53A2B" w:rsidRDefault="0007690F" w:rsidP="00A202FD">
            <w:pPr>
              <w:widowControl w:val="0"/>
              <w:spacing w:after="240" w:line="276" w:lineRule="auto"/>
              <w:ind w:firstLine="1"/>
              <w:contextualSpacing/>
              <w:jc w:val="both"/>
            </w:pPr>
            <w:r w:rsidRPr="00D53A2B">
              <w:t>Büyük katı maddeler, askıda katı maddeler, yağ/yağlı maddeler</w:t>
            </w:r>
          </w:p>
        </w:tc>
      </w:tr>
      <w:tr w:rsidR="0007690F" w:rsidRPr="00D53A2B" w14:paraId="627B4415" w14:textId="77777777" w:rsidTr="00507ACB">
        <w:trPr>
          <w:trHeight w:val="320"/>
        </w:trPr>
        <w:tc>
          <w:tcPr>
            <w:tcW w:w="4836" w:type="dxa"/>
            <w:noWrap/>
            <w:hideMark/>
          </w:tcPr>
          <w:p w14:paraId="32BD715B" w14:textId="77777777" w:rsidR="0007690F" w:rsidRPr="00D53A2B" w:rsidRDefault="0007690F" w:rsidP="00A202FD">
            <w:pPr>
              <w:widowControl w:val="0"/>
              <w:spacing w:after="240" w:line="276" w:lineRule="auto"/>
              <w:ind w:firstLine="1"/>
              <w:contextualSpacing/>
              <w:jc w:val="both"/>
              <w:rPr>
                <w:b/>
                <w:bCs/>
              </w:rPr>
            </w:pPr>
            <w:r w:rsidRPr="00D53A2B">
              <w:rPr>
                <w:b/>
                <w:bCs/>
              </w:rPr>
              <w:t>Fiziko-kimyasal arıtma, örneğin:</w:t>
            </w:r>
          </w:p>
        </w:tc>
        <w:tc>
          <w:tcPr>
            <w:tcW w:w="4226" w:type="dxa"/>
            <w:noWrap/>
            <w:hideMark/>
          </w:tcPr>
          <w:p w14:paraId="28B27D3D"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0F24401D" w14:textId="77777777" w:rsidTr="00507ACB">
        <w:trPr>
          <w:trHeight w:val="320"/>
        </w:trPr>
        <w:tc>
          <w:tcPr>
            <w:tcW w:w="4836" w:type="dxa"/>
            <w:noWrap/>
            <w:hideMark/>
          </w:tcPr>
          <w:p w14:paraId="2DEFB8F0" w14:textId="77777777" w:rsidR="0007690F" w:rsidRPr="00D53A2B" w:rsidRDefault="0007690F" w:rsidP="00A202FD">
            <w:pPr>
              <w:widowControl w:val="0"/>
              <w:spacing w:after="240" w:line="276" w:lineRule="auto"/>
              <w:ind w:firstLine="1"/>
              <w:contextualSpacing/>
              <w:jc w:val="both"/>
              <w:rPr>
                <w:b/>
                <w:bCs/>
              </w:rPr>
            </w:pPr>
            <w:r w:rsidRPr="00D53A2B">
              <w:rPr>
                <w:b/>
                <w:bCs/>
              </w:rPr>
              <w:t>d.</w:t>
            </w:r>
            <w:r w:rsidRPr="00D53A2B">
              <w:t>Adsorpsiyon</w:t>
            </w:r>
          </w:p>
        </w:tc>
        <w:tc>
          <w:tcPr>
            <w:tcW w:w="4226" w:type="dxa"/>
            <w:noWrap/>
            <w:hideMark/>
          </w:tcPr>
          <w:p w14:paraId="6096AAD3" w14:textId="77777777" w:rsidR="0007690F" w:rsidRPr="00D53A2B" w:rsidRDefault="0007690F" w:rsidP="00A202FD">
            <w:pPr>
              <w:widowControl w:val="0"/>
              <w:spacing w:after="240" w:line="276" w:lineRule="auto"/>
              <w:ind w:firstLine="1"/>
              <w:contextualSpacing/>
              <w:jc w:val="both"/>
            </w:pPr>
            <w:r w:rsidRPr="00D53A2B">
              <w:t>Adsorbe edilebilir çözünmüş biyolojik olarak parçalanmayan veya inhibitör kirleticiler, örneğin hidrokarbonlar, cıva, AOX</w:t>
            </w:r>
          </w:p>
        </w:tc>
      </w:tr>
      <w:tr w:rsidR="0007690F" w:rsidRPr="00D53A2B" w14:paraId="04CA4F46" w14:textId="77777777" w:rsidTr="00507ACB">
        <w:trPr>
          <w:trHeight w:val="320"/>
        </w:trPr>
        <w:tc>
          <w:tcPr>
            <w:tcW w:w="4836" w:type="dxa"/>
            <w:noWrap/>
            <w:hideMark/>
          </w:tcPr>
          <w:p w14:paraId="7CBC5BBE" w14:textId="77777777" w:rsidR="0007690F" w:rsidRPr="00D53A2B" w:rsidRDefault="0007690F" w:rsidP="00A202FD">
            <w:pPr>
              <w:widowControl w:val="0"/>
              <w:spacing w:after="240" w:line="276" w:lineRule="auto"/>
              <w:ind w:firstLine="1"/>
              <w:contextualSpacing/>
              <w:jc w:val="both"/>
              <w:rPr>
                <w:b/>
                <w:bCs/>
              </w:rPr>
            </w:pPr>
            <w:r w:rsidRPr="00D53A2B">
              <w:rPr>
                <w:b/>
                <w:bCs/>
              </w:rPr>
              <w:t>e.</w:t>
            </w:r>
            <w:r w:rsidRPr="00D53A2B">
              <w:t> Kimyasal çöktürme</w:t>
            </w:r>
          </w:p>
        </w:tc>
        <w:tc>
          <w:tcPr>
            <w:tcW w:w="4226" w:type="dxa"/>
            <w:noWrap/>
            <w:hideMark/>
          </w:tcPr>
          <w:p w14:paraId="6118859A" w14:textId="77777777" w:rsidR="0007690F" w:rsidRPr="00D53A2B" w:rsidRDefault="0007690F" w:rsidP="00A202FD">
            <w:pPr>
              <w:widowControl w:val="0"/>
              <w:spacing w:after="240" w:line="276" w:lineRule="auto"/>
              <w:ind w:firstLine="1"/>
              <w:contextualSpacing/>
              <w:jc w:val="both"/>
            </w:pPr>
            <w:r w:rsidRPr="00D53A2B">
              <w:t>Çökelebilir çözünmüş biyolojik olarak parçalanmayan veya inhibitör kirleticiler, örneğin metaller, florür</w:t>
            </w:r>
          </w:p>
        </w:tc>
      </w:tr>
      <w:tr w:rsidR="0007690F" w:rsidRPr="00D53A2B" w14:paraId="706D6A22" w14:textId="77777777" w:rsidTr="00507ACB">
        <w:trPr>
          <w:trHeight w:val="320"/>
        </w:trPr>
        <w:tc>
          <w:tcPr>
            <w:tcW w:w="4836" w:type="dxa"/>
            <w:noWrap/>
            <w:hideMark/>
          </w:tcPr>
          <w:p w14:paraId="604FDA3D" w14:textId="77777777" w:rsidR="0007690F" w:rsidRPr="00D53A2B" w:rsidRDefault="0007690F" w:rsidP="00A202FD">
            <w:pPr>
              <w:widowControl w:val="0"/>
              <w:spacing w:after="240" w:line="276" w:lineRule="auto"/>
              <w:ind w:firstLine="1"/>
              <w:contextualSpacing/>
              <w:jc w:val="both"/>
              <w:rPr>
                <w:b/>
                <w:bCs/>
              </w:rPr>
            </w:pPr>
            <w:r w:rsidRPr="00D53A2B">
              <w:rPr>
                <w:b/>
                <w:bCs/>
              </w:rPr>
              <w:t>f.</w:t>
            </w:r>
            <w:r w:rsidRPr="00D53A2B">
              <w:t> Buharlaşma</w:t>
            </w:r>
          </w:p>
        </w:tc>
        <w:tc>
          <w:tcPr>
            <w:tcW w:w="4226" w:type="dxa"/>
            <w:noWrap/>
            <w:hideMark/>
          </w:tcPr>
          <w:p w14:paraId="72743DA2" w14:textId="77777777" w:rsidR="0007690F" w:rsidRPr="00D53A2B" w:rsidRDefault="0007690F" w:rsidP="00A202FD">
            <w:pPr>
              <w:widowControl w:val="0"/>
              <w:spacing w:after="240" w:line="276" w:lineRule="auto"/>
              <w:ind w:firstLine="1"/>
              <w:contextualSpacing/>
              <w:jc w:val="both"/>
            </w:pPr>
            <w:r w:rsidRPr="00D53A2B">
              <w:t>Çözünür kontaminantlar, örneğin tuzlar</w:t>
            </w:r>
          </w:p>
        </w:tc>
      </w:tr>
      <w:tr w:rsidR="0007690F" w:rsidRPr="00D53A2B" w14:paraId="06DB7BBB" w14:textId="77777777" w:rsidTr="00507ACB">
        <w:trPr>
          <w:trHeight w:val="320"/>
        </w:trPr>
        <w:tc>
          <w:tcPr>
            <w:tcW w:w="4836" w:type="dxa"/>
            <w:noWrap/>
            <w:hideMark/>
          </w:tcPr>
          <w:p w14:paraId="308D84FA" w14:textId="77777777" w:rsidR="0007690F" w:rsidRPr="00D53A2B" w:rsidRDefault="0007690F" w:rsidP="00A202FD">
            <w:pPr>
              <w:widowControl w:val="0"/>
              <w:spacing w:after="240" w:line="276" w:lineRule="auto"/>
              <w:ind w:firstLine="1"/>
              <w:contextualSpacing/>
              <w:jc w:val="both"/>
              <w:rPr>
                <w:b/>
                <w:bCs/>
              </w:rPr>
            </w:pPr>
            <w:r w:rsidRPr="00D53A2B">
              <w:rPr>
                <w:b/>
                <w:bCs/>
              </w:rPr>
              <w:t>Biyolojik arıtma, örneğin:</w:t>
            </w:r>
          </w:p>
        </w:tc>
        <w:tc>
          <w:tcPr>
            <w:tcW w:w="4226" w:type="dxa"/>
            <w:noWrap/>
            <w:hideMark/>
          </w:tcPr>
          <w:p w14:paraId="40333094"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7C0DE4C7" w14:textId="77777777" w:rsidTr="00507ACB">
        <w:trPr>
          <w:trHeight w:val="320"/>
        </w:trPr>
        <w:tc>
          <w:tcPr>
            <w:tcW w:w="4836" w:type="dxa"/>
            <w:noWrap/>
            <w:hideMark/>
          </w:tcPr>
          <w:p w14:paraId="2D265FDE" w14:textId="77777777" w:rsidR="0007690F" w:rsidRPr="00D53A2B" w:rsidRDefault="0007690F" w:rsidP="00A202FD">
            <w:pPr>
              <w:widowControl w:val="0"/>
              <w:spacing w:after="240" w:line="276" w:lineRule="auto"/>
              <w:ind w:firstLine="1"/>
              <w:contextualSpacing/>
              <w:jc w:val="both"/>
              <w:rPr>
                <w:b/>
                <w:bCs/>
              </w:rPr>
            </w:pPr>
            <w:r w:rsidRPr="00D53A2B">
              <w:rPr>
                <w:b/>
                <w:bCs/>
              </w:rPr>
              <w:t>g.</w:t>
            </w:r>
            <w:r w:rsidRPr="00D53A2B">
              <w:t> Aktif çamur prosesi</w:t>
            </w:r>
          </w:p>
        </w:tc>
        <w:tc>
          <w:tcPr>
            <w:tcW w:w="4226" w:type="dxa"/>
            <w:noWrap/>
            <w:hideMark/>
          </w:tcPr>
          <w:p w14:paraId="3438A490" w14:textId="77777777" w:rsidR="0007690F" w:rsidRPr="00D53A2B" w:rsidRDefault="0007690F" w:rsidP="00A202FD">
            <w:pPr>
              <w:widowControl w:val="0"/>
              <w:spacing w:after="240" w:line="276" w:lineRule="auto"/>
              <w:ind w:firstLine="1"/>
              <w:contextualSpacing/>
              <w:jc w:val="both"/>
            </w:pPr>
            <w:r w:rsidRPr="00D53A2B">
              <w:t>Biyolojik olarak parçalanabilir organik bileşikler</w:t>
            </w:r>
          </w:p>
        </w:tc>
      </w:tr>
      <w:tr w:rsidR="0007690F" w:rsidRPr="00D53A2B" w14:paraId="4171AE9E" w14:textId="77777777" w:rsidTr="00507ACB">
        <w:trPr>
          <w:trHeight w:val="320"/>
        </w:trPr>
        <w:tc>
          <w:tcPr>
            <w:tcW w:w="4836" w:type="dxa"/>
            <w:noWrap/>
            <w:hideMark/>
          </w:tcPr>
          <w:p w14:paraId="3C0E9689" w14:textId="77777777" w:rsidR="0007690F" w:rsidRPr="00D53A2B" w:rsidRDefault="0007690F" w:rsidP="00A202FD">
            <w:pPr>
              <w:widowControl w:val="0"/>
              <w:spacing w:after="240" w:line="276" w:lineRule="auto"/>
              <w:ind w:firstLine="1"/>
              <w:contextualSpacing/>
              <w:jc w:val="both"/>
              <w:rPr>
                <w:b/>
                <w:bCs/>
              </w:rPr>
            </w:pPr>
            <w:r w:rsidRPr="00D53A2B">
              <w:rPr>
                <w:b/>
                <w:bCs/>
              </w:rPr>
              <w:t>h.</w:t>
            </w:r>
            <w:r w:rsidRPr="00D53A2B">
              <w:t> Membran biyoreaktör</w:t>
            </w:r>
          </w:p>
        </w:tc>
        <w:tc>
          <w:tcPr>
            <w:tcW w:w="4226" w:type="dxa"/>
            <w:noWrap/>
            <w:hideMark/>
          </w:tcPr>
          <w:p w14:paraId="16B1E382" w14:textId="77777777" w:rsidR="0007690F" w:rsidRPr="00D53A2B" w:rsidRDefault="0007690F" w:rsidP="00A202FD">
            <w:pPr>
              <w:widowControl w:val="0"/>
              <w:spacing w:after="240" w:line="276" w:lineRule="auto"/>
              <w:ind w:firstLine="1"/>
              <w:contextualSpacing/>
              <w:jc w:val="both"/>
            </w:pPr>
            <w:r w:rsidRPr="00D53A2B">
              <w:t>Katıların uzaklaştırılması</w:t>
            </w:r>
          </w:p>
        </w:tc>
      </w:tr>
      <w:tr w:rsidR="0007690F" w:rsidRPr="00D53A2B" w14:paraId="72AF603E" w14:textId="77777777" w:rsidTr="00507ACB">
        <w:trPr>
          <w:trHeight w:val="320"/>
        </w:trPr>
        <w:tc>
          <w:tcPr>
            <w:tcW w:w="4836" w:type="dxa"/>
            <w:noWrap/>
            <w:hideMark/>
          </w:tcPr>
          <w:p w14:paraId="4144CCAC" w14:textId="77777777" w:rsidR="0007690F" w:rsidRPr="00D53A2B" w:rsidRDefault="0007690F" w:rsidP="00A202FD">
            <w:pPr>
              <w:widowControl w:val="0"/>
              <w:spacing w:after="240" w:line="276" w:lineRule="auto"/>
              <w:ind w:firstLine="1"/>
              <w:contextualSpacing/>
              <w:jc w:val="both"/>
              <w:rPr>
                <w:b/>
                <w:bCs/>
              </w:rPr>
            </w:pPr>
            <w:r w:rsidRPr="00D53A2B">
              <w:rPr>
                <w:b/>
                <w:bCs/>
              </w:rPr>
              <w:t>Katıların giderilmesi, örneğin:</w:t>
            </w:r>
          </w:p>
        </w:tc>
        <w:tc>
          <w:tcPr>
            <w:tcW w:w="4226" w:type="dxa"/>
            <w:noWrap/>
            <w:hideMark/>
          </w:tcPr>
          <w:p w14:paraId="076CC432"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23BD88F3" w14:textId="77777777" w:rsidTr="00507ACB">
        <w:trPr>
          <w:trHeight w:val="320"/>
        </w:trPr>
        <w:tc>
          <w:tcPr>
            <w:tcW w:w="4836" w:type="dxa"/>
            <w:noWrap/>
            <w:hideMark/>
          </w:tcPr>
          <w:p w14:paraId="4D0C1F90" w14:textId="77777777" w:rsidR="0007690F" w:rsidRPr="00D53A2B" w:rsidRDefault="0007690F" w:rsidP="00A202FD">
            <w:pPr>
              <w:widowControl w:val="0"/>
              <w:spacing w:after="240" w:line="276" w:lineRule="auto"/>
              <w:ind w:firstLine="1"/>
              <w:contextualSpacing/>
              <w:jc w:val="both"/>
              <w:rPr>
                <w:b/>
                <w:bCs/>
              </w:rPr>
            </w:pPr>
            <w:r w:rsidRPr="00D53A2B">
              <w:rPr>
                <w:b/>
                <w:bCs/>
              </w:rPr>
              <w:t>i.</w:t>
            </w:r>
            <w:r w:rsidRPr="00D53A2B">
              <w:t> Koagülasyon ve flokülasyon</w:t>
            </w:r>
          </w:p>
        </w:tc>
        <w:tc>
          <w:tcPr>
            <w:tcW w:w="4226" w:type="dxa"/>
            <w:noWrap/>
            <w:hideMark/>
          </w:tcPr>
          <w:p w14:paraId="6523A6A9" w14:textId="77777777" w:rsidR="0007690F" w:rsidRPr="00D53A2B" w:rsidRDefault="0007690F" w:rsidP="00A202FD">
            <w:pPr>
              <w:widowControl w:val="0"/>
              <w:spacing w:after="240" w:line="276" w:lineRule="auto"/>
              <w:ind w:firstLine="1"/>
              <w:contextualSpacing/>
              <w:jc w:val="both"/>
            </w:pPr>
            <w:r w:rsidRPr="00D53A2B">
              <w:t>Askıda katı maddeler ve partiküle bağlı metaller</w:t>
            </w:r>
          </w:p>
        </w:tc>
      </w:tr>
      <w:tr w:rsidR="0007690F" w:rsidRPr="00D53A2B" w14:paraId="4F28D8E1" w14:textId="77777777" w:rsidTr="00507ACB">
        <w:trPr>
          <w:trHeight w:val="320"/>
        </w:trPr>
        <w:tc>
          <w:tcPr>
            <w:tcW w:w="4836" w:type="dxa"/>
            <w:noWrap/>
            <w:hideMark/>
          </w:tcPr>
          <w:p w14:paraId="393B86CE" w14:textId="77777777" w:rsidR="0007690F" w:rsidRPr="00D53A2B" w:rsidRDefault="0007690F" w:rsidP="00A202FD">
            <w:pPr>
              <w:widowControl w:val="0"/>
              <w:spacing w:after="240" w:line="276" w:lineRule="auto"/>
              <w:ind w:firstLine="1"/>
              <w:contextualSpacing/>
              <w:jc w:val="both"/>
              <w:rPr>
                <w:b/>
                <w:bCs/>
              </w:rPr>
            </w:pPr>
            <w:r w:rsidRPr="00D53A2B">
              <w:rPr>
                <w:b/>
                <w:bCs/>
              </w:rPr>
              <w:t>j.</w:t>
            </w:r>
            <w:r w:rsidRPr="00D53A2B">
              <w:t> Çökelme</w:t>
            </w:r>
          </w:p>
        </w:tc>
        <w:tc>
          <w:tcPr>
            <w:tcW w:w="4226" w:type="dxa"/>
            <w:noWrap/>
            <w:hideMark/>
          </w:tcPr>
          <w:p w14:paraId="3BAF4CFA" w14:textId="77777777" w:rsidR="0007690F" w:rsidRPr="00D53A2B" w:rsidRDefault="0007690F" w:rsidP="00A202FD">
            <w:pPr>
              <w:widowControl w:val="0"/>
              <w:spacing w:after="240" w:line="276" w:lineRule="auto"/>
              <w:ind w:firstLine="1"/>
              <w:contextualSpacing/>
              <w:jc w:val="both"/>
            </w:pPr>
            <w:r w:rsidRPr="00D53A2B">
              <w:t>Askıda katı maddeler ve partiküle bağlı metaller veya biyolojik olarak parçalanmayan/inhibitör kirleticiler</w:t>
            </w:r>
          </w:p>
        </w:tc>
      </w:tr>
      <w:tr w:rsidR="0007690F" w:rsidRPr="00D53A2B" w14:paraId="6F762D71" w14:textId="77777777" w:rsidTr="00507ACB">
        <w:trPr>
          <w:trHeight w:val="320"/>
        </w:trPr>
        <w:tc>
          <w:tcPr>
            <w:tcW w:w="4836" w:type="dxa"/>
            <w:noWrap/>
            <w:hideMark/>
          </w:tcPr>
          <w:p w14:paraId="6D150335" w14:textId="77777777" w:rsidR="0007690F" w:rsidRPr="00D53A2B" w:rsidRDefault="0007690F" w:rsidP="00A202FD">
            <w:pPr>
              <w:widowControl w:val="0"/>
              <w:spacing w:after="240" w:line="276" w:lineRule="auto"/>
              <w:ind w:firstLine="1"/>
              <w:contextualSpacing/>
              <w:jc w:val="both"/>
              <w:rPr>
                <w:b/>
                <w:bCs/>
              </w:rPr>
            </w:pPr>
            <w:r w:rsidRPr="00D53A2B">
              <w:rPr>
                <w:b/>
                <w:bCs/>
              </w:rPr>
              <w:t>k.</w:t>
            </w:r>
            <w:r w:rsidRPr="00D53A2B">
              <w:t> Filtrasyon, örneğin kum filtrasyonu, mikrofiltrasyon, ultrafiltrasyon, ters ozmoz</w:t>
            </w:r>
          </w:p>
        </w:tc>
        <w:tc>
          <w:tcPr>
            <w:tcW w:w="4226" w:type="dxa"/>
            <w:noWrap/>
            <w:hideMark/>
          </w:tcPr>
          <w:p w14:paraId="5A28EF6E" w14:textId="77777777" w:rsidR="0007690F" w:rsidRPr="00D53A2B" w:rsidRDefault="0007690F" w:rsidP="00A202FD">
            <w:pPr>
              <w:widowControl w:val="0"/>
              <w:spacing w:after="240" w:line="276" w:lineRule="auto"/>
              <w:ind w:firstLine="1"/>
              <w:contextualSpacing/>
              <w:jc w:val="both"/>
            </w:pPr>
            <w:r w:rsidRPr="00D53A2B">
              <w:t>Askıda katı maddeler ve partiküle bağlı metaller</w:t>
            </w:r>
          </w:p>
        </w:tc>
      </w:tr>
      <w:tr w:rsidR="0007690F" w:rsidRPr="00D53A2B" w14:paraId="5CCE9C2D" w14:textId="77777777" w:rsidTr="00507ACB">
        <w:trPr>
          <w:trHeight w:val="320"/>
        </w:trPr>
        <w:tc>
          <w:tcPr>
            <w:tcW w:w="4836" w:type="dxa"/>
            <w:noWrap/>
            <w:hideMark/>
          </w:tcPr>
          <w:p w14:paraId="23BA4A21" w14:textId="77777777" w:rsidR="0007690F" w:rsidRPr="00D53A2B" w:rsidRDefault="0007690F" w:rsidP="00A202FD">
            <w:pPr>
              <w:widowControl w:val="0"/>
              <w:spacing w:after="240" w:line="276" w:lineRule="auto"/>
              <w:ind w:firstLine="1"/>
              <w:contextualSpacing/>
              <w:jc w:val="both"/>
              <w:rPr>
                <w:b/>
                <w:bCs/>
              </w:rPr>
            </w:pPr>
            <w:r w:rsidRPr="00D53A2B">
              <w:rPr>
                <w:b/>
                <w:bCs/>
              </w:rPr>
              <w:t>l.</w:t>
            </w:r>
            <w:r w:rsidRPr="00D53A2B">
              <w:t> Flotasyon</w:t>
            </w:r>
          </w:p>
        </w:tc>
        <w:tc>
          <w:tcPr>
            <w:tcW w:w="4226" w:type="dxa"/>
            <w:noWrap/>
            <w:hideMark/>
          </w:tcPr>
          <w:p w14:paraId="3CBA940D" w14:textId="77777777" w:rsidR="0007690F" w:rsidRPr="00D53A2B" w:rsidRDefault="0007690F" w:rsidP="00A202FD">
            <w:pPr>
              <w:widowControl w:val="0"/>
              <w:spacing w:after="240" w:line="276" w:lineRule="auto"/>
              <w:ind w:firstLine="1"/>
              <w:contextualSpacing/>
              <w:jc w:val="both"/>
            </w:pPr>
            <w:r w:rsidRPr="00D53A2B">
              <w:t> </w:t>
            </w:r>
          </w:p>
        </w:tc>
      </w:tr>
    </w:tbl>
    <w:p w14:paraId="7D4A41EF" w14:textId="77777777" w:rsidR="0007690F" w:rsidRPr="00D53A2B" w:rsidRDefault="0007690F" w:rsidP="00A202FD">
      <w:pPr>
        <w:widowControl w:val="0"/>
        <w:spacing w:after="240" w:line="276" w:lineRule="auto"/>
        <w:ind w:firstLine="1"/>
        <w:contextualSpacing/>
        <w:jc w:val="both"/>
      </w:pPr>
    </w:p>
    <w:p w14:paraId="24D07AFE" w14:textId="77777777" w:rsidR="0007690F" w:rsidRPr="00D53A2B" w:rsidRDefault="0007690F" w:rsidP="00A202FD">
      <w:pPr>
        <w:widowControl w:val="0"/>
        <w:spacing w:after="240" w:line="276" w:lineRule="auto"/>
        <w:ind w:firstLine="1"/>
        <w:contextualSpacing/>
        <w:jc w:val="both"/>
      </w:pPr>
      <w:r w:rsidRPr="00D53A2B">
        <w:rPr>
          <w:b/>
          <w:bCs/>
        </w:rPr>
        <w:t>Tablo 1.16</w:t>
      </w:r>
    </w:p>
    <w:p w14:paraId="6D0B1DD7" w14:textId="3952B13B" w:rsidR="0007690F" w:rsidRPr="00D53A2B" w:rsidRDefault="0007690F" w:rsidP="00A202FD">
      <w:pPr>
        <w:widowControl w:val="0"/>
        <w:spacing w:after="240" w:line="276" w:lineRule="auto"/>
        <w:ind w:firstLine="1"/>
        <w:contextualSpacing/>
        <w:jc w:val="both"/>
      </w:pPr>
      <w:r w:rsidRPr="00D53A2B">
        <w:rPr>
          <w:b/>
          <w:bCs/>
        </w:rPr>
        <w:t>Doğrudan Deşarjlar İçin MET’a Dayalı Emisyon Seviyeleri (</w:t>
      </w:r>
      <w:r w:rsidR="00831B53" w:rsidRPr="00D53A2B">
        <w:rPr>
          <w:b/>
          <w:bCs/>
        </w:rPr>
        <w:t>MET-İES</w:t>
      </w:r>
      <w:r w:rsidRPr="00D53A2B">
        <w:rPr>
          <w:b/>
          <w:bCs/>
        </w:rPr>
        <w:t>)</w:t>
      </w:r>
    </w:p>
    <w:tbl>
      <w:tblPr>
        <w:tblW w:w="9150" w:type="dxa"/>
        <w:tblCellMar>
          <w:left w:w="70" w:type="dxa"/>
          <w:right w:w="70" w:type="dxa"/>
        </w:tblCellMar>
        <w:tblLook w:val="04A0" w:firstRow="1" w:lastRow="0" w:firstColumn="1" w:lastColumn="0" w:noHBand="0" w:noVBand="1"/>
      </w:tblPr>
      <w:tblGrid>
        <w:gridCol w:w="1216"/>
        <w:gridCol w:w="848"/>
        <w:gridCol w:w="901"/>
        <w:gridCol w:w="1087"/>
        <w:gridCol w:w="5098"/>
      </w:tblGrid>
      <w:tr w:rsidR="0007690F" w:rsidRPr="00D53A2B" w14:paraId="0ED4F222" w14:textId="77777777" w:rsidTr="00790B11">
        <w:trPr>
          <w:trHeight w:val="320"/>
        </w:trPr>
        <w:tc>
          <w:tcPr>
            <w:tcW w:w="206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84AA74" w14:textId="77777777" w:rsidR="0007690F" w:rsidRPr="00D53A2B" w:rsidRDefault="0007690F" w:rsidP="00A202FD">
            <w:pPr>
              <w:widowControl w:val="0"/>
              <w:spacing w:after="240" w:line="276" w:lineRule="auto"/>
              <w:ind w:firstLine="1"/>
              <w:contextualSpacing/>
              <w:jc w:val="both"/>
              <w:rPr>
                <w:b/>
                <w:bCs/>
              </w:rPr>
            </w:pPr>
            <w:r w:rsidRPr="00D53A2B">
              <w:rPr>
                <w:b/>
                <w:bCs/>
              </w:rPr>
              <w:t>Madde/Parametre</w:t>
            </w:r>
          </w:p>
        </w:tc>
        <w:tc>
          <w:tcPr>
            <w:tcW w:w="901" w:type="dxa"/>
            <w:tcBorders>
              <w:top w:val="single" w:sz="4" w:space="0" w:color="auto"/>
              <w:left w:val="nil"/>
              <w:bottom w:val="single" w:sz="4" w:space="0" w:color="auto"/>
              <w:right w:val="single" w:sz="4" w:space="0" w:color="auto"/>
            </w:tcBorders>
            <w:shd w:val="clear" w:color="auto" w:fill="auto"/>
            <w:noWrap/>
            <w:vAlign w:val="bottom"/>
            <w:hideMark/>
          </w:tcPr>
          <w:p w14:paraId="228C0CF8"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71DA3DFD" w14:textId="4E47C456" w:rsidR="0007690F" w:rsidRPr="00D53A2B" w:rsidRDefault="00831B53" w:rsidP="00A202FD">
            <w:pPr>
              <w:widowControl w:val="0"/>
              <w:spacing w:after="240" w:line="276" w:lineRule="auto"/>
              <w:ind w:firstLine="1"/>
              <w:contextualSpacing/>
              <w:jc w:val="both"/>
              <w:rPr>
                <w:b/>
                <w:bCs/>
              </w:rPr>
            </w:pPr>
            <w:r w:rsidRPr="00D53A2B">
              <w:rPr>
                <w:b/>
                <w:bCs/>
              </w:rPr>
              <w:t>MET-İES</w:t>
            </w:r>
            <w:r w:rsidR="002D2BDB" w:rsidRPr="00D53A2B">
              <w:rPr>
                <w:b/>
                <w:bCs/>
              </w:rPr>
              <w:t>(1)(2)</w:t>
            </w:r>
          </w:p>
        </w:tc>
        <w:tc>
          <w:tcPr>
            <w:tcW w:w="5098" w:type="dxa"/>
            <w:tcBorders>
              <w:top w:val="single" w:sz="4" w:space="0" w:color="auto"/>
              <w:left w:val="nil"/>
              <w:bottom w:val="single" w:sz="4" w:space="0" w:color="auto"/>
              <w:right w:val="single" w:sz="4" w:space="0" w:color="auto"/>
            </w:tcBorders>
            <w:shd w:val="clear" w:color="auto" w:fill="auto"/>
            <w:noWrap/>
            <w:vAlign w:val="bottom"/>
            <w:hideMark/>
          </w:tcPr>
          <w:p w14:paraId="5C890014" w14:textId="7BB6DA5E" w:rsidR="0007690F" w:rsidRPr="00D53A2B" w:rsidRDefault="0007690F" w:rsidP="00A202FD">
            <w:pPr>
              <w:widowControl w:val="0"/>
              <w:spacing w:after="240" w:line="276" w:lineRule="auto"/>
              <w:ind w:firstLine="1"/>
              <w:contextualSpacing/>
              <w:jc w:val="both"/>
              <w:rPr>
                <w:b/>
                <w:bCs/>
              </w:rPr>
            </w:pPr>
            <w:r w:rsidRPr="00D53A2B">
              <w:rPr>
                <w:b/>
                <w:bCs/>
              </w:rPr>
              <w:t>Atık</w:t>
            </w:r>
            <w:r w:rsidR="008447ED">
              <w:rPr>
                <w:b/>
                <w:bCs/>
              </w:rPr>
              <w:t>s</w:t>
            </w:r>
            <w:r w:rsidRPr="00D53A2B">
              <w:rPr>
                <w:b/>
                <w:bCs/>
              </w:rPr>
              <w:t>u Akışının Kaynağı</w:t>
            </w:r>
          </w:p>
        </w:tc>
      </w:tr>
      <w:tr w:rsidR="0007690F" w:rsidRPr="00D53A2B" w14:paraId="489E1D5E" w14:textId="77777777" w:rsidTr="00790B11">
        <w:trPr>
          <w:trHeight w:val="320"/>
        </w:trPr>
        <w:tc>
          <w:tcPr>
            <w:tcW w:w="2064" w:type="dxa"/>
            <w:gridSpan w:val="2"/>
            <w:tcBorders>
              <w:top w:val="nil"/>
              <w:left w:val="single" w:sz="4" w:space="0" w:color="auto"/>
              <w:bottom w:val="single" w:sz="4" w:space="0" w:color="auto"/>
              <w:right w:val="single" w:sz="4" w:space="0" w:color="auto"/>
            </w:tcBorders>
            <w:shd w:val="clear" w:color="auto" w:fill="auto"/>
            <w:noWrap/>
            <w:vAlign w:val="bottom"/>
            <w:hideMark/>
          </w:tcPr>
          <w:p w14:paraId="1A59C74A" w14:textId="5EA5148E" w:rsidR="0007690F" w:rsidRPr="00D53A2B" w:rsidRDefault="0007690F" w:rsidP="00A202FD">
            <w:pPr>
              <w:widowControl w:val="0"/>
              <w:spacing w:after="240" w:line="276" w:lineRule="auto"/>
              <w:ind w:firstLine="1"/>
              <w:contextualSpacing/>
              <w:jc w:val="both"/>
            </w:pPr>
            <w:r w:rsidRPr="00D53A2B">
              <w:t>Adsorbe edilebilir organik bağlı halojenler (AOX)</w:t>
            </w:r>
            <w:r w:rsidR="004E04D8" w:rsidRPr="00D53A2B">
              <w:t>(3)</w:t>
            </w:r>
          </w:p>
        </w:tc>
        <w:tc>
          <w:tcPr>
            <w:tcW w:w="901" w:type="dxa"/>
            <w:tcBorders>
              <w:top w:val="nil"/>
              <w:left w:val="nil"/>
              <w:bottom w:val="single" w:sz="4" w:space="0" w:color="auto"/>
              <w:right w:val="single" w:sz="4" w:space="0" w:color="auto"/>
            </w:tcBorders>
            <w:shd w:val="clear" w:color="auto" w:fill="auto"/>
            <w:noWrap/>
            <w:vAlign w:val="bottom"/>
            <w:hideMark/>
          </w:tcPr>
          <w:p w14:paraId="013F198F" w14:textId="77777777" w:rsidR="0007690F" w:rsidRPr="00D53A2B" w:rsidRDefault="0007690F" w:rsidP="00A202FD">
            <w:pPr>
              <w:widowControl w:val="0"/>
              <w:spacing w:after="240" w:line="276" w:lineRule="auto"/>
              <w:ind w:firstLine="1"/>
              <w:contextualSpacing/>
              <w:jc w:val="both"/>
            </w:pPr>
            <w:r w:rsidRPr="00D53A2B">
              <w:t>mg/l</w:t>
            </w:r>
          </w:p>
        </w:tc>
        <w:tc>
          <w:tcPr>
            <w:tcW w:w="1087" w:type="dxa"/>
            <w:tcBorders>
              <w:top w:val="nil"/>
              <w:left w:val="nil"/>
              <w:bottom w:val="single" w:sz="4" w:space="0" w:color="auto"/>
              <w:right w:val="single" w:sz="4" w:space="0" w:color="auto"/>
            </w:tcBorders>
            <w:shd w:val="clear" w:color="auto" w:fill="auto"/>
            <w:noWrap/>
            <w:vAlign w:val="bottom"/>
            <w:hideMark/>
          </w:tcPr>
          <w:p w14:paraId="6CC434D9" w14:textId="77777777" w:rsidR="0007690F" w:rsidRPr="00D53A2B" w:rsidRDefault="0007690F" w:rsidP="00A202FD">
            <w:pPr>
              <w:widowControl w:val="0"/>
              <w:spacing w:after="240" w:line="276" w:lineRule="auto"/>
              <w:ind w:firstLine="1"/>
              <w:contextualSpacing/>
              <w:jc w:val="both"/>
            </w:pPr>
            <w:r w:rsidRPr="00D53A2B">
              <w:t>0,1 – 1</w:t>
            </w:r>
          </w:p>
        </w:tc>
        <w:tc>
          <w:tcPr>
            <w:tcW w:w="5098" w:type="dxa"/>
            <w:tcBorders>
              <w:top w:val="nil"/>
              <w:left w:val="nil"/>
              <w:bottom w:val="single" w:sz="4" w:space="0" w:color="auto"/>
              <w:right w:val="single" w:sz="4" w:space="0" w:color="auto"/>
            </w:tcBorders>
            <w:shd w:val="clear" w:color="auto" w:fill="auto"/>
            <w:noWrap/>
            <w:vAlign w:val="bottom"/>
            <w:hideMark/>
          </w:tcPr>
          <w:p w14:paraId="3E2C67FD" w14:textId="77777777" w:rsidR="0007690F" w:rsidRPr="00D53A2B" w:rsidRDefault="0007690F" w:rsidP="00A202FD">
            <w:pPr>
              <w:widowControl w:val="0"/>
              <w:spacing w:after="240" w:line="276" w:lineRule="auto"/>
              <w:ind w:firstLine="1"/>
              <w:contextualSpacing/>
              <w:jc w:val="both"/>
            </w:pPr>
            <w:r w:rsidRPr="00D53A2B">
              <w:t>Kupol baca gazlarının ıslak yıkanması</w:t>
            </w:r>
          </w:p>
        </w:tc>
      </w:tr>
      <w:tr w:rsidR="0007690F" w:rsidRPr="00D53A2B" w14:paraId="49F5094B" w14:textId="77777777" w:rsidTr="00790B11">
        <w:trPr>
          <w:trHeight w:val="320"/>
        </w:trPr>
        <w:tc>
          <w:tcPr>
            <w:tcW w:w="2064"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D96B6C" w14:textId="4110419D" w:rsidR="0007690F" w:rsidRPr="00D53A2B" w:rsidRDefault="0007690F" w:rsidP="00A202FD">
            <w:pPr>
              <w:widowControl w:val="0"/>
              <w:spacing w:after="240" w:line="276" w:lineRule="auto"/>
              <w:ind w:firstLine="1"/>
              <w:contextualSpacing/>
              <w:jc w:val="both"/>
            </w:pPr>
            <w:r w:rsidRPr="00D53A2B">
              <w:t>Kimyasal oksijen ihtiyacı (COD)</w:t>
            </w:r>
            <w:r w:rsidR="004E04D8" w:rsidRPr="00D53A2B">
              <w:t>(3)</w:t>
            </w:r>
          </w:p>
        </w:tc>
        <w:tc>
          <w:tcPr>
            <w:tcW w:w="901" w:type="dxa"/>
            <w:tcBorders>
              <w:top w:val="nil"/>
              <w:left w:val="nil"/>
              <w:bottom w:val="single" w:sz="4" w:space="0" w:color="auto"/>
              <w:right w:val="single" w:sz="4" w:space="0" w:color="auto"/>
            </w:tcBorders>
            <w:shd w:val="clear" w:color="auto" w:fill="auto"/>
            <w:noWrap/>
            <w:vAlign w:val="bottom"/>
            <w:hideMark/>
          </w:tcPr>
          <w:p w14:paraId="53FB0AFD" w14:textId="77777777" w:rsidR="0007690F" w:rsidRPr="00D53A2B" w:rsidRDefault="0007690F" w:rsidP="00A202FD">
            <w:pPr>
              <w:widowControl w:val="0"/>
              <w:spacing w:after="240" w:line="276" w:lineRule="auto"/>
              <w:ind w:firstLine="1"/>
              <w:contextualSpacing/>
              <w:jc w:val="both"/>
            </w:pPr>
            <w:r w:rsidRPr="00D53A2B">
              <w:t>mg/l</w:t>
            </w:r>
          </w:p>
        </w:tc>
        <w:tc>
          <w:tcPr>
            <w:tcW w:w="1087" w:type="dxa"/>
            <w:tcBorders>
              <w:top w:val="nil"/>
              <w:left w:val="nil"/>
              <w:bottom w:val="single" w:sz="4" w:space="0" w:color="auto"/>
              <w:right w:val="single" w:sz="4" w:space="0" w:color="auto"/>
            </w:tcBorders>
            <w:shd w:val="clear" w:color="auto" w:fill="auto"/>
            <w:noWrap/>
            <w:vAlign w:val="bottom"/>
            <w:hideMark/>
          </w:tcPr>
          <w:p w14:paraId="60E17662" w14:textId="77777777" w:rsidR="0007690F" w:rsidRPr="00D53A2B" w:rsidRDefault="0007690F" w:rsidP="00A202FD">
            <w:pPr>
              <w:widowControl w:val="0"/>
              <w:spacing w:after="240" w:line="276" w:lineRule="auto"/>
              <w:ind w:firstLine="1"/>
              <w:contextualSpacing/>
              <w:jc w:val="both"/>
            </w:pPr>
            <w:r w:rsidRPr="00D53A2B">
              <w:t>25 – 120</w:t>
            </w:r>
          </w:p>
        </w:tc>
        <w:tc>
          <w:tcPr>
            <w:tcW w:w="5098" w:type="dxa"/>
            <w:vMerge w:val="restart"/>
            <w:tcBorders>
              <w:top w:val="nil"/>
              <w:left w:val="nil"/>
              <w:right w:val="single" w:sz="4" w:space="0" w:color="auto"/>
            </w:tcBorders>
            <w:shd w:val="clear" w:color="auto" w:fill="auto"/>
            <w:noWrap/>
            <w:vAlign w:val="bottom"/>
            <w:hideMark/>
          </w:tcPr>
          <w:p w14:paraId="44876BB6" w14:textId="77777777" w:rsidR="0007690F" w:rsidRPr="00D53A2B" w:rsidRDefault="0007690F" w:rsidP="00A202FD">
            <w:pPr>
              <w:widowControl w:val="0"/>
              <w:spacing w:after="240" w:line="276" w:lineRule="auto"/>
              <w:ind w:firstLine="1"/>
              <w:contextualSpacing/>
              <w:jc w:val="both"/>
            </w:pPr>
            <w:r w:rsidRPr="00D53A2B">
              <w:t>Döküm, baca gazı arıtımı (ör. ıslak yıkama), yüzey işlemi, ısıl işlem, kontamine yüzey akıntı suyu, doğrudan soğutma, ıslak kum rejenerasyonu ve kupol fırını cüruf granülasyonu</w:t>
            </w:r>
          </w:p>
          <w:p w14:paraId="1A3C045B" w14:textId="77777777" w:rsidR="0007690F" w:rsidRPr="00D53A2B" w:rsidRDefault="0007690F" w:rsidP="00A202FD">
            <w:pPr>
              <w:widowControl w:val="0"/>
              <w:spacing w:after="240" w:line="276" w:lineRule="auto"/>
              <w:ind w:firstLine="1"/>
              <w:contextualSpacing/>
              <w:jc w:val="both"/>
            </w:pPr>
          </w:p>
          <w:p w14:paraId="0B7FC55E" w14:textId="77777777" w:rsidR="0007690F" w:rsidRPr="00D53A2B" w:rsidRDefault="0007690F" w:rsidP="00A202FD">
            <w:pPr>
              <w:widowControl w:val="0"/>
              <w:spacing w:after="240" w:line="276" w:lineRule="auto"/>
              <w:ind w:firstLine="1"/>
              <w:contextualSpacing/>
              <w:jc w:val="both"/>
            </w:pPr>
          </w:p>
          <w:p w14:paraId="3FC3645D" w14:textId="77777777" w:rsidR="0007690F" w:rsidRPr="00D53A2B" w:rsidRDefault="0007690F" w:rsidP="00A202FD">
            <w:pPr>
              <w:widowControl w:val="0"/>
              <w:spacing w:after="240" w:line="276" w:lineRule="auto"/>
              <w:ind w:firstLine="1"/>
              <w:contextualSpacing/>
              <w:jc w:val="both"/>
            </w:pPr>
          </w:p>
          <w:p w14:paraId="45EE2CFC" w14:textId="77777777" w:rsidR="0007690F" w:rsidRPr="00D53A2B" w:rsidRDefault="0007690F" w:rsidP="00A202FD">
            <w:pPr>
              <w:widowControl w:val="0"/>
              <w:spacing w:after="240" w:line="276" w:lineRule="auto"/>
              <w:ind w:firstLine="1"/>
              <w:contextualSpacing/>
              <w:jc w:val="both"/>
            </w:pPr>
          </w:p>
          <w:p w14:paraId="5D409A49" w14:textId="77777777" w:rsidR="0007690F" w:rsidRPr="00D53A2B" w:rsidRDefault="0007690F" w:rsidP="00A202FD">
            <w:pPr>
              <w:widowControl w:val="0"/>
              <w:spacing w:after="240" w:line="276" w:lineRule="auto"/>
              <w:ind w:firstLine="1"/>
              <w:contextualSpacing/>
              <w:jc w:val="both"/>
            </w:pPr>
          </w:p>
          <w:p w14:paraId="126BBB16" w14:textId="77777777" w:rsidR="0007690F" w:rsidRPr="00D53A2B" w:rsidRDefault="0007690F" w:rsidP="00A202FD">
            <w:pPr>
              <w:widowControl w:val="0"/>
              <w:spacing w:after="240" w:line="276" w:lineRule="auto"/>
              <w:ind w:firstLine="1"/>
              <w:contextualSpacing/>
              <w:jc w:val="both"/>
            </w:pPr>
          </w:p>
        </w:tc>
      </w:tr>
      <w:tr w:rsidR="0007690F" w:rsidRPr="00D53A2B" w14:paraId="00CE6AAF" w14:textId="77777777" w:rsidTr="00790B11">
        <w:trPr>
          <w:trHeight w:val="320"/>
        </w:trPr>
        <w:tc>
          <w:tcPr>
            <w:tcW w:w="2064" w:type="dxa"/>
            <w:gridSpan w:val="2"/>
            <w:tcBorders>
              <w:top w:val="nil"/>
              <w:left w:val="single" w:sz="4" w:space="0" w:color="auto"/>
              <w:bottom w:val="single" w:sz="4" w:space="0" w:color="auto"/>
              <w:right w:val="single" w:sz="4" w:space="0" w:color="auto"/>
            </w:tcBorders>
            <w:shd w:val="clear" w:color="auto" w:fill="auto"/>
            <w:noWrap/>
            <w:vAlign w:val="bottom"/>
            <w:hideMark/>
          </w:tcPr>
          <w:p w14:paraId="587254F7" w14:textId="77777777" w:rsidR="0007690F" w:rsidRPr="00D53A2B" w:rsidRDefault="0007690F" w:rsidP="00A202FD">
            <w:pPr>
              <w:widowControl w:val="0"/>
              <w:spacing w:after="240" w:line="276" w:lineRule="auto"/>
              <w:ind w:firstLine="1"/>
              <w:contextualSpacing/>
              <w:jc w:val="both"/>
            </w:pPr>
            <w:r w:rsidRPr="00D53A2B">
              <w:t>Toplam organik karbon (TOC)</w:t>
            </w:r>
          </w:p>
        </w:tc>
        <w:tc>
          <w:tcPr>
            <w:tcW w:w="901" w:type="dxa"/>
            <w:tcBorders>
              <w:top w:val="nil"/>
              <w:left w:val="nil"/>
              <w:bottom w:val="single" w:sz="4" w:space="0" w:color="auto"/>
              <w:right w:val="single" w:sz="4" w:space="0" w:color="auto"/>
            </w:tcBorders>
            <w:shd w:val="clear" w:color="auto" w:fill="auto"/>
            <w:noWrap/>
            <w:vAlign w:val="bottom"/>
            <w:hideMark/>
          </w:tcPr>
          <w:p w14:paraId="353275F3" w14:textId="77777777" w:rsidR="0007690F" w:rsidRPr="00D53A2B" w:rsidRDefault="0007690F" w:rsidP="00A202FD">
            <w:pPr>
              <w:widowControl w:val="0"/>
              <w:spacing w:after="240" w:line="276" w:lineRule="auto"/>
              <w:ind w:firstLine="1"/>
              <w:contextualSpacing/>
              <w:jc w:val="both"/>
            </w:pPr>
            <w:r w:rsidRPr="00D53A2B">
              <w:t>mg/l</w:t>
            </w:r>
          </w:p>
        </w:tc>
        <w:tc>
          <w:tcPr>
            <w:tcW w:w="1087" w:type="dxa"/>
            <w:tcBorders>
              <w:top w:val="nil"/>
              <w:left w:val="nil"/>
              <w:bottom w:val="single" w:sz="4" w:space="0" w:color="auto"/>
              <w:right w:val="single" w:sz="4" w:space="0" w:color="auto"/>
            </w:tcBorders>
            <w:shd w:val="clear" w:color="auto" w:fill="auto"/>
            <w:noWrap/>
            <w:vAlign w:val="bottom"/>
            <w:hideMark/>
          </w:tcPr>
          <w:p w14:paraId="6BE3CC88" w14:textId="77777777" w:rsidR="0007690F" w:rsidRPr="00D53A2B" w:rsidRDefault="0007690F" w:rsidP="00A202FD">
            <w:pPr>
              <w:widowControl w:val="0"/>
              <w:spacing w:after="240" w:line="276" w:lineRule="auto"/>
              <w:ind w:firstLine="1"/>
              <w:contextualSpacing/>
              <w:jc w:val="both"/>
            </w:pPr>
            <w:r w:rsidRPr="00D53A2B">
              <w:t>8 – 40</w:t>
            </w:r>
          </w:p>
        </w:tc>
        <w:tc>
          <w:tcPr>
            <w:tcW w:w="5098" w:type="dxa"/>
            <w:vMerge/>
            <w:tcBorders>
              <w:left w:val="nil"/>
              <w:right w:val="single" w:sz="4" w:space="0" w:color="auto"/>
            </w:tcBorders>
            <w:shd w:val="clear" w:color="auto" w:fill="auto"/>
            <w:noWrap/>
            <w:vAlign w:val="bottom"/>
            <w:hideMark/>
          </w:tcPr>
          <w:p w14:paraId="1D2A74C5" w14:textId="77777777" w:rsidR="0007690F" w:rsidRPr="00D53A2B" w:rsidRDefault="0007690F" w:rsidP="00A202FD">
            <w:pPr>
              <w:widowControl w:val="0"/>
              <w:spacing w:after="240" w:line="276" w:lineRule="auto"/>
              <w:ind w:firstLine="1"/>
              <w:contextualSpacing/>
              <w:jc w:val="both"/>
            </w:pPr>
          </w:p>
        </w:tc>
      </w:tr>
      <w:tr w:rsidR="0007690F" w:rsidRPr="00D53A2B" w14:paraId="4920CB71" w14:textId="77777777" w:rsidTr="00790B11">
        <w:trPr>
          <w:trHeight w:val="320"/>
        </w:trPr>
        <w:tc>
          <w:tcPr>
            <w:tcW w:w="2064"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DF6922" w14:textId="77777777" w:rsidR="0007690F" w:rsidRPr="00D53A2B" w:rsidRDefault="0007690F" w:rsidP="00A202FD">
            <w:pPr>
              <w:widowControl w:val="0"/>
              <w:spacing w:after="240" w:line="276" w:lineRule="auto"/>
              <w:ind w:firstLine="1"/>
              <w:contextualSpacing/>
              <w:jc w:val="both"/>
            </w:pPr>
            <w:r w:rsidRPr="00D53A2B">
              <w:t>Toplam askıda katı madde (TSS)</w:t>
            </w:r>
          </w:p>
        </w:tc>
        <w:tc>
          <w:tcPr>
            <w:tcW w:w="901" w:type="dxa"/>
            <w:tcBorders>
              <w:top w:val="nil"/>
              <w:left w:val="nil"/>
              <w:bottom w:val="single" w:sz="4" w:space="0" w:color="auto"/>
              <w:right w:val="single" w:sz="4" w:space="0" w:color="auto"/>
            </w:tcBorders>
            <w:shd w:val="clear" w:color="auto" w:fill="auto"/>
            <w:noWrap/>
            <w:vAlign w:val="bottom"/>
            <w:hideMark/>
          </w:tcPr>
          <w:p w14:paraId="5AD1019C" w14:textId="77777777" w:rsidR="0007690F" w:rsidRPr="00D53A2B" w:rsidRDefault="0007690F" w:rsidP="00A202FD">
            <w:pPr>
              <w:widowControl w:val="0"/>
              <w:spacing w:after="240" w:line="276" w:lineRule="auto"/>
              <w:ind w:firstLine="1"/>
              <w:contextualSpacing/>
              <w:jc w:val="both"/>
            </w:pPr>
            <w:r w:rsidRPr="00D53A2B">
              <w:t>mg/l</w:t>
            </w:r>
          </w:p>
        </w:tc>
        <w:tc>
          <w:tcPr>
            <w:tcW w:w="1087" w:type="dxa"/>
            <w:tcBorders>
              <w:top w:val="nil"/>
              <w:left w:val="nil"/>
              <w:bottom w:val="single" w:sz="4" w:space="0" w:color="auto"/>
              <w:right w:val="single" w:sz="4" w:space="0" w:color="auto"/>
            </w:tcBorders>
            <w:shd w:val="clear" w:color="auto" w:fill="auto"/>
            <w:noWrap/>
            <w:vAlign w:val="bottom"/>
            <w:hideMark/>
          </w:tcPr>
          <w:p w14:paraId="1F37B539" w14:textId="77777777" w:rsidR="0007690F" w:rsidRPr="00D53A2B" w:rsidRDefault="0007690F" w:rsidP="00A202FD">
            <w:pPr>
              <w:widowControl w:val="0"/>
              <w:spacing w:after="240" w:line="276" w:lineRule="auto"/>
              <w:ind w:firstLine="1"/>
              <w:contextualSpacing/>
              <w:jc w:val="both"/>
            </w:pPr>
            <w:r w:rsidRPr="00D53A2B">
              <w:t>5 – 25</w:t>
            </w:r>
          </w:p>
        </w:tc>
        <w:tc>
          <w:tcPr>
            <w:tcW w:w="5098" w:type="dxa"/>
            <w:vMerge/>
            <w:tcBorders>
              <w:left w:val="nil"/>
              <w:right w:val="single" w:sz="4" w:space="0" w:color="auto"/>
            </w:tcBorders>
            <w:shd w:val="clear" w:color="auto" w:fill="auto"/>
            <w:noWrap/>
            <w:vAlign w:val="bottom"/>
            <w:hideMark/>
          </w:tcPr>
          <w:p w14:paraId="37300AF3" w14:textId="77777777" w:rsidR="0007690F" w:rsidRPr="00D53A2B" w:rsidRDefault="0007690F" w:rsidP="00A202FD">
            <w:pPr>
              <w:widowControl w:val="0"/>
              <w:spacing w:after="240" w:line="276" w:lineRule="auto"/>
              <w:ind w:firstLine="1"/>
              <w:contextualSpacing/>
              <w:jc w:val="both"/>
            </w:pPr>
          </w:p>
        </w:tc>
      </w:tr>
      <w:tr w:rsidR="0007690F" w:rsidRPr="00D53A2B" w14:paraId="11FDFC2A" w14:textId="77777777" w:rsidTr="00790B11">
        <w:trPr>
          <w:trHeight w:val="320"/>
        </w:trPr>
        <w:tc>
          <w:tcPr>
            <w:tcW w:w="2064"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298C9D" w14:textId="77777777" w:rsidR="0007690F" w:rsidRPr="00D53A2B" w:rsidRDefault="0007690F" w:rsidP="00A202FD">
            <w:pPr>
              <w:widowControl w:val="0"/>
              <w:spacing w:after="240" w:line="276" w:lineRule="auto"/>
              <w:ind w:firstLine="1"/>
              <w:contextualSpacing/>
              <w:jc w:val="both"/>
            </w:pPr>
            <w:r w:rsidRPr="00D53A2B">
              <w:t>Hidrokarbon yağ indeksi (HOI)</w:t>
            </w:r>
          </w:p>
        </w:tc>
        <w:tc>
          <w:tcPr>
            <w:tcW w:w="901" w:type="dxa"/>
            <w:tcBorders>
              <w:top w:val="nil"/>
              <w:left w:val="nil"/>
              <w:bottom w:val="single" w:sz="4" w:space="0" w:color="auto"/>
              <w:right w:val="single" w:sz="4" w:space="0" w:color="auto"/>
            </w:tcBorders>
            <w:shd w:val="clear" w:color="auto" w:fill="auto"/>
            <w:noWrap/>
            <w:vAlign w:val="bottom"/>
            <w:hideMark/>
          </w:tcPr>
          <w:p w14:paraId="77041F59" w14:textId="77777777" w:rsidR="0007690F" w:rsidRPr="00D53A2B" w:rsidRDefault="0007690F" w:rsidP="00A202FD">
            <w:pPr>
              <w:widowControl w:val="0"/>
              <w:spacing w:after="240" w:line="276" w:lineRule="auto"/>
              <w:ind w:firstLine="1"/>
              <w:contextualSpacing/>
              <w:jc w:val="both"/>
            </w:pPr>
            <w:r w:rsidRPr="00D53A2B">
              <w:t>mg/l</w:t>
            </w:r>
          </w:p>
        </w:tc>
        <w:tc>
          <w:tcPr>
            <w:tcW w:w="1087" w:type="dxa"/>
            <w:tcBorders>
              <w:top w:val="nil"/>
              <w:left w:val="nil"/>
              <w:bottom w:val="single" w:sz="4" w:space="0" w:color="auto"/>
              <w:right w:val="single" w:sz="4" w:space="0" w:color="auto"/>
            </w:tcBorders>
            <w:shd w:val="clear" w:color="auto" w:fill="auto"/>
            <w:noWrap/>
            <w:vAlign w:val="bottom"/>
            <w:hideMark/>
          </w:tcPr>
          <w:p w14:paraId="7433A200" w14:textId="77777777" w:rsidR="0007690F" w:rsidRPr="00D53A2B" w:rsidRDefault="0007690F" w:rsidP="00A202FD">
            <w:pPr>
              <w:widowControl w:val="0"/>
              <w:spacing w:after="240" w:line="276" w:lineRule="auto"/>
              <w:ind w:firstLine="1"/>
              <w:contextualSpacing/>
              <w:jc w:val="both"/>
            </w:pPr>
            <w:r w:rsidRPr="00D53A2B">
              <w:t>0,1 – 5</w:t>
            </w:r>
          </w:p>
        </w:tc>
        <w:tc>
          <w:tcPr>
            <w:tcW w:w="5098" w:type="dxa"/>
            <w:vMerge/>
            <w:tcBorders>
              <w:left w:val="nil"/>
              <w:right w:val="single" w:sz="4" w:space="0" w:color="auto"/>
            </w:tcBorders>
            <w:shd w:val="clear" w:color="auto" w:fill="auto"/>
            <w:noWrap/>
            <w:vAlign w:val="bottom"/>
            <w:hideMark/>
          </w:tcPr>
          <w:p w14:paraId="7BDABFD3" w14:textId="77777777" w:rsidR="0007690F" w:rsidRPr="00D53A2B" w:rsidRDefault="0007690F" w:rsidP="00A202FD">
            <w:pPr>
              <w:widowControl w:val="0"/>
              <w:spacing w:after="240" w:line="276" w:lineRule="auto"/>
              <w:ind w:firstLine="1"/>
              <w:contextualSpacing/>
              <w:jc w:val="both"/>
            </w:pPr>
          </w:p>
        </w:tc>
      </w:tr>
      <w:tr w:rsidR="0007690F" w:rsidRPr="00D53A2B" w14:paraId="69465384" w14:textId="77777777" w:rsidTr="00790B11">
        <w:trPr>
          <w:trHeight w:val="39"/>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14:paraId="57BF8A22" w14:textId="77777777" w:rsidR="0007690F" w:rsidRPr="00D53A2B" w:rsidRDefault="0007690F" w:rsidP="00A202FD">
            <w:pPr>
              <w:widowControl w:val="0"/>
              <w:spacing w:after="240" w:line="276" w:lineRule="auto"/>
              <w:ind w:firstLine="1"/>
              <w:contextualSpacing/>
              <w:jc w:val="both"/>
              <w:rPr>
                <w:b/>
                <w:bCs/>
              </w:rPr>
            </w:pPr>
            <w:r w:rsidRPr="00D53A2B">
              <w:rPr>
                <w:b/>
                <w:bCs/>
              </w:rPr>
              <w:t>Metaller</w:t>
            </w:r>
          </w:p>
        </w:tc>
        <w:tc>
          <w:tcPr>
            <w:tcW w:w="848" w:type="dxa"/>
            <w:tcBorders>
              <w:top w:val="nil"/>
              <w:left w:val="single" w:sz="4" w:space="0" w:color="auto"/>
              <w:bottom w:val="single" w:sz="4" w:space="0" w:color="auto"/>
              <w:right w:val="single" w:sz="4" w:space="0" w:color="auto"/>
            </w:tcBorders>
            <w:shd w:val="clear" w:color="auto" w:fill="auto"/>
            <w:vAlign w:val="bottom"/>
          </w:tcPr>
          <w:p w14:paraId="6A232100" w14:textId="77777777" w:rsidR="0007690F" w:rsidRPr="00D53A2B" w:rsidRDefault="0007690F" w:rsidP="00A202FD">
            <w:pPr>
              <w:widowControl w:val="0"/>
              <w:spacing w:after="240" w:line="276" w:lineRule="auto"/>
              <w:ind w:firstLine="1"/>
              <w:contextualSpacing/>
              <w:jc w:val="both"/>
              <w:rPr>
                <w:b/>
                <w:bCs/>
              </w:rPr>
            </w:pPr>
            <w:r w:rsidRPr="00D53A2B">
              <w:t>Bakır (Cu)</w:t>
            </w:r>
          </w:p>
        </w:tc>
        <w:tc>
          <w:tcPr>
            <w:tcW w:w="901" w:type="dxa"/>
            <w:vMerge w:val="restart"/>
            <w:tcBorders>
              <w:top w:val="nil"/>
              <w:left w:val="nil"/>
              <w:right w:val="single" w:sz="4" w:space="0" w:color="auto"/>
            </w:tcBorders>
            <w:shd w:val="clear" w:color="auto" w:fill="auto"/>
            <w:noWrap/>
            <w:vAlign w:val="bottom"/>
            <w:hideMark/>
          </w:tcPr>
          <w:p w14:paraId="60B5F75B" w14:textId="77777777" w:rsidR="0007690F" w:rsidRPr="00D53A2B" w:rsidRDefault="0007690F" w:rsidP="00A202FD">
            <w:pPr>
              <w:widowControl w:val="0"/>
              <w:spacing w:after="240" w:line="276" w:lineRule="auto"/>
              <w:ind w:firstLine="1"/>
              <w:contextualSpacing/>
              <w:jc w:val="both"/>
            </w:pPr>
            <w:r w:rsidRPr="00D53A2B">
              <w:t> mg/l</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3FDF4FA6" w14:textId="77777777" w:rsidR="0007690F" w:rsidRPr="00D53A2B" w:rsidRDefault="0007690F" w:rsidP="00A202FD">
            <w:pPr>
              <w:widowControl w:val="0"/>
              <w:spacing w:after="240" w:line="276" w:lineRule="auto"/>
              <w:ind w:firstLine="1"/>
              <w:contextualSpacing/>
              <w:jc w:val="both"/>
            </w:pPr>
            <w:r w:rsidRPr="00D53A2B">
              <w:t>0,1 – 0,4</w:t>
            </w:r>
          </w:p>
          <w:p w14:paraId="74FF7B3A" w14:textId="77777777" w:rsidR="0007690F" w:rsidRPr="00D53A2B" w:rsidRDefault="0007690F" w:rsidP="00A202FD">
            <w:pPr>
              <w:widowControl w:val="0"/>
              <w:spacing w:after="240" w:line="276" w:lineRule="auto"/>
              <w:ind w:firstLine="1"/>
              <w:contextualSpacing/>
              <w:jc w:val="both"/>
            </w:pPr>
          </w:p>
        </w:tc>
        <w:tc>
          <w:tcPr>
            <w:tcW w:w="5098" w:type="dxa"/>
            <w:vMerge/>
            <w:tcBorders>
              <w:left w:val="nil"/>
              <w:right w:val="single" w:sz="4" w:space="0" w:color="auto"/>
            </w:tcBorders>
            <w:shd w:val="clear" w:color="auto" w:fill="auto"/>
            <w:noWrap/>
            <w:vAlign w:val="bottom"/>
            <w:hideMark/>
          </w:tcPr>
          <w:p w14:paraId="08275DCE" w14:textId="77777777" w:rsidR="0007690F" w:rsidRPr="00D53A2B" w:rsidRDefault="0007690F" w:rsidP="00A202FD">
            <w:pPr>
              <w:widowControl w:val="0"/>
              <w:spacing w:after="240" w:line="276" w:lineRule="auto"/>
              <w:ind w:firstLine="1"/>
              <w:contextualSpacing/>
              <w:jc w:val="both"/>
            </w:pPr>
          </w:p>
        </w:tc>
      </w:tr>
      <w:tr w:rsidR="0007690F" w:rsidRPr="00D53A2B" w14:paraId="2C851B0B" w14:textId="77777777" w:rsidTr="00790B11">
        <w:trPr>
          <w:trHeight w:val="39"/>
        </w:trPr>
        <w:tc>
          <w:tcPr>
            <w:tcW w:w="1216" w:type="dxa"/>
            <w:tcBorders>
              <w:top w:val="nil"/>
              <w:left w:val="single" w:sz="4" w:space="0" w:color="auto"/>
              <w:bottom w:val="single" w:sz="4" w:space="0" w:color="auto"/>
              <w:right w:val="single" w:sz="4" w:space="0" w:color="auto"/>
            </w:tcBorders>
            <w:shd w:val="clear" w:color="auto" w:fill="auto"/>
            <w:noWrap/>
            <w:vAlign w:val="bottom"/>
          </w:tcPr>
          <w:p w14:paraId="49FEEB2F" w14:textId="77777777" w:rsidR="0007690F" w:rsidRPr="00D53A2B" w:rsidRDefault="0007690F" w:rsidP="00A202FD">
            <w:pPr>
              <w:widowControl w:val="0"/>
              <w:spacing w:after="240" w:line="276" w:lineRule="auto"/>
              <w:ind w:firstLine="1"/>
              <w:contextualSpacing/>
              <w:jc w:val="both"/>
              <w:rPr>
                <w:b/>
                <w:bCs/>
              </w:rPr>
            </w:pPr>
          </w:p>
        </w:tc>
        <w:tc>
          <w:tcPr>
            <w:tcW w:w="848" w:type="dxa"/>
            <w:tcBorders>
              <w:top w:val="nil"/>
              <w:left w:val="single" w:sz="4" w:space="0" w:color="auto"/>
              <w:bottom w:val="single" w:sz="4" w:space="0" w:color="auto"/>
              <w:right w:val="single" w:sz="4" w:space="0" w:color="auto"/>
            </w:tcBorders>
            <w:shd w:val="clear" w:color="auto" w:fill="auto"/>
            <w:vAlign w:val="bottom"/>
          </w:tcPr>
          <w:p w14:paraId="53914A0E" w14:textId="77777777" w:rsidR="0007690F" w:rsidRPr="00D53A2B" w:rsidRDefault="0007690F" w:rsidP="00A202FD">
            <w:pPr>
              <w:widowControl w:val="0"/>
              <w:spacing w:after="240" w:line="276" w:lineRule="auto"/>
              <w:ind w:firstLine="1"/>
              <w:contextualSpacing/>
              <w:jc w:val="both"/>
              <w:rPr>
                <w:b/>
                <w:bCs/>
              </w:rPr>
            </w:pPr>
            <w:r w:rsidRPr="00D53A2B">
              <w:t>Krom (Cr)</w:t>
            </w:r>
          </w:p>
        </w:tc>
        <w:tc>
          <w:tcPr>
            <w:tcW w:w="901" w:type="dxa"/>
            <w:vMerge/>
            <w:tcBorders>
              <w:left w:val="nil"/>
              <w:right w:val="single" w:sz="4" w:space="0" w:color="auto"/>
            </w:tcBorders>
            <w:shd w:val="clear" w:color="auto" w:fill="auto"/>
            <w:noWrap/>
            <w:vAlign w:val="bottom"/>
          </w:tcPr>
          <w:p w14:paraId="07D2EF14" w14:textId="77777777" w:rsidR="0007690F" w:rsidRPr="00D53A2B" w:rsidRDefault="0007690F" w:rsidP="00A202FD">
            <w:pPr>
              <w:widowControl w:val="0"/>
              <w:spacing w:after="240" w:line="276" w:lineRule="auto"/>
              <w:ind w:firstLine="1"/>
              <w:contextualSpacing/>
              <w:jc w:val="both"/>
            </w:pPr>
          </w:p>
        </w:tc>
        <w:tc>
          <w:tcPr>
            <w:tcW w:w="1087" w:type="dxa"/>
            <w:tcBorders>
              <w:top w:val="single" w:sz="4" w:space="0" w:color="auto"/>
              <w:left w:val="nil"/>
              <w:bottom w:val="single" w:sz="4" w:space="0" w:color="auto"/>
              <w:right w:val="single" w:sz="4" w:space="0" w:color="auto"/>
            </w:tcBorders>
            <w:shd w:val="clear" w:color="auto" w:fill="auto"/>
            <w:noWrap/>
            <w:vAlign w:val="bottom"/>
          </w:tcPr>
          <w:p w14:paraId="422A8CA3" w14:textId="77777777" w:rsidR="0007690F" w:rsidRPr="00D53A2B" w:rsidRDefault="0007690F" w:rsidP="00A202FD">
            <w:pPr>
              <w:widowControl w:val="0"/>
              <w:spacing w:after="240" w:line="276" w:lineRule="auto"/>
              <w:ind w:firstLine="1"/>
              <w:contextualSpacing/>
              <w:jc w:val="both"/>
            </w:pPr>
            <w:r w:rsidRPr="00D53A2B">
              <w:t>0,1 – 0,2</w:t>
            </w:r>
          </w:p>
          <w:p w14:paraId="75620FCB" w14:textId="77777777" w:rsidR="0007690F" w:rsidRPr="00D53A2B" w:rsidRDefault="0007690F" w:rsidP="00A202FD">
            <w:pPr>
              <w:widowControl w:val="0"/>
              <w:spacing w:after="240" w:line="276" w:lineRule="auto"/>
              <w:ind w:firstLine="1"/>
              <w:contextualSpacing/>
              <w:jc w:val="both"/>
            </w:pPr>
          </w:p>
        </w:tc>
        <w:tc>
          <w:tcPr>
            <w:tcW w:w="5098" w:type="dxa"/>
            <w:vMerge/>
            <w:tcBorders>
              <w:left w:val="nil"/>
              <w:right w:val="single" w:sz="4" w:space="0" w:color="auto"/>
            </w:tcBorders>
            <w:shd w:val="clear" w:color="auto" w:fill="auto"/>
            <w:noWrap/>
            <w:vAlign w:val="bottom"/>
          </w:tcPr>
          <w:p w14:paraId="4E04E2FE" w14:textId="77777777" w:rsidR="0007690F" w:rsidRPr="00D53A2B" w:rsidRDefault="0007690F" w:rsidP="00A202FD">
            <w:pPr>
              <w:widowControl w:val="0"/>
              <w:spacing w:after="240" w:line="276" w:lineRule="auto"/>
              <w:ind w:firstLine="1"/>
              <w:contextualSpacing/>
              <w:jc w:val="both"/>
            </w:pPr>
          </w:p>
        </w:tc>
      </w:tr>
      <w:tr w:rsidR="0007690F" w:rsidRPr="00D53A2B" w14:paraId="7FF3C9BB" w14:textId="77777777" w:rsidTr="00790B11">
        <w:trPr>
          <w:trHeight w:val="39"/>
        </w:trPr>
        <w:tc>
          <w:tcPr>
            <w:tcW w:w="1216" w:type="dxa"/>
            <w:tcBorders>
              <w:top w:val="nil"/>
              <w:left w:val="single" w:sz="4" w:space="0" w:color="auto"/>
              <w:bottom w:val="single" w:sz="4" w:space="0" w:color="auto"/>
              <w:right w:val="single" w:sz="4" w:space="0" w:color="auto"/>
            </w:tcBorders>
            <w:shd w:val="clear" w:color="auto" w:fill="auto"/>
            <w:noWrap/>
            <w:vAlign w:val="bottom"/>
          </w:tcPr>
          <w:p w14:paraId="096B36A3" w14:textId="77777777" w:rsidR="0007690F" w:rsidRPr="00D53A2B" w:rsidRDefault="0007690F" w:rsidP="00A202FD">
            <w:pPr>
              <w:widowControl w:val="0"/>
              <w:spacing w:after="240" w:line="276" w:lineRule="auto"/>
              <w:ind w:firstLine="1"/>
              <w:contextualSpacing/>
              <w:jc w:val="both"/>
              <w:rPr>
                <w:b/>
                <w:bCs/>
              </w:rPr>
            </w:pPr>
          </w:p>
        </w:tc>
        <w:tc>
          <w:tcPr>
            <w:tcW w:w="848" w:type="dxa"/>
            <w:tcBorders>
              <w:top w:val="nil"/>
              <w:left w:val="single" w:sz="4" w:space="0" w:color="auto"/>
              <w:bottom w:val="single" w:sz="4" w:space="0" w:color="auto"/>
              <w:right w:val="single" w:sz="4" w:space="0" w:color="auto"/>
            </w:tcBorders>
            <w:shd w:val="clear" w:color="auto" w:fill="auto"/>
            <w:vAlign w:val="bottom"/>
          </w:tcPr>
          <w:p w14:paraId="711BC32F" w14:textId="77777777" w:rsidR="0007690F" w:rsidRPr="00D53A2B" w:rsidRDefault="0007690F" w:rsidP="00A202FD">
            <w:pPr>
              <w:widowControl w:val="0"/>
              <w:spacing w:after="240" w:line="276" w:lineRule="auto"/>
              <w:ind w:firstLine="1"/>
              <w:contextualSpacing/>
              <w:jc w:val="both"/>
              <w:rPr>
                <w:b/>
                <w:bCs/>
              </w:rPr>
            </w:pPr>
            <w:r w:rsidRPr="00D53A2B">
              <w:t>Kurşun (Pb)</w:t>
            </w:r>
          </w:p>
        </w:tc>
        <w:tc>
          <w:tcPr>
            <w:tcW w:w="901" w:type="dxa"/>
            <w:vMerge/>
            <w:tcBorders>
              <w:left w:val="nil"/>
              <w:right w:val="single" w:sz="4" w:space="0" w:color="auto"/>
            </w:tcBorders>
            <w:shd w:val="clear" w:color="auto" w:fill="auto"/>
            <w:noWrap/>
            <w:vAlign w:val="bottom"/>
          </w:tcPr>
          <w:p w14:paraId="511BD636" w14:textId="77777777" w:rsidR="0007690F" w:rsidRPr="00D53A2B" w:rsidRDefault="0007690F" w:rsidP="00A202FD">
            <w:pPr>
              <w:widowControl w:val="0"/>
              <w:spacing w:after="240" w:line="276" w:lineRule="auto"/>
              <w:ind w:firstLine="1"/>
              <w:contextualSpacing/>
              <w:jc w:val="both"/>
            </w:pPr>
          </w:p>
        </w:tc>
        <w:tc>
          <w:tcPr>
            <w:tcW w:w="1087" w:type="dxa"/>
            <w:tcBorders>
              <w:top w:val="single" w:sz="4" w:space="0" w:color="auto"/>
              <w:left w:val="nil"/>
              <w:bottom w:val="single" w:sz="4" w:space="0" w:color="auto"/>
              <w:right w:val="single" w:sz="4" w:space="0" w:color="auto"/>
            </w:tcBorders>
            <w:shd w:val="clear" w:color="auto" w:fill="auto"/>
            <w:noWrap/>
            <w:vAlign w:val="bottom"/>
          </w:tcPr>
          <w:p w14:paraId="33F5C470" w14:textId="77777777" w:rsidR="0007690F" w:rsidRPr="00D53A2B" w:rsidRDefault="0007690F" w:rsidP="00A202FD">
            <w:pPr>
              <w:widowControl w:val="0"/>
              <w:spacing w:after="240" w:line="276" w:lineRule="auto"/>
              <w:ind w:firstLine="1"/>
              <w:contextualSpacing/>
              <w:jc w:val="both"/>
            </w:pPr>
            <w:r w:rsidRPr="00D53A2B">
              <w:t>0,1 – 0,3</w:t>
            </w:r>
          </w:p>
          <w:p w14:paraId="767DC8F6" w14:textId="77777777" w:rsidR="0007690F" w:rsidRPr="00D53A2B" w:rsidRDefault="0007690F" w:rsidP="00A202FD">
            <w:pPr>
              <w:widowControl w:val="0"/>
              <w:spacing w:after="240" w:line="276" w:lineRule="auto"/>
              <w:ind w:firstLine="1"/>
              <w:contextualSpacing/>
              <w:jc w:val="both"/>
            </w:pPr>
          </w:p>
        </w:tc>
        <w:tc>
          <w:tcPr>
            <w:tcW w:w="5098" w:type="dxa"/>
            <w:vMerge/>
            <w:tcBorders>
              <w:left w:val="nil"/>
              <w:right w:val="single" w:sz="4" w:space="0" w:color="auto"/>
            </w:tcBorders>
            <w:shd w:val="clear" w:color="auto" w:fill="auto"/>
            <w:noWrap/>
            <w:vAlign w:val="bottom"/>
          </w:tcPr>
          <w:p w14:paraId="5293821F" w14:textId="77777777" w:rsidR="0007690F" w:rsidRPr="00D53A2B" w:rsidRDefault="0007690F" w:rsidP="00A202FD">
            <w:pPr>
              <w:widowControl w:val="0"/>
              <w:spacing w:after="240" w:line="276" w:lineRule="auto"/>
              <w:ind w:firstLine="1"/>
              <w:contextualSpacing/>
              <w:jc w:val="both"/>
            </w:pPr>
          </w:p>
        </w:tc>
      </w:tr>
      <w:tr w:rsidR="0007690F" w:rsidRPr="00D53A2B" w14:paraId="643DF7DF" w14:textId="77777777" w:rsidTr="00790B11">
        <w:trPr>
          <w:trHeight w:val="39"/>
        </w:trPr>
        <w:tc>
          <w:tcPr>
            <w:tcW w:w="1216" w:type="dxa"/>
            <w:tcBorders>
              <w:top w:val="nil"/>
              <w:left w:val="single" w:sz="4" w:space="0" w:color="auto"/>
              <w:bottom w:val="single" w:sz="4" w:space="0" w:color="auto"/>
              <w:right w:val="single" w:sz="4" w:space="0" w:color="auto"/>
            </w:tcBorders>
            <w:shd w:val="clear" w:color="auto" w:fill="auto"/>
            <w:noWrap/>
            <w:vAlign w:val="bottom"/>
          </w:tcPr>
          <w:p w14:paraId="468F0F68" w14:textId="77777777" w:rsidR="0007690F" w:rsidRPr="00D53A2B" w:rsidRDefault="0007690F" w:rsidP="00A202FD">
            <w:pPr>
              <w:widowControl w:val="0"/>
              <w:spacing w:after="240" w:line="276" w:lineRule="auto"/>
              <w:ind w:firstLine="1"/>
              <w:contextualSpacing/>
              <w:jc w:val="both"/>
              <w:rPr>
                <w:b/>
                <w:bCs/>
              </w:rPr>
            </w:pPr>
          </w:p>
        </w:tc>
        <w:tc>
          <w:tcPr>
            <w:tcW w:w="848" w:type="dxa"/>
            <w:tcBorders>
              <w:top w:val="nil"/>
              <w:left w:val="single" w:sz="4" w:space="0" w:color="auto"/>
              <w:bottom w:val="single" w:sz="4" w:space="0" w:color="auto"/>
              <w:right w:val="single" w:sz="4" w:space="0" w:color="auto"/>
            </w:tcBorders>
            <w:shd w:val="clear" w:color="auto" w:fill="auto"/>
            <w:vAlign w:val="bottom"/>
          </w:tcPr>
          <w:p w14:paraId="794EE803" w14:textId="77777777" w:rsidR="0007690F" w:rsidRPr="00D53A2B" w:rsidRDefault="0007690F" w:rsidP="00A202FD">
            <w:pPr>
              <w:widowControl w:val="0"/>
              <w:spacing w:after="240" w:line="276" w:lineRule="auto"/>
              <w:ind w:firstLine="1"/>
              <w:contextualSpacing/>
              <w:jc w:val="both"/>
              <w:rPr>
                <w:b/>
                <w:bCs/>
              </w:rPr>
            </w:pPr>
            <w:r w:rsidRPr="00D53A2B">
              <w:t>Nikel (Ni)</w:t>
            </w:r>
          </w:p>
        </w:tc>
        <w:tc>
          <w:tcPr>
            <w:tcW w:w="901" w:type="dxa"/>
            <w:vMerge/>
            <w:tcBorders>
              <w:left w:val="nil"/>
              <w:right w:val="single" w:sz="4" w:space="0" w:color="auto"/>
            </w:tcBorders>
            <w:shd w:val="clear" w:color="auto" w:fill="auto"/>
            <w:noWrap/>
            <w:vAlign w:val="bottom"/>
          </w:tcPr>
          <w:p w14:paraId="6327B61F" w14:textId="77777777" w:rsidR="0007690F" w:rsidRPr="00D53A2B" w:rsidRDefault="0007690F" w:rsidP="00A202FD">
            <w:pPr>
              <w:widowControl w:val="0"/>
              <w:spacing w:after="240" w:line="276" w:lineRule="auto"/>
              <w:ind w:firstLine="1"/>
              <w:contextualSpacing/>
              <w:jc w:val="both"/>
            </w:pPr>
          </w:p>
        </w:tc>
        <w:tc>
          <w:tcPr>
            <w:tcW w:w="1087" w:type="dxa"/>
            <w:tcBorders>
              <w:top w:val="single" w:sz="4" w:space="0" w:color="auto"/>
              <w:left w:val="nil"/>
              <w:bottom w:val="single" w:sz="4" w:space="0" w:color="auto"/>
              <w:right w:val="single" w:sz="4" w:space="0" w:color="auto"/>
            </w:tcBorders>
            <w:shd w:val="clear" w:color="auto" w:fill="auto"/>
            <w:noWrap/>
            <w:vAlign w:val="bottom"/>
          </w:tcPr>
          <w:p w14:paraId="0582A6FF" w14:textId="77777777" w:rsidR="0007690F" w:rsidRPr="00D53A2B" w:rsidRDefault="0007690F" w:rsidP="00A202FD">
            <w:pPr>
              <w:widowControl w:val="0"/>
              <w:spacing w:after="240" w:line="276" w:lineRule="auto"/>
              <w:ind w:firstLine="1"/>
              <w:contextualSpacing/>
              <w:jc w:val="both"/>
            </w:pPr>
            <w:r w:rsidRPr="00D53A2B">
              <w:t>0,1 – 0,5</w:t>
            </w:r>
          </w:p>
          <w:p w14:paraId="004D2F0D" w14:textId="77777777" w:rsidR="0007690F" w:rsidRPr="00D53A2B" w:rsidRDefault="0007690F" w:rsidP="00A202FD">
            <w:pPr>
              <w:widowControl w:val="0"/>
              <w:spacing w:after="240" w:line="276" w:lineRule="auto"/>
              <w:ind w:firstLine="1"/>
              <w:contextualSpacing/>
              <w:jc w:val="both"/>
            </w:pPr>
          </w:p>
        </w:tc>
        <w:tc>
          <w:tcPr>
            <w:tcW w:w="5098" w:type="dxa"/>
            <w:vMerge/>
            <w:tcBorders>
              <w:left w:val="nil"/>
              <w:right w:val="single" w:sz="4" w:space="0" w:color="auto"/>
            </w:tcBorders>
            <w:shd w:val="clear" w:color="auto" w:fill="auto"/>
            <w:noWrap/>
            <w:vAlign w:val="bottom"/>
          </w:tcPr>
          <w:p w14:paraId="2C12B1DB" w14:textId="77777777" w:rsidR="0007690F" w:rsidRPr="00D53A2B" w:rsidRDefault="0007690F" w:rsidP="00A202FD">
            <w:pPr>
              <w:widowControl w:val="0"/>
              <w:spacing w:after="240" w:line="276" w:lineRule="auto"/>
              <w:ind w:firstLine="1"/>
              <w:contextualSpacing/>
              <w:jc w:val="both"/>
            </w:pPr>
          </w:p>
        </w:tc>
      </w:tr>
      <w:tr w:rsidR="0007690F" w:rsidRPr="00D53A2B" w14:paraId="13D2172B" w14:textId="77777777" w:rsidTr="00790B11">
        <w:trPr>
          <w:trHeight w:val="39"/>
        </w:trPr>
        <w:tc>
          <w:tcPr>
            <w:tcW w:w="1216" w:type="dxa"/>
            <w:tcBorders>
              <w:top w:val="nil"/>
              <w:left w:val="single" w:sz="4" w:space="0" w:color="auto"/>
              <w:bottom w:val="single" w:sz="4" w:space="0" w:color="auto"/>
              <w:right w:val="single" w:sz="4" w:space="0" w:color="auto"/>
            </w:tcBorders>
            <w:shd w:val="clear" w:color="auto" w:fill="auto"/>
            <w:noWrap/>
            <w:vAlign w:val="bottom"/>
          </w:tcPr>
          <w:p w14:paraId="385B2205" w14:textId="77777777" w:rsidR="0007690F" w:rsidRPr="00D53A2B" w:rsidRDefault="0007690F" w:rsidP="00A202FD">
            <w:pPr>
              <w:widowControl w:val="0"/>
              <w:spacing w:after="240" w:line="276" w:lineRule="auto"/>
              <w:ind w:firstLine="1"/>
              <w:contextualSpacing/>
              <w:jc w:val="both"/>
              <w:rPr>
                <w:b/>
                <w:bCs/>
              </w:rPr>
            </w:pPr>
          </w:p>
        </w:tc>
        <w:tc>
          <w:tcPr>
            <w:tcW w:w="848" w:type="dxa"/>
            <w:tcBorders>
              <w:top w:val="nil"/>
              <w:left w:val="single" w:sz="4" w:space="0" w:color="auto"/>
              <w:bottom w:val="single" w:sz="4" w:space="0" w:color="auto"/>
              <w:right w:val="single" w:sz="4" w:space="0" w:color="auto"/>
            </w:tcBorders>
            <w:shd w:val="clear" w:color="auto" w:fill="auto"/>
            <w:vAlign w:val="bottom"/>
          </w:tcPr>
          <w:p w14:paraId="1B34E4E6" w14:textId="77777777" w:rsidR="0007690F" w:rsidRPr="00D53A2B" w:rsidRDefault="0007690F" w:rsidP="00A202FD">
            <w:pPr>
              <w:widowControl w:val="0"/>
              <w:spacing w:after="240" w:line="276" w:lineRule="auto"/>
              <w:ind w:firstLine="1"/>
              <w:contextualSpacing/>
              <w:jc w:val="both"/>
              <w:rPr>
                <w:b/>
                <w:bCs/>
              </w:rPr>
            </w:pPr>
            <w:r w:rsidRPr="00D53A2B">
              <w:t>Çinko (Zn)</w:t>
            </w:r>
          </w:p>
        </w:tc>
        <w:tc>
          <w:tcPr>
            <w:tcW w:w="901" w:type="dxa"/>
            <w:vMerge/>
            <w:tcBorders>
              <w:left w:val="nil"/>
              <w:bottom w:val="single" w:sz="4" w:space="0" w:color="auto"/>
              <w:right w:val="single" w:sz="4" w:space="0" w:color="auto"/>
            </w:tcBorders>
            <w:shd w:val="clear" w:color="auto" w:fill="auto"/>
            <w:noWrap/>
            <w:vAlign w:val="bottom"/>
          </w:tcPr>
          <w:p w14:paraId="573DFF2E" w14:textId="77777777" w:rsidR="0007690F" w:rsidRPr="00D53A2B" w:rsidRDefault="0007690F" w:rsidP="00A202FD">
            <w:pPr>
              <w:widowControl w:val="0"/>
              <w:spacing w:after="240" w:line="276" w:lineRule="auto"/>
              <w:ind w:firstLine="1"/>
              <w:contextualSpacing/>
              <w:jc w:val="both"/>
            </w:pPr>
          </w:p>
        </w:tc>
        <w:tc>
          <w:tcPr>
            <w:tcW w:w="1087" w:type="dxa"/>
            <w:tcBorders>
              <w:top w:val="single" w:sz="4" w:space="0" w:color="auto"/>
              <w:left w:val="nil"/>
              <w:bottom w:val="single" w:sz="4" w:space="0" w:color="auto"/>
              <w:right w:val="single" w:sz="4" w:space="0" w:color="auto"/>
            </w:tcBorders>
            <w:shd w:val="clear" w:color="auto" w:fill="auto"/>
            <w:noWrap/>
            <w:vAlign w:val="bottom"/>
          </w:tcPr>
          <w:p w14:paraId="00736753" w14:textId="77777777" w:rsidR="0007690F" w:rsidRPr="00D53A2B" w:rsidRDefault="0007690F" w:rsidP="00A202FD">
            <w:pPr>
              <w:widowControl w:val="0"/>
              <w:spacing w:after="240" w:line="276" w:lineRule="auto"/>
              <w:ind w:firstLine="1"/>
              <w:contextualSpacing/>
              <w:jc w:val="both"/>
            </w:pPr>
            <w:r w:rsidRPr="00D53A2B">
              <w:t>0,5 – 2</w:t>
            </w:r>
          </w:p>
        </w:tc>
        <w:tc>
          <w:tcPr>
            <w:tcW w:w="5098" w:type="dxa"/>
            <w:vMerge/>
            <w:tcBorders>
              <w:left w:val="nil"/>
              <w:right w:val="single" w:sz="4" w:space="0" w:color="auto"/>
            </w:tcBorders>
            <w:shd w:val="clear" w:color="auto" w:fill="auto"/>
            <w:noWrap/>
            <w:vAlign w:val="bottom"/>
          </w:tcPr>
          <w:p w14:paraId="664F85EF" w14:textId="77777777" w:rsidR="0007690F" w:rsidRPr="00D53A2B" w:rsidRDefault="0007690F" w:rsidP="00A202FD">
            <w:pPr>
              <w:widowControl w:val="0"/>
              <w:spacing w:after="240" w:line="276" w:lineRule="auto"/>
              <w:ind w:firstLine="1"/>
              <w:contextualSpacing/>
              <w:jc w:val="both"/>
            </w:pPr>
          </w:p>
        </w:tc>
      </w:tr>
      <w:tr w:rsidR="0007690F" w:rsidRPr="00D53A2B" w14:paraId="521FD566" w14:textId="77777777" w:rsidTr="00790B11">
        <w:trPr>
          <w:trHeight w:val="320"/>
        </w:trPr>
        <w:tc>
          <w:tcPr>
            <w:tcW w:w="2064"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CF766D" w14:textId="77777777" w:rsidR="0007690F" w:rsidRPr="00D53A2B" w:rsidRDefault="0007690F" w:rsidP="00A202FD">
            <w:pPr>
              <w:widowControl w:val="0"/>
              <w:spacing w:after="240" w:line="276" w:lineRule="auto"/>
              <w:ind w:firstLine="1"/>
              <w:contextualSpacing/>
              <w:jc w:val="both"/>
            </w:pPr>
            <w:r w:rsidRPr="00D53A2B">
              <w:t>Fenol İndeksi</w:t>
            </w:r>
          </w:p>
        </w:tc>
        <w:tc>
          <w:tcPr>
            <w:tcW w:w="901" w:type="dxa"/>
            <w:tcBorders>
              <w:top w:val="nil"/>
              <w:left w:val="nil"/>
              <w:bottom w:val="single" w:sz="4" w:space="0" w:color="auto"/>
              <w:right w:val="single" w:sz="4" w:space="0" w:color="auto"/>
            </w:tcBorders>
            <w:shd w:val="clear" w:color="auto" w:fill="auto"/>
            <w:noWrap/>
            <w:vAlign w:val="bottom"/>
            <w:hideMark/>
          </w:tcPr>
          <w:p w14:paraId="1AFF4171" w14:textId="77777777" w:rsidR="0007690F" w:rsidRPr="00D53A2B" w:rsidRDefault="0007690F" w:rsidP="00A202FD">
            <w:pPr>
              <w:widowControl w:val="0"/>
              <w:spacing w:after="240" w:line="276" w:lineRule="auto"/>
              <w:ind w:firstLine="1"/>
              <w:contextualSpacing/>
              <w:jc w:val="both"/>
            </w:pPr>
            <w:r w:rsidRPr="00D53A2B">
              <w:t>mg/l</w:t>
            </w:r>
          </w:p>
        </w:tc>
        <w:tc>
          <w:tcPr>
            <w:tcW w:w="1087" w:type="dxa"/>
            <w:tcBorders>
              <w:top w:val="nil"/>
              <w:left w:val="nil"/>
              <w:bottom w:val="single" w:sz="4" w:space="0" w:color="auto"/>
              <w:right w:val="single" w:sz="4" w:space="0" w:color="auto"/>
            </w:tcBorders>
            <w:shd w:val="clear" w:color="auto" w:fill="auto"/>
            <w:noWrap/>
            <w:vAlign w:val="bottom"/>
          </w:tcPr>
          <w:p w14:paraId="4D7E39AE" w14:textId="77777777" w:rsidR="0007690F" w:rsidRPr="00D53A2B" w:rsidRDefault="0007690F" w:rsidP="00A202FD">
            <w:pPr>
              <w:widowControl w:val="0"/>
              <w:spacing w:after="240" w:line="276" w:lineRule="auto"/>
              <w:ind w:firstLine="1"/>
              <w:contextualSpacing/>
              <w:jc w:val="both"/>
            </w:pPr>
            <w:r w:rsidRPr="00D53A2B">
              <w:t>0,05 – 0,5</w:t>
            </w:r>
          </w:p>
        </w:tc>
        <w:tc>
          <w:tcPr>
            <w:tcW w:w="5098" w:type="dxa"/>
            <w:vMerge/>
            <w:tcBorders>
              <w:left w:val="nil"/>
              <w:right w:val="single" w:sz="4" w:space="0" w:color="auto"/>
            </w:tcBorders>
            <w:shd w:val="clear" w:color="auto" w:fill="auto"/>
            <w:noWrap/>
            <w:vAlign w:val="bottom"/>
            <w:hideMark/>
          </w:tcPr>
          <w:p w14:paraId="7E77B9CC" w14:textId="77777777" w:rsidR="0007690F" w:rsidRPr="00D53A2B" w:rsidRDefault="0007690F" w:rsidP="00A202FD">
            <w:pPr>
              <w:widowControl w:val="0"/>
              <w:spacing w:after="240" w:line="276" w:lineRule="auto"/>
              <w:ind w:firstLine="1"/>
              <w:contextualSpacing/>
              <w:jc w:val="both"/>
            </w:pPr>
          </w:p>
        </w:tc>
      </w:tr>
      <w:tr w:rsidR="0007690F" w:rsidRPr="00D53A2B" w14:paraId="354033D9" w14:textId="77777777" w:rsidTr="00A202FD">
        <w:trPr>
          <w:trHeight w:val="320"/>
        </w:trPr>
        <w:tc>
          <w:tcPr>
            <w:tcW w:w="2064" w:type="dxa"/>
            <w:gridSpan w:val="2"/>
            <w:tcBorders>
              <w:top w:val="nil"/>
              <w:left w:val="single" w:sz="4" w:space="0" w:color="auto"/>
              <w:bottom w:val="nil"/>
              <w:right w:val="single" w:sz="4" w:space="0" w:color="auto"/>
            </w:tcBorders>
            <w:shd w:val="clear" w:color="auto" w:fill="auto"/>
            <w:noWrap/>
            <w:vAlign w:val="bottom"/>
            <w:hideMark/>
          </w:tcPr>
          <w:p w14:paraId="2A4A817F" w14:textId="77777777" w:rsidR="0007690F" w:rsidRPr="00D53A2B" w:rsidRDefault="0007690F" w:rsidP="00A202FD">
            <w:pPr>
              <w:widowControl w:val="0"/>
              <w:spacing w:after="240" w:line="276" w:lineRule="auto"/>
              <w:ind w:firstLine="1"/>
              <w:contextualSpacing/>
              <w:jc w:val="both"/>
            </w:pPr>
            <w:r w:rsidRPr="00D53A2B">
              <w:t>Toplam Azot (TN)</w:t>
            </w:r>
          </w:p>
        </w:tc>
        <w:tc>
          <w:tcPr>
            <w:tcW w:w="901" w:type="dxa"/>
            <w:tcBorders>
              <w:top w:val="nil"/>
              <w:left w:val="nil"/>
              <w:bottom w:val="nil"/>
              <w:right w:val="single" w:sz="4" w:space="0" w:color="auto"/>
            </w:tcBorders>
            <w:shd w:val="clear" w:color="auto" w:fill="auto"/>
            <w:noWrap/>
            <w:vAlign w:val="bottom"/>
            <w:hideMark/>
          </w:tcPr>
          <w:p w14:paraId="0756BE01" w14:textId="77777777" w:rsidR="0007690F" w:rsidRPr="00D53A2B" w:rsidRDefault="0007690F" w:rsidP="00A202FD">
            <w:pPr>
              <w:widowControl w:val="0"/>
              <w:spacing w:after="240" w:line="276" w:lineRule="auto"/>
              <w:ind w:firstLine="1"/>
              <w:contextualSpacing/>
              <w:jc w:val="both"/>
            </w:pPr>
            <w:r w:rsidRPr="00D53A2B">
              <w:t>mg/l</w:t>
            </w:r>
          </w:p>
        </w:tc>
        <w:tc>
          <w:tcPr>
            <w:tcW w:w="1087" w:type="dxa"/>
            <w:tcBorders>
              <w:top w:val="nil"/>
              <w:left w:val="nil"/>
              <w:bottom w:val="nil"/>
              <w:right w:val="single" w:sz="4" w:space="0" w:color="auto"/>
            </w:tcBorders>
            <w:shd w:val="clear" w:color="auto" w:fill="auto"/>
            <w:noWrap/>
            <w:vAlign w:val="bottom"/>
          </w:tcPr>
          <w:p w14:paraId="25C3F02D" w14:textId="77777777" w:rsidR="0007690F" w:rsidRPr="00D53A2B" w:rsidRDefault="0007690F" w:rsidP="00A202FD">
            <w:pPr>
              <w:widowControl w:val="0"/>
              <w:spacing w:after="240" w:line="276" w:lineRule="auto"/>
              <w:ind w:firstLine="1"/>
              <w:contextualSpacing/>
              <w:jc w:val="both"/>
            </w:pPr>
            <w:r w:rsidRPr="00D53A2B">
              <w:t>1 – 20</w:t>
            </w:r>
          </w:p>
        </w:tc>
        <w:tc>
          <w:tcPr>
            <w:tcW w:w="5098" w:type="dxa"/>
            <w:vMerge/>
            <w:tcBorders>
              <w:left w:val="nil"/>
              <w:right w:val="single" w:sz="4" w:space="0" w:color="auto"/>
            </w:tcBorders>
            <w:shd w:val="clear" w:color="auto" w:fill="auto"/>
            <w:noWrap/>
            <w:vAlign w:val="bottom"/>
            <w:hideMark/>
          </w:tcPr>
          <w:p w14:paraId="68E1B095" w14:textId="77777777" w:rsidR="0007690F" w:rsidRPr="00D53A2B" w:rsidRDefault="0007690F" w:rsidP="00A202FD">
            <w:pPr>
              <w:widowControl w:val="0"/>
              <w:spacing w:after="240" w:line="276" w:lineRule="auto"/>
              <w:ind w:firstLine="1"/>
              <w:contextualSpacing/>
              <w:jc w:val="both"/>
            </w:pPr>
          </w:p>
        </w:tc>
      </w:tr>
      <w:tr w:rsidR="00F72785" w:rsidRPr="00D53A2B" w14:paraId="360D713D" w14:textId="77777777" w:rsidTr="00967E59">
        <w:trPr>
          <w:trHeight w:val="320"/>
        </w:trPr>
        <w:tc>
          <w:tcPr>
            <w:tcW w:w="2064" w:type="dxa"/>
            <w:gridSpan w:val="2"/>
            <w:tcBorders>
              <w:top w:val="nil"/>
              <w:left w:val="single" w:sz="4" w:space="0" w:color="auto"/>
              <w:bottom w:val="single" w:sz="4" w:space="0" w:color="auto"/>
              <w:right w:val="single" w:sz="4" w:space="0" w:color="auto"/>
            </w:tcBorders>
            <w:shd w:val="clear" w:color="auto" w:fill="auto"/>
            <w:noWrap/>
            <w:vAlign w:val="bottom"/>
          </w:tcPr>
          <w:p w14:paraId="5FFD4D0C" w14:textId="77777777" w:rsidR="006E0D2B" w:rsidRPr="00D53A2B" w:rsidRDefault="006E0D2B" w:rsidP="00A202FD">
            <w:pPr>
              <w:widowControl w:val="0"/>
              <w:spacing w:after="240" w:line="276" w:lineRule="auto"/>
              <w:contextualSpacing/>
              <w:jc w:val="both"/>
            </w:pPr>
          </w:p>
        </w:tc>
        <w:tc>
          <w:tcPr>
            <w:tcW w:w="901" w:type="dxa"/>
            <w:tcBorders>
              <w:top w:val="nil"/>
              <w:left w:val="nil"/>
              <w:bottom w:val="single" w:sz="4" w:space="0" w:color="auto"/>
              <w:right w:val="single" w:sz="4" w:space="0" w:color="auto"/>
            </w:tcBorders>
            <w:shd w:val="clear" w:color="auto" w:fill="auto"/>
            <w:noWrap/>
            <w:vAlign w:val="bottom"/>
          </w:tcPr>
          <w:p w14:paraId="1381A5B8" w14:textId="77777777" w:rsidR="006E0D2B" w:rsidRPr="00D53A2B" w:rsidRDefault="006E0D2B" w:rsidP="00A202FD">
            <w:pPr>
              <w:widowControl w:val="0"/>
              <w:spacing w:after="240" w:line="276" w:lineRule="auto"/>
              <w:ind w:firstLine="1"/>
              <w:contextualSpacing/>
              <w:jc w:val="both"/>
            </w:pPr>
          </w:p>
        </w:tc>
        <w:tc>
          <w:tcPr>
            <w:tcW w:w="1087" w:type="dxa"/>
            <w:tcBorders>
              <w:top w:val="nil"/>
              <w:left w:val="nil"/>
              <w:bottom w:val="single" w:sz="4" w:space="0" w:color="auto"/>
              <w:right w:val="single" w:sz="4" w:space="0" w:color="auto"/>
            </w:tcBorders>
            <w:shd w:val="clear" w:color="auto" w:fill="auto"/>
            <w:noWrap/>
            <w:vAlign w:val="bottom"/>
          </w:tcPr>
          <w:p w14:paraId="6FBF4DF2" w14:textId="77777777" w:rsidR="006E0D2B" w:rsidRPr="00D53A2B" w:rsidRDefault="006E0D2B" w:rsidP="00A202FD">
            <w:pPr>
              <w:widowControl w:val="0"/>
              <w:spacing w:after="240" w:line="276" w:lineRule="auto"/>
              <w:ind w:firstLine="1"/>
              <w:contextualSpacing/>
              <w:jc w:val="both"/>
            </w:pPr>
          </w:p>
        </w:tc>
        <w:tc>
          <w:tcPr>
            <w:tcW w:w="5098" w:type="dxa"/>
            <w:tcBorders>
              <w:left w:val="nil"/>
              <w:bottom w:val="single" w:sz="4" w:space="0" w:color="auto"/>
              <w:right w:val="single" w:sz="4" w:space="0" w:color="auto"/>
            </w:tcBorders>
            <w:shd w:val="clear" w:color="auto" w:fill="auto"/>
            <w:noWrap/>
            <w:vAlign w:val="bottom"/>
          </w:tcPr>
          <w:p w14:paraId="191E2F68" w14:textId="77777777" w:rsidR="006E0D2B" w:rsidRPr="00D53A2B" w:rsidRDefault="006E0D2B" w:rsidP="00A202FD">
            <w:pPr>
              <w:widowControl w:val="0"/>
              <w:spacing w:after="240" w:line="276" w:lineRule="auto"/>
              <w:ind w:firstLine="1"/>
              <w:contextualSpacing/>
              <w:jc w:val="both"/>
            </w:pPr>
          </w:p>
        </w:tc>
      </w:tr>
      <w:tr w:rsidR="006E0D2B" w:rsidRPr="00D53A2B" w14:paraId="3032CFB5" w14:textId="77777777" w:rsidTr="009077F5">
        <w:trPr>
          <w:trHeight w:val="960"/>
        </w:trPr>
        <w:tc>
          <w:tcPr>
            <w:tcW w:w="9150"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5482AFA4" w14:textId="77777777" w:rsidR="006E0D2B" w:rsidRPr="009077F5" w:rsidRDefault="006E0D2B" w:rsidP="00A202FD">
            <w:pPr>
              <w:widowControl w:val="0"/>
              <w:spacing w:after="240" w:line="276" w:lineRule="auto"/>
              <w:ind w:firstLine="1"/>
              <w:contextualSpacing/>
              <w:jc w:val="both"/>
              <w:rPr>
                <w:sz w:val="20"/>
                <w:szCs w:val="20"/>
              </w:rPr>
            </w:pPr>
            <w:r w:rsidRPr="009077F5">
              <w:rPr>
                <w:sz w:val="20"/>
                <w:szCs w:val="20"/>
              </w:rPr>
              <w:t>(1) Ortalama alma süreleri Genel hususlarda tanımlanmıştır.</w:t>
            </w:r>
          </w:p>
          <w:p w14:paraId="349911BA" w14:textId="571000B4" w:rsidR="006E0D2B" w:rsidRPr="009077F5" w:rsidRDefault="006E0D2B" w:rsidP="00A202FD">
            <w:pPr>
              <w:widowControl w:val="0"/>
              <w:spacing w:after="240" w:line="276" w:lineRule="auto"/>
              <w:ind w:firstLine="1"/>
              <w:contextualSpacing/>
              <w:jc w:val="both"/>
              <w:rPr>
                <w:sz w:val="20"/>
                <w:szCs w:val="20"/>
              </w:rPr>
            </w:pPr>
            <w:r w:rsidRPr="009077F5">
              <w:rPr>
                <w:sz w:val="20"/>
                <w:szCs w:val="20"/>
              </w:rPr>
              <w:t xml:space="preserve"> (2) </w:t>
            </w:r>
            <w:r w:rsidR="00CD1A0D" w:rsidRPr="009077F5">
              <w:rPr>
                <w:color w:val="000000" w:themeColor="text1"/>
                <w:sz w:val="20"/>
                <w:szCs w:val="20"/>
              </w:rPr>
              <w:t>MET-İES</w:t>
            </w:r>
            <w:r w:rsidRPr="009077F5">
              <w:rPr>
                <w:color w:val="000000" w:themeColor="text1"/>
                <w:sz w:val="20"/>
                <w:szCs w:val="20"/>
              </w:rPr>
              <w:t xml:space="preserve">'ler </w:t>
            </w:r>
            <w:r w:rsidRPr="009077F5">
              <w:rPr>
                <w:sz w:val="20"/>
                <w:szCs w:val="20"/>
              </w:rPr>
              <w:t xml:space="preserve">yalnızca ilgili madde/parametrenin atıksu akışında aşağıdakilere dayalı olarak ilgili olduğu tespit edildiğinde uygulanır </w:t>
            </w:r>
          </w:p>
          <w:p w14:paraId="6F49DCAB" w14:textId="77777777" w:rsidR="006E0D2B" w:rsidRPr="009077F5" w:rsidRDefault="006E0D2B" w:rsidP="00A202FD">
            <w:pPr>
              <w:widowControl w:val="0"/>
              <w:spacing w:after="240" w:line="276" w:lineRule="auto"/>
              <w:ind w:firstLine="1"/>
              <w:contextualSpacing/>
              <w:jc w:val="both"/>
              <w:rPr>
                <w:sz w:val="20"/>
                <w:szCs w:val="20"/>
              </w:rPr>
            </w:pPr>
            <w:r w:rsidRPr="009077F5">
              <w:rPr>
                <w:sz w:val="20"/>
                <w:szCs w:val="20"/>
              </w:rPr>
              <w:t>BAT 2'de belirtilen girdi ve çıktıların envanteri.</w:t>
            </w:r>
          </w:p>
          <w:p w14:paraId="7FA36CA0" w14:textId="48CAD935" w:rsidR="006E0D2B" w:rsidRPr="009077F5" w:rsidRDefault="006E0D2B" w:rsidP="00A202FD">
            <w:pPr>
              <w:widowControl w:val="0"/>
              <w:spacing w:after="240" w:line="276" w:lineRule="auto"/>
              <w:ind w:firstLine="1"/>
              <w:contextualSpacing/>
              <w:jc w:val="both"/>
              <w:rPr>
                <w:sz w:val="20"/>
                <w:szCs w:val="20"/>
              </w:rPr>
            </w:pPr>
            <w:r w:rsidRPr="009077F5">
              <w:rPr>
                <w:sz w:val="20"/>
                <w:szCs w:val="20"/>
              </w:rPr>
              <w:t xml:space="preserve"> (3) KOİ için </w:t>
            </w:r>
            <w:r w:rsidR="00CD1A0D" w:rsidRPr="009077F5">
              <w:rPr>
                <w:color w:val="000000" w:themeColor="text1"/>
                <w:sz w:val="20"/>
                <w:szCs w:val="20"/>
              </w:rPr>
              <w:t xml:space="preserve">MET-İES </w:t>
            </w:r>
            <w:r w:rsidRPr="009077F5">
              <w:rPr>
                <w:sz w:val="20"/>
                <w:szCs w:val="20"/>
              </w:rPr>
              <w:t xml:space="preserve">veya TOK için </w:t>
            </w:r>
            <w:r w:rsidR="00CD1A0D" w:rsidRPr="009077F5">
              <w:rPr>
                <w:color w:val="000000" w:themeColor="text1"/>
                <w:sz w:val="20"/>
                <w:szCs w:val="20"/>
              </w:rPr>
              <w:t xml:space="preserve">MET-İES </w:t>
            </w:r>
            <w:r w:rsidRPr="009077F5">
              <w:rPr>
                <w:sz w:val="20"/>
                <w:szCs w:val="20"/>
              </w:rPr>
              <w:t xml:space="preserve">uygulanır. TOC için </w:t>
            </w:r>
            <w:r w:rsidR="00CD1A0D" w:rsidRPr="009077F5">
              <w:rPr>
                <w:color w:val="000000" w:themeColor="text1"/>
                <w:sz w:val="20"/>
                <w:szCs w:val="20"/>
              </w:rPr>
              <w:t>MET-İES</w:t>
            </w:r>
            <w:r w:rsidRPr="009077F5">
              <w:rPr>
                <w:color w:val="000000" w:themeColor="text1"/>
                <w:sz w:val="20"/>
                <w:szCs w:val="20"/>
              </w:rPr>
              <w:t xml:space="preserve"> </w:t>
            </w:r>
            <w:r w:rsidRPr="009077F5">
              <w:rPr>
                <w:sz w:val="20"/>
                <w:szCs w:val="20"/>
              </w:rPr>
              <w:t xml:space="preserve">tercih edilen seçenektir çünkü TOC </w:t>
            </w:r>
          </w:p>
          <w:p w14:paraId="3B8B3488" w14:textId="77777777" w:rsidR="006E0D2B" w:rsidRPr="009077F5" w:rsidRDefault="006E0D2B" w:rsidP="00A202FD">
            <w:pPr>
              <w:widowControl w:val="0"/>
              <w:spacing w:after="240" w:line="276" w:lineRule="auto"/>
              <w:ind w:firstLine="1"/>
              <w:contextualSpacing/>
              <w:jc w:val="both"/>
              <w:rPr>
                <w:sz w:val="20"/>
                <w:szCs w:val="20"/>
              </w:rPr>
            </w:pPr>
            <w:r w:rsidRPr="009077F5">
              <w:rPr>
                <w:sz w:val="20"/>
                <w:szCs w:val="20"/>
              </w:rPr>
              <w:t>izleme çok toksik bileşiklerin kullanımına dayanmamaktadır.</w:t>
            </w:r>
          </w:p>
          <w:p w14:paraId="321379C2" w14:textId="28FBA7AA" w:rsidR="006E0D2B" w:rsidRPr="009077F5" w:rsidRDefault="006E0D2B" w:rsidP="004F1AAD">
            <w:pPr>
              <w:widowControl w:val="0"/>
              <w:spacing w:after="240" w:line="276" w:lineRule="auto"/>
              <w:ind w:firstLine="1"/>
              <w:contextualSpacing/>
              <w:jc w:val="both"/>
              <w:rPr>
                <w:sz w:val="20"/>
                <w:szCs w:val="20"/>
              </w:rPr>
            </w:pPr>
            <w:r w:rsidRPr="009077F5">
              <w:rPr>
                <w:sz w:val="20"/>
                <w:szCs w:val="20"/>
              </w:rPr>
              <w:t xml:space="preserve"> (4) </w:t>
            </w:r>
            <w:r w:rsidR="00CD1A0D" w:rsidRPr="009077F5">
              <w:rPr>
                <w:color w:val="000000" w:themeColor="text1"/>
                <w:sz w:val="20"/>
                <w:szCs w:val="20"/>
              </w:rPr>
              <w:t>MET-İES</w:t>
            </w:r>
            <w:r w:rsidRPr="009077F5">
              <w:rPr>
                <w:color w:val="000000" w:themeColor="text1"/>
                <w:sz w:val="20"/>
                <w:szCs w:val="20"/>
              </w:rPr>
              <w:t xml:space="preserve"> </w:t>
            </w:r>
            <w:r w:rsidRPr="009077F5">
              <w:rPr>
                <w:sz w:val="20"/>
                <w:szCs w:val="20"/>
              </w:rPr>
              <w:t>sadece fenolik bağlayıcı sistemler kullanıldığında geçerlidir.</w:t>
            </w:r>
          </w:p>
        </w:tc>
      </w:tr>
    </w:tbl>
    <w:p w14:paraId="7B9C303A" w14:textId="4B389396" w:rsidR="00790B11" w:rsidRPr="00D53A2B" w:rsidRDefault="00790B11" w:rsidP="00A202FD">
      <w:pPr>
        <w:widowControl w:val="0"/>
        <w:spacing w:after="240" w:line="276" w:lineRule="auto"/>
        <w:ind w:firstLine="1"/>
        <w:contextualSpacing/>
        <w:jc w:val="both"/>
      </w:pPr>
    </w:p>
    <w:p w14:paraId="3A34F10C" w14:textId="77777777" w:rsidR="00B845A7" w:rsidRPr="00D53A2B" w:rsidRDefault="00B845A7" w:rsidP="00A202FD">
      <w:pPr>
        <w:widowControl w:val="0"/>
        <w:spacing w:after="240" w:line="276" w:lineRule="auto"/>
        <w:ind w:firstLine="1"/>
        <w:contextualSpacing/>
        <w:jc w:val="both"/>
      </w:pPr>
    </w:p>
    <w:p w14:paraId="346CEEEC" w14:textId="15C824B5" w:rsidR="00790B11" w:rsidRPr="00D53A2B" w:rsidRDefault="00790B11" w:rsidP="00A202FD">
      <w:pPr>
        <w:widowControl w:val="0"/>
        <w:spacing w:after="240" w:line="276" w:lineRule="auto"/>
        <w:ind w:firstLine="1"/>
        <w:contextualSpacing/>
        <w:jc w:val="both"/>
      </w:pPr>
      <w:r w:rsidRPr="00D53A2B">
        <w:t>İlgili izleme MET 13'te belirtilmiştir.</w:t>
      </w:r>
    </w:p>
    <w:p w14:paraId="73FA5520" w14:textId="4A11157C" w:rsidR="004D19AF" w:rsidRPr="00D53A2B" w:rsidRDefault="004D19AF" w:rsidP="00A202FD">
      <w:pPr>
        <w:widowControl w:val="0"/>
        <w:spacing w:after="240" w:line="276" w:lineRule="auto"/>
        <w:ind w:firstLine="1"/>
        <w:contextualSpacing/>
        <w:jc w:val="both"/>
      </w:pPr>
      <w:r w:rsidRPr="00D53A2B">
        <w:t>Tablo 1.17</w:t>
      </w:r>
    </w:p>
    <w:p w14:paraId="251732C7" w14:textId="6244FE1C" w:rsidR="00790B11" w:rsidRPr="00D53A2B" w:rsidRDefault="004D19AF" w:rsidP="00A202FD">
      <w:pPr>
        <w:widowControl w:val="0"/>
        <w:spacing w:after="240" w:line="276" w:lineRule="auto"/>
        <w:ind w:firstLine="1"/>
        <w:contextualSpacing/>
        <w:jc w:val="both"/>
      </w:pPr>
      <w:r w:rsidRPr="00D53A2B">
        <w:t>D</w:t>
      </w:r>
      <w:r w:rsidR="00DF75D8" w:rsidRPr="00D53A2B">
        <w:t>olaylı</w:t>
      </w:r>
      <w:r w:rsidRPr="00D53A2B">
        <w:t xml:space="preserve"> Deşarjlar İçin MET’a Dayalı Emisyon Seviyeleri (MET-İES)</w:t>
      </w:r>
    </w:p>
    <w:tbl>
      <w:tblPr>
        <w:tblStyle w:val="TabloKlavuzu"/>
        <w:tblW w:w="0" w:type="auto"/>
        <w:tblLook w:val="04A0" w:firstRow="1" w:lastRow="0" w:firstColumn="1" w:lastColumn="0" w:noHBand="0" w:noVBand="1"/>
      </w:tblPr>
      <w:tblGrid>
        <w:gridCol w:w="1030"/>
        <w:gridCol w:w="1347"/>
        <w:gridCol w:w="2219"/>
        <w:gridCol w:w="2228"/>
        <w:gridCol w:w="2236"/>
      </w:tblGrid>
      <w:tr w:rsidR="003E0A9D" w:rsidRPr="0043055B" w14:paraId="5CCB90B1" w14:textId="77777777" w:rsidTr="007F47B9">
        <w:tc>
          <w:tcPr>
            <w:tcW w:w="2383" w:type="dxa"/>
            <w:gridSpan w:val="2"/>
          </w:tcPr>
          <w:p w14:paraId="3D9EEE2A" w14:textId="77777777" w:rsidR="003E0A9D" w:rsidRPr="0043055B" w:rsidRDefault="003E0A9D" w:rsidP="00A202FD">
            <w:pPr>
              <w:widowControl w:val="0"/>
              <w:spacing w:after="240" w:line="276" w:lineRule="auto"/>
              <w:ind w:firstLine="1"/>
              <w:contextualSpacing/>
              <w:jc w:val="both"/>
              <w:rPr>
                <w:sz w:val="22"/>
                <w:szCs w:val="22"/>
              </w:rPr>
            </w:pPr>
            <w:r w:rsidRPr="0043055B">
              <w:rPr>
                <w:b/>
                <w:bCs/>
                <w:sz w:val="22"/>
                <w:szCs w:val="22"/>
              </w:rPr>
              <w:t>Madde/Parametre</w:t>
            </w:r>
          </w:p>
        </w:tc>
        <w:tc>
          <w:tcPr>
            <w:tcW w:w="2240" w:type="dxa"/>
            <w:vAlign w:val="bottom"/>
          </w:tcPr>
          <w:p w14:paraId="15238585" w14:textId="77777777" w:rsidR="003E0A9D" w:rsidRPr="0043055B" w:rsidRDefault="003E0A9D" w:rsidP="00A202FD">
            <w:pPr>
              <w:widowControl w:val="0"/>
              <w:spacing w:after="240" w:line="276" w:lineRule="auto"/>
              <w:ind w:firstLine="1"/>
              <w:contextualSpacing/>
              <w:jc w:val="both"/>
              <w:rPr>
                <w:sz w:val="22"/>
                <w:szCs w:val="22"/>
              </w:rPr>
            </w:pPr>
            <w:r w:rsidRPr="0043055B">
              <w:rPr>
                <w:b/>
                <w:bCs/>
                <w:sz w:val="22"/>
                <w:szCs w:val="22"/>
              </w:rPr>
              <w:t>Birim</w:t>
            </w:r>
            <w:r w:rsidRPr="0043055B">
              <w:rPr>
                <w:sz w:val="22"/>
                <w:szCs w:val="22"/>
              </w:rPr>
              <w:t xml:space="preserve"> </w:t>
            </w:r>
          </w:p>
        </w:tc>
        <w:tc>
          <w:tcPr>
            <w:tcW w:w="2245" w:type="dxa"/>
            <w:vAlign w:val="bottom"/>
          </w:tcPr>
          <w:p w14:paraId="0EC60501" w14:textId="77777777" w:rsidR="003E0A9D" w:rsidRPr="0043055B" w:rsidRDefault="003E0A9D" w:rsidP="00A202FD">
            <w:pPr>
              <w:widowControl w:val="0"/>
              <w:spacing w:after="240" w:line="276" w:lineRule="auto"/>
              <w:ind w:firstLine="1"/>
              <w:contextualSpacing/>
              <w:jc w:val="both"/>
              <w:rPr>
                <w:sz w:val="22"/>
                <w:szCs w:val="22"/>
              </w:rPr>
            </w:pPr>
            <w:r w:rsidRPr="0043055B">
              <w:rPr>
                <w:b/>
                <w:bCs/>
                <w:sz w:val="22"/>
                <w:szCs w:val="22"/>
              </w:rPr>
              <w:t>MET-İES(1)(2)</w:t>
            </w:r>
          </w:p>
        </w:tc>
        <w:tc>
          <w:tcPr>
            <w:tcW w:w="2247" w:type="dxa"/>
          </w:tcPr>
          <w:p w14:paraId="5DBAA7FE" w14:textId="21CE0AF9" w:rsidR="003E0A9D" w:rsidRPr="0043055B" w:rsidRDefault="003E0A9D" w:rsidP="00A202FD">
            <w:pPr>
              <w:widowControl w:val="0"/>
              <w:spacing w:after="240" w:line="276" w:lineRule="auto"/>
              <w:ind w:firstLine="1"/>
              <w:contextualSpacing/>
              <w:jc w:val="both"/>
              <w:rPr>
                <w:sz w:val="22"/>
                <w:szCs w:val="22"/>
              </w:rPr>
            </w:pPr>
            <w:r w:rsidRPr="0043055B">
              <w:rPr>
                <w:b/>
                <w:bCs/>
                <w:sz w:val="22"/>
                <w:szCs w:val="22"/>
              </w:rPr>
              <w:t>Atık</w:t>
            </w:r>
            <w:r w:rsidR="008447ED" w:rsidRPr="0043055B">
              <w:rPr>
                <w:b/>
                <w:bCs/>
                <w:sz w:val="22"/>
                <w:szCs w:val="22"/>
              </w:rPr>
              <w:t>s</w:t>
            </w:r>
            <w:r w:rsidRPr="0043055B">
              <w:rPr>
                <w:b/>
                <w:bCs/>
                <w:sz w:val="22"/>
                <w:szCs w:val="22"/>
              </w:rPr>
              <w:t>u Akışının Kaynağı</w:t>
            </w:r>
          </w:p>
        </w:tc>
      </w:tr>
      <w:tr w:rsidR="003E0A9D" w:rsidRPr="0043055B" w14:paraId="6509C54F" w14:textId="77777777" w:rsidTr="007F47B9">
        <w:tc>
          <w:tcPr>
            <w:tcW w:w="2383" w:type="dxa"/>
            <w:gridSpan w:val="2"/>
          </w:tcPr>
          <w:p w14:paraId="087AB2D7"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Adsorbe edilebilir organik bağlı halojenler (AOX)(3</w:t>
            </w:r>
          </w:p>
        </w:tc>
        <w:tc>
          <w:tcPr>
            <w:tcW w:w="2240" w:type="dxa"/>
            <w:vMerge w:val="restart"/>
          </w:tcPr>
          <w:p w14:paraId="662BA218" w14:textId="77777777" w:rsidR="003E0A9D" w:rsidRPr="0043055B" w:rsidRDefault="003E0A9D" w:rsidP="00A202FD">
            <w:pPr>
              <w:widowControl w:val="0"/>
              <w:spacing w:after="240" w:line="276" w:lineRule="auto"/>
              <w:ind w:firstLine="1"/>
              <w:contextualSpacing/>
              <w:jc w:val="both"/>
              <w:rPr>
                <w:sz w:val="22"/>
                <w:szCs w:val="22"/>
              </w:rPr>
            </w:pPr>
          </w:p>
          <w:p w14:paraId="32F65134" w14:textId="77777777" w:rsidR="003E0A9D" w:rsidRPr="0043055B" w:rsidRDefault="003E0A9D" w:rsidP="00A202FD">
            <w:pPr>
              <w:widowControl w:val="0"/>
              <w:spacing w:after="240" w:line="276" w:lineRule="auto"/>
              <w:ind w:firstLine="1"/>
              <w:contextualSpacing/>
              <w:jc w:val="both"/>
              <w:rPr>
                <w:sz w:val="22"/>
                <w:szCs w:val="22"/>
              </w:rPr>
            </w:pPr>
          </w:p>
          <w:p w14:paraId="2E96139B" w14:textId="77777777" w:rsidR="003E0A9D" w:rsidRPr="0043055B" w:rsidRDefault="003E0A9D" w:rsidP="00A202FD">
            <w:pPr>
              <w:widowControl w:val="0"/>
              <w:spacing w:after="240" w:line="276" w:lineRule="auto"/>
              <w:ind w:firstLine="1"/>
              <w:contextualSpacing/>
              <w:jc w:val="both"/>
              <w:rPr>
                <w:sz w:val="22"/>
                <w:szCs w:val="22"/>
              </w:rPr>
            </w:pPr>
          </w:p>
          <w:p w14:paraId="4E7AE15F" w14:textId="77777777" w:rsidR="003E0A9D" w:rsidRPr="0043055B" w:rsidRDefault="003E0A9D" w:rsidP="00A202FD">
            <w:pPr>
              <w:widowControl w:val="0"/>
              <w:spacing w:after="240" w:line="276" w:lineRule="auto"/>
              <w:ind w:firstLine="1"/>
              <w:contextualSpacing/>
              <w:jc w:val="both"/>
              <w:rPr>
                <w:sz w:val="22"/>
                <w:szCs w:val="22"/>
              </w:rPr>
            </w:pPr>
          </w:p>
          <w:p w14:paraId="5B24DEF7" w14:textId="77777777" w:rsidR="003E0A9D" w:rsidRPr="0043055B" w:rsidRDefault="003E0A9D" w:rsidP="00A202FD">
            <w:pPr>
              <w:widowControl w:val="0"/>
              <w:spacing w:after="240" w:line="276" w:lineRule="auto"/>
              <w:ind w:firstLine="1"/>
              <w:contextualSpacing/>
              <w:jc w:val="both"/>
              <w:rPr>
                <w:sz w:val="22"/>
                <w:szCs w:val="22"/>
              </w:rPr>
            </w:pPr>
          </w:p>
          <w:p w14:paraId="308A8153" w14:textId="77777777" w:rsidR="003E0A9D" w:rsidRPr="0043055B" w:rsidRDefault="003E0A9D" w:rsidP="00A202FD">
            <w:pPr>
              <w:widowControl w:val="0"/>
              <w:spacing w:after="240" w:line="276" w:lineRule="auto"/>
              <w:ind w:firstLine="1"/>
              <w:contextualSpacing/>
              <w:jc w:val="both"/>
              <w:rPr>
                <w:sz w:val="22"/>
                <w:szCs w:val="22"/>
              </w:rPr>
            </w:pPr>
          </w:p>
          <w:p w14:paraId="4C900D97" w14:textId="77777777" w:rsidR="003E0A9D" w:rsidRPr="0043055B" w:rsidRDefault="003E0A9D" w:rsidP="00A202FD">
            <w:pPr>
              <w:widowControl w:val="0"/>
              <w:spacing w:after="240" w:line="276" w:lineRule="auto"/>
              <w:ind w:firstLine="1"/>
              <w:contextualSpacing/>
              <w:jc w:val="both"/>
              <w:rPr>
                <w:sz w:val="22"/>
                <w:szCs w:val="22"/>
              </w:rPr>
            </w:pPr>
          </w:p>
          <w:p w14:paraId="4D663BC9" w14:textId="77777777" w:rsidR="003E0A9D" w:rsidRPr="0043055B" w:rsidRDefault="003E0A9D" w:rsidP="00A202FD">
            <w:pPr>
              <w:widowControl w:val="0"/>
              <w:spacing w:after="240" w:line="276" w:lineRule="auto"/>
              <w:ind w:firstLine="1"/>
              <w:contextualSpacing/>
              <w:jc w:val="both"/>
              <w:rPr>
                <w:sz w:val="22"/>
                <w:szCs w:val="22"/>
              </w:rPr>
            </w:pPr>
          </w:p>
          <w:p w14:paraId="6610775E" w14:textId="77777777" w:rsidR="003E0A9D" w:rsidRPr="0043055B" w:rsidRDefault="003E0A9D" w:rsidP="00A202FD">
            <w:pPr>
              <w:widowControl w:val="0"/>
              <w:spacing w:after="240" w:line="276" w:lineRule="auto"/>
              <w:ind w:firstLine="1"/>
              <w:contextualSpacing/>
              <w:jc w:val="both"/>
              <w:rPr>
                <w:sz w:val="22"/>
                <w:szCs w:val="22"/>
              </w:rPr>
            </w:pPr>
          </w:p>
          <w:p w14:paraId="20C039D3" w14:textId="77777777" w:rsidR="003E0A9D" w:rsidRPr="0043055B" w:rsidRDefault="003E0A9D" w:rsidP="00A202FD">
            <w:pPr>
              <w:widowControl w:val="0"/>
              <w:spacing w:after="240" w:line="276" w:lineRule="auto"/>
              <w:ind w:firstLine="1"/>
              <w:contextualSpacing/>
              <w:jc w:val="both"/>
              <w:rPr>
                <w:sz w:val="22"/>
                <w:szCs w:val="22"/>
              </w:rPr>
            </w:pPr>
          </w:p>
          <w:p w14:paraId="097723FB"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mg/l</w:t>
            </w:r>
          </w:p>
        </w:tc>
        <w:tc>
          <w:tcPr>
            <w:tcW w:w="2245" w:type="dxa"/>
          </w:tcPr>
          <w:p w14:paraId="3AABFCDF"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0,1 – 1</w:t>
            </w:r>
          </w:p>
        </w:tc>
        <w:tc>
          <w:tcPr>
            <w:tcW w:w="2247" w:type="dxa"/>
          </w:tcPr>
          <w:p w14:paraId="7310C2B0"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Kubbe gazlarının ıslak yıkanması</w:t>
            </w:r>
          </w:p>
        </w:tc>
      </w:tr>
      <w:tr w:rsidR="003E0A9D" w:rsidRPr="0043055B" w14:paraId="54B5DB44" w14:textId="77777777" w:rsidTr="009077F5">
        <w:trPr>
          <w:trHeight w:val="639"/>
        </w:trPr>
        <w:tc>
          <w:tcPr>
            <w:tcW w:w="2383" w:type="dxa"/>
            <w:gridSpan w:val="2"/>
          </w:tcPr>
          <w:p w14:paraId="42E34CC7"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 xml:space="preserve">Hidrokarbon yağ endeksi (HOI)(3) </w:t>
            </w:r>
          </w:p>
          <w:p w14:paraId="25054968" w14:textId="77777777" w:rsidR="003E0A9D" w:rsidRPr="0043055B" w:rsidRDefault="003E0A9D" w:rsidP="009077F5">
            <w:pPr>
              <w:widowControl w:val="0"/>
              <w:spacing w:after="240" w:line="276" w:lineRule="auto"/>
              <w:contextualSpacing/>
              <w:jc w:val="both"/>
              <w:rPr>
                <w:sz w:val="22"/>
                <w:szCs w:val="22"/>
              </w:rPr>
            </w:pPr>
          </w:p>
        </w:tc>
        <w:tc>
          <w:tcPr>
            <w:tcW w:w="2240" w:type="dxa"/>
            <w:vMerge/>
          </w:tcPr>
          <w:p w14:paraId="56DDEFD3" w14:textId="77777777" w:rsidR="003E0A9D" w:rsidRPr="0043055B" w:rsidRDefault="003E0A9D" w:rsidP="00A202FD">
            <w:pPr>
              <w:widowControl w:val="0"/>
              <w:spacing w:after="240" w:line="276" w:lineRule="auto"/>
              <w:ind w:firstLine="1"/>
              <w:contextualSpacing/>
              <w:jc w:val="both"/>
              <w:rPr>
                <w:sz w:val="22"/>
                <w:szCs w:val="22"/>
              </w:rPr>
            </w:pPr>
          </w:p>
        </w:tc>
        <w:tc>
          <w:tcPr>
            <w:tcW w:w="2245" w:type="dxa"/>
          </w:tcPr>
          <w:p w14:paraId="1B4651B7"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0,1- 5</w:t>
            </w:r>
          </w:p>
        </w:tc>
        <w:tc>
          <w:tcPr>
            <w:tcW w:w="2247" w:type="dxa"/>
            <w:vMerge w:val="restart"/>
          </w:tcPr>
          <w:p w14:paraId="73B987B5" w14:textId="77777777" w:rsidR="003E0A9D" w:rsidRPr="0043055B" w:rsidRDefault="003E0A9D" w:rsidP="00A202FD">
            <w:pPr>
              <w:widowControl w:val="0"/>
              <w:spacing w:after="240" w:line="276" w:lineRule="auto"/>
              <w:ind w:firstLine="1"/>
              <w:contextualSpacing/>
              <w:jc w:val="both"/>
              <w:rPr>
                <w:sz w:val="22"/>
                <w:szCs w:val="22"/>
              </w:rPr>
            </w:pPr>
          </w:p>
          <w:p w14:paraId="2F982DBB" w14:textId="77777777" w:rsidR="003E0A9D" w:rsidRPr="0043055B" w:rsidRDefault="003E0A9D" w:rsidP="00A202FD">
            <w:pPr>
              <w:widowControl w:val="0"/>
              <w:spacing w:after="240" w:line="276" w:lineRule="auto"/>
              <w:ind w:firstLine="1"/>
              <w:contextualSpacing/>
              <w:jc w:val="both"/>
              <w:rPr>
                <w:sz w:val="22"/>
                <w:szCs w:val="22"/>
              </w:rPr>
            </w:pPr>
          </w:p>
          <w:p w14:paraId="7C1F25E3" w14:textId="77777777" w:rsidR="003E0A9D" w:rsidRPr="0043055B" w:rsidRDefault="003E0A9D" w:rsidP="00A202FD">
            <w:pPr>
              <w:widowControl w:val="0"/>
              <w:spacing w:after="240" w:line="276" w:lineRule="auto"/>
              <w:ind w:firstLine="1"/>
              <w:contextualSpacing/>
              <w:jc w:val="both"/>
              <w:rPr>
                <w:sz w:val="22"/>
                <w:szCs w:val="22"/>
              </w:rPr>
            </w:pPr>
          </w:p>
          <w:p w14:paraId="51FD7631"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 xml:space="preserve">Kalıp döküm, gaz dışı işlem (örn. ıslak </w:t>
            </w:r>
          </w:p>
          <w:p w14:paraId="03AC120B"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 xml:space="preserve">yıkama), son işlem, ısıl işlem, </w:t>
            </w:r>
          </w:p>
          <w:p w14:paraId="7B3CD41C"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 xml:space="preserve">kirlenmiş yüzey akış suyu, </w:t>
            </w:r>
          </w:p>
          <w:p w14:paraId="67A22523"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 xml:space="preserve">doğrudan soğutma, ıslak kum rejenerasyonu </w:t>
            </w:r>
          </w:p>
          <w:p w14:paraId="5277B05E"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ve kupol fırını cüruf granülasyonu.</w:t>
            </w:r>
          </w:p>
        </w:tc>
      </w:tr>
      <w:tr w:rsidR="003E0A9D" w:rsidRPr="0043055B" w14:paraId="7679F78B" w14:textId="77777777" w:rsidTr="007F47B9">
        <w:tc>
          <w:tcPr>
            <w:tcW w:w="1030" w:type="dxa"/>
            <w:vMerge w:val="restart"/>
          </w:tcPr>
          <w:p w14:paraId="5FA9A6BA" w14:textId="77777777" w:rsidR="003E0A9D" w:rsidRPr="0043055B" w:rsidRDefault="003E0A9D" w:rsidP="00A202FD">
            <w:pPr>
              <w:widowControl w:val="0"/>
              <w:spacing w:after="240" w:line="276" w:lineRule="auto"/>
              <w:ind w:firstLine="1"/>
              <w:contextualSpacing/>
              <w:jc w:val="both"/>
              <w:rPr>
                <w:sz w:val="22"/>
                <w:szCs w:val="22"/>
              </w:rPr>
            </w:pPr>
          </w:p>
          <w:p w14:paraId="0A6E2469" w14:textId="77777777" w:rsidR="003E0A9D" w:rsidRPr="0043055B" w:rsidRDefault="003E0A9D" w:rsidP="00A202FD">
            <w:pPr>
              <w:widowControl w:val="0"/>
              <w:spacing w:after="240" w:line="276" w:lineRule="auto"/>
              <w:ind w:firstLine="1"/>
              <w:contextualSpacing/>
              <w:jc w:val="both"/>
              <w:rPr>
                <w:sz w:val="22"/>
                <w:szCs w:val="22"/>
              </w:rPr>
            </w:pPr>
          </w:p>
          <w:p w14:paraId="3E7786C5" w14:textId="77777777" w:rsidR="003E0A9D" w:rsidRPr="0043055B" w:rsidRDefault="003E0A9D" w:rsidP="00A202FD">
            <w:pPr>
              <w:widowControl w:val="0"/>
              <w:spacing w:after="240" w:line="276" w:lineRule="auto"/>
              <w:ind w:firstLine="1"/>
              <w:contextualSpacing/>
              <w:jc w:val="both"/>
              <w:rPr>
                <w:sz w:val="22"/>
                <w:szCs w:val="22"/>
              </w:rPr>
            </w:pPr>
          </w:p>
          <w:p w14:paraId="0A79F701" w14:textId="77777777" w:rsidR="003E0A9D" w:rsidRPr="0043055B" w:rsidRDefault="003E0A9D" w:rsidP="00A202FD">
            <w:pPr>
              <w:widowControl w:val="0"/>
              <w:spacing w:after="240" w:line="276" w:lineRule="auto"/>
              <w:ind w:firstLine="1"/>
              <w:contextualSpacing/>
              <w:jc w:val="both"/>
              <w:rPr>
                <w:sz w:val="22"/>
                <w:szCs w:val="22"/>
              </w:rPr>
            </w:pPr>
          </w:p>
          <w:p w14:paraId="0405A720" w14:textId="77777777" w:rsidR="003E0A9D" w:rsidRPr="0043055B" w:rsidRDefault="003E0A9D" w:rsidP="00A202FD">
            <w:pPr>
              <w:widowControl w:val="0"/>
              <w:spacing w:after="240" w:line="276" w:lineRule="auto"/>
              <w:ind w:firstLine="1"/>
              <w:contextualSpacing/>
              <w:jc w:val="both"/>
              <w:rPr>
                <w:sz w:val="22"/>
                <w:szCs w:val="22"/>
              </w:rPr>
            </w:pPr>
          </w:p>
          <w:p w14:paraId="67E92E38" w14:textId="77777777" w:rsidR="003E0A9D" w:rsidRPr="0043055B" w:rsidRDefault="003E0A9D" w:rsidP="00A202FD">
            <w:pPr>
              <w:widowControl w:val="0"/>
              <w:spacing w:after="240" w:line="276" w:lineRule="auto"/>
              <w:ind w:firstLine="1"/>
              <w:contextualSpacing/>
              <w:jc w:val="both"/>
              <w:rPr>
                <w:sz w:val="22"/>
                <w:szCs w:val="22"/>
              </w:rPr>
            </w:pPr>
          </w:p>
          <w:p w14:paraId="779F1200" w14:textId="77777777" w:rsidR="003E0A9D" w:rsidRPr="0043055B" w:rsidRDefault="003E0A9D" w:rsidP="00A202FD">
            <w:pPr>
              <w:widowControl w:val="0"/>
              <w:spacing w:after="240" w:line="276" w:lineRule="auto"/>
              <w:ind w:firstLine="1"/>
              <w:contextualSpacing/>
              <w:jc w:val="both"/>
              <w:rPr>
                <w:sz w:val="22"/>
                <w:szCs w:val="22"/>
              </w:rPr>
            </w:pPr>
          </w:p>
          <w:p w14:paraId="2C828D47"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Metaller</w:t>
            </w:r>
          </w:p>
        </w:tc>
        <w:tc>
          <w:tcPr>
            <w:tcW w:w="1353" w:type="dxa"/>
          </w:tcPr>
          <w:p w14:paraId="27729943"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 xml:space="preserve">Bakır (Cu)(3) </w:t>
            </w:r>
          </w:p>
          <w:p w14:paraId="726E6937" w14:textId="77777777" w:rsidR="003E0A9D" w:rsidRPr="0043055B" w:rsidRDefault="003E0A9D" w:rsidP="00A202FD">
            <w:pPr>
              <w:widowControl w:val="0"/>
              <w:spacing w:after="240" w:line="276" w:lineRule="auto"/>
              <w:ind w:firstLine="1"/>
              <w:contextualSpacing/>
              <w:jc w:val="both"/>
              <w:rPr>
                <w:sz w:val="22"/>
                <w:szCs w:val="22"/>
              </w:rPr>
            </w:pPr>
          </w:p>
        </w:tc>
        <w:tc>
          <w:tcPr>
            <w:tcW w:w="2240" w:type="dxa"/>
            <w:vMerge/>
          </w:tcPr>
          <w:p w14:paraId="10C766EF" w14:textId="77777777" w:rsidR="003E0A9D" w:rsidRPr="0043055B" w:rsidRDefault="003E0A9D" w:rsidP="00A202FD">
            <w:pPr>
              <w:widowControl w:val="0"/>
              <w:spacing w:after="240" w:line="276" w:lineRule="auto"/>
              <w:ind w:firstLine="1"/>
              <w:contextualSpacing/>
              <w:jc w:val="both"/>
              <w:rPr>
                <w:sz w:val="22"/>
                <w:szCs w:val="22"/>
              </w:rPr>
            </w:pPr>
          </w:p>
        </w:tc>
        <w:tc>
          <w:tcPr>
            <w:tcW w:w="2245" w:type="dxa"/>
          </w:tcPr>
          <w:p w14:paraId="4CC48D5B"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0,1- 0,4</w:t>
            </w:r>
          </w:p>
        </w:tc>
        <w:tc>
          <w:tcPr>
            <w:tcW w:w="2247" w:type="dxa"/>
            <w:vMerge/>
          </w:tcPr>
          <w:p w14:paraId="2B6FAE2E" w14:textId="77777777" w:rsidR="003E0A9D" w:rsidRPr="0043055B" w:rsidRDefault="003E0A9D" w:rsidP="00A202FD">
            <w:pPr>
              <w:widowControl w:val="0"/>
              <w:spacing w:after="240" w:line="276" w:lineRule="auto"/>
              <w:ind w:firstLine="1"/>
              <w:contextualSpacing/>
              <w:jc w:val="both"/>
              <w:rPr>
                <w:sz w:val="22"/>
                <w:szCs w:val="22"/>
              </w:rPr>
            </w:pPr>
          </w:p>
        </w:tc>
      </w:tr>
      <w:tr w:rsidR="003E0A9D" w:rsidRPr="0043055B" w14:paraId="5B284AC8" w14:textId="77777777" w:rsidTr="007F47B9">
        <w:tc>
          <w:tcPr>
            <w:tcW w:w="1030" w:type="dxa"/>
            <w:vMerge/>
          </w:tcPr>
          <w:p w14:paraId="401A91B9" w14:textId="77777777" w:rsidR="003E0A9D" w:rsidRPr="0043055B" w:rsidRDefault="003E0A9D" w:rsidP="00A202FD">
            <w:pPr>
              <w:widowControl w:val="0"/>
              <w:spacing w:after="240" w:line="276" w:lineRule="auto"/>
              <w:ind w:firstLine="1"/>
              <w:contextualSpacing/>
              <w:jc w:val="both"/>
              <w:rPr>
                <w:sz w:val="22"/>
                <w:szCs w:val="22"/>
              </w:rPr>
            </w:pPr>
          </w:p>
        </w:tc>
        <w:tc>
          <w:tcPr>
            <w:tcW w:w="1353" w:type="dxa"/>
          </w:tcPr>
          <w:p w14:paraId="5655345B"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 xml:space="preserve">Krom (Cr)(3) </w:t>
            </w:r>
          </w:p>
          <w:p w14:paraId="1DC67235" w14:textId="77777777" w:rsidR="003E0A9D" w:rsidRPr="0043055B" w:rsidRDefault="003E0A9D" w:rsidP="00A202FD">
            <w:pPr>
              <w:widowControl w:val="0"/>
              <w:spacing w:after="240" w:line="276" w:lineRule="auto"/>
              <w:ind w:firstLine="1"/>
              <w:contextualSpacing/>
              <w:jc w:val="both"/>
              <w:rPr>
                <w:sz w:val="22"/>
                <w:szCs w:val="22"/>
              </w:rPr>
            </w:pPr>
          </w:p>
        </w:tc>
        <w:tc>
          <w:tcPr>
            <w:tcW w:w="2240" w:type="dxa"/>
            <w:vMerge/>
          </w:tcPr>
          <w:p w14:paraId="61182B5A" w14:textId="77777777" w:rsidR="003E0A9D" w:rsidRPr="0043055B" w:rsidRDefault="003E0A9D" w:rsidP="00A202FD">
            <w:pPr>
              <w:widowControl w:val="0"/>
              <w:spacing w:after="240" w:line="276" w:lineRule="auto"/>
              <w:ind w:firstLine="1"/>
              <w:contextualSpacing/>
              <w:jc w:val="both"/>
              <w:rPr>
                <w:sz w:val="22"/>
                <w:szCs w:val="22"/>
              </w:rPr>
            </w:pPr>
          </w:p>
        </w:tc>
        <w:tc>
          <w:tcPr>
            <w:tcW w:w="2245" w:type="dxa"/>
          </w:tcPr>
          <w:p w14:paraId="7743FC33"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0,1- 0,2</w:t>
            </w:r>
          </w:p>
        </w:tc>
        <w:tc>
          <w:tcPr>
            <w:tcW w:w="2247" w:type="dxa"/>
            <w:vMerge/>
          </w:tcPr>
          <w:p w14:paraId="062F2EEF" w14:textId="77777777" w:rsidR="003E0A9D" w:rsidRPr="0043055B" w:rsidRDefault="003E0A9D" w:rsidP="00A202FD">
            <w:pPr>
              <w:widowControl w:val="0"/>
              <w:spacing w:after="240" w:line="276" w:lineRule="auto"/>
              <w:ind w:firstLine="1"/>
              <w:contextualSpacing/>
              <w:jc w:val="both"/>
              <w:rPr>
                <w:sz w:val="22"/>
                <w:szCs w:val="22"/>
              </w:rPr>
            </w:pPr>
          </w:p>
        </w:tc>
      </w:tr>
      <w:tr w:rsidR="003E0A9D" w:rsidRPr="0043055B" w14:paraId="3B3353CE" w14:textId="77777777" w:rsidTr="007F47B9">
        <w:tc>
          <w:tcPr>
            <w:tcW w:w="1030" w:type="dxa"/>
            <w:vMerge/>
          </w:tcPr>
          <w:p w14:paraId="33C9D132" w14:textId="77777777" w:rsidR="003E0A9D" w:rsidRPr="0043055B" w:rsidRDefault="003E0A9D" w:rsidP="00A202FD">
            <w:pPr>
              <w:widowControl w:val="0"/>
              <w:spacing w:after="240" w:line="276" w:lineRule="auto"/>
              <w:ind w:firstLine="1"/>
              <w:contextualSpacing/>
              <w:jc w:val="both"/>
              <w:rPr>
                <w:sz w:val="22"/>
                <w:szCs w:val="22"/>
              </w:rPr>
            </w:pPr>
          </w:p>
        </w:tc>
        <w:tc>
          <w:tcPr>
            <w:tcW w:w="1353" w:type="dxa"/>
          </w:tcPr>
          <w:p w14:paraId="606B2C46"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 xml:space="preserve">Kurşun (Pb)(3) </w:t>
            </w:r>
          </w:p>
          <w:p w14:paraId="0A8E73B7" w14:textId="77777777" w:rsidR="003E0A9D" w:rsidRPr="0043055B" w:rsidRDefault="003E0A9D" w:rsidP="00A202FD">
            <w:pPr>
              <w:widowControl w:val="0"/>
              <w:spacing w:after="240" w:line="276" w:lineRule="auto"/>
              <w:ind w:firstLine="1"/>
              <w:contextualSpacing/>
              <w:jc w:val="both"/>
              <w:rPr>
                <w:sz w:val="22"/>
                <w:szCs w:val="22"/>
              </w:rPr>
            </w:pPr>
          </w:p>
        </w:tc>
        <w:tc>
          <w:tcPr>
            <w:tcW w:w="2240" w:type="dxa"/>
            <w:vMerge/>
          </w:tcPr>
          <w:p w14:paraId="15F9F7BE" w14:textId="77777777" w:rsidR="003E0A9D" w:rsidRPr="0043055B" w:rsidRDefault="003E0A9D" w:rsidP="00A202FD">
            <w:pPr>
              <w:widowControl w:val="0"/>
              <w:spacing w:after="240" w:line="276" w:lineRule="auto"/>
              <w:ind w:firstLine="1"/>
              <w:contextualSpacing/>
              <w:jc w:val="both"/>
              <w:rPr>
                <w:sz w:val="22"/>
                <w:szCs w:val="22"/>
              </w:rPr>
            </w:pPr>
          </w:p>
        </w:tc>
        <w:tc>
          <w:tcPr>
            <w:tcW w:w="2245" w:type="dxa"/>
          </w:tcPr>
          <w:p w14:paraId="31A1F9B5"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0,1- 0,3</w:t>
            </w:r>
          </w:p>
        </w:tc>
        <w:tc>
          <w:tcPr>
            <w:tcW w:w="2247" w:type="dxa"/>
            <w:vMerge/>
          </w:tcPr>
          <w:p w14:paraId="2DF56BBF" w14:textId="77777777" w:rsidR="003E0A9D" w:rsidRPr="0043055B" w:rsidRDefault="003E0A9D" w:rsidP="00A202FD">
            <w:pPr>
              <w:widowControl w:val="0"/>
              <w:spacing w:after="240" w:line="276" w:lineRule="auto"/>
              <w:ind w:firstLine="1"/>
              <w:contextualSpacing/>
              <w:jc w:val="both"/>
              <w:rPr>
                <w:sz w:val="22"/>
                <w:szCs w:val="22"/>
              </w:rPr>
            </w:pPr>
          </w:p>
        </w:tc>
      </w:tr>
      <w:tr w:rsidR="003E0A9D" w:rsidRPr="0043055B" w14:paraId="27C375B4" w14:textId="77777777" w:rsidTr="007F47B9">
        <w:tc>
          <w:tcPr>
            <w:tcW w:w="1030" w:type="dxa"/>
            <w:vMerge/>
          </w:tcPr>
          <w:p w14:paraId="3B22E25F" w14:textId="77777777" w:rsidR="003E0A9D" w:rsidRPr="0043055B" w:rsidRDefault="003E0A9D" w:rsidP="00A202FD">
            <w:pPr>
              <w:widowControl w:val="0"/>
              <w:spacing w:after="240" w:line="276" w:lineRule="auto"/>
              <w:ind w:firstLine="1"/>
              <w:contextualSpacing/>
              <w:jc w:val="both"/>
              <w:rPr>
                <w:sz w:val="22"/>
                <w:szCs w:val="22"/>
              </w:rPr>
            </w:pPr>
          </w:p>
        </w:tc>
        <w:tc>
          <w:tcPr>
            <w:tcW w:w="1353" w:type="dxa"/>
          </w:tcPr>
          <w:p w14:paraId="44533CDD"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 xml:space="preserve">Nikel (Ni)(3) </w:t>
            </w:r>
          </w:p>
          <w:p w14:paraId="4852C8C5" w14:textId="77777777" w:rsidR="003E0A9D" w:rsidRPr="0043055B" w:rsidRDefault="003E0A9D" w:rsidP="00A202FD">
            <w:pPr>
              <w:widowControl w:val="0"/>
              <w:spacing w:after="240" w:line="276" w:lineRule="auto"/>
              <w:ind w:firstLine="1"/>
              <w:contextualSpacing/>
              <w:jc w:val="both"/>
              <w:rPr>
                <w:sz w:val="22"/>
                <w:szCs w:val="22"/>
              </w:rPr>
            </w:pPr>
          </w:p>
        </w:tc>
        <w:tc>
          <w:tcPr>
            <w:tcW w:w="2240" w:type="dxa"/>
            <w:vMerge/>
          </w:tcPr>
          <w:p w14:paraId="2AED0948" w14:textId="77777777" w:rsidR="003E0A9D" w:rsidRPr="0043055B" w:rsidRDefault="003E0A9D" w:rsidP="00A202FD">
            <w:pPr>
              <w:widowControl w:val="0"/>
              <w:spacing w:after="240" w:line="276" w:lineRule="auto"/>
              <w:ind w:firstLine="1"/>
              <w:contextualSpacing/>
              <w:jc w:val="both"/>
              <w:rPr>
                <w:sz w:val="22"/>
                <w:szCs w:val="22"/>
              </w:rPr>
            </w:pPr>
          </w:p>
        </w:tc>
        <w:tc>
          <w:tcPr>
            <w:tcW w:w="2245" w:type="dxa"/>
          </w:tcPr>
          <w:p w14:paraId="6289CF38"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0,1- 0,5</w:t>
            </w:r>
          </w:p>
        </w:tc>
        <w:tc>
          <w:tcPr>
            <w:tcW w:w="2247" w:type="dxa"/>
            <w:vMerge/>
          </w:tcPr>
          <w:p w14:paraId="5BDF7CCC" w14:textId="77777777" w:rsidR="003E0A9D" w:rsidRPr="0043055B" w:rsidRDefault="003E0A9D" w:rsidP="00A202FD">
            <w:pPr>
              <w:widowControl w:val="0"/>
              <w:spacing w:after="240" w:line="276" w:lineRule="auto"/>
              <w:ind w:firstLine="1"/>
              <w:contextualSpacing/>
              <w:jc w:val="both"/>
              <w:rPr>
                <w:sz w:val="22"/>
                <w:szCs w:val="22"/>
              </w:rPr>
            </w:pPr>
          </w:p>
        </w:tc>
      </w:tr>
      <w:tr w:rsidR="003E0A9D" w:rsidRPr="0043055B" w14:paraId="07A6BDBA" w14:textId="77777777" w:rsidTr="007F47B9">
        <w:tc>
          <w:tcPr>
            <w:tcW w:w="1030" w:type="dxa"/>
            <w:vMerge/>
          </w:tcPr>
          <w:p w14:paraId="10873AD5" w14:textId="77777777" w:rsidR="003E0A9D" w:rsidRPr="0043055B" w:rsidRDefault="003E0A9D" w:rsidP="00A202FD">
            <w:pPr>
              <w:widowControl w:val="0"/>
              <w:spacing w:after="240" w:line="276" w:lineRule="auto"/>
              <w:ind w:firstLine="1"/>
              <w:contextualSpacing/>
              <w:jc w:val="both"/>
              <w:rPr>
                <w:sz w:val="22"/>
                <w:szCs w:val="22"/>
              </w:rPr>
            </w:pPr>
          </w:p>
        </w:tc>
        <w:tc>
          <w:tcPr>
            <w:tcW w:w="1353" w:type="dxa"/>
          </w:tcPr>
          <w:p w14:paraId="2EE8B8F3"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 xml:space="preserve">Çinko (Zn)(3) </w:t>
            </w:r>
          </w:p>
          <w:p w14:paraId="310C0544" w14:textId="77777777" w:rsidR="003E0A9D" w:rsidRPr="0043055B" w:rsidRDefault="003E0A9D" w:rsidP="00A202FD">
            <w:pPr>
              <w:widowControl w:val="0"/>
              <w:spacing w:after="240" w:line="276" w:lineRule="auto"/>
              <w:ind w:firstLine="1"/>
              <w:contextualSpacing/>
              <w:jc w:val="both"/>
              <w:rPr>
                <w:sz w:val="22"/>
                <w:szCs w:val="22"/>
              </w:rPr>
            </w:pPr>
          </w:p>
        </w:tc>
        <w:tc>
          <w:tcPr>
            <w:tcW w:w="2240" w:type="dxa"/>
            <w:vMerge/>
          </w:tcPr>
          <w:p w14:paraId="3532C404" w14:textId="77777777" w:rsidR="003E0A9D" w:rsidRPr="0043055B" w:rsidRDefault="003E0A9D" w:rsidP="00A202FD">
            <w:pPr>
              <w:widowControl w:val="0"/>
              <w:spacing w:after="240" w:line="276" w:lineRule="auto"/>
              <w:ind w:firstLine="1"/>
              <w:contextualSpacing/>
              <w:jc w:val="both"/>
              <w:rPr>
                <w:sz w:val="22"/>
                <w:szCs w:val="22"/>
              </w:rPr>
            </w:pPr>
          </w:p>
        </w:tc>
        <w:tc>
          <w:tcPr>
            <w:tcW w:w="2245" w:type="dxa"/>
          </w:tcPr>
          <w:p w14:paraId="77969DC6" w14:textId="77777777"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0,5- 2</w:t>
            </w:r>
          </w:p>
        </w:tc>
        <w:tc>
          <w:tcPr>
            <w:tcW w:w="2247" w:type="dxa"/>
            <w:vMerge/>
          </w:tcPr>
          <w:p w14:paraId="682FAA57" w14:textId="77777777" w:rsidR="003E0A9D" w:rsidRPr="0043055B" w:rsidRDefault="003E0A9D" w:rsidP="00A202FD">
            <w:pPr>
              <w:widowControl w:val="0"/>
              <w:spacing w:after="240" w:line="276" w:lineRule="auto"/>
              <w:ind w:firstLine="1"/>
              <w:contextualSpacing/>
              <w:jc w:val="both"/>
              <w:rPr>
                <w:sz w:val="22"/>
                <w:szCs w:val="22"/>
              </w:rPr>
            </w:pPr>
          </w:p>
        </w:tc>
      </w:tr>
      <w:tr w:rsidR="003E0A9D" w:rsidRPr="0043055B" w14:paraId="6403026C" w14:textId="77777777" w:rsidTr="009077F5">
        <w:trPr>
          <w:trHeight w:val="397"/>
        </w:trPr>
        <w:tc>
          <w:tcPr>
            <w:tcW w:w="2383" w:type="dxa"/>
            <w:gridSpan w:val="2"/>
          </w:tcPr>
          <w:p w14:paraId="1AFDA1F6" w14:textId="028D6DBA" w:rsidR="003E0A9D" w:rsidRPr="0043055B" w:rsidRDefault="003E0A9D" w:rsidP="0043055B">
            <w:pPr>
              <w:widowControl w:val="0"/>
              <w:spacing w:after="240" w:line="276" w:lineRule="auto"/>
              <w:ind w:firstLine="1"/>
              <w:contextualSpacing/>
              <w:jc w:val="both"/>
              <w:rPr>
                <w:sz w:val="22"/>
                <w:szCs w:val="22"/>
              </w:rPr>
            </w:pPr>
            <w:r w:rsidRPr="0043055B">
              <w:rPr>
                <w:sz w:val="22"/>
                <w:szCs w:val="22"/>
              </w:rPr>
              <w:t>Fenol indeksi(4)</w:t>
            </w:r>
          </w:p>
        </w:tc>
        <w:tc>
          <w:tcPr>
            <w:tcW w:w="2240" w:type="dxa"/>
            <w:vMerge/>
          </w:tcPr>
          <w:p w14:paraId="0F3B0887" w14:textId="77777777" w:rsidR="003E0A9D" w:rsidRPr="0043055B" w:rsidRDefault="003E0A9D" w:rsidP="00A202FD">
            <w:pPr>
              <w:widowControl w:val="0"/>
              <w:spacing w:after="240" w:line="276" w:lineRule="auto"/>
              <w:ind w:firstLine="1"/>
              <w:contextualSpacing/>
              <w:jc w:val="both"/>
              <w:rPr>
                <w:sz w:val="22"/>
                <w:szCs w:val="22"/>
              </w:rPr>
            </w:pPr>
          </w:p>
        </w:tc>
        <w:tc>
          <w:tcPr>
            <w:tcW w:w="2245" w:type="dxa"/>
          </w:tcPr>
          <w:p w14:paraId="66C2D252" w14:textId="06B737D0" w:rsidR="003E0A9D" w:rsidRPr="0043055B" w:rsidRDefault="003E0A9D" w:rsidP="00A202FD">
            <w:pPr>
              <w:widowControl w:val="0"/>
              <w:spacing w:after="240" w:line="276" w:lineRule="auto"/>
              <w:ind w:firstLine="1"/>
              <w:contextualSpacing/>
              <w:jc w:val="both"/>
              <w:rPr>
                <w:sz w:val="22"/>
                <w:szCs w:val="22"/>
              </w:rPr>
            </w:pPr>
            <w:r w:rsidRPr="0043055B">
              <w:rPr>
                <w:sz w:val="22"/>
                <w:szCs w:val="22"/>
              </w:rPr>
              <w:t xml:space="preserve"> 0,05- 0,5</w:t>
            </w:r>
          </w:p>
        </w:tc>
        <w:tc>
          <w:tcPr>
            <w:tcW w:w="2247" w:type="dxa"/>
            <w:vMerge/>
          </w:tcPr>
          <w:p w14:paraId="5B0B853B" w14:textId="77777777" w:rsidR="003E0A9D" w:rsidRPr="0043055B" w:rsidRDefault="003E0A9D" w:rsidP="00A202FD">
            <w:pPr>
              <w:widowControl w:val="0"/>
              <w:spacing w:after="240" w:line="276" w:lineRule="auto"/>
              <w:ind w:firstLine="1"/>
              <w:contextualSpacing/>
              <w:jc w:val="both"/>
              <w:rPr>
                <w:sz w:val="22"/>
                <w:szCs w:val="22"/>
              </w:rPr>
            </w:pPr>
          </w:p>
        </w:tc>
      </w:tr>
      <w:tr w:rsidR="007F47B9" w:rsidRPr="0043055B" w14:paraId="62DBF14E" w14:textId="77777777" w:rsidTr="00A202FD">
        <w:tc>
          <w:tcPr>
            <w:tcW w:w="9115" w:type="dxa"/>
            <w:gridSpan w:val="5"/>
          </w:tcPr>
          <w:p w14:paraId="7E4E999E" w14:textId="77777777" w:rsidR="007F47B9" w:rsidRPr="009077F5" w:rsidRDefault="007F47B9" w:rsidP="00A202FD">
            <w:pPr>
              <w:widowControl w:val="0"/>
              <w:spacing w:after="240" w:line="276" w:lineRule="auto"/>
              <w:ind w:firstLine="1"/>
              <w:contextualSpacing/>
              <w:jc w:val="both"/>
              <w:rPr>
                <w:sz w:val="20"/>
                <w:szCs w:val="20"/>
              </w:rPr>
            </w:pPr>
            <w:r w:rsidRPr="009077F5">
              <w:rPr>
                <w:sz w:val="20"/>
                <w:szCs w:val="20"/>
              </w:rPr>
              <w:t>(1) Ortalama alma süreleri genel hususlarda tanımlanmıştır.</w:t>
            </w:r>
          </w:p>
          <w:p w14:paraId="28684F7D" w14:textId="4E9911B4" w:rsidR="007F47B9" w:rsidRPr="009077F5" w:rsidRDefault="007F47B9" w:rsidP="00A202FD">
            <w:pPr>
              <w:widowControl w:val="0"/>
              <w:spacing w:after="240" w:line="276" w:lineRule="auto"/>
              <w:ind w:firstLine="1"/>
              <w:contextualSpacing/>
              <w:jc w:val="both"/>
              <w:rPr>
                <w:sz w:val="20"/>
                <w:szCs w:val="20"/>
              </w:rPr>
            </w:pPr>
            <w:r w:rsidRPr="009077F5">
              <w:rPr>
                <w:sz w:val="20"/>
                <w:szCs w:val="20"/>
              </w:rPr>
              <w:t xml:space="preserve"> (2) </w:t>
            </w:r>
            <w:r w:rsidR="00942AF8" w:rsidRPr="009077F5">
              <w:rPr>
                <w:sz w:val="20"/>
                <w:szCs w:val="20"/>
              </w:rPr>
              <w:t>Bağlı bulunan</w:t>
            </w:r>
            <w:r w:rsidRPr="009077F5">
              <w:rPr>
                <w:sz w:val="20"/>
                <w:szCs w:val="20"/>
              </w:rPr>
              <w:t xml:space="preserve"> atıksu arıtma tesisi, aşağıdakileri azaltmak için uygun şekilde tasarlanmış ve donatılmışsa MET-İES uygulanmayabilir </w:t>
            </w:r>
          </w:p>
          <w:p w14:paraId="44BE4973" w14:textId="77777777" w:rsidR="007F47B9" w:rsidRPr="009077F5" w:rsidRDefault="007F47B9" w:rsidP="00A202FD">
            <w:pPr>
              <w:widowControl w:val="0"/>
              <w:spacing w:after="240" w:line="276" w:lineRule="auto"/>
              <w:ind w:firstLine="1"/>
              <w:contextualSpacing/>
              <w:jc w:val="both"/>
              <w:rPr>
                <w:sz w:val="20"/>
                <w:szCs w:val="20"/>
              </w:rPr>
            </w:pPr>
            <w:r w:rsidRPr="009077F5">
              <w:rPr>
                <w:sz w:val="20"/>
                <w:szCs w:val="20"/>
              </w:rPr>
              <w:t>çevrede daha yüksek bir kirlilik seviyesine yol açmaması koşuluyla ilgili kirleticiler.</w:t>
            </w:r>
          </w:p>
          <w:p w14:paraId="53148EDA" w14:textId="0BB29CED" w:rsidR="007F47B9" w:rsidRPr="009077F5" w:rsidRDefault="007F47B9" w:rsidP="00A202FD">
            <w:pPr>
              <w:widowControl w:val="0"/>
              <w:spacing w:after="240" w:line="276" w:lineRule="auto"/>
              <w:ind w:firstLine="1"/>
              <w:contextualSpacing/>
              <w:jc w:val="both"/>
              <w:rPr>
                <w:sz w:val="20"/>
                <w:szCs w:val="20"/>
              </w:rPr>
            </w:pPr>
            <w:r w:rsidRPr="009077F5">
              <w:rPr>
                <w:sz w:val="20"/>
                <w:szCs w:val="20"/>
              </w:rPr>
              <w:t xml:space="preserve"> (3 MET-İES yalnızca ilgili madde/parametrenin atıksu akışında aşağıdakilere dayalı olarak ilgili olduğu tespit edildiğinde uygulanır </w:t>
            </w:r>
          </w:p>
          <w:p w14:paraId="56B92560" w14:textId="77777777" w:rsidR="007F47B9" w:rsidRPr="009077F5" w:rsidRDefault="007F47B9" w:rsidP="00A202FD">
            <w:pPr>
              <w:widowControl w:val="0"/>
              <w:spacing w:after="240" w:line="276" w:lineRule="auto"/>
              <w:ind w:firstLine="1"/>
              <w:contextualSpacing/>
              <w:jc w:val="both"/>
              <w:rPr>
                <w:sz w:val="20"/>
                <w:szCs w:val="20"/>
              </w:rPr>
            </w:pPr>
            <w:r w:rsidRPr="009077F5">
              <w:rPr>
                <w:sz w:val="20"/>
                <w:szCs w:val="20"/>
              </w:rPr>
              <w:t>MET 2'de belirtilen girdi ve çıktıların envanteri.</w:t>
            </w:r>
          </w:p>
          <w:p w14:paraId="7AD1EF72" w14:textId="17DBA819" w:rsidR="007F47B9" w:rsidRPr="009077F5" w:rsidRDefault="007F47B9" w:rsidP="00A202FD">
            <w:pPr>
              <w:widowControl w:val="0"/>
              <w:spacing w:after="240" w:line="276" w:lineRule="auto"/>
              <w:ind w:firstLine="1"/>
              <w:contextualSpacing/>
              <w:jc w:val="both"/>
              <w:rPr>
                <w:sz w:val="22"/>
                <w:szCs w:val="22"/>
              </w:rPr>
            </w:pPr>
            <w:r w:rsidRPr="009077F5">
              <w:rPr>
                <w:sz w:val="20"/>
                <w:szCs w:val="20"/>
              </w:rPr>
              <w:t xml:space="preserve"> (4) MET-İES sadece fenolik bağlayıcı sistemler kullanıldığında geçerlidir</w:t>
            </w:r>
          </w:p>
        </w:tc>
      </w:tr>
    </w:tbl>
    <w:p w14:paraId="7B11DF00" w14:textId="0AD76045" w:rsidR="0007690F" w:rsidRPr="00D53A2B" w:rsidRDefault="0007690F" w:rsidP="00A202FD">
      <w:pPr>
        <w:widowControl w:val="0"/>
        <w:spacing w:after="240" w:line="276" w:lineRule="auto"/>
        <w:ind w:firstLine="1"/>
        <w:contextualSpacing/>
        <w:jc w:val="both"/>
      </w:pPr>
      <w:r w:rsidRPr="00D53A2B">
        <w:t>İlgili izleme MET 13'te belirtilmiştir.</w:t>
      </w:r>
    </w:p>
    <w:p w14:paraId="77A4F4AA" w14:textId="77777777" w:rsidR="0007690F" w:rsidRPr="00D53A2B" w:rsidRDefault="0007690F" w:rsidP="00A202FD">
      <w:pPr>
        <w:pStyle w:val="Balk3"/>
        <w:rPr>
          <w:rFonts w:cs="Times New Roman"/>
        </w:rPr>
      </w:pPr>
      <w:r w:rsidRPr="00D53A2B">
        <w:rPr>
          <w:rFonts w:cs="Times New Roman"/>
        </w:rPr>
        <w:t>1.2.2. Dökme Demir Dökümhaneleri için MET Sonuçları</w:t>
      </w:r>
    </w:p>
    <w:p w14:paraId="0E4B0CBB" w14:textId="77777777" w:rsidR="0007690F" w:rsidRPr="00D53A2B" w:rsidRDefault="0007690F" w:rsidP="00A202FD">
      <w:pPr>
        <w:widowControl w:val="0"/>
        <w:spacing w:after="240" w:line="276" w:lineRule="auto"/>
        <w:ind w:firstLine="1"/>
        <w:contextualSpacing/>
        <w:jc w:val="both"/>
      </w:pPr>
      <w:r w:rsidRPr="00D53A2B">
        <w:t>Bu bölümdeki MET sonuçları, Bölüm 1.1 ve 1.2.1'de verilen genel MET sonuçlarına ek olarak uygulanır.</w:t>
      </w:r>
    </w:p>
    <w:p w14:paraId="703415DB" w14:textId="77777777" w:rsidR="0007690F" w:rsidRPr="00D53A2B" w:rsidRDefault="0007690F" w:rsidP="00A202FD">
      <w:pPr>
        <w:pStyle w:val="Balk4"/>
        <w:rPr>
          <w:rFonts w:cs="Times New Roman"/>
        </w:rPr>
      </w:pPr>
      <w:r w:rsidRPr="00D53A2B">
        <w:rPr>
          <w:rFonts w:cs="Times New Roman"/>
        </w:rPr>
        <w:t>1.2.2.1. Enerji Verimliliği</w:t>
      </w:r>
    </w:p>
    <w:p w14:paraId="19376E0B" w14:textId="77777777" w:rsidR="0007690F" w:rsidRPr="00D53A2B" w:rsidRDefault="0007690F" w:rsidP="00A202FD">
      <w:pPr>
        <w:widowControl w:val="0"/>
        <w:spacing w:after="240" w:line="276" w:lineRule="auto"/>
        <w:ind w:firstLine="1"/>
        <w:contextualSpacing/>
        <w:jc w:val="both"/>
      </w:pPr>
      <w:r w:rsidRPr="00D53A2B">
        <w:rPr>
          <w:b/>
          <w:bCs/>
        </w:rPr>
        <w:t>MET 37.</w:t>
      </w:r>
      <w:r w:rsidRPr="00D53A2B">
        <w:t> </w:t>
      </w:r>
      <w:r w:rsidRPr="00D53A2B">
        <w:rPr>
          <w:b/>
          <w:bCs/>
        </w:rPr>
        <w:t>Metal eritmede enerji verimliliğini artırmak için MET, aşağıda verilen tekniklerin uygun bir kombinasyonunun kullanılmasını öngörür.</w:t>
      </w:r>
    </w:p>
    <w:tbl>
      <w:tblPr>
        <w:tblW w:w="9062" w:type="dxa"/>
        <w:tblCellMar>
          <w:left w:w="70" w:type="dxa"/>
          <w:right w:w="70" w:type="dxa"/>
        </w:tblCellMar>
        <w:tblLook w:val="04A0" w:firstRow="1" w:lastRow="0" w:firstColumn="1" w:lastColumn="0" w:noHBand="0" w:noVBand="1"/>
      </w:tblPr>
      <w:tblGrid>
        <w:gridCol w:w="2146"/>
        <w:gridCol w:w="1128"/>
        <w:gridCol w:w="5947"/>
      </w:tblGrid>
      <w:tr w:rsidR="0007690F" w:rsidRPr="00D53A2B" w14:paraId="66163464" w14:textId="77777777" w:rsidTr="00A202FD">
        <w:trPr>
          <w:trHeight w:val="320"/>
        </w:trPr>
        <w:tc>
          <w:tcPr>
            <w:tcW w:w="21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855CA8"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969" w:type="dxa"/>
            <w:tcBorders>
              <w:top w:val="single" w:sz="4" w:space="0" w:color="auto"/>
              <w:left w:val="nil"/>
              <w:bottom w:val="single" w:sz="4" w:space="0" w:color="auto"/>
              <w:right w:val="single" w:sz="4" w:space="0" w:color="auto"/>
            </w:tcBorders>
            <w:shd w:val="clear" w:color="auto" w:fill="auto"/>
            <w:noWrap/>
            <w:vAlign w:val="bottom"/>
            <w:hideMark/>
          </w:tcPr>
          <w:p w14:paraId="5D408FDE"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5947" w:type="dxa"/>
            <w:tcBorders>
              <w:top w:val="single" w:sz="4" w:space="0" w:color="auto"/>
              <w:left w:val="nil"/>
              <w:bottom w:val="single" w:sz="4" w:space="0" w:color="auto"/>
              <w:right w:val="single" w:sz="4" w:space="0" w:color="auto"/>
            </w:tcBorders>
            <w:shd w:val="clear" w:color="auto" w:fill="auto"/>
            <w:noWrap/>
            <w:vAlign w:val="bottom"/>
            <w:hideMark/>
          </w:tcPr>
          <w:p w14:paraId="10DC14CA"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tc>
      </w:tr>
      <w:tr w:rsidR="0007690F" w:rsidRPr="00D53A2B" w14:paraId="277971B0" w14:textId="77777777" w:rsidTr="00A202FD">
        <w:trPr>
          <w:trHeight w:val="320"/>
        </w:trPr>
        <w:tc>
          <w:tcPr>
            <w:tcW w:w="2146" w:type="dxa"/>
            <w:tcBorders>
              <w:top w:val="nil"/>
              <w:left w:val="single" w:sz="4" w:space="0" w:color="auto"/>
              <w:bottom w:val="single" w:sz="4" w:space="0" w:color="auto"/>
              <w:right w:val="single" w:sz="4" w:space="0" w:color="auto"/>
            </w:tcBorders>
            <w:shd w:val="clear" w:color="auto" w:fill="auto"/>
            <w:noWrap/>
            <w:vAlign w:val="bottom"/>
            <w:hideMark/>
          </w:tcPr>
          <w:p w14:paraId="7CE4C434" w14:textId="77777777" w:rsidR="0007690F" w:rsidRPr="00D53A2B" w:rsidRDefault="0007690F" w:rsidP="00A202FD">
            <w:pPr>
              <w:widowControl w:val="0"/>
              <w:spacing w:after="240" w:line="276" w:lineRule="auto"/>
              <w:ind w:firstLine="1"/>
              <w:contextualSpacing/>
              <w:jc w:val="both"/>
              <w:rPr>
                <w:b/>
                <w:bCs/>
              </w:rPr>
            </w:pPr>
            <w:r w:rsidRPr="00D53A2B">
              <w:rPr>
                <w:b/>
                <w:bCs/>
              </w:rPr>
              <w:t>a.</w:t>
            </w:r>
            <w:r w:rsidRPr="00D53A2B">
              <w:t> CBC fırınlarında şaft yüksekliğinin artırılması</w:t>
            </w:r>
          </w:p>
        </w:tc>
        <w:tc>
          <w:tcPr>
            <w:tcW w:w="969" w:type="dxa"/>
            <w:tcBorders>
              <w:top w:val="nil"/>
              <w:left w:val="nil"/>
              <w:bottom w:val="single" w:sz="4" w:space="0" w:color="auto"/>
              <w:right w:val="single" w:sz="4" w:space="0" w:color="auto"/>
            </w:tcBorders>
            <w:shd w:val="clear" w:color="auto" w:fill="auto"/>
            <w:noWrap/>
            <w:vAlign w:val="bottom"/>
            <w:hideMark/>
          </w:tcPr>
          <w:p w14:paraId="6F4803F6" w14:textId="77777777" w:rsidR="0007690F" w:rsidRPr="00D53A2B" w:rsidRDefault="0007690F" w:rsidP="00A202FD">
            <w:pPr>
              <w:widowControl w:val="0"/>
              <w:spacing w:after="240" w:line="276" w:lineRule="auto"/>
              <w:ind w:firstLine="1"/>
              <w:contextualSpacing/>
              <w:jc w:val="both"/>
            </w:pPr>
            <w:r w:rsidRPr="00D53A2B">
              <w:t>Bölüm 1.4.1'e bakınız.</w:t>
            </w:r>
          </w:p>
        </w:tc>
        <w:tc>
          <w:tcPr>
            <w:tcW w:w="5947" w:type="dxa"/>
            <w:tcBorders>
              <w:top w:val="nil"/>
              <w:left w:val="nil"/>
              <w:bottom w:val="single" w:sz="4" w:space="0" w:color="auto"/>
              <w:right w:val="single" w:sz="4" w:space="0" w:color="auto"/>
            </w:tcBorders>
            <w:shd w:val="clear" w:color="auto" w:fill="auto"/>
            <w:noWrap/>
            <w:vAlign w:val="bottom"/>
            <w:hideMark/>
          </w:tcPr>
          <w:p w14:paraId="38CCE4FC" w14:textId="77777777" w:rsidR="0007690F" w:rsidRPr="00D53A2B" w:rsidRDefault="0007690F" w:rsidP="00A202FD">
            <w:pPr>
              <w:widowControl w:val="0"/>
              <w:spacing w:after="240" w:line="276" w:lineRule="auto"/>
              <w:ind w:firstLine="1"/>
              <w:contextualSpacing/>
              <w:jc w:val="both"/>
            </w:pPr>
            <w:r w:rsidRPr="00D53A2B">
              <w:t>Sadece yeni tesisler ve büyük tesis modernizasyonları için uygulanabilir. Mevcut tesislerde, bina ve diğer yapısal kısıtlamalarla sınırlı olabilir.</w:t>
            </w:r>
          </w:p>
        </w:tc>
      </w:tr>
      <w:tr w:rsidR="0007690F" w:rsidRPr="00D53A2B" w14:paraId="777EF2DE" w14:textId="77777777" w:rsidTr="00A202FD">
        <w:trPr>
          <w:trHeight w:val="320"/>
        </w:trPr>
        <w:tc>
          <w:tcPr>
            <w:tcW w:w="2146" w:type="dxa"/>
            <w:tcBorders>
              <w:top w:val="nil"/>
              <w:left w:val="single" w:sz="4" w:space="0" w:color="auto"/>
              <w:bottom w:val="single" w:sz="4" w:space="0" w:color="auto"/>
              <w:right w:val="single" w:sz="4" w:space="0" w:color="auto"/>
            </w:tcBorders>
            <w:shd w:val="clear" w:color="auto" w:fill="auto"/>
            <w:noWrap/>
            <w:vAlign w:val="bottom"/>
            <w:hideMark/>
          </w:tcPr>
          <w:p w14:paraId="790B341E" w14:textId="77777777" w:rsidR="0007690F" w:rsidRPr="00D53A2B" w:rsidRDefault="0007690F" w:rsidP="00A202FD">
            <w:pPr>
              <w:widowControl w:val="0"/>
              <w:spacing w:after="240" w:line="276" w:lineRule="auto"/>
              <w:ind w:firstLine="1"/>
              <w:contextualSpacing/>
              <w:jc w:val="both"/>
              <w:rPr>
                <w:b/>
                <w:bCs/>
              </w:rPr>
            </w:pPr>
            <w:r w:rsidRPr="00D53A2B">
              <w:rPr>
                <w:b/>
                <w:bCs/>
              </w:rPr>
              <w:t>b.</w:t>
            </w:r>
            <w:r w:rsidRPr="00D53A2B">
              <w:t> Yanma havasının oksijenle zenginleştirilmesi</w:t>
            </w:r>
          </w:p>
        </w:tc>
        <w:tc>
          <w:tcPr>
            <w:tcW w:w="969" w:type="dxa"/>
            <w:tcBorders>
              <w:top w:val="nil"/>
              <w:left w:val="nil"/>
              <w:bottom w:val="single" w:sz="4" w:space="0" w:color="auto"/>
              <w:right w:val="single" w:sz="4" w:space="0" w:color="auto"/>
            </w:tcBorders>
            <w:shd w:val="clear" w:color="auto" w:fill="auto"/>
            <w:noWrap/>
            <w:vAlign w:val="bottom"/>
            <w:hideMark/>
          </w:tcPr>
          <w:p w14:paraId="3DDB522B" w14:textId="77777777" w:rsidR="0007690F" w:rsidRPr="00D53A2B" w:rsidRDefault="0007690F" w:rsidP="00A202FD">
            <w:pPr>
              <w:widowControl w:val="0"/>
              <w:spacing w:after="240" w:line="276" w:lineRule="auto"/>
              <w:ind w:firstLine="1"/>
              <w:contextualSpacing/>
              <w:jc w:val="both"/>
            </w:pPr>
            <w:r w:rsidRPr="00D53A2B">
              <w:t>Bölüm 1.4.1'e bakınız.</w:t>
            </w:r>
          </w:p>
        </w:tc>
        <w:tc>
          <w:tcPr>
            <w:tcW w:w="5947" w:type="dxa"/>
            <w:tcBorders>
              <w:top w:val="nil"/>
              <w:left w:val="nil"/>
              <w:bottom w:val="single" w:sz="4" w:space="0" w:color="auto"/>
              <w:right w:val="single" w:sz="4" w:space="0" w:color="auto"/>
            </w:tcBorders>
            <w:shd w:val="clear" w:color="auto" w:fill="auto"/>
            <w:noWrap/>
            <w:vAlign w:val="bottom"/>
            <w:hideMark/>
          </w:tcPr>
          <w:p w14:paraId="21EC0B6C"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39A1DFD3" w14:textId="77777777" w:rsidTr="00A202FD">
        <w:trPr>
          <w:trHeight w:val="320"/>
        </w:trPr>
        <w:tc>
          <w:tcPr>
            <w:tcW w:w="2146" w:type="dxa"/>
            <w:tcBorders>
              <w:top w:val="nil"/>
              <w:left w:val="single" w:sz="4" w:space="0" w:color="auto"/>
              <w:bottom w:val="single" w:sz="4" w:space="0" w:color="auto"/>
              <w:right w:val="single" w:sz="4" w:space="0" w:color="auto"/>
            </w:tcBorders>
            <w:shd w:val="clear" w:color="auto" w:fill="auto"/>
            <w:noWrap/>
            <w:vAlign w:val="bottom"/>
            <w:hideMark/>
          </w:tcPr>
          <w:p w14:paraId="5C38172C" w14:textId="77777777" w:rsidR="0007690F" w:rsidRPr="00D53A2B" w:rsidRDefault="0007690F" w:rsidP="00A202FD">
            <w:pPr>
              <w:widowControl w:val="0"/>
              <w:spacing w:after="240" w:line="276" w:lineRule="auto"/>
              <w:ind w:firstLine="1"/>
              <w:contextualSpacing/>
              <w:jc w:val="both"/>
              <w:rPr>
                <w:b/>
                <w:bCs/>
              </w:rPr>
            </w:pPr>
            <w:r w:rsidRPr="00D53A2B">
              <w:rPr>
                <w:b/>
                <w:bCs/>
              </w:rPr>
              <w:t>c.</w:t>
            </w:r>
            <w:r w:rsidRPr="00D53A2B">
              <w:t> HBC fırınlarında asgari üfleme kapatma süreleri</w:t>
            </w:r>
          </w:p>
        </w:tc>
        <w:tc>
          <w:tcPr>
            <w:tcW w:w="969" w:type="dxa"/>
            <w:tcBorders>
              <w:top w:val="nil"/>
              <w:left w:val="nil"/>
              <w:bottom w:val="single" w:sz="4" w:space="0" w:color="auto"/>
              <w:right w:val="single" w:sz="4" w:space="0" w:color="auto"/>
            </w:tcBorders>
            <w:shd w:val="clear" w:color="auto" w:fill="auto"/>
            <w:noWrap/>
            <w:vAlign w:val="bottom"/>
            <w:hideMark/>
          </w:tcPr>
          <w:p w14:paraId="6EDDDBCE" w14:textId="77777777" w:rsidR="0007690F" w:rsidRPr="00D53A2B" w:rsidRDefault="0007690F" w:rsidP="00A202FD">
            <w:pPr>
              <w:widowControl w:val="0"/>
              <w:spacing w:after="240" w:line="276" w:lineRule="auto"/>
              <w:ind w:firstLine="1"/>
              <w:contextualSpacing/>
              <w:jc w:val="both"/>
            </w:pPr>
            <w:r w:rsidRPr="00D53A2B">
              <w:t>Bölüm 1.4.1'e bakınız.</w:t>
            </w:r>
          </w:p>
        </w:tc>
        <w:tc>
          <w:tcPr>
            <w:tcW w:w="5947" w:type="dxa"/>
            <w:tcBorders>
              <w:top w:val="nil"/>
              <w:left w:val="nil"/>
              <w:bottom w:val="single" w:sz="4" w:space="0" w:color="auto"/>
              <w:right w:val="single" w:sz="4" w:space="0" w:color="auto"/>
            </w:tcBorders>
            <w:shd w:val="clear" w:color="auto" w:fill="auto"/>
            <w:noWrap/>
            <w:vAlign w:val="bottom"/>
            <w:hideMark/>
          </w:tcPr>
          <w:p w14:paraId="50467275"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78FE467A" w14:textId="77777777" w:rsidTr="00A202FD">
        <w:trPr>
          <w:trHeight w:val="320"/>
        </w:trPr>
        <w:tc>
          <w:tcPr>
            <w:tcW w:w="2146" w:type="dxa"/>
            <w:tcBorders>
              <w:top w:val="nil"/>
              <w:left w:val="single" w:sz="4" w:space="0" w:color="auto"/>
              <w:bottom w:val="single" w:sz="4" w:space="0" w:color="auto"/>
              <w:right w:val="single" w:sz="4" w:space="0" w:color="auto"/>
            </w:tcBorders>
            <w:shd w:val="clear" w:color="auto" w:fill="auto"/>
            <w:noWrap/>
            <w:vAlign w:val="bottom"/>
            <w:hideMark/>
          </w:tcPr>
          <w:p w14:paraId="12147C05" w14:textId="77777777" w:rsidR="0007690F" w:rsidRPr="00D53A2B" w:rsidRDefault="0007690F" w:rsidP="00A202FD">
            <w:pPr>
              <w:widowControl w:val="0"/>
              <w:spacing w:after="240" w:line="276" w:lineRule="auto"/>
              <w:ind w:firstLine="1"/>
              <w:contextualSpacing/>
              <w:jc w:val="both"/>
              <w:rPr>
                <w:b/>
                <w:bCs/>
              </w:rPr>
            </w:pPr>
            <w:r w:rsidRPr="00D53A2B">
              <w:rPr>
                <w:b/>
                <w:bCs/>
              </w:rPr>
              <w:t>d.</w:t>
            </w:r>
            <w:r w:rsidRPr="00D53A2B">
              <w:t> Uzun kampanyalı kupol fırını</w:t>
            </w:r>
          </w:p>
        </w:tc>
        <w:tc>
          <w:tcPr>
            <w:tcW w:w="969" w:type="dxa"/>
            <w:tcBorders>
              <w:top w:val="nil"/>
              <w:left w:val="nil"/>
              <w:bottom w:val="single" w:sz="4" w:space="0" w:color="auto"/>
              <w:right w:val="single" w:sz="4" w:space="0" w:color="auto"/>
            </w:tcBorders>
            <w:shd w:val="clear" w:color="auto" w:fill="auto"/>
            <w:noWrap/>
            <w:vAlign w:val="bottom"/>
            <w:hideMark/>
          </w:tcPr>
          <w:p w14:paraId="36E6818A" w14:textId="77777777" w:rsidR="0007690F" w:rsidRPr="00D53A2B" w:rsidRDefault="0007690F" w:rsidP="00A202FD">
            <w:pPr>
              <w:widowControl w:val="0"/>
              <w:spacing w:after="240" w:line="276" w:lineRule="auto"/>
              <w:ind w:firstLine="1"/>
              <w:contextualSpacing/>
              <w:jc w:val="both"/>
            </w:pPr>
            <w:r w:rsidRPr="00D53A2B">
              <w:t>Bölüm 1.4.1'e bakınız.</w:t>
            </w:r>
          </w:p>
        </w:tc>
        <w:tc>
          <w:tcPr>
            <w:tcW w:w="5947" w:type="dxa"/>
            <w:tcBorders>
              <w:top w:val="nil"/>
              <w:left w:val="nil"/>
              <w:bottom w:val="single" w:sz="4" w:space="0" w:color="auto"/>
              <w:right w:val="single" w:sz="4" w:space="0" w:color="auto"/>
            </w:tcBorders>
            <w:shd w:val="clear" w:color="auto" w:fill="auto"/>
            <w:noWrap/>
            <w:vAlign w:val="bottom"/>
            <w:hideMark/>
          </w:tcPr>
          <w:p w14:paraId="44046E0A"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7EB4BEFB" w14:textId="77777777" w:rsidTr="00A202FD">
        <w:trPr>
          <w:trHeight w:val="320"/>
        </w:trPr>
        <w:tc>
          <w:tcPr>
            <w:tcW w:w="2146" w:type="dxa"/>
            <w:tcBorders>
              <w:top w:val="nil"/>
              <w:left w:val="single" w:sz="4" w:space="0" w:color="auto"/>
              <w:bottom w:val="single" w:sz="4" w:space="0" w:color="auto"/>
              <w:right w:val="single" w:sz="4" w:space="0" w:color="auto"/>
            </w:tcBorders>
            <w:shd w:val="clear" w:color="auto" w:fill="auto"/>
            <w:noWrap/>
            <w:vAlign w:val="bottom"/>
            <w:hideMark/>
          </w:tcPr>
          <w:p w14:paraId="4DE2B626" w14:textId="77777777" w:rsidR="0007690F" w:rsidRPr="00D53A2B" w:rsidRDefault="0007690F" w:rsidP="00A202FD">
            <w:pPr>
              <w:widowControl w:val="0"/>
              <w:spacing w:after="240" w:line="276" w:lineRule="auto"/>
              <w:ind w:firstLine="1"/>
              <w:contextualSpacing/>
              <w:jc w:val="both"/>
              <w:rPr>
                <w:b/>
                <w:bCs/>
              </w:rPr>
            </w:pPr>
            <w:r w:rsidRPr="00D53A2B">
              <w:rPr>
                <w:b/>
                <w:bCs/>
              </w:rPr>
              <w:t>e.</w:t>
            </w:r>
            <w:r w:rsidRPr="00D53A2B">
              <w:t> Baca gazlarının ardından yanma işlemi</w:t>
            </w:r>
          </w:p>
        </w:tc>
        <w:tc>
          <w:tcPr>
            <w:tcW w:w="969" w:type="dxa"/>
            <w:tcBorders>
              <w:top w:val="nil"/>
              <w:left w:val="nil"/>
              <w:bottom w:val="single" w:sz="4" w:space="0" w:color="auto"/>
              <w:right w:val="single" w:sz="4" w:space="0" w:color="auto"/>
            </w:tcBorders>
            <w:shd w:val="clear" w:color="auto" w:fill="auto"/>
            <w:noWrap/>
            <w:vAlign w:val="bottom"/>
            <w:hideMark/>
          </w:tcPr>
          <w:p w14:paraId="0D72A527" w14:textId="77777777" w:rsidR="0007690F" w:rsidRPr="00D53A2B" w:rsidRDefault="0007690F" w:rsidP="00A202FD">
            <w:pPr>
              <w:widowControl w:val="0"/>
              <w:spacing w:after="240" w:line="276" w:lineRule="auto"/>
              <w:ind w:firstLine="1"/>
              <w:contextualSpacing/>
              <w:jc w:val="both"/>
            </w:pPr>
            <w:r w:rsidRPr="00D53A2B">
              <w:t>Bölüm 1.4.1'e bakınız.</w:t>
            </w:r>
          </w:p>
        </w:tc>
        <w:tc>
          <w:tcPr>
            <w:tcW w:w="5947" w:type="dxa"/>
            <w:tcBorders>
              <w:top w:val="nil"/>
              <w:left w:val="nil"/>
              <w:bottom w:val="single" w:sz="4" w:space="0" w:color="auto"/>
              <w:right w:val="single" w:sz="4" w:space="0" w:color="auto"/>
            </w:tcBorders>
            <w:shd w:val="clear" w:color="auto" w:fill="auto"/>
            <w:noWrap/>
            <w:vAlign w:val="bottom"/>
            <w:hideMark/>
          </w:tcPr>
          <w:p w14:paraId="02367860" w14:textId="77777777" w:rsidR="0007690F" w:rsidRPr="00D53A2B" w:rsidRDefault="0007690F" w:rsidP="00A202FD">
            <w:pPr>
              <w:widowControl w:val="0"/>
              <w:spacing w:after="240" w:line="276" w:lineRule="auto"/>
              <w:ind w:firstLine="1"/>
              <w:contextualSpacing/>
              <w:jc w:val="both"/>
            </w:pPr>
            <w:r w:rsidRPr="00D53A2B">
              <w:t>Genel olarak uygulanabilir.</w:t>
            </w:r>
          </w:p>
        </w:tc>
      </w:tr>
    </w:tbl>
    <w:p w14:paraId="770FA7A8" w14:textId="77777777" w:rsidR="0007690F" w:rsidRPr="00D53A2B" w:rsidRDefault="0007690F" w:rsidP="00A202FD">
      <w:pPr>
        <w:widowControl w:val="0"/>
        <w:spacing w:after="240" w:line="276" w:lineRule="auto"/>
        <w:ind w:firstLine="1"/>
        <w:contextualSpacing/>
        <w:jc w:val="both"/>
      </w:pPr>
      <w:r w:rsidRPr="00D53A2B">
        <w:t>MET-AEPL’ler (spesifik enerji tüketimi için MET’a dayalı çevresel performans seviyeleri) MET 14’te verilmiştir.</w:t>
      </w:r>
    </w:p>
    <w:p w14:paraId="2E9FCE58" w14:textId="77777777" w:rsidR="0007690F" w:rsidRPr="00D53A2B" w:rsidRDefault="0007690F" w:rsidP="00A202FD">
      <w:pPr>
        <w:pStyle w:val="Balk4"/>
        <w:rPr>
          <w:rFonts w:cs="Times New Roman"/>
        </w:rPr>
      </w:pPr>
      <w:r w:rsidRPr="00D53A2B">
        <w:rPr>
          <w:rFonts w:cs="Times New Roman"/>
        </w:rPr>
        <w:t>1.2.2.2. Termal İşlemlerden Hava Emisyonları</w:t>
      </w:r>
    </w:p>
    <w:p w14:paraId="43BBD89D" w14:textId="77777777" w:rsidR="0007690F" w:rsidRPr="00D53A2B" w:rsidRDefault="0007690F" w:rsidP="00A202FD">
      <w:pPr>
        <w:pStyle w:val="Balk5"/>
        <w:rPr>
          <w:szCs w:val="24"/>
        </w:rPr>
      </w:pPr>
      <w:r w:rsidRPr="00D53A2B">
        <w:rPr>
          <w:szCs w:val="24"/>
        </w:rPr>
        <w:t>1.2.2.2.1. Metal Eritmeden Kaynaklanan Hava Emisyonları</w:t>
      </w:r>
    </w:p>
    <w:p w14:paraId="1871E64A" w14:textId="77777777" w:rsidR="0007690F" w:rsidRPr="00D53A2B" w:rsidRDefault="0007690F" w:rsidP="00A202FD">
      <w:pPr>
        <w:widowControl w:val="0"/>
        <w:spacing w:after="240" w:line="276" w:lineRule="auto"/>
        <w:ind w:firstLine="1"/>
        <w:contextualSpacing/>
        <w:jc w:val="both"/>
      </w:pPr>
      <w:r w:rsidRPr="00D53A2B">
        <w:rPr>
          <w:b/>
          <w:bCs/>
        </w:rPr>
        <w:t>MET 38.</w:t>
      </w:r>
      <w:r w:rsidRPr="00D53A2B">
        <w:t> Metal eritmeden kaynaklanan hava emisyonlarını önlemek veya azaltmak için MET şunları içerir:</w:t>
      </w:r>
    </w:p>
    <w:p w14:paraId="649C63E5" w14:textId="77777777" w:rsidR="0007690F" w:rsidRPr="00D53A2B" w:rsidRDefault="0007690F" w:rsidP="00602365">
      <w:pPr>
        <w:widowControl w:val="0"/>
        <w:numPr>
          <w:ilvl w:val="0"/>
          <w:numId w:val="257"/>
        </w:numPr>
        <w:spacing w:after="240" w:line="276" w:lineRule="auto"/>
        <w:contextualSpacing/>
        <w:jc w:val="both"/>
      </w:pPr>
      <w:r w:rsidRPr="00D53A2B">
        <w:t>Kupol fırınları için, süreçle bütünleşik tekniklerin (a) ile (e) arasındaki uygun bir kombinasyonunun kullanılması,</w:t>
      </w:r>
    </w:p>
    <w:p w14:paraId="5EB13F2D" w14:textId="77777777" w:rsidR="0007690F" w:rsidRPr="00D53A2B" w:rsidRDefault="0007690F" w:rsidP="00602365">
      <w:pPr>
        <w:widowControl w:val="0"/>
        <w:numPr>
          <w:ilvl w:val="0"/>
          <w:numId w:val="257"/>
        </w:numPr>
        <w:spacing w:after="240" w:line="276" w:lineRule="auto"/>
        <w:contextualSpacing/>
        <w:jc w:val="both"/>
      </w:pPr>
      <w:r w:rsidRPr="00D53A2B">
        <w:t>Emisyonların (f) tekniği kullanılarak toplanması,</w:t>
      </w:r>
    </w:p>
    <w:p w14:paraId="50D18C45" w14:textId="77777777" w:rsidR="0007690F" w:rsidRPr="00D53A2B" w:rsidRDefault="0007690F" w:rsidP="00602365">
      <w:pPr>
        <w:widowControl w:val="0"/>
        <w:numPr>
          <w:ilvl w:val="0"/>
          <w:numId w:val="257"/>
        </w:numPr>
        <w:spacing w:after="240" w:line="276" w:lineRule="auto"/>
        <w:contextualSpacing/>
        <w:jc w:val="both"/>
      </w:pPr>
      <w:r w:rsidRPr="00D53A2B">
        <w:t>Ekstrakte edilen baca gazlarının aşağıda belirtilen (g) ile (l) arasındaki tekniklerin bir veya uygun bir kombinasyonu ile arıtılması.</w:t>
      </w:r>
    </w:p>
    <w:p w14:paraId="11FF14A0" w14:textId="77777777" w:rsidR="0007690F" w:rsidRPr="00D53A2B" w:rsidRDefault="0007690F" w:rsidP="00A202FD">
      <w:pPr>
        <w:widowControl w:val="0"/>
        <w:spacing w:after="240" w:line="276" w:lineRule="auto"/>
        <w:ind w:firstLine="1"/>
        <w:contextualSpacing/>
        <w:jc w:val="both"/>
      </w:pPr>
    </w:p>
    <w:tbl>
      <w:tblPr>
        <w:tblStyle w:val="TabloKlavuzu"/>
        <w:tblW w:w="0" w:type="auto"/>
        <w:tblLook w:val="04A0" w:firstRow="1" w:lastRow="0" w:firstColumn="1" w:lastColumn="0" w:noHBand="0" w:noVBand="1"/>
      </w:tblPr>
      <w:tblGrid>
        <w:gridCol w:w="2970"/>
        <w:gridCol w:w="3043"/>
        <w:gridCol w:w="584"/>
        <w:gridCol w:w="2463"/>
      </w:tblGrid>
      <w:tr w:rsidR="0007690F" w:rsidRPr="00313340" w14:paraId="6B75EE1C" w14:textId="77777777" w:rsidTr="00A202FD">
        <w:trPr>
          <w:trHeight w:val="320"/>
        </w:trPr>
        <w:tc>
          <w:tcPr>
            <w:tcW w:w="2970" w:type="dxa"/>
            <w:noWrap/>
            <w:hideMark/>
          </w:tcPr>
          <w:p w14:paraId="01C704A3" w14:textId="77777777" w:rsidR="0007690F" w:rsidRPr="00313340" w:rsidRDefault="0007690F" w:rsidP="00A202FD">
            <w:pPr>
              <w:widowControl w:val="0"/>
              <w:spacing w:after="240" w:line="276" w:lineRule="auto"/>
              <w:ind w:firstLine="1"/>
              <w:contextualSpacing/>
              <w:jc w:val="both"/>
              <w:rPr>
                <w:b/>
                <w:bCs/>
                <w:sz w:val="22"/>
                <w:szCs w:val="22"/>
              </w:rPr>
            </w:pPr>
            <w:r w:rsidRPr="00313340">
              <w:rPr>
                <w:b/>
                <w:bCs/>
                <w:sz w:val="22"/>
                <w:szCs w:val="22"/>
              </w:rPr>
              <w:t>Teknik</w:t>
            </w:r>
          </w:p>
        </w:tc>
        <w:tc>
          <w:tcPr>
            <w:tcW w:w="3628" w:type="dxa"/>
            <w:gridSpan w:val="2"/>
            <w:noWrap/>
            <w:hideMark/>
          </w:tcPr>
          <w:p w14:paraId="4B0991C5" w14:textId="77777777" w:rsidR="0007690F" w:rsidRPr="00313340" w:rsidRDefault="0007690F" w:rsidP="00A202FD">
            <w:pPr>
              <w:widowControl w:val="0"/>
              <w:spacing w:after="240" w:line="276" w:lineRule="auto"/>
              <w:ind w:firstLine="1"/>
              <w:contextualSpacing/>
              <w:jc w:val="both"/>
              <w:rPr>
                <w:b/>
                <w:bCs/>
                <w:sz w:val="22"/>
                <w:szCs w:val="22"/>
              </w:rPr>
            </w:pPr>
            <w:r w:rsidRPr="00313340">
              <w:rPr>
                <w:b/>
                <w:bCs/>
                <w:sz w:val="22"/>
                <w:szCs w:val="22"/>
              </w:rPr>
              <w:t>Açıklama</w:t>
            </w:r>
          </w:p>
        </w:tc>
        <w:tc>
          <w:tcPr>
            <w:tcW w:w="2464" w:type="dxa"/>
            <w:noWrap/>
            <w:hideMark/>
          </w:tcPr>
          <w:p w14:paraId="492A0105" w14:textId="77777777" w:rsidR="0007690F" w:rsidRPr="00313340" w:rsidRDefault="0007690F" w:rsidP="00A202FD">
            <w:pPr>
              <w:widowControl w:val="0"/>
              <w:spacing w:after="240" w:line="276" w:lineRule="auto"/>
              <w:ind w:firstLine="1"/>
              <w:contextualSpacing/>
              <w:jc w:val="both"/>
              <w:rPr>
                <w:b/>
                <w:bCs/>
                <w:sz w:val="22"/>
                <w:szCs w:val="22"/>
              </w:rPr>
            </w:pPr>
            <w:r w:rsidRPr="00313340">
              <w:rPr>
                <w:b/>
                <w:bCs/>
                <w:sz w:val="22"/>
                <w:szCs w:val="22"/>
              </w:rPr>
              <w:t>Uygulama</w:t>
            </w:r>
          </w:p>
        </w:tc>
      </w:tr>
      <w:tr w:rsidR="0007690F" w:rsidRPr="00313340" w14:paraId="008A1740" w14:textId="77777777" w:rsidTr="00A202FD">
        <w:trPr>
          <w:trHeight w:val="320"/>
        </w:trPr>
        <w:tc>
          <w:tcPr>
            <w:tcW w:w="9062" w:type="dxa"/>
            <w:gridSpan w:val="4"/>
            <w:noWrap/>
            <w:hideMark/>
          </w:tcPr>
          <w:p w14:paraId="263CAB73" w14:textId="77777777" w:rsidR="0007690F" w:rsidRPr="00313340" w:rsidRDefault="0007690F" w:rsidP="00A202FD">
            <w:pPr>
              <w:widowControl w:val="0"/>
              <w:spacing w:after="240" w:line="276" w:lineRule="auto"/>
              <w:ind w:firstLine="1"/>
              <w:contextualSpacing/>
              <w:jc w:val="both"/>
              <w:rPr>
                <w:b/>
                <w:bCs/>
                <w:sz w:val="22"/>
                <w:szCs w:val="22"/>
              </w:rPr>
            </w:pPr>
            <w:r w:rsidRPr="00313340">
              <w:rPr>
                <w:b/>
                <w:bCs/>
                <w:sz w:val="22"/>
                <w:szCs w:val="22"/>
              </w:rPr>
              <w:t>Kupol fırınları için süreçle bütünleşik teknikler</w:t>
            </w:r>
          </w:p>
        </w:tc>
      </w:tr>
      <w:tr w:rsidR="0007690F" w:rsidRPr="00313340" w14:paraId="3A82D942" w14:textId="77777777" w:rsidTr="00A202FD">
        <w:trPr>
          <w:trHeight w:val="320"/>
        </w:trPr>
        <w:tc>
          <w:tcPr>
            <w:tcW w:w="2970" w:type="dxa"/>
            <w:noWrap/>
            <w:hideMark/>
          </w:tcPr>
          <w:p w14:paraId="4CAA95C4"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a. </w:t>
            </w:r>
            <w:r w:rsidRPr="00313340">
              <w:rPr>
                <w:b/>
                <w:bCs/>
                <w:sz w:val="22"/>
                <w:szCs w:val="22"/>
              </w:rPr>
              <w:t>Kok kalitesinin kontrolü</w:t>
            </w:r>
          </w:p>
        </w:tc>
        <w:tc>
          <w:tcPr>
            <w:tcW w:w="3628" w:type="dxa"/>
            <w:gridSpan w:val="2"/>
            <w:noWrap/>
            <w:hideMark/>
          </w:tcPr>
          <w:p w14:paraId="47405DCA"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Kok, önemli kalite spesifikasyonlarına (örneğin, sabit karbon, kül, uçucu madde, kükürt ve nem içeriği, ortalama çap boyutu) dayalı olarak satın alınır ve kullanım öncesi sistematik olarak kontrol edilir.</w:t>
            </w:r>
          </w:p>
        </w:tc>
        <w:tc>
          <w:tcPr>
            <w:tcW w:w="2464" w:type="dxa"/>
            <w:noWrap/>
            <w:hideMark/>
          </w:tcPr>
          <w:p w14:paraId="0B5AEEAB"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Genellikle uygulanabilir.</w:t>
            </w:r>
          </w:p>
        </w:tc>
      </w:tr>
      <w:tr w:rsidR="0007690F" w:rsidRPr="00313340" w14:paraId="452747BA" w14:textId="77777777" w:rsidTr="00A202FD">
        <w:trPr>
          <w:trHeight w:val="320"/>
        </w:trPr>
        <w:tc>
          <w:tcPr>
            <w:tcW w:w="2970" w:type="dxa"/>
            <w:noWrap/>
            <w:hideMark/>
          </w:tcPr>
          <w:p w14:paraId="48D58939"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b. </w:t>
            </w:r>
            <w:r w:rsidRPr="00313340">
              <w:rPr>
                <w:b/>
                <w:bCs/>
                <w:sz w:val="22"/>
                <w:szCs w:val="22"/>
              </w:rPr>
              <w:t>Cüruf asiditesinin/alkaliitesinin ayarlanması</w:t>
            </w:r>
          </w:p>
        </w:tc>
        <w:tc>
          <w:tcPr>
            <w:tcW w:w="3044" w:type="dxa"/>
            <w:noWrap/>
            <w:hideMark/>
          </w:tcPr>
          <w:p w14:paraId="42FE3E27"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Bölüm 1.4.3'e bakınız.</w:t>
            </w:r>
          </w:p>
        </w:tc>
        <w:tc>
          <w:tcPr>
            <w:tcW w:w="3048" w:type="dxa"/>
            <w:gridSpan w:val="2"/>
          </w:tcPr>
          <w:p w14:paraId="2EA32DF8"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Genellikle uygulanabilir.</w:t>
            </w:r>
          </w:p>
        </w:tc>
      </w:tr>
      <w:tr w:rsidR="0007690F" w:rsidRPr="00313340" w14:paraId="156D4165" w14:textId="77777777" w:rsidTr="00A202FD">
        <w:trPr>
          <w:trHeight w:val="320"/>
        </w:trPr>
        <w:tc>
          <w:tcPr>
            <w:tcW w:w="2970" w:type="dxa"/>
            <w:noWrap/>
            <w:hideMark/>
          </w:tcPr>
          <w:p w14:paraId="0EF79319"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c. </w:t>
            </w:r>
            <w:r w:rsidRPr="00313340">
              <w:rPr>
                <w:b/>
                <w:bCs/>
                <w:sz w:val="22"/>
                <w:szCs w:val="22"/>
              </w:rPr>
              <w:t>CBC fırınlarında şaft yüksekliğinin artırılması</w:t>
            </w:r>
          </w:p>
        </w:tc>
        <w:tc>
          <w:tcPr>
            <w:tcW w:w="3628" w:type="dxa"/>
            <w:gridSpan w:val="2"/>
            <w:noWrap/>
            <w:hideMark/>
          </w:tcPr>
          <w:p w14:paraId="4AD2E878"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Bölüm 1.4.1'e bakınız.</w:t>
            </w:r>
          </w:p>
        </w:tc>
        <w:tc>
          <w:tcPr>
            <w:tcW w:w="2464" w:type="dxa"/>
            <w:noWrap/>
            <w:hideMark/>
          </w:tcPr>
          <w:p w14:paraId="182D1AE3"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Sadece yeni tesisler ve büyük tesis yenilemeleri için uygulanabilir. Mevcut tesisler için uygulama, bina ve diğer yapısal kısıtlamalar nedeniyle sınırlı olabilir.</w:t>
            </w:r>
          </w:p>
        </w:tc>
      </w:tr>
      <w:tr w:rsidR="0007690F" w:rsidRPr="00313340" w14:paraId="739AD5F2" w14:textId="77777777" w:rsidTr="00A202FD">
        <w:trPr>
          <w:trHeight w:val="320"/>
        </w:trPr>
        <w:tc>
          <w:tcPr>
            <w:tcW w:w="2970" w:type="dxa"/>
            <w:noWrap/>
            <w:hideMark/>
          </w:tcPr>
          <w:p w14:paraId="1B728BBF"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d. </w:t>
            </w:r>
            <w:r w:rsidRPr="00313340">
              <w:rPr>
                <w:b/>
                <w:bCs/>
                <w:sz w:val="22"/>
                <w:szCs w:val="22"/>
              </w:rPr>
              <w:t>Yanma havasının oksijenle zenginleştirilmesi</w:t>
            </w:r>
          </w:p>
        </w:tc>
        <w:tc>
          <w:tcPr>
            <w:tcW w:w="3628" w:type="dxa"/>
            <w:gridSpan w:val="2"/>
            <w:noWrap/>
            <w:hideMark/>
          </w:tcPr>
          <w:p w14:paraId="1467DFE1"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Bölüm 1.4.3'e bakınız.</w:t>
            </w:r>
          </w:p>
        </w:tc>
        <w:tc>
          <w:tcPr>
            <w:tcW w:w="2464" w:type="dxa"/>
            <w:noWrap/>
            <w:hideMark/>
          </w:tcPr>
          <w:p w14:paraId="700464C5"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Genellikle uygulanabilir.</w:t>
            </w:r>
          </w:p>
        </w:tc>
      </w:tr>
      <w:tr w:rsidR="0007690F" w:rsidRPr="00313340" w14:paraId="7EB9DD99" w14:textId="77777777" w:rsidTr="00A202FD">
        <w:trPr>
          <w:trHeight w:val="320"/>
        </w:trPr>
        <w:tc>
          <w:tcPr>
            <w:tcW w:w="2970" w:type="dxa"/>
            <w:noWrap/>
            <w:hideMark/>
          </w:tcPr>
          <w:p w14:paraId="160E92D6"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e. </w:t>
            </w:r>
            <w:r w:rsidRPr="00313340">
              <w:rPr>
                <w:b/>
                <w:bCs/>
                <w:sz w:val="22"/>
                <w:szCs w:val="22"/>
              </w:rPr>
              <w:t>Uzun kampanya kupolası</w:t>
            </w:r>
          </w:p>
        </w:tc>
        <w:tc>
          <w:tcPr>
            <w:tcW w:w="3628" w:type="dxa"/>
            <w:gridSpan w:val="2"/>
            <w:noWrap/>
            <w:hideMark/>
          </w:tcPr>
          <w:p w14:paraId="4823E133"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Bölüm 1.4.1'e bakınız.</w:t>
            </w:r>
          </w:p>
        </w:tc>
        <w:tc>
          <w:tcPr>
            <w:tcW w:w="2464" w:type="dxa"/>
            <w:noWrap/>
            <w:hideMark/>
          </w:tcPr>
          <w:p w14:paraId="238349FB"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Genellikle uygulanabilir.</w:t>
            </w:r>
          </w:p>
        </w:tc>
      </w:tr>
      <w:tr w:rsidR="0007690F" w:rsidRPr="00313340" w14:paraId="629EA564" w14:textId="77777777" w:rsidTr="00A202FD">
        <w:trPr>
          <w:trHeight w:val="320"/>
        </w:trPr>
        <w:tc>
          <w:tcPr>
            <w:tcW w:w="6598" w:type="dxa"/>
            <w:gridSpan w:val="3"/>
            <w:noWrap/>
            <w:hideMark/>
          </w:tcPr>
          <w:p w14:paraId="3B77385C" w14:textId="77777777" w:rsidR="0007690F" w:rsidRPr="00313340" w:rsidRDefault="0007690F" w:rsidP="00A202FD">
            <w:pPr>
              <w:widowControl w:val="0"/>
              <w:spacing w:after="240" w:line="276" w:lineRule="auto"/>
              <w:ind w:firstLine="1"/>
              <w:contextualSpacing/>
              <w:jc w:val="both"/>
              <w:rPr>
                <w:b/>
                <w:bCs/>
                <w:sz w:val="22"/>
                <w:szCs w:val="22"/>
              </w:rPr>
            </w:pPr>
            <w:r w:rsidRPr="00313340">
              <w:rPr>
                <w:b/>
                <w:bCs/>
                <w:sz w:val="22"/>
                <w:szCs w:val="22"/>
              </w:rPr>
              <w:t>Emisyonların toplanması</w:t>
            </w:r>
          </w:p>
        </w:tc>
        <w:tc>
          <w:tcPr>
            <w:tcW w:w="2464" w:type="dxa"/>
            <w:noWrap/>
            <w:hideMark/>
          </w:tcPr>
          <w:p w14:paraId="67B9EBF9" w14:textId="77777777" w:rsidR="0007690F" w:rsidRPr="00313340" w:rsidRDefault="0007690F" w:rsidP="00A202FD">
            <w:pPr>
              <w:widowControl w:val="0"/>
              <w:spacing w:after="240" w:line="276" w:lineRule="auto"/>
              <w:ind w:firstLine="1"/>
              <w:contextualSpacing/>
              <w:jc w:val="both"/>
              <w:rPr>
                <w:b/>
                <w:bCs/>
                <w:sz w:val="22"/>
                <w:szCs w:val="22"/>
              </w:rPr>
            </w:pPr>
          </w:p>
        </w:tc>
      </w:tr>
      <w:tr w:rsidR="0007690F" w:rsidRPr="00313340" w14:paraId="6F9A94F0" w14:textId="77777777" w:rsidTr="009077F5">
        <w:trPr>
          <w:trHeight w:val="10043"/>
        </w:trPr>
        <w:tc>
          <w:tcPr>
            <w:tcW w:w="2970" w:type="dxa"/>
            <w:noWrap/>
            <w:hideMark/>
          </w:tcPr>
          <w:p w14:paraId="7B3BE9C8"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f. </w:t>
            </w:r>
            <w:r w:rsidRPr="00313340">
              <w:rPr>
                <w:b/>
                <w:bCs/>
                <w:sz w:val="22"/>
                <w:szCs w:val="22"/>
              </w:rPr>
              <w:t>Emisyon kaynağına mümkün olduğunca yakın gaz çıkarımı</w:t>
            </w:r>
          </w:p>
        </w:tc>
        <w:tc>
          <w:tcPr>
            <w:tcW w:w="3628" w:type="dxa"/>
            <w:gridSpan w:val="2"/>
            <w:noWrap/>
            <w:vAlign w:val="bottom"/>
            <w:hideMark/>
          </w:tcPr>
          <w:p w14:paraId="4268E248" w14:textId="114E0620" w:rsidR="0007690F" w:rsidRPr="00313340" w:rsidRDefault="0007690F" w:rsidP="009077F5">
            <w:pPr>
              <w:widowControl w:val="0"/>
              <w:spacing w:after="240" w:line="276" w:lineRule="auto"/>
              <w:contextualSpacing/>
              <w:jc w:val="both"/>
              <w:rPr>
                <w:sz w:val="22"/>
                <w:szCs w:val="22"/>
              </w:rPr>
            </w:pPr>
            <w:r w:rsidRPr="00313340">
              <w:rPr>
                <w:sz w:val="22"/>
                <w:szCs w:val="22"/>
              </w:rPr>
              <w:t>Kupol fırınlarında, gazlar aşağıdaki şekilde çıkarılır:— Kupol bacasının üst kısmındaki yükleme deliği üzerinden, kanal ve aşağı akışlı fan kullanılarak; veya</w:t>
            </w:r>
          </w:p>
          <w:p w14:paraId="4CBDAA97"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 Yükleme deliği altındaki çıkıştan, halkasal bir halka kullanılarak.</w:t>
            </w:r>
          </w:p>
          <w:p w14:paraId="234632CE"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Çıkarma işleminden sonra, gazlar aşağıdaki gibi soğutulabilir:</w:t>
            </w:r>
          </w:p>
          <w:p w14:paraId="5717DB68"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 Doğal konveksiyonla sıcaklığın düşürülmesi için uzun kanallar;</w:t>
            </w:r>
          </w:p>
          <w:p w14:paraId="49490510"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 Hava/gaz veya yağ/gaz ısı değiştiricileri;</w:t>
            </w:r>
          </w:p>
          <w:p w14:paraId="11542051"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 Su ile soğutma.</w:t>
            </w:r>
          </w:p>
          <w:p w14:paraId="63686D4F"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İndüksiyon fırınları için gazlar aşağıdaki gibi çıkarılabilir:</w:t>
            </w:r>
          </w:p>
          <w:p w14:paraId="38365E25"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 Başlık çıkarma (örneğin, kanopi veya yan çekiş başlıkları);</w:t>
            </w:r>
          </w:p>
          <w:p w14:paraId="18C6813E"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 Dudak çıkarma;</w:t>
            </w:r>
          </w:p>
          <w:p w14:paraId="1258EC29"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 Kapatma çıkarma.</w:t>
            </w:r>
          </w:p>
          <w:p w14:paraId="7868A30E"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Rotary fırınlar için gazlar, örneğin başlık çıkarma kullanılarak çıkarılabilir.</w:t>
            </w:r>
          </w:p>
          <w:p w14:paraId="614438D6"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EAF’ler için gazlar, örneğin aşağıdaki gibi çıkarılabilir:</w:t>
            </w:r>
          </w:p>
          <w:p w14:paraId="11454130"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 Çatı montajlı başlık çıkarma;</w:t>
            </w:r>
          </w:p>
          <w:p w14:paraId="28E280F1"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 Kanopi veya yan çekiş başlıkları;</w:t>
            </w:r>
          </w:p>
          <w:p w14:paraId="1479615D"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 Fırın ve döküm alanını çevreleyen mobil veya sabit kısımlar ile kısmi fırın muhafazası;</w:t>
            </w:r>
          </w:p>
          <w:p w14:paraId="0F98EF06"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 Fırın ve döküm alanını çevreleyen tam fırın muhafazası, yükleme/döküm işlemleri için hareketli bir çatı ile.</w:t>
            </w:r>
          </w:p>
        </w:tc>
        <w:tc>
          <w:tcPr>
            <w:tcW w:w="2464" w:type="dxa"/>
            <w:noWrap/>
            <w:hideMark/>
          </w:tcPr>
          <w:p w14:paraId="79168288"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Genellikle uygulanabilir.</w:t>
            </w:r>
          </w:p>
        </w:tc>
      </w:tr>
      <w:tr w:rsidR="0007690F" w:rsidRPr="00313340" w14:paraId="165FF741" w14:textId="77777777" w:rsidTr="00A202FD">
        <w:trPr>
          <w:trHeight w:val="320"/>
        </w:trPr>
        <w:tc>
          <w:tcPr>
            <w:tcW w:w="6598" w:type="dxa"/>
            <w:gridSpan w:val="3"/>
            <w:noWrap/>
            <w:hideMark/>
          </w:tcPr>
          <w:p w14:paraId="1850AD02" w14:textId="77777777" w:rsidR="0007690F" w:rsidRPr="00313340" w:rsidRDefault="0007690F" w:rsidP="00A202FD">
            <w:pPr>
              <w:widowControl w:val="0"/>
              <w:spacing w:after="240" w:line="276" w:lineRule="auto"/>
              <w:ind w:firstLine="1"/>
              <w:contextualSpacing/>
              <w:jc w:val="both"/>
              <w:rPr>
                <w:b/>
                <w:bCs/>
                <w:sz w:val="22"/>
                <w:szCs w:val="22"/>
              </w:rPr>
            </w:pPr>
            <w:r w:rsidRPr="00313340">
              <w:rPr>
                <w:b/>
                <w:bCs/>
                <w:sz w:val="22"/>
                <w:szCs w:val="22"/>
              </w:rPr>
              <w:t>Baca gazı arıtımı</w:t>
            </w:r>
          </w:p>
        </w:tc>
        <w:tc>
          <w:tcPr>
            <w:tcW w:w="2464" w:type="dxa"/>
            <w:noWrap/>
            <w:hideMark/>
          </w:tcPr>
          <w:p w14:paraId="6A09D5E7" w14:textId="77777777" w:rsidR="0007690F" w:rsidRPr="00313340" w:rsidRDefault="0007690F" w:rsidP="00A202FD">
            <w:pPr>
              <w:widowControl w:val="0"/>
              <w:spacing w:after="240" w:line="276" w:lineRule="auto"/>
              <w:ind w:firstLine="1"/>
              <w:contextualSpacing/>
              <w:jc w:val="both"/>
              <w:rPr>
                <w:b/>
                <w:bCs/>
                <w:sz w:val="22"/>
                <w:szCs w:val="22"/>
              </w:rPr>
            </w:pPr>
          </w:p>
        </w:tc>
      </w:tr>
      <w:tr w:rsidR="0007690F" w:rsidRPr="00313340" w14:paraId="27C0BA57" w14:textId="77777777" w:rsidTr="00A202FD">
        <w:trPr>
          <w:trHeight w:val="320"/>
        </w:trPr>
        <w:tc>
          <w:tcPr>
            <w:tcW w:w="2970" w:type="dxa"/>
            <w:noWrap/>
            <w:hideMark/>
          </w:tcPr>
          <w:p w14:paraId="7A9D4782"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 </w:t>
            </w:r>
            <w:r w:rsidRPr="00313340">
              <w:rPr>
                <w:b/>
                <w:bCs/>
                <w:sz w:val="22"/>
                <w:szCs w:val="22"/>
              </w:rPr>
              <w:t>Baca gazlarının post-kombasyonu</w:t>
            </w:r>
          </w:p>
        </w:tc>
        <w:tc>
          <w:tcPr>
            <w:tcW w:w="3628" w:type="dxa"/>
            <w:gridSpan w:val="2"/>
            <w:noWrap/>
            <w:hideMark/>
          </w:tcPr>
          <w:p w14:paraId="7ECD50B1"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Bölüm 1.4.3'e bakınız.</w:t>
            </w:r>
          </w:p>
        </w:tc>
        <w:tc>
          <w:tcPr>
            <w:tcW w:w="2464" w:type="dxa"/>
            <w:noWrap/>
            <w:hideMark/>
          </w:tcPr>
          <w:p w14:paraId="259D89EB"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Genellikle uygulanabilir.</w:t>
            </w:r>
          </w:p>
        </w:tc>
      </w:tr>
      <w:tr w:rsidR="0007690F" w:rsidRPr="00313340" w14:paraId="7AF9F584" w14:textId="77777777" w:rsidTr="00A202FD">
        <w:trPr>
          <w:trHeight w:val="320"/>
        </w:trPr>
        <w:tc>
          <w:tcPr>
            <w:tcW w:w="2970" w:type="dxa"/>
            <w:noWrap/>
            <w:hideMark/>
          </w:tcPr>
          <w:p w14:paraId="27B95766"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h. </w:t>
            </w:r>
            <w:r w:rsidRPr="00313340">
              <w:rPr>
                <w:b/>
                <w:bCs/>
                <w:sz w:val="22"/>
                <w:szCs w:val="22"/>
              </w:rPr>
              <w:t>Siklon</w:t>
            </w:r>
          </w:p>
        </w:tc>
        <w:tc>
          <w:tcPr>
            <w:tcW w:w="3628" w:type="dxa"/>
            <w:gridSpan w:val="2"/>
            <w:noWrap/>
            <w:hideMark/>
          </w:tcPr>
          <w:p w14:paraId="0C5ABBF3"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Bölüm 1.4.3'e bakınız.</w:t>
            </w:r>
          </w:p>
        </w:tc>
        <w:tc>
          <w:tcPr>
            <w:tcW w:w="2464" w:type="dxa"/>
            <w:noWrap/>
            <w:hideMark/>
          </w:tcPr>
          <w:p w14:paraId="0FE90F3B"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Genellikle uygulanabilir.</w:t>
            </w:r>
          </w:p>
        </w:tc>
      </w:tr>
      <w:tr w:rsidR="0007690F" w:rsidRPr="00313340" w14:paraId="1B63F360" w14:textId="77777777" w:rsidTr="00A202FD">
        <w:trPr>
          <w:trHeight w:val="320"/>
        </w:trPr>
        <w:tc>
          <w:tcPr>
            <w:tcW w:w="2970" w:type="dxa"/>
            <w:noWrap/>
            <w:hideMark/>
          </w:tcPr>
          <w:p w14:paraId="624CB3CD"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i. </w:t>
            </w:r>
            <w:r w:rsidRPr="00313340">
              <w:rPr>
                <w:b/>
                <w:bCs/>
                <w:sz w:val="22"/>
                <w:szCs w:val="22"/>
              </w:rPr>
              <w:t>Adsorpsiyon</w:t>
            </w:r>
          </w:p>
        </w:tc>
        <w:tc>
          <w:tcPr>
            <w:tcW w:w="3628" w:type="dxa"/>
            <w:gridSpan w:val="2"/>
            <w:noWrap/>
            <w:hideMark/>
          </w:tcPr>
          <w:p w14:paraId="339A9A36"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Bölüm 1.4.3'e bakınız.</w:t>
            </w:r>
          </w:p>
        </w:tc>
        <w:tc>
          <w:tcPr>
            <w:tcW w:w="2464" w:type="dxa"/>
            <w:noWrap/>
            <w:hideMark/>
          </w:tcPr>
          <w:p w14:paraId="4D1AE22F"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Genellikle uygulanabilir.</w:t>
            </w:r>
          </w:p>
        </w:tc>
      </w:tr>
      <w:tr w:rsidR="0007690F" w:rsidRPr="00313340" w14:paraId="7E0602E8" w14:textId="77777777" w:rsidTr="00A202FD">
        <w:trPr>
          <w:trHeight w:val="320"/>
        </w:trPr>
        <w:tc>
          <w:tcPr>
            <w:tcW w:w="2970" w:type="dxa"/>
            <w:shd w:val="clear" w:color="auto" w:fill="auto"/>
            <w:noWrap/>
            <w:hideMark/>
          </w:tcPr>
          <w:p w14:paraId="647C7C98"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j. </w:t>
            </w:r>
            <w:r w:rsidRPr="00313340">
              <w:rPr>
                <w:b/>
                <w:bCs/>
                <w:sz w:val="22"/>
                <w:szCs w:val="22"/>
              </w:rPr>
              <w:t>Kuru Yıkayıcı</w:t>
            </w:r>
          </w:p>
        </w:tc>
        <w:tc>
          <w:tcPr>
            <w:tcW w:w="3628" w:type="dxa"/>
            <w:gridSpan w:val="2"/>
            <w:noWrap/>
            <w:hideMark/>
          </w:tcPr>
          <w:p w14:paraId="16C4C171"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Kuru toz veya alkali bir reaktanın (örneğin, kireç veya sodyum bikarbonat) bir süspansiyonu/solüsyonu, baca gazı akışına tanıtılır ve dağılır. Madde, asidik gazlı bileşenlerle (örneğin, SO2) reaksiyona girerek bir katı oluşturur ve bu katı, filtrasyon (örneğin, kumaş filtresi) ile çıkarılır.</w:t>
            </w:r>
          </w:p>
        </w:tc>
        <w:tc>
          <w:tcPr>
            <w:tcW w:w="2464" w:type="dxa"/>
            <w:noWrap/>
            <w:hideMark/>
          </w:tcPr>
          <w:p w14:paraId="153DC6F3"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Genellikle uygulanabilir.</w:t>
            </w:r>
          </w:p>
        </w:tc>
      </w:tr>
      <w:tr w:rsidR="0007690F" w:rsidRPr="00313340" w14:paraId="547B48DF" w14:textId="77777777" w:rsidTr="00A202FD">
        <w:trPr>
          <w:trHeight w:val="320"/>
        </w:trPr>
        <w:tc>
          <w:tcPr>
            <w:tcW w:w="2970" w:type="dxa"/>
            <w:shd w:val="clear" w:color="auto" w:fill="auto"/>
            <w:noWrap/>
            <w:hideMark/>
          </w:tcPr>
          <w:p w14:paraId="47AA8C0C"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k. </w:t>
            </w:r>
            <w:r w:rsidRPr="00313340">
              <w:rPr>
                <w:b/>
                <w:bCs/>
                <w:sz w:val="22"/>
                <w:szCs w:val="22"/>
              </w:rPr>
              <w:t>Kumaş filtresi</w:t>
            </w:r>
          </w:p>
        </w:tc>
        <w:tc>
          <w:tcPr>
            <w:tcW w:w="3628" w:type="dxa"/>
            <w:gridSpan w:val="2"/>
            <w:noWrap/>
            <w:hideMark/>
          </w:tcPr>
          <w:p w14:paraId="74CB754F"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Bölüm 1.4.3'e bakınız.</w:t>
            </w:r>
          </w:p>
        </w:tc>
        <w:tc>
          <w:tcPr>
            <w:tcW w:w="2464" w:type="dxa"/>
            <w:noWrap/>
            <w:hideMark/>
          </w:tcPr>
          <w:p w14:paraId="3C604672"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Genellikle uygulanabilir.</w:t>
            </w:r>
          </w:p>
        </w:tc>
      </w:tr>
      <w:tr w:rsidR="0007690F" w:rsidRPr="00313340" w14:paraId="114BC367" w14:textId="77777777" w:rsidTr="00A202FD">
        <w:trPr>
          <w:trHeight w:val="320"/>
        </w:trPr>
        <w:tc>
          <w:tcPr>
            <w:tcW w:w="2970" w:type="dxa"/>
            <w:shd w:val="clear" w:color="auto" w:fill="auto"/>
            <w:noWrap/>
            <w:hideMark/>
          </w:tcPr>
          <w:p w14:paraId="18A77B77"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l. </w:t>
            </w:r>
            <w:r w:rsidRPr="00313340">
              <w:rPr>
                <w:b/>
                <w:bCs/>
                <w:sz w:val="22"/>
                <w:szCs w:val="22"/>
              </w:rPr>
              <w:t>Sulu Yıkayıcı</w:t>
            </w:r>
          </w:p>
        </w:tc>
        <w:tc>
          <w:tcPr>
            <w:tcW w:w="3628" w:type="dxa"/>
            <w:gridSpan w:val="2"/>
            <w:noWrap/>
            <w:hideMark/>
          </w:tcPr>
          <w:p w14:paraId="6C383FA5"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Bölüm 1.4.3'e bakınız.</w:t>
            </w:r>
          </w:p>
        </w:tc>
        <w:tc>
          <w:tcPr>
            <w:tcW w:w="2464" w:type="dxa"/>
            <w:noWrap/>
            <w:hideMark/>
          </w:tcPr>
          <w:p w14:paraId="44EE9EB8" w14:textId="77777777" w:rsidR="0007690F" w:rsidRPr="00313340" w:rsidRDefault="0007690F" w:rsidP="00A202FD">
            <w:pPr>
              <w:widowControl w:val="0"/>
              <w:spacing w:after="240" w:line="276" w:lineRule="auto"/>
              <w:ind w:firstLine="1"/>
              <w:contextualSpacing/>
              <w:jc w:val="both"/>
              <w:rPr>
                <w:sz w:val="22"/>
                <w:szCs w:val="22"/>
              </w:rPr>
            </w:pPr>
            <w:r w:rsidRPr="00313340">
              <w:rPr>
                <w:sz w:val="22"/>
                <w:szCs w:val="22"/>
              </w:rPr>
              <w:t>Genellikle uygulanabilir.</w:t>
            </w:r>
          </w:p>
        </w:tc>
      </w:tr>
    </w:tbl>
    <w:p w14:paraId="2293EFA1" w14:textId="77777777" w:rsidR="0007690F" w:rsidRPr="00D53A2B" w:rsidRDefault="0007690F" w:rsidP="00A202FD">
      <w:pPr>
        <w:widowControl w:val="0"/>
        <w:spacing w:after="240" w:line="276" w:lineRule="auto"/>
        <w:ind w:firstLine="1"/>
        <w:contextualSpacing/>
        <w:jc w:val="both"/>
      </w:pPr>
      <w:r w:rsidRPr="00D53A2B">
        <w:t>Tablo 1.18</w:t>
      </w:r>
    </w:p>
    <w:p w14:paraId="205CC995" w14:textId="48F8082B" w:rsidR="0007690F" w:rsidRPr="00D53A2B" w:rsidRDefault="0007690F" w:rsidP="00A202FD">
      <w:pPr>
        <w:widowControl w:val="0"/>
        <w:spacing w:after="240" w:line="276" w:lineRule="auto"/>
        <w:ind w:firstLine="1"/>
        <w:contextualSpacing/>
        <w:jc w:val="both"/>
      </w:pPr>
      <w:r w:rsidRPr="00D53A2B">
        <w:br/>
      </w:r>
      <w:r w:rsidRPr="00D53A2B">
        <w:rPr>
          <w:b/>
          <w:bCs/>
        </w:rPr>
        <w:t>Toz, HCl, HF, NOX, PCDD/F, SO2, TVOC, Kurşun ve Metal Eritme Kaynaklı Hava Kanallı Emisyonlar için MET'a Dayalı Emisyon Seviyeleri (</w:t>
      </w:r>
      <w:r w:rsidR="00831B53" w:rsidRPr="00D53A2B">
        <w:rPr>
          <w:b/>
          <w:bCs/>
        </w:rPr>
        <w:t>MET-İES</w:t>
      </w:r>
      <w:r w:rsidRPr="00D53A2B">
        <w:rPr>
          <w:b/>
          <w:bCs/>
        </w:rPr>
        <w:t>) ve CO İçin Gösterge Emisyon Seviyesi</w:t>
      </w:r>
    </w:p>
    <w:p w14:paraId="22AE27A8" w14:textId="77777777" w:rsidR="0007690F" w:rsidRPr="00D53A2B" w:rsidRDefault="0007690F" w:rsidP="00A202FD">
      <w:pPr>
        <w:widowControl w:val="0"/>
        <w:spacing w:after="240" w:line="276" w:lineRule="auto"/>
        <w:ind w:firstLine="1"/>
        <w:contextualSpacing/>
        <w:jc w:val="both"/>
      </w:pPr>
    </w:p>
    <w:tbl>
      <w:tblPr>
        <w:tblStyle w:val="TabloKlavuzu"/>
        <w:tblW w:w="0" w:type="auto"/>
        <w:tblLook w:val="04A0" w:firstRow="1" w:lastRow="0" w:firstColumn="1" w:lastColumn="0" w:noHBand="0" w:noVBand="1"/>
      </w:tblPr>
      <w:tblGrid>
        <w:gridCol w:w="2145"/>
        <w:gridCol w:w="1177"/>
        <w:gridCol w:w="2231"/>
        <w:gridCol w:w="1524"/>
        <w:gridCol w:w="1983"/>
      </w:tblGrid>
      <w:tr w:rsidR="0007690F" w:rsidRPr="00D53A2B" w14:paraId="08209509" w14:textId="77777777" w:rsidTr="00BB30CB">
        <w:trPr>
          <w:trHeight w:val="320"/>
        </w:trPr>
        <w:tc>
          <w:tcPr>
            <w:tcW w:w="2157" w:type="dxa"/>
            <w:noWrap/>
            <w:hideMark/>
          </w:tcPr>
          <w:p w14:paraId="0E34194C" w14:textId="77777777" w:rsidR="0007690F" w:rsidRPr="00D53A2B" w:rsidRDefault="0007690F" w:rsidP="00A202FD">
            <w:pPr>
              <w:widowControl w:val="0"/>
              <w:spacing w:after="240" w:line="276" w:lineRule="auto"/>
              <w:ind w:firstLine="1"/>
              <w:contextualSpacing/>
              <w:jc w:val="both"/>
              <w:rPr>
                <w:b/>
                <w:bCs/>
              </w:rPr>
            </w:pPr>
            <w:r w:rsidRPr="00D53A2B">
              <w:rPr>
                <w:b/>
                <w:bCs/>
              </w:rPr>
              <w:t>Madde/Parametre</w:t>
            </w:r>
          </w:p>
        </w:tc>
        <w:tc>
          <w:tcPr>
            <w:tcW w:w="1182" w:type="dxa"/>
            <w:noWrap/>
            <w:hideMark/>
          </w:tcPr>
          <w:p w14:paraId="7FBB3419"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2242" w:type="dxa"/>
            <w:noWrap/>
            <w:hideMark/>
          </w:tcPr>
          <w:p w14:paraId="4BCAABD3" w14:textId="77777777" w:rsidR="0007690F" w:rsidRPr="00D53A2B" w:rsidRDefault="0007690F" w:rsidP="00A202FD">
            <w:pPr>
              <w:widowControl w:val="0"/>
              <w:spacing w:after="240" w:line="276" w:lineRule="auto"/>
              <w:ind w:firstLine="1"/>
              <w:contextualSpacing/>
              <w:jc w:val="both"/>
              <w:rPr>
                <w:b/>
                <w:bCs/>
              </w:rPr>
            </w:pPr>
            <w:r w:rsidRPr="00D53A2B">
              <w:rPr>
                <w:b/>
                <w:bCs/>
              </w:rPr>
              <w:t>Fırın Türü</w:t>
            </w:r>
          </w:p>
        </w:tc>
        <w:tc>
          <w:tcPr>
            <w:tcW w:w="1531" w:type="dxa"/>
            <w:noWrap/>
            <w:hideMark/>
          </w:tcPr>
          <w:p w14:paraId="392EAA86" w14:textId="060B1E1D" w:rsidR="0007690F" w:rsidRPr="00D53A2B" w:rsidRDefault="00831B53" w:rsidP="00A202FD">
            <w:pPr>
              <w:widowControl w:val="0"/>
              <w:spacing w:after="240" w:line="276" w:lineRule="auto"/>
              <w:ind w:firstLine="1"/>
              <w:contextualSpacing/>
              <w:jc w:val="both"/>
              <w:rPr>
                <w:b/>
                <w:bCs/>
              </w:rPr>
            </w:pPr>
            <w:r w:rsidRPr="00D53A2B">
              <w:rPr>
                <w:b/>
                <w:bCs/>
              </w:rPr>
              <w:t>MET-İES</w:t>
            </w:r>
            <w:r w:rsidR="0007690F" w:rsidRPr="00D53A2B">
              <w:rPr>
                <w:b/>
                <w:bCs/>
              </w:rPr>
              <w:t> (Günlük ortalama veya ölçüm süresi ortalaması)</w:t>
            </w:r>
          </w:p>
        </w:tc>
        <w:tc>
          <w:tcPr>
            <w:tcW w:w="1993" w:type="dxa"/>
            <w:noWrap/>
            <w:hideMark/>
          </w:tcPr>
          <w:p w14:paraId="4E50AD99" w14:textId="77777777" w:rsidR="0007690F" w:rsidRPr="00D53A2B" w:rsidRDefault="0007690F" w:rsidP="00A202FD">
            <w:pPr>
              <w:widowControl w:val="0"/>
              <w:spacing w:after="240" w:line="276" w:lineRule="auto"/>
              <w:ind w:firstLine="1"/>
              <w:contextualSpacing/>
              <w:jc w:val="both"/>
              <w:rPr>
                <w:b/>
                <w:bCs/>
              </w:rPr>
            </w:pPr>
            <w:r w:rsidRPr="00D53A2B">
              <w:rPr>
                <w:b/>
                <w:bCs/>
              </w:rPr>
              <w:t>Gösterge Emisyon Seviyesi (Günlük ortalama veya ölçüm süresi ortalaması)</w:t>
            </w:r>
          </w:p>
        </w:tc>
      </w:tr>
      <w:tr w:rsidR="0007690F" w:rsidRPr="00D53A2B" w14:paraId="4D245B51" w14:textId="77777777" w:rsidTr="00BB30CB">
        <w:trPr>
          <w:trHeight w:val="320"/>
        </w:trPr>
        <w:tc>
          <w:tcPr>
            <w:tcW w:w="2157" w:type="dxa"/>
            <w:noWrap/>
            <w:hideMark/>
          </w:tcPr>
          <w:p w14:paraId="65023490" w14:textId="77777777" w:rsidR="0007690F" w:rsidRPr="00D53A2B" w:rsidRDefault="0007690F" w:rsidP="00A202FD">
            <w:pPr>
              <w:widowControl w:val="0"/>
              <w:spacing w:after="240" w:line="276" w:lineRule="auto"/>
              <w:ind w:firstLine="1"/>
              <w:contextualSpacing/>
              <w:jc w:val="both"/>
              <w:rPr>
                <w:b/>
                <w:bCs/>
              </w:rPr>
            </w:pPr>
            <w:r w:rsidRPr="00D53A2B">
              <w:rPr>
                <w:b/>
                <w:bCs/>
              </w:rPr>
              <w:t>Toz</w:t>
            </w:r>
          </w:p>
        </w:tc>
        <w:tc>
          <w:tcPr>
            <w:tcW w:w="1182" w:type="dxa"/>
            <w:noWrap/>
            <w:hideMark/>
          </w:tcPr>
          <w:p w14:paraId="20A75E4B" w14:textId="77777777" w:rsidR="0007690F" w:rsidRPr="00D53A2B" w:rsidRDefault="0007690F" w:rsidP="00A202FD">
            <w:pPr>
              <w:widowControl w:val="0"/>
              <w:spacing w:after="240" w:line="276" w:lineRule="auto"/>
              <w:ind w:firstLine="1"/>
              <w:contextualSpacing/>
              <w:jc w:val="both"/>
            </w:pPr>
            <w:r w:rsidRPr="00D53A2B">
              <w:t>mg/Nm³</w:t>
            </w:r>
          </w:p>
        </w:tc>
        <w:tc>
          <w:tcPr>
            <w:tcW w:w="2242" w:type="dxa"/>
            <w:noWrap/>
            <w:hideMark/>
          </w:tcPr>
          <w:p w14:paraId="4FD91EE3" w14:textId="77777777" w:rsidR="0007690F" w:rsidRPr="00D53A2B" w:rsidRDefault="0007690F" w:rsidP="00A202FD">
            <w:pPr>
              <w:widowControl w:val="0"/>
              <w:spacing w:after="240" w:line="276" w:lineRule="auto"/>
              <w:ind w:firstLine="1"/>
              <w:contextualSpacing/>
              <w:jc w:val="both"/>
            </w:pPr>
            <w:r w:rsidRPr="00D53A2B">
              <w:t>İndüksiyon, döner, EAF</w:t>
            </w:r>
          </w:p>
        </w:tc>
        <w:tc>
          <w:tcPr>
            <w:tcW w:w="1531" w:type="dxa"/>
            <w:noWrap/>
            <w:hideMark/>
          </w:tcPr>
          <w:p w14:paraId="5782DAC8" w14:textId="77777777" w:rsidR="0007690F" w:rsidRPr="00D53A2B" w:rsidRDefault="0007690F" w:rsidP="00A202FD">
            <w:pPr>
              <w:widowControl w:val="0"/>
              <w:spacing w:after="240" w:line="276" w:lineRule="auto"/>
              <w:ind w:firstLine="1"/>
              <w:contextualSpacing/>
              <w:jc w:val="both"/>
            </w:pPr>
            <w:r w:rsidRPr="00D53A2B">
              <w:t>1 – 5</w:t>
            </w:r>
          </w:p>
        </w:tc>
        <w:tc>
          <w:tcPr>
            <w:tcW w:w="1993" w:type="dxa"/>
            <w:noWrap/>
            <w:hideMark/>
          </w:tcPr>
          <w:p w14:paraId="52100F36"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6775087A" w14:textId="77777777" w:rsidTr="00BB30CB">
        <w:trPr>
          <w:trHeight w:val="320"/>
        </w:trPr>
        <w:tc>
          <w:tcPr>
            <w:tcW w:w="2157" w:type="dxa"/>
            <w:noWrap/>
            <w:hideMark/>
          </w:tcPr>
          <w:p w14:paraId="06CFFDF5" w14:textId="77777777" w:rsidR="0007690F" w:rsidRPr="00D53A2B" w:rsidRDefault="0007690F" w:rsidP="00A202FD">
            <w:pPr>
              <w:widowControl w:val="0"/>
              <w:spacing w:after="240" w:line="276" w:lineRule="auto"/>
              <w:ind w:firstLine="1"/>
              <w:contextualSpacing/>
              <w:jc w:val="both"/>
            </w:pPr>
            <w:r w:rsidRPr="00D53A2B">
              <w:t> </w:t>
            </w:r>
          </w:p>
        </w:tc>
        <w:tc>
          <w:tcPr>
            <w:tcW w:w="1182" w:type="dxa"/>
            <w:noWrap/>
            <w:hideMark/>
          </w:tcPr>
          <w:p w14:paraId="744E5713" w14:textId="77777777" w:rsidR="0007690F" w:rsidRPr="00D53A2B" w:rsidRDefault="0007690F" w:rsidP="00A202FD">
            <w:pPr>
              <w:widowControl w:val="0"/>
              <w:spacing w:after="240" w:line="276" w:lineRule="auto"/>
              <w:ind w:firstLine="1"/>
              <w:contextualSpacing/>
              <w:jc w:val="both"/>
            </w:pPr>
            <w:r w:rsidRPr="00D53A2B">
              <w:t> </w:t>
            </w:r>
          </w:p>
        </w:tc>
        <w:tc>
          <w:tcPr>
            <w:tcW w:w="2242" w:type="dxa"/>
            <w:noWrap/>
            <w:hideMark/>
          </w:tcPr>
          <w:p w14:paraId="7C6F6125" w14:textId="77777777" w:rsidR="0007690F" w:rsidRPr="00D53A2B" w:rsidRDefault="0007690F" w:rsidP="00A202FD">
            <w:pPr>
              <w:widowControl w:val="0"/>
              <w:spacing w:after="240" w:line="276" w:lineRule="auto"/>
              <w:ind w:firstLine="1"/>
              <w:contextualSpacing/>
              <w:jc w:val="both"/>
            </w:pPr>
            <w:r w:rsidRPr="00D53A2B">
              <w:t>CBC, HBC</w:t>
            </w:r>
          </w:p>
        </w:tc>
        <w:tc>
          <w:tcPr>
            <w:tcW w:w="1531" w:type="dxa"/>
            <w:noWrap/>
            <w:hideMark/>
          </w:tcPr>
          <w:p w14:paraId="57EEC259" w14:textId="4B62491E" w:rsidR="0007690F" w:rsidRPr="00D53A2B" w:rsidRDefault="0007690F" w:rsidP="00A202FD">
            <w:pPr>
              <w:widowControl w:val="0"/>
              <w:spacing w:after="240" w:line="276" w:lineRule="auto"/>
              <w:ind w:firstLine="1"/>
              <w:contextualSpacing/>
              <w:jc w:val="both"/>
            </w:pPr>
            <w:r w:rsidRPr="00D53A2B">
              <w:t xml:space="preserve">1 – 7 </w:t>
            </w:r>
            <w:r w:rsidR="0041236A" w:rsidRPr="00D53A2B">
              <w:t>(1)</w:t>
            </w:r>
          </w:p>
        </w:tc>
        <w:tc>
          <w:tcPr>
            <w:tcW w:w="1993" w:type="dxa"/>
            <w:noWrap/>
            <w:hideMark/>
          </w:tcPr>
          <w:p w14:paraId="7DA2BE8C"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4E3FF7FD" w14:textId="77777777" w:rsidTr="00BB30CB">
        <w:trPr>
          <w:trHeight w:val="320"/>
        </w:trPr>
        <w:tc>
          <w:tcPr>
            <w:tcW w:w="2157" w:type="dxa"/>
            <w:noWrap/>
            <w:hideMark/>
          </w:tcPr>
          <w:p w14:paraId="0FD327D6" w14:textId="77777777" w:rsidR="0007690F" w:rsidRPr="00D53A2B" w:rsidRDefault="0007690F" w:rsidP="00A202FD">
            <w:pPr>
              <w:widowControl w:val="0"/>
              <w:spacing w:after="240" w:line="276" w:lineRule="auto"/>
              <w:ind w:firstLine="1"/>
              <w:contextualSpacing/>
              <w:jc w:val="both"/>
              <w:rPr>
                <w:b/>
                <w:bCs/>
              </w:rPr>
            </w:pPr>
            <w:r w:rsidRPr="00D53A2B">
              <w:rPr>
                <w:b/>
                <w:bCs/>
              </w:rPr>
              <w:t>HCl</w:t>
            </w:r>
          </w:p>
        </w:tc>
        <w:tc>
          <w:tcPr>
            <w:tcW w:w="1182" w:type="dxa"/>
            <w:noWrap/>
            <w:hideMark/>
          </w:tcPr>
          <w:p w14:paraId="32ABE55B" w14:textId="77777777" w:rsidR="0007690F" w:rsidRPr="00D53A2B" w:rsidRDefault="0007690F" w:rsidP="00A202FD">
            <w:pPr>
              <w:widowControl w:val="0"/>
              <w:spacing w:after="240" w:line="276" w:lineRule="auto"/>
              <w:ind w:firstLine="1"/>
              <w:contextualSpacing/>
              <w:jc w:val="both"/>
            </w:pPr>
            <w:r w:rsidRPr="00D53A2B">
              <w:t>mg/Nm³</w:t>
            </w:r>
          </w:p>
        </w:tc>
        <w:tc>
          <w:tcPr>
            <w:tcW w:w="2242" w:type="dxa"/>
            <w:noWrap/>
            <w:hideMark/>
          </w:tcPr>
          <w:p w14:paraId="078A98C6" w14:textId="77777777" w:rsidR="0007690F" w:rsidRPr="00D53A2B" w:rsidRDefault="0007690F" w:rsidP="00A202FD">
            <w:pPr>
              <w:widowControl w:val="0"/>
              <w:spacing w:after="240" w:line="276" w:lineRule="auto"/>
              <w:ind w:firstLine="1"/>
              <w:contextualSpacing/>
              <w:jc w:val="both"/>
            </w:pPr>
            <w:r w:rsidRPr="00D53A2B">
              <w:t>CBC, HBC</w:t>
            </w:r>
          </w:p>
        </w:tc>
        <w:tc>
          <w:tcPr>
            <w:tcW w:w="1531" w:type="dxa"/>
            <w:noWrap/>
            <w:hideMark/>
          </w:tcPr>
          <w:p w14:paraId="6B1386B2" w14:textId="43CFE043" w:rsidR="0007690F" w:rsidRPr="00D53A2B" w:rsidRDefault="0007690F" w:rsidP="00A202FD">
            <w:pPr>
              <w:widowControl w:val="0"/>
              <w:spacing w:after="240" w:line="276" w:lineRule="auto"/>
              <w:ind w:firstLine="1"/>
              <w:contextualSpacing/>
              <w:jc w:val="both"/>
            </w:pPr>
            <w:r w:rsidRPr="00D53A2B">
              <w:t xml:space="preserve">10 – 30 </w:t>
            </w:r>
            <w:r w:rsidR="0041236A" w:rsidRPr="00D53A2B">
              <w:t>(2)</w:t>
            </w:r>
          </w:p>
        </w:tc>
        <w:tc>
          <w:tcPr>
            <w:tcW w:w="1993" w:type="dxa"/>
            <w:noWrap/>
            <w:hideMark/>
          </w:tcPr>
          <w:p w14:paraId="67233F4A"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4A6D5012" w14:textId="77777777" w:rsidTr="00BB30CB">
        <w:trPr>
          <w:trHeight w:val="320"/>
        </w:trPr>
        <w:tc>
          <w:tcPr>
            <w:tcW w:w="2157" w:type="dxa"/>
            <w:noWrap/>
            <w:hideMark/>
          </w:tcPr>
          <w:p w14:paraId="0719734A" w14:textId="77777777" w:rsidR="0007690F" w:rsidRPr="00D53A2B" w:rsidRDefault="0007690F" w:rsidP="00A202FD">
            <w:pPr>
              <w:widowControl w:val="0"/>
              <w:spacing w:after="240" w:line="276" w:lineRule="auto"/>
              <w:ind w:firstLine="1"/>
              <w:contextualSpacing/>
              <w:jc w:val="both"/>
              <w:rPr>
                <w:b/>
                <w:bCs/>
              </w:rPr>
            </w:pPr>
            <w:r w:rsidRPr="00D53A2B">
              <w:rPr>
                <w:b/>
                <w:bCs/>
              </w:rPr>
              <w:t>HF</w:t>
            </w:r>
          </w:p>
        </w:tc>
        <w:tc>
          <w:tcPr>
            <w:tcW w:w="1182" w:type="dxa"/>
            <w:noWrap/>
            <w:hideMark/>
          </w:tcPr>
          <w:p w14:paraId="76689135" w14:textId="77777777" w:rsidR="0007690F" w:rsidRPr="00D53A2B" w:rsidRDefault="0007690F" w:rsidP="00A202FD">
            <w:pPr>
              <w:widowControl w:val="0"/>
              <w:spacing w:after="240" w:line="276" w:lineRule="auto"/>
              <w:ind w:firstLine="1"/>
              <w:contextualSpacing/>
              <w:jc w:val="both"/>
            </w:pPr>
            <w:r w:rsidRPr="00D53A2B">
              <w:t>mg/Nm³</w:t>
            </w:r>
          </w:p>
        </w:tc>
        <w:tc>
          <w:tcPr>
            <w:tcW w:w="2242" w:type="dxa"/>
            <w:noWrap/>
            <w:hideMark/>
          </w:tcPr>
          <w:p w14:paraId="2497885B" w14:textId="77777777" w:rsidR="0007690F" w:rsidRPr="00D53A2B" w:rsidRDefault="0007690F" w:rsidP="00A202FD">
            <w:pPr>
              <w:widowControl w:val="0"/>
              <w:spacing w:after="240" w:line="276" w:lineRule="auto"/>
              <w:ind w:firstLine="1"/>
              <w:contextualSpacing/>
              <w:jc w:val="both"/>
            </w:pPr>
            <w:r w:rsidRPr="00D53A2B">
              <w:t>CBC, HBC, döner fırınlar</w:t>
            </w:r>
          </w:p>
        </w:tc>
        <w:tc>
          <w:tcPr>
            <w:tcW w:w="1531" w:type="dxa"/>
            <w:noWrap/>
            <w:hideMark/>
          </w:tcPr>
          <w:p w14:paraId="6456C653" w14:textId="421C86FC" w:rsidR="0007690F" w:rsidRPr="00D53A2B" w:rsidRDefault="0007690F" w:rsidP="00A202FD">
            <w:pPr>
              <w:widowControl w:val="0"/>
              <w:spacing w:after="240" w:line="276" w:lineRule="auto"/>
              <w:ind w:firstLine="1"/>
              <w:contextualSpacing/>
              <w:jc w:val="both"/>
            </w:pPr>
            <w:r w:rsidRPr="00D53A2B">
              <w:t xml:space="preserve">1 – 3 </w:t>
            </w:r>
            <w:r w:rsidR="00E43E3B" w:rsidRPr="00D53A2B">
              <w:t>(2)</w:t>
            </w:r>
          </w:p>
        </w:tc>
        <w:tc>
          <w:tcPr>
            <w:tcW w:w="1993" w:type="dxa"/>
            <w:noWrap/>
            <w:hideMark/>
          </w:tcPr>
          <w:p w14:paraId="700351FD"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23575198" w14:textId="77777777" w:rsidTr="00BB30CB">
        <w:trPr>
          <w:trHeight w:val="320"/>
        </w:trPr>
        <w:tc>
          <w:tcPr>
            <w:tcW w:w="2157" w:type="dxa"/>
            <w:vMerge w:val="restart"/>
            <w:noWrap/>
            <w:hideMark/>
          </w:tcPr>
          <w:p w14:paraId="5EA59170" w14:textId="77777777" w:rsidR="0007690F" w:rsidRPr="00D53A2B" w:rsidRDefault="0007690F" w:rsidP="00A202FD">
            <w:pPr>
              <w:widowControl w:val="0"/>
              <w:spacing w:after="240" w:line="276" w:lineRule="auto"/>
              <w:ind w:firstLine="1"/>
              <w:contextualSpacing/>
              <w:jc w:val="both"/>
              <w:rPr>
                <w:b/>
                <w:bCs/>
              </w:rPr>
            </w:pPr>
            <w:r w:rsidRPr="00D53A2B">
              <w:rPr>
                <w:b/>
                <w:bCs/>
              </w:rPr>
              <w:t>CO</w:t>
            </w:r>
          </w:p>
          <w:p w14:paraId="10C959CB" w14:textId="77777777" w:rsidR="0007690F" w:rsidRPr="00D53A2B" w:rsidRDefault="0007690F" w:rsidP="00A202FD">
            <w:pPr>
              <w:widowControl w:val="0"/>
              <w:spacing w:after="240" w:line="276" w:lineRule="auto"/>
              <w:ind w:firstLine="1"/>
              <w:contextualSpacing/>
              <w:jc w:val="both"/>
              <w:rPr>
                <w:b/>
                <w:bCs/>
              </w:rPr>
            </w:pPr>
            <w:r w:rsidRPr="00D53A2B">
              <w:t> </w:t>
            </w:r>
          </w:p>
        </w:tc>
        <w:tc>
          <w:tcPr>
            <w:tcW w:w="1182" w:type="dxa"/>
            <w:vMerge w:val="restart"/>
            <w:noWrap/>
            <w:hideMark/>
          </w:tcPr>
          <w:p w14:paraId="17868E00" w14:textId="77777777" w:rsidR="0007690F" w:rsidRPr="00D53A2B" w:rsidRDefault="0007690F" w:rsidP="00A202FD">
            <w:pPr>
              <w:widowControl w:val="0"/>
              <w:spacing w:after="240" w:line="276" w:lineRule="auto"/>
              <w:ind w:firstLine="1"/>
              <w:contextualSpacing/>
              <w:jc w:val="both"/>
            </w:pPr>
            <w:r w:rsidRPr="00D53A2B">
              <w:t>mg/Nm³</w:t>
            </w:r>
          </w:p>
          <w:p w14:paraId="200253E5" w14:textId="77777777" w:rsidR="0007690F" w:rsidRPr="00D53A2B" w:rsidRDefault="0007690F" w:rsidP="00A202FD">
            <w:pPr>
              <w:widowControl w:val="0"/>
              <w:spacing w:after="240" w:line="276" w:lineRule="auto"/>
              <w:ind w:firstLine="1"/>
              <w:contextualSpacing/>
              <w:jc w:val="both"/>
            </w:pPr>
            <w:r w:rsidRPr="00D53A2B">
              <w:t> </w:t>
            </w:r>
          </w:p>
        </w:tc>
        <w:tc>
          <w:tcPr>
            <w:tcW w:w="2242" w:type="dxa"/>
            <w:noWrap/>
            <w:hideMark/>
          </w:tcPr>
          <w:p w14:paraId="14592D05" w14:textId="77777777" w:rsidR="0007690F" w:rsidRPr="00D53A2B" w:rsidRDefault="0007690F" w:rsidP="00A202FD">
            <w:pPr>
              <w:widowControl w:val="0"/>
              <w:spacing w:after="240" w:line="276" w:lineRule="auto"/>
              <w:ind w:firstLine="1"/>
              <w:contextualSpacing/>
              <w:jc w:val="both"/>
            </w:pPr>
            <w:r w:rsidRPr="00D53A2B">
              <w:t>Döner fırınlar</w:t>
            </w:r>
          </w:p>
        </w:tc>
        <w:tc>
          <w:tcPr>
            <w:tcW w:w="1531" w:type="dxa"/>
            <w:noWrap/>
            <w:hideMark/>
          </w:tcPr>
          <w:p w14:paraId="3C20CE77" w14:textId="4CF5B9A0" w:rsidR="0007690F" w:rsidRPr="00D53A2B" w:rsidRDefault="00831B53" w:rsidP="00A202FD">
            <w:pPr>
              <w:widowControl w:val="0"/>
              <w:spacing w:after="240" w:line="276" w:lineRule="auto"/>
              <w:ind w:firstLine="1"/>
              <w:contextualSpacing/>
              <w:jc w:val="both"/>
            </w:pPr>
            <w:r w:rsidRPr="00D53A2B">
              <w:t>MET-İES</w:t>
            </w:r>
            <w:r w:rsidR="0007690F" w:rsidRPr="00D53A2B">
              <w:t xml:space="preserve"> yok</w:t>
            </w:r>
          </w:p>
        </w:tc>
        <w:tc>
          <w:tcPr>
            <w:tcW w:w="1993" w:type="dxa"/>
            <w:noWrap/>
            <w:hideMark/>
          </w:tcPr>
          <w:p w14:paraId="519D872B" w14:textId="77777777" w:rsidR="0007690F" w:rsidRPr="00D53A2B" w:rsidRDefault="0007690F" w:rsidP="00A202FD">
            <w:pPr>
              <w:widowControl w:val="0"/>
              <w:spacing w:after="240" w:line="276" w:lineRule="auto"/>
              <w:ind w:firstLine="1"/>
              <w:contextualSpacing/>
              <w:jc w:val="both"/>
            </w:pPr>
            <w:r w:rsidRPr="00D53A2B">
              <w:t>10 – 30</w:t>
            </w:r>
          </w:p>
        </w:tc>
      </w:tr>
      <w:tr w:rsidR="0007690F" w:rsidRPr="00D53A2B" w14:paraId="48A38FBB" w14:textId="77777777" w:rsidTr="00BB30CB">
        <w:trPr>
          <w:trHeight w:val="320"/>
        </w:trPr>
        <w:tc>
          <w:tcPr>
            <w:tcW w:w="2157" w:type="dxa"/>
            <w:vMerge/>
            <w:noWrap/>
            <w:hideMark/>
          </w:tcPr>
          <w:p w14:paraId="67E1E6F1" w14:textId="77777777" w:rsidR="0007690F" w:rsidRPr="00D53A2B" w:rsidRDefault="0007690F" w:rsidP="00A202FD">
            <w:pPr>
              <w:widowControl w:val="0"/>
              <w:spacing w:after="240" w:line="276" w:lineRule="auto"/>
              <w:ind w:firstLine="1"/>
              <w:contextualSpacing/>
              <w:jc w:val="both"/>
            </w:pPr>
          </w:p>
        </w:tc>
        <w:tc>
          <w:tcPr>
            <w:tcW w:w="1182" w:type="dxa"/>
            <w:vMerge/>
            <w:noWrap/>
            <w:hideMark/>
          </w:tcPr>
          <w:p w14:paraId="6065AAA1" w14:textId="77777777" w:rsidR="0007690F" w:rsidRPr="00D53A2B" w:rsidRDefault="0007690F" w:rsidP="00A202FD">
            <w:pPr>
              <w:widowControl w:val="0"/>
              <w:spacing w:after="240" w:line="276" w:lineRule="auto"/>
              <w:ind w:firstLine="1"/>
              <w:contextualSpacing/>
              <w:jc w:val="both"/>
            </w:pPr>
          </w:p>
        </w:tc>
        <w:tc>
          <w:tcPr>
            <w:tcW w:w="2242" w:type="dxa"/>
            <w:noWrap/>
            <w:hideMark/>
          </w:tcPr>
          <w:p w14:paraId="374FBEBA" w14:textId="77777777" w:rsidR="0007690F" w:rsidRPr="00D53A2B" w:rsidRDefault="0007690F" w:rsidP="00A202FD">
            <w:pPr>
              <w:widowControl w:val="0"/>
              <w:spacing w:after="240" w:line="276" w:lineRule="auto"/>
              <w:ind w:firstLine="1"/>
              <w:contextualSpacing/>
              <w:jc w:val="both"/>
            </w:pPr>
            <w:r w:rsidRPr="00D53A2B">
              <w:t>CBC, HBC</w:t>
            </w:r>
          </w:p>
        </w:tc>
        <w:tc>
          <w:tcPr>
            <w:tcW w:w="1531" w:type="dxa"/>
            <w:noWrap/>
            <w:hideMark/>
          </w:tcPr>
          <w:p w14:paraId="0954B00D" w14:textId="4C7EBC5E" w:rsidR="0007690F" w:rsidRPr="00D53A2B" w:rsidRDefault="00831B53" w:rsidP="00A202FD">
            <w:pPr>
              <w:widowControl w:val="0"/>
              <w:spacing w:after="240" w:line="276" w:lineRule="auto"/>
              <w:ind w:firstLine="1"/>
              <w:contextualSpacing/>
              <w:jc w:val="both"/>
            </w:pPr>
            <w:r w:rsidRPr="00D53A2B">
              <w:t>MET-İES</w:t>
            </w:r>
            <w:r w:rsidR="0007690F" w:rsidRPr="00D53A2B">
              <w:t xml:space="preserve"> yok</w:t>
            </w:r>
          </w:p>
        </w:tc>
        <w:tc>
          <w:tcPr>
            <w:tcW w:w="1993" w:type="dxa"/>
            <w:noWrap/>
            <w:hideMark/>
          </w:tcPr>
          <w:p w14:paraId="10F2AB55" w14:textId="77777777" w:rsidR="0007690F" w:rsidRPr="00D53A2B" w:rsidRDefault="0007690F" w:rsidP="00A202FD">
            <w:pPr>
              <w:widowControl w:val="0"/>
              <w:spacing w:after="240" w:line="276" w:lineRule="auto"/>
              <w:ind w:firstLine="1"/>
              <w:contextualSpacing/>
              <w:jc w:val="both"/>
            </w:pPr>
            <w:r w:rsidRPr="00D53A2B">
              <w:t>20 – 220</w:t>
            </w:r>
          </w:p>
        </w:tc>
      </w:tr>
      <w:tr w:rsidR="0007690F" w:rsidRPr="00D53A2B" w14:paraId="1166D558" w14:textId="77777777" w:rsidTr="00BB30CB">
        <w:trPr>
          <w:trHeight w:val="320"/>
        </w:trPr>
        <w:tc>
          <w:tcPr>
            <w:tcW w:w="2157" w:type="dxa"/>
            <w:noWrap/>
            <w:hideMark/>
          </w:tcPr>
          <w:p w14:paraId="45CDC715" w14:textId="77777777" w:rsidR="0007690F" w:rsidRPr="00D53A2B" w:rsidRDefault="0007690F" w:rsidP="00A202FD">
            <w:pPr>
              <w:widowControl w:val="0"/>
              <w:spacing w:after="240" w:line="276" w:lineRule="auto"/>
              <w:ind w:firstLine="1"/>
              <w:contextualSpacing/>
              <w:jc w:val="both"/>
              <w:rPr>
                <w:b/>
                <w:bCs/>
              </w:rPr>
            </w:pPr>
            <w:r w:rsidRPr="00D53A2B">
              <w:rPr>
                <w:b/>
                <w:bCs/>
              </w:rPr>
              <w:t>NOX</w:t>
            </w:r>
          </w:p>
        </w:tc>
        <w:tc>
          <w:tcPr>
            <w:tcW w:w="1182" w:type="dxa"/>
            <w:noWrap/>
            <w:hideMark/>
          </w:tcPr>
          <w:p w14:paraId="025B5BC8" w14:textId="77777777" w:rsidR="0007690F" w:rsidRPr="00D53A2B" w:rsidRDefault="0007690F" w:rsidP="00A202FD">
            <w:pPr>
              <w:widowControl w:val="0"/>
              <w:spacing w:after="240" w:line="276" w:lineRule="auto"/>
              <w:ind w:firstLine="1"/>
              <w:contextualSpacing/>
              <w:jc w:val="both"/>
            </w:pPr>
            <w:r w:rsidRPr="00D53A2B">
              <w:t>mg/Nm³</w:t>
            </w:r>
          </w:p>
        </w:tc>
        <w:tc>
          <w:tcPr>
            <w:tcW w:w="2242" w:type="dxa"/>
            <w:noWrap/>
            <w:hideMark/>
          </w:tcPr>
          <w:p w14:paraId="05DCB165" w14:textId="77777777" w:rsidR="0007690F" w:rsidRPr="00D53A2B" w:rsidRDefault="0007690F" w:rsidP="00A202FD">
            <w:pPr>
              <w:widowControl w:val="0"/>
              <w:spacing w:after="240" w:line="276" w:lineRule="auto"/>
              <w:ind w:firstLine="1"/>
              <w:contextualSpacing/>
              <w:jc w:val="both"/>
            </w:pPr>
            <w:r w:rsidRPr="00D53A2B">
              <w:t>HBC</w:t>
            </w:r>
          </w:p>
        </w:tc>
        <w:tc>
          <w:tcPr>
            <w:tcW w:w="1531" w:type="dxa"/>
            <w:noWrap/>
            <w:hideMark/>
          </w:tcPr>
          <w:p w14:paraId="7E8E29D6" w14:textId="77777777" w:rsidR="0007690F" w:rsidRPr="00D53A2B" w:rsidRDefault="0007690F" w:rsidP="00A202FD">
            <w:pPr>
              <w:widowControl w:val="0"/>
              <w:spacing w:after="240" w:line="276" w:lineRule="auto"/>
              <w:ind w:firstLine="1"/>
              <w:contextualSpacing/>
              <w:jc w:val="both"/>
            </w:pPr>
            <w:r w:rsidRPr="00D53A2B">
              <w:t>20 – 160</w:t>
            </w:r>
          </w:p>
        </w:tc>
        <w:tc>
          <w:tcPr>
            <w:tcW w:w="1993" w:type="dxa"/>
            <w:noWrap/>
            <w:hideMark/>
          </w:tcPr>
          <w:p w14:paraId="2EE7E5C7"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6CC630A6" w14:textId="77777777" w:rsidTr="00BB30CB">
        <w:trPr>
          <w:trHeight w:val="320"/>
        </w:trPr>
        <w:tc>
          <w:tcPr>
            <w:tcW w:w="2157" w:type="dxa"/>
            <w:noWrap/>
            <w:hideMark/>
          </w:tcPr>
          <w:p w14:paraId="31134079" w14:textId="77777777" w:rsidR="0007690F" w:rsidRPr="00D53A2B" w:rsidRDefault="0007690F" w:rsidP="00A202FD">
            <w:pPr>
              <w:widowControl w:val="0"/>
              <w:spacing w:after="240" w:line="276" w:lineRule="auto"/>
              <w:ind w:firstLine="1"/>
              <w:contextualSpacing/>
              <w:jc w:val="both"/>
            </w:pPr>
            <w:r w:rsidRPr="00D53A2B">
              <w:t> </w:t>
            </w:r>
          </w:p>
        </w:tc>
        <w:tc>
          <w:tcPr>
            <w:tcW w:w="1182" w:type="dxa"/>
            <w:noWrap/>
            <w:hideMark/>
          </w:tcPr>
          <w:p w14:paraId="4A9D41F1" w14:textId="77777777" w:rsidR="0007690F" w:rsidRPr="00D53A2B" w:rsidRDefault="0007690F" w:rsidP="00A202FD">
            <w:pPr>
              <w:widowControl w:val="0"/>
              <w:spacing w:after="240" w:line="276" w:lineRule="auto"/>
              <w:ind w:firstLine="1"/>
              <w:contextualSpacing/>
              <w:jc w:val="both"/>
            </w:pPr>
            <w:r w:rsidRPr="00D53A2B">
              <w:t> </w:t>
            </w:r>
          </w:p>
        </w:tc>
        <w:tc>
          <w:tcPr>
            <w:tcW w:w="2242" w:type="dxa"/>
            <w:noWrap/>
            <w:hideMark/>
          </w:tcPr>
          <w:p w14:paraId="0DF7882E" w14:textId="77777777" w:rsidR="0007690F" w:rsidRPr="00D53A2B" w:rsidRDefault="0007690F" w:rsidP="00A202FD">
            <w:pPr>
              <w:widowControl w:val="0"/>
              <w:spacing w:after="240" w:line="276" w:lineRule="auto"/>
              <w:ind w:firstLine="1"/>
              <w:contextualSpacing/>
              <w:jc w:val="both"/>
            </w:pPr>
            <w:r w:rsidRPr="00D53A2B">
              <w:t>CBC</w:t>
            </w:r>
          </w:p>
        </w:tc>
        <w:tc>
          <w:tcPr>
            <w:tcW w:w="1531" w:type="dxa"/>
            <w:noWrap/>
            <w:hideMark/>
          </w:tcPr>
          <w:p w14:paraId="6C300714" w14:textId="77777777" w:rsidR="0007690F" w:rsidRPr="00D53A2B" w:rsidRDefault="0007690F" w:rsidP="00A202FD">
            <w:pPr>
              <w:widowControl w:val="0"/>
              <w:spacing w:after="240" w:line="276" w:lineRule="auto"/>
              <w:ind w:firstLine="1"/>
              <w:contextualSpacing/>
              <w:jc w:val="both"/>
            </w:pPr>
            <w:r w:rsidRPr="00D53A2B">
              <w:t>20 – 70</w:t>
            </w:r>
          </w:p>
        </w:tc>
        <w:tc>
          <w:tcPr>
            <w:tcW w:w="1993" w:type="dxa"/>
            <w:noWrap/>
            <w:hideMark/>
          </w:tcPr>
          <w:p w14:paraId="098C7737"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1DE12710" w14:textId="77777777" w:rsidTr="00BB30CB">
        <w:trPr>
          <w:trHeight w:val="320"/>
        </w:trPr>
        <w:tc>
          <w:tcPr>
            <w:tcW w:w="2157" w:type="dxa"/>
            <w:noWrap/>
            <w:hideMark/>
          </w:tcPr>
          <w:p w14:paraId="0A454EF0" w14:textId="77777777" w:rsidR="0007690F" w:rsidRPr="00D53A2B" w:rsidRDefault="0007690F" w:rsidP="00A202FD">
            <w:pPr>
              <w:widowControl w:val="0"/>
              <w:spacing w:after="240" w:line="276" w:lineRule="auto"/>
              <w:ind w:firstLine="1"/>
              <w:contextualSpacing/>
              <w:jc w:val="both"/>
            </w:pPr>
            <w:r w:rsidRPr="00D53A2B">
              <w:t> </w:t>
            </w:r>
          </w:p>
        </w:tc>
        <w:tc>
          <w:tcPr>
            <w:tcW w:w="1182" w:type="dxa"/>
            <w:noWrap/>
            <w:hideMark/>
          </w:tcPr>
          <w:p w14:paraId="1FF1FFC4" w14:textId="77777777" w:rsidR="0007690F" w:rsidRPr="00D53A2B" w:rsidRDefault="0007690F" w:rsidP="00A202FD">
            <w:pPr>
              <w:widowControl w:val="0"/>
              <w:spacing w:after="240" w:line="276" w:lineRule="auto"/>
              <w:ind w:firstLine="1"/>
              <w:contextualSpacing/>
              <w:jc w:val="both"/>
            </w:pPr>
            <w:r w:rsidRPr="00D53A2B">
              <w:t> </w:t>
            </w:r>
          </w:p>
        </w:tc>
        <w:tc>
          <w:tcPr>
            <w:tcW w:w="2242" w:type="dxa"/>
            <w:noWrap/>
            <w:hideMark/>
          </w:tcPr>
          <w:p w14:paraId="21EDCCFC" w14:textId="77777777" w:rsidR="0007690F" w:rsidRPr="00D53A2B" w:rsidRDefault="0007690F" w:rsidP="00A202FD">
            <w:pPr>
              <w:widowControl w:val="0"/>
              <w:spacing w:after="240" w:line="276" w:lineRule="auto"/>
              <w:ind w:firstLine="1"/>
              <w:contextualSpacing/>
              <w:jc w:val="both"/>
            </w:pPr>
            <w:r w:rsidRPr="00D53A2B">
              <w:t>Döner fırınlar</w:t>
            </w:r>
          </w:p>
        </w:tc>
        <w:tc>
          <w:tcPr>
            <w:tcW w:w="1531" w:type="dxa"/>
            <w:noWrap/>
            <w:hideMark/>
          </w:tcPr>
          <w:p w14:paraId="3ADD9DAA" w14:textId="77777777" w:rsidR="0007690F" w:rsidRPr="00D53A2B" w:rsidRDefault="0007690F" w:rsidP="00A202FD">
            <w:pPr>
              <w:widowControl w:val="0"/>
              <w:spacing w:after="240" w:line="276" w:lineRule="auto"/>
              <w:ind w:firstLine="1"/>
              <w:contextualSpacing/>
              <w:jc w:val="both"/>
            </w:pPr>
            <w:r w:rsidRPr="00D53A2B">
              <w:t>20 – 100</w:t>
            </w:r>
          </w:p>
        </w:tc>
        <w:tc>
          <w:tcPr>
            <w:tcW w:w="1993" w:type="dxa"/>
            <w:noWrap/>
            <w:hideMark/>
          </w:tcPr>
          <w:p w14:paraId="62F64C7C"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281EA92C" w14:textId="77777777" w:rsidTr="00BB30CB">
        <w:trPr>
          <w:trHeight w:val="320"/>
        </w:trPr>
        <w:tc>
          <w:tcPr>
            <w:tcW w:w="2157" w:type="dxa"/>
            <w:vMerge w:val="restart"/>
            <w:noWrap/>
            <w:hideMark/>
          </w:tcPr>
          <w:p w14:paraId="61A44782" w14:textId="77777777" w:rsidR="0007690F" w:rsidRPr="00D53A2B" w:rsidRDefault="0007690F" w:rsidP="00A202FD">
            <w:pPr>
              <w:widowControl w:val="0"/>
              <w:spacing w:after="240" w:line="276" w:lineRule="auto"/>
              <w:ind w:firstLine="1"/>
              <w:contextualSpacing/>
              <w:jc w:val="both"/>
              <w:rPr>
                <w:b/>
                <w:bCs/>
              </w:rPr>
            </w:pPr>
            <w:r w:rsidRPr="00D53A2B">
              <w:rPr>
                <w:b/>
                <w:bCs/>
              </w:rPr>
              <w:t>PCDD/F</w:t>
            </w:r>
          </w:p>
          <w:p w14:paraId="765836FE" w14:textId="77777777" w:rsidR="0007690F" w:rsidRPr="00D53A2B" w:rsidRDefault="0007690F" w:rsidP="00A202FD">
            <w:pPr>
              <w:widowControl w:val="0"/>
              <w:spacing w:after="240" w:line="276" w:lineRule="auto"/>
              <w:ind w:firstLine="1"/>
              <w:contextualSpacing/>
              <w:jc w:val="both"/>
              <w:rPr>
                <w:b/>
                <w:bCs/>
              </w:rPr>
            </w:pPr>
            <w:r w:rsidRPr="00D53A2B">
              <w:t> </w:t>
            </w:r>
          </w:p>
        </w:tc>
        <w:tc>
          <w:tcPr>
            <w:tcW w:w="1182" w:type="dxa"/>
            <w:vMerge w:val="restart"/>
            <w:noWrap/>
            <w:hideMark/>
          </w:tcPr>
          <w:p w14:paraId="31429646" w14:textId="77777777" w:rsidR="0007690F" w:rsidRPr="00D53A2B" w:rsidRDefault="0007690F" w:rsidP="00A202FD">
            <w:pPr>
              <w:widowControl w:val="0"/>
              <w:spacing w:after="240" w:line="276" w:lineRule="auto"/>
              <w:ind w:firstLine="1"/>
              <w:contextualSpacing/>
              <w:jc w:val="both"/>
            </w:pPr>
            <w:r w:rsidRPr="00D53A2B">
              <w:t>ng WHO-TEQ/Nm³</w:t>
            </w:r>
          </w:p>
          <w:p w14:paraId="628BD9C3" w14:textId="77777777" w:rsidR="0007690F" w:rsidRPr="00D53A2B" w:rsidRDefault="0007690F" w:rsidP="00A202FD">
            <w:pPr>
              <w:widowControl w:val="0"/>
              <w:spacing w:after="240" w:line="276" w:lineRule="auto"/>
              <w:ind w:firstLine="1"/>
              <w:contextualSpacing/>
              <w:jc w:val="both"/>
            </w:pPr>
            <w:r w:rsidRPr="00D53A2B">
              <w:t> </w:t>
            </w:r>
          </w:p>
        </w:tc>
        <w:tc>
          <w:tcPr>
            <w:tcW w:w="2242" w:type="dxa"/>
            <w:noWrap/>
            <w:hideMark/>
          </w:tcPr>
          <w:p w14:paraId="2A2E01FB" w14:textId="77777777" w:rsidR="0007690F" w:rsidRPr="00D53A2B" w:rsidRDefault="0007690F" w:rsidP="00A202FD">
            <w:pPr>
              <w:widowControl w:val="0"/>
              <w:spacing w:after="240" w:line="276" w:lineRule="auto"/>
              <w:ind w:firstLine="1"/>
              <w:contextualSpacing/>
              <w:jc w:val="both"/>
            </w:pPr>
            <w:r w:rsidRPr="00D53A2B">
              <w:t>CBC, HBC, döner fırınlar</w:t>
            </w:r>
          </w:p>
        </w:tc>
        <w:tc>
          <w:tcPr>
            <w:tcW w:w="1531" w:type="dxa"/>
            <w:noWrap/>
            <w:hideMark/>
          </w:tcPr>
          <w:p w14:paraId="420EC27D" w14:textId="77777777" w:rsidR="0007690F" w:rsidRPr="00D53A2B" w:rsidRDefault="0007690F" w:rsidP="00A202FD">
            <w:pPr>
              <w:widowControl w:val="0"/>
              <w:spacing w:after="240" w:line="276" w:lineRule="auto"/>
              <w:ind w:firstLine="1"/>
              <w:contextualSpacing/>
              <w:jc w:val="both"/>
            </w:pPr>
            <w:r w:rsidRPr="00D53A2B">
              <w:t>&lt; 0,01 – 0,08</w:t>
            </w:r>
          </w:p>
        </w:tc>
        <w:tc>
          <w:tcPr>
            <w:tcW w:w="1993" w:type="dxa"/>
            <w:noWrap/>
            <w:hideMark/>
          </w:tcPr>
          <w:p w14:paraId="4B481A1D"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276F1F82" w14:textId="77777777" w:rsidTr="00BB30CB">
        <w:trPr>
          <w:trHeight w:val="320"/>
        </w:trPr>
        <w:tc>
          <w:tcPr>
            <w:tcW w:w="2157" w:type="dxa"/>
            <w:vMerge/>
            <w:noWrap/>
            <w:hideMark/>
          </w:tcPr>
          <w:p w14:paraId="3B4CC045" w14:textId="77777777" w:rsidR="0007690F" w:rsidRPr="00D53A2B" w:rsidRDefault="0007690F" w:rsidP="00A202FD">
            <w:pPr>
              <w:widowControl w:val="0"/>
              <w:spacing w:after="240" w:line="276" w:lineRule="auto"/>
              <w:ind w:firstLine="1"/>
              <w:contextualSpacing/>
              <w:jc w:val="both"/>
            </w:pPr>
          </w:p>
        </w:tc>
        <w:tc>
          <w:tcPr>
            <w:tcW w:w="1182" w:type="dxa"/>
            <w:vMerge/>
            <w:noWrap/>
            <w:hideMark/>
          </w:tcPr>
          <w:p w14:paraId="0A78F541" w14:textId="77777777" w:rsidR="0007690F" w:rsidRPr="00D53A2B" w:rsidRDefault="0007690F" w:rsidP="00A202FD">
            <w:pPr>
              <w:widowControl w:val="0"/>
              <w:spacing w:after="240" w:line="276" w:lineRule="auto"/>
              <w:ind w:firstLine="1"/>
              <w:contextualSpacing/>
              <w:jc w:val="both"/>
            </w:pPr>
          </w:p>
        </w:tc>
        <w:tc>
          <w:tcPr>
            <w:tcW w:w="2242" w:type="dxa"/>
            <w:noWrap/>
            <w:hideMark/>
          </w:tcPr>
          <w:p w14:paraId="5D657E73" w14:textId="77777777" w:rsidR="0007690F" w:rsidRPr="00D53A2B" w:rsidRDefault="0007690F" w:rsidP="00A202FD">
            <w:pPr>
              <w:widowControl w:val="0"/>
              <w:spacing w:after="240" w:line="276" w:lineRule="auto"/>
              <w:ind w:firstLine="1"/>
              <w:contextualSpacing/>
              <w:jc w:val="both"/>
            </w:pPr>
            <w:r w:rsidRPr="00D53A2B">
              <w:t>İndüksiyon</w:t>
            </w:r>
          </w:p>
        </w:tc>
        <w:tc>
          <w:tcPr>
            <w:tcW w:w="1531" w:type="dxa"/>
            <w:noWrap/>
            <w:hideMark/>
          </w:tcPr>
          <w:p w14:paraId="19B0F8B1" w14:textId="7DE7B8D1" w:rsidR="0007690F" w:rsidRPr="00D53A2B" w:rsidRDefault="0007690F" w:rsidP="00A202FD">
            <w:pPr>
              <w:widowControl w:val="0"/>
              <w:spacing w:after="240" w:line="276" w:lineRule="auto"/>
              <w:ind w:firstLine="1"/>
              <w:contextualSpacing/>
              <w:jc w:val="both"/>
            </w:pPr>
            <w:r w:rsidRPr="00D53A2B">
              <w:t>&lt; 0,01 – 0,08</w:t>
            </w:r>
            <w:r w:rsidR="00E43E3B" w:rsidRPr="00D53A2B">
              <w:t>(3)</w:t>
            </w:r>
            <w:r w:rsidRPr="00D53A2B">
              <w:t xml:space="preserve"> </w:t>
            </w:r>
          </w:p>
        </w:tc>
        <w:tc>
          <w:tcPr>
            <w:tcW w:w="1993" w:type="dxa"/>
            <w:noWrap/>
            <w:hideMark/>
          </w:tcPr>
          <w:p w14:paraId="35415BE5"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66CA001B" w14:textId="77777777" w:rsidTr="00BB30CB">
        <w:trPr>
          <w:trHeight w:val="320"/>
        </w:trPr>
        <w:tc>
          <w:tcPr>
            <w:tcW w:w="2157" w:type="dxa"/>
            <w:vMerge w:val="restart"/>
            <w:noWrap/>
            <w:hideMark/>
          </w:tcPr>
          <w:p w14:paraId="6D18845B" w14:textId="77777777" w:rsidR="0007690F" w:rsidRPr="00D53A2B" w:rsidRDefault="0007690F" w:rsidP="00A202FD">
            <w:pPr>
              <w:widowControl w:val="0"/>
              <w:spacing w:after="240" w:line="276" w:lineRule="auto"/>
              <w:ind w:firstLine="1"/>
              <w:contextualSpacing/>
              <w:jc w:val="both"/>
              <w:rPr>
                <w:b/>
                <w:bCs/>
              </w:rPr>
            </w:pPr>
            <w:r w:rsidRPr="00D53A2B">
              <w:rPr>
                <w:b/>
                <w:bCs/>
              </w:rPr>
              <w:t>SO2</w:t>
            </w:r>
          </w:p>
          <w:p w14:paraId="609A97DC" w14:textId="77777777" w:rsidR="0007690F" w:rsidRPr="00D53A2B" w:rsidRDefault="0007690F" w:rsidP="00A202FD">
            <w:pPr>
              <w:widowControl w:val="0"/>
              <w:spacing w:after="240" w:line="276" w:lineRule="auto"/>
              <w:ind w:firstLine="1"/>
              <w:contextualSpacing/>
              <w:jc w:val="both"/>
            </w:pPr>
            <w:r w:rsidRPr="00D53A2B">
              <w:t> </w:t>
            </w:r>
          </w:p>
          <w:p w14:paraId="25C0B60E" w14:textId="77777777" w:rsidR="0007690F" w:rsidRPr="00D53A2B" w:rsidRDefault="0007690F" w:rsidP="00A202FD">
            <w:pPr>
              <w:widowControl w:val="0"/>
              <w:spacing w:after="240" w:line="276" w:lineRule="auto"/>
              <w:ind w:firstLine="1"/>
              <w:contextualSpacing/>
              <w:jc w:val="both"/>
              <w:rPr>
                <w:b/>
                <w:bCs/>
              </w:rPr>
            </w:pPr>
            <w:r w:rsidRPr="00D53A2B">
              <w:t> </w:t>
            </w:r>
          </w:p>
        </w:tc>
        <w:tc>
          <w:tcPr>
            <w:tcW w:w="1182" w:type="dxa"/>
            <w:vMerge w:val="restart"/>
            <w:noWrap/>
            <w:hideMark/>
          </w:tcPr>
          <w:p w14:paraId="6D14F679" w14:textId="77777777" w:rsidR="0007690F" w:rsidRPr="00D53A2B" w:rsidRDefault="0007690F" w:rsidP="00A202FD">
            <w:pPr>
              <w:widowControl w:val="0"/>
              <w:spacing w:after="240" w:line="276" w:lineRule="auto"/>
              <w:ind w:firstLine="1"/>
              <w:contextualSpacing/>
              <w:jc w:val="both"/>
            </w:pPr>
            <w:r w:rsidRPr="00D53A2B">
              <w:t>mg/Nm³</w:t>
            </w:r>
          </w:p>
          <w:p w14:paraId="5840736C" w14:textId="77777777" w:rsidR="0007690F" w:rsidRPr="00D53A2B" w:rsidRDefault="0007690F" w:rsidP="00A202FD">
            <w:pPr>
              <w:widowControl w:val="0"/>
              <w:spacing w:after="240" w:line="276" w:lineRule="auto"/>
              <w:ind w:firstLine="1"/>
              <w:contextualSpacing/>
              <w:jc w:val="both"/>
            </w:pPr>
            <w:r w:rsidRPr="00D53A2B">
              <w:t> </w:t>
            </w:r>
          </w:p>
          <w:p w14:paraId="3B98CCA1" w14:textId="77777777" w:rsidR="0007690F" w:rsidRPr="00D53A2B" w:rsidRDefault="0007690F" w:rsidP="00A202FD">
            <w:pPr>
              <w:widowControl w:val="0"/>
              <w:spacing w:after="240" w:line="276" w:lineRule="auto"/>
              <w:ind w:firstLine="1"/>
              <w:contextualSpacing/>
              <w:jc w:val="both"/>
            </w:pPr>
            <w:r w:rsidRPr="00D53A2B">
              <w:t> </w:t>
            </w:r>
          </w:p>
        </w:tc>
        <w:tc>
          <w:tcPr>
            <w:tcW w:w="2242" w:type="dxa"/>
            <w:noWrap/>
            <w:hideMark/>
          </w:tcPr>
          <w:p w14:paraId="6FEF0085" w14:textId="77777777" w:rsidR="0007690F" w:rsidRPr="00D53A2B" w:rsidRDefault="0007690F" w:rsidP="00A202FD">
            <w:pPr>
              <w:widowControl w:val="0"/>
              <w:spacing w:after="240" w:line="276" w:lineRule="auto"/>
              <w:ind w:firstLine="1"/>
              <w:contextualSpacing/>
              <w:jc w:val="both"/>
            </w:pPr>
            <w:r w:rsidRPr="00D53A2B">
              <w:t>HBC</w:t>
            </w:r>
          </w:p>
        </w:tc>
        <w:tc>
          <w:tcPr>
            <w:tcW w:w="1531" w:type="dxa"/>
            <w:noWrap/>
            <w:hideMark/>
          </w:tcPr>
          <w:p w14:paraId="3EF3EBD2" w14:textId="77777777" w:rsidR="0007690F" w:rsidRPr="00D53A2B" w:rsidRDefault="0007690F" w:rsidP="00A202FD">
            <w:pPr>
              <w:widowControl w:val="0"/>
              <w:spacing w:after="240" w:line="276" w:lineRule="auto"/>
              <w:ind w:firstLine="1"/>
              <w:contextualSpacing/>
              <w:jc w:val="both"/>
            </w:pPr>
            <w:r w:rsidRPr="00D53A2B">
              <w:t>30 – 100</w:t>
            </w:r>
          </w:p>
        </w:tc>
        <w:tc>
          <w:tcPr>
            <w:tcW w:w="1993" w:type="dxa"/>
            <w:noWrap/>
            <w:hideMark/>
          </w:tcPr>
          <w:p w14:paraId="2EAABAB8"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3BF05A45" w14:textId="77777777" w:rsidTr="00BB30CB">
        <w:trPr>
          <w:trHeight w:val="320"/>
        </w:trPr>
        <w:tc>
          <w:tcPr>
            <w:tcW w:w="2157" w:type="dxa"/>
            <w:vMerge/>
            <w:noWrap/>
            <w:hideMark/>
          </w:tcPr>
          <w:p w14:paraId="6E72EEC9" w14:textId="77777777" w:rsidR="0007690F" w:rsidRPr="00D53A2B" w:rsidRDefault="0007690F" w:rsidP="00A202FD">
            <w:pPr>
              <w:widowControl w:val="0"/>
              <w:spacing w:after="240" w:line="276" w:lineRule="auto"/>
              <w:ind w:firstLine="1"/>
              <w:contextualSpacing/>
              <w:jc w:val="both"/>
            </w:pPr>
          </w:p>
        </w:tc>
        <w:tc>
          <w:tcPr>
            <w:tcW w:w="1182" w:type="dxa"/>
            <w:vMerge/>
            <w:noWrap/>
            <w:hideMark/>
          </w:tcPr>
          <w:p w14:paraId="4A3F9333" w14:textId="77777777" w:rsidR="0007690F" w:rsidRPr="00D53A2B" w:rsidRDefault="0007690F" w:rsidP="00A202FD">
            <w:pPr>
              <w:widowControl w:val="0"/>
              <w:spacing w:after="240" w:line="276" w:lineRule="auto"/>
              <w:ind w:firstLine="1"/>
              <w:contextualSpacing/>
              <w:jc w:val="both"/>
            </w:pPr>
          </w:p>
        </w:tc>
        <w:tc>
          <w:tcPr>
            <w:tcW w:w="2242" w:type="dxa"/>
            <w:noWrap/>
            <w:hideMark/>
          </w:tcPr>
          <w:p w14:paraId="03FEE0E0" w14:textId="77777777" w:rsidR="0007690F" w:rsidRPr="00D53A2B" w:rsidRDefault="0007690F" w:rsidP="00A202FD">
            <w:pPr>
              <w:widowControl w:val="0"/>
              <w:spacing w:after="240" w:line="276" w:lineRule="auto"/>
              <w:ind w:firstLine="1"/>
              <w:contextualSpacing/>
              <w:jc w:val="both"/>
            </w:pPr>
            <w:r w:rsidRPr="00D53A2B">
              <w:t>Döner fırınlar</w:t>
            </w:r>
          </w:p>
        </w:tc>
        <w:tc>
          <w:tcPr>
            <w:tcW w:w="1531" w:type="dxa"/>
            <w:noWrap/>
            <w:hideMark/>
          </w:tcPr>
          <w:p w14:paraId="6405A094" w14:textId="77777777" w:rsidR="0007690F" w:rsidRPr="00D53A2B" w:rsidRDefault="0007690F" w:rsidP="00A202FD">
            <w:pPr>
              <w:widowControl w:val="0"/>
              <w:spacing w:after="240" w:line="276" w:lineRule="auto"/>
              <w:ind w:firstLine="1"/>
              <w:contextualSpacing/>
              <w:jc w:val="both"/>
            </w:pPr>
            <w:r w:rsidRPr="00D53A2B">
              <w:t>10 – 50</w:t>
            </w:r>
          </w:p>
        </w:tc>
        <w:tc>
          <w:tcPr>
            <w:tcW w:w="1993" w:type="dxa"/>
            <w:noWrap/>
            <w:hideMark/>
          </w:tcPr>
          <w:p w14:paraId="46EE383D"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61CA371F" w14:textId="77777777" w:rsidTr="00BB30CB">
        <w:trPr>
          <w:trHeight w:val="320"/>
        </w:trPr>
        <w:tc>
          <w:tcPr>
            <w:tcW w:w="2157" w:type="dxa"/>
            <w:vMerge/>
            <w:noWrap/>
            <w:hideMark/>
          </w:tcPr>
          <w:p w14:paraId="0EC3E84E" w14:textId="77777777" w:rsidR="0007690F" w:rsidRPr="00D53A2B" w:rsidRDefault="0007690F" w:rsidP="00A202FD">
            <w:pPr>
              <w:widowControl w:val="0"/>
              <w:spacing w:after="240" w:line="276" w:lineRule="auto"/>
              <w:ind w:firstLine="1"/>
              <w:contextualSpacing/>
              <w:jc w:val="both"/>
            </w:pPr>
          </w:p>
        </w:tc>
        <w:tc>
          <w:tcPr>
            <w:tcW w:w="1182" w:type="dxa"/>
            <w:vMerge/>
            <w:noWrap/>
            <w:hideMark/>
          </w:tcPr>
          <w:p w14:paraId="0CB3A6A5" w14:textId="77777777" w:rsidR="0007690F" w:rsidRPr="00D53A2B" w:rsidRDefault="0007690F" w:rsidP="00A202FD">
            <w:pPr>
              <w:widowControl w:val="0"/>
              <w:spacing w:after="240" w:line="276" w:lineRule="auto"/>
              <w:ind w:firstLine="1"/>
              <w:contextualSpacing/>
              <w:jc w:val="both"/>
            </w:pPr>
          </w:p>
        </w:tc>
        <w:tc>
          <w:tcPr>
            <w:tcW w:w="2242" w:type="dxa"/>
            <w:noWrap/>
            <w:hideMark/>
          </w:tcPr>
          <w:p w14:paraId="630CC528" w14:textId="77777777" w:rsidR="0007690F" w:rsidRPr="00D53A2B" w:rsidRDefault="0007690F" w:rsidP="00A202FD">
            <w:pPr>
              <w:widowControl w:val="0"/>
              <w:spacing w:after="240" w:line="276" w:lineRule="auto"/>
              <w:ind w:firstLine="1"/>
              <w:contextualSpacing/>
              <w:jc w:val="both"/>
            </w:pPr>
            <w:r w:rsidRPr="00D53A2B">
              <w:t>CBC</w:t>
            </w:r>
          </w:p>
        </w:tc>
        <w:tc>
          <w:tcPr>
            <w:tcW w:w="1531" w:type="dxa"/>
            <w:noWrap/>
            <w:hideMark/>
          </w:tcPr>
          <w:p w14:paraId="7BF478BA" w14:textId="77777777" w:rsidR="0007690F" w:rsidRPr="00D53A2B" w:rsidRDefault="0007690F" w:rsidP="00A202FD">
            <w:pPr>
              <w:widowControl w:val="0"/>
              <w:spacing w:after="240" w:line="276" w:lineRule="auto"/>
              <w:ind w:firstLine="1"/>
              <w:contextualSpacing/>
              <w:jc w:val="both"/>
            </w:pPr>
            <w:r w:rsidRPr="00D53A2B">
              <w:t>50 – 150</w:t>
            </w:r>
          </w:p>
        </w:tc>
        <w:tc>
          <w:tcPr>
            <w:tcW w:w="1993" w:type="dxa"/>
            <w:noWrap/>
            <w:hideMark/>
          </w:tcPr>
          <w:p w14:paraId="6CC878AB"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048F38CA" w14:textId="77777777" w:rsidTr="00BB30CB">
        <w:trPr>
          <w:trHeight w:val="320"/>
        </w:trPr>
        <w:tc>
          <w:tcPr>
            <w:tcW w:w="2157" w:type="dxa"/>
            <w:noWrap/>
            <w:hideMark/>
          </w:tcPr>
          <w:p w14:paraId="25B19BF8" w14:textId="77777777" w:rsidR="0007690F" w:rsidRPr="00D53A2B" w:rsidRDefault="0007690F" w:rsidP="00A202FD">
            <w:pPr>
              <w:widowControl w:val="0"/>
              <w:spacing w:after="240" w:line="276" w:lineRule="auto"/>
              <w:ind w:firstLine="1"/>
              <w:contextualSpacing/>
              <w:jc w:val="both"/>
              <w:rPr>
                <w:b/>
                <w:bCs/>
              </w:rPr>
            </w:pPr>
            <w:r w:rsidRPr="00D53A2B">
              <w:rPr>
                <w:b/>
                <w:bCs/>
              </w:rPr>
              <w:t>TVOC</w:t>
            </w:r>
          </w:p>
        </w:tc>
        <w:tc>
          <w:tcPr>
            <w:tcW w:w="1182" w:type="dxa"/>
            <w:noWrap/>
            <w:hideMark/>
          </w:tcPr>
          <w:p w14:paraId="29B94EAA" w14:textId="77777777" w:rsidR="0007690F" w:rsidRPr="00D53A2B" w:rsidRDefault="0007690F" w:rsidP="00A202FD">
            <w:pPr>
              <w:widowControl w:val="0"/>
              <w:spacing w:after="240" w:line="276" w:lineRule="auto"/>
              <w:ind w:firstLine="1"/>
              <w:contextualSpacing/>
              <w:jc w:val="both"/>
            </w:pPr>
            <w:r w:rsidRPr="00D53A2B">
              <w:t>mg C/Nm³</w:t>
            </w:r>
          </w:p>
        </w:tc>
        <w:tc>
          <w:tcPr>
            <w:tcW w:w="2242" w:type="dxa"/>
            <w:noWrap/>
            <w:hideMark/>
          </w:tcPr>
          <w:p w14:paraId="450B93DE" w14:textId="77777777" w:rsidR="0007690F" w:rsidRPr="00D53A2B" w:rsidRDefault="0007690F" w:rsidP="00A202FD">
            <w:pPr>
              <w:widowControl w:val="0"/>
              <w:spacing w:after="240" w:line="276" w:lineRule="auto"/>
              <w:ind w:firstLine="1"/>
              <w:contextualSpacing/>
              <w:jc w:val="both"/>
            </w:pPr>
            <w:r w:rsidRPr="00D53A2B">
              <w:t>Tüm fırın tipleri</w:t>
            </w:r>
          </w:p>
        </w:tc>
        <w:tc>
          <w:tcPr>
            <w:tcW w:w="1531" w:type="dxa"/>
            <w:noWrap/>
            <w:hideMark/>
          </w:tcPr>
          <w:p w14:paraId="683489C2" w14:textId="77777777" w:rsidR="0007690F" w:rsidRPr="00D53A2B" w:rsidRDefault="0007690F" w:rsidP="00A202FD">
            <w:pPr>
              <w:widowControl w:val="0"/>
              <w:spacing w:after="240" w:line="276" w:lineRule="auto"/>
              <w:ind w:firstLine="1"/>
              <w:contextualSpacing/>
              <w:jc w:val="both"/>
            </w:pPr>
            <w:r w:rsidRPr="00D53A2B">
              <w:t>5 – 30</w:t>
            </w:r>
          </w:p>
        </w:tc>
        <w:tc>
          <w:tcPr>
            <w:tcW w:w="1993" w:type="dxa"/>
            <w:noWrap/>
            <w:hideMark/>
          </w:tcPr>
          <w:p w14:paraId="4295B6B6"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07690F" w:rsidRPr="00D53A2B" w14:paraId="2E21A447" w14:textId="77777777" w:rsidTr="00BB30CB">
        <w:trPr>
          <w:trHeight w:val="320"/>
        </w:trPr>
        <w:tc>
          <w:tcPr>
            <w:tcW w:w="2157" w:type="dxa"/>
            <w:noWrap/>
            <w:hideMark/>
          </w:tcPr>
          <w:p w14:paraId="05825A9A" w14:textId="77777777" w:rsidR="0007690F" w:rsidRPr="00D53A2B" w:rsidRDefault="0007690F" w:rsidP="00A202FD">
            <w:pPr>
              <w:widowControl w:val="0"/>
              <w:spacing w:after="240" w:line="276" w:lineRule="auto"/>
              <w:ind w:firstLine="1"/>
              <w:contextualSpacing/>
              <w:jc w:val="both"/>
              <w:rPr>
                <w:b/>
                <w:bCs/>
              </w:rPr>
            </w:pPr>
            <w:r w:rsidRPr="00D53A2B">
              <w:rPr>
                <w:b/>
                <w:bCs/>
              </w:rPr>
              <w:t>Pb (Kurşun)</w:t>
            </w:r>
          </w:p>
        </w:tc>
        <w:tc>
          <w:tcPr>
            <w:tcW w:w="1182" w:type="dxa"/>
            <w:noWrap/>
            <w:hideMark/>
          </w:tcPr>
          <w:p w14:paraId="74DA88C7" w14:textId="77777777" w:rsidR="0007690F" w:rsidRPr="00D53A2B" w:rsidRDefault="0007690F" w:rsidP="00A202FD">
            <w:pPr>
              <w:widowControl w:val="0"/>
              <w:spacing w:after="240" w:line="276" w:lineRule="auto"/>
              <w:ind w:firstLine="1"/>
              <w:contextualSpacing/>
              <w:jc w:val="both"/>
            </w:pPr>
            <w:r w:rsidRPr="00D53A2B">
              <w:t>mg/Nm³</w:t>
            </w:r>
          </w:p>
        </w:tc>
        <w:tc>
          <w:tcPr>
            <w:tcW w:w="2242" w:type="dxa"/>
            <w:noWrap/>
            <w:hideMark/>
          </w:tcPr>
          <w:p w14:paraId="7EBE3B64" w14:textId="77777777" w:rsidR="0007690F" w:rsidRPr="00D53A2B" w:rsidRDefault="0007690F" w:rsidP="00A202FD">
            <w:pPr>
              <w:widowControl w:val="0"/>
              <w:spacing w:after="240" w:line="276" w:lineRule="auto"/>
              <w:ind w:firstLine="1"/>
              <w:contextualSpacing/>
              <w:jc w:val="both"/>
            </w:pPr>
            <w:r w:rsidRPr="00D53A2B">
              <w:t>CBC, HBC</w:t>
            </w:r>
          </w:p>
        </w:tc>
        <w:tc>
          <w:tcPr>
            <w:tcW w:w="1531" w:type="dxa"/>
            <w:noWrap/>
            <w:hideMark/>
          </w:tcPr>
          <w:p w14:paraId="62F96A54" w14:textId="55AF8996" w:rsidR="0007690F" w:rsidRPr="00D53A2B" w:rsidRDefault="0007690F" w:rsidP="00A202FD">
            <w:pPr>
              <w:widowControl w:val="0"/>
              <w:spacing w:after="240" w:line="276" w:lineRule="auto"/>
              <w:ind w:firstLine="1"/>
              <w:contextualSpacing/>
              <w:jc w:val="both"/>
            </w:pPr>
            <w:r w:rsidRPr="00D53A2B">
              <w:t>0,02 – 0,1</w:t>
            </w:r>
            <w:r w:rsidR="00E43E3B" w:rsidRPr="00D53A2B">
              <w:t>(3)</w:t>
            </w:r>
            <w:r w:rsidRPr="00D53A2B">
              <w:t xml:space="preserve"> </w:t>
            </w:r>
          </w:p>
        </w:tc>
        <w:tc>
          <w:tcPr>
            <w:tcW w:w="1993" w:type="dxa"/>
            <w:noWrap/>
            <w:hideMark/>
          </w:tcPr>
          <w:p w14:paraId="1571143A" w14:textId="77777777" w:rsidR="0007690F" w:rsidRPr="00D53A2B" w:rsidRDefault="0007690F" w:rsidP="00A202FD">
            <w:pPr>
              <w:widowControl w:val="0"/>
              <w:spacing w:after="240" w:line="276" w:lineRule="auto"/>
              <w:ind w:firstLine="1"/>
              <w:contextualSpacing/>
              <w:jc w:val="both"/>
            </w:pPr>
            <w:r w:rsidRPr="00D53A2B">
              <w:t>Gösterge emisyon seviyesi yok</w:t>
            </w:r>
          </w:p>
        </w:tc>
      </w:tr>
      <w:tr w:rsidR="00791B07" w:rsidRPr="00D53A2B" w14:paraId="484A4ECE" w14:textId="77777777" w:rsidTr="00A202FD">
        <w:trPr>
          <w:trHeight w:val="320"/>
        </w:trPr>
        <w:tc>
          <w:tcPr>
            <w:tcW w:w="9105" w:type="dxa"/>
            <w:gridSpan w:val="5"/>
            <w:noWrap/>
          </w:tcPr>
          <w:p w14:paraId="42C6AC92" w14:textId="77777777" w:rsidR="00791B07" w:rsidRPr="009077F5" w:rsidRDefault="00791B07" w:rsidP="00A202FD">
            <w:pPr>
              <w:widowControl w:val="0"/>
              <w:spacing w:after="240" w:line="276" w:lineRule="auto"/>
              <w:ind w:firstLine="1"/>
              <w:contextualSpacing/>
              <w:jc w:val="both"/>
              <w:rPr>
                <w:sz w:val="20"/>
                <w:szCs w:val="20"/>
              </w:rPr>
            </w:pPr>
            <w:r w:rsidRPr="009077F5">
              <w:rPr>
                <w:sz w:val="20"/>
                <w:szCs w:val="20"/>
              </w:rPr>
              <w:t xml:space="preserve">(1) Islak fırçalama kullanan mevcut HBC tesisleri için, MET-İES aralığının üst ucu daha yüksek olabilir ve bir sonraki değerlendirmeye kadar 12 mg/Nm3'e kadar çıkabilir. </w:t>
            </w:r>
          </w:p>
          <w:p w14:paraId="5AD7281E" w14:textId="77777777" w:rsidR="00791B07" w:rsidRPr="009077F5" w:rsidRDefault="00791B07" w:rsidP="00A202FD">
            <w:pPr>
              <w:widowControl w:val="0"/>
              <w:spacing w:after="240" w:line="276" w:lineRule="auto"/>
              <w:ind w:firstLine="1"/>
              <w:contextualSpacing/>
              <w:jc w:val="both"/>
              <w:rPr>
                <w:sz w:val="20"/>
                <w:szCs w:val="20"/>
              </w:rPr>
            </w:pPr>
            <w:r w:rsidRPr="009077F5">
              <w:rPr>
                <w:sz w:val="20"/>
                <w:szCs w:val="20"/>
              </w:rPr>
              <w:t>kubbenin büyük ölçüde yükseltilmesi.</w:t>
            </w:r>
          </w:p>
          <w:p w14:paraId="0B2AE0E4" w14:textId="77777777" w:rsidR="00791B07" w:rsidRPr="009077F5" w:rsidRDefault="00791B07" w:rsidP="00A202FD">
            <w:pPr>
              <w:widowControl w:val="0"/>
              <w:spacing w:after="240" w:line="276" w:lineRule="auto"/>
              <w:ind w:firstLine="1"/>
              <w:contextualSpacing/>
              <w:jc w:val="both"/>
              <w:rPr>
                <w:sz w:val="20"/>
                <w:szCs w:val="20"/>
              </w:rPr>
            </w:pPr>
            <w:r w:rsidRPr="009077F5">
              <w:rPr>
                <w:sz w:val="20"/>
                <w:szCs w:val="20"/>
              </w:rPr>
              <w:t xml:space="preserve"> (2 MET-İES aralığının alt ucu kuru kireç enjeksiyonu kullanılarak elde edilebilir.</w:t>
            </w:r>
          </w:p>
          <w:p w14:paraId="07024414" w14:textId="77777777" w:rsidR="00791B07" w:rsidRPr="009077F5" w:rsidRDefault="00791B07" w:rsidP="00A202FD">
            <w:pPr>
              <w:widowControl w:val="0"/>
              <w:spacing w:after="240" w:line="276" w:lineRule="auto"/>
              <w:ind w:firstLine="1"/>
              <w:contextualSpacing/>
              <w:jc w:val="both"/>
              <w:rPr>
                <w:sz w:val="20"/>
                <w:szCs w:val="20"/>
              </w:rPr>
            </w:pPr>
            <w:r w:rsidRPr="009077F5">
              <w:rPr>
                <w:sz w:val="20"/>
                <w:szCs w:val="20"/>
              </w:rPr>
              <w:t xml:space="preserve"> (3 MET-İES yalnızca ilgili madde/parametrenin atık gaz akışında aşağıdakilere dayalı olarak ilgili olduğu belirlendiğinde geçerlidir </w:t>
            </w:r>
          </w:p>
          <w:p w14:paraId="2DAFB1F2" w14:textId="1E769530" w:rsidR="00791B07" w:rsidRPr="00D53A2B" w:rsidRDefault="00791B07" w:rsidP="00A202FD">
            <w:pPr>
              <w:widowControl w:val="0"/>
              <w:spacing w:after="240" w:line="276" w:lineRule="auto"/>
              <w:ind w:firstLine="1"/>
              <w:contextualSpacing/>
              <w:jc w:val="both"/>
            </w:pPr>
            <w:r w:rsidRPr="009077F5">
              <w:rPr>
                <w:sz w:val="20"/>
                <w:szCs w:val="20"/>
              </w:rPr>
              <w:t>MET 2'de belirtilen girdi ve çıktıların envanteri.</w:t>
            </w:r>
          </w:p>
        </w:tc>
      </w:tr>
    </w:tbl>
    <w:p w14:paraId="5677AB07" w14:textId="77777777" w:rsidR="0007690F" w:rsidRPr="00D53A2B" w:rsidRDefault="0007690F" w:rsidP="00A202FD">
      <w:pPr>
        <w:widowControl w:val="0"/>
        <w:spacing w:after="240" w:line="276" w:lineRule="auto"/>
        <w:ind w:firstLine="1"/>
        <w:contextualSpacing/>
        <w:jc w:val="both"/>
      </w:pPr>
      <w:r w:rsidRPr="00D53A2B">
        <w:t>İlgili izleme, MET 12'de verilmiştir.</w:t>
      </w:r>
    </w:p>
    <w:p w14:paraId="47E90AC7" w14:textId="77777777" w:rsidR="0007690F" w:rsidRPr="00D53A2B" w:rsidRDefault="0007690F" w:rsidP="00A202FD">
      <w:pPr>
        <w:pStyle w:val="Balk5"/>
        <w:rPr>
          <w:szCs w:val="24"/>
        </w:rPr>
      </w:pPr>
      <w:r w:rsidRPr="00D53A2B">
        <w:rPr>
          <w:szCs w:val="24"/>
        </w:rPr>
        <w:t>1.2.2.2.2. Sfero dökme demirin nodülerleştirilmesinden kaynaklanan hava emisyonları</w:t>
      </w:r>
    </w:p>
    <w:p w14:paraId="524F48F6" w14:textId="77777777" w:rsidR="0007690F" w:rsidRPr="00D53A2B" w:rsidRDefault="0007690F" w:rsidP="00A202FD">
      <w:pPr>
        <w:widowControl w:val="0"/>
        <w:spacing w:after="240" w:line="276" w:lineRule="auto"/>
        <w:ind w:firstLine="1"/>
        <w:contextualSpacing/>
        <w:jc w:val="both"/>
      </w:pPr>
      <w:r w:rsidRPr="00D53A2B">
        <w:rPr>
          <w:b/>
          <w:bCs/>
        </w:rPr>
        <w:t>MET 39.</w:t>
      </w:r>
      <w:r w:rsidRPr="00D53A2B">
        <w:t> Sfero dökme demirin nodülerleştirilmesinden kaynaklanan toz emisyonlarını önlemek veya azaltmak için, MET, aşağıda verilen tekniklerden (a) veya hem (b) hem de (c) tekniklerini kullanılır.</w:t>
      </w:r>
    </w:p>
    <w:p w14:paraId="46AEE8F2" w14:textId="77777777" w:rsidR="0007690F" w:rsidRPr="00D53A2B" w:rsidRDefault="0007690F" w:rsidP="00A202FD">
      <w:pPr>
        <w:widowControl w:val="0"/>
        <w:spacing w:after="240" w:line="276" w:lineRule="auto"/>
        <w:ind w:firstLine="1"/>
        <w:contextualSpacing/>
        <w:jc w:val="both"/>
      </w:pPr>
      <w:r w:rsidRPr="00D53A2B">
        <w:rPr>
          <w:b/>
          <w:bCs/>
        </w:rPr>
        <w:t>a.</w:t>
      </w:r>
      <w:r w:rsidRPr="00D53A2B">
        <w:t xml:space="preserve"> </w:t>
      </w:r>
      <w:r w:rsidRPr="00D53A2B">
        <w:rPr>
          <w:b/>
          <w:bCs/>
        </w:rPr>
        <w:t>Magnezyum oksit emisyonu olmadan nodülerleştirme</w:t>
      </w:r>
      <w:r w:rsidRPr="00D53A2B">
        <w:br/>
        <w:t>Magnezyum alaşımının tablet şeklinde kalıp boşluğuna doğrudan eklendiği, döküm sırasında nodülerleştirme reaksiyonunun gerçekleştiği "kalıp içi süreç" yönteminin kullanılması.</w:t>
      </w:r>
    </w:p>
    <w:p w14:paraId="3F2B751D" w14:textId="77777777" w:rsidR="0007690F" w:rsidRPr="00D53A2B" w:rsidRDefault="0007690F" w:rsidP="00A202FD">
      <w:pPr>
        <w:widowControl w:val="0"/>
        <w:spacing w:after="240" w:line="276" w:lineRule="auto"/>
        <w:ind w:firstLine="1"/>
        <w:contextualSpacing/>
        <w:jc w:val="both"/>
      </w:pPr>
      <w:r w:rsidRPr="00D53A2B">
        <w:rPr>
          <w:b/>
          <w:bCs/>
        </w:rPr>
        <w:t>b.</w:t>
      </w:r>
      <w:r w:rsidRPr="00D53A2B">
        <w:t xml:space="preserve"> </w:t>
      </w:r>
      <w:r w:rsidRPr="00D53A2B">
        <w:rPr>
          <w:b/>
          <w:bCs/>
        </w:rPr>
        <w:t>Emisyon kaynağına mümkün olduğunca yakın bir noktada baca gazı çıkarımı</w:t>
      </w:r>
      <w:r w:rsidRPr="00D53A2B">
        <w:br/>
        <w:t>Kullanılan nodülerleştirme tekniği (ör. sandaviç panel, ductilator) magnezyum oksit emisyonları oluşturduğunda, sabit veya hareketli bir çekme başlığı kullanılarak baca gazlarının emisyon kaynağına mümkün olduğunca yakın bir noktada çıkarılması.</w:t>
      </w:r>
    </w:p>
    <w:p w14:paraId="0138B447" w14:textId="77777777" w:rsidR="0007690F" w:rsidRPr="00D53A2B" w:rsidRDefault="0007690F" w:rsidP="00A202FD">
      <w:pPr>
        <w:widowControl w:val="0"/>
        <w:spacing w:after="240" w:line="276" w:lineRule="auto"/>
        <w:ind w:firstLine="1"/>
        <w:contextualSpacing/>
        <w:jc w:val="both"/>
      </w:pPr>
      <w:r w:rsidRPr="00D53A2B">
        <w:rPr>
          <w:b/>
          <w:bCs/>
        </w:rPr>
        <w:t>c.Torba filtre</w:t>
      </w:r>
      <w:r w:rsidRPr="00D53A2B">
        <w:br/>
        <w:t>Bkz. Bölüm 1.4.3. Toplanan magnezyum oksit, pigment veya refrakter malzeme üretiminde yeniden kullanılabilir.</w:t>
      </w:r>
    </w:p>
    <w:p w14:paraId="7768B9FE" w14:textId="3053373F" w:rsidR="0007690F" w:rsidRPr="00D53A2B" w:rsidRDefault="0007690F" w:rsidP="00A202FD">
      <w:pPr>
        <w:widowControl w:val="0"/>
        <w:spacing w:after="240" w:line="276" w:lineRule="auto"/>
        <w:ind w:firstLine="1"/>
        <w:contextualSpacing/>
        <w:jc w:val="both"/>
      </w:pPr>
      <w:r w:rsidRPr="00D53A2B">
        <w:rPr>
          <w:b/>
          <w:bCs/>
        </w:rPr>
        <w:t>Küresel dökme demirin nodülerleştirilmesinden kaynaklanan hava kanallı toz emisyonları için MET ile ilişkili emisyon seviyeleri (</w:t>
      </w:r>
      <w:r w:rsidR="00831B53" w:rsidRPr="00D53A2B">
        <w:rPr>
          <w:b/>
          <w:bCs/>
        </w:rPr>
        <w:t>MET-İES</w:t>
      </w:r>
      <w:r w:rsidRPr="00D53A2B">
        <w:rPr>
          <w:b/>
          <w:bCs/>
        </w:rPr>
        <w:t>)</w:t>
      </w:r>
    </w:p>
    <w:tbl>
      <w:tblPr>
        <w:tblStyle w:val="EIPPCBTable"/>
        <w:tblW w:w="0" w:type="auto"/>
        <w:tblLook w:val="04A0" w:firstRow="1" w:lastRow="0" w:firstColumn="1" w:lastColumn="0" w:noHBand="0" w:noVBand="1"/>
      </w:tblPr>
      <w:tblGrid>
        <w:gridCol w:w="1190"/>
        <w:gridCol w:w="1023"/>
        <w:gridCol w:w="6847"/>
      </w:tblGrid>
      <w:tr w:rsidR="0007690F" w:rsidRPr="00D53A2B" w14:paraId="1741C4D0" w14:textId="77777777" w:rsidTr="009843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B439F1" w14:textId="77777777" w:rsidR="0007690F" w:rsidRPr="00D53A2B" w:rsidRDefault="0007690F" w:rsidP="00A202FD">
            <w:pPr>
              <w:widowControl w:val="0"/>
              <w:spacing w:after="240" w:line="276" w:lineRule="auto"/>
              <w:ind w:firstLine="1"/>
              <w:contextualSpacing/>
              <w:jc w:val="both"/>
              <w:rPr>
                <w:b w:val="0"/>
                <w:bCs/>
              </w:rPr>
            </w:pPr>
            <w:r w:rsidRPr="00D53A2B">
              <w:rPr>
                <w:b w:val="0"/>
                <w:bCs/>
              </w:rPr>
              <w:t>Parametre</w:t>
            </w:r>
          </w:p>
        </w:tc>
        <w:tc>
          <w:tcPr>
            <w:tcW w:w="0" w:type="auto"/>
            <w:hideMark/>
          </w:tcPr>
          <w:p w14:paraId="281F8A86" w14:textId="77777777" w:rsidR="0007690F" w:rsidRPr="00D53A2B" w:rsidRDefault="0007690F"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 w:val="0"/>
                <w:bCs/>
              </w:rPr>
              <w:t>Birim</w:t>
            </w:r>
          </w:p>
        </w:tc>
        <w:tc>
          <w:tcPr>
            <w:tcW w:w="0" w:type="auto"/>
            <w:hideMark/>
          </w:tcPr>
          <w:p w14:paraId="5D120474" w14:textId="5880E20C" w:rsidR="0007690F" w:rsidRPr="00D53A2B" w:rsidRDefault="00831B53"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 w:val="0"/>
                <w:bCs/>
              </w:rPr>
              <w:t>MET-İES</w:t>
            </w:r>
            <w:r w:rsidR="0007690F" w:rsidRPr="00D53A2B">
              <w:rPr>
                <w:b w:val="0"/>
                <w:bCs/>
              </w:rPr>
              <w:t xml:space="preserve"> </w:t>
            </w:r>
            <w:r w:rsidR="0007690F" w:rsidRPr="00D53A2B">
              <w:rPr>
                <w:b w:val="0"/>
                <w:bCs/>
                <w:i/>
                <w:iCs/>
              </w:rPr>
              <w:t>(Günlük ortalama veya örnekleme dönemi boyunca ortalama)</w:t>
            </w:r>
          </w:p>
        </w:tc>
      </w:tr>
      <w:tr w:rsidR="0007690F" w:rsidRPr="00D53A2B" w14:paraId="424CD832" w14:textId="77777777" w:rsidTr="00984365">
        <w:tc>
          <w:tcPr>
            <w:cnfStyle w:val="001000000000" w:firstRow="0" w:lastRow="0" w:firstColumn="1" w:lastColumn="0" w:oddVBand="0" w:evenVBand="0" w:oddHBand="0" w:evenHBand="0" w:firstRowFirstColumn="0" w:firstRowLastColumn="0" w:lastRowFirstColumn="0" w:lastRowLastColumn="0"/>
            <w:tcW w:w="0" w:type="auto"/>
            <w:hideMark/>
          </w:tcPr>
          <w:p w14:paraId="51281DE7" w14:textId="77777777" w:rsidR="0007690F" w:rsidRPr="00D53A2B" w:rsidRDefault="0007690F" w:rsidP="00A202FD">
            <w:pPr>
              <w:widowControl w:val="0"/>
              <w:spacing w:after="240" w:line="276" w:lineRule="auto"/>
              <w:ind w:firstLine="1"/>
              <w:contextualSpacing/>
              <w:jc w:val="both"/>
            </w:pPr>
            <w:r w:rsidRPr="00D53A2B">
              <w:rPr>
                <w:b w:val="0"/>
                <w:bCs/>
              </w:rPr>
              <w:t>Toz</w:t>
            </w:r>
          </w:p>
        </w:tc>
        <w:tc>
          <w:tcPr>
            <w:tcW w:w="0" w:type="auto"/>
            <w:hideMark/>
          </w:tcPr>
          <w:p w14:paraId="0B10058E"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mg/Nm³</w:t>
            </w:r>
          </w:p>
        </w:tc>
        <w:tc>
          <w:tcPr>
            <w:tcW w:w="0" w:type="auto"/>
            <w:hideMark/>
          </w:tcPr>
          <w:p w14:paraId="00B1DBE0"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pPr>
            <w:r w:rsidRPr="00D53A2B">
              <w:t>1 – 5</w:t>
            </w:r>
          </w:p>
        </w:tc>
      </w:tr>
    </w:tbl>
    <w:p w14:paraId="190EDC5F" w14:textId="77777777" w:rsidR="0007690F" w:rsidRPr="00D53A2B" w:rsidRDefault="0007690F" w:rsidP="00A202FD">
      <w:pPr>
        <w:widowControl w:val="0"/>
        <w:spacing w:after="240" w:line="276" w:lineRule="auto"/>
        <w:ind w:firstLine="1"/>
        <w:contextualSpacing/>
        <w:jc w:val="both"/>
      </w:pPr>
      <w:r w:rsidRPr="00D53A2B">
        <w:rPr>
          <w:b/>
          <w:bCs/>
        </w:rPr>
        <w:t>İlgili izleme MET 12’de verilmiştir.</w:t>
      </w:r>
    </w:p>
    <w:p w14:paraId="6A28DE28" w14:textId="77777777" w:rsidR="0007690F" w:rsidRPr="00D53A2B" w:rsidRDefault="0007690F" w:rsidP="00A202FD">
      <w:pPr>
        <w:pStyle w:val="Balk3"/>
        <w:rPr>
          <w:rFonts w:cs="Times New Roman"/>
        </w:rPr>
      </w:pPr>
      <w:r w:rsidRPr="00D53A2B">
        <w:rPr>
          <w:rFonts w:cs="Times New Roman"/>
        </w:rPr>
        <w:t>1.2.3. Çelik Dökümhaneleri İçin MET Sonuçları</w:t>
      </w:r>
    </w:p>
    <w:p w14:paraId="3CDFA6D5" w14:textId="77777777" w:rsidR="0007690F" w:rsidRPr="00D53A2B" w:rsidRDefault="0007690F" w:rsidP="00A202FD">
      <w:pPr>
        <w:widowControl w:val="0"/>
        <w:spacing w:after="240" w:line="276" w:lineRule="auto"/>
        <w:ind w:firstLine="1"/>
        <w:contextualSpacing/>
        <w:jc w:val="both"/>
      </w:pPr>
      <w:r w:rsidRPr="00D53A2B">
        <w:t>Bu bölümdeki MET sonuçları, Bölüm 1.1 ve 1.2.1’de verilen genel MET sonuçlarına ek olarak uygulanır.</w:t>
      </w:r>
    </w:p>
    <w:p w14:paraId="6B100E58" w14:textId="77777777" w:rsidR="0007690F" w:rsidRPr="00D53A2B" w:rsidRDefault="0007690F" w:rsidP="00A202FD">
      <w:pPr>
        <w:pStyle w:val="Balk4"/>
        <w:rPr>
          <w:rFonts w:cs="Times New Roman"/>
        </w:rPr>
      </w:pPr>
      <w:r w:rsidRPr="00D53A2B">
        <w:rPr>
          <w:rFonts w:cs="Times New Roman"/>
        </w:rPr>
        <w:t>1.2.3.1. Termal Süreçlerden Kaynaklanan Hava Emisyonları</w:t>
      </w:r>
    </w:p>
    <w:p w14:paraId="6203456C" w14:textId="77777777" w:rsidR="0007690F" w:rsidRPr="00D53A2B" w:rsidRDefault="0007690F" w:rsidP="00A202FD">
      <w:pPr>
        <w:pStyle w:val="Balk5"/>
        <w:rPr>
          <w:szCs w:val="24"/>
        </w:rPr>
      </w:pPr>
      <w:r w:rsidRPr="00D53A2B">
        <w:rPr>
          <w:szCs w:val="24"/>
        </w:rPr>
        <w:t>1.2.3.1.1. Metal Eritmeden Kaynaklanan Hava Emisyonları</w:t>
      </w:r>
    </w:p>
    <w:p w14:paraId="328B1907" w14:textId="77777777" w:rsidR="0007690F" w:rsidRPr="00D53A2B" w:rsidRDefault="0007690F" w:rsidP="00A202FD">
      <w:pPr>
        <w:widowControl w:val="0"/>
        <w:spacing w:after="240" w:line="276" w:lineRule="auto"/>
        <w:ind w:firstLine="1"/>
        <w:contextualSpacing/>
        <w:jc w:val="both"/>
        <w:rPr>
          <w:b/>
          <w:bCs/>
        </w:rPr>
      </w:pPr>
      <w:r w:rsidRPr="00D53A2B">
        <w:rPr>
          <w:b/>
          <w:bCs/>
        </w:rPr>
        <w:t>MET 40. Metal eritmeden kaynaklanan hava emisyonlarını önlemek veya azaltmak için MET, aşağıda verilen iki tekniğin birden kullanılmasını önerir.</w:t>
      </w:r>
    </w:p>
    <w:p w14:paraId="1D4BDE63" w14:textId="77777777" w:rsidR="0007690F" w:rsidRPr="00D53A2B" w:rsidRDefault="0007690F" w:rsidP="00A202FD">
      <w:pPr>
        <w:widowControl w:val="0"/>
        <w:spacing w:after="240" w:line="276" w:lineRule="auto"/>
        <w:ind w:firstLine="1"/>
        <w:contextualSpacing/>
        <w:jc w:val="both"/>
        <w:rPr>
          <w:b/>
          <w:bCs/>
        </w:rPr>
      </w:pPr>
      <w:r w:rsidRPr="00D53A2B">
        <w:rPr>
          <w:b/>
          <w:bCs/>
        </w:rPr>
        <w:t>Emisyonların Toplanması</w:t>
      </w:r>
    </w:p>
    <w:p w14:paraId="029F4254" w14:textId="77777777" w:rsidR="0007690F" w:rsidRPr="00D53A2B" w:rsidRDefault="0007690F" w:rsidP="00A202FD">
      <w:pPr>
        <w:widowControl w:val="0"/>
        <w:spacing w:after="240" w:line="276" w:lineRule="auto"/>
        <w:ind w:firstLine="1"/>
        <w:contextualSpacing/>
        <w:jc w:val="both"/>
        <w:rPr>
          <w:b/>
          <w:bCs/>
        </w:rPr>
      </w:pPr>
      <w:r w:rsidRPr="00D53A2B">
        <w:rPr>
          <w:b/>
          <w:bCs/>
        </w:rPr>
        <w:t>a.Emisyon kaynağına mümkün olduğunca yakın gazların toplanması</w:t>
      </w:r>
    </w:p>
    <w:p w14:paraId="32C03322" w14:textId="77777777" w:rsidR="0007690F" w:rsidRPr="00D53A2B" w:rsidRDefault="0007690F" w:rsidP="00602365">
      <w:pPr>
        <w:widowControl w:val="0"/>
        <w:numPr>
          <w:ilvl w:val="0"/>
          <w:numId w:val="258"/>
        </w:numPr>
        <w:spacing w:after="240" w:line="276" w:lineRule="auto"/>
        <w:contextualSpacing/>
        <w:jc w:val="both"/>
        <w:rPr>
          <w:b/>
          <w:bCs/>
        </w:rPr>
      </w:pPr>
      <w:r w:rsidRPr="00D53A2B">
        <w:rPr>
          <w:b/>
          <w:bCs/>
        </w:rPr>
        <w:t>İndüksiyon fırınlarından çıkan gazlar, örneğin şu yöntemlerle toplanır:</w:t>
      </w:r>
    </w:p>
    <w:p w14:paraId="1276760D" w14:textId="77777777" w:rsidR="0007690F" w:rsidRPr="00D53A2B" w:rsidRDefault="0007690F" w:rsidP="00602365">
      <w:pPr>
        <w:widowControl w:val="0"/>
        <w:numPr>
          <w:ilvl w:val="1"/>
          <w:numId w:val="258"/>
        </w:numPr>
        <w:spacing w:after="240" w:line="276" w:lineRule="auto"/>
        <w:contextualSpacing/>
        <w:jc w:val="both"/>
        <w:rPr>
          <w:b/>
          <w:bCs/>
        </w:rPr>
      </w:pPr>
      <w:r w:rsidRPr="00D53A2B">
        <w:rPr>
          <w:b/>
          <w:bCs/>
        </w:rPr>
        <w:t>Kaput tipi toplama (ör. tavan tipi veya yan emişli kaputlar);</w:t>
      </w:r>
    </w:p>
    <w:p w14:paraId="659B7AE8" w14:textId="77777777" w:rsidR="0007690F" w:rsidRPr="00D53A2B" w:rsidRDefault="0007690F" w:rsidP="00602365">
      <w:pPr>
        <w:widowControl w:val="0"/>
        <w:numPr>
          <w:ilvl w:val="1"/>
          <w:numId w:val="258"/>
        </w:numPr>
        <w:spacing w:after="240" w:line="276" w:lineRule="auto"/>
        <w:contextualSpacing/>
        <w:jc w:val="both"/>
        <w:rPr>
          <w:b/>
          <w:bCs/>
        </w:rPr>
      </w:pPr>
      <w:r w:rsidRPr="00D53A2B">
        <w:rPr>
          <w:b/>
          <w:bCs/>
        </w:rPr>
        <w:t>Kenar toplama;</w:t>
      </w:r>
    </w:p>
    <w:p w14:paraId="18C6FA3D" w14:textId="77777777" w:rsidR="0007690F" w:rsidRPr="00D53A2B" w:rsidRDefault="0007690F" w:rsidP="00602365">
      <w:pPr>
        <w:widowControl w:val="0"/>
        <w:numPr>
          <w:ilvl w:val="1"/>
          <w:numId w:val="258"/>
        </w:numPr>
        <w:spacing w:after="240" w:line="276" w:lineRule="auto"/>
        <w:contextualSpacing/>
        <w:jc w:val="both"/>
        <w:rPr>
          <w:b/>
          <w:bCs/>
        </w:rPr>
      </w:pPr>
      <w:r w:rsidRPr="00D53A2B">
        <w:rPr>
          <w:b/>
          <w:bCs/>
        </w:rPr>
        <w:t>Kapak toplama.</w:t>
      </w:r>
    </w:p>
    <w:p w14:paraId="247AB57A" w14:textId="77777777" w:rsidR="0007690F" w:rsidRPr="00D53A2B" w:rsidRDefault="0007690F" w:rsidP="00602365">
      <w:pPr>
        <w:widowControl w:val="0"/>
        <w:numPr>
          <w:ilvl w:val="0"/>
          <w:numId w:val="258"/>
        </w:numPr>
        <w:spacing w:after="240" w:line="276" w:lineRule="auto"/>
        <w:contextualSpacing/>
        <w:jc w:val="both"/>
        <w:rPr>
          <w:b/>
          <w:bCs/>
        </w:rPr>
      </w:pPr>
      <w:r w:rsidRPr="00D53A2B">
        <w:rPr>
          <w:b/>
          <w:bCs/>
        </w:rPr>
        <w:t>EAF (Elektrik Ark Fırınları) için gazların toplanması, örneğin şu yöntemlerle yapılır:</w:t>
      </w:r>
    </w:p>
    <w:p w14:paraId="1290CF75" w14:textId="77777777" w:rsidR="0007690F" w:rsidRPr="00D53A2B" w:rsidRDefault="0007690F" w:rsidP="00602365">
      <w:pPr>
        <w:widowControl w:val="0"/>
        <w:numPr>
          <w:ilvl w:val="1"/>
          <w:numId w:val="258"/>
        </w:numPr>
        <w:spacing w:after="240" w:line="276" w:lineRule="auto"/>
        <w:contextualSpacing/>
        <w:jc w:val="both"/>
        <w:rPr>
          <w:b/>
          <w:bCs/>
        </w:rPr>
      </w:pPr>
      <w:r w:rsidRPr="00D53A2B">
        <w:rPr>
          <w:b/>
          <w:bCs/>
        </w:rPr>
        <w:t>Fırının ve döküm alanının etrafına monte edilmiş kısmi fırın muhafazaları (hareketli veya sabit);</w:t>
      </w:r>
    </w:p>
    <w:p w14:paraId="58736F94" w14:textId="77777777" w:rsidR="0007690F" w:rsidRPr="00D53A2B" w:rsidRDefault="0007690F" w:rsidP="00602365">
      <w:pPr>
        <w:widowControl w:val="0"/>
        <w:numPr>
          <w:ilvl w:val="1"/>
          <w:numId w:val="258"/>
        </w:numPr>
        <w:spacing w:after="240" w:line="276" w:lineRule="auto"/>
        <w:contextualSpacing/>
        <w:jc w:val="both"/>
        <w:rPr>
          <w:b/>
          <w:bCs/>
        </w:rPr>
      </w:pPr>
      <w:r w:rsidRPr="00D53A2B">
        <w:rPr>
          <w:b/>
          <w:bCs/>
        </w:rPr>
        <w:t>Fırının ve döküm alanının çevresini tamamen kaplayan tam fırın muhafazası, şarj/döküm işlemleri için hareketli bir çatı ile donatılmıştır;</w:t>
      </w:r>
    </w:p>
    <w:p w14:paraId="5F8C63D2" w14:textId="77777777" w:rsidR="0007690F" w:rsidRPr="00D53A2B" w:rsidRDefault="0007690F" w:rsidP="00602365">
      <w:pPr>
        <w:widowControl w:val="0"/>
        <w:numPr>
          <w:ilvl w:val="1"/>
          <w:numId w:val="258"/>
        </w:numPr>
        <w:spacing w:after="240" w:line="276" w:lineRule="auto"/>
        <w:contextualSpacing/>
        <w:jc w:val="both"/>
        <w:rPr>
          <w:b/>
          <w:bCs/>
        </w:rPr>
      </w:pPr>
      <w:r w:rsidRPr="00D53A2B">
        <w:rPr>
          <w:b/>
          <w:bCs/>
        </w:rPr>
        <w:t>Kaput tipi toplama (ör. tavan monteli, tavan tipi veya yan emişli kaputlar);</w:t>
      </w:r>
    </w:p>
    <w:p w14:paraId="27DE4E13" w14:textId="77777777" w:rsidR="0007690F" w:rsidRPr="00D53A2B" w:rsidRDefault="0007690F" w:rsidP="00602365">
      <w:pPr>
        <w:widowControl w:val="0"/>
        <w:numPr>
          <w:ilvl w:val="1"/>
          <w:numId w:val="258"/>
        </w:numPr>
        <w:spacing w:after="240" w:line="276" w:lineRule="auto"/>
        <w:contextualSpacing/>
        <w:jc w:val="both"/>
        <w:rPr>
          <w:b/>
          <w:bCs/>
        </w:rPr>
      </w:pPr>
      <w:r w:rsidRPr="00D53A2B">
        <w:rPr>
          <w:b/>
          <w:bCs/>
        </w:rPr>
        <w:t>Fırın tavanındaki dördüncü delik aracılığıyla doğrudan gaz toplama.</w:t>
      </w:r>
    </w:p>
    <w:p w14:paraId="16660021" w14:textId="77777777" w:rsidR="0007690F" w:rsidRPr="00D53A2B" w:rsidRDefault="0007690F" w:rsidP="00A202FD">
      <w:pPr>
        <w:widowControl w:val="0"/>
        <w:spacing w:after="240" w:line="276" w:lineRule="auto"/>
        <w:ind w:firstLine="1"/>
        <w:contextualSpacing/>
        <w:jc w:val="both"/>
      </w:pPr>
      <w:r w:rsidRPr="00D53A2B">
        <w:rPr>
          <w:b/>
          <w:bCs/>
        </w:rPr>
        <w:t>Çıkış Gazı Arıtımı</w:t>
      </w:r>
    </w:p>
    <w:p w14:paraId="621FA191" w14:textId="77777777" w:rsidR="0007690F" w:rsidRPr="00D53A2B" w:rsidRDefault="0007690F" w:rsidP="00A202FD">
      <w:pPr>
        <w:widowControl w:val="0"/>
        <w:spacing w:after="240" w:line="276" w:lineRule="auto"/>
        <w:ind w:firstLine="1"/>
        <w:contextualSpacing/>
        <w:jc w:val="both"/>
      </w:pPr>
      <w:r w:rsidRPr="00D53A2B">
        <w:rPr>
          <w:b/>
          <w:bCs/>
        </w:rPr>
        <w:t xml:space="preserve">b.Torbalı filtre </w:t>
      </w:r>
      <w:r w:rsidRPr="00D53A2B">
        <w:br/>
        <w:t>Bkz. Bölüm 1.4.3.</w:t>
      </w:r>
    </w:p>
    <w:p w14:paraId="72861EA0" w14:textId="4DD3A63D" w:rsidR="0007690F" w:rsidRPr="00D53A2B" w:rsidRDefault="0007690F" w:rsidP="00A202FD">
      <w:pPr>
        <w:widowControl w:val="0"/>
        <w:spacing w:after="240" w:line="276" w:lineRule="auto"/>
        <w:ind w:firstLine="1"/>
        <w:contextualSpacing/>
        <w:jc w:val="both"/>
      </w:pPr>
      <w:r w:rsidRPr="00D53A2B">
        <w:t>Hava emisyonlarına ilişkin MET ile uyumlu değerler (</w:t>
      </w:r>
      <w:r w:rsidR="00831B53" w:rsidRPr="00D53A2B">
        <w:t>MET-İES</w:t>
      </w:r>
      <w:r w:rsidRPr="00D53A2B">
        <w:t>) ve ilgili parametreler çevirisi için ek bilgi talep ediniz.</w:t>
      </w:r>
    </w:p>
    <w:p w14:paraId="548E8CA9" w14:textId="41A51567" w:rsidR="00AA3E4A" w:rsidRDefault="00AA3E4A" w:rsidP="00A202FD">
      <w:pPr>
        <w:widowControl w:val="0"/>
        <w:spacing w:after="240" w:line="276" w:lineRule="auto"/>
        <w:ind w:firstLine="1"/>
        <w:contextualSpacing/>
        <w:jc w:val="both"/>
      </w:pPr>
    </w:p>
    <w:p w14:paraId="7532F32C" w14:textId="3EA7C842" w:rsidR="001555CA" w:rsidRDefault="001555CA" w:rsidP="00A202FD">
      <w:pPr>
        <w:widowControl w:val="0"/>
        <w:spacing w:after="240" w:line="276" w:lineRule="auto"/>
        <w:ind w:firstLine="1"/>
        <w:contextualSpacing/>
        <w:jc w:val="both"/>
      </w:pPr>
    </w:p>
    <w:p w14:paraId="45BA6DC2" w14:textId="77777777" w:rsidR="001555CA" w:rsidRPr="00D53A2B" w:rsidRDefault="001555CA" w:rsidP="00A202FD">
      <w:pPr>
        <w:widowControl w:val="0"/>
        <w:spacing w:after="240" w:line="276" w:lineRule="auto"/>
        <w:ind w:firstLine="1"/>
        <w:contextualSpacing/>
        <w:jc w:val="both"/>
      </w:pPr>
    </w:p>
    <w:p w14:paraId="2D0D2E4B" w14:textId="1C1186E4" w:rsidR="001555CA" w:rsidRPr="00842E0A" w:rsidRDefault="001555CA" w:rsidP="001555CA">
      <w:pPr>
        <w:rPr>
          <w:b/>
          <w:bCs/>
        </w:rPr>
      </w:pPr>
      <w:r w:rsidRPr="001555CA">
        <w:rPr>
          <w:b/>
          <w:bCs/>
        </w:rPr>
        <w:t>Havaya kanalize edilen toz ve PCDD/F emisyonları için MET-ilişkili emisyon seviyeleri (MET-İES'ler)</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303"/>
        <w:gridCol w:w="1878"/>
        <w:gridCol w:w="5873"/>
      </w:tblGrid>
      <w:tr w:rsidR="001555CA" w:rsidRPr="00842E0A" w14:paraId="621EA390" w14:textId="77777777" w:rsidTr="001555CA">
        <w:trPr>
          <w:trHeight w:val="848"/>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B5B734" w14:textId="77777777" w:rsidR="001555CA" w:rsidRPr="00842E0A" w:rsidRDefault="001555CA" w:rsidP="00CC3DCB">
            <w:pPr>
              <w:spacing w:before="60" w:after="60" w:line="312" w:lineRule="atLeast"/>
              <w:ind w:right="195"/>
              <w:jc w:val="center"/>
              <w:rPr>
                <w:b/>
                <w:bCs/>
                <w:color w:val="333333"/>
              </w:rPr>
            </w:pPr>
            <w:r w:rsidRPr="00842E0A">
              <w:rPr>
                <w:b/>
                <w:bCs/>
                <w:color w:val="333333"/>
              </w:rPr>
              <w:t>Paramet</w:t>
            </w:r>
            <w:r>
              <w:rPr>
                <w:b/>
                <w:bCs/>
                <w:color w:val="333333"/>
              </w:rPr>
              <w:t>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423C6D" w14:textId="77777777" w:rsidR="001555CA" w:rsidRPr="00842E0A" w:rsidRDefault="001555CA" w:rsidP="00CC3DCB">
            <w:pPr>
              <w:spacing w:before="60" w:after="60" w:line="312" w:lineRule="atLeast"/>
              <w:ind w:right="195"/>
              <w:jc w:val="center"/>
              <w:rPr>
                <w:b/>
                <w:bCs/>
                <w:color w:val="333333"/>
              </w:rPr>
            </w:pPr>
            <w:r>
              <w:rPr>
                <w:b/>
                <w:bCs/>
                <w:color w:val="333333"/>
              </w:rPr>
              <w:t>Birim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150939" w14:textId="77777777" w:rsidR="001555CA" w:rsidRPr="00842E0A" w:rsidRDefault="001555CA" w:rsidP="00CC3DCB">
            <w:pPr>
              <w:spacing w:before="60" w:after="60" w:line="312" w:lineRule="atLeast"/>
              <w:ind w:right="195"/>
              <w:jc w:val="center"/>
              <w:rPr>
                <w:b/>
                <w:bCs/>
                <w:color w:val="333333"/>
              </w:rPr>
            </w:pPr>
            <w:r>
              <w:rPr>
                <w:b/>
                <w:bCs/>
                <w:color w:val="333333"/>
              </w:rPr>
              <w:t>MET</w:t>
            </w:r>
            <w:r w:rsidRPr="00842E0A">
              <w:rPr>
                <w:b/>
                <w:bCs/>
                <w:color w:val="333333"/>
              </w:rPr>
              <w:t>-</w:t>
            </w:r>
            <w:r>
              <w:rPr>
                <w:b/>
                <w:bCs/>
                <w:color w:val="333333"/>
              </w:rPr>
              <w:t>İES</w:t>
            </w:r>
          </w:p>
          <w:p w14:paraId="510FB1A3" w14:textId="77777777" w:rsidR="001555CA" w:rsidRPr="00842E0A" w:rsidRDefault="001555CA" w:rsidP="00CC3DCB">
            <w:pPr>
              <w:spacing w:before="60" w:after="60" w:line="312" w:lineRule="atLeast"/>
              <w:ind w:right="195"/>
              <w:jc w:val="center"/>
              <w:rPr>
                <w:b/>
                <w:bCs/>
                <w:color w:val="333333"/>
              </w:rPr>
            </w:pPr>
            <w:r w:rsidRPr="00842E0A">
              <w:rPr>
                <w:b/>
                <w:bCs/>
                <w:color w:val="333333"/>
              </w:rPr>
              <w:t>(Günlük ortalama veya örnekleme dönemi boyunca ortalama)</w:t>
            </w:r>
          </w:p>
        </w:tc>
      </w:tr>
      <w:tr w:rsidR="001555CA" w:rsidRPr="00842E0A" w14:paraId="3DAAF583" w14:textId="77777777" w:rsidTr="00CC3DC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75B3FD" w14:textId="77777777" w:rsidR="001555CA" w:rsidRPr="00842E0A" w:rsidRDefault="001555CA" w:rsidP="00CC3DCB">
            <w:pPr>
              <w:spacing w:before="60" w:after="60" w:line="312" w:lineRule="atLeast"/>
              <w:rPr>
                <w:color w:val="333333"/>
              </w:rPr>
            </w:pPr>
            <w:r>
              <w:rPr>
                <w:color w:val="333333"/>
              </w:rPr>
              <w:t>Toz</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86C13B" w14:textId="77777777" w:rsidR="001555CA" w:rsidRPr="00842E0A" w:rsidRDefault="001555CA" w:rsidP="00CC3DCB">
            <w:pPr>
              <w:spacing w:before="60" w:after="60" w:line="312" w:lineRule="atLeast"/>
              <w:rPr>
                <w:color w:val="333333"/>
              </w:rPr>
            </w:pPr>
            <w:r w:rsidRPr="00842E0A">
              <w:rPr>
                <w:color w:val="333333"/>
              </w:rPr>
              <w:t>mg/Nm</w:t>
            </w:r>
            <w:r w:rsidRPr="00842E0A">
              <w:rPr>
                <w:color w:val="333333"/>
                <w:sz w:val="17"/>
                <w:szCs w:val="17"/>
                <w:vertAlign w:val="superscript"/>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AFE9D8" w14:textId="77777777" w:rsidR="001555CA" w:rsidRPr="00842E0A" w:rsidRDefault="001555CA" w:rsidP="00CC3DCB">
            <w:pPr>
              <w:spacing w:before="60" w:after="60" w:line="312" w:lineRule="atLeast"/>
              <w:ind w:right="195"/>
              <w:jc w:val="right"/>
              <w:rPr>
                <w:color w:val="333333"/>
              </w:rPr>
            </w:pPr>
            <w:r w:rsidRPr="00842E0A">
              <w:rPr>
                <w:color w:val="333333"/>
              </w:rPr>
              <w:t>1 – 5</w:t>
            </w:r>
          </w:p>
        </w:tc>
      </w:tr>
      <w:tr w:rsidR="001555CA" w:rsidRPr="00842E0A" w14:paraId="54C621C9" w14:textId="77777777" w:rsidTr="00CC3DC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9967BF" w14:textId="77777777" w:rsidR="001555CA" w:rsidRPr="00842E0A" w:rsidRDefault="001555CA" w:rsidP="00CC3DCB">
            <w:pPr>
              <w:spacing w:before="60" w:after="60" w:line="312" w:lineRule="atLeast"/>
              <w:rPr>
                <w:color w:val="333333"/>
              </w:rPr>
            </w:pPr>
            <w:r w:rsidRPr="00842E0A">
              <w:rPr>
                <w:color w:val="333333"/>
              </w:rPr>
              <w:t>PCDD/F</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2DFD54" w14:textId="77777777" w:rsidR="001555CA" w:rsidRPr="00842E0A" w:rsidRDefault="001555CA" w:rsidP="00CC3DCB">
            <w:pPr>
              <w:spacing w:before="60" w:after="60" w:line="312" w:lineRule="atLeast"/>
              <w:rPr>
                <w:color w:val="333333"/>
              </w:rPr>
            </w:pPr>
            <w:r w:rsidRPr="00842E0A">
              <w:rPr>
                <w:color w:val="333333"/>
              </w:rPr>
              <w:t>ng WHO-TEQ / Nm</w:t>
            </w:r>
            <w:r w:rsidRPr="00842E0A">
              <w:rPr>
                <w:color w:val="333333"/>
                <w:sz w:val="17"/>
                <w:szCs w:val="17"/>
                <w:vertAlign w:val="superscript"/>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5C4B6B" w14:textId="77777777" w:rsidR="001555CA" w:rsidRPr="00842E0A" w:rsidRDefault="001555CA" w:rsidP="00CC3DCB">
            <w:pPr>
              <w:spacing w:before="60" w:after="60" w:line="312" w:lineRule="atLeast"/>
              <w:ind w:right="195"/>
              <w:jc w:val="right"/>
              <w:rPr>
                <w:color w:val="333333"/>
              </w:rPr>
            </w:pPr>
            <w:r w:rsidRPr="00842E0A">
              <w:rPr>
                <w:color w:val="333333"/>
              </w:rPr>
              <w:t>&lt; 0,01 – 0,08 </w:t>
            </w:r>
            <w:hyperlink r:id="rId12" w:anchor="ntr61-L_202402974EN.000301-E0061" w:history="1">
              <w:r w:rsidRPr="00842E0A">
                <w:rPr>
                  <w:color w:val="337AB7"/>
                  <w:u w:val="single"/>
                </w:rPr>
                <w:t> (</w:t>
              </w:r>
              <w:r w:rsidRPr="00842E0A">
                <w:rPr>
                  <w:color w:val="337AB7"/>
                  <w:sz w:val="17"/>
                  <w:szCs w:val="17"/>
                  <w:vertAlign w:val="superscript"/>
                </w:rPr>
                <w:t>61</w:t>
              </w:r>
              <w:r w:rsidRPr="00842E0A">
                <w:rPr>
                  <w:color w:val="337AB7"/>
                  <w:u w:val="single"/>
                </w:rPr>
                <w:t>)</w:t>
              </w:r>
            </w:hyperlink>
          </w:p>
        </w:tc>
      </w:tr>
    </w:tbl>
    <w:p w14:paraId="500AF4A9" w14:textId="77777777" w:rsidR="001555CA" w:rsidRDefault="001555CA" w:rsidP="001555CA">
      <w:r w:rsidRPr="00842E0A">
        <w:rPr>
          <w:color w:val="333333"/>
          <w:sz w:val="27"/>
          <w:szCs w:val="27"/>
        </w:rPr>
        <w:t xml:space="preserve">İlgili izleme </w:t>
      </w:r>
      <w:r>
        <w:rPr>
          <w:color w:val="333333"/>
          <w:sz w:val="27"/>
          <w:szCs w:val="27"/>
        </w:rPr>
        <w:t>MET</w:t>
      </w:r>
      <w:r w:rsidRPr="00842E0A">
        <w:rPr>
          <w:color w:val="333333"/>
          <w:sz w:val="27"/>
          <w:szCs w:val="27"/>
        </w:rPr>
        <w:t xml:space="preserve"> 12'de verilmiştir.</w:t>
      </w:r>
    </w:p>
    <w:p w14:paraId="4F58CCAA" w14:textId="77777777" w:rsidR="001555CA" w:rsidRDefault="001555CA" w:rsidP="001555CA"/>
    <w:p w14:paraId="1E51CFFF" w14:textId="77777777" w:rsidR="0007690F" w:rsidRPr="00D53A2B" w:rsidRDefault="0007690F" w:rsidP="00A202FD">
      <w:pPr>
        <w:pStyle w:val="Balk5"/>
        <w:rPr>
          <w:szCs w:val="24"/>
        </w:rPr>
      </w:pPr>
      <w:r w:rsidRPr="00D53A2B">
        <w:rPr>
          <w:szCs w:val="24"/>
        </w:rPr>
        <w:t>1.2.3.1.2. Çelik rafinasyonundan kaynaklanan hava emisyonları</w:t>
      </w:r>
    </w:p>
    <w:p w14:paraId="43A52475" w14:textId="77777777" w:rsidR="0007690F" w:rsidRPr="00D53A2B" w:rsidRDefault="0007690F" w:rsidP="00A202FD">
      <w:pPr>
        <w:widowControl w:val="0"/>
        <w:spacing w:after="240" w:line="276" w:lineRule="auto"/>
        <w:ind w:firstLine="1"/>
        <w:contextualSpacing/>
        <w:jc w:val="both"/>
        <w:rPr>
          <w:b/>
          <w:bCs/>
        </w:rPr>
      </w:pPr>
      <w:r w:rsidRPr="00D53A2B">
        <w:rPr>
          <w:b/>
          <w:bCs/>
        </w:rPr>
        <w:t>MET 41. Çelik rafinasyonundan kaynaklanan hava emisyonlarını azaltmak için MET, aşağıda belirtilen iki tekniğin birden kullanılmasını önerir.</w:t>
      </w:r>
    </w:p>
    <w:p w14:paraId="31746689" w14:textId="77777777" w:rsidR="0007690F" w:rsidRPr="00D53A2B" w:rsidRDefault="0007690F" w:rsidP="00A202FD">
      <w:pPr>
        <w:widowControl w:val="0"/>
        <w:spacing w:after="240" w:line="276" w:lineRule="auto"/>
        <w:ind w:firstLine="1"/>
        <w:contextualSpacing/>
        <w:jc w:val="both"/>
        <w:rPr>
          <w:b/>
          <w:bCs/>
        </w:rPr>
      </w:pPr>
      <w:r w:rsidRPr="00D53A2B">
        <w:rPr>
          <w:b/>
          <w:bCs/>
        </w:rPr>
        <w:t>Emisyonların Toplanması</w:t>
      </w:r>
    </w:p>
    <w:p w14:paraId="598E5AED" w14:textId="77777777" w:rsidR="0007690F" w:rsidRPr="00D53A2B" w:rsidRDefault="0007690F" w:rsidP="00602365">
      <w:pPr>
        <w:widowControl w:val="0"/>
        <w:numPr>
          <w:ilvl w:val="0"/>
          <w:numId w:val="260"/>
        </w:numPr>
        <w:spacing w:after="240" w:line="276" w:lineRule="auto"/>
        <w:contextualSpacing/>
        <w:jc w:val="both"/>
        <w:rPr>
          <w:b/>
          <w:bCs/>
        </w:rPr>
      </w:pPr>
      <w:r w:rsidRPr="00D53A2B">
        <w:rPr>
          <w:b/>
          <w:bCs/>
        </w:rPr>
        <w:t>Emisyon kaynağına mümkün olduğunca yakın gazların toplanması</w:t>
      </w:r>
    </w:p>
    <w:p w14:paraId="4543290A" w14:textId="77777777" w:rsidR="0007690F" w:rsidRPr="00D53A2B" w:rsidRDefault="0007690F" w:rsidP="00602365">
      <w:pPr>
        <w:widowControl w:val="0"/>
        <w:numPr>
          <w:ilvl w:val="0"/>
          <w:numId w:val="259"/>
        </w:numPr>
        <w:spacing w:after="240" w:line="276" w:lineRule="auto"/>
        <w:contextualSpacing/>
        <w:jc w:val="both"/>
      </w:pPr>
      <w:r w:rsidRPr="00D53A2B">
        <w:t>Çelik rafinasyonu sırasında oluşan gazlar (ör. Argon Oksijen Karbon Giderme (AOD) veya Vakum Oksijen Karbon Giderme (VOD) konvertörlerinden çıkan gazlar), doğrudan toplama kaputu veya hızlandırıcı baca ile kombine edilmiş çatı tipi kaput kullanılarak toplanır.</w:t>
      </w:r>
    </w:p>
    <w:p w14:paraId="3C8A3089" w14:textId="77777777" w:rsidR="0007690F" w:rsidRPr="00D53A2B" w:rsidRDefault="0007690F" w:rsidP="00602365">
      <w:pPr>
        <w:widowControl w:val="0"/>
        <w:numPr>
          <w:ilvl w:val="0"/>
          <w:numId w:val="259"/>
        </w:numPr>
        <w:spacing w:after="240" w:line="276" w:lineRule="auto"/>
        <w:contextualSpacing/>
        <w:jc w:val="both"/>
      </w:pPr>
      <w:r w:rsidRPr="00D53A2B">
        <w:t>Toplanan gazlar, (b) tekniği kullanılarak arıtılır.</w:t>
      </w:r>
    </w:p>
    <w:p w14:paraId="1C74D1B0" w14:textId="77777777" w:rsidR="0007690F" w:rsidRPr="00D53A2B" w:rsidRDefault="0007690F" w:rsidP="00A202FD">
      <w:pPr>
        <w:widowControl w:val="0"/>
        <w:spacing w:after="240" w:line="276" w:lineRule="auto"/>
        <w:ind w:firstLine="1"/>
        <w:contextualSpacing/>
        <w:jc w:val="both"/>
        <w:rPr>
          <w:b/>
          <w:bCs/>
        </w:rPr>
      </w:pPr>
      <w:r w:rsidRPr="00D53A2B">
        <w:rPr>
          <w:b/>
          <w:bCs/>
        </w:rPr>
        <w:t>Çıkış Gazı Arıtımı</w:t>
      </w:r>
    </w:p>
    <w:p w14:paraId="489CFF37" w14:textId="77777777" w:rsidR="0007690F" w:rsidRPr="00D53A2B" w:rsidRDefault="0007690F" w:rsidP="00A202FD">
      <w:pPr>
        <w:widowControl w:val="0"/>
        <w:spacing w:after="240" w:line="276" w:lineRule="auto"/>
        <w:ind w:firstLine="1"/>
        <w:contextualSpacing/>
        <w:jc w:val="both"/>
      </w:pPr>
      <w:r w:rsidRPr="00D53A2B">
        <w:rPr>
          <w:b/>
          <w:bCs/>
        </w:rPr>
        <w:t>b.</w:t>
      </w:r>
      <w:r w:rsidRPr="00D53A2B">
        <w:t xml:space="preserve"> </w:t>
      </w:r>
      <w:r w:rsidRPr="00D53A2B">
        <w:rPr>
          <w:b/>
          <w:bCs/>
        </w:rPr>
        <w:t xml:space="preserve">Torbalı filtre </w:t>
      </w:r>
      <w:r w:rsidRPr="00D53A2B">
        <w:br/>
        <w:t>Bkz. Bölüm 1.4.3.</w:t>
      </w:r>
    </w:p>
    <w:p w14:paraId="49F7B640" w14:textId="5D80BCEC" w:rsidR="0007690F" w:rsidRPr="00D53A2B" w:rsidRDefault="0007690F" w:rsidP="00A202FD">
      <w:pPr>
        <w:widowControl w:val="0"/>
        <w:spacing w:after="240" w:line="276" w:lineRule="auto"/>
        <w:ind w:firstLine="1"/>
        <w:contextualSpacing/>
        <w:jc w:val="both"/>
        <w:rPr>
          <w:b/>
          <w:bCs/>
        </w:rPr>
      </w:pPr>
      <w:r w:rsidRPr="00D53A2B">
        <w:rPr>
          <w:b/>
          <w:bCs/>
        </w:rPr>
        <w:t>Çelik Rafinasyonundan Kaynaklanan Hava Emisyonlarında Toz için MET'a Bağlı Emisyon Seviyesi (</w:t>
      </w:r>
      <w:r w:rsidR="00831B53" w:rsidRPr="00D53A2B">
        <w:rPr>
          <w:b/>
          <w:bCs/>
        </w:rPr>
        <w:t>MET-İES</w:t>
      </w:r>
      <w:r w:rsidRPr="00D53A2B">
        <w:rPr>
          <w:b/>
          <w:bCs/>
        </w:rPr>
        <w:t>)</w:t>
      </w:r>
    </w:p>
    <w:tbl>
      <w:tblPr>
        <w:tblStyle w:val="EIPPCBTable"/>
        <w:tblW w:w="0" w:type="auto"/>
        <w:tblLook w:val="04A0" w:firstRow="1" w:lastRow="0" w:firstColumn="1" w:lastColumn="0" w:noHBand="0" w:noVBand="1"/>
      </w:tblPr>
      <w:tblGrid>
        <w:gridCol w:w="1190"/>
        <w:gridCol w:w="1049"/>
        <w:gridCol w:w="6716"/>
      </w:tblGrid>
      <w:tr w:rsidR="0007690F" w:rsidRPr="00D53A2B" w14:paraId="0EAB00A3" w14:textId="77777777" w:rsidTr="004F1A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1783DA" w14:textId="77777777" w:rsidR="0007690F" w:rsidRPr="00D53A2B" w:rsidRDefault="0007690F" w:rsidP="00A202FD">
            <w:pPr>
              <w:widowControl w:val="0"/>
              <w:spacing w:after="240" w:line="276" w:lineRule="auto"/>
              <w:ind w:firstLine="1"/>
              <w:contextualSpacing/>
              <w:jc w:val="both"/>
              <w:rPr>
                <w:b w:val="0"/>
                <w:bCs/>
              </w:rPr>
            </w:pPr>
            <w:r w:rsidRPr="00D53A2B">
              <w:rPr>
                <w:b w:val="0"/>
                <w:bCs/>
              </w:rPr>
              <w:t>Parametre</w:t>
            </w:r>
          </w:p>
        </w:tc>
        <w:tc>
          <w:tcPr>
            <w:tcW w:w="0" w:type="auto"/>
            <w:hideMark/>
          </w:tcPr>
          <w:p w14:paraId="042A0A6E" w14:textId="77777777" w:rsidR="0007690F" w:rsidRPr="00D53A2B" w:rsidRDefault="0007690F"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 w:val="0"/>
                <w:bCs/>
              </w:rPr>
              <w:t>Birim</w:t>
            </w:r>
          </w:p>
        </w:tc>
        <w:tc>
          <w:tcPr>
            <w:tcW w:w="0" w:type="auto"/>
            <w:hideMark/>
          </w:tcPr>
          <w:p w14:paraId="5BDED555" w14:textId="5FFD8A0D" w:rsidR="0007690F" w:rsidRPr="00D53A2B" w:rsidRDefault="00831B53"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 w:val="0"/>
                <w:bCs/>
              </w:rPr>
              <w:t>MET-İES</w:t>
            </w:r>
            <w:r w:rsidR="0007690F" w:rsidRPr="00D53A2B">
              <w:rPr>
                <w:b w:val="0"/>
                <w:bCs/>
              </w:rPr>
              <w:t> (Günlük ortalama veya numune alma dönemi ortalaması)</w:t>
            </w:r>
          </w:p>
        </w:tc>
      </w:tr>
      <w:tr w:rsidR="0007690F" w:rsidRPr="00D53A2B" w14:paraId="0B57B0D5" w14:textId="77777777" w:rsidTr="004F1AAD">
        <w:tc>
          <w:tcPr>
            <w:cnfStyle w:val="001000000000" w:firstRow="0" w:lastRow="0" w:firstColumn="1" w:lastColumn="0" w:oddVBand="0" w:evenVBand="0" w:oddHBand="0" w:evenHBand="0" w:firstRowFirstColumn="0" w:firstRowLastColumn="0" w:lastRowFirstColumn="0" w:lastRowLastColumn="0"/>
            <w:tcW w:w="0" w:type="auto"/>
            <w:hideMark/>
          </w:tcPr>
          <w:p w14:paraId="51443020" w14:textId="77777777" w:rsidR="0007690F" w:rsidRPr="00D53A2B" w:rsidRDefault="0007690F" w:rsidP="00A202FD">
            <w:pPr>
              <w:widowControl w:val="0"/>
              <w:spacing w:after="240" w:line="276" w:lineRule="auto"/>
              <w:ind w:firstLine="1"/>
              <w:contextualSpacing/>
              <w:jc w:val="both"/>
              <w:rPr>
                <w:b w:val="0"/>
                <w:bCs/>
              </w:rPr>
            </w:pPr>
            <w:r w:rsidRPr="00D53A2B">
              <w:rPr>
                <w:b w:val="0"/>
                <w:bCs/>
              </w:rPr>
              <w:t>Toz</w:t>
            </w:r>
          </w:p>
        </w:tc>
        <w:tc>
          <w:tcPr>
            <w:tcW w:w="0" w:type="auto"/>
            <w:hideMark/>
          </w:tcPr>
          <w:p w14:paraId="3FF71D55"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
                <w:bCs/>
              </w:rPr>
            </w:pPr>
            <w:r w:rsidRPr="00D53A2B">
              <w:rPr>
                <w:b/>
                <w:bCs/>
              </w:rPr>
              <w:t>mg/Nm³</w:t>
            </w:r>
          </w:p>
        </w:tc>
        <w:tc>
          <w:tcPr>
            <w:tcW w:w="0" w:type="auto"/>
            <w:hideMark/>
          </w:tcPr>
          <w:p w14:paraId="062D1A54"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
                <w:bCs/>
              </w:rPr>
            </w:pPr>
            <w:r w:rsidRPr="00D53A2B">
              <w:rPr>
                <w:b/>
                <w:bCs/>
              </w:rPr>
              <w:t>1 – 5</w:t>
            </w:r>
          </w:p>
        </w:tc>
      </w:tr>
    </w:tbl>
    <w:p w14:paraId="3E278437" w14:textId="77777777" w:rsidR="0007690F" w:rsidRPr="00D53A2B" w:rsidRDefault="0007690F" w:rsidP="00A202FD">
      <w:pPr>
        <w:widowControl w:val="0"/>
        <w:spacing w:after="240" w:line="276" w:lineRule="auto"/>
        <w:ind w:firstLine="1"/>
        <w:contextualSpacing/>
        <w:jc w:val="both"/>
        <w:rPr>
          <w:b/>
          <w:bCs/>
        </w:rPr>
      </w:pPr>
      <w:r w:rsidRPr="00D53A2B">
        <w:rPr>
          <w:b/>
          <w:bCs/>
        </w:rPr>
        <w:t>İlgili izleme, MET 12'de belirtilmiştir.</w:t>
      </w:r>
    </w:p>
    <w:p w14:paraId="0D080B99" w14:textId="77777777" w:rsidR="0007690F" w:rsidRPr="00D53A2B" w:rsidRDefault="0007690F" w:rsidP="00A202FD">
      <w:pPr>
        <w:pStyle w:val="Balk3"/>
        <w:rPr>
          <w:rFonts w:cs="Times New Roman"/>
        </w:rPr>
      </w:pPr>
      <w:r w:rsidRPr="00D53A2B">
        <w:rPr>
          <w:rFonts w:cs="Times New Roman"/>
        </w:rPr>
        <w:t>1.2.4. Demir dışı metal dökümhaneleri için MET sonuçları</w:t>
      </w:r>
    </w:p>
    <w:p w14:paraId="08B1A95A" w14:textId="77777777" w:rsidR="0007690F" w:rsidRPr="00D53A2B" w:rsidRDefault="0007690F" w:rsidP="00A202FD">
      <w:pPr>
        <w:widowControl w:val="0"/>
        <w:spacing w:after="240" w:line="276" w:lineRule="auto"/>
        <w:ind w:firstLine="1"/>
        <w:contextualSpacing/>
        <w:jc w:val="both"/>
        <w:rPr>
          <w:b/>
          <w:bCs/>
        </w:rPr>
      </w:pPr>
      <w:r w:rsidRPr="00D53A2B">
        <w:rPr>
          <w:b/>
          <w:bCs/>
        </w:rPr>
        <w:t>Bu bölümdeki MET sonuçları, Bölüm 1.1 ve 1.2.1'de verilen genel MET sonuçlarına ek olarak uygulanır.</w:t>
      </w:r>
    </w:p>
    <w:p w14:paraId="22BAA116" w14:textId="77777777" w:rsidR="0007690F" w:rsidRPr="00D53A2B" w:rsidRDefault="0007690F" w:rsidP="00A202FD">
      <w:pPr>
        <w:pStyle w:val="Balk4"/>
        <w:rPr>
          <w:rFonts w:cs="Times New Roman"/>
        </w:rPr>
      </w:pPr>
      <w:r w:rsidRPr="00D53A2B">
        <w:rPr>
          <w:rFonts w:cs="Times New Roman"/>
        </w:rPr>
        <w:t>1.2.4.1. Enerji Verimliliği</w:t>
      </w:r>
    </w:p>
    <w:p w14:paraId="6CC29617" w14:textId="77777777" w:rsidR="0007690F" w:rsidRPr="00D53A2B" w:rsidRDefault="0007690F" w:rsidP="00A202FD">
      <w:pPr>
        <w:widowControl w:val="0"/>
        <w:spacing w:after="240" w:line="276" w:lineRule="auto"/>
        <w:ind w:firstLine="1"/>
        <w:contextualSpacing/>
        <w:jc w:val="both"/>
        <w:rPr>
          <w:b/>
          <w:bCs/>
        </w:rPr>
      </w:pPr>
      <w:r w:rsidRPr="00D53A2B">
        <w:rPr>
          <w:b/>
          <w:bCs/>
        </w:rPr>
        <w:t>MET 42. Metal eritmede enerji verimliliğini artırmak için MET, aşağıda verilen tekniklerden birinin kullanılmasını önermektedir:</w:t>
      </w:r>
    </w:p>
    <w:tbl>
      <w:tblPr>
        <w:tblStyle w:val="EIPPCBTable"/>
        <w:tblW w:w="0" w:type="auto"/>
        <w:tblLook w:val="04A0" w:firstRow="1" w:lastRow="0" w:firstColumn="1" w:lastColumn="0" w:noHBand="0" w:noVBand="1"/>
      </w:tblPr>
      <w:tblGrid>
        <w:gridCol w:w="3321"/>
        <w:gridCol w:w="5739"/>
      </w:tblGrid>
      <w:tr w:rsidR="0007690F" w:rsidRPr="00D53A2B" w14:paraId="06128F4C" w14:textId="77777777" w:rsidTr="004F1A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04ED0A" w14:textId="77777777" w:rsidR="0007690F" w:rsidRPr="00D53A2B" w:rsidRDefault="0007690F" w:rsidP="00A202FD">
            <w:pPr>
              <w:widowControl w:val="0"/>
              <w:spacing w:after="240" w:line="276" w:lineRule="auto"/>
              <w:ind w:firstLine="1"/>
              <w:contextualSpacing/>
              <w:jc w:val="both"/>
              <w:rPr>
                <w:b w:val="0"/>
                <w:bCs/>
              </w:rPr>
            </w:pPr>
            <w:r w:rsidRPr="00D53A2B">
              <w:rPr>
                <w:b w:val="0"/>
                <w:bCs/>
              </w:rPr>
              <w:t>Teknik</w:t>
            </w:r>
          </w:p>
        </w:tc>
        <w:tc>
          <w:tcPr>
            <w:tcW w:w="0" w:type="auto"/>
            <w:hideMark/>
          </w:tcPr>
          <w:p w14:paraId="580655B3" w14:textId="77777777" w:rsidR="0007690F" w:rsidRPr="00D53A2B" w:rsidRDefault="0007690F" w:rsidP="00A202FD">
            <w:pPr>
              <w:widowControl w:val="0"/>
              <w:spacing w:after="240" w:line="276" w:lineRule="auto"/>
              <w:ind w:firstLine="1"/>
              <w:contextualSpacing/>
              <w:jc w:val="both"/>
              <w:cnfStyle w:val="100000000000" w:firstRow="1" w:lastRow="0" w:firstColumn="0" w:lastColumn="0" w:oddVBand="0" w:evenVBand="0" w:oddHBand="0" w:evenHBand="0" w:firstRowFirstColumn="0" w:firstRowLastColumn="0" w:lastRowFirstColumn="0" w:lastRowLastColumn="0"/>
              <w:rPr>
                <w:b w:val="0"/>
                <w:bCs/>
              </w:rPr>
            </w:pPr>
            <w:r w:rsidRPr="00D53A2B">
              <w:rPr>
                <w:b w:val="0"/>
                <w:bCs/>
              </w:rPr>
              <w:t>Açıklama</w:t>
            </w:r>
          </w:p>
        </w:tc>
      </w:tr>
      <w:tr w:rsidR="0007690F" w:rsidRPr="00D53A2B" w14:paraId="38E5EA90" w14:textId="77777777" w:rsidTr="004F1AAD">
        <w:tc>
          <w:tcPr>
            <w:cnfStyle w:val="001000000000" w:firstRow="0" w:lastRow="0" w:firstColumn="1" w:lastColumn="0" w:oddVBand="0" w:evenVBand="0" w:oddHBand="0" w:evenHBand="0" w:firstRowFirstColumn="0" w:firstRowLastColumn="0" w:lastRowFirstColumn="0" w:lastRowLastColumn="0"/>
            <w:tcW w:w="0" w:type="auto"/>
            <w:hideMark/>
          </w:tcPr>
          <w:p w14:paraId="110FFABA" w14:textId="77777777" w:rsidR="0007690F" w:rsidRPr="00D53A2B" w:rsidRDefault="0007690F" w:rsidP="00A202FD">
            <w:pPr>
              <w:widowControl w:val="0"/>
              <w:spacing w:after="240" w:line="276" w:lineRule="auto"/>
              <w:ind w:firstLine="1"/>
              <w:contextualSpacing/>
              <w:jc w:val="both"/>
              <w:rPr>
                <w:b w:val="0"/>
                <w:bCs/>
              </w:rPr>
            </w:pPr>
            <w:r w:rsidRPr="00D53A2B">
              <w:rPr>
                <w:b w:val="0"/>
                <w:bCs/>
              </w:rPr>
              <w:t>a. Yankı fırınlarda sıvı metal sirkülasyonu</w:t>
            </w:r>
          </w:p>
        </w:tc>
        <w:tc>
          <w:tcPr>
            <w:tcW w:w="0" w:type="auto"/>
            <w:hideMark/>
          </w:tcPr>
          <w:p w14:paraId="2D127A2D"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
                <w:bCs/>
              </w:rPr>
            </w:pPr>
            <w:r w:rsidRPr="00D53A2B">
              <w:rPr>
                <w:b/>
                <w:bCs/>
              </w:rPr>
              <w:t>Yankı fırınlara bir pompa yerleştirilerek sıvı metalin dolaşımı sağlanır ve eriyik banyosunun üstten alta sıcaklık gradyanı en aza indirilir.</w:t>
            </w:r>
          </w:p>
        </w:tc>
      </w:tr>
      <w:tr w:rsidR="0007690F" w:rsidRPr="00D53A2B" w14:paraId="67ADDF8D" w14:textId="77777777" w:rsidTr="004F1AAD">
        <w:tc>
          <w:tcPr>
            <w:cnfStyle w:val="001000000000" w:firstRow="0" w:lastRow="0" w:firstColumn="1" w:lastColumn="0" w:oddVBand="0" w:evenVBand="0" w:oddHBand="0" w:evenHBand="0" w:firstRowFirstColumn="0" w:firstRowLastColumn="0" w:lastRowFirstColumn="0" w:lastRowLastColumn="0"/>
            <w:tcW w:w="0" w:type="auto"/>
            <w:hideMark/>
          </w:tcPr>
          <w:p w14:paraId="67646476" w14:textId="77777777" w:rsidR="0007690F" w:rsidRPr="00D53A2B" w:rsidRDefault="0007690F" w:rsidP="00A202FD">
            <w:pPr>
              <w:widowControl w:val="0"/>
              <w:spacing w:after="240" w:line="276" w:lineRule="auto"/>
              <w:ind w:firstLine="1"/>
              <w:contextualSpacing/>
              <w:jc w:val="both"/>
              <w:rPr>
                <w:b w:val="0"/>
                <w:bCs/>
              </w:rPr>
            </w:pPr>
          </w:p>
        </w:tc>
        <w:tc>
          <w:tcPr>
            <w:tcW w:w="0" w:type="auto"/>
            <w:hideMark/>
          </w:tcPr>
          <w:p w14:paraId="116EEE05"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
                <w:bCs/>
              </w:rPr>
            </w:pPr>
          </w:p>
        </w:tc>
      </w:tr>
      <w:tr w:rsidR="0007690F" w:rsidRPr="00D53A2B" w14:paraId="5AE5A7B4" w14:textId="77777777" w:rsidTr="004F1AAD">
        <w:tc>
          <w:tcPr>
            <w:cnfStyle w:val="001000000000" w:firstRow="0" w:lastRow="0" w:firstColumn="1" w:lastColumn="0" w:oddVBand="0" w:evenVBand="0" w:oddHBand="0" w:evenHBand="0" w:firstRowFirstColumn="0" w:firstRowLastColumn="0" w:lastRowFirstColumn="0" w:lastRowLastColumn="0"/>
            <w:tcW w:w="0" w:type="auto"/>
            <w:hideMark/>
          </w:tcPr>
          <w:p w14:paraId="146604BC" w14:textId="77777777" w:rsidR="0007690F" w:rsidRPr="00D53A2B" w:rsidRDefault="0007690F" w:rsidP="00A202FD">
            <w:pPr>
              <w:widowControl w:val="0"/>
              <w:spacing w:after="240" w:line="276" w:lineRule="auto"/>
              <w:ind w:firstLine="1"/>
              <w:contextualSpacing/>
              <w:jc w:val="both"/>
              <w:rPr>
                <w:b w:val="0"/>
                <w:bCs/>
              </w:rPr>
            </w:pPr>
            <w:r w:rsidRPr="00D53A2B">
              <w:rPr>
                <w:b w:val="0"/>
                <w:bCs/>
              </w:rPr>
              <w:t>b. Potalı fırınlarda radyasyon yoluyla enerji kayıplarının en aza indirilmesi</w:t>
            </w:r>
          </w:p>
        </w:tc>
        <w:tc>
          <w:tcPr>
            <w:tcW w:w="0" w:type="auto"/>
          </w:tcPr>
          <w:p w14:paraId="28D051FA"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
                <w:bCs/>
              </w:rPr>
            </w:pPr>
            <w:r w:rsidRPr="00D53A2B">
              <w:rPr>
                <w:b/>
                <w:bCs/>
              </w:rPr>
              <w:t>Potalı fırınlar, enerji kaybını azaltmak için bir kapakla örtülür ve/veya radyant panel kaplamalarıyla donatılır.</w:t>
            </w:r>
          </w:p>
        </w:tc>
      </w:tr>
      <w:tr w:rsidR="0007690F" w:rsidRPr="00D53A2B" w14:paraId="10C92C7E" w14:textId="77777777" w:rsidTr="004F1AAD">
        <w:tc>
          <w:tcPr>
            <w:cnfStyle w:val="001000000000" w:firstRow="0" w:lastRow="0" w:firstColumn="1" w:lastColumn="0" w:oddVBand="0" w:evenVBand="0" w:oddHBand="0" w:evenHBand="0" w:firstRowFirstColumn="0" w:firstRowLastColumn="0" w:lastRowFirstColumn="0" w:lastRowLastColumn="0"/>
            <w:tcW w:w="0" w:type="auto"/>
            <w:hideMark/>
          </w:tcPr>
          <w:p w14:paraId="375F93F6" w14:textId="77777777" w:rsidR="0007690F" w:rsidRPr="00D53A2B" w:rsidRDefault="0007690F" w:rsidP="00A202FD">
            <w:pPr>
              <w:widowControl w:val="0"/>
              <w:spacing w:after="240" w:line="276" w:lineRule="auto"/>
              <w:ind w:firstLine="1"/>
              <w:contextualSpacing/>
              <w:jc w:val="both"/>
              <w:rPr>
                <w:b w:val="0"/>
                <w:bCs/>
              </w:rPr>
            </w:pPr>
          </w:p>
        </w:tc>
        <w:tc>
          <w:tcPr>
            <w:tcW w:w="0" w:type="auto"/>
            <w:hideMark/>
          </w:tcPr>
          <w:p w14:paraId="68BC0999" w14:textId="77777777" w:rsidR="0007690F" w:rsidRPr="00D53A2B" w:rsidRDefault="0007690F" w:rsidP="00A202FD">
            <w:pPr>
              <w:widowControl w:val="0"/>
              <w:spacing w:after="240" w:line="276" w:lineRule="auto"/>
              <w:ind w:firstLine="1"/>
              <w:contextualSpacing/>
              <w:jc w:val="both"/>
              <w:cnfStyle w:val="000000000000" w:firstRow="0" w:lastRow="0" w:firstColumn="0" w:lastColumn="0" w:oddVBand="0" w:evenVBand="0" w:oddHBand="0" w:evenHBand="0" w:firstRowFirstColumn="0" w:firstRowLastColumn="0" w:lastRowFirstColumn="0" w:lastRowLastColumn="0"/>
              <w:rPr>
                <w:b/>
                <w:bCs/>
              </w:rPr>
            </w:pPr>
          </w:p>
        </w:tc>
      </w:tr>
    </w:tbl>
    <w:p w14:paraId="10BCA58F" w14:textId="77777777" w:rsidR="0007690F" w:rsidRPr="00D53A2B" w:rsidRDefault="0007690F" w:rsidP="00A202FD">
      <w:pPr>
        <w:widowControl w:val="0"/>
        <w:spacing w:after="240" w:line="276" w:lineRule="auto"/>
        <w:ind w:firstLine="1"/>
        <w:contextualSpacing/>
        <w:jc w:val="both"/>
        <w:rPr>
          <w:b/>
          <w:bCs/>
        </w:rPr>
      </w:pPr>
      <w:r w:rsidRPr="00D53A2B">
        <w:rPr>
          <w:b/>
          <w:bCs/>
        </w:rPr>
        <w:t>MET-AEPL'ler (Spesifik enerji tüketimi için en iyi uygulama seviyeleri), MET 14'te belirtilmiştir.</w:t>
      </w:r>
    </w:p>
    <w:p w14:paraId="302812E0" w14:textId="77777777" w:rsidR="0007690F" w:rsidRPr="00D53A2B" w:rsidRDefault="0007690F" w:rsidP="00A202FD">
      <w:pPr>
        <w:pStyle w:val="Balk4"/>
        <w:rPr>
          <w:rFonts w:cs="Times New Roman"/>
        </w:rPr>
      </w:pPr>
      <w:r w:rsidRPr="00D53A2B">
        <w:rPr>
          <w:rFonts w:cs="Times New Roman"/>
        </w:rPr>
        <w:t>1.2.4.2. Termal Proseslerden Kaynaklanan Hava Emisyonları</w:t>
      </w:r>
    </w:p>
    <w:p w14:paraId="0C68F07F" w14:textId="77777777" w:rsidR="0007690F" w:rsidRPr="00D53A2B" w:rsidRDefault="0007690F" w:rsidP="00A202FD">
      <w:pPr>
        <w:pStyle w:val="Balk5"/>
        <w:rPr>
          <w:szCs w:val="24"/>
        </w:rPr>
      </w:pPr>
      <w:r w:rsidRPr="00D53A2B">
        <w:rPr>
          <w:szCs w:val="24"/>
        </w:rPr>
        <w:t>1.2.4.2.1. Metal eritmeden kaynaklanan hava emisyonları</w:t>
      </w:r>
    </w:p>
    <w:p w14:paraId="30DEF8CD" w14:textId="77777777" w:rsidR="0007690F" w:rsidRPr="00D53A2B" w:rsidRDefault="0007690F" w:rsidP="00A202FD">
      <w:pPr>
        <w:widowControl w:val="0"/>
        <w:spacing w:after="240" w:line="276" w:lineRule="auto"/>
        <w:ind w:firstLine="1"/>
        <w:contextualSpacing/>
        <w:jc w:val="both"/>
        <w:rPr>
          <w:b/>
          <w:bCs/>
        </w:rPr>
      </w:pPr>
      <w:r w:rsidRPr="00D53A2B">
        <w:rPr>
          <w:b/>
          <w:bCs/>
        </w:rPr>
        <w:t>MET 43. Metal eritmeden kaynaklanan hava emisyonlarını azaltmak için MET, emisyonları toplamak üzere teknik (a)'yı kullanmayı ve gazları arıtmak için (b) ile (e) arasındaki tekniklerden birini veya bir kombinasyonunu kullanır.</w:t>
      </w:r>
    </w:p>
    <w:tbl>
      <w:tblPr>
        <w:tblStyle w:val="TabloKlavuzu"/>
        <w:tblW w:w="0" w:type="auto"/>
        <w:tblLook w:val="04A0" w:firstRow="1" w:lastRow="0" w:firstColumn="1" w:lastColumn="0" w:noHBand="0" w:noVBand="1"/>
      </w:tblPr>
      <w:tblGrid>
        <w:gridCol w:w="1696"/>
        <w:gridCol w:w="7230"/>
      </w:tblGrid>
      <w:tr w:rsidR="0007690F" w:rsidRPr="00D53A2B" w14:paraId="4578A16E" w14:textId="77777777" w:rsidTr="00507ACB">
        <w:trPr>
          <w:trHeight w:val="320"/>
        </w:trPr>
        <w:tc>
          <w:tcPr>
            <w:tcW w:w="1696" w:type="dxa"/>
            <w:noWrap/>
            <w:hideMark/>
          </w:tcPr>
          <w:p w14:paraId="74FBA0F1"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7230" w:type="dxa"/>
            <w:noWrap/>
            <w:hideMark/>
          </w:tcPr>
          <w:p w14:paraId="745A40E6"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r>
      <w:tr w:rsidR="0007690F" w:rsidRPr="00D53A2B" w14:paraId="0710AAA7" w14:textId="77777777" w:rsidTr="00507ACB">
        <w:trPr>
          <w:trHeight w:val="320"/>
        </w:trPr>
        <w:tc>
          <w:tcPr>
            <w:tcW w:w="8926" w:type="dxa"/>
            <w:gridSpan w:val="2"/>
            <w:noWrap/>
          </w:tcPr>
          <w:p w14:paraId="3FD5C5C3" w14:textId="77777777" w:rsidR="0007690F" w:rsidRPr="00D53A2B" w:rsidRDefault="0007690F" w:rsidP="00A202FD">
            <w:pPr>
              <w:widowControl w:val="0"/>
              <w:spacing w:after="240" w:line="276" w:lineRule="auto"/>
              <w:ind w:firstLine="1"/>
              <w:contextualSpacing/>
              <w:jc w:val="both"/>
              <w:rPr>
                <w:i/>
                <w:iCs/>
              </w:rPr>
            </w:pPr>
            <w:r w:rsidRPr="00D53A2B">
              <w:rPr>
                <w:i/>
                <w:iCs/>
              </w:rPr>
              <w:t>Emisyon Toplama</w:t>
            </w:r>
          </w:p>
        </w:tc>
      </w:tr>
      <w:tr w:rsidR="0007690F" w:rsidRPr="00D53A2B" w14:paraId="3C8380DB" w14:textId="77777777" w:rsidTr="00507ACB">
        <w:trPr>
          <w:trHeight w:val="320"/>
        </w:trPr>
        <w:tc>
          <w:tcPr>
            <w:tcW w:w="1696" w:type="dxa"/>
            <w:noWrap/>
            <w:hideMark/>
          </w:tcPr>
          <w:p w14:paraId="256F6FDB" w14:textId="77777777" w:rsidR="0007690F" w:rsidRPr="00D53A2B" w:rsidRDefault="0007690F" w:rsidP="00A202FD">
            <w:pPr>
              <w:widowControl w:val="0"/>
              <w:spacing w:after="240" w:line="276" w:lineRule="auto"/>
              <w:ind w:firstLine="1"/>
              <w:contextualSpacing/>
              <w:jc w:val="both"/>
              <w:rPr>
                <w:b/>
                <w:bCs/>
              </w:rPr>
            </w:pPr>
            <w:r w:rsidRPr="00D53A2B">
              <w:rPr>
                <w:b/>
                <w:bCs/>
              </w:rPr>
              <w:t>a. Emisyon kaynağına mümkün olduğunca yakın gaz toplama</w:t>
            </w:r>
          </w:p>
        </w:tc>
        <w:tc>
          <w:tcPr>
            <w:tcW w:w="7230" w:type="dxa"/>
            <w:noWrap/>
            <w:hideMark/>
          </w:tcPr>
          <w:p w14:paraId="3F22FE53" w14:textId="77777777" w:rsidR="0007690F" w:rsidRPr="00D53A2B" w:rsidRDefault="0007690F" w:rsidP="00A202FD">
            <w:pPr>
              <w:widowControl w:val="0"/>
              <w:spacing w:after="240" w:line="276" w:lineRule="auto"/>
              <w:ind w:firstLine="1"/>
              <w:contextualSpacing/>
              <w:jc w:val="both"/>
            </w:pPr>
            <w:r w:rsidRPr="00D53A2B">
              <w:t>Emisyon kaynağına mümkün olduğunca yakın gaz toplama. Şaft, pota, direnç, yankı ocak tipi ve radyant çatı fırınlarından çıkan gazlar başlık (ör. kubbe başlıkları) ile toplanır. Toplama ekipmanları döküm sırasında emisyonları yakalayacak şekilde yerleştirilir. İndüksiyon fırınlarından çıkan gazlar başlık, dudak veya kapak toplama yöntemleriyle; dönmeli fırınlardan çıkan gazlar ise başlık toplama yöntemiyle toplanır.</w:t>
            </w:r>
          </w:p>
        </w:tc>
      </w:tr>
      <w:tr w:rsidR="0007690F" w:rsidRPr="00D53A2B" w14:paraId="5B619363" w14:textId="77777777" w:rsidTr="00507ACB">
        <w:trPr>
          <w:trHeight w:val="320"/>
        </w:trPr>
        <w:tc>
          <w:tcPr>
            <w:tcW w:w="8926" w:type="dxa"/>
            <w:gridSpan w:val="2"/>
            <w:noWrap/>
          </w:tcPr>
          <w:p w14:paraId="1BF32F12" w14:textId="77777777" w:rsidR="0007690F" w:rsidRPr="00D53A2B" w:rsidRDefault="0007690F" w:rsidP="00A202FD">
            <w:pPr>
              <w:widowControl w:val="0"/>
              <w:spacing w:after="240" w:line="276" w:lineRule="auto"/>
              <w:ind w:firstLine="1"/>
              <w:contextualSpacing/>
              <w:jc w:val="both"/>
              <w:rPr>
                <w:i/>
                <w:iCs/>
              </w:rPr>
            </w:pPr>
            <w:r w:rsidRPr="00D53A2B">
              <w:rPr>
                <w:i/>
                <w:iCs/>
              </w:rPr>
              <w:t>Gaz Arıtma</w:t>
            </w:r>
          </w:p>
        </w:tc>
      </w:tr>
      <w:tr w:rsidR="0007690F" w:rsidRPr="00D53A2B" w14:paraId="3CDA000D" w14:textId="77777777" w:rsidTr="00507ACB">
        <w:trPr>
          <w:trHeight w:val="320"/>
        </w:trPr>
        <w:tc>
          <w:tcPr>
            <w:tcW w:w="1696" w:type="dxa"/>
            <w:noWrap/>
            <w:hideMark/>
          </w:tcPr>
          <w:p w14:paraId="4960329A" w14:textId="77777777" w:rsidR="0007690F" w:rsidRPr="00D53A2B" w:rsidRDefault="0007690F" w:rsidP="00A202FD">
            <w:pPr>
              <w:widowControl w:val="0"/>
              <w:spacing w:after="240" w:line="276" w:lineRule="auto"/>
              <w:ind w:firstLine="1"/>
              <w:contextualSpacing/>
              <w:jc w:val="both"/>
              <w:rPr>
                <w:b/>
                <w:bCs/>
              </w:rPr>
            </w:pPr>
            <w:r w:rsidRPr="00D53A2B">
              <w:rPr>
                <w:b/>
                <w:bCs/>
              </w:rPr>
              <w:t>b. Siklon</w:t>
            </w:r>
          </w:p>
        </w:tc>
        <w:tc>
          <w:tcPr>
            <w:tcW w:w="7230" w:type="dxa"/>
            <w:noWrap/>
            <w:hideMark/>
          </w:tcPr>
          <w:p w14:paraId="0A821E88" w14:textId="77777777" w:rsidR="0007690F" w:rsidRPr="00D53A2B" w:rsidRDefault="0007690F" w:rsidP="00A202FD">
            <w:pPr>
              <w:widowControl w:val="0"/>
              <w:spacing w:after="240" w:line="276" w:lineRule="auto"/>
              <w:ind w:firstLine="1"/>
              <w:contextualSpacing/>
              <w:jc w:val="both"/>
            </w:pPr>
            <w:r w:rsidRPr="00D53A2B">
              <w:t>Bkz. Bölüm 1.4.3</w:t>
            </w:r>
          </w:p>
        </w:tc>
      </w:tr>
      <w:tr w:rsidR="0007690F" w:rsidRPr="00D53A2B" w14:paraId="16475002" w14:textId="77777777" w:rsidTr="00507ACB">
        <w:trPr>
          <w:trHeight w:val="320"/>
        </w:trPr>
        <w:tc>
          <w:tcPr>
            <w:tcW w:w="1696" w:type="dxa"/>
            <w:noWrap/>
            <w:hideMark/>
          </w:tcPr>
          <w:p w14:paraId="1240D8DA" w14:textId="77777777" w:rsidR="0007690F" w:rsidRPr="00D53A2B" w:rsidRDefault="0007690F" w:rsidP="00A202FD">
            <w:pPr>
              <w:widowControl w:val="0"/>
              <w:spacing w:after="240" w:line="276" w:lineRule="auto"/>
              <w:ind w:firstLine="1"/>
              <w:contextualSpacing/>
              <w:jc w:val="both"/>
              <w:rPr>
                <w:b/>
                <w:bCs/>
              </w:rPr>
            </w:pPr>
            <w:r w:rsidRPr="00D53A2B">
              <w:rPr>
                <w:b/>
                <w:bCs/>
              </w:rPr>
              <w:t>c. Kuru temizleme</w:t>
            </w:r>
          </w:p>
        </w:tc>
        <w:tc>
          <w:tcPr>
            <w:tcW w:w="7230" w:type="dxa"/>
            <w:noWrap/>
            <w:hideMark/>
          </w:tcPr>
          <w:p w14:paraId="5CCBECC6" w14:textId="77777777" w:rsidR="0007690F" w:rsidRPr="00D53A2B" w:rsidRDefault="0007690F" w:rsidP="00A202FD">
            <w:pPr>
              <w:widowControl w:val="0"/>
              <w:spacing w:after="240" w:line="276" w:lineRule="auto"/>
              <w:ind w:firstLine="1"/>
              <w:contextualSpacing/>
              <w:jc w:val="both"/>
            </w:pPr>
            <w:r w:rsidRPr="00D53A2B">
              <w:t>Bkz. Bölüm 1.4.3</w:t>
            </w:r>
          </w:p>
        </w:tc>
      </w:tr>
      <w:tr w:rsidR="0007690F" w:rsidRPr="00D53A2B" w14:paraId="54F5F2F9" w14:textId="77777777" w:rsidTr="00507ACB">
        <w:trPr>
          <w:trHeight w:val="320"/>
        </w:trPr>
        <w:tc>
          <w:tcPr>
            <w:tcW w:w="1696" w:type="dxa"/>
            <w:noWrap/>
            <w:hideMark/>
          </w:tcPr>
          <w:p w14:paraId="48D51BAB" w14:textId="77777777" w:rsidR="0007690F" w:rsidRPr="00D53A2B" w:rsidRDefault="0007690F" w:rsidP="00A202FD">
            <w:pPr>
              <w:widowControl w:val="0"/>
              <w:spacing w:after="240" w:line="276" w:lineRule="auto"/>
              <w:ind w:firstLine="1"/>
              <w:contextualSpacing/>
              <w:jc w:val="both"/>
              <w:rPr>
                <w:b/>
                <w:bCs/>
              </w:rPr>
            </w:pPr>
            <w:r w:rsidRPr="00D53A2B">
              <w:rPr>
                <w:b/>
                <w:bCs/>
              </w:rPr>
              <w:t>d. Kumaş filtre</w:t>
            </w:r>
          </w:p>
        </w:tc>
        <w:tc>
          <w:tcPr>
            <w:tcW w:w="7230" w:type="dxa"/>
            <w:noWrap/>
            <w:hideMark/>
          </w:tcPr>
          <w:p w14:paraId="329338C7" w14:textId="77777777" w:rsidR="0007690F" w:rsidRPr="00D53A2B" w:rsidRDefault="0007690F" w:rsidP="00A202FD">
            <w:pPr>
              <w:widowControl w:val="0"/>
              <w:spacing w:after="240" w:line="276" w:lineRule="auto"/>
              <w:ind w:firstLine="1"/>
              <w:contextualSpacing/>
              <w:jc w:val="both"/>
            </w:pPr>
            <w:r w:rsidRPr="00D53A2B">
              <w:t>Bkz. Bölüm 1.4.3</w:t>
            </w:r>
          </w:p>
        </w:tc>
      </w:tr>
      <w:tr w:rsidR="0007690F" w:rsidRPr="00D53A2B" w14:paraId="3EF821D5" w14:textId="77777777" w:rsidTr="00507ACB">
        <w:trPr>
          <w:trHeight w:val="320"/>
        </w:trPr>
        <w:tc>
          <w:tcPr>
            <w:tcW w:w="1696" w:type="dxa"/>
            <w:noWrap/>
            <w:hideMark/>
          </w:tcPr>
          <w:p w14:paraId="7A771BA3" w14:textId="77777777" w:rsidR="0007690F" w:rsidRPr="00D53A2B" w:rsidRDefault="0007690F" w:rsidP="00A202FD">
            <w:pPr>
              <w:widowControl w:val="0"/>
              <w:spacing w:after="240" w:line="276" w:lineRule="auto"/>
              <w:ind w:firstLine="1"/>
              <w:contextualSpacing/>
              <w:jc w:val="both"/>
              <w:rPr>
                <w:b/>
                <w:bCs/>
              </w:rPr>
            </w:pPr>
            <w:r w:rsidRPr="00D53A2B">
              <w:rPr>
                <w:b/>
                <w:bCs/>
              </w:rPr>
              <w:t>e. Islak temizleme</w:t>
            </w:r>
          </w:p>
        </w:tc>
        <w:tc>
          <w:tcPr>
            <w:tcW w:w="7230" w:type="dxa"/>
            <w:noWrap/>
            <w:hideMark/>
          </w:tcPr>
          <w:p w14:paraId="466C2C9B" w14:textId="77777777" w:rsidR="0007690F" w:rsidRPr="00D53A2B" w:rsidRDefault="0007690F" w:rsidP="00A202FD">
            <w:pPr>
              <w:widowControl w:val="0"/>
              <w:spacing w:after="240" w:line="276" w:lineRule="auto"/>
              <w:ind w:firstLine="1"/>
              <w:contextualSpacing/>
              <w:jc w:val="both"/>
            </w:pPr>
            <w:r w:rsidRPr="00D53A2B">
              <w:t>Bkz. Bölüm 1.4.3</w:t>
            </w:r>
          </w:p>
        </w:tc>
      </w:tr>
    </w:tbl>
    <w:p w14:paraId="5036B4F4" w14:textId="77777777" w:rsidR="0007690F" w:rsidRPr="00D53A2B" w:rsidRDefault="0007690F" w:rsidP="00A202FD">
      <w:pPr>
        <w:widowControl w:val="0"/>
        <w:spacing w:after="240" w:line="276" w:lineRule="auto"/>
        <w:ind w:firstLine="1"/>
        <w:contextualSpacing/>
        <w:jc w:val="both"/>
        <w:rPr>
          <w:b/>
          <w:bCs/>
        </w:rPr>
      </w:pPr>
      <w:r w:rsidRPr="00D53A2B">
        <w:rPr>
          <w:b/>
          <w:bCs/>
        </w:rPr>
        <w:t xml:space="preserve"> </w:t>
      </w:r>
    </w:p>
    <w:p w14:paraId="5DC8E6E8" w14:textId="77777777" w:rsidR="0007690F" w:rsidRPr="00D53A2B" w:rsidRDefault="0007690F" w:rsidP="00A202FD">
      <w:pPr>
        <w:widowControl w:val="0"/>
        <w:spacing w:after="240" w:line="276" w:lineRule="auto"/>
        <w:ind w:firstLine="1"/>
        <w:contextualSpacing/>
        <w:jc w:val="both"/>
        <w:rPr>
          <w:b/>
          <w:bCs/>
        </w:rPr>
      </w:pPr>
      <w:r w:rsidRPr="00D53A2B">
        <w:rPr>
          <w:b/>
          <w:bCs/>
        </w:rPr>
        <w:t>Tablo 1.22</w:t>
      </w:r>
    </w:p>
    <w:p w14:paraId="7F4F2C31" w14:textId="6FEBE5F7" w:rsidR="0007690F" w:rsidRPr="00D53A2B" w:rsidRDefault="0007690F" w:rsidP="00A202FD">
      <w:pPr>
        <w:widowControl w:val="0"/>
        <w:spacing w:after="240" w:line="276" w:lineRule="auto"/>
        <w:ind w:firstLine="1"/>
        <w:contextualSpacing/>
        <w:jc w:val="both"/>
        <w:rPr>
          <w:b/>
          <w:bCs/>
        </w:rPr>
      </w:pPr>
      <w:r w:rsidRPr="00D53A2B">
        <w:rPr>
          <w:b/>
          <w:bCs/>
        </w:rPr>
        <w:t>Metal Ergitme İşlemlerinden Kaynaklanan Toz, HCl, HF, NOX, PCDD/F, SO2, Pb ve CO Gazlarının Kanallı Emisyonları için MET ile İlişkilendirilmiş Emisyon Seviyeleri (</w:t>
      </w:r>
      <w:r w:rsidR="00831B53" w:rsidRPr="00D53A2B">
        <w:rPr>
          <w:b/>
          <w:bCs/>
        </w:rPr>
        <w:t>MET-İES</w:t>
      </w:r>
      <w:r w:rsidRPr="00D53A2B">
        <w:rPr>
          <w:b/>
          <w:bCs/>
        </w:rPr>
        <w:t>)</w:t>
      </w:r>
    </w:p>
    <w:tbl>
      <w:tblPr>
        <w:tblStyle w:val="TabloKlavuzu"/>
        <w:tblW w:w="0" w:type="auto"/>
        <w:tblLook w:val="04A0" w:firstRow="1" w:lastRow="0" w:firstColumn="1" w:lastColumn="0" w:noHBand="0" w:noVBand="1"/>
      </w:tblPr>
      <w:tblGrid>
        <w:gridCol w:w="2097"/>
        <w:gridCol w:w="1758"/>
        <w:gridCol w:w="1676"/>
        <w:gridCol w:w="3395"/>
      </w:tblGrid>
      <w:tr w:rsidR="0007690F" w:rsidRPr="00D53A2B" w14:paraId="05D324D2" w14:textId="77777777" w:rsidTr="00507ACB">
        <w:trPr>
          <w:trHeight w:val="320"/>
        </w:trPr>
        <w:tc>
          <w:tcPr>
            <w:tcW w:w="2097" w:type="dxa"/>
            <w:noWrap/>
            <w:hideMark/>
          </w:tcPr>
          <w:p w14:paraId="1B5F52CF" w14:textId="77777777" w:rsidR="0007690F" w:rsidRPr="00D53A2B" w:rsidRDefault="0007690F" w:rsidP="00A202FD">
            <w:pPr>
              <w:widowControl w:val="0"/>
              <w:spacing w:after="240" w:line="276" w:lineRule="auto"/>
              <w:ind w:firstLine="1"/>
              <w:contextualSpacing/>
              <w:jc w:val="both"/>
              <w:rPr>
                <w:b/>
                <w:bCs/>
              </w:rPr>
            </w:pPr>
            <w:r w:rsidRPr="00D53A2B">
              <w:rPr>
                <w:b/>
                <w:bCs/>
              </w:rPr>
              <w:t>Madde/Parametre</w:t>
            </w:r>
          </w:p>
        </w:tc>
        <w:tc>
          <w:tcPr>
            <w:tcW w:w="1758" w:type="dxa"/>
            <w:noWrap/>
            <w:hideMark/>
          </w:tcPr>
          <w:p w14:paraId="32F87E2E"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1676" w:type="dxa"/>
            <w:noWrap/>
            <w:hideMark/>
          </w:tcPr>
          <w:p w14:paraId="020D8048" w14:textId="2713C116" w:rsidR="0007690F" w:rsidRPr="00D53A2B" w:rsidRDefault="00831B53" w:rsidP="00A202FD">
            <w:pPr>
              <w:widowControl w:val="0"/>
              <w:spacing w:after="240" w:line="276" w:lineRule="auto"/>
              <w:ind w:firstLine="1"/>
              <w:contextualSpacing/>
              <w:jc w:val="both"/>
              <w:rPr>
                <w:b/>
                <w:bCs/>
              </w:rPr>
            </w:pPr>
            <w:r w:rsidRPr="00D53A2B">
              <w:rPr>
                <w:b/>
                <w:bCs/>
              </w:rPr>
              <w:t>MET-İES</w:t>
            </w:r>
            <w:r w:rsidR="0007690F" w:rsidRPr="00D53A2B">
              <w:rPr>
                <w:b/>
                <w:bCs/>
              </w:rPr>
              <w:t> </w:t>
            </w:r>
            <w:r w:rsidR="0007690F" w:rsidRPr="00D53A2B">
              <w:rPr>
                <w:b/>
                <w:bCs/>
                <w:i/>
                <w:iCs/>
              </w:rPr>
              <w:t>(Günlük ortalama veya numune alma süresi boyunca ortalama)</w:t>
            </w:r>
          </w:p>
        </w:tc>
        <w:tc>
          <w:tcPr>
            <w:tcW w:w="3395" w:type="dxa"/>
            <w:noWrap/>
            <w:hideMark/>
          </w:tcPr>
          <w:p w14:paraId="5AFF0E44" w14:textId="77777777" w:rsidR="0007690F" w:rsidRPr="00D53A2B" w:rsidRDefault="0007690F" w:rsidP="00A202FD">
            <w:pPr>
              <w:widowControl w:val="0"/>
              <w:spacing w:after="240" w:line="276" w:lineRule="auto"/>
              <w:ind w:firstLine="1"/>
              <w:contextualSpacing/>
              <w:jc w:val="both"/>
              <w:rPr>
                <w:b/>
                <w:bCs/>
              </w:rPr>
            </w:pPr>
            <w:r w:rsidRPr="00D53A2B">
              <w:rPr>
                <w:b/>
                <w:bCs/>
              </w:rPr>
              <w:t>Belirleyici Emisyon Seviyesi </w:t>
            </w:r>
            <w:r w:rsidRPr="00D53A2B">
              <w:rPr>
                <w:b/>
                <w:bCs/>
                <w:i/>
                <w:iCs/>
              </w:rPr>
              <w:t>(Günlük ortalama veya numune alma süresi boyunca ortalama)</w:t>
            </w:r>
          </w:p>
        </w:tc>
      </w:tr>
      <w:tr w:rsidR="0007690F" w:rsidRPr="00D53A2B" w14:paraId="48D855A3" w14:textId="77777777" w:rsidTr="00507ACB">
        <w:trPr>
          <w:trHeight w:val="320"/>
        </w:trPr>
        <w:tc>
          <w:tcPr>
            <w:tcW w:w="2097" w:type="dxa"/>
            <w:noWrap/>
            <w:hideMark/>
          </w:tcPr>
          <w:p w14:paraId="103835CD" w14:textId="77777777" w:rsidR="0007690F" w:rsidRPr="00D53A2B" w:rsidRDefault="0007690F" w:rsidP="00A202FD">
            <w:pPr>
              <w:widowControl w:val="0"/>
              <w:spacing w:after="240" w:line="276" w:lineRule="auto"/>
              <w:ind w:firstLine="1"/>
              <w:contextualSpacing/>
              <w:jc w:val="both"/>
              <w:rPr>
                <w:b/>
                <w:bCs/>
              </w:rPr>
            </w:pPr>
            <w:r w:rsidRPr="00D53A2B">
              <w:rPr>
                <w:b/>
                <w:bCs/>
              </w:rPr>
              <w:t>Toz</w:t>
            </w:r>
          </w:p>
        </w:tc>
        <w:tc>
          <w:tcPr>
            <w:tcW w:w="1758" w:type="dxa"/>
            <w:noWrap/>
            <w:hideMark/>
          </w:tcPr>
          <w:p w14:paraId="5774C513" w14:textId="77777777" w:rsidR="0007690F" w:rsidRPr="00D53A2B" w:rsidRDefault="0007690F" w:rsidP="00A202FD">
            <w:pPr>
              <w:widowControl w:val="0"/>
              <w:spacing w:after="240" w:line="276" w:lineRule="auto"/>
              <w:ind w:firstLine="1"/>
              <w:contextualSpacing/>
              <w:jc w:val="both"/>
            </w:pPr>
            <w:r w:rsidRPr="00D53A2B">
              <w:t>mg/Nm³</w:t>
            </w:r>
          </w:p>
        </w:tc>
        <w:tc>
          <w:tcPr>
            <w:tcW w:w="1676" w:type="dxa"/>
            <w:noWrap/>
            <w:hideMark/>
          </w:tcPr>
          <w:p w14:paraId="35B94E4F" w14:textId="77777777" w:rsidR="0007690F" w:rsidRPr="00D53A2B" w:rsidRDefault="0007690F" w:rsidP="00A202FD">
            <w:pPr>
              <w:widowControl w:val="0"/>
              <w:spacing w:after="240" w:line="276" w:lineRule="auto"/>
              <w:ind w:firstLine="1"/>
              <w:contextualSpacing/>
              <w:jc w:val="both"/>
            </w:pPr>
            <w:r w:rsidRPr="00D53A2B">
              <w:t>1 – 5</w:t>
            </w:r>
          </w:p>
        </w:tc>
        <w:tc>
          <w:tcPr>
            <w:tcW w:w="3395" w:type="dxa"/>
            <w:noWrap/>
            <w:hideMark/>
          </w:tcPr>
          <w:p w14:paraId="20FDEF76" w14:textId="77777777" w:rsidR="0007690F" w:rsidRPr="00D53A2B" w:rsidRDefault="0007690F" w:rsidP="00A202FD">
            <w:pPr>
              <w:widowControl w:val="0"/>
              <w:spacing w:after="240" w:line="276" w:lineRule="auto"/>
              <w:ind w:firstLine="1"/>
              <w:contextualSpacing/>
              <w:jc w:val="both"/>
            </w:pPr>
            <w:r w:rsidRPr="00D53A2B">
              <w:t>Belirleyici emisyon seviyesi yok</w:t>
            </w:r>
          </w:p>
        </w:tc>
      </w:tr>
      <w:tr w:rsidR="0007690F" w:rsidRPr="00D53A2B" w14:paraId="12AC9C27" w14:textId="77777777" w:rsidTr="00507ACB">
        <w:trPr>
          <w:trHeight w:val="320"/>
        </w:trPr>
        <w:tc>
          <w:tcPr>
            <w:tcW w:w="2097" w:type="dxa"/>
            <w:noWrap/>
            <w:hideMark/>
          </w:tcPr>
          <w:p w14:paraId="2E5A2AE7" w14:textId="77777777" w:rsidR="0007690F" w:rsidRPr="00D53A2B" w:rsidRDefault="0007690F" w:rsidP="00A202FD">
            <w:pPr>
              <w:widowControl w:val="0"/>
              <w:spacing w:after="240" w:line="276" w:lineRule="auto"/>
              <w:ind w:firstLine="1"/>
              <w:contextualSpacing/>
              <w:jc w:val="both"/>
              <w:rPr>
                <w:b/>
                <w:bCs/>
              </w:rPr>
            </w:pPr>
            <w:r w:rsidRPr="00D53A2B">
              <w:rPr>
                <w:b/>
                <w:bCs/>
              </w:rPr>
              <w:t>HCl</w:t>
            </w:r>
          </w:p>
        </w:tc>
        <w:tc>
          <w:tcPr>
            <w:tcW w:w="1758" w:type="dxa"/>
            <w:noWrap/>
            <w:hideMark/>
          </w:tcPr>
          <w:p w14:paraId="542CADD8" w14:textId="77777777" w:rsidR="0007690F" w:rsidRPr="00D53A2B" w:rsidRDefault="0007690F" w:rsidP="00A202FD">
            <w:pPr>
              <w:widowControl w:val="0"/>
              <w:spacing w:after="240" w:line="276" w:lineRule="auto"/>
              <w:ind w:firstLine="1"/>
              <w:contextualSpacing/>
              <w:jc w:val="both"/>
            </w:pPr>
            <w:r w:rsidRPr="00D53A2B">
              <w:t>mg/Nm³</w:t>
            </w:r>
          </w:p>
        </w:tc>
        <w:tc>
          <w:tcPr>
            <w:tcW w:w="1676" w:type="dxa"/>
            <w:noWrap/>
            <w:hideMark/>
          </w:tcPr>
          <w:p w14:paraId="51160DB6" w14:textId="7FF2864A" w:rsidR="0007690F" w:rsidRPr="00D53A2B" w:rsidRDefault="0007690F" w:rsidP="00A202FD">
            <w:pPr>
              <w:widowControl w:val="0"/>
              <w:spacing w:after="240" w:line="276" w:lineRule="auto"/>
              <w:ind w:firstLine="1"/>
              <w:contextualSpacing/>
              <w:jc w:val="both"/>
            </w:pPr>
            <w:r w:rsidRPr="00D53A2B">
              <w:t>1 – 3 </w:t>
            </w:r>
            <w:r w:rsidR="0039235F" w:rsidRPr="00D53A2B">
              <w:t>(1)(6)</w:t>
            </w:r>
          </w:p>
        </w:tc>
        <w:tc>
          <w:tcPr>
            <w:tcW w:w="3395" w:type="dxa"/>
            <w:noWrap/>
            <w:hideMark/>
          </w:tcPr>
          <w:p w14:paraId="5618DB94" w14:textId="77777777" w:rsidR="0007690F" w:rsidRPr="00D53A2B" w:rsidRDefault="0007690F" w:rsidP="00A202FD">
            <w:pPr>
              <w:widowControl w:val="0"/>
              <w:spacing w:after="240" w:line="276" w:lineRule="auto"/>
              <w:ind w:firstLine="1"/>
              <w:contextualSpacing/>
              <w:jc w:val="both"/>
            </w:pPr>
            <w:r w:rsidRPr="00D53A2B">
              <w:t>Belirleyici emisyon seviyesi yok</w:t>
            </w:r>
          </w:p>
        </w:tc>
      </w:tr>
      <w:tr w:rsidR="0007690F" w:rsidRPr="00D53A2B" w14:paraId="0F1905E1" w14:textId="77777777" w:rsidTr="00507ACB">
        <w:trPr>
          <w:trHeight w:val="320"/>
        </w:trPr>
        <w:tc>
          <w:tcPr>
            <w:tcW w:w="2097" w:type="dxa"/>
            <w:noWrap/>
            <w:hideMark/>
          </w:tcPr>
          <w:p w14:paraId="02EF406A" w14:textId="77777777" w:rsidR="0007690F" w:rsidRPr="00D53A2B" w:rsidRDefault="0007690F" w:rsidP="00A202FD">
            <w:pPr>
              <w:widowControl w:val="0"/>
              <w:spacing w:after="240" w:line="276" w:lineRule="auto"/>
              <w:ind w:firstLine="1"/>
              <w:contextualSpacing/>
              <w:jc w:val="both"/>
              <w:rPr>
                <w:b/>
                <w:bCs/>
              </w:rPr>
            </w:pPr>
            <w:r w:rsidRPr="00D53A2B">
              <w:rPr>
                <w:b/>
                <w:bCs/>
              </w:rPr>
              <w:t>HF</w:t>
            </w:r>
          </w:p>
        </w:tc>
        <w:tc>
          <w:tcPr>
            <w:tcW w:w="1758" w:type="dxa"/>
            <w:noWrap/>
            <w:hideMark/>
          </w:tcPr>
          <w:p w14:paraId="2F86D77C" w14:textId="77777777" w:rsidR="0007690F" w:rsidRPr="00D53A2B" w:rsidRDefault="0007690F" w:rsidP="00A202FD">
            <w:pPr>
              <w:widowControl w:val="0"/>
              <w:spacing w:after="240" w:line="276" w:lineRule="auto"/>
              <w:ind w:firstLine="1"/>
              <w:contextualSpacing/>
              <w:jc w:val="both"/>
            </w:pPr>
            <w:r w:rsidRPr="00D53A2B">
              <w:t>mg/Nm³</w:t>
            </w:r>
          </w:p>
        </w:tc>
        <w:tc>
          <w:tcPr>
            <w:tcW w:w="1676" w:type="dxa"/>
            <w:noWrap/>
            <w:hideMark/>
          </w:tcPr>
          <w:p w14:paraId="630573A2" w14:textId="0C497785" w:rsidR="0007690F" w:rsidRPr="00D53A2B" w:rsidRDefault="0007690F" w:rsidP="00A202FD">
            <w:pPr>
              <w:widowControl w:val="0"/>
              <w:spacing w:after="240" w:line="276" w:lineRule="auto"/>
              <w:ind w:firstLine="1"/>
              <w:contextualSpacing/>
              <w:jc w:val="both"/>
            </w:pPr>
            <w:r w:rsidRPr="00D53A2B">
              <w:t>&lt; 1 </w:t>
            </w:r>
            <w:r w:rsidR="002837A1" w:rsidRPr="00D53A2B">
              <w:t>(1)</w:t>
            </w:r>
          </w:p>
        </w:tc>
        <w:tc>
          <w:tcPr>
            <w:tcW w:w="3395" w:type="dxa"/>
            <w:noWrap/>
            <w:hideMark/>
          </w:tcPr>
          <w:p w14:paraId="6331F88C" w14:textId="77777777" w:rsidR="0007690F" w:rsidRPr="00D53A2B" w:rsidRDefault="0007690F" w:rsidP="00A202FD">
            <w:pPr>
              <w:widowControl w:val="0"/>
              <w:spacing w:after="240" w:line="276" w:lineRule="auto"/>
              <w:ind w:firstLine="1"/>
              <w:contextualSpacing/>
              <w:jc w:val="both"/>
            </w:pPr>
            <w:r w:rsidRPr="00D53A2B">
              <w:t>Belirleyici emisyon seviyesi yok</w:t>
            </w:r>
          </w:p>
        </w:tc>
      </w:tr>
      <w:tr w:rsidR="0007690F" w:rsidRPr="00D53A2B" w14:paraId="00245B4A" w14:textId="77777777" w:rsidTr="00507ACB">
        <w:trPr>
          <w:trHeight w:val="320"/>
        </w:trPr>
        <w:tc>
          <w:tcPr>
            <w:tcW w:w="2097" w:type="dxa"/>
            <w:noWrap/>
            <w:hideMark/>
          </w:tcPr>
          <w:p w14:paraId="4E03353F" w14:textId="77777777" w:rsidR="0007690F" w:rsidRPr="00D53A2B" w:rsidRDefault="0007690F" w:rsidP="00A202FD">
            <w:pPr>
              <w:widowControl w:val="0"/>
              <w:spacing w:after="240" w:line="276" w:lineRule="auto"/>
              <w:ind w:firstLine="1"/>
              <w:contextualSpacing/>
              <w:jc w:val="both"/>
              <w:rPr>
                <w:b/>
                <w:bCs/>
              </w:rPr>
            </w:pPr>
            <w:r w:rsidRPr="00D53A2B">
              <w:rPr>
                <w:b/>
                <w:bCs/>
              </w:rPr>
              <w:t>CO</w:t>
            </w:r>
          </w:p>
        </w:tc>
        <w:tc>
          <w:tcPr>
            <w:tcW w:w="1758" w:type="dxa"/>
            <w:noWrap/>
            <w:hideMark/>
          </w:tcPr>
          <w:p w14:paraId="6C1E87AD" w14:textId="77777777" w:rsidR="0007690F" w:rsidRPr="00D53A2B" w:rsidRDefault="0007690F" w:rsidP="00A202FD">
            <w:pPr>
              <w:widowControl w:val="0"/>
              <w:spacing w:after="240" w:line="276" w:lineRule="auto"/>
              <w:ind w:firstLine="1"/>
              <w:contextualSpacing/>
              <w:jc w:val="both"/>
            </w:pPr>
            <w:r w:rsidRPr="00D53A2B">
              <w:t>mg/Nm³</w:t>
            </w:r>
          </w:p>
        </w:tc>
        <w:tc>
          <w:tcPr>
            <w:tcW w:w="1676" w:type="dxa"/>
            <w:noWrap/>
            <w:hideMark/>
          </w:tcPr>
          <w:p w14:paraId="6A47F739" w14:textId="167C8E97" w:rsidR="0007690F" w:rsidRPr="00D53A2B" w:rsidRDefault="00831B53" w:rsidP="00A202FD">
            <w:pPr>
              <w:widowControl w:val="0"/>
              <w:spacing w:after="240" w:line="276" w:lineRule="auto"/>
              <w:ind w:firstLine="1"/>
              <w:contextualSpacing/>
              <w:jc w:val="both"/>
            </w:pPr>
            <w:r w:rsidRPr="00D53A2B">
              <w:t>MET-İES</w:t>
            </w:r>
            <w:r w:rsidR="0007690F" w:rsidRPr="00D53A2B">
              <w:t xml:space="preserve"> yok</w:t>
            </w:r>
          </w:p>
        </w:tc>
        <w:tc>
          <w:tcPr>
            <w:tcW w:w="3395" w:type="dxa"/>
            <w:noWrap/>
            <w:hideMark/>
          </w:tcPr>
          <w:p w14:paraId="65E43DD1" w14:textId="77777777" w:rsidR="0007690F" w:rsidRPr="00D53A2B" w:rsidRDefault="0007690F" w:rsidP="00A202FD">
            <w:pPr>
              <w:widowControl w:val="0"/>
              <w:spacing w:after="240" w:line="276" w:lineRule="auto"/>
              <w:ind w:firstLine="1"/>
              <w:contextualSpacing/>
              <w:jc w:val="both"/>
            </w:pPr>
            <w:r w:rsidRPr="00D53A2B">
              <w:t>5 – 30 </w:t>
            </w:r>
          </w:p>
        </w:tc>
      </w:tr>
      <w:tr w:rsidR="0007690F" w:rsidRPr="00D53A2B" w14:paraId="4275A3D2" w14:textId="77777777" w:rsidTr="00507ACB">
        <w:trPr>
          <w:trHeight w:val="320"/>
        </w:trPr>
        <w:tc>
          <w:tcPr>
            <w:tcW w:w="2097" w:type="dxa"/>
            <w:noWrap/>
            <w:hideMark/>
          </w:tcPr>
          <w:p w14:paraId="0DCEC9A1" w14:textId="77777777" w:rsidR="0007690F" w:rsidRPr="00D53A2B" w:rsidRDefault="0007690F" w:rsidP="00A202FD">
            <w:pPr>
              <w:widowControl w:val="0"/>
              <w:spacing w:after="240" w:line="276" w:lineRule="auto"/>
              <w:ind w:firstLine="1"/>
              <w:contextualSpacing/>
              <w:jc w:val="both"/>
              <w:rPr>
                <w:b/>
                <w:bCs/>
              </w:rPr>
            </w:pPr>
            <w:r w:rsidRPr="00D53A2B">
              <w:rPr>
                <w:b/>
                <w:bCs/>
              </w:rPr>
              <w:t>NO</w:t>
            </w:r>
            <w:r w:rsidRPr="00D53A2B">
              <w:rPr>
                <w:b/>
                <w:bCs/>
                <w:vertAlign w:val="subscript"/>
              </w:rPr>
              <w:t>X</w:t>
            </w:r>
          </w:p>
        </w:tc>
        <w:tc>
          <w:tcPr>
            <w:tcW w:w="1758" w:type="dxa"/>
            <w:noWrap/>
            <w:hideMark/>
          </w:tcPr>
          <w:p w14:paraId="5119CB41" w14:textId="77777777" w:rsidR="0007690F" w:rsidRPr="00D53A2B" w:rsidRDefault="0007690F" w:rsidP="00A202FD">
            <w:pPr>
              <w:widowControl w:val="0"/>
              <w:spacing w:after="240" w:line="276" w:lineRule="auto"/>
              <w:ind w:firstLine="1"/>
              <w:contextualSpacing/>
              <w:jc w:val="both"/>
            </w:pPr>
            <w:r w:rsidRPr="00D53A2B">
              <w:t>mg/Nm³</w:t>
            </w:r>
          </w:p>
        </w:tc>
        <w:tc>
          <w:tcPr>
            <w:tcW w:w="1676" w:type="dxa"/>
            <w:noWrap/>
            <w:hideMark/>
          </w:tcPr>
          <w:p w14:paraId="6597536F" w14:textId="43F391D2" w:rsidR="0007690F" w:rsidRPr="00D53A2B" w:rsidRDefault="0007690F" w:rsidP="00A202FD">
            <w:pPr>
              <w:widowControl w:val="0"/>
              <w:spacing w:after="240" w:line="276" w:lineRule="auto"/>
              <w:ind w:firstLine="1"/>
              <w:contextualSpacing/>
              <w:jc w:val="both"/>
            </w:pPr>
            <w:r w:rsidRPr="00D53A2B">
              <w:t>20 – 50</w:t>
            </w:r>
            <w:r w:rsidR="002837A1" w:rsidRPr="00D53A2B">
              <w:t>(4)(5)</w:t>
            </w:r>
          </w:p>
        </w:tc>
        <w:tc>
          <w:tcPr>
            <w:tcW w:w="3395" w:type="dxa"/>
            <w:noWrap/>
            <w:hideMark/>
          </w:tcPr>
          <w:p w14:paraId="7968BF09" w14:textId="77777777" w:rsidR="0007690F" w:rsidRPr="00D53A2B" w:rsidRDefault="0007690F" w:rsidP="00A202FD">
            <w:pPr>
              <w:widowControl w:val="0"/>
              <w:spacing w:after="240" w:line="276" w:lineRule="auto"/>
              <w:ind w:firstLine="1"/>
              <w:contextualSpacing/>
              <w:jc w:val="both"/>
            </w:pPr>
            <w:r w:rsidRPr="00D53A2B">
              <w:t>Belirleyici emisyon seviyesi yok</w:t>
            </w:r>
          </w:p>
        </w:tc>
      </w:tr>
      <w:tr w:rsidR="0007690F" w:rsidRPr="00D53A2B" w14:paraId="2FD7FF8B" w14:textId="77777777" w:rsidTr="00507ACB">
        <w:trPr>
          <w:trHeight w:val="320"/>
        </w:trPr>
        <w:tc>
          <w:tcPr>
            <w:tcW w:w="2097" w:type="dxa"/>
            <w:noWrap/>
            <w:hideMark/>
          </w:tcPr>
          <w:p w14:paraId="361A8A54" w14:textId="77777777" w:rsidR="0007690F" w:rsidRPr="00D53A2B" w:rsidRDefault="0007690F" w:rsidP="00A202FD">
            <w:pPr>
              <w:widowControl w:val="0"/>
              <w:spacing w:after="240" w:line="276" w:lineRule="auto"/>
              <w:ind w:firstLine="1"/>
              <w:contextualSpacing/>
              <w:jc w:val="both"/>
              <w:rPr>
                <w:b/>
                <w:bCs/>
              </w:rPr>
            </w:pPr>
            <w:r w:rsidRPr="00D53A2B">
              <w:rPr>
                <w:b/>
                <w:bCs/>
              </w:rPr>
              <w:t>PCDD/F</w:t>
            </w:r>
          </w:p>
        </w:tc>
        <w:tc>
          <w:tcPr>
            <w:tcW w:w="1758" w:type="dxa"/>
            <w:noWrap/>
            <w:hideMark/>
          </w:tcPr>
          <w:p w14:paraId="33398698" w14:textId="77777777" w:rsidR="0007690F" w:rsidRPr="00D53A2B" w:rsidRDefault="0007690F" w:rsidP="00A202FD">
            <w:pPr>
              <w:widowControl w:val="0"/>
              <w:spacing w:after="240" w:line="276" w:lineRule="auto"/>
              <w:ind w:firstLine="1"/>
              <w:contextualSpacing/>
              <w:jc w:val="both"/>
            </w:pPr>
            <w:r w:rsidRPr="00D53A2B">
              <w:t>ng WHO-TEQ/Nm³</w:t>
            </w:r>
          </w:p>
        </w:tc>
        <w:tc>
          <w:tcPr>
            <w:tcW w:w="1676" w:type="dxa"/>
            <w:noWrap/>
            <w:hideMark/>
          </w:tcPr>
          <w:p w14:paraId="40ED3309" w14:textId="51BBE960" w:rsidR="0007690F" w:rsidRPr="00D53A2B" w:rsidRDefault="0007690F" w:rsidP="00A202FD">
            <w:pPr>
              <w:widowControl w:val="0"/>
              <w:spacing w:after="240" w:line="276" w:lineRule="auto"/>
              <w:ind w:firstLine="1"/>
              <w:contextualSpacing/>
              <w:jc w:val="both"/>
            </w:pPr>
            <w:r w:rsidRPr="00D53A2B">
              <w:t>&lt; 0,01 – 0,08</w:t>
            </w:r>
            <w:r w:rsidR="002837A1" w:rsidRPr="00D53A2B">
              <w:t>(6)</w:t>
            </w:r>
            <w:r w:rsidRPr="00D53A2B">
              <w:t> </w:t>
            </w:r>
          </w:p>
        </w:tc>
        <w:tc>
          <w:tcPr>
            <w:tcW w:w="3395" w:type="dxa"/>
            <w:noWrap/>
            <w:hideMark/>
          </w:tcPr>
          <w:p w14:paraId="66CBB47D" w14:textId="77777777" w:rsidR="0007690F" w:rsidRPr="00D53A2B" w:rsidRDefault="0007690F" w:rsidP="00A202FD">
            <w:pPr>
              <w:widowControl w:val="0"/>
              <w:spacing w:after="240" w:line="276" w:lineRule="auto"/>
              <w:ind w:firstLine="1"/>
              <w:contextualSpacing/>
              <w:jc w:val="both"/>
            </w:pPr>
            <w:r w:rsidRPr="00D53A2B">
              <w:t>Belirleyici emisyon seviyesi yok</w:t>
            </w:r>
          </w:p>
        </w:tc>
      </w:tr>
      <w:tr w:rsidR="0007690F" w:rsidRPr="00D53A2B" w14:paraId="2E66A966" w14:textId="77777777" w:rsidTr="00507ACB">
        <w:trPr>
          <w:trHeight w:val="320"/>
        </w:trPr>
        <w:tc>
          <w:tcPr>
            <w:tcW w:w="2097" w:type="dxa"/>
            <w:noWrap/>
            <w:hideMark/>
          </w:tcPr>
          <w:p w14:paraId="0C735310" w14:textId="77777777" w:rsidR="0007690F" w:rsidRPr="00D53A2B" w:rsidRDefault="0007690F" w:rsidP="00A202FD">
            <w:pPr>
              <w:widowControl w:val="0"/>
              <w:spacing w:after="240" w:line="276" w:lineRule="auto"/>
              <w:ind w:firstLine="1"/>
              <w:contextualSpacing/>
              <w:jc w:val="both"/>
              <w:rPr>
                <w:b/>
                <w:bCs/>
              </w:rPr>
            </w:pPr>
            <w:r w:rsidRPr="00D53A2B">
              <w:rPr>
                <w:b/>
                <w:bCs/>
              </w:rPr>
              <w:t>SO</w:t>
            </w:r>
            <w:r w:rsidRPr="00D53A2B">
              <w:rPr>
                <w:b/>
                <w:bCs/>
                <w:vertAlign w:val="subscript"/>
              </w:rPr>
              <w:t>2</w:t>
            </w:r>
          </w:p>
        </w:tc>
        <w:tc>
          <w:tcPr>
            <w:tcW w:w="1758" w:type="dxa"/>
            <w:noWrap/>
            <w:hideMark/>
          </w:tcPr>
          <w:p w14:paraId="3F463EF1" w14:textId="77777777" w:rsidR="0007690F" w:rsidRPr="00D53A2B" w:rsidRDefault="0007690F" w:rsidP="00A202FD">
            <w:pPr>
              <w:widowControl w:val="0"/>
              <w:spacing w:after="240" w:line="276" w:lineRule="auto"/>
              <w:ind w:firstLine="1"/>
              <w:contextualSpacing/>
              <w:jc w:val="both"/>
            </w:pPr>
            <w:r w:rsidRPr="00D53A2B">
              <w:t>mg/Nm³</w:t>
            </w:r>
          </w:p>
        </w:tc>
        <w:tc>
          <w:tcPr>
            <w:tcW w:w="1676" w:type="dxa"/>
            <w:noWrap/>
            <w:hideMark/>
          </w:tcPr>
          <w:p w14:paraId="04E96AE3" w14:textId="2CC584AD" w:rsidR="0007690F" w:rsidRPr="00D53A2B" w:rsidRDefault="0007690F" w:rsidP="00A202FD">
            <w:pPr>
              <w:widowControl w:val="0"/>
              <w:spacing w:after="240" w:line="276" w:lineRule="auto"/>
              <w:ind w:firstLine="1"/>
              <w:contextualSpacing/>
              <w:jc w:val="both"/>
            </w:pPr>
            <w:r w:rsidRPr="00D53A2B">
              <w:t>&lt; 10 </w:t>
            </w:r>
            <w:r w:rsidR="002837A1" w:rsidRPr="00D53A2B">
              <w:t>(7)</w:t>
            </w:r>
          </w:p>
        </w:tc>
        <w:tc>
          <w:tcPr>
            <w:tcW w:w="3395" w:type="dxa"/>
            <w:noWrap/>
            <w:hideMark/>
          </w:tcPr>
          <w:p w14:paraId="09B636F2" w14:textId="77777777" w:rsidR="0007690F" w:rsidRPr="00D53A2B" w:rsidRDefault="0007690F" w:rsidP="00A202FD">
            <w:pPr>
              <w:widowControl w:val="0"/>
              <w:spacing w:after="240" w:line="276" w:lineRule="auto"/>
              <w:ind w:firstLine="1"/>
              <w:contextualSpacing/>
              <w:jc w:val="both"/>
            </w:pPr>
            <w:r w:rsidRPr="00D53A2B">
              <w:t>Belirleyici emisyon seviyesi yok</w:t>
            </w:r>
          </w:p>
        </w:tc>
      </w:tr>
      <w:tr w:rsidR="0007690F" w:rsidRPr="00D53A2B" w14:paraId="18AC5A7A" w14:textId="77777777" w:rsidTr="00507ACB">
        <w:trPr>
          <w:trHeight w:val="320"/>
        </w:trPr>
        <w:tc>
          <w:tcPr>
            <w:tcW w:w="2097" w:type="dxa"/>
            <w:noWrap/>
            <w:hideMark/>
          </w:tcPr>
          <w:p w14:paraId="337D6C79" w14:textId="77777777" w:rsidR="0007690F" w:rsidRPr="00D53A2B" w:rsidRDefault="0007690F" w:rsidP="00A202FD">
            <w:pPr>
              <w:widowControl w:val="0"/>
              <w:spacing w:after="240" w:line="276" w:lineRule="auto"/>
              <w:ind w:firstLine="1"/>
              <w:contextualSpacing/>
              <w:jc w:val="both"/>
              <w:rPr>
                <w:b/>
                <w:bCs/>
              </w:rPr>
            </w:pPr>
            <w:r w:rsidRPr="00D53A2B">
              <w:rPr>
                <w:b/>
                <w:bCs/>
              </w:rPr>
              <w:t xml:space="preserve">Pb </w:t>
            </w:r>
          </w:p>
        </w:tc>
        <w:tc>
          <w:tcPr>
            <w:tcW w:w="1758" w:type="dxa"/>
            <w:noWrap/>
            <w:hideMark/>
          </w:tcPr>
          <w:p w14:paraId="6DB71D32" w14:textId="77777777" w:rsidR="0007690F" w:rsidRPr="00D53A2B" w:rsidRDefault="0007690F" w:rsidP="00A202FD">
            <w:pPr>
              <w:widowControl w:val="0"/>
              <w:spacing w:after="240" w:line="276" w:lineRule="auto"/>
              <w:ind w:firstLine="1"/>
              <w:contextualSpacing/>
              <w:jc w:val="both"/>
            </w:pPr>
            <w:r w:rsidRPr="00D53A2B">
              <w:t>mg/Nm³</w:t>
            </w:r>
          </w:p>
        </w:tc>
        <w:tc>
          <w:tcPr>
            <w:tcW w:w="1676" w:type="dxa"/>
            <w:noWrap/>
            <w:hideMark/>
          </w:tcPr>
          <w:p w14:paraId="24E7ECB2" w14:textId="64E12E6D" w:rsidR="0007690F" w:rsidRPr="00D53A2B" w:rsidRDefault="0007690F" w:rsidP="00A202FD">
            <w:pPr>
              <w:widowControl w:val="0"/>
              <w:spacing w:after="240" w:line="276" w:lineRule="auto"/>
              <w:ind w:firstLine="1"/>
              <w:contextualSpacing/>
              <w:jc w:val="both"/>
            </w:pPr>
            <w:r w:rsidRPr="00D53A2B">
              <w:t>&lt; 0,02 – 0,1 </w:t>
            </w:r>
            <w:r w:rsidR="002837A1" w:rsidRPr="00D53A2B">
              <w:t>(8)</w:t>
            </w:r>
          </w:p>
        </w:tc>
        <w:tc>
          <w:tcPr>
            <w:tcW w:w="3395" w:type="dxa"/>
            <w:noWrap/>
            <w:hideMark/>
          </w:tcPr>
          <w:p w14:paraId="707020EF" w14:textId="77777777" w:rsidR="0007690F" w:rsidRPr="00D53A2B" w:rsidRDefault="0007690F" w:rsidP="00A202FD">
            <w:pPr>
              <w:widowControl w:val="0"/>
              <w:spacing w:after="240" w:line="276" w:lineRule="auto"/>
              <w:ind w:firstLine="1"/>
              <w:contextualSpacing/>
              <w:jc w:val="both"/>
            </w:pPr>
            <w:r w:rsidRPr="00D53A2B">
              <w:t>Belirleyici emisyon seviyesi yok</w:t>
            </w:r>
          </w:p>
        </w:tc>
      </w:tr>
      <w:tr w:rsidR="00792F3B" w:rsidRPr="00D53A2B" w14:paraId="701D3BAD" w14:textId="77777777" w:rsidTr="00507ACB">
        <w:trPr>
          <w:trHeight w:val="320"/>
        </w:trPr>
        <w:tc>
          <w:tcPr>
            <w:tcW w:w="8926" w:type="dxa"/>
            <w:gridSpan w:val="4"/>
            <w:noWrap/>
          </w:tcPr>
          <w:p w14:paraId="501C94C3" w14:textId="77777777" w:rsidR="00792F3B" w:rsidRPr="009077F5" w:rsidRDefault="00792F3B" w:rsidP="00A202FD">
            <w:pPr>
              <w:widowControl w:val="0"/>
              <w:spacing w:after="240" w:line="276" w:lineRule="auto"/>
              <w:ind w:firstLine="1"/>
              <w:contextualSpacing/>
              <w:jc w:val="both"/>
              <w:rPr>
                <w:b/>
                <w:bCs/>
                <w:sz w:val="20"/>
                <w:szCs w:val="20"/>
              </w:rPr>
            </w:pPr>
            <w:r w:rsidRPr="009077F5">
              <w:rPr>
                <w:b/>
                <w:bCs/>
                <w:sz w:val="20"/>
                <w:szCs w:val="20"/>
              </w:rPr>
              <w:t>(1)</w:t>
            </w:r>
            <w:r w:rsidRPr="009077F5">
              <w:rPr>
                <w:sz w:val="20"/>
                <w:szCs w:val="20"/>
              </w:rPr>
              <w:t xml:space="preserve"> </w:t>
            </w:r>
            <w:r w:rsidRPr="009077F5">
              <w:rPr>
                <w:b/>
                <w:bCs/>
                <w:sz w:val="20"/>
                <w:szCs w:val="20"/>
              </w:rPr>
              <w:t>MET-İES sadece alüminyum dökümhaneleri için geçerlidir.</w:t>
            </w:r>
          </w:p>
          <w:p w14:paraId="7383D793" w14:textId="77777777" w:rsidR="00792F3B" w:rsidRPr="009077F5" w:rsidRDefault="00792F3B" w:rsidP="00A202FD">
            <w:pPr>
              <w:widowControl w:val="0"/>
              <w:spacing w:after="240" w:line="276" w:lineRule="auto"/>
              <w:ind w:firstLine="1"/>
              <w:contextualSpacing/>
              <w:jc w:val="both"/>
              <w:rPr>
                <w:b/>
                <w:bCs/>
                <w:sz w:val="20"/>
                <w:szCs w:val="20"/>
              </w:rPr>
            </w:pPr>
            <w:r w:rsidRPr="009077F5">
              <w:rPr>
                <w:b/>
                <w:bCs/>
                <w:sz w:val="20"/>
                <w:szCs w:val="20"/>
              </w:rPr>
              <w:t xml:space="preserve"> (2) Gösterge emisyon seviyesinin üst sınırı daha yüksek olabilir ve şaft fırınları durumunda 70 mg/Nm3 'e kadar çıkabilir.</w:t>
            </w:r>
          </w:p>
          <w:p w14:paraId="23F22155" w14:textId="77777777" w:rsidR="00792F3B" w:rsidRPr="009077F5" w:rsidRDefault="00792F3B" w:rsidP="00A202FD">
            <w:pPr>
              <w:widowControl w:val="0"/>
              <w:spacing w:after="240" w:line="276" w:lineRule="auto"/>
              <w:ind w:firstLine="1"/>
              <w:contextualSpacing/>
              <w:jc w:val="both"/>
              <w:rPr>
                <w:b/>
                <w:bCs/>
                <w:sz w:val="20"/>
                <w:szCs w:val="20"/>
              </w:rPr>
            </w:pPr>
            <w:r w:rsidRPr="009077F5">
              <w:rPr>
                <w:b/>
                <w:bCs/>
                <w:sz w:val="20"/>
                <w:szCs w:val="20"/>
              </w:rPr>
              <w:t xml:space="preserve"> (3) Gösterge emisyon seviyesi sadece elektrik enerjisi kullanan fırınlar için geçerli değildir (örn. rezistans).</w:t>
            </w:r>
          </w:p>
          <w:p w14:paraId="1AF58855" w14:textId="77777777" w:rsidR="00792F3B" w:rsidRPr="009077F5" w:rsidRDefault="00792F3B" w:rsidP="00A202FD">
            <w:pPr>
              <w:widowControl w:val="0"/>
              <w:spacing w:after="240" w:line="276" w:lineRule="auto"/>
              <w:ind w:firstLine="1"/>
              <w:contextualSpacing/>
              <w:jc w:val="both"/>
              <w:rPr>
                <w:b/>
                <w:bCs/>
                <w:sz w:val="20"/>
                <w:szCs w:val="20"/>
              </w:rPr>
            </w:pPr>
            <w:r w:rsidRPr="009077F5">
              <w:rPr>
                <w:b/>
                <w:bCs/>
                <w:sz w:val="20"/>
                <w:szCs w:val="20"/>
              </w:rPr>
              <w:t xml:space="preserve"> (4) MET-İES sadece elektrik enerjisi kullanan fırınlar için geçerli değildir (örn. rezistans).</w:t>
            </w:r>
          </w:p>
          <w:p w14:paraId="587BDF2C" w14:textId="77777777" w:rsidR="00792F3B" w:rsidRPr="009077F5" w:rsidRDefault="00792F3B" w:rsidP="00A202FD">
            <w:pPr>
              <w:widowControl w:val="0"/>
              <w:spacing w:after="240" w:line="276" w:lineRule="auto"/>
              <w:ind w:firstLine="1"/>
              <w:contextualSpacing/>
              <w:jc w:val="both"/>
              <w:rPr>
                <w:b/>
                <w:bCs/>
                <w:sz w:val="20"/>
                <w:szCs w:val="20"/>
              </w:rPr>
            </w:pPr>
            <w:r w:rsidRPr="009077F5">
              <w:rPr>
                <w:b/>
                <w:bCs/>
                <w:sz w:val="20"/>
                <w:szCs w:val="20"/>
              </w:rPr>
              <w:t xml:space="preserve"> (5) MET-İES aralığının üst ucu daha yüksek olabilir ve şaft fırınları durumunda 100 mg/Nm3 'e kadar çıkabilir.</w:t>
            </w:r>
          </w:p>
          <w:p w14:paraId="232D80F7" w14:textId="77777777" w:rsidR="00792F3B" w:rsidRPr="009077F5" w:rsidRDefault="00792F3B" w:rsidP="00A202FD">
            <w:pPr>
              <w:widowControl w:val="0"/>
              <w:spacing w:after="240" w:line="276" w:lineRule="auto"/>
              <w:ind w:firstLine="1"/>
              <w:contextualSpacing/>
              <w:jc w:val="both"/>
              <w:rPr>
                <w:b/>
                <w:bCs/>
                <w:sz w:val="20"/>
                <w:szCs w:val="20"/>
              </w:rPr>
            </w:pPr>
            <w:r w:rsidRPr="009077F5">
              <w:rPr>
                <w:b/>
                <w:bCs/>
                <w:sz w:val="20"/>
                <w:szCs w:val="20"/>
              </w:rPr>
              <w:t xml:space="preserve"> (6) MET-İES, yalnızca ilgili madde/parametrenin atık gaz akışında aşağıdakilere dayalı olarak ilgili olduğu tespit edildiğinde uygulanır </w:t>
            </w:r>
          </w:p>
          <w:p w14:paraId="23B93F60" w14:textId="77777777" w:rsidR="00792F3B" w:rsidRPr="009077F5" w:rsidRDefault="00792F3B" w:rsidP="00A202FD">
            <w:pPr>
              <w:widowControl w:val="0"/>
              <w:spacing w:after="240" w:line="276" w:lineRule="auto"/>
              <w:ind w:firstLine="1"/>
              <w:contextualSpacing/>
              <w:jc w:val="both"/>
              <w:rPr>
                <w:b/>
                <w:bCs/>
                <w:sz w:val="20"/>
                <w:szCs w:val="20"/>
              </w:rPr>
            </w:pPr>
            <w:r w:rsidRPr="009077F5">
              <w:rPr>
                <w:b/>
                <w:bCs/>
                <w:sz w:val="20"/>
                <w:szCs w:val="20"/>
              </w:rPr>
              <w:t>MET 2'de belirtilen girdi ve çıktıların envanteri.</w:t>
            </w:r>
          </w:p>
          <w:p w14:paraId="14C10FD5" w14:textId="77777777" w:rsidR="00792F3B" w:rsidRPr="009077F5" w:rsidRDefault="00792F3B" w:rsidP="00A202FD">
            <w:pPr>
              <w:widowControl w:val="0"/>
              <w:spacing w:after="240" w:line="276" w:lineRule="auto"/>
              <w:ind w:firstLine="1"/>
              <w:contextualSpacing/>
              <w:jc w:val="both"/>
              <w:rPr>
                <w:b/>
                <w:bCs/>
                <w:sz w:val="20"/>
                <w:szCs w:val="20"/>
              </w:rPr>
            </w:pPr>
            <w:r w:rsidRPr="009077F5">
              <w:rPr>
                <w:b/>
                <w:bCs/>
                <w:sz w:val="20"/>
                <w:szCs w:val="20"/>
              </w:rPr>
              <w:t xml:space="preserve"> (7) MET-İES sadece doğal gaz kullanıldığında geçerli değildir.</w:t>
            </w:r>
          </w:p>
          <w:p w14:paraId="4489A8CB" w14:textId="5FBF4C07" w:rsidR="00792F3B" w:rsidRPr="00D53A2B" w:rsidRDefault="00792F3B" w:rsidP="00A202FD">
            <w:pPr>
              <w:widowControl w:val="0"/>
              <w:spacing w:after="240" w:line="276" w:lineRule="auto"/>
              <w:ind w:firstLine="1"/>
              <w:contextualSpacing/>
              <w:jc w:val="both"/>
              <w:rPr>
                <w:b/>
                <w:bCs/>
              </w:rPr>
            </w:pPr>
            <w:r w:rsidRPr="009077F5">
              <w:rPr>
                <w:b/>
                <w:bCs/>
                <w:sz w:val="20"/>
                <w:szCs w:val="20"/>
              </w:rPr>
              <w:t xml:space="preserve"> (8) MET-İES sadece kurşun dökümhaneleri veya alaşım elementi olarak kurşun kullanan diğer NFM dökümhaneleri için geçerlidir.</w:t>
            </w:r>
          </w:p>
        </w:tc>
      </w:tr>
    </w:tbl>
    <w:p w14:paraId="531FB505" w14:textId="77777777" w:rsidR="0007690F" w:rsidRPr="00D53A2B" w:rsidRDefault="0007690F" w:rsidP="00A202FD">
      <w:pPr>
        <w:pStyle w:val="Balk4"/>
        <w:rPr>
          <w:rFonts w:cs="Times New Roman"/>
        </w:rPr>
      </w:pPr>
      <w:r w:rsidRPr="00D53A2B">
        <w:rPr>
          <w:rFonts w:cs="Times New Roman"/>
        </w:rPr>
        <w:t>1.2.4.3. Eriyik Metalin İşlenmesi ve Korunmasından Kaynaklanan Hava Emisyonları</w:t>
      </w:r>
    </w:p>
    <w:p w14:paraId="02706F7D" w14:textId="77777777" w:rsidR="0007690F" w:rsidRPr="00D53A2B" w:rsidRDefault="0007690F" w:rsidP="00A202FD">
      <w:pPr>
        <w:widowControl w:val="0"/>
        <w:spacing w:after="240" w:line="276" w:lineRule="auto"/>
        <w:ind w:firstLine="1"/>
        <w:contextualSpacing/>
        <w:jc w:val="both"/>
        <w:rPr>
          <w:b/>
          <w:bCs/>
        </w:rPr>
      </w:pPr>
      <w:r w:rsidRPr="00D53A2B">
        <w:rPr>
          <w:b/>
          <w:bCs/>
        </w:rPr>
        <w:t>MET 44: Erimiş alüminyumun işleminde (gaz alma/temizleme) klor gazı kullanımı MET değildir.</w:t>
      </w:r>
    </w:p>
    <w:p w14:paraId="2E71CCC0" w14:textId="77777777" w:rsidR="0007690F" w:rsidRPr="00D53A2B" w:rsidRDefault="0007690F" w:rsidP="00A202FD">
      <w:pPr>
        <w:widowControl w:val="0"/>
        <w:spacing w:after="240" w:line="276" w:lineRule="auto"/>
        <w:ind w:firstLine="1"/>
        <w:contextualSpacing/>
        <w:jc w:val="both"/>
        <w:rPr>
          <w:b/>
          <w:bCs/>
        </w:rPr>
      </w:pPr>
      <w:r w:rsidRPr="00D53A2B">
        <w:rPr>
          <w:b/>
          <w:bCs/>
        </w:rPr>
        <w:t>MET 45: Magnezyum eritme işleminde erimiş metalin korunmasında yüksek küresel ısınma potansiyeline sahip maddelerin emisyonlarını önlemek için, MET düşük küresel ısınma potansiyeline sahip oksidasyon kontrol ajanlarını kullanmaktır.</w:t>
      </w:r>
    </w:p>
    <w:p w14:paraId="5EC8C063"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p w14:paraId="56897041" w14:textId="77777777" w:rsidR="0007690F" w:rsidRPr="00D53A2B" w:rsidRDefault="0007690F" w:rsidP="00A202FD">
      <w:pPr>
        <w:widowControl w:val="0"/>
        <w:spacing w:after="240" w:line="276" w:lineRule="auto"/>
        <w:ind w:firstLine="1"/>
        <w:contextualSpacing/>
        <w:jc w:val="both"/>
      </w:pPr>
      <w:r w:rsidRPr="00D53A2B">
        <w:t>Düşük küresel ısınma potansiyeline sahip uygun oksidasyon kontrol ajanları (kaplama gazları) şunlardır:</w:t>
      </w:r>
    </w:p>
    <w:p w14:paraId="71A442BB" w14:textId="77777777" w:rsidR="0007690F" w:rsidRPr="00D53A2B" w:rsidRDefault="0007690F" w:rsidP="00602365">
      <w:pPr>
        <w:widowControl w:val="0"/>
        <w:numPr>
          <w:ilvl w:val="0"/>
          <w:numId w:val="261"/>
        </w:numPr>
        <w:spacing w:after="240" w:line="276" w:lineRule="auto"/>
        <w:contextualSpacing/>
        <w:jc w:val="both"/>
      </w:pPr>
      <w:r w:rsidRPr="00D53A2B">
        <w:t>SO</w:t>
      </w:r>
      <w:r w:rsidRPr="00D53A2B">
        <w:rPr>
          <w:vertAlign w:val="subscript"/>
        </w:rPr>
        <w:t>2</w:t>
      </w:r>
    </w:p>
    <w:p w14:paraId="45A0E6F6" w14:textId="77777777" w:rsidR="0007690F" w:rsidRPr="00D53A2B" w:rsidRDefault="0007690F" w:rsidP="00602365">
      <w:pPr>
        <w:widowControl w:val="0"/>
        <w:numPr>
          <w:ilvl w:val="0"/>
          <w:numId w:val="261"/>
        </w:numPr>
        <w:spacing w:after="240" w:line="276" w:lineRule="auto"/>
        <w:contextualSpacing/>
        <w:jc w:val="both"/>
      </w:pPr>
      <w:r w:rsidRPr="00D53A2B">
        <w:t>N</w:t>
      </w:r>
      <w:r w:rsidRPr="00D53A2B">
        <w:rPr>
          <w:vertAlign w:val="subscript"/>
        </w:rPr>
        <w:t>2</w:t>
      </w:r>
      <w:r w:rsidRPr="00D53A2B">
        <w:t>, CO</w:t>
      </w:r>
      <w:r w:rsidRPr="00D53A2B">
        <w:rPr>
          <w:vertAlign w:val="subscript"/>
        </w:rPr>
        <w:t xml:space="preserve">2 </w:t>
      </w:r>
      <w:r w:rsidRPr="00D53A2B">
        <w:t>ve/veya SO</w:t>
      </w:r>
      <w:r w:rsidRPr="00D53A2B">
        <w:rPr>
          <w:vertAlign w:val="subscript"/>
        </w:rPr>
        <w:t>2</w:t>
      </w:r>
      <w:r w:rsidRPr="00D53A2B">
        <w:t xml:space="preserve"> gaz karışımları</w:t>
      </w:r>
    </w:p>
    <w:p w14:paraId="48C93BEA" w14:textId="77777777" w:rsidR="0007690F" w:rsidRPr="00D53A2B" w:rsidRDefault="0007690F" w:rsidP="00602365">
      <w:pPr>
        <w:widowControl w:val="0"/>
        <w:numPr>
          <w:ilvl w:val="0"/>
          <w:numId w:val="261"/>
        </w:numPr>
        <w:spacing w:after="240" w:line="276" w:lineRule="auto"/>
        <w:contextualSpacing/>
        <w:jc w:val="both"/>
      </w:pPr>
      <w:r w:rsidRPr="00D53A2B">
        <w:t>Argon ve SO</w:t>
      </w:r>
      <w:r w:rsidRPr="00D53A2B">
        <w:rPr>
          <w:vertAlign w:val="subscript"/>
        </w:rPr>
        <w:t>2</w:t>
      </w:r>
      <w:r w:rsidRPr="00D53A2B">
        <w:t xml:space="preserve"> gaz karışımları</w:t>
      </w:r>
    </w:p>
    <w:p w14:paraId="6B0C63F6" w14:textId="77777777" w:rsidR="0007690F" w:rsidRPr="00D53A2B" w:rsidRDefault="0007690F" w:rsidP="00A202FD">
      <w:pPr>
        <w:widowControl w:val="0"/>
        <w:spacing w:after="240" w:line="276" w:lineRule="auto"/>
        <w:ind w:firstLine="1"/>
        <w:contextualSpacing/>
        <w:jc w:val="both"/>
      </w:pPr>
      <w:r w:rsidRPr="00D53A2B">
        <w:t>SO</w:t>
      </w:r>
      <w:r w:rsidRPr="00D53A2B">
        <w:rPr>
          <w:vertAlign w:val="subscript"/>
        </w:rPr>
        <w:t>2</w:t>
      </w:r>
      <w:r w:rsidRPr="00D53A2B">
        <w:t xml:space="preserve"> kullanımı, MgSO</w:t>
      </w:r>
      <w:r w:rsidRPr="00D53A2B">
        <w:rPr>
          <w:vertAlign w:val="subscript"/>
        </w:rPr>
        <w:t>4</w:t>
      </w:r>
      <w:r w:rsidRPr="00D53A2B">
        <w:t>, MgS ve MgO'dan oluşan koruyucu bir tabakanın oluşumuna neden olur.</w:t>
      </w:r>
    </w:p>
    <w:p w14:paraId="5563BA0B" w14:textId="77777777" w:rsidR="0007690F" w:rsidRPr="00D53A2B" w:rsidRDefault="0007690F" w:rsidP="00A202FD">
      <w:pPr>
        <w:pStyle w:val="Balk2"/>
        <w:rPr>
          <w:rFonts w:cs="Times New Roman"/>
          <w:szCs w:val="24"/>
        </w:rPr>
      </w:pPr>
      <w:r w:rsidRPr="00D53A2B">
        <w:rPr>
          <w:rFonts w:cs="Times New Roman"/>
          <w:szCs w:val="24"/>
        </w:rPr>
        <w:t>1.3. Çelik Dövme İşlemleri İçin MET Sonuçları</w:t>
      </w:r>
    </w:p>
    <w:p w14:paraId="6DE52491" w14:textId="77777777" w:rsidR="0007690F" w:rsidRPr="00D53A2B" w:rsidRDefault="0007690F" w:rsidP="00A202FD">
      <w:pPr>
        <w:widowControl w:val="0"/>
        <w:spacing w:after="240" w:line="276" w:lineRule="auto"/>
        <w:ind w:firstLine="1"/>
        <w:contextualSpacing/>
        <w:jc w:val="both"/>
      </w:pPr>
      <w:r w:rsidRPr="00D53A2B">
        <w:t>Bu bölümdeki MET sonuçları, Bölüm 1.1'de verilen genel MET sonuçlarına ek olarak uygulanır.</w:t>
      </w:r>
    </w:p>
    <w:p w14:paraId="0AB8B016" w14:textId="77777777" w:rsidR="0007690F" w:rsidRPr="00D53A2B" w:rsidRDefault="0007690F" w:rsidP="00A202FD">
      <w:pPr>
        <w:pStyle w:val="Balk3"/>
        <w:rPr>
          <w:rFonts w:cs="Times New Roman"/>
        </w:rPr>
      </w:pPr>
      <w:r w:rsidRPr="00D53A2B">
        <w:rPr>
          <w:rFonts w:cs="Times New Roman"/>
        </w:rPr>
        <w:t>1.3.1. Enerji Verimliliği</w:t>
      </w:r>
    </w:p>
    <w:p w14:paraId="6A47F490" w14:textId="77777777" w:rsidR="0007690F" w:rsidRPr="00D53A2B" w:rsidRDefault="0007690F" w:rsidP="00A202FD">
      <w:pPr>
        <w:widowControl w:val="0"/>
        <w:spacing w:after="240" w:line="276" w:lineRule="auto"/>
        <w:ind w:firstLine="1"/>
        <w:contextualSpacing/>
        <w:jc w:val="both"/>
        <w:rPr>
          <w:b/>
          <w:bCs/>
        </w:rPr>
      </w:pPr>
      <w:r w:rsidRPr="00D53A2B">
        <w:rPr>
          <w:b/>
          <w:bCs/>
        </w:rPr>
        <w:t>MET 46: Isıtma/yeniden ısıtma ve ısıl işlem süreçlerinde enerji verimliliğini artırmak için, MET aşağıda verilen tüm teknikleri kullanmaktır.</w:t>
      </w:r>
    </w:p>
    <w:tbl>
      <w:tblPr>
        <w:tblW w:w="9062" w:type="dxa"/>
        <w:tblCellMar>
          <w:left w:w="70" w:type="dxa"/>
          <w:right w:w="70" w:type="dxa"/>
        </w:tblCellMar>
        <w:tblLook w:val="04A0" w:firstRow="1" w:lastRow="0" w:firstColumn="1" w:lastColumn="0" w:noHBand="0" w:noVBand="1"/>
      </w:tblPr>
      <w:tblGrid>
        <w:gridCol w:w="1635"/>
        <w:gridCol w:w="5081"/>
        <w:gridCol w:w="2346"/>
      </w:tblGrid>
      <w:tr w:rsidR="0007690F" w:rsidRPr="00D53A2B" w14:paraId="04214CC3" w14:textId="77777777" w:rsidTr="00A202FD">
        <w:trPr>
          <w:trHeight w:val="320"/>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7E1778"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5081" w:type="dxa"/>
            <w:tcBorders>
              <w:top w:val="single" w:sz="4" w:space="0" w:color="auto"/>
              <w:left w:val="nil"/>
              <w:bottom w:val="single" w:sz="4" w:space="0" w:color="auto"/>
              <w:right w:val="single" w:sz="4" w:space="0" w:color="auto"/>
            </w:tcBorders>
            <w:shd w:val="clear" w:color="auto" w:fill="auto"/>
            <w:noWrap/>
            <w:vAlign w:val="bottom"/>
            <w:hideMark/>
          </w:tcPr>
          <w:p w14:paraId="31574AA9"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2346" w:type="dxa"/>
            <w:tcBorders>
              <w:top w:val="single" w:sz="4" w:space="0" w:color="auto"/>
              <w:left w:val="nil"/>
              <w:bottom w:val="single" w:sz="4" w:space="0" w:color="auto"/>
              <w:right w:val="single" w:sz="4" w:space="0" w:color="auto"/>
            </w:tcBorders>
            <w:shd w:val="clear" w:color="auto" w:fill="auto"/>
            <w:noWrap/>
            <w:vAlign w:val="bottom"/>
            <w:hideMark/>
          </w:tcPr>
          <w:p w14:paraId="7CD7F6BB"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tc>
      </w:tr>
      <w:tr w:rsidR="00F72785" w:rsidRPr="00D53A2B" w14:paraId="1916B878" w14:textId="77777777" w:rsidTr="00DC081E">
        <w:trPr>
          <w:trHeight w:val="547"/>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8A8CD1" w14:textId="77777777" w:rsidR="0007690F" w:rsidRPr="00D53A2B" w:rsidRDefault="0007690F" w:rsidP="00A202FD">
            <w:pPr>
              <w:widowControl w:val="0"/>
              <w:spacing w:after="240" w:line="276" w:lineRule="auto"/>
              <w:ind w:firstLine="1"/>
              <w:contextualSpacing/>
              <w:jc w:val="both"/>
              <w:rPr>
                <w:b/>
                <w:bCs/>
              </w:rPr>
            </w:pPr>
            <w:r w:rsidRPr="00D53A2B">
              <w:rPr>
                <w:b/>
                <w:bCs/>
              </w:rPr>
              <w:t>a. Fırın tasarımının optimizasyonu</w:t>
            </w:r>
          </w:p>
          <w:p w14:paraId="3A48D557" w14:textId="77777777" w:rsidR="0007690F" w:rsidRPr="00D53A2B" w:rsidRDefault="0007690F" w:rsidP="00A202FD">
            <w:pPr>
              <w:widowControl w:val="0"/>
              <w:spacing w:after="240" w:line="276" w:lineRule="auto"/>
              <w:ind w:firstLine="1"/>
              <w:contextualSpacing/>
              <w:jc w:val="both"/>
            </w:pPr>
            <w:r w:rsidRPr="00D53A2B">
              <w:t> </w:t>
            </w:r>
          </w:p>
          <w:p w14:paraId="172D32EA" w14:textId="77777777" w:rsidR="0007690F" w:rsidRPr="00D53A2B" w:rsidRDefault="0007690F" w:rsidP="00A202FD">
            <w:pPr>
              <w:widowControl w:val="0"/>
              <w:spacing w:after="240" w:line="276" w:lineRule="auto"/>
              <w:ind w:firstLine="1"/>
              <w:contextualSpacing/>
              <w:jc w:val="both"/>
            </w:pPr>
            <w:r w:rsidRPr="00D53A2B">
              <w:t> </w:t>
            </w:r>
          </w:p>
          <w:p w14:paraId="3C06F959" w14:textId="77777777" w:rsidR="0007690F" w:rsidRPr="00D53A2B" w:rsidRDefault="0007690F" w:rsidP="00A202FD">
            <w:pPr>
              <w:widowControl w:val="0"/>
              <w:spacing w:after="240" w:line="276" w:lineRule="auto"/>
              <w:ind w:firstLine="1"/>
              <w:contextualSpacing/>
              <w:jc w:val="both"/>
              <w:rPr>
                <w:b/>
                <w:bCs/>
              </w:rPr>
            </w:pPr>
            <w:r w:rsidRPr="00D53A2B">
              <w:t> </w:t>
            </w:r>
          </w:p>
        </w:tc>
        <w:tc>
          <w:tcPr>
            <w:tcW w:w="5081" w:type="dxa"/>
            <w:tcBorders>
              <w:top w:val="single" w:sz="4" w:space="0" w:color="auto"/>
              <w:left w:val="nil"/>
              <w:bottom w:val="single" w:sz="4" w:space="0" w:color="auto"/>
              <w:right w:val="single" w:sz="4" w:space="0" w:color="auto"/>
            </w:tcBorders>
            <w:shd w:val="clear" w:color="auto" w:fill="auto"/>
            <w:noWrap/>
            <w:vAlign w:val="bottom"/>
            <w:hideMark/>
          </w:tcPr>
          <w:p w14:paraId="7298A9F7" w14:textId="77777777" w:rsidR="0007690F" w:rsidRPr="00D53A2B" w:rsidRDefault="0007690F" w:rsidP="00A202FD">
            <w:pPr>
              <w:widowControl w:val="0"/>
              <w:spacing w:after="240" w:line="276" w:lineRule="auto"/>
              <w:ind w:firstLine="1"/>
              <w:contextualSpacing/>
              <w:jc w:val="both"/>
            </w:pPr>
            <w:r w:rsidRPr="00D53A2B">
              <w:t>Şu teknikleri içerir:</w:t>
            </w:r>
          </w:p>
          <w:p w14:paraId="65BD5261" w14:textId="77777777" w:rsidR="0007690F" w:rsidRPr="00D53A2B" w:rsidRDefault="0007690F" w:rsidP="00A202FD">
            <w:pPr>
              <w:widowControl w:val="0"/>
              <w:spacing w:after="240" w:line="276" w:lineRule="auto"/>
              <w:ind w:firstLine="1"/>
              <w:contextualSpacing/>
              <w:jc w:val="both"/>
            </w:pPr>
            <w:r w:rsidRPr="00D53A2B">
              <w:t>— Ana fırın özelliklerinin optimizasyonu (örneğin, brülörlerin sayısı ve tipi, hava sızdırmazlığı, uygun refrakter malzemelerle yapılan fırın izolasyonu);</w:t>
            </w:r>
          </w:p>
          <w:p w14:paraId="2B0E3193" w14:textId="77777777" w:rsidR="0007690F" w:rsidRPr="00D53A2B" w:rsidRDefault="0007690F" w:rsidP="00A202FD">
            <w:pPr>
              <w:widowControl w:val="0"/>
              <w:spacing w:after="240" w:line="276" w:lineRule="auto"/>
              <w:ind w:firstLine="1"/>
              <w:contextualSpacing/>
              <w:jc w:val="both"/>
            </w:pPr>
            <w:r w:rsidRPr="00D53A2B">
              <w:t>— Sürekli yeniden ısıtma fırınlarında, tek bir kapı yerine birkaç kaldırılabilir segment kullanarak fırın kapısı açıklıklarından ısı kayıplarının en aza indirilmesi;</w:t>
            </w:r>
          </w:p>
          <w:p w14:paraId="5A90A22D" w14:textId="77777777" w:rsidR="0007690F" w:rsidRPr="00D53A2B" w:rsidRDefault="0007690F" w:rsidP="00A202FD">
            <w:pPr>
              <w:widowControl w:val="0"/>
              <w:spacing w:after="240" w:line="276" w:lineRule="auto"/>
              <w:ind w:firstLine="1"/>
              <w:contextualSpacing/>
              <w:jc w:val="both"/>
            </w:pPr>
            <w:r w:rsidRPr="00D53A2B">
              <w:t>— Sürekli yeniden ısıtma fırınlarında, içindeki malzeme destekleyici yapılarının (örneğin, kirişler, kızaklar) sayısının en aza indirilmesi ve destek yapıların su soğutmasından kaynaklanan ısı kayıplarını azaltmak için uygun izolasyon kullanımı.</w:t>
            </w:r>
          </w:p>
        </w:tc>
        <w:tc>
          <w:tcPr>
            <w:tcW w:w="2346" w:type="dxa"/>
            <w:tcBorders>
              <w:top w:val="single" w:sz="4" w:space="0" w:color="auto"/>
              <w:left w:val="nil"/>
              <w:bottom w:val="single" w:sz="4" w:space="0" w:color="auto"/>
              <w:right w:val="single" w:sz="4" w:space="0" w:color="auto"/>
            </w:tcBorders>
            <w:shd w:val="clear" w:color="auto" w:fill="auto"/>
            <w:noWrap/>
            <w:vAlign w:val="bottom"/>
            <w:hideMark/>
          </w:tcPr>
          <w:p w14:paraId="79AA8703" w14:textId="77777777" w:rsidR="0007690F" w:rsidRPr="00D53A2B" w:rsidRDefault="0007690F" w:rsidP="00A202FD">
            <w:pPr>
              <w:widowControl w:val="0"/>
              <w:spacing w:after="240" w:line="276" w:lineRule="auto"/>
              <w:ind w:firstLine="1"/>
              <w:contextualSpacing/>
              <w:jc w:val="both"/>
            </w:pPr>
            <w:r w:rsidRPr="00D53A2B">
              <w:t>Yalnızca yeni tesislere ve büyük tesis yükseltmelerine uygulanabilir.</w:t>
            </w:r>
          </w:p>
          <w:p w14:paraId="1E0A8929" w14:textId="77777777" w:rsidR="0007690F" w:rsidRPr="00D53A2B" w:rsidRDefault="0007690F" w:rsidP="00A202FD">
            <w:pPr>
              <w:widowControl w:val="0"/>
              <w:spacing w:after="240" w:line="276" w:lineRule="auto"/>
              <w:ind w:firstLine="1"/>
              <w:contextualSpacing/>
              <w:jc w:val="both"/>
            </w:pPr>
            <w:r w:rsidRPr="00D53A2B">
              <w:t> </w:t>
            </w:r>
          </w:p>
          <w:p w14:paraId="153CA22B" w14:textId="77777777" w:rsidR="0007690F" w:rsidRPr="00D53A2B" w:rsidRDefault="0007690F" w:rsidP="00A202FD">
            <w:pPr>
              <w:widowControl w:val="0"/>
              <w:spacing w:after="240" w:line="276" w:lineRule="auto"/>
              <w:ind w:firstLine="1"/>
              <w:contextualSpacing/>
              <w:jc w:val="both"/>
            </w:pPr>
            <w:r w:rsidRPr="00D53A2B">
              <w:t> </w:t>
            </w:r>
          </w:p>
          <w:p w14:paraId="52260EE8"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3A26A069" w14:textId="77777777" w:rsidTr="00A202FD">
        <w:trPr>
          <w:trHeight w:val="320"/>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AF936F" w14:textId="77777777" w:rsidR="0007690F" w:rsidRPr="00D53A2B" w:rsidRDefault="0007690F" w:rsidP="00A202FD">
            <w:pPr>
              <w:widowControl w:val="0"/>
              <w:spacing w:after="240" w:line="276" w:lineRule="auto"/>
              <w:ind w:firstLine="1"/>
              <w:contextualSpacing/>
              <w:jc w:val="both"/>
              <w:rPr>
                <w:b/>
                <w:bCs/>
              </w:rPr>
            </w:pPr>
            <w:r w:rsidRPr="00D53A2B">
              <w:rPr>
                <w:b/>
                <w:bCs/>
              </w:rPr>
              <w:t>b. Fırın otomasyonu ve kontrolü</w:t>
            </w:r>
          </w:p>
        </w:tc>
        <w:tc>
          <w:tcPr>
            <w:tcW w:w="5081" w:type="dxa"/>
            <w:tcBorders>
              <w:top w:val="single" w:sz="4" w:space="0" w:color="auto"/>
              <w:left w:val="nil"/>
              <w:bottom w:val="single" w:sz="4" w:space="0" w:color="auto"/>
              <w:right w:val="single" w:sz="4" w:space="0" w:color="auto"/>
            </w:tcBorders>
            <w:shd w:val="clear" w:color="auto" w:fill="auto"/>
            <w:noWrap/>
            <w:vAlign w:val="bottom"/>
            <w:hideMark/>
          </w:tcPr>
          <w:p w14:paraId="45B7D9DF" w14:textId="77777777" w:rsidR="0007690F" w:rsidRPr="00D53A2B" w:rsidRDefault="0007690F" w:rsidP="00A202FD">
            <w:pPr>
              <w:widowControl w:val="0"/>
              <w:spacing w:after="240" w:line="276" w:lineRule="auto"/>
              <w:ind w:firstLine="1"/>
              <w:contextualSpacing/>
              <w:jc w:val="both"/>
            </w:pPr>
            <w:r w:rsidRPr="00D53A2B">
              <w:t>Bölüm 1.4.1'e bakınız.</w:t>
            </w:r>
          </w:p>
        </w:tc>
        <w:tc>
          <w:tcPr>
            <w:tcW w:w="2346" w:type="dxa"/>
            <w:tcBorders>
              <w:top w:val="single" w:sz="4" w:space="0" w:color="auto"/>
              <w:left w:val="nil"/>
              <w:bottom w:val="single" w:sz="4" w:space="0" w:color="auto"/>
              <w:right w:val="single" w:sz="4" w:space="0" w:color="auto"/>
            </w:tcBorders>
            <w:shd w:val="clear" w:color="auto" w:fill="auto"/>
            <w:noWrap/>
            <w:vAlign w:val="bottom"/>
            <w:hideMark/>
          </w:tcPr>
          <w:p w14:paraId="392E23F8"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5FD5C68E" w14:textId="77777777" w:rsidTr="00A202FD">
        <w:trPr>
          <w:trHeight w:val="2334"/>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E4A246" w14:textId="77777777" w:rsidR="0007690F" w:rsidRPr="00D53A2B" w:rsidRDefault="0007690F" w:rsidP="00A202FD">
            <w:pPr>
              <w:widowControl w:val="0"/>
              <w:spacing w:after="240" w:line="276" w:lineRule="auto"/>
              <w:ind w:firstLine="1"/>
              <w:contextualSpacing/>
              <w:jc w:val="both"/>
              <w:rPr>
                <w:b/>
                <w:bCs/>
              </w:rPr>
            </w:pPr>
            <w:r w:rsidRPr="00D53A2B">
              <w:rPr>
                <w:b/>
                <w:bCs/>
              </w:rPr>
              <w:t>c. Malzeme ısıtma/yeniden ısıtma optimizasyonu</w:t>
            </w:r>
          </w:p>
          <w:p w14:paraId="3C32583B" w14:textId="77777777" w:rsidR="0007690F" w:rsidRPr="00D53A2B" w:rsidRDefault="0007690F" w:rsidP="00A202FD">
            <w:pPr>
              <w:widowControl w:val="0"/>
              <w:spacing w:after="240" w:line="276" w:lineRule="auto"/>
              <w:ind w:firstLine="1"/>
              <w:contextualSpacing/>
              <w:jc w:val="both"/>
            </w:pPr>
            <w:r w:rsidRPr="00D53A2B">
              <w:t> </w:t>
            </w:r>
          </w:p>
          <w:p w14:paraId="726FB290" w14:textId="77777777" w:rsidR="0007690F" w:rsidRPr="00D53A2B" w:rsidRDefault="0007690F" w:rsidP="00A202FD">
            <w:pPr>
              <w:widowControl w:val="0"/>
              <w:spacing w:after="240" w:line="276" w:lineRule="auto"/>
              <w:ind w:firstLine="1"/>
              <w:contextualSpacing/>
              <w:jc w:val="both"/>
            </w:pPr>
            <w:r w:rsidRPr="00D53A2B">
              <w:t> </w:t>
            </w:r>
          </w:p>
          <w:p w14:paraId="42222411" w14:textId="77777777" w:rsidR="0007690F" w:rsidRPr="00D53A2B" w:rsidRDefault="0007690F" w:rsidP="00A202FD">
            <w:pPr>
              <w:widowControl w:val="0"/>
              <w:spacing w:after="240" w:line="276" w:lineRule="auto"/>
              <w:ind w:firstLine="1"/>
              <w:contextualSpacing/>
              <w:jc w:val="both"/>
              <w:rPr>
                <w:b/>
                <w:bCs/>
              </w:rPr>
            </w:pPr>
            <w:r w:rsidRPr="00D53A2B">
              <w:t> </w:t>
            </w:r>
          </w:p>
        </w:tc>
        <w:tc>
          <w:tcPr>
            <w:tcW w:w="5081" w:type="dxa"/>
            <w:tcBorders>
              <w:top w:val="single" w:sz="4" w:space="0" w:color="auto"/>
              <w:left w:val="nil"/>
              <w:bottom w:val="single" w:sz="4" w:space="0" w:color="auto"/>
              <w:right w:val="single" w:sz="4" w:space="0" w:color="auto"/>
            </w:tcBorders>
            <w:shd w:val="clear" w:color="auto" w:fill="auto"/>
            <w:noWrap/>
            <w:vAlign w:val="bottom"/>
            <w:hideMark/>
          </w:tcPr>
          <w:p w14:paraId="32CE6D6E" w14:textId="77777777" w:rsidR="0007690F" w:rsidRPr="00D53A2B" w:rsidRDefault="0007690F" w:rsidP="00A202FD">
            <w:pPr>
              <w:widowControl w:val="0"/>
              <w:spacing w:after="240" w:line="276" w:lineRule="auto"/>
              <w:ind w:firstLine="1"/>
              <w:contextualSpacing/>
              <w:jc w:val="both"/>
            </w:pPr>
            <w:r w:rsidRPr="00D53A2B">
              <w:t>Şu teknikleri içerir:</w:t>
            </w:r>
          </w:p>
          <w:p w14:paraId="3448D2DA" w14:textId="77777777" w:rsidR="0007690F" w:rsidRPr="00D53A2B" w:rsidRDefault="0007690F" w:rsidP="00A202FD">
            <w:pPr>
              <w:widowControl w:val="0"/>
              <w:spacing w:after="240" w:line="276" w:lineRule="auto"/>
              <w:ind w:firstLine="1"/>
              <w:contextualSpacing/>
              <w:jc w:val="both"/>
            </w:pPr>
            <w:r w:rsidRPr="00D53A2B">
              <w:t>— Malzeme ısıtma/yeniden ısıtma hedef sıcaklıklarının sürekli olarak karşılandığından emin olunması;</w:t>
            </w:r>
          </w:p>
          <w:p w14:paraId="68CDD062" w14:textId="77777777" w:rsidR="0007690F" w:rsidRPr="00D53A2B" w:rsidRDefault="0007690F" w:rsidP="00A202FD">
            <w:pPr>
              <w:widowControl w:val="0"/>
              <w:spacing w:after="240" w:line="276" w:lineRule="auto"/>
              <w:ind w:firstLine="1"/>
              <w:contextualSpacing/>
              <w:jc w:val="both"/>
            </w:pPr>
            <w:r w:rsidRPr="00D53A2B">
              <w:t>— Boşta geçen dönemlerde ekipmanın kapatılması;</w:t>
            </w:r>
          </w:p>
          <w:p w14:paraId="3AC01B9D" w14:textId="77777777" w:rsidR="0007690F" w:rsidRPr="00D53A2B" w:rsidRDefault="0007690F" w:rsidP="00A202FD">
            <w:pPr>
              <w:widowControl w:val="0"/>
              <w:spacing w:after="240" w:line="276" w:lineRule="auto"/>
              <w:ind w:firstLine="1"/>
              <w:contextualSpacing/>
              <w:jc w:val="both"/>
            </w:pPr>
            <w:r w:rsidRPr="00D53A2B">
              <w:t>— Fırın operasyonlarının optimizasyonu, örneğin fırın kapasite kullanımının artırılması, hava/yakıt oranının düzeltilmesi, izolasyonun iyileştirilmesi.</w:t>
            </w:r>
          </w:p>
        </w:tc>
        <w:tc>
          <w:tcPr>
            <w:tcW w:w="2346" w:type="dxa"/>
            <w:tcBorders>
              <w:top w:val="single" w:sz="4" w:space="0" w:color="auto"/>
              <w:left w:val="nil"/>
              <w:bottom w:val="single" w:sz="4" w:space="0" w:color="auto"/>
              <w:right w:val="single" w:sz="4" w:space="0" w:color="auto"/>
            </w:tcBorders>
            <w:shd w:val="clear" w:color="auto" w:fill="auto"/>
            <w:noWrap/>
            <w:vAlign w:val="bottom"/>
            <w:hideMark/>
          </w:tcPr>
          <w:p w14:paraId="76F031F8" w14:textId="77777777" w:rsidR="0007690F" w:rsidRPr="00D53A2B" w:rsidRDefault="0007690F" w:rsidP="00A202FD">
            <w:pPr>
              <w:widowControl w:val="0"/>
              <w:spacing w:after="240" w:line="276" w:lineRule="auto"/>
              <w:ind w:firstLine="1"/>
              <w:contextualSpacing/>
              <w:jc w:val="both"/>
            </w:pPr>
            <w:r w:rsidRPr="00D53A2B">
              <w:t>Genel olarak uygulanabilir.</w:t>
            </w:r>
          </w:p>
          <w:p w14:paraId="77B9F26C" w14:textId="77777777" w:rsidR="0007690F" w:rsidRPr="00D53A2B" w:rsidRDefault="0007690F" w:rsidP="00A202FD">
            <w:pPr>
              <w:widowControl w:val="0"/>
              <w:spacing w:after="240" w:line="276" w:lineRule="auto"/>
              <w:ind w:firstLine="1"/>
              <w:contextualSpacing/>
              <w:jc w:val="both"/>
            </w:pPr>
            <w:r w:rsidRPr="00D53A2B">
              <w:t> </w:t>
            </w:r>
          </w:p>
          <w:p w14:paraId="339618D7" w14:textId="77777777" w:rsidR="0007690F" w:rsidRPr="00D53A2B" w:rsidRDefault="0007690F" w:rsidP="00A202FD">
            <w:pPr>
              <w:widowControl w:val="0"/>
              <w:spacing w:after="240" w:line="276" w:lineRule="auto"/>
              <w:ind w:firstLine="1"/>
              <w:contextualSpacing/>
              <w:jc w:val="both"/>
            </w:pPr>
            <w:r w:rsidRPr="00D53A2B">
              <w:t> </w:t>
            </w:r>
          </w:p>
          <w:p w14:paraId="2043B079"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1116C5DB" w14:textId="77777777" w:rsidTr="00A202FD">
        <w:trPr>
          <w:trHeight w:val="320"/>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2F230F" w14:textId="77777777" w:rsidR="0007690F" w:rsidRPr="00D53A2B" w:rsidRDefault="0007690F" w:rsidP="00A202FD">
            <w:pPr>
              <w:widowControl w:val="0"/>
              <w:spacing w:after="240" w:line="276" w:lineRule="auto"/>
              <w:ind w:firstLine="1"/>
              <w:contextualSpacing/>
              <w:jc w:val="both"/>
              <w:rPr>
                <w:b/>
                <w:bCs/>
              </w:rPr>
            </w:pPr>
            <w:r w:rsidRPr="00D53A2B">
              <w:rPr>
                <w:b/>
                <w:bCs/>
              </w:rPr>
              <w:t>d. Yanma havasının ön ısıtılması</w:t>
            </w:r>
          </w:p>
        </w:tc>
        <w:tc>
          <w:tcPr>
            <w:tcW w:w="5081" w:type="dxa"/>
            <w:tcBorders>
              <w:top w:val="single" w:sz="4" w:space="0" w:color="auto"/>
              <w:left w:val="nil"/>
              <w:bottom w:val="single" w:sz="4" w:space="0" w:color="auto"/>
              <w:right w:val="single" w:sz="4" w:space="0" w:color="auto"/>
            </w:tcBorders>
            <w:shd w:val="clear" w:color="auto" w:fill="auto"/>
            <w:noWrap/>
            <w:vAlign w:val="bottom"/>
            <w:hideMark/>
          </w:tcPr>
          <w:p w14:paraId="5660B863" w14:textId="77777777" w:rsidR="0007690F" w:rsidRPr="00D53A2B" w:rsidRDefault="0007690F" w:rsidP="00A202FD">
            <w:pPr>
              <w:widowControl w:val="0"/>
              <w:spacing w:after="240" w:line="276" w:lineRule="auto"/>
              <w:ind w:firstLine="1"/>
              <w:contextualSpacing/>
              <w:jc w:val="both"/>
            </w:pPr>
            <w:r w:rsidRPr="00D53A2B">
              <w:t>Bölüm 1.4.1'e bakınız.</w:t>
            </w:r>
          </w:p>
        </w:tc>
        <w:tc>
          <w:tcPr>
            <w:tcW w:w="2346" w:type="dxa"/>
            <w:tcBorders>
              <w:top w:val="single" w:sz="4" w:space="0" w:color="auto"/>
              <w:left w:val="nil"/>
              <w:bottom w:val="single" w:sz="4" w:space="0" w:color="auto"/>
              <w:right w:val="single" w:sz="4" w:space="0" w:color="auto"/>
            </w:tcBorders>
            <w:shd w:val="clear" w:color="auto" w:fill="auto"/>
            <w:noWrap/>
            <w:vAlign w:val="bottom"/>
            <w:hideMark/>
          </w:tcPr>
          <w:p w14:paraId="578E81CF" w14:textId="77777777" w:rsidR="0007690F" w:rsidRPr="00D53A2B" w:rsidRDefault="0007690F" w:rsidP="00A202FD">
            <w:pPr>
              <w:widowControl w:val="0"/>
              <w:spacing w:after="240" w:line="276" w:lineRule="auto"/>
              <w:ind w:firstLine="1"/>
              <w:contextualSpacing/>
              <w:jc w:val="both"/>
            </w:pPr>
            <w:r w:rsidRPr="00D53A2B">
              <w:t>Mevcut tesislerde, rejeneratif brülörlerin kurulumu için alan eksikliği nedeniyle uygulanabilirliği sınırlı olabilir.</w:t>
            </w:r>
          </w:p>
        </w:tc>
      </w:tr>
    </w:tbl>
    <w:p w14:paraId="31B12C5D" w14:textId="77777777" w:rsidR="0007690F" w:rsidRPr="00D53A2B" w:rsidRDefault="0007690F" w:rsidP="00A202FD">
      <w:pPr>
        <w:widowControl w:val="0"/>
        <w:spacing w:after="240" w:line="276" w:lineRule="auto"/>
        <w:ind w:firstLine="1"/>
        <w:contextualSpacing/>
        <w:jc w:val="both"/>
        <w:rPr>
          <w:b/>
          <w:bCs/>
        </w:rPr>
      </w:pPr>
      <w:r w:rsidRPr="00D53A2B">
        <w:rPr>
          <w:b/>
          <w:bCs/>
        </w:rPr>
        <w:t>Tablo 1.23</w:t>
      </w:r>
    </w:p>
    <w:p w14:paraId="74FFC266" w14:textId="77777777" w:rsidR="0007690F" w:rsidRPr="00D53A2B" w:rsidRDefault="0007690F" w:rsidP="00A202FD">
      <w:pPr>
        <w:widowControl w:val="0"/>
        <w:spacing w:after="240" w:line="276" w:lineRule="auto"/>
        <w:ind w:firstLine="1"/>
        <w:contextualSpacing/>
        <w:jc w:val="both"/>
      </w:pPr>
      <w:r w:rsidRPr="00D53A2B">
        <w:t>Tesisteki spesifik enerji tüketimi için göstergeler</w:t>
      </w:r>
    </w:p>
    <w:tbl>
      <w:tblPr>
        <w:tblStyle w:val="TabloKlavuzu"/>
        <w:tblW w:w="0" w:type="auto"/>
        <w:tblLook w:val="04A0" w:firstRow="1" w:lastRow="0" w:firstColumn="1" w:lastColumn="0" w:noHBand="0" w:noVBand="1"/>
      </w:tblPr>
      <w:tblGrid>
        <w:gridCol w:w="3020"/>
        <w:gridCol w:w="3020"/>
        <w:gridCol w:w="3020"/>
      </w:tblGrid>
      <w:tr w:rsidR="0007690F" w:rsidRPr="00D53A2B" w14:paraId="62EA4358" w14:textId="77777777" w:rsidTr="00A202FD">
        <w:tc>
          <w:tcPr>
            <w:tcW w:w="3020" w:type="dxa"/>
          </w:tcPr>
          <w:p w14:paraId="12D1C25C" w14:textId="77777777" w:rsidR="0007690F" w:rsidRPr="00D53A2B" w:rsidRDefault="0007690F" w:rsidP="00A202FD">
            <w:pPr>
              <w:widowControl w:val="0"/>
              <w:spacing w:after="240" w:line="276" w:lineRule="auto"/>
              <w:ind w:firstLine="1"/>
              <w:contextualSpacing/>
              <w:jc w:val="both"/>
            </w:pPr>
            <w:r w:rsidRPr="00D53A2B">
              <w:t>Sektör</w:t>
            </w:r>
          </w:p>
        </w:tc>
        <w:tc>
          <w:tcPr>
            <w:tcW w:w="3021" w:type="dxa"/>
          </w:tcPr>
          <w:p w14:paraId="141A0E47" w14:textId="77777777" w:rsidR="0007690F" w:rsidRPr="00D53A2B" w:rsidRDefault="0007690F" w:rsidP="00A202FD">
            <w:pPr>
              <w:widowControl w:val="0"/>
              <w:spacing w:after="240" w:line="276" w:lineRule="auto"/>
              <w:ind w:firstLine="1"/>
              <w:contextualSpacing/>
              <w:jc w:val="both"/>
            </w:pPr>
            <w:r w:rsidRPr="00D53A2B">
              <w:t>Birim</w:t>
            </w:r>
          </w:p>
        </w:tc>
        <w:tc>
          <w:tcPr>
            <w:tcW w:w="3021" w:type="dxa"/>
          </w:tcPr>
          <w:p w14:paraId="46A27EE0" w14:textId="77777777" w:rsidR="0007690F" w:rsidRPr="00D53A2B" w:rsidRDefault="0007690F" w:rsidP="00A202FD">
            <w:pPr>
              <w:widowControl w:val="0"/>
              <w:spacing w:after="240" w:line="276" w:lineRule="auto"/>
              <w:ind w:firstLine="1"/>
              <w:contextualSpacing/>
              <w:jc w:val="both"/>
            </w:pPr>
            <w:r w:rsidRPr="00D53A2B">
              <w:t>Gösterge seviyesi (Yıllık ortalama)</w:t>
            </w:r>
          </w:p>
        </w:tc>
      </w:tr>
      <w:tr w:rsidR="0007690F" w:rsidRPr="00D53A2B" w14:paraId="49BF350C" w14:textId="77777777" w:rsidTr="00A202FD">
        <w:tc>
          <w:tcPr>
            <w:tcW w:w="3020" w:type="dxa"/>
          </w:tcPr>
          <w:p w14:paraId="50267D5B" w14:textId="77777777" w:rsidR="0007690F" w:rsidRPr="00D53A2B" w:rsidRDefault="0007690F" w:rsidP="00A202FD">
            <w:pPr>
              <w:widowControl w:val="0"/>
              <w:spacing w:after="240" w:line="276" w:lineRule="auto"/>
              <w:ind w:firstLine="1"/>
              <w:contextualSpacing/>
              <w:jc w:val="both"/>
            </w:pPr>
            <w:r w:rsidRPr="00D53A2B">
              <w:t>Demircihaneler</w:t>
            </w:r>
          </w:p>
        </w:tc>
        <w:tc>
          <w:tcPr>
            <w:tcW w:w="3021" w:type="dxa"/>
          </w:tcPr>
          <w:p w14:paraId="6FA3E598" w14:textId="77777777" w:rsidR="0007690F" w:rsidRPr="00D53A2B" w:rsidRDefault="0007690F" w:rsidP="00A202FD">
            <w:pPr>
              <w:widowControl w:val="0"/>
              <w:spacing w:after="240" w:line="276" w:lineRule="auto"/>
              <w:ind w:firstLine="1"/>
              <w:contextualSpacing/>
              <w:jc w:val="both"/>
            </w:pPr>
            <w:r w:rsidRPr="00D53A2B">
              <w:t>kWh/t hammadde</w:t>
            </w:r>
          </w:p>
        </w:tc>
        <w:tc>
          <w:tcPr>
            <w:tcW w:w="3021" w:type="dxa"/>
          </w:tcPr>
          <w:p w14:paraId="7DABFABE" w14:textId="77777777" w:rsidR="0007690F" w:rsidRPr="00D53A2B" w:rsidRDefault="0007690F" w:rsidP="00A202FD">
            <w:pPr>
              <w:widowControl w:val="0"/>
              <w:spacing w:after="240" w:line="276" w:lineRule="auto"/>
              <w:ind w:firstLine="1"/>
              <w:contextualSpacing/>
              <w:jc w:val="both"/>
            </w:pPr>
            <w:r w:rsidRPr="00D53A2B">
              <w:t>1.700 – 6.500</w:t>
            </w:r>
          </w:p>
        </w:tc>
      </w:tr>
    </w:tbl>
    <w:p w14:paraId="4762E819" w14:textId="77777777" w:rsidR="0007690F" w:rsidRPr="00D53A2B" w:rsidRDefault="0007690F" w:rsidP="00A202FD">
      <w:pPr>
        <w:widowControl w:val="0"/>
        <w:spacing w:after="240" w:line="276" w:lineRule="auto"/>
        <w:ind w:firstLine="1"/>
        <w:contextualSpacing/>
        <w:jc w:val="both"/>
      </w:pPr>
      <w:r w:rsidRPr="00D53A2B">
        <w:t>İlgili izleme, MET 6'da verilmiştir.</w:t>
      </w:r>
    </w:p>
    <w:p w14:paraId="386EDFA6" w14:textId="77777777" w:rsidR="0007690F" w:rsidRPr="00D53A2B" w:rsidRDefault="0007690F" w:rsidP="00A202FD">
      <w:pPr>
        <w:pStyle w:val="Balk3"/>
        <w:rPr>
          <w:rFonts w:cs="Times New Roman"/>
        </w:rPr>
      </w:pPr>
      <w:r w:rsidRPr="00D53A2B">
        <w:rPr>
          <w:rFonts w:cs="Times New Roman"/>
        </w:rPr>
        <w:t>1.3.2. Malzeme verimliliği</w:t>
      </w:r>
    </w:p>
    <w:p w14:paraId="1086B19C" w14:textId="77777777" w:rsidR="0007690F" w:rsidRPr="00D53A2B" w:rsidRDefault="0007690F" w:rsidP="00A202FD">
      <w:pPr>
        <w:widowControl w:val="0"/>
        <w:spacing w:after="240" w:line="276" w:lineRule="auto"/>
        <w:ind w:firstLine="1"/>
        <w:contextualSpacing/>
        <w:jc w:val="both"/>
        <w:rPr>
          <w:b/>
          <w:bCs/>
        </w:rPr>
      </w:pPr>
      <w:r w:rsidRPr="00D53A2B">
        <w:rPr>
          <w:b/>
          <w:bCs/>
        </w:rPr>
        <w:t>MET 47. Malzeme verimliliğini artırmak ve atık miktarını azaltmak için, MET aşağıdaki tekniklerin tümünü kullanmayı önerir.</w:t>
      </w:r>
    </w:p>
    <w:p w14:paraId="1A585A08" w14:textId="77777777" w:rsidR="0007690F" w:rsidRPr="00D53A2B" w:rsidRDefault="0007690F" w:rsidP="00A202FD">
      <w:pPr>
        <w:widowControl w:val="0"/>
        <w:spacing w:after="240" w:line="276" w:lineRule="auto"/>
        <w:ind w:firstLine="1"/>
        <w:contextualSpacing/>
        <w:jc w:val="both"/>
        <w:rPr>
          <w:b/>
          <w:bCs/>
        </w:rPr>
      </w:pPr>
      <w:r w:rsidRPr="00D53A2B">
        <w:rPr>
          <w:b/>
          <w:bCs/>
        </w:rPr>
        <w:t>Teknik - Açıklama</w:t>
      </w:r>
    </w:p>
    <w:p w14:paraId="4A82ACC3" w14:textId="77777777" w:rsidR="0007690F" w:rsidRPr="00D53A2B" w:rsidRDefault="0007690F" w:rsidP="00602365">
      <w:pPr>
        <w:widowControl w:val="0"/>
        <w:numPr>
          <w:ilvl w:val="0"/>
          <w:numId w:val="262"/>
        </w:numPr>
        <w:spacing w:after="240" w:line="276" w:lineRule="auto"/>
        <w:contextualSpacing/>
        <w:jc w:val="both"/>
        <w:rPr>
          <w:b/>
          <w:bCs/>
        </w:rPr>
      </w:pPr>
      <w:r w:rsidRPr="00D53A2B">
        <w:rPr>
          <w:b/>
          <w:bCs/>
        </w:rPr>
        <w:t>Süreç optimizasyonu</w:t>
      </w:r>
    </w:p>
    <w:p w14:paraId="122A961A" w14:textId="77777777" w:rsidR="0007690F" w:rsidRPr="00D53A2B" w:rsidRDefault="0007690F" w:rsidP="00A202FD">
      <w:pPr>
        <w:widowControl w:val="0"/>
        <w:spacing w:after="240" w:line="276" w:lineRule="auto"/>
        <w:ind w:firstLine="1"/>
        <w:contextualSpacing/>
        <w:jc w:val="both"/>
      </w:pPr>
      <w:r w:rsidRPr="00D53A2B">
        <w:t>Bu, aşağıdaki teknikleri içerir:</w:t>
      </w:r>
    </w:p>
    <w:p w14:paraId="06CD0E15" w14:textId="77777777" w:rsidR="0007690F" w:rsidRPr="00D53A2B" w:rsidRDefault="0007690F" w:rsidP="00602365">
      <w:pPr>
        <w:widowControl w:val="0"/>
        <w:numPr>
          <w:ilvl w:val="0"/>
          <w:numId w:val="261"/>
        </w:numPr>
        <w:spacing w:after="240" w:line="276" w:lineRule="auto"/>
        <w:contextualSpacing/>
        <w:jc w:val="both"/>
      </w:pPr>
      <w:r w:rsidRPr="00D53A2B">
        <w:t>Süreçlerin bilgisayar destekli yönetimi, örneğin ısıtma/yeniden ısıtma döngüleri, çekiçleme sıralamaları;</w:t>
      </w:r>
    </w:p>
    <w:p w14:paraId="03A1FCAC" w14:textId="77777777" w:rsidR="0007690F" w:rsidRPr="00D53A2B" w:rsidRDefault="0007690F" w:rsidP="00602365">
      <w:pPr>
        <w:widowControl w:val="0"/>
        <w:numPr>
          <w:ilvl w:val="0"/>
          <w:numId w:val="261"/>
        </w:numPr>
        <w:spacing w:after="240" w:line="276" w:lineRule="auto"/>
        <w:contextualSpacing/>
        <w:jc w:val="both"/>
      </w:pPr>
      <w:r w:rsidRPr="00D53A2B">
        <w:t>Hammadde boyutuna göre uygun çekiç seçimi;</w:t>
      </w:r>
    </w:p>
    <w:p w14:paraId="7866F912" w14:textId="77777777" w:rsidR="0007690F" w:rsidRPr="00D53A2B" w:rsidRDefault="0007690F" w:rsidP="00602365">
      <w:pPr>
        <w:widowControl w:val="0"/>
        <w:numPr>
          <w:ilvl w:val="0"/>
          <w:numId w:val="261"/>
        </w:numPr>
        <w:spacing w:after="240" w:line="276" w:lineRule="auto"/>
        <w:contextualSpacing/>
        <w:jc w:val="both"/>
      </w:pPr>
      <w:r w:rsidRPr="00D53A2B">
        <w:t>Hammadde boyutunun, ya tam otomatik olarak dövme hattında ya da malzeme kesme organizasyon alanında (manuel) ayarlanması, böylece artıkların ve süreç operasyonlarının sayısını en aza indirgenmesi.</w:t>
      </w:r>
    </w:p>
    <w:p w14:paraId="216E1649" w14:textId="77777777" w:rsidR="0007690F" w:rsidRPr="00D53A2B" w:rsidRDefault="0007690F" w:rsidP="00A202FD">
      <w:pPr>
        <w:widowControl w:val="0"/>
        <w:spacing w:after="240" w:line="276" w:lineRule="auto"/>
        <w:contextualSpacing/>
        <w:jc w:val="both"/>
      </w:pPr>
    </w:p>
    <w:p w14:paraId="1759B3FB" w14:textId="77777777" w:rsidR="0007690F" w:rsidRPr="00D53A2B" w:rsidRDefault="0007690F" w:rsidP="00602365">
      <w:pPr>
        <w:widowControl w:val="0"/>
        <w:numPr>
          <w:ilvl w:val="0"/>
          <w:numId w:val="260"/>
        </w:numPr>
        <w:spacing w:after="240" w:line="276" w:lineRule="auto"/>
        <w:contextualSpacing/>
        <w:jc w:val="both"/>
        <w:rPr>
          <w:b/>
          <w:bCs/>
        </w:rPr>
      </w:pPr>
      <w:r w:rsidRPr="00D53A2B">
        <w:rPr>
          <w:b/>
          <w:bCs/>
        </w:rPr>
        <w:t>Hammadde ve yardımcı malzeme tüketiminin optimizasyonu</w:t>
      </w:r>
    </w:p>
    <w:p w14:paraId="675A6645" w14:textId="77777777" w:rsidR="0007690F" w:rsidRPr="00D53A2B" w:rsidRDefault="0007690F" w:rsidP="00A202FD">
      <w:pPr>
        <w:widowControl w:val="0"/>
        <w:spacing w:after="240" w:line="276" w:lineRule="auto"/>
        <w:ind w:firstLine="1"/>
        <w:contextualSpacing/>
        <w:jc w:val="both"/>
      </w:pPr>
      <w:r w:rsidRPr="00D53A2B">
        <w:t>Bu, aşağıdaki teknikleri içerir:</w:t>
      </w:r>
    </w:p>
    <w:p w14:paraId="121246DA" w14:textId="77777777" w:rsidR="0007690F" w:rsidRPr="00D53A2B" w:rsidRDefault="0007690F" w:rsidP="00602365">
      <w:pPr>
        <w:widowControl w:val="0"/>
        <w:numPr>
          <w:ilvl w:val="0"/>
          <w:numId w:val="261"/>
        </w:numPr>
        <w:spacing w:after="240" w:line="276" w:lineRule="auto"/>
        <w:contextualSpacing/>
        <w:jc w:val="both"/>
      </w:pPr>
      <w:r w:rsidRPr="00D53A2B">
        <w:t>Dövme aletlerinin ve dövme (kalıp) geometrisinin optimizasyonu için bilgisayar destekli tasarım kullanılması, böylece dövme testlerinin ihtiyacının azaltılması;</w:t>
      </w:r>
    </w:p>
    <w:p w14:paraId="6234CE3E" w14:textId="77777777" w:rsidR="0007690F" w:rsidRPr="00D53A2B" w:rsidRDefault="0007690F" w:rsidP="00602365">
      <w:pPr>
        <w:widowControl w:val="0"/>
        <w:numPr>
          <w:ilvl w:val="0"/>
          <w:numId w:val="261"/>
        </w:numPr>
        <w:spacing w:after="240" w:line="276" w:lineRule="auto"/>
        <w:contextualSpacing/>
        <w:jc w:val="both"/>
      </w:pPr>
      <w:r w:rsidRPr="00D53A2B">
        <w:t>Kapalı kalıp dövmesi için sentetik yağlayıcı gibi uygun soğutucu/yağlayıcı türünün seçimi, su bazlı grafit dispersiyonları;</w:t>
      </w:r>
    </w:p>
    <w:p w14:paraId="1ED91171" w14:textId="77777777" w:rsidR="0007690F" w:rsidRPr="00D53A2B" w:rsidRDefault="0007690F" w:rsidP="00602365">
      <w:pPr>
        <w:widowControl w:val="0"/>
        <w:numPr>
          <w:ilvl w:val="0"/>
          <w:numId w:val="261"/>
        </w:numPr>
        <w:spacing w:after="240" w:line="276" w:lineRule="auto"/>
        <w:contextualSpacing/>
        <w:jc w:val="both"/>
      </w:pPr>
      <w:r w:rsidRPr="00D53A2B">
        <w:t>Kapalı kalıp dövmesinde soğutucu/yağlayıcıların toplanması ve geri dönüştürülmesi sistemleri.</w:t>
      </w:r>
    </w:p>
    <w:p w14:paraId="087EEBA1" w14:textId="77777777" w:rsidR="0007690F" w:rsidRPr="00D53A2B" w:rsidRDefault="0007690F" w:rsidP="00602365">
      <w:pPr>
        <w:widowControl w:val="0"/>
        <w:numPr>
          <w:ilvl w:val="0"/>
          <w:numId w:val="260"/>
        </w:numPr>
        <w:spacing w:after="240" w:line="276" w:lineRule="auto"/>
        <w:contextualSpacing/>
        <w:jc w:val="both"/>
        <w:rPr>
          <w:b/>
          <w:bCs/>
        </w:rPr>
      </w:pPr>
      <w:r w:rsidRPr="00D53A2B">
        <w:rPr>
          <w:b/>
          <w:bCs/>
        </w:rPr>
        <w:t>Süreç artıklarının geri dönüştürülmesi</w:t>
      </w:r>
    </w:p>
    <w:p w14:paraId="08222F39" w14:textId="77777777" w:rsidR="0007690F" w:rsidRPr="00D53A2B" w:rsidRDefault="0007690F" w:rsidP="00A202FD">
      <w:pPr>
        <w:widowControl w:val="0"/>
        <w:spacing w:after="240" w:line="276" w:lineRule="auto"/>
        <w:ind w:firstLine="1"/>
        <w:contextualSpacing/>
        <w:jc w:val="both"/>
      </w:pPr>
      <w:r w:rsidRPr="00D53A2B">
        <w:t>Süreç artıklarının (örneğin hammadde hazırlama, çekiçleme ve bitirme süreçlerinden metal artıklar; kullanılan kumlama malzemeleri) geri dönüştürülmesi ve/veya yeniden kullanılması.</w:t>
      </w:r>
    </w:p>
    <w:p w14:paraId="227A45DF" w14:textId="77777777" w:rsidR="0007690F" w:rsidRPr="00D53A2B" w:rsidRDefault="0007690F" w:rsidP="00A202FD">
      <w:pPr>
        <w:pStyle w:val="Balk3"/>
        <w:rPr>
          <w:rFonts w:cs="Times New Roman"/>
        </w:rPr>
      </w:pPr>
      <w:r w:rsidRPr="00D53A2B">
        <w:rPr>
          <w:rFonts w:cs="Times New Roman"/>
        </w:rPr>
        <w:t>1.3.3. Titreşimler</w:t>
      </w:r>
    </w:p>
    <w:p w14:paraId="47D73D46" w14:textId="77777777" w:rsidR="0007690F" w:rsidRPr="00D53A2B" w:rsidRDefault="0007690F" w:rsidP="00A202FD">
      <w:pPr>
        <w:widowControl w:val="0"/>
        <w:spacing w:after="240" w:line="276" w:lineRule="auto"/>
        <w:ind w:firstLine="1"/>
        <w:contextualSpacing/>
        <w:jc w:val="both"/>
        <w:rPr>
          <w:b/>
          <w:bCs/>
        </w:rPr>
      </w:pPr>
      <w:r w:rsidRPr="00D53A2B">
        <w:rPr>
          <w:b/>
          <w:bCs/>
        </w:rPr>
        <w:t>MET 48. Çekiçleme işleminden kaynaklanan titreşimleri azaltmak için, MET titreşim azaltıcı ve yalıtım tekniklerinin kullanılmasını önerir.</w:t>
      </w:r>
    </w:p>
    <w:p w14:paraId="2756884A"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p w14:paraId="3DB73AE7" w14:textId="77777777" w:rsidR="0007690F" w:rsidRPr="00D53A2B" w:rsidRDefault="0007690F" w:rsidP="00A202FD">
      <w:pPr>
        <w:widowControl w:val="0"/>
        <w:spacing w:after="240" w:line="276" w:lineRule="auto"/>
        <w:ind w:firstLine="1"/>
        <w:contextualSpacing/>
        <w:jc w:val="both"/>
      </w:pPr>
      <w:r w:rsidRPr="00D53A2B">
        <w:t>Çekiçleme ekipmanları için titreşim azaltıcı ve yalıtım teknikleri, örneğin örme elastomerik yalıtım elemanları veya viskoz yay izolasyonları gibi titreşim sönümleme bileşenlerinin, örneğin örsün altına veya çekiç temeli altına yerleştirilmesini içerir.</w:t>
      </w:r>
    </w:p>
    <w:p w14:paraId="395B765A"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p w14:paraId="04D82AA6" w14:textId="77777777" w:rsidR="0007690F" w:rsidRPr="00D53A2B" w:rsidRDefault="0007690F" w:rsidP="00A202FD">
      <w:pPr>
        <w:widowControl w:val="0"/>
        <w:spacing w:after="240" w:line="276" w:lineRule="auto"/>
        <w:ind w:firstLine="1"/>
        <w:contextualSpacing/>
        <w:jc w:val="both"/>
      </w:pPr>
      <w:r w:rsidRPr="00D53A2B">
        <w:t>Yalnızca yeni tesisler ve/veya büyük tesis iyileştirmeleri için uygulanabilir.</w:t>
      </w:r>
    </w:p>
    <w:p w14:paraId="73E8CE82" w14:textId="77777777" w:rsidR="0007690F" w:rsidRPr="00D53A2B" w:rsidRDefault="0007690F" w:rsidP="00A202FD">
      <w:pPr>
        <w:pStyle w:val="Balk3"/>
        <w:rPr>
          <w:rFonts w:cs="Times New Roman"/>
        </w:rPr>
      </w:pPr>
      <w:r w:rsidRPr="00D53A2B">
        <w:rPr>
          <w:rFonts w:cs="Times New Roman"/>
        </w:rPr>
        <w:t>1.3.4. Havaya Salınan Emisyonların İzlenmesi</w:t>
      </w:r>
    </w:p>
    <w:p w14:paraId="454757DF" w14:textId="77777777" w:rsidR="0007690F" w:rsidRPr="00D53A2B" w:rsidRDefault="0007690F" w:rsidP="00A202FD">
      <w:pPr>
        <w:widowControl w:val="0"/>
        <w:spacing w:after="240" w:line="276" w:lineRule="auto"/>
        <w:ind w:firstLine="1"/>
        <w:contextualSpacing/>
        <w:jc w:val="both"/>
        <w:rPr>
          <w:b/>
          <w:bCs/>
        </w:rPr>
      </w:pPr>
      <w:r w:rsidRPr="00D53A2B">
        <w:rPr>
          <w:b/>
          <w:bCs/>
        </w:rPr>
        <w:t>MET 49. MET, havaya salınan kanallı emisyonları, aşağıda verilen sıklıkla ve AB standartlarına uygun olarak izlemelidir. AB standartları mevcut değilse, MET, eşdeğer bilimsel kalitede veri sağlayacak ISO, ulusal veya diğer uluslararası standartları kullanmalıdır.</w:t>
      </w:r>
    </w:p>
    <w:tbl>
      <w:tblPr>
        <w:tblStyle w:val="TabloKlavuzu"/>
        <w:tblW w:w="0" w:type="auto"/>
        <w:tblLook w:val="04A0" w:firstRow="1" w:lastRow="0" w:firstColumn="1" w:lastColumn="0" w:noHBand="0" w:noVBand="1"/>
      </w:tblPr>
      <w:tblGrid>
        <w:gridCol w:w="2259"/>
        <w:gridCol w:w="2725"/>
        <w:gridCol w:w="1608"/>
        <w:gridCol w:w="1241"/>
        <w:gridCol w:w="1227"/>
      </w:tblGrid>
      <w:tr w:rsidR="0007690F" w:rsidRPr="00D53A2B" w14:paraId="79782C2D" w14:textId="77777777" w:rsidTr="00A60E21">
        <w:trPr>
          <w:trHeight w:val="320"/>
        </w:trPr>
        <w:tc>
          <w:tcPr>
            <w:tcW w:w="2263" w:type="dxa"/>
            <w:noWrap/>
            <w:hideMark/>
          </w:tcPr>
          <w:p w14:paraId="5D02EF96" w14:textId="77777777" w:rsidR="0007690F" w:rsidRPr="00D53A2B" w:rsidRDefault="0007690F" w:rsidP="00A202FD">
            <w:pPr>
              <w:widowControl w:val="0"/>
              <w:spacing w:after="240" w:line="276" w:lineRule="auto"/>
              <w:ind w:firstLine="1"/>
              <w:contextualSpacing/>
              <w:jc w:val="both"/>
              <w:rPr>
                <w:b/>
                <w:bCs/>
              </w:rPr>
            </w:pPr>
            <w:r w:rsidRPr="00D53A2B">
              <w:rPr>
                <w:b/>
                <w:bCs/>
              </w:rPr>
              <w:t>Madde/Parametre</w:t>
            </w:r>
          </w:p>
        </w:tc>
        <w:tc>
          <w:tcPr>
            <w:tcW w:w="2732" w:type="dxa"/>
            <w:noWrap/>
            <w:hideMark/>
          </w:tcPr>
          <w:p w14:paraId="54AE24B5" w14:textId="77777777" w:rsidR="0007690F" w:rsidRPr="00D53A2B" w:rsidRDefault="0007690F" w:rsidP="00A202FD">
            <w:pPr>
              <w:widowControl w:val="0"/>
              <w:spacing w:after="240" w:line="276" w:lineRule="auto"/>
              <w:ind w:firstLine="1"/>
              <w:contextualSpacing/>
              <w:jc w:val="both"/>
              <w:rPr>
                <w:b/>
                <w:bCs/>
              </w:rPr>
            </w:pPr>
            <w:r w:rsidRPr="00D53A2B">
              <w:rPr>
                <w:b/>
                <w:bCs/>
              </w:rPr>
              <w:t>Spesifik Süreç</w:t>
            </w:r>
          </w:p>
        </w:tc>
        <w:tc>
          <w:tcPr>
            <w:tcW w:w="1612" w:type="dxa"/>
            <w:noWrap/>
            <w:hideMark/>
          </w:tcPr>
          <w:p w14:paraId="37C31E14" w14:textId="77777777" w:rsidR="0007690F" w:rsidRPr="00D53A2B" w:rsidRDefault="0007690F" w:rsidP="00A202FD">
            <w:pPr>
              <w:widowControl w:val="0"/>
              <w:spacing w:after="240" w:line="276" w:lineRule="auto"/>
              <w:ind w:firstLine="1"/>
              <w:contextualSpacing/>
              <w:jc w:val="both"/>
              <w:rPr>
                <w:b/>
                <w:bCs/>
              </w:rPr>
            </w:pPr>
            <w:r w:rsidRPr="00D53A2B">
              <w:rPr>
                <w:b/>
                <w:bCs/>
              </w:rPr>
              <w:t>Standart(lar)</w:t>
            </w:r>
          </w:p>
        </w:tc>
        <w:tc>
          <w:tcPr>
            <w:tcW w:w="1244" w:type="dxa"/>
            <w:noWrap/>
            <w:hideMark/>
          </w:tcPr>
          <w:p w14:paraId="5365B570" w14:textId="2BC5DA51" w:rsidR="0007690F" w:rsidRPr="00D53A2B" w:rsidRDefault="0007690F" w:rsidP="00A202FD">
            <w:pPr>
              <w:widowControl w:val="0"/>
              <w:spacing w:after="240" w:line="276" w:lineRule="auto"/>
              <w:ind w:firstLine="1"/>
              <w:contextualSpacing/>
              <w:jc w:val="both"/>
              <w:rPr>
                <w:b/>
                <w:bCs/>
              </w:rPr>
            </w:pPr>
            <w:r w:rsidRPr="00D53A2B">
              <w:rPr>
                <w:b/>
                <w:bCs/>
              </w:rPr>
              <w:t>Minimum İzleme Sıklığı (</w:t>
            </w:r>
            <w:r w:rsidR="00110DE1" w:rsidRPr="00D53A2B">
              <w:rPr>
                <w:b/>
                <w:bCs/>
              </w:rPr>
              <w:t>1</w:t>
            </w:r>
            <w:r w:rsidRPr="00D53A2B">
              <w:rPr>
                <w:b/>
                <w:bCs/>
              </w:rPr>
              <w:t>)</w:t>
            </w:r>
          </w:p>
        </w:tc>
        <w:tc>
          <w:tcPr>
            <w:tcW w:w="1230" w:type="dxa"/>
            <w:noWrap/>
            <w:hideMark/>
          </w:tcPr>
          <w:p w14:paraId="7FEE7129" w14:textId="77777777" w:rsidR="0007690F" w:rsidRPr="00D53A2B" w:rsidRDefault="0007690F" w:rsidP="00A202FD">
            <w:pPr>
              <w:widowControl w:val="0"/>
              <w:spacing w:after="240" w:line="276" w:lineRule="auto"/>
              <w:ind w:firstLine="1"/>
              <w:contextualSpacing/>
              <w:jc w:val="both"/>
              <w:rPr>
                <w:b/>
                <w:bCs/>
              </w:rPr>
            </w:pPr>
            <w:r w:rsidRPr="00D53A2B">
              <w:rPr>
                <w:b/>
                <w:bCs/>
              </w:rPr>
              <w:t>İzleme ile İlişkili</w:t>
            </w:r>
          </w:p>
        </w:tc>
      </w:tr>
      <w:tr w:rsidR="0007690F" w:rsidRPr="00D53A2B" w14:paraId="2F7AC7DB" w14:textId="77777777" w:rsidTr="00A60E21">
        <w:trPr>
          <w:trHeight w:val="320"/>
        </w:trPr>
        <w:tc>
          <w:tcPr>
            <w:tcW w:w="2263" w:type="dxa"/>
            <w:noWrap/>
            <w:hideMark/>
          </w:tcPr>
          <w:p w14:paraId="1243A4F9" w14:textId="77777777" w:rsidR="0007690F" w:rsidRPr="00D53A2B" w:rsidRDefault="0007690F" w:rsidP="00A202FD">
            <w:pPr>
              <w:widowControl w:val="0"/>
              <w:spacing w:after="240" w:line="276" w:lineRule="auto"/>
              <w:ind w:firstLine="1"/>
              <w:contextualSpacing/>
              <w:jc w:val="both"/>
              <w:rPr>
                <w:b/>
                <w:bCs/>
              </w:rPr>
            </w:pPr>
            <w:r w:rsidRPr="00D53A2B">
              <w:rPr>
                <w:b/>
                <w:bCs/>
              </w:rPr>
              <w:t>Azot oksitleri (NO</w:t>
            </w:r>
            <w:r w:rsidRPr="00D53A2B">
              <w:rPr>
                <w:b/>
                <w:bCs/>
                <w:vertAlign w:val="subscript"/>
              </w:rPr>
              <w:t>X</w:t>
            </w:r>
            <w:r w:rsidRPr="00D53A2B">
              <w:rPr>
                <w:b/>
                <w:bCs/>
              </w:rPr>
              <w:t>)</w:t>
            </w:r>
          </w:p>
        </w:tc>
        <w:tc>
          <w:tcPr>
            <w:tcW w:w="2732" w:type="dxa"/>
            <w:noWrap/>
            <w:hideMark/>
          </w:tcPr>
          <w:p w14:paraId="481CAA37" w14:textId="77777777" w:rsidR="0007690F" w:rsidRPr="00D53A2B" w:rsidRDefault="0007690F" w:rsidP="00A202FD">
            <w:pPr>
              <w:widowControl w:val="0"/>
              <w:spacing w:after="240" w:line="276" w:lineRule="auto"/>
              <w:ind w:firstLine="1"/>
              <w:contextualSpacing/>
              <w:jc w:val="both"/>
              <w:rPr>
                <w:b/>
                <w:bCs/>
              </w:rPr>
            </w:pPr>
            <w:r w:rsidRPr="00D53A2B">
              <w:rPr>
                <w:b/>
                <w:bCs/>
              </w:rPr>
              <w:t>Isıtma/yeniden ısıtma, ısıl işlem</w:t>
            </w:r>
          </w:p>
        </w:tc>
        <w:tc>
          <w:tcPr>
            <w:tcW w:w="1612" w:type="dxa"/>
            <w:noWrap/>
            <w:hideMark/>
          </w:tcPr>
          <w:p w14:paraId="0EBADDF2" w14:textId="77777777" w:rsidR="0007690F" w:rsidRPr="00D53A2B" w:rsidRDefault="0007690F" w:rsidP="00A202FD">
            <w:pPr>
              <w:widowControl w:val="0"/>
              <w:spacing w:after="240" w:line="276" w:lineRule="auto"/>
              <w:ind w:firstLine="1"/>
              <w:contextualSpacing/>
              <w:jc w:val="both"/>
              <w:rPr>
                <w:b/>
                <w:bCs/>
              </w:rPr>
            </w:pPr>
            <w:r w:rsidRPr="00D53A2B">
              <w:rPr>
                <w:b/>
                <w:bCs/>
              </w:rPr>
              <w:t>EN 14792</w:t>
            </w:r>
          </w:p>
        </w:tc>
        <w:tc>
          <w:tcPr>
            <w:tcW w:w="1244" w:type="dxa"/>
            <w:noWrap/>
            <w:hideMark/>
          </w:tcPr>
          <w:p w14:paraId="31E137D9" w14:textId="77777777" w:rsidR="0007690F" w:rsidRPr="00D53A2B" w:rsidRDefault="0007690F" w:rsidP="00A202FD">
            <w:pPr>
              <w:widowControl w:val="0"/>
              <w:spacing w:after="240" w:line="276" w:lineRule="auto"/>
              <w:ind w:firstLine="1"/>
              <w:contextualSpacing/>
              <w:jc w:val="both"/>
              <w:rPr>
                <w:b/>
                <w:bCs/>
              </w:rPr>
            </w:pPr>
            <w:r w:rsidRPr="00D53A2B">
              <w:rPr>
                <w:b/>
                <w:bCs/>
              </w:rPr>
              <w:t>Yılda bir kez</w:t>
            </w:r>
          </w:p>
        </w:tc>
        <w:tc>
          <w:tcPr>
            <w:tcW w:w="1230" w:type="dxa"/>
            <w:noWrap/>
            <w:hideMark/>
          </w:tcPr>
          <w:p w14:paraId="28285CBF" w14:textId="77777777" w:rsidR="0007690F" w:rsidRPr="00D53A2B" w:rsidRDefault="0007690F" w:rsidP="00A202FD">
            <w:pPr>
              <w:widowControl w:val="0"/>
              <w:spacing w:after="240" w:line="276" w:lineRule="auto"/>
              <w:ind w:firstLine="1"/>
              <w:contextualSpacing/>
              <w:jc w:val="both"/>
              <w:rPr>
                <w:b/>
                <w:bCs/>
              </w:rPr>
            </w:pPr>
            <w:r w:rsidRPr="00D53A2B">
              <w:rPr>
                <w:b/>
                <w:bCs/>
              </w:rPr>
              <w:t>MET 50</w:t>
            </w:r>
          </w:p>
        </w:tc>
      </w:tr>
      <w:tr w:rsidR="0007690F" w:rsidRPr="00D53A2B" w14:paraId="006E4E5E" w14:textId="77777777" w:rsidTr="00A60E21">
        <w:trPr>
          <w:trHeight w:val="320"/>
        </w:trPr>
        <w:tc>
          <w:tcPr>
            <w:tcW w:w="2263" w:type="dxa"/>
            <w:noWrap/>
            <w:hideMark/>
          </w:tcPr>
          <w:p w14:paraId="1451E671" w14:textId="77777777" w:rsidR="0007690F" w:rsidRPr="00D53A2B" w:rsidRDefault="0007690F" w:rsidP="00A202FD">
            <w:pPr>
              <w:widowControl w:val="0"/>
              <w:spacing w:after="240" w:line="276" w:lineRule="auto"/>
              <w:ind w:firstLine="1"/>
              <w:contextualSpacing/>
              <w:jc w:val="both"/>
              <w:rPr>
                <w:b/>
                <w:bCs/>
              </w:rPr>
            </w:pPr>
            <w:r w:rsidRPr="00D53A2B">
              <w:rPr>
                <w:b/>
                <w:bCs/>
              </w:rPr>
              <w:t>Karbon monoksit (CO)</w:t>
            </w:r>
          </w:p>
        </w:tc>
        <w:tc>
          <w:tcPr>
            <w:tcW w:w="2732" w:type="dxa"/>
            <w:noWrap/>
            <w:hideMark/>
          </w:tcPr>
          <w:p w14:paraId="25023446" w14:textId="77777777" w:rsidR="0007690F" w:rsidRPr="00D53A2B" w:rsidRDefault="0007690F" w:rsidP="00A202FD">
            <w:pPr>
              <w:widowControl w:val="0"/>
              <w:spacing w:after="240" w:line="276" w:lineRule="auto"/>
              <w:ind w:firstLine="1"/>
              <w:contextualSpacing/>
              <w:jc w:val="both"/>
              <w:rPr>
                <w:b/>
                <w:bCs/>
              </w:rPr>
            </w:pPr>
            <w:r w:rsidRPr="00D53A2B">
              <w:rPr>
                <w:b/>
                <w:bCs/>
              </w:rPr>
              <w:t>Isıtma/yeniden ısıtma, ısıl işlem</w:t>
            </w:r>
          </w:p>
        </w:tc>
        <w:tc>
          <w:tcPr>
            <w:tcW w:w="1612" w:type="dxa"/>
            <w:noWrap/>
            <w:hideMark/>
          </w:tcPr>
          <w:p w14:paraId="609C363F" w14:textId="77777777" w:rsidR="0007690F" w:rsidRPr="00D53A2B" w:rsidRDefault="0007690F" w:rsidP="00A202FD">
            <w:pPr>
              <w:widowControl w:val="0"/>
              <w:spacing w:after="240" w:line="276" w:lineRule="auto"/>
              <w:ind w:firstLine="1"/>
              <w:contextualSpacing/>
              <w:jc w:val="both"/>
              <w:rPr>
                <w:b/>
                <w:bCs/>
              </w:rPr>
            </w:pPr>
            <w:r w:rsidRPr="00D53A2B">
              <w:rPr>
                <w:b/>
                <w:bCs/>
              </w:rPr>
              <w:t>EN 15058</w:t>
            </w:r>
          </w:p>
        </w:tc>
        <w:tc>
          <w:tcPr>
            <w:tcW w:w="1244" w:type="dxa"/>
            <w:noWrap/>
            <w:hideMark/>
          </w:tcPr>
          <w:p w14:paraId="63DA0067" w14:textId="77777777" w:rsidR="0007690F" w:rsidRPr="00D53A2B" w:rsidRDefault="0007690F" w:rsidP="00A202FD">
            <w:pPr>
              <w:widowControl w:val="0"/>
              <w:spacing w:after="240" w:line="276" w:lineRule="auto"/>
              <w:ind w:firstLine="1"/>
              <w:contextualSpacing/>
              <w:jc w:val="both"/>
              <w:rPr>
                <w:b/>
                <w:bCs/>
              </w:rPr>
            </w:pPr>
            <w:r w:rsidRPr="00D53A2B">
              <w:rPr>
                <w:b/>
                <w:bCs/>
              </w:rPr>
              <w:t>Yılda bir kez</w:t>
            </w:r>
          </w:p>
        </w:tc>
        <w:tc>
          <w:tcPr>
            <w:tcW w:w="1230" w:type="dxa"/>
            <w:noWrap/>
            <w:hideMark/>
          </w:tcPr>
          <w:p w14:paraId="3D4E5060" w14:textId="77777777" w:rsidR="0007690F" w:rsidRPr="00D53A2B" w:rsidRDefault="0007690F" w:rsidP="00A202FD">
            <w:pPr>
              <w:widowControl w:val="0"/>
              <w:spacing w:after="240" w:line="276" w:lineRule="auto"/>
              <w:ind w:firstLine="1"/>
              <w:contextualSpacing/>
              <w:jc w:val="both"/>
              <w:rPr>
                <w:b/>
                <w:bCs/>
              </w:rPr>
            </w:pPr>
            <w:r w:rsidRPr="00D53A2B">
              <w:rPr>
                <w:b/>
                <w:bCs/>
              </w:rPr>
              <w:t>MET 50</w:t>
            </w:r>
          </w:p>
        </w:tc>
      </w:tr>
      <w:tr w:rsidR="00792F3B" w:rsidRPr="00D53A2B" w14:paraId="3D8BF269" w14:textId="77777777" w:rsidTr="00A202FD">
        <w:trPr>
          <w:trHeight w:val="320"/>
        </w:trPr>
        <w:tc>
          <w:tcPr>
            <w:tcW w:w="9081" w:type="dxa"/>
            <w:gridSpan w:val="5"/>
            <w:noWrap/>
          </w:tcPr>
          <w:p w14:paraId="10C3AB36" w14:textId="770813C0" w:rsidR="00792F3B" w:rsidRPr="00D53A2B" w:rsidRDefault="00792F3B" w:rsidP="00A202FD">
            <w:pPr>
              <w:widowControl w:val="0"/>
              <w:spacing w:after="240" w:line="276" w:lineRule="auto"/>
              <w:ind w:firstLine="1"/>
              <w:contextualSpacing/>
              <w:jc w:val="both"/>
              <w:rPr>
                <w:b/>
                <w:bCs/>
              </w:rPr>
            </w:pPr>
            <w:r w:rsidRPr="00D53A2B">
              <w:rPr>
                <w:b/>
                <w:bCs/>
              </w:rPr>
              <w:t>(1)Mümkün olduğu ölçüde, ölçümler normal çalışma koşulları altında beklenen en yüksek emisyon durumunda gerçekleştirilir</w:t>
            </w:r>
          </w:p>
        </w:tc>
      </w:tr>
    </w:tbl>
    <w:p w14:paraId="64A7FD27" w14:textId="77777777" w:rsidR="0007690F" w:rsidRPr="00D53A2B" w:rsidRDefault="0007690F" w:rsidP="00A202FD">
      <w:pPr>
        <w:pStyle w:val="Balk3"/>
        <w:rPr>
          <w:rFonts w:cs="Times New Roman"/>
        </w:rPr>
      </w:pPr>
      <w:r w:rsidRPr="00D53A2B">
        <w:rPr>
          <w:rFonts w:cs="Times New Roman"/>
        </w:rPr>
        <w:t>1.3.5. Havaya Salınan Emisyonlar</w:t>
      </w:r>
    </w:p>
    <w:p w14:paraId="1BA7A324" w14:textId="77777777" w:rsidR="0007690F" w:rsidRPr="00D53A2B" w:rsidRDefault="0007690F" w:rsidP="00A202FD">
      <w:pPr>
        <w:pStyle w:val="Balk4"/>
        <w:rPr>
          <w:rFonts w:cs="Times New Roman"/>
        </w:rPr>
      </w:pPr>
      <w:r w:rsidRPr="00D53A2B">
        <w:rPr>
          <w:rFonts w:cs="Times New Roman"/>
        </w:rPr>
        <w:t>1.3.5.1. Yaygın Havaya Salınan Emisyonlar</w:t>
      </w:r>
    </w:p>
    <w:p w14:paraId="092A4F55" w14:textId="77777777" w:rsidR="0007690F" w:rsidRPr="00D53A2B" w:rsidRDefault="0007690F" w:rsidP="00A202FD">
      <w:pPr>
        <w:widowControl w:val="0"/>
        <w:spacing w:after="240" w:line="276" w:lineRule="auto"/>
        <w:ind w:firstLine="1"/>
        <w:contextualSpacing/>
        <w:jc w:val="both"/>
        <w:rPr>
          <w:b/>
          <w:bCs/>
        </w:rPr>
      </w:pPr>
      <w:r w:rsidRPr="00D53A2B">
        <w:rPr>
          <w:b/>
          <w:bCs/>
        </w:rPr>
        <w:t>MET 50. Yaygın havaya salınan emisyonları engellemek veya azaltmak için, MET aşağıda verilen her iki tekniği de kullanmayı önerir.</w:t>
      </w:r>
    </w:p>
    <w:tbl>
      <w:tblPr>
        <w:tblW w:w="8926" w:type="dxa"/>
        <w:tblCellMar>
          <w:left w:w="70" w:type="dxa"/>
          <w:right w:w="70" w:type="dxa"/>
        </w:tblCellMar>
        <w:tblLook w:val="04A0" w:firstRow="1" w:lastRow="0" w:firstColumn="1" w:lastColumn="0" w:noHBand="0" w:noVBand="1"/>
      </w:tblPr>
      <w:tblGrid>
        <w:gridCol w:w="2830"/>
        <w:gridCol w:w="6096"/>
      </w:tblGrid>
      <w:tr w:rsidR="00BF6857" w:rsidRPr="00D53A2B" w14:paraId="425BA0C1" w14:textId="77777777" w:rsidTr="00507ACB">
        <w:trPr>
          <w:trHeight w:val="320"/>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BFA46D" w14:textId="77777777" w:rsidR="00BF6857" w:rsidRPr="00D53A2B" w:rsidRDefault="00BF6857" w:rsidP="00A202FD">
            <w:pPr>
              <w:widowControl w:val="0"/>
              <w:spacing w:after="240" w:line="276" w:lineRule="auto"/>
              <w:ind w:firstLine="1"/>
              <w:contextualSpacing/>
              <w:jc w:val="both"/>
              <w:rPr>
                <w:b/>
                <w:bCs/>
              </w:rPr>
            </w:pPr>
            <w:r w:rsidRPr="00D53A2B">
              <w:rPr>
                <w:b/>
                <w:bCs/>
              </w:rPr>
              <w:t>Teknik</w:t>
            </w:r>
          </w:p>
        </w:tc>
        <w:tc>
          <w:tcPr>
            <w:tcW w:w="6096" w:type="dxa"/>
            <w:tcBorders>
              <w:top w:val="single" w:sz="4" w:space="0" w:color="auto"/>
              <w:left w:val="nil"/>
              <w:bottom w:val="single" w:sz="4" w:space="0" w:color="auto"/>
              <w:right w:val="single" w:sz="4" w:space="0" w:color="auto"/>
            </w:tcBorders>
            <w:shd w:val="clear" w:color="auto" w:fill="auto"/>
            <w:noWrap/>
            <w:vAlign w:val="bottom"/>
            <w:hideMark/>
          </w:tcPr>
          <w:p w14:paraId="4513AE3B" w14:textId="77777777" w:rsidR="00BF6857" w:rsidRPr="00D53A2B" w:rsidRDefault="00BF6857" w:rsidP="00A202FD">
            <w:pPr>
              <w:widowControl w:val="0"/>
              <w:spacing w:after="240" w:line="276" w:lineRule="auto"/>
              <w:ind w:firstLine="1"/>
              <w:contextualSpacing/>
              <w:jc w:val="both"/>
              <w:rPr>
                <w:b/>
                <w:bCs/>
              </w:rPr>
            </w:pPr>
            <w:r w:rsidRPr="00D53A2B">
              <w:rPr>
                <w:b/>
                <w:bCs/>
              </w:rPr>
              <w:t>Açıklama</w:t>
            </w:r>
          </w:p>
        </w:tc>
      </w:tr>
      <w:tr w:rsidR="00BF6857" w:rsidRPr="00D53A2B" w14:paraId="32CBB279" w14:textId="77777777" w:rsidTr="00507ACB">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06B45047" w14:textId="77777777" w:rsidR="00BF6857" w:rsidRPr="00D53A2B" w:rsidRDefault="00BF6857" w:rsidP="00A202FD">
            <w:pPr>
              <w:widowControl w:val="0"/>
              <w:spacing w:after="240" w:line="276" w:lineRule="auto"/>
              <w:contextualSpacing/>
              <w:jc w:val="both"/>
            </w:pPr>
            <w:r w:rsidRPr="00D53A2B">
              <w:t>a.Operasyonel ve teknik önlemler</w:t>
            </w:r>
          </w:p>
          <w:p w14:paraId="5032E367" w14:textId="057E3A25" w:rsidR="00BF6857" w:rsidRPr="00D53A2B" w:rsidRDefault="00BF6857" w:rsidP="00A202FD">
            <w:pPr>
              <w:widowControl w:val="0"/>
              <w:spacing w:after="240" w:line="276" w:lineRule="auto"/>
              <w:ind w:firstLine="1"/>
              <w:contextualSpacing/>
              <w:jc w:val="both"/>
              <w:rPr>
                <w:b/>
                <w:bCs/>
              </w:rPr>
            </w:pPr>
          </w:p>
        </w:tc>
        <w:tc>
          <w:tcPr>
            <w:tcW w:w="6096" w:type="dxa"/>
            <w:tcBorders>
              <w:top w:val="nil"/>
              <w:left w:val="nil"/>
              <w:bottom w:val="single" w:sz="4" w:space="0" w:color="auto"/>
              <w:right w:val="single" w:sz="4" w:space="0" w:color="auto"/>
            </w:tcBorders>
            <w:shd w:val="clear" w:color="auto" w:fill="auto"/>
            <w:noWrap/>
            <w:vAlign w:val="bottom"/>
            <w:hideMark/>
          </w:tcPr>
          <w:p w14:paraId="24A59065" w14:textId="77777777" w:rsidR="00886D69" w:rsidRPr="00D53A2B" w:rsidRDefault="00886D69" w:rsidP="00A202FD">
            <w:pPr>
              <w:widowControl w:val="0"/>
              <w:spacing w:after="240" w:line="276" w:lineRule="auto"/>
              <w:ind w:firstLine="1"/>
              <w:contextualSpacing/>
              <w:jc w:val="both"/>
            </w:pPr>
            <w:r w:rsidRPr="00D53A2B">
              <w:t>Bu, aşağıdaki teknikleri içerir:</w:t>
            </w:r>
          </w:p>
          <w:p w14:paraId="7EA13A2B" w14:textId="77777777" w:rsidR="00886D69" w:rsidRPr="00D53A2B" w:rsidRDefault="00886D69" w:rsidP="00A202FD">
            <w:pPr>
              <w:widowControl w:val="0"/>
              <w:spacing w:after="240" w:line="276" w:lineRule="auto"/>
              <w:ind w:firstLine="1"/>
              <w:contextualSpacing/>
              <w:jc w:val="both"/>
            </w:pPr>
            <w:r w:rsidRPr="00D53A2B">
              <w:t>—Dağılan veya suda çözünebilen bileşenlere sahip malzemelerin taşınması için kapalı torbalar veya variller kullanılması, örneğin yardımcı malzemeler;</w:t>
            </w:r>
          </w:p>
          <w:p w14:paraId="0A418EC4" w14:textId="77777777" w:rsidR="00886D69" w:rsidRPr="00D53A2B" w:rsidRDefault="00886D69" w:rsidP="00A202FD">
            <w:pPr>
              <w:widowControl w:val="0"/>
              <w:spacing w:after="240" w:line="276" w:lineRule="auto"/>
              <w:ind w:firstLine="1"/>
              <w:contextualSpacing/>
              <w:jc w:val="both"/>
            </w:pPr>
            <w:r w:rsidRPr="00D53A2B">
              <w:t>—Taşıma mesafelerinin en aza indirilmesi;</w:t>
            </w:r>
          </w:p>
          <w:p w14:paraId="100EB485" w14:textId="77777777" w:rsidR="00886D69" w:rsidRPr="00D53A2B" w:rsidRDefault="00886D69" w:rsidP="00A202FD">
            <w:pPr>
              <w:widowControl w:val="0"/>
              <w:spacing w:after="240" w:line="276" w:lineRule="auto"/>
              <w:ind w:firstLine="1"/>
              <w:contextualSpacing/>
              <w:jc w:val="both"/>
            </w:pPr>
            <w:r w:rsidRPr="00D53A2B">
              <w:t>—Verimli malzeme taşımacılığı.</w:t>
            </w:r>
          </w:p>
          <w:p w14:paraId="4B4AD7B6" w14:textId="317EB7A8" w:rsidR="00BF6857" w:rsidRPr="00D53A2B" w:rsidRDefault="00BF6857" w:rsidP="00A202FD">
            <w:pPr>
              <w:widowControl w:val="0"/>
              <w:spacing w:after="240" w:line="276" w:lineRule="auto"/>
              <w:ind w:firstLine="1"/>
              <w:contextualSpacing/>
              <w:jc w:val="both"/>
            </w:pPr>
          </w:p>
        </w:tc>
      </w:tr>
      <w:tr w:rsidR="00BF6857" w:rsidRPr="00D53A2B" w14:paraId="38FE5F09" w14:textId="77777777" w:rsidTr="00507ACB">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28DC2CC6" w14:textId="77777777" w:rsidR="00886D69" w:rsidRPr="00D53A2B" w:rsidRDefault="00886D69" w:rsidP="00A202FD">
            <w:pPr>
              <w:widowControl w:val="0"/>
              <w:spacing w:after="240" w:line="276" w:lineRule="auto"/>
              <w:ind w:firstLine="1"/>
              <w:contextualSpacing/>
              <w:jc w:val="both"/>
            </w:pPr>
            <w:r w:rsidRPr="00D53A2B">
              <w:t>b.Kumlama işlemlerinden emisyonların çıkarılması</w:t>
            </w:r>
          </w:p>
          <w:p w14:paraId="4B8A9C5B" w14:textId="6AFDC7DF" w:rsidR="00BF6857" w:rsidRPr="00D53A2B" w:rsidRDefault="00BF6857" w:rsidP="00A202FD">
            <w:pPr>
              <w:widowControl w:val="0"/>
              <w:spacing w:after="240" w:line="276" w:lineRule="auto"/>
              <w:ind w:firstLine="1"/>
              <w:contextualSpacing/>
              <w:jc w:val="both"/>
              <w:rPr>
                <w:b/>
                <w:bCs/>
              </w:rPr>
            </w:pPr>
          </w:p>
        </w:tc>
        <w:tc>
          <w:tcPr>
            <w:tcW w:w="6096" w:type="dxa"/>
            <w:tcBorders>
              <w:top w:val="nil"/>
              <w:left w:val="nil"/>
              <w:bottom w:val="single" w:sz="4" w:space="0" w:color="auto"/>
              <w:right w:val="single" w:sz="4" w:space="0" w:color="auto"/>
            </w:tcBorders>
            <w:shd w:val="clear" w:color="auto" w:fill="auto"/>
            <w:noWrap/>
            <w:vAlign w:val="bottom"/>
            <w:hideMark/>
          </w:tcPr>
          <w:p w14:paraId="7A60FE9A" w14:textId="77777777" w:rsidR="00886D69" w:rsidRPr="00D53A2B" w:rsidRDefault="00886D69" w:rsidP="00A202FD">
            <w:pPr>
              <w:widowControl w:val="0"/>
              <w:spacing w:after="240" w:line="276" w:lineRule="auto"/>
              <w:ind w:firstLine="1"/>
              <w:contextualSpacing/>
              <w:jc w:val="both"/>
            </w:pPr>
            <w:r w:rsidRPr="00D53A2B">
              <w:t>Kumlama işlemlerinden salınan emisyonlar. Çıkarılan gazlar, kumaş filtreleri gibi tekniklerle işlenir.</w:t>
            </w:r>
          </w:p>
          <w:p w14:paraId="1F9D2514" w14:textId="4B69D4C0" w:rsidR="00BF6857" w:rsidRPr="00D53A2B" w:rsidRDefault="00BF6857" w:rsidP="00A202FD">
            <w:pPr>
              <w:widowControl w:val="0"/>
              <w:spacing w:after="240" w:line="276" w:lineRule="auto"/>
              <w:ind w:firstLine="1"/>
              <w:contextualSpacing/>
              <w:jc w:val="both"/>
            </w:pPr>
          </w:p>
        </w:tc>
      </w:tr>
    </w:tbl>
    <w:p w14:paraId="3002758A" w14:textId="77777777" w:rsidR="00B369BA" w:rsidRPr="00D53A2B" w:rsidRDefault="00B369BA" w:rsidP="00A202FD">
      <w:pPr>
        <w:widowControl w:val="0"/>
        <w:spacing w:after="240" w:line="276" w:lineRule="auto"/>
        <w:ind w:firstLine="1"/>
        <w:contextualSpacing/>
        <w:jc w:val="both"/>
        <w:rPr>
          <w:b/>
          <w:bCs/>
        </w:rPr>
      </w:pPr>
    </w:p>
    <w:p w14:paraId="5B656D2D" w14:textId="77777777" w:rsidR="00B369BA" w:rsidRPr="00D53A2B" w:rsidRDefault="00B369BA" w:rsidP="00A202FD">
      <w:pPr>
        <w:widowControl w:val="0"/>
        <w:spacing w:after="240" w:line="276" w:lineRule="auto"/>
        <w:ind w:firstLine="1"/>
        <w:contextualSpacing/>
        <w:jc w:val="both"/>
        <w:rPr>
          <w:b/>
          <w:bCs/>
        </w:rPr>
      </w:pPr>
    </w:p>
    <w:p w14:paraId="37322CA6" w14:textId="77777777" w:rsidR="0007690F" w:rsidRPr="00D53A2B" w:rsidRDefault="0007690F" w:rsidP="00A202FD">
      <w:pPr>
        <w:widowControl w:val="0"/>
        <w:spacing w:after="240" w:line="276" w:lineRule="auto"/>
        <w:ind w:firstLine="1"/>
        <w:contextualSpacing/>
        <w:jc w:val="both"/>
        <w:rPr>
          <w:b/>
          <w:bCs/>
        </w:rPr>
      </w:pPr>
      <w:r w:rsidRPr="00D53A2B">
        <w:rPr>
          <w:b/>
          <w:bCs/>
        </w:rPr>
        <w:t>Teknik-Açıklama</w:t>
      </w:r>
    </w:p>
    <w:p w14:paraId="0F0CF776" w14:textId="77777777" w:rsidR="0007690F" w:rsidRPr="00D53A2B" w:rsidRDefault="0007690F" w:rsidP="00A202FD">
      <w:pPr>
        <w:pStyle w:val="Balk4"/>
        <w:rPr>
          <w:rFonts w:cs="Times New Roman"/>
        </w:rPr>
      </w:pPr>
      <w:r w:rsidRPr="00D53A2B">
        <w:rPr>
          <w:rFonts w:cs="Times New Roman"/>
        </w:rPr>
        <w:t>1.3.5.2. Isıtma/yeniden ısıtma ve ısıl işlemden Havaya Salınan Emisyonlar</w:t>
      </w:r>
    </w:p>
    <w:p w14:paraId="7F7E14F3" w14:textId="77777777" w:rsidR="0007690F" w:rsidRPr="00D53A2B" w:rsidRDefault="0007690F" w:rsidP="00A202FD">
      <w:pPr>
        <w:widowControl w:val="0"/>
        <w:spacing w:after="240" w:line="276" w:lineRule="auto"/>
        <w:ind w:firstLine="1"/>
        <w:contextualSpacing/>
        <w:jc w:val="both"/>
        <w:rPr>
          <w:b/>
          <w:bCs/>
        </w:rPr>
      </w:pPr>
      <w:r w:rsidRPr="00D53A2B">
        <w:rPr>
          <w:b/>
          <w:bCs/>
        </w:rPr>
        <w:t>MET 51. Isıtma, yeniden ısıtma ve ısıl işlemden kaynaklanan NO</w:t>
      </w:r>
      <w:r w:rsidRPr="00D53A2B">
        <w:rPr>
          <w:b/>
          <w:bCs/>
          <w:vertAlign w:val="subscript"/>
        </w:rPr>
        <w:t>X</w:t>
      </w:r>
      <w:r w:rsidRPr="00D53A2B">
        <w:rPr>
          <w:b/>
          <w:bCs/>
        </w:rPr>
        <w:t xml:space="preserve"> emisyonlarını havaya salınmadan engellemek veya azaltmak, CO emisyonlarını sınırlamak için, MET aşağıdaki tekniklerden ya fosilsiz enerji kaynaklarından üretilen elektrik ya da uygun bir kombinasyonunu kullanmayı önerir.</w:t>
      </w:r>
    </w:p>
    <w:tbl>
      <w:tblPr>
        <w:tblStyle w:val="TabloKlavuzu"/>
        <w:tblW w:w="8926" w:type="dxa"/>
        <w:tblLook w:val="04A0" w:firstRow="1" w:lastRow="0" w:firstColumn="1" w:lastColumn="0" w:noHBand="0" w:noVBand="1"/>
      </w:tblPr>
      <w:tblGrid>
        <w:gridCol w:w="1724"/>
        <w:gridCol w:w="4304"/>
        <w:gridCol w:w="2974"/>
      </w:tblGrid>
      <w:tr w:rsidR="0007690F" w:rsidRPr="00D53A2B" w14:paraId="01474600" w14:textId="77777777" w:rsidTr="00507ACB">
        <w:trPr>
          <w:trHeight w:val="320"/>
        </w:trPr>
        <w:tc>
          <w:tcPr>
            <w:tcW w:w="1648" w:type="dxa"/>
            <w:noWrap/>
            <w:hideMark/>
          </w:tcPr>
          <w:p w14:paraId="22F69921"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4304" w:type="dxa"/>
            <w:noWrap/>
            <w:hideMark/>
          </w:tcPr>
          <w:p w14:paraId="695D3B5C"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2974" w:type="dxa"/>
            <w:noWrap/>
            <w:hideMark/>
          </w:tcPr>
          <w:p w14:paraId="38BB375A"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tc>
      </w:tr>
      <w:tr w:rsidR="0007690F" w:rsidRPr="00D53A2B" w14:paraId="2FF3ABDF" w14:textId="77777777" w:rsidTr="00507ACB">
        <w:trPr>
          <w:trHeight w:val="320"/>
        </w:trPr>
        <w:tc>
          <w:tcPr>
            <w:tcW w:w="1648" w:type="dxa"/>
            <w:noWrap/>
            <w:hideMark/>
          </w:tcPr>
          <w:p w14:paraId="26551A5C" w14:textId="77777777" w:rsidR="0007690F" w:rsidRPr="00D53A2B" w:rsidRDefault="0007690F" w:rsidP="00A202FD">
            <w:pPr>
              <w:widowControl w:val="0"/>
              <w:spacing w:after="240" w:line="276" w:lineRule="auto"/>
              <w:ind w:firstLine="1"/>
              <w:contextualSpacing/>
              <w:jc w:val="both"/>
              <w:rPr>
                <w:b/>
                <w:bCs/>
              </w:rPr>
            </w:pPr>
            <w:r w:rsidRPr="00D53A2B">
              <w:rPr>
                <w:b/>
                <w:bCs/>
              </w:rPr>
              <w:t>a. Düşük NOX oluşum potansiyeline sahip yakıt veya yakıt kombinasyonu kullanımı</w:t>
            </w:r>
          </w:p>
        </w:tc>
        <w:tc>
          <w:tcPr>
            <w:tcW w:w="4304" w:type="dxa"/>
            <w:noWrap/>
            <w:hideMark/>
          </w:tcPr>
          <w:p w14:paraId="29E10348" w14:textId="77777777" w:rsidR="0007690F" w:rsidRPr="00D53A2B" w:rsidRDefault="0007690F" w:rsidP="00A202FD">
            <w:pPr>
              <w:widowControl w:val="0"/>
              <w:spacing w:after="240" w:line="276" w:lineRule="auto"/>
              <w:ind w:firstLine="1"/>
              <w:contextualSpacing/>
              <w:jc w:val="both"/>
            </w:pPr>
            <w:r w:rsidRPr="00D53A2B">
              <w:t>Düşük NOX oluşum potansiyeline sahip yakıtlar, doğal gaz ve sıvılaştırılmış petrol gazını içerir.</w:t>
            </w:r>
          </w:p>
        </w:tc>
        <w:tc>
          <w:tcPr>
            <w:tcW w:w="2974" w:type="dxa"/>
            <w:noWrap/>
            <w:hideMark/>
          </w:tcPr>
          <w:p w14:paraId="3847A78D"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5B66ACF5" w14:textId="77777777" w:rsidTr="00507ACB">
        <w:trPr>
          <w:trHeight w:val="320"/>
        </w:trPr>
        <w:tc>
          <w:tcPr>
            <w:tcW w:w="1648" w:type="dxa"/>
            <w:noWrap/>
            <w:hideMark/>
          </w:tcPr>
          <w:p w14:paraId="32154B80" w14:textId="77777777" w:rsidR="0007690F" w:rsidRPr="00D53A2B" w:rsidRDefault="0007690F" w:rsidP="00A202FD">
            <w:pPr>
              <w:widowControl w:val="0"/>
              <w:spacing w:after="240" w:line="276" w:lineRule="auto"/>
              <w:ind w:firstLine="1"/>
              <w:contextualSpacing/>
              <w:jc w:val="both"/>
              <w:rPr>
                <w:b/>
                <w:bCs/>
              </w:rPr>
            </w:pPr>
            <w:r w:rsidRPr="00D53A2B">
              <w:rPr>
                <w:b/>
                <w:bCs/>
              </w:rPr>
              <w:t>b. Yanma optimizasyonu</w:t>
            </w:r>
          </w:p>
        </w:tc>
        <w:tc>
          <w:tcPr>
            <w:tcW w:w="4304" w:type="dxa"/>
            <w:noWrap/>
            <w:hideMark/>
          </w:tcPr>
          <w:p w14:paraId="75FE3DE5" w14:textId="77777777" w:rsidR="0007690F" w:rsidRPr="00D53A2B" w:rsidRDefault="0007690F" w:rsidP="00A202FD">
            <w:pPr>
              <w:widowControl w:val="0"/>
              <w:spacing w:after="240" w:line="276" w:lineRule="auto"/>
              <w:ind w:firstLine="1"/>
              <w:contextualSpacing/>
              <w:jc w:val="both"/>
            </w:pPr>
            <w:r w:rsidRPr="00D53A2B">
              <w:t>Enerji dönüşüm verimliliğini maksimize etmek için fırında yapılan önlemler, özellikle CO emisyonlarını en aza indirmeyi amaçlar. Bu, fırın tasarımı, sıcaklık optimizasyonu (örneğin yakıt ve yanma havasının verimli karıştırılması), yanma bölgesinde kalma süresi ve fırın otomasyonu ve kontrolünün bir kombinasyonu ile sağlanır.</w:t>
            </w:r>
          </w:p>
        </w:tc>
        <w:tc>
          <w:tcPr>
            <w:tcW w:w="2974" w:type="dxa"/>
            <w:noWrap/>
            <w:hideMark/>
          </w:tcPr>
          <w:p w14:paraId="35997693"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1B9B1C48" w14:textId="77777777" w:rsidTr="00507ACB">
        <w:trPr>
          <w:trHeight w:val="320"/>
        </w:trPr>
        <w:tc>
          <w:tcPr>
            <w:tcW w:w="1648" w:type="dxa"/>
            <w:noWrap/>
            <w:hideMark/>
          </w:tcPr>
          <w:p w14:paraId="0D061EC1" w14:textId="77777777" w:rsidR="0007690F" w:rsidRPr="00D53A2B" w:rsidRDefault="0007690F" w:rsidP="00A202FD">
            <w:pPr>
              <w:widowControl w:val="0"/>
              <w:spacing w:after="240" w:line="276" w:lineRule="auto"/>
              <w:ind w:firstLine="1"/>
              <w:contextualSpacing/>
              <w:jc w:val="both"/>
              <w:rPr>
                <w:b/>
                <w:bCs/>
              </w:rPr>
            </w:pPr>
            <w:r w:rsidRPr="00D53A2B">
              <w:rPr>
                <w:b/>
                <w:bCs/>
              </w:rPr>
              <w:t>c. Fırın otomasyonu ve kontrolü</w:t>
            </w:r>
          </w:p>
        </w:tc>
        <w:tc>
          <w:tcPr>
            <w:tcW w:w="4304" w:type="dxa"/>
            <w:noWrap/>
            <w:hideMark/>
          </w:tcPr>
          <w:p w14:paraId="3ED68D3B" w14:textId="77777777" w:rsidR="0007690F" w:rsidRPr="00D53A2B" w:rsidRDefault="0007690F" w:rsidP="00A202FD">
            <w:pPr>
              <w:widowControl w:val="0"/>
              <w:spacing w:after="240" w:line="276" w:lineRule="auto"/>
              <w:ind w:firstLine="1"/>
              <w:contextualSpacing/>
              <w:jc w:val="both"/>
            </w:pPr>
            <w:r w:rsidRPr="00D53A2B">
              <w:t>Bölüm 1.4.1'e bakınız.</w:t>
            </w:r>
          </w:p>
        </w:tc>
        <w:tc>
          <w:tcPr>
            <w:tcW w:w="2974" w:type="dxa"/>
            <w:noWrap/>
            <w:hideMark/>
          </w:tcPr>
          <w:p w14:paraId="47F4F656" w14:textId="77777777" w:rsidR="0007690F" w:rsidRPr="00D53A2B" w:rsidRDefault="0007690F" w:rsidP="00A202FD">
            <w:pPr>
              <w:widowControl w:val="0"/>
              <w:spacing w:after="240" w:line="276" w:lineRule="auto"/>
              <w:ind w:firstLine="1"/>
              <w:contextualSpacing/>
              <w:jc w:val="both"/>
            </w:pPr>
            <w:r w:rsidRPr="00D53A2B">
              <w:t> </w:t>
            </w:r>
          </w:p>
        </w:tc>
      </w:tr>
      <w:tr w:rsidR="0007690F" w:rsidRPr="00D53A2B" w14:paraId="610853BF" w14:textId="77777777" w:rsidTr="00507ACB">
        <w:trPr>
          <w:trHeight w:val="320"/>
        </w:trPr>
        <w:tc>
          <w:tcPr>
            <w:tcW w:w="1648" w:type="dxa"/>
            <w:noWrap/>
            <w:hideMark/>
          </w:tcPr>
          <w:p w14:paraId="2898C43C" w14:textId="77777777" w:rsidR="0007690F" w:rsidRPr="00D53A2B" w:rsidRDefault="0007690F" w:rsidP="00A202FD">
            <w:pPr>
              <w:widowControl w:val="0"/>
              <w:spacing w:after="240" w:line="276" w:lineRule="auto"/>
              <w:ind w:firstLine="1"/>
              <w:contextualSpacing/>
              <w:jc w:val="both"/>
              <w:rPr>
                <w:b/>
                <w:bCs/>
              </w:rPr>
            </w:pPr>
            <w:r w:rsidRPr="00D53A2B">
              <w:rPr>
                <w:b/>
                <w:bCs/>
              </w:rPr>
              <w:t>d. Duman gazı geri sirkülasyonu</w:t>
            </w:r>
          </w:p>
        </w:tc>
        <w:tc>
          <w:tcPr>
            <w:tcW w:w="4304" w:type="dxa"/>
            <w:noWrap/>
            <w:hideMark/>
          </w:tcPr>
          <w:p w14:paraId="07ACEF9E" w14:textId="77777777" w:rsidR="0007690F" w:rsidRPr="00D53A2B" w:rsidRDefault="0007690F" w:rsidP="00A202FD">
            <w:pPr>
              <w:widowControl w:val="0"/>
              <w:spacing w:after="240" w:line="276" w:lineRule="auto"/>
              <w:ind w:firstLine="1"/>
              <w:contextualSpacing/>
              <w:jc w:val="both"/>
            </w:pPr>
            <w:r w:rsidRPr="00D53A2B">
              <w:t>Duman gazlarının bir kısmının yanma odasına geri sirküle edilmesi, taze yanma havasının bir kısmını yerine koyar. Bu, sıcaklığı düşürüp, nitrojen oksidasyonu için O2 içeriğini sınırlayarak NOX üretimini kısıtlar. Fırından çıkan duman gazının alev içine verilmesi, oksijen içeriğini ve dolayısıyla alevin sıcaklığını düşürür.</w:t>
            </w:r>
          </w:p>
        </w:tc>
        <w:tc>
          <w:tcPr>
            <w:tcW w:w="2974" w:type="dxa"/>
            <w:noWrap/>
            <w:hideMark/>
          </w:tcPr>
          <w:p w14:paraId="10712E42" w14:textId="77777777" w:rsidR="0007690F" w:rsidRPr="00D53A2B" w:rsidRDefault="0007690F" w:rsidP="00A202FD">
            <w:pPr>
              <w:widowControl w:val="0"/>
              <w:spacing w:after="240" w:line="276" w:lineRule="auto"/>
              <w:ind w:firstLine="1"/>
              <w:contextualSpacing/>
              <w:jc w:val="both"/>
            </w:pPr>
            <w:r w:rsidRPr="00D53A2B">
              <w:t>Mevcut tesisler için alan eksikliği nedeniyle sınırlı olabilir.</w:t>
            </w:r>
          </w:p>
        </w:tc>
      </w:tr>
      <w:tr w:rsidR="0007690F" w:rsidRPr="00D53A2B" w14:paraId="248BE166" w14:textId="77777777" w:rsidTr="00507ACB">
        <w:trPr>
          <w:trHeight w:val="320"/>
        </w:trPr>
        <w:tc>
          <w:tcPr>
            <w:tcW w:w="1648" w:type="dxa"/>
            <w:noWrap/>
            <w:hideMark/>
          </w:tcPr>
          <w:p w14:paraId="1781A1F4" w14:textId="77777777" w:rsidR="0007690F" w:rsidRPr="00D53A2B" w:rsidRDefault="0007690F" w:rsidP="00A202FD">
            <w:pPr>
              <w:widowControl w:val="0"/>
              <w:spacing w:after="240" w:line="276" w:lineRule="auto"/>
              <w:ind w:firstLine="1"/>
              <w:contextualSpacing/>
              <w:jc w:val="both"/>
              <w:rPr>
                <w:b/>
                <w:bCs/>
              </w:rPr>
            </w:pPr>
            <w:r w:rsidRPr="00D53A2B">
              <w:rPr>
                <w:b/>
                <w:bCs/>
              </w:rPr>
              <w:t>e. Düşük-NO</w:t>
            </w:r>
            <w:r w:rsidRPr="00D53A2B">
              <w:rPr>
                <w:b/>
                <w:bCs/>
                <w:vertAlign w:val="subscript"/>
              </w:rPr>
              <w:t>X</w:t>
            </w:r>
            <w:r w:rsidRPr="00D53A2B">
              <w:rPr>
                <w:b/>
                <w:bCs/>
              </w:rPr>
              <w:t xml:space="preserve"> brülörleri</w:t>
            </w:r>
          </w:p>
        </w:tc>
        <w:tc>
          <w:tcPr>
            <w:tcW w:w="4304" w:type="dxa"/>
            <w:noWrap/>
            <w:hideMark/>
          </w:tcPr>
          <w:p w14:paraId="632EBFC4"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2974" w:type="dxa"/>
            <w:noWrap/>
            <w:hideMark/>
          </w:tcPr>
          <w:p w14:paraId="137FAFE7" w14:textId="77777777" w:rsidR="0007690F" w:rsidRPr="00D53A2B" w:rsidRDefault="0007690F" w:rsidP="00A202FD">
            <w:pPr>
              <w:widowControl w:val="0"/>
              <w:spacing w:after="240" w:line="276" w:lineRule="auto"/>
              <w:ind w:firstLine="1"/>
              <w:contextualSpacing/>
              <w:jc w:val="both"/>
            </w:pPr>
            <w:r w:rsidRPr="00D53A2B">
              <w:t>Mevcut tesisler için tasarım ve/veya operasyonel kısıtlamalar nedeniyle sınırlı olabilir.</w:t>
            </w:r>
          </w:p>
        </w:tc>
      </w:tr>
      <w:tr w:rsidR="0007690F" w:rsidRPr="00D53A2B" w14:paraId="6D6CC164" w14:textId="77777777" w:rsidTr="00507ACB">
        <w:trPr>
          <w:trHeight w:val="320"/>
        </w:trPr>
        <w:tc>
          <w:tcPr>
            <w:tcW w:w="1648" w:type="dxa"/>
            <w:noWrap/>
            <w:hideMark/>
          </w:tcPr>
          <w:p w14:paraId="2552CD8A" w14:textId="77777777" w:rsidR="0007690F" w:rsidRPr="00D53A2B" w:rsidRDefault="0007690F" w:rsidP="00A202FD">
            <w:pPr>
              <w:widowControl w:val="0"/>
              <w:spacing w:after="240" w:line="276" w:lineRule="auto"/>
              <w:ind w:firstLine="1"/>
              <w:contextualSpacing/>
              <w:jc w:val="both"/>
              <w:rPr>
                <w:b/>
                <w:bCs/>
              </w:rPr>
            </w:pPr>
            <w:r w:rsidRPr="00D53A2B">
              <w:rPr>
                <w:b/>
                <w:bCs/>
              </w:rPr>
              <w:t>f. Hava ön ısıtma sıcaklığının sınırlanması</w:t>
            </w:r>
          </w:p>
        </w:tc>
        <w:tc>
          <w:tcPr>
            <w:tcW w:w="4304" w:type="dxa"/>
            <w:noWrap/>
            <w:hideMark/>
          </w:tcPr>
          <w:p w14:paraId="74A3E58C" w14:textId="77777777" w:rsidR="0007690F" w:rsidRPr="00D53A2B" w:rsidRDefault="0007690F" w:rsidP="00A202FD">
            <w:pPr>
              <w:widowControl w:val="0"/>
              <w:spacing w:after="240" w:line="276" w:lineRule="auto"/>
              <w:ind w:firstLine="1"/>
              <w:contextualSpacing/>
              <w:jc w:val="both"/>
            </w:pPr>
            <w:r w:rsidRPr="00D53A2B">
              <w:t>Hava ön ısıtma sıcaklığının sınırlanması, NOX emisyonlarının yoğunluğunun azalmasına yol açar. Duman gazından ısı geri kazanımını maksimize etmek ile NOX emisyonlarını en aza indirmek arasında bir denge kurulmalıdır.</w:t>
            </w:r>
          </w:p>
        </w:tc>
        <w:tc>
          <w:tcPr>
            <w:tcW w:w="2974" w:type="dxa"/>
            <w:noWrap/>
            <w:hideMark/>
          </w:tcPr>
          <w:p w14:paraId="4EAA1176" w14:textId="77777777" w:rsidR="0007690F" w:rsidRPr="00D53A2B" w:rsidRDefault="0007690F" w:rsidP="00A202FD">
            <w:pPr>
              <w:widowControl w:val="0"/>
              <w:spacing w:after="240" w:line="276" w:lineRule="auto"/>
              <w:ind w:firstLine="1"/>
              <w:contextualSpacing/>
              <w:jc w:val="both"/>
            </w:pPr>
            <w:r w:rsidRPr="00D53A2B">
              <w:t>Genel olarak uygulanabilir.</w:t>
            </w:r>
          </w:p>
        </w:tc>
      </w:tr>
      <w:tr w:rsidR="0007690F" w:rsidRPr="00D53A2B" w14:paraId="22E09A33" w14:textId="77777777" w:rsidTr="00507ACB">
        <w:trPr>
          <w:trHeight w:val="320"/>
        </w:trPr>
        <w:tc>
          <w:tcPr>
            <w:tcW w:w="1648" w:type="dxa"/>
            <w:noWrap/>
            <w:hideMark/>
          </w:tcPr>
          <w:p w14:paraId="00441E41" w14:textId="77777777" w:rsidR="0007690F" w:rsidRPr="00D53A2B" w:rsidRDefault="0007690F" w:rsidP="00A202FD">
            <w:pPr>
              <w:widowControl w:val="0"/>
              <w:spacing w:after="240" w:line="276" w:lineRule="auto"/>
              <w:ind w:firstLine="1"/>
              <w:contextualSpacing/>
              <w:jc w:val="both"/>
              <w:rPr>
                <w:b/>
                <w:bCs/>
              </w:rPr>
            </w:pPr>
            <w:r w:rsidRPr="00D53A2B">
              <w:rPr>
                <w:b/>
                <w:bCs/>
              </w:rPr>
              <w:t>g. Oksijenli yakma</w:t>
            </w:r>
          </w:p>
        </w:tc>
        <w:tc>
          <w:tcPr>
            <w:tcW w:w="4304" w:type="dxa"/>
            <w:noWrap/>
            <w:hideMark/>
          </w:tcPr>
          <w:p w14:paraId="50496014"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2974" w:type="dxa"/>
            <w:noWrap/>
            <w:hideMark/>
          </w:tcPr>
          <w:p w14:paraId="29F7CF83" w14:textId="77777777" w:rsidR="0007690F" w:rsidRPr="00D53A2B" w:rsidRDefault="0007690F" w:rsidP="00A202FD">
            <w:pPr>
              <w:widowControl w:val="0"/>
              <w:spacing w:after="240" w:line="276" w:lineRule="auto"/>
              <w:ind w:firstLine="1"/>
              <w:contextualSpacing/>
              <w:jc w:val="both"/>
            </w:pPr>
            <w:r w:rsidRPr="00D53A2B">
              <w:t>Mevcut tesisler için fırın tasarımı ve minimum atık gaz akışı gereksinimi nedeniyle sınırlı olabilir.</w:t>
            </w:r>
          </w:p>
        </w:tc>
      </w:tr>
      <w:tr w:rsidR="0007690F" w:rsidRPr="00D53A2B" w14:paraId="570DD2DF" w14:textId="77777777" w:rsidTr="00507ACB">
        <w:trPr>
          <w:trHeight w:val="320"/>
        </w:trPr>
        <w:tc>
          <w:tcPr>
            <w:tcW w:w="1648" w:type="dxa"/>
            <w:noWrap/>
            <w:hideMark/>
          </w:tcPr>
          <w:p w14:paraId="1D88668E" w14:textId="77777777" w:rsidR="0007690F" w:rsidRPr="00D53A2B" w:rsidRDefault="0007690F" w:rsidP="00A202FD">
            <w:pPr>
              <w:widowControl w:val="0"/>
              <w:spacing w:after="240" w:line="276" w:lineRule="auto"/>
              <w:ind w:firstLine="1"/>
              <w:contextualSpacing/>
              <w:jc w:val="both"/>
              <w:rPr>
                <w:b/>
                <w:bCs/>
              </w:rPr>
            </w:pPr>
            <w:r w:rsidRPr="00D53A2B">
              <w:rPr>
                <w:b/>
                <w:bCs/>
              </w:rPr>
              <w:t xml:space="preserve">h. Alevsiz yanma </w:t>
            </w:r>
          </w:p>
        </w:tc>
        <w:tc>
          <w:tcPr>
            <w:tcW w:w="4304" w:type="dxa"/>
            <w:noWrap/>
            <w:hideMark/>
          </w:tcPr>
          <w:p w14:paraId="14D308C4" w14:textId="77777777" w:rsidR="0007690F" w:rsidRPr="00D53A2B" w:rsidRDefault="0007690F" w:rsidP="00A202FD">
            <w:pPr>
              <w:widowControl w:val="0"/>
              <w:spacing w:after="240" w:line="276" w:lineRule="auto"/>
              <w:ind w:firstLine="1"/>
              <w:contextualSpacing/>
              <w:jc w:val="both"/>
            </w:pPr>
            <w:r w:rsidRPr="00D53A2B">
              <w:t>Bölüm 1.4.3'e bakınız.</w:t>
            </w:r>
          </w:p>
        </w:tc>
        <w:tc>
          <w:tcPr>
            <w:tcW w:w="2974" w:type="dxa"/>
            <w:noWrap/>
            <w:hideMark/>
          </w:tcPr>
          <w:p w14:paraId="7F03FD00" w14:textId="77777777" w:rsidR="0007690F" w:rsidRPr="00D53A2B" w:rsidRDefault="0007690F" w:rsidP="00A202FD">
            <w:pPr>
              <w:widowControl w:val="0"/>
              <w:spacing w:after="240" w:line="276" w:lineRule="auto"/>
              <w:ind w:firstLine="1"/>
              <w:contextualSpacing/>
              <w:jc w:val="both"/>
            </w:pPr>
            <w:r w:rsidRPr="00D53A2B">
              <w:t>Mevcut tesisler için fırın tasarımı (örneğin fırın hacmi, brülörler için alan, brülörler arasındaki mesafe) ve fırın refraktör astarının değiştirilmesi gereksinimi nedeniyle sınırlı olabilir. Alevsiz yanma için gerekli olan oto-ateşleme sıcaklığının altında çalışan fırınlarda uygulanamaz.</w:t>
            </w:r>
          </w:p>
        </w:tc>
      </w:tr>
    </w:tbl>
    <w:p w14:paraId="485FA82D" w14:textId="77777777" w:rsidR="0007690F" w:rsidRPr="00D53A2B" w:rsidRDefault="0007690F" w:rsidP="00A202FD">
      <w:pPr>
        <w:widowControl w:val="0"/>
        <w:spacing w:after="240" w:line="276" w:lineRule="auto"/>
        <w:ind w:firstLine="1"/>
        <w:contextualSpacing/>
        <w:jc w:val="both"/>
        <w:rPr>
          <w:b/>
          <w:bCs/>
        </w:rPr>
      </w:pPr>
    </w:p>
    <w:p w14:paraId="18C3A728" w14:textId="77777777" w:rsidR="0007690F" w:rsidRPr="00D53A2B" w:rsidRDefault="0007690F" w:rsidP="00A202FD">
      <w:pPr>
        <w:widowControl w:val="0"/>
        <w:spacing w:after="240" w:line="276" w:lineRule="auto"/>
        <w:ind w:firstLine="1"/>
        <w:contextualSpacing/>
        <w:jc w:val="both"/>
        <w:rPr>
          <w:b/>
          <w:bCs/>
        </w:rPr>
      </w:pPr>
      <w:r w:rsidRPr="00D53A2B">
        <w:rPr>
          <w:b/>
          <w:bCs/>
        </w:rPr>
        <w:t>Tablo 1.24</w:t>
      </w:r>
    </w:p>
    <w:p w14:paraId="24F07716" w14:textId="7952970B" w:rsidR="0007690F" w:rsidRPr="00D53A2B" w:rsidRDefault="00D01A4F" w:rsidP="00A202FD">
      <w:pPr>
        <w:widowControl w:val="0"/>
        <w:spacing w:after="240" w:line="276" w:lineRule="auto"/>
        <w:ind w:firstLine="1"/>
        <w:contextualSpacing/>
        <w:jc w:val="both"/>
        <w:rPr>
          <w:b/>
          <w:bCs/>
        </w:rPr>
      </w:pPr>
      <w:r w:rsidRPr="00D53A2B">
        <w:rPr>
          <w:b/>
          <w:bCs/>
        </w:rPr>
        <w:t>Baca İle Havaya Salınan Nox Emisyonları İçin M</w:t>
      </w:r>
      <w:r>
        <w:rPr>
          <w:b/>
          <w:bCs/>
        </w:rPr>
        <w:t xml:space="preserve">ET </w:t>
      </w:r>
      <w:r w:rsidRPr="00D53A2B">
        <w:rPr>
          <w:b/>
          <w:bCs/>
        </w:rPr>
        <w:t>İle (M</w:t>
      </w:r>
      <w:r>
        <w:rPr>
          <w:b/>
          <w:bCs/>
        </w:rPr>
        <w:t>ET-İES</w:t>
      </w:r>
      <w:r w:rsidRPr="00D53A2B">
        <w:rPr>
          <w:b/>
          <w:bCs/>
        </w:rPr>
        <w:t>) Ve İle Salınan C</w:t>
      </w:r>
      <w:r>
        <w:rPr>
          <w:b/>
          <w:bCs/>
        </w:rPr>
        <w:t>O</w:t>
      </w:r>
      <w:r w:rsidRPr="00D53A2B">
        <w:rPr>
          <w:b/>
          <w:bCs/>
        </w:rPr>
        <w:t xml:space="preserve"> Emisyonları İçin Göstergesel Emisyon Seviyesi</w:t>
      </w:r>
    </w:p>
    <w:tbl>
      <w:tblPr>
        <w:tblStyle w:val="TabloKlavuzu"/>
        <w:tblW w:w="0" w:type="auto"/>
        <w:tblLook w:val="04A0" w:firstRow="1" w:lastRow="0" w:firstColumn="1" w:lastColumn="0" w:noHBand="0" w:noVBand="1"/>
      </w:tblPr>
      <w:tblGrid>
        <w:gridCol w:w="1412"/>
        <w:gridCol w:w="1163"/>
        <w:gridCol w:w="3114"/>
        <w:gridCol w:w="1357"/>
        <w:gridCol w:w="2014"/>
      </w:tblGrid>
      <w:tr w:rsidR="0007690F" w:rsidRPr="00D53A2B" w14:paraId="4D1CF331" w14:textId="77777777" w:rsidTr="00A202FD">
        <w:trPr>
          <w:trHeight w:val="320"/>
        </w:trPr>
        <w:tc>
          <w:tcPr>
            <w:tcW w:w="1413" w:type="dxa"/>
            <w:noWrap/>
            <w:hideMark/>
          </w:tcPr>
          <w:p w14:paraId="38153A65" w14:textId="77777777" w:rsidR="0007690F" w:rsidRPr="00D53A2B" w:rsidRDefault="0007690F" w:rsidP="00A202FD">
            <w:pPr>
              <w:widowControl w:val="0"/>
              <w:spacing w:after="240" w:line="276" w:lineRule="auto"/>
              <w:ind w:firstLine="1"/>
              <w:contextualSpacing/>
              <w:jc w:val="both"/>
              <w:rPr>
                <w:b/>
                <w:bCs/>
              </w:rPr>
            </w:pPr>
            <w:r w:rsidRPr="00D53A2B">
              <w:rPr>
                <w:b/>
                <w:bCs/>
              </w:rPr>
              <w:t>Parametre</w:t>
            </w:r>
          </w:p>
        </w:tc>
        <w:tc>
          <w:tcPr>
            <w:tcW w:w="1163" w:type="dxa"/>
            <w:noWrap/>
            <w:hideMark/>
          </w:tcPr>
          <w:p w14:paraId="216DFF66" w14:textId="77777777" w:rsidR="0007690F" w:rsidRPr="00D53A2B" w:rsidRDefault="0007690F" w:rsidP="00A202FD">
            <w:pPr>
              <w:widowControl w:val="0"/>
              <w:spacing w:after="240" w:line="276" w:lineRule="auto"/>
              <w:ind w:firstLine="1"/>
              <w:contextualSpacing/>
              <w:jc w:val="both"/>
              <w:rPr>
                <w:b/>
                <w:bCs/>
              </w:rPr>
            </w:pPr>
            <w:r w:rsidRPr="00D53A2B">
              <w:rPr>
                <w:b/>
                <w:bCs/>
              </w:rPr>
              <w:t>Birim</w:t>
            </w:r>
          </w:p>
        </w:tc>
        <w:tc>
          <w:tcPr>
            <w:tcW w:w="3115" w:type="dxa"/>
            <w:noWrap/>
            <w:hideMark/>
          </w:tcPr>
          <w:p w14:paraId="13EBA334" w14:textId="77777777" w:rsidR="0007690F" w:rsidRPr="00D53A2B" w:rsidRDefault="0007690F" w:rsidP="00A202FD">
            <w:pPr>
              <w:widowControl w:val="0"/>
              <w:spacing w:after="240" w:line="276" w:lineRule="auto"/>
              <w:ind w:firstLine="1"/>
              <w:contextualSpacing/>
              <w:jc w:val="both"/>
              <w:rPr>
                <w:b/>
                <w:bCs/>
              </w:rPr>
            </w:pPr>
            <w:r w:rsidRPr="00D53A2B">
              <w:rPr>
                <w:b/>
                <w:bCs/>
              </w:rPr>
              <w:t>Süreç(ler)</w:t>
            </w:r>
          </w:p>
        </w:tc>
        <w:tc>
          <w:tcPr>
            <w:tcW w:w="1357" w:type="dxa"/>
            <w:noWrap/>
            <w:hideMark/>
          </w:tcPr>
          <w:p w14:paraId="51E0CFBE" w14:textId="3CE7AF39" w:rsidR="0007690F" w:rsidRPr="00D53A2B" w:rsidRDefault="00831B53" w:rsidP="00A202FD">
            <w:pPr>
              <w:widowControl w:val="0"/>
              <w:spacing w:after="240" w:line="276" w:lineRule="auto"/>
              <w:ind w:firstLine="1"/>
              <w:contextualSpacing/>
              <w:jc w:val="both"/>
              <w:rPr>
                <w:b/>
                <w:bCs/>
              </w:rPr>
            </w:pPr>
            <w:r w:rsidRPr="00D53A2B">
              <w:rPr>
                <w:b/>
                <w:bCs/>
              </w:rPr>
              <w:t>MET-İES</w:t>
            </w:r>
            <w:r w:rsidR="0007690F" w:rsidRPr="00D53A2B">
              <w:rPr>
                <w:b/>
                <w:bCs/>
              </w:rPr>
              <w:t xml:space="preserve"> (Günlük ortalama veya örnekleme süresi boyunca ortalama)</w:t>
            </w:r>
          </w:p>
        </w:tc>
        <w:tc>
          <w:tcPr>
            <w:tcW w:w="2014" w:type="dxa"/>
            <w:noWrap/>
            <w:hideMark/>
          </w:tcPr>
          <w:p w14:paraId="388E7B4C" w14:textId="77777777" w:rsidR="0007690F" w:rsidRPr="00D53A2B" w:rsidRDefault="0007690F" w:rsidP="00A202FD">
            <w:pPr>
              <w:widowControl w:val="0"/>
              <w:spacing w:after="240" w:line="276" w:lineRule="auto"/>
              <w:ind w:firstLine="1"/>
              <w:contextualSpacing/>
              <w:jc w:val="both"/>
              <w:rPr>
                <w:b/>
                <w:bCs/>
              </w:rPr>
            </w:pPr>
            <w:r w:rsidRPr="00D53A2B">
              <w:rPr>
                <w:b/>
                <w:bCs/>
              </w:rPr>
              <w:t>Gösterge Emisyon Seviyesi (Günlük ortalama veya örnekleme süresi boyunca ortalama)</w:t>
            </w:r>
          </w:p>
        </w:tc>
      </w:tr>
      <w:tr w:rsidR="0007690F" w:rsidRPr="00D53A2B" w14:paraId="74CE1D60" w14:textId="77777777" w:rsidTr="00A202FD">
        <w:trPr>
          <w:trHeight w:val="320"/>
        </w:trPr>
        <w:tc>
          <w:tcPr>
            <w:tcW w:w="1413" w:type="dxa"/>
            <w:noWrap/>
            <w:hideMark/>
          </w:tcPr>
          <w:p w14:paraId="6AAA7DCF" w14:textId="77777777" w:rsidR="0007690F" w:rsidRPr="00D53A2B" w:rsidRDefault="0007690F" w:rsidP="00A202FD">
            <w:pPr>
              <w:widowControl w:val="0"/>
              <w:spacing w:after="240" w:line="276" w:lineRule="auto"/>
              <w:ind w:firstLine="1"/>
              <w:contextualSpacing/>
              <w:jc w:val="both"/>
              <w:rPr>
                <w:b/>
                <w:bCs/>
              </w:rPr>
            </w:pPr>
            <w:r w:rsidRPr="00D53A2B">
              <w:rPr>
                <w:b/>
                <w:bCs/>
              </w:rPr>
              <w:t>NO</w:t>
            </w:r>
            <w:r w:rsidRPr="00D53A2B">
              <w:rPr>
                <w:b/>
                <w:bCs/>
                <w:vertAlign w:val="subscript"/>
              </w:rPr>
              <w:t>X</w:t>
            </w:r>
          </w:p>
        </w:tc>
        <w:tc>
          <w:tcPr>
            <w:tcW w:w="1163" w:type="dxa"/>
            <w:noWrap/>
            <w:hideMark/>
          </w:tcPr>
          <w:p w14:paraId="29A95454" w14:textId="77777777" w:rsidR="0007690F" w:rsidRPr="00D53A2B" w:rsidRDefault="0007690F" w:rsidP="00A202FD">
            <w:pPr>
              <w:widowControl w:val="0"/>
              <w:spacing w:after="240" w:line="276" w:lineRule="auto"/>
              <w:ind w:firstLine="1"/>
              <w:contextualSpacing/>
              <w:jc w:val="both"/>
            </w:pPr>
            <w:r w:rsidRPr="00D53A2B">
              <w:t>mg/Nm³</w:t>
            </w:r>
          </w:p>
        </w:tc>
        <w:tc>
          <w:tcPr>
            <w:tcW w:w="3115" w:type="dxa"/>
            <w:noWrap/>
            <w:hideMark/>
          </w:tcPr>
          <w:p w14:paraId="6014E418" w14:textId="77777777" w:rsidR="0007690F" w:rsidRPr="00D53A2B" w:rsidRDefault="0007690F" w:rsidP="00A202FD">
            <w:pPr>
              <w:widowControl w:val="0"/>
              <w:spacing w:after="240" w:line="276" w:lineRule="auto"/>
              <w:ind w:firstLine="1"/>
              <w:contextualSpacing/>
              <w:jc w:val="both"/>
            </w:pPr>
            <w:r w:rsidRPr="00D53A2B">
              <w:t>Isıtma / yeniden ısıtma / ısıl işlem</w:t>
            </w:r>
          </w:p>
        </w:tc>
        <w:tc>
          <w:tcPr>
            <w:tcW w:w="1357" w:type="dxa"/>
            <w:noWrap/>
            <w:hideMark/>
          </w:tcPr>
          <w:p w14:paraId="1C7F54CC" w14:textId="77777777" w:rsidR="0007690F" w:rsidRPr="00D53A2B" w:rsidRDefault="0007690F" w:rsidP="00A202FD">
            <w:pPr>
              <w:widowControl w:val="0"/>
              <w:spacing w:after="240" w:line="276" w:lineRule="auto"/>
              <w:ind w:firstLine="1"/>
              <w:contextualSpacing/>
              <w:jc w:val="both"/>
            </w:pPr>
            <w:r w:rsidRPr="00D53A2B">
              <w:t>100 – 250 (71)</w:t>
            </w:r>
          </w:p>
        </w:tc>
        <w:tc>
          <w:tcPr>
            <w:tcW w:w="2014" w:type="dxa"/>
            <w:noWrap/>
            <w:hideMark/>
          </w:tcPr>
          <w:p w14:paraId="5BE4D50C" w14:textId="77777777" w:rsidR="0007690F" w:rsidRPr="00D53A2B" w:rsidRDefault="0007690F" w:rsidP="00A202FD">
            <w:pPr>
              <w:widowControl w:val="0"/>
              <w:spacing w:after="240" w:line="276" w:lineRule="auto"/>
              <w:ind w:firstLine="1"/>
              <w:contextualSpacing/>
              <w:jc w:val="both"/>
            </w:pPr>
            <w:r w:rsidRPr="00D53A2B">
              <w:t>Gösterge seviyesi yok</w:t>
            </w:r>
          </w:p>
        </w:tc>
      </w:tr>
      <w:tr w:rsidR="0007690F" w:rsidRPr="00D53A2B" w14:paraId="388A08AF" w14:textId="77777777" w:rsidTr="00A202FD">
        <w:trPr>
          <w:trHeight w:val="320"/>
        </w:trPr>
        <w:tc>
          <w:tcPr>
            <w:tcW w:w="1413" w:type="dxa"/>
            <w:noWrap/>
            <w:hideMark/>
          </w:tcPr>
          <w:p w14:paraId="2249DAEC" w14:textId="77777777" w:rsidR="0007690F" w:rsidRPr="00D53A2B" w:rsidRDefault="0007690F" w:rsidP="00A202FD">
            <w:pPr>
              <w:widowControl w:val="0"/>
              <w:spacing w:after="240" w:line="276" w:lineRule="auto"/>
              <w:ind w:firstLine="1"/>
              <w:contextualSpacing/>
              <w:jc w:val="both"/>
              <w:rPr>
                <w:b/>
                <w:bCs/>
              </w:rPr>
            </w:pPr>
            <w:r w:rsidRPr="00D53A2B">
              <w:rPr>
                <w:b/>
                <w:bCs/>
              </w:rPr>
              <w:t>CO</w:t>
            </w:r>
          </w:p>
        </w:tc>
        <w:tc>
          <w:tcPr>
            <w:tcW w:w="1163" w:type="dxa"/>
            <w:noWrap/>
            <w:hideMark/>
          </w:tcPr>
          <w:p w14:paraId="06604AB5" w14:textId="77777777" w:rsidR="0007690F" w:rsidRPr="00D53A2B" w:rsidRDefault="0007690F" w:rsidP="00A202FD">
            <w:pPr>
              <w:widowControl w:val="0"/>
              <w:spacing w:after="240" w:line="276" w:lineRule="auto"/>
              <w:ind w:firstLine="1"/>
              <w:contextualSpacing/>
              <w:jc w:val="both"/>
            </w:pPr>
            <w:r w:rsidRPr="00D53A2B">
              <w:t>mg/Nm³</w:t>
            </w:r>
          </w:p>
        </w:tc>
        <w:tc>
          <w:tcPr>
            <w:tcW w:w="3115" w:type="dxa"/>
            <w:noWrap/>
            <w:hideMark/>
          </w:tcPr>
          <w:p w14:paraId="371EB35B" w14:textId="77777777" w:rsidR="0007690F" w:rsidRPr="00D53A2B" w:rsidRDefault="0007690F" w:rsidP="00A202FD">
            <w:pPr>
              <w:widowControl w:val="0"/>
              <w:spacing w:after="240" w:line="276" w:lineRule="auto"/>
              <w:ind w:firstLine="1"/>
              <w:contextualSpacing/>
              <w:jc w:val="both"/>
            </w:pPr>
            <w:r w:rsidRPr="00D53A2B">
              <w:t>Isıtma / yeniden ısıtma / ısıl işlem</w:t>
            </w:r>
          </w:p>
        </w:tc>
        <w:tc>
          <w:tcPr>
            <w:tcW w:w="1357" w:type="dxa"/>
            <w:noWrap/>
            <w:hideMark/>
          </w:tcPr>
          <w:p w14:paraId="2FD38D57" w14:textId="0F8F73E1" w:rsidR="0007690F" w:rsidRPr="00D53A2B" w:rsidRDefault="00831B53" w:rsidP="00A202FD">
            <w:pPr>
              <w:widowControl w:val="0"/>
              <w:spacing w:after="240" w:line="276" w:lineRule="auto"/>
              <w:ind w:firstLine="1"/>
              <w:contextualSpacing/>
              <w:jc w:val="both"/>
            </w:pPr>
            <w:r w:rsidRPr="00D53A2B">
              <w:t>MET-İES</w:t>
            </w:r>
            <w:r w:rsidR="0007690F" w:rsidRPr="00D53A2B">
              <w:t xml:space="preserve"> yok</w:t>
            </w:r>
          </w:p>
        </w:tc>
        <w:tc>
          <w:tcPr>
            <w:tcW w:w="2014" w:type="dxa"/>
            <w:noWrap/>
            <w:hideMark/>
          </w:tcPr>
          <w:p w14:paraId="61E20FEE" w14:textId="77777777" w:rsidR="0007690F" w:rsidRPr="00D53A2B" w:rsidRDefault="0007690F" w:rsidP="00A202FD">
            <w:pPr>
              <w:widowControl w:val="0"/>
              <w:spacing w:after="240" w:line="276" w:lineRule="auto"/>
              <w:ind w:firstLine="1"/>
              <w:contextualSpacing/>
              <w:jc w:val="both"/>
            </w:pPr>
            <w:r w:rsidRPr="00D53A2B">
              <w:t>10 – 100</w:t>
            </w:r>
          </w:p>
        </w:tc>
      </w:tr>
    </w:tbl>
    <w:p w14:paraId="227BF8A5" w14:textId="77777777" w:rsidR="0007690F" w:rsidRPr="00D53A2B" w:rsidRDefault="0007690F" w:rsidP="00A202FD">
      <w:pPr>
        <w:widowControl w:val="0"/>
        <w:spacing w:after="240" w:line="276" w:lineRule="auto"/>
        <w:ind w:firstLine="1"/>
        <w:contextualSpacing/>
        <w:jc w:val="both"/>
        <w:rPr>
          <w:b/>
          <w:bCs/>
        </w:rPr>
      </w:pPr>
    </w:p>
    <w:p w14:paraId="08FE87F8" w14:textId="77777777" w:rsidR="0007690F" w:rsidRPr="00D53A2B" w:rsidRDefault="0007690F" w:rsidP="00A202FD">
      <w:pPr>
        <w:widowControl w:val="0"/>
        <w:spacing w:after="240" w:line="276" w:lineRule="auto"/>
        <w:ind w:firstLine="1"/>
        <w:contextualSpacing/>
        <w:jc w:val="both"/>
      </w:pPr>
      <w:r w:rsidRPr="00D53A2B">
        <w:t>İzleme ile ilgili bilgiler MET 48'de verilmiştir.</w:t>
      </w:r>
    </w:p>
    <w:p w14:paraId="27B2E726" w14:textId="7CDA3E80" w:rsidR="0007690F" w:rsidRPr="00D53A2B" w:rsidRDefault="0007690F" w:rsidP="00A202FD">
      <w:pPr>
        <w:pStyle w:val="Balk3"/>
        <w:rPr>
          <w:rFonts w:cs="Times New Roman"/>
        </w:rPr>
      </w:pPr>
      <w:r w:rsidRPr="00D53A2B">
        <w:rPr>
          <w:rFonts w:cs="Times New Roman"/>
        </w:rPr>
        <w:t>1.3.6. Su Tüketimi ve Atık</w:t>
      </w:r>
      <w:r w:rsidR="008447ED">
        <w:rPr>
          <w:rFonts w:cs="Times New Roman"/>
        </w:rPr>
        <w:t>s</w:t>
      </w:r>
      <w:r w:rsidRPr="00D53A2B">
        <w:rPr>
          <w:rFonts w:cs="Times New Roman"/>
        </w:rPr>
        <w:t>u Üretimi</w:t>
      </w:r>
    </w:p>
    <w:p w14:paraId="155A5D2C" w14:textId="5B9CB5DC" w:rsidR="0007690F" w:rsidRPr="00D53A2B" w:rsidRDefault="0007690F" w:rsidP="00A202FD">
      <w:pPr>
        <w:widowControl w:val="0"/>
        <w:spacing w:after="240" w:line="276" w:lineRule="auto"/>
        <w:ind w:firstLine="1"/>
        <w:contextualSpacing/>
        <w:jc w:val="both"/>
        <w:rPr>
          <w:b/>
          <w:bCs/>
        </w:rPr>
      </w:pPr>
      <w:r w:rsidRPr="00D53A2B">
        <w:rPr>
          <w:b/>
          <w:bCs/>
        </w:rPr>
        <w:t>MET 52. Su tüketimini optimize etmek ve üretilen atıksu hacmini azaltmak için, MET, aşağıda verilen (a) ve (b) tekniklerini kullanmalıdır:</w:t>
      </w:r>
    </w:p>
    <w:tbl>
      <w:tblPr>
        <w:tblW w:w="9062" w:type="dxa"/>
        <w:tblCellMar>
          <w:left w:w="70" w:type="dxa"/>
          <w:right w:w="70" w:type="dxa"/>
        </w:tblCellMar>
        <w:tblLook w:val="04A0" w:firstRow="1" w:lastRow="0" w:firstColumn="1" w:lastColumn="0" w:noHBand="0" w:noVBand="1"/>
      </w:tblPr>
      <w:tblGrid>
        <w:gridCol w:w="1620"/>
        <w:gridCol w:w="3819"/>
        <w:gridCol w:w="3626"/>
      </w:tblGrid>
      <w:tr w:rsidR="0007690F" w:rsidRPr="00D53A2B" w14:paraId="466D84F2" w14:textId="77777777" w:rsidTr="00A202FD">
        <w:trPr>
          <w:trHeight w:val="320"/>
        </w:trPr>
        <w:tc>
          <w:tcPr>
            <w:tcW w:w="1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B51595"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3819" w:type="dxa"/>
            <w:tcBorders>
              <w:top w:val="single" w:sz="4" w:space="0" w:color="auto"/>
              <w:left w:val="nil"/>
              <w:bottom w:val="single" w:sz="4" w:space="0" w:color="auto"/>
              <w:right w:val="single" w:sz="4" w:space="0" w:color="auto"/>
            </w:tcBorders>
            <w:shd w:val="clear" w:color="auto" w:fill="auto"/>
            <w:noWrap/>
            <w:vAlign w:val="bottom"/>
            <w:hideMark/>
          </w:tcPr>
          <w:p w14:paraId="2C09E29A"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c>
          <w:tcPr>
            <w:tcW w:w="3626" w:type="dxa"/>
            <w:tcBorders>
              <w:top w:val="single" w:sz="4" w:space="0" w:color="auto"/>
              <w:left w:val="nil"/>
              <w:bottom w:val="single" w:sz="4" w:space="0" w:color="auto"/>
              <w:right w:val="single" w:sz="4" w:space="0" w:color="auto"/>
            </w:tcBorders>
            <w:shd w:val="clear" w:color="auto" w:fill="auto"/>
            <w:noWrap/>
            <w:vAlign w:val="bottom"/>
            <w:hideMark/>
          </w:tcPr>
          <w:p w14:paraId="1246EFE3" w14:textId="77777777" w:rsidR="0007690F" w:rsidRPr="00D53A2B" w:rsidRDefault="0007690F" w:rsidP="00A202FD">
            <w:pPr>
              <w:widowControl w:val="0"/>
              <w:spacing w:after="240" w:line="276" w:lineRule="auto"/>
              <w:ind w:firstLine="1"/>
              <w:contextualSpacing/>
              <w:jc w:val="both"/>
              <w:rPr>
                <w:b/>
                <w:bCs/>
              </w:rPr>
            </w:pPr>
            <w:r w:rsidRPr="00D53A2B">
              <w:rPr>
                <w:b/>
                <w:bCs/>
              </w:rPr>
              <w:t>Uygulanabilirlik</w:t>
            </w:r>
          </w:p>
        </w:tc>
      </w:tr>
      <w:tr w:rsidR="0007690F" w:rsidRPr="00D53A2B" w14:paraId="0F0946CE" w14:textId="77777777" w:rsidTr="00A202FD">
        <w:trPr>
          <w:trHeight w:val="320"/>
        </w:trPr>
        <w:tc>
          <w:tcPr>
            <w:tcW w:w="1617" w:type="dxa"/>
            <w:tcBorders>
              <w:top w:val="nil"/>
              <w:left w:val="single" w:sz="4" w:space="0" w:color="auto"/>
              <w:bottom w:val="single" w:sz="4" w:space="0" w:color="auto"/>
              <w:right w:val="single" w:sz="4" w:space="0" w:color="auto"/>
            </w:tcBorders>
            <w:shd w:val="clear" w:color="auto" w:fill="auto"/>
            <w:noWrap/>
            <w:vAlign w:val="bottom"/>
            <w:hideMark/>
          </w:tcPr>
          <w:p w14:paraId="72921B91" w14:textId="77777777" w:rsidR="0007690F" w:rsidRPr="00D53A2B" w:rsidRDefault="0007690F" w:rsidP="00A202FD">
            <w:pPr>
              <w:widowControl w:val="0"/>
              <w:spacing w:after="240" w:line="276" w:lineRule="auto"/>
              <w:ind w:firstLine="1"/>
              <w:contextualSpacing/>
              <w:jc w:val="both"/>
            </w:pPr>
            <w:r w:rsidRPr="00D53A2B">
              <w:t>a. Su akışlarının ayrılması</w:t>
            </w:r>
          </w:p>
        </w:tc>
        <w:tc>
          <w:tcPr>
            <w:tcW w:w="3819" w:type="dxa"/>
            <w:tcBorders>
              <w:top w:val="nil"/>
              <w:left w:val="nil"/>
              <w:bottom w:val="single" w:sz="4" w:space="0" w:color="auto"/>
              <w:right w:val="single" w:sz="4" w:space="0" w:color="auto"/>
            </w:tcBorders>
            <w:shd w:val="clear" w:color="auto" w:fill="auto"/>
            <w:noWrap/>
            <w:vAlign w:val="bottom"/>
            <w:hideMark/>
          </w:tcPr>
          <w:p w14:paraId="6A3879D7" w14:textId="77777777" w:rsidR="0007690F" w:rsidRPr="00D53A2B" w:rsidRDefault="0007690F" w:rsidP="00A202FD">
            <w:pPr>
              <w:widowControl w:val="0"/>
              <w:spacing w:after="240" w:line="276" w:lineRule="auto"/>
              <w:ind w:firstLine="1"/>
              <w:contextualSpacing/>
              <w:jc w:val="both"/>
            </w:pPr>
            <w:r w:rsidRPr="00D53A2B">
              <w:t>Bölüm 1.4.4'e bakınız.</w:t>
            </w:r>
          </w:p>
        </w:tc>
        <w:tc>
          <w:tcPr>
            <w:tcW w:w="3626" w:type="dxa"/>
            <w:tcBorders>
              <w:top w:val="nil"/>
              <w:left w:val="nil"/>
              <w:bottom w:val="single" w:sz="4" w:space="0" w:color="auto"/>
              <w:right w:val="single" w:sz="4" w:space="0" w:color="auto"/>
            </w:tcBorders>
            <w:shd w:val="clear" w:color="auto" w:fill="auto"/>
            <w:noWrap/>
            <w:vAlign w:val="bottom"/>
            <w:hideMark/>
          </w:tcPr>
          <w:p w14:paraId="13A72A2A" w14:textId="77777777" w:rsidR="0007690F" w:rsidRPr="00D53A2B" w:rsidRDefault="0007690F" w:rsidP="00A202FD">
            <w:pPr>
              <w:widowControl w:val="0"/>
              <w:spacing w:after="240" w:line="276" w:lineRule="auto"/>
              <w:ind w:firstLine="1"/>
              <w:contextualSpacing/>
              <w:jc w:val="both"/>
            </w:pPr>
            <w:r w:rsidRPr="00D53A2B">
              <w:t>Mevcut tesislerde su toplama sisteminin düzeni nedeniyle sınırlamalar olabilir.</w:t>
            </w:r>
          </w:p>
        </w:tc>
      </w:tr>
      <w:tr w:rsidR="0007690F" w:rsidRPr="00D53A2B" w14:paraId="4E57B0D0" w14:textId="77777777" w:rsidTr="00A202FD">
        <w:trPr>
          <w:trHeight w:val="320"/>
        </w:trPr>
        <w:tc>
          <w:tcPr>
            <w:tcW w:w="1617" w:type="dxa"/>
            <w:tcBorders>
              <w:top w:val="nil"/>
              <w:left w:val="single" w:sz="4" w:space="0" w:color="auto"/>
              <w:bottom w:val="single" w:sz="4" w:space="0" w:color="auto"/>
              <w:right w:val="single" w:sz="4" w:space="0" w:color="auto"/>
            </w:tcBorders>
            <w:shd w:val="clear" w:color="auto" w:fill="auto"/>
            <w:noWrap/>
            <w:vAlign w:val="bottom"/>
            <w:hideMark/>
          </w:tcPr>
          <w:p w14:paraId="71EE137E" w14:textId="77777777" w:rsidR="0007690F" w:rsidRPr="00D53A2B" w:rsidRDefault="0007690F" w:rsidP="00A202FD">
            <w:pPr>
              <w:widowControl w:val="0"/>
              <w:spacing w:after="240" w:line="276" w:lineRule="auto"/>
              <w:ind w:firstLine="1"/>
              <w:contextualSpacing/>
              <w:jc w:val="both"/>
            </w:pPr>
            <w:r w:rsidRPr="00D53A2B">
              <w:t>b. Suyun yeniden kullanımı ve/veya geri dönüştürülmesi</w:t>
            </w:r>
          </w:p>
        </w:tc>
        <w:tc>
          <w:tcPr>
            <w:tcW w:w="3819" w:type="dxa"/>
            <w:tcBorders>
              <w:top w:val="nil"/>
              <w:left w:val="nil"/>
              <w:bottom w:val="single" w:sz="4" w:space="0" w:color="auto"/>
              <w:right w:val="single" w:sz="4" w:space="0" w:color="auto"/>
            </w:tcBorders>
            <w:shd w:val="clear" w:color="auto" w:fill="auto"/>
            <w:noWrap/>
            <w:vAlign w:val="bottom"/>
            <w:hideMark/>
          </w:tcPr>
          <w:p w14:paraId="556EADA0" w14:textId="77777777" w:rsidR="0007690F" w:rsidRPr="00D53A2B" w:rsidRDefault="0007690F" w:rsidP="00A202FD">
            <w:pPr>
              <w:widowControl w:val="0"/>
              <w:spacing w:after="240" w:line="276" w:lineRule="auto"/>
              <w:ind w:firstLine="1"/>
              <w:contextualSpacing/>
              <w:jc w:val="both"/>
            </w:pPr>
            <w:r w:rsidRPr="00D53A2B">
              <w:t>Su akışları (örneğin, proses suyu, soğutma suyu) kapalı veya yarı kapalı devrelerde yeniden kullanılır ve/veya geri dönüştürülür, gerekirse işlem sonrası.</w:t>
            </w:r>
          </w:p>
        </w:tc>
        <w:tc>
          <w:tcPr>
            <w:tcW w:w="3626" w:type="dxa"/>
            <w:tcBorders>
              <w:top w:val="nil"/>
              <w:left w:val="nil"/>
              <w:bottom w:val="single" w:sz="4" w:space="0" w:color="auto"/>
              <w:right w:val="single" w:sz="4" w:space="0" w:color="auto"/>
            </w:tcBorders>
            <w:shd w:val="clear" w:color="auto" w:fill="auto"/>
            <w:noWrap/>
            <w:vAlign w:val="bottom"/>
            <w:hideMark/>
          </w:tcPr>
          <w:p w14:paraId="1207BFD9" w14:textId="77777777" w:rsidR="0007690F" w:rsidRPr="00D53A2B" w:rsidRDefault="0007690F" w:rsidP="00A202FD">
            <w:pPr>
              <w:widowControl w:val="0"/>
              <w:spacing w:after="240" w:line="276" w:lineRule="auto"/>
              <w:ind w:firstLine="1"/>
              <w:contextualSpacing/>
              <w:jc w:val="both"/>
            </w:pPr>
            <w:r w:rsidRPr="00D53A2B">
              <w:t>Suyun yeniden kullanımı ve/veya geri dönüşümü, tesisin su dengesi, kirletici madde içeriği ve/veya su akışlarının özellikleri tarafından sınırlanır.</w:t>
            </w:r>
          </w:p>
        </w:tc>
      </w:tr>
    </w:tbl>
    <w:p w14:paraId="1526F242" w14:textId="25F98F2B" w:rsidR="0007690F" w:rsidRPr="00D53A2B" w:rsidRDefault="0007690F" w:rsidP="00A202FD">
      <w:pPr>
        <w:widowControl w:val="0"/>
        <w:spacing w:after="240" w:line="276" w:lineRule="auto"/>
        <w:ind w:firstLine="1"/>
        <w:contextualSpacing/>
        <w:jc w:val="both"/>
      </w:pPr>
      <w:r w:rsidRPr="00D53A2B">
        <w:t>Not: MET 52 yalnızca atıksu üretimi, MET 2'de belirtilen girdiler ve çıktılar envanterine dayalı olarak ilgili olarak tanımlandığında geçerlidir.</w:t>
      </w:r>
    </w:p>
    <w:p w14:paraId="21D0C3F9" w14:textId="77777777" w:rsidR="00886D69" w:rsidRPr="00D53A2B" w:rsidRDefault="00886D69" w:rsidP="00A202FD">
      <w:pPr>
        <w:widowControl w:val="0"/>
        <w:spacing w:after="240" w:line="276" w:lineRule="auto"/>
        <w:ind w:firstLine="1"/>
        <w:contextualSpacing/>
        <w:jc w:val="both"/>
      </w:pPr>
    </w:p>
    <w:p w14:paraId="63619647" w14:textId="77777777" w:rsidR="00886D69" w:rsidRPr="00D53A2B" w:rsidRDefault="00886D69" w:rsidP="00A202FD">
      <w:pPr>
        <w:widowControl w:val="0"/>
        <w:spacing w:after="240" w:line="276" w:lineRule="auto"/>
        <w:ind w:firstLine="1"/>
        <w:contextualSpacing/>
        <w:jc w:val="both"/>
      </w:pPr>
    </w:p>
    <w:p w14:paraId="04CE27CD" w14:textId="77777777" w:rsidR="00886D69" w:rsidRPr="00D53A2B" w:rsidRDefault="00886D69" w:rsidP="00A202FD">
      <w:pPr>
        <w:widowControl w:val="0"/>
        <w:spacing w:after="240" w:line="276" w:lineRule="auto"/>
        <w:ind w:firstLine="1"/>
        <w:contextualSpacing/>
        <w:jc w:val="both"/>
      </w:pPr>
    </w:p>
    <w:p w14:paraId="170490EF" w14:textId="77777777" w:rsidR="00886D69" w:rsidRPr="00D53A2B" w:rsidRDefault="00886D69" w:rsidP="00A202FD">
      <w:pPr>
        <w:widowControl w:val="0"/>
        <w:spacing w:after="240" w:line="276" w:lineRule="auto"/>
        <w:ind w:firstLine="1"/>
        <w:contextualSpacing/>
        <w:jc w:val="both"/>
      </w:pPr>
    </w:p>
    <w:p w14:paraId="3A63195F" w14:textId="77777777" w:rsidR="00886D69" w:rsidRPr="00D53A2B" w:rsidRDefault="00886D69" w:rsidP="00A202FD">
      <w:pPr>
        <w:widowControl w:val="0"/>
        <w:spacing w:after="240" w:line="276" w:lineRule="auto"/>
        <w:ind w:firstLine="1"/>
        <w:contextualSpacing/>
        <w:jc w:val="both"/>
      </w:pPr>
    </w:p>
    <w:p w14:paraId="0DD21981" w14:textId="77777777" w:rsidR="00886D69" w:rsidRPr="00D53A2B" w:rsidRDefault="00886D69" w:rsidP="00A202FD">
      <w:pPr>
        <w:widowControl w:val="0"/>
        <w:spacing w:after="240" w:line="276" w:lineRule="auto"/>
        <w:ind w:firstLine="1"/>
        <w:contextualSpacing/>
        <w:jc w:val="both"/>
      </w:pPr>
    </w:p>
    <w:p w14:paraId="54CA28A3" w14:textId="77777777" w:rsidR="00886D69" w:rsidRPr="00D53A2B" w:rsidRDefault="00886D69" w:rsidP="00A202FD">
      <w:pPr>
        <w:widowControl w:val="0"/>
        <w:spacing w:after="240" w:line="276" w:lineRule="auto"/>
        <w:ind w:firstLine="1"/>
        <w:contextualSpacing/>
        <w:jc w:val="both"/>
      </w:pPr>
    </w:p>
    <w:p w14:paraId="40BCFC8D" w14:textId="77777777" w:rsidR="00886D69" w:rsidRPr="00D53A2B" w:rsidRDefault="00886D69" w:rsidP="00A202FD">
      <w:pPr>
        <w:widowControl w:val="0"/>
        <w:spacing w:after="240" w:line="276" w:lineRule="auto"/>
        <w:ind w:firstLine="1"/>
        <w:contextualSpacing/>
        <w:jc w:val="both"/>
      </w:pPr>
    </w:p>
    <w:p w14:paraId="497C8E8A" w14:textId="77777777" w:rsidR="00886D69" w:rsidRPr="00D53A2B" w:rsidRDefault="00886D69" w:rsidP="00A202FD">
      <w:pPr>
        <w:widowControl w:val="0"/>
        <w:spacing w:after="240" w:line="276" w:lineRule="auto"/>
        <w:ind w:firstLine="1"/>
        <w:contextualSpacing/>
        <w:jc w:val="both"/>
      </w:pPr>
    </w:p>
    <w:p w14:paraId="1A318000" w14:textId="77777777" w:rsidR="00886D69" w:rsidRPr="00D53A2B" w:rsidRDefault="00886D69" w:rsidP="00A202FD">
      <w:pPr>
        <w:widowControl w:val="0"/>
        <w:spacing w:after="240" w:line="276" w:lineRule="auto"/>
        <w:ind w:firstLine="1"/>
        <w:contextualSpacing/>
        <w:jc w:val="both"/>
      </w:pPr>
    </w:p>
    <w:p w14:paraId="3EF77D46" w14:textId="77777777" w:rsidR="00886D69" w:rsidRPr="00D53A2B" w:rsidRDefault="00886D69" w:rsidP="00A202FD">
      <w:pPr>
        <w:widowControl w:val="0"/>
        <w:spacing w:after="240" w:line="276" w:lineRule="auto"/>
        <w:ind w:firstLine="1"/>
        <w:contextualSpacing/>
        <w:jc w:val="both"/>
      </w:pPr>
    </w:p>
    <w:p w14:paraId="6DC76CA7" w14:textId="77777777" w:rsidR="00886D69" w:rsidRPr="00D53A2B" w:rsidRDefault="00886D69" w:rsidP="00A202FD">
      <w:pPr>
        <w:widowControl w:val="0"/>
        <w:spacing w:after="240" w:line="276" w:lineRule="auto"/>
        <w:ind w:firstLine="1"/>
        <w:contextualSpacing/>
        <w:jc w:val="both"/>
      </w:pPr>
    </w:p>
    <w:p w14:paraId="07E1D600" w14:textId="66156F49" w:rsidR="00886D69" w:rsidRDefault="00886D69" w:rsidP="00A202FD">
      <w:pPr>
        <w:widowControl w:val="0"/>
        <w:spacing w:after="240" w:line="276" w:lineRule="auto"/>
        <w:ind w:firstLine="1"/>
        <w:contextualSpacing/>
        <w:jc w:val="both"/>
      </w:pPr>
    </w:p>
    <w:p w14:paraId="5F5B27D9" w14:textId="471491FD" w:rsidR="00984365" w:rsidRDefault="00984365" w:rsidP="00A202FD">
      <w:pPr>
        <w:widowControl w:val="0"/>
        <w:spacing w:after="240" w:line="276" w:lineRule="auto"/>
        <w:ind w:firstLine="1"/>
        <w:contextualSpacing/>
        <w:jc w:val="both"/>
      </w:pPr>
    </w:p>
    <w:p w14:paraId="7B316ECC" w14:textId="32748AC9" w:rsidR="00984365" w:rsidRDefault="00984365" w:rsidP="00A202FD">
      <w:pPr>
        <w:widowControl w:val="0"/>
        <w:spacing w:after="240" w:line="276" w:lineRule="auto"/>
        <w:ind w:firstLine="1"/>
        <w:contextualSpacing/>
        <w:jc w:val="both"/>
      </w:pPr>
    </w:p>
    <w:p w14:paraId="3BFD1278" w14:textId="76BA4A13" w:rsidR="00984365" w:rsidRDefault="00984365" w:rsidP="00A202FD">
      <w:pPr>
        <w:widowControl w:val="0"/>
        <w:spacing w:after="240" w:line="276" w:lineRule="auto"/>
        <w:ind w:firstLine="1"/>
        <w:contextualSpacing/>
        <w:jc w:val="both"/>
      </w:pPr>
    </w:p>
    <w:p w14:paraId="63B8BBDA" w14:textId="410B8B43" w:rsidR="00984365" w:rsidRDefault="00984365" w:rsidP="00A202FD">
      <w:pPr>
        <w:widowControl w:val="0"/>
        <w:spacing w:after="240" w:line="276" w:lineRule="auto"/>
        <w:ind w:firstLine="1"/>
        <w:contextualSpacing/>
        <w:jc w:val="both"/>
      </w:pPr>
    </w:p>
    <w:p w14:paraId="72EA66D9" w14:textId="2578870C" w:rsidR="00984365" w:rsidRDefault="00984365" w:rsidP="00A202FD">
      <w:pPr>
        <w:widowControl w:val="0"/>
        <w:spacing w:after="240" w:line="276" w:lineRule="auto"/>
        <w:ind w:firstLine="1"/>
        <w:contextualSpacing/>
        <w:jc w:val="both"/>
      </w:pPr>
    </w:p>
    <w:p w14:paraId="1BE1A6B6" w14:textId="3AC5554E" w:rsidR="00984365" w:rsidRDefault="00984365" w:rsidP="00A202FD">
      <w:pPr>
        <w:widowControl w:val="0"/>
        <w:spacing w:after="240" w:line="276" w:lineRule="auto"/>
        <w:ind w:firstLine="1"/>
        <w:contextualSpacing/>
        <w:jc w:val="both"/>
      </w:pPr>
    </w:p>
    <w:p w14:paraId="3F666C39" w14:textId="5752AD35" w:rsidR="00984365" w:rsidRDefault="00984365" w:rsidP="00A202FD">
      <w:pPr>
        <w:widowControl w:val="0"/>
        <w:spacing w:after="240" w:line="276" w:lineRule="auto"/>
        <w:ind w:firstLine="1"/>
        <w:contextualSpacing/>
        <w:jc w:val="both"/>
      </w:pPr>
    </w:p>
    <w:p w14:paraId="19CBB6AE" w14:textId="372BDE52" w:rsidR="00984365" w:rsidRDefault="00984365" w:rsidP="00A202FD">
      <w:pPr>
        <w:widowControl w:val="0"/>
        <w:spacing w:after="240" w:line="276" w:lineRule="auto"/>
        <w:ind w:firstLine="1"/>
        <w:contextualSpacing/>
        <w:jc w:val="both"/>
      </w:pPr>
    </w:p>
    <w:p w14:paraId="28FCB09B" w14:textId="010FE25C" w:rsidR="00984365" w:rsidRDefault="00984365" w:rsidP="00A202FD">
      <w:pPr>
        <w:widowControl w:val="0"/>
        <w:spacing w:after="240" w:line="276" w:lineRule="auto"/>
        <w:ind w:firstLine="1"/>
        <w:contextualSpacing/>
        <w:jc w:val="both"/>
      </w:pPr>
    </w:p>
    <w:p w14:paraId="596B91CD" w14:textId="0EC55006" w:rsidR="00984365" w:rsidRDefault="00984365" w:rsidP="00A202FD">
      <w:pPr>
        <w:widowControl w:val="0"/>
        <w:spacing w:after="240" w:line="276" w:lineRule="auto"/>
        <w:ind w:firstLine="1"/>
        <w:contextualSpacing/>
        <w:jc w:val="both"/>
      </w:pPr>
    </w:p>
    <w:p w14:paraId="429BC05C" w14:textId="77777777" w:rsidR="00984365" w:rsidRPr="00D53A2B" w:rsidRDefault="00984365" w:rsidP="00A202FD">
      <w:pPr>
        <w:widowControl w:val="0"/>
        <w:spacing w:after="240" w:line="276" w:lineRule="auto"/>
        <w:ind w:firstLine="1"/>
        <w:contextualSpacing/>
        <w:jc w:val="both"/>
      </w:pPr>
    </w:p>
    <w:p w14:paraId="5A83B2E7" w14:textId="4107EDF0" w:rsidR="00886D69" w:rsidRDefault="00886D69" w:rsidP="00A202FD">
      <w:pPr>
        <w:widowControl w:val="0"/>
        <w:spacing w:after="240" w:line="276" w:lineRule="auto"/>
        <w:ind w:firstLine="1"/>
        <w:contextualSpacing/>
        <w:jc w:val="both"/>
      </w:pPr>
    </w:p>
    <w:p w14:paraId="683FF39D" w14:textId="7871CFA8" w:rsidR="00507ACB" w:rsidRDefault="00507ACB" w:rsidP="00A202FD">
      <w:pPr>
        <w:widowControl w:val="0"/>
        <w:spacing w:after="240" w:line="276" w:lineRule="auto"/>
        <w:ind w:firstLine="1"/>
        <w:contextualSpacing/>
        <w:jc w:val="both"/>
      </w:pPr>
    </w:p>
    <w:p w14:paraId="41386960" w14:textId="2C2F5FC4" w:rsidR="00507ACB" w:rsidRDefault="00507ACB" w:rsidP="00A202FD">
      <w:pPr>
        <w:widowControl w:val="0"/>
        <w:spacing w:after="240" w:line="276" w:lineRule="auto"/>
        <w:ind w:firstLine="1"/>
        <w:contextualSpacing/>
        <w:jc w:val="both"/>
      </w:pPr>
    </w:p>
    <w:p w14:paraId="3079BE84" w14:textId="498E9F66" w:rsidR="00507ACB" w:rsidRDefault="00507ACB" w:rsidP="00A202FD">
      <w:pPr>
        <w:widowControl w:val="0"/>
        <w:spacing w:after="240" w:line="276" w:lineRule="auto"/>
        <w:ind w:firstLine="1"/>
        <w:contextualSpacing/>
        <w:jc w:val="both"/>
      </w:pPr>
    </w:p>
    <w:p w14:paraId="7F85F6E6" w14:textId="515DD681" w:rsidR="00507ACB" w:rsidRDefault="00507ACB" w:rsidP="00A202FD">
      <w:pPr>
        <w:widowControl w:val="0"/>
        <w:spacing w:after="240" w:line="276" w:lineRule="auto"/>
        <w:ind w:firstLine="1"/>
        <w:contextualSpacing/>
        <w:jc w:val="both"/>
      </w:pPr>
    </w:p>
    <w:p w14:paraId="17FB03EF" w14:textId="13D29EF9" w:rsidR="00507ACB" w:rsidRDefault="00507ACB" w:rsidP="00A202FD">
      <w:pPr>
        <w:widowControl w:val="0"/>
        <w:spacing w:after="240" w:line="276" w:lineRule="auto"/>
        <w:ind w:firstLine="1"/>
        <w:contextualSpacing/>
        <w:jc w:val="both"/>
      </w:pPr>
    </w:p>
    <w:p w14:paraId="12298450" w14:textId="5DC599F9" w:rsidR="00507ACB" w:rsidRDefault="00507ACB" w:rsidP="00A202FD">
      <w:pPr>
        <w:widowControl w:val="0"/>
        <w:spacing w:after="240" w:line="276" w:lineRule="auto"/>
        <w:ind w:firstLine="1"/>
        <w:contextualSpacing/>
        <w:jc w:val="both"/>
      </w:pPr>
    </w:p>
    <w:p w14:paraId="00B0C60B" w14:textId="18AA4CA5" w:rsidR="00507ACB" w:rsidRDefault="00507ACB" w:rsidP="00A202FD">
      <w:pPr>
        <w:widowControl w:val="0"/>
        <w:spacing w:after="240" w:line="276" w:lineRule="auto"/>
        <w:ind w:firstLine="1"/>
        <w:contextualSpacing/>
        <w:jc w:val="both"/>
      </w:pPr>
    </w:p>
    <w:p w14:paraId="584B15B5" w14:textId="538C95D6" w:rsidR="00507ACB" w:rsidRDefault="00507ACB" w:rsidP="00A202FD">
      <w:pPr>
        <w:widowControl w:val="0"/>
        <w:spacing w:after="240" w:line="276" w:lineRule="auto"/>
        <w:ind w:firstLine="1"/>
        <w:contextualSpacing/>
        <w:jc w:val="both"/>
      </w:pPr>
    </w:p>
    <w:p w14:paraId="535D0311" w14:textId="324B723A" w:rsidR="00507ACB" w:rsidRDefault="00507ACB" w:rsidP="00A202FD">
      <w:pPr>
        <w:widowControl w:val="0"/>
        <w:spacing w:after="240" w:line="276" w:lineRule="auto"/>
        <w:ind w:firstLine="1"/>
        <w:contextualSpacing/>
        <w:jc w:val="both"/>
      </w:pPr>
    </w:p>
    <w:p w14:paraId="1369E6C0" w14:textId="60C618C2" w:rsidR="00507ACB" w:rsidRDefault="00507ACB" w:rsidP="00A202FD">
      <w:pPr>
        <w:widowControl w:val="0"/>
        <w:spacing w:after="240" w:line="276" w:lineRule="auto"/>
        <w:ind w:firstLine="1"/>
        <w:contextualSpacing/>
        <w:jc w:val="both"/>
      </w:pPr>
    </w:p>
    <w:p w14:paraId="2AB0AF7B" w14:textId="5748D5D4" w:rsidR="00507ACB" w:rsidRDefault="00507ACB" w:rsidP="00A202FD">
      <w:pPr>
        <w:widowControl w:val="0"/>
        <w:spacing w:after="240" w:line="276" w:lineRule="auto"/>
        <w:ind w:firstLine="1"/>
        <w:contextualSpacing/>
        <w:jc w:val="both"/>
      </w:pPr>
    </w:p>
    <w:p w14:paraId="203FFF2F" w14:textId="77777777" w:rsidR="00507ACB" w:rsidRPr="00D53A2B" w:rsidRDefault="00507ACB" w:rsidP="00A202FD">
      <w:pPr>
        <w:widowControl w:val="0"/>
        <w:spacing w:after="240" w:line="276" w:lineRule="auto"/>
        <w:ind w:firstLine="1"/>
        <w:contextualSpacing/>
        <w:jc w:val="both"/>
      </w:pPr>
    </w:p>
    <w:p w14:paraId="75027569" w14:textId="77777777" w:rsidR="00886D69" w:rsidRPr="00D53A2B" w:rsidRDefault="00886D69" w:rsidP="00A202FD">
      <w:pPr>
        <w:widowControl w:val="0"/>
        <w:spacing w:after="240" w:line="276" w:lineRule="auto"/>
        <w:ind w:firstLine="1"/>
        <w:contextualSpacing/>
        <w:jc w:val="both"/>
      </w:pPr>
    </w:p>
    <w:p w14:paraId="12288786" w14:textId="77777777" w:rsidR="0007690F" w:rsidRPr="00D53A2B" w:rsidRDefault="0007690F" w:rsidP="00A202FD">
      <w:pPr>
        <w:widowControl w:val="0"/>
        <w:spacing w:after="240" w:line="276" w:lineRule="auto"/>
        <w:ind w:firstLine="1"/>
        <w:contextualSpacing/>
        <w:jc w:val="both"/>
        <w:rPr>
          <w:b/>
          <w:bCs/>
        </w:rPr>
      </w:pPr>
      <w:r w:rsidRPr="00D53A2B">
        <w:rPr>
          <w:b/>
          <w:bCs/>
        </w:rPr>
        <w:t>1.4. Tekniklerin Açıklamaları</w:t>
      </w:r>
    </w:p>
    <w:p w14:paraId="37E3E656" w14:textId="77777777" w:rsidR="0007690F" w:rsidRPr="00D53A2B" w:rsidRDefault="0007690F" w:rsidP="00A202FD">
      <w:pPr>
        <w:widowControl w:val="0"/>
        <w:spacing w:after="240" w:line="276" w:lineRule="auto"/>
        <w:ind w:firstLine="1"/>
        <w:contextualSpacing/>
        <w:jc w:val="both"/>
        <w:rPr>
          <w:b/>
          <w:bCs/>
        </w:rPr>
      </w:pPr>
      <w:r w:rsidRPr="00D53A2B">
        <w:rPr>
          <w:b/>
          <w:bCs/>
        </w:rPr>
        <w:t>1.4.1. Enerji Verimliliğini Artırma Teknikleri</w:t>
      </w:r>
    </w:p>
    <w:tbl>
      <w:tblPr>
        <w:tblW w:w="8926" w:type="dxa"/>
        <w:tblCellMar>
          <w:left w:w="70" w:type="dxa"/>
          <w:right w:w="70" w:type="dxa"/>
        </w:tblCellMar>
        <w:tblLook w:val="04A0" w:firstRow="1" w:lastRow="0" w:firstColumn="1" w:lastColumn="0" w:noHBand="0" w:noVBand="1"/>
      </w:tblPr>
      <w:tblGrid>
        <w:gridCol w:w="1847"/>
        <w:gridCol w:w="7079"/>
      </w:tblGrid>
      <w:tr w:rsidR="0007690F" w:rsidRPr="00D01A4F" w14:paraId="20DFCF4B" w14:textId="77777777" w:rsidTr="00507ACB">
        <w:trPr>
          <w:trHeight w:val="320"/>
        </w:trPr>
        <w:tc>
          <w:tcPr>
            <w:tcW w:w="18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085619" w14:textId="77777777" w:rsidR="0007690F" w:rsidRPr="00D01A4F" w:rsidRDefault="0007690F" w:rsidP="00A202FD">
            <w:pPr>
              <w:widowControl w:val="0"/>
              <w:spacing w:after="240" w:line="276" w:lineRule="auto"/>
              <w:ind w:firstLine="1"/>
              <w:contextualSpacing/>
              <w:jc w:val="both"/>
              <w:rPr>
                <w:b/>
                <w:bCs/>
                <w:sz w:val="22"/>
                <w:szCs w:val="22"/>
              </w:rPr>
            </w:pPr>
            <w:r w:rsidRPr="00D01A4F">
              <w:rPr>
                <w:b/>
                <w:bCs/>
                <w:sz w:val="22"/>
                <w:szCs w:val="22"/>
              </w:rPr>
              <w:t>Teknik</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14:paraId="03DBC34B" w14:textId="77777777" w:rsidR="0007690F" w:rsidRPr="00D01A4F" w:rsidRDefault="0007690F" w:rsidP="00A202FD">
            <w:pPr>
              <w:widowControl w:val="0"/>
              <w:spacing w:after="240" w:line="276" w:lineRule="auto"/>
              <w:ind w:firstLine="1"/>
              <w:contextualSpacing/>
              <w:jc w:val="both"/>
              <w:rPr>
                <w:b/>
                <w:bCs/>
                <w:sz w:val="22"/>
                <w:szCs w:val="22"/>
              </w:rPr>
            </w:pPr>
            <w:r w:rsidRPr="00D01A4F">
              <w:rPr>
                <w:b/>
                <w:bCs/>
                <w:sz w:val="22"/>
                <w:szCs w:val="22"/>
              </w:rPr>
              <w:t>Açıklama</w:t>
            </w:r>
          </w:p>
        </w:tc>
      </w:tr>
      <w:tr w:rsidR="0007690F" w:rsidRPr="00D01A4F" w14:paraId="652B4EB1" w14:textId="77777777" w:rsidTr="00507ACB">
        <w:trPr>
          <w:trHeight w:val="32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452028D1"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Fırın otomasyonu ve kontrolü</w:t>
            </w:r>
          </w:p>
        </w:tc>
        <w:tc>
          <w:tcPr>
            <w:tcW w:w="7079" w:type="dxa"/>
            <w:tcBorders>
              <w:top w:val="nil"/>
              <w:left w:val="nil"/>
              <w:bottom w:val="single" w:sz="4" w:space="0" w:color="auto"/>
              <w:right w:val="single" w:sz="4" w:space="0" w:color="auto"/>
            </w:tcBorders>
            <w:shd w:val="clear" w:color="auto" w:fill="auto"/>
            <w:noWrap/>
            <w:vAlign w:val="bottom"/>
            <w:hideMark/>
          </w:tcPr>
          <w:p w14:paraId="7DCAB915"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Isıtma süreci, fırın ve hammaddenin sıcaklığı, hava-yakıt oranı ve fırın basıncı gibi anahtar parametreleri kontrol eden bir bilgisayar sistemi kullanılarak optimize edilir.</w:t>
            </w:r>
          </w:p>
        </w:tc>
      </w:tr>
      <w:tr w:rsidR="0007690F" w:rsidRPr="00D01A4F" w14:paraId="0D7BFEB2" w14:textId="77777777" w:rsidTr="00507ACB">
        <w:trPr>
          <w:trHeight w:val="2428"/>
        </w:trPr>
        <w:tc>
          <w:tcPr>
            <w:tcW w:w="18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76C414"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Döküm verimini artırma ve hurda oluşumunu azaltma</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14:paraId="6C4CFCB1"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Döküm işleminin verimliliğini maksimize etmek ve hurda oluşumunu azaltmak için önlemler alınır, örneğin: </w:t>
            </w:r>
          </w:p>
          <w:p w14:paraId="608712CD"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 Eritme ve döküm işlemlerini optimize ederek eritme kayıplarını, aşırı ham demir döküm oranlarını ve hurda oluşum oranlarını azaltma; </w:t>
            </w:r>
          </w:p>
          <w:p w14:paraId="38E93018"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 Kalıp ve çekirdek üretiminde kusurlardan kaynaklanan hurda oluşumunu azaltmak için optimizasyon; </w:t>
            </w:r>
          </w:p>
          <w:p w14:paraId="64E6D897"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 Besleme ve yükselme sistemlerini optimize etme; </w:t>
            </w:r>
          </w:p>
          <w:p w14:paraId="07100AD3"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 İzole edilmiş ekzotermik besleyiciler kullanma.</w:t>
            </w:r>
          </w:p>
        </w:tc>
      </w:tr>
      <w:tr w:rsidR="0007690F" w:rsidRPr="00D01A4F" w14:paraId="048DF4D7" w14:textId="77777777" w:rsidTr="00507ACB">
        <w:trPr>
          <w:trHeight w:val="320"/>
        </w:trPr>
        <w:tc>
          <w:tcPr>
            <w:tcW w:w="18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E6B56C"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CBC fırınlarında şaft yüksekliğini artırma</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14:paraId="75CAEA5D"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Soğuk hava kupol fırınlarında şaft yüksekliğinin artırılması, yanma gazlarının yükle daha uzun süre temas etmesini sağlar ve bu da daha yüksek bir ısı transferi ile sonuçlanır.</w:t>
            </w:r>
          </w:p>
        </w:tc>
      </w:tr>
      <w:tr w:rsidR="0007690F" w:rsidRPr="00D01A4F" w14:paraId="0D21EF24" w14:textId="77777777" w:rsidTr="00507ACB">
        <w:trPr>
          <w:trHeight w:val="32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54F683BE"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Uzun kampanya kupol</w:t>
            </w:r>
          </w:p>
        </w:tc>
        <w:tc>
          <w:tcPr>
            <w:tcW w:w="7079" w:type="dxa"/>
            <w:tcBorders>
              <w:top w:val="nil"/>
              <w:left w:val="nil"/>
              <w:bottom w:val="single" w:sz="4" w:space="0" w:color="auto"/>
              <w:right w:val="single" w:sz="4" w:space="0" w:color="auto"/>
            </w:tcBorders>
            <w:shd w:val="clear" w:color="auto" w:fill="auto"/>
            <w:noWrap/>
            <w:vAlign w:val="bottom"/>
            <w:hideMark/>
          </w:tcPr>
          <w:p w14:paraId="1028ED3D"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Kupol fırını, bakım ve süreç değişikliklerini en aza indirmek için uzun kampanya operasyonlarına uygun hale getirilir. Bu, şaft, taban ve ocağa daha dayanıklı refrakter astarlar kullanılarak, fırın duvarlarının su ile soğutulması ve fırın şaftına daha derin nüfuz eden su soğutmalı hava üfleme boruları ile sağlanabilir.</w:t>
            </w:r>
          </w:p>
        </w:tc>
      </w:tr>
      <w:tr w:rsidR="0007690F" w:rsidRPr="00D01A4F" w14:paraId="543902BA" w14:textId="77777777" w:rsidTr="00507ACB">
        <w:trPr>
          <w:trHeight w:val="32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69DFF179"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HBC fırınlarında minimum hava üfleme kesintisi</w:t>
            </w:r>
          </w:p>
        </w:tc>
        <w:tc>
          <w:tcPr>
            <w:tcW w:w="7079" w:type="dxa"/>
            <w:tcBorders>
              <w:top w:val="nil"/>
              <w:left w:val="nil"/>
              <w:bottom w:val="single" w:sz="4" w:space="0" w:color="auto"/>
              <w:right w:val="single" w:sz="4" w:space="0" w:color="auto"/>
            </w:tcBorders>
            <w:shd w:val="clear" w:color="auto" w:fill="auto"/>
            <w:noWrap/>
            <w:vAlign w:val="bottom"/>
            <w:hideMark/>
          </w:tcPr>
          <w:p w14:paraId="4F3F8E0A"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Kalıplama ve döküm süreçlerinin programlanması ile metale olan talebi makul derecede sabit tutarak hava üfleme kesintilerinin en aza indirilmesi.</w:t>
            </w:r>
          </w:p>
        </w:tc>
      </w:tr>
      <w:tr w:rsidR="0007690F" w:rsidRPr="00D01A4F" w14:paraId="52B7F513" w14:textId="77777777" w:rsidTr="00507ACB">
        <w:trPr>
          <w:trHeight w:val="32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2A2A8565"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Oksijen-yakıt yanması</w:t>
            </w:r>
          </w:p>
        </w:tc>
        <w:tc>
          <w:tcPr>
            <w:tcW w:w="7079" w:type="dxa"/>
            <w:tcBorders>
              <w:top w:val="nil"/>
              <w:left w:val="nil"/>
              <w:bottom w:val="single" w:sz="4" w:space="0" w:color="auto"/>
              <w:right w:val="single" w:sz="4" w:space="0" w:color="auto"/>
            </w:tcBorders>
            <w:shd w:val="clear" w:color="auto" w:fill="auto"/>
            <w:noWrap/>
            <w:vAlign w:val="bottom"/>
            <w:hideMark/>
          </w:tcPr>
          <w:p w14:paraId="3C4C35C7"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Yanma havası tamamen veya kısmen saf oksijen ile değiştirilir. Oksijen-yakıt yanması, alevsiz yanma ile birleştirilebilir.</w:t>
            </w:r>
          </w:p>
        </w:tc>
      </w:tr>
      <w:tr w:rsidR="0007690F" w:rsidRPr="00D01A4F" w14:paraId="0DA6A2D6" w14:textId="77777777" w:rsidTr="00507ACB">
        <w:trPr>
          <w:trHeight w:val="32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7641B550"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Yanma havasının oksijen zenginleştirilmesi</w:t>
            </w:r>
          </w:p>
        </w:tc>
        <w:tc>
          <w:tcPr>
            <w:tcW w:w="7079" w:type="dxa"/>
            <w:tcBorders>
              <w:top w:val="nil"/>
              <w:left w:val="nil"/>
              <w:bottom w:val="single" w:sz="4" w:space="0" w:color="auto"/>
              <w:right w:val="single" w:sz="4" w:space="0" w:color="auto"/>
            </w:tcBorders>
            <w:shd w:val="clear" w:color="auto" w:fill="auto"/>
            <w:noWrap/>
            <w:vAlign w:val="bottom"/>
            <w:hideMark/>
          </w:tcPr>
          <w:p w14:paraId="51D5AEFB"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Yanma havasının oksijen zenginleştirilmesi, ya üfleme kaynağında doğrudan gerçekleştirilir ya da oksijenin kok yatağına enjekte edilmesi veya üfleme delikleri aracılığıyla yapılır.</w:t>
            </w:r>
          </w:p>
        </w:tc>
      </w:tr>
      <w:tr w:rsidR="0007690F" w:rsidRPr="00D01A4F" w14:paraId="7502B123" w14:textId="77777777" w:rsidTr="00507ACB">
        <w:trPr>
          <w:trHeight w:val="32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4CC1A270"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Atık gazların yanması sonrası</w:t>
            </w:r>
          </w:p>
        </w:tc>
        <w:tc>
          <w:tcPr>
            <w:tcW w:w="7079" w:type="dxa"/>
            <w:tcBorders>
              <w:top w:val="nil"/>
              <w:left w:val="nil"/>
              <w:bottom w:val="single" w:sz="4" w:space="0" w:color="auto"/>
              <w:right w:val="single" w:sz="4" w:space="0" w:color="auto"/>
            </w:tcBorders>
            <w:shd w:val="clear" w:color="auto" w:fill="auto"/>
            <w:noWrap/>
            <w:vAlign w:val="bottom"/>
            <w:hideMark/>
          </w:tcPr>
          <w:p w14:paraId="3B819375"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Bölüm 1.4.3'e bakınız.</w:t>
            </w:r>
          </w:p>
        </w:tc>
      </w:tr>
      <w:tr w:rsidR="0007690F" w:rsidRPr="00D01A4F" w14:paraId="36C998B3" w14:textId="77777777" w:rsidTr="00507ACB">
        <w:trPr>
          <w:trHeight w:val="32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0352906B"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Yanma havasının ön ısıtılması</w:t>
            </w:r>
          </w:p>
        </w:tc>
        <w:tc>
          <w:tcPr>
            <w:tcW w:w="7079" w:type="dxa"/>
            <w:tcBorders>
              <w:top w:val="nil"/>
              <w:left w:val="nil"/>
              <w:bottom w:val="single" w:sz="4" w:space="0" w:color="auto"/>
              <w:right w:val="single" w:sz="4" w:space="0" w:color="auto"/>
            </w:tcBorders>
            <w:shd w:val="clear" w:color="auto" w:fill="auto"/>
            <w:noWrap/>
            <w:vAlign w:val="bottom"/>
            <w:hideMark/>
          </w:tcPr>
          <w:p w14:paraId="117B005D"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Yanma baca gazından geri kazanılan ısının bir kısmının, yanmada kullanılan havayı önceden ısıtmak için yeniden kullanılması. Bu, örneğin rejeneratif veya rekuperatif brülörler kullanılarak sağlanabilir (aşağıya bakınız). Baca gazından ısı geri kazanımını en üst düzeye çıkarmak ile NOX emisyonlarını en aza indirmek arasında bir denge sağlanmalıdır.</w:t>
            </w:r>
          </w:p>
        </w:tc>
      </w:tr>
      <w:tr w:rsidR="0007690F" w:rsidRPr="00D01A4F" w14:paraId="114B93D5" w14:textId="77777777" w:rsidTr="00507ACB">
        <w:trPr>
          <w:trHeight w:val="32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6EF3DC3F"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Rekuperatif brülör</w:t>
            </w:r>
          </w:p>
        </w:tc>
        <w:tc>
          <w:tcPr>
            <w:tcW w:w="7079" w:type="dxa"/>
            <w:tcBorders>
              <w:top w:val="nil"/>
              <w:left w:val="nil"/>
              <w:bottom w:val="single" w:sz="4" w:space="0" w:color="auto"/>
              <w:right w:val="single" w:sz="4" w:space="0" w:color="auto"/>
            </w:tcBorders>
            <w:shd w:val="clear" w:color="auto" w:fill="auto"/>
            <w:noWrap/>
            <w:vAlign w:val="bottom"/>
            <w:hideMark/>
          </w:tcPr>
          <w:p w14:paraId="1C555932"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Rekuperatif brülörler, radyasyon, konveksiyon, kompakt veya radyant tüp tasarımlarına sahip farklı tipte ısı değiştiriciler kullanarak duman gazlarından doğrudan ısı geri kazanımı sağlar ve bu ısı yanma havasını önceden ısıtmak için kullanılır.</w:t>
            </w:r>
          </w:p>
        </w:tc>
      </w:tr>
      <w:tr w:rsidR="0007690F" w:rsidRPr="00D01A4F" w14:paraId="1B7A207E" w14:textId="77777777" w:rsidTr="00507ACB">
        <w:trPr>
          <w:trHeight w:val="32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1B72FC7E"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Rejeneratif brülör</w:t>
            </w:r>
          </w:p>
        </w:tc>
        <w:tc>
          <w:tcPr>
            <w:tcW w:w="7079" w:type="dxa"/>
            <w:tcBorders>
              <w:top w:val="nil"/>
              <w:left w:val="nil"/>
              <w:bottom w:val="single" w:sz="4" w:space="0" w:color="auto"/>
              <w:right w:val="single" w:sz="4" w:space="0" w:color="auto"/>
            </w:tcBorders>
            <w:shd w:val="clear" w:color="auto" w:fill="auto"/>
            <w:noWrap/>
            <w:vAlign w:val="bottom"/>
            <w:hideMark/>
          </w:tcPr>
          <w:p w14:paraId="254D2466"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Rejeneratif brülörler, sırayla çalışan ve refrakter veya seramik malzemelerden oluşan iki brülörden oluşur. Biri çalışırken, diğer brülörün refrakter veya seramik malzemeleri duman gazının ısısını emer ve ardından bu ısı yanma havasını önceden ısıtmak için kullanılır.</w:t>
            </w:r>
          </w:p>
        </w:tc>
      </w:tr>
      <w:tr w:rsidR="0007690F" w:rsidRPr="00D01A4F" w14:paraId="7227227E" w14:textId="77777777" w:rsidTr="00507ACB">
        <w:trPr>
          <w:trHeight w:val="32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373D4788"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Fırınların termal verimliliğini en üst düzeye çıkarmak için teknikler</w:t>
            </w:r>
          </w:p>
        </w:tc>
        <w:tc>
          <w:tcPr>
            <w:tcW w:w="7079" w:type="dxa"/>
            <w:tcBorders>
              <w:top w:val="nil"/>
              <w:left w:val="nil"/>
              <w:bottom w:val="single" w:sz="4" w:space="0" w:color="auto"/>
              <w:right w:val="single" w:sz="4" w:space="0" w:color="auto"/>
            </w:tcBorders>
            <w:shd w:val="clear" w:color="auto" w:fill="auto"/>
            <w:noWrap/>
            <w:vAlign w:val="bottom"/>
            <w:hideMark/>
          </w:tcPr>
          <w:p w14:paraId="44EE0A5E"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Enerji dönüşüm verimliliğini maksimize etmek ve ergitme ile ısıl işlem fırınlarında emisyonları (özellikle toz ve CO) en aza indirmek için alınan önlemler. Bu, fırın türüne bağlı olarak bir dizi süreç optimizasyon önleminin uygulanmasıyla sağlanır; bunlar arasında sıcaklık optimizasyonu (örneğin, yakıt ve yanma havasının verimli karışımı), yanma bölgesindeki kalma süresi ve fırın otomasyonu ile kontrolü yer alır (yukarıya bakınız). Bazı özel fırınlar için alınan önlemler şunlardır:</w:t>
            </w:r>
          </w:p>
          <w:p w14:paraId="7B108971" w14:textId="77777777" w:rsidR="0007690F" w:rsidRPr="00D01A4F" w:rsidRDefault="0007690F" w:rsidP="00A202FD">
            <w:pPr>
              <w:widowControl w:val="0"/>
              <w:spacing w:after="240" w:line="276" w:lineRule="auto"/>
              <w:ind w:firstLine="1"/>
              <w:contextualSpacing/>
              <w:jc w:val="both"/>
              <w:rPr>
                <w:sz w:val="22"/>
                <w:szCs w:val="22"/>
              </w:rPr>
            </w:pPr>
            <w:r w:rsidRPr="00D01A4F">
              <w:rPr>
                <w:b/>
                <w:bCs/>
                <w:sz w:val="22"/>
                <w:szCs w:val="22"/>
              </w:rPr>
              <w:t>Kupol fırınları için:</w:t>
            </w:r>
          </w:p>
          <w:p w14:paraId="4475B753" w14:textId="77777777" w:rsidR="0007690F" w:rsidRPr="00D01A4F" w:rsidRDefault="0007690F" w:rsidP="00602365">
            <w:pPr>
              <w:widowControl w:val="0"/>
              <w:numPr>
                <w:ilvl w:val="0"/>
                <w:numId w:val="263"/>
              </w:numPr>
              <w:spacing w:after="240" w:line="276" w:lineRule="auto"/>
              <w:contextualSpacing/>
              <w:jc w:val="both"/>
              <w:rPr>
                <w:sz w:val="22"/>
                <w:szCs w:val="22"/>
              </w:rPr>
            </w:pPr>
            <w:r w:rsidRPr="00D01A4F">
              <w:rPr>
                <w:sz w:val="22"/>
                <w:szCs w:val="22"/>
              </w:rPr>
              <w:t>Çalışma rejiminin optimizasyonu;</w:t>
            </w:r>
          </w:p>
          <w:p w14:paraId="7306CDFB" w14:textId="77777777" w:rsidR="0007690F" w:rsidRPr="00D01A4F" w:rsidRDefault="0007690F" w:rsidP="00602365">
            <w:pPr>
              <w:widowControl w:val="0"/>
              <w:numPr>
                <w:ilvl w:val="0"/>
                <w:numId w:val="263"/>
              </w:numPr>
              <w:spacing w:after="240" w:line="276" w:lineRule="auto"/>
              <w:contextualSpacing/>
              <w:jc w:val="both"/>
              <w:rPr>
                <w:sz w:val="22"/>
                <w:szCs w:val="22"/>
              </w:rPr>
            </w:pPr>
            <w:r w:rsidRPr="00D01A4F">
              <w:rPr>
                <w:sz w:val="22"/>
                <w:szCs w:val="22"/>
              </w:rPr>
              <w:t>Aşırı sıcaklıkların önlenmesi;</w:t>
            </w:r>
          </w:p>
          <w:p w14:paraId="6719066D" w14:textId="77777777" w:rsidR="0007690F" w:rsidRPr="00D01A4F" w:rsidRDefault="0007690F" w:rsidP="00602365">
            <w:pPr>
              <w:widowControl w:val="0"/>
              <w:numPr>
                <w:ilvl w:val="0"/>
                <w:numId w:val="263"/>
              </w:numPr>
              <w:spacing w:after="240" w:line="276" w:lineRule="auto"/>
              <w:contextualSpacing/>
              <w:jc w:val="both"/>
              <w:rPr>
                <w:sz w:val="22"/>
                <w:szCs w:val="22"/>
              </w:rPr>
            </w:pPr>
            <w:r w:rsidRPr="00D01A4F">
              <w:rPr>
                <w:sz w:val="22"/>
                <w:szCs w:val="22"/>
              </w:rPr>
              <w:t>Homojen yükleme;</w:t>
            </w:r>
          </w:p>
          <w:p w14:paraId="46186155" w14:textId="77777777" w:rsidR="0007690F" w:rsidRPr="00D01A4F" w:rsidRDefault="0007690F" w:rsidP="00602365">
            <w:pPr>
              <w:widowControl w:val="0"/>
              <w:numPr>
                <w:ilvl w:val="0"/>
                <w:numId w:val="263"/>
              </w:numPr>
              <w:spacing w:after="240" w:line="276" w:lineRule="auto"/>
              <w:contextualSpacing/>
              <w:jc w:val="both"/>
              <w:rPr>
                <w:sz w:val="22"/>
                <w:szCs w:val="22"/>
              </w:rPr>
            </w:pPr>
            <w:r w:rsidRPr="00D01A4F">
              <w:rPr>
                <w:sz w:val="22"/>
                <w:szCs w:val="22"/>
              </w:rPr>
              <w:t>Hava kayıplarının en aza indirilmesi;</w:t>
            </w:r>
          </w:p>
          <w:p w14:paraId="305ADCA3" w14:textId="77777777" w:rsidR="0007690F" w:rsidRPr="00D01A4F" w:rsidRDefault="0007690F" w:rsidP="00602365">
            <w:pPr>
              <w:widowControl w:val="0"/>
              <w:numPr>
                <w:ilvl w:val="0"/>
                <w:numId w:val="263"/>
              </w:numPr>
              <w:spacing w:after="240" w:line="276" w:lineRule="auto"/>
              <w:contextualSpacing/>
              <w:jc w:val="both"/>
              <w:rPr>
                <w:sz w:val="22"/>
                <w:szCs w:val="22"/>
              </w:rPr>
            </w:pPr>
            <w:r w:rsidRPr="00D01A4F">
              <w:rPr>
                <w:sz w:val="22"/>
                <w:szCs w:val="22"/>
              </w:rPr>
              <w:t>Uygun astar uygulamaları.</w:t>
            </w:r>
          </w:p>
          <w:p w14:paraId="28CF1C21" w14:textId="77777777" w:rsidR="0007690F" w:rsidRPr="00D01A4F" w:rsidRDefault="0007690F" w:rsidP="00A202FD">
            <w:pPr>
              <w:widowControl w:val="0"/>
              <w:spacing w:after="240" w:line="276" w:lineRule="auto"/>
              <w:ind w:firstLine="1"/>
              <w:contextualSpacing/>
              <w:jc w:val="both"/>
              <w:rPr>
                <w:sz w:val="22"/>
                <w:szCs w:val="22"/>
              </w:rPr>
            </w:pPr>
            <w:r w:rsidRPr="00D01A4F">
              <w:rPr>
                <w:b/>
                <w:bCs/>
                <w:sz w:val="22"/>
                <w:szCs w:val="22"/>
              </w:rPr>
              <w:t>İndüksiyon fırınları için:</w:t>
            </w:r>
          </w:p>
          <w:p w14:paraId="2C76D955" w14:textId="77777777" w:rsidR="0007690F" w:rsidRPr="00D01A4F" w:rsidRDefault="0007690F" w:rsidP="00602365">
            <w:pPr>
              <w:widowControl w:val="0"/>
              <w:numPr>
                <w:ilvl w:val="0"/>
                <w:numId w:val="264"/>
              </w:numPr>
              <w:spacing w:after="240" w:line="276" w:lineRule="auto"/>
              <w:contextualSpacing/>
              <w:jc w:val="both"/>
              <w:rPr>
                <w:sz w:val="22"/>
                <w:szCs w:val="22"/>
              </w:rPr>
            </w:pPr>
            <w:r w:rsidRPr="00D01A4F">
              <w:rPr>
                <w:sz w:val="22"/>
                <w:szCs w:val="22"/>
              </w:rPr>
              <w:t>Besleme malzemesi koşulları (örneğin, girdi malzemeleri ve hurdalar için optimum boyut ve yoğunluk);</w:t>
            </w:r>
          </w:p>
          <w:p w14:paraId="667C6652" w14:textId="77777777" w:rsidR="0007690F" w:rsidRPr="00D01A4F" w:rsidRDefault="0007690F" w:rsidP="00602365">
            <w:pPr>
              <w:widowControl w:val="0"/>
              <w:numPr>
                <w:ilvl w:val="0"/>
                <w:numId w:val="264"/>
              </w:numPr>
              <w:spacing w:after="240" w:line="276" w:lineRule="auto"/>
              <w:contextualSpacing/>
              <w:jc w:val="both"/>
              <w:rPr>
                <w:sz w:val="22"/>
                <w:szCs w:val="22"/>
              </w:rPr>
            </w:pPr>
            <w:r w:rsidRPr="00D01A4F">
              <w:rPr>
                <w:sz w:val="22"/>
                <w:szCs w:val="22"/>
              </w:rPr>
              <w:t>Fırın kapağının kapalı tutulması;</w:t>
            </w:r>
          </w:p>
          <w:p w14:paraId="4D6E4CD4" w14:textId="77777777" w:rsidR="0007690F" w:rsidRPr="00D01A4F" w:rsidRDefault="0007690F" w:rsidP="00602365">
            <w:pPr>
              <w:widowControl w:val="0"/>
              <w:numPr>
                <w:ilvl w:val="0"/>
                <w:numId w:val="264"/>
              </w:numPr>
              <w:spacing w:after="240" w:line="276" w:lineRule="auto"/>
              <w:contextualSpacing/>
              <w:jc w:val="both"/>
              <w:rPr>
                <w:sz w:val="22"/>
                <w:szCs w:val="22"/>
              </w:rPr>
            </w:pPr>
            <w:r w:rsidRPr="00D01A4F">
              <w:rPr>
                <w:sz w:val="22"/>
                <w:szCs w:val="22"/>
              </w:rPr>
              <w:t>Minimum bekleme süresi;</w:t>
            </w:r>
          </w:p>
          <w:p w14:paraId="1B863038" w14:textId="77777777" w:rsidR="0007690F" w:rsidRPr="00D01A4F" w:rsidRDefault="0007690F" w:rsidP="00602365">
            <w:pPr>
              <w:widowControl w:val="0"/>
              <w:numPr>
                <w:ilvl w:val="0"/>
                <w:numId w:val="264"/>
              </w:numPr>
              <w:spacing w:after="240" w:line="276" w:lineRule="auto"/>
              <w:contextualSpacing/>
              <w:jc w:val="both"/>
              <w:rPr>
                <w:sz w:val="22"/>
                <w:szCs w:val="22"/>
              </w:rPr>
            </w:pPr>
            <w:r w:rsidRPr="00D01A4F">
              <w:rPr>
                <w:sz w:val="22"/>
                <w:szCs w:val="22"/>
              </w:rPr>
              <w:t>Fırında sıvı metal kalıntısı bırakılması;</w:t>
            </w:r>
          </w:p>
          <w:p w14:paraId="05F48799" w14:textId="77777777" w:rsidR="0007690F" w:rsidRPr="00D01A4F" w:rsidRDefault="0007690F" w:rsidP="00602365">
            <w:pPr>
              <w:widowControl w:val="0"/>
              <w:numPr>
                <w:ilvl w:val="0"/>
                <w:numId w:val="264"/>
              </w:numPr>
              <w:spacing w:after="240" w:line="276" w:lineRule="auto"/>
              <w:contextualSpacing/>
              <w:jc w:val="both"/>
              <w:rPr>
                <w:sz w:val="22"/>
                <w:szCs w:val="22"/>
              </w:rPr>
            </w:pPr>
            <w:r w:rsidRPr="00D01A4F">
              <w:rPr>
                <w:sz w:val="22"/>
                <w:szCs w:val="22"/>
              </w:rPr>
              <w:t>Karburanların ergitme döngüsünün başında eklenmesi;</w:t>
            </w:r>
          </w:p>
          <w:p w14:paraId="1102B55A" w14:textId="77777777" w:rsidR="0007690F" w:rsidRPr="00D01A4F" w:rsidRDefault="0007690F" w:rsidP="00602365">
            <w:pPr>
              <w:widowControl w:val="0"/>
              <w:numPr>
                <w:ilvl w:val="0"/>
                <w:numId w:val="264"/>
              </w:numPr>
              <w:spacing w:after="240" w:line="276" w:lineRule="auto"/>
              <w:contextualSpacing/>
              <w:jc w:val="both"/>
              <w:rPr>
                <w:sz w:val="22"/>
                <w:szCs w:val="22"/>
              </w:rPr>
            </w:pPr>
            <w:r w:rsidRPr="00D01A4F">
              <w:rPr>
                <w:sz w:val="22"/>
                <w:szCs w:val="22"/>
              </w:rPr>
              <w:t>Maksimum güç girişi seviyesinde çalışma;</w:t>
            </w:r>
          </w:p>
          <w:p w14:paraId="2FF3FD16" w14:textId="77777777" w:rsidR="0007690F" w:rsidRPr="00D01A4F" w:rsidRDefault="0007690F" w:rsidP="00602365">
            <w:pPr>
              <w:widowControl w:val="0"/>
              <w:numPr>
                <w:ilvl w:val="0"/>
                <w:numId w:val="264"/>
              </w:numPr>
              <w:spacing w:after="240" w:line="276" w:lineRule="auto"/>
              <w:contextualSpacing/>
              <w:jc w:val="both"/>
              <w:rPr>
                <w:sz w:val="22"/>
                <w:szCs w:val="22"/>
              </w:rPr>
            </w:pPr>
            <w:r w:rsidRPr="00D01A4F">
              <w:rPr>
                <w:sz w:val="22"/>
                <w:szCs w:val="22"/>
              </w:rPr>
              <w:t>Aşırı ısınmayı önlemek için sıcaklık kontrolü;</w:t>
            </w:r>
          </w:p>
          <w:p w14:paraId="3E410218" w14:textId="77777777" w:rsidR="0007690F" w:rsidRPr="00D01A4F" w:rsidRDefault="0007690F" w:rsidP="00602365">
            <w:pPr>
              <w:widowControl w:val="0"/>
              <w:numPr>
                <w:ilvl w:val="0"/>
                <w:numId w:val="264"/>
              </w:numPr>
              <w:spacing w:after="240" w:line="276" w:lineRule="auto"/>
              <w:contextualSpacing/>
              <w:jc w:val="both"/>
              <w:rPr>
                <w:sz w:val="22"/>
                <w:szCs w:val="22"/>
              </w:rPr>
            </w:pPr>
            <w:r w:rsidRPr="00D01A4F">
              <w:rPr>
                <w:sz w:val="22"/>
                <w:szCs w:val="22"/>
              </w:rPr>
              <w:t>Ergitme sıcaklıklarını optimize ederek aşırı cüruf birikimini önleme;</w:t>
            </w:r>
          </w:p>
          <w:p w14:paraId="5EFA2909" w14:textId="77777777" w:rsidR="0007690F" w:rsidRPr="00D01A4F" w:rsidRDefault="0007690F" w:rsidP="00602365">
            <w:pPr>
              <w:widowControl w:val="0"/>
              <w:numPr>
                <w:ilvl w:val="0"/>
                <w:numId w:val="264"/>
              </w:numPr>
              <w:spacing w:after="240" w:line="276" w:lineRule="auto"/>
              <w:contextualSpacing/>
              <w:jc w:val="both"/>
              <w:rPr>
                <w:sz w:val="22"/>
                <w:szCs w:val="22"/>
              </w:rPr>
            </w:pPr>
            <w:r w:rsidRPr="00D01A4F">
              <w:rPr>
                <w:sz w:val="22"/>
                <w:szCs w:val="22"/>
              </w:rPr>
              <w:t>Fırın astarının aşınmasının en aza indirilmesi ve kontrolü;</w:t>
            </w:r>
          </w:p>
          <w:p w14:paraId="3E0521B3" w14:textId="77777777" w:rsidR="0007690F" w:rsidRPr="00D01A4F" w:rsidRDefault="0007690F" w:rsidP="00602365">
            <w:pPr>
              <w:widowControl w:val="0"/>
              <w:numPr>
                <w:ilvl w:val="0"/>
                <w:numId w:val="264"/>
              </w:numPr>
              <w:spacing w:after="240" w:line="276" w:lineRule="auto"/>
              <w:contextualSpacing/>
              <w:jc w:val="both"/>
              <w:rPr>
                <w:sz w:val="22"/>
                <w:szCs w:val="22"/>
              </w:rPr>
            </w:pPr>
            <w:r w:rsidRPr="00D01A4F">
              <w:rPr>
                <w:sz w:val="22"/>
                <w:szCs w:val="22"/>
              </w:rPr>
              <w:t>Birden fazla indüksiyon fırını çalışıyorsa, enerji kullanımı talep yük yönetimi ile optimize edilir.</w:t>
            </w:r>
          </w:p>
          <w:p w14:paraId="65EAAB4A" w14:textId="77777777" w:rsidR="0007690F" w:rsidRPr="00D01A4F" w:rsidRDefault="0007690F" w:rsidP="00A202FD">
            <w:pPr>
              <w:widowControl w:val="0"/>
              <w:spacing w:after="240" w:line="276" w:lineRule="auto"/>
              <w:ind w:firstLine="1"/>
              <w:contextualSpacing/>
              <w:jc w:val="both"/>
              <w:rPr>
                <w:sz w:val="22"/>
                <w:szCs w:val="22"/>
              </w:rPr>
            </w:pPr>
            <w:r w:rsidRPr="00D01A4F">
              <w:rPr>
                <w:b/>
                <w:bCs/>
                <w:sz w:val="22"/>
                <w:szCs w:val="22"/>
              </w:rPr>
              <w:t>Döner fırınlar için:</w:t>
            </w:r>
          </w:p>
          <w:p w14:paraId="76BA18DC" w14:textId="77777777" w:rsidR="0007690F" w:rsidRPr="00D01A4F" w:rsidRDefault="0007690F" w:rsidP="00602365">
            <w:pPr>
              <w:widowControl w:val="0"/>
              <w:numPr>
                <w:ilvl w:val="0"/>
                <w:numId w:val="265"/>
              </w:numPr>
              <w:spacing w:after="240" w:line="276" w:lineRule="auto"/>
              <w:contextualSpacing/>
              <w:jc w:val="both"/>
              <w:rPr>
                <w:sz w:val="22"/>
                <w:szCs w:val="22"/>
              </w:rPr>
            </w:pPr>
            <w:r w:rsidRPr="00D01A4F">
              <w:rPr>
                <w:sz w:val="22"/>
                <w:szCs w:val="22"/>
              </w:rPr>
              <w:t>Ergitme koruması için antrasit ve silikon kullanımı;</w:t>
            </w:r>
          </w:p>
          <w:p w14:paraId="5C58AE1A" w14:textId="77777777" w:rsidR="0007690F" w:rsidRPr="00D01A4F" w:rsidRDefault="0007690F" w:rsidP="00602365">
            <w:pPr>
              <w:widowControl w:val="0"/>
              <w:numPr>
                <w:ilvl w:val="0"/>
                <w:numId w:val="265"/>
              </w:numPr>
              <w:spacing w:after="240" w:line="276" w:lineRule="auto"/>
              <w:contextualSpacing/>
              <w:jc w:val="both"/>
              <w:rPr>
                <w:sz w:val="22"/>
                <w:szCs w:val="22"/>
              </w:rPr>
            </w:pPr>
            <w:r w:rsidRPr="00D01A4F">
              <w:rPr>
                <w:sz w:val="22"/>
                <w:szCs w:val="22"/>
              </w:rPr>
              <w:t>Maksimum ısı transferi sağlamak için fırının sürekli veya kesintili hız dönüşünün ayarlanması;</w:t>
            </w:r>
          </w:p>
          <w:p w14:paraId="511BF0CA" w14:textId="77777777" w:rsidR="0007690F" w:rsidRPr="00D01A4F" w:rsidRDefault="0007690F" w:rsidP="00602365">
            <w:pPr>
              <w:widowControl w:val="0"/>
              <w:numPr>
                <w:ilvl w:val="0"/>
                <w:numId w:val="265"/>
              </w:numPr>
              <w:spacing w:after="240" w:line="276" w:lineRule="auto"/>
              <w:contextualSpacing/>
              <w:jc w:val="both"/>
              <w:rPr>
                <w:sz w:val="22"/>
                <w:szCs w:val="22"/>
              </w:rPr>
            </w:pPr>
            <w:r w:rsidRPr="00D01A4F">
              <w:rPr>
                <w:sz w:val="22"/>
                <w:szCs w:val="22"/>
              </w:rPr>
              <w:t>Maksimum ısı transferi sağlamak için brülör gücü ve açısının ayarlanması.</w:t>
            </w:r>
          </w:p>
          <w:p w14:paraId="37F14AF4" w14:textId="77777777" w:rsidR="0007690F" w:rsidRPr="00D01A4F" w:rsidRDefault="0007690F" w:rsidP="00A202FD">
            <w:pPr>
              <w:widowControl w:val="0"/>
              <w:spacing w:after="240" w:line="276" w:lineRule="auto"/>
              <w:ind w:firstLine="1"/>
              <w:contextualSpacing/>
              <w:jc w:val="both"/>
              <w:rPr>
                <w:sz w:val="22"/>
                <w:szCs w:val="22"/>
              </w:rPr>
            </w:pPr>
            <w:r w:rsidRPr="00D01A4F">
              <w:rPr>
                <w:b/>
                <w:bCs/>
                <w:sz w:val="22"/>
                <w:szCs w:val="22"/>
              </w:rPr>
              <w:t>Elektrik ark fırınları (EAF) için:</w:t>
            </w:r>
          </w:p>
          <w:p w14:paraId="3ED536C0" w14:textId="77777777" w:rsidR="0007690F" w:rsidRPr="00D01A4F" w:rsidRDefault="0007690F" w:rsidP="00602365">
            <w:pPr>
              <w:widowControl w:val="0"/>
              <w:numPr>
                <w:ilvl w:val="0"/>
                <w:numId w:val="266"/>
              </w:numPr>
              <w:spacing w:after="240" w:line="276" w:lineRule="auto"/>
              <w:contextualSpacing/>
              <w:jc w:val="both"/>
              <w:rPr>
                <w:sz w:val="22"/>
                <w:szCs w:val="22"/>
              </w:rPr>
            </w:pPr>
            <w:r w:rsidRPr="00D01A4F">
              <w:rPr>
                <w:sz w:val="22"/>
                <w:szCs w:val="22"/>
              </w:rPr>
              <w:t>Gelişmiş kontrol yöntemleri kullanılarak, örneğin şarj malzemelerinin bileşimi ve ağırlığı, ergiyik sıcaklığı, verimli numune alma ve cüruf alma yöntemleri ile daha kısa metal ergitme ve/veya işlem süreleri.</w:t>
            </w:r>
          </w:p>
          <w:p w14:paraId="14A241DD" w14:textId="77777777" w:rsidR="0007690F" w:rsidRPr="00D01A4F" w:rsidRDefault="0007690F" w:rsidP="00A202FD">
            <w:pPr>
              <w:widowControl w:val="0"/>
              <w:spacing w:after="240" w:line="276" w:lineRule="auto"/>
              <w:ind w:firstLine="1"/>
              <w:contextualSpacing/>
              <w:jc w:val="both"/>
              <w:rPr>
                <w:sz w:val="22"/>
                <w:szCs w:val="22"/>
              </w:rPr>
            </w:pPr>
            <w:r w:rsidRPr="00D01A4F">
              <w:rPr>
                <w:b/>
                <w:bCs/>
                <w:sz w:val="22"/>
                <w:szCs w:val="22"/>
              </w:rPr>
              <w:t>Şaft fırınları için:</w:t>
            </w:r>
          </w:p>
          <w:p w14:paraId="2FC57428" w14:textId="77777777" w:rsidR="0007690F" w:rsidRPr="00D01A4F" w:rsidRDefault="0007690F" w:rsidP="00602365">
            <w:pPr>
              <w:widowControl w:val="0"/>
              <w:numPr>
                <w:ilvl w:val="0"/>
                <w:numId w:val="267"/>
              </w:numPr>
              <w:spacing w:after="240" w:line="276" w:lineRule="auto"/>
              <w:contextualSpacing/>
              <w:jc w:val="both"/>
              <w:rPr>
                <w:sz w:val="22"/>
                <w:szCs w:val="22"/>
              </w:rPr>
            </w:pPr>
            <w:r w:rsidRPr="00D01A4F">
              <w:rPr>
                <w:sz w:val="22"/>
                <w:szCs w:val="22"/>
              </w:rPr>
              <w:t>Sürekli ergitme sürecine ulaşmak için sürekli ergime talebine uygun fırın boyutunun seçimi;</w:t>
            </w:r>
          </w:p>
          <w:p w14:paraId="4505F733" w14:textId="77777777" w:rsidR="0007690F" w:rsidRPr="00D01A4F" w:rsidRDefault="0007690F" w:rsidP="00602365">
            <w:pPr>
              <w:widowControl w:val="0"/>
              <w:numPr>
                <w:ilvl w:val="0"/>
                <w:numId w:val="267"/>
              </w:numPr>
              <w:spacing w:after="240" w:line="276" w:lineRule="auto"/>
              <w:contextualSpacing/>
              <w:jc w:val="both"/>
              <w:rPr>
                <w:sz w:val="22"/>
                <w:szCs w:val="22"/>
              </w:rPr>
            </w:pPr>
            <w:r w:rsidRPr="00D01A4F">
              <w:rPr>
                <w:sz w:val="22"/>
                <w:szCs w:val="22"/>
              </w:rPr>
              <w:t>Optimum ısı geri kazanımı için şaftın yükleme malzemesi ile dolu tutulması;</w:t>
            </w:r>
          </w:p>
          <w:p w14:paraId="10E9431C" w14:textId="77777777" w:rsidR="0007690F" w:rsidRPr="00D01A4F" w:rsidRDefault="0007690F" w:rsidP="00602365">
            <w:pPr>
              <w:widowControl w:val="0"/>
              <w:numPr>
                <w:ilvl w:val="0"/>
                <w:numId w:val="267"/>
              </w:numPr>
              <w:spacing w:after="240" w:line="276" w:lineRule="auto"/>
              <w:contextualSpacing/>
              <w:jc w:val="both"/>
              <w:rPr>
                <w:sz w:val="22"/>
                <w:szCs w:val="22"/>
              </w:rPr>
            </w:pPr>
            <w:r w:rsidRPr="00D01A4F">
              <w:rPr>
                <w:sz w:val="22"/>
                <w:szCs w:val="22"/>
              </w:rPr>
              <w:t>Şaft tasarımının belirlenen yükleme malzemesine uyarlanması, şaftta optimum malzeme dağılımı sağlanması;</w:t>
            </w:r>
          </w:p>
          <w:p w14:paraId="5FC04C02" w14:textId="77777777" w:rsidR="0007690F" w:rsidRPr="00D01A4F" w:rsidRDefault="0007690F" w:rsidP="00602365">
            <w:pPr>
              <w:widowControl w:val="0"/>
              <w:numPr>
                <w:ilvl w:val="0"/>
                <w:numId w:val="267"/>
              </w:numPr>
              <w:spacing w:after="240" w:line="276" w:lineRule="auto"/>
              <w:contextualSpacing/>
              <w:jc w:val="both"/>
              <w:rPr>
                <w:sz w:val="22"/>
                <w:szCs w:val="22"/>
              </w:rPr>
            </w:pPr>
            <w:r w:rsidRPr="00D01A4F">
              <w:rPr>
                <w:sz w:val="22"/>
                <w:szCs w:val="22"/>
              </w:rPr>
              <w:t>Fırının düzenli olarak temizlenmesi;</w:t>
            </w:r>
          </w:p>
          <w:p w14:paraId="6F30C376" w14:textId="77777777" w:rsidR="0007690F" w:rsidRPr="00D01A4F" w:rsidRDefault="0007690F" w:rsidP="00602365">
            <w:pPr>
              <w:widowControl w:val="0"/>
              <w:numPr>
                <w:ilvl w:val="0"/>
                <w:numId w:val="267"/>
              </w:numPr>
              <w:spacing w:after="240" w:line="276" w:lineRule="auto"/>
              <w:contextualSpacing/>
              <w:jc w:val="both"/>
              <w:rPr>
                <w:sz w:val="22"/>
                <w:szCs w:val="22"/>
              </w:rPr>
            </w:pPr>
            <w:r w:rsidRPr="00D01A4F">
              <w:rPr>
                <w:sz w:val="22"/>
                <w:szCs w:val="22"/>
              </w:rPr>
              <w:t>Her gaz yakıtlı brülör için yakıt/hava oranının bağımsız kontrolü;</w:t>
            </w:r>
          </w:p>
          <w:p w14:paraId="3CC784CC" w14:textId="77777777" w:rsidR="0007690F" w:rsidRPr="00D01A4F" w:rsidRDefault="0007690F" w:rsidP="00602365">
            <w:pPr>
              <w:widowControl w:val="0"/>
              <w:numPr>
                <w:ilvl w:val="0"/>
                <w:numId w:val="267"/>
              </w:numPr>
              <w:spacing w:after="240" w:line="276" w:lineRule="auto"/>
              <w:contextualSpacing/>
              <w:jc w:val="both"/>
              <w:rPr>
                <w:sz w:val="22"/>
                <w:szCs w:val="22"/>
              </w:rPr>
            </w:pPr>
            <w:r w:rsidRPr="00D01A4F">
              <w:rPr>
                <w:sz w:val="22"/>
                <w:szCs w:val="22"/>
              </w:rPr>
              <w:t>Her bir brülör sırası için sürekli CO veya hidrojen izleme;</w:t>
            </w:r>
          </w:p>
          <w:p w14:paraId="4D3E548F" w14:textId="77777777" w:rsidR="0007690F" w:rsidRPr="00D01A4F" w:rsidRDefault="0007690F" w:rsidP="00602365">
            <w:pPr>
              <w:widowControl w:val="0"/>
              <w:numPr>
                <w:ilvl w:val="0"/>
                <w:numId w:val="267"/>
              </w:numPr>
              <w:spacing w:after="240" w:line="276" w:lineRule="auto"/>
              <w:contextualSpacing/>
              <w:jc w:val="both"/>
              <w:rPr>
                <w:sz w:val="22"/>
                <w:szCs w:val="22"/>
              </w:rPr>
            </w:pPr>
            <w:r w:rsidRPr="00D01A4F">
              <w:rPr>
                <w:sz w:val="22"/>
                <w:szCs w:val="22"/>
              </w:rPr>
              <w:t>Ergitme bölgesinin üzerine oksijen eklenerek şaftın üst seviyesinde art yakma sağlanması;</w:t>
            </w:r>
          </w:p>
          <w:p w14:paraId="6B3ED29B" w14:textId="77777777" w:rsidR="0007690F" w:rsidRPr="00D01A4F" w:rsidRDefault="0007690F" w:rsidP="00602365">
            <w:pPr>
              <w:widowControl w:val="0"/>
              <w:numPr>
                <w:ilvl w:val="0"/>
                <w:numId w:val="267"/>
              </w:numPr>
              <w:spacing w:after="240" w:line="276" w:lineRule="auto"/>
              <w:contextualSpacing/>
              <w:jc w:val="both"/>
              <w:rPr>
                <w:sz w:val="22"/>
                <w:szCs w:val="22"/>
              </w:rPr>
            </w:pPr>
            <w:r w:rsidRPr="00D01A4F">
              <w:rPr>
                <w:sz w:val="22"/>
                <w:szCs w:val="22"/>
              </w:rPr>
              <w:t>Atık gazlardan geri kazanılan ısı ile şarjın önceden ısıtılması.</w:t>
            </w:r>
          </w:p>
          <w:p w14:paraId="64226A49" w14:textId="77777777" w:rsidR="0007690F" w:rsidRPr="00D01A4F" w:rsidRDefault="0007690F" w:rsidP="00A202FD">
            <w:pPr>
              <w:widowControl w:val="0"/>
              <w:spacing w:after="240" w:line="276" w:lineRule="auto"/>
              <w:ind w:firstLine="1"/>
              <w:contextualSpacing/>
              <w:jc w:val="both"/>
              <w:rPr>
                <w:sz w:val="22"/>
                <w:szCs w:val="22"/>
              </w:rPr>
            </w:pPr>
            <w:r w:rsidRPr="00D01A4F">
              <w:rPr>
                <w:b/>
                <w:bCs/>
                <w:sz w:val="22"/>
                <w:szCs w:val="22"/>
              </w:rPr>
              <w:t>Yansıtıcı fırınları için:</w:t>
            </w:r>
          </w:p>
          <w:p w14:paraId="1754549A" w14:textId="77777777" w:rsidR="0007690F" w:rsidRPr="00D01A4F" w:rsidRDefault="0007690F" w:rsidP="00602365">
            <w:pPr>
              <w:widowControl w:val="0"/>
              <w:numPr>
                <w:ilvl w:val="0"/>
                <w:numId w:val="268"/>
              </w:numPr>
              <w:spacing w:after="240" w:line="276" w:lineRule="auto"/>
              <w:contextualSpacing/>
              <w:jc w:val="both"/>
              <w:rPr>
                <w:sz w:val="22"/>
                <w:szCs w:val="22"/>
              </w:rPr>
            </w:pPr>
            <w:r w:rsidRPr="00D01A4F">
              <w:rPr>
                <w:sz w:val="22"/>
                <w:szCs w:val="22"/>
              </w:rPr>
              <w:t>Kuru ocak veya yan kuyulu yankı fırınları durumunda şarjın önceden ısıtılması;</w:t>
            </w:r>
          </w:p>
          <w:p w14:paraId="193E68DF" w14:textId="77777777" w:rsidR="0007690F" w:rsidRPr="00D01A4F" w:rsidRDefault="0007690F" w:rsidP="00602365">
            <w:pPr>
              <w:widowControl w:val="0"/>
              <w:numPr>
                <w:ilvl w:val="0"/>
                <w:numId w:val="268"/>
              </w:numPr>
              <w:spacing w:after="240" w:line="276" w:lineRule="auto"/>
              <w:contextualSpacing/>
              <w:jc w:val="both"/>
              <w:rPr>
                <w:sz w:val="22"/>
                <w:szCs w:val="22"/>
              </w:rPr>
            </w:pPr>
            <w:r w:rsidRPr="00D01A4F">
              <w:rPr>
                <w:sz w:val="22"/>
                <w:szCs w:val="22"/>
              </w:rPr>
              <w:t>Otomatik sıcaklık kontrolü sağlayan brülörlerin kullanımı.</w:t>
            </w:r>
          </w:p>
          <w:p w14:paraId="0A49ED16" w14:textId="77777777" w:rsidR="0007690F" w:rsidRPr="00D01A4F" w:rsidRDefault="0007690F" w:rsidP="00A202FD">
            <w:pPr>
              <w:widowControl w:val="0"/>
              <w:spacing w:after="240" w:line="276" w:lineRule="auto"/>
              <w:ind w:firstLine="1"/>
              <w:contextualSpacing/>
              <w:jc w:val="both"/>
              <w:rPr>
                <w:sz w:val="22"/>
                <w:szCs w:val="22"/>
              </w:rPr>
            </w:pPr>
            <w:r w:rsidRPr="00D01A4F">
              <w:rPr>
                <w:b/>
                <w:bCs/>
                <w:sz w:val="22"/>
                <w:szCs w:val="22"/>
              </w:rPr>
              <w:t>Potalı fırınlar için:</w:t>
            </w:r>
          </w:p>
          <w:p w14:paraId="51190FB3" w14:textId="77777777" w:rsidR="0007690F" w:rsidRPr="00D01A4F" w:rsidRDefault="0007690F" w:rsidP="00602365">
            <w:pPr>
              <w:widowControl w:val="0"/>
              <w:numPr>
                <w:ilvl w:val="0"/>
                <w:numId w:val="269"/>
              </w:numPr>
              <w:spacing w:after="240" w:line="276" w:lineRule="auto"/>
              <w:contextualSpacing/>
              <w:jc w:val="both"/>
              <w:rPr>
                <w:sz w:val="22"/>
                <w:szCs w:val="22"/>
              </w:rPr>
            </w:pPr>
            <w:r w:rsidRPr="00D01A4F">
              <w:rPr>
                <w:sz w:val="22"/>
                <w:szCs w:val="22"/>
              </w:rPr>
              <w:t>Şarjdan önce potanın önceden ısıtılması;</w:t>
            </w:r>
          </w:p>
          <w:p w14:paraId="497C3465" w14:textId="77777777" w:rsidR="0007690F" w:rsidRPr="00D01A4F" w:rsidRDefault="0007690F" w:rsidP="00602365">
            <w:pPr>
              <w:widowControl w:val="0"/>
              <w:numPr>
                <w:ilvl w:val="0"/>
                <w:numId w:val="269"/>
              </w:numPr>
              <w:spacing w:after="240" w:line="276" w:lineRule="auto"/>
              <w:contextualSpacing/>
              <w:jc w:val="both"/>
              <w:rPr>
                <w:sz w:val="22"/>
                <w:szCs w:val="22"/>
              </w:rPr>
            </w:pPr>
            <w:r w:rsidRPr="00D01A4F">
              <w:rPr>
                <w:sz w:val="22"/>
                <w:szCs w:val="22"/>
              </w:rPr>
              <w:t>Yüksek termal iletkenlik ve termal şok direncine sahip potaların kullanımı (örneğin grafit);</w:t>
            </w:r>
          </w:p>
          <w:p w14:paraId="3CF2F5E3" w14:textId="77777777" w:rsidR="0007690F" w:rsidRPr="00D01A4F" w:rsidRDefault="0007690F" w:rsidP="00602365">
            <w:pPr>
              <w:widowControl w:val="0"/>
              <w:numPr>
                <w:ilvl w:val="0"/>
                <w:numId w:val="269"/>
              </w:numPr>
              <w:spacing w:after="240" w:line="276" w:lineRule="auto"/>
              <w:contextualSpacing/>
              <w:jc w:val="both"/>
              <w:rPr>
                <w:sz w:val="22"/>
                <w:szCs w:val="22"/>
              </w:rPr>
            </w:pPr>
            <w:r w:rsidRPr="00D01A4F">
              <w:rPr>
                <w:sz w:val="22"/>
                <w:szCs w:val="22"/>
              </w:rPr>
              <w:t>Cüruf veya oksitleri temizlemek için pota duvarlarının boşaltıldıktan hemen sonra temizlenmesi.</w:t>
            </w:r>
          </w:p>
          <w:p w14:paraId="4FCFCE38" w14:textId="77777777" w:rsidR="0007690F" w:rsidRPr="00D01A4F" w:rsidRDefault="0007690F" w:rsidP="00A202FD">
            <w:pPr>
              <w:widowControl w:val="0"/>
              <w:spacing w:after="240" w:line="276" w:lineRule="auto"/>
              <w:ind w:firstLine="1"/>
              <w:contextualSpacing/>
              <w:jc w:val="both"/>
              <w:rPr>
                <w:sz w:val="22"/>
                <w:szCs w:val="22"/>
              </w:rPr>
            </w:pPr>
          </w:p>
        </w:tc>
      </w:tr>
      <w:tr w:rsidR="0007690F" w:rsidRPr="00D01A4F" w14:paraId="7101CB6F" w14:textId="77777777" w:rsidTr="00507ACB">
        <w:trPr>
          <w:trHeight w:val="320"/>
        </w:trPr>
        <w:tc>
          <w:tcPr>
            <w:tcW w:w="1847" w:type="dxa"/>
            <w:tcBorders>
              <w:top w:val="nil"/>
              <w:left w:val="single" w:sz="4" w:space="0" w:color="auto"/>
              <w:bottom w:val="single" w:sz="4" w:space="0" w:color="auto"/>
              <w:right w:val="single" w:sz="4" w:space="0" w:color="auto"/>
            </w:tcBorders>
            <w:shd w:val="clear" w:color="auto" w:fill="auto"/>
            <w:noWrap/>
            <w:vAlign w:val="bottom"/>
            <w:hideMark/>
          </w:tcPr>
          <w:p w14:paraId="6263280B"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Enerji verimli bir fırın türünün seçimi</w:t>
            </w:r>
          </w:p>
          <w:p w14:paraId="110419F9" w14:textId="77777777" w:rsidR="0007690F" w:rsidRPr="00D01A4F" w:rsidRDefault="0007690F" w:rsidP="00A202FD">
            <w:pPr>
              <w:widowControl w:val="0"/>
              <w:spacing w:after="240" w:line="276" w:lineRule="auto"/>
              <w:ind w:firstLine="1"/>
              <w:contextualSpacing/>
              <w:jc w:val="both"/>
              <w:rPr>
                <w:sz w:val="22"/>
                <w:szCs w:val="22"/>
              </w:rPr>
            </w:pPr>
          </w:p>
        </w:tc>
        <w:tc>
          <w:tcPr>
            <w:tcW w:w="7079" w:type="dxa"/>
            <w:tcBorders>
              <w:top w:val="nil"/>
              <w:left w:val="nil"/>
              <w:bottom w:val="single" w:sz="4" w:space="0" w:color="auto"/>
              <w:right w:val="single" w:sz="4" w:space="0" w:color="auto"/>
            </w:tcBorders>
            <w:shd w:val="clear" w:color="auto" w:fill="auto"/>
            <w:noWrap/>
            <w:vAlign w:val="bottom"/>
            <w:hideMark/>
          </w:tcPr>
          <w:p w14:paraId="65650F1D"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Fırın seçimi sırasında enerji verimliliği dikkate alınır, örneğin, gelen yükün ergitme bölgesine girmeden önce ön ısıtılmasını ve kurutulmasını sağlayan fırınlar tercih edilir.</w:t>
            </w:r>
          </w:p>
        </w:tc>
      </w:tr>
      <w:tr w:rsidR="0007690F" w:rsidRPr="00D01A4F" w14:paraId="2DFD5D4C" w14:textId="77777777" w:rsidTr="00507ACB">
        <w:trPr>
          <w:trHeight w:val="320"/>
        </w:trPr>
        <w:tc>
          <w:tcPr>
            <w:tcW w:w="18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E663D9"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Temiz hurdaların kullanımı</w:t>
            </w:r>
          </w:p>
        </w:tc>
        <w:tc>
          <w:tcPr>
            <w:tcW w:w="7079" w:type="dxa"/>
            <w:tcBorders>
              <w:top w:val="single" w:sz="4" w:space="0" w:color="auto"/>
              <w:left w:val="nil"/>
              <w:bottom w:val="single" w:sz="4" w:space="0" w:color="auto"/>
              <w:right w:val="single" w:sz="4" w:space="0" w:color="auto"/>
            </w:tcBorders>
            <w:shd w:val="clear" w:color="auto" w:fill="auto"/>
            <w:noWrap/>
            <w:vAlign w:val="bottom"/>
          </w:tcPr>
          <w:p w14:paraId="5D9165DB" w14:textId="77777777" w:rsidR="0007690F" w:rsidRPr="00D01A4F" w:rsidRDefault="0007690F" w:rsidP="00A202FD">
            <w:pPr>
              <w:widowControl w:val="0"/>
              <w:spacing w:after="240" w:line="276" w:lineRule="auto"/>
              <w:ind w:firstLine="1"/>
              <w:contextualSpacing/>
              <w:jc w:val="both"/>
              <w:rPr>
                <w:sz w:val="22"/>
                <w:szCs w:val="22"/>
              </w:rPr>
            </w:pPr>
            <w:r w:rsidRPr="00D01A4F">
              <w:rPr>
                <w:sz w:val="22"/>
                <w:szCs w:val="22"/>
              </w:rPr>
              <w:t>Temiz hurdaların eritilmesi, metal olmayan bileşiklerin cüruf tarafından alınma riskini ve/veya fırın ya da pota refrakter kaplamalarının zarar görme riskini önler.</w:t>
            </w:r>
          </w:p>
        </w:tc>
      </w:tr>
    </w:tbl>
    <w:p w14:paraId="6BF1052C" w14:textId="77777777" w:rsidR="0007690F" w:rsidRPr="00D53A2B" w:rsidRDefault="0007690F" w:rsidP="00A202FD">
      <w:pPr>
        <w:widowControl w:val="0"/>
        <w:spacing w:after="240" w:line="276" w:lineRule="auto"/>
        <w:ind w:firstLine="1"/>
        <w:contextualSpacing/>
        <w:jc w:val="both"/>
      </w:pPr>
    </w:p>
    <w:p w14:paraId="18605DA7" w14:textId="77777777" w:rsidR="0007690F" w:rsidRPr="00D53A2B" w:rsidRDefault="0007690F" w:rsidP="00A202FD">
      <w:pPr>
        <w:widowControl w:val="0"/>
        <w:spacing w:after="240" w:line="276" w:lineRule="auto"/>
        <w:ind w:firstLine="1"/>
        <w:contextualSpacing/>
        <w:jc w:val="both"/>
      </w:pPr>
      <w:r w:rsidRPr="00D53A2B">
        <w:rPr>
          <w:b/>
          <w:bCs/>
        </w:rPr>
        <w:t>Hava Emisyonlarını Azaltma Teknikleri</w:t>
      </w:r>
    </w:p>
    <w:p w14:paraId="43F57C1A" w14:textId="77777777" w:rsidR="0007690F" w:rsidRPr="00D53A2B" w:rsidRDefault="0007690F" w:rsidP="00A202FD">
      <w:pPr>
        <w:widowControl w:val="0"/>
        <w:spacing w:after="240" w:line="276" w:lineRule="auto"/>
        <w:ind w:firstLine="1"/>
        <w:contextualSpacing/>
        <w:jc w:val="both"/>
      </w:pPr>
      <w:r w:rsidRPr="00D53A2B">
        <w:rPr>
          <w:b/>
          <w:bCs/>
        </w:rPr>
        <w:t>Cüruf Asiditesinin/Bazikliğinin Ayarlanması</w:t>
      </w:r>
      <w:r w:rsidRPr="00D53A2B">
        <w:br/>
        <w:t>Bkz. Bölüm 1.4.2.</w:t>
      </w:r>
    </w:p>
    <w:p w14:paraId="3BA6C045" w14:textId="77777777" w:rsidR="0007690F" w:rsidRPr="00D53A2B" w:rsidRDefault="0007690F" w:rsidP="00A202FD">
      <w:pPr>
        <w:widowControl w:val="0"/>
        <w:spacing w:after="240" w:line="276" w:lineRule="auto"/>
        <w:ind w:firstLine="1"/>
        <w:contextualSpacing/>
        <w:jc w:val="both"/>
      </w:pPr>
      <w:r w:rsidRPr="00D53A2B">
        <w:rPr>
          <w:b/>
          <w:bCs/>
        </w:rPr>
        <w:t>Adsorpsiyon</w:t>
      </w:r>
      <w:r w:rsidRPr="00D53A2B">
        <w:br/>
        <w:t>Bir proses atık gazı veya baca gazı akışındaki kirleticilerin, katı bir yüzeyde tutulması yoluyla uzaklaştırılmasıdır (adsorban olarak genellikle aktif karbon kullanılır). Adsorpsiyon, rejeneratif veya rejeneratif olmayan olabilir.</w:t>
      </w:r>
    </w:p>
    <w:p w14:paraId="072AF435" w14:textId="77777777" w:rsidR="0007690F" w:rsidRPr="00D53A2B" w:rsidRDefault="0007690F" w:rsidP="00A202FD">
      <w:pPr>
        <w:widowControl w:val="0"/>
        <w:spacing w:after="240" w:line="276" w:lineRule="auto"/>
        <w:ind w:firstLine="1"/>
        <w:contextualSpacing/>
        <w:jc w:val="both"/>
      </w:pPr>
      <w:r w:rsidRPr="00D53A2B">
        <w:rPr>
          <w:b/>
          <w:bCs/>
        </w:rPr>
        <w:t>Katalitik Oksidasyon</w:t>
      </w:r>
      <w:r w:rsidRPr="00D53A2B">
        <w:br/>
        <w:t>Atık gaz akışındaki yanıcı bileşenleri, bir katalizör yatağında hava veya oksijen ile oksitleyen bir kontrol tekniğidir. Katalizör, termal oksidasyona kıyasla daha düşük sıcaklıklarda ve daha küçük ekipmanlarda oksidasyona olanak tanır. Tipik oksidasyon sıcaklığı 200 °C ile 600 °C arasındadır.</w:t>
      </w:r>
    </w:p>
    <w:p w14:paraId="15E74044" w14:textId="77777777" w:rsidR="0007690F" w:rsidRPr="00D53A2B" w:rsidRDefault="0007690F" w:rsidP="00A202FD">
      <w:pPr>
        <w:widowControl w:val="0"/>
        <w:spacing w:after="240" w:line="276" w:lineRule="auto"/>
        <w:ind w:firstLine="1"/>
        <w:contextualSpacing/>
        <w:jc w:val="both"/>
      </w:pPr>
      <w:r w:rsidRPr="00D53A2B">
        <w:rPr>
          <w:b/>
          <w:bCs/>
        </w:rPr>
        <w:t>Siklon</w:t>
      </w:r>
      <w:r w:rsidRPr="00D53A2B">
        <w:br/>
        <w:t>Baca gazı akışından tozun uzaklaştırılması için genellikle konik bir odada merkezkaç kuvvetler uygulanarak çalışan ekipmandır. Siklonlar, genellikle toz azaltma veya organik bileşiklerin azaltılması öncesinde ön işlem için kullanılır. Çoklu siklonlar da kullanılabilir.</w:t>
      </w:r>
    </w:p>
    <w:p w14:paraId="63992E38" w14:textId="77777777" w:rsidR="0007690F" w:rsidRPr="00D53A2B" w:rsidRDefault="0007690F" w:rsidP="00A202FD">
      <w:pPr>
        <w:widowControl w:val="0"/>
        <w:spacing w:after="240" w:line="276" w:lineRule="auto"/>
        <w:ind w:firstLine="1"/>
        <w:contextualSpacing/>
        <w:jc w:val="both"/>
      </w:pPr>
      <w:r w:rsidRPr="00D53A2B">
        <w:rPr>
          <w:b/>
          <w:bCs/>
        </w:rPr>
        <w:t>Kuru Arıtma</w:t>
      </w:r>
      <w:r w:rsidRPr="00D53A2B">
        <w:br/>
        <w:t>Kuru toz veya bir alkali reaktif (örn. kireç veya sodyum bikarbonat) süspansiyonu/çözeltisi, baca gazı akışına eklenir ve dağıtılır. Bu malzeme, asidik gaz türleri (örn. SO₂) ile reaksiyona girerek katı bir madde oluşturur ve bu katı madde filtrasyon (örn. torba filtre) yoluyla uzaklaştırılır.</w:t>
      </w:r>
    </w:p>
    <w:p w14:paraId="068EF90F" w14:textId="77777777" w:rsidR="0007690F" w:rsidRPr="00D53A2B" w:rsidRDefault="0007690F" w:rsidP="00A202FD">
      <w:pPr>
        <w:widowControl w:val="0"/>
        <w:spacing w:after="240" w:line="276" w:lineRule="auto"/>
        <w:ind w:firstLine="1"/>
        <w:contextualSpacing/>
        <w:jc w:val="both"/>
      </w:pPr>
      <w:r w:rsidRPr="00D53A2B">
        <w:rPr>
          <w:b/>
          <w:bCs/>
        </w:rPr>
        <w:t>Elektrostatik Çöktürücü</w:t>
      </w:r>
      <w:r w:rsidRPr="00D53A2B">
        <w:br/>
        <w:t>Elektrostatik çöktürücüler (ESP'ler), parçacıkların bir elektrik alanı etkisi altında yüklenip ayrılmasıyla çalışır. ESP'ler, geniş bir koşul aralığında çalışabilir. Etkinlik, alan sayısına, bekleme süresine (boyut) ve üst akım parçacık uzaklaştırma cihazlarına bağlıdır. Genellikle iki ile beş alan içerir, ancak en gelişmiş ESP'lerde yedi alana kadar çıkabilir. Elektrostatik çöktürücüler, tozu elektrotlardan toplama tekniğine bağlı olarak kuru veya ıslak tipte olabilir. Islak ESP'ler, genellikle ıslak arıtma sonrası artık toz ve damlacıkları uzaklaştırmak için son işlem aşamasında kullanılır.</w:t>
      </w:r>
    </w:p>
    <w:p w14:paraId="35F55857" w14:textId="77777777" w:rsidR="0007690F" w:rsidRPr="00D53A2B" w:rsidRDefault="0007690F" w:rsidP="00A202FD">
      <w:pPr>
        <w:widowControl w:val="0"/>
        <w:spacing w:after="240" w:line="276" w:lineRule="auto"/>
        <w:ind w:firstLine="1"/>
        <w:contextualSpacing/>
        <w:jc w:val="both"/>
      </w:pPr>
      <w:r w:rsidRPr="00D53A2B">
        <w:rPr>
          <w:b/>
          <w:bCs/>
        </w:rPr>
        <w:t>Döküm ve/veya Kalıp Hazırlama Sırasında Oluşan Emisyonların Kaynağa En Yakın Noktadan Çekilmesi</w:t>
      </w:r>
      <w:r w:rsidRPr="00D53A2B">
        <w:br/>
        <w:t>Döküm (desen yapımı dahil) ve/veya kalıp hazırlama sırasında oluşan emisyonlar çekilir. Seçilen çekme sistemi, kullanılan döküm/kalıp hazırlama işlemine bağlıdır.</w:t>
      </w:r>
    </w:p>
    <w:p w14:paraId="204ADBAC" w14:textId="77777777" w:rsidR="0007690F" w:rsidRPr="00D53A2B" w:rsidRDefault="0007690F" w:rsidP="00602365">
      <w:pPr>
        <w:widowControl w:val="0"/>
        <w:numPr>
          <w:ilvl w:val="0"/>
          <w:numId w:val="261"/>
        </w:numPr>
        <w:spacing w:after="240" w:line="276" w:lineRule="auto"/>
        <w:contextualSpacing/>
        <w:jc w:val="both"/>
      </w:pPr>
      <w:r w:rsidRPr="00D53A2B">
        <w:rPr>
          <w:b/>
          <w:bCs/>
        </w:rPr>
        <w:t>Doğal/Yeşil Kum Döküm:</w:t>
      </w:r>
      <w:r w:rsidRPr="00D53A2B">
        <w:br/>
        <w:t>Doğal veya yeşil kum hazırlama alanlarında (örn. taşıma, eleme, karıştırma ve soğutma) ve döküm alanlarında, özellikle döküm sırasında oluşan baca gazları çekilir. Otomatik döküm makinelerinde, emisyonları toplamak için uygun çekme sistemleri (örn. çatı çekimi) kullanılır. Elle dökümde, emisyon kaynağına en yakın noktadan çekim, mobil çekme başlıklarıyla sağlanır.</w:t>
      </w:r>
    </w:p>
    <w:p w14:paraId="72DA15B2" w14:textId="77777777" w:rsidR="0007690F" w:rsidRPr="00D53A2B" w:rsidRDefault="0007690F" w:rsidP="00602365">
      <w:pPr>
        <w:widowControl w:val="0"/>
        <w:numPr>
          <w:ilvl w:val="0"/>
          <w:numId w:val="261"/>
        </w:numPr>
        <w:spacing w:after="240" w:line="276" w:lineRule="auto"/>
        <w:contextualSpacing/>
        <w:jc w:val="both"/>
      </w:pPr>
      <w:r w:rsidRPr="00D53A2B">
        <w:rPr>
          <w:b/>
          <w:bCs/>
        </w:rPr>
        <w:t>Soğuk Sertleştirme, Gaz Sertleştirme, Sıcak Sertleştirme İşlemleri:</w:t>
      </w:r>
      <w:r w:rsidRPr="00D53A2B">
        <w:br/>
        <w:t>Otomatik döküm makinelerinde, sabit çekme başlıkları veya tente çekme gibi sistemler kullanılır. Elle dökümde, mobil çekme başlıklarıyla kaynak yakınında çekim yapılır. Kalıp boyutu veya alan sınırlamaları nedeniyle mobil başlıklar kullanılamıyorsa, dökümhane genel çekimi uygulanır.</w:t>
      </w:r>
    </w:p>
    <w:p w14:paraId="337F410E" w14:textId="77777777" w:rsidR="0007690F" w:rsidRPr="00D53A2B" w:rsidRDefault="0007690F" w:rsidP="00A202FD">
      <w:pPr>
        <w:widowControl w:val="0"/>
        <w:spacing w:after="240" w:line="276" w:lineRule="auto"/>
        <w:ind w:firstLine="1"/>
        <w:contextualSpacing/>
        <w:jc w:val="both"/>
      </w:pPr>
      <w:r w:rsidRPr="00D53A2B">
        <w:t>Çekirdek hazırlama makineleri kapatılır ve baca gazları çekilir. Yeni yapılan çekirdeklerin kontrolü, taşınması ve depolanması sırasında da çekim yapılır (örn. kontrol masası, taşıma ve geçici depolama alanları üzerindeki başlıklarla).</w:t>
      </w:r>
    </w:p>
    <w:p w14:paraId="33EF8570" w14:textId="77777777" w:rsidR="0007690F" w:rsidRPr="00D53A2B" w:rsidRDefault="0007690F" w:rsidP="00A202FD">
      <w:pPr>
        <w:widowControl w:val="0"/>
        <w:spacing w:after="240" w:line="276" w:lineRule="auto"/>
        <w:ind w:firstLine="1"/>
        <w:contextualSpacing/>
        <w:jc w:val="both"/>
      </w:pPr>
      <w:r w:rsidRPr="00D53A2B">
        <w:rPr>
          <w:b/>
          <w:bCs/>
        </w:rPr>
        <w:t>Torba Filtre</w:t>
      </w:r>
      <w:r w:rsidRPr="00D53A2B">
        <w:br/>
        <w:t>Genellikle torba filtre olarak adlandırılan kumaş filtreler, gazların içinden geçtiği gözenekli dokuma veya keçe kumaştan yapılır ve parçacıkları uzaklaştırır. Kumaş filtreler, tabaka, kartuş veya torba şeklinde olabilir ve bireysel filtre birimleri bir grup halinde bir araya getirilir. Filtrelerin kullanımı, atık gaz özelliklerine ve maksimum çalışma sıcaklığına uygun kumaş seçimini gerektirir.</w:t>
      </w:r>
    </w:p>
    <w:p w14:paraId="06DEDAE1" w14:textId="77777777" w:rsidR="0007690F" w:rsidRPr="00D53A2B" w:rsidRDefault="0007690F" w:rsidP="00A202FD">
      <w:pPr>
        <w:widowControl w:val="0"/>
        <w:spacing w:after="240" w:line="276" w:lineRule="auto"/>
        <w:ind w:firstLine="1"/>
        <w:contextualSpacing/>
        <w:jc w:val="both"/>
      </w:pPr>
      <w:r w:rsidRPr="00D53A2B">
        <w:rPr>
          <w:b/>
          <w:bCs/>
        </w:rPr>
        <w:t>Alevsiz Yanma</w:t>
      </w:r>
      <w:r w:rsidRPr="00D53A2B">
        <w:br/>
        <w:t>Yakıt ve yanma havasının fırının yanma odasına ayrı ayrı, yüksek hızla enjekte edilerek alev oluşumunun önlendiği ve termal NOX oluşumunun azaltıldığı bir yöntemdir. Bu teknik, yanma odasında daha homojen bir ısı dağılımı sağlar ve oksijenle yakıt yakma ile birlikte kullanılabilir.</w:t>
      </w:r>
    </w:p>
    <w:p w14:paraId="2E7F9E44" w14:textId="77777777" w:rsidR="0007690F" w:rsidRPr="00D53A2B" w:rsidRDefault="0007690F" w:rsidP="00A202FD">
      <w:pPr>
        <w:widowControl w:val="0"/>
        <w:spacing w:after="240" w:line="276" w:lineRule="auto"/>
        <w:ind w:firstLine="1"/>
        <w:contextualSpacing/>
        <w:jc w:val="both"/>
      </w:pPr>
      <w:r w:rsidRPr="00D53A2B">
        <w:rPr>
          <w:b/>
          <w:bCs/>
        </w:rPr>
        <w:t>Fırın Otomasyonu ve Kontrolü</w:t>
      </w:r>
      <w:r w:rsidRPr="00D53A2B">
        <w:br/>
        <w:t>Bkz. Bölüm 1.4.1.</w:t>
      </w:r>
    </w:p>
    <w:p w14:paraId="70E756D7" w14:textId="77777777" w:rsidR="0007690F" w:rsidRPr="00D53A2B" w:rsidRDefault="0007690F" w:rsidP="00A202FD">
      <w:pPr>
        <w:widowControl w:val="0"/>
        <w:spacing w:after="240" w:line="276" w:lineRule="auto"/>
        <w:ind w:firstLine="1"/>
        <w:contextualSpacing/>
        <w:jc w:val="both"/>
      </w:pPr>
      <w:r w:rsidRPr="00D53A2B">
        <w:rPr>
          <w:b/>
          <w:bCs/>
        </w:rPr>
        <w:t>Düşük NOX Brülörü</w:t>
      </w:r>
      <w:r w:rsidRPr="00D53A2B">
        <w:br/>
        <w:t>Bu teknik, maksimum alev sıcaklıklarını azaltmaya dayanır. Hava/yakıt karışımı, oksijenin erişilebilirliğini azaltır ve alev sıcaklığını düşürerek, yakıt bağlı azotun NOX'e dönüşümünü ve termal NOX oluşumunu yavaşlatır, yüksek yanma verimliliği sağlarken.</w:t>
      </w:r>
    </w:p>
    <w:p w14:paraId="75FB6286" w14:textId="77777777" w:rsidR="0007690F" w:rsidRPr="00D53A2B" w:rsidRDefault="0007690F" w:rsidP="00A202FD">
      <w:pPr>
        <w:widowControl w:val="0"/>
        <w:spacing w:after="240" w:line="276" w:lineRule="auto"/>
        <w:ind w:firstLine="1"/>
        <w:contextualSpacing/>
        <w:jc w:val="both"/>
      </w:pPr>
      <w:r w:rsidRPr="00D53A2B">
        <w:rPr>
          <w:b/>
          <w:bCs/>
        </w:rPr>
        <w:t>Bağlayıcı ve reçine tüketiminin optimizasyonu</w:t>
      </w:r>
      <w:r w:rsidRPr="00D53A2B">
        <w:br/>
        <w:t>Bkz. Bölüm 1.4.2.</w:t>
      </w:r>
    </w:p>
    <w:p w14:paraId="47FFA896" w14:textId="77777777" w:rsidR="0007690F" w:rsidRPr="00D53A2B" w:rsidRDefault="0007690F" w:rsidP="00A202FD">
      <w:pPr>
        <w:widowControl w:val="0"/>
        <w:spacing w:after="240" w:line="276" w:lineRule="auto"/>
        <w:ind w:firstLine="1"/>
        <w:contextualSpacing/>
        <w:jc w:val="both"/>
      </w:pPr>
      <w:r w:rsidRPr="00D53A2B">
        <w:rPr>
          <w:b/>
          <w:bCs/>
        </w:rPr>
        <w:t>Yanma havasının oksijen ile zenginleştirilmesi</w:t>
      </w:r>
      <w:r w:rsidRPr="00D53A2B">
        <w:br/>
        <w:t>Bkz. Bölüm 1.4.1.</w:t>
      </w:r>
    </w:p>
    <w:p w14:paraId="35F370B6" w14:textId="77777777" w:rsidR="0007690F" w:rsidRPr="00D53A2B" w:rsidRDefault="0007690F" w:rsidP="00A202FD">
      <w:pPr>
        <w:widowControl w:val="0"/>
        <w:spacing w:after="240" w:line="276" w:lineRule="auto"/>
        <w:ind w:firstLine="1"/>
        <w:contextualSpacing/>
        <w:jc w:val="both"/>
      </w:pPr>
      <w:r w:rsidRPr="00D53A2B">
        <w:rPr>
          <w:b/>
          <w:bCs/>
        </w:rPr>
        <w:t>Oksijenli yakma (Oxy-fuel combustion)</w:t>
      </w:r>
      <w:r w:rsidRPr="00D53A2B">
        <w:br/>
        <w:t>Bkz. Bölüm 1.4.1.</w:t>
      </w:r>
    </w:p>
    <w:p w14:paraId="5737D75F" w14:textId="77777777" w:rsidR="0007690F" w:rsidRPr="00D53A2B" w:rsidRDefault="0007690F" w:rsidP="00A202FD">
      <w:pPr>
        <w:widowControl w:val="0"/>
        <w:spacing w:after="240" w:line="276" w:lineRule="auto"/>
        <w:ind w:firstLine="1"/>
        <w:contextualSpacing/>
        <w:jc w:val="both"/>
      </w:pPr>
      <w:r w:rsidRPr="00D53A2B">
        <w:rPr>
          <w:b/>
          <w:bCs/>
        </w:rPr>
        <w:t>Atık gazların sonrası yanması</w:t>
      </w:r>
      <w:r w:rsidRPr="00D53A2B">
        <w:br/>
        <w:t>Fırın atık gazlarında bulunan CO ve diğer organik bileşiklerin sonrası yanması, emisyonları azaltmak ve ısı geri kazanımı sağlamak için kullanılır. Üretilen ısı, bir ısı değiştirici ile geri kazanılır ve soufflör hava ön ısınması ya da diğer iç amaçlar için kullanılır. HBC fırınlarında, sonrası yanma, doğal gazlı bir brülörle önceden ısıtılan ayrı bir sonrası yanma odasında gerçekleşir. CBC fırınlarında, sonrası yanma doğrudan kupol şaftında yapılır. Dönme fırınlarında ise, sonrası yanma, fırın ile ısı değiştirici arasında kurulu bir yanma sonrası sistem ile gerçekleştirilir.</w:t>
      </w:r>
    </w:p>
    <w:p w14:paraId="144E4EE0" w14:textId="77777777" w:rsidR="0007690F" w:rsidRPr="00D53A2B" w:rsidRDefault="0007690F" w:rsidP="00A202FD">
      <w:pPr>
        <w:widowControl w:val="0"/>
        <w:spacing w:after="240" w:line="276" w:lineRule="auto"/>
        <w:ind w:firstLine="1"/>
        <w:contextualSpacing/>
        <w:jc w:val="both"/>
      </w:pPr>
      <w:r w:rsidRPr="00D53A2B">
        <w:rPr>
          <w:b/>
          <w:bCs/>
        </w:rPr>
        <w:t>Uygun fırın tipi seçimi</w:t>
      </w:r>
      <w:r w:rsidRPr="00D53A2B">
        <w:br/>
        <w:t>Uygun fırın tiplerinin seçimi, emisyon seviyeleri ve teknik kriterlere dayalıdır; örneğin sürekli veya parti üretim türü, fırın kapasitesi, döküm türleri, hammaddelerin bulunabilirliği, hammaddelerin temizliğine ve alaşım değişimine bağlı esneklik. Ayrıca, fırının enerji verimliliği de göz önünde bulundurulur (Bkz. Bölüm 1.4.1'deki ‘Enerji verimli fırın tipinin seçimi’ tekniği).</w:t>
      </w:r>
    </w:p>
    <w:p w14:paraId="1B34A86A" w14:textId="77777777" w:rsidR="0007690F" w:rsidRPr="00D53A2B" w:rsidRDefault="0007690F" w:rsidP="00A202FD">
      <w:pPr>
        <w:widowControl w:val="0"/>
        <w:spacing w:after="240" w:line="276" w:lineRule="auto"/>
        <w:ind w:firstLine="1"/>
        <w:contextualSpacing/>
        <w:jc w:val="both"/>
      </w:pPr>
      <w:r w:rsidRPr="00D53A2B">
        <w:rPr>
          <w:b/>
          <w:bCs/>
        </w:rPr>
        <w:t>Alkol bazlı kaplamaların su bazlı kaplamalarla değiştirilmesi</w:t>
      </w:r>
      <w:r w:rsidRPr="00D53A2B">
        <w:br/>
        <w:t>Alkol bazlı kalıp ve çekirdek kaplamalarının, su bazlı kaplamalarla değiştirilmesi. Su bazlı kaplamalar, ortam havasında ya da kurutma fırınlarında kurutulur.</w:t>
      </w:r>
    </w:p>
    <w:p w14:paraId="4E2DB775" w14:textId="77777777" w:rsidR="0007690F" w:rsidRPr="00D53A2B" w:rsidRDefault="0007690F" w:rsidP="00A202FD">
      <w:pPr>
        <w:widowControl w:val="0"/>
        <w:spacing w:after="240" w:line="276" w:lineRule="auto"/>
        <w:ind w:firstLine="1"/>
        <w:contextualSpacing/>
        <w:jc w:val="both"/>
      </w:pPr>
      <w:r w:rsidRPr="00D53A2B">
        <w:rPr>
          <w:b/>
          <w:bCs/>
        </w:rPr>
        <w:t>Termal oksidasyon</w:t>
      </w:r>
      <w:r w:rsidRPr="00D53A2B">
        <w:br/>
        <w:t>Atık gaz akışındaki yanıcı bileşenleri, hava veya oksijenle ısıtarak otomatik tutuşma noktasının üzerine çıkaran ve yanmanın tamamlanması için yeterince yüksek sıcaklıkta tutarak karbondioksit ve suya dönüşmesini sağlayan bir arıtma tekniği. Tipik yanma sıcaklığı 800 °C ile 1.000 °C arasında değişir.</w:t>
      </w:r>
    </w:p>
    <w:p w14:paraId="4AE3F23F" w14:textId="77777777" w:rsidR="0007690F" w:rsidRPr="00D53A2B" w:rsidRDefault="0007690F" w:rsidP="00A202FD">
      <w:pPr>
        <w:widowControl w:val="0"/>
        <w:spacing w:after="240" w:line="276" w:lineRule="auto"/>
        <w:ind w:firstLine="1"/>
        <w:contextualSpacing/>
        <w:jc w:val="both"/>
      </w:pPr>
      <w:r w:rsidRPr="00D53A2B">
        <w:t>Termal oksidasyonun birkaç türü uygulanmaktadır:</w:t>
      </w:r>
    </w:p>
    <w:p w14:paraId="25D14690" w14:textId="77777777" w:rsidR="0007690F" w:rsidRPr="00D53A2B" w:rsidRDefault="0007690F" w:rsidP="00602365">
      <w:pPr>
        <w:widowControl w:val="0"/>
        <w:numPr>
          <w:ilvl w:val="0"/>
          <w:numId w:val="270"/>
        </w:numPr>
        <w:spacing w:after="240" w:line="276" w:lineRule="auto"/>
        <w:contextualSpacing/>
        <w:jc w:val="both"/>
      </w:pPr>
      <w:r w:rsidRPr="00D53A2B">
        <w:rPr>
          <w:b/>
          <w:bCs/>
        </w:rPr>
        <w:t>Doğrudan termal oksidasyon:</w:t>
      </w:r>
      <w:r w:rsidRPr="00D53A2B">
        <w:t> Yanma sonucu ısı geri kazanımı yapılmadan termal oksidasyon.</w:t>
      </w:r>
    </w:p>
    <w:p w14:paraId="688CB676" w14:textId="77777777" w:rsidR="0007690F" w:rsidRPr="00D53A2B" w:rsidRDefault="0007690F" w:rsidP="00602365">
      <w:pPr>
        <w:widowControl w:val="0"/>
        <w:numPr>
          <w:ilvl w:val="0"/>
          <w:numId w:val="270"/>
        </w:numPr>
        <w:spacing w:after="240" w:line="276" w:lineRule="auto"/>
        <w:contextualSpacing/>
        <w:jc w:val="both"/>
      </w:pPr>
      <w:r w:rsidRPr="00D53A2B">
        <w:rPr>
          <w:b/>
          <w:bCs/>
        </w:rPr>
        <w:t>Kazanımlı termal oksidasyon:</w:t>
      </w:r>
      <w:r w:rsidRPr="00D53A2B">
        <w:t> Atık gazların ısısını dolaylı ısı transferi ile kullanan termal oksidasyon.</w:t>
      </w:r>
    </w:p>
    <w:p w14:paraId="7940B6E3" w14:textId="77777777" w:rsidR="0007690F" w:rsidRPr="00D53A2B" w:rsidRDefault="0007690F" w:rsidP="00602365">
      <w:pPr>
        <w:widowControl w:val="0"/>
        <w:numPr>
          <w:ilvl w:val="0"/>
          <w:numId w:val="270"/>
        </w:numPr>
        <w:spacing w:after="240" w:line="276" w:lineRule="auto"/>
        <w:contextualSpacing/>
        <w:jc w:val="both"/>
      </w:pPr>
      <w:r w:rsidRPr="00D53A2B">
        <w:rPr>
          <w:b/>
          <w:bCs/>
        </w:rPr>
        <w:t>Regeneratif termal oksidasyon:</w:t>
      </w:r>
      <w:r w:rsidRPr="00D53A2B">
        <w:t> Gelişmiş bir termal oksidasyon türü olup, gelen atık gaz akışı, bir seramik dolgulu yataktan geçerken ısıtılır ve daha sonra yanma odasına girer. Temizlenen sıcak gazlar, bu odadan çıkarken bir veya daha fazla seramik dolgulu yataklardan geçer (önceki yanma döngüsünde soğutulmuş). Bu yeniden ısıtılan dolgu yatağı, yeni bir atık gaz akışını önceden ısıtarak yeni bir yanma döngüsüne başlar.</w:t>
      </w:r>
    </w:p>
    <w:p w14:paraId="42B5237E" w14:textId="77777777" w:rsidR="0007690F" w:rsidRPr="00D53A2B" w:rsidRDefault="0007690F" w:rsidP="00A202FD">
      <w:pPr>
        <w:widowControl w:val="0"/>
        <w:spacing w:after="240" w:line="276" w:lineRule="auto"/>
        <w:ind w:firstLine="1"/>
        <w:contextualSpacing/>
        <w:jc w:val="both"/>
      </w:pPr>
      <w:r w:rsidRPr="00D53A2B">
        <w:rPr>
          <w:b/>
          <w:bCs/>
        </w:rPr>
        <w:t>Soğuk ayar işlemleri için en iyi uygulamaların kullanılması</w:t>
      </w:r>
      <w:r w:rsidRPr="00D53A2B">
        <w:br/>
        <w:t>Bkz. Bölüm 1.4.2.</w:t>
      </w:r>
    </w:p>
    <w:p w14:paraId="3A1F6A85" w14:textId="77777777" w:rsidR="0007690F" w:rsidRPr="00D53A2B" w:rsidRDefault="0007690F" w:rsidP="00A202FD">
      <w:pPr>
        <w:widowControl w:val="0"/>
        <w:spacing w:after="240" w:line="276" w:lineRule="auto"/>
        <w:ind w:firstLine="1"/>
        <w:contextualSpacing/>
        <w:jc w:val="both"/>
      </w:pPr>
      <w:r w:rsidRPr="00D53A2B">
        <w:rPr>
          <w:b/>
          <w:bCs/>
        </w:rPr>
        <w:t>Gaz sertleştirme işlemleri için en iyi uygulamaların kullanılması</w:t>
      </w:r>
      <w:r w:rsidRPr="00D53A2B">
        <w:br/>
        <w:t>Bkz. Bölüm 1.4.2.</w:t>
      </w:r>
    </w:p>
    <w:p w14:paraId="624650AC" w14:textId="77777777" w:rsidR="0007690F" w:rsidRPr="00D53A2B" w:rsidRDefault="0007690F" w:rsidP="00A202FD">
      <w:pPr>
        <w:widowControl w:val="0"/>
        <w:spacing w:after="240" w:line="276" w:lineRule="auto"/>
        <w:ind w:firstLine="1"/>
        <w:contextualSpacing/>
        <w:jc w:val="both"/>
      </w:pPr>
      <w:r w:rsidRPr="00D53A2B">
        <w:rPr>
          <w:b/>
          <w:bCs/>
        </w:rPr>
        <w:t xml:space="preserve">Sulu yıkayıcı </w:t>
      </w:r>
      <w:r w:rsidRPr="00D53A2B">
        <w:br/>
        <w:t>Gaz akışındaki gaz halindeki ya da partiküler kirleticilerin, genellikle su ya da su bazlı bir çözücü kullanılarak bir sıvıya kütle transferi ile uzaklaştırılması. Bu, bir kimyasal reaksiyon içerebilir (örneğin asidik ya da alkali temizleyicilerde). Bazı durumlarda, bileşikler çözücüyü kullanarak geri kazanılabilir. Bu, venturi temizleyicileri içerir.</w:t>
      </w:r>
    </w:p>
    <w:tbl>
      <w:tblPr>
        <w:tblW w:w="8926" w:type="dxa"/>
        <w:tblCellMar>
          <w:left w:w="70" w:type="dxa"/>
          <w:right w:w="70" w:type="dxa"/>
        </w:tblCellMar>
        <w:tblLook w:val="04A0" w:firstRow="1" w:lastRow="0" w:firstColumn="1" w:lastColumn="0" w:noHBand="0" w:noVBand="1"/>
      </w:tblPr>
      <w:tblGrid>
        <w:gridCol w:w="1688"/>
        <w:gridCol w:w="7238"/>
      </w:tblGrid>
      <w:tr w:rsidR="0007690F" w:rsidRPr="00D53A2B" w14:paraId="49633006" w14:textId="77777777" w:rsidTr="00507ACB">
        <w:trPr>
          <w:trHeight w:val="320"/>
        </w:trPr>
        <w:tc>
          <w:tcPr>
            <w:tcW w:w="16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1C6F4" w14:textId="77777777" w:rsidR="0007690F" w:rsidRPr="00D53A2B" w:rsidRDefault="0007690F" w:rsidP="00A202FD">
            <w:pPr>
              <w:widowControl w:val="0"/>
              <w:spacing w:after="240" w:line="276" w:lineRule="auto"/>
              <w:ind w:firstLine="1"/>
              <w:contextualSpacing/>
              <w:jc w:val="both"/>
              <w:rPr>
                <w:b/>
                <w:bCs/>
              </w:rPr>
            </w:pPr>
            <w:r w:rsidRPr="00D53A2B">
              <w:rPr>
                <w:b/>
                <w:bCs/>
              </w:rPr>
              <w:t>Teknik</w:t>
            </w:r>
          </w:p>
        </w:tc>
        <w:tc>
          <w:tcPr>
            <w:tcW w:w="7238" w:type="dxa"/>
            <w:tcBorders>
              <w:top w:val="single" w:sz="4" w:space="0" w:color="auto"/>
              <w:left w:val="nil"/>
              <w:bottom w:val="single" w:sz="4" w:space="0" w:color="auto"/>
              <w:right w:val="single" w:sz="4" w:space="0" w:color="auto"/>
            </w:tcBorders>
            <w:shd w:val="clear" w:color="auto" w:fill="auto"/>
            <w:noWrap/>
            <w:vAlign w:val="bottom"/>
            <w:hideMark/>
          </w:tcPr>
          <w:p w14:paraId="798A4AC4" w14:textId="77777777" w:rsidR="0007690F" w:rsidRPr="00D53A2B" w:rsidRDefault="0007690F" w:rsidP="00A202FD">
            <w:pPr>
              <w:widowControl w:val="0"/>
              <w:spacing w:after="240" w:line="276" w:lineRule="auto"/>
              <w:ind w:firstLine="1"/>
              <w:contextualSpacing/>
              <w:jc w:val="both"/>
              <w:rPr>
                <w:b/>
                <w:bCs/>
              </w:rPr>
            </w:pPr>
            <w:r w:rsidRPr="00D53A2B">
              <w:rPr>
                <w:b/>
                <w:bCs/>
              </w:rPr>
              <w:t>Açıklama</w:t>
            </w:r>
          </w:p>
        </w:tc>
      </w:tr>
      <w:tr w:rsidR="0007690F" w:rsidRPr="00D53A2B" w14:paraId="0A0C7DA2"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7D362287" w14:textId="22B9B83C" w:rsidR="0007690F" w:rsidRPr="00D53A2B" w:rsidRDefault="0007690F" w:rsidP="00A202FD">
            <w:pPr>
              <w:widowControl w:val="0"/>
              <w:spacing w:after="240" w:line="276" w:lineRule="auto"/>
              <w:ind w:firstLine="1"/>
              <w:contextualSpacing/>
              <w:jc w:val="both"/>
              <w:rPr>
                <w:b/>
                <w:bCs/>
              </w:rPr>
            </w:pPr>
            <w:r w:rsidRPr="00D53A2B">
              <w:rPr>
                <w:b/>
                <w:bCs/>
              </w:rPr>
              <w:t>Akti</w:t>
            </w:r>
            <w:r w:rsidR="00355E0C">
              <w:rPr>
                <w:b/>
                <w:bCs/>
              </w:rPr>
              <w:t>f</w:t>
            </w:r>
            <w:r w:rsidRPr="00D53A2B">
              <w:rPr>
                <w:b/>
                <w:bCs/>
              </w:rPr>
              <w:t xml:space="preserve"> çamur prosesi</w:t>
            </w:r>
          </w:p>
        </w:tc>
        <w:tc>
          <w:tcPr>
            <w:tcW w:w="7238" w:type="dxa"/>
            <w:tcBorders>
              <w:top w:val="nil"/>
              <w:left w:val="nil"/>
              <w:bottom w:val="single" w:sz="4" w:space="0" w:color="auto"/>
              <w:right w:val="single" w:sz="4" w:space="0" w:color="auto"/>
            </w:tcBorders>
            <w:shd w:val="clear" w:color="auto" w:fill="auto"/>
            <w:noWrap/>
            <w:vAlign w:val="bottom"/>
            <w:hideMark/>
          </w:tcPr>
          <w:p w14:paraId="20D798C5" w14:textId="72CD6236" w:rsidR="0007690F" w:rsidRPr="00D53A2B" w:rsidRDefault="0007690F" w:rsidP="00A202FD">
            <w:pPr>
              <w:widowControl w:val="0"/>
              <w:spacing w:after="240" w:line="276" w:lineRule="auto"/>
              <w:ind w:firstLine="1"/>
              <w:contextualSpacing/>
              <w:jc w:val="both"/>
            </w:pPr>
            <w:r w:rsidRPr="00D53A2B">
              <w:t>Akti</w:t>
            </w:r>
            <w:r w:rsidR="00355E0C">
              <w:t>f</w:t>
            </w:r>
            <w:r w:rsidRPr="00D53A2B">
              <w:t xml:space="preserve"> çamur prosesi, mikroorganizmaların atıksudaki askıda tutulduğu ve tüm karışımın mekanik olarak havalandırıldığı bir yöntemdir. Akti</w:t>
            </w:r>
            <w:r w:rsidR="00355E0C">
              <w:t>f</w:t>
            </w:r>
            <w:r w:rsidRPr="00D53A2B">
              <w:t xml:space="preserve"> çamur karışımı, ayrıştırma tesisine gönderilir ve çamur, havalandırma tankına geri döndürülür.</w:t>
            </w:r>
          </w:p>
        </w:tc>
      </w:tr>
      <w:tr w:rsidR="0007690F" w:rsidRPr="00D53A2B" w14:paraId="1AE1AAE2"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1C3C6EF2" w14:textId="77777777" w:rsidR="0007690F" w:rsidRPr="00D53A2B" w:rsidRDefault="0007690F" w:rsidP="00A202FD">
            <w:pPr>
              <w:widowControl w:val="0"/>
              <w:spacing w:after="240" w:line="276" w:lineRule="auto"/>
              <w:ind w:firstLine="1"/>
              <w:contextualSpacing/>
              <w:jc w:val="both"/>
              <w:rPr>
                <w:b/>
                <w:bCs/>
              </w:rPr>
            </w:pPr>
            <w:r w:rsidRPr="00D53A2B">
              <w:rPr>
                <w:b/>
                <w:bCs/>
              </w:rPr>
              <w:t>Adsorpsiyon</w:t>
            </w:r>
          </w:p>
        </w:tc>
        <w:tc>
          <w:tcPr>
            <w:tcW w:w="7238" w:type="dxa"/>
            <w:tcBorders>
              <w:top w:val="nil"/>
              <w:left w:val="nil"/>
              <w:bottom w:val="single" w:sz="4" w:space="0" w:color="auto"/>
              <w:right w:val="single" w:sz="4" w:space="0" w:color="auto"/>
            </w:tcBorders>
            <w:shd w:val="clear" w:color="auto" w:fill="auto"/>
            <w:noWrap/>
            <w:vAlign w:val="bottom"/>
            <w:hideMark/>
          </w:tcPr>
          <w:p w14:paraId="5578EB24" w14:textId="123F66D7" w:rsidR="0007690F" w:rsidRPr="00D53A2B" w:rsidRDefault="0007690F" w:rsidP="00A202FD">
            <w:pPr>
              <w:widowControl w:val="0"/>
              <w:spacing w:after="240" w:line="276" w:lineRule="auto"/>
              <w:ind w:firstLine="1"/>
              <w:contextualSpacing/>
              <w:jc w:val="both"/>
            </w:pPr>
            <w:r w:rsidRPr="00D53A2B">
              <w:t>Atıksudaki çözünür maddelerin (çözücüler) yüksek poroziteye sahip katı parçacıklara (genellikle aktif karbon) transfer edilerek uzaklaştırılması işlemi.</w:t>
            </w:r>
          </w:p>
        </w:tc>
      </w:tr>
      <w:tr w:rsidR="0007690F" w:rsidRPr="00D53A2B" w14:paraId="07381C46"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5E655BAB" w14:textId="77777777" w:rsidR="0007690F" w:rsidRPr="00D53A2B" w:rsidRDefault="0007690F" w:rsidP="00A202FD">
            <w:pPr>
              <w:widowControl w:val="0"/>
              <w:spacing w:after="240" w:line="276" w:lineRule="auto"/>
              <w:ind w:firstLine="1"/>
              <w:contextualSpacing/>
              <w:jc w:val="both"/>
              <w:rPr>
                <w:b/>
                <w:bCs/>
              </w:rPr>
            </w:pPr>
            <w:r w:rsidRPr="00D53A2B">
              <w:rPr>
                <w:b/>
                <w:bCs/>
              </w:rPr>
              <w:t>Aerobik arıtma</w:t>
            </w:r>
          </w:p>
        </w:tc>
        <w:tc>
          <w:tcPr>
            <w:tcW w:w="7238" w:type="dxa"/>
            <w:tcBorders>
              <w:top w:val="nil"/>
              <w:left w:val="nil"/>
              <w:bottom w:val="single" w:sz="4" w:space="0" w:color="auto"/>
              <w:right w:val="single" w:sz="4" w:space="0" w:color="auto"/>
            </w:tcBorders>
            <w:shd w:val="clear" w:color="auto" w:fill="auto"/>
            <w:noWrap/>
            <w:vAlign w:val="bottom"/>
            <w:hideMark/>
          </w:tcPr>
          <w:p w14:paraId="717A9878" w14:textId="77777777" w:rsidR="0007690F" w:rsidRPr="00D53A2B" w:rsidRDefault="0007690F" w:rsidP="00A202FD">
            <w:pPr>
              <w:widowControl w:val="0"/>
              <w:spacing w:after="240" w:line="276" w:lineRule="auto"/>
              <w:ind w:firstLine="1"/>
              <w:contextualSpacing/>
              <w:jc w:val="both"/>
            </w:pPr>
            <w:r w:rsidRPr="00D53A2B">
              <w:t>Çözünmüş organik kirleticilerin oksijen kullanarak biyolojik oksidasyonu, mikroorganizmaların metabolizmasıyla yapılır. Çözünmüş oksijenin varlığında, organik bileşikler karbon dioksit ve suya mineralize olur veya diğer metabolitlere ve biyomasa dönüşür.</w:t>
            </w:r>
          </w:p>
        </w:tc>
      </w:tr>
      <w:tr w:rsidR="0007690F" w:rsidRPr="00D53A2B" w14:paraId="068DA8CF"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0EA15378" w14:textId="77777777" w:rsidR="0007690F" w:rsidRPr="00D53A2B" w:rsidRDefault="0007690F" w:rsidP="00A202FD">
            <w:pPr>
              <w:widowControl w:val="0"/>
              <w:spacing w:after="240" w:line="276" w:lineRule="auto"/>
              <w:ind w:firstLine="1"/>
              <w:contextualSpacing/>
              <w:jc w:val="both"/>
              <w:rPr>
                <w:b/>
                <w:bCs/>
              </w:rPr>
            </w:pPr>
            <w:r w:rsidRPr="00D53A2B">
              <w:rPr>
                <w:b/>
                <w:bCs/>
              </w:rPr>
              <w:t>Kimyasal çökelme</w:t>
            </w:r>
          </w:p>
        </w:tc>
        <w:tc>
          <w:tcPr>
            <w:tcW w:w="7238" w:type="dxa"/>
            <w:tcBorders>
              <w:top w:val="nil"/>
              <w:left w:val="nil"/>
              <w:bottom w:val="single" w:sz="4" w:space="0" w:color="auto"/>
              <w:right w:val="single" w:sz="4" w:space="0" w:color="auto"/>
            </w:tcBorders>
            <w:shd w:val="clear" w:color="auto" w:fill="auto"/>
            <w:noWrap/>
            <w:vAlign w:val="bottom"/>
            <w:hideMark/>
          </w:tcPr>
          <w:p w14:paraId="5E0BD23F" w14:textId="77777777" w:rsidR="0007690F" w:rsidRPr="00D53A2B" w:rsidRDefault="0007690F" w:rsidP="00A202FD">
            <w:pPr>
              <w:widowControl w:val="0"/>
              <w:spacing w:after="240" w:line="276" w:lineRule="auto"/>
              <w:ind w:firstLine="1"/>
              <w:contextualSpacing/>
              <w:jc w:val="both"/>
            </w:pPr>
            <w:r w:rsidRPr="00D53A2B">
              <w:t>Çözünmüş kirleticilerin, kimyasal çökelme maddelerinin eklenmesiyle çözünebilen bir bileşiğe dönüştürülmesi işlemi. Oluşan katı çökeltiler sedimentasyon, hava flotasyonu veya filtrasyon yoluyla ayrılır. Gerekirse bu, mikrofiltrasyon veya ultrafiltrasyon ile takip edilebilir.</w:t>
            </w:r>
          </w:p>
        </w:tc>
      </w:tr>
      <w:tr w:rsidR="0007690F" w:rsidRPr="00D53A2B" w14:paraId="54546993"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0391D296" w14:textId="77777777" w:rsidR="0007690F" w:rsidRPr="00D53A2B" w:rsidRDefault="0007690F" w:rsidP="00A202FD">
            <w:pPr>
              <w:widowControl w:val="0"/>
              <w:spacing w:after="240" w:line="276" w:lineRule="auto"/>
              <w:ind w:firstLine="1"/>
              <w:contextualSpacing/>
              <w:jc w:val="both"/>
              <w:rPr>
                <w:b/>
                <w:bCs/>
              </w:rPr>
            </w:pPr>
            <w:r w:rsidRPr="00D53A2B">
              <w:rPr>
                <w:b/>
                <w:bCs/>
              </w:rPr>
              <w:t>Kimyasal indirgeme</w:t>
            </w:r>
          </w:p>
        </w:tc>
        <w:tc>
          <w:tcPr>
            <w:tcW w:w="7238" w:type="dxa"/>
            <w:tcBorders>
              <w:top w:val="nil"/>
              <w:left w:val="nil"/>
              <w:bottom w:val="single" w:sz="4" w:space="0" w:color="auto"/>
              <w:right w:val="single" w:sz="4" w:space="0" w:color="auto"/>
            </w:tcBorders>
            <w:shd w:val="clear" w:color="auto" w:fill="auto"/>
            <w:noWrap/>
            <w:vAlign w:val="bottom"/>
            <w:hideMark/>
          </w:tcPr>
          <w:p w14:paraId="0C487F9D" w14:textId="77777777" w:rsidR="0007690F" w:rsidRPr="00D53A2B" w:rsidRDefault="0007690F" w:rsidP="00A202FD">
            <w:pPr>
              <w:widowControl w:val="0"/>
              <w:spacing w:after="240" w:line="276" w:lineRule="auto"/>
              <w:ind w:firstLine="1"/>
              <w:contextualSpacing/>
              <w:jc w:val="both"/>
            </w:pPr>
            <w:r w:rsidRPr="00D53A2B">
              <w:t>Kirleticilerin, kimyasal indirgeme maddeleri tarafından daha az zararlı veya tehlikeli bileşiklere dönüştürülmesi.</w:t>
            </w:r>
          </w:p>
        </w:tc>
      </w:tr>
      <w:tr w:rsidR="0007690F" w:rsidRPr="00D53A2B" w14:paraId="2ED8D7CE"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45630771" w14:textId="77777777" w:rsidR="0007690F" w:rsidRPr="00D53A2B" w:rsidRDefault="0007690F" w:rsidP="00A202FD">
            <w:pPr>
              <w:widowControl w:val="0"/>
              <w:spacing w:after="240" w:line="276" w:lineRule="auto"/>
              <w:ind w:firstLine="1"/>
              <w:contextualSpacing/>
              <w:jc w:val="both"/>
              <w:rPr>
                <w:b/>
                <w:bCs/>
              </w:rPr>
            </w:pPr>
            <w:r w:rsidRPr="00D53A2B">
              <w:rPr>
                <w:b/>
                <w:bCs/>
              </w:rPr>
              <w:t>Koagülasyon ve flokülasyon</w:t>
            </w:r>
          </w:p>
        </w:tc>
        <w:tc>
          <w:tcPr>
            <w:tcW w:w="7238" w:type="dxa"/>
            <w:tcBorders>
              <w:top w:val="nil"/>
              <w:left w:val="nil"/>
              <w:bottom w:val="single" w:sz="4" w:space="0" w:color="auto"/>
              <w:right w:val="single" w:sz="4" w:space="0" w:color="auto"/>
            </w:tcBorders>
            <w:shd w:val="clear" w:color="auto" w:fill="auto"/>
            <w:noWrap/>
            <w:vAlign w:val="bottom"/>
            <w:hideMark/>
          </w:tcPr>
          <w:p w14:paraId="03214821" w14:textId="0BBF57BC" w:rsidR="0007690F" w:rsidRPr="00D53A2B" w:rsidRDefault="003043A7" w:rsidP="00A202FD">
            <w:pPr>
              <w:widowControl w:val="0"/>
              <w:spacing w:after="240" w:line="276" w:lineRule="auto"/>
              <w:ind w:firstLine="1"/>
              <w:contextualSpacing/>
              <w:jc w:val="both"/>
            </w:pPr>
            <w:r w:rsidRPr="003043A7">
              <w:t>Koagülasyon ve flokülasyon, askıda katı maddeleri atık sudan ayırmak için kullanılır ve çoğu kez art arda gerçekleştirilir. Koagülasyon işlemi, askıda katı maddelere göre zıt yüklü koagülanların eklenmesiyle gerçekleştirilir. Flokülasyon işlemi, mikroflok partiküllerin bir araya gelmesi ve daha büyük floklar üretebilmesi için, polimer eklenmesiyle gerçekleştirilir.</w:t>
            </w:r>
            <w:r w:rsidR="0007690F" w:rsidRPr="003043A7">
              <w:t>.</w:t>
            </w:r>
          </w:p>
        </w:tc>
      </w:tr>
      <w:tr w:rsidR="0007690F" w:rsidRPr="00D53A2B" w14:paraId="5898EB34"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4FDBCE0F" w14:textId="4CA16B87" w:rsidR="0007690F" w:rsidRPr="00D53A2B" w:rsidRDefault="00D618F4" w:rsidP="00A202FD">
            <w:pPr>
              <w:widowControl w:val="0"/>
              <w:spacing w:after="240" w:line="276" w:lineRule="auto"/>
              <w:ind w:firstLine="1"/>
              <w:contextualSpacing/>
              <w:jc w:val="both"/>
              <w:rPr>
                <w:b/>
                <w:bCs/>
              </w:rPr>
            </w:pPr>
            <w:r>
              <w:rPr>
                <w:b/>
                <w:bCs/>
              </w:rPr>
              <w:t>Dengeleme</w:t>
            </w:r>
          </w:p>
        </w:tc>
        <w:tc>
          <w:tcPr>
            <w:tcW w:w="7238" w:type="dxa"/>
            <w:tcBorders>
              <w:top w:val="nil"/>
              <w:left w:val="nil"/>
              <w:bottom w:val="single" w:sz="4" w:space="0" w:color="auto"/>
              <w:right w:val="single" w:sz="4" w:space="0" w:color="auto"/>
            </w:tcBorders>
            <w:shd w:val="clear" w:color="auto" w:fill="auto"/>
            <w:noWrap/>
            <w:vAlign w:val="bottom"/>
            <w:hideMark/>
          </w:tcPr>
          <w:p w14:paraId="3E7CE639" w14:textId="53CD356E" w:rsidR="0007690F" w:rsidRPr="003043A7" w:rsidRDefault="00D618F4" w:rsidP="00A202FD">
            <w:pPr>
              <w:widowControl w:val="0"/>
              <w:spacing w:after="240" w:line="276" w:lineRule="auto"/>
              <w:ind w:firstLine="1"/>
              <w:contextualSpacing/>
              <w:jc w:val="both"/>
            </w:pPr>
            <w:r w:rsidRPr="003043A7">
              <w:t>Atıksuyun akışının ve kirletici yükünün, merkezi tanklar kullanılarak dengelenmesidir. Dengeleme, diğer yönetim teknikleri kullanılarak daha az merkezi bir hale getirilebilir veya gerçekleştirilebilir.</w:t>
            </w:r>
          </w:p>
        </w:tc>
      </w:tr>
      <w:tr w:rsidR="0007690F" w:rsidRPr="00D53A2B" w14:paraId="44D4A48A"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7D840334" w14:textId="77777777" w:rsidR="0007690F" w:rsidRPr="00D53A2B" w:rsidRDefault="0007690F" w:rsidP="00A202FD">
            <w:pPr>
              <w:widowControl w:val="0"/>
              <w:spacing w:after="240" w:line="276" w:lineRule="auto"/>
              <w:ind w:firstLine="1"/>
              <w:contextualSpacing/>
              <w:jc w:val="both"/>
              <w:rPr>
                <w:b/>
                <w:bCs/>
              </w:rPr>
            </w:pPr>
            <w:r w:rsidRPr="00D53A2B">
              <w:rPr>
                <w:b/>
                <w:bCs/>
              </w:rPr>
              <w:t>Buharlaşma</w:t>
            </w:r>
          </w:p>
        </w:tc>
        <w:tc>
          <w:tcPr>
            <w:tcW w:w="7238" w:type="dxa"/>
            <w:tcBorders>
              <w:top w:val="nil"/>
              <w:left w:val="nil"/>
              <w:bottom w:val="single" w:sz="4" w:space="0" w:color="auto"/>
              <w:right w:val="single" w:sz="4" w:space="0" w:color="auto"/>
            </w:tcBorders>
            <w:shd w:val="clear" w:color="auto" w:fill="auto"/>
            <w:noWrap/>
            <w:vAlign w:val="bottom"/>
            <w:hideMark/>
          </w:tcPr>
          <w:p w14:paraId="4C7BCF83" w14:textId="673C917D" w:rsidR="0007690F" w:rsidRPr="00D53A2B" w:rsidRDefault="0007690F" w:rsidP="00A202FD">
            <w:pPr>
              <w:widowControl w:val="0"/>
              <w:spacing w:after="240" w:line="276" w:lineRule="auto"/>
              <w:ind w:firstLine="1"/>
              <w:contextualSpacing/>
              <w:jc w:val="both"/>
            </w:pPr>
            <w:r w:rsidRPr="00D53A2B">
              <w:t xml:space="preserve">Atıksuyun buharlaşması, suyun uçucu madde olduğu ve geriye kalan konsantre çözeltilerin işlenmesi (örneğin geri dönüştürülmesi veya bertaraf edilmesi) amacıyla yapılan bir damıtma işlemidir. Bu işlem, atıksuyun hacmini azaltmayı veya ana sıvıları yoğunlaştırmayı amaçlar. Buharlaşan buhar, bir yoğuşturucuda toplanır ve yoğuşan su, gerektiğinde sonraki </w:t>
            </w:r>
            <w:r w:rsidR="003A37F0">
              <w:t>arıtma</w:t>
            </w:r>
            <w:r w:rsidRPr="00D53A2B">
              <w:t xml:space="preserve"> sonrası geri dönüştürülür. Tipik hedef kirleticiler, çözünür kirleticilerdir (örneğin tuzlar).</w:t>
            </w:r>
          </w:p>
        </w:tc>
      </w:tr>
      <w:tr w:rsidR="0007690F" w:rsidRPr="00D53A2B" w14:paraId="0FEB38FD"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2CB914B5" w14:textId="77777777" w:rsidR="0007690F" w:rsidRPr="00D53A2B" w:rsidRDefault="0007690F" w:rsidP="00A202FD">
            <w:pPr>
              <w:widowControl w:val="0"/>
              <w:spacing w:after="240" w:line="276" w:lineRule="auto"/>
              <w:ind w:firstLine="1"/>
              <w:contextualSpacing/>
              <w:jc w:val="both"/>
              <w:rPr>
                <w:b/>
                <w:bCs/>
              </w:rPr>
            </w:pPr>
            <w:r w:rsidRPr="00D53A2B">
              <w:rPr>
                <w:b/>
                <w:bCs/>
              </w:rPr>
              <w:t>Filtrasyon</w:t>
            </w:r>
          </w:p>
        </w:tc>
        <w:tc>
          <w:tcPr>
            <w:tcW w:w="7238" w:type="dxa"/>
            <w:tcBorders>
              <w:top w:val="nil"/>
              <w:left w:val="nil"/>
              <w:bottom w:val="single" w:sz="4" w:space="0" w:color="auto"/>
              <w:right w:val="single" w:sz="4" w:space="0" w:color="auto"/>
            </w:tcBorders>
            <w:shd w:val="clear" w:color="auto" w:fill="auto"/>
            <w:noWrap/>
            <w:vAlign w:val="bottom"/>
            <w:hideMark/>
          </w:tcPr>
          <w:p w14:paraId="535C1DAC" w14:textId="6BD3E5E9" w:rsidR="0007690F" w:rsidRPr="00D53A2B" w:rsidRDefault="0007690F" w:rsidP="00A202FD">
            <w:pPr>
              <w:widowControl w:val="0"/>
              <w:spacing w:after="240" w:line="276" w:lineRule="auto"/>
              <w:ind w:firstLine="1"/>
              <w:contextualSpacing/>
              <w:jc w:val="both"/>
            </w:pPr>
            <w:r w:rsidRPr="00D53A2B">
              <w:t>Atıksudan katı maddelerin, geçirgen bir ortamdan geçirilerek ayrılması işlemi, örneğin kum filtrasyonu, mikrofiltrasyon ve ultrafiltrasyon.</w:t>
            </w:r>
          </w:p>
        </w:tc>
      </w:tr>
      <w:tr w:rsidR="0007690F" w:rsidRPr="00D53A2B" w14:paraId="02C45C9A"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4DF5EBCB" w14:textId="77777777" w:rsidR="0007690F" w:rsidRPr="00D53A2B" w:rsidRDefault="0007690F" w:rsidP="00A202FD">
            <w:pPr>
              <w:widowControl w:val="0"/>
              <w:spacing w:after="240" w:line="276" w:lineRule="auto"/>
              <w:ind w:firstLine="1"/>
              <w:contextualSpacing/>
              <w:jc w:val="both"/>
              <w:rPr>
                <w:b/>
                <w:bCs/>
              </w:rPr>
            </w:pPr>
            <w:r w:rsidRPr="00D53A2B">
              <w:rPr>
                <w:b/>
                <w:bCs/>
              </w:rPr>
              <w:t>Flotasyon</w:t>
            </w:r>
          </w:p>
        </w:tc>
        <w:tc>
          <w:tcPr>
            <w:tcW w:w="7238" w:type="dxa"/>
            <w:tcBorders>
              <w:top w:val="nil"/>
              <w:left w:val="nil"/>
              <w:bottom w:val="single" w:sz="4" w:space="0" w:color="auto"/>
              <w:right w:val="single" w:sz="4" w:space="0" w:color="auto"/>
            </w:tcBorders>
            <w:shd w:val="clear" w:color="auto" w:fill="auto"/>
            <w:noWrap/>
            <w:vAlign w:val="bottom"/>
            <w:hideMark/>
          </w:tcPr>
          <w:p w14:paraId="6E63B930" w14:textId="60D061C8" w:rsidR="0007690F" w:rsidRPr="00D53A2B" w:rsidRDefault="0007690F" w:rsidP="00A202FD">
            <w:pPr>
              <w:widowControl w:val="0"/>
              <w:spacing w:after="240" w:line="276" w:lineRule="auto"/>
              <w:ind w:firstLine="1"/>
              <w:contextualSpacing/>
              <w:jc w:val="both"/>
            </w:pPr>
            <w:r w:rsidRPr="00D53A2B">
              <w:t>Katı veya sıvı parçacıkların, genellikle hava ile ince gaz kabarcıkları kullanılarak atıksudan ayrılması işlemi. Yüzen parçacıklar su yüzeyinde birikir ve kevgirler ile toplanır.</w:t>
            </w:r>
          </w:p>
        </w:tc>
      </w:tr>
      <w:tr w:rsidR="0007690F" w:rsidRPr="00D53A2B" w14:paraId="51B3E287"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422144A8" w14:textId="77777777" w:rsidR="0007690F" w:rsidRPr="00D53A2B" w:rsidRDefault="0007690F" w:rsidP="00A202FD">
            <w:pPr>
              <w:widowControl w:val="0"/>
              <w:spacing w:after="240" w:line="276" w:lineRule="auto"/>
              <w:ind w:firstLine="1"/>
              <w:contextualSpacing/>
              <w:jc w:val="both"/>
              <w:rPr>
                <w:b/>
                <w:bCs/>
              </w:rPr>
            </w:pPr>
            <w:r w:rsidRPr="00D53A2B">
              <w:rPr>
                <w:b/>
                <w:bCs/>
              </w:rPr>
              <w:t>Membran biyoreaktör (MBR)</w:t>
            </w:r>
          </w:p>
        </w:tc>
        <w:tc>
          <w:tcPr>
            <w:tcW w:w="7238" w:type="dxa"/>
            <w:tcBorders>
              <w:top w:val="nil"/>
              <w:left w:val="nil"/>
              <w:bottom w:val="single" w:sz="4" w:space="0" w:color="auto"/>
              <w:right w:val="single" w:sz="4" w:space="0" w:color="auto"/>
            </w:tcBorders>
            <w:shd w:val="clear" w:color="auto" w:fill="auto"/>
            <w:noWrap/>
            <w:vAlign w:val="bottom"/>
            <w:hideMark/>
          </w:tcPr>
          <w:p w14:paraId="1153AA2B" w14:textId="096BE43B" w:rsidR="0007690F" w:rsidRPr="00D53A2B" w:rsidRDefault="0007690F" w:rsidP="00A202FD">
            <w:pPr>
              <w:widowControl w:val="0"/>
              <w:spacing w:after="240" w:line="276" w:lineRule="auto"/>
              <w:ind w:firstLine="1"/>
              <w:contextualSpacing/>
              <w:jc w:val="both"/>
            </w:pPr>
            <w:r w:rsidRPr="00D53A2B">
              <w:t>MBR, bir membran prosesi (örneğin mikrofiltrasyon veya ultrafiltrasyon) ile askıda büyüyen biyoreaktörün birleşimidir. Bir biyolojik atıksu arıtma sisteminde, geleneksel havalandırmalı çamur sisteminin ikincil çökelticisi ve üçüncül filtrasyon aşaması, membran filtrasyonuyla (çamur ve askıda katıların ayrılması) değiştirilir.</w:t>
            </w:r>
          </w:p>
        </w:tc>
      </w:tr>
      <w:tr w:rsidR="0007690F" w:rsidRPr="00D53A2B" w14:paraId="57A82AB8"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7D0623A4" w14:textId="77777777" w:rsidR="0007690F" w:rsidRPr="00D53A2B" w:rsidRDefault="0007690F" w:rsidP="00A202FD">
            <w:pPr>
              <w:widowControl w:val="0"/>
              <w:spacing w:after="240" w:line="276" w:lineRule="auto"/>
              <w:ind w:firstLine="1"/>
              <w:contextualSpacing/>
              <w:jc w:val="both"/>
              <w:rPr>
                <w:b/>
                <w:bCs/>
              </w:rPr>
            </w:pPr>
            <w:r w:rsidRPr="00D53A2B">
              <w:rPr>
                <w:b/>
                <w:bCs/>
              </w:rPr>
              <w:t>Nanofiltrasyon</w:t>
            </w:r>
          </w:p>
        </w:tc>
        <w:tc>
          <w:tcPr>
            <w:tcW w:w="7238" w:type="dxa"/>
            <w:tcBorders>
              <w:top w:val="nil"/>
              <w:left w:val="nil"/>
              <w:bottom w:val="single" w:sz="4" w:space="0" w:color="auto"/>
              <w:right w:val="single" w:sz="4" w:space="0" w:color="auto"/>
            </w:tcBorders>
            <w:shd w:val="clear" w:color="auto" w:fill="auto"/>
            <w:noWrap/>
            <w:vAlign w:val="bottom"/>
            <w:hideMark/>
          </w:tcPr>
          <w:p w14:paraId="6F92392B" w14:textId="77777777" w:rsidR="0007690F" w:rsidRPr="00D53A2B" w:rsidRDefault="0007690F" w:rsidP="00A202FD">
            <w:pPr>
              <w:widowControl w:val="0"/>
              <w:spacing w:after="240" w:line="276" w:lineRule="auto"/>
              <w:ind w:firstLine="1"/>
              <w:contextualSpacing/>
              <w:jc w:val="both"/>
            </w:pPr>
            <w:r w:rsidRPr="00D53A2B">
              <w:t>Pores boyutu yaklaşık 1 nm olan membranlarla yapılan bir filtrasyon işlemi.</w:t>
            </w:r>
          </w:p>
        </w:tc>
      </w:tr>
      <w:tr w:rsidR="0007690F" w:rsidRPr="00D53A2B" w14:paraId="687A8A27"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697BB7AC" w14:textId="77777777" w:rsidR="0007690F" w:rsidRPr="00D53A2B" w:rsidRDefault="0007690F" w:rsidP="00A202FD">
            <w:pPr>
              <w:widowControl w:val="0"/>
              <w:spacing w:after="240" w:line="276" w:lineRule="auto"/>
              <w:ind w:firstLine="1"/>
              <w:contextualSpacing/>
              <w:jc w:val="both"/>
              <w:rPr>
                <w:b/>
                <w:bCs/>
              </w:rPr>
            </w:pPr>
            <w:r w:rsidRPr="00D53A2B">
              <w:rPr>
                <w:b/>
                <w:bCs/>
              </w:rPr>
              <w:t>Nötürleştirme</w:t>
            </w:r>
          </w:p>
        </w:tc>
        <w:tc>
          <w:tcPr>
            <w:tcW w:w="7238" w:type="dxa"/>
            <w:tcBorders>
              <w:top w:val="nil"/>
              <w:left w:val="nil"/>
              <w:bottom w:val="single" w:sz="4" w:space="0" w:color="auto"/>
              <w:right w:val="single" w:sz="4" w:space="0" w:color="auto"/>
            </w:tcBorders>
            <w:shd w:val="clear" w:color="auto" w:fill="auto"/>
            <w:noWrap/>
            <w:vAlign w:val="bottom"/>
            <w:hideMark/>
          </w:tcPr>
          <w:p w14:paraId="4A4231BA" w14:textId="3B281614" w:rsidR="0007690F" w:rsidRPr="00D53A2B" w:rsidRDefault="0007690F" w:rsidP="00A202FD">
            <w:pPr>
              <w:widowControl w:val="0"/>
              <w:spacing w:after="240" w:line="276" w:lineRule="auto"/>
              <w:ind w:firstLine="1"/>
              <w:contextualSpacing/>
              <w:jc w:val="both"/>
            </w:pPr>
            <w:r w:rsidRPr="00D53A2B">
              <w:t>Atıksuyun pH seviyesinin, kimyasal maddeler eklenerek nötr bir seviyeye (yaklaşık 7) ayarlanması işlemi. pH'ı artırmak için genellikle sodyum hidroksit (NaOH) veya kalsiyum hidroksit (Ca(OH)2) kullanılır, pH'ı düşürmek için ise sülfürik asit (H2SO4), hidroklorik asit (HCl) veya karbondioksit (CO</w:t>
            </w:r>
            <w:r w:rsidRPr="00D53A2B">
              <w:rPr>
                <w:vertAlign w:val="subscript"/>
              </w:rPr>
              <w:t>2</w:t>
            </w:r>
            <w:r w:rsidRPr="00D53A2B">
              <w:t>) kullanılır. Nötürleştirme sırasında bazı maddelerin çökelmesi olabilir.</w:t>
            </w:r>
          </w:p>
        </w:tc>
      </w:tr>
      <w:tr w:rsidR="0007690F" w:rsidRPr="00D53A2B" w14:paraId="73068DC9"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4012F55A" w14:textId="77777777" w:rsidR="0007690F" w:rsidRPr="00D53A2B" w:rsidRDefault="0007690F" w:rsidP="00A202FD">
            <w:pPr>
              <w:widowControl w:val="0"/>
              <w:spacing w:after="240" w:line="276" w:lineRule="auto"/>
              <w:ind w:firstLine="1"/>
              <w:contextualSpacing/>
              <w:jc w:val="both"/>
              <w:rPr>
                <w:b/>
                <w:bCs/>
              </w:rPr>
            </w:pPr>
            <w:r w:rsidRPr="00D53A2B">
              <w:rPr>
                <w:b/>
                <w:bCs/>
              </w:rPr>
              <w:t>Fiziksel ayırma</w:t>
            </w:r>
          </w:p>
        </w:tc>
        <w:tc>
          <w:tcPr>
            <w:tcW w:w="7238" w:type="dxa"/>
            <w:tcBorders>
              <w:top w:val="nil"/>
              <w:left w:val="nil"/>
              <w:bottom w:val="single" w:sz="4" w:space="0" w:color="auto"/>
              <w:right w:val="single" w:sz="4" w:space="0" w:color="auto"/>
            </w:tcBorders>
            <w:shd w:val="clear" w:color="auto" w:fill="auto"/>
            <w:noWrap/>
            <w:vAlign w:val="bottom"/>
            <w:hideMark/>
          </w:tcPr>
          <w:p w14:paraId="325B48D9" w14:textId="1059F334" w:rsidR="0007690F" w:rsidRPr="00D53A2B" w:rsidRDefault="0007690F" w:rsidP="00A202FD">
            <w:pPr>
              <w:widowControl w:val="0"/>
              <w:spacing w:after="240" w:line="276" w:lineRule="auto"/>
              <w:ind w:firstLine="1"/>
              <w:contextualSpacing/>
              <w:jc w:val="both"/>
            </w:pPr>
            <w:r w:rsidRPr="00D53A2B">
              <w:t xml:space="preserve">Atıksudan iri katı maddelerin, askıda katı maddelerin, metal parçacıkların ayrılması, örneğin ekranlar, elekler, kum </w:t>
            </w:r>
            <w:r w:rsidR="008D07F8">
              <w:t>tutucu</w:t>
            </w:r>
            <w:r w:rsidRPr="00D53A2B">
              <w:t>lar, yağ ayırıcılar, hidrosiklonlar, yağ-su ayırma veya birincil yerleşim tankları kullanılarak yapılır.</w:t>
            </w:r>
          </w:p>
        </w:tc>
      </w:tr>
      <w:tr w:rsidR="0007690F" w:rsidRPr="00D53A2B" w14:paraId="779CE017"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5D7A59DE" w14:textId="77777777" w:rsidR="0007690F" w:rsidRPr="00D53A2B" w:rsidRDefault="0007690F" w:rsidP="00A202FD">
            <w:pPr>
              <w:widowControl w:val="0"/>
              <w:spacing w:after="240" w:line="276" w:lineRule="auto"/>
              <w:ind w:firstLine="1"/>
              <w:contextualSpacing/>
              <w:jc w:val="both"/>
              <w:rPr>
                <w:b/>
                <w:bCs/>
              </w:rPr>
            </w:pPr>
            <w:r w:rsidRPr="00D53A2B">
              <w:rPr>
                <w:b/>
                <w:bCs/>
              </w:rPr>
              <w:t>Ters osmoz</w:t>
            </w:r>
          </w:p>
        </w:tc>
        <w:tc>
          <w:tcPr>
            <w:tcW w:w="7238" w:type="dxa"/>
            <w:tcBorders>
              <w:top w:val="nil"/>
              <w:left w:val="nil"/>
              <w:bottom w:val="single" w:sz="4" w:space="0" w:color="auto"/>
              <w:right w:val="single" w:sz="4" w:space="0" w:color="auto"/>
            </w:tcBorders>
            <w:shd w:val="clear" w:color="auto" w:fill="auto"/>
            <w:noWrap/>
            <w:vAlign w:val="bottom"/>
            <w:hideMark/>
          </w:tcPr>
          <w:p w14:paraId="39D6919C" w14:textId="77777777" w:rsidR="0007690F" w:rsidRPr="00D53A2B" w:rsidRDefault="0007690F" w:rsidP="00A202FD">
            <w:pPr>
              <w:widowControl w:val="0"/>
              <w:spacing w:after="240" w:line="276" w:lineRule="auto"/>
              <w:ind w:firstLine="1"/>
              <w:contextualSpacing/>
              <w:jc w:val="both"/>
            </w:pPr>
            <w:r w:rsidRPr="00D53A2B">
              <w:t>Bir basınç farkı uygulanarak, bir membranla ayrılan bölmeler arasında sudan daha yoğun çözeltiden daha az yoğun olana doğru suyun akmasını sağlayan bir membran işlemi.</w:t>
            </w:r>
          </w:p>
        </w:tc>
      </w:tr>
      <w:tr w:rsidR="0007690F" w:rsidRPr="00D53A2B" w14:paraId="6F94F4F4"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584DCB10" w14:textId="77777777" w:rsidR="0007690F" w:rsidRPr="00D53A2B" w:rsidRDefault="0007690F" w:rsidP="00A202FD">
            <w:pPr>
              <w:widowControl w:val="0"/>
              <w:spacing w:after="240" w:line="276" w:lineRule="auto"/>
              <w:ind w:firstLine="1"/>
              <w:contextualSpacing/>
              <w:jc w:val="both"/>
              <w:rPr>
                <w:b/>
                <w:bCs/>
              </w:rPr>
            </w:pPr>
            <w:r w:rsidRPr="00D53A2B">
              <w:rPr>
                <w:b/>
                <w:bCs/>
              </w:rPr>
              <w:t>Sedimentasyon</w:t>
            </w:r>
          </w:p>
        </w:tc>
        <w:tc>
          <w:tcPr>
            <w:tcW w:w="7238" w:type="dxa"/>
            <w:tcBorders>
              <w:top w:val="nil"/>
              <w:left w:val="nil"/>
              <w:bottom w:val="single" w:sz="4" w:space="0" w:color="auto"/>
              <w:right w:val="single" w:sz="4" w:space="0" w:color="auto"/>
            </w:tcBorders>
            <w:shd w:val="clear" w:color="auto" w:fill="auto"/>
            <w:noWrap/>
            <w:vAlign w:val="bottom"/>
            <w:hideMark/>
          </w:tcPr>
          <w:p w14:paraId="3B7416A1" w14:textId="77777777" w:rsidR="0007690F" w:rsidRPr="00D53A2B" w:rsidRDefault="0007690F" w:rsidP="00A202FD">
            <w:pPr>
              <w:widowControl w:val="0"/>
              <w:spacing w:after="240" w:line="276" w:lineRule="auto"/>
              <w:ind w:firstLine="1"/>
              <w:contextualSpacing/>
              <w:jc w:val="both"/>
            </w:pPr>
            <w:r w:rsidRPr="00D53A2B">
              <w:t>Asılı parçacıkların ve askıda maddelerin yerçekimi ile ayrılması.</w:t>
            </w:r>
          </w:p>
        </w:tc>
      </w:tr>
      <w:tr w:rsidR="0007690F" w:rsidRPr="00A202FD" w14:paraId="6EEC7BFC" w14:textId="77777777" w:rsidTr="00507ACB">
        <w:trPr>
          <w:trHeight w:val="320"/>
        </w:trPr>
        <w:tc>
          <w:tcPr>
            <w:tcW w:w="1688" w:type="dxa"/>
            <w:tcBorders>
              <w:top w:val="nil"/>
              <w:left w:val="single" w:sz="4" w:space="0" w:color="auto"/>
              <w:bottom w:val="single" w:sz="4" w:space="0" w:color="auto"/>
              <w:right w:val="single" w:sz="4" w:space="0" w:color="auto"/>
            </w:tcBorders>
            <w:shd w:val="clear" w:color="auto" w:fill="auto"/>
            <w:noWrap/>
            <w:vAlign w:val="bottom"/>
            <w:hideMark/>
          </w:tcPr>
          <w:p w14:paraId="40862602" w14:textId="77777777" w:rsidR="0007690F" w:rsidRPr="00D53A2B" w:rsidRDefault="0007690F" w:rsidP="00A202FD">
            <w:pPr>
              <w:widowControl w:val="0"/>
              <w:spacing w:after="240" w:line="276" w:lineRule="auto"/>
              <w:ind w:firstLine="1"/>
              <w:contextualSpacing/>
              <w:jc w:val="both"/>
              <w:rPr>
                <w:b/>
                <w:bCs/>
              </w:rPr>
            </w:pPr>
            <w:r w:rsidRPr="00D53A2B">
              <w:rPr>
                <w:b/>
                <w:bCs/>
              </w:rPr>
              <w:t>Su akışlarının ayrılması</w:t>
            </w:r>
          </w:p>
        </w:tc>
        <w:tc>
          <w:tcPr>
            <w:tcW w:w="7238" w:type="dxa"/>
            <w:tcBorders>
              <w:top w:val="nil"/>
              <w:left w:val="nil"/>
              <w:bottom w:val="single" w:sz="4" w:space="0" w:color="auto"/>
              <w:right w:val="single" w:sz="4" w:space="0" w:color="auto"/>
            </w:tcBorders>
            <w:shd w:val="clear" w:color="auto" w:fill="auto"/>
            <w:noWrap/>
            <w:vAlign w:val="bottom"/>
            <w:hideMark/>
          </w:tcPr>
          <w:p w14:paraId="756CEDD2" w14:textId="243564EF" w:rsidR="0007690F" w:rsidRPr="00A202FD" w:rsidRDefault="0007690F" w:rsidP="00A202FD">
            <w:pPr>
              <w:widowControl w:val="0"/>
              <w:spacing w:after="240" w:line="276" w:lineRule="auto"/>
              <w:ind w:firstLine="1"/>
              <w:contextualSpacing/>
              <w:jc w:val="both"/>
            </w:pPr>
            <w:r w:rsidRPr="00D53A2B">
              <w:t xml:space="preserve">Su akışlarının (örneğin yüzeysel yağmur suyu, proses suyu) kirletici içeriği ve gerekli arıtma tekniklerine göre ayrı ayrı toplanması. </w:t>
            </w:r>
            <w:r w:rsidR="003A37F0">
              <w:t>Arıtma</w:t>
            </w:r>
            <w:r w:rsidRPr="00D53A2B">
              <w:t xml:space="preserve"> gerektirmeyen atıksu akışları,</w:t>
            </w:r>
            <w:r w:rsidR="003A37F0">
              <w:t xml:space="preserve"> arıtma</w:t>
            </w:r>
            <w:r w:rsidRPr="00D53A2B">
              <w:t xml:space="preserve"> gerektiren akışlardan ayrılır.</w:t>
            </w:r>
          </w:p>
        </w:tc>
      </w:tr>
    </w:tbl>
    <w:p w14:paraId="015D6591" w14:textId="77777777" w:rsidR="0007690F" w:rsidRPr="00A202FD" w:rsidRDefault="0007690F" w:rsidP="00A202FD">
      <w:pPr>
        <w:widowControl w:val="0"/>
        <w:spacing w:after="240" w:line="276" w:lineRule="auto"/>
        <w:ind w:firstLine="1"/>
        <w:contextualSpacing/>
        <w:jc w:val="both"/>
      </w:pPr>
    </w:p>
    <w:p w14:paraId="6215E066" w14:textId="77777777" w:rsidR="00F40DB1" w:rsidRPr="00A202FD" w:rsidRDefault="00F40DB1" w:rsidP="00A202FD">
      <w:pPr>
        <w:spacing w:after="240"/>
        <w:ind w:firstLine="1"/>
        <w:contextualSpacing/>
        <w:jc w:val="both"/>
      </w:pPr>
    </w:p>
    <w:p w14:paraId="6DBDBD4E" w14:textId="77777777" w:rsidR="00F40DB1" w:rsidRPr="00A202FD" w:rsidRDefault="00F40DB1" w:rsidP="00A202FD">
      <w:pPr>
        <w:tabs>
          <w:tab w:val="left" w:pos="567"/>
        </w:tabs>
        <w:spacing w:after="240"/>
        <w:ind w:left="567" w:hanging="283"/>
        <w:contextualSpacing/>
        <w:jc w:val="both"/>
        <w:rPr>
          <w:b/>
          <w:lang w:eastAsia="en-US"/>
        </w:rPr>
      </w:pPr>
    </w:p>
    <w:sectPr w:rsidR="00F40DB1" w:rsidRPr="00A202FD" w:rsidSect="009077F5">
      <w:type w:val="nextColumn"/>
      <w:pgSz w:w="11906" w:h="16838" w:code="9"/>
      <w:pgMar w:top="1418" w:right="1418" w:bottom="1418" w:left="1418"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2592E" w14:textId="77777777" w:rsidR="0019747C" w:rsidRDefault="0019747C">
      <w:r>
        <w:separator/>
      </w:r>
    </w:p>
  </w:endnote>
  <w:endnote w:type="continuationSeparator" w:id="0">
    <w:p w14:paraId="04F3E759" w14:textId="77777777" w:rsidR="0019747C" w:rsidRDefault="00197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 Antiqua">
    <w:panose1 w:val="02040602050305030304"/>
    <w:charset w:val="A2"/>
    <w:family w:val="roman"/>
    <w:pitch w:val="variable"/>
    <w:sig w:usb0="00000287" w:usb1="00000000" w:usb2="00000000" w:usb3="00000000" w:csb0="0000009F" w:csb1="00000000"/>
  </w:font>
  <w:font w:name="Franklin Gothic Heavy">
    <w:panose1 w:val="020B0903020102020204"/>
    <w:charset w:val="A2"/>
    <w:family w:val="swiss"/>
    <w:pitch w:val="variable"/>
    <w:sig w:usb0="00000287" w:usb1="00000000" w:usb2="00000000" w:usb3="00000000" w:csb0="0000009F" w:csb1="00000000"/>
  </w:font>
  <w:font w:name="Candara">
    <w:panose1 w:val="020E0502030303020204"/>
    <w:charset w:val="A2"/>
    <w:family w:val="swiss"/>
    <w:pitch w:val="variable"/>
    <w:sig w:usb0="A00002EF" w:usb1="4000A44B" w:usb2="00000000" w:usb3="00000000" w:csb0="0000019F" w:csb1="00000000"/>
  </w:font>
  <w:font w:name="Impact">
    <w:panose1 w:val="020B0806030902050204"/>
    <w:charset w:val="A2"/>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entury Schoolbook">
    <w:panose1 w:val="02040604050505020304"/>
    <w:charset w:val="A2"/>
    <w:family w:val="roman"/>
    <w:pitch w:val="variable"/>
    <w:sig w:usb0="00000287" w:usb1="00000000" w:usb2="00000000" w:usb3="00000000" w:csb0="0000009F" w:csb1="00000000"/>
  </w:font>
  <w:font w:name="Sylfaen">
    <w:panose1 w:val="010A0502050306030303"/>
    <w:charset w:val="A2"/>
    <w:family w:val="roman"/>
    <w:pitch w:val="variable"/>
    <w:sig w:usb0="04000687" w:usb1="00000000" w:usb2="00000000" w:usb3="00000000" w:csb0="0000009F" w:csb1="00000000"/>
  </w:font>
  <w:font w:name="Trebuchet MS">
    <w:panose1 w:val="020B0603020202020204"/>
    <w:charset w:val="A2"/>
    <w:family w:val="swiss"/>
    <w:pitch w:val="variable"/>
    <w:sig w:usb0="00000687" w:usb1="00000000" w:usb2="00000000" w:usb3="00000000" w:csb0="0000009F" w:csb1="00000000"/>
  </w:font>
  <w:font w:name="Palatino Linotype">
    <w:panose1 w:val="02040502050505030304"/>
    <w:charset w:val="A2"/>
    <w:family w:val="roman"/>
    <w:pitch w:val="variable"/>
    <w:sig w:usb0="E0000287" w:usb1="40000013" w:usb2="00000000" w:usb3="00000000" w:csb0="0000019F" w:csb1="00000000"/>
  </w:font>
  <w:font w:name="Microsoft Sans Serif">
    <w:panose1 w:val="020B0604020202020204"/>
    <w:charset w:val="A2"/>
    <w:family w:val="swiss"/>
    <w:pitch w:val="variable"/>
    <w:sig w:usb0="E5002EFF" w:usb1="C000605B" w:usb2="00000029" w:usb3="00000000" w:csb0="000101FF" w:csb1="00000000"/>
  </w:font>
  <w:font w:name="Corbel">
    <w:panose1 w:val="020B0503020204020204"/>
    <w:charset w:val="A2"/>
    <w:family w:val="swiss"/>
    <w:pitch w:val="variable"/>
    <w:sig w:usb0="A00002EF" w:usb1="4000A44B" w:usb2="00000000" w:usb3="00000000" w:csb0="0000019F" w:csb1="00000000"/>
  </w:font>
  <w:font w:name="Franklin Gothic Medium">
    <w:panose1 w:val="020B0603020102020204"/>
    <w:charset w:val="A2"/>
    <w:family w:val="swiss"/>
    <w:pitch w:val="variable"/>
    <w:sig w:usb0="00000287" w:usb1="00000000" w:usb2="00000000" w:usb3="00000000" w:csb0="0000009F" w:csb1="00000000"/>
  </w:font>
  <w:font w:name="Constantia">
    <w:panose1 w:val="02030602050306030303"/>
    <w:charset w:val="A2"/>
    <w:family w:val="roman"/>
    <w:pitch w:val="variable"/>
    <w:sig w:usb0="A00002EF" w:usb1="4000204B" w:usb2="00000000" w:usb3="00000000" w:csb0="0000019F" w:csb1="00000000"/>
  </w:font>
  <w:font w:name="Century Gothic">
    <w:panose1 w:val="020B0502020202020204"/>
    <w:charset w:val="A2"/>
    <w:family w:val="swiss"/>
    <w:pitch w:val="variable"/>
    <w:sig w:usb0="000002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Lucida Sans Unicode">
    <w:panose1 w:val="020B0602030504020204"/>
    <w:charset w:val="A2"/>
    <w:family w:val="swiss"/>
    <w:pitch w:val="variable"/>
    <w:sig w:usb0="80000AFF" w:usb1="0000396B" w:usb2="00000000" w:usb3="00000000" w:csb0="000000BF" w:csb1="00000000"/>
  </w:font>
  <w:font w:name="Segoe UI">
    <w:panose1 w:val="020B0502040204020203"/>
    <w:charset w:val="A2"/>
    <w:family w:val="swiss"/>
    <w:pitch w:val="variable"/>
    <w:sig w:usb0="E4002EFF" w:usb1="C000E47F" w:usb2="00000009" w:usb3="00000000" w:csb0="000001FF" w:csb1="00000000"/>
  </w:font>
  <w:font w:name="MinionPro-Bold">
    <w:altName w:val="Cambria"/>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 w:name="TimesNewRomanPSMT">
    <w:altName w:val="MS Mincho"/>
    <w:panose1 w:val="00000000000000000000"/>
    <w:charset w:val="00"/>
    <w:family w:val="roman"/>
    <w:notTrueType/>
    <w:pitch w:val="default"/>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Consolas">
    <w:panose1 w:val="020B0609020204030204"/>
    <w:charset w:val="A2"/>
    <w:family w:val="modern"/>
    <w:pitch w:val="fixed"/>
    <w:sig w:usb0="E00006FF" w:usb1="0000FCFF" w:usb2="00000001" w:usb3="00000000" w:csb0="0000019F" w:csb1="00000000"/>
  </w:font>
  <w:font w:name="Tahoma">
    <w:panose1 w:val="020B0604030504040204"/>
    <w:charset w:val="A2"/>
    <w:family w:val="swiss"/>
    <w:pitch w:val="variable"/>
    <w:sig w:usb0="E1002EFF" w:usb1="C000605B" w:usb2="00000029" w:usb3="00000000" w:csb0="000101FF" w:csb1="00000000"/>
  </w:font>
  <w:font w:name="Futura Book">
    <w:altName w:val="Arial Narrow"/>
    <w:panose1 w:val="00000000000000000000"/>
    <w:charset w:val="00"/>
    <w:family w:val="swiss"/>
    <w:notTrueType/>
    <w:pitch w:val="default"/>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Garamond">
    <w:panose1 w:val="02020404030301010803"/>
    <w:charset w:val="A2"/>
    <w:family w:val="roman"/>
    <w:pitch w:val="variable"/>
    <w:sig w:usb0="00000287" w:usb1="00000000" w:usb2="00000000" w:usb3="00000000" w:csb0="0000009F" w:csb1="00000000"/>
  </w:font>
  <w:font w:name="TimesNewRomanPS-BoldItalicMT">
    <w:altName w:val="Times New Roman"/>
    <w:charset w:val="00"/>
    <w:family w:val="roman"/>
    <w:pitch w:val="variable"/>
  </w:font>
  <w:font w:name="DengXian Light">
    <w:charset w:val="86"/>
    <w:family w:val="auto"/>
    <w:pitch w:val="variable"/>
    <w:sig w:usb0="A00002BF" w:usb1="38CF7CFA" w:usb2="00000016" w:usb3="00000000" w:csb0="0004000F" w:csb1="00000000"/>
  </w:font>
  <w:font w:name="Cambria Math">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9EF93" w14:textId="77777777" w:rsidR="0019747C" w:rsidRDefault="0019747C">
      <w:r>
        <w:separator/>
      </w:r>
    </w:p>
  </w:footnote>
  <w:footnote w:type="continuationSeparator" w:id="0">
    <w:p w14:paraId="2A078C80" w14:textId="77777777" w:rsidR="0019747C" w:rsidRDefault="00197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C3EAE" w14:textId="77777777" w:rsidR="00FA43E3" w:rsidRPr="009F576A" w:rsidRDefault="00FA43E3" w:rsidP="009F576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C356A" w14:textId="77777777" w:rsidR="00FA43E3" w:rsidRDefault="00FA43E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8FE8934"/>
    <w:lvl w:ilvl="0">
      <w:start w:val="1"/>
      <w:numFmt w:val="decimal"/>
      <w:pStyle w:val="ListeNumaras5"/>
      <w:lvlText w:val="%1."/>
      <w:lvlJc w:val="left"/>
      <w:pPr>
        <w:tabs>
          <w:tab w:val="num" w:pos="2267"/>
        </w:tabs>
        <w:ind w:left="2267" w:hanging="360"/>
      </w:pPr>
    </w:lvl>
  </w:abstractNum>
  <w:abstractNum w:abstractNumId="1" w15:restartNumberingAfterBreak="0">
    <w:nsid w:val="FFFFFF7D"/>
    <w:multiLevelType w:val="singleLevel"/>
    <w:tmpl w:val="266411F0"/>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0EBC8F96"/>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8FE4BF7A"/>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7B42F186"/>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32256C"/>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DEB27E"/>
    <w:lvl w:ilvl="0">
      <w:start w:val="1"/>
      <w:numFmt w:val="bullet"/>
      <w:pStyle w:val="ListeMadde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86E2BE"/>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289016"/>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06BEFD10"/>
    <w:lvl w:ilvl="0">
      <w:start w:val="1"/>
      <w:numFmt w:val="bullet"/>
      <w:pStyle w:val="ListeMaddemi"/>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E02142"/>
    <w:lvl w:ilvl="0">
      <w:start w:val="1"/>
      <w:numFmt w:val="decimal"/>
      <w:lvlText w:val="/%1"/>
      <w:lvlJc w:val="left"/>
      <w:pPr>
        <w:tabs>
          <w:tab w:val="num" w:pos="360"/>
        </w:tabs>
        <w:ind w:left="360" w:hanging="360"/>
      </w:pPr>
      <w:rPr>
        <w:rFonts w:hint="default"/>
        <w:color w:val="auto"/>
        <w:sz w:val="24"/>
      </w:rPr>
    </w:lvl>
    <w:lvl w:ilvl="1">
      <w:start w:val="1"/>
      <w:numFmt w:val="decimal"/>
      <w:lvlText w:val="/%2"/>
      <w:lvlJc w:val="left"/>
      <w:pPr>
        <w:tabs>
          <w:tab w:val="num" w:pos="720"/>
        </w:tabs>
        <w:ind w:left="720" w:hanging="360"/>
      </w:pPr>
      <w:rPr>
        <w:rFonts w:hint="default"/>
      </w:rPr>
    </w:lvl>
    <w:lvl w:ilvl="2">
      <w:start w:val="1"/>
      <w:numFmt w:val="lowerRoman"/>
      <w:lvlRestart w:val="0"/>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pStyle w:val="StyleHeading5Left0Firstline0"/>
      <w:lvlText w:val="/%5"/>
      <w:lvlJc w:val="left"/>
      <w:pPr>
        <w:tabs>
          <w:tab w:val="num" w:pos="1440"/>
        </w:tabs>
        <w:ind w:left="2016" w:hanging="576"/>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0000001"/>
    <w:multiLevelType w:val="hybridMultilevel"/>
    <w:tmpl w:val="7975E8EE"/>
    <w:lvl w:ilvl="0" w:tplc="FFFFFFFF">
      <w:numFmt w:val="none"/>
      <w:lvlText w:val=""/>
      <w:lvlJc w:val="left"/>
      <w:pPr>
        <w:tabs>
          <w:tab w:val="num" w:pos="360"/>
        </w:tabs>
      </w:pPr>
    </w:lvl>
    <w:lvl w:ilvl="1" w:tplc="FFFFFFFF">
      <w:numFmt w:val="none"/>
      <w:lvlText w:val=""/>
      <w:lvlJc w:val="left"/>
      <w:pPr>
        <w:tabs>
          <w:tab w:val="num" w:pos="360"/>
        </w:tabs>
      </w:pPr>
    </w:lvl>
    <w:lvl w:ilvl="2" w:tplc="FFFFFFFF">
      <w:numFmt w:val="decimal"/>
      <w:lvlText w:val=""/>
      <w:lvlJc w:val="left"/>
    </w:lvl>
    <w:lvl w:ilvl="3" w:tplc="FFFFFFFF">
      <w:numFmt w:val="none"/>
      <w:lvlText w:val=""/>
      <w:lvlJc w:val="left"/>
      <w:pPr>
        <w:tabs>
          <w:tab w:val="num" w:pos="360"/>
        </w:tabs>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201"/>
    <w:multiLevelType w:val="multilevel"/>
    <w:tmpl w:val="00000200"/>
    <w:styleLink w:val="01FirstBullets1"/>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3" w15:restartNumberingAfterBreak="0">
    <w:nsid w:val="00000205"/>
    <w:multiLevelType w:val="multilevel"/>
    <w:tmpl w:val="00000204"/>
    <w:styleLink w:val="02SecondBullets1"/>
    <w:lvl w:ilvl="0">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1">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2">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3">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4">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5">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6">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7">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8">
      <w:start w:val="1"/>
      <w:numFmt w:val="decimal"/>
      <w:lvlText w:val="9.%1"/>
      <w:lvlJc w:val="left"/>
      <w:rPr>
        <w:rFonts w:ascii="Arial" w:hAnsi="Arial" w:cs="Arial"/>
        <w:b/>
        <w:bCs/>
        <w:i w:val="0"/>
        <w:iCs w:val="0"/>
        <w:smallCaps w:val="0"/>
        <w:strike w:val="0"/>
        <w:color w:val="000000"/>
        <w:spacing w:val="0"/>
        <w:w w:val="100"/>
        <w:position w:val="0"/>
        <w:sz w:val="27"/>
        <w:szCs w:val="27"/>
        <w:u w:val="none"/>
      </w:rPr>
    </w:lvl>
  </w:abstractNum>
  <w:abstractNum w:abstractNumId="14" w15:restartNumberingAfterBreak="0">
    <w:nsid w:val="0000020B"/>
    <w:multiLevelType w:val="multilevel"/>
    <w:tmpl w:val="0000020A"/>
    <w:styleLink w:val="03ThirdBullet1"/>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5" w15:restartNumberingAfterBreak="0">
    <w:nsid w:val="0000020D"/>
    <w:multiLevelType w:val="multilevel"/>
    <w:tmpl w:val="0000020C"/>
    <w:styleLink w:val="1111111"/>
    <w:lvl w:ilvl="0">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6" w15:restartNumberingAfterBreak="0">
    <w:nsid w:val="00000211"/>
    <w:multiLevelType w:val="multilevel"/>
    <w:tmpl w:val="00000210"/>
    <w:styleLink w:val="Letterlist1"/>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7" w15:restartNumberingAfterBreak="0">
    <w:nsid w:val="00000231"/>
    <w:multiLevelType w:val="multilevel"/>
    <w:tmpl w:val="00000230"/>
    <w:styleLink w:val="01FirstBullets2"/>
    <w:lvl w:ilvl="0">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1">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2">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3">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4">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5">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6">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7">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8">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abstractNum>
  <w:abstractNum w:abstractNumId="18" w15:restartNumberingAfterBreak="0">
    <w:nsid w:val="00000233"/>
    <w:multiLevelType w:val="multilevel"/>
    <w:tmpl w:val="00000232"/>
    <w:styleLink w:val="02SecondBullets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9" w15:restartNumberingAfterBreak="0">
    <w:nsid w:val="00000235"/>
    <w:multiLevelType w:val="multilevel"/>
    <w:tmpl w:val="00000234"/>
    <w:styleLink w:val="03ThirdBullet2"/>
    <w:lvl w:ilvl="0">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0" w15:restartNumberingAfterBreak="0">
    <w:nsid w:val="00000237"/>
    <w:multiLevelType w:val="multilevel"/>
    <w:tmpl w:val="00000236"/>
    <w:styleLink w:val="111111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1" w15:restartNumberingAfterBreak="0">
    <w:nsid w:val="00000239"/>
    <w:multiLevelType w:val="multilevel"/>
    <w:tmpl w:val="00000238"/>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2" w15:restartNumberingAfterBreak="0">
    <w:nsid w:val="0000023B"/>
    <w:multiLevelType w:val="multilevel"/>
    <w:tmpl w:val="0000023A"/>
    <w:styleLink w:val="Letterlist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3" w15:restartNumberingAfterBreak="0">
    <w:nsid w:val="0000023D"/>
    <w:multiLevelType w:val="multilevel"/>
    <w:tmpl w:val="0000023C"/>
    <w:styleLink w:val="StyleNumbered1"/>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4" w15:restartNumberingAfterBreak="0">
    <w:nsid w:val="00000247"/>
    <w:multiLevelType w:val="multilevel"/>
    <w:tmpl w:val="00000246"/>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5" w15:restartNumberingAfterBreak="0">
    <w:nsid w:val="00000259"/>
    <w:multiLevelType w:val="multilevel"/>
    <w:tmpl w:val="00000258"/>
    <w:styleLink w:val="Numberlist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6" w15:restartNumberingAfterBreak="0">
    <w:nsid w:val="00000265"/>
    <w:multiLevelType w:val="multilevel"/>
    <w:tmpl w:val="00000264"/>
    <w:styleLink w:val="StyleNumbered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7" w15:restartNumberingAfterBreak="0">
    <w:nsid w:val="026F0476"/>
    <w:multiLevelType w:val="hybridMultilevel"/>
    <w:tmpl w:val="85AA559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27E3D34"/>
    <w:multiLevelType w:val="hybridMultilevel"/>
    <w:tmpl w:val="E12AAE7C"/>
    <w:lvl w:ilvl="0" w:tplc="77F2FF1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02CB5BBC"/>
    <w:multiLevelType w:val="hybridMultilevel"/>
    <w:tmpl w:val="8174D16C"/>
    <w:lvl w:ilvl="0" w:tplc="4992FBB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02EF4129"/>
    <w:multiLevelType w:val="multilevel"/>
    <w:tmpl w:val="267A69F2"/>
    <w:styleLink w:val="GeerliListe16"/>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03CB2770"/>
    <w:multiLevelType w:val="hybridMultilevel"/>
    <w:tmpl w:val="D5CC6C60"/>
    <w:lvl w:ilvl="0" w:tplc="041F0017">
      <w:start w:val="1"/>
      <w:numFmt w:val="lowerLetter"/>
      <w:lvlText w:val="%1)"/>
      <w:lvlJc w:val="left"/>
      <w:pPr>
        <w:ind w:left="1146" w:hanging="360"/>
      </w:p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2" w15:restartNumberingAfterBreak="0">
    <w:nsid w:val="03F035B7"/>
    <w:multiLevelType w:val="hybridMultilevel"/>
    <w:tmpl w:val="F8A69D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04444628"/>
    <w:multiLevelType w:val="hybridMultilevel"/>
    <w:tmpl w:val="5C00D05C"/>
    <w:lvl w:ilvl="0" w:tplc="A93CEC60">
      <w:numFmt w:val="bullet"/>
      <w:lvlText w:val="-"/>
      <w:lvlJc w:val="left"/>
      <w:pPr>
        <w:ind w:left="720" w:hanging="360"/>
      </w:pPr>
      <w:rPr>
        <w:rFonts w:ascii="Times New Roman" w:eastAsia="Times New Roman" w:hAnsi="Times New Roman" w:cs="Times New Roman" w:hint="default"/>
        <w:b/>
        <w:bCs/>
        <w:i w:val="0"/>
        <w:iCs w:val="0"/>
        <w:w w:val="100"/>
        <w:sz w:val="22"/>
        <w:szCs w:val="22"/>
        <w:lang w:val="en-US"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0447599D"/>
    <w:multiLevelType w:val="multilevel"/>
    <w:tmpl w:val="2E8E6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4817E9B"/>
    <w:multiLevelType w:val="hybridMultilevel"/>
    <w:tmpl w:val="1B2CD99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052E5C54"/>
    <w:multiLevelType w:val="multilevel"/>
    <w:tmpl w:val="389E8C58"/>
    <w:styleLink w:val="Letterlist"/>
    <w:lvl w:ilvl="0">
      <w:start w:val="1"/>
      <w:numFmt w:val="lowerLetter"/>
      <w:lvlText w:val="%1."/>
      <w:lvlJc w:val="left"/>
      <w:pPr>
        <w:tabs>
          <w:tab w:val="num" w:pos="567"/>
        </w:tabs>
        <w:ind w:left="567" w:hanging="567"/>
      </w:pPr>
      <w:rPr>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054733E6"/>
    <w:multiLevelType w:val="multilevel"/>
    <w:tmpl w:val="18F25B9C"/>
    <w:styleLink w:val="GeerliListe12"/>
    <w:lvl w:ilvl="0">
      <w:start w:val="1"/>
      <w:numFmt w:val="upperRoman"/>
      <w:lvlText w:val="%1."/>
      <w:lvlJc w:val="left"/>
      <w:pPr>
        <w:ind w:left="740" w:hanging="360"/>
      </w:pPr>
      <w:rPr>
        <w:rFonts w:hint="default"/>
      </w:r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38" w15:restartNumberingAfterBreak="0">
    <w:nsid w:val="057919C3"/>
    <w:multiLevelType w:val="hybridMultilevel"/>
    <w:tmpl w:val="ED5A3C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057E50A2"/>
    <w:multiLevelType w:val="hybridMultilevel"/>
    <w:tmpl w:val="9EFEDCD6"/>
    <w:lvl w:ilvl="0" w:tplc="2BC8011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05EE22BB"/>
    <w:multiLevelType w:val="hybridMultilevel"/>
    <w:tmpl w:val="1E90CFF6"/>
    <w:lvl w:ilvl="0" w:tplc="428C5B2C">
      <w:start w:val="1"/>
      <w:numFmt w:val="upperRoman"/>
      <w:pStyle w:val="Latinnumaralandrma"/>
      <w:lvlText w:val="%1."/>
      <w:lvlJc w:val="righ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41" w15:restartNumberingAfterBreak="0">
    <w:nsid w:val="06BD2A63"/>
    <w:multiLevelType w:val="hybridMultilevel"/>
    <w:tmpl w:val="F754DE4E"/>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076C6BC4"/>
    <w:multiLevelType w:val="hybridMultilevel"/>
    <w:tmpl w:val="B658DE2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07B01633"/>
    <w:multiLevelType w:val="multilevel"/>
    <w:tmpl w:val="145C55A8"/>
    <w:styleLink w:val="GeerliListe4"/>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07F1663A"/>
    <w:multiLevelType w:val="hybridMultilevel"/>
    <w:tmpl w:val="15D63AEC"/>
    <w:lvl w:ilvl="0" w:tplc="041F0001">
      <w:start w:val="1"/>
      <w:numFmt w:val="bullet"/>
      <w:lvlText w:val=""/>
      <w:lvlJc w:val="left"/>
      <w:pPr>
        <w:ind w:left="1145" w:hanging="360"/>
      </w:pPr>
      <w:rPr>
        <w:rFonts w:ascii="Symbol" w:hAnsi="Symbol"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45" w15:restartNumberingAfterBreak="0">
    <w:nsid w:val="096930F7"/>
    <w:multiLevelType w:val="multilevel"/>
    <w:tmpl w:val="90F21A16"/>
    <w:lvl w:ilvl="0">
      <w:start w:val="1"/>
      <w:numFmt w:val="decimal"/>
      <w:lvlText w:val="%1"/>
      <w:lvlJc w:val="left"/>
      <w:pPr>
        <w:ind w:left="567" w:hanging="567"/>
      </w:pPr>
      <w:rPr>
        <w:rFonts w:ascii="Arial" w:hAnsi="Arial" w:hint="default"/>
        <w:b/>
        <w:i w:val="0"/>
        <w:caps w:val="0"/>
        <w:strike w:val="0"/>
        <w:dstrike w:val="0"/>
        <w:vanish w:val="0"/>
        <w:sz w:val="28"/>
        <w:vertAlign w:val="baseline"/>
      </w:rPr>
    </w:lvl>
    <w:lvl w:ilvl="1">
      <w:start w:val="1"/>
      <w:numFmt w:val="decimal"/>
      <w:lvlText w:val="%1.%2"/>
      <w:lvlJc w:val="left"/>
      <w:pPr>
        <w:ind w:left="851" w:hanging="851"/>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ascii="Arial" w:hAnsi="Arial" w:hint="default"/>
        <w:b/>
        <w:i w:val="0"/>
        <w:sz w:val="22"/>
      </w:rPr>
    </w:lvl>
    <w:lvl w:ilvl="4">
      <w:start w:val="1"/>
      <w:numFmt w:val="decimal"/>
      <w:lvlText w:val="%1.%2.%3.%4.%5"/>
      <w:lvlJc w:val="left"/>
      <w:pPr>
        <w:ind w:left="1134" w:hanging="1134"/>
      </w:pPr>
      <w:rPr>
        <w:rFonts w:ascii="Arial" w:hAnsi="Arial" w:hint="default"/>
        <w:b/>
        <w:i w:val="0"/>
        <w:sz w:val="20"/>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ascii="Arial" w:hAnsi="Arial" w:cs="Arial" w:hint="default"/>
        <w:sz w:val="20"/>
      </w:rPr>
    </w:lvl>
    <w:lvl w:ilvl="7">
      <w:start w:val="1"/>
      <w:numFmt w:val="decimal"/>
      <w:pStyle w:val="Balk8"/>
      <w:lvlText w:val="%1.%2.%3.%4.%5.%6.%7.%8"/>
      <w:lvlJc w:val="left"/>
      <w:pPr>
        <w:ind w:left="1701" w:hanging="1701"/>
      </w:pPr>
      <w:rPr>
        <w:rFonts w:hint="default"/>
      </w:rPr>
    </w:lvl>
    <w:lvl w:ilvl="8">
      <w:start w:val="1"/>
      <w:numFmt w:val="decimal"/>
      <w:pStyle w:val="Balk9"/>
      <w:lvlText w:val="%1.%2.%3.%4.%5.%6.%7.%8.%9"/>
      <w:lvlJc w:val="left"/>
      <w:pPr>
        <w:ind w:left="1701" w:hanging="1701"/>
      </w:pPr>
      <w:rPr>
        <w:rFonts w:hint="default"/>
      </w:rPr>
    </w:lvl>
  </w:abstractNum>
  <w:abstractNum w:abstractNumId="46" w15:restartNumberingAfterBreak="0">
    <w:nsid w:val="0A186117"/>
    <w:multiLevelType w:val="hybridMultilevel"/>
    <w:tmpl w:val="332A1B08"/>
    <w:lvl w:ilvl="0" w:tplc="65D4DD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0A4E025B"/>
    <w:multiLevelType w:val="hybridMultilevel"/>
    <w:tmpl w:val="560436CA"/>
    <w:lvl w:ilvl="0" w:tplc="06869B6E">
      <w:start w:val="1"/>
      <w:numFmt w:val="lowerRoman"/>
      <w:lvlText w:val="%1."/>
      <w:lvlJc w:val="left"/>
      <w:pPr>
        <w:ind w:left="1800" w:hanging="72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8" w15:restartNumberingAfterBreak="0">
    <w:nsid w:val="0A6A3453"/>
    <w:multiLevelType w:val="hybridMultilevel"/>
    <w:tmpl w:val="1C24F3E6"/>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0AB9059D"/>
    <w:multiLevelType w:val="multilevel"/>
    <w:tmpl w:val="F348D1E8"/>
    <w:styleLink w:val="GeerliListe10"/>
    <w:lvl w:ilvl="0">
      <w:start w:val="1"/>
      <w:numFmt w:val="upperRoman"/>
      <w:lvlText w:val="%1."/>
      <w:lvlJc w:val="righ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0AD42797"/>
    <w:multiLevelType w:val="hybridMultilevel"/>
    <w:tmpl w:val="F36E8768"/>
    <w:lvl w:ilvl="0" w:tplc="A93CEC60">
      <w:numFmt w:val="bullet"/>
      <w:lvlText w:val="-"/>
      <w:lvlJc w:val="left"/>
      <w:pPr>
        <w:ind w:left="1440" w:hanging="360"/>
      </w:pPr>
      <w:rPr>
        <w:rFonts w:ascii="Times New Roman" w:eastAsia="Times New Roman" w:hAnsi="Times New Roman" w:cs="Times New Roman" w:hint="default"/>
        <w:b/>
        <w:bCs/>
        <w:i w:val="0"/>
        <w:iCs w:val="0"/>
        <w:w w:val="100"/>
        <w:sz w:val="22"/>
        <w:szCs w:val="22"/>
        <w:lang w:val="en-US" w:eastAsia="en-US" w:bidi="ar-SA"/>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1" w15:restartNumberingAfterBreak="0">
    <w:nsid w:val="0B2A09E9"/>
    <w:multiLevelType w:val="multilevel"/>
    <w:tmpl w:val="6706E80C"/>
    <w:styleLink w:val="GeerliListe5"/>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0BDA67AF"/>
    <w:multiLevelType w:val="hybridMultilevel"/>
    <w:tmpl w:val="AC1C53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0BDB0338"/>
    <w:multiLevelType w:val="hybridMultilevel"/>
    <w:tmpl w:val="4874FF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0C1D6D96"/>
    <w:multiLevelType w:val="multilevel"/>
    <w:tmpl w:val="F858CC6A"/>
    <w:lvl w:ilvl="0">
      <w:start w:val="6"/>
      <w:numFmt w:val="bullet"/>
      <w:lvlText w:val="—"/>
      <w:lvlJc w:val="left"/>
      <w:pPr>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C2F238A"/>
    <w:multiLevelType w:val="hybridMultilevel"/>
    <w:tmpl w:val="5172D2B2"/>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0C5961CB"/>
    <w:multiLevelType w:val="hybridMultilevel"/>
    <w:tmpl w:val="5F0E26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0C75222F"/>
    <w:multiLevelType w:val="hybridMultilevel"/>
    <w:tmpl w:val="FFC009D2"/>
    <w:lvl w:ilvl="0" w:tplc="041F0017">
      <w:start w:val="1"/>
      <w:numFmt w:val="lowerLetter"/>
      <w:lvlText w:val="%1)"/>
      <w:lvlJc w:val="left"/>
      <w:pPr>
        <w:ind w:left="720" w:hanging="360"/>
      </w:pPr>
    </w:lvl>
    <w:lvl w:ilvl="1" w:tplc="FFFFFFFF">
      <w:numFmt w:val="none"/>
      <w:lvlText w:val=""/>
      <w:lvlJc w:val="left"/>
      <w:pPr>
        <w:tabs>
          <w:tab w:val="num" w:pos="360"/>
        </w:tabs>
      </w:pPr>
    </w:lvl>
    <w:lvl w:ilvl="2" w:tplc="FFFFFFFF">
      <w:numFmt w:val="decimal"/>
      <w:lvlText w:val=""/>
      <w:lvlJc w:val="left"/>
    </w:lvl>
    <w:lvl w:ilvl="3" w:tplc="FFFFFFFF">
      <w:numFmt w:val="none"/>
      <w:lvlText w:val=""/>
      <w:lvlJc w:val="left"/>
      <w:pPr>
        <w:tabs>
          <w:tab w:val="num" w:pos="360"/>
        </w:tabs>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15:restartNumberingAfterBreak="0">
    <w:nsid w:val="0D400379"/>
    <w:multiLevelType w:val="hybridMultilevel"/>
    <w:tmpl w:val="B762B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0D6C201E"/>
    <w:multiLevelType w:val="hybridMultilevel"/>
    <w:tmpl w:val="CCD483BC"/>
    <w:lvl w:ilvl="0" w:tplc="A93CEC60">
      <w:numFmt w:val="bullet"/>
      <w:lvlText w:val="-"/>
      <w:lvlJc w:val="left"/>
      <w:pPr>
        <w:ind w:left="720" w:hanging="360"/>
      </w:pPr>
      <w:rPr>
        <w:rFonts w:ascii="Times New Roman" w:eastAsia="Times New Roman" w:hAnsi="Times New Roman" w:cs="Times New Roman" w:hint="default"/>
        <w:b/>
        <w:bCs/>
        <w:i w:val="0"/>
        <w:iCs w:val="0"/>
        <w:w w:val="100"/>
        <w:sz w:val="22"/>
        <w:szCs w:val="22"/>
        <w:lang w:val="en-US"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0E046EE9"/>
    <w:multiLevelType w:val="hybridMultilevel"/>
    <w:tmpl w:val="415E1FB0"/>
    <w:lvl w:ilvl="0" w:tplc="4004692C">
      <w:start w:val="1"/>
      <w:numFmt w:val="lowerLetter"/>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1" w15:restartNumberingAfterBreak="0">
    <w:nsid w:val="0E49419C"/>
    <w:multiLevelType w:val="hybridMultilevel"/>
    <w:tmpl w:val="8B92EA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15:restartNumberingAfterBreak="0">
    <w:nsid w:val="0E562F76"/>
    <w:multiLevelType w:val="hybridMultilevel"/>
    <w:tmpl w:val="13201D0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3" w15:restartNumberingAfterBreak="0">
    <w:nsid w:val="10012FCE"/>
    <w:multiLevelType w:val="multilevel"/>
    <w:tmpl w:val="9D2875D4"/>
    <w:styleLink w:val="GeerliListe6"/>
    <w:lvl w:ilvl="0">
      <w:start w:val="1"/>
      <w:numFmt w:val="lowerRoman"/>
      <w:lvlText w:val="%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10177438"/>
    <w:multiLevelType w:val="hybridMultilevel"/>
    <w:tmpl w:val="970E89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5" w15:restartNumberingAfterBreak="0">
    <w:nsid w:val="1148215D"/>
    <w:multiLevelType w:val="hybridMultilevel"/>
    <w:tmpl w:val="7F186196"/>
    <w:lvl w:ilvl="0" w:tplc="041F0001">
      <w:start w:val="1"/>
      <w:numFmt w:val="bullet"/>
      <w:lvlText w:val=""/>
      <w:lvlJc w:val="left"/>
      <w:pPr>
        <w:tabs>
          <w:tab w:val="num" w:pos="360"/>
        </w:tabs>
      </w:pPr>
      <w:rPr>
        <w:rFonts w:ascii="Symbol" w:hAnsi="Symbol" w:hint="default"/>
      </w:rPr>
    </w:lvl>
    <w:lvl w:ilvl="1" w:tplc="FFFFFFFF">
      <w:numFmt w:val="none"/>
      <w:lvlText w:val=""/>
      <w:lvlJc w:val="left"/>
      <w:pPr>
        <w:tabs>
          <w:tab w:val="num" w:pos="360"/>
        </w:tabs>
      </w:pPr>
    </w:lvl>
    <w:lvl w:ilvl="2" w:tplc="FFFFFFFF">
      <w:numFmt w:val="decimal"/>
      <w:lvlText w:val=""/>
      <w:lvlJc w:val="left"/>
    </w:lvl>
    <w:lvl w:ilvl="3" w:tplc="FFFFFFFF">
      <w:numFmt w:val="none"/>
      <w:lvlText w:val=""/>
      <w:lvlJc w:val="left"/>
      <w:pPr>
        <w:tabs>
          <w:tab w:val="num" w:pos="360"/>
        </w:tabs>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15:restartNumberingAfterBreak="0">
    <w:nsid w:val="114A694A"/>
    <w:multiLevelType w:val="hybridMultilevel"/>
    <w:tmpl w:val="F46C58E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7" w15:restartNumberingAfterBreak="0">
    <w:nsid w:val="11D426C1"/>
    <w:multiLevelType w:val="hybridMultilevel"/>
    <w:tmpl w:val="E0A83F7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8" w15:restartNumberingAfterBreak="0">
    <w:nsid w:val="11D72708"/>
    <w:multiLevelType w:val="hybridMultilevel"/>
    <w:tmpl w:val="824E4B94"/>
    <w:lvl w:ilvl="0" w:tplc="C486F35E">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9" w15:restartNumberingAfterBreak="0">
    <w:nsid w:val="120635E2"/>
    <w:multiLevelType w:val="hybridMultilevel"/>
    <w:tmpl w:val="BB9CCC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0" w15:restartNumberingAfterBreak="0">
    <w:nsid w:val="12283DE6"/>
    <w:multiLevelType w:val="hybridMultilevel"/>
    <w:tmpl w:val="B5A2AB82"/>
    <w:lvl w:ilvl="0" w:tplc="FB50D7E6">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1" w15:restartNumberingAfterBreak="0">
    <w:nsid w:val="13083EC9"/>
    <w:multiLevelType w:val="hybridMultilevel"/>
    <w:tmpl w:val="CD1E8FF6"/>
    <w:lvl w:ilvl="0" w:tplc="FB50D7E6">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2" w15:restartNumberingAfterBreak="0">
    <w:nsid w:val="143151A7"/>
    <w:multiLevelType w:val="hybridMultilevel"/>
    <w:tmpl w:val="51CC5272"/>
    <w:lvl w:ilvl="0" w:tplc="86364022">
      <w:start w:val="1"/>
      <w:numFmt w:val="bullet"/>
      <w:lvlText w:val="−"/>
      <w:lvlJc w:val="left"/>
      <w:pPr>
        <w:ind w:left="720" w:hanging="360"/>
      </w:pPr>
      <w:rPr>
        <w:rFonts w:ascii="Arial" w:eastAsia="Arial"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3" w15:restartNumberingAfterBreak="0">
    <w:nsid w:val="14621521"/>
    <w:multiLevelType w:val="hybridMultilevel"/>
    <w:tmpl w:val="60E010E8"/>
    <w:lvl w:ilvl="0" w:tplc="93DA878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4" w15:restartNumberingAfterBreak="0">
    <w:nsid w:val="15E34966"/>
    <w:multiLevelType w:val="hybridMultilevel"/>
    <w:tmpl w:val="1088B7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5" w15:restartNumberingAfterBreak="0">
    <w:nsid w:val="16137C84"/>
    <w:multiLevelType w:val="hybridMultilevel"/>
    <w:tmpl w:val="68223778"/>
    <w:lvl w:ilvl="0" w:tplc="7AACA66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6" w15:restartNumberingAfterBreak="0">
    <w:nsid w:val="16770C45"/>
    <w:multiLevelType w:val="hybridMultilevel"/>
    <w:tmpl w:val="BBFAE378"/>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7" w15:restartNumberingAfterBreak="0">
    <w:nsid w:val="167F3C8A"/>
    <w:multiLevelType w:val="hybridMultilevel"/>
    <w:tmpl w:val="633417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8" w15:restartNumberingAfterBreak="0">
    <w:nsid w:val="169044C3"/>
    <w:multiLevelType w:val="hybridMultilevel"/>
    <w:tmpl w:val="453C8DA8"/>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9" w15:restartNumberingAfterBreak="0">
    <w:nsid w:val="171124B9"/>
    <w:multiLevelType w:val="multilevel"/>
    <w:tmpl w:val="02D63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7DD2AC6"/>
    <w:multiLevelType w:val="hybridMultilevel"/>
    <w:tmpl w:val="FC468C1C"/>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1" w15:restartNumberingAfterBreak="0">
    <w:nsid w:val="17EF6B60"/>
    <w:multiLevelType w:val="hybridMultilevel"/>
    <w:tmpl w:val="3DFC4E0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2" w15:restartNumberingAfterBreak="0">
    <w:nsid w:val="18E9633C"/>
    <w:multiLevelType w:val="hybridMultilevel"/>
    <w:tmpl w:val="140A4846"/>
    <w:lvl w:ilvl="0" w:tplc="0F987ABC">
      <w:start w:val="1"/>
      <w:numFmt w:val="upperRoman"/>
      <w:lvlText w:val="%1."/>
      <w:lvlJc w:val="left"/>
      <w:pPr>
        <w:ind w:left="1080" w:hanging="72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19917EDC"/>
    <w:multiLevelType w:val="hybridMultilevel"/>
    <w:tmpl w:val="1B584EEC"/>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84" w15:restartNumberingAfterBreak="0">
    <w:nsid w:val="19E35CC4"/>
    <w:multiLevelType w:val="hybridMultilevel"/>
    <w:tmpl w:val="CAACB2EA"/>
    <w:lvl w:ilvl="0" w:tplc="95464BA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5" w15:restartNumberingAfterBreak="0">
    <w:nsid w:val="19F44CF2"/>
    <w:multiLevelType w:val="multilevel"/>
    <w:tmpl w:val="720CAABC"/>
    <w:styleLink w:val="GeerliListe9"/>
    <w:lvl w:ilvl="0">
      <w:start w:val="1"/>
      <w:numFmt w:val="lowerRoman"/>
      <w:lvlText w:val="%1."/>
      <w:lvlJc w:val="righ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86" w15:restartNumberingAfterBreak="0">
    <w:nsid w:val="1AB4282D"/>
    <w:multiLevelType w:val="hybridMultilevel"/>
    <w:tmpl w:val="221A9DB2"/>
    <w:lvl w:ilvl="0" w:tplc="86364022">
      <w:start w:val="1"/>
      <w:numFmt w:val="bullet"/>
      <w:lvlText w:val="−"/>
      <w:lvlJc w:val="left"/>
      <w:pPr>
        <w:ind w:left="720" w:hanging="360"/>
      </w:pPr>
      <w:rPr>
        <w:rFonts w:ascii="Arial" w:eastAsia="Arial"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7" w15:restartNumberingAfterBreak="0">
    <w:nsid w:val="1B0D7354"/>
    <w:multiLevelType w:val="multilevel"/>
    <w:tmpl w:val="145C55A8"/>
    <w:styleLink w:val="GeerliListe2"/>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1C6D4AE4"/>
    <w:multiLevelType w:val="hybridMultilevel"/>
    <w:tmpl w:val="38E4E7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9" w15:restartNumberingAfterBreak="0">
    <w:nsid w:val="1C872CA0"/>
    <w:multiLevelType w:val="multilevel"/>
    <w:tmpl w:val="A0FEB108"/>
    <w:numStyleLink w:val="01FirstBullets"/>
  </w:abstractNum>
  <w:abstractNum w:abstractNumId="90" w15:restartNumberingAfterBreak="0">
    <w:nsid w:val="1D114FA4"/>
    <w:multiLevelType w:val="hybridMultilevel"/>
    <w:tmpl w:val="08AE7428"/>
    <w:lvl w:ilvl="0" w:tplc="9FDAEB06">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1" w15:restartNumberingAfterBreak="0">
    <w:nsid w:val="1D230C0E"/>
    <w:multiLevelType w:val="hybridMultilevel"/>
    <w:tmpl w:val="72D823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2" w15:restartNumberingAfterBreak="0">
    <w:nsid w:val="1D2D7298"/>
    <w:multiLevelType w:val="multilevel"/>
    <w:tmpl w:val="93CC68F2"/>
    <w:lvl w:ilvl="0">
      <w:start w:val="1"/>
      <w:numFmt w:val="decimal"/>
      <w:lvlText w:val="/%1"/>
      <w:lvlJc w:val="left"/>
      <w:pPr>
        <w:tabs>
          <w:tab w:val="num" w:pos="-1440"/>
        </w:tabs>
        <w:ind w:left="-1440" w:firstLine="0"/>
      </w:pPr>
      <w:rPr>
        <w:rFonts w:hint="default"/>
        <w:color w:val="auto"/>
        <w:sz w:val="24"/>
      </w:rPr>
    </w:lvl>
    <w:lvl w:ilvl="1">
      <w:start w:val="1"/>
      <w:numFmt w:val="decimal"/>
      <w:lvlText w:val="/%2"/>
      <w:lvlJc w:val="left"/>
      <w:pPr>
        <w:tabs>
          <w:tab w:val="num" w:pos="-720"/>
        </w:tabs>
        <w:ind w:left="-720" w:hanging="360"/>
      </w:pPr>
      <w:rPr>
        <w:rFonts w:hint="default"/>
      </w:rPr>
    </w:lvl>
    <w:lvl w:ilvl="2">
      <w:start w:val="1"/>
      <w:numFmt w:val="lowerLetter"/>
      <w:lvlRestart w:val="0"/>
      <w:lvlText w:val="%3)"/>
      <w:lvlJc w:val="left"/>
      <w:pPr>
        <w:tabs>
          <w:tab w:val="num" w:pos="-360"/>
        </w:tabs>
        <w:ind w:left="-360" w:hanging="360"/>
      </w:pPr>
      <w:rPr>
        <w:rFonts w:hint="default"/>
      </w:rPr>
    </w:lvl>
    <w:lvl w:ilvl="3">
      <w:start w:val="1"/>
      <w:numFmt w:val="decimal"/>
      <w:lvlText w:val="(%4)"/>
      <w:lvlJc w:val="left"/>
      <w:pPr>
        <w:tabs>
          <w:tab w:val="num" w:pos="0"/>
        </w:tabs>
        <w:ind w:left="0" w:hanging="360"/>
      </w:pPr>
      <w:rPr>
        <w:rFonts w:hint="default"/>
      </w:rPr>
    </w:lvl>
    <w:lvl w:ilvl="4">
      <w:start w:val="1"/>
      <w:numFmt w:val="decimal"/>
      <w:pStyle w:val="StyleHeading5Before0ptAfter6pt"/>
      <w:lvlText w:val="/%5"/>
      <w:lvlJc w:val="left"/>
      <w:pPr>
        <w:tabs>
          <w:tab w:val="num" w:pos="0"/>
        </w:tabs>
        <w:ind w:left="397" w:hanging="397"/>
      </w:pPr>
      <w:rPr>
        <w:rFonts w:hint="default"/>
      </w:rPr>
    </w:lvl>
    <w:lvl w:ilvl="5">
      <w:start w:val="1"/>
      <w:numFmt w:val="lowerLetter"/>
      <w:lvlText w:val="(%6)"/>
      <w:lvlJc w:val="left"/>
      <w:pPr>
        <w:tabs>
          <w:tab w:val="num" w:pos="720"/>
        </w:tabs>
        <w:ind w:left="720" w:hanging="360"/>
      </w:pPr>
      <w:rPr>
        <w:rFonts w:hint="default"/>
      </w:rPr>
    </w:lvl>
    <w:lvl w:ilvl="6">
      <w:start w:val="1"/>
      <w:numFmt w:val="decimal"/>
      <w:lvlText w:val="%7."/>
      <w:lvlJc w:val="left"/>
      <w:pPr>
        <w:tabs>
          <w:tab w:val="num" w:pos="1080"/>
        </w:tabs>
        <w:ind w:left="1080" w:hanging="360"/>
      </w:pPr>
      <w:rPr>
        <w:rFonts w:hint="default"/>
      </w:rPr>
    </w:lvl>
    <w:lvl w:ilvl="7">
      <w:start w:val="1"/>
      <w:numFmt w:val="lowerLetter"/>
      <w:lvlText w:val="%8."/>
      <w:lvlJc w:val="left"/>
      <w:pPr>
        <w:tabs>
          <w:tab w:val="num" w:pos="1440"/>
        </w:tabs>
        <w:ind w:left="1440" w:hanging="360"/>
      </w:pPr>
      <w:rPr>
        <w:rFonts w:hint="default"/>
      </w:rPr>
    </w:lvl>
    <w:lvl w:ilvl="8">
      <w:start w:val="1"/>
      <w:numFmt w:val="lowerRoman"/>
      <w:lvlText w:val="%9."/>
      <w:lvlJc w:val="left"/>
      <w:pPr>
        <w:tabs>
          <w:tab w:val="num" w:pos="1800"/>
        </w:tabs>
        <w:ind w:left="1800" w:hanging="360"/>
      </w:pPr>
      <w:rPr>
        <w:rFonts w:hint="default"/>
      </w:rPr>
    </w:lvl>
  </w:abstractNum>
  <w:abstractNum w:abstractNumId="93" w15:restartNumberingAfterBreak="0">
    <w:nsid w:val="1E112C91"/>
    <w:multiLevelType w:val="hybridMultilevel"/>
    <w:tmpl w:val="D01EC63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4" w15:restartNumberingAfterBreak="0">
    <w:nsid w:val="1E17142D"/>
    <w:multiLevelType w:val="multilevel"/>
    <w:tmpl w:val="6DB63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E27014E"/>
    <w:multiLevelType w:val="hybridMultilevel"/>
    <w:tmpl w:val="2A2AE11C"/>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6" w15:restartNumberingAfterBreak="0">
    <w:nsid w:val="1E2821F6"/>
    <w:multiLevelType w:val="hybridMultilevel"/>
    <w:tmpl w:val="94261AE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7" w15:restartNumberingAfterBreak="0">
    <w:nsid w:val="1E2825C3"/>
    <w:multiLevelType w:val="multilevel"/>
    <w:tmpl w:val="B41AC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E387F22"/>
    <w:multiLevelType w:val="hybridMultilevel"/>
    <w:tmpl w:val="06C87920"/>
    <w:lvl w:ilvl="0" w:tplc="7124FFA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9" w15:restartNumberingAfterBreak="0">
    <w:nsid w:val="1E5E4378"/>
    <w:multiLevelType w:val="multilevel"/>
    <w:tmpl w:val="A0FEB108"/>
    <w:styleLink w:val="01FirstBullets"/>
    <w:lvl w:ilvl="0">
      <w:start w:val="1"/>
      <w:numFmt w:val="bullet"/>
      <w:pStyle w:val="TableBullets"/>
      <w:lvlText w:val=""/>
      <w:lvlJc w:val="left"/>
      <w:pPr>
        <w:tabs>
          <w:tab w:val="num" w:pos="851"/>
        </w:tabs>
        <w:ind w:left="851" w:hanging="567"/>
      </w:pPr>
      <w:rPr>
        <w:rFonts w:ascii="Symbol" w:hAnsi="Symbol"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1F524BB5"/>
    <w:multiLevelType w:val="hybridMultilevel"/>
    <w:tmpl w:val="46966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1" w15:restartNumberingAfterBreak="0">
    <w:nsid w:val="1FD73BB1"/>
    <w:multiLevelType w:val="hybridMultilevel"/>
    <w:tmpl w:val="E07461C0"/>
    <w:lvl w:ilvl="0" w:tplc="D702131E">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2" w15:restartNumberingAfterBreak="0">
    <w:nsid w:val="1FDC7AB6"/>
    <w:multiLevelType w:val="multilevel"/>
    <w:tmpl w:val="E9E82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02604B4"/>
    <w:multiLevelType w:val="multilevel"/>
    <w:tmpl w:val="5C3CC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03F367D"/>
    <w:multiLevelType w:val="hybridMultilevel"/>
    <w:tmpl w:val="86225EFA"/>
    <w:lvl w:ilvl="0" w:tplc="5D40D1C6">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5" w15:restartNumberingAfterBreak="0">
    <w:nsid w:val="20522FEF"/>
    <w:multiLevelType w:val="hybridMultilevel"/>
    <w:tmpl w:val="40A0CF6A"/>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06" w15:restartNumberingAfterBreak="0">
    <w:nsid w:val="205463E1"/>
    <w:multiLevelType w:val="hybridMultilevel"/>
    <w:tmpl w:val="D4E628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7" w15:restartNumberingAfterBreak="0">
    <w:nsid w:val="206A3D1B"/>
    <w:multiLevelType w:val="hybridMultilevel"/>
    <w:tmpl w:val="D5CC6C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20A1052B"/>
    <w:multiLevelType w:val="multilevel"/>
    <w:tmpl w:val="72360236"/>
    <w:lvl w:ilvl="0">
      <w:start w:val="1"/>
      <w:numFmt w:val="decimal"/>
      <w:lvlText w:val="%1."/>
      <w:lvlJc w:val="left"/>
      <w:pPr>
        <w:tabs>
          <w:tab w:val="num" w:pos="720"/>
        </w:tabs>
        <w:ind w:left="360" w:hanging="360"/>
      </w:pPr>
      <w:rPr>
        <w:rFonts w:hint="default"/>
      </w:rPr>
    </w:lvl>
    <w:lvl w:ilvl="1">
      <w:start w:val="1"/>
      <w:numFmt w:val="decimal"/>
      <w:pStyle w:val="TOC232"/>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09" w15:restartNumberingAfterBreak="0">
    <w:nsid w:val="211A1A52"/>
    <w:multiLevelType w:val="hybridMultilevel"/>
    <w:tmpl w:val="FE98CD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0" w15:restartNumberingAfterBreak="0">
    <w:nsid w:val="22BA7DBB"/>
    <w:multiLevelType w:val="hybridMultilevel"/>
    <w:tmpl w:val="7EF6193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1" w15:restartNumberingAfterBreak="0">
    <w:nsid w:val="22F30E6D"/>
    <w:multiLevelType w:val="hybridMultilevel"/>
    <w:tmpl w:val="17B84E5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2" w15:restartNumberingAfterBreak="0">
    <w:nsid w:val="235E0D55"/>
    <w:multiLevelType w:val="multilevel"/>
    <w:tmpl w:val="267A69F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3" w15:restartNumberingAfterBreak="0">
    <w:nsid w:val="245629F8"/>
    <w:multiLevelType w:val="multilevel"/>
    <w:tmpl w:val="8764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48C4F27"/>
    <w:multiLevelType w:val="multilevel"/>
    <w:tmpl w:val="A2DE9086"/>
    <w:lvl w:ilvl="0">
      <w:start w:val="1"/>
      <w:numFmt w:val="decimal"/>
      <w:lvlText w:val="%1."/>
      <w:lvlJc w:val="left"/>
      <w:pPr>
        <w:ind w:left="360" w:hanging="360"/>
      </w:pPr>
      <w:rPr>
        <w:rFonts w:cs="Times New Roman" w:hint="default"/>
        <w:color w:val="000000"/>
      </w:rPr>
    </w:lvl>
    <w:lvl w:ilvl="1">
      <w:start w:val="7"/>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115" w15:restartNumberingAfterBreak="0">
    <w:nsid w:val="24AD3EC4"/>
    <w:multiLevelType w:val="hybridMultilevel"/>
    <w:tmpl w:val="5694E092"/>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16" w15:restartNumberingAfterBreak="0">
    <w:nsid w:val="25D770C3"/>
    <w:multiLevelType w:val="hybridMultilevel"/>
    <w:tmpl w:val="D0783E8C"/>
    <w:lvl w:ilvl="0" w:tplc="9EBACB24">
      <w:start w:val="1"/>
      <w:numFmt w:val="lowerRoman"/>
      <w:lvlText w:val="(%1)"/>
      <w:lvlJc w:val="left"/>
      <w:pPr>
        <w:ind w:left="721" w:hanging="720"/>
      </w:pPr>
      <w:rPr>
        <w:rFonts w:hint="default"/>
      </w:rPr>
    </w:lvl>
    <w:lvl w:ilvl="1" w:tplc="041F0019" w:tentative="1">
      <w:start w:val="1"/>
      <w:numFmt w:val="lowerLetter"/>
      <w:lvlText w:val="%2."/>
      <w:lvlJc w:val="left"/>
      <w:pPr>
        <w:ind w:left="1081" w:hanging="360"/>
      </w:pPr>
    </w:lvl>
    <w:lvl w:ilvl="2" w:tplc="041F001B" w:tentative="1">
      <w:start w:val="1"/>
      <w:numFmt w:val="lowerRoman"/>
      <w:lvlText w:val="%3."/>
      <w:lvlJc w:val="right"/>
      <w:pPr>
        <w:ind w:left="1801" w:hanging="180"/>
      </w:pPr>
    </w:lvl>
    <w:lvl w:ilvl="3" w:tplc="041F000F" w:tentative="1">
      <w:start w:val="1"/>
      <w:numFmt w:val="decimal"/>
      <w:lvlText w:val="%4."/>
      <w:lvlJc w:val="left"/>
      <w:pPr>
        <w:ind w:left="2521" w:hanging="360"/>
      </w:pPr>
    </w:lvl>
    <w:lvl w:ilvl="4" w:tplc="041F0019" w:tentative="1">
      <w:start w:val="1"/>
      <w:numFmt w:val="lowerLetter"/>
      <w:lvlText w:val="%5."/>
      <w:lvlJc w:val="left"/>
      <w:pPr>
        <w:ind w:left="3241" w:hanging="360"/>
      </w:pPr>
    </w:lvl>
    <w:lvl w:ilvl="5" w:tplc="041F001B" w:tentative="1">
      <w:start w:val="1"/>
      <w:numFmt w:val="lowerRoman"/>
      <w:lvlText w:val="%6."/>
      <w:lvlJc w:val="right"/>
      <w:pPr>
        <w:ind w:left="3961" w:hanging="180"/>
      </w:pPr>
    </w:lvl>
    <w:lvl w:ilvl="6" w:tplc="041F000F" w:tentative="1">
      <w:start w:val="1"/>
      <w:numFmt w:val="decimal"/>
      <w:lvlText w:val="%7."/>
      <w:lvlJc w:val="left"/>
      <w:pPr>
        <w:ind w:left="4681" w:hanging="360"/>
      </w:pPr>
    </w:lvl>
    <w:lvl w:ilvl="7" w:tplc="041F0019" w:tentative="1">
      <w:start w:val="1"/>
      <w:numFmt w:val="lowerLetter"/>
      <w:lvlText w:val="%8."/>
      <w:lvlJc w:val="left"/>
      <w:pPr>
        <w:ind w:left="5401" w:hanging="360"/>
      </w:pPr>
    </w:lvl>
    <w:lvl w:ilvl="8" w:tplc="041F001B" w:tentative="1">
      <w:start w:val="1"/>
      <w:numFmt w:val="lowerRoman"/>
      <w:lvlText w:val="%9."/>
      <w:lvlJc w:val="right"/>
      <w:pPr>
        <w:ind w:left="6121" w:hanging="180"/>
      </w:pPr>
    </w:lvl>
  </w:abstractNum>
  <w:abstractNum w:abstractNumId="117" w15:restartNumberingAfterBreak="0">
    <w:nsid w:val="264F63D2"/>
    <w:multiLevelType w:val="hybridMultilevel"/>
    <w:tmpl w:val="43E2B020"/>
    <w:lvl w:ilvl="0" w:tplc="A1D056A4">
      <w:start w:val="1"/>
      <w:numFmt w:val="decimal"/>
      <w:lvlText w:val="(%1)"/>
      <w:lvlJc w:val="left"/>
      <w:pPr>
        <w:ind w:left="1140" w:hanging="78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8" w15:restartNumberingAfterBreak="0">
    <w:nsid w:val="26A42C44"/>
    <w:multiLevelType w:val="multilevel"/>
    <w:tmpl w:val="D656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6EA29E1"/>
    <w:multiLevelType w:val="hybridMultilevel"/>
    <w:tmpl w:val="8C643A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0" w15:restartNumberingAfterBreak="0">
    <w:nsid w:val="27034E84"/>
    <w:multiLevelType w:val="hybridMultilevel"/>
    <w:tmpl w:val="ABC63DC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1" w15:restartNumberingAfterBreak="0">
    <w:nsid w:val="28D06A04"/>
    <w:multiLevelType w:val="hybridMultilevel"/>
    <w:tmpl w:val="963AB0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2" w15:restartNumberingAfterBreak="0">
    <w:nsid w:val="28D36109"/>
    <w:multiLevelType w:val="hybridMultilevel"/>
    <w:tmpl w:val="36C0D9B2"/>
    <w:lvl w:ilvl="0" w:tplc="8320D4AA">
      <w:start w:val="3"/>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3" w15:restartNumberingAfterBreak="0">
    <w:nsid w:val="291300F8"/>
    <w:multiLevelType w:val="hybridMultilevel"/>
    <w:tmpl w:val="8F5AE178"/>
    <w:lvl w:ilvl="0" w:tplc="DDDCD832">
      <w:start w:val="6"/>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4" w15:restartNumberingAfterBreak="0">
    <w:nsid w:val="294C14FE"/>
    <w:multiLevelType w:val="multilevel"/>
    <w:tmpl w:val="29AC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A972D39"/>
    <w:multiLevelType w:val="hybridMultilevel"/>
    <w:tmpl w:val="5970AEF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6" w15:restartNumberingAfterBreak="0">
    <w:nsid w:val="2AA0660B"/>
    <w:multiLevelType w:val="multilevel"/>
    <w:tmpl w:val="E316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AC760FA"/>
    <w:multiLevelType w:val="hybridMultilevel"/>
    <w:tmpl w:val="E74CDA4E"/>
    <w:lvl w:ilvl="0" w:tplc="F55C7876">
      <w:start w:val="2"/>
      <w:numFmt w:val="decimal"/>
      <w:lvlText w:val="(%1)"/>
      <w:lvlJc w:val="left"/>
      <w:pPr>
        <w:ind w:left="1146" w:hanging="360"/>
      </w:pPr>
      <w:rPr>
        <w:rFonts w:hint="default"/>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128" w15:restartNumberingAfterBreak="0">
    <w:nsid w:val="2B230A01"/>
    <w:multiLevelType w:val="hybridMultilevel"/>
    <w:tmpl w:val="9B4ADD2E"/>
    <w:lvl w:ilvl="0" w:tplc="E1A041BE">
      <w:start w:val="1"/>
      <w:numFmt w:val="lowerLetter"/>
      <w:lvlText w:val="%1)"/>
      <w:lvlJc w:val="left"/>
      <w:pPr>
        <w:ind w:left="720" w:hanging="360"/>
      </w:pPr>
      <w:rPr>
        <w:b w:val="0"/>
        <w:bCs w:val="0"/>
      </w:rPr>
    </w:lvl>
    <w:lvl w:ilvl="1" w:tplc="184A1374">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9" w15:restartNumberingAfterBreak="0">
    <w:nsid w:val="2BB922B6"/>
    <w:multiLevelType w:val="multilevel"/>
    <w:tmpl w:val="A85A19F8"/>
    <w:lvl w:ilvl="0">
      <w:start w:val="1"/>
      <w:numFmt w:val="upperRoman"/>
      <w:lvlText w:val="%1."/>
      <w:lvlJc w:val="left"/>
      <w:pPr>
        <w:ind w:left="644" w:hanging="644"/>
      </w:pPr>
      <w:rPr>
        <w:rFonts w:hint="default"/>
      </w:rPr>
    </w:lvl>
    <w:lvl w:ilvl="1">
      <w:start w:val="1"/>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0" w15:restartNumberingAfterBreak="0">
    <w:nsid w:val="2E8A1B88"/>
    <w:multiLevelType w:val="hybridMultilevel"/>
    <w:tmpl w:val="EA20859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1" w15:restartNumberingAfterBreak="0">
    <w:nsid w:val="2EFE7035"/>
    <w:multiLevelType w:val="hybridMultilevel"/>
    <w:tmpl w:val="FB0455CA"/>
    <w:lvl w:ilvl="0" w:tplc="A93CEC60">
      <w:numFmt w:val="bullet"/>
      <w:lvlText w:val="-"/>
      <w:lvlJc w:val="left"/>
      <w:pPr>
        <w:ind w:left="1080" w:hanging="360"/>
      </w:pPr>
      <w:rPr>
        <w:rFonts w:ascii="Times New Roman" w:eastAsia="Times New Roman" w:hAnsi="Times New Roman" w:cs="Times New Roman" w:hint="default"/>
        <w:b/>
        <w:bCs/>
        <w:i w:val="0"/>
        <w:iCs w:val="0"/>
        <w:w w:val="100"/>
        <w:sz w:val="22"/>
        <w:szCs w:val="22"/>
        <w:lang w:val="en-US" w:eastAsia="en-US" w:bidi="ar-SA"/>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2" w15:restartNumberingAfterBreak="0">
    <w:nsid w:val="2F562327"/>
    <w:multiLevelType w:val="hybridMultilevel"/>
    <w:tmpl w:val="8ADCBA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3" w15:restartNumberingAfterBreak="0">
    <w:nsid w:val="2FAD35A2"/>
    <w:multiLevelType w:val="hybridMultilevel"/>
    <w:tmpl w:val="4D2ACDB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4" w15:restartNumberingAfterBreak="0">
    <w:nsid w:val="309E5044"/>
    <w:multiLevelType w:val="hybridMultilevel"/>
    <w:tmpl w:val="F8C40D4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5" w15:restartNumberingAfterBreak="0">
    <w:nsid w:val="318C061E"/>
    <w:multiLevelType w:val="hybridMultilevel"/>
    <w:tmpl w:val="42AE5A5A"/>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6" w15:restartNumberingAfterBreak="0">
    <w:nsid w:val="32E53EFA"/>
    <w:multiLevelType w:val="hybridMultilevel"/>
    <w:tmpl w:val="7D826B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7" w15:restartNumberingAfterBreak="0">
    <w:nsid w:val="3302168E"/>
    <w:multiLevelType w:val="multilevel"/>
    <w:tmpl w:val="0E148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3910A5C"/>
    <w:multiLevelType w:val="hybridMultilevel"/>
    <w:tmpl w:val="3CBC81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9" w15:restartNumberingAfterBreak="0">
    <w:nsid w:val="33CA0409"/>
    <w:multiLevelType w:val="hybridMultilevel"/>
    <w:tmpl w:val="0FFCA2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0" w15:restartNumberingAfterBreak="0">
    <w:nsid w:val="34920A23"/>
    <w:multiLevelType w:val="hybridMultilevel"/>
    <w:tmpl w:val="1996D77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1" w15:restartNumberingAfterBreak="0">
    <w:nsid w:val="349C089A"/>
    <w:multiLevelType w:val="hybridMultilevel"/>
    <w:tmpl w:val="9402BF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2" w15:restartNumberingAfterBreak="0">
    <w:nsid w:val="349F07B6"/>
    <w:multiLevelType w:val="hybridMultilevel"/>
    <w:tmpl w:val="13F89170"/>
    <w:lvl w:ilvl="0" w:tplc="08090005">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3" w15:restartNumberingAfterBreak="0">
    <w:nsid w:val="34F42F3E"/>
    <w:multiLevelType w:val="hybridMultilevel"/>
    <w:tmpl w:val="22404F2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4" w15:restartNumberingAfterBreak="0">
    <w:nsid w:val="354E2C77"/>
    <w:multiLevelType w:val="multilevel"/>
    <w:tmpl w:val="3478267A"/>
    <w:styleLink w:val="03ThirdBullet"/>
    <w:lvl w:ilvl="0">
      <w:start w:val="1"/>
      <w:numFmt w:val="bullet"/>
      <w:lvlText w:val="▪"/>
      <w:lvlJc w:val="left"/>
      <w:pPr>
        <w:tabs>
          <w:tab w:val="num" w:pos="1701"/>
        </w:tabs>
        <w:ind w:left="1701" w:hanging="567"/>
      </w:pPr>
      <w:rPr>
        <w:rFonts w:ascii="Courier New" w:hAnsi="Courier New" w:hint="default"/>
        <w:sz w:val="22"/>
      </w:rPr>
    </w:lvl>
    <w:lvl w:ilvl="1">
      <w:start w:val="1"/>
      <w:numFmt w:val="bullet"/>
      <w:lvlText w:val="o"/>
      <w:lvlJc w:val="left"/>
      <w:pPr>
        <w:tabs>
          <w:tab w:val="num" w:pos="1083"/>
        </w:tabs>
        <w:ind w:left="1083" w:hanging="360"/>
      </w:pPr>
      <w:rPr>
        <w:rFonts w:ascii="Courier New" w:hAnsi="Courier New" w:cs="Courier New" w:hint="default"/>
      </w:rPr>
    </w:lvl>
    <w:lvl w:ilvl="2">
      <w:start w:val="1"/>
      <w:numFmt w:val="bullet"/>
      <w:lvlText w:val=""/>
      <w:lvlJc w:val="left"/>
      <w:pPr>
        <w:tabs>
          <w:tab w:val="num" w:pos="1803"/>
        </w:tabs>
        <w:ind w:left="1803" w:hanging="360"/>
      </w:pPr>
      <w:rPr>
        <w:rFonts w:ascii="Wingdings" w:hAnsi="Wingdings" w:hint="default"/>
      </w:rPr>
    </w:lvl>
    <w:lvl w:ilvl="3">
      <w:start w:val="1"/>
      <w:numFmt w:val="bullet"/>
      <w:lvlText w:val=""/>
      <w:lvlJc w:val="left"/>
      <w:pPr>
        <w:tabs>
          <w:tab w:val="num" w:pos="2523"/>
        </w:tabs>
        <w:ind w:left="2523" w:hanging="360"/>
      </w:pPr>
      <w:rPr>
        <w:rFonts w:ascii="Symbol" w:hAnsi="Symbol" w:hint="default"/>
      </w:rPr>
    </w:lvl>
    <w:lvl w:ilvl="4">
      <w:start w:val="1"/>
      <w:numFmt w:val="bullet"/>
      <w:lvlText w:val="o"/>
      <w:lvlJc w:val="left"/>
      <w:pPr>
        <w:tabs>
          <w:tab w:val="num" w:pos="3243"/>
        </w:tabs>
        <w:ind w:left="3243" w:hanging="360"/>
      </w:pPr>
      <w:rPr>
        <w:rFonts w:ascii="Courier New" w:hAnsi="Courier New" w:cs="Courier New" w:hint="default"/>
      </w:rPr>
    </w:lvl>
    <w:lvl w:ilvl="5">
      <w:start w:val="1"/>
      <w:numFmt w:val="bullet"/>
      <w:lvlText w:val=""/>
      <w:lvlJc w:val="left"/>
      <w:pPr>
        <w:tabs>
          <w:tab w:val="num" w:pos="3963"/>
        </w:tabs>
        <w:ind w:left="3963" w:hanging="360"/>
      </w:pPr>
      <w:rPr>
        <w:rFonts w:ascii="Wingdings" w:hAnsi="Wingdings" w:hint="default"/>
      </w:rPr>
    </w:lvl>
    <w:lvl w:ilvl="6">
      <w:start w:val="1"/>
      <w:numFmt w:val="bullet"/>
      <w:lvlText w:val=""/>
      <w:lvlJc w:val="left"/>
      <w:pPr>
        <w:tabs>
          <w:tab w:val="num" w:pos="4683"/>
        </w:tabs>
        <w:ind w:left="4683" w:hanging="360"/>
      </w:pPr>
      <w:rPr>
        <w:rFonts w:ascii="Symbol" w:hAnsi="Symbol" w:hint="default"/>
      </w:rPr>
    </w:lvl>
    <w:lvl w:ilvl="7">
      <w:start w:val="1"/>
      <w:numFmt w:val="bullet"/>
      <w:lvlText w:val="o"/>
      <w:lvlJc w:val="left"/>
      <w:pPr>
        <w:tabs>
          <w:tab w:val="num" w:pos="5403"/>
        </w:tabs>
        <w:ind w:left="5403" w:hanging="360"/>
      </w:pPr>
      <w:rPr>
        <w:rFonts w:ascii="Courier New" w:hAnsi="Courier New" w:cs="Courier New" w:hint="default"/>
      </w:rPr>
    </w:lvl>
    <w:lvl w:ilvl="8">
      <w:start w:val="1"/>
      <w:numFmt w:val="bullet"/>
      <w:lvlText w:val=""/>
      <w:lvlJc w:val="left"/>
      <w:pPr>
        <w:tabs>
          <w:tab w:val="num" w:pos="6123"/>
        </w:tabs>
        <w:ind w:left="6123" w:hanging="360"/>
      </w:pPr>
      <w:rPr>
        <w:rFonts w:ascii="Wingdings" w:hAnsi="Wingdings" w:hint="default"/>
      </w:rPr>
    </w:lvl>
  </w:abstractNum>
  <w:abstractNum w:abstractNumId="145" w15:restartNumberingAfterBreak="0">
    <w:nsid w:val="35D16001"/>
    <w:multiLevelType w:val="hybridMultilevel"/>
    <w:tmpl w:val="C8308F5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6" w15:restartNumberingAfterBreak="0">
    <w:nsid w:val="35DD1DD7"/>
    <w:multiLevelType w:val="hybridMultilevel"/>
    <w:tmpl w:val="2E1E9AE0"/>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7" w15:restartNumberingAfterBreak="0">
    <w:nsid w:val="35FC3287"/>
    <w:multiLevelType w:val="hybridMultilevel"/>
    <w:tmpl w:val="26A883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8" w15:restartNumberingAfterBreak="0">
    <w:nsid w:val="364C337F"/>
    <w:multiLevelType w:val="multilevel"/>
    <w:tmpl w:val="9C22580E"/>
    <w:styleLink w:val="GeerliListe1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9" w15:restartNumberingAfterBreak="0">
    <w:nsid w:val="365B7F4E"/>
    <w:multiLevelType w:val="hybridMultilevel"/>
    <w:tmpl w:val="2462227E"/>
    <w:lvl w:ilvl="0" w:tplc="5130047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0" w15:restartNumberingAfterBreak="0">
    <w:nsid w:val="36C25C4F"/>
    <w:multiLevelType w:val="hybridMultilevel"/>
    <w:tmpl w:val="1CD6A7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1" w15:restartNumberingAfterBreak="0">
    <w:nsid w:val="36C861AF"/>
    <w:multiLevelType w:val="hybridMultilevel"/>
    <w:tmpl w:val="2E12CA98"/>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 w15:restartNumberingAfterBreak="0">
    <w:nsid w:val="377E0F6D"/>
    <w:multiLevelType w:val="hybridMultilevel"/>
    <w:tmpl w:val="383A5906"/>
    <w:lvl w:ilvl="0" w:tplc="806881C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3" w15:restartNumberingAfterBreak="0">
    <w:nsid w:val="37A72E40"/>
    <w:multiLevelType w:val="hybridMultilevel"/>
    <w:tmpl w:val="86225EF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37B97E7F"/>
    <w:multiLevelType w:val="hybridMultilevel"/>
    <w:tmpl w:val="4AEE1D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5" w15:restartNumberingAfterBreak="0">
    <w:nsid w:val="382A50A6"/>
    <w:multiLevelType w:val="hybridMultilevel"/>
    <w:tmpl w:val="1F6A9D6C"/>
    <w:lvl w:ilvl="0" w:tplc="C880591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6" w15:restartNumberingAfterBreak="0">
    <w:nsid w:val="384C778E"/>
    <w:multiLevelType w:val="hybridMultilevel"/>
    <w:tmpl w:val="CBEA530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7" w15:restartNumberingAfterBreak="0">
    <w:nsid w:val="38763D9C"/>
    <w:multiLevelType w:val="hybridMultilevel"/>
    <w:tmpl w:val="80B41EC8"/>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8" w15:restartNumberingAfterBreak="0">
    <w:nsid w:val="388470B6"/>
    <w:multiLevelType w:val="hybridMultilevel"/>
    <w:tmpl w:val="9968AB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9" w15:restartNumberingAfterBreak="0">
    <w:nsid w:val="39441733"/>
    <w:multiLevelType w:val="hybridMultilevel"/>
    <w:tmpl w:val="26FCFB4E"/>
    <w:lvl w:ilvl="0" w:tplc="CEE6F76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0" w15:restartNumberingAfterBreak="0">
    <w:nsid w:val="397339BD"/>
    <w:multiLevelType w:val="hybridMultilevel"/>
    <w:tmpl w:val="836413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1" w15:restartNumberingAfterBreak="0">
    <w:nsid w:val="39814E27"/>
    <w:multiLevelType w:val="multilevel"/>
    <w:tmpl w:val="DA38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9DA316C"/>
    <w:multiLevelType w:val="hybridMultilevel"/>
    <w:tmpl w:val="741A627A"/>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3" w15:restartNumberingAfterBreak="0">
    <w:nsid w:val="3AC55157"/>
    <w:multiLevelType w:val="multilevel"/>
    <w:tmpl w:val="A726D596"/>
    <w:styleLink w:val="GeerliListe7"/>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4" w15:restartNumberingAfterBreak="0">
    <w:nsid w:val="3B061B0F"/>
    <w:multiLevelType w:val="multilevel"/>
    <w:tmpl w:val="91641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B091766"/>
    <w:multiLevelType w:val="hybridMultilevel"/>
    <w:tmpl w:val="CAC44E96"/>
    <w:lvl w:ilvl="0" w:tplc="CC661B92">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6" w15:restartNumberingAfterBreak="0">
    <w:nsid w:val="3B6966F2"/>
    <w:multiLevelType w:val="hybridMultilevel"/>
    <w:tmpl w:val="21C028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7" w15:restartNumberingAfterBreak="0">
    <w:nsid w:val="3BC522AF"/>
    <w:multiLevelType w:val="hybridMultilevel"/>
    <w:tmpl w:val="8BAEFC2C"/>
    <w:lvl w:ilvl="0" w:tplc="FB50D7E6">
      <w:start w:val="1"/>
      <w:numFmt w:val="lowerRoman"/>
      <w:lvlText w:val="%1."/>
      <w:lvlJc w:val="left"/>
      <w:pPr>
        <w:ind w:left="1434" w:hanging="360"/>
      </w:pPr>
      <w:rPr>
        <w:rFonts w:hint="default"/>
      </w:r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168" w15:restartNumberingAfterBreak="0">
    <w:nsid w:val="3BDC2B29"/>
    <w:multiLevelType w:val="hybridMultilevel"/>
    <w:tmpl w:val="01E28624"/>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9" w15:restartNumberingAfterBreak="0">
    <w:nsid w:val="3BFE2D25"/>
    <w:multiLevelType w:val="hybridMultilevel"/>
    <w:tmpl w:val="2CEE14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0" w15:restartNumberingAfterBreak="0">
    <w:nsid w:val="3C333778"/>
    <w:multiLevelType w:val="hybridMultilevel"/>
    <w:tmpl w:val="0338C5C2"/>
    <w:lvl w:ilvl="0" w:tplc="B1CA412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71" w15:restartNumberingAfterBreak="0">
    <w:nsid w:val="3C5B288D"/>
    <w:multiLevelType w:val="multilevel"/>
    <w:tmpl w:val="D4881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3C746EC3"/>
    <w:multiLevelType w:val="hybridMultilevel"/>
    <w:tmpl w:val="D8D637A0"/>
    <w:lvl w:ilvl="0" w:tplc="86364022">
      <w:start w:val="1"/>
      <w:numFmt w:val="bullet"/>
      <w:lvlText w:val="−"/>
      <w:lvlJc w:val="left"/>
      <w:pPr>
        <w:ind w:left="720" w:hanging="360"/>
      </w:pPr>
      <w:rPr>
        <w:rFonts w:ascii="Arial" w:eastAsia="Arial"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3" w15:restartNumberingAfterBreak="0">
    <w:nsid w:val="3CD86B7B"/>
    <w:multiLevelType w:val="hybridMultilevel"/>
    <w:tmpl w:val="06CC195C"/>
    <w:lvl w:ilvl="0" w:tplc="4D343A1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4" w15:restartNumberingAfterBreak="0">
    <w:nsid w:val="3CDC7CE4"/>
    <w:multiLevelType w:val="multilevel"/>
    <w:tmpl w:val="145C55A8"/>
    <w:styleLink w:val="GeerliListe3"/>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5" w15:restartNumberingAfterBreak="0">
    <w:nsid w:val="3CE0279B"/>
    <w:multiLevelType w:val="hybridMultilevel"/>
    <w:tmpl w:val="77D8FA68"/>
    <w:lvl w:ilvl="0" w:tplc="D4CC1FFC">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76" w15:restartNumberingAfterBreak="0">
    <w:nsid w:val="3D081637"/>
    <w:multiLevelType w:val="multilevel"/>
    <w:tmpl w:val="E3A02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D2A37DB"/>
    <w:multiLevelType w:val="hybridMultilevel"/>
    <w:tmpl w:val="F91C73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8" w15:restartNumberingAfterBreak="0">
    <w:nsid w:val="3D3B4194"/>
    <w:multiLevelType w:val="hybridMultilevel"/>
    <w:tmpl w:val="1A185408"/>
    <w:lvl w:ilvl="0" w:tplc="C99AD500">
      <w:start w:val="1"/>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9" w15:restartNumberingAfterBreak="0">
    <w:nsid w:val="3D5F3071"/>
    <w:multiLevelType w:val="hybridMultilevel"/>
    <w:tmpl w:val="329CFED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0" w15:restartNumberingAfterBreak="0">
    <w:nsid w:val="3D7567EF"/>
    <w:multiLevelType w:val="multilevel"/>
    <w:tmpl w:val="A76ECF8A"/>
    <w:styleLink w:val="GeerliListe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1" w15:restartNumberingAfterBreak="0">
    <w:nsid w:val="3D7A3E66"/>
    <w:multiLevelType w:val="multilevel"/>
    <w:tmpl w:val="2B90A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DA7705C"/>
    <w:multiLevelType w:val="hybridMultilevel"/>
    <w:tmpl w:val="5EDA5DF2"/>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3" w15:restartNumberingAfterBreak="0">
    <w:nsid w:val="3F9B6A6F"/>
    <w:multiLevelType w:val="hybridMultilevel"/>
    <w:tmpl w:val="597C6524"/>
    <w:lvl w:ilvl="0" w:tplc="71D2E37C">
      <w:start w:val="1"/>
      <w:numFmt w:val="upperRoman"/>
      <w:lvlText w:val="%1."/>
      <w:lvlJc w:val="left"/>
      <w:pPr>
        <w:ind w:left="36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4" w15:restartNumberingAfterBreak="0">
    <w:nsid w:val="3FE27A81"/>
    <w:multiLevelType w:val="hybridMultilevel"/>
    <w:tmpl w:val="09C8863C"/>
    <w:lvl w:ilvl="0" w:tplc="FB50D7E6">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5" w15:restartNumberingAfterBreak="0">
    <w:nsid w:val="407C1A60"/>
    <w:multiLevelType w:val="hybridMultilevel"/>
    <w:tmpl w:val="32DEB922"/>
    <w:lvl w:ilvl="0" w:tplc="E40408BA">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6" w15:restartNumberingAfterBreak="0">
    <w:nsid w:val="40FD7A6C"/>
    <w:multiLevelType w:val="hybridMultilevel"/>
    <w:tmpl w:val="839430D8"/>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7" w15:restartNumberingAfterBreak="0">
    <w:nsid w:val="41BA2D57"/>
    <w:multiLevelType w:val="hybridMultilevel"/>
    <w:tmpl w:val="81B81034"/>
    <w:lvl w:ilvl="0" w:tplc="1B7A5F2C">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8" w15:restartNumberingAfterBreak="0">
    <w:nsid w:val="41E52A18"/>
    <w:multiLevelType w:val="hybridMultilevel"/>
    <w:tmpl w:val="24EE172C"/>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9" w15:restartNumberingAfterBreak="0">
    <w:nsid w:val="423063F9"/>
    <w:multiLevelType w:val="hybridMultilevel"/>
    <w:tmpl w:val="3028E8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0" w15:restartNumberingAfterBreak="0">
    <w:nsid w:val="425F7CDF"/>
    <w:multiLevelType w:val="hybridMultilevel"/>
    <w:tmpl w:val="B88A2138"/>
    <w:lvl w:ilvl="0" w:tplc="AB3A826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1" w15:restartNumberingAfterBreak="0">
    <w:nsid w:val="434F5FDF"/>
    <w:multiLevelType w:val="hybridMultilevel"/>
    <w:tmpl w:val="6068FD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2" w15:restartNumberingAfterBreak="0">
    <w:nsid w:val="43E26A60"/>
    <w:multiLevelType w:val="hybridMultilevel"/>
    <w:tmpl w:val="897E3F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3" w15:restartNumberingAfterBreak="0">
    <w:nsid w:val="43FF6016"/>
    <w:multiLevelType w:val="hybridMultilevel"/>
    <w:tmpl w:val="D99E3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4" w15:restartNumberingAfterBreak="0">
    <w:nsid w:val="445664A2"/>
    <w:multiLevelType w:val="multilevel"/>
    <w:tmpl w:val="E2B83160"/>
    <w:lvl w:ilvl="0">
      <w:start w:val="1"/>
      <w:numFmt w:val="bullet"/>
      <w:lvlText w:val=""/>
      <w:lvlJc w:val="left"/>
      <w:pPr>
        <w:ind w:left="720" w:hanging="360"/>
      </w:pPr>
      <w:rPr>
        <w:rFonts w:ascii="Symbol" w:hAnsi="Symbol" w:hint="default"/>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95" w15:restartNumberingAfterBreak="0">
    <w:nsid w:val="44A10A86"/>
    <w:multiLevelType w:val="multilevel"/>
    <w:tmpl w:val="9D46070A"/>
    <w:styleLink w:val="GeerliListe11"/>
    <w:lvl w:ilvl="0">
      <w:start w:val="1"/>
      <w:numFmt w:val="upperRoman"/>
      <w:lvlText w:val="%1."/>
      <w:lvlJc w:val="righ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196" w15:restartNumberingAfterBreak="0">
    <w:nsid w:val="44C74729"/>
    <w:multiLevelType w:val="hybridMultilevel"/>
    <w:tmpl w:val="8926F2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7" w15:restartNumberingAfterBreak="0">
    <w:nsid w:val="45355148"/>
    <w:multiLevelType w:val="hybridMultilevel"/>
    <w:tmpl w:val="71AC3014"/>
    <w:lvl w:ilvl="0" w:tplc="A87295A6">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8" w15:restartNumberingAfterBreak="0">
    <w:nsid w:val="464456EB"/>
    <w:multiLevelType w:val="hybridMultilevel"/>
    <w:tmpl w:val="7D545C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9" w15:restartNumberingAfterBreak="0">
    <w:nsid w:val="47124E11"/>
    <w:multiLevelType w:val="hybridMultilevel"/>
    <w:tmpl w:val="5AD2B836"/>
    <w:lvl w:ilvl="0" w:tplc="FFFFFFFF">
      <w:start w:val="1"/>
      <w:numFmt w:val="none"/>
      <w:pStyle w:val="NormalItem"/>
      <w:lvlText w:val=""/>
      <w:legacy w:legacy="1" w:legacySpace="0" w:legacyIndent="397"/>
      <w:lvlJc w:val="left"/>
      <w:pPr>
        <w:ind w:left="397" w:hanging="397"/>
      </w:pPr>
      <w:rPr>
        <w:rFonts w:ascii="Wingdings" w:hAnsi="Wingdings" w:hint="default"/>
        <w:sz w:val="14"/>
      </w:rPr>
    </w:lvl>
    <w:lvl w:ilvl="1" w:tplc="FFFFFFFF">
      <w:start w:val="1"/>
      <w:numFmt w:val="lowerLetter"/>
      <w:lvlText w:val="%2."/>
      <w:lvlJc w:val="left"/>
      <w:pPr>
        <w:tabs>
          <w:tab w:val="num" w:pos="-715"/>
        </w:tabs>
        <w:ind w:left="-715" w:hanging="360"/>
      </w:pPr>
    </w:lvl>
    <w:lvl w:ilvl="2" w:tplc="FFFFFFFF">
      <w:start w:val="1"/>
      <w:numFmt w:val="lowerRoman"/>
      <w:lvlText w:val="%3."/>
      <w:lvlJc w:val="right"/>
      <w:pPr>
        <w:tabs>
          <w:tab w:val="num" w:pos="5"/>
        </w:tabs>
        <w:ind w:left="5" w:hanging="180"/>
      </w:pPr>
    </w:lvl>
    <w:lvl w:ilvl="3" w:tplc="FFFFFFFF">
      <w:start w:val="1"/>
      <w:numFmt w:val="decimal"/>
      <w:lvlText w:val="%4."/>
      <w:lvlJc w:val="left"/>
      <w:pPr>
        <w:tabs>
          <w:tab w:val="num" w:pos="725"/>
        </w:tabs>
        <w:ind w:left="725" w:hanging="360"/>
      </w:pPr>
    </w:lvl>
    <w:lvl w:ilvl="4" w:tplc="FFFFFFFF">
      <w:start w:val="1"/>
      <w:numFmt w:val="lowerLetter"/>
      <w:lvlText w:val="%5."/>
      <w:lvlJc w:val="left"/>
      <w:pPr>
        <w:tabs>
          <w:tab w:val="num" w:pos="1445"/>
        </w:tabs>
        <w:ind w:left="1445" w:hanging="360"/>
      </w:pPr>
    </w:lvl>
    <w:lvl w:ilvl="5" w:tplc="FFFFFFFF" w:tentative="1">
      <w:start w:val="1"/>
      <w:numFmt w:val="lowerRoman"/>
      <w:lvlText w:val="%6."/>
      <w:lvlJc w:val="right"/>
      <w:pPr>
        <w:tabs>
          <w:tab w:val="num" w:pos="2165"/>
        </w:tabs>
        <w:ind w:left="2165" w:hanging="180"/>
      </w:pPr>
    </w:lvl>
    <w:lvl w:ilvl="6" w:tplc="FFFFFFFF" w:tentative="1">
      <w:start w:val="1"/>
      <w:numFmt w:val="decimal"/>
      <w:lvlText w:val="%7."/>
      <w:lvlJc w:val="left"/>
      <w:pPr>
        <w:tabs>
          <w:tab w:val="num" w:pos="2885"/>
        </w:tabs>
        <w:ind w:left="2885" w:hanging="360"/>
      </w:pPr>
    </w:lvl>
    <w:lvl w:ilvl="7" w:tplc="FFFFFFFF" w:tentative="1">
      <w:start w:val="1"/>
      <w:numFmt w:val="lowerLetter"/>
      <w:lvlText w:val="%8."/>
      <w:lvlJc w:val="left"/>
      <w:pPr>
        <w:tabs>
          <w:tab w:val="num" w:pos="3605"/>
        </w:tabs>
        <w:ind w:left="3605" w:hanging="360"/>
      </w:pPr>
    </w:lvl>
    <w:lvl w:ilvl="8" w:tplc="FFFFFFFF" w:tentative="1">
      <w:start w:val="1"/>
      <w:numFmt w:val="lowerRoman"/>
      <w:lvlText w:val="%9."/>
      <w:lvlJc w:val="right"/>
      <w:pPr>
        <w:tabs>
          <w:tab w:val="num" w:pos="4325"/>
        </w:tabs>
        <w:ind w:left="4325" w:hanging="180"/>
      </w:pPr>
    </w:lvl>
  </w:abstractNum>
  <w:abstractNum w:abstractNumId="200" w15:restartNumberingAfterBreak="0">
    <w:nsid w:val="474D2704"/>
    <w:multiLevelType w:val="hybridMultilevel"/>
    <w:tmpl w:val="184092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1" w15:restartNumberingAfterBreak="0">
    <w:nsid w:val="477C1A43"/>
    <w:multiLevelType w:val="hybridMultilevel"/>
    <w:tmpl w:val="89420C1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2" w15:restartNumberingAfterBreak="0">
    <w:nsid w:val="47AD78DD"/>
    <w:multiLevelType w:val="hybridMultilevel"/>
    <w:tmpl w:val="0C2A2D3C"/>
    <w:lvl w:ilvl="0" w:tplc="041F0003">
      <w:start w:val="1"/>
      <w:numFmt w:val="bullet"/>
      <w:lvlText w:val="o"/>
      <w:lvlJc w:val="left"/>
      <w:pPr>
        <w:ind w:left="1146" w:hanging="360"/>
      </w:pPr>
      <w:rPr>
        <w:rFonts w:ascii="Courier New" w:hAnsi="Courier New" w:cs="Courier New"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03" w15:restartNumberingAfterBreak="0">
    <w:nsid w:val="482A4895"/>
    <w:multiLevelType w:val="hybridMultilevel"/>
    <w:tmpl w:val="5B262D28"/>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4" w15:restartNumberingAfterBreak="0">
    <w:nsid w:val="48E9461E"/>
    <w:multiLevelType w:val="hybridMultilevel"/>
    <w:tmpl w:val="831AFD3A"/>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5" w15:restartNumberingAfterBreak="0">
    <w:nsid w:val="48F35E22"/>
    <w:multiLevelType w:val="hybridMultilevel"/>
    <w:tmpl w:val="69B49238"/>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6" w15:restartNumberingAfterBreak="0">
    <w:nsid w:val="4919178F"/>
    <w:multiLevelType w:val="hybridMultilevel"/>
    <w:tmpl w:val="4B9AACFE"/>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7" w15:restartNumberingAfterBreak="0">
    <w:nsid w:val="49657D09"/>
    <w:multiLevelType w:val="hybridMultilevel"/>
    <w:tmpl w:val="410E2A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8" w15:restartNumberingAfterBreak="0">
    <w:nsid w:val="4B3F780E"/>
    <w:multiLevelType w:val="hybridMultilevel"/>
    <w:tmpl w:val="F4B0A66E"/>
    <w:lvl w:ilvl="0" w:tplc="4BF43534">
      <w:numFmt w:val="bullet"/>
      <w:lvlText w:val="-"/>
      <w:lvlJc w:val="left"/>
      <w:pPr>
        <w:ind w:left="720" w:hanging="360"/>
      </w:pPr>
      <w:rPr>
        <w:rFonts w:ascii="Times New Roman" w:eastAsia="Times New Roman" w:hAnsi="Times New Roman" w:cs="Times New Roman" w:hint="default"/>
        <w:w w:val="100"/>
        <w:sz w:val="20"/>
        <w:szCs w:val="20"/>
        <w:lang w:val="en-US"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9" w15:restartNumberingAfterBreak="0">
    <w:nsid w:val="4B6F1496"/>
    <w:multiLevelType w:val="multilevel"/>
    <w:tmpl w:val="0B76FBF8"/>
    <w:styleLink w:val="GeerliListe8"/>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0" w15:restartNumberingAfterBreak="0">
    <w:nsid w:val="4BF375F3"/>
    <w:multiLevelType w:val="hybridMultilevel"/>
    <w:tmpl w:val="16C6F506"/>
    <w:lvl w:ilvl="0" w:tplc="9FE0EF82">
      <w:start w:val="1"/>
      <w:numFmt w:val="lowerRoman"/>
      <w:lvlText w:val="%1."/>
      <w:lvlJc w:val="left"/>
      <w:pPr>
        <w:ind w:left="720" w:hanging="6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1" w15:restartNumberingAfterBreak="0">
    <w:nsid w:val="4CB87650"/>
    <w:multiLevelType w:val="hybridMultilevel"/>
    <w:tmpl w:val="4F20E26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2" w15:restartNumberingAfterBreak="0">
    <w:nsid w:val="4D6E2E88"/>
    <w:multiLevelType w:val="hybridMultilevel"/>
    <w:tmpl w:val="B69CF3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7">
      <w:start w:val="1"/>
      <w:numFmt w:val="lowerLetter"/>
      <w:lvlText w:val="%3)"/>
      <w:lvlJc w:val="lef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3" w15:restartNumberingAfterBreak="0">
    <w:nsid w:val="4D905AE7"/>
    <w:multiLevelType w:val="hybridMultilevel"/>
    <w:tmpl w:val="4C887DCC"/>
    <w:lvl w:ilvl="0" w:tplc="EC28822C">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4" w15:restartNumberingAfterBreak="0">
    <w:nsid w:val="4DB14BAA"/>
    <w:multiLevelType w:val="hybridMultilevel"/>
    <w:tmpl w:val="6CBE30D0"/>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5" w15:restartNumberingAfterBreak="0">
    <w:nsid w:val="4DD7002D"/>
    <w:multiLevelType w:val="hybridMultilevel"/>
    <w:tmpl w:val="CA3AA9BA"/>
    <w:lvl w:ilvl="0" w:tplc="7A86E5C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6" w15:restartNumberingAfterBreak="0">
    <w:nsid w:val="4DE51630"/>
    <w:multiLevelType w:val="multilevel"/>
    <w:tmpl w:val="5706FA48"/>
    <w:styleLink w:val="Numberlist"/>
    <w:lvl w:ilvl="0">
      <w:start w:val="1"/>
      <w:numFmt w:val="decimal"/>
      <w:lvlText w:val="%1."/>
      <w:lvlJc w:val="left"/>
      <w:pPr>
        <w:tabs>
          <w:tab w:val="num" w:pos="567"/>
        </w:tabs>
        <w:ind w:left="567" w:hanging="567"/>
      </w:pPr>
      <w:rPr>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7" w15:restartNumberingAfterBreak="0">
    <w:nsid w:val="4E40246C"/>
    <w:multiLevelType w:val="hybridMultilevel"/>
    <w:tmpl w:val="05E8F7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8" w15:restartNumberingAfterBreak="0">
    <w:nsid w:val="4E8760B7"/>
    <w:multiLevelType w:val="multilevel"/>
    <w:tmpl w:val="5DCE2432"/>
    <w:styleLink w:val="StyleNumbered"/>
    <w:lvl w:ilvl="0">
      <w:start w:val="1"/>
      <w:numFmt w:val="lowerLetter"/>
      <w:lvlText w:val="(%1)"/>
      <w:lvlJc w:val="left"/>
      <w:pPr>
        <w:tabs>
          <w:tab w:val="num" w:pos="567"/>
        </w:tabs>
        <w:ind w:left="567" w:hanging="567"/>
      </w:pPr>
      <w:rPr>
        <w:rFonts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9" w15:restartNumberingAfterBreak="0">
    <w:nsid w:val="4F511D7A"/>
    <w:multiLevelType w:val="hybridMultilevel"/>
    <w:tmpl w:val="22A6BA5C"/>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220" w15:restartNumberingAfterBreak="0">
    <w:nsid w:val="4FE00D67"/>
    <w:multiLevelType w:val="hybridMultilevel"/>
    <w:tmpl w:val="9864C1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1" w15:restartNumberingAfterBreak="0">
    <w:nsid w:val="507E2E46"/>
    <w:multiLevelType w:val="hybridMultilevel"/>
    <w:tmpl w:val="83E21BD8"/>
    <w:lvl w:ilvl="0" w:tplc="DCDA5C1E">
      <w:start w:val="1"/>
      <w:numFmt w:val="decimal"/>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2" w15:restartNumberingAfterBreak="0">
    <w:nsid w:val="50C2732D"/>
    <w:multiLevelType w:val="hybridMultilevel"/>
    <w:tmpl w:val="94C0FB76"/>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223" w15:restartNumberingAfterBreak="0">
    <w:nsid w:val="51AB437A"/>
    <w:multiLevelType w:val="hybridMultilevel"/>
    <w:tmpl w:val="BE4E59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4" w15:restartNumberingAfterBreak="0">
    <w:nsid w:val="51AE39B2"/>
    <w:multiLevelType w:val="hybridMultilevel"/>
    <w:tmpl w:val="2D323A08"/>
    <w:lvl w:ilvl="0" w:tplc="39CCC2F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5" w15:restartNumberingAfterBreak="0">
    <w:nsid w:val="51C64D90"/>
    <w:multiLevelType w:val="hybridMultilevel"/>
    <w:tmpl w:val="ED92A8E2"/>
    <w:lvl w:ilvl="0" w:tplc="94C01798">
      <w:start w:val="1"/>
      <w:numFmt w:val="upperRoman"/>
      <w:lvlText w:val="%1."/>
      <w:lvlJc w:val="left"/>
      <w:pPr>
        <w:ind w:left="1080" w:hanging="72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6" w15:restartNumberingAfterBreak="0">
    <w:nsid w:val="52402491"/>
    <w:multiLevelType w:val="multilevel"/>
    <w:tmpl w:val="1F0683F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7" w15:restartNumberingAfterBreak="0">
    <w:nsid w:val="52EE424B"/>
    <w:multiLevelType w:val="hybridMultilevel"/>
    <w:tmpl w:val="0CB4B81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8" w15:restartNumberingAfterBreak="0">
    <w:nsid w:val="541A2642"/>
    <w:multiLevelType w:val="hybridMultilevel"/>
    <w:tmpl w:val="F90283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9" w15:restartNumberingAfterBreak="0">
    <w:nsid w:val="541F7C89"/>
    <w:multiLevelType w:val="hybridMultilevel"/>
    <w:tmpl w:val="6186A650"/>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0" w15:restartNumberingAfterBreak="0">
    <w:nsid w:val="542A1CC6"/>
    <w:multiLevelType w:val="hybridMultilevel"/>
    <w:tmpl w:val="0D3027FA"/>
    <w:lvl w:ilvl="0" w:tplc="A93CEC60">
      <w:numFmt w:val="bullet"/>
      <w:lvlText w:val="-"/>
      <w:lvlJc w:val="left"/>
      <w:pPr>
        <w:ind w:left="720" w:hanging="360"/>
      </w:pPr>
      <w:rPr>
        <w:rFonts w:ascii="Times New Roman" w:eastAsia="Times New Roman" w:hAnsi="Times New Roman" w:cs="Times New Roman" w:hint="default"/>
        <w:b/>
        <w:bCs/>
        <w:i w:val="0"/>
        <w:iCs w:val="0"/>
        <w:w w:val="100"/>
        <w:sz w:val="22"/>
        <w:szCs w:val="22"/>
        <w:lang w:val="en-US"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1" w15:restartNumberingAfterBreak="0">
    <w:nsid w:val="55642D11"/>
    <w:multiLevelType w:val="hybridMultilevel"/>
    <w:tmpl w:val="58C042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2" w15:restartNumberingAfterBreak="0">
    <w:nsid w:val="55880618"/>
    <w:multiLevelType w:val="hybridMultilevel"/>
    <w:tmpl w:val="85AA559E"/>
    <w:lvl w:ilvl="0" w:tplc="A38EF9B6">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3" w15:restartNumberingAfterBreak="0">
    <w:nsid w:val="561E7EFC"/>
    <w:multiLevelType w:val="hybridMultilevel"/>
    <w:tmpl w:val="CE62419C"/>
    <w:lvl w:ilvl="0" w:tplc="A93CEC60">
      <w:numFmt w:val="bullet"/>
      <w:lvlText w:val="-"/>
      <w:lvlJc w:val="left"/>
      <w:pPr>
        <w:ind w:left="720" w:hanging="360"/>
      </w:pPr>
      <w:rPr>
        <w:rFonts w:ascii="Times New Roman" w:eastAsia="Times New Roman" w:hAnsi="Times New Roman" w:cs="Times New Roman" w:hint="default"/>
        <w:b/>
        <w:bCs/>
        <w:i w:val="0"/>
        <w:iCs w:val="0"/>
        <w:w w:val="100"/>
        <w:sz w:val="22"/>
        <w:szCs w:val="22"/>
        <w:lang w:val="en-US"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4" w15:restartNumberingAfterBreak="0">
    <w:nsid w:val="56CD4B2E"/>
    <w:multiLevelType w:val="hybridMultilevel"/>
    <w:tmpl w:val="D5CC6C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5748343F"/>
    <w:multiLevelType w:val="hybridMultilevel"/>
    <w:tmpl w:val="15A6FFC8"/>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6" w15:restartNumberingAfterBreak="0">
    <w:nsid w:val="58AE4878"/>
    <w:multiLevelType w:val="hybridMultilevel"/>
    <w:tmpl w:val="50E02A3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37" w15:restartNumberingAfterBreak="0">
    <w:nsid w:val="59637421"/>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8" w15:restartNumberingAfterBreak="0">
    <w:nsid w:val="59C64BF7"/>
    <w:multiLevelType w:val="hybridMultilevel"/>
    <w:tmpl w:val="F78EB6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9" w15:restartNumberingAfterBreak="0">
    <w:nsid w:val="5A3B58D8"/>
    <w:multiLevelType w:val="hybridMultilevel"/>
    <w:tmpl w:val="22046938"/>
    <w:lvl w:ilvl="0" w:tplc="A93CEC60">
      <w:numFmt w:val="bullet"/>
      <w:lvlText w:val="-"/>
      <w:lvlJc w:val="left"/>
      <w:pPr>
        <w:ind w:left="720" w:hanging="360"/>
      </w:pPr>
      <w:rPr>
        <w:rFonts w:ascii="Times New Roman" w:eastAsia="Times New Roman" w:hAnsi="Times New Roman" w:cs="Times New Roman" w:hint="default"/>
        <w:b/>
        <w:bCs/>
        <w:i w:val="0"/>
        <w:iCs w:val="0"/>
        <w:w w:val="100"/>
        <w:sz w:val="22"/>
        <w:szCs w:val="22"/>
        <w:lang w:val="en-US"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0" w15:restartNumberingAfterBreak="0">
    <w:nsid w:val="5A94206D"/>
    <w:multiLevelType w:val="hybridMultilevel"/>
    <w:tmpl w:val="751084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1" w15:restartNumberingAfterBreak="0">
    <w:nsid w:val="5A9A7ED9"/>
    <w:multiLevelType w:val="hybridMultilevel"/>
    <w:tmpl w:val="46267A3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42" w15:restartNumberingAfterBreak="0">
    <w:nsid w:val="5A9C6824"/>
    <w:multiLevelType w:val="hybridMultilevel"/>
    <w:tmpl w:val="89FAE762"/>
    <w:lvl w:ilvl="0" w:tplc="6CAC72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3" w15:restartNumberingAfterBreak="0">
    <w:nsid w:val="5ABC1874"/>
    <w:multiLevelType w:val="hybridMultilevel"/>
    <w:tmpl w:val="18DE4CCC"/>
    <w:lvl w:ilvl="0" w:tplc="92461EC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4" w15:restartNumberingAfterBreak="0">
    <w:nsid w:val="5ACB5E62"/>
    <w:multiLevelType w:val="hybridMultilevel"/>
    <w:tmpl w:val="A5EE1176"/>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45" w15:restartNumberingAfterBreak="0">
    <w:nsid w:val="5AE83737"/>
    <w:multiLevelType w:val="hybridMultilevel"/>
    <w:tmpl w:val="798C6EAE"/>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6" w15:restartNumberingAfterBreak="0">
    <w:nsid w:val="5B0F09BE"/>
    <w:multiLevelType w:val="hybridMultilevel"/>
    <w:tmpl w:val="EA16F6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7" w15:restartNumberingAfterBreak="0">
    <w:nsid w:val="5BA20F5F"/>
    <w:multiLevelType w:val="hybridMultilevel"/>
    <w:tmpl w:val="E2E89D28"/>
    <w:lvl w:ilvl="0" w:tplc="86364022">
      <w:start w:val="1"/>
      <w:numFmt w:val="bullet"/>
      <w:lvlText w:val="−"/>
      <w:lvlJc w:val="left"/>
      <w:pPr>
        <w:ind w:left="720" w:hanging="360"/>
      </w:pPr>
      <w:rPr>
        <w:rFonts w:ascii="Arial" w:eastAsia="Arial"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8" w15:restartNumberingAfterBreak="0">
    <w:nsid w:val="5BEA5F9B"/>
    <w:multiLevelType w:val="hybridMultilevel"/>
    <w:tmpl w:val="43521DDA"/>
    <w:lvl w:ilvl="0" w:tplc="63426E56">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9" w15:restartNumberingAfterBreak="0">
    <w:nsid w:val="5D3C199E"/>
    <w:multiLevelType w:val="multilevel"/>
    <w:tmpl w:val="D8B8C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5E257477"/>
    <w:multiLevelType w:val="hybridMultilevel"/>
    <w:tmpl w:val="92044D0C"/>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1" w15:restartNumberingAfterBreak="0">
    <w:nsid w:val="60BF4AF7"/>
    <w:multiLevelType w:val="hybridMultilevel"/>
    <w:tmpl w:val="C9A20704"/>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2" w15:restartNumberingAfterBreak="0">
    <w:nsid w:val="618162E4"/>
    <w:multiLevelType w:val="hybridMultilevel"/>
    <w:tmpl w:val="3AE275F8"/>
    <w:lvl w:ilvl="0" w:tplc="4BF43534">
      <w:numFmt w:val="bullet"/>
      <w:lvlText w:val="-"/>
      <w:lvlJc w:val="left"/>
      <w:pPr>
        <w:ind w:left="720" w:hanging="360"/>
      </w:pPr>
      <w:rPr>
        <w:rFonts w:ascii="Times New Roman" w:eastAsia="Times New Roman" w:hAnsi="Times New Roman" w:cs="Times New Roman" w:hint="default"/>
        <w:w w:val="100"/>
        <w:sz w:val="20"/>
        <w:szCs w:val="20"/>
        <w:lang w:val="en-US"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3" w15:restartNumberingAfterBreak="0">
    <w:nsid w:val="62773FA7"/>
    <w:multiLevelType w:val="hybridMultilevel"/>
    <w:tmpl w:val="4BCC2B58"/>
    <w:lvl w:ilvl="0" w:tplc="86364022">
      <w:start w:val="1"/>
      <w:numFmt w:val="bullet"/>
      <w:lvlText w:val="−"/>
      <w:lvlJc w:val="left"/>
      <w:pPr>
        <w:ind w:left="720" w:hanging="360"/>
      </w:pPr>
      <w:rPr>
        <w:rFonts w:ascii="Arial" w:eastAsia="Arial"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4" w15:restartNumberingAfterBreak="0">
    <w:nsid w:val="62B50F7B"/>
    <w:multiLevelType w:val="hybridMultilevel"/>
    <w:tmpl w:val="2248850A"/>
    <w:lvl w:ilvl="0" w:tplc="F4BC92D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5" w15:restartNumberingAfterBreak="0">
    <w:nsid w:val="64502839"/>
    <w:multiLevelType w:val="hybridMultilevel"/>
    <w:tmpl w:val="741025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6" w15:restartNumberingAfterBreak="0">
    <w:nsid w:val="64D17C5B"/>
    <w:multiLevelType w:val="hybridMultilevel"/>
    <w:tmpl w:val="9536B9BA"/>
    <w:lvl w:ilvl="0" w:tplc="8D7086A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7" w15:restartNumberingAfterBreak="0">
    <w:nsid w:val="657C0D69"/>
    <w:multiLevelType w:val="hybridMultilevel"/>
    <w:tmpl w:val="93DCFC10"/>
    <w:lvl w:ilvl="0" w:tplc="08090003">
      <w:start w:val="1"/>
      <w:numFmt w:val="bullet"/>
      <w:pStyle w:val="Bullet1"/>
      <w:lvlText w:val=""/>
      <w:lvlJc w:val="left"/>
      <w:pPr>
        <w:tabs>
          <w:tab w:val="num" w:pos="720"/>
        </w:tabs>
        <w:ind w:left="720" w:hanging="360"/>
      </w:pPr>
      <w:rPr>
        <w:rFonts w:ascii="Symbol" w:hAnsi="Symbol" w:hint="default"/>
      </w:rPr>
    </w:lvl>
    <w:lvl w:ilvl="1" w:tplc="08090003">
      <w:start w:val="1"/>
      <w:numFmt w:val="bullet"/>
      <w:pStyle w:val="Bullet2"/>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8" w15:restartNumberingAfterBreak="0">
    <w:nsid w:val="65D60CDF"/>
    <w:multiLevelType w:val="multilevel"/>
    <w:tmpl w:val="4888ECE6"/>
    <w:styleLink w:val="GeerliListe13"/>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9" w15:restartNumberingAfterBreak="0">
    <w:nsid w:val="6783593E"/>
    <w:multiLevelType w:val="hybridMultilevel"/>
    <w:tmpl w:val="D1064B10"/>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60" w15:restartNumberingAfterBreak="0">
    <w:nsid w:val="67C00EA2"/>
    <w:multiLevelType w:val="hybridMultilevel"/>
    <w:tmpl w:val="40A0CF6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1" w15:restartNumberingAfterBreak="0">
    <w:nsid w:val="686A7CB1"/>
    <w:multiLevelType w:val="multilevel"/>
    <w:tmpl w:val="A7FAB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8723AFA"/>
    <w:multiLevelType w:val="hybridMultilevel"/>
    <w:tmpl w:val="972E29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3" w15:restartNumberingAfterBreak="0">
    <w:nsid w:val="69BA50F9"/>
    <w:multiLevelType w:val="hybridMultilevel"/>
    <w:tmpl w:val="1E88BE30"/>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4" w15:restartNumberingAfterBreak="0">
    <w:nsid w:val="69D15615"/>
    <w:multiLevelType w:val="hybridMultilevel"/>
    <w:tmpl w:val="64603ED6"/>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5" w15:restartNumberingAfterBreak="0">
    <w:nsid w:val="6A8E21D8"/>
    <w:multiLevelType w:val="hybridMultilevel"/>
    <w:tmpl w:val="47DE84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6" w15:restartNumberingAfterBreak="0">
    <w:nsid w:val="6B97483B"/>
    <w:multiLevelType w:val="hybridMultilevel"/>
    <w:tmpl w:val="78CCC8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7" w15:restartNumberingAfterBreak="0">
    <w:nsid w:val="6C000B8D"/>
    <w:multiLevelType w:val="hybridMultilevel"/>
    <w:tmpl w:val="98CEBD5A"/>
    <w:lvl w:ilvl="0" w:tplc="86364022">
      <w:start w:val="1"/>
      <w:numFmt w:val="bullet"/>
      <w:lvlText w:val="−"/>
      <w:lvlJc w:val="left"/>
      <w:pPr>
        <w:ind w:left="752" w:hanging="360"/>
      </w:pPr>
      <w:rPr>
        <w:rFonts w:ascii="Arial" w:eastAsia="Arial" w:hAnsi="Arial" w:cs="Arial" w:hint="default"/>
      </w:rPr>
    </w:lvl>
    <w:lvl w:ilvl="1" w:tplc="041F0003" w:tentative="1">
      <w:start w:val="1"/>
      <w:numFmt w:val="bullet"/>
      <w:lvlText w:val="o"/>
      <w:lvlJc w:val="left"/>
      <w:pPr>
        <w:ind w:left="1472" w:hanging="360"/>
      </w:pPr>
      <w:rPr>
        <w:rFonts w:ascii="Courier New" w:hAnsi="Courier New" w:cs="Courier New" w:hint="default"/>
      </w:rPr>
    </w:lvl>
    <w:lvl w:ilvl="2" w:tplc="041F0005" w:tentative="1">
      <w:start w:val="1"/>
      <w:numFmt w:val="bullet"/>
      <w:lvlText w:val=""/>
      <w:lvlJc w:val="left"/>
      <w:pPr>
        <w:ind w:left="2192" w:hanging="360"/>
      </w:pPr>
      <w:rPr>
        <w:rFonts w:ascii="Wingdings" w:hAnsi="Wingdings" w:hint="default"/>
      </w:rPr>
    </w:lvl>
    <w:lvl w:ilvl="3" w:tplc="041F0001" w:tentative="1">
      <w:start w:val="1"/>
      <w:numFmt w:val="bullet"/>
      <w:lvlText w:val=""/>
      <w:lvlJc w:val="left"/>
      <w:pPr>
        <w:ind w:left="2912" w:hanging="360"/>
      </w:pPr>
      <w:rPr>
        <w:rFonts w:ascii="Symbol" w:hAnsi="Symbol" w:hint="default"/>
      </w:rPr>
    </w:lvl>
    <w:lvl w:ilvl="4" w:tplc="041F0003" w:tentative="1">
      <w:start w:val="1"/>
      <w:numFmt w:val="bullet"/>
      <w:lvlText w:val="o"/>
      <w:lvlJc w:val="left"/>
      <w:pPr>
        <w:ind w:left="3632" w:hanging="360"/>
      </w:pPr>
      <w:rPr>
        <w:rFonts w:ascii="Courier New" w:hAnsi="Courier New" w:cs="Courier New" w:hint="default"/>
      </w:rPr>
    </w:lvl>
    <w:lvl w:ilvl="5" w:tplc="041F0005" w:tentative="1">
      <w:start w:val="1"/>
      <w:numFmt w:val="bullet"/>
      <w:lvlText w:val=""/>
      <w:lvlJc w:val="left"/>
      <w:pPr>
        <w:ind w:left="4352" w:hanging="360"/>
      </w:pPr>
      <w:rPr>
        <w:rFonts w:ascii="Wingdings" w:hAnsi="Wingdings" w:hint="default"/>
      </w:rPr>
    </w:lvl>
    <w:lvl w:ilvl="6" w:tplc="041F0001" w:tentative="1">
      <w:start w:val="1"/>
      <w:numFmt w:val="bullet"/>
      <w:lvlText w:val=""/>
      <w:lvlJc w:val="left"/>
      <w:pPr>
        <w:ind w:left="5072" w:hanging="360"/>
      </w:pPr>
      <w:rPr>
        <w:rFonts w:ascii="Symbol" w:hAnsi="Symbol" w:hint="default"/>
      </w:rPr>
    </w:lvl>
    <w:lvl w:ilvl="7" w:tplc="041F0003" w:tentative="1">
      <w:start w:val="1"/>
      <w:numFmt w:val="bullet"/>
      <w:lvlText w:val="o"/>
      <w:lvlJc w:val="left"/>
      <w:pPr>
        <w:ind w:left="5792" w:hanging="360"/>
      </w:pPr>
      <w:rPr>
        <w:rFonts w:ascii="Courier New" w:hAnsi="Courier New" w:cs="Courier New" w:hint="default"/>
      </w:rPr>
    </w:lvl>
    <w:lvl w:ilvl="8" w:tplc="041F0005" w:tentative="1">
      <w:start w:val="1"/>
      <w:numFmt w:val="bullet"/>
      <w:lvlText w:val=""/>
      <w:lvlJc w:val="left"/>
      <w:pPr>
        <w:ind w:left="6512" w:hanging="360"/>
      </w:pPr>
      <w:rPr>
        <w:rFonts w:ascii="Wingdings" w:hAnsi="Wingdings" w:hint="default"/>
      </w:rPr>
    </w:lvl>
  </w:abstractNum>
  <w:abstractNum w:abstractNumId="268" w15:restartNumberingAfterBreak="0">
    <w:nsid w:val="6C292141"/>
    <w:multiLevelType w:val="hybridMultilevel"/>
    <w:tmpl w:val="15ACA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9" w15:restartNumberingAfterBreak="0">
    <w:nsid w:val="6C456551"/>
    <w:multiLevelType w:val="hybridMultilevel"/>
    <w:tmpl w:val="5FF226EC"/>
    <w:lvl w:ilvl="0" w:tplc="F9AA7F88">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0" w15:restartNumberingAfterBreak="0">
    <w:nsid w:val="6CDF7554"/>
    <w:multiLevelType w:val="hybridMultilevel"/>
    <w:tmpl w:val="ED1E21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1" w15:restartNumberingAfterBreak="0">
    <w:nsid w:val="6CF838DD"/>
    <w:multiLevelType w:val="hybridMultilevel"/>
    <w:tmpl w:val="79B202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2" w15:restartNumberingAfterBreak="0">
    <w:nsid w:val="6D274D2B"/>
    <w:multiLevelType w:val="hybridMultilevel"/>
    <w:tmpl w:val="456807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3" w15:restartNumberingAfterBreak="0">
    <w:nsid w:val="6D8B2996"/>
    <w:multiLevelType w:val="hybridMultilevel"/>
    <w:tmpl w:val="5422F3A2"/>
    <w:lvl w:ilvl="0" w:tplc="05C25AF2">
      <w:start w:val="1"/>
      <w:numFmt w:val="lowerRoman"/>
      <w:lvlText w:val="%1."/>
      <w:lvlJc w:val="left"/>
      <w:pPr>
        <w:ind w:left="1146" w:hanging="720"/>
      </w:pPr>
      <w:rPr>
        <w:rFonts w:hint="default"/>
        <w:color w:val="000000"/>
        <w:sz w:val="24"/>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74" w15:restartNumberingAfterBreak="0">
    <w:nsid w:val="6D8C59A9"/>
    <w:multiLevelType w:val="hybridMultilevel"/>
    <w:tmpl w:val="05C233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5" w15:restartNumberingAfterBreak="0">
    <w:nsid w:val="6E253E47"/>
    <w:multiLevelType w:val="hybridMultilevel"/>
    <w:tmpl w:val="DE2AA082"/>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276" w15:restartNumberingAfterBreak="0">
    <w:nsid w:val="6E2F52DA"/>
    <w:multiLevelType w:val="hybridMultilevel"/>
    <w:tmpl w:val="88523A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7" w15:restartNumberingAfterBreak="0">
    <w:nsid w:val="6E56252A"/>
    <w:multiLevelType w:val="multilevel"/>
    <w:tmpl w:val="F87C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E934B16"/>
    <w:multiLevelType w:val="hybridMultilevel"/>
    <w:tmpl w:val="B652F3F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9" w15:restartNumberingAfterBreak="0">
    <w:nsid w:val="6EA201A1"/>
    <w:multiLevelType w:val="hybridMultilevel"/>
    <w:tmpl w:val="809A00A2"/>
    <w:lvl w:ilvl="0" w:tplc="9CE2EF66">
      <w:start w:val="1"/>
      <w:numFmt w:val="decimal"/>
      <w:lvlText w:val="(%1)"/>
      <w:lvlJc w:val="left"/>
      <w:pPr>
        <w:ind w:left="720" w:hanging="360"/>
      </w:pPr>
      <w:rPr>
        <w:rFonts w:ascii="Times New Roman" w:eastAsia="Times New Roman" w:hAnsi="Times New Roman" w:cs="Arial"/>
        <w:b/>
        <w:bCs/>
        <w:i w:val="0"/>
        <w:iCs w:val="0"/>
        <w:w w:val="100"/>
        <w:sz w:val="22"/>
        <w:szCs w:val="22"/>
        <w:lang w:val="en-US"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0" w15:restartNumberingAfterBreak="0">
    <w:nsid w:val="6ED36669"/>
    <w:multiLevelType w:val="multilevel"/>
    <w:tmpl w:val="E2B83160"/>
    <w:lvl w:ilvl="0">
      <w:start w:val="1"/>
      <w:numFmt w:val="bullet"/>
      <w:lvlText w:val=""/>
      <w:lvlJc w:val="left"/>
      <w:pPr>
        <w:ind w:left="720" w:hanging="360"/>
      </w:pPr>
      <w:rPr>
        <w:rFonts w:ascii="Symbol" w:hAnsi="Symbol" w:hint="default"/>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281" w15:restartNumberingAfterBreak="0">
    <w:nsid w:val="6EF453C8"/>
    <w:multiLevelType w:val="multilevel"/>
    <w:tmpl w:val="A86A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F75392A"/>
    <w:multiLevelType w:val="multilevel"/>
    <w:tmpl w:val="A326715A"/>
    <w:lvl w:ilvl="0">
      <w:start w:val="1"/>
      <w:numFmt w:val="upperRoman"/>
      <w:lvlText w:val="%1."/>
      <w:lvlJc w:val="left"/>
      <w:pPr>
        <w:ind w:left="360" w:hanging="360"/>
      </w:pPr>
      <w:rPr>
        <w:rFonts w:hint="default"/>
      </w:rPr>
    </w:lvl>
    <w:lvl w:ilvl="1">
      <w:start w:val="1"/>
      <w:numFmt w:val="decimal"/>
      <w:isLgl/>
      <w:lvlText w:val="%1.%2."/>
      <w:lvlJc w:val="left"/>
      <w:pPr>
        <w:ind w:left="540" w:hanging="540"/>
      </w:pPr>
      <w:rPr>
        <w:rFonts w:cs="Times New Roman" w:hint="default"/>
        <w:b/>
        <w:bCs w:val="0"/>
        <w:color w:val="000000"/>
      </w:rPr>
    </w:lvl>
    <w:lvl w:ilvl="2">
      <w:start w:val="6"/>
      <w:numFmt w:val="decimal"/>
      <w:isLgl/>
      <w:lvlText w:val="%1.%2.%3."/>
      <w:lvlJc w:val="left"/>
      <w:pPr>
        <w:ind w:left="720" w:hanging="720"/>
      </w:pPr>
      <w:rPr>
        <w:rFonts w:cs="Times New Roman" w:hint="default"/>
        <w:color w:val="000000"/>
      </w:rPr>
    </w:lvl>
    <w:lvl w:ilvl="3">
      <w:start w:val="1"/>
      <w:numFmt w:val="decimal"/>
      <w:isLgl/>
      <w:lvlText w:val="%1.%2.%3.%4."/>
      <w:lvlJc w:val="left"/>
      <w:pPr>
        <w:ind w:left="720" w:hanging="720"/>
      </w:pPr>
      <w:rPr>
        <w:rFonts w:cs="Times New Roman" w:hint="default"/>
        <w:color w:val="000000"/>
      </w:rPr>
    </w:lvl>
    <w:lvl w:ilvl="4">
      <w:start w:val="1"/>
      <w:numFmt w:val="decimal"/>
      <w:isLgl/>
      <w:lvlText w:val="%1.%2.%3.%4.%5."/>
      <w:lvlJc w:val="left"/>
      <w:pPr>
        <w:ind w:left="1080" w:hanging="1080"/>
      </w:pPr>
      <w:rPr>
        <w:rFonts w:cs="Times New Roman" w:hint="default"/>
        <w:color w:val="000000"/>
      </w:rPr>
    </w:lvl>
    <w:lvl w:ilvl="5">
      <w:start w:val="1"/>
      <w:numFmt w:val="decimal"/>
      <w:isLgl/>
      <w:lvlText w:val="%1.%2.%3.%4.%5.%6."/>
      <w:lvlJc w:val="left"/>
      <w:pPr>
        <w:ind w:left="1080" w:hanging="1080"/>
      </w:pPr>
      <w:rPr>
        <w:rFonts w:cs="Times New Roman" w:hint="default"/>
        <w:color w:val="000000"/>
      </w:rPr>
    </w:lvl>
    <w:lvl w:ilvl="6">
      <w:start w:val="1"/>
      <w:numFmt w:val="decimal"/>
      <w:isLgl/>
      <w:lvlText w:val="%1.%2.%3.%4.%5.%6.%7."/>
      <w:lvlJc w:val="left"/>
      <w:pPr>
        <w:ind w:left="1440" w:hanging="1440"/>
      </w:pPr>
      <w:rPr>
        <w:rFonts w:cs="Times New Roman" w:hint="default"/>
        <w:color w:val="000000"/>
      </w:rPr>
    </w:lvl>
    <w:lvl w:ilvl="7">
      <w:start w:val="1"/>
      <w:numFmt w:val="decimal"/>
      <w:isLgl/>
      <w:lvlText w:val="%1.%2.%3.%4.%5.%6.%7.%8."/>
      <w:lvlJc w:val="left"/>
      <w:pPr>
        <w:ind w:left="1440" w:hanging="1440"/>
      </w:pPr>
      <w:rPr>
        <w:rFonts w:cs="Times New Roman" w:hint="default"/>
        <w:color w:val="000000"/>
      </w:rPr>
    </w:lvl>
    <w:lvl w:ilvl="8">
      <w:start w:val="1"/>
      <w:numFmt w:val="decimal"/>
      <w:isLgl/>
      <w:lvlText w:val="%1.%2.%3.%4.%5.%6.%7.%8.%9."/>
      <w:lvlJc w:val="left"/>
      <w:pPr>
        <w:ind w:left="1800" w:hanging="1800"/>
      </w:pPr>
      <w:rPr>
        <w:rFonts w:cs="Times New Roman" w:hint="default"/>
        <w:color w:val="000000"/>
      </w:rPr>
    </w:lvl>
  </w:abstractNum>
  <w:abstractNum w:abstractNumId="283" w15:restartNumberingAfterBreak="0">
    <w:nsid w:val="6FA0115C"/>
    <w:multiLevelType w:val="hybridMultilevel"/>
    <w:tmpl w:val="A09624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4" w15:restartNumberingAfterBreak="0">
    <w:nsid w:val="6FAD1123"/>
    <w:multiLevelType w:val="hybridMultilevel"/>
    <w:tmpl w:val="86E4742E"/>
    <w:lvl w:ilvl="0" w:tplc="94FE5E1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5" w15:restartNumberingAfterBreak="0">
    <w:nsid w:val="70537105"/>
    <w:multiLevelType w:val="hybridMultilevel"/>
    <w:tmpl w:val="399C9D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6" w15:restartNumberingAfterBreak="0">
    <w:nsid w:val="7106561E"/>
    <w:multiLevelType w:val="singleLevel"/>
    <w:tmpl w:val="42DC725C"/>
    <w:lvl w:ilvl="0">
      <w:start w:val="1"/>
      <w:numFmt w:val="lowerLetter"/>
      <w:pStyle w:val="LettersTechniques"/>
      <w:lvlText w:val="(%1)"/>
      <w:lvlJc w:val="left"/>
      <w:pPr>
        <w:tabs>
          <w:tab w:val="num" w:pos="360"/>
        </w:tabs>
        <w:ind w:left="360" w:hanging="360"/>
      </w:pPr>
    </w:lvl>
  </w:abstractNum>
  <w:abstractNum w:abstractNumId="287" w15:restartNumberingAfterBreak="0">
    <w:nsid w:val="7165754C"/>
    <w:multiLevelType w:val="hybridMultilevel"/>
    <w:tmpl w:val="4B5EAAA8"/>
    <w:lvl w:ilvl="0" w:tplc="EC28822C">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8" w15:restartNumberingAfterBreak="0">
    <w:nsid w:val="722430C7"/>
    <w:multiLevelType w:val="hybridMultilevel"/>
    <w:tmpl w:val="0B1816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9" w15:restartNumberingAfterBreak="0">
    <w:nsid w:val="722C5176"/>
    <w:multiLevelType w:val="hybridMultilevel"/>
    <w:tmpl w:val="A6127A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0" w15:restartNumberingAfterBreak="0">
    <w:nsid w:val="72A44286"/>
    <w:multiLevelType w:val="hybridMultilevel"/>
    <w:tmpl w:val="C2E8BBD8"/>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91" w15:restartNumberingAfterBreak="0">
    <w:nsid w:val="738A4D27"/>
    <w:multiLevelType w:val="hybridMultilevel"/>
    <w:tmpl w:val="63FE7BE0"/>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2" w15:restartNumberingAfterBreak="0">
    <w:nsid w:val="73E563D7"/>
    <w:multiLevelType w:val="hybridMultilevel"/>
    <w:tmpl w:val="D5CC6C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3" w15:restartNumberingAfterBreak="0">
    <w:nsid w:val="740358AD"/>
    <w:multiLevelType w:val="hybridMultilevel"/>
    <w:tmpl w:val="4D622F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4" w15:restartNumberingAfterBreak="0">
    <w:nsid w:val="740F4301"/>
    <w:multiLevelType w:val="hybridMultilevel"/>
    <w:tmpl w:val="1F5EA2DA"/>
    <w:lvl w:ilvl="0" w:tplc="11A08EFA">
      <w:start w:val="1"/>
      <w:numFmt w:val="bullet"/>
      <w:pStyle w:val="ListeParagraf"/>
      <w:lvlText w:val=""/>
      <w:lvlJc w:val="left"/>
      <w:pPr>
        <w:ind w:left="1308" w:hanging="360"/>
      </w:pPr>
      <w:rPr>
        <w:rFonts w:ascii="Symbol" w:hAnsi="Symbol" w:hint="default"/>
      </w:rPr>
    </w:lvl>
    <w:lvl w:ilvl="1" w:tplc="04090003" w:tentative="1">
      <w:start w:val="1"/>
      <w:numFmt w:val="bullet"/>
      <w:lvlText w:val="o"/>
      <w:lvlJc w:val="left"/>
      <w:pPr>
        <w:ind w:left="2028" w:hanging="360"/>
      </w:pPr>
      <w:rPr>
        <w:rFonts w:ascii="Courier New" w:hAnsi="Courier New" w:cs="Courier New" w:hint="default"/>
      </w:rPr>
    </w:lvl>
    <w:lvl w:ilvl="2" w:tplc="04090005" w:tentative="1">
      <w:start w:val="1"/>
      <w:numFmt w:val="bullet"/>
      <w:lvlText w:val=""/>
      <w:lvlJc w:val="left"/>
      <w:pPr>
        <w:ind w:left="2748" w:hanging="360"/>
      </w:pPr>
      <w:rPr>
        <w:rFonts w:ascii="Wingdings" w:hAnsi="Wingdings" w:hint="default"/>
      </w:rPr>
    </w:lvl>
    <w:lvl w:ilvl="3" w:tplc="04090001" w:tentative="1">
      <w:start w:val="1"/>
      <w:numFmt w:val="bullet"/>
      <w:lvlText w:val=""/>
      <w:lvlJc w:val="left"/>
      <w:pPr>
        <w:ind w:left="3468" w:hanging="360"/>
      </w:pPr>
      <w:rPr>
        <w:rFonts w:ascii="Symbol" w:hAnsi="Symbol" w:hint="default"/>
      </w:rPr>
    </w:lvl>
    <w:lvl w:ilvl="4" w:tplc="04090003" w:tentative="1">
      <w:start w:val="1"/>
      <w:numFmt w:val="bullet"/>
      <w:lvlText w:val="o"/>
      <w:lvlJc w:val="left"/>
      <w:pPr>
        <w:ind w:left="4188" w:hanging="360"/>
      </w:pPr>
      <w:rPr>
        <w:rFonts w:ascii="Courier New" w:hAnsi="Courier New" w:cs="Courier New" w:hint="default"/>
      </w:rPr>
    </w:lvl>
    <w:lvl w:ilvl="5" w:tplc="04090005" w:tentative="1">
      <w:start w:val="1"/>
      <w:numFmt w:val="bullet"/>
      <w:lvlText w:val=""/>
      <w:lvlJc w:val="left"/>
      <w:pPr>
        <w:ind w:left="4908" w:hanging="360"/>
      </w:pPr>
      <w:rPr>
        <w:rFonts w:ascii="Wingdings" w:hAnsi="Wingdings" w:hint="default"/>
      </w:rPr>
    </w:lvl>
    <w:lvl w:ilvl="6" w:tplc="04090001" w:tentative="1">
      <w:start w:val="1"/>
      <w:numFmt w:val="bullet"/>
      <w:lvlText w:val=""/>
      <w:lvlJc w:val="left"/>
      <w:pPr>
        <w:ind w:left="5628" w:hanging="360"/>
      </w:pPr>
      <w:rPr>
        <w:rFonts w:ascii="Symbol" w:hAnsi="Symbol" w:hint="default"/>
      </w:rPr>
    </w:lvl>
    <w:lvl w:ilvl="7" w:tplc="04090003" w:tentative="1">
      <w:start w:val="1"/>
      <w:numFmt w:val="bullet"/>
      <w:lvlText w:val="o"/>
      <w:lvlJc w:val="left"/>
      <w:pPr>
        <w:ind w:left="6348" w:hanging="360"/>
      </w:pPr>
      <w:rPr>
        <w:rFonts w:ascii="Courier New" w:hAnsi="Courier New" w:cs="Courier New" w:hint="default"/>
      </w:rPr>
    </w:lvl>
    <w:lvl w:ilvl="8" w:tplc="04090005" w:tentative="1">
      <w:start w:val="1"/>
      <w:numFmt w:val="bullet"/>
      <w:lvlText w:val=""/>
      <w:lvlJc w:val="left"/>
      <w:pPr>
        <w:ind w:left="7068" w:hanging="360"/>
      </w:pPr>
      <w:rPr>
        <w:rFonts w:ascii="Wingdings" w:hAnsi="Wingdings" w:hint="default"/>
      </w:rPr>
    </w:lvl>
  </w:abstractNum>
  <w:abstractNum w:abstractNumId="295" w15:restartNumberingAfterBreak="0">
    <w:nsid w:val="74453A0E"/>
    <w:multiLevelType w:val="multilevel"/>
    <w:tmpl w:val="6D6AFD96"/>
    <w:styleLink w:val="02SecondBullets"/>
    <w:lvl w:ilvl="0">
      <w:start w:val="1"/>
      <w:numFmt w:val="bullet"/>
      <w:lvlText w:val="◦"/>
      <w:lvlJc w:val="left"/>
      <w:pPr>
        <w:tabs>
          <w:tab w:val="num" w:pos="1134"/>
        </w:tabs>
        <w:ind w:left="1134" w:hanging="567"/>
      </w:pPr>
      <w:rPr>
        <w:rFonts w:ascii="Courier New" w:hAnsi="Courier New" w:hint="default"/>
        <w:sz w:val="22"/>
      </w:rPr>
    </w:lvl>
    <w:lvl w:ilvl="1">
      <w:start w:val="1"/>
      <w:numFmt w:val="bullet"/>
      <w:lvlText w:val="o"/>
      <w:lvlJc w:val="left"/>
      <w:pPr>
        <w:tabs>
          <w:tab w:val="num" w:pos="4219"/>
        </w:tabs>
        <w:ind w:left="4219" w:hanging="360"/>
      </w:pPr>
      <w:rPr>
        <w:rFonts w:ascii="Courier New" w:hAnsi="Courier New" w:cs="Courier New" w:hint="default"/>
      </w:rPr>
    </w:lvl>
    <w:lvl w:ilvl="2">
      <w:start w:val="1"/>
      <w:numFmt w:val="bullet"/>
      <w:lvlText w:val=""/>
      <w:lvlJc w:val="left"/>
      <w:pPr>
        <w:tabs>
          <w:tab w:val="num" w:pos="4939"/>
        </w:tabs>
        <w:ind w:left="4939" w:hanging="360"/>
      </w:pPr>
      <w:rPr>
        <w:rFonts w:ascii="Wingdings" w:hAnsi="Wingdings" w:hint="default"/>
      </w:rPr>
    </w:lvl>
    <w:lvl w:ilvl="3">
      <w:start w:val="1"/>
      <w:numFmt w:val="bullet"/>
      <w:lvlText w:val=""/>
      <w:lvlJc w:val="left"/>
      <w:pPr>
        <w:tabs>
          <w:tab w:val="num" w:pos="5659"/>
        </w:tabs>
        <w:ind w:left="5659" w:hanging="360"/>
      </w:pPr>
      <w:rPr>
        <w:rFonts w:ascii="Symbol" w:hAnsi="Symbol" w:hint="default"/>
      </w:rPr>
    </w:lvl>
    <w:lvl w:ilvl="4">
      <w:start w:val="1"/>
      <w:numFmt w:val="bullet"/>
      <w:lvlText w:val="o"/>
      <w:lvlJc w:val="left"/>
      <w:pPr>
        <w:tabs>
          <w:tab w:val="num" w:pos="6379"/>
        </w:tabs>
        <w:ind w:left="6379" w:hanging="360"/>
      </w:pPr>
      <w:rPr>
        <w:rFonts w:ascii="Courier New" w:hAnsi="Courier New" w:cs="Courier New" w:hint="default"/>
      </w:rPr>
    </w:lvl>
    <w:lvl w:ilvl="5">
      <w:start w:val="1"/>
      <w:numFmt w:val="bullet"/>
      <w:lvlText w:val=""/>
      <w:lvlJc w:val="left"/>
      <w:pPr>
        <w:tabs>
          <w:tab w:val="num" w:pos="7099"/>
        </w:tabs>
        <w:ind w:left="7099" w:hanging="360"/>
      </w:pPr>
      <w:rPr>
        <w:rFonts w:ascii="Wingdings" w:hAnsi="Wingdings" w:hint="default"/>
      </w:rPr>
    </w:lvl>
    <w:lvl w:ilvl="6">
      <w:start w:val="1"/>
      <w:numFmt w:val="bullet"/>
      <w:lvlText w:val=""/>
      <w:lvlJc w:val="left"/>
      <w:pPr>
        <w:tabs>
          <w:tab w:val="num" w:pos="7819"/>
        </w:tabs>
        <w:ind w:left="7819" w:hanging="360"/>
      </w:pPr>
      <w:rPr>
        <w:rFonts w:ascii="Symbol" w:hAnsi="Symbol" w:hint="default"/>
      </w:rPr>
    </w:lvl>
    <w:lvl w:ilvl="7">
      <w:start w:val="1"/>
      <w:numFmt w:val="bullet"/>
      <w:lvlText w:val="o"/>
      <w:lvlJc w:val="left"/>
      <w:pPr>
        <w:tabs>
          <w:tab w:val="num" w:pos="8539"/>
        </w:tabs>
        <w:ind w:left="8539" w:hanging="360"/>
      </w:pPr>
      <w:rPr>
        <w:rFonts w:ascii="Courier New" w:hAnsi="Courier New" w:cs="Courier New" w:hint="default"/>
      </w:rPr>
    </w:lvl>
    <w:lvl w:ilvl="8">
      <w:start w:val="1"/>
      <w:numFmt w:val="bullet"/>
      <w:lvlText w:val=""/>
      <w:lvlJc w:val="left"/>
      <w:pPr>
        <w:tabs>
          <w:tab w:val="num" w:pos="9259"/>
        </w:tabs>
        <w:ind w:left="9259" w:hanging="360"/>
      </w:pPr>
      <w:rPr>
        <w:rFonts w:ascii="Wingdings" w:hAnsi="Wingdings" w:hint="default"/>
      </w:rPr>
    </w:lvl>
  </w:abstractNum>
  <w:abstractNum w:abstractNumId="296" w15:restartNumberingAfterBreak="0">
    <w:nsid w:val="74D13FDA"/>
    <w:multiLevelType w:val="hybridMultilevel"/>
    <w:tmpl w:val="89420840"/>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FA6A58FE">
      <w:start w:val="1"/>
      <w:numFmt w:val="decimal"/>
      <w:lvlText w:val="%3-"/>
      <w:lvlJc w:val="left"/>
      <w:pPr>
        <w:ind w:left="2340" w:hanging="36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7" w15:restartNumberingAfterBreak="0">
    <w:nsid w:val="75811A29"/>
    <w:multiLevelType w:val="hybridMultilevel"/>
    <w:tmpl w:val="453A35EA"/>
    <w:lvl w:ilvl="0" w:tplc="4F30349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8" w15:restartNumberingAfterBreak="0">
    <w:nsid w:val="766600CD"/>
    <w:multiLevelType w:val="hybridMultilevel"/>
    <w:tmpl w:val="F398B0F8"/>
    <w:lvl w:ilvl="0" w:tplc="86364022">
      <w:start w:val="1"/>
      <w:numFmt w:val="bullet"/>
      <w:lvlText w:val="−"/>
      <w:lvlJc w:val="left"/>
      <w:pPr>
        <w:ind w:left="720" w:hanging="360"/>
      </w:pPr>
      <w:rPr>
        <w:rFonts w:ascii="Arial" w:eastAsia="Arial"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9" w15:restartNumberingAfterBreak="0">
    <w:nsid w:val="769A5628"/>
    <w:multiLevelType w:val="hybridMultilevel"/>
    <w:tmpl w:val="2108A9EC"/>
    <w:lvl w:ilvl="0" w:tplc="CC661B92">
      <w:start w:val="1"/>
      <w:numFmt w:val="lowerRoman"/>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300" w15:restartNumberingAfterBreak="0">
    <w:nsid w:val="77571E16"/>
    <w:multiLevelType w:val="hybridMultilevel"/>
    <w:tmpl w:val="DFC88CE6"/>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01" w15:restartNumberingAfterBreak="0">
    <w:nsid w:val="7766537D"/>
    <w:multiLevelType w:val="hybridMultilevel"/>
    <w:tmpl w:val="C8BA1E4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2" w15:restartNumberingAfterBreak="0">
    <w:nsid w:val="777930C5"/>
    <w:multiLevelType w:val="hybridMultilevel"/>
    <w:tmpl w:val="3D72A4E8"/>
    <w:lvl w:ilvl="0" w:tplc="7DBE685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3" w15:restartNumberingAfterBreak="0">
    <w:nsid w:val="782D3526"/>
    <w:multiLevelType w:val="hybridMultilevel"/>
    <w:tmpl w:val="62281A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4" w15:restartNumberingAfterBreak="0">
    <w:nsid w:val="785776DB"/>
    <w:multiLevelType w:val="hybridMultilevel"/>
    <w:tmpl w:val="F0069F88"/>
    <w:lvl w:ilvl="0" w:tplc="82487810">
      <w:start w:val="1"/>
      <w:numFmt w:val="upperRoman"/>
      <w:lvlText w:val="%1."/>
      <w:lvlJc w:val="left"/>
      <w:pPr>
        <w:ind w:left="72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5" w15:restartNumberingAfterBreak="0">
    <w:nsid w:val="785E138F"/>
    <w:multiLevelType w:val="hybridMultilevel"/>
    <w:tmpl w:val="30C8E1D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6" w15:restartNumberingAfterBreak="0">
    <w:nsid w:val="79E2280D"/>
    <w:multiLevelType w:val="hybridMultilevel"/>
    <w:tmpl w:val="90384BF6"/>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07" w15:restartNumberingAfterBreak="0">
    <w:nsid w:val="7B193166"/>
    <w:multiLevelType w:val="multilevel"/>
    <w:tmpl w:val="90F21A16"/>
    <w:styleLink w:val="GeerliListe15"/>
    <w:lvl w:ilvl="0">
      <w:start w:val="1"/>
      <w:numFmt w:val="decimal"/>
      <w:lvlText w:val="%1"/>
      <w:lvlJc w:val="left"/>
      <w:pPr>
        <w:ind w:left="567" w:hanging="567"/>
      </w:pPr>
      <w:rPr>
        <w:rFonts w:ascii="Arial" w:hAnsi="Arial" w:hint="default"/>
        <w:b/>
        <w:i w:val="0"/>
        <w:caps w:val="0"/>
        <w:strike w:val="0"/>
        <w:dstrike w:val="0"/>
        <w:vanish w:val="0"/>
        <w:sz w:val="28"/>
        <w:vertAlign w:val="baseline"/>
      </w:rPr>
    </w:lvl>
    <w:lvl w:ilvl="1">
      <w:start w:val="1"/>
      <w:numFmt w:val="decimal"/>
      <w:lvlText w:val="%1.%2"/>
      <w:lvlJc w:val="left"/>
      <w:pPr>
        <w:ind w:left="851" w:hanging="851"/>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ascii="Arial" w:hAnsi="Arial" w:hint="default"/>
        <w:b/>
        <w:i w:val="0"/>
        <w:sz w:val="22"/>
      </w:rPr>
    </w:lvl>
    <w:lvl w:ilvl="4">
      <w:start w:val="1"/>
      <w:numFmt w:val="decimal"/>
      <w:lvlText w:val="%1.%2.%3.%4.%5"/>
      <w:lvlJc w:val="left"/>
      <w:pPr>
        <w:ind w:left="1134" w:hanging="1134"/>
      </w:pPr>
      <w:rPr>
        <w:rFonts w:ascii="Arial" w:hAnsi="Arial" w:hint="default"/>
        <w:b/>
        <w:i w:val="0"/>
        <w:sz w:val="20"/>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ascii="Arial" w:hAnsi="Arial" w:cs="Arial" w:hint="default"/>
        <w:sz w:val="20"/>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308" w15:restartNumberingAfterBreak="0">
    <w:nsid w:val="7BE97397"/>
    <w:multiLevelType w:val="hybridMultilevel"/>
    <w:tmpl w:val="5526E386"/>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09" w15:restartNumberingAfterBreak="0">
    <w:nsid w:val="7BEE1C49"/>
    <w:multiLevelType w:val="hybridMultilevel"/>
    <w:tmpl w:val="35D69BCE"/>
    <w:lvl w:ilvl="0" w:tplc="8412177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0" w15:restartNumberingAfterBreak="0">
    <w:nsid w:val="7BF94984"/>
    <w:multiLevelType w:val="hybridMultilevel"/>
    <w:tmpl w:val="71FEA1C6"/>
    <w:lvl w:ilvl="0" w:tplc="6CC05DD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1" w15:restartNumberingAfterBreak="0">
    <w:nsid w:val="7DBE3707"/>
    <w:multiLevelType w:val="hybridMultilevel"/>
    <w:tmpl w:val="F0685930"/>
    <w:lvl w:ilvl="0" w:tplc="7CF8D98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2" w15:restartNumberingAfterBreak="0">
    <w:nsid w:val="7E1B1E65"/>
    <w:multiLevelType w:val="hybridMultilevel"/>
    <w:tmpl w:val="7D50EAF0"/>
    <w:lvl w:ilvl="0" w:tplc="784C7F2A">
      <w:start w:val="1"/>
      <w:numFmt w:val="decimal"/>
      <w:lvlText w:val="(%1)"/>
      <w:lvlJc w:val="left"/>
      <w:pPr>
        <w:ind w:left="720" w:hanging="360"/>
      </w:pPr>
      <w:rPr>
        <w:rFonts w:hint="default"/>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3" w15:restartNumberingAfterBreak="0">
    <w:nsid w:val="7E236876"/>
    <w:multiLevelType w:val="hybridMultilevel"/>
    <w:tmpl w:val="765C45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4" w15:restartNumberingAfterBreak="0">
    <w:nsid w:val="7E474D4E"/>
    <w:multiLevelType w:val="singleLevel"/>
    <w:tmpl w:val="1A6608A0"/>
    <w:lvl w:ilvl="0">
      <w:start w:val="1"/>
      <w:numFmt w:val="decimal"/>
      <w:lvlRestart w:val="0"/>
      <w:pStyle w:val="Considrant"/>
      <w:lvlText w:val="(%1)"/>
      <w:lvlJc w:val="left"/>
      <w:pPr>
        <w:tabs>
          <w:tab w:val="num" w:pos="709"/>
        </w:tabs>
        <w:ind w:left="709" w:hanging="709"/>
      </w:pPr>
    </w:lvl>
  </w:abstractNum>
  <w:abstractNum w:abstractNumId="315" w15:restartNumberingAfterBreak="0">
    <w:nsid w:val="7F7F06E9"/>
    <w:multiLevelType w:val="hybridMultilevel"/>
    <w:tmpl w:val="E0104E7A"/>
    <w:lvl w:ilvl="0" w:tplc="FFFFFFFF">
      <w:start w:val="1"/>
      <w:numFmt w:val="lowerRoman"/>
      <w:lvlText w:val="(%1)"/>
      <w:lvlJc w:val="left"/>
      <w:pPr>
        <w:ind w:left="1571" w:hanging="360"/>
      </w:pPr>
      <w:rPr>
        <w:rFonts w:hint="default"/>
      </w:rPr>
    </w:lvl>
    <w:lvl w:ilvl="1" w:tplc="5D40D1C6">
      <w:start w:val="1"/>
      <w:numFmt w:val="lowerRoman"/>
      <w:lvlText w:val="(%2)"/>
      <w:lvlJc w:val="left"/>
      <w:pPr>
        <w:ind w:left="720" w:hanging="360"/>
      </w:pPr>
      <w:rPr>
        <w:rFonts w:hint="default"/>
      </w:rPr>
    </w:lvl>
    <w:lvl w:ilvl="2" w:tplc="2BD2A020">
      <w:start w:val="1"/>
      <w:numFmt w:val="decimal"/>
      <w:lvlText w:val="(%3)"/>
      <w:lvlJc w:val="left"/>
      <w:pPr>
        <w:ind w:left="3551" w:hanging="720"/>
      </w:pPr>
      <w:rPr>
        <w:rFonts w:hint="default"/>
      </w:r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16" w15:restartNumberingAfterBreak="0">
    <w:nsid w:val="7FEA1509"/>
    <w:multiLevelType w:val="hybridMultilevel"/>
    <w:tmpl w:val="201C1F8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5"/>
  </w:num>
  <w:num w:numId="4">
    <w:abstractNumId w:val="16"/>
  </w:num>
  <w:num w:numId="5">
    <w:abstractNumId w:val="17"/>
  </w:num>
  <w:num w:numId="6">
    <w:abstractNumId w:val="18"/>
  </w:num>
  <w:num w:numId="7">
    <w:abstractNumId w:val="19"/>
  </w:num>
  <w:num w:numId="8">
    <w:abstractNumId w:val="20"/>
  </w:num>
  <w:num w:numId="9">
    <w:abstractNumId w:val="21"/>
  </w:num>
  <w:num w:numId="10">
    <w:abstractNumId w:val="22"/>
  </w:num>
  <w:num w:numId="11">
    <w:abstractNumId w:val="23"/>
  </w:num>
  <w:num w:numId="12">
    <w:abstractNumId w:val="24"/>
  </w:num>
  <w:num w:numId="13">
    <w:abstractNumId w:val="25"/>
  </w:num>
  <w:num w:numId="14">
    <w:abstractNumId w:val="26"/>
  </w:num>
  <w:num w:numId="15">
    <w:abstractNumId w:val="31"/>
  </w:num>
  <w:num w:numId="16">
    <w:abstractNumId w:val="127"/>
  </w:num>
  <w:num w:numId="17">
    <w:abstractNumId w:val="294"/>
  </w:num>
  <w:num w:numId="18">
    <w:abstractNumId w:val="45"/>
  </w:num>
  <w:num w:numId="19">
    <w:abstractNumId w:val="9"/>
  </w:num>
  <w:num w:numId="20">
    <w:abstractNumId w:val="11"/>
  </w:num>
  <w:num w:numId="21">
    <w:abstractNumId w:val="316"/>
  </w:num>
  <w:num w:numId="22">
    <w:abstractNumId w:val="99"/>
  </w:num>
  <w:num w:numId="23">
    <w:abstractNumId w:val="295"/>
  </w:num>
  <w:num w:numId="24">
    <w:abstractNumId w:val="144"/>
  </w:num>
  <w:num w:numId="25">
    <w:abstractNumId w:val="237"/>
  </w:num>
  <w:num w:numId="26">
    <w:abstractNumId w:val="257"/>
  </w:num>
  <w:num w:numId="27">
    <w:abstractNumId w:val="36"/>
  </w:num>
  <w:num w:numId="28">
    <w:abstractNumId w:val="286"/>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9"/>
  </w:num>
  <w:num w:numId="39">
    <w:abstractNumId w:val="216"/>
  </w:num>
  <w:num w:numId="40">
    <w:abstractNumId w:val="92"/>
  </w:num>
  <w:num w:numId="41">
    <w:abstractNumId w:val="10"/>
  </w:num>
  <w:num w:numId="42">
    <w:abstractNumId w:val="218"/>
  </w:num>
  <w:num w:numId="43">
    <w:abstractNumId w:val="89"/>
    <w:lvlOverride w:ilvl="0">
      <w:lvl w:ilvl="0">
        <w:start w:val="1"/>
        <w:numFmt w:val="bullet"/>
        <w:pStyle w:val="TableBullets"/>
        <w:lvlText w:val=""/>
        <w:lvlJc w:val="left"/>
        <w:pPr>
          <w:tabs>
            <w:tab w:val="num" w:pos="567"/>
          </w:tabs>
          <w:ind w:left="567" w:hanging="567"/>
        </w:pPr>
        <w:rPr>
          <w:rFonts w:ascii="Symbol" w:hAnsi="Symbol" w:hint="default"/>
          <w:sz w:val="20"/>
          <w:szCs w:val="20"/>
        </w:rPr>
      </w:lvl>
    </w:lvlOverride>
  </w:num>
  <w:num w:numId="44">
    <w:abstractNumId w:val="108"/>
  </w:num>
  <w:num w:numId="45">
    <w:abstractNumId w:val="314"/>
  </w:num>
  <w:num w:numId="46">
    <w:abstractNumId w:val="40"/>
  </w:num>
  <w:num w:numId="47">
    <w:abstractNumId w:val="55"/>
  </w:num>
  <w:num w:numId="48">
    <w:abstractNumId w:val="304"/>
  </w:num>
  <w:num w:numId="49">
    <w:abstractNumId w:val="167"/>
  </w:num>
  <w:num w:numId="50">
    <w:abstractNumId w:val="61"/>
  </w:num>
  <w:num w:numId="51">
    <w:abstractNumId w:val="38"/>
  </w:num>
  <w:num w:numId="52">
    <w:abstractNumId w:val="147"/>
  </w:num>
  <w:num w:numId="53">
    <w:abstractNumId w:val="183"/>
  </w:num>
  <w:num w:numId="54">
    <w:abstractNumId w:val="191"/>
  </w:num>
  <w:num w:numId="55">
    <w:abstractNumId w:val="204"/>
  </w:num>
  <w:num w:numId="56">
    <w:abstractNumId w:val="282"/>
  </w:num>
  <w:num w:numId="57">
    <w:abstractNumId w:val="44"/>
  </w:num>
  <w:num w:numId="58">
    <w:abstractNumId w:val="129"/>
  </w:num>
  <w:num w:numId="59">
    <w:abstractNumId w:val="180"/>
  </w:num>
  <w:num w:numId="60">
    <w:abstractNumId w:val="87"/>
  </w:num>
  <w:num w:numId="61">
    <w:abstractNumId w:val="174"/>
  </w:num>
  <w:num w:numId="62">
    <w:abstractNumId w:val="43"/>
  </w:num>
  <w:num w:numId="63">
    <w:abstractNumId w:val="210"/>
  </w:num>
  <w:num w:numId="64">
    <w:abstractNumId w:val="51"/>
  </w:num>
  <w:num w:numId="65">
    <w:abstractNumId w:val="63"/>
  </w:num>
  <w:num w:numId="66">
    <w:abstractNumId w:val="68"/>
  </w:num>
  <w:num w:numId="67">
    <w:abstractNumId w:val="163"/>
  </w:num>
  <w:num w:numId="68">
    <w:abstractNumId w:val="209"/>
  </w:num>
  <w:num w:numId="69">
    <w:abstractNumId w:val="85"/>
  </w:num>
  <w:num w:numId="70">
    <w:abstractNumId w:val="49"/>
  </w:num>
  <w:num w:numId="71">
    <w:abstractNumId w:val="195"/>
  </w:num>
  <w:num w:numId="72">
    <w:abstractNumId w:val="37"/>
  </w:num>
  <w:num w:numId="73">
    <w:abstractNumId w:val="83"/>
  </w:num>
  <w:num w:numId="74">
    <w:abstractNumId w:val="271"/>
  </w:num>
  <w:num w:numId="75">
    <w:abstractNumId w:val="293"/>
  </w:num>
  <w:num w:numId="76">
    <w:abstractNumId w:val="236"/>
  </w:num>
  <w:num w:numId="77">
    <w:abstractNumId w:val="115"/>
  </w:num>
  <w:num w:numId="78">
    <w:abstractNumId w:val="244"/>
  </w:num>
  <w:num w:numId="79">
    <w:abstractNumId w:val="119"/>
  </w:num>
  <w:num w:numId="80">
    <w:abstractNumId w:val="269"/>
  </w:num>
  <w:num w:numId="81">
    <w:abstractNumId w:val="251"/>
  </w:num>
  <w:num w:numId="82">
    <w:abstractNumId w:val="77"/>
  </w:num>
  <w:num w:numId="83">
    <w:abstractNumId w:val="75"/>
  </w:num>
  <w:num w:numId="84">
    <w:abstractNumId w:val="187"/>
  </w:num>
  <w:num w:numId="85">
    <w:abstractNumId w:val="258"/>
  </w:num>
  <w:num w:numId="86">
    <w:abstractNumId w:val="169"/>
  </w:num>
  <w:num w:numId="87">
    <w:abstractNumId w:val="196"/>
  </w:num>
  <w:num w:numId="88">
    <w:abstractNumId w:val="28"/>
  </w:num>
  <w:num w:numId="89">
    <w:abstractNumId w:val="190"/>
  </w:num>
  <w:num w:numId="90">
    <w:abstractNumId w:val="273"/>
  </w:num>
  <w:num w:numId="91">
    <w:abstractNumId w:val="248"/>
  </w:num>
  <w:num w:numId="92">
    <w:abstractNumId w:val="270"/>
  </w:num>
  <w:num w:numId="93">
    <w:abstractNumId w:val="203"/>
  </w:num>
  <w:num w:numId="94">
    <w:abstractNumId w:val="121"/>
  </w:num>
  <w:num w:numId="95">
    <w:abstractNumId w:val="302"/>
  </w:num>
  <w:num w:numId="96">
    <w:abstractNumId w:val="280"/>
  </w:num>
  <w:num w:numId="97">
    <w:abstractNumId w:val="39"/>
  </w:num>
  <w:num w:numId="98">
    <w:abstractNumId w:val="194"/>
  </w:num>
  <w:num w:numId="99">
    <w:abstractNumId w:val="202"/>
  </w:num>
  <w:num w:numId="100">
    <w:abstractNumId w:val="182"/>
  </w:num>
  <w:num w:numId="101">
    <w:abstractNumId w:val="100"/>
  </w:num>
  <w:num w:numId="102">
    <w:abstractNumId w:val="154"/>
  </w:num>
  <w:num w:numId="103">
    <w:abstractNumId w:val="225"/>
  </w:num>
  <w:num w:numId="104">
    <w:abstractNumId w:val="82"/>
  </w:num>
  <w:num w:numId="105">
    <w:abstractNumId w:val="255"/>
  </w:num>
  <w:num w:numId="106">
    <w:abstractNumId w:val="95"/>
  </w:num>
  <w:num w:numId="107">
    <w:abstractNumId w:val="146"/>
  </w:num>
  <w:num w:numId="108">
    <w:abstractNumId w:val="150"/>
  </w:num>
  <w:num w:numId="109">
    <w:abstractNumId w:val="206"/>
  </w:num>
  <w:num w:numId="110">
    <w:abstractNumId w:val="80"/>
  </w:num>
  <w:num w:numId="111">
    <w:abstractNumId w:val="157"/>
  </w:num>
  <w:num w:numId="112">
    <w:abstractNumId w:val="272"/>
  </w:num>
  <w:num w:numId="113">
    <w:abstractNumId w:val="168"/>
  </w:num>
  <w:num w:numId="114">
    <w:abstractNumId w:val="166"/>
  </w:num>
  <w:num w:numId="115">
    <w:abstractNumId w:val="291"/>
  </w:num>
  <w:num w:numId="116">
    <w:abstractNumId w:val="214"/>
  </w:num>
  <w:num w:numId="117">
    <w:abstractNumId w:val="69"/>
  </w:num>
  <w:num w:numId="118">
    <w:abstractNumId w:val="263"/>
  </w:num>
  <w:num w:numId="119">
    <w:abstractNumId w:val="162"/>
  </w:num>
  <w:num w:numId="120">
    <w:abstractNumId w:val="132"/>
  </w:num>
  <w:num w:numId="121">
    <w:abstractNumId w:val="205"/>
  </w:num>
  <w:num w:numId="122">
    <w:abstractNumId w:val="135"/>
  </w:num>
  <w:num w:numId="123">
    <w:abstractNumId w:val="12"/>
  </w:num>
  <w:num w:numId="124">
    <w:abstractNumId w:val="309"/>
  </w:num>
  <w:num w:numId="125">
    <w:abstractNumId w:val="197"/>
  </w:num>
  <w:num w:numId="126">
    <w:abstractNumId w:val="90"/>
  </w:num>
  <w:num w:numId="127">
    <w:abstractNumId w:val="165"/>
  </w:num>
  <w:num w:numId="128">
    <w:abstractNumId w:val="148"/>
  </w:num>
  <w:num w:numId="129">
    <w:abstractNumId w:val="299"/>
  </w:num>
  <w:num w:numId="130">
    <w:abstractNumId w:val="238"/>
  </w:num>
  <w:num w:numId="131">
    <w:abstractNumId w:val="64"/>
  </w:num>
  <w:num w:numId="132">
    <w:abstractNumId w:val="173"/>
  </w:num>
  <w:num w:numId="133">
    <w:abstractNumId w:val="53"/>
  </w:num>
  <w:num w:numId="134">
    <w:abstractNumId w:val="297"/>
  </w:num>
  <w:num w:numId="135">
    <w:abstractNumId w:val="47"/>
  </w:num>
  <w:num w:numId="136">
    <w:abstractNumId w:val="207"/>
  </w:num>
  <w:num w:numId="137">
    <w:abstractNumId w:val="254"/>
  </w:num>
  <w:num w:numId="138">
    <w:abstractNumId w:val="228"/>
  </w:num>
  <w:num w:numId="139">
    <w:abstractNumId w:val="284"/>
  </w:num>
  <w:num w:numId="140">
    <w:abstractNumId w:val="274"/>
  </w:num>
  <w:num w:numId="141">
    <w:abstractNumId w:val="58"/>
  </w:num>
  <w:num w:numId="142">
    <w:abstractNumId w:val="243"/>
  </w:num>
  <w:num w:numId="143">
    <w:abstractNumId w:val="247"/>
  </w:num>
  <w:num w:numId="144">
    <w:abstractNumId w:val="224"/>
  </w:num>
  <w:num w:numId="145">
    <w:abstractNumId w:val="151"/>
  </w:num>
  <w:num w:numId="146">
    <w:abstractNumId w:val="232"/>
  </w:num>
  <w:num w:numId="147">
    <w:abstractNumId w:val="152"/>
  </w:num>
  <w:num w:numId="148">
    <w:abstractNumId w:val="256"/>
  </w:num>
  <w:num w:numId="149">
    <w:abstractNumId w:val="215"/>
  </w:num>
  <w:num w:numId="150">
    <w:abstractNumId w:val="311"/>
  </w:num>
  <w:num w:numId="151">
    <w:abstractNumId w:val="27"/>
  </w:num>
  <w:num w:numId="152">
    <w:abstractNumId w:val="112"/>
  </w:num>
  <w:num w:numId="153">
    <w:abstractNumId w:val="184"/>
  </w:num>
  <w:num w:numId="154">
    <w:abstractNumId w:val="104"/>
  </w:num>
  <w:num w:numId="155">
    <w:abstractNumId w:val="84"/>
  </w:num>
  <w:num w:numId="156">
    <w:abstractNumId w:val="29"/>
  </w:num>
  <w:num w:numId="157">
    <w:abstractNumId w:val="149"/>
  </w:num>
  <w:num w:numId="158">
    <w:abstractNumId w:val="310"/>
  </w:num>
  <w:num w:numId="159">
    <w:abstractNumId w:val="98"/>
  </w:num>
  <w:num w:numId="160">
    <w:abstractNumId w:val="170"/>
  </w:num>
  <w:num w:numId="161">
    <w:abstractNumId w:val="86"/>
  </w:num>
  <w:num w:numId="162">
    <w:abstractNumId w:val="155"/>
  </w:num>
  <w:num w:numId="163">
    <w:abstractNumId w:val="141"/>
  </w:num>
  <w:num w:numId="164">
    <w:abstractNumId w:val="312"/>
  </w:num>
  <w:num w:numId="165">
    <w:abstractNumId w:val="253"/>
  </w:num>
  <w:num w:numId="166">
    <w:abstractNumId w:val="298"/>
  </w:num>
  <w:num w:numId="167">
    <w:abstractNumId w:val="70"/>
  </w:num>
  <w:num w:numId="168">
    <w:abstractNumId w:val="72"/>
  </w:num>
  <w:num w:numId="169">
    <w:abstractNumId w:val="71"/>
  </w:num>
  <w:num w:numId="170">
    <w:abstractNumId w:val="172"/>
  </w:num>
  <w:num w:numId="171">
    <w:abstractNumId w:val="267"/>
  </w:num>
  <w:num w:numId="172">
    <w:abstractNumId w:val="57"/>
  </w:num>
  <w:num w:numId="173">
    <w:abstractNumId w:val="217"/>
  </w:num>
  <w:num w:numId="174">
    <w:abstractNumId w:val="308"/>
  </w:num>
  <w:num w:numId="175">
    <w:abstractNumId w:val="259"/>
  </w:num>
  <w:num w:numId="176">
    <w:abstractNumId w:val="41"/>
  </w:num>
  <w:num w:numId="177">
    <w:abstractNumId w:val="223"/>
  </w:num>
  <w:num w:numId="178">
    <w:abstractNumId w:val="186"/>
  </w:num>
  <w:num w:numId="179">
    <w:abstractNumId w:val="74"/>
  </w:num>
  <w:num w:numId="180">
    <w:abstractNumId w:val="52"/>
  </w:num>
  <w:num w:numId="181">
    <w:abstractNumId w:val="188"/>
  </w:num>
  <w:num w:numId="182">
    <w:abstractNumId w:val="313"/>
  </w:num>
  <w:num w:numId="183">
    <w:abstractNumId w:val="78"/>
  </w:num>
  <w:num w:numId="184">
    <w:abstractNumId w:val="245"/>
  </w:num>
  <w:num w:numId="185">
    <w:abstractNumId w:val="266"/>
  </w:num>
  <w:num w:numId="186">
    <w:abstractNumId w:val="265"/>
  </w:num>
  <w:num w:numId="187">
    <w:abstractNumId w:val="306"/>
  </w:num>
  <w:num w:numId="188">
    <w:abstractNumId w:val="283"/>
  </w:num>
  <w:num w:numId="189">
    <w:abstractNumId w:val="143"/>
  </w:num>
  <w:num w:numId="190">
    <w:abstractNumId w:val="300"/>
  </w:num>
  <w:num w:numId="191">
    <w:abstractNumId w:val="222"/>
  </w:num>
  <w:num w:numId="192">
    <w:abstractNumId w:val="303"/>
  </w:num>
  <w:num w:numId="193">
    <w:abstractNumId w:val="56"/>
  </w:num>
  <w:num w:numId="194">
    <w:abstractNumId w:val="290"/>
  </w:num>
  <w:num w:numId="195">
    <w:abstractNumId w:val="211"/>
  </w:num>
  <w:num w:numId="196">
    <w:abstractNumId w:val="179"/>
  </w:num>
  <w:num w:numId="197">
    <w:abstractNumId w:val="109"/>
  </w:num>
  <w:num w:numId="198">
    <w:abstractNumId w:val="285"/>
  </w:num>
  <w:num w:numId="199">
    <w:abstractNumId w:val="227"/>
  </w:num>
  <w:num w:numId="200">
    <w:abstractNumId w:val="106"/>
  </w:num>
  <w:num w:numId="201">
    <w:abstractNumId w:val="138"/>
  </w:num>
  <w:num w:numId="202">
    <w:abstractNumId w:val="262"/>
  </w:num>
  <w:num w:numId="203">
    <w:abstractNumId w:val="231"/>
  </w:num>
  <w:num w:numId="204">
    <w:abstractNumId w:val="229"/>
  </w:num>
  <w:num w:numId="205">
    <w:abstractNumId w:val="177"/>
  </w:num>
  <w:num w:numId="206">
    <w:abstractNumId w:val="192"/>
  </w:num>
  <w:num w:numId="207">
    <w:abstractNumId w:val="158"/>
  </w:num>
  <w:num w:numId="208">
    <w:abstractNumId w:val="276"/>
  </w:num>
  <w:num w:numId="209">
    <w:abstractNumId w:val="219"/>
  </w:num>
  <w:num w:numId="210">
    <w:abstractNumId w:val="275"/>
  </w:num>
  <w:num w:numId="211">
    <w:abstractNumId w:val="88"/>
  </w:num>
  <w:num w:numId="212">
    <w:abstractNumId w:val="67"/>
  </w:num>
  <w:num w:numId="213">
    <w:abstractNumId w:val="288"/>
  </w:num>
  <w:num w:numId="214">
    <w:abstractNumId w:val="220"/>
  </w:num>
  <w:num w:numId="215">
    <w:abstractNumId w:val="241"/>
  </w:num>
  <w:num w:numId="216">
    <w:abstractNumId w:val="111"/>
  </w:num>
  <w:num w:numId="217">
    <w:abstractNumId w:val="136"/>
  </w:num>
  <w:num w:numId="218">
    <w:abstractNumId w:val="198"/>
  </w:num>
  <w:num w:numId="219">
    <w:abstractNumId w:val="200"/>
  </w:num>
  <w:num w:numId="220">
    <w:abstractNumId w:val="240"/>
  </w:num>
  <w:num w:numId="221">
    <w:abstractNumId w:val="246"/>
  </w:num>
  <w:num w:numId="222">
    <w:abstractNumId w:val="193"/>
  </w:num>
  <w:num w:numId="223">
    <w:abstractNumId w:val="268"/>
  </w:num>
  <w:num w:numId="224">
    <w:abstractNumId w:val="48"/>
  </w:num>
  <w:num w:numId="225">
    <w:abstractNumId w:val="289"/>
  </w:num>
  <w:num w:numId="226">
    <w:abstractNumId w:val="264"/>
  </w:num>
  <w:num w:numId="227">
    <w:abstractNumId w:val="145"/>
  </w:num>
  <w:num w:numId="228">
    <w:abstractNumId w:val="91"/>
  </w:num>
  <w:num w:numId="229">
    <w:abstractNumId w:val="235"/>
  </w:num>
  <w:num w:numId="230">
    <w:abstractNumId w:val="128"/>
  </w:num>
  <w:num w:numId="231">
    <w:abstractNumId w:val="153"/>
  </w:num>
  <w:num w:numId="232">
    <w:abstractNumId w:val="315"/>
  </w:num>
  <w:num w:numId="233">
    <w:abstractNumId w:val="110"/>
  </w:num>
  <w:num w:numId="234">
    <w:abstractNumId w:val="307"/>
  </w:num>
  <w:num w:numId="235">
    <w:abstractNumId w:val="178"/>
  </w:num>
  <w:num w:numId="236">
    <w:abstractNumId w:val="234"/>
  </w:num>
  <w:num w:numId="237">
    <w:abstractNumId w:val="292"/>
  </w:num>
  <w:num w:numId="238">
    <w:abstractNumId w:val="107"/>
  </w:num>
  <w:num w:numId="239">
    <w:abstractNumId w:val="260"/>
  </w:num>
  <w:num w:numId="240">
    <w:abstractNumId w:val="140"/>
  </w:num>
  <w:num w:numId="241">
    <w:abstractNumId w:val="130"/>
  </w:num>
  <w:num w:numId="242">
    <w:abstractNumId w:val="278"/>
  </w:num>
  <w:num w:numId="243">
    <w:abstractNumId w:val="32"/>
  </w:num>
  <w:num w:numId="244">
    <w:abstractNumId w:val="226"/>
  </w:num>
  <w:num w:numId="245">
    <w:abstractNumId w:val="114"/>
  </w:num>
  <w:num w:numId="246">
    <w:abstractNumId w:val="30"/>
  </w:num>
  <w:num w:numId="247">
    <w:abstractNumId w:val="181"/>
  </w:num>
  <w:num w:numId="248">
    <w:abstractNumId w:val="94"/>
  </w:num>
  <w:num w:numId="249">
    <w:abstractNumId w:val="124"/>
  </w:num>
  <w:num w:numId="250">
    <w:abstractNumId w:val="249"/>
  </w:num>
  <w:num w:numId="251">
    <w:abstractNumId w:val="123"/>
  </w:num>
  <w:num w:numId="252">
    <w:abstractNumId w:val="34"/>
  </w:num>
  <w:num w:numId="253">
    <w:abstractNumId w:val="161"/>
  </w:num>
  <w:num w:numId="254">
    <w:abstractNumId w:val="281"/>
  </w:num>
  <w:num w:numId="255">
    <w:abstractNumId w:val="261"/>
  </w:num>
  <w:num w:numId="256">
    <w:abstractNumId w:val="277"/>
  </w:num>
  <w:num w:numId="257">
    <w:abstractNumId w:val="97"/>
  </w:num>
  <w:num w:numId="258">
    <w:abstractNumId w:val="171"/>
  </w:num>
  <w:num w:numId="259">
    <w:abstractNumId w:val="126"/>
  </w:num>
  <w:num w:numId="260">
    <w:abstractNumId w:val="96"/>
  </w:num>
  <w:num w:numId="261">
    <w:abstractNumId w:val="54"/>
  </w:num>
  <w:num w:numId="262">
    <w:abstractNumId w:val="42"/>
  </w:num>
  <w:num w:numId="263">
    <w:abstractNumId w:val="103"/>
  </w:num>
  <w:num w:numId="264">
    <w:abstractNumId w:val="113"/>
  </w:num>
  <w:num w:numId="265">
    <w:abstractNumId w:val="164"/>
  </w:num>
  <w:num w:numId="266">
    <w:abstractNumId w:val="79"/>
  </w:num>
  <w:num w:numId="267">
    <w:abstractNumId w:val="118"/>
  </w:num>
  <w:num w:numId="268">
    <w:abstractNumId w:val="102"/>
  </w:num>
  <w:num w:numId="269">
    <w:abstractNumId w:val="176"/>
  </w:num>
  <w:num w:numId="270">
    <w:abstractNumId w:val="137"/>
  </w:num>
  <w:num w:numId="271">
    <w:abstractNumId w:val="175"/>
  </w:num>
  <w:num w:numId="272">
    <w:abstractNumId w:val="105"/>
  </w:num>
  <w:num w:numId="273">
    <w:abstractNumId w:val="101"/>
  </w:num>
  <w:num w:numId="274">
    <w:abstractNumId w:val="116"/>
  </w:num>
  <w:num w:numId="275">
    <w:abstractNumId w:val="230"/>
  </w:num>
  <w:num w:numId="276">
    <w:abstractNumId w:val="33"/>
  </w:num>
  <w:num w:numId="277">
    <w:abstractNumId w:val="65"/>
  </w:num>
  <w:num w:numId="278">
    <w:abstractNumId w:val="279"/>
  </w:num>
  <w:num w:numId="279">
    <w:abstractNumId w:val="213"/>
  </w:num>
  <w:num w:numId="280">
    <w:abstractNumId w:val="287"/>
  </w:num>
  <w:num w:numId="281">
    <w:abstractNumId w:val="185"/>
  </w:num>
  <w:num w:numId="282">
    <w:abstractNumId w:val="59"/>
  </w:num>
  <w:num w:numId="283">
    <w:abstractNumId w:val="131"/>
  </w:num>
  <w:num w:numId="284">
    <w:abstractNumId w:val="233"/>
  </w:num>
  <w:num w:numId="285">
    <w:abstractNumId w:val="239"/>
  </w:num>
  <w:num w:numId="286">
    <w:abstractNumId w:val="93"/>
  </w:num>
  <w:num w:numId="287">
    <w:abstractNumId w:val="35"/>
  </w:num>
  <w:num w:numId="288">
    <w:abstractNumId w:val="50"/>
  </w:num>
  <w:num w:numId="289">
    <w:abstractNumId w:val="242"/>
  </w:num>
  <w:num w:numId="290">
    <w:abstractNumId w:val="46"/>
  </w:num>
  <w:num w:numId="291">
    <w:abstractNumId w:val="159"/>
  </w:num>
  <w:num w:numId="292">
    <w:abstractNumId w:val="133"/>
  </w:num>
  <w:num w:numId="293">
    <w:abstractNumId w:val="301"/>
  </w:num>
  <w:num w:numId="294">
    <w:abstractNumId w:val="160"/>
  </w:num>
  <w:num w:numId="295">
    <w:abstractNumId w:val="294"/>
  </w:num>
  <w:num w:numId="296">
    <w:abstractNumId w:val="156"/>
  </w:num>
  <w:num w:numId="297">
    <w:abstractNumId w:val="305"/>
  </w:num>
  <w:num w:numId="298">
    <w:abstractNumId w:val="294"/>
  </w:num>
  <w:num w:numId="299">
    <w:abstractNumId w:val="142"/>
  </w:num>
  <w:num w:numId="300">
    <w:abstractNumId w:val="208"/>
  </w:num>
  <w:num w:numId="301">
    <w:abstractNumId w:val="252"/>
  </w:num>
  <w:num w:numId="302">
    <w:abstractNumId w:val="73"/>
  </w:num>
  <w:num w:numId="303">
    <w:abstractNumId w:val="81"/>
  </w:num>
  <w:num w:numId="304">
    <w:abstractNumId w:val="221"/>
  </w:num>
  <w:num w:numId="305">
    <w:abstractNumId w:val="62"/>
  </w:num>
  <w:num w:numId="306">
    <w:abstractNumId w:val="122"/>
  </w:num>
  <w:num w:numId="307">
    <w:abstractNumId w:val="296"/>
  </w:num>
  <w:num w:numId="308">
    <w:abstractNumId w:val="201"/>
  </w:num>
  <w:num w:numId="309">
    <w:abstractNumId w:val="66"/>
  </w:num>
  <w:num w:numId="310">
    <w:abstractNumId w:val="117"/>
  </w:num>
  <w:num w:numId="311">
    <w:abstractNumId w:val="139"/>
  </w:num>
  <w:num w:numId="312">
    <w:abstractNumId w:val="60"/>
  </w:num>
  <w:num w:numId="313">
    <w:abstractNumId w:val="250"/>
  </w:num>
  <w:num w:numId="314">
    <w:abstractNumId w:val="76"/>
  </w:num>
  <w:num w:numId="315">
    <w:abstractNumId w:val="120"/>
  </w:num>
  <w:num w:numId="316">
    <w:abstractNumId w:val="212"/>
  </w:num>
  <w:num w:numId="317">
    <w:abstractNumId w:val="134"/>
  </w:num>
  <w:num w:numId="318">
    <w:abstractNumId w:val="189"/>
  </w:num>
  <w:num w:numId="319">
    <w:abstractNumId w:val="125"/>
  </w:num>
  <w:numIdMacAtCleanup w:val="3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evenAndOddHeaders/>
  <w:drawingGridHorizontalSpacing w:val="181"/>
  <w:drawingGridVerticalSpacing w:val="181"/>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BA0"/>
    <w:rsid w:val="000000E5"/>
    <w:rsid w:val="00001E4E"/>
    <w:rsid w:val="000031E0"/>
    <w:rsid w:val="000035A6"/>
    <w:rsid w:val="000036F1"/>
    <w:rsid w:val="000037FE"/>
    <w:rsid w:val="00003D30"/>
    <w:rsid w:val="000042F6"/>
    <w:rsid w:val="000044AB"/>
    <w:rsid w:val="00005023"/>
    <w:rsid w:val="00005589"/>
    <w:rsid w:val="000056A0"/>
    <w:rsid w:val="000056B6"/>
    <w:rsid w:val="000061F5"/>
    <w:rsid w:val="0000631E"/>
    <w:rsid w:val="000068FF"/>
    <w:rsid w:val="00006E61"/>
    <w:rsid w:val="00007773"/>
    <w:rsid w:val="00007ED9"/>
    <w:rsid w:val="000112EF"/>
    <w:rsid w:val="0001141C"/>
    <w:rsid w:val="00011704"/>
    <w:rsid w:val="00011C10"/>
    <w:rsid w:val="00011F8E"/>
    <w:rsid w:val="000122D5"/>
    <w:rsid w:val="000123C6"/>
    <w:rsid w:val="00012F0C"/>
    <w:rsid w:val="000135F9"/>
    <w:rsid w:val="00013A78"/>
    <w:rsid w:val="00013C65"/>
    <w:rsid w:val="000140AC"/>
    <w:rsid w:val="00014A06"/>
    <w:rsid w:val="00014B6C"/>
    <w:rsid w:val="00014B8D"/>
    <w:rsid w:val="00014CEB"/>
    <w:rsid w:val="00014F04"/>
    <w:rsid w:val="00015BE2"/>
    <w:rsid w:val="0001612C"/>
    <w:rsid w:val="000170A6"/>
    <w:rsid w:val="0001724C"/>
    <w:rsid w:val="00017C40"/>
    <w:rsid w:val="00017C99"/>
    <w:rsid w:val="00020D4C"/>
    <w:rsid w:val="000220E9"/>
    <w:rsid w:val="000220F9"/>
    <w:rsid w:val="00022228"/>
    <w:rsid w:val="00022FA0"/>
    <w:rsid w:val="0002323A"/>
    <w:rsid w:val="00023786"/>
    <w:rsid w:val="000239D6"/>
    <w:rsid w:val="00023C09"/>
    <w:rsid w:val="000244A3"/>
    <w:rsid w:val="00025052"/>
    <w:rsid w:val="00025336"/>
    <w:rsid w:val="00025612"/>
    <w:rsid w:val="00026201"/>
    <w:rsid w:val="00026522"/>
    <w:rsid w:val="00026813"/>
    <w:rsid w:val="00026B02"/>
    <w:rsid w:val="00026CAA"/>
    <w:rsid w:val="0002790B"/>
    <w:rsid w:val="00027AB9"/>
    <w:rsid w:val="000306E8"/>
    <w:rsid w:val="00030987"/>
    <w:rsid w:val="0003099C"/>
    <w:rsid w:val="00030D5D"/>
    <w:rsid w:val="0003178B"/>
    <w:rsid w:val="0003189F"/>
    <w:rsid w:val="00031C31"/>
    <w:rsid w:val="00031C3C"/>
    <w:rsid w:val="00031FE7"/>
    <w:rsid w:val="000322A7"/>
    <w:rsid w:val="000346DA"/>
    <w:rsid w:val="00034F8A"/>
    <w:rsid w:val="00035126"/>
    <w:rsid w:val="0003603B"/>
    <w:rsid w:val="00036BEA"/>
    <w:rsid w:val="00036C60"/>
    <w:rsid w:val="00037693"/>
    <w:rsid w:val="00037762"/>
    <w:rsid w:val="00037B0E"/>
    <w:rsid w:val="00037DC7"/>
    <w:rsid w:val="00040198"/>
    <w:rsid w:val="00040336"/>
    <w:rsid w:val="0004120E"/>
    <w:rsid w:val="00042093"/>
    <w:rsid w:val="000421B7"/>
    <w:rsid w:val="00042761"/>
    <w:rsid w:val="00042ED1"/>
    <w:rsid w:val="0004395A"/>
    <w:rsid w:val="00043A30"/>
    <w:rsid w:val="0004421E"/>
    <w:rsid w:val="00044491"/>
    <w:rsid w:val="00044B4D"/>
    <w:rsid w:val="00045191"/>
    <w:rsid w:val="00045583"/>
    <w:rsid w:val="000459B8"/>
    <w:rsid w:val="00045FE1"/>
    <w:rsid w:val="00046242"/>
    <w:rsid w:val="0004692D"/>
    <w:rsid w:val="000469CF"/>
    <w:rsid w:val="00046F16"/>
    <w:rsid w:val="000501FE"/>
    <w:rsid w:val="00050455"/>
    <w:rsid w:val="0005072C"/>
    <w:rsid w:val="00050BF6"/>
    <w:rsid w:val="00051992"/>
    <w:rsid w:val="00051BEF"/>
    <w:rsid w:val="000540DB"/>
    <w:rsid w:val="00054609"/>
    <w:rsid w:val="0005485C"/>
    <w:rsid w:val="00054A0C"/>
    <w:rsid w:val="000551E3"/>
    <w:rsid w:val="000556CA"/>
    <w:rsid w:val="00055AF8"/>
    <w:rsid w:val="00055B0E"/>
    <w:rsid w:val="00055E97"/>
    <w:rsid w:val="000563C4"/>
    <w:rsid w:val="00056DF5"/>
    <w:rsid w:val="00057062"/>
    <w:rsid w:val="000572F4"/>
    <w:rsid w:val="0005745A"/>
    <w:rsid w:val="00057620"/>
    <w:rsid w:val="00057E2A"/>
    <w:rsid w:val="00057FA0"/>
    <w:rsid w:val="0006019E"/>
    <w:rsid w:val="00060A59"/>
    <w:rsid w:val="00061065"/>
    <w:rsid w:val="00061246"/>
    <w:rsid w:val="000615BB"/>
    <w:rsid w:val="000618EC"/>
    <w:rsid w:val="00061B12"/>
    <w:rsid w:val="00062069"/>
    <w:rsid w:val="000623FF"/>
    <w:rsid w:val="00062764"/>
    <w:rsid w:val="00062AE8"/>
    <w:rsid w:val="00062D4C"/>
    <w:rsid w:val="00062FF7"/>
    <w:rsid w:val="000631C2"/>
    <w:rsid w:val="000644AA"/>
    <w:rsid w:val="000644B6"/>
    <w:rsid w:val="000651B9"/>
    <w:rsid w:val="000655A3"/>
    <w:rsid w:val="00065723"/>
    <w:rsid w:val="000658B5"/>
    <w:rsid w:val="00066019"/>
    <w:rsid w:val="00066356"/>
    <w:rsid w:val="00066478"/>
    <w:rsid w:val="0006656B"/>
    <w:rsid w:val="000676B7"/>
    <w:rsid w:val="00067F10"/>
    <w:rsid w:val="000703EF"/>
    <w:rsid w:val="00070574"/>
    <w:rsid w:val="00070FEA"/>
    <w:rsid w:val="00071A5D"/>
    <w:rsid w:val="00071AEA"/>
    <w:rsid w:val="00071C5F"/>
    <w:rsid w:val="00072349"/>
    <w:rsid w:val="00072C32"/>
    <w:rsid w:val="00072E37"/>
    <w:rsid w:val="00073263"/>
    <w:rsid w:val="0007449F"/>
    <w:rsid w:val="00074551"/>
    <w:rsid w:val="00075291"/>
    <w:rsid w:val="000754A4"/>
    <w:rsid w:val="000756F1"/>
    <w:rsid w:val="00075839"/>
    <w:rsid w:val="0007592B"/>
    <w:rsid w:val="000759D2"/>
    <w:rsid w:val="00075BE4"/>
    <w:rsid w:val="00076649"/>
    <w:rsid w:val="00076711"/>
    <w:rsid w:val="00076733"/>
    <w:rsid w:val="0007690F"/>
    <w:rsid w:val="00076B8D"/>
    <w:rsid w:val="00076E9D"/>
    <w:rsid w:val="000770FF"/>
    <w:rsid w:val="00077870"/>
    <w:rsid w:val="00077B43"/>
    <w:rsid w:val="000800D3"/>
    <w:rsid w:val="0008033B"/>
    <w:rsid w:val="000803C7"/>
    <w:rsid w:val="00080539"/>
    <w:rsid w:val="00081ADA"/>
    <w:rsid w:val="00081B8E"/>
    <w:rsid w:val="000820C6"/>
    <w:rsid w:val="000821D4"/>
    <w:rsid w:val="000842A3"/>
    <w:rsid w:val="00084951"/>
    <w:rsid w:val="0008540D"/>
    <w:rsid w:val="0008592C"/>
    <w:rsid w:val="00085C73"/>
    <w:rsid w:val="00086487"/>
    <w:rsid w:val="00086A8E"/>
    <w:rsid w:val="00086B21"/>
    <w:rsid w:val="00087136"/>
    <w:rsid w:val="00087844"/>
    <w:rsid w:val="00087846"/>
    <w:rsid w:val="0009006A"/>
    <w:rsid w:val="00090696"/>
    <w:rsid w:val="00090730"/>
    <w:rsid w:val="000911C2"/>
    <w:rsid w:val="00091B02"/>
    <w:rsid w:val="00091F1D"/>
    <w:rsid w:val="00092359"/>
    <w:rsid w:val="0009312E"/>
    <w:rsid w:val="000935D2"/>
    <w:rsid w:val="000936D2"/>
    <w:rsid w:val="00093D96"/>
    <w:rsid w:val="00094595"/>
    <w:rsid w:val="0009487E"/>
    <w:rsid w:val="00094924"/>
    <w:rsid w:val="00094EA6"/>
    <w:rsid w:val="00095034"/>
    <w:rsid w:val="00095718"/>
    <w:rsid w:val="000957FE"/>
    <w:rsid w:val="00096112"/>
    <w:rsid w:val="00096502"/>
    <w:rsid w:val="000966C1"/>
    <w:rsid w:val="00096C94"/>
    <w:rsid w:val="000975CE"/>
    <w:rsid w:val="00097914"/>
    <w:rsid w:val="000A144A"/>
    <w:rsid w:val="000A187F"/>
    <w:rsid w:val="000A21F6"/>
    <w:rsid w:val="000A276E"/>
    <w:rsid w:val="000A3237"/>
    <w:rsid w:val="000A40BF"/>
    <w:rsid w:val="000A45CF"/>
    <w:rsid w:val="000A48EC"/>
    <w:rsid w:val="000A55A9"/>
    <w:rsid w:val="000A6167"/>
    <w:rsid w:val="000A61AD"/>
    <w:rsid w:val="000A6395"/>
    <w:rsid w:val="000A65BF"/>
    <w:rsid w:val="000A679D"/>
    <w:rsid w:val="000A6A07"/>
    <w:rsid w:val="000A6DD0"/>
    <w:rsid w:val="000A7133"/>
    <w:rsid w:val="000A7966"/>
    <w:rsid w:val="000A7DC0"/>
    <w:rsid w:val="000B0872"/>
    <w:rsid w:val="000B0BF3"/>
    <w:rsid w:val="000B0D82"/>
    <w:rsid w:val="000B19DD"/>
    <w:rsid w:val="000B1B69"/>
    <w:rsid w:val="000B26B0"/>
    <w:rsid w:val="000B36B6"/>
    <w:rsid w:val="000B36F1"/>
    <w:rsid w:val="000B37EE"/>
    <w:rsid w:val="000B39BA"/>
    <w:rsid w:val="000B46BB"/>
    <w:rsid w:val="000B5395"/>
    <w:rsid w:val="000B5F4A"/>
    <w:rsid w:val="000B6835"/>
    <w:rsid w:val="000B7678"/>
    <w:rsid w:val="000B7A7A"/>
    <w:rsid w:val="000C09C0"/>
    <w:rsid w:val="000C0BC3"/>
    <w:rsid w:val="000C1003"/>
    <w:rsid w:val="000C1958"/>
    <w:rsid w:val="000C1BE1"/>
    <w:rsid w:val="000C1DBA"/>
    <w:rsid w:val="000C2928"/>
    <w:rsid w:val="000C2F04"/>
    <w:rsid w:val="000C33C7"/>
    <w:rsid w:val="000C4930"/>
    <w:rsid w:val="000C50EC"/>
    <w:rsid w:val="000C5124"/>
    <w:rsid w:val="000C578F"/>
    <w:rsid w:val="000C734B"/>
    <w:rsid w:val="000C7382"/>
    <w:rsid w:val="000C781E"/>
    <w:rsid w:val="000C7C65"/>
    <w:rsid w:val="000D047C"/>
    <w:rsid w:val="000D0A31"/>
    <w:rsid w:val="000D1314"/>
    <w:rsid w:val="000D1A12"/>
    <w:rsid w:val="000D1A3C"/>
    <w:rsid w:val="000D1AFE"/>
    <w:rsid w:val="000D1C93"/>
    <w:rsid w:val="000D232A"/>
    <w:rsid w:val="000D26D3"/>
    <w:rsid w:val="000D28B7"/>
    <w:rsid w:val="000D32F8"/>
    <w:rsid w:val="000D4434"/>
    <w:rsid w:val="000D45FF"/>
    <w:rsid w:val="000D5805"/>
    <w:rsid w:val="000D5E21"/>
    <w:rsid w:val="000D691C"/>
    <w:rsid w:val="000D72BB"/>
    <w:rsid w:val="000D7EFC"/>
    <w:rsid w:val="000E03F6"/>
    <w:rsid w:val="000E080F"/>
    <w:rsid w:val="000E0B77"/>
    <w:rsid w:val="000E1968"/>
    <w:rsid w:val="000E2166"/>
    <w:rsid w:val="000E2354"/>
    <w:rsid w:val="000E246D"/>
    <w:rsid w:val="000E2941"/>
    <w:rsid w:val="000E31A4"/>
    <w:rsid w:val="000E32CF"/>
    <w:rsid w:val="000E3742"/>
    <w:rsid w:val="000E38E4"/>
    <w:rsid w:val="000E3DB1"/>
    <w:rsid w:val="000E4074"/>
    <w:rsid w:val="000E4830"/>
    <w:rsid w:val="000E4F77"/>
    <w:rsid w:val="000E52F9"/>
    <w:rsid w:val="000E58C2"/>
    <w:rsid w:val="000E5A1B"/>
    <w:rsid w:val="000E5C31"/>
    <w:rsid w:val="000E5EB6"/>
    <w:rsid w:val="000E5F4B"/>
    <w:rsid w:val="000E6480"/>
    <w:rsid w:val="000E670F"/>
    <w:rsid w:val="000E6C87"/>
    <w:rsid w:val="000E7193"/>
    <w:rsid w:val="000F004D"/>
    <w:rsid w:val="000F014F"/>
    <w:rsid w:val="000F022E"/>
    <w:rsid w:val="000F0869"/>
    <w:rsid w:val="000F1F35"/>
    <w:rsid w:val="000F1FC7"/>
    <w:rsid w:val="000F2275"/>
    <w:rsid w:val="000F2380"/>
    <w:rsid w:val="000F263E"/>
    <w:rsid w:val="000F3713"/>
    <w:rsid w:val="000F3DCC"/>
    <w:rsid w:val="000F44F5"/>
    <w:rsid w:val="000F45CE"/>
    <w:rsid w:val="000F4FDD"/>
    <w:rsid w:val="000F51DF"/>
    <w:rsid w:val="000F561D"/>
    <w:rsid w:val="000F5664"/>
    <w:rsid w:val="000F587D"/>
    <w:rsid w:val="000F5F99"/>
    <w:rsid w:val="000F6791"/>
    <w:rsid w:val="000F7310"/>
    <w:rsid w:val="000F77A0"/>
    <w:rsid w:val="000F7990"/>
    <w:rsid w:val="000F7DBB"/>
    <w:rsid w:val="000F7EB8"/>
    <w:rsid w:val="00100230"/>
    <w:rsid w:val="001005DC"/>
    <w:rsid w:val="00100AB8"/>
    <w:rsid w:val="00100B5B"/>
    <w:rsid w:val="00100EC7"/>
    <w:rsid w:val="00101AC8"/>
    <w:rsid w:val="00101C99"/>
    <w:rsid w:val="001023C7"/>
    <w:rsid w:val="00102581"/>
    <w:rsid w:val="0010276B"/>
    <w:rsid w:val="00102839"/>
    <w:rsid w:val="00102F5F"/>
    <w:rsid w:val="00104363"/>
    <w:rsid w:val="00104731"/>
    <w:rsid w:val="0010529F"/>
    <w:rsid w:val="00105A30"/>
    <w:rsid w:val="00105A59"/>
    <w:rsid w:val="001060A3"/>
    <w:rsid w:val="0010680B"/>
    <w:rsid w:val="0010694F"/>
    <w:rsid w:val="00106BAD"/>
    <w:rsid w:val="0010750A"/>
    <w:rsid w:val="001079C1"/>
    <w:rsid w:val="001100F9"/>
    <w:rsid w:val="0011030A"/>
    <w:rsid w:val="00110443"/>
    <w:rsid w:val="0011061F"/>
    <w:rsid w:val="00110A15"/>
    <w:rsid w:val="00110DE1"/>
    <w:rsid w:val="00111C18"/>
    <w:rsid w:val="0011226C"/>
    <w:rsid w:val="0011302B"/>
    <w:rsid w:val="00113911"/>
    <w:rsid w:val="00113C9B"/>
    <w:rsid w:val="00113F96"/>
    <w:rsid w:val="0011445E"/>
    <w:rsid w:val="0011497D"/>
    <w:rsid w:val="00115753"/>
    <w:rsid w:val="0011626F"/>
    <w:rsid w:val="00116EAA"/>
    <w:rsid w:val="00117106"/>
    <w:rsid w:val="0012172A"/>
    <w:rsid w:val="0012296C"/>
    <w:rsid w:val="00122A4B"/>
    <w:rsid w:val="00122C11"/>
    <w:rsid w:val="00122C26"/>
    <w:rsid w:val="00122F44"/>
    <w:rsid w:val="00123331"/>
    <w:rsid w:val="00123363"/>
    <w:rsid w:val="0012528B"/>
    <w:rsid w:val="00125309"/>
    <w:rsid w:val="001258EA"/>
    <w:rsid w:val="00125A2C"/>
    <w:rsid w:val="00125F74"/>
    <w:rsid w:val="00126C64"/>
    <w:rsid w:val="00126E4A"/>
    <w:rsid w:val="00127351"/>
    <w:rsid w:val="001307C3"/>
    <w:rsid w:val="0013089E"/>
    <w:rsid w:val="00130A73"/>
    <w:rsid w:val="00131684"/>
    <w:rsid w:val="00131A61"/>
    <w:rsid w:val="00131B14"/>
    <w:rsid w:val="00131CC6"/>
    <w:rsid w:val="00131DDF"/>
    <w:rsid w:val="00132208"/>
    <w:rsid w:val="00132631"/>
    <w:rsid w:val="00132755"/>
    <w:rsid w:val="00132858"/>
    <w:rsid w:val="0013285C"/>
    <w:rsid w:val="00132E74"/>
    <w:rsid w:val="00133639"/>
    <w:rsid w:val="001340A1"/>
    <w:rsid w:val="00134134"/>
    <w:rsid w:val="001341B7"/>
    <w:rsid w:val="001349F5"/>
    <w:rsid w:val="00134F01"/>
    <w:rsid w:val="0013585D"/>
    <w:rsid w:val="001368CC"/>
    <w:rsid w:val="0013764B"/>
    <w:rsid w:val="00137B46"/>
    <w:rsid w:val="00137D5C"/>
    <w:rsid w:val="001401A9"/>
    <w:rsid w:val="001404F4"/>
    <w:rsid w:val="0014053D"/>
    <w:rsid w:val="001405CF"/>
    <w:rsid w:val="001418CD"/>
    <w:rsid w:val="0014263C"/>
    <w:rsid w:val="001426E4"/>
    <w:rsid w:val="00142BA0"/>
    <w:rsid w:val="00142F71"/>
    <w:rsid w:val="00144325"/>
    <w:rsid w:val="00144617"/>
    <w:rsid w:val="00144697"/>
    <w:rsid w:val="00145DF6"/>
    <w:rsid w:val="001461BF"/>
    <w:rsid w:val="00146874"/>
    <w:rsid w:val="00147C40"/>
    <w:rsid w:val="00150163"/>
    <w:rsid w:val="0015031B"/>
    <w:rsid w:val="00150648"/>
    <w:rsid w:val="0015065B"/>
    <w:rsid w:val="00150A52"/>
    <w:rsid w:val="001514B9"/>
    <w:rsid w:val="00151C09"/>
    <w:rsid w:val="001522DB"/>
    <w:rsid w:val="0015262F"/>
    <w:rsid w:val="00152655"/>
    <w:rsid w:val="001526E2"/>
    <w:rsid w:val="00152FCD"/>
    <w:rsid w:val="001538D5"/>
    <w:rsid w:val="001540F0"/>
    <w:rsid w:val="00154139"/>
    <w:rsid w:val="00154753"/>
    <w:rsid w:val="00154D6B"/>
    <w:rsid w:val="00154E95"/>
    <w:rsid w:val="00155012"/>
    <w:rsid w:val="001555B6"/>
    <w:rsid w:val="001555CA"/>
    <w:rsid w:val="00155F2E"/>
    <w:rsid w:val="00155FF6"/>
    <w:rsid w:val="00156321"/>
    <w:rsid w:val="00157717"/>
    <w:rsid w:val="0015774C"/>
    <w:rsid w:val="0015784F"/>
    <w:rsid w:val="0015789F"/>
    <w:rsid w:val="001578B3"/>
    <w:rsid w:val="00157F28"/>
    <w:rsid w:val="00160453"/>
    <w:rsid w:val="001606CB"/>
    <w:rsid w:val="00160A6B"/>
    <w:rsid w:val="00160FA1"/>
    <w:rsid w:val="00161108"/>
    <w:rsid w:val="0016178A"/>
    <w:rsid w:val="0016195D"/>
    <w:rsid w:val="00162148"/>
    <w:rsid w:val="0016290A"/>
    <w:rsid w:val="00162B9F"/>
    <w:rsid w:val="00163251"/>
    <w:rsid w:val="00163373"/>
    <w:rsid w:val="001634B5"/>
    <w:rsid w:val="0016380B"/>
    <w:rsid w:val="00163CB6"/>
    <w:rsid w:val="0016403D"/>
    <w:rsid w:val="001642A9"/>
    <w:rsid w:val="00164648"/>
    <w:rsid w:val="0016470D"/>
    <w:rsid w:val="0016510B"/>
    <w:rsid w:val="00165220"/>
    <w:rsid w:val="0016548B"/>
    <w:rsid w:val="001659FD"/>
    <w:rsid w:val="0016636D"/>
    <w:rsid w:val="0016661E"/>
    <w:rsid w:val="00166936"/>
    <w:rsid w:val="00166947"/>
    <w:rsid w:val="00166D2D"/>
    <w:rsid w:val="0016741C"/>
    <w:rsid w:val="0016770F"/>
    <w:rsid w:val="0016790F"/>
    <w:rsid w:val="0017018D"/>
    <w:rsid w:val="00170351"/>
    <w:rsid w:val="00170F6F"/>
    <w:rsid w:val="0017150A"/>
    <w:rsid w:val="001717C8"/>
    <w:rsid w:val="0017185A"/>
    <w:rsid w:val="001721CD"/>
    <w:rsid w:val="0017287B"/>
    <w:rsid w:val="00172A5C"/>
    <w:rsid w:val="00173061"/>
    <w:rsid w:val="00173B30"/>
    <w:rsid w:val="001743A0"/>
    <w:rsid w:val="00174503"/>
    <w:rsid w:val="00174EC0"/>
    <w:rsid w:val="00174F91"/>
    <w:rsid w:val="0017538E"/>
    <w:rsid w:val="00175979"/>
    <w:rsid w:val="00175A1D"/>
    <w:rsid w:val="001760FB"/>
    <w:rsid w:val="001763CB"/>
    <w:rsid w:val="001767B1"/>
    <w:rsid w:val="00176C7A"/>
    <w:rsid w:val="00177996"/>
    <w:rsid w:val="00177AAA"/>
    <w:rsid w:val="00177C0F"/>
    <w:rsid w:val="00177FE7"/>
    <w:rsid w:val="00180174"/>
    <w:rsid w:val="0018083D"/>
    <w:rsid w:val="001808E6"/>
    <w:rsid w:val="00180B73"/>
    <w:rsid w:val="00180BDE"/>
    <w:rsid w:val="00181004"/>
    <w:rsid w:val="0018127E"/>
    <w:rsid w:val="00181656"/>
    <w:rsid w:val="001819EF"/>
    <w:rsid w:val="00181C9A"/>
    <w:rsid w:val="00181D9F"/>
    <w:rsid w:val="00182177"/>
    <w:rsid w:val="0018260C"/>
    <w:rsid w:val="001827FF"/>
    <w:rsid w:val="00182BFC"/>
    <w:rsid w:val="00182CD8"/>
    <w:rsid w:val="00183ADF"/>
    <w:rsid w:val="0018452C"/>
    <w:rsid w:val="0018467C"/>
    <w:rsid w:val="00184EE5"/>
    <w:rsid w:val="001850B2"/>
    <w:rsid w:val="00185334"/>
    <w:rsid w:val="00185363"/>
    <w:rsid w:val="0018548B"/>
    <w:rsid w:val="001860F2"/>
    <w:rsid w:val="00186946"/>
    <w:rsid w:val="00186CB0"/>
    <w:rsid w:val="0018790B"/>
    <w:rsid w:val="00187D9F"/>
    <w:rsid w:val="001900F3"/>
    <w:rsid w:val="00190F5C"/>
    <w:rsid w:val="0019144A"/>
    <w:rsid w:val="00191511"/>
    <w:rsid w:val="00191BC3"/>
    <w:rsid w:val="0019291F"/>
    <w:rsid w:val="0019295C"/>
    <w:rsid w:val="001929A4"/>
    <w:rsid w:val="001931DA"/>
    <w:rsid w:val="00193B07"/>
    <w:rsid w:val="00194588"/>
    <w:rsid w:val="00194C54"/>
    <w:rsid w:val="00194CFB"/>
    <w:rsid w:val="00194D0B"/>
    <w:rsid w:val="0019549A"/>
    <w:rsid w:val="00195C36"/>
    <w:rsid w:val="00195DB7"/>
    <w:rsid w:val="00195DEF"/>
    <w:rsid w:val="001963D0"/>
    <w:rsid w:val="00196B8B"/>
    <w:rsid w:val="0019747C"/>
    <w:rsid w:val="0019787B"/>
    <w:rsid w:val="00197F16"/>
    <w:rsid w:val="001A02DA"/>
    <w:rsid w:val="001A0315"/>
    <w:rsid w:val="001A064F"/>
    <w:rsid w:val="001A0ECA"/>
    <w:rsid w:val="001A212A"/>
    <w:rsid w:val="001A22B1"/>
    <w:rsid w:val="001A230D"/>
    <w:rsid w:val="001A2999"/>
    <w:rsid w:val="001A2F1D"/>
    <w:rsid w:val="001A3999"/>
    <w:rsid w:val="001A407D"/>
    <w:rsid w:val="001A4376"/>
    <w:rsid w:val="001A5A10"/>
    <w:rsid w:val="001A5DD9"/>
    <w:rsid w:val="001A5E14"/>
    <w:rsid w:val="001A6173"/>
    <w:rsid w:val="001A71EF"/>
    <w:rsid w:val="001A750C"/>
    <w:rsid w:val="001A78CA"/>
    <w:rsid w:val="001B038D"/>
    <w:rsid w:val="001B05CD"/>
    <w:rsid w:val="001B09BD"/>
    <w:rsid w:val="001B1358"/>
    <w:rsid w:val="001B1C90"/>
    <w:rsid w:val="001B2095"/>
    <w:rsid w:val="001B3A0C"/>
    <w:rsid w:val="001B4262"/>
    <w:rsid w:val="001B4C44"/>
    <w:rsid w:val="001B5FB7"/>
    <w:rsid w:val="001B6844"/>
    <w:rsid w:val="001B6B94"/>
    <w:rsid w:val="001B6CFA"/>
    <w:rsid w:val="001B70C0"/>
    <w:rsid w:val="001B7C0D"/>
    <w:rsid w:val="001C01BB"/>
    <w:rsid w:val="001C02AB"/>
    <w:rsid w:val="001C0F96"/>
    <w:rsid w:val="001C12FA"/>
    <w:rsid w:val="001C1786"/>
    <w:rsid w:val="001C3058"/>
    <w:rsid w:val="001C3486"/>
    <w:rsid w:val="001C3AC3"/>
    <w:rsid w:val="001C3C76"/>
    <w:rsid w:val="001C3DC6"/>
    <w:rsid w:val="001C3ED9"/>
    <w:rsid w:val="001C3F00"/>
    <w:rsid w:val="001C4220"/>
    <w:rsid w:val="001C43B4"/>
    <w:rsid w:val="001C4F8B"/>
    <w:rsid w:val="001C53A2"/>
    <w:rsid w:val="001C5626"/>
    <w:rsid w:val="001C5ABF"/>
    <w:rsid w:val="001C5B03"/>
    <w:rsid w:val="001C70BD"/>
    <w:rsid w:val="001C79BF"/>
    <w:rsid w:val="001C7FCF"/>
    <w:rsid w:val="001D00F8"/>
    <w:rsid w:val="001D0125"/>
    <w:rsid w:val="001D0324"/>
    <w:rsid w:val="001D0E8C"/>
    <w:rsid w:val="001D14BE"/>
    <w:rsid w:val="001D1A1A"/>
    <w:rsid w:val="001D1AAD"/>
    <w:rsid w:val="001D1F83"/>
    <w:rsid w:val="001D2551"/>
    <w:rsid w:val="001D2AC8"/>
    <w:rsid w:val="001D2C4A"/>
    <w:rsid w:val="001D3111"/>
    <w:rsid w:val="001D3131"/>
    <w:rsid w:val="001D45D8"/>
    <w:rsid w:val="001D465D"/>
    <w:rsid w:val="001D46AD"/>
    <w:rsid w:val="001D47A7"/>
    <w:rsid w:val="001D482A"/>
    <w:rsid w:val="001D4F29"/>
    <w:rsid w:val="001D56C2"/>
    <w:rsid w:val="001D65FF"/>
    <w:rsid w:val="001D68D4"/>
    <w:rsid w:val="001E02F1"/>
    <w:rsid w:val="001E03A0"/>
    <w:rsid w:val="001E03F5"/>
    <w:rsid w:val="001E0CCD"/>
    <w:rsid w:val="001E15A0"/>
    <w:rsid w:val="001E15FE"/>
    <w:rsid w:val="001E1629"/>
    <w:rsid w:val="001E1E29"/>
    <w:rsid w:val="001E26FF"/>
    <w:rsid w:val="001E2AF1"/>
    <w:rsid w:val="001E4011"/>
    <w:rsid w:val="001E41B6"/>
    <w:rsid w:val="001E42F4"/>
    <w:rsid w:val="001E4463"/>
    <w:rsid w:val="001E45B1"/>
    <w:rsid w:val="001E4784"/>
    <w:rsid w:val="001E4C43"/>
    <w:rsid w:val="001E4DA5"/>
    <w:rsid w:val="001E5556"/>
    <w:rsid w:val="001E5D77"/>
    <w:rsid w:val="001E5F3D"/>
    <w:rsid w:val="001E7558"/>
    <w:rsid w:val="001E79DA"/>
    <w:rsid w:val="001E7DA7"/>
    <w:rsid w:val="001F0328"/>
    <w:rsid w:val="001F043B"/>
    <w:rsid w:val="001F0B3D"/>
    <w:rsid w:val="001F1266"/>
    <w:rsid w:val="001F1D91"/>
    <w:rsid w:val="001F208E"/>
    <w:rsid w:val="001F28B1"/>
    <w:rsid w:val="001F2C29"/>
    <w:rsid w:val="001F342F"/>
    <w:rsid w:val="001F429B"/>
    <w:rsid w:val="001F4486"/>
    <w:rsid w:val="001F4533"/>
    <w:rsid w:val="001F478B"/>
    <w:rsid w:val="001F4E97"/>
    <w:rsid w:val="001F5023"/>
    <w:rsid w:val="001F5090"/>
    <w:rsid w:val="001F53FB"/>
    <w:rsid w:val="001F5791"/>
    <w:rsid w:val="001F5D08"/>
    <w:rsid w:val="001F601E"/>
    <w:rsid w:val="001F6344"/>
    <w:rsid w:val="001F63A6"/>
    <w:rsid w:val="001F68A8"/>
    <w:rsid w:val="001F707F"/>
    <w:rsid w:val="001F709F"/>
    <w:rsid w:val="001F7D44"/>
    <w:rsid w:val="00200EF5"/>
    <w:rsid w:val="00201327"/>
    <w:rsid w:val="0020176F"/>
    <w:rsid w:val="00201A2D"/>
    <w:rsid w:val="00201F77"/>
    <w:rsid w:val="00201FC1"/>
    <w:rsid w:val="0020243F"/>
    <w:rsid w:val="002024D0"/>
    <w:rsid w:val="00202C9B"/>
    <w:rsid w:val="0020379D"/>
    <w:rsid w:val="00203A71"/>
    <w:rsid w:val="00203B38"/>
    <w:rsid w:val="002045E2"/>
    <w:rsid w:val="00204CE2"/>
    <w:rsid w:val="00205DDB"/>
    <w:rsid w:val="0020637D"/>
    <w:rsid w:val="0020688E"/>
    <w:rsid w:val="002068CA"/>
    <w:rsid w:val="00210E44"/>
    <w:rsid w:val="00211A94"/>
    <w:rsid w:val="00211B88"/>
    <w:rsid w:val="002124C3"/>
    <w:rsid w:val="002128E1"/>
    <w:rsid w:val="00212B64"/>
    <w:rsid w:val="00212B79"/>
    <w:rsid w:val="002130EA"/>
    <w:rsid w:val="00213F8F"/>
    <w:rsid w:val="00214DFB"/>
    <w:rsid w:val="00214ED6"/>
    <w:rsid w:val="0021520E"/>
    <w:rsid w:val="00215A13"/>
    <w:rsid w:val="00215F63"/>
    <w:rsid w:val="00217DDC"/>
    <w:rsid w:val="00220659"/>
    <w:rsid w:val="00220B32"/>
    <w:rsid w:val="00221047"/>
    <w:rsid w:val="002213D7"/>
    <w:rsid w:val="002220C5"/>
    <w:rsid w:val="0022219E"/>
    <w:rsid w:val="00222927"/>
    <w:rsid w:val="002229DD"/>
    <w:rsid w:val="00223069"/>
    <w:rsid w:val="0022369B"/>
    <w:rsid w:val="00223A40"/>
    <w:rsid w:val="00223F0D"/>
    <w:rsid w:val="00224924"/>
    <w:rsid w:val="00224AFE"/>
    <w:rsid w:val="00224B96"/>
    <w:rsid w:val="00224C0D"/>
    <w:rsid w:val="00224E7D"/>
    <w:rsid w:val="00225704"/>
    <w:rsid w:val="00225A43"/>
    <w:rsid w:val="00225AF0"/>
    <w:rsid w:val="00225C46"/>
    <w:rsid w:val="002264C7"/>
    <w:rsid w:val="00226535"/>
    <w:rsid w:val="002266BA"/>
    <w:rsid w:val="00226A99"/>
    <w:rsid w:val="002270A9"/>
    <w:rsid w:val="002270AB"/>
    <w:rsid w:val="0022753B"/>
    <w:rsid w:val="00227F1D"/>
    <w:rsid w:val="002308C4"/>
    <w:rsid w:val="00230E57"/>
    <w:rsid w:val="00231016"/>
    <w:rsid w:val="00231226"/>
    <w:rsid w:val="00231A30"/>
    <w:rsid w:val="00231BF3"/>
    <w:rsid w:val="0023201C"/>
    <w:rsid w:val="00232049"/>
    <w:rsid w:val="002322D2"/>
    <w:rsid w:val="002324EB"/>
    <w:rsid w:val="002325EA"/>
    <w:rsid w:val="0023296C"/>
    <w:rsid w:val="00232C2D"/>
    <w:rsid w:val="0023315C"/>
    <w:rsid w:val="00233A5F"/>
    <w:rsid w:val="00233B3F"/>
    <w:rsid w:val="00233B55"/>
    <w:rsid w:val="00233D09"/>
    <w:rsid w:val="00233F6B"/>
    <w:rsid w:val="00235216"/>
    <w:rsid w:val="0023608C"/>
    <w:rsid w:val="0023689C"/>
    <w:rsid w:val="002377FC"/>
    <w:rsid w:val="002406EC"/>
    <w:rsid w:val="00240AC9"/>
    <w:rsid w:val="00242C74"/>
    <w:rsid w:val="00242F81"/>
    <w:rsid w:val="002430CE"/>
    <w:rsid w:val="00243470"/>
    <w:rsid w:val="00243D4E"/>
    <w:rsid w:val="00244A98"/>
    <w:rsid w:val="0024568A"/>
    <w:rsid w:val="00245B07"/>
    <w:rsid w:val="00246322"/>
    <w:rsid w:val="00246D51"/>
    <w:rsid w:val="002505AB"/>
    <w:rsid w:val="00250728"/>
    <w:rsid w:val="00250EA7"/>
    <w:rsid w:val="00250F04"/>
    <w:rsid w:val="0025183A"/>
    <w:rsid w:val="00252B42"/>
    <w:rsid w:val="002533F1"/>
    <w:rsid w:val="002534E9"/>
    <w:rsid w:val="002535DF"/>
    <w:rsid w:val="0025383B"/>
    <w:rsid w:val="0025388B"/>
    <w:rsid w:val="00253A37"/>
    <w:rsid w:val="00254E9A"/>
    <w:rsid w:val="00255181"/>
    <w:rsid w:val="002551F0"/>
    <w:rsid w:val="00255433"/>
    <w:rsid w:val="002556B6"/>
    <w:rsid w:val="002556D8"/>
    <w:rsid w:val="002560F4"/>
    <w:rsid w:val="00256A7C"/>
    <w:rsid w:val="00256C6D"/>
    <w:rsid w:val="00256E01"/>
    <w:rsid w:val="00260A13"/>
    <w:rsid w:val="0026110C"/>
    <w:rsid w:val="002616C5"/>
    <w:rsid w:val="0026347F"/>
    <w:rsid w:val="00263549"/>
    <w:rsid w:val="00263A69"/>
    <w:rsid w:val="00263ACA"/>
    <w:rsid w:val="00263E25"/>
    <w:rsid w:val="00264218"/>
    <w:rsid w:val="00265A6D"/>
    <w:rsid w:val="00266045"/>
    <w:rsid w:val="00266080"/>
    <w:rsid w:val="002660B9"/>
    <w:rsid w:val="00266222"/>
    <w:rsid w:val="002664FC"/>
    <w:rsid w:val="0026659C"/>
    <w:rsid w:val="00267CDD"/>
    <w:rsid w:val="00267E79"/>
    <w:rsid w:val="0027037A"/>
    <w:rsid w:val="00270679"/>
    <w:rsid w:val="002710B0"/>
    <w:rsid w:val="002710D0"/>
    <w:rsid w:val="00271455"/>
    <w:rsid w:val="002715BE"/>
    <w:rsid w:val="00271877"/>
    <w:rsid w:val="00271994"/>
    <w:rsid w:val="00271A74"/>
    <w:rsid w:val="00271C86"/>
    <w:rsid w:val="00272223"/>
    <w:rsid w:val="00273036"/>
    <w:rsid w:val="00273067"/>
    <w:rsid w:val="0027309C"/>
    <w:rsid w:val="00273716"/>
    <w:rsid w:val="00273AEB"/>
    <w:rsid w:val="002744BC"/>
    <w:rsid w:val="00275ED2"/>
    <w:rsid w:val="00275F55"/>
    <w:rsid w:val="00276971"/>
    <w:rsid w:val="00277773"/>
    <w:rsid w:val="00277A5D"/>
    <w:rsid w:val="00280319"/>
    <w:rsid w:val="0028031D"/>
    <w:rsid w:val="00280C0B"/>
    <w:rsid w:val="00280D62"/>
    <w:rsid w:val="0028127B"/>
    <w:rsid w:val="002815FA"/>
    <w:rsid w:val="00281749"/>
    <w:rsid w:val="00281813"/>
    <w:rsid w:val="002819B3"/>
    <w:rsid w:val="00281AA0"/>
    <w:rsid w:val="00282726"/>
    <w:rsid w:val="0028293B"/>
    <w:rsid w:val="00282CE4"/>
    <w:rsid w:val="00282D96"/>
    <w:rsid w:val="00283056"/>
    <w:rsid w:val="00283173"/>
    <w:rsid w:val="00283363"/>
    <w:rsid w:val="00283472"/>
    <w:rsid w:val="002837A1"/>
    <w:rsid w:val="0028385D"/>
    <w:rsid w:val="00283901"/>
    <w:rsid w:val="00283916"/>
    <w:rsid w:val="0028488F"/>
    <w:rsid w:val="0028489A"/>
    <w:rsid w:val="00284F34"/>
    <w:rsid w:val="002850B1"/>
    <w:rsid w:val="002850D5"/>
    <w:rsid w:val="002859F0"/>
    <w:rsid w:val="00285F1E"/>
    <w:rsid w:val="0028659A"/>
    <w:rsid w:val="00286B0A"/>
    <w:rsid w:val="002903B5"/>
    <w:rsid w:val="00291256"/>
    <w:rsid w:val="00291DF3"/>
    <w:rsid w:val="00292142"/>
    <w:rsid w:val="0029221D"/>
    <w:rsid w:val="0029258D"/>
    <w:rsid w:val="002928F5"/>
    <w:rsid w:val="00292FE9"/>
    <w:rsid w:val="002931C2"/>
    <w:rsid w:val="00293513"/>
    <w:rsid w:val="0029385E"/>
    <w:rsid w:val="00294137"/>
    <w:rsid w:val="00294461"/>
    <w:rsid w:val="00294493"/>
    <w:rsid w:val="002945C9"/>
    <w:rsid w:val="0029463F"/>
    <w:rsid w:val="00294792"/>
    <w:rsid w:val="00294842"/>
    <w:rsid w:val="00295C85"/>
    <w:rsid w:val="00297A7B"/>
    <w:rsid w:val="00297E9F"/>
    <w:rsid w:val="002A001F"/>
    <w:rsid w:val="002A037E"/>
    <w:rsid w:val="002A06A0"/>
    <w:rsid w:val="002A19A6"/>
    <w:rsid w:val="002A1A4C"/>
    <w:rsid w:val="002A1B9B"/>
    <w:rsid w:val="002A1C48"/>
    <w:rsid w:val="002A1D0B"/>
    <w:rsid w:val="002A2056"/>
    <w:rsid w:val="002A209E"/>
    <w:rsid w:val="002A214D"/>
    <w:rsid w:val="002A2474"/>
    <w:rsid w:val="002A265C"/>
    <w:rsid w:val="002A270B"/>
    <w:rsid w:val="002A28B2"/>
    <w:rsid w:val="002A2B53"/>
    <w:rsid w:val="002A2CF9"/>
    <w:rsid w:val="002A2F8E"/>
    <w:rsid w:val="002A402D"/>
    <w:rsid w:val="002A422A"/>
    <w:rsid w:val="002A48D2"/>
    <w:rsid w:val="002A4BEC"/>
    <w:rsid w:val="002A52E9"/>
    <w:rsid w:val="002A5DAE"/>
    <w:rsid w:val="002A666B"/>
    <w:rsid w:val="002A73C8"/>
    <w:rsid w:val="002A7673"/>
    <w:rsid w:val="002A78A5"/>
    <w:rsid w:val="002A7D25"/>
    <w:rsid w:val="002A7E82"/>
    <w:rsid w:val="002B042F"/>
    <w:rsid w:val="002B061D"/>
    <w:rsid w:val="002B0628"/>
    <w:rsid w:val="002B09C8"/>
    <w:rsid w:val="002B09D2"/>
    <w:rsid w:val="002B0E63"/>
    <w:rsid w:val="002B0EF8"/>
    <w:rsid w:val="002B2517"/>
    <w:rsid w:val="002B2546"/>
    <w:rsid w:val="002B2B64"/>
    <w:rsid w:val="002B2E1E"/>
    <w:rsid w:val="002B2FEB"/>
    <w:rsid w:val="002B37CF"/>
    <w:rsid w:val="002B3E51"/>
    <w:rsid w:val="002B4451"/>
    <w:rsid w:val="002B54E5"/>
    <w:rsid w:val="002B550E"/>
    <w:rsid w:val="002B57E9"/>
    <w:rsid w:val="002B5B04"/>
    <w:rsid w:val="002B6BBE"/>
    <w:rsid w:val="002B6C13"/>
    <w:rsid w:val="002B7389"/>
    <w:rsid w:val="002B7745"/>
    <w:rsid w:val="002B79F7"/>
    <w:rsid w:val="002C0247"/>
    <w:rsid w:val="002C0802"/>
    <w:rsid w:val="002C2851"/>
    <w:rsid w:val="002C2B54"/>
    <w:rsid w:val="002C2DEF"/>
    <w:rsid w:val="002C2E8C"/>
    <w:rsid w:val="002C3726"/>
    <w:rsid w:val="002C3A72"/>
    <w:rsid w:val="002C412C"/>
    <w:rsid w:val="002C42A9"/>
    <w:rsid w:val="002C49BC"/>
    <w:rsid w:val="002C4B9E"/>
    <w:rsid w:val="002C5FC4"/>
    <w:rsid w:val="002C669A"/>
    <w:rsid w:val="002C7E2E"/>
    <w:rsid w:val="002D035A"/>
    <w:rsid w:val="002D0B05"/>
    <w:rsid w:val="002D0B66"/>
    <w:rsid w:val="002D14C1"/>
    <w:rsid w:val="002D1796"/>
    <w:rsid w:val="002D1F57"/>
    <w:rsid w:val="002D23F0"/>
    <w:rsid w:val="002D26C1"/>
    <w:rsid w:val="002D29F1"/>
    <w:rsid w:val="002D2BDB"/>
    <w:rsid w:val="002D3755"/>
    <w:rsid w:val="002D3935"/>
    <w:rsid w:val="002D4831"/>
    <w:rsid w:val="002D4D41"/>
    <w:rsid w:val="002D56DB"/>
    <w:rsid w:val="002D5769"/>
    <w:rsid w:val="002D5B77"/>
    <w:rsid w:val="002D60D9"/>
    <w:rsid w:val="002D6191"/>
    <w:rsid w:val="002D62A6"/>
    <w:rsid w:val="002E0D51"/>
    <w:rsid w:val="002E1261"/>
    <w:rsid w:val="002E1276"/>
    <w:rsid w:val="002E13FF"/>
    <w:rsid w:val="002E1482"/>
    <w:rsid w:val="002E16C0"/>
    <w:rsid w:val="002E1774"/>
    <w:rsid w:val="002E2E77"/>
    <w:rsid w:val="002E2F34"/>
    <w:rsid w:val="002E30B9"/>
    <w:rsid w:val="002E35D4"/>
    <w:rsid w:val="002E46BC"/>
    <w:rsid w:val="002E4703"/>
    <w:rsid w:val="002E5824"/>
    <w:rsid w:val="002E59DB"/>
    <w:rsid w:val="002E602F"/>
    <w:rsid w:val="002E63F6"/>
    <w:rsid w:val="002E66C2"/>
    <w:rsid w:val="002E67AA"/>
    <w:rsid w:val="002E6D96"/>
    <w:rsid w:val="002E7B99"/>
    <w:rsid w:val="002E7BF5"/>
    <w:rsid w:val="002E7FE5"/>
    <w:rsid w:val="002F0FA2"/>
    <w:rsid w:val="002F145D"/>
    <w:rsid w:val="002F1DE8"/>
    <w:rsid w:val="002F1E31"/>
    <w:rsid w:val="002F2766"/>
    <w:rsid w:val="002F3102"/>
    <w:rsid w:val="002F36E0"/>
    <w:rsid w:val="002F438B"/>
    <w:rsid w:val="002F534A"/>
    <w:rsid w:val="002F5682"/>
    <w:rsid w:val="002F64B8"/>
    <w:rsid w:val="002F65AA"/>
    <w:rsid w:val="002F7768"/>
    <w:rsid w:val="002F7DDD"/>
    <w:rsid w:val="003002D1"/>
    <w:rsid w:val="003010D1"/>
    <w:rsid w:val="003012DA"/>
    <w:rsid w:val="00301C23"/>
    <w:rsid w:val="0030282A"/>
    <w:rsid w:val="003031E4"/>
    <w:rsid w:val="00303F1D"/>
    <w:rsid w:val="00304042"/>
    <w:rsid w:val="003043A7"/>
    <w:rsid w:val="003046B7"/>
    <w:rsid w:val="00304DB9"/>
    <w:rsid w:val="003053DA"/>
    <w:rsid w:val="00305AA0"/>
    <w:rsid w:val="00305B2D"/>
    <w:rsid w:val="00305BAE"/>
    <w:rsid w:val="0030620D"/>
    <w:rsid w:val="0030705E"/>
    <w:rsid w:val="003070E4"/>
    <w:rsid w:val="0030725A"/>
    <w:rsid w:val="00310199"/>
    <w:rsid w:val="003106D1"/>
    <w:rsid w:val="00311415"/>
    <w:rsid w:val="0031161F"/>
    <w:rsid w:val="00311914"/>
    <w:rsid w:val="00311A5B"/>
    <w:rsid w:val="00312036"/>
    <w:rsid w:val="003123F8"/>
    <w:rsid w:val="00312A35"/>
    <w:rsid w:val="00312D34"/>
    <w:rsid w:val="0031317B"/>
    <w:rsid w:val="00313340"/>
    <w:rsid w:val="003133CB"/>
    <w:rsid w:val="00313A30"/>
    <w:rsid w:val="00313C8E"/>
    <w:rsid w:val="00314B7E"/>
    <w:rsid w:val="00314BD6"/>
    <w:rsid w:val="00314EBF"/>
    <w:rsid w:val="00315059"/>
    <w:rsid w:val="00315449"/>
    <w:rsid w:val="003157CD"/>
    <w:rsid w:val="003164E6"/>
    <w:rsid w:val="00316A51"/>
    <w:rsid w:val="00317091"/>
    <w:rsid w:val="00317561"/>
    <w:rsid w:val="0031773D"/>
    <w:rsid w:val="00317BA7"/>
    <w:rsid w:val="00317BE1"/>
    <w:rsid w:val="00317E97"/>
    <w:rsid w:val="003205F3"/>
    <w:rsid w:val="00320FAD"/>
    <w:rsid w:val="003210DC"/>
    <w:rsid w:val="0032190D"/>
    <w:rsid w:val="00321E4F"/>
    <w:rsid w:val="003222BB"/>
    <w:rsid w:val="00322489"/>
    <w:rsid w:val="00322889"/>
    <w:rsid w:val="00322FD2"/>
    <w:rsid w:val="003231D5"/>
    <w:rsid w:val="00323391"/>
    <w:rsid w:val="003237C0"/>
    <w:rsid w:val="003238AB"/>
    <w:rsid w:val="00323B6B"/>
    <w:rsid w:val="00323C8B"/>
    <w:rsid w:val="00324067"/>
    <w:rsid w:val="00324384"/>
    <w:rsid w:val="00324536"/>
    <w:rsid w:val="00324826"/>
    <w:rsid w:val="00324B0F"/>
    <w:rsid w:val="0032547C"/>
    <w:rsid w:val="0032619D"/>
    <w:rsid w:val="00326360"/>
    <w:rsid w:val="00326475"/>
    <w:rsid w:val="00326A91"/>
    <w:rsid w:val="00326AD1"/>
    <w:rsid w:val="00326B69"/>
    <w:rsid w:val="00327679"/>
    <w:rsid w:val="0032767C"/>
    <w:rsid w:val="00327DCB"/>
    <w:rsid w:val="00330A3D"/>
    <w:rsid w:val="00330D64"/>
    <w:rsid w:val="00330EDB"/>
    <w:rsid w:val="0033114E"/>
    <w:rsid w:val="003311D7"/>
    <w:rsid w:val="003313D1"/>
    <w:rsid w:val="00331AB4"/>
    <w:rsid w:val="00331C6E"/>
    <w:rsid w:val="00331C7B"/>
    <w:rsid w:val="003325E3"/>
    <w:rsid w:val="003329D0"/>
    <w:rsid w:val="00333601"/>
    <w:rsid w:val="00333C2A"/>
    <w:rsid w:val="00333EA3"/>
    <w:rsid w:val="00334E9B"/>
    <w:rsid w:val="00334F97"/>
    <w:rsid w:val="00335733"/>
    <w:rsid w:val="0033585E"/>
    <w:rsid w:val="00336240"/>
    <w:rsid w:val="003364FC"/>
    <w:rsid w:val="00336807"/>
    <w:rsid w:val="0033681F"/>
    <w:rsid w:val="00336B34"/>
    <w:rsid w:val="003370A1"/>
    <w:rsid w:val="00337A0C"/>
    <w:rsid w:val="00337B36"/>
    <w:rsid w:val="00340136"/>
    <w:rsid w:val="00340F55"/>
    <w:rsid w:val="0034157D"/>
    <w:rsid w:val="003418A1"/>
    <w:rsid w:val="00341E0D"/>
    <w:rsid w:val="00341EF9"/>
    <w:rsid w:val="00342140"/>
    <w:rsid w:val="00344508"/>
    <w:rsid w:val="0034451F"/>
    <w:rsid w:val="00344739"/>
    <w:rsid w:val="00344BC2"/>
    <w:rsid w:val="00345B18"/>
    <w:rsid w:val="00346099"/>
    <w:rsid w:val="00346B51"/>
    <w:rsid w:val="00346EE1"/>
    <w:rsid w:val="00347516"/>
    <w:rsid w:val="00347755"/>
    <w:rsid w:val="003477D9"/>
    <w:rsid w:val="0034780A"/>
    <w:rsid w:val="00347FBE"/>
    <w:rsid w:val="0035046A"/>
    <w:rsid w:val="003506F3"/>
    <w:rsid w:val="00350AA9"/>
    <w:rsid w:val="00350B27"/>
    <w:rsid w:val="00350D45"/>
    <w:rsid w:val="00350E7B"/>
    <w:rsid w:val="00351381"/>
    <w:rsid w:val="0035167E"/>
    <w:rsid w:val="00351A1C"/>
    <w:rsid w:val="00352061"/>
    <w:rsid w:val="0035248E"/>
    <w:rsid w:val="00352EF5"/>
    <w:rsid w:val="00353B91"/>
    <w:rsid w:val="00353C23"/>
    <w:rsid w:val="00353CC7"/>
    <w:rsid w:val="00354644"/>
    <w:rsid w:val="003546B1"/>
    <w:rsid w:val="003548E4"/>
    <w:rsid w:val="00355E0C"/>
    <w:rsid w:val="00355F1E"/>
    <w:rsid w:val="00355F48"/>
    <w:rsid w:val="003568B8"/>
    <w:rsid w:val="00357425"/>
    <w:rsid w:val="00357B5C"/>
    <w:rsid w:val="00360C84"/>
    <w:rsid w:val="00361892"/>
    <w:rsid w:val="0036248E"/>
    <w:rsid w:val="00362E86"/>
    <w:rsid w:val="003632C1"/>
    <w:rsid w:val="0036369F"/>
    <w:rsid w:val="00364571"/>
    <w:rsid w:val="003655DC"/>
    <w:rsid w:val="003656F6"/>
    <w:rsid w:val="0036572E"/>
    <w:rsid w:val="0036579E"/>
    <w:rsid w:val="003664DE"/>
    <w:rsid w:val="0036672C"/>
    <w:rsid w:val="00367C19"/>
    <w:rsid w:val="00367E88"/>
    <w:rsid w:val="00370415"/>
    <w:rsid w:val="0037075D"/>
    <w:rsid w:val="003710E3"/>
    <w:rsid w:val="0037266C"/>
    <w:rsid w:val="00372791"/>
    <w:rsid w:val="00372B0D"/>
    <w:rsid w:val="00372D49"/>
    <w:rsid w:val="00373529"/>
    <w:rsid w:val="00373A6B"/>
    <w:rsid w:val="003745B8"/>
    <w:rsid w:val="00374C56"/>
    <w:rsid w:val="00374D4F"/>
    <w:rsid w:val="00374D67"/>
    <w:rsid w:val="0037524B"/>
    <w:rsid w:val="00376962"/>
    <w:rsid w:val="00376DD0"/>
    <w:rsid w:val="003770CD"/>
    <w:rsid w:val="0037715C"/>
    <w:rsid w:val="00377220"/>
    <w:rsid w:val="003774F7"/>
    <w:rsid w:val="0038047E"/>
    <w:rsid w:val="00380A2E"/>
    <w:rsid w:val="00381441"/>
    <w:rsid w:val="0038169C"/>
    <w:rsid w:val="00381FD1"/>
    <w:rsid w:val="003823F0"/>
    <w:rsid w:val="003828B1"/>
    <w:rsid w:val="003834AC"/>
    <w:rsid w:val="003834D3"/>
    <w:rsid w:val="00383908"/>
    <w:rsid w:val="00383A2D"/>
    <w:rsid w:val="003842B9"/>
    <w:rsid w:val="00385C16"/>
    <w:rsid w:val="00387118"/>
    <w:rsid w:val="003875E5"/>
    <w:rsid w:val="00387E80"/>
    <w:rsid w:val="00390132"/>
    <w:rsid w:val="00390546"/>
    <w:rsid w:val="003908B2"/>
    <w:rsid w:val="00390DBD"/>
    <w:rsid w:val="0039136F"/>
    <w:rsid w:val="00391531"/>
    <w:rsid w:val="00391F78"/>
    <w:rsid w:val="0039235F"/>
    <w:rsid w:val="003923E3"/>
    <w:rsid w:val="0039287E"/>
    <w:rsid w:val="00392FF8"/>
    <w:rsid w:val="003936CE"/>
    <w:rsid w:val="00393F8D"/>
    <w:rsid w:val="00394901"/>
    <w:rsid w:val="00395CFA"/>
    <w:rsid w:val="00396CF5"/>
    <w:rsid w:val="00396EEF"/>
    <w:rsid w:val="0039719E"/>
    <w:rsid w:val="003976D5"/>
    <w:rsid w:val="003A063C"/>
    <w:rsid w:val="003A0CC4"/>
    <w:rsid w:val="003A1093"/>
    <w:rsid w:val="003A225D"/>
    <w:rsid w:val="003A2741"/>
    <w:rsid w:val="003A2807"/>
    <w:rsid w:val="003A3344"/>
    <w:rsid w:val="003A3404"/>
    <w:rsid w:val="003A37F0"/>
    <w:rsid w:val="003A39C6"/>
    <w:rsid w:val="003A42FD"/>
    <w:rsid w:val="003A4321"/>
    <w:rsid w:val="003A490D"/>
    <w:rsid w:val="003A4B00"/>
    <w:rsid w:val="003A4F81"/>
    <w:rsid w:val="003A4FFE"/>
    <w:rsid w:val="003A5893"/>
    <w:rsid w:val="003A5904"/>
    <w:rsid w:val="003A5E1D"/>
    <w:rsid w:val="003A678C"/>
    <w:rsid w:val="003A67D7"/>
    <w:rsid w:val="003A6A8D"/>
    <w:rsid w:val="003A6DFD"/>
    <w:rsid w:val="003A6F98"/>
    <w:rsid w:val="003B0147"/>
    <w:rsid w:val="003B015B"/>
    <w:rsid w:val="003B0A81"/>
    <w:rsid w:val="003B119A"/>
    <w:rsid w:val="003B14AA"/>
    <w:rsid w:val="003B17A7"/>
    <w:rsid w:val="003B38CA"/>
    <w:rsid w:val="003B3C5D"/>
    <w:rsid w:val="003B492B"/>
    <w:rsid w:val="003B4DBF"/>
    <w:rsid w:val="003B546A"/>
    <w:rsid w:val="003B5C0B"/>
    <w:rsid w:val="003B5F16"/>
    <w:rsid w:val="003B6572"/>
    <w:rsid w:val="003B684B"/>
    <w:rsid w:val="003B6F94"/>
    <w:rsid w:val="003B73B9"/>
    <w:rsid w:val="003B7731"/>
    <w:rsid w:val="003B77C9"/>
    <w:rsid w:val="003C0070"/>
    <w:rsid w:val="003C0707"/>
    <w:rsid w:val="003C09AB"/>
    <w:rsid w:val="003C205E"/>
    <w:rsid w:val="003C234F"/>
    <w:rsid w:val="003C36F2"/>
    <w:rsid w:val="003C38A3"/>
    <w:rsid w:val="003C4553"/>
    <w:rsid w:val="003C4E35"/>
    <w:rsid w:val="003C5083"/>
    <w:rsid w:val="003C75DC"/>
    <w:rsid w:val="003C7CF7"/>
    <w:rsid w:val="003D03F6"/>
    <w:rsid w:val="003D09A6"/>
    <w:rsid w:val="003D16FD"/>
    <w:rsid w:val="003D1705"/>
    <w:rsid w:val="003D1AFB"/>
    <w:rsid w:val="003D2360"/>
    <w:rsid w:val="003D2C64"/>
    <w:rsid w:val="003D3776"/>
    <w:rsid w:val="003D3BBE"/>
    <w:rsid w:val="003D436C"/>
    <w:rsid w:val="003D4480"/>
    <w:rsid w:val="003D465B"/>
    <w:rsid w:val="003D477F"/>
    <w:rsid w:val="003D5621"/>
    <w:rsid w:val="003D5AE0"/>
    <w:rsid w:val="003D60C3"/>
    <w:rsid w:val="003D668B"/>
    <w:rsid w:val="003D7170"/>
    <w:rsid w:val="003E0A9D"/>
    <w:rsid w:val="003E0DFF"/>
    <w:rsid w:val="003E1EEE"/>
    <w:rsid w:val="003E2F73"/>
    <w:rsid w:val="003E39C5"/>
    <w:rsid w:val="003E3AD6"/>
    <w:rsid w:val="003E44AE"/>
    <w:rsid w:val="003E4AB9"/>
    <w:rsid w:val="003E528D"/>
    <w:rsid w:val="003E6060"/>
    <w:rsid w:val="003E6606"/>
    <w:rsid w:val="003E6859"/>
    <w:rsid w:val="003E6A81"/>
    <w:rsid w:val="003E7796"/>
    <w:rsid w:val="003F008C"/>
    <w:rsid w:val="003F09E6"/>
    <w:rsid w:val="003F0CD0"/>
    <w:rsid w:val="003F0F29"/>
    <w:rsid w:val="003F139D"/>
    <w:rsid w:val="003F158E"/>
    <w:rsid w:val="003F1689"/>
    <w:rsid w:val="003F16D1"/>
    <w:rsid w:val="003F198B"/>
    <w:rsid w:val="003F1D28"/>
    <w:rsid w:val="003F23ED"/>
    <w:rsid w:val="003F24BD"/>
    <w:rsid w:val="003F2512"/>
    <w:rsid w:val="003F32BD"/>
    <w:rsid w:val="003F35AE"/>
    <w:rsid w:val="003F3BD8"/>
    <w:rsid w:val="003F3D48"/>
    <w:rsid w:val="003F49FB"/>
    <w:rsid w:val="003F4A54"/>
    <w:rsid w:val="003F5CA2"/>
    <w:rsid w:val="003F5E86"/>
    <w:rsid w:val="003F6167"/>
    <w:rsid w:val="003F67EA"/>
    <w:rsid w:val="003F6C80"/>
    <w:rsid w:val="003F6F97"/>
    <w:rsid w:val="003F737E"/>
    <w:rsid w:val="003F7499"/>
    <w:rsid w:val="003F79A1"/>
    <w:rsid w:val="003F79A3"/>
    <w:rsid w:val="004005C3"/>
    <w:rsid w:val="0040071F"/>
    <w:rsid w:val="004011B4"/>
    <w:rsid w:val="00401C62"/>
    <w:rsid w:val="00401D88"/>
    <w:rsid w:val="00401DBF"/>
    <w:rsid w:val="00402256"/>
    <w:rsid w:val="004027D1"/>
    <w:rsid w:val="00402A95"/>
    <w:rsid w:val="00404840"/>
    <w:rsid w:val="0040487E"/>
    <w:rsid w:val="00404A26"/>
    <w:rsid w:val="00405661"/>
    <w:rsid w:val="00405820"/>
    <w:rsid w:val="00406CA5"/>
    <w:rsid w:val="00406DC3"/>
    <w:rsid w:val="0041019C"/>
    <w:rsid w:val="0041035E"/>
    <w:rsid w:val="004112A9"/>
    <w:rsid w:val="004118F1"/>
    <w:rsid w:val="00411B89"/>
    <w:rsid w:val="00411D4F"/>
    <w:rsid w:val="0041236A"/>
    <w:rsid w:val="00412ED3"/>
    <w:rsid w:val="0041485F"/>
    <w:rsid w:val="00414E36"/>
    <w:rsid w:val="00415958"/>
    <w:rsid w:val="00415A43"/>
    <w:rsid w:val="00415C56"/>
    <w:rsid w:val="00416100"/>
    <w:rsid w:val="00416434"/>
    <w:rsid w:val="00416951"/>
    <w:rsid w:val="00416DA0"/>
    <w:rsid w:val="00416ECA"/>
    <w:rsid w:val="00417271"/>
    <w:rsid w:val="0041773A"/>
    <w:rsid w:val="00417EF8"/>
    <w:rsid w:val="00420FF4"/>
    <w:rsid w:val="004213FA"/>
    <w:rsid w:val="00421594"/>
    <w:rsid w:val="00421605"/>
    <w:rsid w:val="004217B2"/>
    <w:rsid w:val="00421AB1"/>
    <w:rsid w:val="004226C3"/>
    <w:rsid w:val="00422908"/>
    <w:rsid w:val="004231CD"/>
    <w:rsid w:val="004235A3"/>
    <w:rsid w:val="00424746"/>
    <w:rsid w:val="00425171"/>
    <w:rsid w:val="004252AD"/>
    <w:rsid w:val="00425D76"/>
    <w:rsid w:val="00426910"/>
    <w:rsid w:val="004269F1"/>
    <w:rsid w:val="00427143"/>
    <w:rsid w:val="00427745"/>
    <w:rsid w:val="0043009C"/>
    <w:rsid w:val="0043055B"/>
    <w:rsid w:val="00430D2D"/>
    <w:rsid w:val="00431260"/>
    <w:rsid w:val="004313D9"/>
    <w:rsid w:val="00431F93"/>
    <w:rsid w:val="00432110"/>
    <w:rsid w:val="00432681"/>
    <w:rsid w:val="00432DDC"/>
    <w:rsid w:val="00432F84"/>
    <w:rsid w:val="00433627"/>
    <w:rsid w:val="00433745"/>
    <w:rsid w:val="00434180"/>
    <w:rsid w:val="00434903"/>
    <w:rsid w:val="00435AF2"/>
    <w:rsid w:val="00435C35"/>
    <w:rsid w:val="00435FB1"/>
    <w:rsid w:val="0043617F"/>
    <w:rsid w:val="004365AA"/>
    <w:rsid w:val="0043747D"/>
    <w:rsid w:val="0043773F"/>
    <w:rsid w:val="00437D69"/>
    <w:rsid w:val="00440305"/>
    <w:rsid w:val="004405AA"/>
    <w:rsid w:val="004413F3"/>
    <w:rsid w:val="0044183D"/>
    <w:rsid w:val="00441A32"/>
    <w:rsid w:val="00441F01"/>
    <w:rsid w:val="00442965"/>
    <w:rsid w:val="004430CA"/>
    <w:rsid w:val="00443A2F"/>
    <w:rsid w:val="00443C41"/>
    <w:rsid w:val="0044420D"/>
    <w:rsid w:val="0044433C"/>
    <w:rsid w:val="00444446"/>
    <w:rsid w:val="00445189"/>
    <w:rsid w:val="0044552F"/>
    <w:rsid w:val="004455D9"/>
    <w:rsid w:val="0044612B"/>
    <w:rsid w:val="0044642D"/>
    <w:rsid w:val="004479E1"/>
    <w:rsid w:val="00447AE6"/>
    <w:rsid w:val="00447B8D"/>
    <w:rsid w:val="0045044B"/>
    <w:rsid w:val="00450AB1"/>
    <w:rsid w:val="00450AEC"/>
    <w:rsid w:val="00450F73"/>
    <w:rsid w:val="0045197A"/>
    <w:rsid w:val="00451B9A"/>
    <w:rsid w:val="00452227"/>
    <w:rsid w:val="00452787"/>
    <w:rsid w:val="00452A5E"/>
    <w:rsid w:val="00452A90"/>
    <w:rsid w:val="00452D16"/>
    <w:rsid w:val="00454D4C"/>
    <w:rsid w:val="00454EA6"/>
    <w:rsid w:val="00455100"/>
    <w:rsid w:val="00455B18"/>
    <w:rsid w:val="00455BD0"/>
    <w:rsid w:val="00455E15"/>
    <w:rsid w:val="00455FDA"/>
    <w:rsid w:val="004563A3"/>
    <w:rsid w:val="00456493"/>
    <w:rsid w:val="004566BC"/>
    <w:rsid w:val="0045726D"/>
    <w:rsid w:val="004575E3"/>
    <w:rsid w:val="00457DAA"/>
    <w:rsid w:val="00460954"/>
    <w:rsid w:val="00460967"/>
    <w:rsid w:val="00460FC9"/>
    <w:rsid w:val="004612B4"/>
    <w:rsid w:val="00461440"/>
    <w:rsid w:val="00461730"/>
    <w:rsid w:val="00461904"/>
    <w:rsid w:val="0046193F"/>
    <w:rsid w:val="00462B09"/>
    <w:rsid w:val="00462B2C"/>
    <w:rsid w:val="00462C5B"/>
    <w:rsid w:val="00462D7E"/>
    <w:rsid w:val="00463014"/>
    <w:rsid w:val="0046381E"/>
    <w:rsid w:val="004638C9"/>
    <w:rsid w:val="00463DFE"/>
    <w:rsid w:val="00463EF8"/>
    <w:rsid w:val="00463F53"/>
    <w:rsid w:val="00464665"/>
    <w:rsid w:val="00464754"/>
    <w:rsid w:val="0046476A"/>
    <w:rsid w:val="004650FE"/>
    <w:rsid w:val="004662AA"/>
    <w:rsid w:val="00466578"/>
    <w:rsid w:val="00466CC4"/>
    <w:rsid w:val="00467B57"/>
    <w:rsid w:val="00467CCF"/>
    <w:rsid w:val="00467F87"/>
    <w:rsid w:val="00470013"/>
    <w:rsid w:val="004706ED"/>
    <w:rsid w:val="00471D33"/>
    <w:rsid w:val="004723B0"/>
    <w:rsid w:val="00472A28"/>
    <w:rsid w:val="00474017"/>
    <w:rsid w:val="004747E9"/>
    <w:rsid w:val="00475025"/>
    <w:rsid w:val="00475BC6"/>
    <w:rsid w:val="004764D8"/>
    <w:rsid w:val="004766A7"/>
    <w:rsid w:val="004772C4"/>
    <w:rsid w:val="00477E27"/>
    <w:rsid w:val="00477EE8"/>
    <w:rsid w:val="0048050D"/>
    <w:rsid w:val="00480573"/>
    <w:rsid w:val="00480672"/>
    <w:rsid w:val="00480E20"/>
    <w:rsid w:val="00480F08"/>
    <w:rsid w:val="00481326"/>
    <w:rsid w:val="00481908"/>
    <w:rsid w:val="00481CA5"/>
    <w:rsid w:val="00481EEA"/>
    <w:rsid w:val="00482285"/>
    <w:rsid w:val="004824D3"/>
    <w:rsid w:val="00482641"/>
    <w:rsid w:val="004827E8"/>
    <w:rsid w:val="00482962"/>
    <w:rsid w:val="004836E7"/>
    <w:rsid w:val="0048392E"/>
    <w:rsid w:val="00483C55"/>
    <w:rsid w:val="00483D45"/>
    <w:rsid w:val="00484C5E"/>
    <w:rsid w:val="00485273"/>
    <w:rsid w:val="00485707"/>
    <w:rsid w:val="00486632"/>
    <w:rsid w:val="0048705F"/>
    <w:rsid w:val="00490049"/>
    <w:rsid w:val="004900B0"/>
    <w:rsid w:val="0049046F"/>
    <w:rsid w:val="0049098F"/>
    <w:rsid w:val="00490CD5"/>
    <w:rsid w:val="00490F33"/>
    <w:rsid w:val="004915F8"/>
    <w:rsid w:val="004919C6"/>
    <w:rsid w:val="00492196"/>
    <w:rsid w:val="00492E00"/>
    <w:rsid w:val="00492EE9"/>
    <w:rsid w:val="00494331"/>
    <w:rsid w:val="00495D3D"/>
    <w:rsid w:val="00495F49"/>
    <w:rsid w:val="00496080"/>
    <w:rsid w:val="00496136"/>
    <w:rsid w:val="00496384"/>
    <w:rsid w:val="00496510"/>
    <w:rsid w:val="00496B78"/>
    <w:rsid w:val="00497E78"/>
    <w:rsid w:val="004A076B"/>
    <w:rsid w:val="004A0D16"/>
    <w:rsid w:val="004A12C5"/>
    <w:rsid w:val="004A1DFD"/>
    <w:rsid w:val="004A23ED"/>
    <w:rsid w:val="004A2630"/>
    <w:rsid w:val="004A2712"/>
    <w:rsid w:val="004A2ECF"/>
    <w:rsid w:val="004A3690"/>
    <w:rsid w:val="004A36C6"/>
    <w:rsid w:val="004A3B71"/>
    <w:rsid w:val="004A3C86"/>
    <w:rsid w:val="004A3E5D"/>
    <w:rsid w:val="004A4184"/>
    <w:rsid w:val="004A4EA9"/>
    <w:rsid w:val="004A54AE"/>
    <w:rsid w:val="004A643B"/>
    <w:rsid w:val="004A6949"/>
    <w:rsid w:val="004A6C52"/>
    <w:rsid w:val="004A7132"/>
    <w:rsid w:val="004A73D5"/>
    <w:rsid w:val="004B0D48"/>
    <w:rsid w:val="004B0D4D"/>
    <w:rsid w:val="004B0F19"/>
    <w:rsid w:val="004B0F8D"/>
    <w:rsid w:val="004B11E3"/>
    <w:rsid w:val="004B16A4"/>
    <w:rsid w:val="004B17B8"/>
    <w:rsid w:val="004B1FE3"/>
    <w:rsid w:val="004B290D"/>
    <w:rsid w:val="004B2AF0"/>
    <w:rsid w:val="004B327A"/>
    <w:rsid w:val="004B3807"/>
    <w:rsid w:val="004B395F"/>
    <w:rsid w:val="004B3D55"/>
    <w:rsid w:val="004B4633"/>
    <w:rsid w:val="004B4B0C"/>
    <w:rsid w:val="004B550B"/>
    <w:rsid w:val="004B55E7"/>
    <w:rsid w:val="004B5635"/>
    <w:rsid w:val="004B56C9"/>
    <w:rsid w:val="004B5A28"/>
    <w:rsid w:val="004B5E65"/>
    <w:rsid w:val="004B6E2F"/>
    <w:rsid w:val="004B7622"/>
    <w:rsid w:val="004B78CD"/>
    <w:rsid w:val="004C0315"/>
    <w:rsid w:val="004C1190"/>
    <w:rsid w:val="004C15D5"/>
    <w:rsid w:val="004C1E88"/>
    <w:rsid w:val="004C2018"/>
    <w:rsid w:val="004C2605"/>
    <w:rsid w:val="004C2B94"/>
    <w:rsid w:val="004C3137"/>
    <w:rsid w:val="004C332F"/>
    <w:rsid w:val="004C398C"/>
    <w:rsid w:val="004C3BA5"/>
    <w:rsid w:val="004C406E"/>
    <w:rsid w:val="004C4454"/>
    <w:rsid w:val="004C49BF"/>
    <w:rsid w:val="004C5C17"/>
    <w:rsid w:val="004C62C4"/>
    <w:rsid w:val="004C6D5C"/>
    <w:rsid w:val="004C74D9"/>
    <w:rsid w:val="004C795C"/>
    <w:rsid w:val="004D032E"/>
    <w:rsid w:val="004D03C6"/>
    <w:rsid w:val="004D05FC"/>
    <w:rsid w:val="004D0A95"/>
    <w:rsid w:val="004D1459"/>
    <w:rsid w:val="004D1554"/>
    <w:rsid w:val="004D19AF"/>
    <w:rsid w:val="004D24C6"/>
    <w:rsid w:val="004D26F3"/>
    <w:rsid w:val="004D2999"/>
    <w:rsid w:val="004D2AD9"/>
    <w:rsid w:val="004D2F65"/>
    <w:rsid w:val="004D30AE"/>
    <w:rsid w:val="004D364C"/>
    <w:rsid w:val="004D44B0"/>
    <w:rsid w:val="004D4CFC"/>
    <w:rsid w:val="004D5886"/>
    <w:rsid w:val="004D5A4B"/>
    <w:rsid w:val="004D6F6A"/>
    <w:rsid w:val="004E0213"/>
    <w:rsid w:val="004E035C"/>
    <w:rsid w:val="004E041B"/>
    <w:rsid w:val="004E04D8"/>
    <w:rsid w:val="004E0A19"/>
    <w:rsid w:val="004E0D10"/>
    <w:rsid w:val="004E1B23"/>
    <w:rsid w:val="004E1D8B"/>
    <w:rsid w:val="004E20C9"/>
    <w:rsid w:val="004E326F"/>
    <w:rsid w:val="004E3321"/>
    <w:rsid w:val="004E57AD"/>
    <w:rsid w:val="004E6977"/>
    <w:rsid w:val="004E6B3B"/>
    <w:rsid w:val="004E6BFD"/>
    <w:rsid w:val="004E72D7"/>
    <w:rsid w:val="004E7623"/>
    <w:rsid w:val="004E7F08"/>
    <w:rsid w:val="004F0011"/>
    <w:rsid w:val="004F0A6D"/>
    <w:rsid w:val="004F0ABE"/>
    <w:rsid w:val="004F0C32"/>
    <w:rsid w:val="004F119D"/>
    <w:rsid w:val="004F1547"/>
    <w:rsid w:val="004F1967"/>
    <w:rsid w:val="004F1AAD"/>
    <w:rsid w:val="004F2731"/>
    <w:rsid w:val="004F3D4E"/>
    <w:rsid w:val="004F47BD"/>
    <w:rsid w:val="004F4B70"/>
    <w:rsid w:val="004F4C93"/>
    <w:rsid w:val="004F4CBE"/>
    <w:rsid w:val="004F4F60"/>
    <w:rsid w:val="004F4FE4"/>
    <w:rsid w:val="004F5BAA"/>
    <w:rsid w:val="004F5E5F"/>
    <w:rsid w:val="004F750F"/>
    <w:rsid w:val="004F7D62"/>
    <w:rsid w:val="0050006C"/>
    <w:rsid w:val="0050094F"/>
    <w:rsid w:val="00500CCA"/>
    <w:rsid w:val="00500D86"/>
    <w:rsid w:val="005020DE"/>
    <w:rsid w:val="00502C50"/>
    <w:rsid w:val="00503086"/>
    <w:rsid w:val="005035CC"/>
    <w:rsid w:val="005035D4"/>
    <w:rsid w:val="005035E4"/>
    <w:rsid w:val="00503B2F"/>
    <w:rsid w:val="005040C1"/>
    <w:rsid w:val="005047AC"/>
    <w:rsid w:val="00504CF1"/>
    <w:rsid w:val="00505321"/>
    <w:rsid w:val="00505684"/>
    <w:rsid w:val="005065A0"/>
    <w:rsid w:val="00506C1A"/>
    <w:rsid w:val="00506FA5"/>
    <w:rsid w:val="005074E2"/>
    <w:rsid w:val="00507ACB"/>
    <w:rsid w:val="00507FD7"/>
    <w:rsid w:val="00510098"/>
    <w:rsid w:val="00510623"/>
    <w:rsid w:val="00510CAD"/>
    <w:rsid w:val="00511285"/>
    <w:rsid w:val="00511358"/>
    <w:rsid w:val="00511857"/>
    <w:rsid w:val="00511A50"/>
    <w:rsid w:val="00511CA2"/>
    <w:rsid w:val="0051200B"/>
    <w:rsid w:val="0051223F"/>
    <w:rsid w:val="00512AF8"/>
    <w:rsid w:val="00513404"/>
    <w:rsid w:val="0051382C"/>
    <w:rsid w:val="00513ED6"/>
    <w:rsid w:val="005140D8"/>
    <w:rsid w:val="00514B63"/>
    <w:rsid w:val="00514D03"/>
    <w:rsid w:val="0051577E"/>
    <w:rsid w:val="005161E2"/>
    <w:rsid w:val="0051680C"/>
    <w:rsid w:val="00517094"/>
    <w:rsid w:val="005171FC"/>
    <w:rsid w:val="00517446"/>
    <w:rsid w:val="00517D2D"/>
    <w:rsid w:val="00517FCD"/>
    <w:rsid w:val="00520011"/>
    <w:rsid w:val="00520020"/>
    <w:rsid w:val="00520530"/>
    <w:rsid w:val="00520BBC"/>
    <w:rsid w:val="00522591"/>
    <w:rsid w:val="0052288D"/>
    <w:rsid w:val="00522894"/>
    <w:rsid w:val="00522A20"/>
    <w:rsid w:val="00523B50"/>
    <w:rsid w:val="00523DD3"/>
    <w:rsid w:val="005240AA"/>
    <w:rsid w:val="005245A0"/>
    <w:rsid w:val="005245F6"/>
    <w:rsid w:val="00524CA3"/>
    <w:rsid w:val="00525BE1"/>
    <w:rsid w:val="00525F68"/>
    <w:rsid w:val="005268F4"/>
    <w:rsid w:val="00527620"/>
    <w:rsid w:val="00527BC8"/>
    <w:rsid w:val="00530698"/>
    <w:rsid w:val="00530848"/>
    <w:rsid w:val="00530EE5"/>
    <w:rsid w:val="0053167E"/>
    <w:rsid w:val="00531E1C"/>
    <w:rsid w:val="00532481"/>
    <w:rsid w:val="00532A37"/>
    <w:rsid w:val="00532D96"/>
    <w:rsid w:val="00533292"/>
    <w:rsid w:val="0053409C"/>
    <w:rsid w:val="00534239"/>
    <w:rsid w:val="00534B20"/>
    <w:rsid w:val="00535070"/>
    <w:rsid w:val="00535260"/>
    <w:rsid w:val="00535304"/>
    <w:rsid w:val="00535902"/>
    <w:rsid w:val="0053600F"/>
    <w:rsid w:val="00536146"/>
    <w:rsid w:val="005364F7"/>
    <w:rsid w:val="00536917"/>
    <w:rsid w:val="00536D5E"/>
    <w:rsid w:val="00537443"/>
    <w:rsid w:val="00537694"/>
    <w:rsid w:val="00537C02"/>
    <w:rsid w:val="005403D7"/>
    <w:rsid w:val="00540F49"/>
    <w:rsid w:val="005412AC"/>
    <w:rsid w:val="005416E6"/>
    <w:rsid w:val="0054174D"/>
    <w:rsid w:val="00541DEC"/>
    <w:rsid w:val="00541E7E"/>
    <w:rsid w:val="00541FDE"/>
    <w:rsid w:val="00542198"/>
    <w:rsid w:val="0054269F"/>
    <w:rsid w:val="005435EC"/>
    <w:rsid w:val="005444A8"/>
    <w:rsid w:val="0054463A"/>
    <w:rsid w:val="00544C99"/>
    <w:rsid w:val="00545404"/>
    <w:rsid w:val="005454F6"/>
    <w:rsid w:val="00545CF8"/>
    <w:rsid w:val="005460ED"/>
    <w:rsid w:val="00546372"/>
    <w:rsid w:val="005466DD"/>
    <w:rsid w:val="0054744F"/>
    <w:rsid w:val="005477B1"/>
    <w:rsid w:val="00547B32"/>
    <w:rsid w:val="00550945"/>
    <w:rsid w:val="00550A5F"/>
    <w:rsid w:val="005516E3"/>
    <w:rsid w:val="00551E49"/>
    <w:rsid w:val="00552C90"/>
    <w:rsid w:val="005531D5"/>
    <w:rsid w:val="00553491"/>
    <w:rsid w:val="00553EF0"/>
    <w:rsid w:val="0055430E"/>
    <w:rsid w:val="00554DB0"/>
    <w:rsid w:val="00554E71"/>
    <w:rsid w:val="00555398"/>
    <w:rsid w:val="005553AD"/>
    <w:rsid w:val="00556468"/>
    <w:rsid w:val="005568BF"/>
    <w:rsid w:val="005568DC"/>
    <w:rsid w:val="00560392"/>
    <w:rsid w:val="0056166D"/>
    <w:rsid w:val="005618E3"/>
    <w:rsid w:val="00561EF9"/>
    <w:rsid w:val="0056244F"/>
    <w:rsid w:val="00562DC4"/>
    <w:rsid w:val="00562F11"/>
    <w:rsid w:val="00562F2F"/>
    <w:rsid w:val="005631A7"/>
    <w:rsid w:val="00563406"/>
    <w:rsid w:val="0056366C"/>
    <w:rsid w:val="00564C4D"/>
    <w:rsid w:val="00564F74"/>
    <w:rsid w:val="00564F88"/>
    <w:rsid w:val="00566B75"/>
    <w:rsid w:val="005675E7"/>
    <w:rsid w:val="00567B43"/>
    <w:rsid w:val="00567EA4"/>
    <w:rsid w:val="005702DD"/>
    <w:rsid w:val="00570820"/>
    <w:rsid w:val="00570A0E"/>
    <w:rsid w:val="0057305E"/>
    <w:rsid w:val="005734E6"/>
    <w:rsid w:val="0057373B"/>
    <w:rsid w:val="00573F7D"/>
    <w:rsid w:val="00574041"/>
    <w:rsid w:val="00574213"/>
    <w:rsid w:val="0057421A"/>
    <w:rsid w:val="00574753"/>
    <w:rsid w:val="0057487C"/>
    <w:rsid w:val="0057727A"/>
    <w:rsid w:val="005775F9"/>
    <w:rsid w:val="00577B93"/>
    <w:rsid w:val="00577C20"/>
    <w:rsid w:val="005805AD"/>
    <w:rsid w:val="005809BB"/>
    <w:rsid w:val="00581A0F"/>
    <w:rsid w:val="00581A11"/>
    <w:rsid w:val="0058278B"/>
    <w:rsid w:val="00582C72"/>
    <w:rsid w:val="00583886"/>
    <w:rsid w:val="00583A07"/>
    <w:rsid w:val="00583C71"/>
    <w:rsid w:val="00583CFA"/>
    <w:rsid w:val="00583D07"/>
    <w:rsid w:val="00584014"/>
    <w:rsid w:val="00585427"/>
    <w:rsid w:val="0058604F"/>
    <w:rsid w:val="0058662F"/>
    <w:rsid w:val="00590325"/>
    <w:rsid w:val="00590CF1"/>
    <w:rsid w:val="00590EBC"/>
    <w:rsid w:val="0059154B"/>
    <w:rsid w:val="00591622"/>
    <w:rsid w:val="00591874"/>
    <w:rsid w:val="00592C57"/>
    <w:rsid w:val="005934F4"/>
    <w:rsid w:val="0059397D"/>
    <w:rsid w:val="00594959"/>
    <w:rsid w:val="00594F32"/>
    <w:rsid w:val="00595230"/>
    <w:rsid w:val="005952F8"/>
    <w:rsid w:val="005959EA"/>
    <w:rsid w:val="00595F2E"/>
    <w:rsid w:val="00596010"/>
    <w:rsid w:val="005965B3"/>
    <w:rsid w:val="00596994"/>
    <w:rsid w:val="00596AAE"/>
    <w:rsid w:val="00596C59"/>
    <w:rsid w:val="005972C6"/>
    <w:rsid w:val="00597415"/>
    <w:rsid w:val="005979A6"/>
    <w:rsid w:val="00597C0E"/>
    <w:rsid w:val="00597D4A"/>
    <w:rsid w:val="005A071B"/>
    <w:rsid w:val="005A09C7"/>
    <w:rsid w:val="005A14EB"/>
    <w:rsid w:val="005A18EE"/>
    <w:rsid w:val="005A1A6F"/>
    <w:rsid w:val="005A2536"/>
    <w:rsid w:val="005A259B"/>
    <w:rsid w:val="005A2A0D"/>
    <w:rsid w:val="005A2C88"/>
    <w:rsid w:val="005A2FC4"/>
    <w:rsid w:val="005A2FF9"/>
    <w:rsid w:val="005A3228"/>
    <w:rsid w:val="005A3E40"/>
    <w:rsid w:val="005A4632"/>
    <w:rsid w:val="005A53EF"/>
    <w:rsid w:val="005A6E54"/>
    <w:rsid w:val="005A7513"/>
    <w:rsid w:val="005A76AE"/>
    <w:rsid w:val="005A79AA"/>
    <w:rsid w:val="005A7EC7"/>
    <w:rsid w:val="005B099A"/>
    <w:rsid w:val="005B1838"/>
    <w:rsid w:val="005B1E75"/>
    <w:rsid w:val="005B212F"/>
    <w:rsid w:val="005B2A5A"/>
    <w:rsid w:val="005B2F70"/>
    <w:rsid w:val="005B401A"/>
    <w:rsid w:val="005B4821"/>
    <w:rsid w:val="005B48A5"/>
    <w:rsid w:val="005B48F1"/>
    <w:rsid w:val="005B4AC2"/>
    <w:rsid w:val="005B4AD7"/>
    <w:rsid w:val="005B4BB0"/>
    <w:rsid w:val="005B5C2F"/>
    <w:rsid w:val="005B67D5"/>
    <w:rsid w:val="005B6859"/>
    <w:rsid w:val="005B6E6F"/>
    <w:rsid w:val="005B7258"/>
    <w:rsid w:val="005B72DF"/>
    <w:rsid w:val="005C013E"/>
    <w:rsid w:val="005C0167"/>
    <w:rsid w:val="005C0FB3"/>
    <w:rsid w:val="005C2E63"/>
    <w:rsid w:val="005C3398"/>
    <w:rsid w:val="005C3554"/>
    <w:rsid w:val="005C370B"/>
    <w:rsid w:val="005C3C64"/>
    <w:rsid w:val="005C3DD8"/>
    <w:rsid w:val="005C4558"/>
    <w:rsid w:val="005C4647"/>
    <w:rsid w:val="005C49EB"/>
    <w:rsid w:val="005C4EF2"/>
    <w:rsid w:val="005C53ED"/>
    <w:rsid w:val="005C5C62"/>
    <w:rsid w:val="005C5D80"/>
    <w:rsid w:val="005C6597"/>
    <w:rsid w:val="005C6AF1"/>
    <w:rsid w:val="005C6B4F"/>
    <w:rsid w:val="005C7D37"/>
    <w:rsid w:val="005C7F0D"/>
    <w:rsid w:val="005D00FC"/>
    <w:rsid w:val="005D034E"/>
    <w:rsid w:val="005D06BD"/>
    <w:rsid w:val="005D0FCE"/>
    <w:rsid w:val="005D1231"/>
    <w:rsid w:val="005D134A"/>
    <w:rsid w:val="005D13F1"/>
    <w:rsid w:val="005D1455"/>
    <w:rsid w:val="005D1E4B"/>
    <w:rsid w:val="005D2A51"/>
    <w:rsid w:val="005D2AAD"/>
    <w:rsid w:val="005D2D13"/>
    <w:rsid w:val="005D2FC5"/>
    <w:rsid w:val="005D38B4"/>
    <w:rsid w:val="005D47FE"/>
    <w:rsid w:val="005D5245"/>
    <w:rsid w:val="005D5310"/>
    <w:rsid w:val="005D575B"/>
    <w:rsid w:val="005D5AA7"/>
    <w:rsid w:val="005D678A"/>
    <w:rsid w:val="005D7160"/>
    <w:rsid w:val="005D7631"/>
    <w:rsid w:val="005D7FFE"/>
    <w:rsid w:val="005E06C8"/>
    <w:rsid w:val="005E0E59"/>
    <w:rsid w:val="005E1EAE"/>
    <w:rsid w:val="005E1EF3"/>
    <w:rsid w:val="005E2912"/>
    <w:rsid w:val="005E34A5"/>
    <w:rsid w:val="005E37DB"/>
    <w:rsid w:val="005E3B7F"/>
    <w:rsid w:val="005E3BC5"/>
    <w:rsid w:val="005E3D8A"/>
    <w:rsid w:val="005E42B0"/>
    <w:rsid w:val="005E4708"/>
    <w:rsid w:val="005E4DBE"/>
    <w:rsid w:val="005E5485"/>
    <w:rsid w:val="005E5D57"/>
    <w:rsid w:val="005E644F"/>
    <w:rsid w:val="005E689F"/>
    <w:rsid w:val="005E696D"/>
    <w:rsid w:val="005E6C2E"/>
    <w:rsid w:val="005E7084"/>
    <w:rsid w:val="005E7694"/>
    <w:rsid w:val="005E7DC3"/>
    <w:rsid w:val="005F0564"/>
    <w:rsid w:val="005F08C8"/>
    <w:rsid w:val="005F0CD5"/>
    <w:rsid w:val="005F0DEC"/>
    <w:rsid w:val="005F0E3A"/>
    <w:rsid w:val="005F0E61"/>
    <w:rsid w:val="005F20C7"/>
    <w:rsid w:val="005F20FE"/>
    <w:rsid w:val="005F252E"/>
    <w:rsid w:val="005F2DB0"/>
    <w:rsid w:val="005F3C60"/>
    <w:rsid w:val="005F44C8"/>
    <w:rsid w:val="005F46FD"/>
    <w:rsid w:val="005F476F"/>
    <w:rsid w:val="005F647A"/>
    <w:rsid w:val="005F64EC"/>
    <w:rsid w:val="005F7013"/>
    <w:rsid w:val="005F7328"/>
    <w:rsid w:val="005F7406"/>
    <w:rsid w:val="005F7C3C"/>
    <w:rsid w:val="00600262"/>
    <w:rsid w:val="00600821"/>
    <w:rsid w:val="00600888"/>
    <w:rsid w:val="00600BE6"/>
    <w:rsid w:val="00601558"/>
    <w:rsid w:val="0060155E"/>
    <w:rsid w:val="0060162B"/>
    <w:rsid w:val="0060216F"/>
    <w:rsid w:val="00602224"/>
    <w:rsid w:val="00602365"/>
    <w:rsid w:val="006027EF"/>
    <w:rsid w:val="00602E7C"/>
    <w:rsid w:val="00603002"/>
    <w:rsid w:val="00603D74"/>
    <w:rsid w:val="0060402C"/>
    <w:rsid w:val="00605B0C"/>
    <w:rsid w:val="00605DEC"/>
    <w:rsid w:val="00606001"/>
    <w:rsid w:val="006063A4"/>
    <w:rsid w:val="00606752"/>
    <w:rsid w:val="006075B2"/>
    <w:rsid w:val="006102BB"/>
    <w:rsid w:val="00611AE6"/>
    <w:rsid w:val="00611AFB"/>
    <w:rsid w:val="006120CA"/>
    <w:rsid w:val="006129B0"/>
    <w:rsid w:val="00612E25"/>
    <w:rsid w:val="00613B74"/>
    <w:rsid w:val="00613F9B"/>
    <w:rsid w:val="00614F06"/>
    <w:rsid w:val="00617043"/>
    <w:rsid w:val="00617226"/>
    <w:rsid w:val="006172C9"/>
    <w:rsid w:val="0061761F"/>
    <w:rsid w:val="00617D08"/>
    <w:rsid w:val="00620334"/>
    <w:rsid w:val="006205BB"/>
    <w:rsid w:val="0062067E"/>
    <w:rsid w:val="00621923"/>
    <w:rsid w:val="00621C87"/>
    <w:rsid w:val="00621DAA"/>
    <w:rsid w:val="00621DEF"/>
    <w:rsid w:val="00621F1D"/>
    <w:rsid w:val="00622290"/>
    <w:rsid w:val="006224D0"/>
    <w:rsid w:val="00622648"/>
    <w:rsid w:val="00622965"/>
    <w:rsid w:val="006235DC"/>
    <w:rsid w:val="00624113"/>
    <w:rsid w:val="006243AC"/>
    <w:rsid w:val="00624958"/>
    <w:rsid w:val="00624FF6"/>
    <w:rsid w:val="00625165"/>
    <w:rsid w:val="006253CA"/>
    <w:rsid w:val="0062585D"/>
    <w:rsid w:val="00626B45"/>
    <w:rsid w:val="00627415"/>
    <w:rsid w:val="006275DF"/>
    <w:rsid w:val="00627705"/>
    <w:rsid w:val="00627708"/>
    <w:rsid w:val="00627B96"/>
    <w:rsid w:val="00627C9E"/>
    <w:rsid w:val="00627CD3"/>
    <w:rsid w:val="00627DA0"/>
    <w:rsid w:val="00627EFD"/>
    <w:rsid w:val="00627F8B"/>
    <w:rsid w:val="006304E2"/>
    <w:rsid w:val="0063059E"/>
    <w:rsid w:val="006307CB"/>
    <w:rsid w:val="00630820"/>
    <w:rsid w:val="00630B3C"/>
    <w:rsid w:val="00631611"/>
    <w:rsid w:val="00631791"/>
    <w:rsid w:val="00631BCC"/>
    <w:rsid w:val="0063207D"/>
    <w:rsid w:val="00632254"/>
    <w:rsid w:val="0063235E"/>
    <w:rsid w:val="00633B26"/>
    <w:rsid w:val="006344BC"/>
    <w:rsid w:val="0063457F"/>
    <w:rsid w:val="006352F7"/>
    <w:rsid w:val="00635865"/>
    <w:rsid w:val="0063596A"/>
    <w:rsid w:val="006359A3"/>
    <w:rsid w:val="00635DEA"/>
    <w:rsid w:val="0063682A"/>
    <w:rsid w:val="006374FD"/>
    <w:rsid w:val="0063764C"/>
    <w:rsid w:val="00637949"/>
    <w:rsid w:val="006379E6"/>
    <w:rsid w:val="006403DA"/>
    <w:rsid w:val="006410ED"/>
    <w:rsid w:val="006413D8"/>
    <w:rsid w:val="0064143A"/>
    <w:rsid w:val="006414C5"/>
    <w:rsid w:val="00641815"/>
    <w:rsid w:val="00642024"/>
    <w:rsid w:val="00642A7F"/>
    <w:rsid w:val="00642BCA"/>
    <w:rsid w:val="00642D56"/>
    <w:rsid w:val="00642DE0"/>
    <w:rsid w:val="0064303F"/>
    <w:rsid w:val="0064326E"/>
    <w:rsid w:val="00643843"/>
    <w:rsid w:val="00643F74"/>
    <w:rsid w:val="00644C07"/>
    <w:rsid w:val="00644C24"/>
    <w:rsid w:val="00644C29"/>
    <w:rsid w:val="00644CB8"/>
    <w:rsid w:val="00646283"/>
    <w:rsid w:val="006474AD"/>
    <w:rsid w:val="00651004"/>
    <w:rsid w:val="00651500"/>
    <w:rsid w:val="00651961"/>
    <w:rsid w:val="0065206B"/>
    <w:rsid w:val="00652125"/>
    <w:rsid w:val="006524F8"/>
    <w:rsid w:val="006526C9"/>
    <w:rsid w:val="006529DA"/>
    <w:rsid w:val="00653B8E"/>
    <w:rsid w:val="00653CFC"/>
    <w:rsid w:val="00653D2B"/>
    <w:rsid w:val="006544D7"/>
    <w:rsid w:val="006544E0"/>
    <w:rsid w:val="00654CD3"/>
    <w:rsid w:val="006550E0"/>
    <w:rsid w:val="006556F1"/>
    <w:rsid w:val="00655F7A"/>
    <w:rsid w:val="0065612C"/>
    <w:rsid w:val="0065656F"/>
    <w:rsid w:val="00656A49"/>
    <w:rsid w:val="00656B33"/>
    <w:rsid w:val="00657B16"/>
    <w:rsid w:val="006600A7"/>
    <w:rsid w:val="00660704"/>
    <w:rsid w:val="00660BF1"/>
    <w:rsid w:val="00660F30"/>
    <w:rsid w:val="006610AC"/>
    <w:rsid w:val="00661764"/>
    <w:rsid w:val="0066195B"/>
    <w:rsid w:val="00662066"/>
    <w:rsid w:val="006620F7"/>
    <w:rsid w:val="00662400"/>
    <w:rsid w:val="00662DA0"/>
    <w:rsid w:val="00662FD8"/>
    <w:rsid w:val="0066304C"/>
    <w:rsid w:val="00663489"/>
    <w:rsid w:val="006637E7"/>
    <w:rsid w:val="006640E8"/>
    <w:rsid w:val="006642AD"/>
    <w:rsid w:val="006643EC"/>
    <w:rsid w:val="006645F1"/>
    <w:rsid w:val="00664CC8"/>
    <w:rsid w:val="006659C2"/>
    <w:rsid w:val="00665F39"/>
    <w:rsid w:val="0066717D"/>
    <w:rsid w:val="00667237"/>
    <w:rsid w:val="00667632"/>
    <w:rsid w:val="00667785"/>
    <w:rsid w:val="00667928"/>
    <w:rsid w:val="00671070"/>
    <w:rsid w:val="00671554"/>
    <w:rsid w:val="00671D49"/>
    <w:rsid w:val="00672215"/>
    <w:rsid w:val="00672D58"/>
    <w:rsid w:val="0067303C"/>
    <w:rsid w:val="006731A0"/>
    <w:rsid w:val="006732C8"/>
    <w:rsid w:val="006735E8"/>
    <w:rsid w:val="00673759"/>
    <w:rsid w:val="006738CA"/>
    <w:rsid w:val="00673A77"/>
    <w:rsid w:val="00673B59"/>
    <w:rsid w:val="00675396"/>
    <w:rsid w:val="0067569E"/>
    <w:rsid w:val="006756FA"/>
    <w:rsid w:val="00677467"/>
    <w:rsid w:val="006774F8"/>
    <w:rsid w:val="006776A8"/>
    <w:rsid w:val="00677D17"/>
    <w:rsid w:val="00680841"/>
    <w:rsid w:val="00680FFC"/>
    <w:rsid w:val="006817DB"/>
    <w:rsid w:val="00681B51"/>
    <w:rsid w:val="00681B67"/>
    <w:rsid w:val="00681F7C"/>
    <w:rsid w:val="00682A99"/>
    <w:rsid w:val="0068350C"/>
    <w:rsid w:val="00684483"/>
    <w:rsid w:val="0068483D"/>
    <w:rsid w:val="00684A8F"/>
    <w:rsid w:val="00684C86"/>
    <w:rsid w:val="00684EC5"/>
    <w:rsid w:val="006860AC"/>
    <w:rsid w:val="00686147"/>
    <w:rsid w:val="006863D9"/>
    <w:rsid w:val="00686A7A"/>
    <w:rsid w:val="00686DE9"/>
    <w:rsid w:val="00686E8D"/>
    <w:rsid w:val="0069033B"/>
    <w:rsid w:val="00690749"/>
    <w:rsid w:val="00691064"/>
    <w:rsid w:val="0069182B"/>
    <w:rsid w:val="00691DFE"/>
    <w:rsid w:val="00692194"/>
    <w:rsid w:val="006927EC"/>
    <w:rsid w:val="00692974"/>
    <w:rsid w:val="0069384B"/>
    <w:rsid w:val="00693BEE"/>
    <w:rsid w:val="006950E3"/>
    <w:rsid w:val="00695B89"/>
    <w:rsid w:val="006961C1"/>
    <w:rsid w:val="0069652F"/>
    <w:rsid w:val="00697FA8"/>
    <w:rsid w:val="006A0A0E"/>
    <w:rsid w:val="006A12EA"/>
    <w:rsid w:val="006A225C"/>
    <w:rsid w:val="006A279A"/>
    <w:rsid w:val="006A2F11"/>
    <w:rsid w:val="006A319D"/>
    <w:rsid w:val="006A4451"/>
    <w:rsid w:val="006A475E"/>
    <w:rsid w:val="006A4B07"/>
    <w:rsid w:val="006A4E91"/>
    <w:rsid w:val="006A6004"/>
    <w:rsid w:val="006A602B"/>
    <w:rsid w:val="006A6B56"/>
    <w:rsid w:val="006A70EA"/>
    <w:rsid w:val="006A7454"/>
    <w:rsid w:val="006A75A3"/>
    <w:rsid w:val="006A79C0"/>
    <w:rsid w:val="006B00F0"/>
    <w:rsid w:val="006B024D"/>
    <w:rsid w:val="006B067F"/>
    <w:rsid w:val="006B1258"/>
    <w:rsid w:val="006B1A04"/>
    <w:rsid w:val="006B213B"/>
    <w:rsid w:val="006B296C"/>
    <w:rsid w:val="006B29F5"/>
    <w:rsid w:val="006B2C15"/>
    <w:rsid w:val="006B2E21"/>
    <w:rsid w:val="006B436B"/>
    <w:rsid w:val="006B4A04"/>
    <w:rsid w:val="006B4C02"/>
    <w:rsid w:val="006B517F"/>
    <w:rsid w:val="006B5B07"/>
    <w:rsid w:val="006B5D27"/>
    <w:rsid w:val="006B6FC1"/>
    <w:rsid w:val="006B7163"/>
    <w:rsid w:val="006B73B6"/>
    <w:rsid w:val="006B76EF"/>
    <w:rsid w:val="006C04F1"/>
    <w:rsid w:val="006C07F0"/>
    <w:rsid w:val="006C0BA3"/>
    <w:rsid w:val="006C2E3B"/>
    <w:rsid w:val="006C339E"/>
    <w:rsid w:val="006C3E54"/>
    <w:rsid w:val="006C4775"/>
    <w:rsid w:val="006C4988"/>
    <w:rsid w:val="006C4F9E"/>
    <w:rsid w:val="006C52CE"/>
    <w:rsid w:val="006C56DA"/>
    <w:rsid w:val="006C68C6"/>
    <w:rsid w:val="006C70C2"/>
    <w:rsid w:val="006C71FE"/>
    <w:rsid w:val="006C7451"/>
    <w:rsid w:val="006C7C91"/>
    <w:rsid w:val="006D046E"/>
    <w:rsid w:val="006D081D"/>
    <w:rsid w:val="006D0875"/>
    <w:rsid w:val="006D0BBD"/>
    <w:rsid w:val="006D0C4D"/>
    <w:rsid w:val="006D1261"/>
    <w:rsid w:val="006D1CD7"/>
    <w:rsid w:val="006D1FFE"/>
    <w:rsid w:val="006D23D0"/>
    <w:rsid w:val="006D3C22"/>
    <w:rsid w:val="006D405B"/>
    <w:rsid w:val="006D4DC7"/>
    <w:rsid w:val="006D4E29"/>
    <w:rsid w:val="006D589A"/>
    <w:rsid w:val="006D5E6E"/>
    <w:rsid w:val="006D7117"/>
    <w:rsid w:val="006D729B"/>
    <w:rsid w:val="006D780C"/>
    <w:rsid w:val="006D7986"/>
    <w:rsid w:val="006E0177"/>
    <w:rsid w:val="006E01DF"/>
    <w:rsid w:val="006E0550"/>
    <w:rsid w:val="006E0AFE"/>
    <w:rsid w:val="006E0BE7"/>
    <w:rsid w:val="006E0D2B"/>
    <w:rsid w:val="006E0F1C"/>
    <w:rsid w:val="006E12CD"/>
    <w:rsid w:val="006E1B8F"/>
    <w:rsid w:val="006E238B"/>
    <w:rsid w:val="006E23D9"/>
    <w:rsid w:val="006E2958"/>
    <w:rsid w:val="006E2A36"/>
    <w:rsid w:val="006E2BE9"/>
    <w:rsid w:val="006E3396"/>
    <w:rsid w:val="006E3719"/>
    <w:rsid w:val="006E3B04"/>
    <w:rsid w:val="006E44FF"/>
    <w:rsid w:val="006E4B27"/>
    <w:rsid w:val="006E560D"/>
    <w:rsid w:val="006E5B5D"/>
    <w:rsid w:val="006E5CC7"/>
    <w:rsid w:val="006E5CCB"/>
    <w:rsid w:val="006E6593"/>
    <w:rsid w:val="006E6AD0"/>
    <w:rsid w:val="006E6EB3"/>
    <w:rsid w:val="006E729A"/>
    <w:rsid w:val="006E77D6"/>
    <w:rsid w:val="006E7A34"/>
    <w:rsid w:val="006E7B5F"/>
    <w:rsid w:val="006F0409"/>
    <w:rsid w:val="006F0551"/>
    <w:rsid w:val="006F083E"/>
    <w:rsid w:val="006F0F83"/>
    <w:rsid w:val="006F122B"/>
    <w:rsid w:val="006F14FB"/>
    <w:rsid w:val="006F15FD"/>
    <w:rsid w:val="006F16D5"/>
    <w:rsid w:val="006F1A0E"/>
    <w:rsid w:val="006F1CA4"/>
    <w:rsid w:val="006F24E0"/>
    <w:rsid w:val="006F28B2"/>
    <w:rsid w:val="006F340B"/>
    <w:rsid w:val="006F387C"/>
    <w:rsid w:val="006F3942"/>
    <w:rsid w:val="006F398B"/>
    <w:rsid w:val="006F3B3D"/>
    <w:rsid w:val="006F3CE1"/>
    <w:rsid w:val="006F4325"/>
    <w:rsid w:val="006F4992"/>
    <w:rsid w:val="006F49CC"/>
    <w:rsid w:val="006F4D62"/>
    <w:rsid w:val="006F4F6E"/>
    <w:rsid w:val="006F5234"/>
    <w:rsid w:val="006F5443"/>
    <w:rsid w:val="006F5503"/>
    <w:rsid w:val="006F58A7"/>
    <w:rsid w:val="006F59B2"/>
    <w:rsid w:val="006F67A8"/>
    <w:rsid w:val="006F6946"/>
    <w:rsid w:val="006F69BC"/>
    <w:rsid w:val="006F6FA2"/>
    <w:rsid w:val="006F7225"/>
    <w:rsid w:val="00700D01"/>
    <w:rsid w:val="00700ED6"/>
    <w:rsid w:val="00701718"/>
    <w:rsid w:val="00701985"/>
    <w:rsid w:val="00701C48"/>
    <w:rsid w:val="00701FB4"/>
    <w:rsid w:val="0070206E"/>
    <w:rsid w:val="00702F01"/>
    <w:rsid w:val="00703128"/>
    <w:rsid w:val="0070312F"/>
    <w:rsid w:val="007033A3"/>
    <w:rsid w:val="00703A03"/>
    <w:rsid w:val="00703D12"/>
    <w:rsid w:val="00704576"/>
    <w:rsid w:val="0070505C"/>
    <w:rsid w:val="007050B5"/>
    <w:rsid w:val="00705D08"/>
    <w:rsid w:val="00705D5B"/>
    <w:rsid w:val="007074B2"/>
    <w:rsid w:val="007074F6"/>
    <w:rsid w:val="007076DA"/>
    <w:rsid w:val="00707850"/>
    <w:rsid w:val="00707920"/>
    <w:rsid w:val="0071033D"/>
    <w:rsid w:val="00710871"/>
    <w:rsid w:val="0071094B"/>
    <w:rsid w:val="0071095D"/>
    <w:rsid w:val="00711518"/>
    <w:rsid w:val="007117B3"/>
    <w:rsid w:val="0071238C"/>
    <w:rsid w:val="00712B93"/>
    <w:rsid w:val="0071310B"/>
    <w:rsid w:val="007134E4"/>
    <w:rsid w:val="00714325"/>
    <w:rsid w:val="007148AF"/>
    <w:rsid w:val="00714950"/>
    <w:rsid w:val="0071514E"/>
    <w:rsid w:val="007154EA"/>
    <w:rsid w:val="00715693"/>
    <w:rsid w:val="00715EE1"/>
    <w:rsid w:val="0071694E"/>
    <w:rsid w:val="00717112"/>
    <w:rsid w:val="007200B5"/>
    <w:rsid w:val="007206AF"/>
    <w:rsid w:val="007206C2"/>
    <w:rsid w:val="00720FB0"/>
    <w:rsid w:val="007216AC"/>
    <w:rsid w:val="00722999"/>
    <w:rsid w:val="007229BD"/>
    <w:rsid w:val="00722E21"/>
    <w:rsid w:val="00722EB7"/>
    <w:rsid w:val="007230D7"/>
    <w:rsid w:val="00723139"/>
    <w:rsid w:val="007237E2"/>
    <w:rsid w:val="00723975"/>
    <w:rsid w:val="007249B4"/>
    <w:rsid w:val="00724F15"/>
    <w:rsid w:val="007251A9"/>
    <w:rsid w:val="007251B0"/>
    <w:rsid w:val="00726103"/>
    <w:rsid w:val="007261B0"/>
    <w:rsid w:val="0072640F"/>
    <w:rsid w:val="007266D7"/>
    <w:rsid w:val="0072670E"/>
    <w:rsid w:val="00726797"/>
    <w:rsid w:val="007269CE"/>
    <w:rsid w:val="00726B75"/>
    <w:rsid w:val="00726DE4"/>
    <w:rsid w:val="007300A1"/>
    <w:rsid w:val="00730DF7"/>
    <w:rsid w:val="00731483"/>
    <w:rsid w:val="007315D0"/>
    <w:rsid w:val="007318F4"/>
    <w:rsid w:val="00731C30"/>
    <w:rsid w:val="00731D2D"/>
    <w:rsid w:val="00731E56"/>
    <w:rsid w:val="00731EDD"/>
    <w:rsid w:val="007321A1"/>
    <w:rsid w:val="00732A35"/>
    <w:rsid w:val="0073396B"/>
    <w:rsid w:val="00733DFA"/>
    <w:rsid w:val="0073400C"/>
    <w:rsid w:val="00734146"/>
    <w:rsid w:val="007349AC"/>
    <w:rsid w:val="007360B7"/>
    <w:rsid w:val="0073639F"/>
    <w:rsid w:val="007363CC"/>
    <w:rsid w:val="00736824"/>
    <w:rsid w:val="0073687B"/>
    <w:rsid w:val="00736C62"/>
    <w:rsid w:val="007377A6"/>
    <w:rsid w:val="007401A0"/>
    <w:rsid w:val="0074041D"/>
    <w:rsid w:val="00740562"/>
    <w:rsid w:val="0074065B"/>
    <w:rsid w:val="00740B5C"/>
    <w:rsid w:val="00740FC0"/>
    <w:rsid w:val="00741660"/>
    <w:rsid w:val="007420AC"/>
    <w:rsid w:val="0074226D"/>
    <w:rsid w:val="007427E1"/>
    <w:rsid w:val="007429F0"/>
    <w:rsid w:val="00742BA0"/>
    <w:rsid w:val="00743265"/>
    <w:rsid w:val="0074329E"/>
    <w:rsid w:val="007440FF"/>
    <w:rsid w:val="00744777"/>
    <w:rsid w:val="00744F00"/>
    <w:rsid w:val="00745BC7"/>
    <w:rsid w:val="00745CBF"/>
    <w:rsid w:val="00746C75"/>
    <w:rsid w:val="007473EB"/>
    <w:rsid w:val="007500F5"/>
    <w:rsid w:val="00750241"/>
    <w:rsid w:val="007529B5"/>
    <w:rsid w:val="00752FDC"/>
    <w:rsid w:val="00753955"/>
    <w:rsid w:val="00753DA0"/>
    <w:rsid w:val="00754986"/>
    <w:rsid w:val="00755897"/>
    <w:rsid w:val="00755B09"/>
    <w:rsid w:val="00755E67"/>
    <w:rsid w:val="00755F01"/>
    <w:rsid w:val="00756C22"/>
    <w:rsid w:val="00757875"/>
    <w:rsid w:val="007602BF"/>
    <w:rsid w:val="0076035F"/>
    <w:rsid w:val="00760924"/>
    <w:rsid w:val="00760D39"/>
    <w:rsid w:val="007613F9"/>
    <w:rsid w:val="00761508"/>
    <w:rsid w:val="00761A48"/>
    <w:rsid w:val="00761F6C"/>
    <w:rsid w:val="007627DA"/>
    <w:rsid w:val="00762ABD"/>
    <w:rsid w:val="00763273"/>
    <w:rsid w:val="00763E98"/>
    <w:rsid w:val="0076481D"/>
    <w:rsid w:val="007648FC"/>
    <w:rsid w:val="0076509E"/>
    <w:rsid w:val="00765C15"/>
    <w:rsid w:val="0076617F"/>
    <w:rsid w:val="00766DCA"/>
    <w:rsid w:val="00767472"/>
    <w:rsid w:val="0076782A"/>
    <w:rsid w:val="0076790E"/>
    <w:rsid w:val="00767DB0"/>
    <w:rsid w:val="007700AA"/>
    <w:rsid w:val="00770D5C"/>
    <w:rsid w:val="00771331"/>
    <w:rsid w:val="007719D4"/>
    <w:rsid w:val="00771C28"/>
    <w:rsid w:val="00771C99"/>
    <w:rsid w:val="00772F93"/>
    <w:rsid w:val="0077378F"/>
    <w:rsid w:val="0077382E"/>
    <w:rsid w:val="00774483"/>
    <w:rsid w:val="0077469B"/>
    <w:rsid w:val="0077472B"/>
    <w:rsid w:val="00774863"/>
    <w:rsid w:val="00774AE9"/>
    <w:rsid w:val="00774C5A"/>
    <w:rsid w:val="00774F65"/>
    <w:rsid w:val="00775392"/>
    <w:rsid w:val="00775B6C"/>
    <w:rsid w:val="0077650A"/>
    <w:rsid w:val="00776DD6"/>
    <w:rsid w:val="007776E5"/>
    <w:rsid w:val="007778F9"/>
    <w:rsid w:val="00777D8E"/>
    <w:rsid w:val="00777DD6"/>
    <w:rsid w:val="00781EF7"/>
    <w:rsid w:val="007829E7"/>
    <w:rsid w:val="00783609"/>
    <w:rsid w:val="00783E22"/>
    <w:rsid w:val="00784080"/>
    <w:rsid w:val="007840A8"/>
    <w:rsid w:val="007840B9"/>
    <w:rsid w:val="0078426A"/>
    <w:rsid w:val="007847FF"/>
    <w:rsid w:val="00784CFD"/>
    <w:rsid w:val="00785A16"/>
    <w:rsid w:val="00785B88"/>
    <w:rsid w:val="00785BC3"/>
    <w:rsid w:val="00786761"/>
    <w:rsid w:val="007868CC"/>
    <w:rsid w:val="00787409"/>
    <w:rsid w:val="007876ED"/>
    <w:rsid w:val="00787726"/>
    <w:rsid w:val="00790361"/>
    <w:rsid w:val="00790B11"/>
    <w:rsid w:val="00790E4E"/>
    <w:rsid w:val="007915C4"/>
    <w:rsid w:val="00791B07"/>
    <w:rsid w:val="00791B22"/>
    <w:rsid w:val="00791DB6"/>
    <w:rsid w:val="007926D3"/>
    <w:rsid w:val="007926E9"/>
    <w:rsid w:val="00792F3B"/>
    <w:rsid w:val="007934B4"/>
    <w:rsid w:val="00793792"/>
    <w:rsid w:val="007937AF"/>
    <w:rsid w:val="00794125"/>
    <w:rsid w:val="007942DA"/>
    <w:rsid w:val="00794DA0"/>
    <w:rsid w:val="00794E5D"/>
    <w:rsid w:val="007961CB"/>
    <w:rsid w:val="007969A6"/>
    <w:rsid w:val="00797BEA"/>
    <w:rsid w:val="007A04FF"/>
    <w:rsid w:val="007A0E11"/>
    <w:rsid w:val="007A282E"/>
    <w:rsid w:val="007A2ADF"/>
    <w:rsid w:val="007A3915"/>
    <w:rsid w:val="007A3D52"/>
    <w:rsid w:val="007A43C8"/>
    <w:rsid w:val="007A4E37"/>
    <w:rsid w:val="007A5312"/>
    <w:rsid w:val="007A54B8"/>
    <w:rsid w:val="007A5922"/>
    <w:rsid w:val="007A5A36"/>
    <w:rsid w:val="007A5CD2"/>
    <w:rsid w:val="007A6B01"/>
    <w:rsid w:val="007A6DBA"/>
    <w:rsid w:val="007A7231"/>
    <w:rsid w:val="007A73B8"/>
    <w:rsid w:val="007A76D5"/>
    <w:rsid w:val="007B0111"/>
    <w:rsid w:val="007B0230"/>
    <w:rsid w:val="007B11C7"/>
    <w:rsid w:val="007B15D5"/>
    <w:rsid w:val="007B1B85"/>
    <w:rsid w:val="007B1CAE"/>
    <w:rsid w:val="007B1D49"/>
    <w:rsid w:val="007B1E3A"/>
    <w:rsid w:val="007B2240"/>
    <w:rsid w:val="007B25E3"/>
    <w:rsid w:val="007B2C2B"/>
    <w:rsid w:val="007B2E63"/>
    <w:rsid w:val="007B2ED4"/>
    <w:rsid w:val="007B3A15"/>
    <w:rsid w:val="007B43D6"/>
    <w:rsid w:val="007B4504"/>
    <w:rsid w:val="007B462F"/>
    <w:rsid w:val="007B4E60"/>
    <w:rsid w:val="007B5BE1"/>
    <w:rsid w:val="007B5E9D"/>
    <w:rsid w:val="007B6012"/>
    <w:rsid w:val="007B6052"/>
    <w:rsid w:val="007B69AC"/>
    <w:rsid w:val="007B6AC4"/>
    <w:rsid w:val="007B6E6E"/>
    <w:rsid w:val="007B70B3"/>
    <w:rsid w:val="007B72E1"/>
    <w:rsid w:val="007B7384"/>
    <w:rsid w:val="007B7467"/>
    <w:rsid w:val="007B7601"/>
    <w:rsid w:val="007B7C9F"/>
    <w:rsid w:val="007C118E"/>
    <w:rsid w:val="007C181B"/>
    <w:rsid w:val="007C1C98"/>
    <w:rsid w:val="007C1F13"/>
    <w:rsid w:val="007C2293"/>
    <w:rsid w:val="007C2AD0"/>
    <w:rsid w:val="007C328C"/>
    <w:rsid w:val="007C3447"/>
    <w:rsid w:val="007C345C"/>
    <w:rsid w:val="007C353B"/>
    <w:rsid w:val="007C36BE"/>
    <w:rsid w:val="007C479E"/>
    <w:rsid w:val="007C4DFD"/>
    <w:rsid w:val="007C501A"/>
    <w:rsid w:val="007C5B07"/>
    <w:rsid w:val="007C5B5A"/>
    <w:rsid w:val="007C5CD8"/>
    <w:rsid w:val="007C5D3E"/>
    <w:rsid w:val="007C749F"/>
    <w:rsid w:val="007C771A"/>
    <w:rsid w:val="007C7A8D"/>
    <w:rsid w:val="007D0E8F"/>
    <w:rsid w:val="007D11F8"/>
    <w:rsid w:val="007D1484"/>
    <w:rsid w:val="007D16F4"/>
    <w:rsid w:val="007D1A59"/>
    <w:rsid w:val="007D2386"/>
    <w:rsid w:val="007D23E2"/>
    <w:rsid w:val="007D3C27"/>
    <w:rsid w:val="007D3D99"/>
    <w:rsid w:val="007D5227"/>
    <w:rsid w:val="007D5566"/>
    <w:rsid w:val="007D65B9"/>
    <w:rsid w:val="007D6736"/>
    <w:rsid w:val="007D6F3E"/>
    <w:rsid w:val="007D772A"/>
    <w:rsid w:val="007D7B96"/>
    <w:rsid w:val="007E05A4"/>
    <w:rsid w:val="007E0781"/>
    <w:rsid w:val="007E0B8C"/>
    <w:rsid w:val="007E116C"/>
    <w:rsid w:val="007E12D1"/>
    <w:rsid w:val="007E191E"/>
    <w:rsid w:val="007E1D61"/>
    <w:rsid w:val="007E2811"/>
    <w:rsid w:val="007E29B5"/>
    <w:rsid w:val="007E2B54"/>
    <w:rsid w:val="007E34C5"/>
    <w:rsid w:val="007E354E"/>
    <w:rsid w:val="007E38BD"/>
    <w:rsid w:val="007E3A49"/>
    <w:rsid w:val="007E3C00"/>
    <w:rsid w:val="007E3C72"/>
    <w:rsid w:val="007E4FE2"/>
    <w:rsid w:val="007E5178"/>
    <w:rsid w:val="007E601D"/>
    <w:rsid w:val="007E60FE"/>
    <w:rsid w:val="007E6112"/>
    <w:rsid w:val="007E61EB"/>
    <w:rsid w:val="007E7B89"/>
    <w:rsid w:val="007F0A3B"/>
    <w:rsid w:val="007F0B27"/>
    <w:rsid w:val="007F0F6C"/>
    <w:rsid w:val="007F1264"/>
    <w:rsid w:val="007F169C"/>
    <w:rsid w:val="007F1F7E"/>
    <w:rsid w:val="007F23C9"/>
    <w:rsid w:val="007F24F0"/>
    <w:rsid w:val="007F2696"/>
    <w:rsid w:val="007F3817"/>
    <w:rsid w:val="007F3946"/>
    <w:rsid w:val="007F3BF0"/>
    <w:rsid w:val="007F4384"/>
    <w:rsid w:val="007F460E"/>
    <w:rsid w:val="007F47B9"/>
    <w:rsid w:val="007F4926"/>
    <w:rsid w:val="007F5435"/>
    <w:rsid w:val="007F5569"/>
    <w:rsid w:val="007F5A36"/>
    <w:rsid w:val="007F6FDB"/>
    <w:rsid w:val="007F7296"/>
    <w:rsid w:val="007F7415"/>
    <w:rsid w:val="007F7442"/>
    <w:rsid w:val="00800722"/>
    <w:rsid w:val="00800B64"/>
    <w:rsid w:val="00800D11"/>
    <w:rsid w:val="00801976"/>
    <w:rsid w:val="00801DF0"/>
    <w:rsid w:val="008023AC"/>
    <w:rsid w:val="008025A4"/>
    <w:rsid w:val="0080277A"/>
    <w:rsid w:val="00803D40"/>
    <w:rsid w:val="0080406C"/>
    <w:rsid w:val="008040B9"/>
    <w:rsid w:val="00805064"/>
    <w:rsid w:val="00805257"/>
    <w:rsid w:val="00805B1E"/>
    <w:rsid w:val="00805BF9"/>
    <w:rsid w:val="0080609D"/>
    <w:rsid w:val="008061A9"/>
    <w:rsid w:val="008062CE"/>
    <w:rsid w:val="0080633B"/>
    <w:rsid w:val="008067D6"/>
    <w:rsid w:val="0080683E"/>
    <w:rsid w:val="00806A75"/>
    <w:rsid w:val="00806B7F"/>
    <w:rsid w:val="00806E4C"/>
    <w:rsid w:val="00807713"/>
    <w:rsid w:val="00807EB0"/>
    <w:rsid w:val="00807F2C"/>
    <w:rsid w:val="00810C69"/>
    <w:rsid w:val="00810E59"/>
    <w:rsid w:val="0081139F"/>
    <w:rsid w:val="00812678"/>
    <w:rsid w:val="00812C69"/>
    <w:rsid w:val="00812F28"/>
    <w:rsid w:val="00812FCA"/>
    <w:rsid w:val="008137DE"/>
    <w:rsid w:val="00814098"/>
    <w:rsid w:val="00814190"/>
    <w:rsid w:val="008146F2"/>
    <w:rsid w:val="008151AC"/>
    <w:rsid w:val="008158BA"/>
    <w:rsid w:val="00815910"/>
    <w:rsid w:val="00816D19"/>
    <w:rsid w:val="0081735B"/>
    <w:rsid w:val="008179C3"/>
    <w:rsid w:val="00820F3C"/>
    <w:rsid w:val="008219EE"/>
    <w:rsid w:val="00821BCE"/>
    <w:rsid w:val="008227CA"/>
    <w:rsid w:val="00822F22"/>
    <w:rsid w:val="00823230"/>
    <w:rsid w:val="008242DA"/>
    <w:rsid w:val="0082459A"/>
    <w:rsid w:val="00824834"/>
    <w:rsid w:val="00824C9A"/>
    <w:rsid w:val="00824D37"/>
    <w:rsid w:val="00824F39"/>
    <w:rsid w:val="0082523F"/>
    <w:rsid w:val="008256F5"/>
    <w:rsid w:val="00825952"/>
    <w:rsid w:val="00825C93"/>
    <w:rsid w:val="00825FB0"/>
    <w:rsid w:val="00826209"/>
    <w:rsid w:val="0082639D"/>
    <w:rsid w:val="008265A6"/>
    <w:rsid w:val="0082665D"/>
    <w:rsid w:val="0082689B"/>
    <w:rsid w:val="00826D99"/>
    <w:rsid w:val="00826EA2"/>
    <w:rsid w:val="00826EAE"/>
    <w:rsid w:val="00827651"/>
    <w:rsid w:val="0082773B"/>
    <w:rsid w:val="00827880"/>
    <w:rsid w:val="008278B0"/>
    <w:rsid w:val="00827CF3"/>
    <w:rsid w:val="008301C9"/>
    <w:rsid w:val="00831577"/>
    <w:rsid w:val="00831B53"/>
    <w:rsid w:val="0083206E"/>
    <w:rsid w:val="00832622"/>
    <w:rsid w:val="008335E2"/>
    <w:rsid w:val="00833846"/>
    <w:rsid w:val="008339F1"/>
    <w:rsid w:val="008339FD"/>
    <w:rsid w:val="00833A01"/>
    <w:rsid w:val="00835461"/>
    <w:rsid w:val="00836A2A"/>
    <w:rsid w:val="00836E05"/>
    <w:rsid w:val="00836E74"/>
    <w:rsid w:val="00836EA6"/>
    <w:rsid w:val="00836EFD"/>
    <w:rsid w:val="00837C46"/>
    <w:rsid w:val="00837ED1"/>
    <w:rsid w:val="00841425"/>
    <w:rsid w:val="0084196D"/>
    <w:rsid w:val="00841B94"/>
    <w:rsid w:val="00844525"/>
    <w:rsid w:val="008447ED"/>
    <w:rsid w:val="008447F4"/>
    <w:rsid w:val="0084493B"/>
    <w:rsid w:val="00844990"/>
    <w:rsid w:val="00845041"/>
    <w:rsid w:val="008452D2"/>
    <w:rsid w:val="008455AD"/>
    <w:rsid w:val="0084582E"/>
    <w:rsid w:val="00845C6A"/>
    <w:rsid w:val="0084663C"/>
    <w:rsid w:val="00846750"/>
    <w:rsid w:val="008471E7"/>
    <w:rsid w:val="008476C3"/>
    <w:rsid w:val="00847705"/>
    <w:rsid w:val="00847A59"/>
    <w:rsid w:val="008512DC"/>
    <w:rsid w:val="0085134F"/>
    <w:rsid w:val="008515AC"/>
    <w:rsid w:val="008515E5"/>
    <w:rsid w:val="00851B9C"/>
    <w:rsid w:val="00851BB1"/>
    <w:rsid w:val="00851C4D"/>
    <w:rsid w:val="00851FF0"/>
    <w:rsid w:val="00852E2E"/>
    <w:rsid w:val="00853413"/>
    <w:rsid w:val="00853795"/>
    <w:rsid w:val="008546C6"/>
    <w:rsid w:val="00855505"/>
    <w:rsid w:val="0085621B"/>
    <w:rsid w:val="00856F5B"/>
    <w:rsid w:val="008573B1"/>
    <w:rsid w:val="008573DD"/>
    <w:rsid w:val="0086013E"/>
    <w:rsid w:val="0086026B"/>
    <w:rsid w:val="0086149F"/>
    <w:rsid w:val="008616D9"/>
    <w:rsid w:val="00861C86"/>
    <w:rsid w:val="0086227D"/>
    <w:rsid w:val="008628F5"/>
    <w:rsid w:val="00863B31"/>
    <w:rsid w:val="00864E91"/>
    <w:rsid w:val="00865BA3"/>
    <w:rsid w:val="00865DF7"/>
    <w:rsid w:val="00865E0B"/>
    <w:rsid w:val="00865EB9"/>
    <w:rsid w:val="0086614B"/>
    <w:rsid w:val="00866818"/>
    <w:rsid w:val="00866E99"/>
    <w:rsid w:val="008670D0"/>
    <w:rsid w:val="00867496"/>
    <w:rsid w:val="00867687"/>
    <w:rsid w:val="00867D06"/>
    <w:rsid w:val="00867EA7"/>
    <w:rsid w:val="00867F78"/>
    <w:rsid w:val="00870060"/>
    <w:rsid w:val="00870669"/>
    <w:rsid w:val="00870AC4"/>
    <w:rsid w:val="0087124D"/>
    <w:rsid w:val="00871279"/>
    <w:rsid w:val="008714D8"/>
    <w:rsid w:val="00871CE9"/>
    <w:rsid w:val="008720F1"/>
    <w:rsid w:val="008729B7"/>
    <w:rsid w:val="00873392"/>
    <w:rsid w:val="00873770"/>
    <w:rsid w:val="0087379A"/>
    <w:rsid w:val="00874194"/>
    <w:rsid w:val="0087463F"/>
    <w:rsid w:val="008747C3"/>
    <w:rsid w:val="00874F86"/>
    <w:rsid w:val="008751FE"/>
    <w:rsid w:val="00875404"/>
    <w:rsid w:val="008756EF"/>
    <w:rsid w:val="00875B92"/>
    <w:rsid w:val="00875BFA"/>
    <w:rsid w:val="008762DB"/>
    <w:rsid w:val="00876641"/>
    <w:rsid w:val="00876812"/>
    <w:rsid w:val="00876CB5"/>
    <w:rsid w:val="00877878"/>
    <w:rsid w:val="00877BD0"/>
    <w:rsid w:val="00877DDC"/>
    <w:rsid w:val="008805DA"/>
    <w:rsid w:val="00880CF7"/>
    <w:rsid w:val="0088167A"/>
    <w:rsid w:val="00881D13"/>
    <w:rsid w:val="00881E43"/>
    <w:rsid w:val="00881FB6"/>
    <w:rsid w:val="008824D7"/>
    <w:rsid w:val="008825E5"/>
    <w:rsid w:val="008828A9"/>
    <w:rsid w:val="00882A39"/>
    <w:rsid w:val="00882BD7"/>
    <w:rsid w:val="00883045"/>
    <w:rsid w:val="00883056"/>
    <w:rsid w:val="008835AB"/>
    <w:rsid w:val="008835DC"/>
    <w:rsid w:val="008836AC"/>
    <w:rsid w:val="008840AA"/>
    <w:rsid w:val="00884424"/>
    <w:rsid w:val="0088443F"/>
    <w:rsid w:val="00886ABB"/>
    <w:rsid w:val="00886D69"/>
    <w:rsid w:val="00886E36"/>
    <w:rsid w:val="00886EF8"/>
    <w:rsid w:val="0088724C"/>
    <w:rsid w:val="008874B3"/>
    <w:rsid w:val="008877D3"/>
    <w:rsid w:val="008900DE"/>
    <w:rsid w:val="00890F2E"/>
    <w:rsid w:val="00891443"/>
    <w:rsid w:val="00891E07"/>
    <w:rsid w:val="008926C0"/>
    <w:rsid w:val="00892C96"/>
    <w:rsid w:val="008933D4"/>
    <w:rsid w:val="00893499"/>
    <w:rsid w:val="00893957"/>
    <w:rsid w:val="00893A74"/>
    <w:rsid w:val="00893B65"/>
    <w:rsid w:val="00893E93"/>
    <w:rsid w:val="008942AC"/>
    <w:rsid w:val="008950A3"/>
    <w:rsid w:val="0089522B"/>
    <w:rsid w:val="00895537"/>
    <w:rsid w:val="00895C5C"/>
    <w:rsid w:val="00896C60"/>
    <w:rsid w:val="0089705F"/>
    <w:rsid w:val="008975E5"/>
    <w:rsid w:val="00897A20"/>
    <w:rsid w:val="008A0640"/>
    <w:rsid w:val="008A08BB"/>
    <w:rsid w:val="008A08CF"/>
    <w:rsid w:val="008A0A32"/>
    <w:rsid w:val="008A189E"/>
    <w:rsid w:val="008A18C3"/>
    <w:rsid w:val="008A1A82"/>
    <w:rsid w:val="008A2EFA"/>
    <w:rsid w:val="008A39C8"/>
    <w:rsid w:val="008A3A3B"/>
    <w:rsid w:val="008A3B40"/>
    <w:rsid w:val="008A4062"/>
    <w:rsid w:val="008A41AF"/>
    <w:rsid w:val="008A41DE"/>
    <w:rsid w:val="008A44FF"/>
    <w:rsid w:val="008A4D38"/>
    <w:rsid w:val="008A5429"/>
    <w:rsid w:val="008A54FE"/>
    <w:rsid w:val="008B052B"/>
    <w:rsid w:val="008B07B5"/>
    <w:rsid w:val="008B0890"/>
    <w:rsid w:val="008B0D7F"/>
    <w:rsid w:val="008B0DC5"/>
    <w:rsid w:val="008B0E64"/>
    <w:rsid w:val="008B14DD"/>
    <w:rsid w:val="008B1680"/>
    <w:rsid w:val="008B227C"/>
    <w:rsid w:val="008B307F"/>
    <w:rsid w:val="008B367E"/>
    <w:rsid w:val="008B371B"/>
    <w:rsid w:val="008B379B"/>
    <w:rsid w:val="008B3CE6"/>
    <w:rsid w:val="008B4559"/>
    <w:rsid w:val="008B45FD"/>
    <w:rsid w:val="008B5108"/>
    <w:rsid w:val="008B5616"/>
    <w:rsid w:val="008B5C24"/>
    <w:rsid w:val="008B6532"/>
    <w:rsid w:val="008B6535"/>
    <w:rsid w:val="008B751F"/>
    <w:rsid w:val="008B7B04"/>
    <w:rsid w:val="008C0362"/>
    <w:rsid w:val="008C1F4F"/>
    <w:rsid w:val="008C273D"/>
    <w:rsid w:val="008C2AA8"/>
    <w:rsid w:val="008C2AAB"/>
    <w:rsid w:val="008C30B9"/>
    <w:rsid w:val="008C3394"/>
    <w:rsid w:val="008C35D3"/>
    <w:rsid w:val="008C3EBA"/>
    <w:rsid w:val="008C404D"/>
    <w:rsid w:val="008C4782"/>
    <w:rsid w:val="008C4E5E"/>
    <w:rsid w:val="008C5D69"/>
    <w:rsid w:val="008C5F35"/>
    <w:rsid w:val="008C61D8"/>
    <w:rsid w:val="008C6576"/>
    <w:rsid w:val="008C6878"/>
    <w:rsid w:val="008C6A39"/>
    <w:rsid w:val="008C7032"/>
    <w:rsid w:val="008C74D4"/>
    <w:rsid w:val="008C77DB"/>
    <w:rsid w:val="008C7CE2"/>
    <w:rsid w:val="008D076E"/>
    <w:rsid w:val="008D07F8"/>
    <w:rsid w:val="008D0D75"/>
    <w:rsid w:val="008D10CA"/>
    <w:rsid w:val="008D134B"/>
    <w:rsid w:val="008D184D"/>
    <w:rsid w:val="008D1AC2"/>
    <w:rsid w:val="008D1C7A"/>
    <w:rsid w:val="008D230B"/>
    <w:rsid w:val="008D236C"/>
    <w:rsid w:val="008D2F9A"/>
    <w:rsid w:val="008D3965"/>
    <w:rsid w:val="008D434E"/>
    <w:rsid w:val="008D478A"/>
    <w:rsid w:val="008D4E9E"/>
    <w:rsid w:val="008D56D6"/>
    <w:rsid w:val="008D5706"/>
    <w:rsid w:val="008D5AD5"/>
    <w:rsid w:val="008D5C29"/>
    <w:rsid w:val="008D5FC3"/>
    <w:rsid w:val="008D6DB5"/>
    <w:rsid w:val="008D7AAF"/>
    <w:rsid w:val="008D7BAD"/>
    <w:rsid w:val="008E05F6"/>
    <w:rsid w:val="008E0F1B"/>
    <w:rsid w:val="008E104C"/>
    <w:rsid w:val="008E108F"/>
    <w:rsid w:val="008E1090"/>
    <w:rsid w:val="008E27C7"/>
    <w:rsid w:val="008E32FD"/>
    <w:rsid w:val="008E3440"/>
    <w:rsid w:val="008E346E"/>
    <w:rsid w:val="008E3BF0"/>
    <w:rsid w:val="008E3C91"/>
    <w:rsid w:val="008E3F1C"/>
    <w:rsid w:val="008E43BC"/>
    <w:rsid w:val="008E4C74"/>
    <w:rsid w:val="008E4E83"/>
    <w:rsid w:val="008E548F"/>
    <w:rsid w:val="008E613B"/>
    <w:rsid w:val="008E670B"/>
    <w:rsid w:val="008E6EB7"/>
    <w:rsid w:val="008E7223"/>
    <w:rsid w:val="008E73A8"/>
    <w:rsid w:val="008E7815"/>
    <w:rsid w:val="008E7FB6"/>
    <w:rsid w:val="008F0607"/>
    <w:rsid w:val="008F0B33"/>
    <w:rsid w:val="008F11F4"/>
    <w:rsid w:val="008F159E"/>
    <w:rsid w:val="008F1638"/>
    <w:rsid w:val="008F17E4"/>
    <w:rsid w:val="008F1931"/>
    <w:rsid w:val="008F1ABC"/>
    <w:rsid w:val="008F1AF5"/>
    <w:rsid w:val="008F1BA8"/>
    <w:rsid w:val="008F1C63"/>
    <w:rsid w:val="008F1DE5"/>
    <w:rsid w:val="008F264D"/>
    <w:rsid w:val="008F28F4"/>
    <w:rsid w:val="008F3771"/>
    <w:rsid w:val="008F3B60"/>
    <w:rsid w:val="008F46E2"/>
    <w:rsid w:val="008F4754"/>
    <w:rsid w:val="008F476F"/>
    <w:rsid w:val="008F4CE2"/>
    <w:rsid w:val="008F5374"/>
    <w:rsid w:val="008F60B3"/>
    <w:rsid w:val="008F66FF"/>
    <w:rsid w:val="008F6ACE"/>
    <w:rsid w:val="008F6F61"/>
    <w:rsid w:val="008F71DD"/>
    <w:rsid w:val="008F790B"/>
    <w:rsid w:val="008F7ACB"/>
    <w:rsid w:val="00900498"/>
    <w:rsid w:val="00900847"/>
    <w:rsid w:val="00900D5A"/>
    <w:rsid w:val="00900E4C"/>
    <w:rsid w:val="00900EBE"/>
    <w:rsid w:val="00901302"/>
    <w:rsid w:val="009016EA"/>
    <w:rsid w:val="00901EBC"/>
    <w:rsid w:val="009025A8"/>
    <w:rsid w:val="0090269A"/>
    <w:rsid w:val="00902AA4"/>
    <w:rsid w:val="009031BC"/>
    <w:rsid w:val="00903A8D"/>
    <w:rsid w:val="00904CDE"/>
    <w:rsid w:val="009052B3"/>
    <w:rsid w:val="00905473"/>
    <w:rsid w:val="009054CA"/>
    <w:rsid w:val="00905B5C"/>
    <w:rsid w:val="00905FFD"/>
    <w:rsid w:val="009069E8"/>
    <w:rsid w:val="009072F2"/>
    <w:rsid w:val="009077F5"/>
    <w:rsid w:val="00907D0A"/>
    <w:rsid w:val="00910067"/>
    <w:rsid w:val="00910080"/>
    <w:rsid w:val="009105AB"/>
    <w:rsid w:val="0091198F"/>
    <w:rsid w:val="00911991"/>
    <w:rsid w:val="00911E2F"/>
    <w:rsid w:val="00911E85"/>
    <w:rsid w:val="00911E9B"/>
    <w:rsid w:val="00912A38"/>
    <w:rsid w:val="00912D0F"/>
    <w:rsid w:val="00912D3F"/>
    <w:rsid w:val="00912EB5"/>
    <w:rsid w:val="009133AA"/>
    <w:rsid w:val="00913456"/>
    <w:rsid w:val="0091351F"/>
    <w:rsid w:val="00913A35"/>
    <w:rsid w:val="00914012"/>
    <w:rsid w:val="0091463E"/>
    <w:rsid w:val="00914F2E"/>
    <w:rsid w:val="00914F74"/>
    <w:rsid w:val="0091550F"/>
    <w:rsid w:val="0091566A"/>
    <w:rsid w:val="0091629C"/>
    <w:rsid w:val="00916C7C"/>
    <w:rsid w:val="009171F7"/>
    <w:rsid w:val="00917497"/>
    <w:rsid w:val="009175F0"/>
    <w:rsid w:val="00917A6F"/>
    <w:rsid w:val="00917BCC"/>
    <w:rsid w:val="00917E7B"/>
    <w:rsid w:val="00917EE6"/>
    <w:rsid w:val="0092011F"/>
    <w:rsid w:val="0092035D"/>
    <w:rsid w:val="009203EC"/>
    <w:rsid w:val="00920637"/>
    <w:rsid w:val="009209F2"/>
    <w:rsid w:val="00921606"/>
    <w:rsid w:val="00921BE2"/>
    <w:rsid w:val="00922332"/>
    <w:rsid w:val="00922335"/>
    <w:rsid w:val="0092320F"/>
    <w:rsid w:val="0092324A"/>
    <w:rsid w:val="00923682"/>
    <w:rsid w:val="009241FF"/>
    <w:rsid w:val="00925113"/>
    <w:rsid w:val="00925ACC"/>
    <w:rsid w:val="00925BC7"/>
    <w:rsid w:val="00926229"/>
    <w:rsid w:val="00926631"/>
    <w:rsid w:val="00926827"/>
    <w:rsid w:val="00926A80"/>
    <w:rsid w:val="00926E5B"/>
    <w:rsid w:val="00927D90"/>
    <w:rsid w:val="009306CB"/>
    <w:rsid w:val="00930BAA"/>
    <w:rsid w:val="00930C82"/>
    <w:rsid w:val="00932552"/>
    <w:rsid w:val="0093258C"/>
    <w:rsid w:val="009328C0"/>
    <w:rsid w:val="009329C9"/>
    <w:rsid w:val="00933CD1"/>
    <w:rsid w:val="009343FE"/>
    <w:rsid w:val="00934AFF"/>
    <w:rsid w:val="00935040"/>
    <w:rsid w:val="00935897"/>
    <w:rsid w:val="00935F9C"/>
    <w:rsid w:val="0093664C"/>
    <w:rsid w:val="0093682A"/>
    <w:rsid w:val="00936BD3"/>
    <w:rsid w:val="00936F56"/>
    <w:rsid w:val="00936FCD"/>
    <w:rsid w:val="009372E1"/>
    <w:rsid w:val="00940395"/>
    <w:rsid w:val="00940A24"/>
    <w:rsid w:val="009416AA"/>
    <w:rsid w:val="0094195E"/>
    <w:rsid w:val="00941FE0"/>
    <w:rsid w:val="0094236D"/>
    <w:rsid w:val="0094242F"/>
    <w:rsid w:val="00942458"/>
    <w:rsid w:val="00942AF8"/>
    <w:rsid w:val="00944103"/>
    <w:rsid w:val="0094446C"/>
    <w:rsid w:val="009447BC"/>
    <w:rsid w:val="00944949"/>
    <w:rsid w:val="00944AC9"/>
    <w:rsid w:val="00944D33"/>
    <w:rsid w:val="00945147"/>
    <w:rsid w:val="009452D3"/>
    <w:rsid w:val="00945519"/>
    <w:rsid w:val="00945755"/>
    <w:rsid w:val="00945B79"/>
    <w:rsid w:val="00946444"/>
    <w:rsid w:val="009465DA"/>
    <w:rsid w:val="009466EF"/>
    <w:rsid w:val="00946B80"/>
    <w:rsid w:val="00947113"/>
    <w:rsid w:val="009471A3"/>
    <w:rsid w:val="00947BC5"/>
    <w:rsid w:val="00947ED6"/>
    <w:rsid w:val="009509E3"/>
    <w:rsid w:val="00950AEB"/>
    <w:rsid w:val="00950B7C"/>
    <w:rsid w:val="009519B6"/>
    <w:rsid w:val="00951DD0"/>
    <w:rsid w:val="009520F0"/>
    <w:rsid w:val="00952209"/>
    <w:rsid w:val="0095254D"/>
    <w:rsid w:val="0095287D"/>
    <w:rsid w:val="00952C1F"/>
    <w:rsid w:val="00952D94"/>
    <w:rsid w:val="00952F80"/>
    <w:rsid w:val="00953E2F"/>
    <w:rsid w:val="00954B58"/>
    <w:rsid w:val="00954B61"/>
    <w:rsid w:val="00954D70"/>
    <w:rsid w:val="00955A0F"/>
    <w:rsid w:val="00955C9E"/>
    <w:rsid w:val="00956654"/>
    <w:rsid w:val="009567F4"/>
    <w:rsid w:val="00956BFD"/>
    <w:rsid w:val="00956D62"/>
    <w:rsid w:val="00956EB1"/>
    <w:rsid w:val="0095779F"/>
    <w:rsid w:val="00957B7C"/>
    <w:rsid w:val="009601E4"/>
    <w:rsid w:val="009602D3"/>
    <w:rsid w:val="00960577"/>
    <w:rsid w:val="009612E0"/>
    <w:rsid w:val="009615A9"/>
    <w:rsid w:val="00962840"/>
    <w:rsid w:val="00962D4D"/>
    <w:rsid w:val="00962F0C"/>
    <w:rsid w:val="009630CD"/>
    <w:rsid w:val="009636C3"/>
    <w:rsid w:val="00963BEA"/>
    <w:rsid w:val="00964686"/>
    <w:rsid w:val="009647F3"/>
    <w:rsid w:val="0096494D"/>
    <w:rsid w:val="00964E59"/>
    <w:rsid w:val="00966B2C"/>
    <w:rsid w:val="00966D2B"/>
    <w:rsid w:val="00966DDA"/>
    <w:rsid w:val="00967077"/>
    <w:rsid w:val="00967357"/>
    <w:rsid w:val="0096747D"/>
    <w:rsid w:val="00967652"/>
    <w:rsid w:val="00967E59"/>
    <w:rsid w:val="0097003D"/>
    <w:rsid w:val="00970386"/>
    <w:rsid w:val="00970774"/>
    <w:rsid w:val="00971940"/>
    <w:rsid w:val="00972A32"/>
    <w:rsid w:val="00972C67"/>
    <w:rsid w:val="00972FC3"/>
    <w:rsid w:val="009738B5"/>
    <w:rsid w:val="00973D1F"/>
    <w:rsid w:val="009740E9"/>
    <w:rsid w:val="00974188"/>
    <w:rsid w:val="00974EDA"/>
    <w:rsid w:val="009757E6"/>
    <w:rsid w:val="00975F25"/>
    <w:rsid w:val="00976DEF"/>
    <w:rsid w:val="009778D6"/>
    <w:rsid w:val="00977A16"/>
    <w:rsid w:val="00977A36"/>
    <w:rsid w:val="00980974"/>
    <w:rsid w:val="00980B4D"/>
    <w:rsid w:val="00980B4E"/>
    <w:rsid w:val="0098177E"/>
    <w:rsid w:val="00981D14"/>
    <w:rsid w:val="00981E0D"/>
    <w:rsid w:val="00982E3C"/>
    <w:rsid w:val="00983080"/>
    <w:rsid w:val="009837A8"/>
    <w:rsid w:val="00983996"/>
    <w:rsid w:val="00983AEC"/>
    <w:rsid w:val="00984365"/>
    <w:rsid w:val="00985433"/>
    <w:rsid w:val="00985D05"/>
    <w:rsid w:val="00986619"/>
    <w:rsid w:val="00986CF2"/>
    <w:rsid w:val="00986D32"/>
    <w:rsid w:val="0098703A"/>
    <w:rsid w:val="00987BC8"/>
    <w:rsid w:val="00987C46"/>
    <w:rsid w:val="0099049C"/>
    <w:rsid w:val="0099059B"/>
    <w:rsid w:val="00991468"/>
    <w:rsid w:val="00991CAF"/>
    <w:rsid w:val="00992BB4"/>
    <w:rsid w:val="00992FE4"/>
    <w:rsid w:val="00993B47"/>
    <w:rsid w:val="00993EEA"/>
    <w:rsid w:val="00993FCD"/>
    <w:rsid w:val="00994266"/>
    <w:rsid w:val="00995357"/>
    <w:rsid w:val="00995426"/>
    <w:rsid w:val="00996969"/>
    <w:rsid w:val="00996E93"/>
    <w:rsid w:val="0099762B"/>
    <w:rsid w:val="009A04AB"/>
    <w:rsid w:val="009A0A1C"/>
    <w:rsid w:val="009A1839"/>
    <w:rsid w:val="009A1D1F"/>
    <w:rsid w:val="009A1DBA"/>
    <w:rsid w:val="009A2716"/>
    <w:rsid w:val="009A27D8"/>
    <w:rsid w:val="009A2838"/>
    <w:rsid w:val="009A2909"/>
    <w:rsid w:val="009A2CC7"/>
    <w:rsid w:val="009A2ECC"/>
    <w:rsid w:val="009A3124"/>
    <w:rsid w:val="009A4127"/>
    <w:rsid w:val="009A45DC"/>
    <w:rsid w:val="009A4717"/>
    <w:rsid w:val="009A64AA"/>
    <w:rsid w:val="009A7412"/>
    <w:rsid w:val="009A7BC3"/>
    <w:rsid w:val="009A7F48"/>
    <w:rsid w:val="009B026B"/>
    <w:rsid w:val="009B05D3"/>
    <w:rsid w:val="009B10BB"/>
    <w:rsid w:val="009B1153"/>
    <w:rsid w:val="009B14BB"/>
    <w:rsid w:val="009B1547"/>
    <w:rsid w:val="009B1A3A"/>
    <w:rsid w:val="009B1C1C"/>
    <w:rsid w:val="009B1E90"/>
    <w:rsid w:val="009B2519"/>
    <w:rsid w:val="009B296C"/>
    <w:rsid w:val="009B2B98"/>
    <w:rsid w:val="009B35E1"/>
    <w:rsid w:val="009B3988"/>
    <w:rsid w:val="009B39F7"/>
    <w:rsid w:val="009B4A83"/>
    <w:rsid w:val="009B583F"/>
    <w:rsid w:val="009B5883"/>
    <w:rsid w:val="009B62CA"/>
    <w:rsid w:val="009B62EE"/>
    <w:rsid w:val="009B6ABD"/>
    <w:rsid w:val="009B7183"/>
    <w:rsid w:val="009B7293"/>
    <w:rsid w:val="009B7CAE"/>
    <w:rsid w:val="009B7EF6"/>
    <w:rsid w:val="009C0150"/>
    <w:rsid w:val="009C06D2"/>
    <w:rsid w:val="009C0920"/>
    <w:rsid w:val="009C0A98"/>
    <w:rsid w:val="009C0F38"/>
    <w:rsid w:val="009C1A40"/>
    <w:rsid w:val="009C2118"/>
    <w:rsid w:val="009C2239"/>
    <w:rsid w:val="009C2FE6"/>
    <w:rsid w:val="009C3425"/>
    <w:rsid w:val="009C42BE"/>
    <w:rsid w:val="009C4326"/>
    <w:rsid w:val="009C43BC"/>
    <w:rsid w:val="009C4495"/>
    <w:rsid w:val="009C486F"/>
    <w:rsid w:val="009C4F7B"/>
    <w:rsid w:val="009C5451"/>
    <w:rsid w:val="009C558A"/>
    <w:rsid w:val="009C5AB0"/>
    <w:rsid w:val="009C5D30"/>
    <w:rsid w:val="009C68E9"/>
    <w:rsid w:val="009C6DF4"/>
    <w:rsid w:val="009C6FF0"/>
    <w:rsid w:val="009C7528"/>
    <w:rsid w:val="009C7895"/>
    <w:rsid w:val="009D0B05"/>
    <w:rsid w:val="009D12D5"/>
    <w:rsid w:val="009D1BE5"/>
    <w:rsid w:val="009D1D5C"/>
    <w:rsid w:val="009D1D6B"/>
    <w:rsid w:val="009D1FC4"/>
    <w:rsid w:val="009D2165"/>
    <w:rsid w:val="009D2716"/>
    <w:rsid w:val="009D2B17"/>
    <w:rsid w:val="009D3108"/>
    <w:rsid w:val="009D3138"/>
    <w:rsid w:val="009D3E55"/>
    <w:rsid w:val="009D4B2D"/>
    <w:rsid w:val="009D4C1D"/>
    <w:rsid w:val="009D4DE9"/>
    <w:rsid w:val="009D4FF3"/>
    <w:rsid w:val="009D50FB"/>
    <w:rsid w:val="009D55A2"/>
    <w:rsid w:val="009D5669"/>
    <w:rsid w:val="009D5E51"/>
    <w:rsid w:val="009D615E"/>
    <w:rsid w:val="009D633E"/>
    <w:rsid w:val="009D6435"/>
    <w:rsid w:val="009D699C"/>
    <w:rsid w:val="009D749A"/>
    <w:rsid w:val="009D760F"/>
    <w:rsid w:val="009D7C26"/>
    <w:rsid w:val="009E053F"/>
    <w:rsid w:val="009E1059"/>
    <w:rsid w:val="009E14F8"/>
    <w:rsid w:val="009E15A1"/>
    <w:rsid w:val="009E17C4"/>
    <w:rsid w:val="009E23A0"/>
    <w:rsid w:val="009E2D31"/>
    <w:rsid w:val="009E431B"/>
    <w:rsid w:val="009E4C11"/>
    <w:rsid w:val="009E5179"/>
    <w:rsid w:val="009E52C8"/>
    <w:rsid w:val="009E541C"/>
    <w:rsid w:val="009E54EE"/>
    <w:rsid w:val="009E5645"/>
    <w:rsid w:val="009E56AB"/>
    <w:rsid w:val="009E5BFF"/>
    <w:rsid w:val="009E5CB9"/>
    <w:rsid w:val="009E5E76"/>
    <w:rsid w:val="009E5E7F"/>
    <w:rsid w:val="009E76AB"/>
    <w:rsid w:val="009E7767"/>
    <w:rsid w:val="009E79DC"/>
    <w:rsid w:val="009F05BC"/>
    <w:rsid w:val="009F06AA"/>
    <w:rsid w:val="009F231B"/>
    <w:rsid w:val="009F2908"/>
    <w:rsid w:val="009F2B80"/>
    <w:rsid w:val="009F306F"/>
    <w:rsid w:val="009F3287"/>
    <w:rsid w:val="009F3994"/>
    <w:rsid w:val="009F3C94"/>
    <w:rsid w:val="009F3E85"/>
    <w:rsid w:val="009F3FCC"/>
    <w:rsid w:val="009F40EA"/>
    <w:rsid w:val="009F46D0"/>
    <w:rsid w:val="009F48F2"/>
    <w:rsid w:val="009F4A0D"/>
    <w:rsid w:val="009F576A"/>
    <w:rsid w:val="009F58CF"/>
    <w:rsid w:val="009F6513"/>
    <w:rsid w:val="009F7029"/>
    <w:rsid w:val="009F72A8"/>
    <w:rsid w:val="009F73BF"/>
    <w:rsid w:val="009F7456"/>
    <w:rsid w:val="009F7595"/>
    <w:rsid w:val="009F7D3A"/>
    <w:rsid w:val="00A00707"/>
    <w:rsid w:val="00A00DBD"/>
    <w:rsid w:val="00A01425"/>
    <w:rsid w:val="00A0198C"/>
    <w:rsid w:val="00A019E9"/>
    <w:rsid w:val="00A01A9F"/>
    <w:rsid w:val="00A021FA"/>
    <w:rsid w:val="00A0234A"/>
    <w:rsid w:val="00A02992"/>
    <w:rsid w:val="00A02A45"/>
    <w:rsid w:val="00A02ECD"/>
    <w:rsid w:val="00A03860"/>
    <w:rsid w:val="00A03972"/>
    <w:rsid w:val="00A03A01"/>
    <w:rsid w:val="00A041B5"/>
    <w:rsid w:val="00A04775"/>
    <w:rsid w:val="00A04C52"/>
    <w:rsid w:val="00A04EE1"/>
    <w:rsid w:val="00A05046"/>
    <w:rsid w:val="00A05755"/>
    <w:rsid w:val="00A05BE3"/>
    <w:rsid w:val="00A06578"/>
    <w:rsid w:val="00A0706D"/>
    <w:rsid w:val="00A07BC3"/>
    <w:rsid w:val="00A10012"/>
    <w:rsid w:val="00A103D8"/>
    <w:rsid w:val="00A106C9"/>
    <w:rsid w:val="00A10ACD"/>
    <w:rsid w:val="00A119B7"/>
    <w:rsid w:val="00A11DBB"/>
    <w:rsid w:val="00A123BB"/>
    <w:rsid w:val="00A1285A"/>
    <w:rsid w:val="00A12AB0"/>
    <w:rsid w:val="00A12C45"/>
    <w:rsid w:val="00A12E31"/>
    <w:rsid w:val="00A13817"/>
    <w:rsid w:val="00A1382E"/>
    <w:rsid w:val="00A13ACF"/>
    <w:rsid w:val="00A13C5D"/>
    <w:rsid w:val="00A13CB4"/>
    <w:rsid w:val="00A1442A"/>
    <w:rsid w:val="00A14567"/>
    <w:rsid w:val="00A147E4"/>
    <w:rsid w:val="00A150E9"/>
    <w:rsid w:val="00A16085"/>
    <w:rsid w:val="00A164FA"/>
    <w:rsid w:val="00A16761"/>
    <w:rsid w:val="00A17205"/>
    <w:rsid w:val="00A17433"/>
    <w:rsid w:val="00A17517"/>
    <w:rsid w:val="00A17BDF"/>
    <w:rsid w:val="00A202FD"/>
    <w:rsid w:val="00A20B83"/>
    <w:rsid w:val="00A20ECE"/>
    <w:rsid w:val="00A20EF2"/>
    <w:rsid w:val="00A20F24"/>
    <w:rsid w:val="00A21DA1"/>
    <w:rsid w:val="00A22A97"/>
    <w:rsid w:val="00A22D15"/>
    <w:rsid w:val="00A23134"/>
    <w:rsid w:val="00A2355A"/>
    <w:rsid w:val="00A2374D"/>
    <w:rsid w:val="00A23C24"/>
    <w:rsid w:val="00A23CCD"/>
    <w:rsid w:val="00A2418C"/>
    <w:rsid w:val="00A245E2"/>
    <w:rsid w:val="00A254C3"/>
    <w:rsid w:val="00A25776"/>
    <w:rsid w:val="00A262E5"/>
    <w:rsid w:val="00A26EE8"/>
    <w:rsid w:val="00A26F51"/>
    <w:rsid w:val="00A277C8"/>
    <w:rsid w:val="00A278CB"/>
    <w:rsid w:val="00A27A03"/>
    <w:rsid w:val="00A301B7"/>
    <w:rsid w:val="00A304C8"/>
    <w:rsid w:val="00A30920"/>
    <w:rsid w:val="00A31237"/>
    <w:rsid w:val="00A313AC"/>
    <w:rsid w:val="00A31AB8"/>
    <w:rsid w:val="00A31E8E"/>
    <w:rsid w:val="00A3216D"/>
    <w:rsid w:val="00A32841"/>
    <w:rsid w:val="00A32951"/>
    <w:rsid w:val="00A337D1"/>
    <w:rsid w:val="00A33AB9"/>
    <w:rsid w:val="00A33C00"/>
    <w:rsid w:val="00A33DBD"/>
    <w:rsid w:val="00A33EC0"/>
    <w:rsid w:val="00A3448C"/>
    <w:rsid w:val="00A34ACB"/>
    <w:rsid w:val="00A34C46"/>
    <w:rsid w:val="00A34D2A"/>
    <w:rsid w:val="00A35217"/>
    <w:rsid w:val="00A35352"/>
    <w:rsid w:val="00A355B5"/>
    <w:rsid w:val="00A35A50"/>
    <w:rsid w:val="00A35EEE"/>
    <w:rsid w:val="00A36332"/>
    <w:rsid w:val="00A367C5"/>
    <w:rsid w:val="00A37006"/>
    <w:rsid w:val="00A37123"/>
    <w:rsid w:val="00A378EB"/>
    <w:rsid w:val="00A403B4"/>
    <w:rsid w:val="00A406C2"/>
    <w:rsid w:val="00A40E89"/>
    <w:rsid w:val="00A411C0"/>
    <w:rsid w:val="00A4135E"/>
    <w:rsid w:val="00A41596"/>
    <w:rsid w:val="00A41EEE"/>
    <w:rsid w:val="00A42FB2"/>
    <w:rsid w:val="00A43524"/>
    <w:rsid w:val="00A43CF9"/>
    <w:rsid w:val="00A43D22"/>
    <w:rsid w:val="00A43E0A"/>
    <w:rsid w:val="00A43EB1"/>
    <w:rsid w:val="00A44BD1"/>
    <w:rsid w:val="00A45633"/>
    <w:rsid w:val="00A45753"/>
    <w:rsid w:val="00A45A84"/>
    <w:rsid w:val="00A4652A"/>
    <w:rsid w:val="00A46650"/>
    <w:rsid w:val="00A467CD"/>
    <w:rsid w:val="00A46E11"/>
    <w:rsid w:val="00A46F83"/>
    <w:rsid w:val="00A476B4"/>
    <w:rsid w:val="00A5025E"/>
    <w:rsid w:val="00A508B5"/>
    <w:rsid w:val="00A50A58"/>
    <w:rsid w:val="00A50BC3"/>
    <w:rsid w:val="00A51091"/>
    <w:rsid w:val="00A51534"/>
    <w:rsid w:val="00A51AA2"/>
    <w:rsid w:val="00A51C40"/>
    <w:rsid w:val="00A51DFF"/>
    <w:rsid w:val="00A5266D"/>
    <w:rsid w:val="00A52DC8"/>
    <w:rsid w:val="00A53F77"/>
    <w:rsid w:val="00A5447B"/>
    <w:rsid w:val="00A549F4"/>
    <w:rsid w:val="00A55731"/>
    <w:rsid w:val="00A56C49"/>
    <w:rsid w:val="00A57FF5"/>
    <w:rsid w:val="00A6013B"/>
    <w:rsid w:val="00A60A09"/>
    <w:rsid w:val="00A60E21"/>
    <w:rsid w:val="00A60F99"/>
    <w:rsid w:val="00A61384"/>
    <w:rsid w:val="00A62189"/>
    <w:rsid w:val="00A62E56"/>
    <w:rsid w:val="00A634B6"/>
    <w:rsid w:val="00A638D4"/>
    <w:rsid w:val="00A64C2B"/>
    <w:rsid w:val="00A654F1"/>
    <w:rsid w:val="00A65A89"/>
    <w:rsid w:val="00A66191"/>
    <w:rsid w:val="00A6633E"/>
    <w:rsid w:val="00A6648C"/>
    <w:rsid w:val="00A66F36"/>
    <w:rsid w:val="00A6726D"/>
    <w:rsid w:val="00A6747F"/>
    <w:rsid w:val="00A675A8"/>
    <w:rsid w:val="00A67B38"/>
    <w:rsid w:val="00A67E1D"/>
    <w:rsid w:val="00A67F93"/>
    <w:rsid w:val="00A70701"/>
    <w:rsid w:val="00A70779"/>
    <w:rsid w:val="00A70928"/>
    <w:rsid w:val="00A70DDD"/>
    <w:rsid w:val="00A711C5"/>
    <w:rsid w:val="00A715BE"/>
    <w:rsid w:val="00A71690"/>
    <w:rsid w:val="00A72087"/>
    <w:rsid w:val="00A72171"/>
    <w:rsid w:val="00A72746"/>
    <w:rsid w:val="00A72E4C"/>
    <w:rsid w:val="00A743D5"/>
    <w:rsid w:val="00A74592"/>
    <w:rsid w:val="00A74CB0"/>
    <w:rsid w:val="00A74D81"/>
    <w:rsid w:val="00A75672"/>
    <w:rsid w:val="00A75754"/>
    <w:rsid w:val="00A75B0F"/>
    <w:rsid w:val="00A762E9"/>
    <w:rsid w:val="00A7676E"/>
    <w:rsid w:val="00A77775"/>
    <w:rsid w:val="00A77835"/>
    <w:rsid w:val="00A77B9D"/>
    <w:rsid w:val="00A77F58"/>
    <w:rsid w:val="00A77FA0"/>
    <w:rsid w:val="00A80A76"/>
    <w:rsid w:val="00A80A94"/>
    <w:rsid w:val="00A80CF7"/>
    <w:rsid w:val="00A80D58"/>
    <w:rsid w:val="00A813E4"/>
    <w:rsid w:val="00A827C2"/>
    <w:rsid w:val="00A83086"/>
    <w:rsid w:val="00A83A5A"/>
    <w:rsid w:val="00A83AEF"/>
    <w:rsid w:val="00A841C3"/>
    <w:rsid w:val="00A84807"/>
    <w:rsid w:val="00A85D69"/>
    <w:rsid w:val="00A85F9E"/>
    <w:rsid w:val="00A87839"/>
    <w:rsid w:val="00A87C26"/>
    <w:rsid w:val="00A87CD6"/>
    <w:rsid w:val="00A9005E"/>
    <w:rsid w:val="00A906B7"/>
    <w:rsid w:val="00A9078F"/>
    <w:rsid w:val="00A90978"/>
    <w:rsid w:val="00A909A5"/>
    <w:rsid w:val="00A90BDF"/>
    <w:rsid w:val="00A90FA0"/>
    <w:rsid w:val="00A91356"/>
    <w:rsid w:val="00A91B20"/>
    <w:rsid w:val="00A91B63"/>
    <w:rsid w:val="00A91E4A"/>
    <w:rsid w:val="00A92220"/>
    <w:rsid w:val="00A92556"/>
    <w:rsid w:val="00A9262F"/>
    <w:rsid w:val="00A929D2"/>
    <w:rsid w:val="00A92AAA"/>
    <w:rsid w:val="00A94BDB"/>
    <w:rsid w:val="00A951EC"/>
    <w:rsid w:val="00A95A74"/>
    <w:rsid w:val="00A95A83"/>
    <w:rsid w:val="00A96A69"/>
    <w:rsid w:val="00A97202"/>
    <w:rsid w:val="00A972F7"/>
    <w:rsid w:val="00A9751B"/>
    <w:rsid w:val="00A975A1"/>
    <w:rsid w:val="00A97628"/>
    <w:rsid w:val="00A97CA9"/>
    <w:rsid w:val="00AA02FC"/>
    <w:rsid w:val="00AA070F"/>
    <w:rsid w:val="00AA1679"/>
    <w:rsid w:val="00AA18CF"/>
    <w:rsid w:val="00AA1B1B"/>
    <w:rsid w:val="00AA285A"/>
    <w:rsid w:val="00AA293D"/>
    <w:rsid w:val="00AA33DA"/>
    <w:rsid w:val="00AA365A"/>
    <w:rsid w:val="00AA38DE"/>
    <w:rsid w:val="00AA3AA6"/>
    <w:rsid w:val="00AA3B84"/>
    <w:rsid w:val="00AA3BD6"/>
    <w:rsid w:val="00AA3E4A"/>
    <w:rsid w:val="00AA4BB2"/>
    <w:rsid w:val="00AA4DE2"/>
    <w:rsid w:val="00AA5BA3"/>
    <w:rsid w:val="00AA5C7A"/>
    <w:rsid w:val="00AA605E"/>
    <w:rsid w:val="00AA629D"/>
    <w:rsid w:val="00AA66B5"/>
    <w:rsid w:val="00AA7363"/>
    <w:rsid w:val="00AA77C5"/>
    <w:rsid w:val="00AB068A"/>
    <w:rsid w:val="00AB1282"/>
    <w:rsid w:val="00AB1619"/>
    <w:rsid w:val="00AB1CA4"/>
    <w:rsid w:val="00AB20AB"/>
    <w:rsid w:val="00AB2A4F"/>
    <w:rsid w:val="00AB2C31"/>
    <w:rsid w:val="00AB3047"/>
    <w:rsid w:val="00AB3EBD"/>
    <w:rsid w:val="00AB3EF1"/>
    <w:rsid w:val="00AB3F1A"/>
    <w:rsid w:val="00AB45D5"/>
    <w:rsid w:val="00AB480A"/>
    <w:rsid w:val="00AB4AEC"/>
    <w:rsid w:val="00AB4C98"/>
    <w:rsid w:val="00AB5770"/>
    <w:rsid w:val="00AB5CE0"/>
    <w:rsid w:val="00AB68FB"/>
    <w:rsid w:val="00AB6951"/>
    <w:rsid w:val="00AB6DC5"/>
    <w:rsid w:val="00AB6FAE"/>
    <w:rsid w:val="00AB70A6"/>
    <w:rsid w:val="00AB736E"/>
    <w:rsid w:val="00AB7453"/>
    <w:rsid w:val="00AB7DF5"/>
    <w:rsid w:val="00AB7E45"/>
    <w:rsid w:val="00AC0BAF"/>
    <w:rsid w:val="00AC11BA"/>
    <w:rsid w:val="00AC14BE"/>
    <w:rsid w:val="00AC1B86"/>
    <w:rsid w:val="00AC1EBA"/>
    <w:rsid w:val="00AC1F32"/>
    <w:rsid w:val="00AC2EED"/>
    <w:rsid w:val="00AC33F5"/>
    <w:rsid w:val="00AC3C93"/>
    <w:rsid w:val="00AC3EF2"/>
    <w:rsid w:val="00AC40DE"/>
    <w:rsid w:val="00AC42EE"/>
    <w:rsid w:val="00AC4327"/>
    <w:rsid w:val="00AC4435"/>
    <w:rsid w:val="00AC4B15"/>
    <w:rsid w:val="00AC4D3D"/>
    <w:rsid w:val="00AC5744"/>
    <w:rsid w:val="00AC5DA4"/>
    <w:rsid w:val="00AC612E"/>
    <w:rsid w:val="00AC64B0"/>
    <w:rsid w:val="00AC6527"/>
    <w:rsid w:val="00AC6E89"/>
    <w:rsid w:val="00AC7E5F"/>
    <w:rsid w:val="00AC7FBB"/>
    <w:rsid w:val="00AD0045"/>
    <w:rsid w:val="00AD09F9"/>
    <w:rsid w:val="00AD0C7A"/>
    <w:rsid w:val="00AD0F05"/>
    <w:rsid w:val="00AD14F7"/>
    <w:rsid w:val="00AD1629"/>
    <w:rsid w:val="00AD23DD"/>
    <w:rsid w:val="00AD2751"/>
    <w:rsid w:val="00AD28F9"/>
    <w:rsid w:val="00AD2C7F"/>
    <w:rsid w:val="00AD2EA4"/>
    <w:rsid w:val="00AD32D8"/>
    <w:rsid w:val="00AD3CC2"/>
    <w:rsid w:val="00AD44C9"/>
    <w:rsid w:val="00AD46DE"/>
    <w:rsid w:val="00AD4E84"/>
    <w:rsid w:val="00AD5883"/>
    <w:rsid w:val="00AD5F9D"/>
    <w:rsid w:val="00AD6AC5"/>
    <w:rsid w:val="00AD6B33"/>
    <w:rsid w:val="00AD708F"/>
    <w:rsid w:val="00AD7C18"/>
    <w:rsid w:val="00AD7D03"/>
    <w:rsid w:val="00AE045E"/>
    <w:rsid w:val="00AE0514"/>
    <w:rsid w:val="00AE06D0"/>
    <w:rsid w:val="00AE07CB"/>
    <w:rsid w:val="00AE177E"/>
    <w:rsid w:val="00AE2330"/>
    <w:rsid w:val="00AE2751"/>
    <w:rsid w:val="00AE2E85"/>
    <w:rsid w:val="00AE325B"/>
    <w:rsid w:val="00AE34BF"/>
    <w:rsid w:val="00AE3BA6"/>
    <w:rsid w:val="00AE3E04"/>
    <w:rsid w:val="00AE447D"/>
    <w:rsid w:val="00AE4826"/>
    <w:rsid w:val="00AE4B4D"/>
    <w:rsid w:val="00AE5865"/>
    <w:rsid w:val="00AE5F20"/>
    <w:rsid w:val="00AE619B"/>
    <w:rsid w:val="00AE6A9E"/>
    <w:rsid w:val="00AE7000"/>
    <w:rsid w:val="00AE7160"/>
    <w:rsid w:val="00AE7505"/>
    <w:rsid w:val="00AE7F94"/>
    <w:rsid w:val="00AF010B"/>
    <w:rsid w:val="00AF030F"/>
    <w:rsid w:val="00AF0505"/>
    <w:rsid w:val="00AF08EB"/>
    <w:rsid w:val="00AF0E94"/>
    <w:rsid w:val="00AF10FD"/>
    <w:rsid w:val="00AF1CE8"/>
    <w:rsid w:val="00AF23CD"/>
    <w:rsid w:val="00AF251B"/>
    <w:rsid w:val="00AF2583"/>
    <w:rsid w:val="00AF267F"/>
    <w:rsid w:val="00AF30FB"/>
    <w:rsid w:val="00AF3745"/>
    <w:rsid w:val="00AF44F6"/>
    <w:rsid w:val="00AF450A"/>
    <w:rsid w:val="00AF52A5"/>
    <w:rsid w:val="00AF543C"/>
    <w:rsid w:val="00AF5823"/>
    <w:rsid w:val="00AF695C"/>
    <w:rsid w:val="00AF69C2"/>
    <w:rsid w:val="00AF6AF1"/>
    <w:rsid w:val="00AF6E3D"/>
    <w:rsid w:val="00AF71A7"/>
    <w:rsid w:val="00AF7643"/>
    <w:rsid w:val="00AF7647"/>
    <w:rsid w:val="00B001B5"/>
    <w:rsid w:val="00B003B2"/>
    <w:rsid w:val="00B009BC"/>
    <w:rsid w:val="00B01F36"/>
    <w:rsid w:val="00B02312"/>
    <w:rsid w:val="00B0246C"/>
    <w:rsid w:val="00B02B00"/>
    <w:rsid w:val="00B031BA"/>
    <w:rsid w:val="00B0347C"/>
    <w:rsid w:val="00B034BF"/>
    <w:rsid w:val="00B03A1B"/>
    <w:rsid w:val="00B05B19"/>
    <w:rsid w:val="00B06222"/>
    <w:rsid w:val="00B074EA"/>
    <w:rsid w:val="00B101F6"/>
    <w:rsid w:val="00B10429"/>
    <w:rsid w:val="00B1096E"/>
    <w:rsid w:val="00B10FA1"/>
    <w:rsid w:val="00B10FC6"/>
    <w:rsid w:val="00B111AF"/>
    <w:rsid w:val="00B11387"/>
    <w:rsid w:val="00B11DCA"/>
    <w:rsid w:val="00B12599"/>
    <w:rsid w:val="00B12800"/>
    <w:rsid w:val="00B12895"/>
    <w:rsid w:val="00B130B6"/>
    <w:rsid w:val="00B13655"/>
    <w:rsid w:val="00B13DA2"/>
    <w:rsid w:val="00B14CD6"/>
    <w:rsid w:val="00B14E14"/>
    <w:rsid w:val="00B14F04"/>
    <w:rsid w:val="00B15BA8"/>
    <w:rsid w:val="00B16864"/>
    <w:rsid w:val="00B178AD"/>
    <w:rsid w:val="00B17B01"/>
    <w:rsid w:val="00B21B86"/>
    <w:rsid w:val="00B220B9"/>
    <w:rsid w:val="00B22529"/>
    <w:rsid w:val="00B22BB1"/>
    <w:rsid w:val="00B232D0"/>
    <w:rsid w:val="00B23671"/>
    <w:rsid w:val="00B23BD5"/>
    <w:rsid w:val="00B24184"/>
    <w:rsid w:val="00B245A2"/>
    <w:rsid w:val="00B24F26"/>
    <w:rsid w:val="00B25239"/>
    <w:rsid w:val="00B25764"/>
    <w:rsid w:val="00B26B3F"/>
    <w:rsid w:val="00B306F9"/>
    <w:rsid w:val="00B309AF"/>
    <w:rsid w:val="00B30F16"/>
    <w:rsid w:val="00B313A8"/>
    <w:rsid w:val="00B31497"/>
    <w:rsid w:val="00B315A4"/>
    <w:rsid w:val="00B3179A"/>
    <w:rsid w:val="00B31B5F"/>
    <w:rsid w:val="00B31F1E"/>
    <w:rsid w:val="00B3243B"/>
    <w:rsid w:val="00B325F4"/>
    <w:rsid w:val="00B32845"/>
    <w:rsid w:val="00B33262"/>
    <w:rsid w:val="00B338DD"/>
    <w:rsid w:val="00B3410C"/>
    <w:rsid w:val="00B346EB"/>
    <w:rsid w:val="00B349FB"/>
    <w:rsid w:val="00B3597A"/>
    <w:rsid w:val="00B35B6C"/>
    <w:rsid w:val="00B35DC6"/>
    <w:rsid w:val="00B369BA"/>
    <w:rsid w:val="00B37188"/>
    <w:rsid w:val="00B409F8"/>
    <w:rsid w:val="00B411C7"/>
    <w:rsid w:val="00B41603"/>
    <w:rsid w:val="00B41BC3"/>
    <w:rsid w:val="00B420BD"/>
    <w:rsid w:val="00B42386"/>
    <w:rsid w:val="00B42424"/>
    <w:rsid w:val="00B42D34"/>
    <w:rsid w:val="00B42D82"/>
    <w:rsid w:val="00B42FFE"/>
    <w:rsid w:val="00B43607"/>
    <w:rsid w:val="00B43E9F"/>
    <w:rsid w:val="00B43EF4"/>
    <w:rsid w:val="00B43F0B"/>
    <w:rsid w:val="00B44083"/>
    <w:rsid w:val="00B44C2E"/>
    <w:rsid w:val="00B45D53"/>
    <w:rsid w:val="00B471E2"/>
    <w:rsid w:val="00B4723D"/>
    <w:rsid w:val="00B477D0"/>
    <w:rsid w:val="00B477ED"/>
    <w:rsid w:val="00B47AB2"/>
    <w:rsid w:val="00B47B5B"/>
    <w:rsid w:val="00B501DF"/>
    <w:rsid w:val="00B5021F"/>
    <w:rsid w:val="00B5050E"/>
    <w:rsid w:val="00B50654"/>
    <w:rsid w:val="00B5069C"/>
    <w:rsid w:val="00B50D42"/>
    <w:rsid w:val="00B51260"/>
    <w:rsid w:val="00B512B6"/>
    <w:rsid w:val="00B51640"/>
    <w:rsid w:val="00B516DE"/>
    <w:rsid w:val="00B52F37"/>
    <w:rsid w:val="00B5383C"/>
    <w:rsid w:val="00B53F16"/>
    <w:rsid w:val="00B54484"/>
    <w:rsid w:val="00B54DAF"/>
    <w:rsid w:val="00B5559F"/>
    <w:rsid w:val="00B56A89"/>
    <w:rsid w:val="00B57000"/>
    <w:rsid w:val="00B57341"/>
    <w:rsid w:val="00B57814"/>
    <w:rsid w:val="00B6023E"/>
    <w:rsid w:val="00B6043E"/>
    <w:rsid w:val="00B60521"/>
    <w:rsid w:val="00B60526"/>
    <w:rsid w:val="00B60B47"/>
    <w:rsid w:val="00B60CF4"/>
    <w:rsid w:val="00B612A1"/>
    <w:rsid w:val="00B623E9"/>
    <w:rsid w:val="00B62781"/>
    <w:rsid w:val="00B62844"/>
    <w:rsid w:val="00B6325A"/>
    <w:rsid w:val="00B64144"/>
    <w:rsid w:val="00B64DC5"/>
    <w:rsid w:val="00B6529C"/>
    <w:rsid w:val="00B655B4"/>
    <w:rsid w:val="00B66257"/>
    <w:rsid w:val="00B6634B"/>
    <w:rsid w:val="00B6718E"/>
    <w:rsid w:val="00B67B72"/>
    <w:rsid w:val="00B67B90"/>
    <w:rsid w:val="00B70456"/>
    <w:rsid w:val="00B70854"/>
    <w:rsid w:val="00B71018"/>
    <w:rsid w:val="00B711A6"/>
    <w:rsid w:val="00B7185D"/>
    <w:rsid w:val="00B7202F"/>
    <w:rsid w:val="00B72051"/>
    <w:rsid w:val="00B723F4"/>
    <w:rsid w:val="00B72984"/>
    <w:rsid w:val="00B72D9D"/>
    <w:rsid w:val="00B72F21"/>
    <w:rsid w:val="00B7367F"/>
    <w:rsid w:val="00B7385E"/>
    <w:rsid w:val="00B74653"/>
    <w:rsid w:val="00B74917"/>
    <w:rsid w:val="00B74B68"/>
    <w:rsid w:val="00B74C2F"/>
    <w:rsid w:val="00B756E5"/>
    <w:rsid w:val="00B75761"/>
    <w:rsid w:val="00B75F95"/>
    <w:rsid w:val="00B76117"/>
    <w:rsid w:val="00B76D22"/>
    <w:rsid w:val="00B76E92"/>
    <w:rsid w:val="00B7728D"/>
    <w:rsid w:val="00B772EB"/>
    <w:rsid w:val="00B77654"/>
    <w:rsid w:val="00B7796F"/>
    <w:rsid w:val="00B77A4C"/>
    <w:rsid w:val="00B80491"/>
    <w:rsid w:val="00B807FA"/>
    <w:rsid w:val="00B80CA0"/>
    <w:rsid w:val="00B80DF9"/>
    <w:rsid w:val="00B813EA"/>
    <w:rsid w:val="00B81D9F"/>
    <w:rsid w:val="00B81E8C"/>
    <w:rsid w:val="00B8226F"/>
    <w:rsid w:val="00B82944"/>
    <w:rsid w:val="00B8323F"/>
    <w:rsid w:val="00B844B1"/>
    <w:rsid w:val="00B845A7"/>
    <w:rsid w:val="00B848BB"/>
    <w:rsid w:val="00B85908"/>
    <w:rsid w:val="00B85BB3"/>
    <w:rsid w:val="00B86B36"/>
    <w:rsid w:val="00B875DD"/>
    <w:rsid w:val="00B8773D"/>
    <w:rsid w:val="00B87778"/>
    <w:rsid w:val="00B87DB3"/>
    <w:rsid w:val="00B90F5E"/>
    <w:rsid w:val="00B91098"/>
    <w:rsid w:val="00B9141E"/>
    <w:rsid w:val="00B91E94"/>
    <w:rsid w:val="00B92048"/>
    <w:rsid w:val="00B926B9"/>
    <w:rsid w:val="00B92A79"/>
    <w:rsid w:val="00B92D30"/>
    <w:rsid w:val="00B9368E"/>
    <w:rsid w:val="00B93D40"/>
    <w:rsid w:val="00B94354"/>
    <w:rsid w:val="00B94A82"/>
    <w:rsid w:val="00B94FF2"/>
    <w:rsid w:val="00B95655"/>
    <w:rsid w:val="00B957C7"/>
    <w:rsid w:val="00B965EC"/>
    <w:rsid w:val="00B9683F"/>
    <w:rsid w:val="00B97162"/>
    <w:rsid w:val="00B9732B"/>
    <w:rsid w:val="00B976A7"/>
    <w:rsid w:val="00BA098B"/>
    <w:rsid w:val="00BA0FEE"/>
    <w:rsid w:val="00BA102D"/>
    <w:rsid w:val="00BA17E7"/>
    <w:rsid w:val="00BA1C62"/>
    <w:rsid w:val="00BA1DD1"/>
    <w:rsid w:val="00BA1F48"/>
    <w:rsid w:val="00BA2067"/>
    <w:rsid w:val="00BA25AD"/>
    <w:rsid w:val="00BA29D2"/>
    <w:rsid w:val="00BA2F30"/>
    <w:rsid w:val="00BA408A"/>
    <w:rsid w:val="00BA414E"/>
    <w:rsid w:val="00BA4458"/>
    <w:rsid w:val="00BA44AA"/>
    <w:rsid w:val="00BA4C96"/>
    <w:rsid w:val="00BA5671"/>
    <w:rsid w:val="00BA5A66"/>
    <w:rsid w:val="00BA5F01"/>
    <w:rsid w:val="00BA61A2"/>
    <w:rsid w:val="00BA69A7"/>
    <w:rsid w:val="00BA752B"/>
    <w:rsid w:val="00BA7761"/>
    <w:rsid w:val="00BA79E4"/>
    <w:rsid w:val="00BA7B25"/>
    <w:rsid w:val="00BA7C2E"/>
    <w:rsid w:val="00BA7D67"/>
    <w:rsid w:val="00BA7FE3"/>
    <w:rsid w:val="00BB0150"/>
    <w:rsid w:val="00BB0230"/>
    <w:rsid w:val="00BB098D"/>
    <w:rsid w:val="00BB1CA1"/>
    <w:rsid w:val="00BB29A4"/>
    <w:rsid w:val="00BB2B09"/>
    <w:rsid w:val="00BB2D30"/>
    <w:rsid w:val="00BB30CB"/>
    <w:rsid w:val="00BB30F3"/>
    <w:rsid w:val="00BB3D47"/>
    <w:rsid w:val="00BB3EF5"/>
    <w:rsid w:val="00BB41B2"/>
    <w:rsid w:val="00BB4645"/>
    <w:rsid w:val="00BB46A5"/>
    <w:rsid w:val="00BB47A2"/>
    <w:rsid w:val="00BB47E1"/>
    <w:rsid w:val="00BB6560"/>
    <w:rsid w:val="00BB68EA"/>
    <w:rsid w:val="00BB7440"/>
    <w:rsid w:val="00BC01A7"/>
    <w:rsid w:val="00BC0CD4"/>
    <w:rsid w:val="00BC14A5"/>
    <w:rsid w:val="00BC1632"/>
    <w:rsid w:val="00BC1710"/>
    <w:rsid w:val="00BC178F"/>
    <w:rsid w:val="00BC1F8E"/>
    <w:rsid w:val="00BC224D"/>
    <w:rsid w:val="00BC23C9"/>
    <w:rsid w:val="00BC25E1"/>
    <w:rsid w:val="00BC2A1F"/>
    <w:rsid w:val="00BC2BCA"/>
    <w:rsid w:val="00BC2C5E"/>
    <w:rsid w:val="00BC3642"/>
    <w:rsid w:val="00BC4028"/>
    <w:rsid w:val="00BC46DD"/>
    <w:rsid w:val="00BC5347"/>
    <w:rsid w:val="00BC565F"/>
    <w:rsid w:val="00BC5663"/>
    <w:rsid w:val="00BC577A"/>
    <w:rsid w:val="00BC578A"/>
    <w:rsid w:val="00BC5ADD"/>
    <w:rsid w:val="00BC5BB9"/>
    <w:rsid w:val="00BC5DE0"/>
    <w:rsid w:val="00BC6115"/>
    <w:rsid w:val="00BC660B"/>
    <w:rsid w:val="00BC6FBC"/>
    <w:rsid w:val="00BC771F"/>
    <w:rsid w:val="00BD02C2"/>
    <w:rsid w:val="00BD08FC"/>
    <w:rsid w:val="00BD0F13"/>
    <w:rsid w:val="00BD0F9E"/>
    <w:rsid w:val="00BD1109"/>
    <w:rsid w:val="00BD13AB"/>
    <w:rsid w:val="00BD245E"/>
    <w:rsid w:val="00BD2510"/>
    <w:rsid w:val="00BD3576"/>
    <w:rsid w:val="00BD3728"/>
    <w:rsid w:val="00BD3D5E"/>
    <w:rsid w:val="00BD40E0"/>
    <w:rsid w:val="00BD4C9D"/>
    <w:rsid w:val="00BD5A7A"/>
    <w:rsid w:val="00BD6416"/>
    <w:rsid w:val="00BD69F5"/>
    <w:rsid w:val="00BD6DB8"/>
    <w:rsid w:val="00BD710B"/>
    <w:rsid w:val="00BD711B"/>
    <w:rsid w:val="00BD7910"/>
    <w:rsid w:val="00BD7CF1"/>
    <w:rsid w:val="00BD7E3E"/>
    <w:rsid w:val="00BE07F4"/>
    <w:rsid w:val="00BE0CD5"/>
    <w:rsid w:val="00BE0F82"/>
    <w:rsid w:val="00BE1413"/>
    <w:rsid w:val="00BE1FD6"/>
    <w:rsid w:val="00BE2063"/>
    <w:rsid w:val="00BE21B0"/>
    <w:rsid w:val="00BE2784"/>
    <w:rsid w:val="00BE2E67"/>
    <w:rsid w:val="00BE34E2"/>
    <w:rsid w:val="00BE352C"/>
    <w:rsid w:val="00BE3BD4"/>
    <w:rsid w:val="00BE493C"/>
    <w:rsid w:val="00BE4EA0"/>
    <w:rsid w:val="00BE56F0"/>
    <w:rsid w:val="00BE5925"/>
    <w:rsid w:val="00BE5C51"/>
    <w:rsid w:val="00BE5DC7"/>
    <w:rsid w:val="00BE631A"/>
    <w:rsid w:val="00BE6A03"/>
    <w:rsid w:val="00BF0842"/>
    <w:rsid w:val="00BF0A91"/>
    <w:rsid w:val="00BF1099"/>
    <w:rsid w:val="00BF11DA"/>
    <w:rsid w:val="00BF181C"/>
    <w:rsid w:val="00BF189E"/>
    <w:rsid w:val="00BF1A55"/>
    <w:rsid w:val="00BF1B56"/>
    <w:rsid w:val="00BF1E65"/>
    <w:rsid w:val="00BF1EB1"/>
    <w:rsid w:val="00BF261D"/>
    <w:rsid w:val="00BF3B43"/>
    <w:rsid w:val="00BF3CAB"/>
    <w:rsid w:val="00BF4451"/>
    <w:rsid w:val="00BF4DEF"/>
    <w:rsid w:val="00BF5705"/>
    <w:rsid w:val="00BF5BC0"/>
    <w:rsid w:val="00BF6857"/>
    <w:rsid w:val="00BF776C"/>
    <w:rsid w:val="00BF78D8"/>
    <w:rsid w:val="00BF7913"/>
    <w:rsid w:val="00BF7956"/>
    <w:rsid w:val="00BF7EE9"/>
    <w:rsid w:val="00BF7F1F"/>
    <w:rsid w:val="00C00692"/>
    <w:rsid w:val="00C012CE"/>
    <w:rsid w:val="00C019F7"/>
    <w:rsid w:val="00C01FBE"/>
    <w:rsid w:val="00C0258B"/>
    <w:rsid w:val="00C029DD"/>
    <w:rsid w:val="00C02F17"/>
    <w:rsid w:val="00C039E8"/>
    <w:rsid w:val="00C03A17"/>
    <w:rsid w:val="00C0467E"/>
    <w:rsid w:val="00C057D5"/>
    <w:rsid w:val="00C05B1D"/>
    <w:rsid w:val="00C06B1F"/>
    <w:rsid w:val="00C07969"/>
    <w:rsid w:val="00C10340"/>
    <w:rsid w:val="00C10379"/>
    <w:rsid w:val="00C103C8"/>
    <w:rsid w:val="00C10897"/>
    <w:rsid w:val="00C108C6"/>
    <w:rsid w:val="00C10E0B"/>
    <w:rsid w:val="00C1113A"/>
    <w:rsid w:val="00C1116B"/>
    <w:rsid w:val="00C111CE"/>
    <w:rsid w:val="00C12219"/>
    <w:rsid w:val="00C12289"/>
    <w:rsid w:val="00C123B7"/>
    <w:rsid w:val="00C12815"/>
    <w:rsid w:val="00C133AD"/>
    <w:rsid w:val="00C13932"/>
    <w:rsid w:val="00C142C0"/>
    <w:rsid w:val="00C14A7D"/>
    <w:rsid w:val="00C14E13"/>
    <w:rsid w:val="00C15597"/>
    <w:rsid w:val="00C159C5"/>
    <w:rsid w:val="00C15B76"/>
    <w:rsid w:val="00C15CF2"/>
    <w:rsid w:val="00C1615E"/>
    <w:rsid w:val="00C171D2"/>
    <w:rsid w:val="00C1723F"/>
    <w:rsid w:val="00C203EF"/>
    <w:rsid w:val="00C20A00"/>
    <w:rsid w:val="00C213FA"/>
    <w:rsid w:val="00C21C2C"/>
    <w:rsid w:val="00C21C3D"/>
    <w:rsid w:val="00C22330"/>
    <w:rsid w:val="00C224A7"/>
    <w:rsid w:val="00C22580"/>
    <w:rsid w:val="00C22929"/>
    <w:rsid w:val="00C22B2F"/>
    <w:rsid w:val="00C231B4"/>
    <w:rsid w:val="00C23348"/>
    <w:rsid w:val="00C23826"/>
    <w:rsid w:val="00C23EE2"/>
    <w:rsid w:val="00C24A6B"/>
    <w:rsid w:val="00C2531B"/>
    <w:rsid w:val="00C257DA"/>
    <w:rsid w:val="00C262CF"/>
    <w:rsid w:val="00C263AB"/>
    <w:rsid w:val="00C266CB"/>
    <w:rsid w:val="00C26702"/>
    <w:rsid w:val="00C2765B"/>
    <w:rsid w:val="00C300CC"/>
    <w:rsid w:val="00C304A5"/>
    <w:rsid w:val="00C307E5"/>
    <w:rsid w:val="00C3218C"/>
    <w:rsid w:val="00C3225D"/>
    <w:rsid w:val="00C3243D"/>
    <w:rsid w:val="00C325AB"/>
    <w:rsid w:val="00C32D6F"/>
    <w:rsid w:val="00C331C3"/>
    <w:rsid w:val="00C331FB"/>
    <w:rsid w:val="00C33392"/>
    <w:rsid w:val="00C33CBE"/>
    <w:rsid w:val="00C34087"/>
    <w:rsid w:val="00C343ED"/>
    <w:rsid w:val="00C346D7"/>
    <w:rsid w:val="00C34736"/>
    <w:rsid w:val="00C34767"/>
    <w:rsid w:val="00C34FE0"/>
    <w:rsid w:val="00C350DA"/>
    <w:rsid w:val="00C35364"/>
    <w:rsid w:val="00C355FC"/>
    <w:rsid w:val="00C36855"/>
    <w:rsid w:val="00C36BE1"/>
    <w:rsid w:val="00C36C3F"/>
    <w:rsid w:val="00C37BBC"/>
    <w:rsid w:val="00C40170"/>
    <w:rsid w:val="00C40247"/>
    <w:rsid w:val="00C40DBF"/>
    <w:rsid w:val="00C4139A"/>
    <w:rsid w:val="00C4183A"/>
    <w:rsid w:val="00C419C5"/>
    <w:rsid w:val="00C41F6B"/>
    <w:rsid w:val="00C421B1"/>
    <w:rsid w:val="00C42890"/>
    <w:rsid w:val="00C42B69"/>
    <w:rsid w:val="00C42F35"/>
    <w:rsid w:val="00C4308D"/>
    <w:rsid w:val="00C432C3"/>
    <w:rsid w:val="00C4382A"/>
    <w:rsid w:val="00C43957"/>
    <w:rsid w:val="00C43CA8"/>
    <w:rsid w:val="00C443B3"/>
    <w:rsid w:val="00C4465B"/>
    <w:rsid w:val="00C44B01"/>
    <w:rsid w:val="00C44E8F"/>
    <w:rsid w:val="00C45569"/>
    <w:rsid w:val="00C45922"/>
    <w:rsid w:val="00C479C3"/>
    <w:rsid w:val="00C47DCE"/>
    <w:rsid w:val="00C47E3E"/>
    <w:rsid w:val="00C47FE9"/>
    <w:rsid w:val="00C506FE"/>
    <w:rsid w:val="00C50C2E"/>
    <w:rsid w:val="00C51238"/>
    <w:rsid w:val="00C5132A"/>
    <w:rsid w:val="00C513F0"/>
    <w:rsid w:val="00C51735"/>
    <w:rsid w:val="00C528C1"/>
    <w:rsid w:val="00C52B9E"/>
    <w:rsid w:val="00C52DEA"/>
    <w:rsid w:val="00C54260"/>
    <w:rsid w:val="00C54580"/>
    <w:rsid w:val="00C54CA7"/>
    <w:rsid w:val="00C55CE9"/>
    <w:rsid w:val="00C55E12"/>
    <w:rsid w:val="00C57037"/>
    <w:rsid w:val="00C575F8"/>
    <w:rsid w:val="00C57612"/>
    <w:rsid w:val="00C579D9"/>
    <w:rsid w:val="00C57C62"/>
    <w:rsid w:val="00C6049A"/>
    <w:rsid w:val="00C60B83"/>
    <w:rsid w:val="00C61123"/>
    <w:rsid w:val="00C61312"/>
    <w:rsid w:val="00C613CC"/>
    <w:rsid w:val="00C61473"/>
    <w:rsid w:val="00C61A7E"/>
    <w:rsid w:val="00C61AF0"/>
    <w:rsid w:val="00C61E66"/>
    <w:rsid w:val="00C61F93"/>
    <w:rsid w:val="00C62040"/>
    <w:rsid w:val="00C621DD"/>
    <w:rsid w:val="00C6250E"/>
    <w:rsid w:val="00C62C3E"/>
    <w:rsid w:val="00C632F6"/>
    <w:rsid w:val="00C63370"/>
    <w:rsid w:val="00C64321"/>
    <w:rsid w:val="00C64736"/>
    <w:rsid w:val="00C64AA5"/>
    <w:rsid w:val="00C64B92"/>
    <w:rsid w:val="00C64BCE"/>
    <w:rsid w:val="00C65C3A"/>
    <w:rsid w:val="00C65F9A"/>
    <w:rsid w:val="00C661F4"/>
    <w:rsid w:val="00C6629C"/>
    <w:rsid w:val="00C66459"/>
    <w:rsid w:val="00C6714E"/>
    <w:rsid w:val="00C67C62"/>
    <w:rsid w:val="00C67EEC"/>
    <w:rsid w:val="00C726AB"/>
    <w:rsid w:val="00C726FA"/>
    <w:rsid w:val="00C72B39"/>
    <w:rsid w:val="00C73AC4"/>
    <w:rsid w:val="00C73C47"/>
    <w:rsid w:val="00C747AA"/>
    <w:rsid w:val="00C74F7E"/>
    <w:rsid w:val="00C7523B"/>
    <w:rsid w:val="00C752B0"/>
    <w:rsid w:val="00C7538A"/>
    <w:rsid w:val="00C756C5"/>
    <w:rsid w:val="00C756D7"/>
    <w:rsid w:val="00C768BE"/>
    <w:rsid w:val="00C76A36"/>
    <w:rsid w:val="00C76B62"/>
    <w:rsid w:val="00C771CB"/>
    <w:rsid w:val="00C77C3A"/>
    <w:rsid w:val="00C80058"/>
    <w:rsid w:val="00C81887"/>
    <w:rsid w:val="00C81989"/>
    <w:rsid w:val="00C81E49"/>
    <w:rsid w:val="00C81EA1"/>
    <w:rsid w:val="00C824B8"/>
    <w:rsid w:val="00C82E6F"/>
    <w:rsid w:val="00C83A08"/>
    <w:rsid w:val="00C841F9"/>
    <w:rsid w:val="00C84774"/>
    <w:rsid w:val="00C847DB"/>
    <w:rsid w:val="00C84BEC"/>
    <w:rsid w:val="00C85AAA"/>
    <w:rsid w:val="00C85BCD"/>
    <w:rsid w:val="00C85D69"/>
    <w:rsid w:val="00C85DC0"/>
    <w:rsid w:val="00C85FBA"/>
    <w:rsid w:val="00C86A85"/>
    <w:rsid w:val="00C86D37"/>
    <w:rsid w:val="00C87DBA"/>
    <w:rsid w:val="00C906A3"/>
    <w:rsid w:val="00C90DF1"/>
    <w:rsid w:val="00C90F5D"/>
    <w:rsid w:val="00C91272"/>
    <w:rsid w:val="00C914F3"/>
    <w:rsid w:val="00C91B82"/>
    <w:rsid w:val="00C91CAA"/>
    <w:rsid w:val="00C9237C"/>
    <w:rsid w:val="00C92436"/>
    <w:rsid w:val="00C927DF"/>
    <w:rsid w:val="00C93A55"/>
    <w:rsid w:val="00C93A80"/>
    <w:rsid w:val="00C93D62"/>
    <w:rsid w:val="00C93D81"/>
    <w:rsid w:val="00C93E7F"/>
    <w:rsid w:val="00C93EA5"/>
    <w:rsid w:val="00C93FE8"/>
    <w:rsid w:val="00C9459D"/>
    <w:rsid w:val="00C94756"/>
    <w:rsid w:val="00C94A0E"/>
    <w:rsid w:val="00C953DA"/>
    <w:rsid w:val="00C95FBB"/>
    <w:rsid w:val="00C96330"/>
    <w:rsid w:val="00C96789"/>
    <w:rsid w:val="00C9678C"/>
    <w:rsid w:val="00C97340"/>
    <w:rsid w:val="00C973A3"/>
    <w:rsid w:val="00C97478"/>
    <w:rsid w:val="00C9782D"/>
    <w:rsid w:val="00CA00ED"/>
    <w:rsid w:val="00CA1193"/>
    <w:rsid w:val="00CA220F"/>
    <w:rsid w:val="00CA2815"/>
    <w:rsid w:val="00CA2C56"/>
    <w:rsid w:val="00CA4039"/>
    <w:rsid w:val="00CA51A7"/>
    <w:rsid w:val="00CA521A"/>
    <w:rsid w:val="00CA52A1"/>
    <w:rsid w:val="00CA5B65"/>
    <w:rsid w:val="00CA6203"/>
    <w:rsid w:val="00CA6E5F"/>
    <w:rsid w:val="00CA7E69"/>
    <w:rsid w:val="00CA7F13"/>
    <w:rsid w:val="00CB0232"/>
    <w:rsid w:val="00CB0915"/>
    <w:rsid w:val="00CB136D"/>
    <w:rsid w:val="00CB1706"/>
    <w:rsid w:val="00CB187C"/>
    <w:rsid w:val="00CB1A0A"/>
    <w:rsid w:val="00CB1D3A"/>
    <w:rsid w:val="00CB2798"/>
    <w:rsid w:val="00CB2C68"/>
    <w:rsid w:val="00CB3B39"/>
    <w:rsid w:val="00CB4461"/>
    <w:rsid w:val="00CB4534"/>
    <w:rsid w:val="00CB4CD4"/>
    <w:rsid w:val="00CB4DC2"/>
    <w:rsid w:val="00CB567B"/>
    <w:rsid w:val="00CB582C"/>
    <w:rsid w:val="00CB5E0E"/>
    <w:rsid w:val="00CB5E92"/>
    <w:rsid w:val="00CB5ED2"/>
    <w:rsid w:val="00CB645D"/>
    <w:rsid w:val="00CB6C00"/>
    <w:rsid w:val="00CB6E61"/>
    <w:rsid w:val="00CB7075"/>
    <w:rsid w:val="00CB707B"/>
    <w:rsid w:val="00CB77F3"/>
    <w:rsid w:val="00CB7EA5"/>
    <w:rsid w:val="00CC06C0"/>
    <w:rsid w:val="00CC0931"/>
    <w:rsid w:val="00CC0C87"/>
    <w:rsid w:val="00CC0C8E"/>
    <w:rsid w:val="00CC0F4F"/>
    <w:rsid w:val="00CC12F4"/>
    <w:rsid w:val="00CC1868"/>
    <w:rsid w:val="00CC1C3D"/>
    <w:rsid w:val="00CC1D9B"/>
    <w:rsid w:val="00CC2019"/>
    <w:rsid w:val="00CC2874"/>
    <w:rsid w:val="00CC287F"/>
    <w:rsid w:val="00CC29E6"/>
    <w:rsid w:val="00CC3065"/>
    <w:rsid w:val="00CC331D"/>
    <w:rsid w:val="00CC34EB"/>
    <w:rsid w:val="00CC35E7"/>
    <w:rsid w:val="00CC37B9"/>
    <w:rsid w:val="00CC3DCB"/>
    <w:rsid w:val="00CC3DDE"/>
    <w:rsid w:val="00CC481A"/>
    <w:rsid w:val="00CC53C0"/>
    <w:rsid w:val="00CC625A"/>
    <w:rsid w:val="00CC6E62"/>
    <w:rsid w:val="00CC6FFB"/>
    <w:rsid w:val="00CD0D48"/>
    <w:rsid w:val="00CD0D71"/>
    <w:rsid w:val="00CD1538"/>
    <w:rsid w:val="00CD1731"/>
    <w:rsid w:val="00CD1A0D"/>
    <w:rsid w:val="00CD1EA5"/>
    <w:rsid w:val="00CD2201"/>
    <w:rsid w:val="00CD253A"/>
    <w:rsid w:val="00CD288F"/>
    <w:rsid w:val="00CD411F"/>
    <w:rsid w:val="00CD42A0"/>
    <w:rsid w:val="00CD4BEB"/>
    <w:rsid w:val="00CD4EEE"/>
    <w:rsid w:val="00CD56BF"/>
    <w:rsid w:val="00CD6035"/>
    <w:rsid w:val="00CD67B6"/>
    <w:rsid w:val="00CD695A"/>
    <w:rsid w:val="00CD6F66"/>
    <w:rsid w:val="00CD7455"/>
    <w:rsid w:val="00CD7478"/>
    <w:rsid w:val="00CD7C05"/>
    <w:rsid w:val="00CE072B"/>
    <w:rsid w:val="00CE082B"/>
    <w:rsid w:val="00CE12B4"/>
    <w:rsid w:val="00CE1495"/>
    <w:rsid w:val="00CE26BC"/>
    <w:rsid w:val="00CE2C4F"/>
    <w:rsid w:val="00CE2C9D"/>
    <w:rsid w:val="00CE2DDE"/>
    <w:rsid w:val="00CE2E92"/>
    <w:rsid w:val="00CE3146"/>
    <w:rsid w:val="00CE43ED"/>
    <w:rsid w:val="00CE47F0"/>
    <w:rsid w:val="00CE4B19"/>
    <w:rsid w:val="00CE5062"/>
    <w:rsid w:val="00CE50A0"/>
    <w:rsid w:val="00CE51D5"/>
    <w:rsid w:val="00CE5957"/>
    <w:rsid w:val="00CE6163"/>
    <w:rsid w:val="00CE7475"/>
    <w:rsid w:val="00CE7A53"/>
    <w:rsid w:val="00CE7F49"/>
    <w:rsid w:val="00CF0809"/>
    <w:rsid w:val="00CF0F76"/>
    <w:rsid w:val="00CF139C"/>
    <w:rsid w:val="00CF18F2"/>
    <w:rsid w:val="00CF1F04"/>
    <w:rsid w:val="00CF21D8"/>
    <w:rsid w:val="00CF3046"/>
    <w:rsid w:val="00CF3136"/>
    <w:rsid w:val="00CF3580"/>
    <w:rsid w:val="00CF3EC6"/>
    <w:rsid w:val="00CF4F49"/>
    <w:rsid w:val="00CF5510"/>
    <w:rsid w:val="00CF612C"/>
    <w:rsid w:val="00CF68DF"/>
    <w:rsid w:val="00CF6DFB"/>
    <w:rsid w:val="00CF77CD"/>
    <w:rsid w:val="00CF7820"/>
    <w:rsid w:val="00CF7860"/>
    <w:rsid w:val="00D004C4"/>
    <w:rsid w:val="00D00B04"/>
    <w:rsid w:val="00D01143"/>
    <w:rsid w:val="00D019E0"/>
    <w:rsid w:val="00D01A4F"/>
    <w:rsid w:val="00D01BD1"/>
    <w:rsid w:val="00D025C5"/>
    <w:rsid w:val="00D027B4"/>
    <w:rsid w:val="00D02A39"/>
    <w:rsid w:val="00D02E72"/>
    <w:rsid w:val="00D02E8E"/>
    <w:rsid w:val="00D030D8"/>
    <w:rsid w:val="00D03324"/>
    <w:rsid w:val="00D050EE"/>
    <w:rsid w:val="00D052B3"/>
    <w:rsid w:val="00D055C3"/>
    <w:rsid w:val="00D056CE"/>
    <w:rsid w:val="00D05C39"/>
    <w:rsid w:val="00D0727E"/>
    <w:rsid w:val="00D07533"/>
    <w:rsid w:val="00D07585"/>
    <w:rsid w:val="00D07ABE"/>
    <w:rsid w:val="00D07E95"/>
    <w:rsid w:val="00D101BE"/>
    <w:rsid w:val="00D10848"/>
    <w:rsid w:val="00D10F0A"/>
    <w:rsid w:val="00D10F87"/>
    <w:rsid w:val="00D111CC"/>
    <w:rsid w:val="00D1151A"/>
    <w:rsid w:val="00D11E2E"/>
    <w:rsid w:val="00D12AFB"/>
    <w:rsid w:val="00D13EC5"/>
    <w:rsid w:val="00D14102"/>
    <w:rsid w:val="00D14173"/>
    <w:rsid w:val="00D144A3"/>
    <w:rsid w:val="00D1476C"/>
    <w:rsid w:val="00D1478D"/>
    <w:rsid w:val="00D14DC8"/>
    <w:rsid w:val="00D1564D"/>
    <w:rsid w:val="00D156BF"/>
    <w:rsid w:val="00D16B89"/>
    <w:rsid w:val="00D17520"/>
    <w:rsid w:val="00D2033A"/>
    <w:rsid w:val="00D208CF"/>
    <w:rsid w:val="00D20E58"/>
    <w:rsid w:val="00D211FE"/>
    <w:rsid w:val="00D21903"/>
    <w:rsid w:val="00D22190"/>
    <w:rsid w:val="00D221FA"/>
    <w:rsid w:val="00D224F5"/>
    <w:rsid w:val="00D2293B"/>
    <w:rsid w:val="00D2296E"/>
    <w:rsid w:val="00D22996"/>
    <w:rsid w:val="00D22CC1"/>
    <w:rsid w:val="00D22FC2"/>
    <w:rsid w:val="00D23B73"/>
    <w:rsid w:val="00D23C31"/>
    <w:rsid w:val="00D24505"/>
    <w:rsid w:val="00D24A91"/>
    <w:rsid w:val="00D24F26"/>
    <w:rsid w:val="00D25162"/>
    <w:rsid w:val="00D253CC"/>
    <w:rsid w:val="00D26D95"/>
    <w:rsid w:val="00D26DE8"/>
    <w:rsid w:val="00D27366"/>
    <w:rsid w:val="00D30108"/>
    <w:rsid w:val="00D30D5D"/>
    <w:rsid w:val="00D30F7E"/>
    <w:rsid w:val="00D31176"/>
    <w:rsid w:val="00D3120B"/>
    <w:rsid w:val="00D3196C"/>
    <w:rsid w:val="00D31D18"/>
    <w:rsid w:val="00D31E33"/>
    <w:rsid w:val="00D31E9F"/>
    <w:rsid w:val="00D31F72"/>
    <w:rsid w:val="00D32EC2"/>
    <w:rsid w:val="00D33772"/>
    <w:rsid w:val="00D33819"/>
    <w:rsid w:val="00D33AB8"/>
    <w:rsid w:val="00D33CEC"/>
    <w:rsid w:val="00D33F4E"/>
    <w:rsid w:val="00D342DC"/>
    <w:rsid w:val="00D344B2"/>
    <w:rsid w:val="00D34995"/>
    <w:rsid w:val="00D360CC"/>
    <w:rsid w:val="00D365FC"/>
    <w:rsid w:val="00D36C5F"/>
    <w:rsid w:val="00D36DCE"/>
    <w:rsid w:val="00D36F00"/>
    <w:rsid w:val="00D37074"/>
    <w:rsid w:val="00D37279"/>
    <w:rsid w:val="00D373E2"/>
    <w:rsid w:val="00D37974"/>
    <w:rsid w:val="00D37ABF"/>
    <w:rsid w:val="00D37B97"/>
    <w:rsid w:val="00D37D7A"/>
    <w:rsid w:val="00D4054B"/>
    <w:rsid w:val="00D41123"/>
    <w:rsid w:val="00D41A50"/>
    <w:rsid w:val="00D41D0B"/>
    <w:rsid w:val="00D4268A"/>
    <w:rsid w:val="00D42787"/>
    <w:rsid w:val="00D42A8A"/>
    <w:rsid w:val="00D42FAF"/>
    <w:rsid w:val="00D43134"/>
    <w:rsid w:val="00D433EA"/>
    <w:rsid w:val="00D4366D"/>
    <w:rsid w:val="00D437CC"/>
    <w:rsid w:val="00D4460F"/>
    <w:rsid w:val="00D446AC"/>
    <w:rsid w:val="00D446E8"/>
    <w:rsid w:val="00D44C83"/>
    <w:rsid w:val="00D44FCE"/>
    <w:rsid w:val="00D45143"/>
    <w:rsid w:val="00D45261"/>
    <w:rsid w:val="00D45273"/>
    <w:rsid w:val="00D454CD"/>
    <w:rsid w:val="00D456AF"/>
    <w:rsid w:val="00D457D0"/>
    <w:rsid w:val="00D457DC"/>
    <w:rsid w:val="00D46E2C"/>
    <w:rsid w:val="00D4761C"/>
    <w:rsid w:val="00D47BA4"/>
    <w:rsid w:val="00D50210"/>
    <w:rsid w:val="00D50D71"/>
    <w:rsid w:val="00D50FAB"/>
    <w:rsid w:val="00D50FC9"/>
    <w:rsid w:val="00D50FFC"/>
    <w:rsid w:val="00D51244"/>
    <w:rsid w:val="00D51987"/>
    <w:rsid w:val="00D51988"/>
    <w:rsid w:val="00D51BA5"/>
    <w:rsid w:val="00D52432"/>
    <w:rsid w:val="00D52AC3"/>
    <w:rsid w:val="00D52AE7"/>
    <w:rsid w:val="00D52C21"/>
    <w:rsid w:val="00D52E20"/>
    <w:rsid w:val="00D53477"/>
    <w:rsid w:val="00D53517"/>
    <w:rsid w:val="00D53574"/>
    <w:rsid w:val="00D536E0"/>
    <w:rsid w:val="00D53A17"/>
    <w:rsid w:val="00D53A2B"/>
    <w:rsid w:val="00D54084"/>
    <w:rsid w:val="00D541A1"/>
    <w:rsid w:val="00D545D1"/>
    <w:rsid w:val="00D54686"/>
    <w:rsid w:val="00D54744"/>
    <w:rsid w:val="00D54932"/>
    <w:rsid w:val="00D55884"/>
    <w:rsid w:val="00D55BC5"/>
    <w:rsid w:val="00D56331"/>
    <w:rsid w:val="00D56A73"/>
    <w:rsid w:val="00D56DF3"/>
    <w:rsid w:val="00D5743F"/>
    <w:rsid w:val="00D5760B"/>
    <w:rsid w:val="00D60071"/>
    <w:rsid w:val="00D60101"/>
    <w:rsid w:val="00D60586"/>
    <w:rsid w:val="00D60CF4"/>
    <w:rsid w:val="00D615C7"/>
    <w:rsid w:val="00D618F4"/>
    <w:rsid w:val="00D622DB"/>
    <w:rsid w:val="00D62329"/>
    <w:rsid w:val="00D6264E"/>
    <w:rsid w:val="00D62DF0"/>
    <w:rsid w:val="00D63019"/>
    <w:rsid w:val="00D63087"/>
    <w:rsid w:val="00D63302"/>
    <w:rsid w:val="00D647C1"/>
    <w:rsid w:val="00D647DE"/>
    <w:rsid w:val="00D64BBE"/>
    <w:rsid w:val="00D64C24"/>
    <w:rsid w:val="00D6575D"/>
    <w:rsid w:val="00D65A1D"/>
    <w:rsid w:val="00D65EA3"/>
    <w:rsid w:val="00D65FD4"/>
    <w:rsid w:val="00D66453"/>
    <w:rsid w:val="00D6648D"/>
    <w:rsid w:val="00D669B6"/>
    <w:rsid w:val="00D670AE"/>
    <w:rsid w:val="00D671D0"/>
    <w:rsid w:val="00D674A1"/>
    <w:rsid w:val="00D70107"/>
    <w:rsid w:val="00D70207"/>
    <w:rsid w:val="00D70905"/>
    <w:rsid w:val="00D70BBC"/>
    <w:rsid w:val="00D7189D"/>
    <w:rsid w:val="00D720DC"/>
    <w:rsid w:val="00D72495"/>
    <w:rsid w:val="00D72F56"/>
    <w:rsid w:val="00D7351C"/>
    <w:rsid w:val="00D736A9"/>
    <w:rsid w:val="00D737EF"/>
    <w:rsid w:val="00D73F5E"/>
    <w:rsid w:val="00D73FF7"/>
    <w:rsid w:val="00D74118"/>
    <w:rsid w:val="00D74271"/>
    <w:rsid w:val="00D747B9"/>
    <w:rsid w:val="00D754F3"/>
    <w:rsid w:val="00D754FA"/>
    <w:rsid w:val="00D759BB"/>
    <w:rsid w:val="00D766C3"/>
    <w:rsid w:val="00D76B54"/>
    <w:rsid w:val="00D76FFC"/>
    <w:rsid w:val="00D77597"/>
    <w:rsid w:val="00D775A2"/>
    <w:rsid w:val="00D81080"/>
    <w:rsid w:val="00D8147F"/>
    <w:rsid w:val="00D81D05"/>
    <w:rsid w:val="00D81F8F"/>
    <w:rsid w:val="00D825D9"/>
    <w:rsid w:val="00D826A1"/>
    <w:rsid w:val="00D82C9F"/>
    <w:rsid w:val="00D82FCD"/>
    <w:rsid w:val="00D83D61"/>
    <w:rsid w:val="00D84071"/>
    <w:rsid w:val="00D84D95"/>
    <w:rsid w:val="00D856E9"/>
    <w:rsid w:val="00D856F1"/>
    <w:rsid w:val="00D85B71"/>
    <w:rsid w:val="00D85E62"/>
    <w:rsid w:val="00D8689F"/>
    <w:rsid w:val="00D86AFB"/>
    <w:rsid w:val="00D86B6E"/>
    <w:rsid w:val="00D86D05"/>
    <w:rsid w:val="00D870FD"/>
    <w:rsid w:val="00D872B4"/>
    <w:rsid w:val="00D872D0"/>
    <w:rsid w:val="00D901AF"/>
    <w:rsid w:val="00D914C2"/>
    <w:rsid w:val="00D91E23"/>
    <w:rsid w:val="00D92055"/>
    <w:rsid w:val="00D922DC"/>
    <w:rsid w:val="00D926F3"/>
    <w:rsid w:val="00D927FB"/>
    <w:rsid w:val="00D92E6E"/>
    <w:rsid w:val="00D92FB6"/>
    <w:rsid w:val="00D93311"/>
    <w:rsid w:val="00D93658"/>
    <w:rsid w:val="00D938D0"/>
    <w:rsid w:val="00D93BBB"/>
    <w:rsid w:val="00D9473E"/>
    <w:rsid w:val="00D955DF"/>
    <w:rsid w:val="00D9563D"/>
    <w:rsid w:val="00D957B3"/>
    <w:rsid w:val="00D96472"/>
    <w:rsid w:val="00D96A1E"/>
    <w:rsid w:val="00D96BBB"/>
    <w:rsid w:val="00D96FCC"/>
    <w:rsid w:val="00D979BD"/>
    <w:rsid w:val="00D97A2D"/>
    <w:rsid w:val="00D97CBB"/>
    <w:rsid w:val="00DA003B"/>
    <w:rsid w:val="00DA04BD"/>
    <w:rsid w:val="00DA0AD0"/>
    <w:rsid w:val="00DA0E2E"/>
    <w:rsid w:val="00DA11B5"/>
    <w:rsid w:val="00DA1595"/>
    <w:rsid w:val="00DA1CC9"/>
    <w:rsid w:val="00DA202C"/>
    <w:rsid w:val="00DA264B"/>
    <w:rsid w:val="00DA2C51"/>
    <w:rsid w:val="00DA2E0D"/>
    <w:rsid w:val="00DA322A"/>
    <w:rsid w:val="00DA35AC"/>
    <w:rsid w:val="00DA3926"/>
    <w:rsid w:val="00DA3984"/>
    <w:rsid w:val="00DA4333"/>
    <w:rsid w:val="00DA5D2B"/>
    <w:rsid w:val="00DA62D1"/>
    <w:rsid w:val="00DA6A39"/>
    <w:rsid w:val="00DA6D58"/>
    <w:rsid w:val="00DA6FB6"/>
    <w:rsid w:val="00DA7585"/>
    <w:rsid w:val="00DA7B00"/>
    <w:rsid w:val="00DA7D0C"/>
    <w:rsid w:val="00DB0370"/>
    <w:rsid w:val="00DB0482"/>
    <w:rsid w:val="00DB053D"/>
    <w:rsid w:val="00DB0737"/>
    <w:rsid w:val="00DB123A"/>
    <w:rsid w:val="00DB1406"/>
    <w:rsid w:val="00DB1B40"/>
    <w:rsid w:val="00DB1C35"/>
    <w:rsid w:val="00DB1CD1"/>
    <w:rsid w:val="00DB23BE"/>
    <w:rsid w:val="00DB26B1"/>
    <w:rsid w:val="00DB304A"/>
    <w:rsid w:val="00DB3190"/>
    <w:rsid w:val="00DB3908"/>
    <w:rsid w:val="00DB3C1D"/>
    <w:rsid w:val="00DB405E"/>
    <w:rsid w:val="00DB4B1F"/>
    <w:rsid w:val="00DB5A54"/>
    <w:rsid w:val="00DB5CF1"/>
    <w:rsid w:val="00DB5D6A"/>
    <w:rsid w:val="00DB5FE1"/>
    <w:rsid w:val="00DB6142"/>
    <w:rsid w:val="00DB6167"/>
    <w:rsid w:val="00DB68E7"/>
    <w:rsid w:val="00DB6918"/>
    <w:rsid w:val="00DB6F9D"/>
    <w:rsid w:val="00DB7B76"/>
    <w:rsid w:val="00DB7D8F"/>
    <w:rsid w:val="00DC00E8"/>
    <w:rsid w:val="00DC0161"/>
    <w:rsid w:val="00DC0440"/>
    <w:rsid w:val="00DC0695"/>
    <w:rsid w:val="00DC081E"/>
    <w:rsid w:val="00DC0F68"/>
    <w:rsid w:val="00DC102E"/>
    <w:rsid w:val="00DC1BC8"/>
    <w:rsid w:val="00DC1BDF"/>
    <w:rsid w:val="00DC1BFC"/>
    <w:rsid w:val="00DC206B"/>
    <w:rsid w:val="00DC2078"/>
    <w:rsid w:val="00DC2377"/>
    <w:rsid w:val="00DC2758"/>
    <w:rsid w:val="00DC29DA"/>
    <w:rsid w:val="00DC2A17"/>
    <w:rsid w:val="00DC332E"/>
    <w:rsid w:val="00DC3337"/>
    <w:rsid w:val="00DC3640"/>
    <w:rsid w:val="00DC3DA5"/>
    <w:rsid w:val="00DC45AE"/>
    <w:rsid w:val="00DC470D"/>
    <w:rsid w:val="00DC4A7A"/>
    <w:rsid w:val="00DC4CB1"/>
    <w:rsid w:val="00DC4D49"/>
    <w:rsid w:val="00DC5243"/>
    <w:rsid w:val="00DC7329"/>
    <w:rsid w:val="00DC779F"/>
    <w:rsid w:val="00DC7CCF"/>
    <w:rsid w:val="00DC7EC3"/>
    <w:rsid w:val="00DD06D9"/>
    <w:rsid w:val="00DD0F3B"/>
    <w:rsid w:val="00DD1D1E"/>
    <w:rsid w:val="00DD305F"/>
    <w:rsid w:val="00DD35DF"/>
    <w:rsid w:val="00DD383B"/>
    <w:rsid w:val="00DD3971"/>
    <w:rsid w:val="00DD3B58"/>
    <w:rsid w:val="00DD4056"/>
    <w:rsid w:val="00DD4746"/>
    <w:rsid w:val="00DD49EE"/>
    <w:rsid w:val="00DD4EFE"/>
    <w:rsid w:val="00DD4F8C"/>
    <w:rsid w:val="00DD6024"/>
    <w:rsid w:val="00DD606F"/>
    <w:rsid w:val="00DD62B9"/>
    <w:rsid w:val="00DD6707"/>
    <w:rsid w:val="00DD6C20"/>
    <w:rsid w:val="00DD73DA"/>
    <w:rsid w:val="00DD754B"/>
    <w:rsid w:val="00DD758A"/>
    <w:rsid w:val="00DD7740"/>
    <w:rsid w:val="00DD7861"/>
    <w:rsid w:val="00DD78FE"/>
    <w:rsid w:val="00DE0292"/>
    <w:rsid w:val="00DE116B"/>
    <w:rsid w:val="00DE1226"/>
    <w:rsid w:val="00DE1E7A"/>
    <w:rsid w:val="00DE2327"/>
    <w:rsid w:val="00DE253B"/>
    <w:rsid w:val="00DE25E8"/>
    <w:rsid w:val="00DE2690"/>
    <w:rsid w:val="00DE2899"/>
    <w:rsid w:val="00DE2911"/>
    <w:rsid w:val="00DE2BC9"/>
    <w:rsid w:val="00DE2FA7"/>
    <w:rsid w:val="00DE30AB"/>
    <w:rsid w:val="00DE4515"/>
    <w:rsid w:val="00DE4AE2"/>
    <w:rsid w:val="00DE5660"/>
    <w:rsid w:val="00DE5FE9"/>
    <w:rsid w:val="00DE6DC5"/>
    <w:rsid w:val="00DE7FCD"/>
    <w:rsid w:val="00DF0660"/>
    <w:rsid w:val="00DF06FA"/>
    <w:rsid w:val="00DF0D9B"/>
    <w:rsid w:val="00DF161A"/>
    <w:rsid w:val="00DF1CE6"/>
    <w:rsid w:val="00DF3653"/>
    <w:rsid w:val="00DF36AD"/>
    <w:rsid w:val="00DF3EAD"/>
    <w:rsid w:val="00DF4009"/>
    <w:rsid w:val="00DF418E"/>
    <w:rsid w:val="00DF44B2"/>
    <w:rsid w:val="00DF47B6"/>
    <w:rsid w:val="00DF4FAA"/>
    <w:rsid w:val="00DF4FC6"/>
    <w:rsid w:val="00DF595E"/>
    <w:rsid w:val="00DF5BE2"/>
    <w:rsid w:val="00DF6305"/>
    <w:rsid w:val="00DF75D8"/>
    <w:rsid w:val="00DF7965"/>
    <w:rsid w:val="00E0087C"/>
    <w:rsid w:val="00E009B0"/>
    <w:rsid w:val="00E00F57"/>
    <w:rsid w:val="00E0103A"/>
    <w:rsid w:val="00E011BC"/>
    <w:rsid w:val="00E0121F"/>
    <w:rsid w:val="00E01FFC"/>
    <w:rsid w:val="00E02693"/>
    <w:rsid w:val="00E027C1"/>
    <w:rsid w:val="00E030A2"/>
    <w:rsid w:val="00E035B1"/>
    <w:rsid w:val="00E03953"/>
    <w:rsid w:val="00E0444C"/>
    <w:rsid w:val="00E0519F"/>
    <w:rsid w:val="00E052AE"/>
    <w:rsid w:val="00E05310"/>
    <w:rsid w:val="00E05381"/>
    <w:rsid w:val="00E056E3"/>
    <w:rsid w:val="00E064E0"/>
    <w:rsid w:val="00E06501"/>
    <w:rsid w:val="00E06746"/>
    <w:rsid w:val="00E06BEA"/>
    <w:rsid w:val="00E06D66"/>
    <w:rsid w:val="00E06D77"/>
    <w:rsid w:val="00E0708C"/>
    <w:rsid w:val="00E07E19"/>
    <w:rsid w:val="00E07E7D"/>
    <w:rsid w:val="00E100C7"/>
    <w:rsid w:val="00E10491"/>
    <w:rsid w:val="00E108FC"/>
    <w:rsid w:val="00E11085"/>
    <w:rsid w:val="00E11206"/>
    <w:rsid w:val="00E116C8"/>
    <w:rsid w:val="00E1196C"/>
    <w:rsid w:val="00E127E3"/>
    <w:rsid w:val="00E12C19"/>
    <w:rsid w:val="00E12D77"/>
    <w:rsid w:val="00E12F03"/>
    <w:rsid w:val="00E13120"/>
    <w:rsid w:val="00E13674"/>
    <w:rsid w:val="00E13887"/>
    <w:rsid w:val="00E1393B"/>
    <w:rsid w:val="00E147F9"/>
    <w:rsid w:val="00E14DB8"/>
    <w:rsid w:val="00E15D3B"/>
    <w:rsid w:val="00E16454"/>
    <w:rsid w:val="00E16700"/>
    <w:rsid w:val="00E16A0C"/>
    <w:rsid w:val="00E16BBE"/>
    <w:rsid w:val="00E176A7"/>
    <w:rsid w:val="00E176DB"/>
    <w:rsid w:val="00E2008C"/>
    <w:rsid w:val="00E2054B"/>
    <w:rsid w:val="00E20806"/>
    <w:rsid w:val="00E2108E"/>
    <w:rsid w:val="00E2117A"/>
    <w:rsid w:val="00E2122A"/>
    <w:rsid w:val="00E21BBD"/>
    <w:rsid w:val="00E21CF3"/>
    <w:rsid w:val="00E22313"/>
    <w:rsid w:val="00E2309E"/>
    <w:rsid w:val="00E230AF"/>
    <w:rsid w:val="00E2335D"/>
    <w:rsid w:val="00E23C6B"/>
    <w:rsid w:val="00E23CDF"/>
    <w:rsid w:val="00E24137"/>
    <w:rsid w:val="00E2492D"/>
    <w:rsid w:val="00E24CB9"/>
    <w:rsid w:val="00E25398"/>
    <w:rsid w:val="00E26916"/>
    <w:rsid w:val="00E26B33"/>
    <w:rsid w:val="00E26C15"/>
    <w:rsid w:val="00E27596"/>
    <w:rsid w:val="00E327CD"/>
    <w:rsid w:val="00E32EEB"/>
    <w:rsid w:val="00E3304B"/>
    <w:rsid w:val="00E33ACB"/>
    <w:rsid w:val="00E33DA8"/>
    <w:rsid w:val="00E3471E"/>
    <w:rsid w:val="00E348FF"/>
    <w:rsid w:val="00E34FF0"/>
    <w:rsid w:val="00E357AF"/>
    <w:rsid w:val="00E35855"/>
    <w:rsid w:val="00E35B17"/>
    <w:rsid w:val="00E360CA"/>
    <w:rsid w:val="00E36359"/>
    <w:rsid w:val="00E366C1"/>
    <w:rsid w:val="00E377F7"/>
    <w:rsid w:val="00E37842"/>
    <w:rsid w:val="00E4071A"/>
    <w:rsid w:val="00E409A5"/>
    <w:rsid w:val="00E40AA9"/>
    <w:rsid w:val="00E40D8C"/>
    <w:rsid w:val="00E40E3A"/>
    <w:rsid w:val="00E41DFC"/>
    <w:rsid w:val="00E422FF"/>
    <w:rsid w:val="00E4247E"/>
    <w:rsid w:val="00E42653"/>
    <w:rsid w:val="00E42671"/>
    <w:rsid w:val="00E42F24"/>
    <w:rsid w:val="00E43278"/>
    <w:rsid w:val="00E43E3B"/>
    <w:rsid w:val="00E44B1A"/>
    <w:rsid w:val="00E45419"/>
    <w:rsid w:val="00E45847"/>
    <w:rsid w:val="00E463D2"/>
    <w:rsid w:val="00E465E1"/>
    <w:rsid w:val="00E470A4"/>
    <w:rsid w:val="00E47A66"/>
    <w:rsid w:val="00E47F9C"/>
    <w:rsid w:val="00E505D1"/>
    <w:rsid w:val="00E5060D"/>
    <w:rsid w:val="00E5106C"/>
    <w:rsid w:val="00E517BD"/>
    <w:rsid w:val="00E518A2"/>
    <w:rsid w:val="00E518DA"/>
    <w:rsid w:val="00E52BB5"/>
    <w:rsid w:val="00E533BA"/>
    <w:rsid w:val="00E5363B"/>
    <w:rsid w:val="00E53B0A"/>
    <w:rsid w:val="00E53DC1"/>
    <w:rsid w:val="00E53EDD"/>
    <w:rsid w:val="00E54CCD"/>
    <w:rsid w:val="00E55218"/>
    <w:rsid w:val="00E55291"/>
    <w:rsid w:val="00E553DF"/>
    <w:rsid w:val="00E56504"/>
    <w:rsid w:val="00E56ADB"/>
    <w:rsid w:val="00E60C4E"/>
    <w:rsid w:val="00E60D9B"/>
    <w:rsid w:val="00E614B4"/>
    <w:rsid w:val="00E61D63"/>
    <w:rsid w:val="00E634B1"/>
    <w:rsid w:val="00E63643"/>
    <w:rsid w:val="00E63C6F"/>
    <w:rsid w:val="00E64922"/>
    <w:rsid w:val="00E65064"/>
    <w:rsid w:val="00E65BD2"/>
    <w:rsid w:val="00E65CA5"/>
    <w:rsid w:val="00E6613F"/>
    <w:rsid w:val="00E66C73"/>
    <w:rsid w:val="00E66F33"/>
    <w:rsid w:val="00E67A18"/>
    <w:rsid w:val="00E67C58"/>
    <w:rsid w:val="00E67CA5"/>
    <w:rsid w:val="00E67D78"/>
    <w:rsid w:val="00E70247"/>
    <w:rsid w:val="00E70268"/>
    <w:rsid w:val="00E70906"/>
    <w:rsid w:val="00E71913"/>
    <w:rsid w:val="00E719EF"/>
    <w:rsid w:val="00E71E11"/>
    <w:rsid w:val="00E7210F"/>
    <w:rsid w:val="00E72713"/>
    <w:rsid w:val="00E7279C"/>
    <w:rsid w:val="00E729B2"/>
    <w:rsid w:val="00E72CF0"/>
    <w:rsid w:val="00E72D66"/>
    <w:rsid w:val="00E7315F"/>
    <w:rsid w:val="00E7332A"/>
    <w:rsid w:val="00E73BA2"/>
    <w:rsid w:val="00E73DA3"/>
    <w:rsid w:val="00E740CE"/>
    <w:rsid w:val="00E741E2"/>
    <w:rsid w:val="00E74B7F"/>
    <w:rsid w:val="00E74F5E"/>
    <w:rsid w:val="00E750FD"/>
    <w:rsid w:val="00E75391"/>
    <w:rsid w:val="00E75524"/>
    <w:rsid w:val="00E7697A"/>
    <w:rsid w:val="00E76A2C"/>
    <w:rsid w:val="00E77873"/>
    <w:rsid w:val="00E778CA"/>
    <w:rsid w:val="00E77BEB"/>
    <w:rsid w:val="00E8031A"/>
    <w:rsid w:val="00E8055B"/>
    <w:rsid w:val="00E8091F"/>
    <w:rsid w:val="00E80A9A"/>
    <w:rsid w:val="00E80B90"/>
    <w:rsid w:val="00E80CDA"/>
    <w:rsid w:val="00E80E78"/>
    <w:rsid w:val="00E810D6"/>
    <w:rsid w:val="00E817CD"/>
    <w:rsid w:val="00E819DA"/>
    <w:rsid w:val="00E81FDC"/>
    <w:rsid w:val="00E82B4F"/>
    <w:rsid w:val="00E83019"/>
    <w:rsid w:val="00E83CFE"/>
    <w:rsid w:val="00E83DFF"/>
    <w:rsid w:val="00E84AE2"/>
    <w:rsid w:val="00E84FBB"/>
    <w:rsid w:val="00E85B37"/>
    <w:rsid w:val="00E85B7D"/>
    <w:rsid w:val="00E85DF7"/>
    <w:rsid w:val="00E860F8"/>
    <w:rsid w:val="00E861E9"/>
    <w:rsid w:val="00E870CD"/>
    <w:rsid w:val="00E87826"/>
    <w:rsid w:val="00E90180"/>
    <w:rsid w:val="00E901A1"/>
    <w:rsid w:val="00E903E8"/>
    <w:rsid w:val="00E90E49"/>
    <w:rsid w:val="00E911A2"/>
    <w:rsid w:val="00E91AFC"/>
    <w:rsid w:val="00E92976"/>
    <w:rsid w:val="00E935AA"/>
    <w:rsid w:val="00E9535F"/>
    <w:rsid w:val="00E96152"/>
    <w:rsid w:val="00E96AB4"/>
    <w:rsid w:val="00E96F48"/>
    <w:rsid w:val="00E972CD"/>
    <w:rsid w:val="00E97468"/>
    <w:rsid w:val="00E977E9"/>
    <w:rsid w:val="00EA0158"/>
    <w:rsid w:val="00EA077C"/>
    <w:rsid w:val="00EA10BC"/>
    <w:rsid w:val="00EA1CFE"/>
    <w:rsid w:val="00EA1FBC"/>
    <w:rsid w:val="00EA2413"/>
    <w:rsid w:val="00EA274A"/>
    <w:rsid w:val="00EA2C71"/>
    <w:rsid w:val="00EA2EEC"/>
    <w:rsid w:val="00EA2F9B"/>
    <w:rsid w:val="00EA304B"/>
    <w:rsid w:val="00EA311A"/>
    <w:rsid w:val="00EA33DA"/>
    <w:rsid w:val="00EA35C1"/>
    <w:rsid w:val="00EA41BB"/>
    <w:rsid w:val="00EA446A"/>
    <w:rsid w:val="00EA4803"/>
    <w:rsid w:val="00EA5141"/>
    <w:rsid w:val="00EA565A"/>
    <w:rsid w:val="00EA5B81"/>
    <w:rsid w:val="00EA5EEB"/>
    <w:rsid w:val="00EA6F75"/>
    <w:rsid w:val="00EA7204"/>
    <w:rsid w:val="00EB06E7"/>
    <w:rsid w:val="00EB1101"/>
    <w:rsid w:val="00EB22AE"/>
    <w:rsid w:val="00EB310E"/>
    <w:rsid w:val="00EB390D"/>
    <w:rsid w:val="00EB42C1"/>
    <w:rsid w:val="00EB4648"/>
    <w:rsid w:val="00EB4A55"/>
    <w:rsid w:val="00EB5533"/>
    <w:rsid w:val="00EB5715"/>
    <w:rsid w:val="00EB5E64"/>
    <w:rsid w:val="00EB68A1"/>
    <w:rsid w:val="00EB6D4B"/>
    <w:rsid w:val="00EB7829"/>
    <w:rsid w:val="00EB7A3A"/>
    <w:rsid w:val="00EB7B72"/>
    <w:rsid w:val="00EC00AE"/>
    <w:rsid w:val="00EC06DC"/>
    <w:rsid w:val="00EC09B3"/>
    <w:rsid w:val="00EC1310"/>
    <w:rsid w:val="00EC16E7"/>
    <w:rsid w:val="00EC1ED5"/>
    <w:rsid w:val="00EC1F6B"/>
    <w:rsid w:val="00EC21D2"/>
    <w:rsid w:val="00EC239F"/>
    <w:rsid w:val="00EC26CB"/>
    <w:rsid w:val="00EC2925"/>
    <w:rsid w:val="00EC4D79"/>
    <w:rsid w:val="00EC55EC"/>
    <w:rsid w:val="00EC5B35"/>
    <w:rsid w:val="00EC6486"/>
    <w:rsid w:val="00ED016C"/>
    <w:rsid w:val="00ED1504"/>
    <w:rsid w:val="00ED1703"/>
    <w:rsid w:val="00ED1D00"/>
    <w:rsid w:val="00ED2031"/>
    <w:rsid w:val="00ED2395"/>
    <w:rsid w:val="00ED2578"/>
    <w:rsid w:val="00ED258C"/>
    <w:rsid w:val="00ED2F75"/>
    <w:rsid w:val="00ED4506"/>
    <w:rsid w:val="00ED4B1B"/>
    <w:rsid w:val="00ED56B1"/>
    <w:rsid w:val="00ED62A1"/>
    <w:rsid w:val="00ED6984"/>
    <w:rsid w:val="00ED759B"/>
    <w:rsid w:val="00ED7CD5"/>
    <w:rsid w:val="00EE00B3"/>
    <w:rsid w:val="00EE0211"/>
    <w:rsid w:val="00EE0E26"/>
    <w:rsid w:val="00EE19C1"/>
    <w:rsid w:val="00EE1CF0"/>
    <w:rsid w:val="00EE2009"/>
    <w:rsid w:val="00EE3864"/>
    <w:rsid w:val="00EE3F4C"/>
    <w:rsid w:val="00EE4876"/>
    <w:rsid w:val="00EE5910"/>
    <w:rsid w:val="00EE618D"/>
    <w:rsid w:val="00EE6D65"/>
    <w:rsid w:val="00EE70D8"/>
    <w:rsid w:val="00EE7DD0"/>
    <w:rsid w:val="00EE7EF2"/>
    <w:rsid w:val="00EF0186"/>
    <w:rsid w:val="00EF0A78"/>
    <w:rsid w:val="00EF0F82"/>
    <w:rsid w:val="00EF11E6"/>
    <w:rsid w:val="00EF1598"/>
    <w:rsid w:val="00EF1AB4"/>
    <w:rsid w:val="00EF1C2C"/>
    <w:rsid w:val="00EF2228"/>
    <w:rsid w:val="00EF2B43"/>
    <w:rsid w:val="00EF2F75"/>
    <w:rsid w:val="00EF3BCB"/>
    <w:rsid w:val="00EF3D5A"/>
    <w:rsid w:val="00EF41E5"/>
    <w:rsid w:val="00EF49A5"/>
    <w:rsid w:val="00EF6D64"/>
    <w:rsid w:val="00EF7333"/>
    <w:rsid w:val="00EF7D70"/>
    <w:rsid w:val="00EF7E43"/>
    <w:rsid w:val="00F003A7"/>
    <w:rsid w:val="00F004C1"/>
    <w:rsid w:val="00F005A2"/>
    <w:rsid w:val="00F00D9C"/>
    <w:rsid w:val="00F01A00"/>
    <w:rsid w:val="00F026D4"/>
    <w:rsid w:val="00F02844"/>
    <w:rsid w:val="00F02DA9"/>
    <w:rsid w:val="00F02EF3"/>
    <w:rsid w:val="00F02FDD"/>
    <w:rsid w:val="00F0327A"/>
    <w:rsid w:val="00F039F2"/>
    <w:rsid w:val="00F03E15"/>
    <w:rsid w:val="00F04200"/>
    <w:rsid w:val="00F0439D"/>
    <w:rsid w:val="00F04509"/>
    <w:rsid w:val="00F0465B"/>
    <w:rsid w:val="00F046A7"/>
    <w:rsid w:val="00F04C81"/>
    <w:rsid w:val="00F04DE0"/>
    <w:rsid w:val="00F056A7"/>
    <w:rsid w:val="00F06458"/>
    <w:rsid w:val="00F0731A"/>
    <w:rsid w:val="00F0778A"/>
    <w:rsid w:val="00F07935"/>
    <w:rsid w:val="00F10670"/>
    <w:rsid w:val="00F1069A"/>
    <w:rsid w:val="00F108CF"/>
    <w:rsid w:val="00F109D2"/>
    <w:rsid w:val="00F10C5A"/>
    <w:rsid w:val="00F11442"/>
    <w:rsid w:val="00F11666"/>
    <w:rsid w:val="00F117F3"/>
    <w:rsid w:val="00F1228D"/>
    <w:rsid w:val="00F12C87"/>
    <w:rsid w:val="00F13622"/>
    <w:rsid w:val="00F15109"/>
    <w:rsid w:val="00F158DE"/>
    <w:rsid w:val="00F15FF1"/>
    <w:rsid w:val="00F16890"/>
    <w:rsid w:val="00F16B6C"/>
    <w:rsid w:val="00F17503"/>
    <w:rsid w:val="00F17722"/>
    <w:rsid w:val="00F17AEF"/>
    <w:rsid w:val="00F17C79"/>
    <w:rsid w:val="00F17DF0"/>
    <w:rsid w:val="00F20446"/>
    <w:rsid w:val="00F21059"/>
    <w:rsid w:val="00F2148C"/>
    <w:rsid w:val="00F21EE4"/>
    <w:rsid w:val="00F22B58"/>
    <w:rsid w:val="00F22D84"/>
    <w:rsid w:val="00F23568"/>
    <w:rsid w:val="00F241B9"/>
    <w:rsid w:val="00F248A2"/>
    <w:rsid w:val="00F248C9"/>
    <w:rsid w:val="00F24A7C"/>
    <w:rsid w:val="00F254CB"/>
    <w:rsid w:val="00F258AE"/>
    <w:rsid w:val="00F25D70"/>
    <w:rsid w:val="00F2707A"/>
    <w:rsid w:val="00F27587"/>
    <w:rsid w:val="00F279B9"/>
    <w:rsid w:val="00F279E6"/>
    <w:rsid w:val="00F27BAF"/>
    <w:rsid w:val="00F27F19"/>
    <w:rsid w:val="00F30118"/>
    <w:rsid w:val="00F3013E"/>
    <w:rsid w:val="00F303A8"/>
    <w:rsid w:val="00F305B7"/>
    <w:rsid w:val="00F30B25"/>
    <w:rsid w:val="00F30FC1"/>
    <w:rsid w:val="00F31C09"/>
    <w:rsid w:val="00F31C66"/>
    <w:rsid w:val="00F31C8A"/>
    <w:rsid w:val="00F320FB"/>
    <w:rsid w:val="00F322BB"/>
    <w:rsid w:val="00F332F5"/>
    <w:rsid w:val="00F33354"/>
    <w:rsid w:val="00F338E2"/>
    <w:rsid w:val="00F340E7"/>
    <w:rsid w:val="00F3455A"/>
    <w:rsid w:val="00F349E3"/>
    <w:rsid w:val="00F34AC4"/>
    <w:rsid w:val="00F34AE3"/>
    <w:rsid w:val="00F3533C"/>
    <w:rsid w:val="00F354E6"/>
    <w:rsid w:val="00F35825"/>
    <w:rsid w:val="00F35B82"/>
    <w:rsid w:val="00F363A0"/>
    <w:rsid w:val="00F36F7F"/>
    <w:rsid w:val="00F370F8"/>
    <w:rsid w:val="00F371E2"/>
    <w:rsid w:val="00F37AC6"/>
    <w:rsid w:val="00F406B6"/>
    <w:rsid w:val="00F40A97"/>
    <w:rsid w:val="00F40C62"/>
    <w:rsid w:val="00F40DB1"/>
    <w:rsid w:val="00F41F41"/>
    <w:rsid w:val="00F42174"/>
    <w:rsid w:val="00F421EF"/>
    <w:rsid w:val="00F4236B"/>
    <w:rsid w:val="00F425BB"/>
    <w:rsid w:val="00F42AE1"/>
    <w:rsid w:val="00F42DBE"/>
    <w:rsid w:val="00F43BBC"/>
    <w:rsid w:val="00F43E9B"/>
    <w:rsid w:val="00F44040"/>
    <w:rsid w:val="00F44A0E"/>
    <w:rsid w:val="00F44F39"/>
    <w:rsid w:val="00F454EF"/>
    <w:rsid w:val="00F4551D"/>
    <w:rsid w:val="00F46CF1"/>
    <w:rsid w:val="00F4712E"/>
    <w:rsid w:val="00F47724"/>
    <w:rsid w:val="00F47A2A"/>
    <w:rsid w:val="00F47EEC"/>
    <w:rsid w:val="00F50248"/>
    <w:rsid w:val="00F504B1"/>
    <w:rsid w:val="00F50529"/>
    <w:rsid w:val="00F50872"/>
    <w:rsid w:val="00F509A9"/>
    <w:rsid w:val="00F516BB"/>
    <w:rsid w:val="00F51FE8"/>
    <w:rsid w:val="00F52423"/>
    <w:rsid w:val="00F52554"/>
    <w:rsid w:val="00F528AF"/>
    <w:rsid w:val="00F52992"/>
    <w:rsid w:val="00F52B5A"/>
    <w:rsid w:val="00F53132"/>
    <w:rsid w:val="00F53757"/>
    <w:rsid w:val="00F54274"/>
    <w:rsid w:val="00F545A4"/>
    <w:rsid w:val="00F5467B"/>
    <w:rsid w:val="00F54883"/>
    <w:rsid w:val="00F55074"/>
    <w:rsid w:val="00F552CA"/>
    <w:rsid w:val="00F553C9"/>
    <w:rsid w:val="00F55452"/>
    <w:rsid w:val="00F55B00"/>
    <w:rsid w:val="00F56567"/>
    <w:rsid w:val="00F56C6D"/>
    <w:rsid w:val="00F57A9E"/>
    <w:rsid w:val="00F60A06"/>
    <w:rsid w:val="00F60A51"/>
    <w:rsid w:val="00F60BF6"/>
    <w:rsid w:val="00F61195"/>
    <w:rsid w:val="00F61F14"/>
    <w:rsid w:val="00F6318B"/>
    <w:rsid w:val="00F6351A"/>
    <w:rsid w:val="00F63AE1"/>
    <w:rsid w:val="00F648D0"/>
    <w:rsid w:val="00F649F6"/>
    <w:rsid w:val="00F65D13"/>
    <w:rsid w:val="00F664EF"/>
    <w:rsid w:val="00F66961"/>
    <w:rsid w:val="00F66D09"/>
    <w:rsid w:val="00F672E1"/>
    <w:rsid w:val="00F710A6"/>
    <w:rsid w:val="00F718D7"/>
    <w:rsid w:val="00F72785"/>
    <w:rsid w:val="00F73445"/>
    <w:rsid w:val="00F74092"/>
    <w:rsid w:val="00F74CBB"/>
    <w:rsid w:val="00F74CC1"/>
    <w:rsid w:val="00F74E7A"/>
    <w:rsid w:val="00F752AB"/>
    <w:rsid w:val="00F75788"/>
    <w:rsid w:val="00F75F14"/>
    <w:rsid w:val="00F775AE"/>
    <w:rsid w:val="00F778A5"/>
    <w:rsid w:val="00F77B7A"/>
    <w:rsid w:val="00F77F9C"/>
    <w:rsid w:val="00F804A4"/>
    <w:rsid w:val="00F804D8"/>
    <w:rsid w:val="00F8075E"/>
    <w:rsid w:val="00F809A9"/>
    <w:rsid w:val="00F80BD2"/>
    <w:rsid w:val="00F80C59"/>
    <w:rsid w:val="00F81705"/>
    <w:rsid w:val="00F819E7"/>
    <w:rsid w:val="00F8233D"/>
    <w:rsid w:val="00F8320B"/>
    <w:rsid w:val="00F835F8"/>
    <w:rsid w:val="00F840AC"/>
    <w:rsid w:val="00F844AE"/>
    <w:rsid w:val="00F84893"/>
    <w:rsid w:val="00F84C4C"/>
    <w:rsid w:val="00F84CCC"/>
    <w:rsid w:val="00F85120"/>
    <w:rsid w:val="00F852DD"/>
    <w:rsid w:val="00F85325"/>
    <w:rsid w:val="00F855BE"/>
    <w:rsid w:val="00F85673"/>
    <w:rsid w:val="00F857F5"/>
    <w:rsid w:val="00F85CD0"/>
    <w:rsid w:val="00F85F90"/>
    <w:rsid w:val="00F86A1F"/>
    <w:rsid w:val="00F86EA7"/>
    <w:rsid w:val="00F872A0"/>
    <w:rsid w:val="00F87985"/>
    <w:rsid w:val="00F87C00"/>
    <w:rsid w:val="00F90757"/>
    <w:rsid w:val="00F90E63"/>
    <w:rsid w:val="00F90EBA"/>
    <w:rsid w:val="00F90F50"/>
    <w:rsid w:val="00F9233B"/>
    <w:rsid w:val="00F923B6"/>
    <w:rsid w:val="00F925D0"/>
    <w:rsid w:val="00F92F70"/>
    <w:rsid w:val="00F9374B"/>
    <w:rsid w:val="00F93926"/>
    <w:rsid w:val="00F93F2B"/>
    <w:rsid w:val="00F93FEC"/>
    <w:rsid w:val="00F94017"/>
    <w:rsid w:val="00F95119"/>
    <w:rsid w:val="00F9535C"/>
    <w:rsid w:val="00F9539A"/>
    <w:rsid w:val="00F95B44"/>
    <w:rsid w:val="00F9602B"/>
    <w:rsid w:val="00F96A0E"/>
    <w:rsid w:val="00F97073"/>
    <w:rsid w:val="00F971B3"/>
    <w:rsid w:val="00F97500"/>
    <w:rsid w:val="00FA0852"/>
    <w:rsid w:val="00FA0869"/>
    <w:rsid w:val="00FA0978"/>
    <w:rsid w:val="00FA0BFE"/>
    <w:rsid w:val="00FA0CC9"/>
    <w:rsid w:val="00FA1040"/>
    <w:rsid w:val="00FA1063"/>
    <w:rsid w:val="00FA106F"/>
    <w:rsid w:val="00FA198E"/>
    <w:rsid w:val="00FA1C2F"/>
    <w:rsid w:val="00FA1EDE"/>
    <w:rsid w:val="00FA207A"/>
    <w:rsid w:val="00FA207E"/>
    <w:rsid w:val="00FA2309"/>
    <w:rsid w:val="00FA285A"/>
    <w:rsid w:val="00FA28BE"/>
    <w:rsid w:val="00FA35A6"/>
    <w:rsid w:val="00FA3CE8"/>
    <w:rsid w:val="00FA43E3"/>
    <w:rsid w:val="00FA4679"/>
    <w:rsid w:val="00FA4825"/>
    <w:rsid w:val="00FA4D41"/>
    <w:rsid w:val="00FA4FBE"/>
    <w:rsid w:val="00FA4FC1"/>
    <w:rsid w:val="00FA59F5"/>
    <w:rsid w:val="00FA5B84"/>
    <w:rsid w:val="00FA5DFC"/>
    <w:rsid w:val="00FA615B"/>
    <w:rsid w:val="00FA62CE"/>
    <w:rsid w:val="00FA6720"/>
    <w:rsid w:val="00FA6E05"/>
    <w:rsid w:val="00FA6EAE"/>
    <w:rsid w:val="00FA727E"/>
    <w:rsid w:val="00FA7389"/>
    <w:rsid w:val="00FA7CC1"/>
    <w:rsid w:val="00FA7E5C"/>
    <w:rsid w:val="00FB0DD0"/>
    <w:rsid w:val="00FB2667"/>
    <w:rsid w:val="00FB3B16"/>
    <w:rsid w:val="00FB41D9"/>
    <w:rsid w:val="00FB446D"/>
    <w:rsid w:val="00FB4D91"/>
    <w:rsid w:val="00FB50D5"/>
    <w:rsid w:val="00FB60FB"/>
    <w:rsid w:val="00FB6DD5"/>
    <w:rsid w:val="00FB7BF8"/>
    <w:rsid w:val="00FB7C12"/>
    <w:rsid w:val="00FC0107"/>
    <w:rsid w:val="00FC02BD"/>
    <w:rsid w:val="00FC173C"/>
    <w:rsid w:val="00FC1CD2"/>
    <w:rsid w:val="00FC1EF7"/>
    <w:rsid w:val="00FC1FED"/>
    <w:rsid w:val="00FC25BB"/>
    <w:rsid w:val="00FC2FC5"/>
    <w:rsid w:val="00FC3186"/>
    <w:rsid w:val="00FC31AD"/>
    <w:rsid w:val="00FC36C6"/>
    <w:rsid w:val="00FC4FEC"/>
    <w:rsid w:val="00FC54FF"/>
    <w:rsid w:val="00FC57A4"/>
    <w:rsid w:val="00FC604F"/>
    <w:rsid w:val="00FC62E8"/>
    <w:rsid w:val="00FC68EB"/>
    <w:rsid w:val="00FC6DBA"/>
    <w:rsid w:val="00FC72BB"/>
    <w:rsid w:val="00FC72D8"/>
    <w:rsid w:val="00FC760E"/>
    <w:rsid w:val="00FD05D1"/>
    <w:rsid w:val="00FD069F"/>
    <w:rsid w:val="00FD0BF6"/>
    <w:rsid w:val="00FD153C"/>
    <w:rsid w:val="00FD1D21"/>
    <w:rsid w:val="00FD25B9"/>
    <w:rsid w:val="00FD298A"/>
    <w:rsid w:val="00FD32D9"/>
    <w:rsid w:val="00FD3B32"/>
    <w:rsid w:val="00FD3BAE"/>
    <w:rsid w:val="00FD3E36"/>
    <w:rsid w:val="00FD4286"/>
    <w:rsid w:val="00FD478B"/>
    <w:rsid w:val="00FD4A18"/>
    <w:rsid w:val="00FD4B38"/>
    <w:rsid w:val="00FD4DAB"/>
    <w:rsid w:val="00FD5007"/>
    <w:rsid w:val="00FD5D2F"/>
    <w:rsid w:val="00FD644E"/>
    <w:rsid w:val="00FD6545"/>
    <w:rsid w:val="00FD67E4"/>
    <w:rsid w:val="00FD6EC2"/>
    <w:rsid w:val="00FD72F0"/>
    <w:rsid w:val="00FD7DC8"/>
    <w:rsid w:val="00FD7EAB"/>
    <w:rsid w:val="00FE0314"/>
    <w:rsid w:val="00FE093B"/>
    <w:rsid w:val="00FE0A88"/>
    <w:rsid w:val="00FE0AAD"/>
    <w:rsid w:val="00FE1459"/>
    <w:rsid w:val="00FE2548"/>
    <w:rsid w:val="00FE26B0"/>
    <w:rsid w:val="00FE2722"/>
    <w:rsid w:val="00FE2879"/>
    <w:rsid w:val="00FE2AF1"/>
    <w:rsid w:val="00FE2CFE"/>
    <w:rsid w:val="00FE3060"/>
    <w:rsid w:val="00FE3437"/>
    <w:rsid w:val="00FE39DA"/>
    <w:rsid w:val="00FE3E38"/>
    <w:rsid w:val="00FE53B6"/>
    <w:rsid w:val="00FE54C0"/>
    <w:rsid w:val="00FE54DF"/>
    <w:rsid w:val="00FE5548"/>
    <w:rsid w:val="00FE5726"/>
    <w:rsid w:val="00FE57A6"/>
    <w:rsid w:val="00FE5936"/>
    <w:rsid w:val="00FE5CA9"/>
    <w:rsid w:val="00FE5CBA"/>
    <w:rsid w:val="00FE7A41"/>
    <w:rsid w:val="00FE7F77"/>
    <w:rsid w:val="00FF0138"/>
    <w:rsid w:val="00FF1B73"/>
    <w:rsid w:val="00FF2CAB"/>
    <w:rsid w:val="00FF2D88"/>
    <w:rsid w:val="00FF2F4C"/>
    <w:rsid w:val="00FF2FE6"/>
    <w:rsid w:val="00FF3880"/>
    <w:rsid w:val="00FF3DC5"/>
    <w:rsid w:val="00FF3EE0"/>
    <w:rsid w:val="00FF4DCE"/>
    <w:rsid w:val="00FF545F"/>
    <w:rsid w:val="00FF57B8"/>
    <w:rsid w:val="00FF6636"/>
    <w:rsid w:val="00FF6B45"/>
    <w:rsid w:val="00FF6D0E"/>
    <w:rsid w:val="00FF6D97"/>
    <w:rsid w:val="00FF74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CB7223"/>
  <w14:defaultImageDpi w14:val="0"/>
  <w15:docId w15:val="{E2352C56-EC76-4D8A-8B77-EB35ACDF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Times New Roman" w:hAnsi="Courier New" w:cs="Courier New"/>
        <w:lang w:val="tr-TR" w:eastAsia="tr-TR"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99"/>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754"/>
    <w:rPr>
      <w:rFonts w:ascii="Times New Roman" w:hAnsi="Times New Roman" w:cs="Times New Roman"/>
      <w:sz w:val="24"/>
      <w:szCs w:val="24"/>
    </w:rPr>
  </w:style>
  <w:style w:type="paragraph" w:styleId="Balk1">
    <w:name w:val="heading 1"/>
    <w:basedOn w:val="Normal"/>
    <w:next w:val="Normal"/>
    <w:link w:val="Balk1Char"/>
    <w:uiPriority w:val="9"/>
    <w:qFormat/>
    <w:rsid w:val="00621923"/>
    <w:pPr>
      <w:keepNext/>
      <w:widowControl w:val="0"/>
      <w:spacing w:line="360" w:lineRule="auto"/>
      <w:jc w:val="center"/>
      <w:outlineLvl w:val="0"/>
    </w:pPr>
    <w:rPr>
      <w:b/>
      <w:bCs/>
      <w:color w:val="000000"/>
      <w:kern w:val="32"/>
      <w:szCs w:val="32"/>
    </w:rPr>
  </w:style>
  <w:style w:type="paragraph" w:styleId="Balk2">
    <w:name w:val="heading 2"/>
    <w:basedOn w:val="Normal"/>
    <w:next w:val="Normal"/>
    <w:link w:val="Balk2Char"/>
    <w:uiPriority w:val="9"/>
    <w:unhideWhenUsed/>
    <w:qFormat/>
    <w:rsid w:val="00621923"/>
    <w:pPr>
      <w:keepNext/>
      <w:keepLines/>
      <w:widowControl w:val="0"/>
      <w:spacing w:line="360" w:lineRule="auto"/>
      <w:jc w:val="both"/>
      <w:outlineLvl w:val="1"/>
    </w:pPr>
    <w:rPr>
      <w:rFonts w:eastAsiaTheme="majorEastAsia" w:cstheme="majorBidi"/>
      <w:b/>
      <w:color w:val="000000" w:themeColor="text1"/>
      <w:szCs w:val="26"/>
    </w:rPr>
  </w:style>
  <w:style w:type="paragraph" w:styleId="Balk3">
    <w:name w:val="heading 3"/>
    <w:aliases w:val="H3,0"/>
    <w:basedOn w:val="Normal"/>
    <w:next w:val="Normal"/>
    <w:link w:val="Balk3Char"/>
    <w:uiPriority w:val="9"/>
    <w:unhideWhenUsed/>
    <w:qFormat/>
    <w:rsid w:val="00621923"/>
    <w:pPr>
      <w:keepNext/>
      <w:keepLines/>
      <w:widowControl w:val="0"/>
      <w:spacing w:line="360" w:lineRule="auto"/>
      <w:jc w:val="both"/>
      <w:outlineLvl w:val="2"/>
    </w:pPr>
    <w:rPr>
      <w:rFonts w:eastAsiaTheme="majorEastAsia" w:cstheme="majorBidi"/>
      <w:b/>
      <w:color w:val="000000" w:themeColor="text1"/>
    </w:rPr>
  </w:style>
  <w:style w:type="paragraph" w:styleId="Balk4">
    <w:name w:val="heading 4"/>
    <w:basedOn w:val="Normal"/>
    <w:next w:val="Normal"/>
    <w:link w:val="Balk4Char"/>
    <w:uiPriority w:val="9"/>
    <w:unhideWhenUsed/>
    <w:qFormat/>
    <w:rsid w:val="00621923"/>
    <w:pPr>
      <w:keepNext/>
      <w:keepLines/>
      <w:widowControl w:val="0"/>
      <w:spacing w:line="360" w:lineRule="auto"/>
      <w:jc w:val="both"/>
      <w:outlineLvl w:val="3"/>
    </w:pPr>
    <w:rPr>
      <w:rFonts w:eastAsiaTheme="majorEastAsia" w:cstheme="majorBidi"/>
      <w:b/>
      <w:iCs/>
      <w:color w:val="000000" w:themeColor="text1"/>
    </w:rPr>
  </w:style>
  <w:style w:type="paragraph" w:styleId="Balk5">
    <w:name w:val="heading 5"/>
    <w:basedOn w:val="Normal"/>
    <w:next w:val="Normal"/>
    <w:link w:val="Balk5Char"/>
    <w:uiPriority w:val="9"/>
    <w:unhideWhenUsed/>
    <w:qFormat/>
    <w:rsid w:val="00DE2899"/>
    <w:pPr>
      <w:keepNext/>
      <w:keepLines/>
      <w:widowControl w:val="0"/>
      <w:spacing w:line="276" w:lineRule="auto"/>
      <w:ind w:left="1434" w:hanging="1077"/>
      <w:jc w:val="both"/>
      <w:outlineLvl w:val="4"/>
    </w:pPr>
    <w:rPr>
      <w:b/>
      <w:color w:val="000000" w:themeColor="text1"/>
      <w:spacing w:val="2"/>
      <w:szCs w:val="22"/>
      <w:lang w:val="en-US" w:eastAsia="en-US"/>
    </w:rPr>
  </w:style>
  <w:style w:type="paragraph" w:styleId="Balk6">
    <w:name w:val="heading 6"/>
    <w:aliases w:val="heading 5,Başlık 51"/>
    <w:basedOn w:val="Balk5"/>
    <w:next w:val="Normal"/>
    <w:link w:val="Balk6Char"/>
    <w:uiPriority w:val="9"/>
    <w:unhideWhenUsed/>
    <w:qFormat/>
    <w:rsid w:val="00374C56"/>
    <w:pPr>
      <w:spacing w:before="240" w:after="80"/>
      <w:ind w:left="0" w:firstLine="0"/>
      <w:outlineLvl w:val="5"/>
    </w:pPr>
    <w:rPr>
      <w:rFonts w:ascii="Arial" w:hAnsi="Arial" w:cs="Arial"/>
      <w:b w:val="0"/>
      <w:color w:val="auto"/>
      <w:sz w:val="20"/>
    </w:rPr>
  </w:style>
  <w:style w:type="paragraph" w:styleId="Balk7">
    <w:name w:val="heading 7"/>
    <w:aliases w:val="heading 6"/>
    <w:basedOn w:val="Normal"/>
    <w:next w:val="Normal"/>
    <w:link w:val="Balk7Char"/>
    <w:uiPriority w:val="9"/>
    <w:unhideWhenUsed/>
    <w:qFormat/>
    <w:rsid w:val="001461BF"/>
    <w:pPr>
      <w:keepNext/>
      <w:keepLines/>
      <w:widowControl w:val="0"/>
      <w:spacing w:line="276" w:lineRule="auto"/>
      <w:outlineLvl w:val="6"/>
    </w:pPr>
    <w:rPr>
      <w:rFonts w:cs="Arial"/>
      <w:b/>
      <w:iCs/>
      <w:szCs w:val="22"/>
      <w:lang w:val="en-US" w:eastAsia="en-US"/>
    </w:rPr>
  </w:style>
  <w:style w:type="paragraph" w:styleId="Balk8">
    <w:name w:val="heading 8"/>
    <w:aliases w:val="heading 7"/>
    <w:basedOn w:val="Normal"/>
    <w:next w:val="Normal"/>
    <w:link w:val="Balk8Char"/>
    <w:uiPriority w:val="9"/>
    <w:unhideWhenUsed/>
    <w:qFormat/>
    <w:rsid w:val="00374C56"/>
    <w:pPr>
      <w:keepNext/>
      <w:keepLines/>
      <w:widowControl w:val="0"/>
      <w:numPr>
        <w:ilvl w:val="7"/>
        <w:numId w:val="18"/>
      </w:numPr>
      <w:spacing w:before="40" w:line="276" w:lineRule="auto"/>
      <w:jc w:val="both"/>
      <w:outlineLvl w:val="7"/>
    </w:pPr>
    <w:rPr>
      <w:rFonts w:ascii="Cambria" w:hAnsi="Cambria"/>
      <w:color w:val="272727"/>
      <w:spacing w:val="2"/>
      <w:sz w:val="21"/>
      <w:szCs w:val="21"/>
      <w:lang w:val="en-US" w:eastAsia="en-US"/>
    </w:rPr>
  </w:style>
  <w:style w:type="paragraph" w:styleId="Balk9">
    <w:name w:val="heading 9"/>
    <w:basedOn w:val="Normal"/>
    <w:next w:val="Normal"/>
    <w:link w:val="Balk9Char"/>
    <w:uiPriority w:val="9"/>
    <w:unhideWhenUsed/>
    <w:qFormat/>
    <w:rsid w:val="00374C56"/>
    <w:pPr>
      <w:keepNext/>
      <w:keepLines/>
      <w:widowControl w:val="0"/>
      <w:numPr>
        <w:ilvl w:val="8"/>
        <w:numId w:val="18"/>
      </w:numPr>
      <w:spacing w:before="40" w:line="276" w:lineRule="auto"/>
      <w:jc w:val="both"/>
      <w:outlineLvl w:val="8"/>
    </w:pPr>
    <w:rPr>
      <w:rFonts w:ascii="Cambria" w:hAnsi="Cambria"/>
      <w:i/>
      <w:iCs/>
      <w:color w:val="272727"/>
      <w:spacing w:val="2"/>
      <w:sz w:val="21"/>
      <w:szCs w:val="21"/>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locked/>
    <w:rsid w:val="00621923"/>
    <w:rPr>
      <w:rFonts w:ascii="Times New Roman" w:hAnsi="Times New Roman" w:cs="Times New Roman"/>
      <w:b/>
      <w:bCs/>
      <w:color w:val="000000"/>
      <w:kern w:val="32"/>
      <w:sz w:val="24"/>
      <w:szCs w:val="32"/>
    </w:rPr>
  </w:style>
  <w:style w:type="character" w:styleId="Kpr">
    <w:name w:val="Hyperlink"/>
    <w:uiPriority w:val="99"/>
    <w:rPr>
      <w:rFonts w:cs="Times New Roman"/>
      <w:color w:val="0066CC"/>
      <w:u w:val="single"/>
    </w:rPr>
  </w:style>
  <w:style w:type="character" w:customStyle="1" w:styleId="Dipnot">
    <w:name w:val="Dipnot_"/>
    <w:link w:val="Dipnot1"/>
    <w:uiPriority w:val="99"/>
    <w:locked/>
    <w:rPr>
      <w:rFonts w:ascii="Times New Roman" w:hAnsi="Times New Roman" w:cs="Times New Roman"/>
      <w:sz w:val="21"/>
      <w:szCs w:val="21"/>
      <w:u w:val="none"/>
    </w:rPr>
  </w:style>
  <w:style w:type="character" w:customStyle="1" w:styleId="Balk52">
    <w:name w:val="Başlık #5 (2)_"/>
    <w:link w:val="Balk521"/>
    <w:uiPriority w:val="99"/>
    <w:locked/>
    <w:rPr>
      <w:rFonts w:ascii="Times New Roman" w:hAnsi="Times New Roman" w:cs="Times New Roman"/>
      <w:b/>
      <w:bCs/>
      <w:sz w:val="19"/>
      <w:szCs w:val="19"/>
      <w:u w:val="none"/>
    </w:rPr>
  </w:style>
  <w:style w:type="character" w:customStyle="1" w:styleId="Balk5210pt">
    <w:name w:val="Başlık #5 (2) + 10 pt"/>
    <w:uiPriority w:val="99"/>
    <w:rPr>
      <w:rFonts w:ascii="Times New Roman" w:hAnsi="Times New Roman" w:cs="Times New Roman"/>
      <w:b/>
      <w:bCs/>
      <w:sz w:val="20"/>
      <w:szCs w:val="20"/>
      <w:u w:val="none"/>
    </w:rPr>
  </w:style>
  <w:style w:type="character" w:customStyle="1" w:styleId="Dipnot0">
    <w:name w:val="Dipnot"/>
    <w:uiPriority w:val="99"/>
    <w:rPr>
      <w:rFonts w:ascii="Times New Roman" w:hAnsi="Times New Roman" w:cs="Times New Roman"/>
      <w:sz w:val="21"/>
      <w:szCs w:val="21"/>
      <w:u w:val="single"/>
    </w:rPr>
  </w:style>
  <w:style w:type="character" w:customStyle="1" w:styleId="Dipnot2">
    <w:name w:val="Dipnot (2)_"/>
    <w:link w:val="Dipnot20"/>
    <w:uiPriority w:val="99"/>
    <w:locked/>
    <w:rPr>
      <w:rFonts w:ascii="Times New Roman" w:hAnsi="Times New Roman" w:cs="Times New Roman"/>
      <w:sz w:val="21"/>
      <w:szCs w:val="21"/>
      <w:u w:val="none"/>
    </w:rPr>
  </w:style>
  <w:style w:type="character" w:customStyle="1" w:styleId="Dipnot29">
    <w:name w:val="Dipnot (2) + 9"/>
    <w:aliases w:val="5 pt"/>
    <w:uiPriority w:val="99"/>
    <w:rPr>
      <w:rFonts w:ascii="Times New Roman" w:hAnsi="Times New Roman" w:cs="Times New Roman"/>
      <w:sz w:val="19"/>
      <w:szCs w:val="19"/>
      <w:u w:val="none"/>
    </w:rPr>
  </w:style>
  <w:style w:type="character" w:customStyle="1" w:styleId="Dipnot3">
    <w:name w:val="Dipnot (3)_"/>
    <w:link w:val="Dipnot30"/>
    <w:uiPriority w:val="99"/>
    <w:locked/>
    <w:rPr>
      <w:rFonts w:ascii="Times New Roman" w:hAnsi="Times New Roman" w:cs="Times New Roman"/>
      <w:b/>
      <w:bCs/>
      <w:sz w:val="14"/>
      <w:szCs w:val="14"/>
      <w:u w:val="none"/>
    </w:rPr>
  </w:style>
  <w:style w:type="character" w:customStyle="1" w:styleId="Dipnot4">
    <w:name w:val="Dipnot (4)_"/>
    <w:link w:val="Dipnot40"/>
    <w:uiPriority w:val="99"/>
    <w:locked/>
    <w:rPr>
      <w:rFonts w:ascii="Arial" w:hAnsi="Arial" w:cs="Arial"/>
      <w:b/>
      <w:bCs/>
      <w:sz w:val="14"/>
      <w:szCs w:val="14"/>
      <w:u w:val="none"/>
    </w:rPr>
  </w:style>
  <w:style w:type="character" w:customStyle="1" w:styleId="Dipnot210pt">
    <w:name w:val="Dipnot (2) + 10 pt"/>
    <w:uiPriority w:val="99"/>
    <w:rPr>
      <w:rFonts w:ascii="Times New Roman" w:hAnsi="Times New Roman" w:cs="Times New Roman"/>
      <w:sz w:val="20"/>
      <w:szCs w:val="20"/>
      <w:u w:val="none"/>
    </w:rPr>
  </w:style>
  <w:style w:type="character" w:customStyle="1" w:styleId="Gvdemetni3Exact">
    <w:name w:val="Gövde metni (3) Exact"/>
    <w:uiPriority w:val="99"/>
    <w:rPr>
      <w:rFonts w:ascii="Times New Roman" w:hAnsi="Times New Roman" w:cs="Times New Roman"/>
      <w:sz w:val="18"/>
      <w:szCs w:val="18"/>
      <w:u w:val="none"/>
    </w:rPr>
  </w:style>
  <w:style w:type="character" w:customStyle="1" w:styleId="Gvdemetni">
    <w:name w:val="Gövde metni_"/>
    <w:link w:val="Gvdemetni1"/>
    <w:locked/>
    <w:rPr>
      <w:rFonts w:ascii="Times New Roman" w:hAnsi="Times New Roman" w:cs="Times New Roman"/>
      <w:sz w:val="21"/>
      <w:szCs w:val="21"/>
      <w:u w:val="none"/>
    </w:rPr>
  </w:style>
  <w:style w:type="character" w:customStyle="1" w:styleId="Balk10">
    <w:name w:val="Başlık #1_"/>
    <w:link w:val="Balk11"/>
    <w:uiPriority w:val="99"/>
    <w:locked/>
    <w:rPr>
      <w:rFonts w:ascii="Times New Roman" w:hAnsi="Times New Roman" w:cs="Times New Roman"/>
      <w:spacing w:val="20"/>
      <w:sz w:val="27"/>
      <w:szCs w:val="27"/>
      <w:u w:val="none"/>
    </w:rPr>
  </w:style>
  <w:style w:type="character" w:customStyle="1" w:styleId="Tabloyazs2">
    <w:name w:val="Tablo yazısı (2)_"/>
    <w:link w:val="Tabloyazs21"/>
    <w:uiPriority w:val="99"/>
    <w:locked/>
    <w:rPr>
      <w:rFonts w:ascii="Times New Roman" w:hAnsi="Times New Roman" w:cs="Times New Roman"/>
      <w:sz w:val="21"/>
      <w:szCs w:val="21"/>
      <w:u w:val="none"/>
    </w:rPr>
  </w:style>
  <w:style w:type="character" w:customStyle="1" w:styleId="Gvdemetni9">
    <w:name w:val="Gövde metni + 9"/>
    <w:aliases w:val="5 pt173"/>
    <w:uiPriority w:val="99"/>
    <w:rPr>
      <w:rFonts w:ascii="Times New Roman" w:hAnsi="Times New Roman" w:cs="Times New Roman"/>
      <w:sz w:val="19"/>
      <w:szCs w:val="19"/>
      <w:u w:val="none"/>
    </w:rPr>
  </w:style>
  <w:style w:type="character" w:customStyle="1" w:styleId="Gvdemetni0">
    <w:name w:val="Gövde metni"/>
    <w:uiPriority w:val="99"/>
  </w:style>
  <w:style w:type="character" w:customStyle="1" w:styleId="Gvdemetnitalik">
    <w:name w:val="Gövde metni + İtalik"/>
    <w:uiPriority w:val="99"/>
    <w:rPr>
      <w:rFonts w:ascii="Times New Roman" w:hAnsi="Times New Roman" w:cs="Times New Roman"/>
      <w:i/>
      <w:iCs/>
      <w:sz w:val="21"/>
      <w:szCs w:val="21"/>
      <w:u w:val="none"/>
    </w:rPr>
  </w:style>
  <w:style w:type="character" w:customStyle="1" w:styleId="Balk30">
    <w:name w:val="Başlık #3_"/>
    <w:link w:val="Balk31"/>
    <w:uiPriority w:val="99"/>
    <w:locked/>
    <w:rPr>
      <w:rFonts w:ascii="Times New Roman" w:hAnsi="Times New Roman" w:cs="Times New Roman"/>
      <w:sz w:val="19"/>
      <w:szCs w:val="19"/>
      <w:u w:val="none"/>
    </w:rPr>
  </w:style>
  <w:style w:type="character" w:customStyle="1" w:styleId="stbilgiveyaaltbilgi">
    <w:name w:val="Üst bilgi veya alt bilgi_"/>
    <w:link w:val="stbilgiveyaaltbilgi1"/>
    <w:uiPriority w:val="99"/>
    <w:locked/>
    <w:rPr>
      <w:rFonts w:ascii="Times New Roman" w:hAnsi="Times New Roman" w:cs="Times New Roman"/>
      <w:b/>
      <w:bCs/>
      <w:sz w:val="19"/>
      <w:szCs w:val="19"/>
      <w:u w:val="none"/>
    </w:rPr>
  </w:style>
  <w:style w:type="character" w:customStyle="1" w:styleId="stbilgiveyaaltbilgiKalnDeil">
    <w:name w:val="Üst bilgi veya alt bilgi + Kalın Değil"/>
    <w:uiPriority w:val="99"/>
    <w:rPr>
      <w:rFonts w:ascii="Times New Roman" w:hAnsi="Times New Roman" w:cs="Times New Roman"/>
      <w:b w:val="0"/>
      <w:bCs w:val="0"/>
      <w:sz w:val="19"/>
      <w:szCs w:val="19"/>
      <w:u w:val="none"/>
    </w:rPr>
  </w:style>
  <w:style w:type="character" w:customStyle="1" w:styleId="Gvdemetni20">
    <w:name w:val="Gövde metni20"/>
    <w:uiPriority w:val="99"/>
    <w:rPr>
      <w:rFonts w:ascii="Times New Roman" w:hAnsi="Times New Roman" w:cs="Times New Roman"/>
      <w:sz w:val="21"/>
      <w:szCs w:val="21"/>
      <w:u w:val="single"/>
    </w:rPr>
  </w:style>
  <w:style w:type="character" w:customStyle="1" w:styleId="Gvdemetni2">
    <w:name w:val="Gövde metni (2)_"/>
    <w:link w:val="Gvdemetni21"/>
    <w:uiPriority w:val="99"/>
    <w:locked/>
    <w:rPr>
      <w:rFonts w:ascii="Times New Roman" w:hAnsi="Times New Roman" w:cs="Times New Roman"/>
      <w:b/>
      <w:bCs/>
      <w:sz w:val="27"/>
      <w:szCs w:val="27"/>
      <w:u w:val="none"/>
    </w:rPr>
  </w:style>
  <w:style w:type="character" w:customStyle="1" w:styleId="T1Char">
    <w:name w:val="İÇT 1 Char"/>
    <w:link w:val="T1"/>
    <w:uiPriority w:val="99"/>
    <w:locked/>
    <w:rPr>
      <w:rFonts w:ascii="Times New Roman" w:hAnsi="Times New Roman" w:cs="Times New Roman"/>
      <w:sz w:val="19"/>
      <w:szCs w:val="19"/>
      <w:u w:val="none"/>
    </w:rPr>
  </w:style>
  <w:style w:type="character" w:customStyle="1" w:styleId="indekiler">
    <w:name w:val="İçindekiler"/>
    <w:uiPriority w:val="99"/>
  </w:style>
  <w:style w:type="character" w:customStyle="1" w:styleId="indekiler5">
    <w:name w:val="İçindekiler + 5"/>
    <w:aliases w:val="5 pt172"/>
    <w:uiPriority w:val="99"/>
    <w:rPr>
      <w:rFonts w:ascii="Times New Roman" w:hAnsi="Times New Roman" w:cs="Times New Roman"/>
      <w:noProof/>
      <w:sz w:val="11"/>
      <w:szCs w:val="11"/>
      <w:u w:val="none"/>
    </w:rPr>
  </w:style>
  <w:style w:type="character" w:customStyle="1" w:styleId="indekilerKkBykHarf">
    <w:name w:val="İçindekiler + Küçük Büyük Harf"/>
    <w:uiPriority w:val="99"/>
    <w:rPr>
      <w:rFonts w:ascii="Times New Roman" w:hAnsi="Times New Roman" w:cs="Times New Roman"/>
      <w:smallCaps/>
      <w:sz w:val="19"/>
      <w:szCs w:val="19"/>
      <w:u w:val="none"/>
    </w:rPr>
  </w:style>
  <w:style w:type="character" w:customStyle="1" w:styleId="indekiler2">
    <w:name w:val="İçindekiler2"/>
    <w:uiPriority w:val="99"/>
    <w:rPr>
      <w:rFonts w:ascii="Times New Roman" w:hAnsi="Times New Roman" w:cs="Times New Roman"/>
      <w:sz w:val="19"/>
      <w:szCs w:val="19"/>
      <w:u w:val="single"/>
    </w:rPr>
  </w:style>
  <w:style w:type="character" w:customStyle="1" w:styleId="Gvdemetni3">
    <w:name w:val="Gövde metni (3)_"/>
    <w:link w:val="Gvdemetni31"/>
    <w:uiPriority w:val="99"/>
    <w:locked/>
    <w:rPr>
      <w:rFonts w:ascii="Times New Roman" w:hAnsi="Times New Roman" w:cs="Times New Roman"/>
      <w:sz w:val="19"/>
      <w:szCs w:val="19"/>
      <w:u w:val="none"/>
    </w:rPr>
  </w:style>
  <w:style w:type="character" w:customStyle="1" w:styleId="indekiler1">
    <w:name w:val="İçindekiler1"/>
    <w:uiPriority w:val="99"/>
    <w:rPr>
      <w:rFonts w:ascii="Times New Roman" w:hAnsi="Times New Roman" w:cs="Times New Roman"/>
      <w:noProof/>
      <w:sz w:val="19"/>
      <w:szCs w:val="19"/>
      <w:u w:val="none"/>
    </w:rPr>
  </w:style>
  <w:style w:type="character" w:customStyle="1" w:styleId="indekiler9pt">
    <w:name w:val="İçindekiler + 9 pt"/>
    <w:aliases w:val="İtalik"/>
    <w:uiPriority w:val="99"/>
    <w:rPr>
      <w:rFonts w:ascii="Times New Roman" w:hAnsi="Times New Roman" w:cs="Times New Roman"/>
      <w:i/>
      <w:iCs/>
      <w:sz w:val="18"/>
      <w:szCs w:val="18"/>
      <w:u w:val="none"/>
    </w:rPr>
  </w:style>
  <w:style w:type="character" w:customStyle="1" w:styleId="stbilgiveyaaltbilgiKalnDeil2">
    <w:name w:val="Üst bilgi veya alt bilgi + Kalın Değil2"/>
    <w:aliases w:val="İtalik108"/>
    <w:uiPriority w:val="99"/>
    <w:rPr>
      <w:rFonts w:ascii="Times New Roman" w:hAnsi="Times New Roman" w:cs="Times New Roman"/>
      <w:b w:val="0"/>
      <w:bCs w:val="0"/>
      <w:i/>
      <w:iCs/>
      <w:noProof/>
      <w:sz w:val="19"/>
      <w:szCs w:val="19"/>
      <w:u w:val="none"/>
    </w:rPr>
  </w:style>
  <w:style w:type="character" w:customStyle="1" w:styleId="indekiler9pt2">
    <w:name w:val="İçindekiler + 9 pt2"/>
    <w:aliases w:val="İtalik107"/>
    <w:uiPriority w:val="99"/>
    <w:rPr>
      <w:rFonts w:ascii="Times New Roman" w:hAnsi="Times New Roman" w:cs="Times New Roman"/>
      <w:i/>
      <w:iCs/>
      <w:sz w:val="18"/>
      <w:szCs w:val="18"/>
      <w:u w:val="none"/>
    </w:rPr>
  </w:style>
  <w:style w:type="character" w:customStyle="1" w:styleId="Gvdemetni4">
    <w:name w:val="Gövde metni (4)_"/>
    <w:link w:val="Gvdemetni40"/>
    <w:uiPriority w:val="99"/>
    <w:locked/>
    <w:rPr>
      <w:rFonts w:ascii="Times New Roman" w:hAnsi="Times New Roman" w:cs="Times New Roman"/>
      <w:spacing w:val="20"/>
      <w:sz w:val="27"/>
      <w:szCs w:val="27"/>
      <w:u w:val="none"/>
    </w:rPr>
  </w:style>
  <w:style w:type="character" w:customStyle="1" w:styleId="Gvdemetni19">
    <w:name w:val="Gövde metni19"/>
    <w:uiPriority w:val="99"/>
    <w:rPr>
      <w:rFonts w:ascii="Times New Roman" w:hAnsi="Times New Roman" w:cs="Times New Roman"/>
      <w:sz w:val="21"/>
      <w:szCs w:val="21"/>
      <w:u w:val="single"/>
    </w:rPr>
  </w:style>
  <w:style w:type="character" w:customStyle="1" w:styleId="Resimyazs">
    <w:name w:val="Resim yazısı_"/>
    <w:link w:val="Resimyazs0"/>
    <w:uiPriority w:val="99"/>
    <w:locked/>
    <w:rPr>
      <w:rFonts w:ascii="Times New Roman" w:hAnsi="Times New Roman" w:cs="Times New Roman"/>
      <w:sz w:val="19"/>
      <w:szCs w:val="19"/>
      <w:u w:val="none"/>
    </w:rPr>
  </w:style>
  <w:style w:type="character" w:customStyle="1" w:styleId="Gvdemetni39pt">
    <w:name w:val="Gövde metni (3) + 9 pt"/>
    <w:aliases w:val="İtalik106"/>
    <w:uiPriority w:val="99"/>
    <w:rPr>
      <w:rFonts w:ascii="Times New Roman" w:hAnsi="Times New Roman" w:cs="Times New Roman"/>
      <w:i/>
      <w:iCs/>
      <w:sz w:val="18"/>
      <w:szCs w:val="18"/>
      <w:u w:val="none"/>
    </w:rPr>
  </w:style>
  <w:style w:type="character" w:customStyle="1" w:styleId="Gvdemetni39pt16">
    <w:name w:val="Gövde metni (3) + 9 pt16"/>
    <w:aliases w:val="İtalik105"/>
    <w:uiPriority w:val="99"/>
    <w:rPr>
      <w:rFonts w:ascii="Times New Roman" w:hAnsi="Times New Roman" w:cs="Times New Roman"/>
      <w:i/>
      <w:iCs/>
      <w:noProof/>
      <w:sz w:val="18"/>
      <w:szCs w:val="18"/>
      <w:u w:val="single"/>
    </w:rPr>
  </w:style>
  <w:style w:type="character" w:customStyle="1" w:styleId="Gvdemetni30">
    <w:name w:val="Gövde metni (3)"/>
    <w:uiPriority w:val="99"/>
    <w:rPr>
      <w:rFonts w:ascii="Times New Roman" w:hAnsi="Times New Roman" w:cs="Times New Roman"/>
      <w:sz w:val="19"/>
      <w:szCs w:val="19"/>
      <w:u w:val="single"/>
    </w:rPr>
  </w:style>
  <w:style w:type="character" w:customStyle="1" w:styleId="Gvdemetni36">
    <w:name w:val="Gövde metni (3)6"/>
    <w:uiPriority w:val="99"/>
    <w:rPr>
      <w:rFonts w:ascii="Times New Roman" w:hAnsi="Times New Roman" w:cs="Times New Roman"/>
      <w:sz w:val="19"/>
      <w:szCs w:val="19"/>
      <w:u w:val="single"/>
    </w:rPr>
  </w:style>
  <w:style w:type="character" w:customStyle="1" w:styleId="Gvdemetni35">
    <w:name w:val="Gövde metni (3)5"/>
    <w:uiPriority w:val="99"/>
  </w:style>
  <w:style w:type="character" w:customStyle="1" w:styleId="Balk40">
    <w:name w:val="Başlık #4_"/>
    <w:link w:val="Balk41"/>
    <w:uiPriority w:val="99"/>
    <w:locked/>
    <w:rPr>
      <w:rFonts w:ascii="Times New Roman" w:hAnsi="Times New Roman" w:cs="Times New Roman"/>
      <w:sz w:val="19"/>
      <w:szCs w:val="19"/>
      <w:u w:val="none"/>
    </w:rPr>
  </w:style>
  <w:style w:type="character" w:customStyle="1" w:styleId="Gvdemetni5">
    <w:name w:val="Gövde metni (5)_"/>
    <w:link w:val="Gvdemetni51"/>
    <w:uiPriority w:val="99"/>
    <w:locked/>
    <w:rPr>
      <w:rFonts w:ascii="Times New Roman" w:hAnsi="Times New Roman" w:cs="Times New Roman"/>
      <w:sz w:val="22"/>
      <w:szCs w:val="22"/>
      <w:u w:val="none"/>
    </w:rPr>
  </w:style>
  <w:style w:type="character" w:customStyle="1" w:styleId="Gvdemetni9pt">
    <w:name w:val="Gövde metni + 9 pt"/>
    <w:aliases w:val="İtalik104"/>
    <w:uiPriority w:val="99"/>
    <w:rPr>
      <w:rFonts w:ascii="Times New Roman" w:hAnsi="Times New Roman" w:cs="Times New Roman"/>
      <w:i/>
      <w:iCs/>
      <w:sz w:val="18"/>
      <w:szCs w:val="18"/>
      <w:u w:val="none"/>
    </w:rPr>
  </w:style>
  <w:style w:type="character" w:customStyle="1" w:styleId="stbilgiveyaaltbilgi0">
    <w:name w:val="Üst bilgi veya alt bilgi"/>
    <w:uiPriority w:val="99"/>
  </w:style>
  <w:style w:type="character" w:customStyle="1" w:styleId="Gvdemetni8">
    <w:name w:val="Gövde metni + 8"/>
    <w:aliases w:val="5 pt171,Kalın"/>
    <w:uiPriority w:val="99"/>
    <w:rPr>
      <w:rFonts w:ascii="Times New Roman" w:hAnsi="Times New Roman" w:cs="Times New Roman"/>
      <w:b/>
      <w:bCs/>
      <w:sz w:val="17"/>
      <w:szCs w:val="17"/>
      <w:u w:val="none"/>
    </w:rPr>
  </w:style>
  <w:style w:type="character" w:customStyle="1" w:styleId="Gvdemetni9pt27">
    <w:name w:val="Gövde metni + 9 pt27"/>
    <w:uiPriority w:val="99"/>
    <w:rPr>
      <w:rFonts w:ascii="Times New Roman" w:hAnsi="Times New Roman" w:cs="Times New Roman"/>
      <w:sz w:val="18"/>
      <w:szCs w:val="18"/>
      <w:u w:val="none"/>
    </w:rPr>
  </w:style>
  <w:style w:type="character" w:customStyle="1" w:styleId="Gvdemetni8pt">
    <w:name w:val="Gövde metni + 8 pt"/>
    <w:uiPriority w:val="99"/>
    <w:rPr>
      <w:rFonts w:ascii="Times New Roman" w:hAnsi="Times New Roman" w:cs="Times New Roman"/>
      <w:sz w:val="16"/>
      <w:szCs w:val="16"/>
      <w:u w:val="none"/>
    </w:rPr>
  </w:style>
  <w:style w:type="character" w:customStyle="1" w:styleId="Gvdemetni8pt8">
    <w:name w:val="Gövde metni + 8 pt8"/>
    <w:aliases w:val="İtalik103"/>
    <w:uiPriority w:val="99"/>
    <w:rPr>
      <w:rFonts w:ascii="Times New Roman" w:hAnsi="Times New Roman" w:cs="Times New Roman"/>
      <w:i/>
      <w:iCs/>
      <w:sz w:val="16"/>
      <w:szCs w:val="16"/>
      <w:u w:val="none"/>
    </w:rPr>
  </w:style>
  <w:style w:type="character" w:customStyle="1" w:styleId="Resimyazs2Exact">
    <w:name w:val="Resim yazısı (2) Exact"/>
    <w:link w:val="Resimyazs2"/>
    <w:uiPriority w:val="99"/>
    <w:locked/>
    <w:rPr>
      <w:rFonts w:ascii="Times New Roman" w:hAnsi="Times New Roman" w:cs="Times New Roman"/>
      <w:b/>
      <w:bCs/>
      <w:spacing w:val="8"/>
      <w:sz w:val="18"/>
      <w:szCs w:val="18"/>
      <w:u w:val="none"/>
    </w:rPr>
  </w:style>
  <w:style w:type="character" w:customStyle="1" w:styleId="Gvdemetni6Exact">
    <w:name w:val="Gövde metni (6) Exact"/>
    <w:uiPriority w:val="99"/>
    <w:rPr>
      <w:rFonts w:ascii="Times New Roman" w:hAnsi="Times New Roman" w:cs="Times New Roman"/>
      <w:b/>
      <w:bCs/>
      <w:spacing w:val="8"/>
      <w:sz w:val="18"/>
      <w:szCs w:val="18"/>
      <w:u w:val="none"/>
    </w:rPr>
  </w:style>
  <w:style w:type="character" w:customStyle="1" w:styleId="Gvdemetni6talik">
    <w:name w:val="Gövde metni (6) + İtalik"/>
    <w:aliases w:val="0 pt boşluk bırakılıyor Exact"/>
    <w:uiPriority w:val="99"/>
    <w:rPr>
      <w:rFonts w:ascii="Times New Roman" w:hAnsi="Times New Roman" w:cs="Times New Roman"/>
      <w:b/>
      <w:bCs/>
      <w:i/>
      <w:iCs/>
      <w:color w:val="000000"/>
      <w:spacing w:val="15"/>
      <w:w w:val="100"/>
      <w:position w:val="0"/>
      <w:sz w:val="18"/>
      <w:szCs w:val="18"/>
      <w:u w:val="none"/>
    </w:rPr>
  </w:style>
  <w:style w:type="character" w:customStyle="1" w:styleId="Gvdemetni6">
    <w:name w:val="Gövde metni (6)_"/>
    <w:link w:val="Gvdemetni61"/>
    <w:uiPriority w:val="99"/>
    <w:locked/>
    <w:rPr>
      <w:rFonts w:ascii="Times New Roman" w:hAnsi="Times New Roman" w:cs="Times New Roman"/>
      <w:b/>
      <w:bCs/>
      <w:sz w:val="20"/>
      <w:szCs w:val="20"/>
      <w:u w:val="none"/>
    </w:rPr>
  </w:style>
  <w:style w:type="character" w:customStyle="1" w:styleId="Gvdemetnitalik16">
    <w:name w:val="Gövde metni + İtalik16"/>
    <w:uiPriority w:val="99"/>
    <w:rPr>
      <w:rFonts w:ascii="Times New Roman" w:hAnsi="Times New Roman" w:cs="Times New Roman"/>
      <w:i/>
      <w:iCs/>
      <w:sz w:val="21"/>
      <w:szCs w:val="21"/>
      <w:u w:val="none"/>
    </w:rPr>
  </w:style>
  <w:style w:type="character" w:customStyle="1" w:styleId="Gvdemetnitalik15">
    <w:name w:val="Gövde metni + İtalik15"/>
    <w:uiPriority w:val="99"/>
    <w:rPr>
      <w:rFonts w:ascii="Times New Roman" w:hAnsi="Times New Roman" w:cs="Times New Roman"/>
      <w:i/>
      <w:iCs/>
      <w:noProof/>
      <w:sz w:val="21"/>
      <w:szCs w:val="21"/>
      <w:u w:val="single"/>
    </w:rPr>
  </w:style>
  <w:style w:type="character" w:customStyle="1" w:styleId="Gvdemetni18">
    <w:name w:val="Gövde metni18"/>
    <w:uiPriority w:val="99"/>
    <w:rPr>
      <w:rFonts w:ascii="Times New Roman" w:hAnsi="Times New Roman" w:cs="Times New Roman"/>
      <w:sz w:val="21"/>
      <w:szCs w:val="21"/>
      <w:u w:val="single"/>
    </w:rPr>
  </w:style>
  <w:style w:type="character" w:customStyle="1" w:styleId="Gvdemetni17">
    <w:name w:val="Gövde metni17"/>
    <w:uiPriority w:val="99"/>
  </w:style>
  <w:style w:type="character" w:customStyle="1" w:styleId="Gvdemetni917">
    <w:name w:val="Gövde metni + 917"/>
    <w:aliases w:val="5 pt170"/>
    <w:uiPriority w:val="99"/>
    <w:rPr>
      <w:rFonts w:ascii="Times New Roman" w:hAnsi="Times New Roman" w:cs="Times New Roman"/>
      <w:sz w:val="19"/>
      <w:szCs w:val="19"/>
      <w:u w:val="none"/>
    </w:rPr>
  </w:style>
  <w:style w:type="character" w:customStyle="1" w:styleId="Gvdemetni60">
    <w:name w:val="Gövde metni + 6"/>
    <w:aliases w:val="5 pt169"/>
    <w:uiPriority w:val="99"/>
    <w:rPr>
      <w:rFonts w:ascii="Times New Roman" w:hAnsi="Times New Roman" w:cs="Times New Roman"/>
      <w:sz w:val="13"/>
      <w:szCs w:val="13"/>
      <w:u w:val="none"/>
    </w:rPr>
  </w:style>
  <w:style w:type="character" w:customStyle="1" w:styleId="Balk32">
    <w:name w:val="Başlık #3"/>
    <w:uiPriority w:val="99"/>
    <w:rPr>
      <w:rFonts w:ascii="Times New Roman" w:hAnsi="Times New Roman" w:cs="Times New Roman"/>
      <w:sz w:val="19"/>
      <w:szCs w:val="19"/>
      <w:u w:val="single"/>
    </w:rPr>
  </w:style>
  <w:style w:type="character" w:customStyle="1" w:styleId="Gvdemetni15pt">
    <w:name w:val="Gövde metni + 15 pt"/>
    <w:aliases w:val="Kalın92"/>
    <w:uiPriority w:val="99"/>
    <w:rPr>
      <w:rFonts w:ascii="Times New Roman" w:hAnsi="Times New Roman" w:cs="Times New Roman"/>
      <w:b/>
      <w:bCs/>
      <w:sz w:val="30"/>
      <w:szCs w:val="30"/>
      <w:u w:val="none"/>
    </w:rPr>
  </w:style>
  <w:style w:type="character" w:customStyle="1" w:styleId="GvdemetniBookAntiqua">
    <w:name w:val="Gövde metni + Book Antiqua"/>
    <w:aliases w:val="13 pt,Kalın91"/>
    <w:uiPriority w:val="99"/>
    <w:rPr>
      <w:rFonts w:ascii="Book Antiqua" w:hAnsi="Book Antiqua" w:cs="Book Antiqua"/>
      <w:b/>
      <w:bCs/>
      <w:noProof/>
      <w:sz w:val="26"/>
      <w:szCs w:val="26"/>
      <w:u w:val="none"/>
    </w:rPr>
  </w:style>
  <w:style w:type="character" w:customStyle="1" w:styleId="Gvdemetni10pt">
    <w:name w:val="Gövde metni + 10 pt"/>
    <w:uiPriority w:val="99"/>
    <w:rPr>
      <w:rFonts w:ascii="Times New Roman" w:hAnsi="Times New Roman" w:cs="Times New Roman"/>
      <w:noProof/>
      <w:sz w:val="20"/>
      <w:szCs w:val="20"/>
      <w:u w:val="none"/>
    </w:rPr>
  </w:style>
  <w:style w:type="character" w:customStyle="1" w:styleId="Gvdemetni63">
    <w:name w:val="Gövde metni + 63"/>
    <w:aliases w:val="5 pt168"/>
    <w:uiPriority w:val="99"/>
    <w:rPr>
      <w:rFonts w:ascii="Times New Roman" w:hAnsi="Times New Roman" w:cs="Times New Roman"/>
      <w:sz w:val="13"/>
      <w:szCs w:val="13"/>
      <w:u w:val="none"/>
    </w:rPr>
  </w:style>
  <w:style w:type="character" w:customStyle="1" w:styleId="GvdemetniFranklinGothicHeavy">
    <w:name w:val="Gövde metni + Franklin Gothic Heavy"/>
    <w:aliases w:val="12 pt"/>
    <w:uiPriority w:val="99"/>
    <w:rPr>
      <w:rFonts w:ascii="Franklin Gothic Heavy" w:hAnsi="Franklin Gothic Heavy" w:cs="Franklin Gothic Heavy"/>
      <w:sz w:val="24"/>
      <w:szCs w:val="24"/>
      <w:u w:val="none"/>
    </w:rPr>
  </w:style>
  <w:style w:type="character" w:customStyle="1" w:styleId="GvdemetniFranklinGothicHeavy5">
    <w:name w:val="Gövde metni + Franklin Gothic Heavy5"/>
    <w:aliases w:val="6,5 pt167"/>
    <w:uiPriority w:val="99"/>
    <w:rPr>
      <w:rFonts w:ascii="Franklin Gothic Heavy" w:hAnsi="Franklin Gothic Heavy" w:cs="Franklin Gothic Heavy"/>
      <w:sz w:val="13"/>
      <w:szCs w:val="13"/>
      <w:u w:val="none"/>
    </w:rPr>
  </w:style>
  <w:style w:type="character" w:customStyle="1" w:styleId="Gvdemetni50">
    <w:name w:val="Gövde metni (5)"/>
    <w:uiPriority w:val="99"/>
    <w:rPr>
      <w:rFonts w:ascii="Times New Roman" w:hAnsi="Times New Roman" w:cs="Times New Roman"/>
      <w:sz w:val="22"/>
      <w:szCs w:val="22"/>
      <w:u w:val="single"/>
    </w:rPr>
  </w:style>
  <w:style w:type="character" w:customStyle="1" w:styleId="Balk20">
    <w:name w:val="Başlık #2_"/>
    <w:link w:val="Balk21"/>
    <w:uiPriority w:val="99"/>
    <w:locked/>
    <w:rPr>
      <w:rFonts w:ascii="Arial" w:hAnsi="Arial" w:cs="Arial"/>
      <w:b/>
      <w:bCs/>
      <w:sz w:val="23"/>
      <w:szCs w:val="23"/>
      <w:u w:val="none"/>
    </w:rPr>
  </w:style>
  <w:style w:type="character" w:customStyle="1" w:styleId="Resimyazs3">
    <w:name w:val="Resim yazısı (3)_"/>
    <w:link w:val="Resimyazs31"/>
    <w:uiPriority w:val="99"/>
    <w:locked/>
    <w:rPr>
      <w:rFonts w:ascii="Times New Roman" w:hAnsi="Times New Roman" w:cs="Times New Roman"/>
      <w:sz w:val="12"/>
      <w:szCs w:val="12"/>
      <w:u w:val="none"/>
    </w:rPr>
  </w:style>
  <w:style w:type="character" w:customStyle="1" w:styleId="Resimyazs3talik">
    <w:name w:val="Resim yazısı (3) + İtalik"/>
    <w:aliases w:val="0 pt boşluk bırakılıyor"/>
    <w:uiPriority w:val="99"/>
    <w:rPr>
      <w:rFonts w:ascii="Times New Roman" w:hAnsi="Times New Roman" w:cs="Times New Roman"/>
      <w:i/>
      <w:iCs/>
      <w:spacing w:val="-10"/>
      <w:sz w:val="12"/>
      <w:szCs w:val="12"/>
      <w:u w:val="none"/>
    </w:rPr>
  </w:style>
  <w:style w:type="character" w:customStyle="1" w:styleId="Resimyazs3talik1">
    <w:name w:val="Resim yazısı (3) + İtalik1"/>
    <w:aliases w:val="0 pt boşluk bırakılıyor39"/>
    <w:uiPriority w:val="99"/>
    <w:rPr>
      <w:rFonts w:ascii="Times New Roman" w:hAnsi="Times New Roman" w:cs="Times New Roman"/>
      <w:i/>
      <w:iCs/>
      <w:noProof/>
      <w:spacing w:val="-10"/>
      <w:sz w:val="12"/>
      <w:szCs w:val="12"/>
      <w:u w:val="single"/>
    </w:rPr>
  </w:style>
  <w:style w:type="character" w:customStyle="1" w:styleId="Resimyazs30">
    <w:name w:val="Resim yazısı (3)"/>
    <w:uiPriority w:val="99"/>
    <w:rPr>
      <w:rFonts w:ascii="Times New Roman" w:hAnsi="Times New Roman" w:cs="Times New Roman"/>
      <w:sz w:val="12"/>
      <w:szCs w:val="12"/>
      <w:u w:val="single"/>
    </w:rPr>
  </w:style>
  <w:style w:type="character" w:customStyle="1" w:styleId="Resimyazs33">
    <w:name w:val="Resim yazısı (3)3"/>
    <w:uiPriority w:val="99"/>
    <w:rPr>
      <w:rFonts w:ascii="Times New Roman" w:hAnsi="Times New Roman" w:cs="Times New Roman"/>
      <w:sz w:val="12"/>
      <w:szCs w:val="12"/>
      <w:u w:val="single"/>
    </w:rPr>
  </w:style>
  <w:style w:type="character" w:customStyle="1" w:styleId="Resimyazs32">
    <w:name w:val="Resim yazısı (3)2"/>
    <w:uiPriority w:val="99"/>
    <w:rPr>
      <w:rFonts w:ascii="Times New Roman" w:hAnsi="Times New Roman" w:cs="Times New Roman"/>
      <w:noProof/>
      <w:sz w:val="12"/>
      <w:szCs w:val="12"/>
      <w:u w:val="single"/>
    </w:rPr>
  </w:style>
  <w:style w:type="character" w:customStyle="1" w:styleId="Tabloyazs">
    <w:name w:val="Tablo yazısı_"/>
    <w:link w:val="Tabloyazs1"/>
    <w:uiPriority w:val="99"/>
    <w:locked/>
    <w:rPr>
      <w:rFonts w:ascii="Times New Roman" w:hAnsi="Times New Roman" w:cs="Times New Roman"/>
      <w:sz w:val="19"/>
      <w:szCs w:val="19"/>
      <w:u w:val="none"/>
    </w:rPr>
  </w:style>
  <w:style w:type="character" w:customStyle="1" w:styleId="Tabloyazs9pt">
    <w:name w:val="Tablo yazısı + 9 pt"/>
    <w:aliases w:val="İtalik102"/>
    <w:uiPriority w:val="99"/>
    <w:rPr>
      <w:rFonts w:ascii="Times New Roman" w:hAnsi="Times New Roman" w:cs="Times New Roman"/>
      <w:i/>
      <w:iCs/>
      <w:sz w:val="18"/>
      <w:szCs w:val="18"/>
      <w:u w:val="none"/>
    </w:rPr>
  </w:style>
  <w:style w:type="character" w:customStyle="1" w:styleId="Tabloyazs9pt3">
    <w:name w:val="Tablo yazısı + 9 pt3"/>
    <w:aliases w:val="İtalik101"/>
    <w:uiPriority w:val="99"/>
    <w:rPr>
      <w:rFonts w:ascii="Times New Roman" w:hAnsi="Times New Roman" w:cs="Times New Roman"/>
      <w:i/>
      <w:iCs/>
      <w:noProof/>
      <w:sz w:val="18"/>
      <w:szCs w:val="18"/>
      <w:u w:val="single"/>
    </w:rPr>
  </w:style>
  <w:style w:type="character" w:customStyle="1" w:styleId="Tabloyazs0">
    <w:name w:val="Tablo yazısı"/>
    <w:uiPriority w:val="99"/>
    <w:rPr>
      <w:rFonts w:ascii="Times New Roman" w:hAnsi="Times New Roman" w:cs="Times New Roman"/>
      <w:sz w:val="19"/>
      <w:szCs w:val="19"/>
      <w:u w:val="single"/>
    </w:rPr>
  </w:style>
  <w:style w:type="character" w:customStyle="1" w:styleId="GvdemetniKkBykHarf">
    <w:name w:val="Gövde metni + Küçük Büyük Harf"/>
    <w:uiPriority w:val="99"/>
    <w:rPr>
      <w:rFonts w:ascii="Times New Roman" w:hAnsi="Times New Roman" w:cs="Times New Roman"/>
      <w:smallCaps/>
      <w:sz w:val="21"/>
      <w:szCs w:val="21"/>
      <w:u w:val="none"/>
    </w:rPr>
  </w:style>
  <w:style w:type="character" w:customStyle="1" w:styleId="Gvdemetni916">
    <w:name w:val="Gövde metni + 916"/>
    <w:aliases w:val="5 pt166,Küçük Büyük Harf"/>
    <w:uiPriority w:val="99"/>
    <w:rPr>
      <w:rFonts w:ascii="Times New Roman" w:hAnsi="Times New Roman" w:cs="Times New Roman"/>
      <w:smallCaps/>
      <w:sz w:val="19"/>
      <w:szCs w:val="19"/>
      <w:u w:val="none"/>
    </w:rPr>
  </w:style>
  <w:style w:type="character" w:customStyle="1" w:styleId="Gvdemetni52">
    <w:name w:val="Gövde metni + 5"/>
    <w:aliases w:val="5 pt165"/>
    <w:uiPriority w:val="99"/>
    <w:rPr>
      <w:rFonts w:ascii="Times New Roman" w:hAnsi="Times New Roman" w:cs="Times New Roman"/>
      <w:noProof/>
      <w:sz w:val="11"/>
      <w:szCs w:val="11"/>
      <w:u w:val="none"/>
    </w:rPr>
  </w:style>
  <w:style w:type="character" w:customStyle="1" w:styleId="Gvdemetni7">
    <w:name w:val="Gövde metni (7)_"/>
    <w:link w:val="Gvdemetni71"/>
    <w:uiPriority w:val="99"/>
    <w:locked/>
    <w:rPr>
      <w:rFonts w:ascii="Times New Roman" w:hAnsi="Times New Roman" w:cs="Times New Roman"/>
      <w:b/>
      <w:bCs/>
      <w:sz w:val="19"/>
      <w:szCs w:val="19"/>
      <w:u w:val="none"/>
    </w:rPr>
  </w:style>
  <w:style w:type="character" w:customStyle="1" w:styleId="Gvdemetni7Candara">
    <w:name w:val="Gövde metni (7) + Candara"/>
    <w:aliases w:val="8 pt,Kalın Değil"/>
    <w:uiPriority w:val="99"/>
    <w:rPr>
      <w:rFonts w:ascii="Candara" w:hAnsi="Candara" w:cs="Candara"/>
      <w:b w:val="0"/>
      <w:bCs w:val="0"/>
      <w:noProof/>
      <w:sz w:val="16"/>
      <w:szCs w:val="16"/>
      <w:u w:val="none"/>
    </w:rPr>
  </w:style>
  <w:style w:type="character" w:customStyle="1" w:styleId="Gvdemetni7Impact">
    <w:name w:val="Gövde metni (7) + Impact"/>
    <w:aliases w:val="8,5 pt164,Kalın Değil39,İtalik100,1 pt boşluk bırakılıyor"/>
    <w:uiPriority w:val="99"/>
    <w:rPr>
      <w:rFonts w:ascii="Impact" w:hAnsi="Impact" w:cs="Impact"/>
      <w:b w:val="0"/>
      <w:bCs w:val="0"/>
      <w:i/>
      <w:iCs/>
      <w:spacing w:val="30"/>
      <w:sz w:val="17"/>
      <w:szCs w:val="17"/>
      <w:u w:val="none"/>
    </w:rPr>
  </w:style>
  <w:style w:type="character" w:customStyle="1" w:styleId="Gvdemetni7Impact1">
    <w:name w:val="Gövde metni (7) + Impact1"/>
    <w:aliases w:val="7,5 pt163,Kalın Değil38,İtalik99"/>
    <w:uiPriority w:val="99"/>
    <w:rPr>
      <w:rFonts w:ascii="Impact" w:hAnsi="Impact" w:cs="Impact"/>
      <w:b w:val="0"/>
      <w:bCs w:val="0"/>
      <w:i/>
      <w:iCs/>
      <w:noProof/>
      <w:sz w:val="15"/>
      <w:szCs w:val="15"/>
      <w:u w:val="none"/>
    </w:rPr>
  </w:style>
  <w:style w:type="character" w:customStyle="1" w:styleId="Gvdemetni7KkBykHarf">
    <w:name w:val="Gövde metni (7) + Küçük Büyük Harf"/>
    <w:uiPriority w:val="99"/>
    <w:rPr>
      <w:rFonts w:ascii="Times New Roman" w:hAnsi="Times New Roman" w:cs="Times New Roman"/>
      <w:b/>
      <w:bCs/>
      <w:smallCaps/>
      <w:sz w:val="19"/>
      <w:szCs w:val="19"/>
      <w:u w:val="none"/>
    </w:rPr>
  </w:style>
  <w:style w:type="character" w:customStyle="1" w:styleId="stbilgiveyaaltbilgiArial">
    <w:name w:val="Üst bilgi veya alt bilgi + Arial"/>
    <w:aliases w:val="13,5 pt162"/>
    <w:uiPriority w:val="99"/>
    <w:rPr>
      <w:rFonts w:ascii="Arial" w:hAnsi="Arial" w:cs="Arial"/>
      <w:b/>
      <w:bCs/>
      <w:sz w:val="27"/>
      <w:szCs w:val="27"/>
      <w:u w:val="none"/>
    </w:rPr>
  </w:style>
  <w:style w:type="character" w:customStyle="1" w:styleId="stbilgiveyaaltbilgiKalnDeil1">
    <w:name w:val="Üst bilgi veya alt bilgi + Kalın Değil1"/>
    <w:uiPriority w:val="99"/>
    <w:rPr>
      <w:rFonts w:ascii="Times New Roman" w:hAnsi="Times New Roman" w:cs="Times New Roman"/>
      <w:b w:val="0"/>
      <w:bCs w:val="0"/>
      <w:sz w:val="19"/>
      <w:szCs w:val="19"/>
      <w:u w:val="single"/>
    </w:rPr>
  </w:style>
  <w:style w:type="character" w:customStyle="1" w:styleId="Gvdemetni310">
    <w:name w:val="Gövde metni (3) + 10"/>
    <w:aliases w:val="5 pt161"/>
    <w:uiPriority w:val="99"/>
    <w:rPr>
      <w:rFonts w:ascii="Times New Roman" w:hAnsi="Times New Roman" w:cs="Times New Roman"/>
      <w:sz w:val="21"/>
      <w:szCs w:val="21"/>
      <w:u w:val="none"/>
    </w:rPr>
  </w:style>
  <w:style w:type="character" w:customStyle="1" w:styleId="Gvdemetni16">
    <w:name w:val="Gövde metni16"/>
    <w:uiPriority w:val="99"/>
    <w:rPr>
      <w:rFonts w:ascii="Times New Roman" w:hAnsi="Times New Roman" w:cs="Times New Roman"/>
      <w:sz w:val="21"/>
      <w:szCs w:val="21"/>
      <w:u w:val="single"/>
    </w:rPr>
  </w:style>
  <w:style w:type="character" w:customStyle="1" w:styleId="Balk310">
    <w:name w:val="Başlık #3 + 10"/>
    <w:aliases w:val="5 pt160"/>
    <w:uiPriority w:val="99"/>
    <w:rPr>
      <w:rFonts w:ascii="Times New Roman" w:hAnsi="Times New Roman" w:cs="Times New Roman"/>
      <w:sz w:val="21"/>
      <w:szCs w:val="21"/>
      <w:u w:val="none"/>
    </w:rPr>
  </w:style>
  <w:style w:type="character" w:customStyle="1" w:styleId="Gvdemetni39pt15">
    <w:name w:val="Gövde metni (3) + 9 pt15"/>
    <w:aliases w:val="Kalın90"/>
    <w:uiPriority w:val="99"/>
    <w:rPr>
      <w:rFonts w:ascii="Times New Roman" w:hAnsi="Times New Roman" w:cs="Times New Roman"/>
      <w:b/>
      <w:bCs/>
      <w:sz w:val="18"/>
      <w:szCs w:val="18"/>
      <w:u w:val="none"/>
    </w:rPr>
  </w:style>
  <w:style w:type="character" w:customStyle="1" w:styleId="stbilgiveyaaltbilgi4">
    <w:name w:val="Üst bilgi veya alt bilgi (4)_"/>
    <w:link w:val="stbilgiveyaaltbilgi40"/>
    <w:uiPriority w:val="99"/>
    <w:locked/>
    <w:rPr>
      <w:rFonts w:ascii="Times New Roman" w:hAnsi="Times New Roman" w:cs="Times New Roman"/>
      <w:b/>
      <w:bCs/>
      <w:sz w:val="18"/>
      <w:szCs w:val="18"/>
      <w:u w:val="none"/>
    </w:rPr>
  </w:style>
  <w:style w:type="character" w:customStyle="1" w:styleId="Gvdemetni9pt26">
    <w:name w:val="Gövde metni + 9 pt26"/>
    <w:aliases w:val="Kalın89"/>
    <w:uiPriority w:val="99"/>
    <w:rPr>
      <w:rFonts w:ascii="Times New Roman" w:hAnsi="Times New Roman" w:cs="Times New Roman"/>
      <w:b/>
      <w:bCs/>
      <w:sz w:val="18"/>
      <w:szCs w:val="18"/>
      <w:u w:val="none"/>
    </w:rPr>
  </w:style>
  <w:style w:type="character" w:customStyle="1" w:styleId="Gvdemetni9pt25">
    <w:name w:val="Gövde metni + 9 pt25"/>
    <w:aliases w:val="İtalik98"/>
    <w:uiPriority w:val="99"/>
    <w:rPr>
      <w:rFonts w:ascii="Times New Roman" w:hAnsi="Times New Roman" w:cs="Times New Roman"/>
      <w:i/>
      <w:iCs/>
      <w:sz w:val="18"/>
      <w:szCs w:val="18"/>
      <w:u w:val="none"/>
    </w:rPr>
  </w:style>
  <w:style w:type="character" w:customStyle="1" w:styleId="Gvdemetni80">
    <w:name w:val="Gövde metni (8)_"/>
    <w:link w:val="Gvdemetni81"/>
    <w:uiPriority w:val="99"/>
    <w:locked/>
    <w:rPr>
      <w:rFonts w:ascii="Times New Roman" w:hAnsi="Times New Roman" w:cs="Times New Roman"/>
      <w:sz w:val="12"/>
      <w:szCs w:val="12"/>
      <w:u w:val="none"/>
    </w:rPr>
  </w:style>
  <w:style w:type="character" w:customStyle="1" w:styleId="Gvdemetni8talik">
    <w:name w:val="Gövde metni (8) + İtalik"/>
    <w:uiPriority w:val="99"/>
    <w:rPr>
      <w:rFonts w:ascii="Times New Roman" w:hAnsi="Times New Roman" w:cs="Times New Roman"/>
      <w:i/>
      <w:iCs/>
      <w:sz w:val="12"/>
      <w:szCs w:val="12"/>
      <w:u w:val="none"/>
    </w:rPr>
  </w:style>
  <w:style w:type="character" w:customStyle="1" w:styleId="Gvdemetni8talik1">
    <w:name w:val="Gövde metni (8) + İtalik1"/>
    <w:uiPriority w:val="99"/>
    <w:rPr>
      <w:rFonts w:ascii="Times New Roman" w:hAnsi="Times New Roman" w:cs="Times New Roman"/>
      <w:i/>
      <w:iCs/>
      <w:noProof/>
      <w:sz w:val="12"/>
      <w:szCs w:val="12"/>
      <w:u w:val="single"/>
    </w:rPr>
  </w:style>
  <w:style w:type="character" w:customStyle="1" w:styleId="Gvdemetni82">
    <w:name w:val="Gövde metni (8)"/>
    <w:uiPriority w:val="99"/>
    <w:rPr>
      <w:rFonts w:ascii="Times New Roman" w:hAnsi="Times New Roman" w:cs="Times New Roman"/>
      <w:sz w:val="12"/>
      <w:szCs w:val="12"/>
      <w:u w:val="single"/>
    </w:rPr>
  </w:style>
  <w:style w:type="character" w:customStyle="1" w:styleId="Gvdemetni820">
    <w:name w:val="Gövde metni (8)2"/>
    <w:uiPriority w:val="99"/>
    <w:rPr>
      <w:rFonts w:ascii="Times New Roman" w:hAnsi="Times New Roman" w:cs="Times New Roman"/>
      <w:noProof/>
      <w:sz w:val="12"/>
      <w:szCs w:val="12"/>
      <w:u w:val="single"/>
    </w:rPr>
  </w:style>
  <w:style w:type="character" w:customStyle="1" w:styleId="Resimyazs9pt">
    <w:name w:val="Resim yazısı + 9 pt"/>
    <w:aliases w:val="Kalın88"/>
    <w:uiPriority w:val="99"/>
    <w:rPr>
      <w:rFonts w:ascii="Times New Roman" w:hAnsi="Times New Roman" w:cs="Times New Roman"/>
      <w:b/>
      <w:bCs/>
      <w:sz w:val="18"/>
      <w:szCs w:val="18"/>
      <w:u w:val="none"/>
    </w:rPr>
  </w:style>
  <w:style w:type="character" w:customStyle="1" w:styleId="Balk10ptbolukbraklyor">
    <w:name w:val="Başlık #1 + 0 pt boşluk bırakılıyor"/>
    <w:uiPriority w:val="99"/>
    <w:rPr>
      <w:rFonts w:ascii="Times New Roman" w:hAnsi="Times New Roman" w:cs="Times New Roman"/>
      <w:spacing w:val="10"/>
      <w:sz w:val="27"/>
      <w:szCs w:val="27"/>
      <w:u w:val="none"/>
    </w:rPr>
  </w:style>
  <w:style w:type="character" w:customStyle="1" w:styleId="Balk50">
    <w:name w:val="Başlık #5_"/>
    <w:link w:val="Balk51"/>
    <w:uiPriority w:val="99"/>
    <w:locked/>
    <w:rPr>
      <w:rFonts w:ascii="Times New Roman" w:hAnsi="Times New Roman" w:cs="Times New Roman"/>
      <w:b/>
      <w:bCs/>
      <w:sz w:val="18"/>
      <w:szCs w:val="18"/>
      <w:u w:val="none"/>
    </w:rPr>
  </w:style>
  <w:style w:type="character" w:customStyle="1" w:styleId="Balk510">
    <w:name w:val="Başlık #5 + 10"/>
    <w:aliases w:val="5 pt159,Kalın Değil37"/>
    <w:uiPriority w:val="99"/>
    <w:rPr>
      <w:rFonts w:ascii="Times New Roman" w:hAnsi="Times New Roman" w:cs="Times New Roman"/>
      <w:b w:val="0"/>
      <w:bCs w:val="0"/>
      <w:sz w:val="21"/>
      <w:szCs w:val="21"/>
      <w:u w:val="none"/>
    </w:rPr>
  </w:style>
  <w:style w:type="character" w:customStyle="1" w:styleId="Gvdemetni6pt">
    <w:name w:val="Gövde metni + 6 pt"/>
    <w:uiPriority w:val="99"/>
    <w:rPr>
      <w:rFonts w:ascii="Times New Roman" w:hAnsi="Times New Roman" w:cs="Times New Roman"/>
      <w:sz w:val="12"/>
      <w:szCs w:val="12"/>
      <w:u w:val="none"/>
    </w:rPr>
  </w:style>
  <w:style w:type="character" w:customStyle="1" w:styleId="Balk2TimesNewRoman">
    <w:name w:val="Başlık #2 + Times New Roman"/>
    <w:aliases w:val="9,5 pt158,1 pt boşluk bırakılıyor1"/>
    <w:uiPriority w:val="99"/>
    <w:rPr>
      <w:rFonts w:ascii="Times New Roman" w:hAnsi="Times New Roman" w:cs="Times New Roman"/>
      <w:b/>
      <w:bCs/>
      <w:spacing w:val="20"/>
      <w:sz w:val="19"/>
      <w:szCs w:val="19"/>
      <w:u w:val="none"/>
    </w:rPr>
  </w:style>
  <w:style w:type="character" w:customStyle="1" w:styleId="Gvdemetni9pt24">
    <w:name w:val="Gövde metni + 9 pt24"/>
    <w:aliases w:val="Kalın87,Küçük Büyük Harf14"/>
    <w:uiPriority w:val="99"/>
    <w:rPr>
      <w:rFonts w:ascii="Times New Roman" w:hAnsi="Times New Roman" w:cs="Times New Roman"/>
      <w:b/>
      <w:bCs/>
      <w:smallCaps/>
      <w:sz w:val="18"/>
      <w:szCs w:val="18"/>
      <w:u w:val="none"/>
    </w:rPr>
  </w:style>
  <w:style w:type="character" w:customStyle="1" w:styleId="Balk42">
    <w:name w:val="Başlık #4 (2)_"/>
    <w:link w:val="Balk421"/>
    <w:uiPriority w:val="99"/>
    <w:locked/>
    <w:rPr>
      <w:rFonts w:ascii="Times New Roman" w:hAnsi="Times New Roman" w:cs="Times New Roman"/>
      <w:b/>
      <w:bCs/>
      <w:sz w:val="19"/>
      <w:szCs w:val="19"/>
      <w:u w:val="none"/>
    </w:rPr>
  </w:style>
  <w:style w:type="character" w:customStyle="1" w:styleId="Balk42KkBykHarf">
    <w:name w:val="Başlık #4 (2) + Küçük Büyük Harf"/>
    <w:uiPriority w:val="99"/>
    <w:rPr>
      <w:rFonts w:ascii="Times New Roman" w:hAnsi="Times New Roman" w:cs="Times New Roman"/>
      <w:b/>
      <w:bCs/>
      <w:smallCaps/>
      <w:sz w:val="19"/>
      <w:szCs w:val="19"/>
      <w:u w:val="none"/>
    </w:rPr>
  </w:style>
  <w:style w:type="character" w:customStyle="1" w:styleId="Balk429pt">
    <w:name w:val="Başlık #4 (2) + 9 pt"/>
    <w:uiPriority w:val="99"/>
    <w:rPr>
      <w:rFonts w:ascii="Times New Roman" w:hAnsi="Times New Roman" w:cs="Times New Roman"/>
      <w:b/>
      <w:bCs/>
      <w:sz w:val="18"/>
      <w:szCs w:val="18"/>
      <w:u w:val="none"/>
    </w:rPr>
  </w:style>
  <w:style w:type="character" w:customStyle="1" w:styleId="Gvdemetni70">
    <w:name w:val="Gövde metni (7)"/>
    <w:uiPriority w:val="99"/>
  </w:style>
  <w:style w:type="character" w:customStyle="1" w:styleId="Gvdemetni915">
    <w:name w:val="Gövde metni + 915"/>
    <w:aliases w:val="5 pt157,Kalın86"/>
    <w:uiPriority w:val="99"/>
    <w:rPr>
      <w:rFonts w:ascii="Times New Roman" w:hAnsi="Times New Roman" w:cs="Times New Roman"/>
      <w:b/>
      <w:bCs/>
      <w:sz w:val="19"/>
      <w:szCs w:val="19"/>
      <w:u w:val="none"/>
    </w:rPr>
  </w:style>
  <w:style w:type="character" w:customStyle="1" w:styleId="stbilgiveyaaltbilgi8">
    <w:name w:val="Üst bilgi veya alt bilgi8"/>
    <w:uiPriority w:val="99"/>
  </w:style>
  <w:style w:type="character" w:customStyle="1" w:styleId="Tabloyazs9pt2">
    <w:name w:val="Tablo yazısı + 9 pt2"/>
    <w:aliases w:val="Kalın85"/>
    <w:uiPriority w:val="99"/>
    <w:rPr>
      <w:rFonts w:ascii="Times New Roman" w:hAnsi="Times New Roman" w:cs="Times New Roman"/>
      <w:b/>
      <w:bCs/>
      <w:sz w:val="18"/>
      <w:szCs w:val="18"/>
      <w:u w:val="none"/>
    </w:rPr>
  </w:style>
  <w:style w:type="character" w:customStyle="1" w:styleId="GvdemetniCandara">
    <w:name w:val="Gövde metni + Candara"/>
    <w:aliases w:val="7 pt"/>
    <w:uiPriority w:val="99"/>
    <w:rPr>
      <w:rFonts w:ascii="Candara" w:hAnsi="Candara" w:cs="Candara"/>
      <w:noProof/>
      <w:sz w:val="14"/>
      <w:szCs w:val="14"/>
      <w:u w:val="none"/>
    </w:rPr>
  </w:style>
  <w:style w:type="character" w:customStyle="1" w:styleId="Gvdemetni8pt7">
    <w:name w:val="Gövde metni + 8 pt7"/>
    <w:uiPriority w:val="99"/>
    <w:rPr>
      <w:rFonts w:ascii="Times New Roman" w:hAnsi="Times New Roman" w:cs="Times New Roman"/>
      <w:sz w:val="16"/>
      <w:szCs w:val="16"/>
      <w:u w:val="none"/>
    </w:rPr>
  </w:style>
  <w:style w:type="character" w:customStyle="1" w:styleId="GvdemetniCandara10">
    <w:name w:val="Gövde metni + Candara10"/>
    <w:aliases w:val="7 pt10"/>
    <w:uiPriority w:val="99"/>
    <w:rPr>
      <w:rFonts w:ascii="Candara" w:hAnsi="Candara" w:cs="Candara"/>
      <w:noProof/>
      <w:sz w:val="14"/>
      <w:szCs w:val="14"/>
      <w:u w:val="none"/>
    </w:rPr>
  </w:style>
  <w:style w:type="character" w:customStyle="1" w:styleId="Gvdemetni814">
    <w:name w:val="Gövde metni + 814"/>
    <w:aliases w:val="5 pt156,İtalik97"/>
    <w:uiPriority w:val="99"/>
    <w:rPr>
      <w:rFonts w:ascii="Times New Roman" w:hAnsi="Times New Roman" w:cs="Times New Roman"/>
      <w:i/>
      <w:iCs/>
      <w:sz w:val="17"/>
      <w:szCs w:val="17"/>
      <w:u w:val="none"/>
    </w:rPr>
  </w:style>
  <w:style w:type="character" w:customStyle="1" w:styleId="Gvdemetni311pt">
    <w:name w:val="Gövde metni (3) + 11 pt"/>
    <w:uiPriority w:val="99"/>
    <w:rPr>
      <w:rFonts w:ascii="Times New Roman" w:hAnsi="Times New Roman" w:cs="Times New Roman"/>
      <w:sz w:val="22"/>
      <w:szCs w:val="22"/>
      <w:u w:val="none"/>
    </w:rPr>
  </w:style>
  <w:style w:type="character" w:customStyle="1" w:styleId="Balk320">
    <w:name w:val="Başlık #3 (2)_"/>
    <w:link w:val="Balk321"/>
    <w:uiPriority w:val="99"/>
    <w:locked/>
    <w:rPr>
      <w:rFonts w:ascii="Times New Roman" w:hAnsi="Times New Roman" w:cs="Times New Roman"/>
      <w:b/>
      <w:bCs/>
      <w:sz w:val="19"/>
      <w:szCs w:val="19"/>
      <w:u w:val="none"/>
    </w:rPr>
  </w:style>
  <w:style w:type="character" w:customStyle="1" w:styleId="Gvdemetni813">
    <w:name w:val="Gövde metni + 813"/>
    <w:aliases w:val="5 pt155,Kalın84"/>
    <w:uiPriority w:val="99"/>
    <w:rPr>
      <w:rFonts w:ascii="Times New Roman" w:hAnsi="Times New Roman" w:cs="Times New Roman"/>
      <w:b/>
      <w:bCs/>
      <w:sz w:val="17"/>
      <w:szCs w:val="17"/>
      <w:u w:val="none"/>
    </w:rPr>
  </w:style>
  <w:style w:type="character" w:customStyle="1" w:styleId="Gvdemetni9pt23">
    <w:name w:val="Gövde metni + 9 pt23"/>
    <w:uiPriority w:val="99"/>
    <w:rPr>
      <w:rFonts w:ascii="Times New Roman" w:hAnsi="Times New Roman" w:cs="Times New Roman"/>
      <w:sz w:val="18"/>
      <w:szCs w:val="18"/>
      <w:u w:val="none"/>
    </w:rPr>
  </w:style>
  <w:style w:type="character" w:customStyle="1" w:styleId="Gvdemetni5pt">
    <w:name w:val="Gövde metni + 5 pt"/>
    <w:uiPriority w:val="99"/>
    <w:rPr>
      <w:rFonts w:ascii="Times New Roman" w:hAnsi="Times New Roman" w:cs="Times New Roman"/>
      <w:noProof/>
      <w:sz w:val="10"/>
      <w:szCs w:val="10"/>
      <w:u w:val="none"/>
    </w:rPr>
  </w:style>
  <w:style w:type="character" w:customStyle="1" w:styleId="indekiler9pt1">
    <w:name w:val="İçindekiler + 9 pt1"/>
    <w:aliases w:val="Kalın83"/>
    <w:uiPriority w:val="99"/>
    <w:rPr>
      <w:rFonts w:ascii="Times New Roman" w:hAnsi="Times New Roman" w:cs="Times New Roman"/>
      <w:b/>
      <w:bCs/>
      <w:sz w:val="18"/>
      <w:szCs w:val="18"/>
      <w:u w:val="none"/>
    </w:rPr>
  </w:style>
  <w:style w:type="character" w:customStyle="1" w:styleId="indekilerCandara">
    <w:name w:val="İçindekiler + Candara"/>
    <w:aliases w:val="7 pt9"/>
    <w:uiPriority w:val="99"/>
    <w:rPr>
      <w:rFonts w:ascii="Candara" w:hAnsi="Candara" w:cs="Candara"/>
      <w:noProof/>
      <w:sz w:val="14"/>
      <w:szCs w:val="14"/>
      <w:u w:val="none"/>
    </w:rPr>
  </w:style>
  <w:style w:type="character" w:customStyle="1" w:styleId="Gvdemetni3Candara">
    <w:name w:val="Gövde metni (3) + Candara"/>
    <w:aliases w:val="7 pt8"/>
    <w:uiPriority w:val="99"/>
    <w:rPr>
      <w:rFonts w:ascii="Candara" w:hAnsi="Candara" w:cs="Candara"/>
      <w:noProof/>
      <w:sz w:val="14"/>
      <w:szCs w:val="14"/>
      <w:u w:val="none"/>
    </w:rPr>
  </w:style>
  <w:style w:type="character" w:customStyle="1" w:styleId="Gvdemetni40ptbolukbraklyor">
    <w:name w:val="Gövde metni (4) + 0 pt boşluk bırakılıyor"/>
    <w:uiPriority w:val="99"/>
    <w:rPr>
      <w:rFonts w:ascii="Times New Roman" w:hAnsi="Times New Roman" w:cs="Times New Roman"/>
      <w:spacing w:val="10"/>
      <w:sz w:val="27"/>
      <w:szCs w:val="27"/>
      <w:u w:val="none"/>
    </w:rPr>
  </w:style>
  <w:style w:type="character" w:customStyle="1" w:styleId="Gvdemetni39pt14">
    <w:name w:val="Gövde metni (3) + 9 pt14"/>
    <w:aliases w:val="İtalik96"/>
    <w:uiPriority w:val="99"/>
    <w:rPr>
      <w:rFonts w:ascii="Times New Roman" w:hAnsi="Times New Roman" w:cs="Times New Roman"/>
      <w:i/>
      <w:iCs/>
      <w:sz w:val="18"/>
      <w:szCs w:val="18"/>
      <w:u w:val="none"/>
    </w:rPr>
  </w:style>
  <w:style w:type="character" w:customStyle="1" w:styleId="Balk60">
    <w:name w:val="Başlık #6_"/>
    <w:link w:val="Balk61"/>
    <w:uiPriority w:val="99"/>
    <w:locked/>
    <w:rPr>
      <w:rFonts w:ascii="Times New Roman" w:hAnsi="Times New Roman" w:cs="Times New Roman"/>
      <w:b/>
      <w:bCs/>
      <w:sz w:val="18"/>
      <w:szCs w:val="18"/>
      <w:u w:val="none"/>
    </w:rPr>
  </w:style>
  <w:style w:type="character" w:customStyle="1" w:styleId="Gvdemetni9pt22">
    <w:name w:val="Gövde metni + 9 pt22"/>
    <w:aliases w:val="Kalın82"/>
    <w:uiPriority w:val="99"/>
    <w:rPr>
      <w:rFonts w:ascii="Times New Roman" w:hAnsi="Times New Roman" w:cs="Times New Roman"/>
      <w:b/>
      <w:bCs/>
      <w:sz w:val="18"/>
      <w:szCs w:val="18"/>
      <w:u w:val="none"/>
    </w:rPr>
  </w:style>
  <w:style w:type="character" w:customStyle="1" w:styleId="GvdemetniCandara9">
    <w:name w:val="Gövde metni + Candara9"/>
    <w:aliases w:val="7 pt7"/>
    <w:uiPriority w:val="99"/>
    <w:rPr>
      <w:rFonts w:ascii="Candara" w:hAnsi="Candara" w:cs="Candara"/>
      <w:sz w:val="14"/>
      <w:szCs w:val="14"/>
      <w:u w:val="none"/>
    </w:rPr>
  </w:style>
  <w:style w:type="character" w:customStyle="1" w:styleId="Gvdemetni9pt21">
    <w:name w:val="Gövde metni + 9 pt21"/>
    <w:aliases w:val="İtalik95"/>
    <w:uiPriority w:val="99"/>
    <w:rPr>
      <w:rFonts w:ascii="Times New Roman" w:hAnsi="Times New Roman" w:cs="Times New Roman"/>
      <w:i/>
      <w:iCs/>
      <w:sz w:val="18"/>
      <w:szCs w:val="18"/>
      <w:u w:val="none"/>
    </w:rPr>
  </w:style>
  <w:style w:type="character" w:customStyle="1" w:styleId="Gvdemetni3ptbolukbraklyor">
    <w:name w:val="Gövde metni + 3 pt boşluk bırakılıyor"/>
    <w:uiPriority w:val="99"/>
    <w:rPr>
      <w:rFonts w:ascii="Times New Roman" w:hAnsi="Times New Roman" w:cs="Times New Roman"/>
      <w:spacing w:val="60"/>
      <w:sz w:val="21"/>
      <w:szCs w:val="21"/>
      <w:u w:val="none"/>
    </w:rPr>
  </w:style>
  <w:style w:type="character" w:customStyle="1" w:styleId="stbilgiveyaaltbilgi10pt">
    <w:name w:val="Üst bilgi veya alt bilgi + 10 pt"/>
    <w:aliases w:val="Kalın Değil36"/>
    <w:uiPriority w:val="99"/>
    <w:rPr>
      <w:rFonts w:ascii="Times New Roman" w:hAnsi="Times New Roman" w:cs="Times New Roman"/>
      <w:b w:val="0"/>
      <w:bCs w:val="0"/>
      <w:sz w:val="20"/>
      <w:szCs w:val="20"/>
      <w:u w:val="none"/>
    </w:rPr>
  </w:style>
  <w:style w:type="character" w:customStyle="1" w:styleId="stbilgiveyaaltbilgi10pt12">
    <w:name w:val="Üst bilgi veya alt bilgi + 10 pt12"/>
    <w:aliases w:val="Kalın Değil35"/>
    <w:uiPriority w:val="99"/>
    <w:rPr>
      <w:rFonts w:ascii="Times New Roman" w:hAnsi="Times New Roman" w:cs="Times New Roman"/>
      <w:b w:val="0"/>
      <w:bCs w:val="0"/>
      <w:sz w:val="20"/>
      <w:szCs w:val="20"/>
      <w:u w:val="single"/>
    </w:rPr>
  </w:style>
  <w:style w:type="character" w:customStyle="1" w:styleId="Gvdemetni38">
    <w:name w:val="Gövde metni (3) + 8"/>
    <w:aliases w:val="5 pt154,Kalın Exact"/>
    <w:uiPriority w:val="99"/>
    <w:rPr>
      <w:rFonts w:ascii="Times New Roman" w:hAnsi="Times New Roman" w:cs="Times New Roman"/>
      <w:b/>
      <w:bCs/>
      <w:sz w:val="17"/>
      <w:szCs w:val="17"/>
      <w:u w:val="single"/>
    </w:rPr>
  </w:style>
  <w:style w:type="character" w:customStyle="1" w:styleId="Gvdemetni387">
    <w:name w:val="Gövde metni (3) + 87"/>
    <w:aliases w:val="5 pt153,Kalın Exact3"/>
    <w:uiPriority w:val="99"/>
    <w:rPr>
      <w:rFonts w:ascii="Times New Roman" w:hAnsi="Times New Roman" w:cs="Times New Roman"/>
      <w:b/>
      <w:bCs/>
      <w:sz w:val="17"/>
      <w:szCs w:val="17"/>
      <w:u w:val="none"/>
    </w:rPr>
  </w:style>
  <w:style w:type="character" w:customStyle="1" w:styleId="Gvdemetni39pt13">
    <w:name w:val="Gövde metni (3) + 9 pt13"/>
    <w:aliases w:val="Kalın81"/>
    <w:uiPriority w:val="99"/>
    <w:rPr>
      <w:rFonts w:ascii="Times New Roman" w:hAnsi="Times New Roman" w:cs="Times New Roman"/>
      <w:b/>
      <w:bCs/>
      <w:sz w:val="18"/>
      <w:szCs w:val="18"/>
      <w:u w:val="single"/>
    </w:rPr>
  </w:style>
  <w:style w:type="character" w:customStyle="1" w:styleId="Gvdemetni9Exact">
    <w:name w:val="Gövde metni (9) Exact"/>
    <w:uiPriority w:val="99"/>
    <w:rPr>
      <w:rFonts w:ascii="Times New Roman" w:hAnsi="Times New Roman" w:cs="Times New Roman"/>
      <w:b/>
      <w:bCs/>
      <w:spacing w:val="9"/>
      <w:sz w:val="17"/>
      <w:szCs w:val="17"/>
      <w:u w:val="none"/>
    </w:rPr>
  </w:style>
  <w:style w:type="character" w:customStyle="1" w:styleId="Gvdemetni9Exact1">
    <w:name w:val="Gövde metni (9) Exact1"/>
    <w:uiPriority w:val="99"/>
    <w:rPr>
      <w:rFonts w:ascii="Times New Roman" w:hAnsi="Times New Roman" w:cs="Times New Roman"/>
      <w:b/>
      <w:bCs/>
      <w:color w:val="000000"/>
      <w:spacing w:val="9"/>
      <w:w w:val="100"/>
      <w:position w:val="0"/>
      <w:sz w:val="17"/>
      <w:szCs w:val="17"/>
      <w:u w:val="none"/>
    </w:rPr>
  </w:style>
  <w:style w:type="character" w:customStyle="1" w:styleId="Gvdemetni98pt">
    <w:name w:val="Gövde metni (9) + 8 pt"/>
    <w:aliases w:val="0 pt boşluk bırakılıyor Exact39"/>
    <w:uiPriority w:val="99"/>
    <w:rPr>
      <w:rFonts w:ascii="Times New Roman" w:hAnsi="Times New Roman" w:cs="Times New Roman"/>
      <w:b/>
      <w:bCs/>
      <w:color w:val="000000"/>
      <w:spacing w:val="16"/>
      <w:w w:val="100"/>
      <w:position w:val="0"/>
      <w:sz w:val="16"/>
      <w:szCs w:val="16"/>
      <w:u w:val="none"/>
    </w:rPr>
  </w:style>
  <w:style w:type="character" w:customStyle="1" w:styleId="Gvdemetni9Candara">
    <w:name w:val="Gövde metni (9) + Candara"/>
    <w:aliases w:val="Kalın Değil34,0 pt boşluk bırakılıyor Exact38"/>
    <w:uiPriority w:val="99"/>
    <w:rPr>
      <w:rFonts w:ascii="Candara" w:hAnsi="Candara" w:cs="Candara"/>
      <w:b w:val="0"/>
      <w:bCs w:val="0"/>
      <w:noProof/>
      <w:color w:val="000000"/>
      <w:spacing w:val="0"/>
      <w:w w:val="100"/>
      <w:position w:val="0"/>
      <w:sz w:val="17"/>
      <w:szCs w:val="17"/>
      <w:u w:val="none"/>
    </w:rPr>
  </w:style>
  <w:style w:type="character" w:customStyle="1" w:styleId="Gvdemetni9Candara1">
    <w:name w:val="Gövde metni (9) + Candara1"/>
    <w:aliases w:val="Kalın Değil33,0 pt boşluk bırakılıyor Exact37"/>
    <w:uiPriority w:val="99"/>
    <w:rPr>
      <w:rFonts w:ascii="Candara" w:hAnsi="Candara" w:cs="Candara"/>
      <w:b w:val="0"/>
      <w:bCs w:val="0"/>
      <w:noProof/>
      <w:color w:val="000000"/>
      <w:spacing w:val="0"/>
      <w:w w:val="100"/>
      <w:position w:val="0"/>
      <w:sz w:val="17"/>
      <w:szCs w:val="17"/>
      <w:u w:val="none"/>
    </w:rPr>
  </w:style>
  <w:style w:type="character" w:customStyle="1" w:styleId="Gvdemetni39pt12">
    <w:name w:val="Gövde metni (3) + 9 pt12"/>
    <w:aliases w:val="Kalın80"/>
    <w:uiPriority w:val="99"/>
    <w:rPr>
      <w:rFonts w:ascii="Times New Roman" w:hAnsi="Times New Roman" w:cs="Times New Roman"/>
      <w:b/>
      <w:bCs/>
      <w:sz w:val="18"/>
      <w:szCs w:val="18"/>
      <w:u w:val="none"/>
    </w:rPr>
  </w:style>
  <w:style w:type="character" w:customStyle="1" w:styleId="Gvdemetni39pt11">
    <w:name w:val="Gövde metni (3) + 9 pt11"/>
    <w:aliases w:val="İtalik94"/>
    <w:uiPriority w:val="99"/>
    <w:rPr>
      <w:rFonts w:ascii="Times New Roman" w:hAnsi="Times New Roman" w:cs="Times New Roman"/>
      <w:i/>
      <w:iCs/>
      <w:sz w:val="18"/>
      <w:szCs w:val="18"/>
      <w:u w:val="none"/>
    </w:rPr>
  </w:style>
  <w:style w:type="character" w:customStyle="1" w:styleId="Gvdemetni9pt20">
    <w:name w:val="Gövde metni + 9 pt20"/>
    <w:aliases w:val="Kalın79,Küçük Büyük Harf13"/>
    <w:uiPriority w:val="99"/>
    <w:rPr>
      <w:rFonts w:ascii="Times New Roman" w:hAnsi="Times New Roman" w:cs="Times New Roman"/>
      <w:b/>
      <w:bCs/>
      <w:smallCaps/>
      <w:sz w:val="18"/>
      <w:szCs w:val="18"/>
      <w:u w:val="none"/>
    </w:rPr>
  </w:style>
  <w:style w:type="character" w:customStyle="1" w:styleId="Gvdemetnitalik14">
    <w:name w:val="Gövde metni + İtalik14"/>
    <w:uiPriority w:val="99"/>
    <w:rPr>
      <w:rFonts w:ascii="Times New Roman" w:hAnsi="Times New Roman" w:cs="Times New Roman"/>
      <w:i/>
      <w:iCs/>
      <w:sz w:val="21"/>
      <w:szCs w:val="21"/>
      <w:u w:val="none"/>
    </w:rPr>
  </w:style>
  <w:style w:type="character" w:customStyle="1" w:styleId="Gvdemetni812">
    <w:name w:val="Gövde metni + 812"/>
    <w:aliases w:val="5 pt152,Kalın78"/>
    <w:uiPriority w:val="99"/>
    <w:rPr>
      <w:rFonts w:ascii="Times New Roman" w:hAnsi="Times New Roman" w:cs="Times New Roman"/>
      <w:b/>
      <w:bCs/>
      <w:sz w:val="17"/>
      <w:szCs w:val="17"/>
      <w:u w:val="none"/>
    </w:rPr>
  </w:style>
  <w:style w:type="character" w:customStyle="1" w:styleId="Gvdemetni520">
    <w:name w:val="Gövde metni + 52"/>
    <w:aliases w:val="5 pt151,Kalın77"/>
    <w:uiPriority w:val="99"/>
    <w:rPr>
      <w:rFonts w:ascii="Times New Roman" w:hAnsi="Times New Roman" w:cs="Times New Roman"/>
      <w:b/>
      <w:bCs/>
      <w:sz w:val="11"/>
      <w:szCs w:val="11"/>
      <w:u w:val="none"/>
    </w:rPr>
  </w:style>
  <w:style w:type="character" w:customStyle="1" w:styleId="Gvdemetni8pt6">
    <w:name w:val="Gövde metni + 8 pt6"/>
    <w:uiPriority w:val="99"/>
    <w:rPr>
      <w:rFonts w:ascii="Times New Roman" w:hAnsi="Times New Roman" w:cs="Times New Roman"/>
      <w:sz w:val="16"/>
      <w:szCs w:val="16"/>
      <w:u w:val="none"/>
    </w:rPr>
  </w:style>
  <w:style w:type="character" w:customStyle="1" w:styleId="GvdemetniCandara8">
    <w:name w:val="Gövde metni + Candara8"/>
    <w:aliases w:val="7 pt6"/>
    <w:uiPriority w:val="99"/>
    <w:rPr>
      <w:rFonts w:ascii="Candara" w:hAnsi="Candara" w:cs="Candara"/>
      <w:sz w:val="14"/>
      <w:szCs w:val="14"/>
      <w:u w:val="none"/>
    </w:rPr>
  </w:style>
  <w:style w:type="character" w:customStyle="1" w:styleId="Gvdemetni811">
    <w:name w:val="Gövde metni + 811"/>
    <w:aliases w:val="5 pt150,İtalik93"/>
    <w:uiPriority w:val="99"/>
    <w:rPr>
      <w:rFonts w:ascii="Times New Roman" w:hAnsi="Times New Roman" w:cs="Times New Roman"/>
      <w:i/>
      <w:iCs/>
      <w:sz w:val="17"/>
      <w:szCs w:val="17"/>
      <w:u w:val="none"/>
    </w:rPr>
  </w:style>
  <w:style w:type="character" w:customStyle="1" w:styleId="Balk32Arial">
    <w:name w:val="Başlık #3 (2) + Arial"/>
    <w:aliases w:val="82,5 pt149,Kalın Değil32,İtalik92"/>
    <w:uiPriority w:val="99"/>
    <w:rPr>
      <w:rFonts w:ascii="Arial" w:hAnsi="Arial" w:cs="Arial"/>
      <w:b w:val="0"/>
      <w:bCs w:val="0"/>
      <w:i/>
      <w:iCs/>
      <w:sz w:val="17"/>
      <w:szCs w:val="17"/>
      <w:u w:val="none"/>
    </w:rPr>
  </w:style>
  <w:style w:type="character" w:customStyle="1" w:styleId="Balk32MSGothic">
    <w:name w:val="Başlık #3 (2) + MS Gothic"/>
    <w:aliases w:val="131,5 pt148,Kalın Değil31,İtalik91"/>
    <w:uiPriority w:val="99"/>
    <w:rPr>
      <w:rFonts w:ascii="MS Gothic" w:eastAsia="MS Gothic" w:hAnsi="Times New Roman" w:cs="MS Gothic"/>
      <w:b w:val="0"/>
      <w:bCs w:val="0"/>
      <w:i/>
      <w:iCs/>
      <w:noProof/>
      <w:sz w:val="27"/>
      <w:szCs w:val="27"/>
      <w:u w:val="none"/>
    </w:rPr>
  </w:style>
  <w:style w:type="character" w:customStyle="1" w:styleId="Gvdemetnitalik13">
    <w:name w:val="Gövde metni + İtalik13"/>
    <w:uiPriority w:val="99"/>
    <w:rPr>
      <w:rFonts w:ascii="Times New Roman" w:hAnsi="Times New Roman" w:cs="Times New Roman"/>
      <w:i/>
      <w:iCs/>
      <w:sz w:val="21"/>
      <w:szCs w:val="21"/>
      <w:u w:val="single"/>
    </w:rPr>
  </w:style>
  <w:style w:type="character" w:customStyle="1" w:styleId="Balk322">
    <w:name w:val="Başlık #3 (2)"/>
    <w:uiPriority w:val="99"/>
  </w:style>
  <w:style w:type="character" w:customStyle="1" w:styleId="Gvdemetni90">
    <w:name w:val="Gövde metni (9)_"/>
    <w:link w:val="Gvdemetni91"/>
    <w:uiPriority w:val="99"/>
    <w:locked/>
    <w:rPr>
      <w:rFonts w:ascii="Times New Roman" w:hAnsi="Times New Roman" w:cs="Times New Roman"/>
      <w:b/>
      <w:bCs/>
      <w:sz w:val="18"/>
      <w:szCs w:val="18"/>
      <w:u w:val="none"/>
    </w:rPr>
  </w:style>
  <w:style w:type="character" w:customStyle="1" w:styleId="Gvdemetni10">
    <w:name w:val="Gövde metni (10)_"/>
    <w:link w:val="Gvdemetni101"/>
    <w:uiPriority w:val="99"/>
    <w:locked/>
    <w:rPr>
      <w:rFonts w:ascii="Arial" w:hAnsi="Arial" w:cs="Arial"/>
      <w:sz w:val="19"/>
      <w:szCs w:val="19"/>
      <w:u w:val="none"/>
    </w:rPr>
  </w:style>
  <w:style w:type="character" w:customStyle="1" w:styleId="Gvdemetni10TimesNewRoman">
    <w:name w:val="Gövde metni (10) + Times New Roman"/>
    <w:aliases w:val="11 pt,Kalın76,İtalik90,0 pt boşluk bırakılıyor38"/>
    <w:uiPriority w:val="99"/>
    <w:rPr>
      <w:rFonts w:ascii="Times New Roman" w:hAnsi="Times New Roman" w:cs="Times New Roman"/>
      <w:b/>
      <w:bCs/>
      <w:i/>
      <w:iCs/>
      <w:spacing w:val="-10"/>
      <w:sz w:val="22"/>
      <w:szCs w:val="22"/>
      <w:u w:val="single"/>
    </w:rPr>
  </w:style>
  <w:style w:type="character" w:customStyle="1" w:styleId="Gvdemetni100">
    <w:name w:val="Gövde metni (10)"/>
    <w:uiPriority w:val="99"/>
    <w:rPr>
      <w:rFonts w:ascii="Arial" w:hAnsi="Arial" w:cs="Arial"/>
      <w:sz w:val="19"/>
      <w:szCs w:val="19"/>
      <w:u w:val="single"/>
    </w:rPr>
  </w:style>
  <w:style w:type="character" w:customStyle="1" w:styleId="Gvdemetni103">
    <w:name w:val="Gövde metni (10)3"/>
    <w:uiPriority w:val="99"/>
    <w:rPr>
      <w:rFonts w:ascii="Arial" w:hAnsi="Arial" w:cs="Arial"/>
      <w:sz w:val="19"/>
      <w:szCs w:val="19"/>
      <w:u w:val="single"/>
    </w:rPr>
  </w:style>
  <w:style w:type="character" w:customStyle="1" w:styleId="Gvdemetni102">
    <w:name w:val="Gövde metni (10)2"/>
    <w:uiPriority w:val="99"/>
    <w:rPr>
      <w:rFonts w:ascii="Arial" w:hAnsi="Arial" w:cs="Arial"/>
      <w:noProof/>
      <w:sz w:val="19"/>
      <w:szCs w:val="19"/>
      <w:u w:val="single"/>
    </w:rPr>
  </w:style>
  <w:style w:type="character" w:customStyle="1" w:styleId="Balk420">
    <w:name w:val="Başlık #4 (2)"/>
    <w:uiPriority w:val="99"/>
  </w:style>
  <w:style w:type="character" w:customStyle="1" w:styleId="stbilgiveyaaltbilgi210pt">
    <w:name w:val="Üst bilgi veya alt bilgi (2) + 10 pt"/>
    <w:uiPriority w:val="99"/>
    <w:rPr>
      <w:rFonts w:ascii="Times New Roman" w:hAnsi="Times New Roman" w:cs="Times New Roman"/>
      <w:sz w:val="20"/>
      <w:szCs w:val="20"/>
      <w:u w:val="none"/>
    </w:rPr>
  </w:style>
  <w:style w:type="character" w:customStyle="1" w:styleId="Gvdemetni39pt10">
    <w:name w:val="Gövde metni (3) + 9 pt10"/>
    <w:aliases w:val="Kalın75"/>
    <w:uiPriority w:val="99"/>
    <w:rPr>
      <w:rFonts w:ascii="Times New Roman" w:hAnsi="Times New Roman" w:cs="Times New Roman"/>
      <w:b/>
      <w:bCs/>
      <w:sz w:val="18"/>
      <w:szCs w:val="18"/>
      <w:u w:val="none"/>
    </w:rPr>
  </w:style>
  <w:style w:type="character" w:customStyle="1" w:styleId="Gvdemetni6pt6">
    <w:name w:val="Gövde metni + 6 pt6"/>
    <w:aliases w:val="0 pt boşluk bırakılıyor37"/>
    <w:uiPriority w:val="99"/>
    <w:rPr>
      <w:rFonts w:ascii="Times New Roman" w:hAnsi="Times New Roman" w:cs="Times New Roman"/>
      <w:spacing w:val="10"/>
      <w:sz w:val="12"/>
      <w:szCs w:val="12"/>
      <w:u w:val="none"/>
    </w:rPr>
  </w:style>
  <w:style w:type="character" w:customStyle="1" w:styleId="Resimyazs5">
    <w:name w:val="Resim yazısı (5)_"/>
    <w:link w:val="Resimyazs51"/>
    <w:uiPriority w:val="99"/>
    <w:locked/>
    <w:rPr>
      <w:rFonts w:ascii="Century Schoolbook" w:hAnsi="Century Schoolbook" w:cs="Century Schoolbook"/>
      <w:sz w:val="10"/>
      <w:szCs w:val="10"/>
      <w:u w:val="none"/>
    </w:rPr>
  </w:style>
  <w:style w:type="character" w:customStyle="1" w:styleId="Resimyazs5TimesNewRoman">
    <w:name w:val="Resim yazısı (5) + Times New Roman"/>
    <w:aliases w:val="5,5 pt147,İtalik89"/>
    <w:uiPriority w:val="99"/>
    <w:rPr>
      <w:rFonts w:ascii="Times New Roman" w:hAnsi="Times New Roman" w:cs="Times New Roman"/>
      <w:i/>
      <w:iCs/>
      <w:sz w:val="11"/>
      <w:szCs w:val="11"/>
      <w:u w:val="none"/>
    </w:rPr>
  </w:style>
  <w:style w:type="character" w:customStyle="1" w:styleId="Resimyazs50">
    <w:name w:val="Resim yazısı (5)"/>
    <w:uiPriority w:val="99"/>
    <w:rPr>
      <w:rFonts w:ascii="Century Schoolbook" w:hAnsi="Century Schoolbook" w:cs="Century Schoolbook"/>
      <w:noProof/>
      <w:sz w:val="10"/>
      <w:szCs w:val="10"/>
      <w:u w:val="none"/>
    </w:rPr>
  </w:style>
  <w:style w:type="character" w:customStyle="1" w:styleId="Resimyazs52">
    <w:name w:val="Resim yazısı (5)2"/>
    <w:uiPriority w:val="99"/>
    <w:rPr>
      <w:rFonts w:ascii="Century Schoolbook" w:hAnsi="Century Schoolbook" w:cs="Century Schoolbook"/>
      <w:sz w:val="10"/>
      <w:szCs w:val="10"/>
      <w:u w:val="single"/>
    </w:rPr>
  </w:style>
  <w:style w:type="character" w:customStyle="1" w:styleId="Resimyazs5MSGothic">
    <w:name w:val="Resim yazısı (5) + MS Gothic"/>
    <w:aliases w:val="4 pt"/>
    <w:uiPriority w:val="99"/>
    <w:rPr>
      <w:rFonts w:ascii="MS Gothic" w:eastAsia="MS Gothic" w:hAnsi="Century Schoolbook" w:cs="MS Gothic"/>
      <w:noProof/>
      <w:sz w:val="8"/>
      <w:szCs w:val="8"/>
      <w:u w:val="single"/>
    </w:rPr>
  </w:style>
  <w:style w:type="character" w:customStyle="1" w:styleId="Resimyazs5CourierNew">
    <w:name w:val="Resim yazısı (5) + Courier New"/>
    <w:aliases w:val="4 pt5"/>
    <w:uiPriority w:val="99"/>
    <w:rPr>
      <w:rFonts w:ascii="Courier New" w:hAnsi="Courier New" w:cs="Courier New"/>
      <w:sz w:val="8"/>
      <w:szCs w:val="8"/>
      <w:u w:val="single"/>
    </w:rPr>
  </w:style>
  <w:style w:type="character" w:customStyle="1" w:styleId="Balk324">
    <w:name w:val="Başlık #3 (2)4"/>
    <w:uiPriority w:val="99"/>
  </w:style>
  <w:style w:type="character" w:customStyle="1" w:styleId="Balk32KkBykHarf">
    <w:name w:val="Başlık #3 (2) + Küçük Büyük Harf"/>
    <w:uiPriority w:val="99"/>
    <w:rPr>
      <w:rFonts w:ascii="Times New Roman" w:hAnsi="Times New Roman" w:cs="Times New Roman"/>
      <w:b/>
      <w:bCs/>
      <w:smallCaps/>
      <w:sz w:val="19"/>
      <w:szCs w:val="19"/>
      <w:u w:val="none"/>
    </w:rPr>
  </w:style>
  <w:style w:type="character" w:customStyle="1" w:styleId="Balk323">
    <w:name w:val="Başlık #3 (2)3"/>
    <w:uiPriority w:val="99"/>
  </w:style>
  <w:style w:type="character" w:customStyle="1" w:styleId="Gvdemetnitalik12">
    <w:name w:val="Gövde metni + İtalik12"/>
    <w:uiPriority w:val="99"/>
    <w:rPr>
      <w:rFonts w:ascii="Times New Roman" w:hAnsi="Times New Roman" w:cs="Times New Roman"/>
      <w:i/>
      <w:iCs/>
      <w:sz w:val="21"/>
      <w:szCs w:val="21"/>
      <w:u w:val="none"/>
    </w:rPr>
  </w:style>
  <w:style w:type="character" w:customStyle="1" w:styleId="Gvdemetni39pt9">
    <w:name w:val="Gövde metni (3) + 9 pt9"/>
    <w:aliases w:val="Kalın74"/>
    <w:uiPriority w:val="99"/>
    <w:rPr>
      <w:rFonts w:ascii="Times New Roman" w:hAnsi="Times New Roman" w:cs="Times New Roman"/>
      <w:b/>
      <w:bCs/>
      <w:sz w:val="18"/>
      <w:szCs w:val="18"/>
      <w:u w:val="none"/>
    </w:rPr>
  </w:style>
  <w:style w:type="character" w:customStyle="1" w:styleId="Gvdemetni9pt19">
    <w:name w:val="Gövde metni + 9 pt19"/>
    <w:aliases w:val="Kalın73"/>
    <w:uiPriority w:val="99"/>
    <w:rPr>
      <w:rFonts w:ascii="Times New Roman" w:hAnsi="Times New Roman" w:cs="Times New Roman"/>
      <w:b/>
      <w:bCs/>
      <w:sz w:val="18"/>
      <w:szCs w:val="18"/>
      <w:u w:val="none"/>
    </w:rPr>
  </w:style>
  <w:style w:type="character" w:customStyle="1" w:styleId="Gvdemetni9pt18">
    <w:name w:val="Gövde metni + 9 pt18"/>
    <w:uiPriority w:val="99"/>
    <w:rPr>
      <w:rFonts w:ascii="Times New Roman" w:hAnsi="Times New Roman" w:cs="Times New Roman"/>
      <w:sz w:val="18"/>
      <w:szCs w:val="18"/>
      <w:u w:val="none"/>
    </w:rPr>
  </w:style>
  <w:style w:type="character" w:customStyle="1" w:styleId="Gvdemetni810">
    <w:name w:val="Gövde metni + 810"/>
    <w:aliases w:val="5 pt146,İtalik88"/>
    <w:uiPriority w:val="99"/>
    <w:rPr>
      <w:rFonts w:ascii="Times New Roman" w:hAnsi="Times New Roman" w:cs="Times New Roman"/>
      <w:i/>
      <w:iCs/>
      <w:sz w:val="17"/>
      <w:szCs w:val="17"/>
      <w:u w:val="none"/>
    </w:rPr>
  </w:style>
  <w:style w:type="character" w:customStyle="1" w:styleId="Gvdemetni11">
    <w:name w:val="Gövde metni (11)_"/>
    <w:link w:val="Gvdemetni111"/>
    <w:uiPriority w:val="99"/>
    <w:locked/>
    <w:rPr>
      <w:rFonts w:ascii="Times New Roman" w:hAnsi="Times New Roman" w:cs="Times New Roman"/>
      <w:sz w:val="18"/>
      <w:szCs w:val="18"/>
      <w:u w:val="none"/>
    </w:rPr>
  </w:style>
  <w:style w:type="character" w:customStyle="1" w:styleId="Gvdemetni118">
    <w:name w:val="Gövde metni (11) + 8"/>
    <w:aliases w:val="5 pt145,İtalik87"/>
    <w:uiPriority w:val="99"/>
    <w:rPr>
      <w:rFonts w:ascii="Times New Roman" w:hAnsi="Times New Roman" w:cs="Times New Roman"/>
      <w:i/>
      <w:iCs/>
      <w:sz w:val="17"/>
      <w:szCs w:val="17"/>
      <w:u w:val="none"/>
    </w:rPr>
  </w:style>
  <w:style w:type="character" w:customStyle="1" w:styleId="Gvdemetni1189">
    <w:name w:val="Gövde metni (11) + 89"/>
    <w:aliases w:val="5 pt144,İtalik86"/>
    <w:uiPriority w:val="99"/>
    <w:rPr>
      <w:rFonts w:ascii="Times New Roman" w:hAnsi="Times New Roman" w:cs="Times New Roman"/>
      <w:i/>
      <w:iCs/>
      <w:noProof/>
      <w:sz w:val="17"/>
      <w:szCs w:val="17"/>
      <w:u w:val="single"/>
    </w:rPr>
  </w:style>
  <w:style w:type="character" w:customStyle="1" w:styleId="Gvdemetni110">
    <w:name w:val="Gövde metni (11)"/>
    <w:uiPriority w:val="99"/>
    <w:rPr>
      <w:rFonts w:ascii="Times New Roman" w:hAnsi="Times New Roman" w:cs="Times New Roman"/>
      <w:sz w:val="18"/>
      <w:szCs w:val="18"/>
      <w:u w:val="single"/>
    </w:rPr>
  </w:style>
  <w:style w:type="character" w:customStyle="1" w:styleId="Balk62">
    <w:name w:val="Başlık #6"/>
    <w:uiPriority w:val="99"/>
  </w:style>
  <w:style w:type="character" w:customStyle="1" w:styleId="Tabloyazs9pt1">
    <w:name w:val="Tablo yazısı + 9 pt1"/>
    <w:aliases w:val="Kalın72"/>
    <w:uiPriority w:val="99"/>
    <w:rPr>
      <w:rFonts w:ascii="Times New Roman" w:hAnsi="Times New Roman" w:cs="Times New Roman"/>
      <w:b/>
      <w:bCs/>
      <w:sz w:val="18"/>
      <w:szCs w:val="18"/>
      <w:u w:val="none"/>
    </w:rPr>
  </w:style>
  <w:style w:type="character" w:customStyle="1" w:styleId="Gvdemetni9pt17">
    <w:name w:val="Gövde metni + 9 pt17"/>
    <w:aliases w:val="Kalın71"/>
    <w:uiPriority w:val="99"/>
    <w:rPr>
      <w:rFonts w:ascii="Times New Roman" w:hAnsi="Times New Roman" w:cs="Times New Roman"/>
      <w:b/>
      <w:bCs/>
      <w:sz w:val="18"/>
      <w:szCs w:val="18"/>
      <w:u w:val="none"/>
    </w:rPr>
  </w:style>
  <w:style w:type="character" w:customStyle="1" w:styleId="Balk49pt">
    <w:name w:val="Başlık #4 + 9 pt"/>
    <w:aliases w:val="Kalın70"/>
    <w:uiPriority w:val="99"/>
    <w:rPr>
      <w:rFonts w:ascii="Times New Roman" w:hAnsi="Times New Roman" w:cs="Times New Roman"/>
      <w:b/>
      <w:bCs/>
      <w:sz w:val="18"/>
      <w:szCs w:val="18"/>
      <w:u w:val="none"/>
    </w:rPr>
  </w:style>
  <w:style w:type="character" w:customStyle="1" w:styleId="Balk4Kaln">
    <w:name w:val="Başlık #4 + Kalın"/>
    <w:uiPriority w:val="99"/>
    <w:rPr>
      <w:rFonts w:ascii="Times New Roman" w:hAnsi="Times New Roman" w:cs="Times New Roman"/>
      <w:b/>
      <w:bCs/>
      <w:sz w:val="19"/>
      <w:szCs w:val="19"/>
      <w:u w:val="none"/>
    </w:rPr>
  </w:style>
  <w:style w:type="character" w:customStyle="1" w:styleId="Balk48">
    <w:name w:val="Başlık #4 + 8"/>
    <w:aliases w:val="5 pt143,Kalın69"/>
    <w:uiPriority w:val="99"/>
    <w:rPr>
      <w:rFonts w:ascii="Times New Roman" w:hAnsi="Times New Roman" w:cs="Times New Roman"/>
      <w:b/>
      <w:bCs/>
      <w:noProof/>
      <w:sz w:val="17"/>
      <w:szCs w:val="17"/>
      <w:u w:val="none"/>
    </w:rPr>
  </w:style>
  <w:style w:type="character" w:customStyle="1" w:styleId="Balk1Arial">
    <w:name w:val="Başlık #1 + Arial"/>
    <w:aliases w:val="Kalın68,0 pt boşluk bırakılıyor36"/>
    <w:uiPriority w:val="99"/>
    <w:rPr>
      <w:rFonts w:ascii="Arial" w:hAnsi="Arial" w:cs="Arial"/>
      <w:b/>
      <w:bCs/>
      <w:spacing w:val="0"/>
      <w:sz w:val="27"/>
      <w:szCs w:val="27"/>
      <w:u w:val="none"/>
    </w:rPr>
  </w:style>
  <w:style w:type="character" w:customStyle="1" w:styleId="Balk22">
    <w:name w:val="Başlık #2"/>
    <w:uiPriority w:val="99"/>
  </w:style>
  <w:style w:type="character" w:customStyle="1" w:styleId="Resimyazs6Exact">
    <w:name w:val="Resim yazısı (6) Exact"/>
    <w:link w:val="Resimyazs6"/>
    <w:uiPriority w:val="99"/>
    <w:locked/>
    <w:rPr>
      <w:rFonts w:ascii="Century Schoolbook" w:hAnsi="Century Schoolbook" w:cs="Century Schoolbook"/>
      <w:spacing w:val="4"/>
      <w:sz w:val="15"/>
      <w:szCs w:val="15"/>
      <w:u w:val="none"/>
    </w:rPr>
  </w:style>
  <w:style w:type="character" w:customStyle="1" w:styleId="Resimyazs6TimesNewRoman">
    <w:name w:val="Resim yazısı (6) + Times New Roman"/>
    <w:aliases w:val="8 pt3,İtalik85,0 pt boşluk bırakılıyor Exact36"/>
    <w:uiPriority w:val="99"/>
    <w:rPr>
      <w:rFonts w:ascii="Times New Roman" w:hAnsi="Times New Roman" w:cs="Times New Roman"/>
      <w:i/>
      <w:iCs/>
      <w:spacing w:val="-16"/>
      <w:sz w:val="16"/>
      <w:szCs w:val="16"/>
      <w:u w:val="none"/>
    </w:rPr>
  </w:style>
  <w:style w:type="character" w:customStyle="1" w:styleId="Resimyazs6Exact2">
    <w:name w:val="Resim yazısı (6) Exact2"/>
    <w:uiPriority w:val="99"/>
  </w:style>
  <w:style w:type="character" w:customStyle="1" w:styleId="Resimyazs6Exact1">
    <w:name w:val="Resim yazısı (6) Exact1"/>
    <w:uiPriority w:val="99"/>
    <w:rPr>
      <w:rFonts w:ascii="Century Schoolbook" w:hAnsi="Century Schoolbook" w:cs="Century Schoolbook"/>
      <w:spacing w:val="4"/>
      <w:sz w:val="15"/>
      <w:szCs w:val="15"/>
      <w:u w:val="single"/>
    </w:rPr>
  </w:style>
  <w:style w:type="character" w:customStyle="1" w:styleId="Gvdemetni7Exact">
    <w:name w:val="Gövde metni (7) Exact"/>
    <w:uiPriority w:val="99"/>
    <w:rPr>
      <w:rFonts w:ascii="Times New Roman" w:hAnsi="Times New Roman" w:cs="Times New Roman"/>
      <w:b/>
      <w:bCs/>
      <w:spacing w:val="10"/>
      <w:sz w:val="17"/>
      <w:szCs w:val="17"/>
      <w:u w:val="none"/>
    </w:rPr>
  </w:style>
  <w:style w:type="character" w:customStyle="1" w:styleId="Gvdemetni79pt">
    <w:name w:val="Gövde metni (7) + 9 pt"/>
    <w:aliases w:val="0 pt boşluk bırakılıyor Exact35"/>
    <w:uiPriority w:val="99"/>
    <w:rPr>
      <w:rFonts w:ascii="Times New Roman" w:hAnsi="Times New Roman" w:cs="Times New Roman"/>
      <w:b/>
      <w:bCs/>
      <w:noProof/>
      <w:spacing w:val="8"/>
      <w:sz w:val="18"/>
      <w:szCs w:val="18"/>
      <w:u w:val="none"/>
    </w:rPr>
  </w:style>
  <w:style w:type="character" w:customStyle="1" w:styleId="Gvdemetni12Exact">
    <w:name w:val="Gövde metni (12) Exact"/>
    <w:link w:val="Gvdemetni12"/>
    <w:uiPriority w:val="99"/>
    <w:locked/>
    <w:rPr>
      <w:rFonts w:ascii="Times New Roman" w:hAnsi="Times New Roman" w:cs="Times New Roman"/>
      <w:b/>
      <w:bCs/>
      <w:spacing w:val="14"/>
      <w:sz w:val="21"/>
      <w:szCs w:val="21"/>
      <w:u w:val="none"/>
    </w:rPr>
  </w:style>
  <w:style w:type="character" w:customStyle="1" w:styleId="Gvdemetni12Exact1">
    <w:name w:val="Gövde metni (12) Exact1"/>
    <w:uiPriority w:val="99"/>
  </w:style>
  <w:style w:type="character" w:customStyle="1" w:styleId="Resimyazs7">
    <w:name w:val="Resim yazısı (7)_"/>
    <w:link w:val="Resimyazs71"/>
    <w:uiPriority w:val="99"/>
    <w:locked/>
    <w:rPr>
      <w:rFonts w:ascii="Times New Roman" w:hAnsi="Times New Roman" w:cs="Times New Roman"/>
      <w:sz w:val="16"/>
      <w:szCs w:val="16"/>
      <w:u w:val="none"/>
    </w:rPr>
  </w:style>
  <w:style w:type="character" w:customStyle="1" w:styleId="Resimyazs77">
    <w:name w:val="Resim yazısı (7) + 7"/>
    <w:aliases w:val="5 pt142,İtalik84"/>
    <w:uiPriority w:val="99"/>
    <w:rPr>
      <w:rFonts w:ascii="Times New Roman" w:hAnsi="Times New Roman" w:cs="Times New Roman"/>
      <w:i/>
      <w:iCs/>
      <w:sz w:val="15"/>
      <w:szCs w:val="15"/>
      <w:u w:val="none"/>
    </w:rPr>
  </w:style>
  <w:style w:type="character" w:customStyle="1" w:styleId="Resimyazs771">
    <w:name w:val="Resim yazısı (7) + 71"/>
    <w:aliases w:val="5 pt141,İtalik83"/>
    <w:uiPriority w:val="99"/>
    <w:rPr>
      <w:rFonts w:ascii="Times New Roman" w:hAnsi="Times New Roman" w:cs="Times New Roman"/>
      <w:i/>
      <w:iCs/>
      <w:noProof/>
      <w:sz w:val="15"/>
      <w:szCs w:val="15"/>
      <w:u w:val="single"/>
    </w:rPr>
  </w:style>
  <w:style w:type="character" w:customStyle="1" w:styleId="Resimyazs70">
    <w:name w:val="Resim yazısı (7)"/>
    <w:uiPriority w:val="99"/>
    <w:rPr>
      <w:rFonts w:ascii="Times New Roman" w:hAnsi="Times New Roman" w:cs="Times New Roman"/>
      <w:noProof/>
      <w:sz w:val="16"/>
      <w:szCs w:val="16"/>
      <w:u w:val="single"/>
    </w:rPr>
  </w:style>
  <w:style w:type="character" w:customStyle="1" w:styleId="Resimyazs74">
    <w:name w:val="Resim yazısı (7)4"/>
    <w:uiPriority w:val="99"/>
    <w:rPr>
      <w:rFonts w:ascii="Times New Roman" w:hAnsi="Times New Roman" w:cs="Times New Roman"/>
      <w:sz w:val="16"/>
      <w:szCs w:val="16"/>
      <w:u w:val="single"/>
    </w:rPr>
  </w:style>
  <w:style w:type="character" w:customStyle="1" w:styleId="Resimyazs73">
    <w:name w:val="Resim yazısı (7)3"/>
    <w:uiPriority w:val="99"/>
    <w:rPr>
      <w:rFonts w:ascii="Times New Roman" w:hAnsi="Times New Roman" w:cs="Times New Roman"/>
      <w:noProof/>
      <w:sz w:val="16"/>
      <w:szCs w:val="16"/>
      <w:u w:val="single"/>
    </w:rPr>
  </w:style>
  <w:style w:type="character" w:customStyle="1" w:styleId="Gvdemetni9pt16">
    <w:name w:val="Gövde metni + 9 pt16"/>
    <w:aliases w:val="İtalik82"/>
    <w:uiPriority w:val="99"/>
    <w:rPr>
      <w:rFonts w:ascii="Times New Roman" w:hAnsi="Times New Roman" w:cs="Times New Roman"/>
      <w:i/>
      <w:iCs/>
      <w:sz w:val="18"/>
      <w:szCs w:val="18"/>
      <w:u w:val="none"/>
    </w:rPr>
  </w:style>
  <w:style w:type="character" w:customStyle="1" w:styleId="Gvdemetni9pt15">
    <w:name w:val="Gövde metni + 9 pt15"/>
    <w:aliases w:val="Küçük Büyük Harf12"/>
    <w:uiPriority w:val="99"/>
    <w:rPr>
      <w:rFonts w:ascii="Times New Roman" w:hAnsi="Times New Roman" w:cs="Times New Roman"/>
      <w:smallCaps/>
      <w:sz w:val="18"/>
      <w:szCs w:val="18"/>
      <w:u w:val="none"/>
    </w:rPr>
  </w:style>
  <w:style w:type="character" w:customStyle="1" w:styleId="GvdemetniMSGothic">
    <w:name w:val="Gövde metni + MS Gothic"/>
    <w:aliases w:val="5 pt140"/>
    <w:uiPriority w:val="99"/>
    <w:rPr>
      <w:rFonts w:ascii="MS Gothic" w:eastAsia="MS Gothic" w:hAnsi="Times New Roman" w:cs="MS Gothic"/>
      <w:sz w:val="10"/>
      <w:szCs w:val="10"/>
      <w:u w:val="none"/>
    </w:rPr>
  </w:style>
  <w:style w:type="character" w:customStyle="1" w:styleId="GvdemetniCandara7">
    <w:name w:val="Gövde metni + Candara7"/>
    <w:aliases w:val="7 pt5"/>
    <w:uiPriority w:val="99"/>
    <w:rPr>
      <w:rFonts w:ascii="Candara" w:hAnsi="Candara" w:cs="Candara"/>
      <w:noProof/>
      <w:sz w:val="14"/>
      <w:szCs w:val="14"/>
      <w:u w:val="none"/>
    </w:rPr>
  </w:style>
  <w:style w:type="character" w:customStyle="1" w:styleId="stbilgiveyaaltbilgi7">
    <w:name w:val="Üst bilgi veya alt bilgi7"/>
    <w:uiPriority w:val="99"/>
  </w:style>
  <w:style w:type="character" w:customStyle="1" w:styleId="Gvdemetni79pt2">
    <w:name w:val="Gövde metni (7) + 9 pt2"/>
    <w:aliases w:val="0 pt boşluk bırakılıyor Exact34"/>
    <w:uiPriority w:val="99"/>
    <w:rPr>
      <w:rFonts w:ascii="Times New Roman" w:hAnsi="Times New Roman" w:cs="Times New Roman"/>
      <w:b/>
      <w:bCs/>
      <w:spacing w:val="8"/>
      <w:sz w:val="18"/>
      <w:szCs w:val="18"/>
      <w:u w:val="none"/>
    </w:rPr>
  </w:style>
  <w:style w:type="character" w:customStyle="1" w:styleId="Gvdemetni74">
    <w:name w:val="Gövde metni (7)4"/>
    <w:uiPriority w:val="99"/>
  </w:style>
  <w:style w:type="character" w:customStyle="1" w:styleId="Gvdemetnitalik11">
    <w:name w:val="Gövde metni + İtalik11"/>
    <w:uiPriority w:val="99"/>
    <w:rPr>
      <w:rFonts w:ascii="Times New Roman" w:hAnsi="Times New Roman" w:cs="Times New Roman"/>
      <w:i/>
      <w:iCs/>
      <w:noProof/>
      <w:sz w:val="21"/>
      <w:szCs w:val="21"/>
      <w:u w:val="single"/>
    </w:rPr>
  </w:style>
  <w:style w:type="character" w:customStyle="1" w:styleId="Gvdemetni72">
    <w:name w:val="Gövde metni + 7"/>
    <w:aliases w:val="5 pt139"/>
    <w:uiPriority w:val="99"/>
    <w:rPr>
      <w:rFonts w:ascii="Times New Roman" w:hAnsi="Times New Roman" w:cs="Times New Roman"/>
      <w:sz w:val="15"/>
      <w:szCs w:val="15"/>
      <w:u w:val="none"/>
    </w:rPr>
  </w:style>
  <w:style w:type="character" w:customStyle="1" w:styleId="stbilgiveyaaltbilgi10pt11">
    <w:name w:val="Üst bilgi veya alt bilgi + 10 pt11"/>
    <w:aliases w:val="Kalın Değil30"/>
    <w:uiPriority w:val="99"/>
    <w:rPr>
      <w:rFonts w:ascii="Times New Roman" w:hAnsi="Times New Roman" w:cs="Times New Roman"/>
      <w:b w:val="0"/>
      <w:bCs w:val="0"/>
      <w:sz w:val="20"/>
      <w:szCs w:val="20"/>
      <w:u w:val="none"/>
    </w:rPr>
  </w:style>
  <w:style w:type="character" w:customStyle="1" w:styleId="Gvdemetni39pt8">
    <w:name w:val="Gövde metni (3) + 9 pt8"/>
    <w:aliases w:val="İtalik81"/>
    <w:uiPriority w:val="99"/>
    <w:rPr>
      <w:rFonts w:ascii="Times New Roman" w:hAnsi="Times New Roman" w:cs="Times New Roman"/>
      <w:i/>
      <w:iCs/>
      <w:sz w:val="18"/>
      <w:szCs w:val="18"/>
      <w:u w:val="single"/>
    </w:rPr>
  </w:style>
  <w:style w:type="character" w:customStyle="1" w:styleId="Gvdemetni39pt7">
    <w:name w:val="Gövde metni (3) + 9 pt7"/>
    <w:aliases w:val="Kalın67"/>
    <w:uiPriority w:val="99"/>
    <w:rPr>
      <w:rFonts w:ascii="Times New Roman" w:hAnsi="Times New Roman" w:cs="Times New Roman"/>
      <w:b/>
      <w:bCs/>
      <w:sz w:val="18"/>
      <w:szCs w:val="18"/>
      <w:u w:val="single"/>
    </w:rPr>
  </w:style>
  <w:style w:type="character" w:customStyle="1" w:styleId="Resimyazs9pt6">
    <w:name w:val="Resim yazısı + 9 pt6"/>
    <w:aliases w:val="Kalın66"/>
    <w:uiPriority w:val="99"/>
    <w:rPr>
      <w:rFonts w:ascii="Times New Roman" w:hAnsi="Times New Roman" w:cs="Times New Roman"/>
      <w:b/>
      <w:bCs/>
      <w:sz w:val="18"/>
      <w:szCs w:val="18"/>
      <w:u w:val="none"/>
    </w:rPr>
  </w:style>
  <w:style w:type="character" w:customStyle="1" w:styleId="Gvdemetni9pt14">
    <w:name w:val="Gövde metni + 9 pt14"/>
    <w:uiPriority w:val="99"/>
    <w:rPr>
      <w:rFonts w:ascii="Times New Roman" w:hAnsi="Times New Roman" w:cs="Times New Roman"/>
      <w:sz w:val="18"/>
      <w:szCs w:val="18"/>
      <w:u w:val="none"/>
    </w:rPr>
  </w:style>
  <w:style w:type="character" w:customStyle="1" w:styleId="Gvdemetni73">
    <w:name w:val="Gövde metni + 73"/>
    <w:aliases w:val="5 pt138"/>
    <w:uiPriority w:val="99"/>
    <w:rPr>
      <w:rFonts w:ascii="Times New Roman" w:hAnsi="Times New Roman" w:cs="Times New Roman"/>
      <w:sz w:val="15"/>
      <w:szCs w:val="15"/>
      <w:u w:val="none"/>
    </w:rPr>
  </w:style>
  <w:style w:type="character" w:customStyle="1" w:styleId="GvdemetniExact">
    <w:name w:val="Gövde metni Exact"/>
    <w:uiPriority w:val="99"/>
    <w:rPr>
      <w:rFonts w:ascii="Times New Roman" w:hAnsi="Times New Roman" w:cs="Times New Roman"/>
      <w:spacing w:val="2"/>
      <w:sz w:val="19"/>
      <w:szCs w:val="19"/>
      <w:u w:val="none"/>
    </w:rPr>
  </w:style>
  <w:style w:type="character" w:customStyle="1" w:styleId="stbilgiveyaaltbilgi10pt10">
    <w:name w:val="Üst bilgi veya alt bilgi + 10 pt10"/>
    <w:aliases w:val="Kalın Değil29"/>
    <w:uiPriority w:val="99"/>
    <w:rPr>
      <w:rFonts w:ascii="Times New Roman" w:hAnsi="Times New Roman" w:cs="Times New Roman"/>
      <w:b w:val="0"/>
      <w:bCs w:val="0"/>
      <w:sz w:val="20"/>
      <w:szCs w:val="20"/>
      <w:u w:val="none"/>
    </w:rPr>
  </w:style>
  <w:style w:type="character" w:customStyle="1" w:styleId="stbilgiveyaaltbilgi10pt9">
    <w:name w:val="Üst bilgi veya alt bilgi + 10 pt9"/>
    <w:aliases w:val="Kalın Değil28"/>
    <w:uiPriority w:val="99"/>
    <w:rPr>
      <w:rFonts w:ascii="Times New Roman" w:hAnsi="Times New Roman" w:cs="Times New Roman"/>
      <w:b w:val="0"/>
      <w:bCs w:val="0"/>
      <w:sz w:val="20"/>
      <w:szCs w:val="20"/>
      <w:u w:val="none"/>
    </w:rPr>
  </w:style>
  <w:style w:type="character" w:customStyle="1" w:styleId="Gvdemetni311pt1">
    <w:name w:val="Gövde metni (3) + 11 pt1"/>
    <w:uiPriority w:val="99"/>
    <w:rPr>
      <w:rFonts w:ascii="Times New Roman" w:hAnsi="Times New Roman" w:cs="Times New Roman"/>
      <w:sz w:val="22"/>
      <w:szCs w:val="22"/>
      <w:u w:val="none"/>
    </w:rPr>
  </w:style>
  <w:style w:type="character" w:customStyle="1" w:styleId="Balk329pt">
    <w:name w:val="Başlık #3 (2) + 9 pt"/>
    <w:uiPriority w:val="99"/>
    <w:rPr>
      <w:rFonts w:ascii="Times New Roman" w:hAnsi="Times New Roman" w:cs="Times New Roman"/>
      <w:b/>
      <w:bCs/>
      <w:sz w:val="18"/>
      <w:szCs w:val="18"/>
      <w:u w:val="none"/>
    </w:rPr>
  </w:style>
  <w:style w:type="character" w:customStyle="1" w:styleId="Balk32Candara">
    <w:name w:val="Başlık #3 (2) + Candara"/>
    <w:aliases w:val="8 pt2,Kalın Değil27"/>
    <w:uiPriority w:val="99"/>
    <w:rPr>
      <w:rFonts w:ascii="Candara" w:hAnsi="Candara" w:cs="Candara"/>
      <w:b w:val="0"/>
      <w:bCs w:val="0"/>
      <w:noProof/>
      <w:sz w:val="16"/>
      <w:szCs w:val="16"/>
      <w:u w:val="none"/>
    </w:rPr>
  </w:style>
  <w:style w:type="character" w:customStyle="1" w:styleId="Gvdemetni914">
    <w:name w:val="Gövde metni + 914"/>
    <w:aliases w:val="5 pt137,Kalın65"/>
    <w:uiPriority w:val="99"/>
    <w:rPr>
      <w:rFonts w:ascii="Times New Roman" w:hAnsi="Times New Roman" w:cs="Times New Roman"/>
      <w:b/>
      <w:bCs/>
      <w:sz w:val="19"/>
      <w:szCs w:val="19"/>
      <w:u w:val="none"/>
    </w:rPr>
  </w:style>
  <w:style w:type="character" w:customStyle="1" w:styleId="GvdemetniCandara6">
    <w:name w:val="Gövde metni + Candara6"/>
    <w:aliases w:val="7 pt4"/>
    <w:uiPriority w:val="99"/>
    <w:rPr>
      <w:rFonts w:ascii="Candara" w:hAnsi="Candara" w:cs="Candara"/>
      <w:sz w:val="14"/>
      <w:szCs w:val="14"/>
      <w:u w:val="none"/>
    </w:rPr>
  </w:style>
  <w:style w:type="character" w:customStyle="1" w:styleId="Resimyazs8">
    <w:name w:val="Resim yazısı (8)_"/>
    <w:link w:val="Resimyazs81"/>
    <w:uiPriority w:val="99"/>
    <w:locked/>
    <w:rPr>
      <w:rFonts w:ascii="Arial" w:hAnsi="Arial" w:cs="Arial"/>
      <w:b/>
      <w:bCs/>
      <w:sz w:val="14"/>
      <w:szCs w:val="14"/>
      <w:u w:val="none"/>
    </w:rPr>
  </w:style>
  <w:style w:type="character" w:customStyle="1" w:styleId="Gvdemetni13">
    <w:name w:val="Gövde metni (13)_"/>
    <w:link w:val="Gvdemetni131"/>
    <w:uiPriority w:val="99"/>
    <w:locked/>
    <w:rPr>
      <w:rFonts w:ascii="Times New Roman" w:hAnsi="Times New Roman" w:cs="Times New Roman"/>
      <w:sz w:val="16"/>
      <w:szCs w:val="16"/>
      <w:u w:val="none"/>
    </w:rPr>
  </w:style>
  <w:style w:type="character" w:customStyle="1" w:styleId="Gvdemetni13Candara">
    <w:name w:val="Gövde metni (13) + Candara"/>
    <w:aliases w:val="81,5 pt136,İtalik80"/>
    <w:uiPriority w:val="99"/>
    <w:rPr>
      <w:rFonts w:ascii="Candara" w:hAnsi="Candara" w:cs="Candara"/>
      <w:i/>
      <w:iCs/>
      <w:sz w:val="17"/>
      <w:szCs w:val="17"/>
      <w:u w:val="single"/>
    </w:rPr>
  </w:style>
  <w:style w:type="character" w:customStyle="1" w:styleId="Gvdemetni130">
    <w:name w:val="Gövde metni (13)"/>
    <w:uiPriority w:val="99"/>
    <w:rPr>
      <w:rFonts w:ascii="Times New Roman" w:hAnsi="Times New Roman" w:cs="Times New Roman"/>
      <w:sz w:val="16"/>
      <w:szCs w:val="16"/>
      <w:u w:val="single"/>
    </w:rPr>
  </w:style>
  <w:style w:type="character" w:customStyle="1" w:styleId="Gvdemetni133">
    <w:name w:val="Gövde metni (13)3"/>
    <w:uiPriority w:val="99"/>
    <w:rPr>
      <w:rFonts w:ascii="Times New Roman" w:hAnsi="Times New Roman" w:cs="Times New Roman"/>
      <w:sz w:val="16"/>
      <w:szCs w:val="16"/>
      <w:u w:val="single"/>
    </w:rPr>
  </w:style>
  <w:style w:type="character" w:customStyle="1" w:styleId="Gvdemetni132">
    <w:name w:val="Gövde metni (13)2"/>
    <w:uiPriority w:val="99"/>
    <w:rPr>
      <w:rFonts w:ascii="Times New Roman" w:hAnsi="Times New Roman" w:cs="Times New Roman"/>
      <w:noProof/>
      <w:sz w:val="16"/>
      <w:szCs w:val="16"/>
      <w:u w:val="none"/>
    </w:rPr>
  </w:style>
  <w:style w:type="character" w:customStyle="1" w:styleId="Gvdemetni14">
    <w:name w:val="Gövde metni (14)_"/>
    <w:link w:val="Gvdemetni141"/>
    <w:uiPriority w:val="99"/>
    <w:locked/>
    <w:rPr>
      <w:rFonts w:ascii="Times New Roman" w:hAnsi="Times New Roman" w:cs="Times New Roman"/>
      <w:b/>
      <w:bCs/>
      <w:i/>
      <w:iCs/>
      <w:sz w:val="20"/>
      <w:szCs w:val="20"/>
      <w:u w:val="none"/>
    </w:rPr>
  </w:style>
  <w:style w:type="character" w:customStyle="1" w:styleId="Gvdemetni386">
    <w:name w:val="Gövde metni (3) + 86"/>
    <w:aliases w:val="5 pt135,Kalın64,0 pt boşluk bırakılıyor Exact33"/>
    <w:uiPriority w:val="99"/>
    <w:rPr>
      <w:rFonts w:ascii="Times New Roman" w:hAnsi="Times New Roman" w:cs="Times New Roman"/>
      <w:b/>
      <w:bCs/>
      <w:spacing w:val="1"/>
      <w:sz w:val="17"/>
      <w:szCs w:val="17"/>
      <w:u w:val="none"/>
    </w:rPr>
  </w:style>
  <w:style w:type="character" w:customStyle="1" w:styleId="Gvdemetni114">
    <w:name w:val="Gövde metni (11)4"/>
    <w:uiPriority w:val="99"/>
    <w:rPr>
      <w:rFonts w:ascii="Times New Roman" w:hAnsi="Times New Roman" w:cs="Times New Roman"/>
      <w:sz w:val="18"/>
      <w:szCs w:val="18"/>
      <w:u w:val="single"/>
    </w:rPr>
  </w:style>
  <w:style w:type="character" w:customStyle="1" w:styleId="Gvdemetni730">
    <w:name w:val="Gövde metni (7)3"/>
    <w:uiPriority w:val="99"/>
  </w:style>
  <w:style w:type="character" w:customStyle="1" w:styleId="Gvdemetni6pt5">
    <w:name w:val="Gövde metni + 6 pt5"/>
    <w:aliases w:val="0 pt boşluk bırakılıyor35"/>
    <w:uiPriority w:val="99"/>
    <w:rPr>
      <w:rFonts w:ascii="Times New Roman" w:hAnsi="Times New Roman" w:cs="Times New Roman"/>
      <w:spacing w:val="10"/>
      <w:sz w:val="12"/>
      <w:szCs w:val="12"/>
      <w:u w:val="none"/>
    </w:rPr>
  </w:style>
  <w:style w:type="character" w:customStyle="1" w:styleId="Gvdemetni9pt13">
    <w:name w:val="Gövde metni + 9 pt13"/>
    <w:uiPriority w:val="99"/>
    <w:rPr>
      <w:rFonts w:ascii="Times New Roman" w:hAnsi="Times New Roman" w:cs="Times New Roman"/>
      <w:sz w:val="18"/>
      <w:szCs w:val="18"/>
      <w:u w:val="none"/>
    </w:rPr>
  </w:style>
  <w:style w:type="character" w:customStyle="1" w:styleId="Balk53">
    <w:name w:val="Başlık #5"/>
    <w:uiPriority w:val="99"/>
  </w:style>
  <w:style w:type="character" w:customStyle="1" w:styleId="Balk3220">
    <w:name w:val="Başlık #3 (2)2"/>
    <w:uiPriority w:val="99"/>
  </w:style>
  <w:style w:type="character" w:customStyle="1" w:styleId="Resimyazs86">
    <w:name w:val="Resim yazısı (8) + 6"/>
    <w:aliases w:val="5 pt134"/>
    <w:uiPriority w:val="99"/>
    <w:rPr>
      <w:rFonts w:ascii="Arial" w:hAnsi="Arial" w:cs="Arial"/>
      <w:b/>
      <w:bCs/>
      <w:sz w:val="13"/>
      <w:szCs w:val="13"/>
      <w:u w:val="none"/>
    </w:rPr>
  </w:style>
  <w:style w:type="character" w:customStyle="1" w:styleId="Gvdemetni15">
    <w:name w:val="Gövde metni (15)_"/>
    <w:link w:val="Gvdemetni151"/>
    <w:uiPriority w:val="99"/>
    <w:locked/>
    <w:rPr>
      <w:rFonts w:ascii="Times New Roman" w:hAnsi="Times New Roman" w:cs="Times New Roman"/>
      <w:sz w:val="20"/>
      <w:szCs w:val="20"/>
      <w:u w:val="none"/>
    </w:rPr>
  </w:style>
  <w:style w:type="character" w:customStyle="1" w:styleId="Gvdemetni15Candara">
    <w:name w:val="Gövde metni (15) + Candara"/>
    <w:aliases w:val="96,5 pt133,İtalik79"/>
    <w:uiPriority w:val="99"/>
    <w:rPr>
      <w:rFonts w:ascii="Candara" w:hAnsi="Candara" w:cs="Candara"/>
      <w:i/>
      <w:iCs/>
      <w:sz w:val="19"/>
      <w:szCs w:val="19"/>
      <w:u w:val="none"/>
    </w:rPr>
  </w:style>
  <w:style w:type="character" w:customStyle="1" w:styleId="Gvdemetni15Candara1">
    <w:name w:val="Gövde metni (15) + Candara1"/>
    <w:aliases w:val="95,5 pt132,İtalik78"/>
    <w:uiPriority w:val="99"/>
    <w:rPr>
      <w:rFonts w:ascii="Candara" w:hAnsi="Candara" w:cs="Candara"/>
      <w:i/>
      <w:iCs/>
      <w:noProof/>
      <w:sz w:val="19"/>
      <w:szCs w:val="19"/>
      <w:u w:val="single"/>
    </w:rPr>
  </w:style>
  <w:style w:type="character" w:customStyle="1" w:styleId="Gvdemetni150">
    <w:name w:val="Gövde metni (15)"/>
    <w:uiPriority w:val="99"/>
    <w:rPr>
      <w:rFonts w:ascii="Times New Roman" w:hAnsi="Times New Roman" w:cs="Times New Roman"/>
      <w:sz w:val="20"/>
      <w:szCs w:val="20"/>
      <w:u w:val="single"/>
    </w:rPr>
  </w:style>
  <w:style w:type="character" w:customStyle="1" w:styleId="stbilgiveyaaltbilgi10pt8">
    <w:name w:val="Üst bilgi veya alt bilgi + 10 pt8"/>
    <w:aliases w:val="Kalın Değil26"/>
    <w:uiPriority w:val="99"/>
    <w:rPr>
      <w:rFonts w:ascii="Times New Roman" w:hAnsi="Times New Roman" w:cs="Times New Roman"/>
      <w:b w:val="0"/>
      <w:bCs w:val="0"/>
      <w:sz w:val="20"/>
      <w:szCs w:val="20"/>
      <w:u w:val="none"/>
    </w:rPr>
  </w:style>
  <w:style w:type="character" w:customStyle="1" w:styleId="Gvdemetni6pt4">
    <w:name w:val="Gövde metni + 6 pt4"/>
    <w:uiPriority w:val="99"/>
    <w:rPr>
      <w:rFonts w:ascii="Times New Roman" w:hAnsi="Times New Roman" w:cs="Times New Roman"/>
      <w:noProof/>
      <w:sz w:val="12"/>
      <w:szCs w:val="12"/>
      <w:u w:val="none"/>
    </w:rPr>
  </w:style>
  <w:style w:type="character" w:customStyle="1" w:styleId="GvdemetniCandara5">
    <w:name w:val="Gövde metni + Candara5"/>
    <w:aliases w:val="17 pt"/>
    <w:uiPriority w:val="99"/>
    <w:rPr>
      <w:rFonts w:ascii="Candara" w:hAnsi="Candara" w:cs="Candara"/>
      <w:noProof/>
      <w:sz w:val="34"/>
      <w:szCs w:val="34"/>
      <w:u w:val="none"/>
    </w:rPr>
  </w:style>
  <w:style w:type="character" w:customStyle="1" w:styleId="Gvdemetni4Arial">
    <w:name w:val="Gövde metni (4) + Arial"/>
    <w:aliases w:val="Kalın63,0 pt boşluk bırakılıyor34"/>
    <w:uiPriority w:val="99"/>
    <w:rPr>
      <w:rFonts w:ascii="Arial" w:hAnsi="Arial" w:cs="Arial"/>
      <w:b/>
      <w:bCs/>
      <w:spacing w:val="0"/>
      <w:sz w:val="27"/>
      <w:szCs w:val="27"/>
      <w:u w:val="none"/>
    </w:rPr>
  </w:style>
  <w:style w:type="character" w:customStyle="1" w:styleId="Balk1Arial3">
    <w:name w:val="Başlık #1 + Arial3"/>
    <w:aliases w:val="Kalın62,0 pt boşluk bırakılıyor33"/>
    <w:uiPriority w:val="99"/>
    <w:rPr>
      <w:rFonts w:ascii="Arial" w:hAnsi="Arial" w:cs="Arial"/>
      <w:b/>
      <w:bCs/>
      <w:spacing w:val="0"/>
      <w:sz w:val="27"/>
      <w:szCs w:val="27"/>
      <w:u w:val="none"/>
    </w:rPr>
  </w:style>
  <w:style w:type="character" w:customStyle="1" w:styleId="Gvdemetni89">
    <w:name w:val="Gövde metni + 89"/>
    <w:aliases w:val="5 pt131,İtalik77"/>
    <w:uiPriority w:val="99"/>
    <w:rPr>
      <w:rFonts w:ascii="Times New Roman" w:hAnsi="Times New Roman" w:cs="Times New Roman"/>
      <w:i/>
      <w:iCs/>
      <w:sz w:val="17"/>
      <w:szCs w:val="17"/>
      <w:u w:val="none"/>
    </w:rPr>
  </w:style>
  <w:style w:type="character" w:customStyle="1" w:styleId="Balk5KkBykHarf">
    <w:name w:val="Başlık #5 + Küçük Büyük Harf"/>
    <w:uiPriority w:val="99"/>
    <w:rPr>
      <w:rFonts w:ascii="Times New Roman" w:hAnsi="Times New Roman" w:cs="Times New Roman"/>
      <w:b/>
      <w:bCs/>
      <w:smallCaps/>
      <w:sz w:val="18"/>
      <w:szCs w:val="18"/>
      <w:u w:val="none"/>
    </w:rPr>
  </w:style>
  <w:style w:type="character" w:customStyle="1" w:styleId="Balk56pt">
    <w:name w:val="Başlık #5 + 6 pt"/>
    <w:aliases w:val="Kalın Değil25"/>
    <w:uiPriority w:val="99"/>
    <w:rPr>
      <w:rFonts w:ascii="Times New Roman" w:hAnsi="Times New Roman" w:cs="Times New Roman"/>
      <w:b w:val="0"/>
      <w:bCs w:val="0"/>
      <w:noProof/>
      <w:sz w:val="12"/>
      <w:szCs w:val="12"/>
      <w:u w:val="none"/>
    </w:rPr>
  </w:style>
  <w:style w:type="character" w:customStyle="1" w:styleId="Gvdemetni720">
    <w:name w:val="Gövde metni + 72"/>
    <w:aliases w:val="5 pt130"/>
    <w:uiPriority w:val="99"/>
    <w:rPr>
      <w:rFonts w:ascii="Times New Roman" w:hAnsi="Times New Roman" w:cs="Times New Roman"/>
      <w:noProof/>
      <w:sz w:val="15"/>
      <w:szCs w:val="15"/>
      <w:u w:val="none"/>
    </w:rPr>
  </w:style>
  <w:style w:type="character" w:customStyle="1" w:styleId="Resimyazs9">
    <w:name w:val="Resim yazısı (9)_"/>
    <w:link w:val="Resimyazs90"/>
    <w:uiPriority w:val="99"/>
    <w:locked/>
    <w:rPr>
      <w:rFonts w:ascii="Candara" w:hAnsi="Candara" w:cs="Candara"/>
      <w:b/>
      <w:bCs/>
      <w:sz w:val="18"/>
      <w:szCs w:val="18"/>
      <w:u w:val="none"/>
    </w:rPr>
  </w:style>
  <w:style w:type="character" w:customStyle="1" w:styleId="Resimyazs10">
    <w:name w:val="Resim yazısı (10)_"/>
    <w:link w:val="Resimyazs100"/>
    <w:uiPriority w:val="99"/>
    <w:locked/>
    <w:rPr>
      <w:rFonts w:ascii="Candara" w:hAnsi="Candara" w:cs="Candara"/>
      <w:sz w:val="15"/>
      <w:szCs w:val="15"/>
      <w:u w:val="none"/>
    </w:rPr>
  </w:style>
  <w:style w:type="character" w:customStyle="1" w:styleId="Resimyazs80">
    <w:name w:val="Resim yazısı + 8"/>
    <w:aliases w:val="5 pt129,İtalik76"/>
    <w:uiPriority w:val="99"/>
    <w:rPr>
      <w:rFonts w:ascii="Times New Roman" w:hAnsi="Times New Roman" w:cs="Times New Roman"/>
      <w:i/>
      <w:iCs/>
      <w:sz w:val="17"/>
      <w:szCs w:val="17"/>
      <w:u w:val="none"/>
    </w:rPr>
  </w:style>
  <w:style w:type="character" w:customStyle="1" w:styleId="Resimyazs9pt5">
    <w:name w:val="Resim yazısı + 9 pt5"/>
    <w:uiPriority w:val="99"/>
    <w:rPr>
      <w:rFonts w:ascii="Times New Roman" w:hAnsi="Times New Roman" w:cs="Times New Roman"/>
      <w:noProof/>
      <w:sz w:val="18"/>
      <w:szCs w:val="18"/>
      <w:u w:val="none"/>
    </w:rPr>
  </w:style>
  <w:style w:type="character" w:customStyle="1" w:styleId="Resimyazs9pt4">
    <w:name w:val="Resim yazısı + 9 pt4"/>
    <w:uiPriority w:val="99"/>
    <w:rPr>
      <w:rFonts w:ascii="Times New Roman" w:hAnsi="Times New Roman" w:cs="Times New Roman"/>
      <w:sz w:val="18"/>
      <w:szCs w:val="18"/>
      <w:u w:val="single"/>
    </w:rPr>
  </w:style>
  <w:style w:type="character" w:customStyle="1" w:styleId="Gvdemetni16Exact">
    <w:name w:val="Gövde metni (16) Exact"/>
    <w:link w:val="Gvdemetni160"/>
    <w:uiPriority w:val="99"/>
    <w:locked/>
    <w:rPr>
      <w:rFonts w:ascii="Times New Roman" w:hAnsi="Times New Roman" w:cs="Times New Roman"/>
      <w:b/>
      <w:bCs/>
      <w:noProof/>
      <w:sz w:val="34"/>
      <w:szCs w:val="34"/>
      <w:u w:val="none"/>
    </w:rPr>
  </w:style>
  <w:style w:type="character" w:customStyle="1" w:styleId="ResimyazsExact">
    <w:name w:val="Resim yazısı Exact"/>
    <w:uiPriority w:val="99"/>
    <w:rPr>
      <w:rFonts w:ascii="Times New Roman" w:hAnsi="Times New Roman" w:cs="Times New Roman"/>
      <w:sz w:val="18"/>
      <w:szCs w:val="18"/>
      <w:u w:val="none"/>
    </w:rPr>
  </w:style>
  <w:style w:type="character" w:customStyle="1" w:styleId="Resimyazs88">
    <w:name w:val="Resim yazısı + 88"/>
    <w:aliases w:val="5 pt128,Kalın61,0 pt boşluk bırakılıyor Exact32"/>
    <w:uiPriority w:val="99"/>
    <w:rPr>
      <w:rFonts w:ascii="Times New Roman" w:hAnsi="Times New Roman" w:cs="Times New Roman"/>
      <w:b/>
      <w:bCs/>
      <w:spacing w:val="1"/>
      <w:sz w:val="17"/>
      <w:szCs w:val="17"/>
      <w:u w:val="none"/>
    </w:rPr>
  </w:style>
  <w:style w:type="character" w:customStyle="1" w:styleId="Resimyazs87">
    <w:name w:val="Resim yazısı + 87"/>
    <w:aliases w:val="5 pt127,Kalın60,0 pt boşluk bırakılıyor Exact31"/>
    <w:uiPriority w:val="99"/>
    <w:rPr>
      <w:rFonts w:ascii="Times New Roman" w:hAnsi="Times New Roman" w:cs="Times New Roman"/>
      <w:b/>
      <w:bCs/>
      <w:spacing w:val="1"/>
      <w:sz w:val="17"/>
      <w:szCs w:val="17"/>
      <w:u w:val="none"/>
    </w:rPr>
  </w:style>
  <w:style w:type="character" w:customStyle="1" w:styleId="Resimyazs72">
    <w:name w:val="Resim yazısı + 7"/>
    <w:aliases w:val="5 pt126,İtalik75,0 pt boşluk bırakılıyor Exact30"/>
    <w:uiPriority w:val="99"/>
    <w:rPr>
      <w:rFonts w:ascii="Times New Roman" w:hAnsi="Times New Roman" w:cs="Times New Roman"/>
      <w:i/>
      <w:iCs/>
      <w:spacing w:val="-2"/>
      <w:sz w:val="15"/>
      <w:szCs w:val="15"/>
      <w:u w:val="none"/>
    </w:rPr>
  </w:style>
  <w:style w:type="character" w:customStyle="1" w:styleId="Resimyazs710">
    <w:name w:val="Resim yazısı + 71"/>
    <w:aliases w:val="5 pt125,İtalik74,0 pt boşluk bırakılıyor Exact29"/>
    <w:uiPriority w:val="99"/>
    <w:rPr>
      <w:rFonts w:ascii="Times New Roman" w:hAnsi="Times New Roman" w:cs="Times New Roman"/>
      <w:i/>
      <w:iCs/>
      <w:noProof/>
      <w:spacing w:val="-2"/>
      <w:sz w:val="15"/>
      <w:szCs w:val="15"/>
      <w:u w:val="single"/>
    </w:rPr>
  </w:style>
  <w:style w:type="character" w:customStyle="1" w:styleId="Resimyazs860">
    <w:name w:val="Resim yazısı + 86"/>
    <w:aliases w:val="5 pt Exact"/>
    <w:uiPriority w:val="99"/>
    <w:rPr>
      <w:rFonts w:ascii="Times New Roman" w:hAnsi="Times New Roman" w:cs="Times New Roman"/>
      <w:sz w:val="17"/>
      <w:szCs w:val="17"/>
      <w:u w:val="single"/>
    </w:rPr>
  </w:style>
  <w:style w:type="character" w:customStyle="1" w:styleId="Resimyazs85">
    <w:name w:val="Resim yazısı + 85"/>
    <w:aliases w:val="5 pt Exact3"/>
    <w:uiPriority w:val="99"/>
    <w:rPr>
      <w:rFonts w:ascii="Times New Roman" w:hAnsi="Times New Roman" w:cs="Times New Roman"/>
      <w:noProof/>
      <w:sz w:val="17"/>
      <w:szCs w:val="17"/>
      <w:u w:val="none"/>
    </w:rPr>
  </w:style>
  <w:style w:type="character" w:customStyle="1" w:styleId="Resimyazs11">
    <w:name w:val="Resim yazısı (11)_"/>
    <w:link w:val="Resimyazs111"/>
    <w:uiPriority w:val="99"/>
    <w:locked/>
    <w:rPr>
      <w:rFonts w:ascii="Arial" w:hAnsi="Arial" w:cs="Arial"/>
      <w:sz w:val="12"/>
      <w:szCs w:val="12"/>
      <w:u w:val="none"/>
    </w:rPr>
  </w:style>
  <w:style w:type="character" w:customStyle="1" w:styleId="Resimyazs110">
    <w:name w:val="Resim yazısı (11)"/>
    <w:uiPriority w:val="99"/>
  </w:style>
  <w:style w:type="character" w:customStyle="1" w:styleId="Gvdemetni170">
    <w:name w:val="Gövde metni (17)_"/>
    <w:link w:val="Gvdemetni171"/>
    <w:uiPriority w:val="99"/>
    <w:locked/>
    <w:rPr>
      <w:rFonts w:ascii="Times New Roman" w:hAnsi="Times New Roman" w:cs="Times New Roman"/>
      <w:sz w:val="12"/>
      <w:szCs w:val="12"/>
      <w:u w:val="none"/>
    </w:rPr>
  </w:style>
  <w:style w:type="character" w:customStyle="1" w:styleId="Gvdemetni172">
    <w:name w:val="Gövde metni (17)"/>
    <w:uiPriority w:val="99"/>
  </w:style>
  <w:style w:type="character" w:customStyle="1" w:styleId="Gvdemetni1188">
    <w:name w:val="Gövde metni (11) + 88"/>
    <w:aliases w:val="5 pt124,İtalik73"/>
    <w:uiPriority w:val="99"/>
    <w:rPr>
      <w:rFonts w:ascii="Times New Roman" w:hAnsi="Times New Roman" w:cs="Times New Roman"/>
      <w:i/>
      <w:iCs/>
      <w:sz w:val="17"/>
      <w:szCs w:val="17"/>
      <w:u w:val="none"/>
    </w:rPr>
  </w:style>
  <w:style w:type="character" w:customStyle="1" w:styleId="Gvdemetni113">
    <w:name w:val="Gövde metni (11)3"/>
    <w:uiPriority w:val="99"/>
  </w:style>
  <w:style w:type="character" w:customStyle="1" w:styleId="Gvdemetni112">
    <w:name w:val="Gövde metni (11)2"/>
    <w:uiPriority w:val="99"/>
    <w:rPr>
      <w:rFonts w:ascii="Times New Roman" w:hAnsi="Times New Roman" w:cs="Times New Roman"/>
      <w:sz w:val="18"/>
      <w:szCs w:val="18"/>
      <w:u w:val="single"/>
    </w:rPr>
  </w:style>
  <w:style w:type="character" w:customStyle="1" w:styleId="Gvdemetni310pt">
    <w:name w:val="Gövde metni (3) + 10 pt"/>
    <w:uiPriority w:val="99"/>
    <w:rPr>
      <w:rFonts w:ascii="Times New Roman" w:hAnsi="Times New Roman" w:cs="Times New Roman"/>
      <w:sz w:val="20"/>
      <w:szCs w:val="20"/>
      <w:u w:val="none"/>
    </w:rPr>
  </w:style>
  <w:style w:type="character" w:customStyle="1" w:styleId="Resimyazs12">
    <w:name w:val="Resim yazısı (12)_"/>
    <w:link w:val="Resimyazs121"/>
    <w:uiPriority w:val="99"/>
    <w:locked/>
    <w:rPr>
      <w:rFonts w:ascii="Times New Roman" w:hAnsi="Times New Roman" w:cs="Times New Roman"/>
      <w:sz w:val="18"/>
      <w:szCs w:val="18"/>
      <w:u w:val="none"/>
    </w:rPr>
  </w:style>
  <w:style w:type="character" w:customStyle="1" w:styleId="Resimyazs128">
    <w:name w:val="Resim yazısı (12) + 8"/>
    <w:aliases w:val="5 pt123,İtalik72"/>
    <w:uiPriority w:val="99"/>
    <w:rPr>
      <w:rFonts w:ascii="Times New Roman" w:hAnsi="Times New Roman" w:cs="Times New Roman"/>
      <w:i/>
      <w:iCs/>
      <w:sz w:val="17"/>
      <w:szCs w:val="17"/>
      <w:u w:val="none"/>
    </w:rPr>
  </w:style>
  <w:style w:type="character" w:customStyle="1" w:styleId="Resimyazs120">
    <w:name w:val="Resim yazısı (12)"/>
    <w:uiPriority w:val="99"/>
    <w:rPr>
      <w:rFonts w:ascii="Times New Roman" w:hAnsi="Times New Roman" w:cs="Times New Roman"/>
      <w:sz w:val="18"/>
      <w:szCs w:val="18"/>
      <w:u w:val="single"/>
    </w:rPr>
  </w:style>
  <w:style w:type="character" w:customStyle="1" w:styleId="Gvdemetni152">
    <w:name w:val="Gövde metni15"/>
    <w:uiPriority w:val="99"/>
  </w:style>
  <w:style w:type="character" w:customStyle="1" w:styleId="Gvdemetnitalik10">
    <w:name w:val="Gövde metni + İtalik10"/>
    <w:uiPriority w:val="99"/>
    <w:rPr>
      <w:rFonts w:ascii="Times New Roman" w:hAnsi="Times New Roman" w:cs="Times New Roman"/>
      <w:i/>
      <w:iCs/>
      <w:noProof/>
      <w:sz w:val="21"/>
      <w:szCs w:val="21"/>
      <w:u w:val="none"/>
    </w:rPr>
  </w:style>
  <w:style w:type="character" w:customStyle="1" w:styleId="Gvdemetnitalik9">
    <w:name w:val="Gövde metni + İtalik9"/>
    <w:uiPriority w:val="99"/>
    <w:rPr>
      <w:rFonts w:ascii="Times New Roman" w:hAnsi="Times New Roman" w:cs="Times New Roman"/>
      <w:i/>
      <w:iCs/>
      <w:noProof/>
      <w:sz w:val="21"/>
      <w:szCs w:val="21"/>
      <w:u w:val="single"/>
    </w:rPr>
  </w:style>
  <w:style w:type="character" w:customStyle="1" w:styleId="Resimyazs13">
    <w:name w:val="Resim yazısı (13)_"/>
    <w:link w:val="Resimyazs131"/>
    <w:uiPriority w:val="99"/>
    <w:locked/>
    <w:rPr>
      <w:rFonts w:ascii="Candara" w:hAnsi="Candara" w:cs="Candara"/>
      <w:sz w:val="9"/>
      <w:szCs w:val="9"/>
      <w:u w:val="none"/>
    </w:rPr>
  </w:style>
  <w:style w:type="character" w:customStyle="1" w:styleId="Resimyazs130">
    <w:name w:val="Resim yazısı (13)"/>
    <w:uiPriority w:val="99"/>
  </w:style>
  <w:style w:type="character" w:customStyle="1" w:styleId="Gvdemetni180">
    <w:name w:val="Gövde metni (18)_"/>
    <w:link w:val="Gvdemetni181"/>
    <w:uiPriority w:val="99"/>
    <w:locked/>
    <w:rPr>
      <w:rFonts w:ascii="Candara" w:hAnsi="Candara" w:cs="Candara"/>
      <w:sz w:val="9"/>
      <w:szCs w:val="9"/>
      <w:u w:val="none"/>
    </w:rPr>
  </w:style>
  <w:style w:type="character" w:customStyle="1" w:styleId="Gvdemetni182">
    <w:name w:val="Gövde metni (18)"/>
    <w:uiPriority w:val="99"/>
    <w:rPr>
      <w:rFonts w:ascii="Candara" w:hAnsi="Candara" w:cs="Candara"/>
      <w:sz w:val="9"/>
      <w:szCs w:val="9"/>
      <w:u w:val="single"/>
    </w:rPr>
  </w:style>
  <w:style w:type="character" w:customStyle="1" w:styleId="Gvdemetni913">
    <w:name w:val="Gövde metni + 913"/>
    <w:aliases w:val="5 pt122,Kalın59"/>
    <w:uiPriority w:val="99"/>
    <w:rPr>
      <w:rFonts w:ascii="Times New Roman" w:hAnsi="Times New Roman" w:cs="Times New Roman"/>
      <w:b/>
      <w:bCs/>
      <w:sz w:val="19"/>
      <w:szCs w:val="19"/>
      <w:u w:val="none"/>
    </w:rPr>
  </w:style>
  <w:style w:type="character" w:customStyle="1" w:styleId="Gvdemetni10pt14">
    <w:name w:val="Gövde metni + 10 pt14"/>
    <w:uiPriority w:val="99"/>
    <w:rPr>
      <w:rFonts w:ascii="Times New Roman" w:hAnsi="Times New Roman" w:cs="Times New Roman"/>
      <w:sz w:val="20"/>
      <w:szCs w:val="20"/>
      <w:u w:val="none"/>
    </w:rPr>
  </w:style>
  <w:style w:type="character" w:customStyle="1" w:styleId="GvdemetniCandara4">
    <w:name w:val="Gövde metni + Candara4"/>
    <w:aliases w:val="Kalın58"/>
    <w:uiPriority w:val="99"/>
    <w:rPr>
      <w:rFonts w:ascii="Candara" w:hAnsi="Candara" w:cs="Candara"/>
      <w:b/>
      <w:bCs/>
      <w:sz w:val="21"/>
      <w:szCs w:val="21"/>
      <w:u w:val="none"/>
    </w:rPr>
  </w:style>
  <w:style w:type="character" w:customStyle="1" w:styleId="GvdemetniCandara3">
    <w:name w:val="Gövde metni + Candara3"/>
    <w:aliases w:val="Kalın57,Küçük Büyük Harf11"/>
    <w:uiPriority w:val="99"/>
    <w:rPr>
      <w:rFonts w:ascii="Candara" w:hAnsi="Candara" w:cs="Candara"/>
      <w:b/>
      <w:bCs/>
      <w:smallCaps/>
      <w:sz w:val="21"/>
      <w:szCs w:val="21"/>
      <w:u w:val="none"/>
    </w:rPr>
  </w:style>
  <w:style w:type="character" w:customStyle="1" w:styleId="Gvdemetni6pt3">
    <w:name w:val="Gövde metni + 6 pt3"/>
    <w:uiPriority w:val="99"/>
    <w:rPr>
      <w:rFonts w:ascii="Times New Roman" w:hAnsi="Times New Roman" w:cs="Times New Roman"/>
      <w:noProof/>
      <w:sz w:val="12"/>
      <w:szCs w:val="12"/>
      <w:u w:val="none"/>
    </w:rPr>
  </w:style>
  <w:style w:type="character" w:customStyle="1" w:styleId="GvdemetniCandara2">
    <w:name w:val="Gövde metni + Candara2"/>
    <w:aliases w:val="10 pt"/>
    <w:uiPriority w:val="99"/>
    <w:rPr>
      <w:rFonts w:ascii="Candara" w:hAnsi="Candara" w:cs="Candara"/>
      <w:sz w:val="20"/>
      <w:szCs w:val="20"/>
      <w:u w:val="none"/>
    </w:rPr>
  </w:style>
  <w:style w:type="character" w:customStyle="1" w:styleId="GvdemetniCandara1">
    <w:name w:val="Gövde metni + Candara1"/>
    <w:aliases w:val="10 pt2,2 pt boşluk bırakılıyor"/>
    <w:uiPriority w:val="99"/>
    <w:rPr>
      <w:rFonts w:ascii="Candara" w:hAnsi="Candara" w:cs="Candara"/>
      <w:spacing w:val="40"/>
      <w:sz w:val="20"/>
      <w:szCs w:val="20"/>
      <w:u w:val="none"/>
    </w:rPr>
  </w:style>
  <w:style w:type="character" w:customStyle="1" w:styleId="Gvdemetni912">
    <w:name w:val="Gövde metni + 912"/>
    <w:aliases w:val="5 pt121,Kalın56"/>
    <w:uiPriority w:val="99"/>
    <w:rPr>
      <w:rFonts w:ascii="Times New Roman" w:hAnsi="Times New Roman" w:cs="Times New Roman"/>
      <w:b/>
      <w:bCs/>
      <w:sz w:val="19"/>
      <w:szCs w:val="19"/>
      <w:u w:val="none"/>
    </w:rPr>
  </w:style>
  <w:style w:type="character" w:customStyle="1" w:styleId="Gvdemetni9pt12">
    <w:name w:val="Gövde metni + 9 pt12"/>
    <w:aliases w:val="Kalın55,İtalik71"/>
    <w:uiPriority w:val="99"/>
    <w:rPr>
      <w:rFonts w:ascii="Times New Roman" w:hAnsi="Times New Roman" w:cs="Times New Roman"/>
      <w:b/>
      <w:bCs/>
      <w:i/>
      <w:iCs/>
      <w:sz w:val="18"/>
      <w:szCs w:val="18"/>
      <w:u w:val="none"/>
    </w:rPr>
  </w:style>
  <w:style w:type="character" w:customStyle="1" w:styleId="Gvdemetni9pt11">
    <w:name w:val="Gövde metni + 9 pt11"/>
    <w:aliases w:val="İtalik70"/>
    <w:uiPriority w:val="99"/>
    <w:rPr>
      <w:rFonts w:ascii="Times New Roman" w:hAnsi="Times New Roman" w:cs="Times New Roman"/>
      <w:i/>
      <w:iCs/>
      <w:noProof/>
      <w:sz w:val="18"/>
      <w:szCs w:val="18"/>
      <w:u w:val="none"/>
    </w:rPr>
  </w:style>
  <w:style w:type="character" w:customStyle="1" w:styleId="Gvdemetni9pt10">
    <w:name w:val="Gövde metni + 9 pt10"/>
    <w:uiPriority w:val="99"/>
    <w:rPr>
      <w:rFonts w:ascii="Times New Roman" w:hAnsi="Times New Roman" w:cs="Times New Roman"/>
      <w:noProof/>
      <w:sz w:val="18"/>
      <w:szCs w:val="18"/>
      <w:u w:val="none"/>
    </w:rPr>
  </w:style>
  <w:style w:type="character" w:customStyle="1" w:styleId="Gvdemetni10pt13">
    <w:name w:val="Gövde metni + 10 pt13"/>
    <w:uiPriority w:val="99"/>
    <w:rPr>
      <w:rFonts w:ascii="Times New Roman" w:hAnsi="Times New Roman" w:cs="Times New Roman"/>
      <w:sz w:val="20"/>
      <w:szCs w:val="20"/>
      <w:u w:val="none"/>
    </w:rPr>
  </w:style>
  <w:style w:type="character" w:customStyle="1" w:styleId="Gvdemetni9pt9">
    <w:name w:val="Gövde metni + 9 pt9"/>
    <w:aliases w:val="Kalın54,Küçük Büyük Harf10"/>
    <w:uiPriority w:val="99"/>
    <w:rPr>
      <w:rFonts w:ascii="Times New Roman" w:hAnsi="Times New Roman" w:cs="Times New Roman"/>
      <w:b/>
      <w:bCs/>
      <w:smallCaps/>
      <w:sz w:val="18"/>
      <w:szCs w:val="18"/>
      <w:u w:val="none"/>
    </w:rPr>
  </w:style>
  <w:style w:type="character" w:customStyle="1" w:styleId="Gvdemetni39pt6">
    <w:name w:val="Gövde metni (3) + 9 pt6"/>
    <w:aliases w:val="İtalik69"/>
    <w:uiPriority w:val="99"/>
    <w:rPr>
      <w:rFonts w:ascii="Times New Roman" w:hAnsi="Times New Roman" w:cs="Times New Roman"/>
      <w:i/>
      <w:iCs/>
      <w:sz w:val="18"/>
      <w:szCs w:val="18"/>
      <w:u w:val="none"/>
    </w:rPr>
  </w:style>
  <w:style w:type="character" w:customStyle="1" w:styleId="Gvdemetni39pt5">
    <w:name w:val="Gövde metni (3) + 9 pt5"/>
    <w:aliases w:val="Kalın53"/>
    <w:uiPriority w:val="99"/>
    <w:rPr>
      <w:rFonts w:ascii="Times New Roman" w:hAnsi="Times New Roman" w:cs="Times New Roman"/>
      <w:b/>
      <w:bCs/>
      <w:sz w:val="18"/>
      <w:szCs w:val="18"/>
      <w:u w:val="single"/>
    </w:rPr>
  </w:style>
  <w:style w:type="character" w:customStyle="1" w:styleId="Gvdemetni9pt8">
    <w:name w:val="Gövde metni + 9 pt8"/>
    <w:aliases w:val="İtalik68"/>
    <w:uiPriority w:val="99"/>
    <w:rPr>
      <w:rFonts w:ascii="Times New Roman" w:hAnsi="Times New Roman" w:cs="Times New Roman"/>
      <w:i/>
      <w:iCs/>
      <w:sz w:val="18"/>
      <w:szCs w:val="18"/>
      <w:u w:val="none"/>
    </w:rPr>
  </w:style>
  <w:style w:type="character" w:customStyle="1" w:styleId="Balk510pt">
    <w:name w:val="Başlık #5 + 10 pt"/>
    <w:aliases w:val="Kalın Değil24"/>
    <w:uiPriority w:val="99"/>
    <w:rPr>
      <w:rFonts w:ascii="Times New Roman" w:hAnsi="Times New Roman" w:cs="Times New Roman"/>
      <w:b w:val="0"/>
      <w:bCs w:val="0"/>
      <w:sz w:val="20"/>
      <w:szCs w:val="20"/>
      <w:u w:val="none"/>
    </w:rPr>
  </w:style>
  <w:style w:type="character" w:customStyle="1" w:styleId="Gvdemetnitalik8">
    <w:name w:val="Gövde metni + İtalik8"/>
    <w:uiPriority w:val="99"/>
    <w:rPr>
      <w:rFonts w:ascii="Times New Roman" w:hAnsi="Times New Roman" w:cs="Times New Roman"/>
      <w:i/>
      <w:iCs/>
      <w:noProof/>
      <w:sz w:val="21"/>
      <w:szCs w:val="21"/>
      <w:u w:val="single"/>
    </w:rPr>
  </w:style>
  <w:style w:type="character" w:customStyle="1" w:styleId="Gvdemetni8pt5">
    <w:name w:val="Gövde metni + 8 pt5"/>
    <w:aliases w:val="Kalın52"/>
    <w:uiPriority w:val="99"/>
    <w:rPr>
      <w:rFonts w:ascii="Times New Roman" w:hAnsi="Times New Roman" w:cs="Times New Roman"/>
      <w:b/>
      <w:bCs/>
      <w:sz w:val="16"/>
      <w:szCs w:val="16"/>
      <w:u w:val="none"/>
    </w:rPr>
  </w:style>
  <w:style w:type="character" w:customStyle="1" w:styleId="Gvdemetni140">
    <w:name w:val="Gövde metni14"/>
    <w:uiPriority w:val="99"/>
  </w:style>
  <w:style w:type="character" w:customStyle="1" w:styleId="Tabloyazs3">
    <w:name w:val="Tablo yazısı (3)_"/>
    <w:link w:val="Tabloyazs30"/>
    <w:uiPriority w:val="99"/>
    <w:locked/>
    <w:rPr>
      <w:rFonts w:ascii="Times New Roman" w:hAnsi="Times New Roman" w:cs="Times New Roman"/>
      <w:sz w:val="18"/>
      <w:szCs w:val="18"/>
      <w:u w:val="none"/>
    </w:rPr>
  </w:style>
  <w:style w:type="character" w:customStyle="1" w:styleId="Gvdemetni9pt7">
    <w:name w:val="Gövde metni + 9 pt7"/>
    <w:uiPriority w:val="99"/>
    <w:rPr>
      <w:rFonts w:ascii="Times New Roman" w:hAnsi="Times New Roman" w:cs="Times New Roman"/>
      <w:sz w:val="18"/>
      <w:szCs w:val="18"/>
      <w:u w:val="none"/>
    </w:rPr>
  </w:style>
  <w:style w:type="character" w:customStyle="1" w:styleId="Balk520">
    <w:name w:val="Başlık #5 (2)"/>
    <w:uiPriority w:val="99"/>
  </w:style>
  <w:style w:type="character" w:customStyle="1" w:styleId="Gvdemetni7pt">
    <w:name w:val="Gövde metni + 7 pt"/>
    <w:aliases w:val="0 pt boşluk bırakılıyor32"/>
    <w:uiPriority w:val="99"/>
    <w:rPr>
      <w:rFonts w:ascii="Times New Roman" w:hAnsi="Times New Roman" w:cs="Times New Roman"/>
      <w:spacing w:val="10"/>
      <w:sz w:val="14"/>
      <w:szCs w:val="14"/>
      <w:u w:val="none"/>
    </w:rPr>
  </w:style>
  <w:style w:type="character" w:customStyle="1" w:styleId="Tabloyazs39">
    <w:name w:val="Tablo yazısı (3) + 9"/>
    <w:aliases w:val="5 pt120"/>
    <w:uiPriority w:val="99"/>
    <w:rPr>
      <w:rFonts w:ascii="Times New Roman" w:hAnsi="Times New Roman" w:cs="Times New Roman"/>
      <w:sz w:val="19"/>
      <w:szCs w:val="19"/>
      <w:u w:val="none"/>
    </w:rPr>
  </w:style>
  <w:style w:type="character" w:customStyle="1" w:styleId="Gvdemetni911">
    <w:name w:val="Gövde metni + 911"/>
    <w:aliases w:val="5 pt119"/>
    <w:uiPriority w:val="99"/>
    <w:rPr>
      <w:rFonts w:ascii="Times New Roman" w:hAnsi="Times New Roman" w:cs="Times New Roman"/>
      <w:sz w:val="19"/>
      <w:szCs w:val="19"/>
      <w:u w:val="none"/>
    </w:rPr>
  </w:style>
  <w:style w:type="character" w:customStyle="1" w:styleId="Gvdemetni62">
    <w:name w:val="Gövde metni + 62"/>
    <w:aliases w:val="5 pt118"/>
    <w:uiPriority w:val="99"/>
    <w:rPr>
      <w:rFonts w:ascii="Times New Roman" w:hAnsi="Times New Roman" w:cs="Times New Roman"/>
      <w:sz w:val="13"/>
      <w:szCs w:val="13"/>
      <w:u w:val="none"/>
    </w:rPr>
  </w:style>
  <w:style w:type="character" w:customStyle="1" w:styleId="Gvdemetni119">
    <w:name w:val="Gövde metni (11) + 9"/>
    <w:aliases w:val="5 pt117"/>
    <w:uiPriority w:val="99"/>
    <w:rPr>
      <w:rFonts w:ascii="Times New Roman" w:hAnsi="Times New Roman" w:cs="Times New Roman"/>
      <w:sz w:val="19"/>
      <w:szCs w:val="19"/>
      <w:u w:val="none"/>
    </w:rPr>
  </w:style>
  <w:style w:type="character" w:customStyle="1" w:styleId="Gvdemetni1187">
    <w:name w:val="Gövde metni (11) + 87"/>
    <w:aliases w:val="5 pt116,İtalik67"/>
    <w:uiPriority w:val="99"/>
    <w:rPr>
      <w:rFonts w:ascii="Times New Roman" w:hAnsi="Times New Roman" w:cs="Times New Roman"/>
      <w:i/>
      <w:iCs/>
      <w:sz w:val="17"/>
      <w:szCs w:val="17"/>
      <w:u w:val="none"/>
    </w:rPr>
  </w:style>
  <w:style w:type="character" w:customStyle="1" w:styleId="Gvdemetni1196">
    <w:name w:val="Gövde metni (11) + 96"/>
    <w:aliases w:val="5 pt115"/>
    <w:uiPriority w:val="99"/>
    <w:rPr>
      <w:rFonts w:ascii="Times New Roman" w:hAnsi="Times New Roman" w:cs="Times New Roman"/>
      <w:sz w:val="19"/>
      <w:szCs w:val="19"/>
      <w:u w:val="single"/>
    </w:rPr>
  </w:style>
  <w:style w:type="character" w:customStyle="1" w:styleId="Gvdemetni710pt">
    <w:name w:val="Gövde metni (7) + 10 pt"/>
    <w:uiPriority w:val="99"/>
    <w:rPr>
      <w:rFonts w:ascii="Times New Roman" w:hAnsi="Times New Roman" w:cs="Times New Roman"/>
      <w:b/>
      <w:bCs/>
      <w:sz w:val="20"/>
      <w:szCs w:val="20"/>
      <w:u w:val="none"/>
    </w:rPr>
  </w:style>
  <w:style w:type="character" w:customStyle="1" w:styleId="Gvdemetni721">
    <w:name w:val="Gövde metni (7)2"/>
    <w:uiPriority w:val="99"/>
  </w:style>
  <w:style w:type="character" w:customStyle="1" w:styleId="Resimyazs14">
    <w:name w:val="Resim yazısı (14)_"/>
    <w:link w:val="Resimyazs141"/>
    <w:uiPriority w:val="99"/>
    <w:locked/>
    <w:rPr>
      <w:rFonts w:ascii="Times New Roman" w:hAnsi="Times New Roman" w:cs="Times New Roman"/>
      <w:sz w:val="21"/>
      <w:szCs w:val="21"/>
      <w:u w:val="none"/>
    </w:rPr>
  </w:style>
  <w:style w:type="character" w:customStyle="1" w:styleId="Resimyazs10pt">
    <w:name w:val="Resim yazısı + 10 pt"/>
    <w:aliases w:val="Kalın51"/>
    <w:uiPriority w:val="99"/>
    <w:rPr>
      <w:rFonts w:ascii="Times New Roman" w:hAnsi="Times New Roman" w:cs="Times New Roman"/>
      <w:b/>
      <w:bCs/>
      <w:sz w:val="20"/>
      <w:szCs w:val="20"/>
      <w:u w:val="none"/>
    </w:rPr>
  </w:style>
  <w:style w:type="character" w:customStyle="1" w:styleId="Balk5210">
    <w:name w:val="Başlık #5 (2) + 10"/>
    <w:aliases w:val="5 pt114,Kalın Değil23"/>
    <w:uiPriority w:val="99"/>
    <w:rPr>
      <w:rFonts w:ascii="Times New Roman" w:hAnsi="Times New Roman" w:cs="Times New Roman"/>
      <w:b w:val="0"/>
      <w:bCs w:val="0"/>
      <w:sz w:val="21"/>
      <w:szCs w:val="21"/>
      <w:u w:val="none"/>
    </w:rPr>
  </w:style>
  <w:style w:type="character" w:customStyle="1" w:styleId="stbilgiveyaaltbilgi6">
    <w:name w:val="Üst bilgi veya alt bilgi6"/>
    <w:uiPriority w:val="99"/>
  </w:style>
  <w:style w:type="character" w:customStyle="1" w:styleId="Balk2TimesNewRoman3">
    <w:name w:val="Başlık #2 + Times New Roman3"/>
    <w:aliases w:val="0 pt boşluk bırakılıyor31"/>
    <w:uiPriority w:val="99"/>
    <w:rPr>
      <w:rFonts w:ascii="Times New Roman" w:hAnsi="Times New Roman" w:cs="Times New Roman"/>
      <w:b/>
      <w:bCs/>
      <w:spacing w:val="10"/>
      <w:sz w:val="23"/>
      <w:szCs w:val="23"/>
      <w:u w:val="none"/>
    </w:rPr>
  </w:style>
  <w:style w:type="character" w:customStyle="1" w:styleId="stbilgiveyaaltbilgi10pt7">
    <w:name w:val="Üst bilgi veya alt bilgi + 10 pt7"/>
    <w:aliases w:val="Kalın Değil22"/>
    <w:uiPriority w:val="99"/>
    <w:rPr>
      <w:rFonts w:ascii="Times New Roman" w:hAnsi="Times New Roman" w:cs="Times New Roman"/>
      <w:b w:val="0"/>
      <w:bCs w:val="0"/>
      <w:sz w:val="20"/>
      <w:szCs w:val="20"/>
      <w:u w:val="none"/>
    </w:rPr>
  </w:style>
  <w:style w:type="character" w:customStyle="1" w:styleId="Gvdemetni10pt12">
    <w:name w:val="Gövde metni + 10 pt12"/>
    <w:aliases w:val="Kalın50"/>
    <w:uiPriority w:val="99"/>
    <w:rPr>
      <w:rFonts w:ascii="Times New Roman" w:hAnsi="Times New Roman" w:cs="Times New Roman"/>
      <w:b/>
      <w:bCs/>
      <w:sz w:val="20"/>
      <w:szCs w:val="20"/>
      <w:u w:val="none"/>
    </w:rPr>
  </w:style>
  <w:style w:type="character" w:customStyle="1" w:styleId="Gvdemetnitalik7">
    <w:name w:val="Gövde metni + İtalik7"/>
    <w:uiPriority w:val="99"/>
    <w:rPr>
      <w:rFonts w:ascii="Times New Roman" w:hAnsi="Times New Roman" w:cs="Times New Roman"/>
      <w:i/>
      <w:iCs/>
      <w:sz w:val="21"/>
      <w:szCs w:val="21"/>
      <w:u w:val="none"/>
    </w:rPr>
  </w:style>
  <w:style w:type="character" w:customStyle="1" w:styleId="Gvdemetni9pt6">
    <w:name w:val="Gövde metni + 9 pt6"/>
    <w:aliases w:val="İtalik66"/>
    <w:uiPriority w:val="99"/>
    <w:rPr>
      <w:rFonts w:ascii="Times New Roman" w:hAnsi="Times New Roman" w:cs="Times New Roman"/>
      <w:i/>
      <w:iCs/>
      <w:sz w:val="18"/>
      <w:szCs w:val="18"/>
      <w:u w:val="none"/>
    </w:rPr>
  </w:style>
  <w:style w:type="character" w:customStyle="1" w:styleId="Gvdemetni910">
    <w:name w:val="Gövde metni + 910"/>
    <w:aliases w:val="5 pt113"/>
    <w:uiPriority w:val="99"/>
    <w:rPr>
      <w:rFonts w:ascii="Times New Roman" w:hAnsi="Times New Roman" w:cs="Times New Roman"/>
      <w:sz w:val="19"/>
      <w:szCs w:val="19"/>
      <w:u w:val="none"/>
    </w:rPr>
  </w:style>
  <w:style w:type="character" w:customStyle="1" w:styleId="Resimyazs15">
    <w:name w:val="Resim yazısı (15)_"/>
    <w:link w:val="Resimyazs150"/>
    <w:uiPriority w:val="99"/>
    <w:locked/>
    <w:rPr>
      <w:rFonts w:ascii="Arial" w:hAnsi="Arial" w:cs="Arial"/>
      <w:b/>
      <w:bCs/>
      <w:sz w:val="15"/>
      <w:szCs w:val="15"/>
      <w:u w:val="none"/>
    </w:rPr>
  </w:style>
  <w:style w:type="character" w:customStyle="1" w:styleId="Gvdemetni99">
    <w:name w:val="Gövde metni + 99"/>
    <w:aliases w:val="5 pt112,Küçük Büyük Harf9"/>
    <w:uiPriority w:val="99"/>
    <w:rPr>
      <w:rFonts w:ascii="Times New Roman" w:hAnsi="Times New Roman" w:cs="Times New Roman"/>
      <w:smallCaps/>
      <w:sz w:val="19"/>
      <w:szCs w:val="19"/>
      <w:u w:val="none"/>
    </w:rPr>
  </w:style>
  <w:style w:type="character" w:customStyle="1" w:styleId="Gvdemetni79pt1">
    <w:name w:val="Gövde metni (7) + 9 pt1"/>
    <w:uiPriority w:val="99"/>
    <w:rPr>
      <w:rFonts w:ascii="Times New Roman" w:hAnsi="Times New Roman" w:cs="Times New Roman"/>
      <w:b/>
      <w:bCs/>
      <w:sz w:val="18"/>
      <w:szCs w:val="18"/>
      <w:u w:val="none"/>
    </w:rPr>
  </w:style>
  <w:style w:type="character" w:customStyle="1" w:styleId="Balk5210pt1">
    <w:name w:val="Başlık #5 (2) + 10 pt1"/>
    <w:aliases w:val="Küçük Büyük Harf8"/>
    <w:uiPriority w:val="99"/>
    <w:rPr>
      <w:rFonts w:ascii="Times New Roman" w:hAnsi="Times New Roman" w:cs="Times New Roman"/>
      <w:b/>
      <w:bCs/>
      <w:smallCaps/>
      <w:sz w:val="20"/>
      <w:szCs w:val="20"/>
      <w:u w:val="none"/>
    </w:rPr>
  </w:style>
  <w:style w:type="character" w:customStyle="1" w:styleId="Gvdemetni190">
    <w:name w:val="Gövde metni (19)_"/>
    <w:link w:val="Gvdemetni191"/>
    <w:uiPriority w:val="99"/>
    <w:locked/>
    <w:rPr>
      <w:rFonts w:ascii="Arial" w:hAnsi="Arial" w:cs="Arial"/>
      <w:b/>
      <w:bCs/>
      <w:sz w:val="19"/>
      <w:szCs w:val="19"/>
      <w:u w:val="none"/>
    </w:rPr>
  </w:style>
  <w:style w:type="character" w:customStyle="1" w:styleId="Resimyazs9Exact">
    <w:name w:val="Resim yazısı (9) Exact"/>
    <w:uiPriority w:val="99"/>
    <w:rPr>
      <w:rFonts w:ascii="Candara" w:hAnsi="Candara" w:cs="Candara"/>
      <w:b/>
      <w:bCs/>
      <w:spacing w:val="7"/>
      <w:sz w:val="17"/>
      <w:szCs w:val="17"/>
      <w:u w:val="none"/>
    </w:rPr>
  </w:style>
  <w:style w:type="character" w:customStyle="1" w:styleId="Resimyazs9Arial">
    <w:name w:val="Resim yazısı (9) + Arial"/>
    <w:aliases w:val="9 pt,0 pt boşluk bırakılıyor Exact28"/>
    <w:uiPriority w:val="99"/>
    <w:rPr>
      <w:rFonts w:ascii="Arial" w:hAnsi="Arial" w:cs="Arial"/>
      <w:b/>
      <w:bCs/>
      <w:spacing w:val="5"/>
      <w:sz w:val="18"/>
      <w:szCs w:val="18"/>
      <w:u w:val="none"/>
    </w:rPr>
  </w:style>
  <w:style w:type="character" w:customStyle="1" w:styleId="Resimyazs16Exact">
    <w:name w:val="Resim yazısı (16) Exact"/>
    <w:link w:val="Resimyazs16"/>
    <w:uiPriority w:val="99"/>
    <w:locked/>
    <w:rPr>
      <w:rFonts w:ascii="Sylfaen" w:hAnsi="Sylfaen" w:cs="Sylfaen"/>
      <w:spacing w:val="-22"/>
      <w:sz w:val="14"/>
      <w:szCs w:val="14"/>
      <w:u w:val="none"/>
    </w:rPr>
  </w:style>
  <w:style w:type="character" w:customStyle="1" w:styleId="Resimyazs16Exact1">
    <w:name w:val="Resim yazısı (16) Exact1"/>
    <w:uiPriority w:val="99"/>
  </w:style>
  <w:style w:type="character" w:customStyle="1" w:styleId="Resimyazs84">
    <w:name w:val="Resim yazısı + 84"/>
    <w:aliases w:val="5 pt111,İtalik65,0 pt boşluk bırakılıyor Exact27"/>
    <w:uiPriority w:val="99"/>
    <w:rPr>
      <w:rFonts w:ascii="Times New Roman" w:hAnsi="Times New Roman" w:cs="Times New Roman"/>
      <w:i/>
      <w:iCs/>
      <w:spacing w:val="-3"/>
      <w:sz w:val="17"/>
      <w:szCs w:val="17"/>
      <w:u w:val="none"/>
    </w:rPr>
  </w:style>
  <w:style w:type="character" w:customStyle="1" w:styleId="Resimyazs83">
    <w:name w:val="Resim yazısı + 83"/>
    <w:aliases w:val="5 pt Exact2"/>
    <w:uiPriority w:val="99"/>
    <w:rPr>
      <w:rFonts w:ascii="Times New Roman" w:hAnsi="Times New Roman" w:cs="Times New Roman"/>
      <w:noProof/>
      <w:sz w:val="17"/>
      <w:szCs w:val="17"/>
      <w:u w:val="none"/>
    </w:rPr>
  </w:style>
  <w:style w:type="character" w:customStyle="1" w:styleId="Resimyazs82">
    <w:name w:val="Resim yazısı + 82"/>
    <w:aliases w:val="5 pt Exact1"/>
    <w:uiPriority w:val="99"/>
    <w:rPr>
      <w:rFonts w:ascii="Times New Roman" w:hAnsi="Times New Roman" w:cs="Times New Roman"/>
      <w:sz w:val="17"/>
      <w:szCs w:val="17"/>
      <w:u w:val="single"/>
    </w:rPr>
  </w:style>
  <w:style w:type="character" w:customStyle="1" w:styleId="Resimyazs810">
    <w:name w:val="Resim yazısı + 81"/>
    <w:aliases w:val="5 pt110,Kalın Exact2"/>
    <w:uiPriority w:val="99"/>
    <w:rPr>
      <w:rFonts w:ascii="Times New Roman" w:hAnsi="Times New Roman" w:cs="Times New Roman"/>
      <w:b/>
      <w:bCs/>
      <w:sz w:val="17"/>
      <w:szCs w:val="17"/>
      <w:u w:val="none"/>
    </w:rPr>
  </w:style>
  <w:style w:type="character" w:customStyle="1" w:styleId="Gvdemetni19Exact">
    <w:name w:val="Gövde metni (19) Exact"/>
    <w:uiPriority w:val="99"/>
    <w:rPr>
      <w:rFonts w:ascii="Arial" w:hAnsi="Arial" w:cs="Arial"/>
      <w:b/>
      <w:bCs/>
      <w:spacing w:val="5"/>
      <w:sz w:val="18"/>
      <w:szCs w:val="18"/>
      <w:u w:val="none"/>
    </w:rPr>
  </w:style>
  <w:style w:type="character" w:customStyle="1" w:styleId="Resimyazs17Exact">
    <w:name w:val="Resim yazısı (17) Exact"/>
    <w:uiPriority w:val="99"/>
    <w:rPr>
      <w:rFonts w:ascii="Arial" w:hAnsi="Arial" w:cs="Arial"/>
      <w:b/>
      <w:bCs/>
      <w:spacing w:val="4"/>
      <w:sz w:val="9"/>
      <w:szCs w:val="9"/>
      <w:u w:val="none"/>
    </w:rPr>
  </w:style>
  <w:style w:type="character" w:customStyle="1" w:styleId="Resimyazs17Exact2">
    <w:name w:val="Resim yazısı (17) Exact2"/>
    <w:uiPriority w:val="99"/>
    <w:rPr>
      <w:rFonts w:ascii="Arial" w:hAnsi="Arial" w:cs="Arial"/>
      <w:b/>
      <w:bCs/>
      <w:color w:val="000000"/>
      <w:spacing w:val="4"/>
      <w:w w:val="100"/>
      <w:position w:val="0"/>
      <w:sz w:val="9"/>
      <w:szCs w:val="9"/>
      <w:u w:val="none"/>
    </w:rPr>
  </w:style>
  <w:style w:type="character" w:customStyle="1" w:styleId="Resimyazs17Exact1">
    <w:name w:val="Resim yazısı (17) Exact1"/>
    <w:uiPriority w:val="99"/>
    <w:rPr>
      <w:rFonts w:ascii="Arial" w:hAnsi="Arial" w:cs="Arial"/>
      <w:b/>
      <w:bCs/>
      <w:color w:val="000000"/>
      <w:spacing w:val="4"/>
      <w:w w:val="100"/>
      <w:position w:val="0"/>
      <w:sz w:val="9"/>
      <w:szCs w:val="9"/>
      <w:u w:val="none"/>
    </w:rPr>
  </w:style>
  <w:style w:type="character" w:customStyle="1" w:styleId="Resimyazs18Exact">
    <w:name w:val="Resim yazısı (18) Exact"/>
    <w:link w:val="Resimyazs18"/>
    <w:uiPriority w:val="99"/>
    <w:locked/>
    <w:rPr>
      <w:rFonts w:ascii="MS Gothic" w:eastAsia="MS Gothic" w:cs="MS Gothic"/>
      <w:noProof/>
      <w:sz w:val="23"/>
      <w:szCs w:val="23"/>
      <w:u w:val="none"/>
    </w:rPr>
  </w:style>
  <w:style w:type="character" w:customStyle="1" w:styleId="Resimyazs18Exact1">
    <w:name w:val="Resim yazısı (18) Exact1"/>
    <w:uiPriority w:val="99"/>
  </w:style>
  <w:style w:type="character" w:customStyle="1" w:styleId="Resimyazs19Exact">
    <w:name w:val="Resim yazısı (19) Exact"/>
    <w:link w:val="Resimyazs19"/>
    <w:uiPriority w:val="99"/>
    <w:locked/>
    <w:rPr>
      <w:rFonts w:ascii="Sylfaen" w:hAnsi="Sylfaen" w:cs="Sylfaen"/>
      <w:spacing w:val="2"/>
      <w:sz w:val="8"/>
      <w:szCs w:val="8"/>
      <w:u w:val="none"/>
    </w:rPr>
  </w:style>
  <w:style w:type="character" w:customStyle="1" w:styleId="Gvdemetni385">
    <w:name w:val="Gövde metni (3) + 85"/>
    <w:aliases w:val="5 pt109,İtalik64"/>
    <w:uiPriority w:val="99"/>
    <w:rPr>
      <w:rFonts w:ascii="Times New Roman" w:hAnsi="Times New Roman" w:cs="Times New Roman"/>
      <w:i/>
      <w:iCs/>
      <w:sz w:val="17"/>
      <w:szCs w:val="17"/>
      <w:u w:val="none"/>
    </w:rPr>
  </w:style>
  <w:style w:type="character" w:customStyle="1" w:styleId="Gvdemetni34">
    <w:name w:val="Gövde metni (3)4"/>
    <w:uiPriority w:val="99"/>
  </w:style>
  <w:style w:type="character" w:customStyle="1" w:styleId="Gvdemetni33">
    <w:name w:val="Gövde metni (3)3"/>
    <w:uiPriority w:val="99"/>
    <w:rPr>
      <w:rFonts w:ascii="Times New Roman" w:hAnsi="Times New Roman" w:cs="Times New Roman"/>
      <w:sz w:val="19"/>
      <w:szCs w:val="19"/>
      <w:u w:val="single"/>
    </w:rPr>
  </w:style>
  <w:style w:type="character" w:customStyle="1" w:styleId="Gvdemetni32">
    <w:name w:val="Gövde metni (3)2"/>
    <w:uiPriority w:val="99"/>
    <w:rPr>
      <w:rFonts w:ascii="Times New Roman" w:hAnsi="Times New Roman" w:cs="Times New Roman"/>
      <w:noProof/>
      <w:sz w:val="19"/>
      <w:szCs w:val="19"/>
      <w:u w:val="none"/>
    </w:rPr>
  </w:style>
  <w:style w:type="character" w:customStyle="1" w:styleId="stbilgiveyaaltbilgiArial2">
    <w:name w:val="Üst bilgi veya alt bilgi + Arial2"/>
    <w:aliases w:val="55,5 pt108"/>
    <w:uiPriority w:val="99"/>
    <w:rPr>
      <w:rFonts w:ascii="Arial" w:hAnsi="Arial" w:cs="Arial"/>
      <w:b/>
      <w:bCs/>
      <w:sz w:val="11"/>
      <w:szCs w:val="11"/>
      <w:u w:val="none"/>
    </w:rPr>
  </w:style>
  <w:style w:type="character" w:customStyle="1" w:styleId="Balk33">
    <w:name w:val="Başlık #3 (3)_"/>
    <w:link w:val="Balk330"/>
    <w:uiPriority w:val="99"/>
    <w:locked/>
    <w:rPr>
      <w:rFonts w:ascii="Arial" w:hAnsi="Arial" w:cs="Arial"/>
      <w:b/>
      <w:bCs/>
      <w:sz w:val="19"/>
      <w:szCs w:val="19"/>
      <w:u w:val="none"/>
    </w:rPr>
  </w:style>
  <w:style w:type="character" w:customStyle="1" w:styleId="Gvdemetni310pt4">
    <w:name w:val="Gövde metni (3) + 10 pt4"/>
    <w:aliases w:val="Kalın49"/>
    <w:uiPriority w:val="99"/>
    <w:rPr>
      <w:rFonts w:ascii="Times New Roman" w:hAnsi="Times New Roman" w:cs="Times New Roman"/>
      <w:b/>
      <w:bCs/>
      <w:sz w:val="20"/>
      <w:szCs w:val="20"/>
      <w:u w:val="none"/>
    </w:rPr>
  </w:style>
  <w:style w:type="character" w:customStyle="1" w:styleId="Gvdemetni200">
    <w:name w:val="Gövde metni (20)_"/>
    <w:link w:val="Gvdemetni201"/>
    <w:uiPriority w:val="99"/>
    <w:locked/>
    <w:rPr>
      <w:rFonts w:ascii="Times New Roman" w:hAnsi="Times New Roman" w:cs="Times New Roman"/>
      <w:i/>
      <w:iCs/>
      <w:sz w:val="21"/>
      <w:szCs w:val="21"/>
      <w:u w:val="none"/>
    </w:rPr>
  </w:style>
  <w:style w:type="character" w:customStyle="1" w:styleId="Resimyazs17">
    <w:name w:val="Resim yazısı (17)_"/>
    <w:link w:val="Resimyazs170"/>
    <w:uiPriority w:val="99"/>
    <w:locked/>
    <w:rPr>
      <w:rFonts w:ascii="Arial" w:hAnsi="Arial" w:cs="Arial"/>
      <w:b/>
      <w:bCs/>
      <w:sz w:val="11"/>
      <w:szCs w:val="11"/>
      <w:u w:val="none"/>
    </w:rPr>
  </w:style>
  <w:style w:type="character" w:customStyle="1" w:styleId="Resimyazs17TimesNewRoman">
    <w:name w:val="Resim yazısı (17) + Times New Roman"/>
    <w:aliases w:val="62,5 pt107,Kalın Değil21"/>
    <w:uiPriority w:val="99"/>
    <w:rPr>
      <w:rFonts w:ascii="Times New Roman" w:hAnsi="Times New Roman" w:cs="Times New Roman"/>
      <w:b w:val="0"/>
      <w:bCs w:val="0"/>
      <w:noProof/>
      <w:sz w:val="13"/>
      <w:szCs w:val="13"/>
      <w:u w:val="none"/>
    </w:rPr>
  </w:style>
  <w:style w:type="character" w:customStyle="1" w:styleId="Resimyazs720">
    <w:name w:val="Resim yazısı (7)2"/>
    <w:uiPriority w:val="99"/>
  </w:style>
  <w:style w:type="character" w:customStyle="1" w:styleId="Resimyazs1283">
    <w:name w:val="Resim yazısı (12) + 83"/>
    <w:aliases w:val="5 pt106,İtalik63"/>
    <w:uiPriority w:val="99"/>
    <w:rPr>
      <w:rFonts w:ascii="Times New Roman" w:hAnsi="Times New Roman" w:cs="Times New Roman"/>
      <w:i/>
      <w:iCs/>
      <w:sz w:val="17"/>
      <w:szCs w:val="17"/>
      <w:u w:val="none"/>
    </w:rPr>
  </w:style>
  <w:style w:type="character" w:customStyle="1" w:styleId="Resimyazs129">
    <w:name w:val="Resim yazısı (12) + 9"/>
    <w:aliases w:val="5 pt105"/>
    <w:uiPriority w:val="99"/>
    <w:rPr>
      <w:rFonts w:ascii="Times New Roman" w:hAnsi="Times New Roman" w:cs="Times New Roman"/>
      <w:noProof/>
      <w:sz w:val="19"/>
      <w:szCs w:val="19"/>
      <w:u w:val="none"/>
    </w:rPr>
  </w:style>
  <w:style w:type="character" w:customStyle="1" w:styleId="Resimyazs1293">
    <w:name w:val="Resim yazısı (12) + 93"/>
    <w:aliases w:val="5 pt104"/>
    <w:uiPriority w:val="99"/>
    <w:rPr>
      <w:rFonts w:ascii="Times New Roman" w:hAnsi="Times New Roman" w:cs="Times New Roman"/>
      <w:sz w:val="19"/>
      <w:szCs w:val="19"/>
      <w:u w:val="single"/>
    </w:rPr>
  </w:style>
  <w:style w:type="character" w:customStyle="1" w:styleId="Resimyazs1292">
    <w:name w:val="Resim yazısı (12) + 92"/>
    <w:aliases w:val="5 pt103"/>
    <w:uiPriority w:val="99"/>
    <w:rPr>
      <w:rFonts w:ascii="Times New Roman" w:hAnsi="Times New Roman" w:cs="Times New Roman"/>
      <w:sz w:val="19"/>
      <w:szCs w:val="19"/>
      <w:u w:val="single"/>
    </w:rPr>
  </w:style>
  <w:style w:type="character" w:customStyle="1" w:styleId="Resimyazs1282">
    <w:name w:val="Resim yazısı (12) + 82"/>
    <w:aliases w:val="5 pt102,İtalik62"/>
    <w:uiPriority w:val="99"/>
    <w:rPr>
      <w:rFonts w:ascii="Times New Roman" w:hAnsi="Times New Roman" w:cs="Times New Roman"/>
      <w:i/>
      <w:iCs/>
      <w:noProof/>
      <w:sz w:val="17"/>
      <w:szCs w:val="17"/>
      <w:u w:val="single"/>
    </w:rPr>
  </w:style>
  <w:style w:type="character" w:customStyle="1" w:styleId="Gvdemetni1186">
    <w:name w:val="Gövde metni (11) + 86"/>
    <w:aliases w:val="5 pt101,İtalik61"/>
    <w:uiPriority w:val="99"/>
    <w:rPr>
      <w:rFonts w:ascii="Times New Roman" w:hAnsi="Times New Roman" w:cs="Times New Roman"/>
      <w:i/>
      <w:iCs/>
      <w:noProof/>
      <w:sz w:val="17"/>
      <w:szCs w:val="17"/>
      <w:u w:val="single"/>
    </w:rPr>
  </w:style>
  <w:style w:type="character" w:customStyle="1" w:styleId="Gvdemetni20talikdeil">
    <w:name w:val="Gövde metni (20) + İtalik değil"/>
    <w:uiPriority w:val="99"/>
    <w:rPr>
      <w:rFonts w:ascii="Times New Roman" w:hAnsi="Times New Roman" w:cs="Times New Roman"/>
      <w:i w:val="0"/>
      <w:iCs w:val="0"/>
      <w:sz w:val="21"/>
      <w:szCs w:val="21"/>
      <w:u w:val="none"/>
    </w:rPr>
  </w:style>
  <w:style w:type="character" w:customStyle="1" w:styleId="stbilgiveyaaltbilgi10pt6">
    <w:name w:val="Üst bilgi veya alt bilgi + 10 pt6"/>
    <w:aliases w:val="Kalın Değil20"/>
    <w:uiPriority w:val="99"/>
    <w:rPr>
      <w:rFonts w:ascii="Times New Roman" w:hAnsi="Times New Roman" w:cs="Times New Roman"/>
      <w:b w:val="0"/>
      <w:bCs w:val="0"/>
      <w:sz w:val="20"/>
      <w:szCs w:val="20"/>
      <w:u w:val="none"/>
    </w:rPr>
  </w:style>
  <w:style w:type="character" w:customStyle="1" w:styleId="Gvdemetni510">
    <w:name w:val="Gövde metni (5) + 10"/>
    <w:aliases w:val="5 pt100"/>
    <w:uiPriority w:val="99"/>
    <w:rPr>
      <w:rFonts w:ascii="Times New Roman" w:hAnsi="Times New Roman" w:cs="Times New Roman"/>
      <w:sz w:val="21"/>
      <w:szCs w:val="21"/>
      <w:u w:val="none"/>
    </w:rPr>
  </w:style>
  <w:style w:type="character" w:customStyle="1" w:styleId="Gvdemetni5102">
    <w:name w:val="Gövde metni (5) + 102"/>
    <w:aliases w:val="5 pt99"/>
    <w:uiPriority w:val="99"/>
    <w:rPr>
      <w:rFonts w:ascii="Times New Roman" w:hAnsi="Times New Roman" w:cs="Times New Roman"/>
      <w:sz w:val="21"/>
      <w:szCs w:val="21"/>
      <w:u w:val="none"/>
    </w:rPr>
  </w:style>
  <w:style w:type="character" w:customStyle="1" w:styleId="Gvdemetni56pt">
    <w:name w:val="Gövde metni (5) + 6 pt"/>
    <w:uiPriority w:val="99"/>
    <w:rPr>
      <w:rFonts w:ascii="Times New Roman" w:hAnsi="Times New Roman" w:cs="Times New Roman"/>
      <w:noProof/>
      <w:sz w:val="12"/>
      <w:szCs w:val="12"/>
      <w:u w:val="none"/>
    </w:rPr>
  </w:style>
  <w:style w:type="character" w:customStyle="1" w:styleId="Resimyazs1281">
    <w:name w:val="Resim yazısı (12) + 81"/>
    <w:aliases w:val="5 pt98,İtalik60"/>
    <w:uiPriority w:val="99"/>
    <w:rPr>
      <w:rFonts w:ascii="Times New Roman" w:hAnsi="Times New Roman" w:cs="Times New Roman"/>
      <w:i/>
      <w:iCs/>
      <w:sz w:val="17"/>
      <w:szCs w:val="17"/>
      <w:u w:val="none"/>
    </w:rPr>
  </w:style>
  <w:style w:type="character" w:customStyle="1" w:styleId="Resimyazs1291">
    <w:name w:val="Resim yazısı (12) + 91"/>
    <w:aliases w:val="5 pt97"/>
    <w:uiPriority w:val="99"/>
    <w:rPr>
      <w:rFonts w:ascii="Times New Roman" w:hAnsi="Times New Roman" w:cs="Times New Roman"/>
      <w:sz w:val="19"/>
      <w:szCs w:val="19"/>
      <w:u w:val="none"/>
    </w:rPr>
  </w:style>
  <w:style w:type="character" w:customStyle="1" w:styleId="Gvdemetni5101">
    <w:name w:val="Gövde metni (5) + 101"/>
    <w:aliases w:val="5 pt96"/>
    <w:uiPriority w:val="99"/>
    <w:rPr>
      <w:rFonts w:ascii="Times New Roman" w:hAnsi="Times New Roman" w:cs="Times New Roman"/>
      <w:sz w:val="21"/>
      <w:szCs w:val="21"/>
      <w:u w:val="single"/>
    </w:rPr>
  </w:style>
  <w:style w:type="character" w:customStyle="1" w:styleId="Gvdemetni134">
    <w:name w:val="Gövde metni13"/>
    <w:uiPriority w:val="99"/>
    <w:rPr>
      <w:rFonts w:ascii="Times New Roman" w:hAnsi="Times New Roman" w:cs="Times New Roman"/>
      <w:noProof/>
      <w:sz w:val="21"/>
      <w:szCs w:val="21"/>
      <w:u w:val="none"/>
    </w:rPr>
  </w:style>
  <w:style w:type="character" w:customStyle="1" w:styleId="Gvdemetni21Exact">
    <w:name w:val="Gövde metni (21) Exact"/>
    <w:uiPriority w:val="99"/>
    <w:rPr>
      <w:rFonts w:ascii="Arial" w:hAnsi="Arial" w:cs="Arial"/>
      <w:b/>
      <w:bCs/>
      <w:spacing w:val="3"/>
      <w:sz w:val="15"/>
      <w:szCs w:val="15"/>
      <w:u w:val="none"/>
    </w:rPr>
  </w:style>
  <w:style w:type="character" w:customStyle="1" w:styleId="Gvdemetni21Exact1">
    <w:name w:val="Gövde metni (21) Exact1"/>
    <w:uiPriority w:val="99"/>
    <w:rPr>
      <w:rFonts w:ascii="Arial" w:hAnsi="Arial" w:cs="Arial"/>
      <w:b/>
      <w:bCs/>
      <w:color w:val="000000"/>
      <w:spacing w:val="3"/>
      <w:w w:val="100"/>
      <w:position w:val="0"/>
      <w:sz w:val="15"/>
      <w:szCs w:val="15"/>
      <w:u w:val="none"/>
    </w:rPr>
  </w:style>
  <w:style w:type="character" w:customStyle="1" w:styleId="Gvdemetni21Impact">
    <w:name w:val="Gövde metni (21) + Impact"/>
    <w:aliases w:val="8 pt1,Kalın Değil19,0 pt boşluk bırakılıyor Exact26"/>
    <w:uiPriority w:val="99"/>
    <w:rPr>
      <w:rFonts w:ascii="Impact" w:hAnsi="Impact" w:cs="Impact"/>
      <w:b w:val="0"/>
      <w:bCs w:val="0"/>
      <w:color w:val="000000"/>
      <w:spacing w:val="4"/>
      <w:w w:val="100"/>
      <w:position w:val="0"/>
      <w:sz w:val="16"/>
      <w:szCs w:val="16"/>
      <w:u w:val="none"/>
    </w:rPr>
  </w:style>
  <w:style w:type="character" w:customStyle="1" w:styleId="TabloyazsExact">
    <w:name w:val="Tablo yazısı Exact"/>
    <w:uiPriority w:val="99"/>
    <w:rPr>
      <w:rFonts w:ascii="Times New Roman" w:hAnsi="Times New Roman" w:cs="Times New Roman"/>
      <w:sz w:val="18"/>
      <w:szCs w:val="18"/>
      <w:u w:val="none"/>
    </w:rPr>
  </w:style>
  <w:style w:type="character" w:customStyle="1" w:styleId="Tabloyazs8">
    <w:name w:val="Tablo yazısı + 8"/>
    <w:aliases w:val="5 pt95,İtalik59,0 pt boşluk bırakılıyor Exact25"/>
    <w:uiPriority w:val="99"/>
    <w:rPr>
      <w:rFonts w:ascii="Times New Roman" w:hAnsi="Times New Roman" w:cs="Times New Roman"/>
      <w:i/>
      <w:iCs/>
      <w:spacing w:val="-3"/>
      <w:sz w:val="17"/>
      <w:szCs w:val="17"/>
      <w:u w:val="none"/>
    </w:rPr>
  </w:style>
  <w:style w:type="character" w:customStyle="1" w:styleId="Tabloyazs81">
    <w:name w:val="Tablo yazısı + 81"/>
    <w:aliases w:val="5 pt94,Kalın48,0 pt boşluk bırakılıyor Exact24"/>
    <w:uiPriority w:val="99"/>
    <w:rPr>
      <w:rFonts w:ascii="Times New Roman" w:hAnsi="Times New Roman" w:cs="Times New Roman"/>
      <w:b/>
      <w:bCs/>
      <w:spacing w:val="1"/>
      <w:sz w:val="17"/>
      <w:szCs w:val="17"/>
      <w:u w:val="none"/>
    </w:rPr>
  </w:style>
  <w:style w:type="character" w:customStyle="1" w:styleId="GvdemetniArial">
    <w:name w:val="Gövde metni + Arial"/>
    <w:aliases w:val="72,5 pt93,Kalın47,0 pt boşluk bırakılıyor30"/>
    <w:uiPriority w:val="99"/>
    <w:rPr>
      <w:rFonts w:ascii="Arial" w:hAnsi="Arial" w:cs="Arial"/>
      <w:b/>
      <w:bCs/>
      <w:spacing w:val="3"/>
      <w:sz w:val="15"/>
      <w:szCs w:val="15"/>
      <w:u w:val="none"/>
    </w:rPr>
  </w:style>
  <w:style w:type="character" w:customStyle="1" w:styleId="GvdemetniArial9">
    <w:name w:val="Gövde metni + Arial9"/>
    <w:aliases w:val="71,5 pt92,Kalın46,0 pt boşluk bırakılıyor29"/>
    <w:uiPriority w:val="99"/>
    <w:rPr>
      <w:rFonts w:ascii="Arial" w:hAnsi="Arial" w:cs="Arial"/>
      <w:b/>
      <w:bCs/>
      <w:spacing w:val="3"/>
      <w:sz w:val="15"/>
      <w:szCs w:val="15"/>
      <w:u w:val="none"/>
    </w:rPr>
  </w:style>
  <w:style w:type="character" w:customStyle="1" w:styleId="Gvdemetni384">
    <w:name w:val="Gövde metni (3) + 84"/>
    <w:aliases w:val="5 pt91,İtalik58,0 pt boşluk bırakılıyor Exact23"/>
    <w:uiPriority w:val="99"/>
    <w:rPr>
      <w:rFonts w:ascii="Times New Roman" w:hAnsi="Times New Roman" w:cs="Times New Roman"/>
      <w:i/>
      <w:iCs/>
      <w:spacing w:val="-3"/>
      <w:sz w:val="17"/>
      <w:szCs w:val="17"/>
      <w:u w:val="single"/>
    </w:rPr>
  </w:style>
  <w:style w:type="character" w:customStyle="1" w:styleId="Gvdemetni383">
    <w:name w:val="Gövde metni (3) + 83"/>
    <w:aliases w:val="5 pt90,Kalın45,0 pt boşluk bırakılıyor Exact22"/>
    <w:uiPriority w:val="99"/>
    <w:rPr>
      <w:rFonts w:ascii="Times New Roman" w:hAnsi="Times New Roman" w:cs="Times New Roman"/>
      <w:b/>
      <w:bCs/>
      <w:spacing w:val="1"/>
      <w:sz w:val="17"/>
      <w:szCs w:val="17"/>
      <w:u w:val="single"/>
    </w:rPr>
  </w:style>
  <w:style w:type="character" w:customStyle="1" w:styleId="Gvdemetni22Exact">
    <w:name w:val="Gövde metni (22) Exact"/>
    <w:link w:val="Gvdemetni22"/>
    <w:uiPriority w:val="99"/>
    <w:locked/>
    <w:rPr>
      <w:rFonts w:ascii="Times New Roman" w:hAnsi="Times New Roman" w:cs="Times New Roman"/>
      <w:noProof/>
      <w:sz w:val="44"/>
      <w:szCs w:val="44"/>
      <w:u w:val="none"/>
    </w:rPr>
  </w:style>
  <w:style w:type="character" w:customStyle="1" w:styleId="Resimyazs20">
    <w:name w:val="Resim yazısı (20)_"/>
    <w:link w:val="Resimyazs200"/>
    <w:uiPriority w:val="99"/>
    <w:locked/>
    <w:rPr>
      <w:rFonts w:ascii="Arial" w:hAnsi="Arial" w:cs="Arial"/>
      <w:b/>
      <w:bCs/>
      <w:sz w:val="15"/>
      <w:szCs w:val="15"/>
      <w:u w:val="none"/>
    </w:rPr>
  </w:style>
  <w:style w:type="character" w:customStyle="1" w:styleId="Tabloyazs38">
    <w:name w:val="Tablo yazısı (3) + 8"/>
    <w:aliases w:val="5 pt89,İtalik57"/>
    <w:uiPriority w:val="99"/>
    <w:rPr>
      <w:rFonts w:ascii="Times New Roman" w:hAnsi="Times New Roman" w:cs="Times New Roman"/>
      <w:i/>
      <w:iCs/>
      <w:sz w:val="17"/>
      <w:szCs w:val="17"/>
      <w:u w:val="none"/>
    </w:rPr>
  </w:style>
  <w:style w:type="character" w:customStyle="1" w:styleId="Tabloyazs392">
    <w:name w:val="Tablo yazısı (3) + 92"/>
    <w:aliases w:val="5 pt88"/>
    <w:uiPriority w:val="99"/>
    <w:rPr>
      <w:rFonts w:ascii="Times New Roman" w:hAnsi="Times New Roman" w:cs="Times New Roman"/>
      <w:sz w:val="19"/>
      <w:szCs w:val="19"/>
      <w:u w:val="none"/>
    </w:rPr>
  </w:style>
  <w:style w:type="character" w:customStyle="1" w:styleId="Balk1Arial2">
    <w:name w:val="Başlık #1 + Arial2"/>
    <w:aliases w:val="Kalın44,0 pt boşluk bırakılıyor28"/>
    <w:uiPriority w:val="99"/>
    <w:rPr>
      <w:rFonts w:ascii="Arial" w:hAnsi="Arial" w:cs="Arial"/>
      <w:b/>
      <w:bCs/>
      <w:spacing w:val="0"/>
      <w:sz w:val="27"/>
      <w:szCs w:val="27"/>
      <w:u w:val="none"/>
    </w:rPr>
  </w:style>
  <w:style w:type="character" w:customStyle="1" w:styleId="Resimyazs21">
    <w:name w:val="Resim yazısı (21)_"/>
    <w:link w:val="Resimyazs211"/>
    <w:uiPriority w:val="99"/>
    <w:locked/>
    <w:rPr>
      <w:rFonts w:ascii="Times New Roman" w:hAnsi="Times New Roman" w:cs="Times New Roman"/>
      <w:sz w:val="18"/>
      <w:szCs w:val="18"/>
      <w:u w:val="none"/>
    </w:rPr>
  </w:style>
  <w:style w:type="character" w:customStyle="1" w:styleId="Resimyazs218">
    <w:name w:val="Resim yazısı (21) + 8"/>
    <w:aliases w:val="5 pt87,İtalik56"/>
    <w:uiPriority w:val="99"/>
    <w:rPr>
      <w:rFonts w:ascii="Times New Roman" w:hAnsi="Times New Roman" w:cs="Times New Roman"/>
      <w:i/>
      <w:iCs/>
      <w:sz w:val="17"/>
      <w:szCs w:val="17"/>
      <w:u w:val="none"/>
    </w:rPr>
  </w:style>
  <w:style w:type="character" w:customStyle="1" w:styleId="Gvdemetni9pt5">
    <w:name w:val="Gövde metni + 9 pt5"/>
    <w:aliases w:val="İtalik55"/>
    <w:uiPriority w:val="99"/>
    <w:rPr>
      <w:rFonts w:ascii="Times New Roman" w:hAnsi="Times New Roman" w:cs="Times New Roman"/>
      <w:i/>
      <w:iCs/>
      <w:sz w:val="18"/>
      <w:szCs w:val="18"/>
      <w:u w:val="none"/>
    </w:rPr>
  </w:style>
  <w:style w:type="character" w:customStyle="1" w:styleId="stbilgiveyaaltbilgi5">
    <w:name w:val="Üst bilgi veya alt bilgi5"/>
    <w:uiPriority w:val="99"/>
  </w:style>
  <w:style w:type="character" w:customStyle="1" w:styleId="Gvdemetni120">
    <w:name w:val="Gövde metni12"/>
    <w:uiPriority w:val="99"/>
  </w:style>
  <w:style w:type="character" w:customStyle="1" w:styleId="Gvdemetni6pt2">
    <w:name w:val="Gövde metni + 6 pt2"/>
    <w:uiPriority w:val="99"/>
    <w:rPr>
      <w:rFonts w:ascii="Times New Roman" w:hAnsi="Times New Roman" w:cs="Times New Roman"/>
      <w:sz w:val="12"/>
      <w:szCs w:val="12"/>
      <w:u w:val="none"/>
    </w:rPr>
  </w:style>
  <w:style w:type="character" w:customStyle="1" w:styleId="Gvdemetni8pt4">
    <w:name w:val="Gövde metni + 8 pt4"/>
    <w:aliases w:val="Kalın43,İtalik54"/>
    <w:uiPriority w:val="99"/>
    <w:rPr>
      <w:rFonts w:ascii="Times New Roman" w:hAnsi="Times New Roman" w:cs="Times New Roman"/>
      <w:b/>
      <w:bCs/>
      <w:i/>
      <w:iCs/>
      <w:noProof/>
      <w:sz w:val="16"/>
      <w:szCs w:val="16"/>
      <w:u w:val="none"/>
    </w:rPr>
  </w:style>
  <w:style w:type="character" w:customStyle="1" w:styleId="Gvdemetni59">
    <w:name w:val="Gövde metni (5) + 9"/>
    <w:aliases w:val="5 pt86"/>
    <w:uiPriority w:val="99"/>
    <w:rPr>
      <w:rFonts w:ascii="Times New Roman" w:hAnsi="Times New Roman" w:cs="Times New Roman"/>
      <w:sz w:val="19"/>
      <w:szCs w:val="19"/>
      <w:u w:val="none"/>
    </w:rPr>
  </w:style>
  <w:style w:type="character" w:customStyle="1" w:styleId="Gvdemetni3108">
    <w:name w:val="Gövde metni (3) + 108"/>
    <w:aliases w:val="5 pt85"/>
    <w:uiPriority w:val="99"/>
    <w:rPr>
      <w:rFonts w:ascii="Times New Roman" w:hAnsi="Times New Roman" w:cs="Times New Roman"/>
      <w:sz w:val="21"/>
      <w:szCs w:val="21"/>
      <w:u w:val="none"/>
    </w:rPr>
  </w:style>
  <w:style w:type="character" w:customStyle="1" w:styleId="Gvdemetni98">
    <w:name w:val="Gövde metni + 98"/>
    <w:aliases w:val="5 pt84"/>
    <w:uiPriority w:val="99"/>
    <w:rPr>
      <w:rFonts w:ascii="Times New Roman" w:hAnsi="Times New Roman" w:cs="Times New Roman"/>
      <w:sz w:val="19"/>
      <w:szCs w:val="19"/>
      <w:u w:val="none"/>
    </w:rPr>
  </w:style>
  <w:style w:type="character" w:customStyle="1" w:styleId="Gvdemetni88">
    <w:name w:val="Gövde metni + 88"/>
    <w:aliases w:val="5 pt83,İtalik53"/>
    <w:uiPriority w:val="99"/>
    <w:rPr>
      <w:rFonts w:ascii="Times New Roman" w:hAnsi="Times New Roman" w:cs="Times New Roman"/>
      <w:i/>
      <w:iCs/>
      <w:sz w:val="17"/>
      <w:szCs w:val="17"/>
      <w:u w:val="none"/>
    </w:rPr>
  </w:style>
  <w:style w:type="character" w:customStyle="1" w:styleId="Gvdemetni7pt4">
    <w:name w:val="Gövde metni + 7 pt4"/>
    <w:uiPriority w:val="99"/>
    <w:rPr>
      <w:rFonts w:ascii="Times New Roman" w:hAnsi="Times New Roman" w:cs="Times New Roman"/>
      <w:sz w:val="14"/>
      <w:szCs w:val="14"/>
      <w:u w:val="none"/>
    </w:rPr>
  </w:style>
  <w:style w:type="character" w:customStyle="1" w:styleId="Resimyazs22">
    <w:name w:val="Resim yazısı (22)_"/>
    <w:link w:val="Resimyazs221"/>
    <w:uiPriority w:val="99"/>
    <w:locked/>
    <w:rPr>
      <w:rFonts w:ascii="Times New Roman" w:hAnsi="Times New Roman" w:cs="Times New Roman"/>
      <w:b/>
      <w:bCs/>
      <w:sz w:val="17"/>
      <w:szCs w:val="17"/>
      <w:u w:val="none"/>
    </w:rPr>
  </w:style>
  <w:style w:type="character" w:customStyle="1" w:styleId="Resimyazs22talik">
    <w:name w:val="Resim yazısı (22) + İtalik"/>
    <w:uiPriority w:val="99"/>
    <w:rPr>
      <w:rFonts w:ascii="Times New Roman" w:hAnsi="Times New Roman" w:cs="Times New Roman"/>
      <w:b/>
      <w:bCs/>
      <w:i/>
      <w:iCs/>
      <w:sz w:val="17"/>
      <w:szCs w:val="17"/>
      <w:u w:val="none"/>
    </w:rPr>
  </w:style>
  <w:style w:type="character" w:customStyle="1" w:styleId="Resimyazs220">
    <w:name w:val="Resim yazısı (22)"/>
    <w:uiPriority w:val="99"/>
    <w:rPr>
      <w:rFonts w:ascii="Times New Roman" w:hAnsi="Times New Roman" w:cs="Times New Roman"/>
      <w:b/>
      <w:bCs/>
      <w:sz w:val="17"/>
      <w:szCs w:val="17"/>
      <w:u w:val="single"/>
    </w:rPr>
  </w:style>
  <w:style w:type="character" w:customStyle="1" w:styleId="Resimyazs140">
    <w:name w:val="Resim yazısı (14)"/>
    <w:uiPriority w:val="99"/>
    <w:rPr>
      <w:rFonts w:ascii="Times New Roman" w:hAnsi="Times New Roman" w:cs="Times New Roman"/>
      <w:sz w:val="21"/>
      <w:szCs w:val="21"/>
      <w:u w:val="single"/>
    </w:rPr>
  </w:style>
  <w:style w:type="character" w:customStyle="1" w:styleId="Resimyazs143">
    <w:name w:val="Resim yazısı (14)3"/>
    <w:uiPriority w:val="99"/>
    <w:rPr>
      <w:rFonts w:ascii="Times New Roman" w:hAnsi="Times New Roman" w:cs="Times New Roman"/>
      <w:noProof/>
      <w:sz w:val="21"/>
      <w:szCs w:val="21"/>
      <w:u w:val="none"/>
    </w:rPr>
  </w:style>
  <w:style w:type="character" w:customStyle="1" w:styleId="Gvdemetni23Exact">
    <w:name w:val="Gövde metni (23) Exact"/>
    <w:link w:val="Gvdemetni23"/>
    <w:uiPriority w:val="99"/>
    <w:locked/>
    <w:rPr>
      <w:rFonts w:ascii="Arial" w:hAnsi="Arial" w:cs="Arial"/>
      <w:b/>
      <w:bCs/>
      <w:spacing w:val="-6"/>
      <w:sz w:val="27"/>
      <w:szCs w:val="27"/>
      <w:u w:val="none"/>
    </w:rPr>
  </w:style>
  <w:style w:type="character" w:customStyle="1" w:styleId="Gvdemetni24Exact">
    <w:name w:val="Gövde metni (24) Exact"/>
    <w:link w:val="Gvdemetni24"/>
    <w:uiPriority w:val="99"/>
    <w:locked/>
    <w:rPr>
      <w:rFonts w:ascii="Impact" w:hAnsi="Impact" w:cs="Impact"/>
      <w:spacing w:val="5"/>
      <w:sz w:val="20"/>
      <w:szCs w:val="20"/>
      <w:u w:val="none"/>
    </w:rPr>
  </w:style>
  <w:style w:type="character" w:customStyle="1" w:styleId="Resimyazs12Exact">
    <w:name w:val="Resim yazısı (12) Exact"/>
    <w:uiPriority w:val="99"/>
    <w:rPr>
      <w:rFonts w:ascii="Times New Roman" w:hAnsi="Times New Roman" w:cs="Times New Roman"/>
      <w:sz w:val="17"/>
      <w:szCs w:val="17"/>
      <w:u w:val="none"/>
    </w:rPr>
  </w:style>
  <w:style w:type="character" w:customStyle="1" w:styleId="Resimyazs12talik">
    <w:name w:val="Resim yazısı (12) + İtalik"/>
    <w:aliases w:val="0 pt boşluk bırakılıyor Exact21"/>
    <w:uiPriority w:val="99"/>
    <w:rPr>
      <w:rFonts w:ascii="Times New Roman" w:hAnsi="Times New Roman" w:cs="Times New Roman"/>
      <w:i/>
      <w:iCs/>
      <w:spacing w:val="-3"/>
      <w:sz w:val="17"/>
      <w:szCs w:val="17"/>
      <w:u w:val="none"/>
    </w:rPr>
  </w:style>
  <w:style w:type="character" w:customStyle="1" w:styleId="Resimyazs12Kaln">
    <w:name w:val="Resim yazısı (12) + Kalın"/>
    <w:aliases w:val="0 pt boşluk bırakılıyor Exact20"/>
    <w:uiPriority w:val="99"/>
    <w:rPr>
      <w:rFonts w:ascii="Times New Roman" w:hAnsi="Times New Roman" w:cs="Times New Roman"/>
      <w:b/>
      <w:bCs/>
      <w:noProof/>
      <w:spacing w:val="1"/>
      <w:sz w:val="17"/>
      <w:szCs w:val="17"/>
      <w:u w:val="none"/>
    </w:rPr>
  </w:style>
  <w:style w:type="character" w:customStyle="1" w:styleId="Resimyazs120ptbolukbraklyorExact">
    <w:name w:val="Resim yazısı (12) + 0 pt boşluk bırakılıyor Exact"/>
    <w:uiPriority w:val="99"/>
    <w:rPr>
      <w:rFonts w:ascii="Times New Roman" w:hAnsi="Times New Roman" w:cs="Times New Roman"/>
      <w:sz w:val="17"/>
      <w:szCs w:val="17"/>
      <w:u w:val="none"/>
    </w:rPr>
  </w:style>
  <w:style w:type="character" w:customStyle="1" w:styleId="Resimyazs120ptbolukbraklyorExact1">
    <w:name w:val="Resim yazısı (12) + 0 pt boşluk bırakılıyor Exact1"/>
    <w:uiPriority w:val="99"/>
    <w:rPr>
      <w:rFonts w:ascii="Times New Roman" w:hAnsi="Times New Roman" w:cs="Times New Roman"/>
      <w:sz w:val="17"/>
      <w:szCs w:val="17"/>
      <w:u w:val="single"/>
    </w:rPr>
  </w:style>
  <w:style w:type="character" w:customStyle="1" w:styleId="Gvdemetni4pt">
    <w:name w:val="Gövde metni + 4 pt"/>
    <w:uiPriority w:val="99"/>
    <w:rPr>
      <w:rFonts w:ascii="Times New Roman" w:hAnsi="Times New Roman" w:cs="Times New Roman"/>
      <w:sz w:val="8"/>
      <w:szCs w:val="8"/>
      <w:u w:val="none"/>
    </w:rPr>
  </w:style>
  <w:style w:type="character" w:customStyle="1" w:styleId="Gvdemetni1185">
    <w:name w:val="Gövde metni (11) + 85"/>
    <w:aliases w:val="5 pt82,İtalik52"/>
    <w:uiPriority w:val="99"/>
    <w:rPr>
      <w:rFonts w:ascii="Times New Roman" w:hAnsi="Times New Roman" w:cs="Times New Roman"/>
      <w:i/>
      <w:iCs/>
      <w:sz w:val="17"/>
      <w:szCs w:val="17"/>
      <w:u w:val="none"/>
    </w:rPr>
  </w:style>
  <w:style w:type="character" w:customStyle="1" w:styleId="Gvdemetni1195">
    <w:name w:val="Gövde metni (11) + 95"/>
    <w:aliases w:val="5 pt81"/>
    <w:uiPriority w:val="99"/>
    <w:rPr>
      <w:rFonts w:ascii="Times New Roman" w:hAnsi="Times New Roman" w:cs="Times New Roman"/>
      <w:noProof/>
      <w:sz w:val="19"/>
      <w:szCs w:val="19"/>
      <w:u w:val="none"/>
    </w:rPr>
  </w:style>
  <w:style w:type="character" w:customStyle="1" w:styleId="Gvdemetni1194">
    <w:name w:val="Gövde metni (11) + 94"/>
    <w:aliases w:val="5 pt80"/>
    <w:uiPriority w:val="99"/>
    <w:rPr>
      <w:rFonts w:ascii="Times New Roman" w:hAnsi="Times New Roman" w:cs="Times New Roman"/>
      <w:sz w:val="19"/>
      <w:szCs w:val="19"/>
      <w:u w:val="single"/>
    </w:rPr>
  </w:style>
  <w:style w:type="character" w:customStyle="1" w:styleId="Gvdemetni87">
    <w:name w:val="Gövde metni + 87"/>
    <w:aliases w:val="5 pt79,Kalın42"/>
    <w:uiPriority w:val="99"/>
    <w:rPr>
      <w:rFonts w:ascii="Times New Roman" w:hAnsi="Times New Roman" w:cs="Times New Roman"/>
      <w:b/>
      <w:bCs/>
      <w:sz w:val="17"/>
      <w:szCs w:val="17"/>
      <w:u w:val="none"/>
    </w:rPr>
  </w:style>
  <w:style w:type="character" w:customStyle="1" w:styleId="Gvdemetni511">
    <w:name w:val="Gövde metni + 51"/>
    <w:aliases w:val="5 pt78,Kalın41"/>
    <w:uiPriority w:val="99"/>
    <w:rPr>
      <w:rFonts w:ascii="Times New Roman" w:hAnsi="Times New Roman" w:cs="Times New Roman"/>
      <w:b/>
      <w:bCs/>
      <w:noProof/>
      <w:sz w:val="11"/>
      <w:szCs w:val="11"/>
      <w:u w:val="none"/>
    </w:rPr>
  </w:style>
  <w:style w:type="character" w:customStyle="1" w:styleId="stbilgiveyaaltbilgi10pt5">
    <w:name w:val="Üst bilgi veya alt bilgi + 10 pt5"/>
    <w:aliases w:val="Kalın Değil18"/>
    <w:uiPriority w:val="99"/>
    <w:rPr>
      <w:rFonts w:ascii="Times New Roman" w:hAnsi="Times New Roman" w:cs="Times New Roman"/>
      <w:b w:val="0"/>
      <w:bCs w:val="0"/>
      <w:sz w:val="20"/>
      <w:szCs w:val="20"/>
      <w:u w:val="none"/>
    </w:rPr>
  </w:style>
  <w:style w:type="character" w:customStyle="1" w:styleId="Gvdemetni97">
    <w:name w:val="Gövde metni + 97"/>
    <w:aliases w:val="5 pt77"/>
    <w:uiPriority w:val="99"/>
    <w:rPr>
      <w:rFonts w:ascii="Times New Roman" w:hAnsi="Times New Roman" w:cs="Times New Roman"/>
      <w:sz w:val="19"/>
      <w:szCs w:val="19"/>
      <w:u w:val="none"/>
    </w:rPr>
  </w:style>
  <w:style w:type="character" w:customStyle="1" w:styleId="Balk5101">
    <w:name w:val="Başlık #5 + 101"/>
    <w:aliases w:val="5 pt76,Kalın Değil17"/>
    <w:uiPriority w:val="99"/>
    <w:rPr>
      <w:rFonts w:ascii="Times New Roman" w:hAnsi="Times New Roman" w:cs="Times New Roman"/>
      <w:b w:val="0"/>
      <w:bCs w:val="0"/>
      <w:sz w:val="21"/>
      <w:szCs w:val="21"/>
      <w:u w:val="none"/>
    </w:rPr>
  </w:style>
  <w:style w:type="character" w:customStyle="1" w:styleId="Resimyazs23Exact">
    <w:name w:val="Resim yazısı (23) Exact"/>
    <w:link w:val="Resimyazs23"/>
    <w:uiPriority w:val="99"/>
    <w:locked/>
    <w:rPr>
      <w:rFonts w:ascii="Trebuchet MS" w:hAnsi="Trebuchet MS" w:cs="Trebuchet MS"/>
      <w:b/>
      <w:bCs/>
      <w:spacing w:val="4"/>
      <w:sz w:val="19"/>
      <w:szCs w:val="19"/>
      <w:u w:val="none"/>
    </w:rPr>
  </w:style>
  <w:style w:type="character" w:customStyle="1" w:styleId="Resimyazs23Exact1">
    <w:name w:val="Resim yazısı (23) Exact1"/>
    <w:uiPriority w:val="99"/>
  </w:style>
  <w:style w:type="character" w:customStyle="1" w:styleId="Resimyazs20ptbolukbraklyorExact">
    <w:name w:val="Resim yazısı (2) + 0 pt boşluk bırakılıyor Exact"/>
    <w:uiPriority w:val="99"/>
    <w:rPr>
      <w:rFonts w:ascii="Times New Roman" w:hAnsi="Times New Roman" w:cs="Times New Roman"/>
      <w:b/>
      <w:bCs/>
      <w:spacing w:val="4"/>
      <w:sz w:val="18"/>
      <w:szCs w:val="18"/>
      <w:u w:val="none"/>
    </w:rPr>
  </w:style>
  <w:style w:type="character" w:customStyle="1" w:styleId="Resimyazs24Exact">
    <w:name w:val="Resim yazısı (24) Exact"/>
    <w:link w:val="Resimyazs24"/>
    <w:uiPriority w:val="99"/>
    <w:locked/>
    <w:rPr>
      <w:rFonts w:ascii="Palatino Linotype" w:hAnsi="Palatino Linotype" w:cs="Palatino Linotype"/>
      <w:spacing w:val="-6"/>
      <w:sz w:val="9"/>
      <w:szCs w:val="9"/>
      <w:u w:val="none"/>
    </w:rPr>
  </w:style>
  <w:style w:type="character" w:customStyle="1" w:styleId="Resimyazs14Exact">
    <w:name w:val="Resim yazısı (14) Exact"/>
    <w:uiPriority w:val="99"/>
    <w:rPr>
      <w:rFonts w:ascii="Times New Roman" w:hAnsi="Times New Roman" w:cs="Times New Roman"/>
      <w:spacing w:val="2"/>
      <w:sz w:val="19"/>
      <w:szCs w:val="19"/>
      <w:u w:val="none"/>
    </w:rPr>
  </w:style>
  <w:style w:type="character" w:customStyle="1" w:styleId="Resimyazs140ptbolukbraklyorExact">
    <w:name w:val="Resim yazısı (14) + 0 pt boşluk bırakılıyor Exact"/>
    <w:uiPriority w:val="99"/>
    <w:rPr>
      <w:rFonts w:ascii="Times New Roman" w:hAnsi="Times New Roman" w:cs="Times New Roman"/>
      <w:spacing w:val="1"/>
      <w:sz w:val="19"/>
      <w:szCs w:val="19"/>
      <w:u w:val="none"/>
    </w:rPr>
  </w:style>
  <w:style w:type="character" w:customStyle="1" w:styleId="Resimyazs19TimesNewRoman">
    <w:name w:val="Resim yazısı (19) + Times New Roman"/>
    <w:aliases w:val="0 pt boşluk bırakılıyor Exact19"/>
    <w:uiPriority w:val="99"/>
    <w:rPr>
      <w:rFonts w:ascii="Times New Roman" w:hAnsi="Times New Roman" w:cs="Times New Roman"/>
      <w:spacing w:val="-9"/>
      <w:sz w:val="8"/>
      <w:szCs w:val="8"/>
      <w:u w:val="none"/>
    </w:rPr>
  </w:style>
  <w:style w:type="character" w:customStyle="1" w:styleId="Resimyazs8Exact">
    <w:name w:val="Resim yazısı (8) Exact"/>
    <w:uiPriority w:val="99"/>
    <w:rPr>
      <w:rFonts w:ascii="Arial" w:hAnsi="Arial" w:cs="Arial"/>
      <w:b/>
      <w:bCs/>
      <w:spacing w:val="6"/>
      <w:sz w:val="13"/>
      <w:szCs w:val="13"/>
      <w:u w:val="none"/>
    </w:rPr>
  </w:style>
  <w:style w:type="character" w:customStyle="1" w:styleId="Resimyazs86pt">
    <w:name w:val="Resim yazısı (8) + 6 pt"/>
    <w:aliases w:val="0 pt boşluk bırakılıyor Exact18"/>
    <w:uiPriority w:val="99"/>
    <w:rPr>
      <w:rFonts w:ascii="Arial" w:hAnsi="Arial" w:cs="Arial"/>
      <w:b/>
      <w:bCs/>
      <w:noProof/>
      <w:sz w:val="12"/>
      <w:szCs w:val="12"/>
      <w:u w:val="none"/>
    </w:rPr>
  </w:style>
  <w:style w:type="character" w:customStyle="1" w:styleId="Resimyazs25Exact">
    <w:name w:val="Resim yazısı (25) Exact"/>
    <w:link w:val="Resimyazs25"/>
    <w:uiPriority w:val="99"/>
    <w:locked/>
    <w:rPr>
      <w:rFonts w:ascii="Times New Roman" w:hAnsi="Times New Roman" w:cs="Times New Roman"/>
      <w:spacing w:val="-4"/>
      <w:sz w:val="21"/>
      <w:szCs w:val="21"/>
      <w:u w:val="none"/>
    </w:rPr>
  </w:style>
  <w:style w:type="character" w:customStyle="1" w:styleId="Resimyazs25Exact1">
    <w:name w:val="Resim yazısı (25) Exact1"/>
    <w:uiPriority w:val="99"/>
  </w:style>
  <w:style w:type="character" w:customStyle="1" w:styleId="Resimyazs15Exact">
    <w:name w:val="Resim yazısı (15) Exact"/>
    <w:uiPriority w:val="99"/>
    <w:rPr>
      <w:rFonts w:ascii="Arial" w:hAnsi="Arial" w:cs="Arial"/>
      <w:b/>
      <w:bCs/>
      <w:spacing w:val="6"/>
      <w:sz w:val="14"/>
      <w:szCs w:val="14"/>
      <w:u w:val="none"/>
    </w:rPr>
  </w:style>
  <w:style w:type="character" w:customStyle="1" w:styleId="Resimyazs157">
    <w:name w:val="Resim yazısı (15) + 7"/>
    <w:aliases w:val="5 pt75,0 pt boşluk bırakılıyor Exact17"/>
    <w:uiPriority w:val="99"/>
    <w:rPr>
      <w:rFonts w:ascii="Arial" w:hAnsi="Arial" w:cs="Arial"/>
      <w:b/>
      <w:bCs/>
      <w:spacing w:val="3"/>
      <w:sz w:val="15"/>
      <w:szCs w:val="15"/>
      <w:u w:val="none"/>
    </w:rPr>
  </w:style>
  <w:style w:type="character" w:customStyle="1" w:styleId="Resimyazs26Exact">
    <w:name w:val="Resim yazısı (26) Exact"/>
    <w:link w:val="Resimyazs26"/>
    <w:uiPriority w:val="99"/>
    <w:locked/>
    <w:rPr>
      <w:rFonts w:ascii="Arial" w:hAnsi="Arial" w:cs="Arial"/>
      <w:b/>
      <w:bCs/>
      <w:spacing w:val="5"/>
      <w:sz w:val="18"/>
      <w:szCs w:val="18"/>
      <w:u w:val="none"/>
    </w:rPr>
  </w:style>
  <w:style w:type="character" w:customStyle="1" w:styleId="Resimyazs26Exact2">
    <w:name w:val="Resim yazısı (26) Exact2"/>
    <w:uiPriority w:val="99"/>
  </w:style>
  <w:style w:type="character" w:customStyle="1" w:styleId="Resimyazs26Exact1">
    <w:name w:val="Resim yazısı (26) Exact1"/>
    <w:uiPriority w:val="99"/>
  </w:style>
  <w:style w:type="character" w:customStyle="1" w:styleId="Resimyazs12talikExact">
    <w:name w:val="Resim yazısı (12) + İtalik Exact"/>
    <w:uiPriority w:val="99"/>
    <w:rPr>
      <w:rFonts w:ascii="Times New Roman" w:hAnsi="Times New Roman" w:cs="Times New Roman"/>
      <w:i/>
      <w:iCs/>
      <w:sz w:val="17"/>
      <w:szCs w:val="17"/>
      <w:u w:val="single"/>
    </w:rPr>
  </w:style>
  <w:style w:type="character" w:customStyle="1" w:styleId="Resimyazs27Exact">
    <w:name w:val="Resim yazısı (27) Exact"/>
    <w:link w:val="Resimyazs27"/>
    <w:uiPriority w:val="99"/>
    <w:locked/>
    <w:rPr>
      <w:rFonts w:ascii="Arial" w:hAnsi="Arial" w:cs="Arial"/>
      <w:spacing w:val="-6"/>
      <w:sz w:val="21"/>
      <w:szCs w:val="21"/>
      <w:u w:val="none"/>
    </w:rPr>
  </w:style>
  <w:style w:type="character" w:customStyle="1" w:styleId="Resimyazs27Exact1">
    <w:name w:val="Resim yazısı (27) Exact1"/>
    <w:uiPriority w:val="99"/>
  </w:style>
  <w:style w:type="character" w:customStyle="1" w:styleId="Gvdemetni25Exact">
    <w:name w:val="Gövde metni (25) Exact"/>
    <w:uiPriority w:val="99"/>
    <w:rPr>
      <w:rFonts w:ascii="Arial" w:hAnsi="Arial" w:cs="Arial"/>
      <w:b/>
      <w:bCs/>
      <w:sz w:val="12"/>
      <w:szCs w:val="12"/>
      <w:u w:val="none"/>
    </w:rPr>
  </w:style>
  <w:style w:type="character" w:customStyle="1" w:styleId="Gvdemetni202">
    <w:name w:val="Gövde metni (20)"/>
    <w:uiPriority w:val="99"/>
  </w:style>
  <w:style w:type="character" w:customStyle="1" w:styleId="stbilgiveyaaltbilgi41">
    <w:name w:val="Üst bilgi veya alt bilgi4"/>
    <w:uiPriority w:val="99"/>
  </w:style>
  <w:style w:type="character" w:customStyle="1" w:styleId="Resimyazs158pt">
    <w:name w:val="Resim yazısı (15) + 8 pt"/>
    <w:uiPriority w:val="99"/>
    <w:rPr>
      <w:rFonts w:ascii="Arial" w:hAnsi="Arial" w:cs="Arial"/>
      <w:b/>
      <w:bCs/>
      <w:sz w:val="16"/>
      <w:szCs w:val="16"/>
      <w:u w:val="none"/>
    </w:rPr>
  </w:style>
  <w:style w:type="character" w:customStyle="1" w:styleId="Gvdemetni39pt4">
    <w:name w:val="Gövde metni (3) + 9 pt4"/>
    <w:aliases w:val="İtalik51"/>
    <w:uiPriority w:val="99"/>
    <w:rPr>
      <w:rFonts w:ascii="Times New Roman" w:hAnsi="Times New Roman" w:cs="Times New Roman"/>
      <w:i/>
      <w:iCs/>
      <w:sz w:val="18"/>
      <w:szCs w:val="18"/>
      <w:u w:val="none"/>
    </w:rPr>
  </w:style>
  <w:style w:type="character" w:customStyle="1" w:styleId="Gvdemetni39pt3">
    <w:name w:val="Gövde metni (3) + 9 pt3"/>
    <w:aliases w:val="İtalik50"/>
    <w:uiPriority w:val="99"/>
    <w:rPr>
      <w:rFonts w:ascii="Times New Roman" w:hAnsi="Times New Roman" w:cs="Times New Roman"/>
      <w:i/>
      <w:iCs/>
      <w:noProof/>
      <w:sz w:val="18"/>
      <w:szCs w:val="18"/>
      <w:u w:val="single"/>
    </w:rPr>
  </w:style>
  <w:style w:type="character" w:customStyle="1" w:styleId="Gvdemetni58pt">
    <w:name w:val="Gövde metni (5) + 8 pt"/>
    <w:aliases w:val="Kalın40,İtalik49"/>
    <w:uiPriority w:val="99"/>
    <w:rPr>
      <w:rFonts w:ascii="Times New Roman" w:hAnsi="Times New Roman" w:cs="Times New Roman"/>
      <w:b/>
      <w:bCs/>
      <w:i/>
      <w:iCs/>
      <w:noProof/>
      <w:sz w:val="16"/>
      <w:szCs w:val="16"/>
      <w:u w:val="single"/>
    </w:rPr>
  </w:style>
  <w:style w:type="character" w:customStyle="1" w:styleId="Resimyazs2181">
    <w:name w:val="Resim yazısı (21) + 81"/>
    <w:aliases w:val="5 pt74,İtalik48"/>
    <w:uiPriority w:val="99"/>
    <w:rPr>
      <w:rFonts w:ascii="Times New Roman" w:hAnsi="Times New Roman" w:cs="Times New Roman"/>
      <w:i/>
      <w:iCs/>
      <w:noProof/>
      <w:sz w:val="17"/>
      <w:szCs w:val="17"/>
      <w:u w:val="single"/>
    </w:rPr>
  </w:style>
  <w:style w:type="character" w:customStyle="1" w:styleId="Resimyazs210">
    <w:name w:val="Resim yazısı (21)"/>
    <w:uiPriority w:val="99"/>
    <w:rPr>
      <w:rFonts w:ascii="Times New Roman" w:hAnsi="Times New Roman" w:cs="Times New Roman"/>
      <w:sz w:val="18"/>
      <w:szCs w:val="18"/>
      <w:u w:val="single"/>
    </w:rPr>
  </w:style>
  <w:style w:type="character" w:customStyle="1" w:styleId="Balk2TimesNewRoman2">
    <w:name w:val="Başlık #2 + Times New Roman2"/>
    <w:aliases w:val="0 pt boşluk bırakılıyor27"/>
    <w:uiPriority w:val="99"/>
    <w:rPr>
      <w:rFonts w:ascii="Times New Roman" w:hAnsi="Times New Roman" w:cs="Times New Roman"/>
      <w:b/>
      <w:bCs/>
      <w:spacing w:val="10"/>
      <w:sz w:val="23"/>
      <w:szCs w:val="23"/>
      <w:u w:val="none"/>
    </w:rPr>
  </w:style>
  <w:style w:type="character" w:customStyle="1" w:styleId="Gvdemetni59pt">
    <w:name w:val="Gövde metni (5) + 9 pt"/>
    <w:aliases w:val="Kalın39"/>
    <w:uiPriority w:val="99"/>
    <w:rPr>
      <w:rFonts w:ascii="Times New Roman" w:hAnsi="Times New Roman" w:cs="Times New Roman"/>
      <w:b/>
      <w:bCs/>
      <w:sz w:val="18"/>
      <w:szCs w:val="18"/>
      <w:u w:val="none"/>
    </w:rPr>
  </w:style>
  <w:style w:type="character" w:customStyle="1" w:styleId="Balk2TimesNewRoman1">
    <w:name w:val="Başlık #2 + Times New Roman1"/>
    <w:aliases w:val="9 pt1"/>
    <w:uiPriority w:val="99"/>
    <w:rPr>
      <w:rFonts w:ascii="Times New Roman" w:hAnsi="Times New Roman" w:cs="Times New Roman"/>
      <w:b/>
      <w:bCs/>
      <w:sz w:val="18"/>
      <w:szCs w:val="18"/>
      <w:u w:val="none"/>
    </w:rPr>
  </w:style>
  <w:style w:type="character" w:customStyle="1" w:styleId="Resimyazs28Exact">
    <w:name w:val="Resim yazısı (28) Exact"/>
    <w:uiPriority w:val="99"/>
    <w:rPr>
      <w:rFonts w:ascii="Times New Roman" w:hAnsi="Times New Roman" w:cs="Times New Roman"/>
      <w:spacing w:val="2"/>
      <w:sz w:val="19"/>
      <w:szCs w:val="19"/>
      <w:u w:val="none"/>
    </w:rPr>
  </w:style>
  <w:style w:type="character" w:customStyle="1" w:styleId="Resimyazs29">
    <w:name w:val="Resim yazısı (29)_"/>
    <w:link w:val="Resimyazs291"/>
    <w:uiPriority w:val="99"/>
    <w:locked/>
    <w:rPr>
      <w:rFonts w:ascii="Times New Roman" w:hAnsi="Times New Roman" w:cs="Times New Roman"/>
      <w:b/>
      <w:bCs/>
      <w:sz w:val="13"/>
      <w:szCs w:val="13"/>
      <w:u w:val="none"/>
    </w:rPr>
  </w:style>
  <w:style w:type="character" w:customStyle="1" w:styleId="Resimyazs290">
    <w:name w:val="Resim yazısı (29)"/>
    <w:uiPriority w:val="99"/>
  </w:style>
  <w:style w:type="character" w:customStyle="1" w:styleId="Resimyazs28">
    <w:name w:val="Resim yazısı (28)_"/>
    <w:link w:val="Resimyazs281"/>
    <w:uiPriority w:val="99"/>
    <w:locked/>
    <w:rPr>
      <w:rFonts w:ascii="Times New Roman" w:hAnsi="Times New Roman" w:cs="Times New Roman"/>
      <w:sz w:val="21"/>
      <w:szCs w:val="21"/>
      <w:u w:val="none"/>
    </w:rPr>
  </w:style>
  <w:style w:type="character" w:customStyle="1" w:styleId="Resimyazs288pt">
    <w:name w:val="Resim yazısı (28) + 8 pt"/>
    <w:aliases w:val="Kalın38,İtalik47"/>
    <w:uiPriority w:val="99"/>
    <w:rPr>
      <w:rFonts w:ascii="Times New Roman" w:hAnsi="Times New Roman" w:cs="Times New Roman"/>
      <w:b/>
      <w:bCs/>
      <w:i/>
      <w:iCs/>
      <w:sz w:val="16"/>
      <w:szCs w:val="16"/>
      <w:u w:val="none"/>
    </w:rPr>
  </w:style>
  <w:style w:type="character" w:customStyle="1" w:styleId="Resimyazs288pt1">
    <w:name w:val="Resim yazısı (28) + 8 pt1"/>
    <w:aliases w:val="Kalın37,İtalik46"/>
    <w:uiPriority w:val="99"/>
    <w:rPr>
      <w:rFonts w:ascii="Times New Roman" w:hAnsi="Times New Roman" w:cs="Times New Roman"/>
      <w:b/>
      <w:bCs/>
      <w:i/>
      <w:iCs/>
      <w:noProof/>
      <w:sz w:val="16"/>
      <w:szCs w:val="16"/>
      <w:u w:val="single"/>
    </w:rPr>
  </w:style>
  <w:style w:type="character" w:customStyle="1" w:styleId="Resimyazs280">
    <w:name w:val="Resim yazısı (28)"/>
    <w:uiPriority w:val="99"/>
    <w:rPr>
      <w:rFonts w:ascii="Times New Roman" w:hAnsi="Times New Roman" w:cs="Times New Roman"/>
      <w:noProof/>
      <w:sz w:val="21"/>
      <w:szCs w:val="21"/>
      <w:u w:val="single"/>
    </w:rPr>
  </w:style>
  <w:style w:type="character" w:customStyle="1" w:styleId="Resimyazs283">
    <w:name w:val="Resim yazısı (28)3"/>
    <w:uiPriority w:val="99"/>
    <w:rPr>
      <w:rFonts w:ascii="Times New Roman" w:hAnsi="Times New Roman" w:cs="Times New Roman"/>
      <w:sz w:val="21"/>
      <w:szCs w:val="21"/>
      <w:u w:val="single"/>
    </w:rPr>
  </w:style>
  <w:style w:type="character" w:customStyle="1" w:styleId="Resimyazs282">
    <w:name w:val="Resim yazısı (28)2"/>
    <w:uiPriority w:val="99"/>
    <w:rPr>
      <w:rFonts w:ascii="Times New Roman" w:hAnsi="Times New Roman" w:cs="Times New Roman"/>
      <w:sz w:val="21"/>
      <w:szCs w:val="21"/>
      <w:u w:val="single"/>
    </w:rPr>
  </w:style>
  <w:style w:type="character" w:customStyle="1" w:styleId="stbilgiveyaaltbilgi210pt2">
    <w:name w:val="Üst bilgi veya alt bilgi (2) + 10 pt2"/>
    <w:uiPriority w:val="99"/>
    <w:rPr>
      <w:rFonts w:ascii="Times New Roman" w:hAnsi="Times New Roman" w:cs="Times New Roman"/>
      <w:sz w:val="20"/>
      <w:szCs w:val="20"/>
      <w:u w:val="none"/>
    </w:rPr>
  </w:style>
  <w:style w:type="character" w:customStyle="1" w:styleId="stbilgiveyaaltbilgi210pt1">
    <w:name w:val="Üst bilgi veya alt bilgi (2) + 10 pt1"/>
    <w:uiPriority w:val="99"/>
    <w:rPr>
      <w:rFonts w:ascii="Times New Roman" w:hAnsi="Times New Roman" w:cs="Times New Roman"/>
      <w:sz w:val="20"/>
      <w:szCs w:val="20"/>
      <w:u w:val="single"/>
    </w:rPr>
  </w:style>
  <w:style w:type="character" w:customStyle="1" w:styleId="Resimyazs9pt3">
    <w:name w:val="Resim yazısı + 9 pt3"/>
    <w:aliases w:val="İtalik45,-1 pt boşluk bırakılıyor"/>
    <w:uiPriority w:val="99"/>
    <w:rPr>
      <w:rFonts w:ascii="Times New Roman" w:hAnsi="Times New Roman" w:cs="Times New Roman"/>
      <w:i/>
      <w:iCs/>
      <w:spacing w:val="-20"/>
      <w:sz w:val="18"/>
      <w:szCs w:val="18"/>
      <w:u w:val="none"/>
    </w:rPr>
  </w:style>
  <w:style w:type="character" w:customStyle="1" w:styleId="Resimyazs9pt2">
    <w:name w:val="Resim yazısı + 9 pt2"/>
    <w:aliases w:val="Kalın36"/>
    <w:uiPriority w:val="99"/>
    <w:rPr>
      <w:rFonts w:ascii="Times New Roman" w:hAnsi="Times New Roman" w:cs="Times New Roman"/>
      <w:b/>
      <w:bCs/>
      <w:sz w:val="18"/>
      <w:szCs w:val="18"/>
      <w:u w:val="none"/>
    </w:rPr>
  </w:style>
  <w:style w:type="character" w:customStyle="1" w:styleId="Gvdemetni27">
    <w:name w:val="Gövde metni (27)_"/>
    <w:link w:val="Gvdemetni271"/>
    <w:uiPriority w:val="99"/>
    <w:locked/>
    <w:rPr>
      <w:rFonts w:ascii="Times New Roman" w:hAnsi="Times New Roman" w:cs="Times New Roman"/>
      <w:sz w:val="18"/>
      <w:szCs w:val="18"/>
      <w:u w:val="none"/>
    </w:rPr>
  </w:style>
  <w:style w:type="character" w:customStyle="1" w:styleId="Gvdemetni27Kaln">
    <w:name w:val="Gövde metni (27) + Kalın"/>
    <w:aliases w:val="İtalik44"/>
    <w:uiPriority w:val="99"/>
    <w:rPr>
      <w:rFonts w:ascii="Times New Roman" w:hAnsi="Times New Roman" w:cs="Times New Roman"/>
      <w:b/>
      <w:bCs/>
      <w:i/>
      <w:iCs/>
      <w:sz w:val="18"/>
      <w:szCs w:val="18"/>
      <w:u w:val="none"/>
    </w:rPr>
  </w:style>
  <w:style w:type="character" w:customStyle="1" w:styleId="Gvdemetni270">
    <w:name w:val="Gövde metni (27)"/>
    <w:uiPriority w:val="99"/>
  </w:style>
  <w:style w:type="character" w:customStyle="1" w:styleId="Gvdemetni9pt4">
    <w:name w:val="Gövde metni + 9 pt4"/>
    <w:aliases w:val="İtalik43"/>
    <w:uiPriority w:val="99"/>
    <w:rPr>
      <w:rFonts w:ascii="Times New Roman" w:hAnsi="Times New Roman" w:cs="Times New Roman"/>
      <w:i/>
      <w:iCs/>
      <w:sz w:val="18"/>
      <w:szCs w:val="18"/>
      <w:u w:val="none"/>
    </w:rPr>
  </w:style>
  <w:style w:type="character" w:customStyle="1" w:styleId="Gvdemetni28Exact">
    <w:name w:val="Gövde metni (28) Exact"/>
    <w:uiPriority w:val="99"/>
    <w:rPr>
      <w:rFonts w:ascii="Times New Roman" w:hAnsi="Times New Roman" w:cs="Times New Roman"/>
      <w:b/>
      <w:bCs/>
      <w:spacing w:val="-2"/>
      <w:sz w:val="14"/>
      <w:szCs w:val="14"/>
      <w:u w:val="none"/>
    </w:rPr>
  </w:style>
  <w:style w:type="character" w:customStyle="1" w:styleId="Gvdemetni28Exact1">
    <w:name w:val="Gövde metni (28) Exact1"/>
    <w:uiPriority w:val="99"/>
    <w:rPr>
      <w:rFonts w:ascii="Times New Roman" w:hAnsi="Times New Roman" w:cs="Times New Roman"/>
      <w:b/>
      <w:bCs/>
      <w:color w:val="000000"/>
      <w:spacing w:val="-2"/>
      <w:w w:val="100"/>
      <w:position w:val="0"/>
      <w:sz w:val="14"/>
      <w:szCs w:val="14"/>
      <w:u w:val="single"/>
    </w:rPr>
  </w:style>
  <w:style w:type="character" w:customStyle="1" w:styleId="Gvdemetni8Exact">
    <w:name w:val="Gövde metni (8) Exact"/>
    <w:uiPriority w:val="99"/>
    <w:rPr>
      <w:rFonts w:ascii="Times New Roman" w:hAnsi="Times New Roman" w:cs="Times New Roman"/>
      <w:sz w:val="11"/>
      <w:szCs w:val="11"/>
      <w:u w:val="none"/>
    </w:rPr>
  </w:style>
  <w:style w:type="character" w:customStyle="1" w:styleId="Gvdemetni80ptbolukbraklyorExact">
    <w:name w:val="Gövde metni (8) + 0 pt boşluk bırakılıyor Exact"/>
    <w:uiPriority w:val="99"/>
    <w:rPr>
      <w:rFonts w:ascii="Times New Roman" w:hAnsi="Times New Roman" w:cs="Times New Roman"/>
      <w:spacing w:val="3"/>
      <w:sz w:val="11"/>
      <w:szCs w:val="11"/>
      <w:u w:val="none"/>
    </w:rPr>
  </w:style>
  <w:style w:type="character" w:customStyle="1" w:styleId="Gvdemetni29Exact">
    <w:name w:val="Gövde metni (29) Exact"/>
    <w:link w:val="Gvdemetni29"/>
    <w:uiPriority w:val="99"/>
    <w:locked/>
    <w:rPr>
      <w:rFonts w:ascii="Times New Roman" w:hAnsi="Times New Roman" w:cs="Times New Roman"/>
      <w:spacing w:val="1"/>
      <w:sz w:val="13"/>
      <w:szCs w:val="13"/>
      <w:u w:val="none"/>
    </w:rPr>
  </w:style>
  <w:style w:type="character" w:customStyle="1" w:styleId="Gvdemetni7pt3">
    <w:name w:val="Gövde metni + 7 pt3"/>
    <w:aliases w:val="Kalın35,0 pt boşluk bırakılıyor26"/>
    <w:uiPriority w:val="99"/>
    <w:rPr>
      <w:rFonts w:ascii="Times New Roman" w:hAnsi="Times New Roman" w:cs="Times New Roman"/>
      <w:b/>
      <w:bCs/>
      <w:spacing w:val="-2"/>
      <w:sz w:val="14"/>
      <w:szCs w:val="14"/>
      <w:u w:val="none"/>
    </w:rPr>
  </w:style>
  <w:style w:type="character" w:customStyle="1" w:styleId="Gvdemetni710">
    <w:name w:val="Gövde metni + 71"/>
    <w:aliases w:val="5 pt73,Kalın34,0 pt boşluk bırakılıyor25"/>
    <w:uiPriority w:val="99"/>
    <w:rPr>
      <w:rFonts w:ascii="Times New Roman" w:hAnsi="Times New Roman" w:cs="Times New Roman"/>
      <w:b/>
      <w:bCs/>
      <w:spacing w:val="1"/>
      <w:sz w:val="15"/>
      <w:szCs w:val="15"/>
      <w:u w:val="none"/>
    </w:rPr>
  </w:style>
  <w:style w:type="character" w:customStyle="1" w:styleId="Gvdemetni29Exact1">
    <w:name w:val="Gövde metni (29) Exact1"/>
    <w:uiPriority w:val="99"/>
    <w:rPr>
      <w:rFonts w:ascii="Times New Roman" w:hAnsi="Times New Roman" w:cs="Times New Roman"/>
      <w:spacing w:val="1"/>
      <w:sz w:val="13"/>
      <w:szCs w:val="13"/>
      <w:u w:val="single"/>
    </w:rPr>
  </w:style>
  <w:style w:type="character" w:customStyle="1" w:styleId="Gvdemetni26Exact">
    <w:name w:val="Gövde metni (26) Exact"/>
    <w:link w:val="Gvdemetni26"/>
    <w:uiPriority w:val="99"/>
    <w:locked/>
    <w:rPr>
      <w:rFonts w:ascii="Times New Roman" w:hAnsi="Times New Roman" w:cs="Times New Roman"/>
      <w:spacing w:val="-6"/>
      <w:sz w:val="17"/>
      <w:szCs w:val="17"/>
      <w:u w:val="none"/>
    </w:rPr>
  </w:style>
  <w:style w:type="character" w:customStyle="1" w:styleId="Gvdemetni267">
    <w:name w:val="Gövde metni (26) + 7"/>
    <w:aliases w:val="5 pt72,Kalın33,0 pt boşluk bırakılıyor Exact16"/>
    <w:uiPriority w:val="99"/>
    <w:rPr>
      <w:rFonts w:ascii="Times New Roman" w:hAnsi="Times New Roman" w:cs="Times New Roman"/>
      <w:b/>
      <w:bCs/>
      <w:spacing w:val="1"/>
      <w:sz w:val="15"/>
      <w:szCs w:val="15"/>
      <w:u w:val="none"/>
    </w:rPr>
  </w:style>
  <w:style w:type="character" w:customStyle="1" w:styleId="Gvdemetni1184">
    <w:name w:val="Gövde metni (11) + 84"/>
    <w:aliases w:val="5 pt71,İtalik42"/>
    <w:uiPriority w:val="99"/>
    <w:rPr>
      <w:rFonts w:ascii="Times New Roman" w:hAnsi="Times New Roman" w:cs="Times New Roman"/>
      <w:i/>
      <w:iCs/>
      <w:sz w:val="17"/>
      <w:szCs w:val="17"/>
      <w:u w:val="none"/>
    </w:rPr>
  </w:style>
  <w:style w:type="character" w:customStyle="1" w:styleId="Gvdemetni300">
    <w:name w:val="Gövde metni (30)_"/>
    <w:link w:val="Gvdemetni301"/>
    <w:uiPriority w:val="99"/>
    <w:locked/>
    <w:rPr>
      <w:rFonts w:ascii="Arial" w:hAnsi="Arial" w:cs="Arial"/>
      <w:b/>
      <w:bCs/>
      <w:sz w:val="23"/>
      <w:szCs w:val="23"/>
      <w:u w:val="none"/>
    </w:rPr>
  </w:style>
  <w:style w:type="character" w:customStyle="1" w:styleId="Gvdemetni28">
    <w:name w:val="Gövde metni (28)_"/>
    <w:link w:val="Gvdemetni280"/>
    <w:uiPriority w:val="99"/>
    <w:locked/>
    <w:rPr>
      <w:rFonts w:ascii="Times New Roman" w:hAnsi="Times New Roman" w:cs="Times New Roman"/>
      <w:b/>
      <w:bCs/>
      <w:sz w:val="14"/>
      <w:szCs w:val="14"/>
      <w:u w:val="none"/>
    </w:rPr>
  </w:style>
  <w:style w:type="character" w:customStyle="1" w:styleId="Gvdemetni28MicrosoftSansSerif">
    <w:name w:val="Gövde metni (28) + Microsoft Sans Serif"/>
    <w:aliases w:val="61,5 pt70,Kalın Değil16"/>
    <w:uiPriority w:val="99"/>
    <w:rPr>
      <w:rFonts w:ascii="Microsoft Sans Serif" w:hAnsi="Microsoft Sans Serif" w:cs="Microsoft Sans Serif"/>
      <w:b w:val="0"/>
      <w:bCs w:val="0"/>
      <w:noProof/>
      <w:sz w:val="13"/>
      <w:szCs w:val="13"/>
      <w:u w:val="none"/>
    </w:rPr>
  </w:style>
  <w:style w:type="character" w:customStyle="1" w:styleId="Gvdemetni311">
    <w:name w:val="Gövde metni (31)_"/>
    <w:link w:val="Gvdemetni312"/>
    <w:uiPriority w:val="99"/>
    <w:locked/>
    <w:rPr>
      <w:rFonts w:ascii="Times New Roman" w:hAnsi="Times New Roman" w:cs="Times New Roman"/>
      <w:b/>
      <w:bCs/>
      <w:u w:val="none"/>
    </w:rPr>
  </w:style>
  <w:style w:type="character" w:customStyle="1" w:styleId="Gvdemetni3110pt">
    <w:name w:val="Gövde metni (31) + 10 pt"/>
    <w:uiPriority w:val="99"/>
    <w:rPr>
      <w:rFonts w:ascii="Times New Roman" w:hAnsi="Times New Roman" w:cs="Times New Roman"/>
      <w:b/>
      <w:bCs/>
      <w:sz w:val="20"/>
      <w:szCs w:val="20"/>
      <w:u w:val="none"/>
    </w:rPr>
  </w:style>
  <w:style w:type="character" w:customStyle="1" w:styleId="Gvdemetni28MicrosoftSansSerif1">
    <w:name w:val="Gövde metni (28) + Microsoft Sans Serif1"/>
    <w:aliases w:val="6 pt,Kalın Değil15,0 pt boşluk bırakılıyor Exact15"/>
    <w:uiPriority w:val="99"/>
    <w:rPr>
      <w:rFonts w:ascii="Microsoft Sans Serif" w:hAnsi="Microsoft Sans Serif" w:cs="Microsoft Sans Serif"/>
      <w:b w:val="0"/>
      <w:bCs w:val="0"/>
      <w:noProof/>
      <w:sz w:val="12"/>
      <w:szCs w:val="12"/>
      <w:u w:val="none"/>
    </w:rPr>
  </w:style>
  <w:style w:type="character" w:customStyle="1" w:styleId="Gvdemetni32Exact">
    <w:name w:val="Gövde metni (32) Exact"/>
    <w:link w:val="Gvdemetni320"/>
    <w:uiPriority w:val="99"/>
    <w:locked/>
    <w:rPr>
      <w:rFonts w:ascii="Times New Roman" w:hAnsi="Times New Roman" w:cs="Times New Roman"/>
      <w:spacing w:val="-4"/>
      <w:sz w:val="20"/>
      <w:szCs w:val="20"/>
      <w:u w:val="none"/>
    </w:rPr>
  </w:style>
  <w:style w:type="character" w:customStyle="1" w:styleId="Gvdemetni8pt3">
    <w:name w:val="Gövde metni + 8 pt3"/>
    <w:uiPriority w:val="99"/>
    <w:rPr>
      <w:rFonts w:ascii="Times New Roman" w:hAnsi="Times New Roman" w:cs="Times New Roman"/>
      <w:sz w:val="16"/>
      <w:szCs w:val="16"/>
      <w:u w:val="none"/>
    </w:rPr>
  </w:style>
  <w:style w:type="character" w:customStyle="1" w:styleId="Gvdemetni8pt2">
    <w:name w:val="Gövde metni + 8 pt2"/>
    <w:aliases w:val="Küçük Büyük Harf7"/>
    <w:uiPriority w:val="99"/>
    <w:rPr>
      <w:rFonts w:ascii="Times New Roman" w:hAnsi="Times New Roman" w:cs="Times New Roman"/>
      <w:smallCaps/>
      <w:sz w:val="16"/>
      <w:szCs w:val="16"/>
      <w:u w:val="none"/>
    </w:rPr>
  </w:style>
  <w:style w:type="character" w:customStyle="1" w:styleId="Gvdemetni5pt5">
    <w:name w:val="Gövde metni + 5 pt5"/>
    <w:uiPriority w:val="99"/>
    <w:rPr>
      <w:rFonts w:ascii="Times New Roman" w:hAnsi="Times New Roman" w:cs="Times New Roman"/>
      <w:noProof/>
      <w:sz w:val="10"/>
      <w:szCs w:val="10"/>
      <w:u w:val="none"/>
    </w:rPr>
  </w:style>
  <w:style w:type="character" w:customStyle="1" w:styleId="Gvdemetni8pt1">
    <w:name w:val="Gövde metni + 8 pt1"/>
    <w:aliases w:val="İtalik41"/>
    <w:uiPriority w:val="99"/>
    <w:rPr>
      <w:rFonts w:ascii="Times New Roman" w:hAnsi="Times New Roman" w:cs="Times New Roman"/>
      <w:i/>
      <w:iCs/>
      <w:sz w:val="16"/>
      <w:szCs w:val="16"/>
      <w:u w:val="none"/>
    </w:rPr>
  </w:style>
  <w:style w:type="character" w:customStyle="1" w:styleId="Gvdemetni7100">
    <w:name w:val="Gövde metni (7) + 10"/>
    <w:aliases w:val="5 pt69,Kalın Değil14"/>
    <w:uiPriority w:val="99"/>
    <w:rPr>
      <w:rFonts w:ascii="Times New Roman" w:hAnsi="Times New Roman" w:cs="Times New Roman"/>
      <w:b w:val="0"/>
      <w:bCs w:val="0"/>
      <w:sz w:val="21"/>
      <w:szCs w:val="21"/>
      <w:u w:val="none"/>
    </w:rPr>
  </w:style>
  <w:style w:type="character" w:customStyle="1" w:styleId="Gvdemetni10pt11">
    <w:name w:val="Gövde metni + 10 pt11"/>
    <w:uiPriority w:val="99"/>
    <w:rPr>
      <w:rFonts w:ascii="Times New Roman" w:hAnsi="Times New Roman" w:cs="Times New Roman"/>
      <w:sz w:val="20"/>
      <w:szCs w:val="20"/>
      <w:u w:val="none"/>
    </w:rPr>
  </w:style>
  <w:style w:type="character" w:customStyle="1" w:styleId="GvdemetniCorbel">
    <w:name w:val="Gövde metni + Corbel"/>
    <w:aliases w:val="7 pt3,0 pt boşluk bırakılıyor24"/>
    <w:uiPriority w:val="99"/>
    <w:rPr>
      <w:rFonts w:ascii="Corbel" w:hAnsi="Corbel" w:cs="Corbel"/>
      <w:spacing w:val="10"/>
      <w:sz w:val="14"/>
      <w:szCs w:val="14"/>
      <w:u w:val="none"/>
    </w:rPr>
  </w:style>
  <w:style w:type="character" w:customStyle="1" w:styleId="Gvdemetni86">
    <w:name w:val="Gövde metni + 86"/>
    <w:aliases w:val="5 pt68,İtalik40"/>
    <w:uiPriority w:val="99"/>
    <w:rPr>
      <w:rFonts w:ascii="Times New Roman" w:hAnsi="Times New Roman" w:cs="Times New Roman"/>
      <w:i/>
      <w:iCs/>
      <w:sz w:val="17"/>
      <w:szCs w:val="17"/>
      <w:u w:val="none"/>
    </w:rPr>
  </w:style>
  <w:style w:type="character" w:customStyle="1" w:styleId="Balk4210pt">
    <w:name w:val="Başlık #4 (2) + 10 pt"/>
    <w:uiPriority w:val="99"/>
    <w:rPr>
      <w:rFonts w:ascii="Times New Roman" w:hAnsi="Times New Roman" w:cs="Times New Roman"/>
      <w:b/>
      <w:bCs/>
      <w:sz w:val="20"/>
      <w:szCs w:val="20"/>
      <w:u w:val="none"/>
    </w:rPr>
  </w:style>
  <w:style w:type="character" w:customStyle="1" w:styleId="Gvdemetni330">
    <w:name w:val="Gövde metni (33)_"/>
    <w:link w:val="Gvdemetni331"/>
    <w:uiPriority w:val="99"/>
    <w:locked/>
    <w:rPr>
      <w:rFonts w:ascii="Times New Roman" w:hAnsi="Times New Roman" w:cs="Times New Roman"/>
      <w:b/>
      <w:bCs/>
      <w:sz w:val="18"/>
      <w:szCs w:val="18"/>
      <w:u w:val="none"/>
    </w:rPr>
  </w:style>
  <w:style w:type="character" w:customStyle="1" w:styleId="Gvdemetni332">
    <w:name w:val="Gövde metni (33)"/>
    <w:uiPriority w:val="99"/>
  </w:style>
  <w:style w:type="character" w:customStyle="1" w:styleId="Gvdemetni3320">
    <w:name w:val="Gövde metni (33)2"/>
    <w:uiPriority w:val="99"/>
  </w:style>
  <w:style w:type="character" w:customStyle="1" w:styleId="GvdemetniImpact">
    <w:name w:val="Gövde metni + Impact"/>
    <w:aliases w:val="11 pt1"/>
    <w:uiPriority w:val="99"/>
    <w:rPr>
      <w:rFonts w:ascii="Impact" w:hAnsi="Impact" w:cs="Impact"/>
      <w:noProof/>
      <w:sz w:val="22"/>
      <w:szCs w:val="22"/>
      <w:u w:val="none"/>
    </w:rPr>
  </w:style>
  <w:style w:type="character" w:customStyle="1" w:styleId="Resimyazs300">
    <w:name w:val="Resim yazısı (30)_"/>
    <w:link w:val="Resimyazs301"/>
    <w:uiPriority w:val="99"/>
    <w:locked/>
    <w:rPr>
      <w:rFonts w:ascii="Arial" w:hAnsi="Arial" w:cs="Arial"/>
      <w:b/>
      <w:bCs/>
      <w:spacing w:val="-10"/>
      <w:sz w:val="18"/>
      <w:szCs w:val="18"/>
      <w:u w:val="none"/>
    </w:rPr>
  </w:style>
  <w:style w:type="character" w:customStyle="1" w:styleId="Resimyazs302">
    <w:name w:val="Resim yazısı (30)"/>
    <w:uiPriority w:val="99"/>
  </w:style>
  <w:style w:type="character" w:customStyle="1" w:styleId="Resimyazs308pt">
    <w:name w:val="Resim yazısı (30) + 8 pt"/>
    <w:aliases w:val="0 pt boşluk bırakılıyor23"/>
    <w:uiPriority w:val="99"/>
    <w:rPr>
      <w:rFonts w:ascii="Arial" w:hAnsi="Arial" w:cs="Arial"/>
      <w:b/>
      <w:bCs/>
      <w:spacing w:val="0"/>
      <w:sz w:val="16"/>
      <w:szCs w:val="16"/>
      <w:u w:val="none"/>
    </w:rPr>
  </w:style>
  <w:style w:type="character" w:customStyle="1" w:styleId="Resimyazs308pt1">
    <w:name w:val="Resim yazısı (30) + 8 pt1"/>
    <w:aliases w:val="0 pt boşluk bırakılıyor22"/>
    <w:uiPriority w:val="99"/>
    <w:rPr>
      <w:rFonts w:ascii="Arial" w:hAnsi="Arial" w:cs="Arial"/>
      <w:b/>
      <w:bCs/>
      <w:spacing w:val="0"/>
      <w:sz w:val="16"/>
      <w:szCs w:val="16"/>
      <w:u w:val="none"/>
    </w:rPr>
  </w:style>
  <w:style w:type="character" w:customStyle="1" w:styleId="Resimyazs3020">
    <w:name w:val="Resim yazısı (30)2"/>
    <w:uiPriority w:val="99"/>
  </w:style>
  <w:style w:type="character" w:customStyle="1" w:styleId="GvdemetniCorbel1">
    <w:name w:val="Gövde metni + Corbel1"/>
    <w:aliases w:val="7 pt2"/>
    <w:uiPriority w:val="99"/>
    <w:rPr>
      <w:rFonts w:ascii="Corbel" w:hAnsi="Corbel" w:cs="Corbel"/>
      <w:sz w:val="14"/>
      <w:szCs w:val="14"/>
      <w:u w:val="none"/>
    </w:rPr>
  </w:style>
  <w:style w:type="character" w:customStyle="1" w:styleId="Gvdemetnitalik6">
    <w:name w:val="Gövde metni + İtalik6"/>
    <w:uiPriority w:val="99"/>
    <w:rPr>
      <w:rFonts w:ascii="Times New Roman" w:hAnsi="Times New Roman" w:cs="Times New Roman"/>
      <w:i/>
      <w:iCs/>
      <w:sz w:val="21"/>
      <w:szCs w:val="21"/>
      <w:u w:val="none"/>
    </w:rPr>
  </w:style>
  <w:style w:type="character" w:customStyle="1" w:styleId="Gvdemetni85">
    <w:name w:val="Gövde metni + 85"/>
    <w:aliases w:val="5 pt67,İtalik39"/>
    <w:uiPriority w:val="99"/>
    <w:rPr>
      <w:rFonts w:ascii="Times New Roman" w:hAnsi="Times New Roman" w:cs="Times New Roman"/>
      <w:i/>
      <w:iCs/>
      <w:sz w:val="17"/>
      <w:szCs w:val="17"/>
      <w:u w:val="none"/>
    </w:rPr>
  </w:style>
  <w:style w:type="character" w:customStyle="1" w:styleId="Resimyazs288">
    <w:name w:val="Resim yazısı (28) + 8"/>
    <w:aliases w:val="5 pt66,İtalik38"/>
    <w:uiPriority w:val="99"/>
    <w:rPr>
      <w:rFonts w:ascii="Times New Roman" w:hAnsi="Times New Roman" w:cs="Times New Roman"/>
      <w:i/>
      <w:iCs/>
      <w:sz w:val="17"/>
      <w:szCs w:val="17"/>
      <w:u w:val="none"/>
    </w:rPr>
  </w:style>
  <w:style w:type="character" w:customStyle="1" w:styleId="Resimyazs2810pt">
    <w:name w:val="Resim yazısı (28) + 10 pt"/>
    <w:uiPriority w:val="99"/>
    <w:rPr>
      <w:rFonts w:ascii="Times New Roman" w:hAnsi="Times New Roman" w:cs="Times New Roman"/>
      <w:noProof/>
      <w:sz w:val="20"/>
      <w:szCs w:val="20"/>
      <w:u w:val="none"/>
    </w:rPr>
  </w:style>
  <w:style w:type="character" w:customStyle="1" w:styleId="Resimyazs2810pt4">
    <w:name w:val="Resim yazısı (28) + 10 pt4"/>
    <w:uiPriority w:val="99"/>
    <w:rPr>
      <w:rFonts w:ascii="Times New Roman" w:hAnsi="Times New Roman" w:cs="Times New Roman"/>
      <w:sz w:val="20"/>
      <w:szCs w:val="20"/>
      <w:u w:val="single"/>
    </w:rPr>
  </w:style>
  <w:style w:type="character" w:customStyle="1" w:styleId="Gvdemetni7pt2">
    <w:name w:val="Gövde metni + 7 pt2"/>
    <w:uiPriority w:val="99"/>
    <w:rPr>
      <w:rFonts w:ascii="Times New Roman" w:hAnsi="Times New Roman" w:cs="Times New Roman"/>
      <w:noProof/>
      <w:sz w:val="14"/>
      <w:szCs w:val="14"/>
      <w:u w:val="none"/>
    </w:rPr>
  </w:style>
  <w:style w:type="character" w:customStyle="1" w:styleId="Gvdemetnitalik5">
    <w:name w:val="Gövde metni + İtalik5"/>
    <w:uiPriority w:val="99"/>
    <w:rPr>
      <w:rFonts w:ascii="Times New Roman" w:hAnsi="Times New Roman" w:cs="Times New Roman"/>
      <w:i/>
      <w:iCs/>
      <w:sz w:val="21"/>
      <w:szCs w:val="21"/>
      <w:u w:val="none"/>
    </w:rPr>
  </w:style>
  <w:style w:type="character" w:customStyle="1" w:styleId="Resimyazs31Exact">
    <w:name w:val="Resim yazısı (31) Exact"/>
    <w:link w:val="Resimyazs310"/>
    <w:uiPriority w:val="99"/>
    <w:locked/>
    <w:rPr>
      <w:rFonts w:ascii="Times New Roman" w:hAnsi="Times New Roman" w:cs="Times New Roman"/>
      <w:b/>
      <w:bCs/>
      <w:spacing w:val="-4"/>
      <w:sz w:val="18"/>
      <w:szCs w:val="18"/>
      <w:u w:val="none"/>
    </w:rPr>
  </w:style>
  <w:style w:type="character" w:customStyle="1" w:styleId="Resimyazs31Exact1">
    <w:name w:val="Resim yazısı (31) Exact1"/>
    <w:uiPriority w:val="99"/>
  </w:style>
  <w:style w:type="character" w:customStyle="1" w:styleId="Resimyazs8pt">
    <w:name w:val="Resim yazısı + 8 pt"/>
    <w:aliases w:val="İtalik37,0 pt boşluk bırakılıyor Exact14"/>
    <w:uiPriority w:val="99"/>
    <w:rPr>
      <w:rFonts w:ascii="Times New Roman" w:hAnsi="Times New Roman" w:cs="Times New Roman"/>
      <w:i/>
      <w:iCs/>
      <w:spacing w:val="-16"/>
      <w:sz w:val="16"/>
      <w:szCs w:val="16"/>
      <w:u w:val="none"/>
    </w:rPr>
  </w:style>
  <w:style w:type="character" w:customStyle="1" w:styleId="Resimyazs8pt3">
    <w:name w:val="Resim yazısı + 8 pt3"/>
    <w:aliases w:val="İtalik36,0 pt boşluk bırakılıyor Exact13"/>
    <w:uiPriority w:val="99"/>
    <w:rPr>
      <w:rFonts w:ascii="Times New Roman" w:hAnsi="Times New Roman" w:cs="Times New Roman"/>
      <w:i/>
      <w:iCs/>
      <w:noProof/>
      <w:spacing w:val="-16"/>
      <w:sz w:val="16"/>
      <w:szCs w:val="16"/>
      <w:u w:val="single"/>
    </w:rPr>
  </w:style>
  <w:style w:type="character" w:customStyle="1" w:styleId="Resimyazs8pt2">
    <w:name w:val="Resim yazısı + 8 pt2"/>
    <w:aliases w:val="Kalın32,0 pt boşluk bırakılıyor Exact12"/>
    <w:uiPriority w:val="99"/>
    <w:rPr>
      <w:rFonts w:ascii="Times New Roman" w:hAnsi="Times New Roman" w:cs="Times New Roman"/>
      <w:b/>
      <w:bCs/>
      <w:sz w:val="16"/>
      <w:szCs w:val="16"/>
      <w:u w:val="single"/>
    </w:rPr>
  </w:style>
  <w:style w:type="character" w:customStyle="1" w:styleId="Resimyazs8pt1">
    <w:name w:val="Resim yazısı + 8 pt1"/>
    <w:aliases w:val="Kalın31,0 pt boşluk bırakılıyor Exact11"/>
    <w:uiPriority w:val="99"/>
    <w:rPr>
      <w:rFonts w:ascii="Times New Roman" w:hAnsi="Times New Roman" w:cs="Times New Roman"/>
      <w:b/>
      <w:bCs/>
      <w:noProof/>
      <w:sz w:val="16"/>
      <w:szCs w:val="16"/>
      <w:u w:val="none"/>
    </w:rPr>
  </w:style>
  <w:style w:type="character" w:customStyle="1" w:styleId="Gvdemetni15Exact">
    <w:name w:val="Gövde metni (15) Exact"/>
    <w:uiPriority w:val="99"/>
    <w:rPr>
      <w:rFonts w:ascii="Times New Roman" w:hAnsi="Times New Roman" w:cs="Times New Roman"/>
      <w:spacing w:val="7"/>
      <w:sz w:val="18"/>
      <w:szCs w:val="18"/>
      <w:u w:val="none"/>
    </w:rPr>
  </w:style>
  <w:style w:type="character" w:customStyle="1" w:styleId="Gvdemetni15Kaln">
    <w:name w:val="Gövde metni (15) + Kalın"/>
    <w:aliases w:val="0 pt boşluk bırakılıyor Exact10"/>
    <w:uiPriority w:val="99"/>
    <w:rPr>
      <w:rFonts w:ascii="Times New Roman" w:hAnsi="Times New Roman" w:cs="Times New Roman"/>
      <w:b/>
      <w:bCs/>
      <w:spacing w:val="-4"/>
      <w:sz w:val="18"/>
      <w:szCs w:val="18"/>
      <w:u w:val="none"/>
    </w:rPr>
  </w:style>
  <w:style w:type="character" w:customStyle="1" w:styleId="Gvdemetni34Exact">
    <w:name w:val="Gövde metni (34) Exact"/>
    <w:link w:val="Gvdemetni340"/>
    <w:uiPriority w:val="99"/>
    <w:locked/>
    <w:rPr>
      <w:rFonts w:ascii="Times New Roman" w:hAnsi="Times New Roman" w:cs="Times New Roman"/>
      <w:b/>
      <w:bCs/>
      <w:sz w:val="16"/>
      <w:szCs w:val="16"/>
      <w:u w:val="none"/>
    </w:rPr>
  </w:style>
  <w:style w:type="character" w:customStyle="1" w:styleId="Gvdemetni34Exact1">
    <w:name w:val="Gövde metni (34) Exact1"/>
    <w:uiPriority w:val="99"/>
  </w:style>
  <w:style w:type="character" w:customStyle="1" w:styleId="Resimyazs320">
    <w:name w:val="Resim yazısı (32)_"/>
    <w:link w:val="Resimyazs321"/>
    <w:uiPriority w:val="99"/>
    <w:locked/>
    <w:rPr>
      <w:rFonts w:ascii="Times New Roman" w:hAnsi="Times New Roman" w:cs="Times New Roman"/>
      <w:b/>
      <w:bCs/>
      <w:sz w:val="15"/>
      <w:szCs w:val="15"/>
      <w:u w:val="none"/>
    </w:rPr>
  </w:style>
  <w:style w:type="character" w:customStyle="1" w:styleId="Resimyazs229pt">
    <w:name w:val="Resim yazısı (22) + 9 pt"/>
    <w:uiPriority w:val="99"/>
    <w:rPr>
      <w:rFonts w:ascii="Times New Roman" w:hAnsi="Times New Roman" w:cs="Times New Roman"/>
      <w:b/>
      <w:bCs/>
      <w:sz w:val="18"/>
      <w:szCs w:val="18"/>
      <w:u w:val="none"/>
    </w:rPr>
  </w:style>
  <w:style w:type="character" w:customStyle="1" w:styleId="Resimyazs330">
    <w:name w:val="Resim yazısı (33)_"/>
    <w:link w:val="Resimyazs331"/>
    <w:uiPriority w:val="99"/>
    <w:locked/>
    <w:rPr>
      <w:rFonts w:ascii="Times New Roman" w:hAnsi="Times New Roman" w:cs="Times New Roman"/>
      <w:b/>
      <w:bCs/>
      <w:sz w:val="16"/>
      <w:szCs w:val="16"/>
      <w:u w:val="none"/>
    </w:rPr>
  </w:style>
  <w:style w:type="character" w:customStyle="1" w:styleId="Gvdemetni58">
    <w:name w:val="Gövde metni (5) + 8"/>
    <w:aliases w:val="5 pt65,İtalik35"/>
    <w:uiPriority w:val="99"/>
    <w:rPr>
      <w:rFonts w:ascii="Times New Roman" w:hAnsi="Times New Roman" w:cs="Times New Roman"/>
      <w:i/>
      <w:iCs/>
      <w:sz w:val="17"/>
      <w:szCs w:val="17"/>
      <w:u w:val="none"/>
    </w:rPr>
  </w:style>
  <w:style w:type="character" w:customStyle="1" w:styleId="Gvdemetni583">
    <w:name w:val="Gövde metni (5) + 83"/>
    <w:aliases w:val="5 pt64,İtalik34"/>
    <w:uiPriority w:val="99"/>
    <w:rPr>
      <w:rFonts w:ascii="Times New Roman" w:hAnsi="Times New Roman" w:cs="Times New Roman"/>
      <w:i/>
      <w:iCs/>
      <w:noProof/>
      <w:sz w:val="17"/>
      <w:szCs w:val="17"/>
      <w:u w:val="single"/>
    </w:rPr>
  </w:style>
  <w:style w:type="character" w:customStyle="1" w:styleId="Gvdemetni510pt">
    <w:name w:val="Gövde metni (5) + 10 pt"/>
    <w:uiPriority w:val="99"/>
    <w:rPr>
      <w:rFonts w:ascii="Times New Roman" w:hAnsi="Times New Roman" w:cs="Times New Roman"/>
      <w:sz w:val="20"/>
      <w:szCs w:val="20"/>
      <w:u w:val="single"/>
    </w:rPr>
  </w:style>
  <w:style w:type="character" w:customStyle="1" w:styleId="Gvdemetni7102">
    <w:name w:val="Gövde metni (7) + 102"/>
    <w:aliases w:val="5 pt63,Kalın Değil13,İtalik33"/>
    <w:uiPriority w:val="99"/>
    <w:rPr>
      <w:rFonts w:ascii="Times New Roman" w:hAnsi="Times New Roman" w:cs="Times New Roman"/>
      <w:b w:val="0"/>
      <w:bCs w:val="0"/>
      <w:i/>
      <w:iCs/>
      <w:sz w:val="21"/>
      <w:szCs w:val="21"/>
      <w:u w:val="none"/>
    </w:rPr>
  </w:style>
  <w:style w:type="character" w:customStyle="1" w:styleId="Gvdemetni382">
    <w:name w:val="Gövde metni (3) + 82"/>
    <w:aliases w:val="5 pt62,Kalın Exact1"/>
    <w:uiPriority w:val="99"/>
    <w:rPr>
      <w:rFonts w:ascii="Times New Roman" w:hAnsi="Times New Roman" w:cs="Times New Roman"/>
      <w:b/>
      <w:bCs/>
      <w:sz w:val="17"/>
      <w:szCs w:val="17"/>
      <w:u w:val="none"/>
    </w:rPr>
  </w:style>
  <w:style w:type="character" w:customStyle="1" w:styleId="GvdemetniImpact5">
    <w:name w:val="Gövde metni + Impact5"/>
    <w:aliases w:val="12,5 pt61"/>
    <w:uiPriority w:val="99"/>
    <w:rPr>
      <w:rFonts w:ascii="Impact" w:hAnsi="Impact" w:cs="Impact"/>
      <w:sz w:val="25"/>
      <w:szCs w:val="25"/>
      <w:u w:val="none"/>
    </w:rPr>
  </w:style>
  <w:style w:type="character" w:customStyle="1" w:styleId="Resimyazs142">
    <w:name w:val="Resim yazısı (14)2"/>
    <w:uiPriority w:val="99"/>
  </w:style>
  <w:style w:type="character" w:customStyle="1" w:styleId="Gvdemetni3107">
    <w:name w:val="Gövde metni (3) + 107"/>
    <w:aliases w:val="5 pt60,İtalik32"/>
    <w:uiPriority w:val="99"/>
    <w:rPr>
      <w:rFonts w:ascii="Times New Roman" w:hAnsi="Times New Roman" w:cs="Times New Roman"/>
      <w:i/>
      <w:iCs/>
      <w:sz w:val="21"/>
      <w:szCs w:val="21"/>
      <w:u w:val="none"/>
    </w:rPr>
  </w:style>
  <w:style w:type="character" w:customStyle="1" w:styleId="Gvdemetni3106">
    <w:name w:val="Gövde metni (3) + 106"/>
    <w:aliases w:val="5 pt59,İtalik31"/>
    <w:uiPriority w:val="99"/>
    <w:rPr>
      <w:rFonts w:ascii="Times New Roman" w:hAnsi="Times New Roman" w:cs="Times New Roman"/>
      <w:i/>
      <w:iCs/>
      <w:noProof/>
      <w:sz w:val="21"/>
      <w:szCs w:val="21"/>
      <w:u w:val="single"/>
    </w:rPr>
  </w:style>
  <w:style w:type="character" w:customStyle="1" w:styleId="Gvdemetni3105">
    <w:name w:val="Gövde metni (3) + 105"/>
    <w:aliases w:val="5 pt58"/>
    <w:uiPriority w:val="99"/>
    <w:rPr>
      <w:rFonts w:ascii="Times New Roman" w:hAnsi="Times New Roman" w:cs="Times New Roman"/>
      <w:noProof/>
      <w:sz w:val="21"/>
      <w:szCs w:val="21"/>
      <w:u w:val="single"/>
    </w:rPr>
  </w:style>
  <w:style w:type="character" w:customStyle="1" w:styleId="Gvdemetni3104">
    <w:name w:val="Gövde metni (3) + 104"/>
    <w:aliases w:val="5 pt57"/>
    <w:uiPriority w:val="99"/>
    <w:rPr>
      <w:rFonts w:ascii="Times New Roman" w:hAnsi="Times New Roman" w:cs="Times New Roman"/>
      <w:sz w:val="21"/>
      <w:szCs w:val="21"/>
      <w:u w:val="single"/>
    </w:rPr>
  </w:style>
  <w:style w:type="character" w:customStyle="1" w:styleId="Gvdemetni3103">
    <w:name w:val="Gövde metni (3) + 103"/>
    <w:aliases w:val="5 pt56"/>
    <w:uiPriority w:val="99"/>
    <w:rPr>
      <w:rFonts w:ascii="Times New Roman" w:hAnsi="Times New Roman" w:cs="Times New Roman"/>
      <w:sz w:val="21"/>
      <w:szCs w:val="21"/>
      <w:u w:val="single"/>
    </w:rPr>
  </w:style>
  <w:style w:type="character" w:customStyle="1" w:styleId="Gvdemetni3102">
    <w:name w:val="Gövde metni (3) + 102"/>
    <w:aliases w:val="5 pt55"/>
    <w:uiPriority w:val="99"/>
    <w:rPr>
      <w:rFonts w:ascii="Times New Roman" w:hAnsi="Times New Roman" w:cs="Times New Roman"/>
      <w:sz w:val="21"/>
      <w:szCs w:val="21"/>
      <w:u w:val="single"/>
    </w:rPr>
  </w:style>
  <w:style w:type="character" w:customStyle="1" w:styleId="Gvdemetni3101">
    <w:name w:val="Gövde metni (3) + 101"/>
    <w:aliases w:val="5 pt54"/>
    <w:uiPriority w:val="99"/>
    <w:rPr>
      <w:rFonts w:ascii="Times New Roman" w:hAnsi="Times New Roman" w:cs="Times New Roman"/>
      <w:noProof/>
      <w:sz w:val="21"/>
      <w:szCs w:val="21"/>
      <w:u w:val="none"/>
    </w:rPr>
  </w:style>
  <w:style w:type="character" w:customStyle="1" w:styleId="stbilgiveyaaltbilgi3">
    <w:name w:val="Üst bilgi veya alt bilgi3"/>
    <w:uiPriority w:val="99"/>
  </w:style>
  <w:style w:type="character" w:customStyle="1" w:styleId="Gvdemetni115">
    <w:name w:val="Gövde metni11"/>
    <w:uiPriority w:val="99"/>
  </w:style>
  <w:style w:type="character" w:customStyle="1" w:styleId="Gvdemetni104">
    <w:name w:val="Gövde metni10"/>
    <w:uiPriority w:val="99"/>
  </w:style>
  <w:style w:type="character" w:customStyle="1" w:styleId="Gvdemetni92">
    <w:name w:val="Gövde metni9"/>
    <w:uiPriority w:val="99"/>
  </w:style>
  <w:style w:type="character" w:customStyle="1" w:styleId="Gvdemetnitalik4">
    <w:name w:val="Gövde metni + İtalik4"/>
    <w:uiPriority w:val="99"/>
    <w:rPr>
      <w:rFonts w:ascii="Times New Roman" w:hAnsi="Times New Roman" w:cs="Times New Roman"/>
      <w:i/>
      <w:iCs/>
      <w:sz w:val="21"/>
      <w:szCs w:val="21"/>
      <w:u w:val="none"/>
    </w:rPr>
  </w:style>
  <w:style w:type="character" w:customStyle="1" w:styleId="Gvdemetni7pt1">
    <w:name w:val="Gövde metni + 7 pt1"/>
    <w:aliases w:val="Kalın30"/>
    <w:uiPriority w:val="99"/>
    <w:rPr>
      <w:rFonts w:ascii="Times New Roman" w:hAnsi="Times New Roman" w:cs="Times New Roman"/>
      <w:b/>
      <w:bCs/>
      <w:noProof/>
      <w:sz w:val="14"/>
      <w:szCs w:val="14"/>
      <w:u w:val="none"/>
    </w:rPr>
  </w:style>
  <w:style w:type="character" w:customStyle="1" w:styleId="GvdemetniImpact4">
    <w:name w:val="Gövde metni + Impact4"/>
    <w:aliases w:val="20 pt,-2 pt boşluk bırakılıyor,200% ölçek"/>
    <w:uiPriority w:val="99"/>
    <w:rPr>
      <w:rFonts w:ascii="Impact" w:hAnsi="Impact" w:cs="Impact"/>
      <w:noProof/>
      <w:spacing w:val="-40"/>
      <w:w w:val="200"/>
      <w:sz w:val="40"/>
      <w:szCs w:val="40"/>
      <w:u w:val="none"/>
    </w:rPr>
  </w:style>
  <w:style w:type="character" w:customStyle="1" w:styleId="Gvdemetni4pt4">
    <w:name w:val="Gövde metni + 4 pt4"/>
    <w:uiPriority w:val="99"/>
    <w:rPr>
      <w:rFonts w:ascii="Times New Roman" w:hAnsi="Times New Roman" w:cs="Times New Roman"/>
      <w:sz w:val="8"/>
      <w:szCs w:val="8"/>
      <w:u w:val="none"/>
    </w:rPr>
  </w:style>
  <w:style w:type="character" w:customStyle="1" w:styleId="GvdemetniFranklinGothicMedium">
    <w:name w:val="Gövde metni + Franklin Gothic Medium"/>
    <w:aliases w:val="31,5 pt53,-4 pt boşluk bırakılıyor"/>
    <w:uiPriority w:val="99"/>
    <w:rPr>
      <w:rFonts w:ascii="Franklin Gothic Medium" w:hAnsi="Franklin Gothic Medium" w:cs="Franklin Gothic Medium"/>
      <w:spacing w:val="-90"/>
      <w:sz w:val="63"/>
      <w:szCs w:val="63"/>
      <w:u w:val="none"/>
    </w:rPr>
  </w:style>
  <w:style w:type="character" w:customStyle="1" w:styleId="GvdemetniImpact3">
    <w:name w:val="Gövde metni + Impact3"/>
    <w:aliases w:val="20 pt2,-2 pt boşluk bırakılıyor1,200% ölçek2"/>
    <w:uiPriority w:val="99"/>
    <w:rPr>
      <w:rFonts w:ascii="Impact" w:hAnsi="Impact" w:cs="Impact"/>
      <w:spacing w:val="-40"/>
      <w:w w:val="200"/>
      <w:sz w:val="40"/>
      <w:szCs w:val="40"/>
      <w:u w:val="none"/>
    </w:rPr>
  </w:style>
  <w:style w:type="character" w:customStyle="1" w:styleId="Gvdemetnitalik3">
    <w:name w:val="Gövde metni + İtalik3"/>
    <w:uiPriority w:val="99"/>
    <w:rPr>
      <w:rFonts w:ascii="Times New Roman" w:hAnsi="Times New Roman" w:cs="Times New Roman"/>
      <w:i/>
      <w:iCs/>
      <w:sz w:val="21"/>
      <w:szCs w:val="21"/>
      <w:u w:val="none"/>
    </w:rPr>
  </w:style>
  <w:style w:type="character" w:customStyle="1" w:styleId="Gvdemetni350">
    <w:name w:val="Gövde metni (35)_"/>
    <w:link w:val="Gvdemetni351"/>
    <w:uiPriority w:val="99"/>
    <w:locked/>
    <w:rPr>
      <w:rFonts w:ascii="Times New Roman" w:hAnsi="Times New Roman" w:cs="Times New Roman"/>
      <w:sz w:val="20"/>
      <w:szCs w:val="20"/>
      <w:u w:val="none"/>
    </w:rPr>
  </w:style>
  <w:style w:type="character" w:customStyle="1" w:styleId="Gvdemetni35Kaln">
    <w:name w:val="Gövde metni (35) + Kalın"/>
    <w:aliases w:val="-1 pt boşluk bırakılıyor1"/>
    <w:uiPriority w:val="99"/>
    <w:rPr>
      <w:rFonts w:ascii="Times New Roman" w:hAnsi="Times New Roman" w:cs="Times New Roman"/>
      <w:b/>
      <w:bCs/>
      <w:spacing w:val="-20"/>
      <w:sz w:val="20"/>
      <w:szCs w:val="20"/>
      <w:u w:val="none"/>
    </w:rPr>
  </w:style>
  <w:style w:type="character" w:customStyle="1" w:styleId="Gvdemetni352">
    <w:name w:val="Gövde metni (35)"/>
    <w:uiPriority w:val="99"/>
    <w:rPr>
      <w:rFonts w:ascii="Times New Roman" w:hAnsi="Times New Roman" w:cs="Times New Roman"/>
      <w:noProof/>
      <w:sz w:val="20"/>
      <w:szCs w:val="20"/>
      <w:u w:val="none"/>
    </w:rPr>
  </w:style>
  <w:style w:type="character" w:customStyle="1" w:styleId="Gvdemetni3520">
    <w:name w:val="Gövde metni (35)2"/>
    <w:uiPriority w:val="99"/>
    <w:rPr>
      <w:rFonts w:ascii="Times New Roman" w:hAnsi="Times New Roman" w:cs="Times New Roman"/>
      <w:noProof/>
      <w:sz w:val="20"/>
      <w:szCs w:val="20"/>
      <w:u w:val="none"/>
    </w:rPr>
  </w:style>
  <w:style w:type="character" w:customStyle="1" w:styleId="Gvdemetni360">
    <w:name w:val="Gövde metni (36)_"/>
    <w:link w:val="Gvdemetni361"/>
    <w:uiPriority w:val="99"/>
    <w:locked/>
    <w:rPr>
      <w:rFonts w:ascii="Arial" w:hAnsi="Arial" w:cs="Arial"/>
      <w:sz w:val="17"/>
      <w:szCs w:val="17"/>
      <w:u w:val="none"/>
    </w:rPr>
  </w:style>
  <w:style w:type="character" w:customStyle="1" w:styleId="Gvdemetni362">
    <w:name w:val="Gövde metni (36)"/>
    <w:uiPriority w:val="99"/>
  </w:style>
  <w:style w:type="character" w:customStyle="1" w:styleId="Gvdemetni39pt2">
    <w:name w:val="Gövde metni (3) + 9 pt2"/>
    <w:aliases w:val="Kalın29"/>
    <w:uiPriority w:val="99"/>
    <w:rPr>
      <w:rFonts w:ascii="Times New Roman" w:hAnsi="Times New Roman" w:cs="Times New Roman"/>
      <w:b/>
      <w:bCs/>
      <w:sz w:val="18"/>
      <w:szCs w:val="18"/>
      <w:u w:val="none"/>
    </w:rPr>
  </w:style>
  <w:style w:type="character" w:customStyle="1" w:styleId="Resimyazs34">
    <w:name w:val="Resim yazısı (34)_"/>
    <w:link w:val="Resimyazs341"/>
    <w:uiPriority w:val="99"/>
    <w:locked/>
    <w:rPr>
      <w:rFonts w:ascii="Times New Roman" w:hAnsi="Times New Roman" w:cs="Times New Roman"/>
      <w:i/>
      <w:iCs/>
      <w:sz w:val="21"/>
      <w:szCs w:val="21"/>
      <w:u w:val="none"/>
    </w:rPr>
  </w:style>
  <w:style w:type="character" w:customStyle="1" w:styleId="Resimyazs340">
    <w:name w:val="Resim yazısı (34)"/>
    <w:uiPriority w:val="99"/>
  </w:style>
  <w:style w:type="character" w:customStyle="1" w:styleId="Resimyazs342">
    <w:name w:val="Resim yazısı (34)2"/>
    <w:uiPriority w:val="99"/>
    <w:rPr>
      <w:rFonts w:ascii="Times New Roman" w:hAnsi="Times New Roman" w:cs="Times New Roman"/>
      <w:i/>
      <w:iCs/>
      <w:sz w:val="21"/>
      <w:szCs w:val="21"/>
      <w:u w:val="single"/>
    </w:rPr>
  </w:style>
  <w:style w:type="character" w:customStyle="1" w:styleId="Resimyazs34talikdeil">
    <w:name w:val="Resim yazısı (34) + İtalik değil"/>
    <w:uiPriority w:val="99"/>
    <w:rPr>
      <w:rFonts w:ascii="Times New Roman" w:hAnsi="Times New Roman" w:cs="Times New Roman"/>
      <w:i w:val="0"/>
      <w:iCs w:val="0"/>
      <w:sz w:val="21"/>
      <w:szCs w:val="21"/>
      <w:u w:val="single"/>
    </w:rPr>
  </w:style>
  <w:style w:type="character" w:customStyle="1" w:styleId="Resimyazs34talikdeil1">
    <w:name w:val="Resim yazısı (34) + İtalik değil1"/>
    <w:uiPriority w:val="99"/>
    <w:rPr>
      <w:rFonts w:ascii="Times New Roman" w:hAnsi="Times New Roman" w:cs="Times New Roman"/>
      <w:i w:val="0"/>
      <w:iCs w:val="0"/>
      <w:noProof/>
      <w:sz w:val="21"/>
      <w:szCs w:val="21"/>
      <w:u w:val="single"/>
    </w:rPr>
  </w:style>
  <w:style w:type="character" w:customStyle="1" w:styleId="Resimyazs35">
    <w:name w:val="Resim yazısı (35)_"/>
    <w:link w:val="Resimyazs351"/>
    <w:uiPriority w:val="99"/>
    <w:locked/>
    <w:rPr>
      <w:rFonts w:ascii="Times New Roman" w:hAnsi="Times New Roman" w:cs="Times New Roman"/>
      <w:sz w:val="16"/>
      <w:szCs w:val="16"/>
      <w:u w:val="none"/>
    </w:rPr>
  </w:style>
  <w:style w:type="character" w:customStyle="1" w:styleId="Resimyazs358">
    <w:name w:val="Resim yazısı (35) + 8"/>
    <w:aliases w:val="5 pt52,İtalik30"/>
    <w:uiPriority w:val="99"/>
    <w:rPr>
      <w:rFonts w:ascii="Times New Roman" w:hAnsi="Times New Roman" w:cs="Times New Roman"/>
      <w:i/>
      <w:iCs/>
      <w:sz w:val="17"/>
      <w:szCs w:val="17"/>
      <w:u w:val="none"/>
    </w:rPr>
  </w:style>
  <w:style w:type="character" w:customStyle="1" w:styleId="Resimyazs350">
    <w:name w:val="Resim yazısı (35)"/>
    <w:uiPriority w:val="99"/>
    <w:rPr>
      <w:rFonts w:ascii="Times New Roman" w:hAnsi="Times New Roman" w:cs="Times New Roman"/>
      <w:noProof/>
      <w:sz w:val="16"/>
      <w:szCs w:val="16"/>
      <w:u w:val="none"/>
    </w:rPr>
  </w:style>
  <w:style w:type="character" w:customStyle="1" w:styleId="Resimyazs353">
    <w:name w:val="Resim yazısı (35)3"/>
    <w:uiPriority w:val="99"/>
    <w:rPr>
      <w:rFonts w:ascii="Times New Roman" w:hAnsi="Times New Roman" w:cs="Times New Roman"/>
      <w:sz w:val="16"/>
      <w:szCs w:val="16"/>
      <w:u w:val="single"/>
    </w:rPr>
  </w:style>
  <w:style w:type="character" w:customStyle="1" w:styleId="Resimyazs352">
    <w:name w:val="Resim yazısı (35)2"/>
    <w:uiPriority w:val="99"/>
    <w:rPr>
      <w:rFonts w:ascii="Times New Roman" w:hAnsi="Times New Roman" w:cs="Times New Roman"/>
      <w:sz w:val="16"/>
      <w:szCs w:val="16"/>
      <w:u w:val="single"/>
    </w:rPr>
  </w:style>
  <w:style w:type="character" w:customStyle="1" w:styleId="Gvdemetni4pt3">
    <w:name w:val="Gövde metni + 4 pt3"/>
    <w:uiPriority w:val="99"/>
    <w:rPr>
      <w:rFonts w:ascii="Times New Roman" w:hAnsi="Times New Roman" w:cs="Times New Roman"/>
      <w:sz w:val="8"/>
      <w:szCs w:val="8"/>
      <w:u w:val="none"/>
    </w:rPr>
  </w:style>
  <w:style w:type="character" w:customStyle="1" w:styleId="Gvdemetnitalik2">
    <w:name w:val="Gövde metni + İtalik2"/>
    <w:uiPriority w:val="99"/>
    <w:rPr>
      <w:rFonts w:ascii="Times New Roman" w:hAnsi="Times New Roman" w:cs="Times New Roman"/>
      <w:i/>
      <w:iCs/>
      <w:noProof/>
      <w:sz w:val="21"/>
      <w:szCs w:val="21"/>
      <w:u w:val="single"/>
    </w:rPr>
  </w:style>
  <w:style w:type="character" w:customStyle="1" w:styleId="Gvdemetni2020">
    <w:name w:val="Gövde metni (20)2"/>
    <w:uiPriority w:val="99"/>
  </w:style>
  <w:style w:type="character" w:customStyle="1" w:styleId="stbilgiveyaaltbilgi10">
    <w:name w:val="Üst bilgi veya alt bilgi + 10"/>
    <w:aliases w:val="5 pt51,Kalın Değil12,İtalik29"/>
    <w:uiPriority w:val="99"/>
    <w:rPr>
      <w:rFonts w:ascii="Times New Roman" w:hAnsi="Times New Roman" w:cs="Times New Roman"/>
      <w:b w:val="0"/>
      <w:bCs w:val="0"/>
      <w:i/>
      <w:iCs/>
      <w:sz w:val="21"/>
      <w:szCs w:val="21"/>
      <w:u w:val="none"/>
    </w:rPr>
  </w:style>
  <w:style w:type="character" w:customStyle="1" w:styleId="Gvdemetni510pt11">
    <w:name w:val="Gövde metni (5) + 10 pt11"/>
    <w:uiPriority w:val="99"/>
    <w:rPr>
      <w:rFonts w:ascii="Times New Roman" w:hAnsi="Times New Roman" w:cs="Times New Roman"/>
      <w:sz w:val="20"/>
      <w:szCs w:val="20"/>
      <w:u w:val="none"/>
    </w:rPr>
  </w:style>
  <w:style w:type="character" w:customStyle="1" w:styleId="Gvdemetni510pt10">
    <w:name w:val="Gövde metni (5) + 10 pt10"/>
    <w:aliases w:val="Kalın28"/>
    <w:uiPriority w:val="99"/>
    <w:rPr>
      <w:rFonts w:ascii="Times New Roman" w:hAnsi="Times New Roman" w:cs="Times New Roman"/>
      <w:b/>
      <w:bCs/>
      <w:sz w:val="20"/>
      <w:szCs w:val="20"/>
      <w:u w:val="none"/>
    </w:rPr>
  </w:style>
  <w:style w:type="character" w:customStyle="1" w:styleId="Gvdemetni510pt9">
    <w:name w:val="Gövde metni (5) + 10 pt9"/>
    <w:uiPriority w:val="99"/>
    <w:rPr>
      <w:rFonts w:ascii="Times New Roman" w:hAnsi="Times New Roman" w:cs="Times New Roman"/>
      <w:sz w:val="20"/>
      <w:szCs w:val="20"/>
      <w:u w:val="single"/>
    </w:rPr>
  </w:style>
  <w:style w:type="character" w:customStyle="1" w:styleId="Balk211pt">
    <w:name w:val="Başlık #2 + 11 pt"/>
    <w:uiPriority w:val="99"/>
    <w:rPr>
      <w:rFonts w:ascii="Arial" w:hAnsi="Arial" w:cs="Arial"/>
      <w:b/>
      <w:bCs/>
      <w:sz w:val="22"/>
      <w:szCs w:val="22"/>
      <w:u w:val="none"/>
    </w:rPr>
  </w:style>
  <w:style w:type="character" w:customStyle="1" w:styleId="Gvdemetni56pt2">
    <w:name w:val="Gövde metni (5) + 6 pt2"/>
    <w:uiPriority w:val="99"/>
    <w:rPr>
      <w:rFonts w:ascii="Times New Roman" w:hAnsi="Times New Roman" w:cs="Times New Roman"/>
      <w:noProof/>
      <w:sz w:val="12"/>
      <w:szCs w:val="12"/>
      <w:u w:val="none"/>
    </w:rPr>
  </w:style>
  <w:style w:type="character" w:customStyle="1" w:styleId="Gvdemetni37">
    <w:name w:val="Gövde metni (37)_"/>
    <w:link w:val="Gvdemetni371"/>
    <w:uiPriority w:val="99"/>
    <w:locked/>
    <w:rPr>
      <w:rFonts w:ascii="Times New Roman" w:hAnsi="Times New Roman" w:cs="Times New Roman"/>
      <w:b/>
      <w:bCs/>
      <w:sz w:val="13"/>
      <w:szCs w:val="13"/>
      <w:u w:val="none"/>
    </w:rPr>
  </w:style>
  <w:style w:type="character" w:customStyle="1" w:styleId="Gvdemetni370">
    <w:name w:val="Gövde metni (37)"/>
    <w:uiPriority w:val="99"/>
  </w:style>
  <w:style w:type="character" w:customStyle="1" w:styleId="Gvdemetni1193">
    <w:name w:val="Gövde metni (11) + 93"/>
    <w:aliases w:val="5 pt50"/>
    <w:uiPriority w:val="99"/>
    <w:rPr>
      <w:rFonts w:ascii="Times New Roman" w:hAnsi="Times New Roman" w:cs="Times New Roman"/>
      <w:sz w:val="19"/>
      <w:szCs w:val="19"/>
      <w:u w:val="none"/>
    </w:rPr>
  </w:style>
  <w:style w:type="character" w:customStyle="1" w:styleId="Gvdemetni1192">
    <w:name w:val="Gövde metni (11) + 92"/>
    <w:aliases w:val="5 pt49"/>
    <w:uiPriority w:val="99"/>
    <w:rPr>
      <w:rFonts w:ascii="Times New Roman" w:hAnsi="Times New Roman" w:cs="Times New Roman"/>
      <w:sz w:val="19"/>
      <w:szCs w:val="19"/>
      <w:u w:val="single"/>
    </w:rPr>
  </w:style>
  <w:style w:type="character" w:customStyle="1" w:styleId="Gvdemetni1183">
    <w:name w:val="Gövde metni (11) + 83"/>
    <w:aliases w:val="5 pt48,İtalik28"/>
    <w:uiPriority w:val="99"/>
    <w:rPr>
      <w:rFonts w:ascii="Times New Roman" w:hAnsi="Times New Roman" w:cs="Times New Roman"/>
      <w:i/>
      <w:iCs/>
      <w:noProof/>
      <w:sz w:val="17"/>
      <w:szCs w:val="17"/>
      <w:u w:val="single"/>
    </w:rPr>
  </w:style>
  <w:style w:type="character" w:customStyle="1" w:styleId="Gvdemetni4Arial2">
    <w:name w:val="Gövde metni (4) + Arial2"/>
    <w:aliases w:val="Kalın27,0 pt boşluk bırakılıyor21"/>
    <w:uiPriority w:val="99"/>
    <w:rPr>
      <w:rFonts w:ascii="Arial" w:hAnsi="Arial" w:cs="Arial"/>
      <w:b/>
      <w:bCs/>
      <w:spacing w:val="0"/>
      <w:sz w:val="27"/>
      <w:szCs w:val="27"/>
      <w:u w:val="none"/>
    </w:rPr>
  </w:style>
  <w:style w:type="character" w:customStyle="1" w:styleId="Gvdemetni5Exact">
    <w:name w:val="Gövde metni (5) Exact"/>
    <w:uiPriority w:val="99"/>
    <w:rPr>
      <w:rFonts w:ascii="Times New Roman" w:hAnsi="Times New Roman" w:cs="Times New Roman"/>
      <w:spacing w:val="5"/>
      <w:sz w:val="20"/>
      <w:szCs w:val="20"/>
      <w:u w:val="none"/>
    </w:rPr>
  </w:style>
  <w:style w:type="character" w:customStyle="1" w:styleId="Gvdemetni591">
    <w:name w:val="Gövde metni (5) + 91"/>
    <w:aliases w:val="5 pt47,0 pt boşluk bırakılıyor Exact9"/>
    <w:uiPriority w:val="99"/>
    <w:rPr>
      <w:rFonts w:ascii="Times New Roman" w:hAnsi="Times New Roman" w:cs="Times New Roman"/>
      <w:spacing w:val="1"/>
      <w:sz w:val="19"/>
      <w:szCs w:val="19"/>
      <w:u w:val="none"/>
    </w:rPr>
  </w:style>
  <w:style w:type="character" w:customStyle="1" w:styleId="Gvdemetni39Exact">
    <w:name w:val="Gövde metni (39) Exact"/>
    <w:link w:val="Gvdemetni39"/>
    <w:uiPriority w:val="99"/>
    <w:locked/>
    <w:rPr>
      <w:rFonts w:ascii="Constantia" w:hAnsi="Constantia" w:cs="Constantia"/>
      <w:sz w:val="27"/>
      <w:szCs w:val="27"/>
      <w:u w:val="none"/>
    </w:rPr>
  </w:style>
  <w:style w:type="character" w:customStyle="1" w:styleId="Gvdemetni39Exact3">
    <w:name w:val="Gövde metni (39) Exact3"/>
    <w:uiPriority w:val="99"/>
    <w:rPr>
      <w:rFonts w:ascii="Constantia" w:hAnsi="Constantia" w:cs="Constantia"/>
      <w:color w:val="FFFFFF"/>
      <w:sz w:val="27"/>
      <w:szCs w:val="27"/>
      <w:u w:val="none"/>
    </w:rPr>
  </w:style>
  <w:style w:type="character" w:customStyle="1" w:styleId="Gvdemetni39TimesNewRoman">
    <w:name w:val="Gövde metni (39) + Times New Roman"/>
    <w:aliases w:val="13 pt4,Kalın26,İtalik27,0 pt boşluk bırakılıyor Exact8"/>
    <w:uiPriority w:val="99"/>
    <w:rPr>
      <w:rFonts w:ascii="Times New Roman" w:hAnsi="Times New Roman" w:cs="Times New Roman"/>
      <w:b/>
      <w:bCs/>
      <w:i/>
      <w:iCs/>
      <w:color w:val="FFFFFF"/>
      <w:spacing w:val="-15"/>
      <w:sz w:val="26"/>
      <w:szCs w:val="26"/>
      <w:u w:val="none"/>
    </w:rPr>
  </w:style>
  <w:style w:type="character" w:customStyle="1" w:styleId="Gvdemetni39Exact2">
    <w:name w:val="Gövde metni (39) Exact2"/>
    <w:uiPriority w:val="99"/>
    <w:rPr>
      <w:rFonts w:ascii="Constantia" w:hAnsi="Constantia" w:cs="Constantia"/>
      <w:noProof/>
      <w:color w:val="FFFFFF"/>
      <w:sz w:val="27"/>
      <w:szCs w:val="27"/>
      <w:u w:val="none"/>
    </w:rPr>
  </w:style>
  <w:style w:type="character" w:customStyle="1" w:styleId="Gvdemetni39Exact1">
    <w:name w:val="Gövde metni (39) Exact1"/>
    <w:uiPriority w:val="99"/>
    <w:rPr>
      <w:rFonts w:ascii="Constantia" w:hAnsi="Constantia" w:cs="Constantia"/>
      <w:color w:val="FFFFFF"/>
      <w:sz w:val="27"/>
      <w:szCs w:val="27"/>
      <w:u w:val="none"/>
    </w:rPr>
  </w:style>
  <w:style w:type="character" w:customStyle="1" w:styleId="Gvdemetni40Exact">
    <w:name w:val="Gövde metni (40) Exact"/>
    <w:link w:val="Gvdemetni400"/>
    <w:uiPriority w:val="99"/>
    <w:locked/>
    <w:rPr>
      <w:rFonts w:ascii="Times New Roman" w:hAnsi="Times New Roman" w:cs="Times New Roman"/>
      <w:noProof/>
      <w:sz w:val="20"/>
      <w:szCs w:val="20"/>
      <w:u w:val="none"/>
    </w:rPr>
  </w:style>
  <w:style w:type="character" w:customStyle="1" w:styleId="Gvdemetni40Exact1">
    <w:name w:val="Gövde metni (40) Exact1"/>
    <w:uiPriority w:val="99"/>
    <w:rPr>
      <w:rFonts w:ascii="Times New Roman" w:hAnsi="Times New Roman" w:cs="Times New Roman"/>
      <w:noProof/>
      <w:color w:val="FFFFFF"/>
      <w:sz w:val="20"/>
      <w:szCs w:val="20"/>
      <w:u w:val="none"/>
    </w:rPr>
  </w:style>
  <w:style w:type="character" w:customStyle="1" w:styleId="Gvdemetni380">
    <w:name w:val="Gövde metni (38)_"/>
    <w:link w:val="Gvdemetni381"/>
    <w:uiPriority w:val="99"/>
    <w:locked/>
    <w:rPr>
      <w:rFonts w:ascii="Times New Roman" w:hAnsi="Times New Roman" w:cs="Times New Roman"/>
      <w:b/>
      <w:bCs/>
      <w:noProof/>
      <w:w w:val="250"/>
      <w:sz w:val="140"/>
      <w:szCs w:val="140"/>
      <w:u w:val="none"/>
    </w:rPr>
  </w:style>
  <w:style w:type="character" w:customStyle="1" w:styleId="Gvdemetni388">
    <w:name w:val="Gövde metni (38)"/>
    <w:uiPriority w:val="99"/>
    <w:rPr>
      <w:rFonts w:ascii="Times New Roman" w:hAnsi="Times New Roman" w:cs="Times New Roman"/>
      <w:b/>
      <w:bCs/>
      <w:noProof/>
      <w:color w:val="FFFFFF"/>
      <w:w w:val="250"/>
      <w:sz w:val="140"/>
      <w:szCs w:val="140"/>
      <w:u w:val="none"/>
    </w:rPr>
  </w:style>
  <w:style w:type="character" w:customStyle="1" w:styleId="Gvdemetni582">
    <w:name w:val="Gövde metni (5) + 82"/>
    <w:aliases w:val="5 pt46,İtalik26"/>
    <w:uiPriority w:val="99"/>
    <w:rPr>
      <w:rFonts w:ascii="Times New Roman" w:hAnsi="Times New Roman" w:cs="Times New Roman"/>
      <w:i/>
      <w:iCs/>
      <w:sz w:val="17"/>
      <w:szCs w:val="17"/>
      <w:u w:val="none"/>
    </w:rPr>
  </w:style>
  <w:style w:type="character" w:customStyle="1" w:styleId="Resimyazs2810pt3">
    <w:name w:val="Resim yazısı (28) + 10 pt3"/>
    <w:uiPriority w:val="99"/>
    <w:rPr>
      <w:rFonts w:ascii="Times New Roman" w:hAnsi="Times New Roman" w:cs="Times New Roman"/>
      <w:sz w:val="20"/>
      <w:szCs w:val="20"/>
      <w:u w:val="none"/>
    </w:rPr>
  </w:style>
  <w:style w:type="character" w:customStyle="1" w:styleId="Resimyazs2881">
    <w:name w:val="Resim yazısı (28) + 81"/>
    <w:aliases w:val="5 pt45,İtalik25"/>
    <w:uiPriority w:val="99"/>
    <w:rPr>
      <w:rFonts w:ascii="Times New Roman" w:hAnsi="Times New Roman" w:cs="Times New Roman"/>
      <w:i/>
      <w:iCs/>
      <w:sz w:val="17"/>
      <w:szCs w:val="17"/>
      <w:u w:val="none"/>
    </w:rPr>
  </w:style>
  <w:style w:type="character" w:customStyle="1" w:styleId="Resimyazs2810pt2">
    <w:name w:val="Resim yazısı (28) + 10 pt2"/>
    <w:uiPriority w:val="99"/>
    <w:rPr>
      <w:rFonts w:ascii="Times New Roman" w:hAnsi="Times New Roman" w:cs="Times New Roman"/>
      <w:sz w:val="20"/>
      <w:szCs w:val="20"/>
      <w:u w:val="single"/>
    </w:rPr>
  </w:style>
  <w:style w:type="character" w:customStyle="1" w:styleId="Gvdemetni3011pt">
    <w:name w:val="Gövde metni (30) + 11 pt"/>
    <w:uiPriority w:val="99"/>
    <w:rPr>
      <w:rFonts w:ascii="Arial" w:hAnsi="Arial" w:cs="Arial"/>
      <w:b/>
      <w:bCs/>
      <w:sz w:val="22"/>
      <w:szCs w:val="22"/>
      <w:u w:val="none"/>
    </w:rPr>
  </w:style>
  <w:style w:type="character" w:customStyle="1" w:styleId="Gvdemetni190ptbolukbraklyorExact">
    <w:name w:val="Gövde metni (19) + 0 pt boşluk bırakılıyor Exact"/>
    <w:uiPriority w:val="99"/>
    <w:rPr>
      <w:rFonts w:ascii="Arial" w:hAnsi="Arial" w:cs="Arial"/>
      <w:b/>
      <w:bCs/>
      <w:spacing w:val="1"/>
      <w:sz w:val="18"/>
      <w:szCs w:val="18"/>
      <w:u w:val="none"/>
    </w:rPr>
  </w:style>
  <w:style w:type="character" w:customStyle="1" w:styleId="Gvdemetni30Exact">
    <w:name w:val="Gövde metni (30) Exact"/>
    <w:uiPriority w:val="99"/>
    <w:rPr>
      <w:rFonts w:ascii="Arial" w:hAnsi="Arial" w:cs="Arial"/>
      <w:b/>
      <w:bCs/>
      <w:spacing w:val="3"/>
      <w:sz w:val="21"/>
      <w:szCs w:val="21"/>
      <w:u w:val="none"/>
    </w:rPr>
  </w:style>
  <w:style w:type="character" w:customStyle="1" w:styleId="Gvdemetni300ptbolukbraklyorExact">
    <w:name w:val="Gövde metni (30) + 0 pt boşluk bırakılıyor Exact"/>
    <w:uiPriority w:val="99"/>
    <w:rPr>
      <w:rFonts w:ascii="Arial" w:hAnsi="Arial" w:cs="Arial"/>
      <w:b/>
      <w:bCs/>
      <w:spacing w:val="2"/>
      <w:sz w:val="21"/>
      <w:szCs w:val="21"/>
      <w:u w:val="none"/>
    </w:rPr>
  </w:style>
  <w:style w:type="character" w:customStyle="1" w:styleId="Gvdemetni192">
    <w:name w:val="Gövde metni (19)"/>
    <w:uiPriority w:val="99"/>
  </w:style>
  <w:style w:type="character" w:customStyle="1" w:styleId="Gvdemetni2Arial">
    <w:name w:val="Gövde metni (2) + Arial"/>
    <w:aliases w:val="94,5 pt44"/>
    <w:uiPriority w:val="99"/>
    <w:rPr>
      <w:rFonts w:ascii="Arial" w:hAnsi="Arial" w:cs="Arial"/>
      <w:b/>
      <w:bCs/>
      <w:sz w:val="19"/>
      <w:szCs w:val="19"/>
      <w:u w:val="none"/>
    </w:rPr>
  </w:style>
  <w:style w:type="character" w:customStyle="1" w:styleId="Gvdemetni25">
    <w:name w:val="Gövde metni (2)"/>
    <w:uiPriority w:val="99"/>
  </w:style>
  <w:style w:type="character" w:customStyle="1" w:styleId="Gvdemetni210pt">
    <w:name w:val="Gövde metni (2) + 10 pt"/>
    <w:aliases w:val="Kalın Değil11"/>
    <w:uiPriority w:val="99"/>
    <w:rPr>
      <w:rFonts w:ascii="Times New Roman" w:hAnsi="Times New Roman" w:cs="Times New Roman"/>
      <w:b w:val="0"/>
      <w:bCs w:val="0"/>
      <w:noProof/>
      <w:sz w:val="20"/>
      <w:szCs w:val="20"/>
      <w:u w:val="none"/>
    </w:rPr>
  </w:style>
  <w:style w:type="character" w:customStyle="1" w:styleId="Gvdemetni41Exact">
    <w:name w:val="Gövde metni (41) Exact"/>
    <w:link w:val="Gvdemetni41"/>
    <w:uiPriority w:val="99"/>
    <w:locked/>
    <w:rPr>
      <w:rFonts w:ascii="Franklin Gothic Heavy" w:hAnsi="Franklin Gothic Heavy" w:cs="Franklin Gothic Heavy"/>
      <w:noProof/>
      <w:sz w:val="62"/>
      <w:szCs w:val="62"/>
      <w:u w:val="none"/>
    </w:rPr>
  </w:style>
  <w:style w:type="character" w:customStyle="1" w:styleId="Tabloyazs4Exact">
    <w:name w:val="Tablo yazısı (4) Exact"/>
    <w:link w:val="Tabloyazs4"/>
    <w:uiPriority w:val="99"/>
    <w:locked/>
    <w:rPr>
      <w:rFonts w:ascii="Arial" w:hAnsi="Arial" w:cs="Arial"/>
      <w:b/>
      <w:bCs/>
      <w:spacing w:val="1"/>
      <w:sz w:val="18"/>
      <w:szCs w:val="18"/>
      <w:u w:val="none"/>
    </w:rPr>
  </w:style>
  <w:style w:type="character" w:customStyle="1" w:styleId="GvdemetniArial8">
    <w:name w:val="Gövde metni + Arial8"/>
    <w:aliases w:val="10,5 pt43,Kalın25"/>
    <w:uiPriority w:val="99"/>
    <w:rPr>
      <w:rFonts w:ascii="Arial" w:hAnsi="Arial" w:cs="Arial"/>
      <w:b/>
      <w:bCs/>
      <w:spacing w:val="2"/>
      <w:sz w:val="21"/>
      <w:szCs w:val="21"/>
      <w:u w:val="none"/>
    </w:rPr>
  </w:style>
  <w:style w:type="character" w:customStyle="1" w:styleId="Gvdemetni581">
    <w:name w:val="Gövde metni (5) + 81"/>
    <w:aliases w:val="5 pt42,İtalik24"/>
    <w:uiPriority w:val="99"/>
    <w:rPr>
      <w:rFonts w:ascii="Times New Roman" w:hAnsi="Times New Roman" w:cs="Times New Roman"/>
      <w:i/>
      <w:iCs/>
      <w:sz w:val="17"/>
      <w:szCs w:val="17"/>
      <w:u w:val="single"/>
    </w:rPr>
  </w:style>
  <w:style w:type="character" w:customStyle="1" w:styleId="Gvdemetni5pt4">
    <w:name w:val="Gövde metni + 5 pt4"/>
    <w:aliases w:val="İtalik23,0 pt boşluk bırakılıyor20"/>
    <w:uiPriority w:val="99"/>
    <w:rPr>
      <w:rFonts w:ascii="Times New Roman" w:hAnsi="Times New Roman" w:cs="Times New Roman"/>
      <w:i/>
      <w:iCs/>
      <w:spacing w:val="-4"/>
      <w:sz w:val="10"/>
      <w:szCs w:val="10"/>
      <w:u w:val="none"/>
    </w:rPr>
  </w:style>
  <w:style w:type="character" w:customStyle="1" w:styleId="GvdemetniArial7">
    <w:name w:val="Gövde metni + Arial7"/>
    <w:aliases w:val="4 pt4,0 pt boşluk bırakılıyor19"/>
    <w:uiPriority w:val="99"/>
    <w:rPr>
      <w:rFonts w:ascii="Arial" w:hAnsi="Arial" w:cs="Arial"/>
      <w:spacing w:val="1"/>
      <w:sz w:val="8"/>
      <w:szCs w:val="8"/>
      <w:u w:val="none"/>
    </w:rPr>
  </w:style>
  <w:style w:type="character" w:customStyle="1" w:styleId="Gvdemetni5pt3">
    <w:name w:val="Gövde metni + 5 pt3"/>
    <w:aliases w:val="0 pt boşluk bırakılıyor18"/>
    <w:uiPriority w:val="99"/>
    <w:rPr>
      <w:rFonts w:ascii="Times New Roman" w:hAnsi="Times New Roman" w:cs="Times New Roman"/>
      <w:spacing w:val="5"/>
      <w:sz w:val="10"/>
      <w:szCs w:val="10"/>
      <w:u w:val="none"/>
    </w:rPr>
  </w:style>
  <w:style w:type="character" w:customStyle="1" w:styleId="GvdemetniCenturyGothic">
    <w:name w:val="Gövde metni + Century Gothic"/>
    <w:aliases w:val="15,5 pt41,İtalik22,0 pt boşluk bırakılıyor17"/>
    <w:uiPriority w:val="99"/>
    <w:rPr>
      <w:rFonts w:ascii="Century Gothic" w:hAnsi="Century Gothic" w:cs="Century Gothic"/>
      <w:i/>
      <w:iCs/>
      <w:noProof/>
      <w:sz w:val="31"/>
      <w:szCs w:val="31"/>
      <w:u w:val="none"/>
    </w:rPr>
  </w:style>
  <w:style w:type="character" w:customStyle="1" w:styleId="GvdemetniFranklinGothicHeavy4">
    <w:name w:val="Gövde metni + Franklin Gothic Heavy4"/>
    <w:aliases w:val="54,5 pt40,0 pt boşluk bırakılıyor16"/>
    <w:uiPriority w:val="99"/>
    <w:rPr>
      <w:rFonts w:ascii="Franklin Gothic Heavy" w:hAnsi="Franklin Gothic Heavy" w:cs="Franklin Gothic Heavy"/>
      <w:spacing w:val="10"/>
      <w:sz w:val="11"/>
      <w:szCs w:val="11"/>
      <w:u w:val="none"/>
    </w:rPr>
  </w:style>
  <w:style w:type="character" w:customStyle="1" w:styleId="GvdemetniArial6">
    <w:name w:val="Gövde metni + Arial6"/>
    <w:aliases w:val="4 pt3,0 pt boşluk bırakılıyor15"/>
    <w:uiPriority w:val="99"/>
    <w:rPr>
      <w:rFonts w:ascii="Arial" w:hAnsi="Arial" w:cs="Arial"/>
      <w:spacing w:val="1"/>
      <w:sz w:val="8"/>
      <w:szCs w:val="8"/>
      <w:u w:val="none"/>
    </w:rPr>
  </w:style>
  <w:style w:type="character" w:customStyle="1" w:styleId="GvdemetniGeorgia">
    <w:name w:val="Gövde metni + Georgia"/>
    <w:aliases w:val="6 pt4,0 pt boşluk bırakılıyor14"/>
    <w:uiPriority w:val="99"/>
    <w:rPr>
      <w:rFonts w:ascii="Georgia" w:hAnsi="Georgia" w:cs="Georgia"/>
      <w:noProof/>
      <w:sz w:val="12"/>
      <w:szCs w:val="12"/>
      <w:u w:val="none"/>
    </w:rPr>
  </w:style>
  <w:style w:type="character" w:customStyle="1" w:styleId="GvdemetniFranklinGothicHeavy3">
    <w:name w:val="Gövde metni + Franklin Gothic Heavy3"/>
    <w:aliases w:val="53,5 pt39,2 pt boşluk bırakılıyor1"/>
    <w:uiPriority w:val="99"/>
    <w:rPr>
      <w:rFonts w:ascii="Franklin Gothic Heavy" w:hAnsi="Franklin Gothic Heavy" w:cs="Franklin Gothic Heavy"/>
      <w:spacing w:val="49"/>
      <w:sz w:val="11"/>
      <w:szCs w:val="11"/>
      <w:u w:val="none"/>
    </w:rPr>
  </w:style>
  <w:style w:type="character" w:customStyle="1" w:styleId="Gvdemetni5pt2">
    <w:name w:val="Gövde metni + 5 pt2"/>
    <w:aliases w:val="İtalik21,0 pt boşluk bırakılıyor13"/>
    <w:uiPriority w:val="99"/>
    <w:rPr>
      <w:rFonts w:ascii="Times New Roman" w:hAnsi="Times New Roman" w:cs="Times New Roman"/>
      <w:i/>
      <w:iCs/>
      <w:noProof/>
      <w:spacing w:val="-4"/>
      <w:sz w:val="10"/>
      <w:szCs w:val="10"/>
      <w:u w:val="none"/>
    </w:rPr>
  </w:style>
  <w:style w:type="character" w:customStyle="1" w:styleId="GvdemetniArial5">
    <w:name w:val="Gövde metni + Arial5"/>
    <w:aliases w:val="4 pt2,0 pt boşluk bırakılıyor12"/>
    <w:uiPriority w:val="99"/>
    <w:rPr>
      <w:rFonts w:ascii="Arial" w:hAnsi="Arial" w:cs="Arial"/>
      <w:noProof/>
      <w:spacing w:val="1"/>
      <w:sz w:val="8"/>
      <w:szCs w:val="8"/>
      <w:u w:val="none"/>
    </w:rPr>
  </w:style>
  <w:style w:type="character" w:customStyle="1" w:styleId="GvdemetniArial4">
    <w:name w:val="Gövde metni + Arial4"/>
    <w:aliases w:val="4 pt1,0 pt boşluk bırakılıyor11"/>
    <w:uiPriority w:val="99"/>
    <w:rPr>
      <w:rFonts w:ascii="Arial" w:hAnsi="Arial" w:cs="Arial"/>
      <w:spacing w:val="1"/>
      <w:sz w:val="8"/>
      <w:szCs w:val="8"/>
      <w:u w:val="none"/>
    </w:rPr>
  </w:style>
  <w:style w:type="character" w:customStyle="1" w:styleId="GvdemetniGeorgia2">
    <w:name w:val="Gövde metni + Georgia2"/>
    <w:aliases w:val="6 pt3,0 pt boşluk bırakılıyor10"/>
    <w:uiPriority w:val="99"/>
    <w:rPr>
      <w:rFonts w:ascii="Georgia" w:hAnsi="Georgia" w:cs="Georgia"/>
      <w:noProof/>
      <w:sz w:val="12"/>
      <w:szCs w:val="12"/>
      <w:u w:val="none"/>
    </w:rPr>
  </w:style>
  <w:style w:type="character" w:customStyle="1" w:styleId="GvdemetniFranklinGothicHeavy2">
    <w:name w:val="Gövde metni + Franklin Gothic Heavy2"/>
    <w:aliases w:val="52,5 pt38,0 pt boşluk bırakılıyor9"/>
    <w:uiPriority w:val="99"/>
    <w:rPr>
      <w:rFonts w:ascii="Franklin Gothic Heavy" w:hAnsi="Franklin Gothic Heavy" w:cs="Franklin Gothic Heavy"/>
      <w:spacing w:val="10"/>
      <w:sz w:val="11"/>
      <w:szCs w:val="11"/>
      <w:u w:val="none"/>
    </w:rPr>
  </w:style>
  <w:style w:type="character" w:customStyle="1" w:styleId="GvdemetniCenturyGothic1">
    <w:name w:val="Gövde metni + Century Gothic1"/>
    <w:aliases w:val="151,5 pt37,İtalik20,0 pt boşluk bırakılıyor8"/>
    <w:uiPriority w:val="99"/>
    <w:rPr>
      <w:rFonts w:ascii="Century Gothic" w:hAnsi="Century Gothic" w:cs="Century Gothic"/>
      <w:i/>
      <w:iCs/>
      <w:noProof/>
      <w:sz w:val="31"/>
      <w:szCs w:val="31"/>
      <w:u w:val="none"/>
    </w:rPr>
  </w:style>
  <w:style w:type="character" w:customStyle="1" w:styleId="Tabloyazs5Exact">
    <w:name w:val="Tablo yazısı (5) Exact"/>
    <w:link w:val="Tabloyazs5"/>
    <w:uiPriority w:val="99"/>
    <w:locked/>
    <w:rPr>
      <w:rFonts w:ascii="Times New Roman" w:hAnsi="Times New Roman" w:cs="Times New Roman"/>
      <w:spacing w:val="5"/>
      <w:sz w:val="10"/>
      <w:szCs w:val="10"/>
      <w:u w:val="none"/>
    </w:rPr>
  </w:style>
  <w:style w:type="character" w:customStyle="1" w:styleId="Tabloyazs5Exact3">
    <w:name w:val="Tablo yazısı (5) Exact3"/>
    <w:uiPriority w:val="99"/>
  </w:style>
  <w:style w:type="character" w:customStyle="1" w:styleId="Tabloyazs5Exact2">
    <w:name w:val="Tablo yazısı (5) Exact2"/>
    <w:uiPriority w:val="99"/>
  </w:style>
  <w:style w:type="character" w:customStyle="1" w:styleId="Tabloyazs5Exact1">
    <w:name w:val="Tablo yazısı (5) Exact1"/>
    <w:uiPriority w:val="99"/>
  </w:style>
  <w:style w:type="character" w:customStyle="1" w:styleId="Tabloyazs50ptbolukbraklyorExact">
    <w:name w:val="Tablo yazısı (5) + 0 pt boşluk bırakılıyor Exact"/>
    <w:uiPriority w:val="99"/>
    <w:rPr>
      <w:rFonts w:ascii="Times New Roman" w:hAnsi="Times New Roman" w:cs="Times New Roman"/>
      <w:spacing w:val="4"/>
      <w:sz w:val="10"/>
      <w:szCs w:val="10"/>
      <w:u w:val="none"/>
    </w:rPr>
  </w:style>
  <w:style w:type="character" w:customStyle="1" w:styleId="Tabloyazs50ptbolukbraklyorExact2">
    <w:name w:val="Tablo yazısı (5) + 0 pt boşluk bırakılıyor Exact2"/>
    <w:uiPriority w:val="99"/>
    <w:rPr>
      <w:rFonts w:ascii="Times New Roman" w:hAnsi="Times New Roman" w:cs="Times New Roman"/>
      <w:noProof/>
      <w:spacing w:val="0"/>
      <w:sz w:val="10"/>
      <w:szCs w:val="10"/>
      <w:u w:val="none"/>
    </w:rPr>
  </w:style>
  <w:style w:type="character" w:customStyle="1" w:styleId="Tabloyazs50ptbolukbraklyorExact1">
    <w:name w:val="Tablo yazısı (5) + 0 pt boşluk bırakılıyor Exact1"/>
    <w:uiPriority w:val="99"/>
    <w:rPr>
      <w:rFonts w:ascii="Times New Roman" w:hAnsi="Times New Roman" w:cs="Times New Roman"/>
      <w:noProof/>
      <w:spacing w:val="0"/>
      <w:sz w:val="10"/>
      <w:szCs w:val="10"/>
      <w:u w:val="none"/>
    </w:rPr>
  </w:style>
  <w:style w:type="character" w:customStyle="1" w:styleId="Tabloyazs6Exact">
    <w:name w:val="Tablo yazısı (6) Exact"/>
    <w:link w:val="Tabloyazs6"/>
    <w:uiPriority w:val="99"/>
    <w:locked/>
    <w:rPr>
      <w:rFonts w:ascii="Times New Roman" w:hAnsi="Times New Roman" w:cs="Times New Roman"/>
      <w:spacing w:val="-2"/>
      <w:sz w:val="14"/>
      <w:szCs w:val="14"/>
      <w:u w:val="none"/>
    </w:rPr>
  </w:style>
  <w:style w:type="character" w:customStyle="1" w:styleId="Tabloyazs6Exact1">
    <w:name w:val="Tablo yazısı (6) Exact1"/>
    <w:uiPriority w:val="99"/>
  </w:style>
  <w:style w:type="character" w:customStyle="1" w:styleId="Gvdemetni0ptbolukbraklyorExact">
    <w:name w:val="Gövde metni + 0 pt boşluk bırakılıyor Exact"/>
    <w:uiPriority w:val="99"/>
    <w:rPr>
      <w:rFonts w:ascii="Times New Roman" w:hAnsi="Times New Roman" w:cs="Times New Roman"/>
      <w:spacing w:val="5"/>
      <w:sz w:val="19"/>
      <w:szCs w:val="19"/>
      <w:u w:val="none"/>
    </w:rPr>
  </w:style>
  <w:style w:type="character" w:customStyle="1" w:styleId="Gvdemetni42Exact">
    <w:name w:val="Gövde metni (42) Exact"/>
    <w:link w:val="Gvdemetni42"/>
    <w:uiPriority w:val="99"/>
    <w:locked/>
    <w:rPr>
      <w:rFonts w:ascii="Times New Roman" w:hAnsi="Times New Roman" w:cs="Times New Roman"/>
      <w:spacing w:val="5"/>
      <w:sz w:val="10"/>
      <w:szCs w:val="10"/>
      <w:u w:val="none"/>
    </w:rPr>
  </w:style>
  <w:style w:type="character" w:customStyle="1" w:styleId="Gvdemetni42Exact2">
    <w:name w:val="Gövde metni (42) Exact2"/>
    <w:uiPriority w:val="99"/>
  </w:style>
  <w:style w:type="character" w:customStyle="1" w:styleId="Gvdemetni0ptbolukbraklyorExact3">
    <w:name w:val="Gövde metni + 0 pt boşluk bırakılıyor Exact3"/>
    <w:uiPriority w:val="99"/>
    <w:rPr>
      <w:rFonts w:ascii="Times New Roman" w:hAnsi="Times New Roman" w:cs="Times New Roman"/>
      <w:spacing w:val="5"/>
      <w:sz w:val="19"/>
      <w:szCs w:val="19"/>
      <w:u w:val="single"/>
    </w:rPr>
  </w:style>
  <w:style w:type="character" w:customStyle="1" w:styleId="Gvdemetni43Exact">
    <w:name w:val="Gövde metni (43) Exact"/>
    <w:link w:val="Gvdemetni43"/>
    <w:uiPriority w:val="99"/>
    <w:locked/>
    <w:rPr>
      <w:rFonts w:ascii="Arial" w:hAnsi="Arial" w:cs="Arial"/>
      <w:b/>
      <w:bCs/>
      <w:sz w:val="12"/>
      <w:szCs w:val="12"/>
      <w:u w:val="none"/>
    </w:rPr>
  </w:style>
  <w:style w:type="character" w:customStyle="1" w:styleId="Gvdemetni43Exact1">
    <w:name w:val="Gövde metni (43) Exact1"/>
    <w:uiPriority w:val="99"/>
  </w:style>
  <w:style w:type="character" w:customStyle="1" w:styleId="Gvdemetni43TimesNewRoman">
    <w:name w:val="Gövde metni (43) + Times New Roman"/>
    <w:aliases w:val="93,5 pt36,Kalın Değil10,0 pt boşluk bırakılıyor Exact7"/>
    <w:uiPriority w:val="99"/>
    <w:rPr>
      <w:rFonts w:ascii="Times New Roman" w:hAnsi="Times New Roman" w:cs="Times New Roman"/>
      <w:b w:val="0"/>
      <w:bCs w:val="0"/>
      <w:noProof/>
      <w:spacing w:val="5"/>
      <w:sz w:val="19"/>
      <w:szCs w:val="19"/>
      <w:u w:val="none"/>
    </w:rPr>
  </w:style>
  <w:style w:type="character" w:customStyle="1" w:styleId="Gvdemetni44Exact">
    <w:name w:val="Gövde metni (44) Exact"/>
    <w:link w:val="Gvdemetni44"/>
    <w:uiPriority w:val="99"/>
    <w:locked/>
    <w:rPr>
      <w:rFonts w:ascii="Georgia" w:hAnsi="Georgia" w:cs="Georgia"/>
      <w:sz w:val="20"/>
      <w:szCs w:val="20"/>
      <w:u w:val="none"/>
    </w:rPr>
  </w:style>
  <w:style w:type="character" w:customStyle="1" w:styleId="Gvdemetni44Exact1">
    <w:name w:val="Gövde metni (44) Exact1"/>
    <w:uiPriority w:val="99"/>
  </w:style>
  <w:style w:type="character" w:customStyle="1" w:styleId="Gvdemetni45Exact">
    <w:name w:val="Gövde metni (45) Exact"/>
    <w:link w:val="Gvdemetni45"/>
    <w:uiPriority w:val="99"/>
    <w:locked/>
    <w:rPr>
      <w:rFonts w:ascii="Lucida Sans Unicode" w:hAnsi="Lucida Sans Unicode" w:cs="Lucida Sans Unicode"/>
      <w:noProof/>
      <w:sz w:val="38"/>
      <w:szCs w:val="38"/>
      <w:u w:val="none"/>
    </w:rPr>
  </w:style>
  <w:style w:type="character" w:customStyle="1" w:styleId="Gvdemetni46Exact">
    <w:name w:val="Gövde metni (46) Exact"/>
    <w:link w:val="Gvdemetni46"/>
    <w:uiPriority w:val="99"/>
    <w:locked/>
    <w:rPr>
      <w:rFonts w:ascii="Arial" w:hAnsi="Arial" w:cs="Arial"/>
      <w:b/>
      <w:bCs/>
      <w:sz w:val="12"/>
      <w:szCs w:val="12"/>
      <w:u w:val="none"/>
    </w:rPr>
  </w:style>
  <w:style w:type="character" w:customStyle="1" w:styleId="Gvdemetni46Exact3">
    <w:name w:val="Gövde metni (46) Exact3"/>
    <w:uiPriority w:val="99"/>
    <w:rPr>
      <w:rFonts w:ascii="Arial" w:hAnsi="Arial" w:cs="Arial"/>
      <w:b/>
      <w:bCs/>
      <w:noProof/>
      <w:sz w:val="12"/>
      <w:szCs w:val="12"/>
      <w:u w:val="none"/>
    </w:rPr>
  </w:style>
  <w:style w:type="character" w:customStyle="1" w:styleId="Gvdemetni46Exact2">
    <w:name w:val="Gövde metni (46) Exact2"/>
    <w:uiPriority w:val="99"/>
  </w:style>
  <w:style w:type="character" w:customStyle="1" w:styleId="Gvdemetni46Exact1">
    <w:name w:val="Gövde metni (46) Exact1"/>
    <w:uiPriority w:val="99"/>
    <w:rPr>
      <w:rFonts w:ascii="Arial" w:hAnsi="Arial" w:cs="Arial"/>
      <w:b/>
      <w:bCs/>
      <w:sz w:val="12"/>
      <w:szCs w:val="12"/>
      <w:u w:val="single"/>
    </w:rPr>
  </w:style>
  <w:style w:type="character" w:customStyle="1" w:styleId="Gvdemetni46TimesNewRoman">
    <w:name w:val="Gövde metni (46) + Times New Roman"/>
    <w:aliases w:val="92,5 pt35,Kalın Değil9,0 pt boşluk bırakılıyor Exact6"/>
    <w:uiPriority w:val="99"/>
    <w:rPr>
      <w:rFonts w:ascii="Times New Roman" w:hAnsi="Times New Roman" w:cs="Times New Roman"/>
      <w:b w:val="0"/>
      <w:bCs w:val="0"/>
      <w:noProof/>
      <w:spacing w:val="1"/>
      <w:sz w:val="19"/>
      <w:szCs w:val="19"/>
      <w:u w:val="none"/>
    </w:rPr>
  </w:style>
  <w:style w:type="character" w:customStyle="1" w:styleId="Gvdemetni0ptbolukbraklyorExact2">
    <w:name w:val="Gövde metni + 0 pt boşluk bırakılıyor Exact2"/>
    <w:uiPriority w:val="99"/>
    <w:rPr>
      <w:rFonts w:ascii="Times New Roman" w:hAnsi="Times New Roman" w:cs="Times New Roman"/>
      <w:noProof/>
      <w:spacing w:val="5"/>
      <w:sz w:val="19"/>
      <w:szCs w:val="19"/>
      <w:u w:val="none"/>
    </w:rPr>
  </w:style>
  <w:style w:type="character" w:customStyle="1" w:styleId="Gvdemetni47Exact">
    <w:name w:val="Gövde metni (47) Exact"/>
    <w:link w:val="Gvdemetni47"/>
    <w:uiPriority w:val="99"/>
    <w:locked/>
    <w:rPr>
      <w:rFonts w:ascii="Times New Roman" w:hAnsi="Times New Roman" w:cs="Times New Roman"/>
      <w:spacing w:val="10"/>
      <w:sz w:val="13"/>
      <w:szCs w:val="13"/>
      <w:u w:val="none"/>
    </w:rPr>
  </w:style>
  <w:style w:type="character" w:customStyle="1" w:styleId="Gvdemetni47Exact1">
    <w:name w:val="Gövde metni (47) Exact1"/>
    <w:uiPriority w:val="99"/>
    <w:rPr>
      <w:rFonts w:ascii="Times New Roman" w:hAnsi="Times New Roman" w:cs="Times New Roman"/>
      <w:spacing w:val="10"/>
      <w:sz w:val="13"/>
      <w:szCs w:val="13"/>
      <w:u w:val="single"/>
    </w:rPr>
  </w:style>
  <w:style w:type="character" w:customStyle="1" w:styleId="Gvdemetni474pt">
    <w:name w:val="Gövde metni (47) + 4 pt"/>
    <w:aliases w:val="Kalın24,0 pt boşluk bırakılıyor Exact5"/>
    <w:uiPriority w:val="99"/>
    <w:rPr>
      <w:rFonts w:ascii="Times New Roman" w:hAnsi="Times New Roman" w:cs="Times New Roman"/>
      <w:b/>
      <w:bCs/>
      <w:noProof/>
      <w:spacing w:val="0"/>
      <w:sz w:val="8"/>
      <w:szCs w:val="8"/>
      <w:u w:val="single"/>
    </w:rPr>
  </w:style>
  <w:style w:type="character" w:customStyle="1" w:styleId="Gvdemetni5pt1">
    <w:name w:val="Gövde metni + 5 pt1"/>
    <w:aliases w:val="0 pt boşluk bırakılıyor7"/>
    <w:uiPriority w:val="99"/>
    <w:rPr>
      <w:rFonts w:ascii="Times New Roman" w:hAnsi="Times New Roman" w:cs="Times New Roman"/>
      <w:spacing w:val="5"/>
      <w:sz w:val="10"/>
      <w:szCs w:val="10"/>
      <w:u w:val="none"/>
    </w:rPr>
  </w:style>
  <w:style w:type="character" w:customStyle="1" w:styleId="Gvdemetni48Exact">
    <w:name w:val="Gövde metni (48) Exact"/>
    <w:link w:val="Gvdemetni48"/>
    <w:uiPriority w:val="99"/>
    <w:locked/>
    <w:rPr>
      <w:rFonts w:ascii="Georgia" w:hAnsi="Georgia" w:cs="Georgia"/>
      <w:i/>
      <w:iCs/>
      <w:noProof/>
      <w:sz w:val="20"/>
      <w:szCs w:val="20"/>
      <w:u w:val="none"/>
    </w:rPr>
  </w:style>
  <w:style w:type="character" w:customStyle="1" w:styleId="Gvdemetni48Exact1">
    <w:name w:val="Gövde metni (48) Exact1"/>
    <w:uiPriority w:val="99"/>
  </w:style>
  <w:style w:type="character" w:customStyle="1" w:styleId="Gvdemetni42Exact1">
    <w:name w:val="Gövde metni (42) Exact1"/>
    <w:uiPriority w:val="99"/>
  </w:style>
  <w:style w:type="character" w:customStyle="1" w:styleId="Gvdemetni49Exact">
    <w:name w:val="Gövde metni (49) Exact"/>
    <w:link w:val="Gvdemetni49"/>
    <w:uiPriority w:val="99"/>
    <w:locked/>
    <w:rPr>
      <w:rFonts w:ascii="Arial" w:hAnsi="Arial" w:cs="Arial"/>
      <w:i/>
      <w:iCs/>
      <w:noProof/>
      <w:sz w:val="20"/>
      <w:szCs w:val="20"/>
      <w:u w:val="none"/>
    </w:rPr>
  </w:style>
  <w:style w:type="character" w:customStyle="1" w:styleId="Gvdemetni49Exact1">
    <w:name w:val="Gövde metni (49) Exact1"/>
    <w:uiPriority w:val="99"/>
  </w:style>
  <w:style w:type="character" w:customStyle="1" w:styleId="Gvdemetni210ptbolukbraklyorExact">
    <w:name w:val="Gövde metni (21) + 0 pt boşluk bırakılıyor Exact"/>
    <w:uiPriority w:val="99"/>
    <w:rPr>
      <w:rFonts w:ascii="Arial" w:hAnsi="Arial" w:cs="Arial"/>
      <w:b/>
      <w:bCs/>
      <w:color w:val="000000"/>
      <w:spacing w:val="2"/>
      <w:w w:val="100"/>
      <w:position w:val="0"/>
      <w:sz w:val="15"/>
      <w:szCs w:val="15"/>
      <w:u w:val="none"/>
    </w:rPr>
  </w:style>
  <w:style w:type="character" w:customStyle="1" w:styleId="Gvdemetni256">
    <w:name w:val="Gövde metni (25) + 6"/>
    <w:aliases w:val="5 pt34,0 pt boşluk bırakılıyor Exact4"/>
    <w:uiPriority w:val="99"/>
    <w:rPr>
      <w:rFonts w:ascii="Arial" w:hAnsi="Arial" w:cs="Arial"/>
      <w:b/>
      <w:bCs/>
      <w:color w:val="000000"/>
      <w:spacing w:val="2"/>
      <w:w w:val="100"/>
      <w:position w:val="0"/>
      <w:sz w:val="13"/>
      <w:szCs w:val="13"/>
      <w:u w:val="none"/>
    </w:rPr>
  </w:style>
  <w:style w:type="character" w:customStyle="1" w:styleId="Gvdemetni250">
    <w:name w:val="Gövde metni (25)_"/>
    <w:link w:val="Gvdemetni251"/>
    <w:uiPriority w:val="99"/>
    <w:locked/>
    <w:rPr>
      <w:rFonts w:ascii="Arial" w:hAnsi="Arial" w:cs="Arial"/>
      <w:b/>
      <w:bCs/>
      <w:sz w:val="13"/>
      <w:szCs w:val="13"/>
      <w:u w:val="none"/>
    </w:rPr>
  </w:style>
  <w:style w:type="character" w:customStyle="1" w:styleId="Gvdemetni257pt">
    <w:name w:val="Gövde metni (25) + 7 pt"/>
    <w:uiPriority w:val="99"/>
    <w:rPr>
      <w:rFonts w:ascii="Arial" w:hAnsi="Arial" w:cs="Arial"/>
      <w:b/>
      <w:bCs/>
      <w:sz w:val="14"/>
      <w:szCs w:val="14"/>
      <w:u w:val="none"/>
    </w:rPr>
  </w:style>
  <w:style w:type="character" w:customStyle="1" w:styleId="Gvdemetni210">
    <w:name w:val="Gövde metni (21)_"/>
    <w:link w:val="Gvdemetni211"/>
    <w:uiPriority w:val="99"/>
    <w:locked/>
    <w:rPr>
      <w:rFonts w:ascii="Arial" w:hAnsi="Arial" w:cs="Arial"/>
      <w:b/>
      <w:bCs/>
      <w:sz w:val="16"/>
      <w:szCs w:val="16"/>
      <w:u w:val="none"/>
    </w:rPr>
  </w:style>
  <w:style w:type="character" w:customStyle="1" w:styleId="Gvdemetni212">
    <w:name w:val="Gövde metni (21)"/>
    <w:uiPriority w:val="99"/>
  </w:style>
  <w:style w:type="character" w:customStyle="1" w:styleId="Gvdemetni258pt">
    <w:name w:val="Gövde metni (25) + 8 pt"/>
    <w:uiPriority w:val="99"/>
    <w:rPr>
      <w:rFonts w:ascii="Arial" w:hAnsi="Arial" w:cs="Arial"/>
      <w:b/>
      <w:bCs/>
      <w:sz w:val="16"/>
      <w:szCs w:val="16"/>
      <w:u w:val="none"/>
    </w:rPr>
  </w:style>
  <w:style w:type="character" w:customStyle="1" w:styleId="Gvdemetni50Exact">
    <w:name w:val="Gövde metni (50) Exact"/>
    <w:link w:val="Gvdemetni500"/>
    <w:uiPriority w:val="99"/>
    <w:locked/>
    <w:rPr>
      <w:rFonts w:ascii="Arial" w:hAnsi="Arial" w:cs="Arial"/>
      <w:spacing w:val="-2"/>
      <w:sz w:val="11"/>
      <w:szCs w:val="11"/>
      <w:u w:val="none"/>
    </w:rPr>
  </w:style>
  <w:style w:type="character" w:customStyle="1" w:styleId="Gvdemetni50Exact1">
    <w:name w:val="Gövde metni (50) Exact1"/>
    <w:uiPriority w:val="99"/>
  </w:style>
  <w:style w:type="character" w:customStyle="1" w:styleId="GvdemetniArial3">
    <w:name w:val="Gövde metni + Arial3"/>
    <w:aliases w:val="51,5 pt33,0 pt boşluk bırakılıyor6"/>
    <w:uiPriority w:val="99"/>
    <w:rPr>
      <w:rFonts w:ascii="Arial" w:hAnsi="Arial" w:cs="Arial"/>
      <w:spacing w:val="3"/>
      <w:sz w:val="11"/>
      <w:szCs w:val="11"/>
      <w:u w:val="none"/>
    </w:rPr>
  </w:style>
  <w:style w:type="character" w:customStyle="1" w:styleId="GvdemetniFranklinGothicHeavy1">
    <w:name w:val="Gövde metni + Franklin Gothic Heavy1"/>
    <w:aliases w:val="23 pt,0 pt boşluk bırakılıyor5"/>
    <w:uiPriority w:val="99"/>
    <w:rPr>
      <w:rFonts w:ascii="Franklin Gothic Heavy" w:hAnsi="Franklin Gothic Heavy" w:cs="Franklin Gothic Heavy"/>
      <w:spacing w:val="3"/>
      <w:sz w:val="46"/>
      <w:szCs w:val="46"/>
      <w:u w:val="none"/>
    </w:rPr>
  </w:style>
  <w:style w:type="character" w:customStyle="1" w:styleId="GvdemetniGeorgia1">
    <w:name w:val="Gövde metni + Georgia1"/>
    <w:aliases w:val="10 pt1,İtalik19,0 pt boşluk bırakılıyor4"/>
    <w:uiPriority w:val="99"/>
    <w:rPr>
      <w:rFonts w:ascii="Georgia" w:hAnsi="Georgia" w:cs="Georgia"/>
      <w:i/>
      <w:iCs/>
      <w:noProof/>
      <w:sz w:val="20"/>
      <w:szCs w:val="20"/>
      <w:u w:val="none"/>
    </w:rPr>
  </w:style>
  <w:style w:type="character" w:customStyle="1" w:styleId="Gvdemetni10pt10">
    <w:name w:val="Gövde metni + 10 pt10"/>
    <w:aliases w:val="0 pt boşluk bırakılıyor3"/>
    <w:uiPriority w:val="99"/>
    <w:rPr>
      <w:rFonts w:ascii="Times New Roman" w:hAnsi="Times New Roman" w:cs="Times New Roman"/>
      <w:noProof/>
      <w:sz w:val="20"/>
      <w:szCs w:val="20"/>
      <w:u w:val="none"/>
    </w:rPr>
  </w:style>
  <w:style w:type="character" w:customStyle="1" w:styleId="Tabloyazs8Exact">
    <w:name w:val="Tablo yazısı (8) Exact"/>
    <w:link w:val="Tabloyazs80"/>
    <w:uiPriority w:val="99"/>
    <w:locked/>
    <w:rPr>
      <w:rFonts w:ascii="Arial" w:hAnsi="Arial" w:cs="Arial"/>
      <w:spacing w:val="-2"/>
      <w:sz w:val="11"/>
      <w:szCs w:val="11"/>
      <w:u w:val="none"/>
    </w:rPr>
  </w:style>
  <w:style w:type="character" w:customStyle="1" w:styleId="Tabloyazs8Exact2">
    <w:name w:val="Tablo yazısı (8) Exact2"/>
    <w:uiPriority w:val="99"/>
  </w:style>
  <w:style w:type="character" w:customStyle="1" w:styleId="Tabloyazs8TimesNewRoman">
    <w:name w:val="Tablo yazısı (8) + Times New Roman"/>
    <w:aliases w:val="91,5 pt32,0 pt boşluk bırakılıyor Exact3"/>
    <w:uiPriority w:val="99"/>
    <w:rPr>
      <w:rFonts w:ascii="Times New Roman" w:hAnsi="Times New Roman" w:cs="Times New Roman"/>
      <w:spacing w:val="5"/>
      <w:sz w:val="19"/>
      <w:szCs w:val="19"/>
      <w:u w:val="none"/>
    </w:rPr>
  </w:style>
  <w:style w:type="character" w:customStyle="1" w:styleId="Tabloyazs2Exact">
    <w:name w:val="Tablo yazısı (2) Exact"/>
    <w:uiPriority w:val="99"/>
    <w:rPr>
      <w:rFonts w:ascii="Times New Roman" w:hAnsi="Times New Roman" w:cs="Times New Roman"/>
      <w:spacing w:val="2"/>
      <w:sz w:val="19"/>
      <w:szCs w:val="19"/>
      <w:u w:val="none"/>
    </w:rPr>
  </w:style>
  <w:style w:type="character" w:customStyle="1" w:styleId="Tabloyazs29pt">
    <w:name w:val="Tablo yazısı (2) + 9 pt"/>
    <w:aliases w:val="0 pt boşluk bırakılıyor Exact2"/>
    <w:uiPriority w:val="99"/>
    <w:rPr>
      <w:rFonts w:ascii="Times New Roman" w:hAnsi="Times New Roman" w:cs="Times New Roman"/>
      <w:noProof/>
      <w:sz w:val="18"/>
      <w:szCs w:val="18"/>
      <w:u w:val="none"/>
    </w:rPr>
  </w:style>
  <w:style w:type="character" w:customStyle="1" w:styleId="Tabloyazs20ptbolukbraklyorExact">
    <w:name w:val="Tablo yazısı (2) + 0 pt boşluk bırakılıyor Exact"/>
    <w:uiPriority w:val="99"/>
    <w:rPr>
      <w:rFonts w:ascii="Times New Roman" w:hAnsi="Times New Roman" w:cs="Times New Roman"/>
      <w:spacing w:val="5"/>
      <w:sz w:val="19"/>
      <w:szCs w:val="19"/>
      <w:u w:val="none"/>
    </w:rPr>
  </w:style>
  <w:style w:type="character" w:customStyle="1" w:styleId="Tabloyazs9Exact">
    <w:name w:val="Tablo yazısı (9) Exact"/>
    <w:link w:val="Tabloyazs9"/>
    <w:uiPriority w:val="99"/>
    <w:locked/>
    <w:rPr>
      <w:rFonts w:ascii="Times New Roman" w:hAnsi="Times New Roman" w:cs="Times New Roman"/>
      <w:i/>
      <w:iCs/>
      <w:spacing w:val="23"/>
      <w:sz w:val="19"/>
      <w:szCs w:val="19"/>
      <w:u w:val="none"/>
    </w:rPr>
  </w:style>
  <w:style w:type="character" w:customStyle="1" w:styleId="Tabloyazs9Exact1">
    <w:name w:val="Tablo yazısı (9) Exact1"/>
    <w:uiPriority w:val="99"/>
  </w:style>
  <w:style w:type="character" w:customStyle="1" w:styleId="Tabloyazs8Exact1">
    <w:name w:val="Tablo yazısı (8) Exact1"/>
    <w:uiPriority w:val="99"/>
  </w:style>
  <w:style w:type="character" w:customStyle="1" w:styleId="Tabloyazs10Exact">
    <w:name w:val="Tablo yazısı (10) Exact"/>
    <w:link w:val="Tabloyazs10"/>
    <w:uiPriority w:val="99"/>
    <w:locked/>
    <w:rPr>
      <w:rFonts w:ascii="Times New Roman" w:hAnsi="Times New Roman" w:cs="Times New Roman"/>
      <w:sz w:val="14"/>
      <w:szCs w:val="14"/>
      <w:u w:val="none"/>
    </w:rPr>
  </w:style>
  <w:style w:type="character" w:customStyle="1" w:styleId="Tabloyazs10Exact1">
    <w:name w:val="Tablo yazısı (10) Exact1"/>
    <w:uiPriority w:val="99"/>
  </w:style>
  <w:style w:type="character" w:customStyle="1" w:styleId="Tabloyazs7">
    <w:name w:val="Tablo yazısı (7)_"/>
    <w:link w:val="Tabloyazs71"/>
    <w:uiPriority w:val="99"/>
    <w:locked/>
    <w:rPr>
      <w:rFonts w:ascii="Times New Roman" w:hAnsi="Times New Roman" w:cs="Times New Roman"/>
      <w:sz w:val="20"/>
      <w:szCs w:val="20"/>
      <w:u w:val="none"/>
    </w:rPr>
  </w:style>
  <w:style w:type="character" w:customStyle="1" w:styleId="Tabloyazs78">
    <w:name w:val="Tablo yazısı (7) + 8"/>
    <w:aliases w:val="5 pt31,İtalik18"/>
    <w:uiPriority w:val="99"/>
    <w:rPr>
      <w:rFonts w:ascii="Times New Roman" w:hAnsi="Times New Roman" w:cs="Times New Roman"/>
      <w:i/>
      <w:iCs/>
      <w:sz w:val="17"/>
      <w:szCs w:val="17"/>
      <w:u w:val="none"/>
    </w:rPr>
  </w:style>
  <w:style w:type="character" w:customStyle="1" w:styleId="Tabloyazs781">
    <w:name w:val="Tablo yazısı (7) + 81"/>
    <w:aliases w:val="5 pt30,İtalik17"/>
    <w:uiPriority w:val="99"/>
    <w:rPr>
      <w:rFonts w:ascii="Times New Roman" w:hAnsi="Times New Roman" w:cs="Times New Roman"/>
      <w:i/>
      <w:iCs/>
      <w:noProof/>
      <w:sz w:val="17"/>
      <w:szCs w:val="17"/>
      <w:u w:val="single"/>
    </w:rPr>
  </w:style>
  <w:style w:type="character" w:customStyle="1" w:styleId="Tabloyazs70">
    <w:name w:val="Tablo yazısı (7)"/>
    <w:uiPriority w:val="99"/>
    <w:rPr>
      <w:rFonts w:ascii="Times New Roman" w:hAnsi="Times New Roman" w:cs="Times New Roman"/>
      <w:sz w:val="20"/>
      <w:szCs w:val="20"/>
      <w:u w:val="single"/>
    </w:rPr>
  </w:style>
  <w:style w:type="character" w:customStyle="1" w:styleId="Gvdemetni9pt3">
    <w:name w:val="Gövde metni + 9 pt3"/>
    <w:aliases w:val="Kalın23"/>
    <w:uiPriority w:val="99"/>
    <w:rPr>
      <w:rFonts w:ascii="Times New Roman" w:hAnsi="Times New Roman" w:cs="Times New Roman"/>
      <w:b/>
      <w:bCs/>
      <w:sz w:val="18"/>
      <w:szCs w:val="18"/>
      <w:u w:val="none"/>
    </w:rPr>
  </w:style>
  <w:style w:type="character" w:customStyle="1" w:styleId="Gvdemetni10pt9">
    <w:name w:val="Gövde metni + 10 pt9"/>
    <w:uiPriority w:val="99"/>
    <w:rPr>
      <w:rFonts w:ascii="Times New Roman" w:hAnsi="Times New Roman" w:cs="Times New Roman"/>
      <w:sz w:val="20"/>
      <w:szCs w:val="20"/>
      <w:u w:val="none"/>
    </w:rPr>
  </w:style>
  <w:style w:type="character" w:customStyle="1" w:styleId="Gvdemetni10pt8">
    <w:name w:val="Gövde metni + 10 pt8"/>
    <w:aliases w:val="Küçük Büyük Harf6"/>
    <w:uiPriority w:val="99"/>
    <w:rPr>
      <w:rFonts w:ascii="Times New Roman" w:hAnsi="Times New Roman" w:cs="Times New Roman"/>
      <w:smallCaps/>
      <w:sz w:val="20"/>
      <w:szCs w:val="20"/>
      <w:u w:val="none"/>
    </w:rPr>
  </w:style>
  <w:style w:type="character" w:customStyle="1" w:styleId="Gvdemetni6pt1">
    <w:name w:val="Gövde metni + 6 pt1"/>
    <w:uiPriority w:val="99"/>
    <w:rPr>
      <w:rFonts w:ascii="Times New Roman" w:hAnsi="Times New Roman" w:cs="Times New Roman"/>
      <w:sz w:val="12"/>
      <w:szCs w:val="12"/>
      <w:u w:val="none"/>
    </w:rPr>
  </w:style>
  <w:style w:type="character" w:customStyle="1" w:styleId="Gvdemetni710pt4">
    <w:name w:val="Gövde metni (7) + 10 pt4"/>
    <w:aliases w:val="Kalın Değil8"/>
    <w:uiPriority w:val="99"/>
    <w:rPr>
      <w:rFonts w:ascii="Times New Roman" w:hAnsi="Times New Roman" w:cs="Times New Roman"/>
      <w:b w:val="0"/>
      <w:bCs w:val="0"/>
      <w:sz w:val="20"/>
      <w:szCs w:val="20"/>
      <w:u w:val="none"/>
    </w:rPr>
  </w:style>
  <w:style w:type="character" w:customStyle="1" w:styleId="Tabloyazs79pt">
    <w:name w:val="Tablo yazısı (7) + 9 pt"/>
    <w:aliases w:val="Kalın22"/>
    <w:uiPriority w:val="99"/>
    <w:rPr>
      <w:rFonts w:ascii="Times New Roman" w:hAnsi="Times New Roman" w:cs="Times New Roman"/>
      <w:b/>
      <w:bCs/>
      <w:sz w:val="18"/>
      <w:szCs w:val="18"/>
      <w:u w:val="none"/>
    </w:rPr>
  </w:style>
  <w:style w:type="character" w:customStyle="1" w:styleId="GvdemetniArial2">
    <w:name w:val="Gövde metni + Arial2"/>
    <w:aliases w:val="6 pt2,Kalın21"/>
    <w:uiPriority w:val="99"/>
    <w:rPr>
      <w:rFonts w:ascii="Arial" w:hAnsi="Arial" w:cs="Arial"/>
      <w:b/>
      <w:bCs/>
      <w:sz w:val="12"/>
      <w:szCs w:val="12"/>
      <w:u w:val="none"/>
    </w:rPr>
  </w:style>
  <w:style w:type="character" w:customStyle="1" w:styleId="GvdemetniArial1">
    <w:name w:val="Gövde metni + Arial1"/>
    <w:aliases w:val="6 pt1,Kalın20"/>
    <w:uiPriority w:val="99"/>
    <w:rPr>
      <w:rFonts w:ascii="Arial" w:hAnsi="Arial" w:cs="Arial"/>
      <w:b/>
      <w:bCs/>
      <w:sz w:val="12"/>
      <w:szCs w:val="12"/>
      <w:u w:val="none"/>
    </w:rPr>
  </w:style>
  <w:style w:type="character" w:customStyle="1" w:styleId="Gvdemetni10pt7">
    <w:name w:val="Gövde metni + 10 pt7"/>
    <w:uiPriority w:val="99"/>
    <w:rPr>
      <w:rFonts w:ascii="Times New Roman" w:hAnsi="Times New Roman" w:cs="Times New Roman"/>
      <w:sz w:val="20"/>
      <w:szCs w:val="20"/>
      <w:u w:val="none"/>
    </w:rPr>
  </w:style>
  <w:style w:type="character" w:customStyle="1" w:styleId="Gvdemetni84">
    <w:name w:val="Gövde metni + 84"/>
    <w:aliases w:val="5 pt29,İtalik16"/>
    <w:uiPriority w:val="99"/>
    <w:rPr>
      <w:rFonts w:ascii="Times New Roman" w:hAnsi="Times New Roman" w:cs="Times New Roman"/>
      <w:i/>
      <w:iCs/>
      <w:sz w:val="17"/>
      <w:szCs w:val="17"/>
      <w:u w:val="none"/>
    </w:rPr>
  </w:style>
  <w:style w:type="character" w:customStyle="1" w:styleId="Gvdemetni83">
    <w:name w:val="Gövde metni8"/>
    <w:uiPriority w:val="99"/>
  </w:style>
  <w:style w:type="character" w:customStyle="1" w:styleId="Gvdemetni75">
    <w:name w:val="Gövde metni7"/>
    <w:uiPriority w:val="99"/>
    <w:rPr>
      <w:rFonts w:ascii="Times New Roman" w:hAnsi="Times New Roman" w:cs="Times New Roman"/>
      <w:noProof/>
      <w:sz w:val="21"/>
      <w:szCs w:val="21"/>
      <w:u w:val="none"/>
    </w:rPr>
  </w:style>
  <w:style w:type="character" w:customStyle="1" w:styleId="Gvdemetni257pt3">
    <w:name w:val="Gövde metni (25) + 7 pt3"/>
    <w:uiPriority w:val="99"/>
    <w:rPr>
      <w:rFonts w:ascii="Arial" w:hAnsi="Arial" w:cs="Arial"/>
      <w:b/>
      <w:bCs/>
      <w:sz w:val="14"/>
      <w:szCs w:val="14"/>
      <w:u w:val="none"/>
    </w:rPr>
  </w:style>
  <w:style w:type="character" w:customStyle="1" w:styleId="Gvdemetni257pt2">
    <w:name w:val="Gövde metni (25) + 7 pt2"/>
    <w:uiPriority w:val="99"/>
    <w:rPr>
      <w:rFonts w:ascii="Arial" w:hAnsi="Arial" w:cs="Arial"/>
      <w:b/>
      <w:bCs/>
      <w:sz w:val="14"/>
      <w:szCs w:val="14"/>
      <w:u w:val="none"/>
    </w:rPr>
  </w:style>
  <w:style w:type="character" w:customStyle="1" w:styleId="Gvdemetni257pt1">
    <w:name w:val="Gövde metni (25) + 7 pt1"/>
    <w:uiPriority w:val="99"/>
    <w:rPr>
      <w:rFonts w:ascii="Arial" w:hAnsi="Arial" w:cs="Arial"/>
      <w:b/>
      <w:bCs/>
      <w:sz w:val="14"/>
      <w:szCs w:val="14"/>
      <w:u w:val="none"/>
    </w:rPr>
  </w:style>
  <w:style w:type="character" w:customStyle="1" w:styleId="Gvdemetni3810">
    <w:name w:val="Gövde metni (3) + 81"/>
    <w:aliases w:val="5 pt28,İtalik15"/>
    <w:uiPriority w:val="99"/>
    <w:rPr>
      <w:rFonts w:ascii="Times New Roman" w:hAnsi="Times New Roman" w:cs="Times New Roman"/>
      <w:i/>
      <w:iCs/>
      <w:sz w:val="17"/>
      <w:szCs w:val="17"/>
      <w:u w:val="none"/>
    </w:rPr>
  </w:style>
  <w:style w:type="character" w:customStyle="1" w:styleId="Gvdemetni310pt3">
    <w:name w:val="Gövde metni (3) + 10 pt3"/>
    <w:uiPriority w:val="99"/>
    <w:rPr>
      <w:rFonts w:ascii="Times New Roman" w:hAnsi="Times New Roman" w:cs="Times New Roman"/>
      <w:noProof/>
      <w:sz w:val="20"/>
      <w:szCs w:val="20"/>
      <w:u w:val="none"/>
    </w:rPr>
  </w:style>
  <w:style w:type="character" w:customStyle="1" w:styleId="Gvdemetni310pt2">
    <w:name w:val="Gövde metni (3) + 10 pt2"/>
    <w:uiPriority w:val="99"/>
    <w:rPr>
      <w:rFonts w:ascii="Times New Roman" w:hAnsi="Times New Roman" w:cs="Times New Roman"/>
      <w:sz w:val="20"/>
      <w:szCs w:val="20"/>
      <w:u w:val="single"/>
    </w:rPr>
  </w:style>
  <w:style w:type="character" w:customStyle="1" w:styleId="stbilgiveyaaltbilgi10pt4">
    <w:name w:val="Üst bilgi veya alt bilgi + 10 pt4"/>
    <w:aliases w:val="Kalın Değil7"/>
    <w:uiPriority w:val="99"/>
    <w:rPr>
      <w:rFonts w:ascii="Times New Roman" w:hAnsi="Times New Roman" w:cs="Times New Roman"/>
      <w:b w:val="0"/>
      <w:bCs w:val="0"/>
      <w:sz w:val="20"/>
      <w:szCs w:val="20"/>
      <w:u w:val="none"/>
    </w:rPr>
  </w:style>
  <w:style w:type="character" w:customStyle="1" w:styleId="Gvdemetni4a">
    <w:name w:val="Gövde metni + 4"/>
    <w:aliases w:val="5 pt27,Kalın19"/>
    <w:uiPriority w:val="99"/>
    <w:rPr>
      <w:rFonts w:ascii="Times New Roman" w:hAnsi="Times New Roman" w:cs="Times New Roman"/>
      <w:b/>
      <w:bCs/>
      <w:sz w:val="9"/>
      <w:szCs w:val="9"/>
      <w:u w:val="none"/>
    </w:rPr>
  </w:style>
  <w:style w:type="character" w:customStyle="1" w:styleId="Gvdemetni4pt2">
    <w:name w:val="Gövde metni + 4 pt2"/>
    <w:uiPriority w:val="99"/>
    <w:rPr>
      <w:rFonts w:ascii="Times New Roman" w:hAnsi="Times New Roman" w:cs="Times New Roman"/>
      <w:noProof/>
      <w:sz w:val="8"/>
      <w:szCs w:val="8"/>
      <w:u w:val="none"/>
    </w:rPr>
  </w:style>
  <w:style w:type="character" w:customStyle="1" w:styleId="Gvdemetni4pt1">
    <w:name w:val="Gövde metni + 4 pt1"/>
    <w:aliases w:val="8 pt boşluk bırakılıyor"/>
    <w:uiPriority w:val="99"/>
    <w:rPr>
      <w:rFonts w:ascii="Times New Roman" w:hAnsi="Times New Roman" w:cs="Times New Roman"/>
      <w:spacing w:val="170"/>
      <w:sz w:val="8"/>
      <w:szCs w:val="8"/>
      <w:u w:val="none"/>
    </w:rPr>
  </w:style>
  <w:style w:type="character" w:customStyle="1" w:styleId="Gvdemetni410">
    <w:name w:val="Gövde metni + 41"/>
    <w:aliases w:val="5 pt26,Kalın18"/>
    <w:uiPriority w:val="99"/>
    <w:rPr>
      <w:rFonts w:ascii="Times New Roman" w:hAnsi="Times New Roman" w:cs="Times New Roman"/>
      <w:b/>
      <w:bCs/>
      <w:sz w:val="9"/>
      <w:szCs w:val="9"/>
      <w:u w:val="none"/>
    </w:rPr>
  </w:style>
  <w:style w:type="character" w:customStyle="1" w:styleId="GvdemetniImpact2">
    <w:name w:val="Gövde metni + Impact2"/>
    <w:aliases w:val="20 pt1,3 pt boşluk bırakılıyor,200% ölçek1"/>
    <w:uiPriority w:val="99"/>
    <w:rPr>
      <w:rFonts w:ascii="Impact" w:hAnsi="Impact" w:cs="Impact"/>
      <w:spacing w:val="70"/>
      <w:w w:val="200"/>
      <w:sz w:val="40"/>
      <w:szCs w:val="40"/>
      <w:u w:val="none"/>
    </w:rPr>
  </w:style>
  <w:style w:type="character" w:customStyle="1" w:styleId="Resimyazs89">
    <w:name w:val="Resim yazısı (8)"/>
    <w:uiPriority w:val="99"/>
  </w:style>
  <w:style w:type="character" w:customStyle="1" w:styleId="Gvdemetni9pt2">
    <w:name w:val="Gövde metni + 9 pt2"/>
    <w:aliases w:val="İtalik14"/>
    <w:uiPriority w:val="99"/>
    <w:rPr>
      <w:rFonts w:ascii="Times New Roman" w:hAnsi="Times New Roman" w:cs="Times New Roman"/>
      <w:i/>
      <w:iCs/>
      <w:sz w:val="18"/>
      <w:szCs w:val="18"/>
      <w:u w:val="none"/>
    </w:rPr>
  </w:style>
  <w:style w:type="character" w:customStyle="1" w:styleId="Resimyazs9pt1">
    <w:name w:val="Resim yazısı + 9 pt1"/>
    <w:aliases w:val="Kalın17"/>
    <w:uiPriority w:val="99"/>
    <w:rPr>
      <w:rFonts w:ascii="Times New Roman" w:hAnsi="Times New Roman" w:cs="Times New Roman"/>
      <w:b/>
      <w:bCs/>
      <w:noProof/>
      <w:sz w:val="18"/>
      <w:szCs w:val="18"/>
      <w:u w:val="none"/>
    </w:rPr>
  </w:style>
  <w:style w:type="character" w:customStyle="1" w:styleId="Resimyazs820">
    <w:name w:val="Resim yazısı (8)2"/>
    <w:uiPriority w:val="99"/>
  </w:style>
  <w:style w:type="character" w:customStyle="1" w:styleId="Gvdemetni39pt1">
    <w:name w:val="Gövde metni (3) + 9 pt1"/>
    <w:aliases w:val="İtalik13"/>
    <w:uiPriority w:val="99"/>
    <w:rPr>
      <w:rFonts w:ascii="Times New Roman" w:hAnsi="Times New Roman" w:cs="Times New Roman"/>
      <w:i/>
      <w:iCs/>
      <w:sz w:val="18"/>
      <w:szCs w:val="18"/>
      <w:u w:val="none"/>
    </w:rPr>
  </w:style>
  <w:style w:type="character" w:customStyle="1" w:styleId="Resimyazs36">
    <w:name w:val="Resim yazısı (36)_"/>
    <w:link w:val="Resimyazs360"/>
    <w:uiPriority w:val="99"/>
    <w:locked/>
    <w:rPr>
      <w:rFonts w:ascii="Arial" w:hAnsi="Arial" w:cs="Arial"/>
      <w:b/>
      <w:bCs/>
      <w:sz w:val="15"/>
      <w:szCs w:val="15"/>
      <w:u w:val="none"/>
    </w:rPr>
  </w:style>
  <w:style w:type="character" w:customStyle="1" w:styleId="Balk510pt1">
    <w:name w:val="Başlık #5 + 10 pt1"/>
    <w:uiPriority w:val="99"/>
    <w:rPr>
      <w:rFonts w:ascii="Times New Roman" w:hAnsi="Times New Roman" w:cs="Times New Roman"/>
      <w:b/>
      <w:bCs/>
      <w:sz w:val="20"/>
      <w:szCs w:val="20"/>
      <w:u w:val="none"/>
    </w:rPr>
  </w:style>
  <w:style w:type="character" w:customStyle="1" w:styleId="Tabloyazs391">
    <w:name w:val="Tablo yazısı (3) + 91"/>
    <w:aliases w:val="5 pt25"/>
    <w:uiPriority w:val="99"/>
    <w:rPr>
      <w:rFonts w:ascii="Times New Roman" w:hAnsi="Times New Roman" w:cs="Times New Roman"/>
      <w:sz w:val="19"/>
      <w:szCs w:val="19"/>
      <w:u w:val="none"/>
    </w:rPr>
  </w:style>
  <w:style w:type="character" w:customStyle="1" w:styleId="Gvdemetni96">
    <w:name w:val="Gövde metni + 96"/>
    <w:aliases w:val="5 pt24"/>
    <w:uiPriority w:val="99"/>
    <w:rPr>
      <w:rFonts w:ascii="Times New Roman" w:hAnsi="Times New Roman" w:cs="Times New Roman"/>
      <w:sz w:val="19"/>
      <w:szCs w:val="19"/>
      <w:u w:val="none"/>
    </w:rPr>
  </w:style>
  <w:style w:type="character" w:customStyle="1" w:styleId="Gvdemetni95">
    <w:name w:val="Gövde metni + 95"/>
    <w:aliases w:val="5 pt23,Küçük Büyük Harf5"/>
    <w:uiPriority w:val="99"/>
    <w:rPr>
      <w:rFonts w:ascii="Times New Roman" w:hAnsi="Times New Roman" w:cs="Times New Roman"/>
      <w:smallCaps/>
      <w:sz w:val="19"/>
      <w:szCs w:val="19"/>
      <w:u w:val="none"/>
    </w:rPr>
  </w:style>
  <w:style w:type="character" w:customStyle="1" w:styleId="Resimyazs37">
    <w:name w:val="Resim yazısı (37)_"/>
    <w:link w:val="Resimyazs371"/>
    <w:uiPriority w:val="99"/>
    <w:locked/>
    <w:rPr>
      <w:rFonts w:ascii="Arial" w:hAnsi="Arial" w:cs="Arial"/>
      <w:b/>
      <w:bCs/>
      <w:sz w:val="14"/>
      <w:szCs w:val="14"/>
      <w:u w:val="none"/>
    </w:rPr>
  </w:style>
  <w:style w:type="character" w:customStyle="1" w:styleId="Resimyazs370">
    <w:name w:val="Resim yazısı (37)"/>
    <w:uiPriority w:val="99"/>
  </w:style>
  <w:style w:type="character" w:customStyle="1" w:styleId="Resimyazs373">
    <w:name w:val="Resim yazısı (37)3"/>
    <w:uiPriority w:val="99"/>
  </w:style>
  <w:style w:type="character" w:customStyle="1" w:styleId="Gvdemetni7101">
    <w:name w:val="Gövde metni (7) + 101"/>
    <w:aliases w:val="5 pt22,Kalın Değil6"/>
    <w:uiPriority w:val="99"/>
    <w:rPr>
      <w:rFonts w:ascii="Times New Roman" w:hAnsi="Times New Roman" w:cs="Times New Roman"/>
      <w:b w:val="0"/>
      <w:bCs w:val="0"/>
      <w:sz w:val="21"/>
      <w:szCs w:val="21"/>
      <w:u w:val="none"/>
    </w:rPr>
  </w:style>
  <w:style w:type="character" w:customStyle="1" w:styleId="Resimyazs80ptbolukbraklyorExact">
    <w:name w:val="Resim yazısı (8) + 0 pt boşluk bırakılıyor Exact"/>
    <w:uiPriority w:val="99"/>
    <w:rPr>
      <w:rFonts w:ascii="Arial" w:hAnsi="Arial" w:cs="Arial"/>
      <w:b/>
      <w:bCs/>
      <w:spacing w:val="2"/>
      <w:sz w:val="13"/>
      <w:szCs w:val="13"/>
      <w:u w:val="none"/>
    </w:rPr>
  </w:style>
  <w:style w:type="character" w:customStyle="1" w:styleId="stbilgiveyaaltbilgiArial1">
    <w:name w:val="Üst bilgi veya alt bilgi + Arial1"/>
    <w:aliases w:val="7 pt1"/>
    <w:uiPriority w:val="99"/>
    <w:rPr>
      <w:rFonts w:ascii="Arial" w:hAnsi="Arial" w:cs="Arial"/>
      <w:b/>
      <w:bCs/>
      <w:sz w:val="14"/>
      <w:szCs w:val="14"/>
      <w:u w:val="none"/>
    </w:rPr>
  </w:style>
  <w:style w:type="character" w:customStyle="1" w:styleId="Gvdemetni4Arial1">
    <w:name w:val="Gövde metni (4) + Arial1"/>
    <w:aliases w:val="Kalın16,0 pt boşluk bırakılıyor2"/>
    <w:uiPriority w:val="99"/>
    <w:rPr>
      <w:rFonts w:ascii="Arial" w:hAnsi="Arial" w:cs="Arial"/>
      <w:b/>
      <w:bCs/>
      <w:noProof/>
      <w:spacing w:val="0"/>
      <w:sz w:val="27"/>
      <w:szCs w:val="27"/>
      <w:u w:val="none"/>
    </w:rPr>
  </w:style>
  <w:style w:type="character" w:customStyle="1" w:styleId="Gvdemetnitalik1">
    <w:name w:val="Gövde metni + İtalik1"/>
    <w:aliases w:val="1 pt boşluk bırakılıyor Exact"/>
    <w:uiPriority w:val="99"/>
    <w:rPr>
      <w:rFonts w:ascii="Times New Roman" w:hAnsi="Times New Roman" w:cs="Times New Roman"/>
      <w:i/>
      <w:iCs/>
      <w:noProof/>
      <w:spacing w:val="23"/>
      <w:sz w:val="19"/>
      <w:szCs w:val="19"/>
      <w:u w:val="none"/>
    </w:rPr>
  </w:style>
  <w:style w:type="character" w:customStyle="1" w:styleId="Gvdemetni0ptbolukbraklyorExact1">
    <w:name w:val="Gövde metni + 0 pt boşluk bırakılıyor Exact1"/>
    <w:uiPriority w:val="99"/>
    <w:rPr>
      <w:rFonts w:ascii="Times New Roman" w:hAnsi="Times New Roman" w:cs="Times New Roman"/>
      <w:spacing w:val="1"/>
      <w:sz w:val="19"/>
      <w:szCs w:val="19"/>
      <w:u w:val="none"/>
    </w:rPr>
  </w:style>
  <w:style w:type="character" w:customStyle="1" w:styleId="Gvdemetni52Exact">
    <w:name w:val="Gövde metni (52) Exact"/>
    <w:link w:val="Gvdemetni521"/>
    <w:uiPriority w:val="99"/>
    <w:locked/>
    <w:rPr>
      <w:rFonts w:ascii="Times New Roman" w:hAnsi="Times New Roman" w:cs="Times New Roman"/>
      <w:spacing w:val="-4"/>
      <w:sz w:val="15"/>
      <w:szCs w:val="15"/>
      <w:u w:val="none"/>
    </w:rPr>
  </w:style>
  <w:style w:type="character" w:customStyle="1" w:styleId="Gvdemetni529">
    <w:name w:val="Gövde metni (52) + 9"/>
    <w:aliases w:val="5 pt21,0 pt boşluk bırakılıyor Exact1"/>
    <w:uiPriority w:val="99"/>
    <w:rPr>
      <w:rFonts w:ascii="Times New Roman" w:hAnsi="Times New Roman" w:cs="Times New Roman"/>
      <w:spacing w:val="1"/>
      <w:sz w:val="19"/>
      <w:szCs w:val="19"/>
      <w:u w:val="none"/>
    </w:rPr>
  </w:style>
  <w:style w:type="character" w:customStyle="1" w:styleId="Gvdemetni512">
    <w:name w:val="Gövde metni (51)_"/>
    <w:link w:val="Gvdemetni513"/>
    <w:uiPriority w:val="99"/>
    <w:locked/>
    <w:rPr>
      <w:rFonts w:ascii="Impact" w:hAnsi="Impact" w:cs="Impact"/>
      <w:spacing w:val="20"/>
      <w:sz w:val="14"/>
      <w:szCs w:val="14"/>
      <w:u w:val="none"/>
    </w:rPr>
  </w:style>
  <w:style w:type="character" w:customStyle="1" w:styleId="Gvdemetni64">
    <w:name w:val="Gövde metni6"/>
    <w:uiPriority w:val="99"/>
  </w:style>
  <w:style w:type="character" w:customStyle="1" w:styleId="Gvdemetni53">
    <w:name w:val="Gövde metni5"/>
    <w:uiPriority w:val="99"/>
    <w:rPr>
      <w:rFonts w:ascii="Times New Roman" w:hAnsi="Times New Roman" w:cs="Times New Roman"/>
      <w:noProof/>
      <w:sz w:val="21"/>
      <w:szCs w:val="21"/>
      <w:u w:val="none"/>
    </w:rPr>
  </w:style>
  <w:style w:type="character" w:customStyle="1" w:styleId="Gvdemetni4b">
    <w:name w:val="Gövde metni4"/>
    <w:uiPriority w:val="99"/>
    <w:rPr>
      <w:rFonts w:ascii="Times New Roman" w:hAnsi="Times New Roman" w:cs="Times New Roman"/>
      <w:noProof/>
      <w:sz w:val="21"/>
      <w:szCs w:val="21"/>
      <w:u w:val="none"/>
    </w:rPr>
  </w:style>
  <w:style w:type="character" w:customStyle="1" w:styleId="Gvdemetni1180">
    <w:name w:val="Gövde metni + 118"/>
    <w:aliases w:val="5 pt20"/>
    <w:uiPriority w:val="99"/>
    <w:rPr>
      <w:rFonts w:ascii="Times New Roman" w:hAnsi="Times New Roman" w:cs="Times New Roman"/>
      <w:noProof/>
      <w:sz w:val="237"/>
      <w:szCs w:val="237"/>
      <w:u w:val="none"/>
    </w:rPr>
  </w:style>
  <w:style w:type="character" w:customStyle="1" w:styleId="GvdemetniImpact1">
    <w:name w:val="Gövde metni + Impact1"/>
    <w:aliases w:val="82 pt"/>
    <w:uiPriority w:val="99"/>
    <w:rPr>
      <w:rFonts w:ascii="Impact" w:hAnsi="Impact" w:cs="Impact"/>
      <w:noProof/>
      <w:sz w:val="164"/>
      <w:szCs w:val="164"/>
      <w:u w:val="none"/>
    </w:rPr>
  </w:style>
  <w:style w:type="character" w:customStyle="1" w:styleId="Tabloyazs11">
    <w:name w:val="Tablo yazısı (11)_"/>
    <w:link w:val="Tabloyazs110"/>
    <w:uiPriority w:val="99"/>
    <w:locked/>
    <w:rPr>
      <w:rFonts w:ascii="Franklin Gothic Heavy" w:hAnsi="Franklin Gothic Heavy" w:cs="Franklin Gothic Heavy"/>
      <w:sz w:val="15"/>
      <w:szCs w:val="15"/>
      <w:u w:val="none"/>
    </w:rPr>
  </w:style>
  <w:style w:type="character" w:customStyle="1" w:styleId="Tabloyazs12">
    <w:name w:val="Tablo yazısı (12)_"/>
    <w:link w:val="Tabloyazs120"/>
    <w:uiPriority w:val="99"/>
    <w:locked/>
    <w:rPr>
      <w:rFonts w:ascii="Times New Roman" w:hAnsi="Times New Roman" w:cs="Times New Roman"/>
      <w:sz w:val="16"/>
      <w:szCs w:val="16"/>
      <w:u w:val="none"/>
    </w:rPr>
  </w:style>
  <w:style w:type="character" w:customStyle="1" w:styleId="Tabloyazs13">
    <w:name w:val="Tablo yazısı (13)_"/>
    <w:link w:val="Tabloyazs130"/>
    <w:uiPriority w:val="99"/>
    <w:locked/>
    <w:rPr>
      <w:rFonts w:ascii="Arial" w:hAnsi="Arial" w:cs="Arial"/>
      <w:b/>
      <w:bCs/>
      <w:sz w:val="15"/>
      <w:szCs w:val="15"/>
      <w:u w:val="none"/>
    </w:rPr>
  </w:style>
  <w:style w:type="character" w:customStyle="1" w:styleId="Tabloyazs14">
    <w:name w:val="Tablo yazısı (14)_"/>
    <w:link w:val="Tabloyazs140"/>
    <w:uiPriority w:val="99"/>
    <w:locked/>
    <w:rPr>
      <w:rFonts w:ascii="Times New Roman" w:hAnsi="Times New Roman" w:cs="Times New Roman"/>
      <w:b/>
      <w:bCs/>
      <w:sz w:val="16"/>
      <w:szCs w:val="16"/>
      <w:u w:val="none"/>
    </w:rPr>
  </w:style>
  <w:style w:type="character" w:customStyle="1" w:styleId="Tabloyazs15">
    <w:name w:val="Tablo yazısı (15)_"/>
    <w:link w:val="Tabloyazs150"/>
    <w:uiPriority w:val="99"/>
    <w:locked/>
    <w:rPr>
      <w:rFonts w:ascii="Times New Roman" w:hAnsi="Times New Roman" w:cs="Times New Roman"/>
      <w:sz w:val="16"/>
      <w:szCs w:val="16"/>
      <w:u w:val="none"/>
    </w:rPr>
  </w:style>
  <w:style w:type="character" w:customStyle="1" w:styleId="Resimyazs38">
    <w:name w:val="Resim yazısı (38)_"/>
    <w:link w:val="Resimyazs380"/>
    <w:uiPriority w:val="99"/>
    <w:locked/>
    <w:rPr>
      <w:rFonts w:ascii="Arial" w:hAnsi="Arial" w:cs="Arial"/>
      <w:b/>
      <w:bCs/>
      <w:sz w:val="15"/>
      <w:szCs w:val="15"/>
      <w:u w:val="none"/>
    </w:rPr>
  </w:style>
  <w:style w:type="character" w:customStyle="1" w:styleId="Gvdemetni510pt8">
    <w:name w:val="Gövde metni (5) + 10 pt8"/>
    <w:uiPriority w:val="99"/>
    <w:rPr>
      <w:rFonts w:ascii="Times New Roman" w:hAnsi="Times New Roman" w:cs="Times New Roman"/>
      <w:sz w:val="20"/>
      <w:szCs w:val="20"/>
      <w:u w:val="none"/>
    </w:rPr>
  </w:style>
  <w:style w:type="character" w:customStyle="1" w:styleId="Gvdemetni94">
    <w:name w:val="Gövde metni + 94"/>
    <w:aliases w:val="5 pt19"/>
    <w:uiPriority w:val="99"/>
    <w:rPr>
      <w:rFonts w:ascii="Times New Roman" w:hAnsi="Times New Roman" w:cs="Times New Roman"/>
      <w:sz w:val="19"/>
      <w:szCs w:val="19"/>
      <w:u w:val="none"/>
    </w:rPr>
  </w:style>
  <w:style w:type="character" w:customStyle="1" w:styleId="Gvdemetni830">
    <w:name w:val="Gövde metni + 83"/>
    <w:aliases w:val="5 pt18,İtalik12"/>
    <w:uiPriority w:val="99"/>
    <w:rPr>
      <w:rFonts w:ascii="Times New Roman" w:hAnsi="Times New Roman" w:cs="Times New Roman"/>
      <w:i/>
      <w:iCs/>
      <w:sz w:val="17"/>
      <w:szCs w:val="17"/>
      <w:u w:val="none"/>
    </w:rPr>
  </w:style>
  <w:style w:type="character" w:customStyle="1" w:styleId="Gvdemetni710pt3">
    <w:name w:val="Gövde metni (7) + 10 pt3"/>
    <w:uiPriority w:val="99"/>
    <w:rPr>
      <w:rFonts w:ascii="Times New Roman" w:hAnsi="Times New Roman" w:cs="Times New Roman"/>
      <w:b/>
      <w:bCs/>
      <w:sz w:val="20"/>
      <w:szCs w:val="20"/>
      <w:u w:val="none"/>
    </w:rPr>
  </w:style>
  <w:style w:type="character" w:customStyle="1" w:styleId="Gvdemetni3a">
    <w:name w:val="Gövde metni3"/>
    <w:uiPriority w:val="99"/>
  </w:style>
  <w:style w:type="character" w:customStyle="1" w:styleId="Gvdemetni10pt6">
    <w:name w:val="Gövde metni + 10 pt6"/>
    <w:aliases w:val="Kalın15"/>
    <w:uiPriority w:val="99"/>
    <w:rPr>
      <w:rFonts w:ascii="Times New Roman" w:hAnsi="Times New Roman" w:cs="Times New Roman"/>
      <w:b/>
      <w:bCs/>
      <w:sz w:val="20"/>
      <w:szCs w:val="20"/>
      <w:u w:val="none"/>
    </w:rPr>
  </w:style>
  <w:style w:type="character" w:customStyle="1" w:styleId="Gvdemetni2a">
    <w:name w:val="Gövde metni2"/>
    <w:uiPriority w:val="99"/>
    <w:rPr>
      <w:rFonts w:ascii="Times New Roman" w:hAnsi="Times New Roman" w:cs="Times New Roman"/>
      <w:sz w:val="21"/>
      <w:szCs w:val="21"/>
      <w:u w:val="single"/>
    </w:rPr>
  </w:style>
  <w:style w:type="character" w:customStyle="1" w:styleId="Balk211pt1">
    <w:name w:val="Başlık #2 + 11 pt1"/>
    <w:uiPriority w:val="99"/>
    <w:rPr>
      <w:rFonts w:ascii="Arial" w:hAnsi="Arial" w:cs="Arial"/>
      <w:b/>
      <w:bCs/>
      <w:sz w:val="22"/>
      <w:szCs w:val="22"/>
      <w:u w:val="none"/>
    </w:rPr>
  </w:style>
  <w:style w:type="character" w:customStyle="1" w:styleId="Balk620">
    <w:name w:val="Başlık #6 (2)_"/>
    <w:link w:val="Balk621"/>
    <w:uiPriority w:val="99"/>
    <w:locked/>
    <w:rPr>
      <w:rFonts w:ascii="Times New Roman" w:hAnsi="Times New Roman" w:cs="Times New Roman"/>
      <w:b/>
      <w:bCs/>
      <w:sz w:val="20"/>
      <w:szCs w:val="20"/>
      <w:u w:val="none"/>
    </w:rPr>
  </w:style>
  <w:style w:type="character" w:customStyle="1" w:styleId="Gvdemetni93">
    <w:name w:val="Gövde metni + 93"/>
    <w:aliases w:val="5 pt17,Kalın14,İtalik11"/>
    <w:uiPriority w:val="99"/>
    <w:rPr>
      <w:rFonts w:ascii="Times New Roman" w:hAnsi="Times New Roman" w:cs="Times New Roman"/>
      <w:b/>
      <w:bCs/>
      <w:i/>
      <w:iCs/>
      <w:noProof/>
      <w:sz w:val="19"/>
      <w:szCs w:val="19"/>
      <w:u w:val="single"/>
    </w:rPr>
  </w:style>
  <w:style w:type="character" w:customStyle="1" w:styleId="Resimyazs372">
    <w:name w:val="Resim yazısı (37)2"/>
    <w:uiPriority w:val="99"/>
  </w:style>
  <w:style w:type="character" w:customStyle="1" w:styleId="Gvdemetni1182">
    <w:name w:val="Gövde metni (11) + 82"/>
    <w:aliases w:val="5 pt16,İtalik10"/>
    <w:uiPriority w:val="99"/>
    <w:rPr>
      <w:rFonts w:ascii="Times New Roman" w:hAnsi="Times New Roman" w:cs="Times New Roman"/>
      <w:i/>
      <w:iCs/>
      <w:sz w:val="17"/>
      <w:szCs w:val="17"/>
      <w:u w:val="none"/>
    </w:rPr>
  </w:style>
  <w:style w:type="character" w:customStyle="1" w:styleId="Gvdemetni1181">
    <w:name w:val="Gövde metni (11) + 81"/>
    <w:aliases w:val="5 pt15,İtalik9"/>
    <w:uiPriority w:val="99"/>
    <w:rPr>
      <w:rFonts w:ascii="Times New Roman" w:hAnsi="Times New Roman" w:cs="Times New Roman"/>
      <w:i/>
      <w:iCs/>
      <w:noProof/>
      <w:sz w:val="17"/>
      <w:szCs w:val="17"/>
      <w:u w:val="single"/>
    </w:rPr>
  </w:style>
  <w:style w:type="character" w:customStyle="1" w:styleId="Gvdemetni1191">
    <w:name w:val="Gövde metni (11) + 91"/>
    <w:aliases w:val="5 pt14"/>
    <w:uiPriority w:val="99"/>
    <w:rPr>
      <w:rFonts w:ascii="Times New Roman" w:hAnsi="Times New Roman" w:cs="Times New Roman"/>
      <w:sz w:val="19"/>
      <w:szCs w:val="19"/>
      <w:u w:val="single"/>
    </w:rPr>
  </w:style>
  <w:style w:type="character" w:customStyle="1" w:styleId="Gvdemetni310pt1">
    <w:name w:val="Gövde metni (3) + 10 pt1"/>
    <w:aliases w:val="Kalın13"/>
    <w:uiPriority w:val="99"/>
    <w:rPr>
      <w:rFonts w:ascii="Times New Roman" w:hAnsi="Times New Roman" w:cs="Times New Roman"/>
      <w:b/>
      <w:bCs/>
      <w:sz w:val="20"/>
      <w:szCs w:val="20"/>
      <w:u w:val="none"/>
    </w:rPr>
  </w:style>
  <w:style w:type="character" w:customStyle="1" w:styleId="Gvdemetni610">
    <w:name w:val="Gövde metni + 61"/>
    <w:aliases w:val="5 pt13"/>
    <w:uiPriority w:val="99"/>
    <w:rPr>
      <w:rFonts w:ascii="Times New Roman" w:hAnsi="Times New Roman" w:cs="Times New Roman"/>
      <w:sz w:val="13"/>
      <w:szCs w:val="13"/>
      <w:u w:val="none"/>
    </w:rPr>
  </w:style>
  <w:style w:type="character" w:customStyle="1" w:styleId="Tabloyazs20">
    <w:name w:val="Tablo yazısı (2)"/>
    <w:uiPriority w:val="99"/>
  </w:style>
  <w:style w:type="character" w:customStyle="1" w:styleId="Balk63">
    <w:name w:val="Başlık #6 (3)_"/>
    <w:link w:val="Balk630"/>
    <w:uiPriority w:val="99"/>
    <w:locked/>
    <w:rPr>
      <w:rFonts w:ascii="Times New Roman" w:hAnsi="Times New Roman" w:cs="Times New Roman"/>
      <w:sz w:val="21"/>
      <w:szCs w:val="21"/>
      <w:u w:val="none"/>
    </w:rPr>
  </w:style>
  <w:style w:type="character" w:customStyle="1" w:styleId="GvdemetniLucidaSansUnicode">
    <w:name w:val="Gövde metni + Lucida Sans Unicode"/>
    <w:aliases w:val="11,5 pt12"/>
    <w:uiPriority w:val="99"/>
    <w:rPr>
      <w:rFonts w:ascii="Lucida Sans Unicode" w:hAnsi="Lucida Sans Unicode" w:cs="Lucida Sans Unicode"/>
      <w:noProof/>
      <w:sz w:val="23"/>
      <w:szCs w:val="23"/>
      <w:u w:val="none"/>
    </w:rPr>
  </w:style>
  <w:style w:type="character" w:customStyle="1" w:styleId="Balk62LucidaSansUnicode">
    <w:name w:val="Başlık #6 (2) + Lucida Sans Unicode"/>
    <w:aliases w:val="114,5 pt11,Kalın Değil5"/>
    <w:uiPriority w:val="99"/>
    <w:rPr>
      <w:rFonts w:ascii="Lucida Sans Unicode" w:hAnsi="Lucida Sans Unicode" w:cs="Lucida Sans Unicode"/>
      <w:b w:val="0"/>
      <w:bCs w:val="0"/>
      <w:noProof/>
      <w:sz w:val="23"/>
      <w:szCs w:val="23"/>
      <w:u w:val="none"/>
    </w:rPr>
  </w:style>
  <w:style w:type="character" w:customStyle="1" w:styleId="stbilgiveyaaltbilgi10pt3">
    <w:name w:val="Üst bilgi veya alt bilgi + 10 pt3"/>
    <w:aliases w:val="Kalın Değil4"/>
    <w:uiPriority w:val="99"/>
    <w:rPr>
      <w:rFonts w:ascii="Times New Roman" w:hAnsi="Times New Roman" w:cs="Times New Roman"/>
      <w:b w:val="0"/>
      <w:bCs w:val="0"/>
      <w:sz w:val="20"/>
      <w:szCs w:val="20"/>
      <w:u w:val="none"/>
    </w:rPr>
  </w:style>
  <w:style w:type="character" w:customStyle="1" w:styleId="GvdemetniKkBykHarf1">
    <w:name w:val="Gövde metni + Küçük Büyük Harf1"/>
    <w:uiPriority w:val="99"/>
    <w:rPr>
      <w:rFonts w:ascii="Times New Roman" w:hAnsi="Times New Roman" w:cs="Times New Roman"/>
      <w:smallCaps/>
      <w:sz w:val="21"/>
      <w:szCs w:val="21"/>
      <w:u w:val="none"/>
    </w:rPr>
  </w:style>
  <w:style w:type="character" w:customStyle="1" w:styleId="Gvdemetni710pt2">
    <w:name w:val="Gövde metni (7) + 10 pt2"/>
    <w:uiPriority w:val="99"/>
    <w:rPr>
      <w:rFonts w:ascii="Times New Roman" w:hAnsi="Times New Roman" w:cs="Times New Roman"/>
      <w:b/>
      <w:bCs/>
      <w:sz w:val="20"/>
      <w:szCs w:val="20"/>
      <w:u w:val="single"/>
    </w:rPr>
  </w:style>
  <w:style w:type="character" w:customStyle="1" w:styleId="Gvdemetni142">
    <w:name w:val="Gövde metni (14)"/>
    <w:uiPriority w:val="99"/>
  </w:style>
  <w:style w:type="character" w:customStyle="1" w:styleId="Gvdemetni3011pt1">
    <w:name w:val="Gövde metni (30) + 11 pt1"/>
    <w:uiPriority w:val="99"/>
    <w:rPr>
      <w:rFonts w:ascii="Arial" w:hAnsi="Arial" w:cs="Arial"/>
      <w:b/>
      <w:bCs/>
      <w:sz w:val="22"/>
      <w:szCs w:val="22"/>
      <w:u w:val="none"/>
    </w:rPr>
  </w:style>
  <w:style w:type="character" w:customStyle="1" w:styleId="Gvdemetni143">
    <w:name w:val="Gövde metni (14)3"/>
    <w:uiPriority w:val="99"/>
    <w:rPr>
      <w:rFonts w:ascii="Times New Roman" w:hAnsi="Times New Roman" w:cs="Times New Roman"/>
      <w:b/>
      <w:bCs/>
      <w:i/>
      <w:iCs/>
      <w:sz w:val="20"/>
      <w:szCs w:val="20"/>
      <w:u w:val="single"/>
    </w:rPr>
  </w:style>
  <w:style w:type="character" w:customStyle="1" w:styleId="Balk63KkBykHarf">
    <w:name w:val="Başlık #6 (3) + Küçük Büyük Harf"/>
    <w:uiPriority w:val="99"/>
    <w:rPr>
      <w:rFonts w:ascii="Times New Roman" w:hAnsi="Times New Roman" w:cs="Times New Roman"/>
      <w:smallCaps/>
      <w:sz w:val="21"/>
      <w:szCs w:val="21"/>
      <w:u w:val="none"/>
    </w:rPr>
  </w:style>
  <w:style w:type="character" w:customStyle="1" w:styleId="Balk6310pt">
    <w:name w:val="Başlık #6 (3) + 10 pt"/>
    <w:aliases w:val="Kalın12,İtalik8"/>
    <w:uiPriority w:val="99"/>
    <w:rPr>
      <w:rFonts w:ascii="Times New Roman" w:hAnsi="Times New Roman" w:cs="Times New Roman"/>
      <w:b/>
      <w:bCs/>
      <w:i/>
      <w:iCs/>
      <w:sz w:val="20"/>
      <w:szCs w:val="20"/>
      <w:u w:val="none"/>
    </w:rPr>
  </w:style>
  <w:style w:type="character" w:customStyle="1" w:styleId="Balk6310pt1">
    <w:name w:val="Başlık #6 (3) + 10 pt1"/>
    <w:aliases w:val="Kalın11"/>
    <w:uiPriority w:val="99"/>
    <w:rPr>
      <w:rFonts w:ascii="Times New Roman" w:hAnsi="Times New Roman" w:cs="Times New Roman"/>
      <w:b/>
      <w:bCs/>
      <w:noProof/>
      <w:sz w:val="20"/>
      <w:szCs w:val="20"/>
      <w:u w:val="none"/>
    </w:rPr>
  </w:style>
  <w:style w:type="character" w:customStyle="1" w:styleId="Gvdemetni10pt5">
    <w:name w:val="Gövde metni + 10 pt5"/>
    <w:aliases w:val="Kalın10,İtalik7"/>
    <w:uiPriority w:val="99"/>
    <w:rPr>
      <w:rFonts w:ascii="Times New Roman" w:hAnsi="Times New Roman" w:cs="Times New Roman"/>
      <w:b/>
      <w:bCs/>
      <w:i/>
      <w:iCs/>
      <w:sz w:val="20"/>
      <w:szCs w:val="20"/>
      <w:u w:val="none"/>
    </w:rPr>
  </w:style>
  <w:style w:type="character" w:customStyle="1" w:styleId="Gvdemetni10pt4">
    <w:name w:val="Gövde metni + 10 pt4"/>
    <w:aliases w:val="Kalın9"/>
    <w:uiPriority w:val="99"/>
    <w:rPr>
      <w:rFonts w:ascii="Times New Roman" w:hAnsi="Times New Roman" w:cs="Times New Roman"/>
      <w:b/>
      <w:bCs/>
      <w:noProof/>
      <w:sz w:val="20"/>
      <w:szCs w:val="20"/>
      <w:u w:val="none"/>
    </w:rPr>
  </w:style>
  <w:style w:type="character" w:customStyle="1" w:styleId="Gvdemetni920">
    <w:name w:val="Gövde metni + 92"/>
    <w:aliases w:val="5 pt10,Kalın8,İtalik6"/>
    <w:uiPriority w:val="99"/>
    <w:rPr>
      <w:rFonts w:ascii="Times New Roman" w:hAnsi="Times New Roman" w:cs="Times New Roman"/>
      <w:b/>
      <w:bCs/>
      <w:i/>
      <w:iCs/>
      <w:sz w:val="19"/>
      <w:szCs w:val="19"/>
      <w:u w:val="none"/>
    </w:rPr>
  </w:style>
  <w:style w:type="character" w:customStyle="1" w:styleId="Balk62KkBykHarf">
    <w:name w:val="Başlık #6 (2) + Küçük Büyük Harf"/>
    <w:uiPriority w:val="99"/>
    <w:rPr>
      <w:rFonts w:ascii="Times New Roman" w:hAnsi="Times New Roman" w:cs="Times New Roman"/>
      <w:b/>
      <w:bCs/>
      <w:smallCaps/>
      <w:sz w:val="20"/>
      <w:szCs w:val="20"/>
      <w:u w:val="none"/>
    </w:rPr>
  </w:style>
  <w:style w:type="character" w:customStyle="1" w:styleId="Balk629">
    <w:name w:val="Başlık #6 (2) + 9"/>
    <w:aliases w:val="5 pt9,İtalik5"/>
    <w:uiPriority w:val="99"/>
    <w:rPr>
      <w:rFonts w:ascii="Times New Roman" w:hAnsi="Times New Roman" w:cs="Times New Roman"/>
      <w:b/>
      <w:bCs/>
      <w:i/>
      <w:iCs/>
      <w:sz w:val="19"/>
      <w:szCs w:val="19"/>
      <w:u w:val="none"/>
    </w:rPr>
  </w:style>
  <w:style w:type="character" w:customStyle="1" w:styleId="Balk6210">
    <w:name w:val="Başlık #6 (2) + 10"/>
    <w:aliases w:val="5 pt8,Kalın Değil3"/>
    <w:uiPriority w:val="99"/>
    <w:rPr>
      <w:rFonts w:ascii="Times New Roman" w:hAnsi="Times New Roman" w:cs="Times New Roman"/>
      <w:b w:val="0"/>
      <w:bCs w:val="0"/>
      <w:noProof/>
      <w:sz w:val="21"/>
      <w:szCs w:val="21"/>
      <w:u w:val="none"/>
    </w:rPr>
  </w:style>
  <w:style w:type="character" w:customStyle="1" w:styleId="Balk622">
    <w:name w:val="Başlık #6 (2)"/>
    <w:uiPriority w:val="99"/>
    <w:rPr>
      <w:rFonts w:ascii="Times New Roman" w:hAnsi="Times New Roman" w:cs="Times New Roman"/>
      <w:b/>
      <w:bCs/>
      <w:sz w:val="20"/>
      <w:szCs w:val="20"/>
      <w:u w:val="single"/>
    </w:rPr>
  </w:style>
  <w:style w:type="character" w:customStyle="1" w:styleId="Gvdemetni65">
    <w:name w:val="Gövde metni (6)"/>
    <w:uiPriority w:val="99"/>
  </w:style>
  <w:style w:type="character" w:customStyle="1" w:styleId="Gvdemetni6talik4">
    <w:name w:val="Gövde metni (6) + İtalik4"/>
    <w:uiPriority w:val="99"/>
    <w:rPr>
      <w:rFonts w:ascii="Times New Roman" w:hAnsi="Times New Roman" w:cs="Times New Roman"/>
      <w:b/>
      <w:bCs/>
      <w:i/>
      <w:iCs/>
      <w:sz w:val="20"/>
      <w:szCs w:val="20"/>
      <w:u w:val="none"/>
    </w:rPr>
  </w:style>
  <w:style w:type="character" w:customStyle="1" w:styleId="Gvdemetni630">
    <w:name w:val="Gövde metni (6)3"/>
    <w:uiPriority w:val="99"/>
    <w:rPr>
      <w:rFonts w:ascii="Times New Roman" w:hAnsi="Times New Roman" w:cs="Times New Roman"/>
      <w:b/>
      <w:bCs/>
      <w:sz w:val="20"/>
      <w:szCs w:val="20"/>
      <w:u w:val="single"/>
    </w:rPr>
  </w:style>
  <w:style w:type="character" w:customStyle="1" w:styleId="Gvdemetni6talik3">
    <w:name w:val="Gövde metni (6) + İtalik3"/>
    <w:uiPriority w:val="99"/>
    <w:rPr>
      <w:rFonts w:ascii="Times New Roman" w:hAnsi="Times New Roman" w:cs="Times New Roman"/>
      <w:b/>
      <w:bCs/>
      <w:i/>
      <w:iCs/>
      <w:sz w:val="20"/>
      <w:szCs w:val="20"/>
      <w:u w:val="single"/>
    </w:rPr>
  </w:style>
  <w:style w:type="character" w:customStyle="1" w:styleId="stbilgiveyaaltbilgi2">
    <w:name w:val="Üst bilgi veya alt bilgi2"/>
    <w:uiPriority w:val="99"/>
  </w:style>
  <w:style w:type="character" w:customStyle="1" w:styleId="Gvdemetni7LucidaSansUnicode">
    <w:name w:val="Gövde metni (7) + Lucida Sans Unicode"/>
    <w:aliases w:val="113,5 pt7,Kalın Değil2"/>
    <w:uiPriority w:val="99"/>
    <w:rPr>
      <w:rFonts w:ascii="Lucida Sans Unicode" w:hAnsi="Lucida Sans Unicode" w:cs="Lucida Sans Unicode"/>
      <w:b w:val="0"/>
      <w:bCs w:val="0"/>
      <w:noProof/>
      <w:sz w:val="23"/>
      <w:szCs w:val="23"/>
      <w:u w:val="none"/>
    </w:rPr>
  </w:style>
  <w:style w:type="character" w:customStyle="1" w:styleId="Gvdemetni710pt1">
    <w:name w:val="Gövde metni (7) + 10 pt1"/>
    <w:aliases w:val="Küçük Büyük Harf4"/>
    <w:uiPriority w:val="99"/>
    <w:rPr>
      <w:rFonts w:ascii="Times New Roman" w:hAnsi="Times New Roman" w:cs="Times New Roman"/>
      <w:b/>
      <w:bCs/>
      <w:smallCaps/>
      <w:sz w:val="20"/>
      <w:szCs w:val="20"/>
      <w:u w:val="none"/>
    </w:rPr>
  </w:style>
  <w:style w:type="character" w:customStyle="1" w:styleId="Gvdemetni9pt1">
    <w:name w:val="Gövde metni + 9 pt1"/>
    <w:aliases w:val="İtalik4"/>
    <w:uiPriority w:val="99"/>
    <w:rPr>
      <w:rFonts w:ascii="Times New Roman" w:hAnsi="Times New Roman" w:cs="Times New Roman"/>
      <w:i/>
      <w:iCs/>
      <w:sz w:val="18"/>
      <w:szCs w:val="18"/>
      <w:u w:val="none"/>
    </w:rPr>
  </w:style>
  <w:style w:type="character" w:customStyle="1" w:styleId="Gvdemetni918">
    <w:name w:val="Gövde metni + 91"/>
    <w:aliases w:val="5 pt6,Küçük Büyük Harf3"/>
    <w:uiPriority w:val="99"/>
    <w:rPr>
      <w:rFonts w:ascii="Times New Roman" w:hAnsi="Times New Roman" w:cs="Times New Roman"/>
      <w:smallCaps/>
      <w:sz w:val="19"/>
      <w:szCs w:val="19"/>
      <w:u w:val="none"/>
    </w:rPr>
  </w:style>
  <w:style w:type="character" w:customStyle="1" w:styleId="Gvdemetni510pt7">
    <w:name w:val="Gövde metni (5) + 10 pt7"/>
    <w:uiPriority w:val="99"/>
    <w:rPr>
      <w:rFonts w:ascii="Times New Roman" w:hAnsi="Times New Roman" w:cs="Times New Roman"/>
      <w:sz w:val="20"/>
      <w:szCs w:val="20"/>
      <w:u w:val="none"/>
    </w:rPr>
  </w:style>
  <w:style w:type="character" w:customStyle="1" w:styleId="Gvdemetni56pt1">
    <w:name w:val="Gövde metni (5) + 6 pt1"/>
    <w:uiPriority w:val="99"/>
    <w:rPr>
      <w:rFonts w:ascii="Times New Roman" w:hAnsi="Times New Roman" w:cs="Times New Roman"/>
      <w:noProof/>
      <w:sz w:val="12"/>
      <w:szCs w:val="12"/>
      <w:u w:val="none"/>
    </w:rPr>
  </w:style>
  <w:style w:type="character" w:customStyle="1" w:styleId="Gvdemetni510pt6">
    <w:name w:val="Gövde metni (5) + 10 pt6"/>
    <w:uiPriority w:val="99"/>
    <w:rPr>
      <w:rFonts w:ascii="Times New Roman" w:hAnsi="Times New Roman" w:cs="Times New Roman"/>
      <w:sz w:val="20"/>
      <w:szCs w:val="20"/>
      <w:u w:val="single"/>
    </w:rPr>
  </w:style>
  <w:style w:type="character" w:customStyle="1" w:styleId="Balk530">
    <w:name w:val="Başlık #5 (3)_"/>
    <w:link w:val="Balk531"/>
    <w:uiPriority w:val="99"/>
    <w:locked/>
    <w:rPr>
      <w:rFonts w:ascii="Times New Roman" w:hAnsi="Times New Roman" w:cs="Times New Roman"/>
      <w:b/>
      <w:bCs/>
      <w:sz w:val="20"/>
      <w:szCs w:val="20"/>
      <w:u w:val="none"/>
    </w:rPr>
  </w:style>
  <w:style w:type="character" w:customStyle="1" w:styleId="Gvdemetni510pt5">
    <w:name w:val="Gövde metni (5) + 10 pt5"/>
    <w:aliases w:val="Küçük Büyük Harf2"/>
    <w:uiPriority w:val="99"/>
    <w:rPr>
      <w:rFonts w:ascii="Times New Roman" w:hAnsi="Times New Roman" w:cs="Times New Roman"/>
      <w:smallCaps/>
      <w:sz w:val="20"/>
      <w:szCs w:val="20"/>
      <w:u w:val="none"/>
    </w:rPr>
  </w:style>
  <w:style w:type="character" w:customStyle="1" w:styleId="Gvdemetni1420">
    <w:name w:val="Gövde metni (14)2"/>
    <w:uiPriority w:val="99"/>
  </w:style>
  <w:style w:type="character" w:customStyle="1" w:styleId="Balk1Arial1">
    <w:name w:val="Başlık #1 + Arial1"/>
    <w:aliases w:val="112,5 pt5,Kalın7,0 pt boşluk bırakılıyor1"/>
    <w:uiPriority w:val="99"/>
    <w:rPr>
      <w:rFonts w:ascii="Arial" w:hAnsi="Arial" w:cs="Arial"/>
      <w:b/>
      <w:bCs/>
      <w:spacing w:val="0"/>
      <w:sz w:val="23"/>
      <w:szCs w:val="23"/>
      <w:u w:val="none"/>
    </w:rPr>
  </w:style>
  <w:style w:type="character" w:customStyle="1" w:styleId="Gvdemetni10pt3">
    <w:name w:val="Gövde metni + 10 pt3"/>
    <w:aliases w:val="Kalın6"/>
    <w:uiPriority w:val="99"/>
    <w:rPr>
      <w:rFonts w:ascii="Times New Roman" w:hAnsi="Times New Roman" w:cs="Times New Roman"/>
      <w:b/>
      <w:bCs/>
      <w:sz w:val="20"/>
      <w:szCs w:val="20"/>
      <w:u w:val="none"/>
    </w:rPr>
  </w:style>
  <w:style w:type="character" w:customStyle="1" w:styleId="Gvdemetni10pt2">
    <w:name w:val="Gövde metni + 10 pt2"/>
    <w:uiPriority w:val="99"/>
    <w:rPr>
      <w:rFonts w:ascii="Times New Roman" w:hAnsi="Times New Roman" w:cs="Times New Roman"/>
      <w:sz w:val="20"/>
      <w:szCs w:val="20"/>
      <w:u w:val="none"/>
    </w:rPr>
  </w:style>
  <w:style w:type="character" w:customStyle="1" w:styleId="Gvdemetni821">
    <w:name w:val="Gövde metni + 82"/>
    <w:aliases w:val="5 pt4,Kalın5,İtalik3"/>
    <w:uiPriority w:val="99"/>
    <w:rPr>
      <w:rFonts w:ascii="Times New Roman" w:hAnsi="Times New Roman" w:cs="Times New Roman"/>
      <w:b/>
      <w:bCs/>
      <w:i/>
      <w:iCs/>
      <w:sz w:val="17"/>
      <w:szCs w:val="17"/>
      <w:u w:val="none"/>
    </w:rPr>
  </w:style>
  <w:style w:type="character" w:customStyle="1" w:styleId="Gvdemetni620">
    <w:name w:val="Gövde metni (6)2"/>
    <w:uiPriority w:val="99"/>
  </w:style>
  <w:style w:type="character" w:customStyle="1" w:styleId="Gvdemetni6talik2">
    <w:name w:val="Gövde metni (6) + İtalik2"/>
    <w:uiPriority w:val="99"/>
    <w:rPr>
      <w:rFonts w:ascii="Times New Roman" w:hAnsi="Times New Roman" w:cs="Times New Roman"/>
      <w:b/>
      <w:bCs/>
      <w:i/>
      <w:iCs/>
      <w:sz w:val="20"/>
      <w:szCs w:val="20"/>
      <w:u w:val="single"/>
    </w:rPr>
  </w:style>
  <w:style w:type="character" w:customStyle="1" w:styleId="Gvdemetni6talik1">
    <w:name w:val="Gövde metni (6) + İtalik1"/>
    <w:uiPriority w:val="99"/>
    <w:rPr>
      <w:rFonts w:ascii="Times New Roman" w:hAnsi="Times New Roman" w:cs="Times New Roman"/>
      <w:b/>
      <w:bCs/>
      <w:i/>
      <w:iCs/>
      <w:sz w:val="20"/>
      <w:szCs w:val="20"/>
      <w:u w:val="none"/>
    </w:rPr>
  </w:style>
  <w:style w:type="character" w:customStyle="1" w:styleId="Gvdemetni510pt4">
    <w:name w:val="Gövde metni (5) + 10 pt4"/>
    <w:aliases w:val="Kalın4"/>
    <w:uiPriority w:val="99"/>
    <w:rPr>
      <w:rFonts w:ascii="Times New Roman" w:hAnsi="Times New Roman" w:cs="Times New Roman"/>
      <w:b/>
      <w:bCs/>
      <w:sz w:val="20"/>
      <w:szCs w:val="20"/>
      <w:u w:val="none"/>
    </w:rPr>
  </w:style>
  <w:style w:type="character" w:customStyle="1" w:styleId="Gvdemetni510pt3">
    <w:name w:val="Gövde metni (5) + 10 pt3"/>
    <w:aliases w:val="Kalın3"/>
    <w:uiPriority w:val="99"/>
    <w:rPr>
      <w:rFonts w:ascii="Times New Roman" w:hAnsi="Times New Roman" w:cs="Times New Roman"/>
      <w:b/>
      <w:bCs/>
      <w:sz w:val="20"/>
      <w:szCs w:val="20"/>
      <w:u w:val="single"/>
    </w:rPr>
  </w:style>
  <w:style w:type="character" w:customStyle="1" w:styleId="Resimyazs39Exact">
    <w:name w:val="Resim yazısı (39) Exact"/>
    <w:link w:val="Resimyazs39"/>
    <w:uiPriority w:val="99"/>
    <w:locked/>
    <w:rPr>
      <w:rFonts w:ascii="Arial" w:hAnsi="Arial" w:cs="Arial"/>
      <w:b/>
      <w:bCs/>
      <w:spacing w:val="2"/>
      <w:sz w:val="21"/>
      <w:szCs w:val="21"/>
      <w:u w:val="none"/>
    </w:rPr>
  </w:style>
  <w:style w:type="character" w:customStyle="1" w:styleId="Gvdemetni190ptbolukbraklyorExact1">
    <w:name w:val="Gövde metni (19) + 0 pt boşluk bırakılıyor Exact1"/>
    <w:uiPriority w:val="99"/>
    <w:rPr>
      <w:rFonts w:ascii="Arial" w:hAnsi="Arial" w:cs="Arial"/>
      <w:b/>
      <w:bCs/>
      <w:sz w:val="18"/>
      <w:szCs w:val="18"/>
      <w:u w:val="none"/>
    </w:rPr>
  </w:style>
  <w:style w:type="character" w:customStyle="1" w:styleId="Gvdemetni302">
    <w:name w:val="Gövde metni (30)"/>
    <w:uiPriority w:val="99"/>
  </w:style>
  <w:style w:type="character" w:customStyle="1" w:styleId="Gvdemetni307">
    <w:name w:val="Gövde metni (30) + 7"/>
    <w:aliases w:val="5 pt3"/>
    <w:uiPriority w:val="99"/>
    <w:rPr>
      <w:rFonts w:ascii="Arial" w:hAnsi="Arial" w:cs="Arial"/>
      <w:b/>
      <w:bCs/>
      <w:noProof/>
      <w:sz w:val="15"/>
      <w:szCs w:val="15"/>
      <w:u w:val="none"/>
    </w:rPr>
  </w:style>
  <w:style w:type="character" w:customStyle="1" w:styleId="Resimyazs2810pt1">
    <w:name w:val="Resim yazısı (28) + 10 pt1"/>
    <w:uiPriority w:val="99"/>
    <w:rPr>
      <w:rFonts w:ascii="Times New Roman" w:hAnsi="Times New Roman" w:cs="Times New Roman"/>
      <w:sz w:val="20"/>
      <w:szCs w:val="20"/>
      <w:u w:val="none"/>
    </w:rPr>
  </w:style>
  <w:style w:type="character" w:customStyle="1" w:styleId="Gvdemetni510pt2">
    <w:name w:val="Gövde metni (5) + 10 pt2"/>
    <w:uiPriority w:val="99"/>
    <w:rPr>
      <w:rFonts w:ascii="Times New Roman" w:hAnsi="Times New Roman" w:cs="Times New Roman"/>
      <w:sz w:val="20"/>
      <w:szCs w:val="20"/>
      <w:u w:val="single"/>
    </w:rPr>
  </w:style>
  <w:style w:type="character" w:customStyle="1" w:styleId="Gvdemetni510pt1">
    <w:name w:val="Gövde metni (5) + 10 pt1"/>
    <w:uiPriority w:val="99"/>
    <w:rPr>
      <w:rFonts w:ascii="Times New Roman" w:hAnsi="Times New Roman" w:cs="Times New Roman"/>
      <w:noProof/>
      <w:sz w:val="20"/>
      <w:szCs w:val="20"/>
      <w:u w:val="none"/>
    </w:rPr>
  </w:style>
  <w:style w:type="character" w:customStyle="1" w:styleId="stbilgiveyaaltbilgi10pt2">
    <w:name w:val="Üst bilgi veya alt bilgi + 10 pt2"/>
    <w:aliases w:val="Kalın Değil1"/>
    <w:uiPriority w:val="99"/>
    <w:rPr>
      <w:rFonts w:ascii="Times New Roman" w:hAnsi="Times New Roman" w:cs="Times New Roman"/>
      <w:b w:val="0"/>
      <w:bCs w:val="0"/>
      <w:sz w:val="20"/>
      <w:szCs w:val="20"/>
      <w:u w:val="none"/>
    </w:rPr>
  </w:style>
  <w:style w:type="character" w:customStyle="1" w:styleId="Gvdemetni6Arial">
    <w:name w:val="Gövde metni (6) + Arial"/>
    <w:aliases w:val="13 pt3,İtalik2"/>
    <w:uiPriority w:val="99"/>
    <w:rPr>
      <w:rFonts w:ascii="Arial" w:hAnsi="Arial" w:cs="Arial"/>
      <w:b/>
      <w:bCs/>
      <w:i/>
      <w:iCs/>
      <w:sz w:val="26"/>
      <w:szCs w:val="26"/>
      <w:u w:val="none"/>
    </w:rPr>
  </w:style>
  <w:style w:type="character" w:customStyle="1" w:styleId="Gvdemetni5LucidaSansUnicode">
    <w:name w:val="Gövde metni (5) + Lucida Sans Unicode"/>
    <w:aliases w:val="111,5 pt2"/>
    <w:uiPriority w:val="99"/>
    <w:rPr>
      <w:rFonts w:ascii="Lucida Sans Unicode" w:hAnsi="Lucida Sans Unicode" w:cs="Lucida Sans Unicode"/>
      <w:sz w:val="23"/>
      <w:szCs w:val="23"/>
      <w:u w:val="none"/>
    </w:rPr>
  </w:style>
  <w:style w:type="character" w:customStyle="1" w:styleId="Tabloyazs16">
    <w:name w:val="Tablo yazısı (16)_"/>
    <w:link w:val="Tabloyazs160"/>
    <w:uiPriority w:val="99"/>
    <w:locked/>
    <w:rPr>
      <w:rFonts w:ascii="Times New Roman" w:hAnsi="Times New Roman" w:cs="Times New Roman"/>
      <w:b/>
      <w:bCs/>
      <w:i/>
      <w:iCs/>
      <w:sz w:val="20"/>
      <w:szCs w:val="20"/>
      <w:u w:val="none"/>
    </w:rPr>
  </w:style>
  <w:style w:type="character" w:customStyle="1" w:styleId="Tabloyazs16Arial">
    <w:name w:val="Tablo yazısı (16) + Arial"/>
    <w:aliases w:val="13 pt2"/>
    <w:uiPriority w:val="99"/>
    <w:rPr>
      <w:rFonts w:ascii="Arial" w:hAnsi="Arial" w:cs="Arial"/>
      <w:b/>
      <w:bCs/>
      <w:i/>
      <w:iCs/>
      <w:sz w:val="26"/>
      <w:szCs w:val="26"/>
      <w:u w:val="none"/>
    </w:rPr>
  </w:style>
  <w:style w:type="character" w:customStyle="1" w:styleId="stbilgiveyaaltbilgi10pt1">
    <w:name w:val="Üst bilgi veya alt bilgi + 10 pt1"/>
    <w:aliases w:val="İtalik1"/>
    <w:uiPriority w:val="99"/>
    <w:rPr>
      <w:rFonts w:ascii="Times New Roman" w:hAnsi="Times New Roman" w:cs="Times New Roman"/>
      <w:b/>
      <w:bCs/>
      <w:i/>
      <w:iCs/>
      <w:sz w:val="20"/>
      <w:szCs w:val="20"/>
      <w:u w:val="none"/>
    </w:rPr>
  </w:style>
  <w:style w:type="character" w:customStyle="1" w:styleId="Gvdemetni14Arial">
    <w:name w:val="Gövde metni (14) + Arial"/>
    <w:aliases w:val="13 pt1"/>
    <w:uiPriority w:val="99"/>
    <w:rPr>
      <w:rFonts w:ascii="Arial" w:hAnsi="Arial" w:cs="Arial"/>
      <w:b/>
      <w:bCs/>
      <w:i/>
      <w:iCs/>
      <w:sz w:val="26"/>
      <w:szCs w:val="26"/>
      <w:u w:val="none"/>
    </w:rPr>
  </w:style>
  <w:style w:type="character" w:customStyle="1" w:styleId="Gvdemetni815">
    <w:name w:val="Gövde metni + 81"/>
    <w:aliases w:val="5 pt1,Kalın2"/>
    <w:uiPriority w:val="99"/>
    <w:rPr>
      <w:rFonts w:ascii="Times New Roman" w:hAnsi="Times New Roman" w:cs="Times New Roman"/>
      <w:b/>
      <w:bCs/>
      <w:sz w:val="17"/>
      <w:szCs w:val="17"/>
      <w:u w:val="none"/>
    </w:rPr>
  </w:style>
  <w:style w:type="character" w:customStyle="1" w:styleId="Gvdemetni59pt1">
    <w:name w:val="Gövde metni (5) + 9 pt1"/>
    <w:aliases w:val="Kalın1"/>
    <w:uiPriority w:val="99"/>
    <w:rPr>
      <w:rFonts w:ascii="Times New Roman" w:hAnsi="Times New Roman" w:cs="Times New Roman"/>
      <w:b/>
      <w:bCs/>
      <w:sz w:val="18"/>
      <w:szCs w:val="18"/>
      <w:u w:val="none"/>
    </w:rPr>
  </w:style>
  <w:style w:type="character" w:customStyle="1" w:styleId="Gvdemetni10pt1">
    <w:name w:val="Gövde metni + 10 pt1"/>
    <w:aliases w:val="Küçük Büyük Harf1"/>
    <w:uiPriority w:val="99"/>
    <w:rPr>
      <w:rFonts w:ascii="Times New Roman" w:hAnsi="Times New Roman" w:cs="Times New Roman"/>
      <w:smallCaps/>
      <w:sz w:val="20"/>
      <w:szCs w:val="20"/>
      <w:u w:val="none"/>
    </w:rPr>
  </w:style>
  <w:style w:type="paragraph" w:customStyle="1" w:styleId="Dipnot1">
    <w:name w:val="Dipnot1"/>
    <w:basedOn w:val="Normal"/>
    <w:link w:val="Dipnot"/>
    <w:uiPriority w:val="99"/>
    <w:pPr>
      <w:shd w:val="clear" w:color="auto" w:fill="FFFFFF"/>
      <w:spacing w:line="250" w:lineRule="exact"/>
    </w:pPr>
    <w:rPr>
      <w:sz w:val="21"/>
      <w:szCs w:val="21"/>
    </w:rPr>
  </w:style>
  <w:style w:type="paragraph" w:customStyle="1" w:styleId="Balk521">
    <w:name w:val="Başlık #5 (2)1"/>
    <w:basedOn w:val="Normal"/>
    <w:link w:val="Balk52"/>
    <w:uiPriority w:val="99"/>
    <w:pPr>
      <w:shd w:val="clear" w:color="auto" w:fill="FFFFFF"/>
      <w:spacing w:before="420" w:after="60" w:line="240" w:lineRule="atLeast"/>
      <w:outlineLvl w:val="4"/>
    </w:pPr>
    <w:rPr>
      <w:b/>
      <w:bCs/>
      <w:sz w:val="19"/>
      <w:szCs w:val="19"/>
    </w:rPr>
  </w:style>
  <w:style w:type="paragraph" w:customStyle="1" w:styleId="Dipnot20">
    <w:name w:val="Dipnot (2)"/>
    <w:basedOn w:val="Normal"/>
    <w:link w:val="Dipnot2"/>
    <w:uiPriority w:val="99"/>
    <w:pPr>
      <w:shd w:val="clear" w:color="auto" w:fill="FFFFFF"/>
      <w:spacing w:after="60" w:line="240" w:lineRule="atLeast"/>
    </w:pPr>
    <w:rPr>
      <w:sz w:val="21"/>
      <w:szCs w:val="21"/>
    </w:rPr>
  </w:style>
  <w:style w:type="paragraph" w:customStyle="1" w:styleId="Dipnot30">
    <w:name w:val="Dipnot (3)"/>
    <w:basedOn w:val="Normal"/>
    <w:link w:val="Dipnot3"/>
    <w:uiPriority w:val="99"/>
    <w:pPr>
      <w:shd w:val="clear" w:color="auto" w:fill="FFFFFF"/>
      <w:spacing w:line="178" w:lineRule="exact"/>
      <w:jc w:val="right"/>
    </w:pPr>
    <w:rPr>
      <w:b/>
      <w:bCs/>
      <w:sz w:val="14"/>
      <w:szCs w:val="14"/>
    </w:rPr>
  </w:style>
  <w:style w:type="paragraph" w:customStyle="1" w:styleId="Dipnot40">
    <w:name w:val="Dipnot (4)"/>
    <w:basedOn w:val="Normal"/>
    <w:link w:val="Dipnot4"/>
    <w:uiPriority w:val="99"/>
    <w:pPr>
      <w:shd w:val="clear" w:color="auto" w:fill="FFFFFF"/>
      <w:spacing w:after="300" w:line="240" w:lineRule="atLeast"/>
      <w:jc w:val="right"/>
    </w:pPr>
    <w:rPr>
      <w:rFonts w:ascii="Arial" w:hAnsi="Arial" w:cs="Arial"/>
      <w:b/>
      <w:bCs/>
      <w:sz w:val="14"/>
      <w:szCs w:val="14"/>
    </w:rPr>
  </w:style>
  <w:style w:type="paragraph" w:customStyle="1" w:styleId="Gvdemetni31">
    <w:name w:val="Gövde metni (3)1"/>
    <w:basedOn w:val="Normal"/>
    <w:link w:val="Gvdemetni3"/>
    <w:uiPriority w:val="99"/>
    <w:pPr>
      <w:shd w:val="clear" w:color="auto" w:fill="FFFFFF"/>
      <w:spacing w:after="60" w:line="240" w:lineRule="atLeast"/>
    </w:pPr>
    <w:rPr>
      <w:sz w:val="19"/>
      <w:szCs w:val="19"/>
    </w:rPr>
  </w:style>
  <w:style w:type="paragraph" w:customStyle="1" w:styleId="Gvdemetni1">
    <w:name w:val="Gövde metni1"/>
    <w:basedOn w:val="Normal"/>
    <w:link w:val="Gvdemetni"/>
    <w:pPr>
      <w:widowControl w:val="0"/>
      <w:shd w:val="clear" w:color="auto" w:fill="FFFFFF"/>
      <w:spacing w:after="300" w:line="269" w:lineRule="exact"/>
      <w:ind w:hanging="720"/>
      <w:jc w:val="both"/>
    </w:pPr>
    <w:rPr>
      <w:sz w:val="21"/>
      <w:szCs w:val="21"/>
    </w:rPr>
  </w:style>
  <w:style w:type="paragraph" w:customStyle="1" w:styleId="Balk11">
    <w:name w:val="Başlık #1"/>
    <w:basedOn w:val="Normal"/>
    <w:link w:val="Balk10"/>
    <w:uiPriority w:val="99"/>
    <w:pPr>
      <w:shd w:val="clear" w:color="auto" w:fill="FFFFFF"/>
      <w:spacing w:before="300" w:after="300" w:line="240" w:lineRule="atLeast"/>
      <w:outlineLvl w:val="0"/>
    </w:pPr>
    <w:rPr>
      <w:spacing w:val="20"/>
      <w:sz w:val="27"/>
      <w:szCs w:val="27"/>
    </w:rPr>
  </w:style>
  <w:style w:type="paragraph" w:customStyle="1" w:styleId="Tabloyazs21">
    <w:name w:val="Tablo yazısı (2)1"/>
    <w:basedOn w:val="Normal"/>
    <w:link w:val="Tabloyazs2"/>
    <w:uiPriority w:val="99"/>
    <w:pPr>
      <w:shd w:val="clear" w:color="auto" w:fill="FFFFFF"/>
      <w:spacing w:line="283" w:lineRule="exact"/>
    </w:pPr>
    <w:rPr>
      <w:sz w:val="21"/>
      <w:szCs w:val="21"/>
    </w:rPr>
  </w:style>
  <w:style w:type="paragraph" w:customStyle="1" w:styleId="Balk31">
    <w:name w:val="Başlık #31"/>
    <w:basedOn w:val="Normal"/>
    <w:link w:val="Balk30"/>
    <w:uiPriority w:val="99"/>
    <w:pPr>
      <w:shd w:val="clear" w:color="auto" w:fill="FFFFFF"/>
      <w:spacing w:before="300" w:after="300" w:line="240" w:lineRule="atLeast"/>
      <w:outlineLvl w:val="2"/>
    </w:pPr>
    <w:rPr>
      <w:sz w:val="19"/>
      <w:szCs w:val="19"/>
    </w:rPr>
  </w:style>
  <w:style w:type="paragraph" w:customStyle="1" w:styleId="stbilgiveyaaltbilgi1">
    <w:name w:val="Üst bilgi veya alt bilgi1"/>
    <w:basedOn w:val="Normal"/>
    <w:link w:val="stbilgiveyaaltbilgi"/>
    <w:uiPriority w:val="99"/>
    <w:pPr>
      <w:shd w:val="clear" w:color="auto" w:fill="FFFFFF"/>
      <w:spacing w:line="240" w:lineRule="atLeast"/>
    </w:pPr>
    <w:rPr>
      <w:b/>
      <w:bCs/>
      <w:sz w:val="19"/>
      <w:szCs w:val="19"/>
    </w:rPr>
  </w:style>
  <w:style w:type="paragraph" w:customStyle="1" w:styleId="Gvdemetni21">
    <w:name w:val="Gövde metni (2)1"/>
    <w:basedOn w:val="Normal"/>
    <w:link w:val="Gvdemetni2"/>
    <w:uiPriority w:val="99"/>
    <w:pPr>
      <w:shd w:val="clear" w:color="auto" w:fill="FFFFFF"/>
      <w:spacing w:after="60" w:line="240" w:lineRule="atLeast"/>
      <w:jc w:val="center"/>
    </w:pPr>
    <w:rPr>
      <w:b/>
      <w:bCs/>
      <w:sz w:val="27"/>
      <w:szCs w:val="27"/>
    </w:rPr>
  </w:style>
  <w:style w:type="paragraph" w:styleId="T1">
    <w:name w:val="toc 1"/>
    <w:basedOn w:val="Normal"/>
    <w:next w:val="Normal"/>
    <w:link w:val="T1Char"/>
    <w:uiPriority w:val="39"/>
    <w:pPr>
      <w:widowControl w:val="0"/>
      <w:shd w:val="clear" w:color="auto" w:fill="FFFFFF"/>
      <w:spacing w:before="60" w:line="326" w:lineRule="exact"/>
      <w:ind w:hanging="1140"/>
      <w:jc w:val="both"/>
    </w:pPr>
    <w:rPr>
      <w:sz w:val="19"/>
      <w:szCs w:val="19"/>
    </w:rPr>
  </w:style>
  <w:style w:type="paragraph" w:customStyle="1" w:styleId="Gvdemetni40">
    <w:name w:val="Gövde metni (4)"/>
    <w:basedOn w:val="Normal"/>
    <w:link w:val="Gvdemetni4"/>
    <w:uiPriority w:val="99"/>
    <w:pPr>
      <w:shd w:val="clear" w:color="auto" w:fill="FFFFFF"/>
      <w:spacing w:after="300" w:line="240" w:lineRule="atLeast"/>
    </w:pPr>
    <w:rPr>
      <w:spacing w:val="20"/>
      <w:sz w:val="27"/>
      <w:szCs w:val="27"/>
    </w:rPr>
  </w:style>
  <w:style w:type="paragraph" w:customStyle="1" w:styleId="Resimyazs0">
    <w:name w:val="Resim yazısı"/>
    <w:basedOn w:val="Normal"/>
    <w:link w:val="Resimyazs"/>
    <w:uiPriority w:val="99"/>
    <w:pPr>
      <w:shd w:val="clear" w:color="auto" w:fill="FFFFFF"/>
      <w:spacing w:line="240" w:lineRule="atLeast"/>
    </w:pPr>
    <w:rPr>
      <w:sz w:val="19"/>
      <w:szCs w:val="19"/>
    </w:rPr>
  </w:style>
  <w:style w:type="paragraph" w:customStyle="1" w:styleId="Balk41">
    <w:name w:val="Başlık #4"/>
    <w:basedOn w:val="Normal"/>
    <w:link w:val="Balk40"/>
    <w:uiPriority w:val="99"/>
    <w:pPr>
      <w:shd w:val="clear" w:color="auto" w:fill="FFFFFF"/>
      <w:spacing w:before="360" w:after="240" w:line="240" w:lineRule="atLeast"/>
      <w:outlineLvl w:val="3"/>
    </w:pPr>
    <w:rPr>
      <w:sz w:val="19"/>
      <w:szCs w:val="19"/>
    </w:rPr>
  </w:style>
  <w:style w:type="paragraph" w:customStyle="1" w:styleId="Gvdemetni51">
    <w:name w:val="Gövde metni (5)1"/>
    <w:basedOn w:val="Normal"/>
    <w:link w:val="Gvdemetni5"/>
    <w:uiPriority w:val="99"/>
    <w:pPr>
      <w:widowControl w:val="0"/>
      <w:shd w:val="clear" w:color="auto" w:fill="FFFFFF"/>
      <w:spacing w:before="300" w:line="298" w:lineRule="exact"/>
      <w:jc w:val="both"/>
    </w:pPr>
    <w:rPr>
      <w:sz w:val="22"/>
      <w:szCs w:val="22"/>
    </w:rPr>
  </w:style>
  <w:style w:type="paragraph" w:customStyle="1" w:styleId="Resimyazs2">
    <w:name w:val="Resim yazısı (2)"/>
    <w:basedOn w:val="Normal"/>
    <w:link w:val="Resimyazs2Exact"/>
    <w:uiPriority w:val="99"/>
    <w:pPr>
      <w:shd w:val="clear" w:color="auto" w:fill="FFFFFF"/>
      <w:spacing w:after="180" w:line="240" w:lineRule="exact"/>
      <w:jc w:val="center"/>
    </w:pPr>
    <w:rPr>
      <w:b/>
      <w:bCs/>
      <w:spacing w:val="8"/>
      <w:sz w:val="18"/>
      <w:szCs w:val="18"/>
    </w:rPr>
  </w:style>
  <w:style w:type="paragraph" w:customStyle="1" w:styleId="Gvdemetni61">
    <w:name w:val="Gövde metni (6)1"/>
    <w:basedOn w:val="Normal"/>
    <w:link w:val="Gvdemetni6"/>
    <w:uiPriority w:val="99"/>
    <w:pPr>
      <w:shd w:val="clear" w:color="auto" w:fill="FFFFFF"/>
      <w:spacing w:line="245" w:lineRule="exact"/>
      <w:jc w:val="center"/>
    </w:pPr>
    <w:rPr>
      <w:b/>
      <w:bCs/>
      <w:sz w:val="20"/>
      <w:szCs w:val="20"/>
    </w:rPr>
  </w:style>
  <w:style w:type="paragraph" w:customStyle="1" w:styleId="Balk21">
    <w:name w:val="Başlık #21"/>
    <w:basedOn w:val="Normal"/>
    <w:link w:val="Balk20"/>
    <w:uiPriority w:val="99"/>
    <w:pPr>
      <w:shd w:val="clear" w:color="auto" w:fill="FFFFFF"/>
      <w:spacing w:before="600" w:after="540" w:line="240" w:lineRule="atLeast"/>
      <w:outlineLvl w:val="1"/>
    </w:pPr>
    <w:rPr>
      <w:rFonts w:ascii="Arial" w:hAnsi="Arial" w:cs="Arial"/>
      <w:b/>
      <w:bCs/>
      <w:sz w:val="23"/>
      <w:szCs w:val="23"/>
    </w:rPr>
  </w:style>
  <w:style w:type="paragraph" w:customStyle="1" w:styleId="Resimyazs31">
    <w:name w:val="Resim yazısı (3)1"/>
    <w:basedOn w:val="Normal"/>
    <w:link w:val="Resimyazs3"/>
    <w:uiPriority w:val="99"/>
    <w:pPr>
      <w:shd w:val="clear" w:color="auto" w:fill="FFFFFF"/>
      <w:spacing w:line="240" w:lineRule="atLeast"/>
    </w:pPr>
    <w:rPr>
      <w:sz w:val="12"/>
      <w:szCs w:val="12"/>
    </w:rPr>
  </w:style>
  <w:style w:type="paragraph" w:customStyle="1" w:styleId="Tabloyazs1">
    <w:name w:val="Tablo yazısı1"/>
    <w:basedOn w:val="Normal"/>
    <w:link w:val="Tabloyazs"/>
    <w:uiPriority w:val="99"/>
    <w:pPr>
      <w:shd w:val="clear" w:color="auto" w:fill="FFFFFF"/>
      <w:spacing w:line="240" w:lineRule="atLeast"/>
      <w:ind w:hanging="320"/>
    </w:pPr>
    <w:rPr>
      <w:sz w:val="19"/>
      <w:szCs w:val="19"/>
    </w:rPr>
  </w:style>
  <w:style w:type="paragraph" w:customStyle="1" w:styleId="Gvdemetni71">
    <w:name w:val="Gövde metni (7)1"/>
    <w:basedOn w:val="Normal"/>
    <w:link w:val="Gvdemetni7"/>
    <w:uiPriority w:val="99"/>
    <w:pPr>
      <w:widowControl w:val="0"/>
      <w:shd w:val="clear" w:color="auto" w:fill="FFFFFF"/>
      <w:spacing w:before="480" w:after="120" w:line="240" w:lineRule="atLeast"/>
      <w:jc w:val="both"/>
    </w:pPr>
    <w:rPr>
      <w:b/>
      <w:bCs/>
      <w:sz w:val="19"/>
      <w:szCs w:val="19"/>
    </w:rPr>
  </w:style>
  <w:style w:type="paragraph" w:customStyle="1" w:styleId="stbilgiveyaaltbilgi40">
    <w:name w:val="Üst bilgi veya alt bilgi (4)"/>
    <w:basedOn w:val="Normal"/>
    <w:link w:val="stbilgiveyaaltbilgi4"/>
    <w:uiPriority w:val="99"/>
    <w:pPr>
      <w:shd w:val="clear" w:color="auto" w:fill="FFFFFF"/>
      <w:spacing w:line="235" w:lineRule="exact"/>
    </w:pPr>
    <w:rPr>
      <w:b/>
      <w:bCs/>
      <w:sz w:val="18"/>
      <w:szCs w:val="18"/>
    </w:rPr>
  </w:style>
  <w:style w:type="paragraph" w:customStyle="1" w:styleId="Gvdemetni81">
    <w:name w:val="Gövde metni (8)1"/>
    <w:basedOn w:val="Normal"/>
    <w:link w:val="Gvdemetni80"/>
    <w:uiPriority w:val="99"/>
    <w:pPr>
      <w:shd w:val="clear" w:color="auto" w:fill="FFFFFF"/>
      <w:spacing w:after="300" w:line="240" w:lineRule="atLeast"/>
    </w:pPr>
    <w:rPr>
      <w:sz w:val="12"/>
      <w:szCs w:val="12"/>
    </w:rPr>
  </w:style>
  <w:style w:type="paragraph" w:customStyle="1" w:styleId="Balk51">
    <w:name w:val="Başlık #51"/>
    <w:basedOn w:val="Normal"/>
    <w:link w:val="Balk50"/>
    <w:uiPriority w:val="99"/>
    <w:pPr>
      <w:shd w:val="clear" w:color="auto" w:fill="FFFFFF"/>
      <w:spacing w:before="240" w:line="269" w:lineRule="exact"/>
      <w:outlineLvl w:val="4"/>
    </w:pPr>
    <w:rPr>
      <w:b/>
      <w:bCs/>
      <w:sz w:val="18"/>
      <w:szCs w:val="18"/>
    </w:rPr>
  </w:style>
  <w:style w:type="paragraph" w:customStyle="1" w:styleId="Balk421">
    <w:name w:val="Başlık #4 (2)1"/>
    <w:basedOn w:val="Normal"/>
    <w:link w:val="Balk42"/>
    <w:uiPriority w:val="99"/>
    <w:pPr>
      <w:shd w:val="clear" w:color="auto" w:fill="FFFFFF"/>
      <w:spacing w:before="420" w:line="432" w:lineRule="exact"/>
      <w:outlineLvl w:val="3"/>
    </w:pPr>
    <w:rPr>
      <w:b/>
      <w:bCs/>
      <w:sz w:val="19"/>
      <w:szCs w:val="19"/>
    </w:rPr>
  </w:style>
  <w:style w:type="paragraph" w:customStyle="1" w:styleId="Balk321">
    <w:name w:val="Başlık #3 (2)1"/>
    <w:basedOn w:val="Normal"/>
    <w:link w:val="Balk320"/>
    <w:uiPriority w:val="99"/>
    <w:pPr>
      <w:shd w:val="clear" w:color="auto" w:fill="FFFFFF"/>
      <w:spacing w:before="300" w:after="120" w:line="245" w:lineRule="exact"/>
      <w:ind w:hanging="360"/>
      <w:outlineLvl w:val="2"/>
    </w:pPr>
    <w:rPr>
      <w:b/>
      <w:bCs/>
      <w:sz w:val="19"/>
      <w:szCs w:val="19"/>
    </w:rPr>
  </w:style>
  <w:style w:type="paragraph" w:customStyle="1" w:styleId="Balk61">
    <w:name w:val="Başlık #61"/>
    <w:basedOn w:val="Normal"/>
    <w:link w:val="Balk60"/>
    <w:uiPriority w:val="99"/>
    <w:pPr>
      <w:shd w:val="clear" w:color="auto" w:fill="FFFFFF"/>
      <w:spacing w:before="60" w:after="180" w:line="240" w:lineRule="atLeast"/>
      <w:outlineLvl w:val="5"/>
    </w:pPr>
    <w:rPr>
      <w:b/>
      <w:bCs/>
      <w:sz w:val="18"/>
      <w:szCs w:val="18"/>
    </w:rPr>
  </w:style>
  <w:style w:type="paragraph" w:customStyle="1" w:styleId="Gvdemetni91">
    <w:name w:val="Gövde metni (9)"/>
    <w:basedOn w:val="Normal"/>
    <w:link w:val="Gvdemetni90"/>
    <w:uiPriority w:val="99"/>
    <w:pPr>
      <w:shd w:val="clear" w:color="auto" w:fill="FFFFFF"/>
      <w:spacing w:before="180" w:after="180" w:line="240" w:lineRule="atLeast"/>
    </w:pPr>
    <w:rPr>
      <w:b/>
      <w:bCs/>
      <w:sz w:val="18"/>
      <w:szCs w:val="18"/>
    </w:rPr>
  </w:style>
  <w:style w:type="paragraph" w:customStyle="1" w:styleId="Gvdemetni101">
    <w:name w:val="Gövde metni (10)1"/>
    <w:basedOn w:val="Normal"/>
    <w:link w:val="Gvdemetni10"/>
    <w:uiPriority w:val="99"/>
    <w:pPr>
      <w:shd w:val="clear" w:color="auto" w:fill="FFFFFF"/>
      <w:spacing w:before="180" w:after="360" w:line="240" w:lineRule="atLeast"/>
    </w:pPr>
    <w:rPr>
      <w:rFonts w:ascii="Arial" w:hAnsi="Arial" w:cs="Arial"/>
      <w:sz w:val="19"/>
      <w:szCs w:val="19"/>
    </w:rPr>
  </w:style>
  <w:style w:type="paragraph" w:customStyle="1" w:styleId="Resimyazs51">
    <w:name w:val="Resim yazısı (5)1"/>
    <w:basedOn w:val="Normal"/>
    <w:link w:val="Resimyazs5"/>
    <w:uiPriority w:val="99"/>
    <w:pPr>
      <w:shd w:val="clear" w:color="auto" w:fill="FFFFFF"/>
      <w:spacing w:line="240" w:lineRule="atLeast"/>
    </w:pPr>
    <w:rPr>
      <w:rFonts w:ascii="Century Schoolbook" w:hAnsi="Century Schoolbook" w:cs="Century Schoolbook"/>
      <w:sz w:val="10"/>
      <w:szCs w:val="10"/>
    </w:rPr>
  </w:style>
  <w:style w:type="paragraph" w:customStyle="1" w:styleId="Gvdemetni111">
    <w:name w:val="Gövde metni (11)1"/>
    <w:basedOn w:val="Normal"/>
    <w:link w:val="Gvdemetni11"/>
    <w:uiPriority w:val="99"/>
    <w:pPr>
      <w:shd w:val="clear" w:color="auto" w:fill="FFFFFF"/>
      <w:spacing w:after="240" w:line="240" w:lineRule="atLeast"/>
    </w:pPr>
    <w:rPr>
      <w:sz w:val="18"/>
      <w:szCs w:val="18"/>
    </w:rPr>
  </w:style>
  <w:style w:type="paragraph" w:customStyle="1" w:styleId="Resimyazs6">
    <w:name w:val="Resim yazısı (6)"/>
    <w:basedOn w:val="Normal"/>
    <w:link w:val="Resimyazs6Exact"/>
    <w:uiPriority w:val="99"/>
    <w:pPr>
      <w:shd w:val="clear" w:color="auto" w:fill="FFFFFF"/>
      <w:spacing w:line="240" w:lineRule="atLeast"/>
    </w:pPr>
    <w:rPr>
      <w:rFonts w:ascii="Century Schoolbook" w:hAnsi="Century Schoolbook" w:cs="Century Schoolbook"/>
      <w:spacing w:val="4"/>
      <w:sz w:val="15"/>
      <w:szCs w:val="15"/>
    </w:rPr>
  </w:style>
  <w:style w:type="paragraph" w:customStyle="1" w:styleId="Gvdemetni12">
    <w:name w:val="Gövde metni (12)"/>
    <w:basedOn w:val="Normal"/>
    <w:link w:val="Gvdemetni12Exact"/>
    <w:uiPriority w:val="99"/>
    <w:pPr>
      <w:shd w:val="clear" w:color="auto" w:fill="FFFFFF"/>
      <w:spacing w:before="120" w:line="240" w:lineRule="atLeast"/>
    </w:pPr>
    <w:rPr>
      <w:b/>
      <w:bCs/>
      <w:spacing w:val="14"/>
      <w:sz w:val="21"/>
      <w:szCs w:val="21"/>
    </w:rPr>
  </w:style>
  <w:style w:type="paragraph" w:customStyle="1" w:styleId="Resimyazs71">
    <w:name w:val="Resim yazısı (7)1"/>
    <w:basedOn w:val="Normal"/>
    <w:link w:val="Resimyazs7"/>
    <w:uiPriority w:val="99"/>
    <w:pPr>
      <w:shd w:val="clear" w:color="auto" w:fill="FFFFFF"/>
      <w:spacing w:line="240" w:lineRule="atLeast"/>
    </w:pPr>
    <w:rPr>
      <w:sz w:val="16"/>
      <w:szCs w:val="16"/>
    </w:rPr>
  </w:style>
  <w:style w:type="paragraph" w:customStyle="1" w:styleId="Resimyazs81">
    <w:name w:val="Resim yazısı (8)1"/>
    <w:basedOn w:val="Normal"/>
    <w:link w:val="Resimyazs8"/>
    <w:uiPriority w:val="99"/>
    <w:pPr>
      <w:shd w:val="clear" w:color="auto" w:fill="FFFFFF"/>
      <w:spacing w:line="240" w:lineRule="atLeast"/>
    </w:pPr>
    <w:rPr>
      <w:rFonts w:ascii="Arial" w:hAnsi="Arial" w:cs="Arial"/>
      <w:b/>
      <w:bCs/>
      <w:sz w:val="14"/>
      <w:szCs w:val="14"/>
    </w:rPr>
  </w:style>
  <w:style w:type="paragraph" w:customStyle="1" w:styleId="Gvdemetni131">
    <w:name w:val="Gövde metni (13)1"/>
    <w:basedOn w:val="Normal"/>
    <w:link w:val="Gvdemetni13"/>
    <w:uiPriority w:val="99"/>
    <w:pPr>
      <w:shd w:val="clear" w:color="auto" w:fill="FFFFFF"/>
      <w:spacing w:before="300" w:after="120" w:line="240" w:lineRule="atLeast"/>
    </w:pPr>
    <w:rPr>
      <w:sz w:val="16"/>
      <w:szCs w:val="16"/>
    </w:rPr>
  </w:style>
  <w:style w:type="paragraph" w:customStyle="1" w:styleId="Gvdemetni141">
    <w:name w:val="Gövde metni (14)1"/>
    <w:basedOn w:val="Normal"/>
    <w:link w:val="Gvdemetni14"/>
    <w:uiPriority w:val="99"/>
    <w:pPr>
      <w:shd w:val="clear" w:color="auto" w:fill="FFFFFF"/>
      <w:spacing w:before="300" w:line="250" w:lineRule="exact"/>
    </w:pPr>
    <w:rPr>
      <w:b/>
      <w:bCs/>
      <w:i/>
      <w:iCs/>
      <w:sz w:val="20"/>
      <w:szCs w:val="20"/>
    </w:rPr>
  </w:style>
  <w:style w:type="paragraph" w:customStyle="1" w:styleId="Gvdemetni151">
    <w:name w:val="Gövde metni (15)1"/>
    <w:basedOn w:val="Normal"/>
    <w:link w:val="Gvdemetni15"/>
    <w:uiPriority w:val="99"/>
    <w:pPr>
      <w:shd w:val="clear" w:color="auto" w:fill="FFFFFF"/>
      <w:spacing w:before="180" w:after="180" w:line="240" w:lineRule="atLeast"/>
    </w:pPr>
    <w:rPr>
      <w:sz w:val="20"/>
      <w:szCs w:val="20"/>
    </w:rPr>
  </w:style>
  <w:style w:type="paragraph" w:customStyle="1" w:styleId="Resimyazs90">
    <w:name w:val="Resim yazısı (9)"/>
    <w:basedOn w:val="Normal"/>
    <w:link w:val="Resimyazs9"/>
    <w:uiPriority w:val="99"/>
    <w:pPr>
      <w:shd w:val="clear" w:color="auto" w:fill="FFFFFF"/>
      <w:spacing w:after="120" w:line="240" w:lineRule="atLeast"/>
    </w:pPr>
    <w:rPr>
      <w:rFonts w:ascii="Candara" w:hAnsi="Candara" w:cs="Candara"/>
      <w:b/>
      <w:bCs/>
      <w:sz w:val="18"/>
      <w:szCs w:val="18"/>
    </w:rPr>
  </w:style>
  <w:style w:type="paragraph" w:customStyle="1" w:styleId="Resimyazs100">
    <w:name w:val="Resim yazısı (10)"/>
    <w:basedOn w:val="Normal"/>
    <w:link w:val="Resimyazs10"/>
    <w:uiPriority w:val="99"/>
    <w:pPr>
      <w:shd w:val="clear" w:color="auto" w:fill="FFFFFF"/>
      <w:spacing w:before="120" w:line="240" w:lineRule="atLeast"/>
    </w:pPr>
    <w:rPr>
      <w:rFonts w:ascii="Candara" w:hAnsi="Candara" w:cs="Candara"/>
      <w:sz w:val="15"/>
      <w:szCs w:val="15"/>
    </w:rPr>
  </w:style>
  <w:style w:type="paragraph" w:customStyle="1" w:styleId="Gvdemetni160">
    <w:name w:val="Gövde metni (16)"/>
    <w:basedOn w:val="Normal"/>
    <w:link w:val="Gvdemetni16Exact"/>
    <w:uiPriority w:val="99"/>
    <w:pPr>
      <w:shd w:val="clear" w:color="auto" w:fill="FFFFFF"/>
      <w:spacing w:line="240" w:lineRule="atLeast"/>
    </w:pPr>
    <w:rPr>
      <w:b/>
      <w:bCs/>
      <w:noProof/>
      <w:sz w:val="34"/>
      <w:szCs w:val="34"/>
    </w:rPr>
  </w:style>
  <w:style w:type="paragraph" w:customStyle="1" w:styleId="Resimyazs111">
    <w:name w:val="Resim yazısı (11)1"/>
    <w:basedOn w:val="Normal"/>
    <w:link w:val="Resimyazs11"/>
    <w:uiPriority w:val="99"/>
    <w:pPr>
      <w:shd w:val="clear" w:color="auto" w:fill="FFFFFF"/>
      <w:spacing w:line="240" w:lineRule="atLeast"/>
    </w:pPr>
    <w:rPr>
      <w:rFonts w:ascii="Arial" w:hAnsi="Arial" w:cs="Arial"/>
      <w:sz w:val="12"/>
      <w:szCs w:val="12"/>
    </w:rPr>
  </w:style>
  <w:style w:type="paragraph" w:customStyle="1" w:styleId="Gvdemetni171">
    <w:name w:val="Gövde metni (17)1"/>
    <w:basedOn w:val="Normal"/>
    <w:link w:val="Gvdemetni170"/>
    <w:uiPriority w:val="99"/>
    <w:pPr>
      <w:shd w:val="clear" w:color="auto" w:fill="FFFFFF"/>
      <w:spacing w:before="480" w:after="180" w:line="240" w:lineRule="atLeast"/>
    </w:pPr>
    <w:rPr>
      <w:sz w:val="12"/>
      <w:szCs w:val="12"/>
    </w:rPr>
  </w:style>
  <w:style w:type="paragraph" w:customStyle="1" w:styleId="Resimyazs121">
    <w:name w:val="Resim yazısı (12)1"/>
    <w:basedOn w:val="Normal"/>
    <w:link w:val="Resimyazs12"/>
    <w:uiPriority w:val="99"/>
    <w:pPr>
      <w:shd w:val="clear" w:color="auto" w:fill="FFFFFF"/>
      <w:spacing w:line="240" w:lineRule="atLeast"/>
    </w:pPr>
    <w:rPr>
      <w:sz w:val="18"/>
      <w:szCs w:val="18"/>
    </w:rPr>
  </w:style>
  <w:style w:type="paragraph" w:customStyle="1" w:styleId="Resimyazs131">
    <w:name w:val="Resim yazısı (13)1"/>
    <w:basedOn w:val="Normal"/>
    <w:link w:val="Resimyazs13"/>
    <w:uiPriority w:val="99"/>
    <w:pPr>
      <w:shd w:val="clear" w:color="auto" w:fill="FFFFFF"/>
      <w:spacing w:line="240" w:lineRule="atLeast"/>
    </w:pPr>
    <w:rPr>
      <w:rFonts w:ascii="Candara" w:hAnsi="Candara" w:cs="Candara"/>
      <w:sz w:val="9"/>
      <w:szCs w:val="9"/>
    </w:rPr>
  </w:style>
  <w:style w:type="paragraph" w:customStyle="1" w:styleId="Gvdemetni181">
    <w:name w:val="Gövde metni (18)1"/>
    <w:basedOn w:val="Normal"/>
    <w:link w:val="Gvdemetni180"/>
    <w:uiPriority w:val="99"/>
    <w:pPr>
      <w:shd w:val="clear" w:color="auto" w:fill="FFFFFF"/>
      <w:spacing w:before="300" w:after="300" w:line="240" w:lineRule="atLeast"/>
    </w:pPr>
    <w:rPr>
      <w:rFonts w:ascii="Candara" w:hAnsi="Candara" w:cs="Candara"/>
      <w:sz w:val="9"/>
      <w:szCs w:val="9"/>
    </w:rPr>
  </w:style>
  <w:style w:type="paragraph" w:customStyle="1" w:styleId="Tabloyazs30">
    <w:name w:val="Tablo yazısı (3)"/>
    <w:basedOn w:val="Normal"/>
    <w:link w:val="Tabloyazs3"/>
    <w:uiPriority w:val="99"/>
    <w:pPr>
      <w:shd w:val="clear" w:color="auto" w:fill="FFFFFF"/>
      <w:spacing w:line="211" w:lineRule="exact"/>
    </w:pPr>
    <w:rPr>
      <w:sz w:val="18"/>
      <w:szCs w:val="18"/>
    </w:rPr>
  </w:style>
  <w:style w:type="paragraph" w:customStyle="1" w:styleId="Resimyazs141">
    <w:name w:val="Resim yazısı (14)1"/>
    <w:basedOn w:val="Normal"/>
    <w:link w:val="Resimyazs14"/>
    <w:uiPriority w:val="99"/>
    <w:pPr>
      <w:shd w:val="clear" w:color="auto" w:fill="FFFFFF"/>
      <w:spacing w:line="240" w:lineRule="atLeast"/>
    </w:pPr>
    <w:rPr>
      <w:sz w:val="21"/>
      <w:szCs w:val="21"/>
    </w:rPr>
  </w:style>
  <w:style w:type="paragraph" w:customStyle="1" w:styleId="Resimyazs150">
    <w:name w:val="Resim yazısı (15)"/>
    <w:basedOn w:val="Normal"/>
    <w:link w:val="Resimyazs15"/>
    <w:uiPriority w:val="99"/>
    <w:pPr>
      <w:shd w:val="clear" w:color="auto" w:fill="FFFFFF"/>
      <w:spacing w:line="211" w:lineRule="exact"/>
      <w:ind w:firstLine="1360"/>
    </w:pPr>
    <w:rPr>
      <w:rFonts w:ascii="Arial" w:hAnsi="Arial" w:cs="Arial"/>
      <w:b/>
      <w:bCs/>
      <w:sz w:val="15"/>
      <w:szCs w:val="15"/>
    </w:rPr>
  </w:style>
  <w:style w:type="paragraph" w:customStyle="1" w:styleId="Gvdemetni191">
    <w:name w:val="Gövde metni (19)1"/>
    <w:basedOn w:val="Normal"/>
    <w:link w:val="Gvdemetni190"/>
    <w:uiPriority w:val="99"/>
    <w:pPr>
      <w:shd w:val="clear" w:color="auto" w:fill="FFFFFF"/>
      <w:spacing w:before="240" w:line="250" w:lineRule="exact"/>
    </w:pPr>
    <w:rPr>
      <w:rFonts w:ascii="Arial" w:hAnsi="Arial" w:cs="Arial"/>
      <w:b/>
      <w:bCs/>
      <w:sz w:val="19"/>
      <w:szCs w:val="19"/>
    </w:rPr>
  </w:style>
  <w:style w:type="paragraph" w:customStyle="1" w:styleId="Resimyazs16">
    <w:name w:val="Resim yazısı (16)"/>
    <w:basedOn w:val="Normal"/>
    <w:link w:val="Resimyazs16Exact"/>
    <w:uiPriority w:val="99"/>
    <w:pPr>
      <w:shd w:val="clear" w:color="auto" w:fill="FFFFFF"/>
      <w:spacing w:before="60" w:line="240" w:lineRule="atLeast"/>
    </w:pPr>
    <w:rPr>
      <w:rFonts w:ascii="Sylfaen" w:hAnsi="Sylfaen" w:cs="Sylfaen"/>
      <w:spacing w:val="-22"/>
      <w:sz w:val="14"/>
      <w:szCs w:val="14"/>
    </w:rPr>
  </w:style>
  <w:style w:type="paragraph" w:customStyle="1" w:styleId="Resimyazs170">
    <w:name w:val="Resim yazısı (17)"/>
    <w:basedOn w:val="Normal"/>
    <w:link w:val="Resimyazs17"/>
    <w:uiPriority w:val="99"/>
    <w:pPr>
      <w:shd w:val="clear" w:color="auto" w:fill="FFFFFF"/>
      <w:spacing w:line="206" w:lineRule="exact"/>
    </w:pPr>
    <w:rPr>
      <w:rFonts w:ascii="Arial" w:hAnsi="Arial" w:cs="Arial"/>
      <w:b/>
      <w:bCs/>
      <w:sz w:val="11"/>
      <w:szCs w:val="11"/>
    </w:rPr>
  </w:style>
  <w:style w:type="paragraph" w:customStyle="1" w:styleId="Resimyazs18">
    <w:name w:val="Resim yazısı (18)"/>
    <w:basedOn w:val="Normal"/>
    <w:link w:val="Resimyazs18Exact"/>
    <w:uiPriority w:val="99"/>
    <w:pPr>
      <w:shd w:val="clear" w:color="auto" w:fill="FFFFFF"/>
      <w:spacing w:line="240" w:lineRule="atLeast"/>
    </w:pPr>
    <w:rPr>
      <w:rFonts w:ascii="MS Gothic" w:eastAsia="MS Gothic" w:cs="MS Gothic"/>
      <w:noProof/>
      <w:sz w:val="23"/>
      <w:szCs w:val="23"/>
    </w:rPr>
  </w:style>
  <w:style w:type="paragraph" w:customStyle="1" w:styleId="Resimyazs19">
    <w:name w:val="Resim yazısı (19)"/>
    <w:basedOn w:val="Normal"/>
    <w:link w:val="Resimyazs19Exact"/>
    <w:uiPriority w:val="99"/>
    <w:pPr>
      <w:shd w:val="clear" w:color="auto" w:fill="FFFFFF"/>
      <w:spacing w:line="240" w:lineRule="atLeast"/>
      <w:jc w:val="right"/>
    </w:pPr>
    <w:rPr>
      <w:rFonts w:ascii="Sylfaen" w:hAnsi="Sylfaen" w:cs="Sylfaen"/>
      <w:spacing w:val="2"/>
      <w:sz w:val="8"/>
      <w:szCs w:val="8"/>
    </w:rPr>
  </w:style>
  <w:style w:type="paragraph" w:customStyle="1" w:styleId="Balk330">
    <w:name w:val="Başlık #3 (3)"/>
    <w:basedOn w:val="Normal"/>
    <w:link w:val="Balk33"/>
    <w:uiPriority w:val="99"/>
    <w:pPr>
      <w:shd w:val="clear" w:color="auto" w:fill="FFFFFF"/>
      <w:spacing w:before="6180" w:line="250" w:lineRule="exact"/>
      <w:outlineLvl w:val="2"/>
    </w:pPr>
    <w:rPr>
      <w:rFonts w:ascii="Arial" w:hAnsi="Arial" w:cs="Arial"/>
      <w:b/>
      <w:bCs/>
      <w:sz w:val="19"/>
      <w:szCs w:val="19"/>
    </w:rPr>
  </w:style>
  <w:style w:type="paragraph" w:customStyle="1" w:styleId="Gvdemetni201">
    <w:name w:val="Gövde metni (20)1"/>
    <w:basedOn w:val="Normal"/>
    <w:link w:val="Gvdemetni200"/>
    <w:uiPriority w:val="99"/>
    <w:pPr>
      <w:shd w:val="clear" w:color="auto" w:fill="FFFFFF"/>
      <w:spacing w:before="240" w:line="254" w:lineRule="exact"/>
    </w:pPr>
    <w:rPr>
      <w:i/>
      <w:iCs/>
      <w:sz w:val="21"/>
      <w:szCs w:val="21"/>
    </w:rPr>
  </w:style>
  <w:style w:type="paragraph" w:customStyle="1" w:styleId="Gvdemetni211">
    <w:name w:val="Gövde metni (21)1"/>
    <w:basedOn w:val="Normal"/>
    <w:link w:val="Gvdemetni210"/>
    <w:uiPriority w:val="99"/>
    <w:pPr>
      <w:shd w:val="clear" w:color="auto" w:fill="FFFFFF"/>
      <w:spacing w:line="240" w:lineRule="atLeast"/>
    </w:pPr>
    <w:rPr>
      <w:rFonts w:ascii="Arial" w:hAnsi="Arial" w:cs="Arial"/>
      <w:b/>
      <w:bCs/>
      <w:sz w:val="16"/>
      <w:szCs w:val="16"/>
    </w:rPr>
  </w:style>
  <w:style w:type="paragraph" w:customStyle="1" w:styleId="Gvdemetni22">
    <w:name w:val="Gövde metni (22)"/>
    <w:basedOn w:val="Normal"/>
    <w:link w:val="Gvdemetni22Exact"/>
    <w:uiPriority w:val="99"/>
    <w:pPr>
      <w:shd w:val="clear" w:color="auto" w:fill="FFFFFF"/>
      <w:spacing w:line="240" w:lineRule="atLeast"/>
    </w:pPr>
    <w:rPr>
      <w:noProof/>
      <w:sz w:val="44"/>
      <w:szCs w:val="44"/>
    </w:rPr>
  </w:style>
  <w:style w:type="paragraph" w:customStyle="1" w:styleId="Resimyazs200">
    <w:name w:val="Resim yazısı (20)"/>
    <w:basedOn w:val="Normal"/>
    <w:link w:val="Resimyazs20"/>
    <w:uiPriority w:val="99"/>
    <w:pPr>
      <w:shd w:val="clear" w:color="auto" w:fill="FFFFFF"/>
      <w:spacing w:line="240" w:lineRule="atLeast"/>
    </w:pPr>
    <w:rPr>
      <w:rFonts w:ascii="Arial" w:hAnsi="Arial" w:cs="Arial"/>
      <w:b/>
      <w:bCs/>
      <w:sz w:val="15"/>
      <w:szCs w:val="15"/>
    </w:rPr>
  </w:style>
  <w:style w:type="paragraph" w:customStyle="1" w:styleId="Resimyazs211">
    <w:name w:val="Resim yazısı (21)1"/>
    <w:basedOn w:val="Normal"/>
    <w:link w:val="Resimyazs21"/>
    <w:uiPriority w:val="99"/>
    <w:pPr>
      <w:shd w:val="clear" w:color="auto" w:fill="FFFFFF"/>
      <w:spacing w:line="240" w:lineRule="atLeast"/>
    </w:pPr>
    <w:rPr>
      <w:sz w:val="18"/>
      <w:szCs w:val="18"/>
    </w:rPr>
  </w:style>
  <w:style w:type="paragraph" w:customStyle="1" w:styleId="Resimyazs221">
    <w:name w:val="Resim yazısı (22)1"/>
    <w:basedOn w:val="Normal"/>
    <w:link w:val="Resimyazs22"/>
    <w:uiPriority w:val="99"/>
    <w:pPr>
      <w:shd w:val="clear" w:color="auto" w:fill="FFFFFF"/>
      <w:spacing w:line="240" w:lineRule="atLeast"/>
    </w:pPr>
    <w:rPr>
      <w:b/>
      <w:bCs/>
      <w:sz w:val="17"/>
      <w:szCs w:val="17"/>
    </w:rPr>
  </w:style>
  <w:style w:type="paragraph" w:customStyle="1" w:styleId="Gvdemetni23">
    <w:name w:val="Gövde metni (23)"/>
    <w:basedOn w:val="Normal"/>
    <w:link w:val="Gvdemetni23Exact"/>
    <w:uiPriority w:val="99"/>
    <w:pPr>
      <w:shd w:val="clear" w:color="auto" w:fill="FFFFFF"/>
      <w:spacing w:line="240" w:lineRule="atLeast"/>
    </w:pPr>
    <w:rPr>
      <w:rFonts w:ascii="Arial" w:hAnsi="Arial" w:cs="Arial"/>
      <w:b/>
      <w:bCs/>
      <w:spacing w:val="-6"/>
      <w:sz w:val="27"/>
      <w:szCs w:val="27"/>
    </w:rPr>
  </w:style>
  <w:style w:type="paragraph" w:customStyle="1" w:styleId="Gvdemetni24">
    <w:name w:val="Gövde metni (24)"/>
    <w:basedOn w:val="Normal"/>
    <w:link w:val="Gvdemetni24Exact"/>
    <w:uiPriority w:val="99"/>
    <w:pPr>
      <w:shd w:val="clear" w:color="auto" w:fill="FFFFFF"/>
      <w:spacing w:line="355" w:lineRule="exact"/>
    </w:pPr>
    <w:rPr>
      <w:rFonts w:ascii="Impact" w:hAnsi="Impact" w:cs="Impact"/>
      <w:spacing w:val="5"/>
      <w:sz w:val="20"/>
      <w:szCs w:val="20"/>
    </w:rPr>
  </w:style>
  <w:style w:type="paragraph" w:customStyle="1" w:styleId="Resimyazs23">
    <w:name w:val="Resim yazısı (23)"/>
    <w:basedOn w:val="Normal"/>
    <w:link w:val="Resimyazs23Exact"/>
    <w:uiPriority w:val="99"/>
    <w:pPr>
      <w:shd w:val="clear" w:color="auto" w:fill="FFFFFF"/>
      <w:spacing w:line="240" w:lineRule="atLeast"/>
    </w:pPr>
    <w:rPr>
      <w:rFonts w:ascii="Trebuchet MS" w:hAnsi="Trebuchet MS" w:cs="Trebuchet MS"/>
      <w:b/>
      <w:bCs/>
      <w:spacing w:val="4"/>
      <w:sz w:val="19"/>
      <w:szCs w:val="19"/>
    </w:rPr>
  </w:style>
  <w:style w:type="paragraph" w:customStyle="1" w:styleId="Resimyazs24">
    <w:name w:val="Resim yazısı (24)"/>
    <w:basedOn w:val="Normal"/>
    <w:link w:val="Resimyazs24Exact"/>
    <w:uiPriority w:val="99"/>
    <w:pPr>
      <w:shd w:val="clear" w:color="auto" w:fill="FFFFFF"/>
      <w:spacing w:line="149" w:lineRule="exact"/>
    </w:pPr>
    <w:rPr>
      <w:rFonts w:ascii="Palatino Linotype" w:hAnsi="Palatino Linotype" w:cs="Palatino Linotype"/>
      <w:spacing w:val="-6"/>
      <w:sz w:val="9"/>
      <w:szCs w:val="9"/>
    </w:rPr>
  </w:style>
  <w:style w:type="paragraph" w:customStyle="1" w:styleId="Resimyazs25">
    <w:name w:val="Resim yazısı (25)"/>
    <w:basedOn w:val="Normal"/>
    <w:link w:val="Resimyazs25Exact"/>
    <w:uiPriority w:val="99"/>
    <w:pPr>
      <w:shd w:val="clear" w:color="auto" w:fill="FFFFFF"/>
      <w:spacing w:line="240" w:lineRule="atLeast"/>
    </w:pPr>
    <w:rPr>
      <w:spacing w:val="-4"/>
      <w:sz w:val="21"/>
      <w:szCs w:val="21"/>
    </w:rPr>
  </w:style>
  <w:style w:type="paragraph" w:customStyle="1" w:styleId="Resimyazs26">
    <w:name w:val="Resim yazısı (26)"/>
    <w:basedOn w:val="Normal"/>
    <w:link w:val="Resimyazs26Exact"/>
    <w:uiPriority w:val="99"/>
    <w:pPr>
      <w:shd w:val="clear" w:color="auto" w:fill="FFFFFF"/>
      <w:spacing w:line="283" w:lineRule="exact"/>
      <w:ind w:hanging="280"/>
    </w:pPr>
    <w:rPr>
      <w:rFonts w:ascii="Arial" w:hAnsi="Arial" w:cs="Arial"/>
      <w:b/>
      <w:bCs/>
      <w:spacing w:val="5"/>
      <w:sz w:val="18"/>
      <w:szCs w:val="18"/>
    </w:rPr>
  </w:style>
  <w:style w:type="paragraph" w:customStyle="1" w:styleId="Resimyazs27">
    <w:name w:val="Resim yazısı (27)"/>
    <w:basedOn w:val="Normal"/>
    <w:link w:val="Resimyazs27Exact"/>
    <w:uiPriority w:val="99"/>
    <w:pPr>
      <w:shd w:val="clear" w:color="auto" w:fill="FFFFFF"/>
      <w:spacing w:line="240" w:lineRule="atLeast"/>
    </w:pPr>
    <w:rPr>
      <w:rFonts w:ascii="Arial" w:hAnsi="Arial" w:cs="Arial"/>
      <w:spacing w:val="-6"/>
      <w:sz w:val="21"/>
      <w:szCs w:val="21"/>
    </w:rPr>
  </w:style>
  <w:style w:type="paragraph" w:customStyle="1" w:styleId="Gvdemetni251">
    <w:name w:val="Gövde metni (25)"/>
    <w:basedOn w:val="Normal"/>
    <w:link w:val="Gvdemetni250"/>
    <w:uiPriority w:val="99"/>
    <w:pPr>
      <w:shd w:val="clear" w:color="auto" w:fill="FFFFFF"/>
      <w:spacing w:line="240" w:lineRule="atLeast"/>
    </w:pPr>
    <w:rPr>
      <w:rFonts w:ascii="Arial" w:hAnsi="Arial" w:cs="Arial"/>
      <w:b/>
      <w:bCs/>
      <w:sz w:val="13"/>
      <w:szCs w:val="13"/>
    </w:rPr>
  </w:style>
  <w:style w:type="paragraph" w:customStyle="1" w:styleId="Resimyazs281">
    <w:name w:val="Resim yazısı (28)1"/>
    <w:basedOn w:val="Normal"/>
    <w:link w:val="Resimyazs28"/>
    <w:uiPriority w:val="99"/>
    <w:pPr>
      <w:shd w:val="clear" w:color="auto" w:fill="FFFFFF"/>
      <w:spacing w:line="240" w:lineRule="atLeast"/>
    </w:pPr>
    <w:rPr>
      <w:sz w:val="21"/>
      <w:szCs w:val="21"/>
    </w:rPr>
  </w:style>
  <w:style w:type="paragraph" w:customStyle="1" w:styleId="Resimyazs291">
    <w:name w:val="Resim yazısı (29)1"/>
    <w:basedOn w:val="Normal"/>
    <w:link w:val="Resimyazs29"/>
    <w:uiPriority w:val="99"/>
    <w:pPr>
      <w:shd w:val="clear" w:color="auto" w:fill="FFFFFF"/>
      <w:spacing w:line="240" w:lineRule="atLeast"/>
    </w:pPr>
    <w:rPr>
      <w:b/>
      <w:bCs/>
      <w:sz w:val="13"/>
      <w:szCs w:val="13"/>
    </w:rPr>
  </w:style>
  <w:style w:type="paragraph" w:customStyle="1" w:styleId="Gvdemetni271">
    <w:name w:val="Gövde metni (27)1"/>
    <w:basedOn w:val="Normal"/>
    <w:link w:val="Gvdemetni27"/>
    <w:uiPriority w:val="99"/>
    <w:pPr>
      <w:shd w:val="clear" w:color="auto" w:fill="FFFFFF"/>
      <w:spacing w:line="240" w:lineRule="atLeast"/>
    </w:pPr>
    <w:rPr>
      <w:sz w:val="18"/>
      <w:szCs w:val="18"/>
    </w:rPr>
  </w:style>
  <w:style w:type="paragraph" w:customStyle="1" w:styleId="Gvdemetni280">
    <w:name w:val="Gövde metni (28)"/>
    <w:basedOn w:val="Normal"/>
    <w:link w:val="Gvdemetni28"/>
    <w:uiPriority w:val="99"/>
    <w:pPr>
      <w:shd w:val="clear" w:color="auto" w:fill="FFFFFF"/>
      <w:spacing w:line="240" w:lineRule="atLeast"/>
    </w:pPr>
    <w:rPr>
      <w:b/>
      <w:bCs/>
      <w:sz w:val="14"/>
      <w:szCs w:val="14"/>
    </w:rPr>
  </w:style>
  <w:style w:type="paragraph" w:customStyle="1" w:styleId="Gvdemetni29">
    <w:name w:val="Gövde metni (29)"/>
    <w:basedOn w:val="Normal"/>
    <w:link w:val="Gvdemetni29Exact"/>
    <w:uiPriority w:val="99"/>
    <w:pPr>
      <w:shd w:val="clear" w:color="auto" w:fill="FFFFFF"/>
      <w:spacing w:line="173" w:lineRule="exact"/>
      <w:jc w:val="center"/>
    </w:pPr>
    <w:rPr>
      <w:spacing w:val="1"/>
      <w:sz w:val="13"/>
      <w:szCs w:val="13"/>
    </w:rPr>
  </w:style>
  <w:style w:type="paragraph" w:customStyle="1" w:styleId="Gvdemetni26">
    <w:name w:val="Gövde metni (26)"/>
    <w:basedOn w:val="Normal"/>
    <w:link w:val="Gvdemetni26Exact"/>
    <w:uiPriority w:val="99"/>
    <w:pPr>
      <w:shd w:val="clear" w:color="auto" w:fill="FFFFFF"/>
      <w:spacing w:line="240" w:lineRule="atLeast"/>
    </w:pPr>
    <w:rPr>
      <w:spacing w:val="-6"/>
      <w:sz w:val="17"/>
      <w:szCs w:val="17"/>
    </w:rPr>
  </w:style>
  <w:style w:type="paragraph" w:customStyle="1" w:styleId="Gvdemetni301">
    <w:name w:val="Gövde metni (30)1"/>
    <w:basedOn w:val="Normal"/>
    <w:link w:val="Gvdemetni300"/>
    <w:uiPriority w:val="99"/>
    <w:pPr>
      <w:shd w:val="clear" w:color="auto" w:fill="FFFFFF"/>
      <w:spacing w:before="420" w:after="420" w:line="240" w:lineRule="atLeast"/>
    </w:pPr>
    <w:rPr>
      <w:rFonts w:ascii="Arial" w:hAnsi="Arial" w:cs="Arial"/>
      <w:b/>
      <w:bCs/>
      <w:sz w:val="23"/>
      <w:szCs w:val="23"/>
    </w:rPr>
  </w:style>
  <w:style w:type="paragraph" w:customStyle="1" w:styleId="Gvdemetni312">
    <w:name w:val="Gövde metni (31)"/>
    <w:basedOn w:val="Normal"/>
    <w:link w:val="Gvdemetni311"/>
    <w:uiPriority w:val="99"/>
    <w:pPr>
      <w:shd w:val="clear" w:color="auto" w:fill="FFFFFF"/>
      <w:spacing w:line="269" w:lineRule="exact"/>
      <w:jc w:val="center"/>
    </w:pPr>
    <w:rPr>
      <w:b/>
      <w:bCs/>
    </w:rPr>
  </w:style>
  <w:style w:type="paragraph" w:customStyle="1" w:styleId="Gvdemetni320">
    <w:name w:val="Gövde metni (32)"/>
    <w:basedOn w:val="Normal"/>
    <w:link w:val="Gvdemetni32Exact"/>
    <w:uiPriority w:val="99"/>
    <w:pPr>
      <w:shd w:val="clear" w:color="auto" w:fill="FFFFFF"/>
      <w:spacing w:after="120" w:line="240" w:lineRule="atLeast"/>
    </w:pPr>
    <w:rPr>
      <w:spacing w:val="-4"/>
      <w:sz w:val="20"/>
      <w:szCs w:val="20"/>
    </w:rPr>
  </w:style>
  <w:style w:type="paragraph" w:customStyle="1" w:styleId="Gvdemetni331">
    <w:name w:val="Gövde metni (33)1"/>
    <w:basedOn w:val="Normal"/>
    <w:link w:val="Gvdemetni330"/>
    <w:uiPriority w:val="99"/>
    <w:pPr>
      <w:shd w:val="clear" w:color="auto" w:fill="FFFFFF"/>
      <w:spacing w:before="1320" w:after="240" w:line="240" w:lineRule="atLeast"/>
    </w:pPr>
    <w:rPr>
      <w:b/>
      <w:bCs/>
      <w:sz w:val="18"/>
      <w:szCs w:val="18"/>
    </w:rPr>
  </w:style>
  <w:style w:type="paragraph" w:customStyle="1" w:styleId="Resimyazs301">
    <w:name w:val="Resim yazısı (30)1"/>
    <w:basedOn w:val="Normal"/>
    <w:link w:val="Resimyazs300"/>
    <w:uiPriority w:val="99"/>
    <w:pPr>
      <w:shd w:val="clear" w:color="auto" w:fill="FFFFFF"/>
      <w:spacing w:line="240" w:lineRule="atLeast"/>
    </w:pPr>
    <w:rPr>
      <w:rFonts w:ascii="Arial" w:hAnsi="Arial" w:cs="Arial"/>
      <w:b/>
      <w:bCs/>
      <w:spacing w:val="-10"/>
      <w:sz w:val="18"/>
      <w:szCs w:val="18"/>
    </w:rPr>
  </w:style>
  <w:style w:type="paragraph" w:customStyle="1" w:styleId="Resimyazs310">
    <w:name w:val="Resim yazısı (31)"/>
    <w:basedOn w:val="Normal"/>
    <w:link w:val="Resimyazs31Exact"/>
    <w:uiPriority w:val="99"/>
    <w:pPr>
      <w:shd w:val="clear" w:color="auto" w:fill="FFFFFF"/>
      <w:spacing w:line="240" w:lineRule="atLeast"/>
    </w:pPr>
    <w:rPr>
      <w:b/>
      <w:bCs/>
      <w:spacing w:val="-4"/>
      <w:sz w:val="18"/>
      <w:szCs w:val="18"/>
    </w:rPr>
  </w:style>
  <w:style w:type="paragraph" w:customStyle="1" w:styleId="Gvdemetni340">
    <w:name w:val="Gövde metni (34)"/>
    <w:basedOn w:val="Normal"/>
    <w:link w:val="Gvdemetni34Exact"/>
    <w:uiPriority w:val="99"/>
    <w:pPr>
      <w:shd w:val="clear" w:color="auto" w:fill="FFFFFF"/>
      <w:spacing w:line="240" w:lineRule="atLeast"/>
    </w:pPr>
    <w:rPr>
      <w:b/>
      <w:bCs/>
      <w:spacing w:val="-1"/>
      <w:sz w:val="16"/>
      <w:szCs w:val="16"/>
    </w:rPr>
  </w:style>
  <w:style w:type="paragraph" w:customStyle="1" w:styleId="Resimyazs321">
    <w:name w:val="Resim yazısı (32)"/>
    <w:basedOn w:val="Normal"/>
    <w:link w:val="Resimyazs320"/>
    <w:uiPriority w:val="99"/>
    <w:pPr>
      <w:shd w:val="clear" w:color="auto" w:fill="FFFFFF"/>
      <w:spacing w:line="240" w:lineRule="atLeast"/>
    </w:pPr>
    <w:rPr>
      <w:b/>
      <w:bCs/>
      <w:sz w:val="15"/>
      <w:szCs w:val="15"/>
    </w:rPr>
  </w:style>
  <w:style w:type="paragraph" w:customStyle="1" w:styleId="Resimyazs331">
    <w:name w:val="Resim yazısı (33)"/>
    <w:basedOn w:val="Normal"/>
    <w:link w:val="Resimyazs330"/>
    <w:uiPriority w:val="99"/>
    <w:pPr>
      <w:shd w:val="clear" w:color="auto" w:fill="FFFFFF"/>
      <w:spacing w:before="60" w:line="240" w:lineRule="atLeast"/>
      <w:jc w:val="right"/>
    </w:pPr>
    <w:rPr>
      <w:b/>
      <w:bCs/>
      <w:sz w:val="16"/>
      <w:szCs w:val="16"/>
    </w:rPr>
  </w:style>
  <w:style w:type="paragraph" w:customStyle="1" w:styleId="Gvdemetni351">
    <w:name w:val="Gövde metni (35)1"/>
    <w:basedOn w:val="Normal"/>
    <w:link w:val="Gvdemetni350"/>
    <w:uiPriority w:val="99"/>
    <w:pPr>
      <w:shd w:val="clear" w:color="auto" w:fill="FFFFFF"/>
      <w:spacing w:line="187" w:lineRule="exact"/>
    </w:pPr>
    <w:rPr>
      <w:sz w:val="20"/>
      <w:szCs w:val="20"/>
    </w:rPr>
  </w:style>
  <w:style w:type="paragraph" w:customStyle="1" w:styleId="Gvdemetni361">
    <w:name w:val="Gövde metni (36)1"/>
    <w:basedOn w:val="Normal"/>
    <w:link w:val="Gvdemetni360"/>
    <w:uiPriority w:val="99"/>
    <w:pPr>
      <w:shd w:val="clear" w:color="auto" w:fill="FFFFFF"/>
      <w:spacing w:line="187" w:lineRule="exact"/>
    </w:pPr>
    <w:rPr>
      <w:rFonts w:ascii="Arial" w:hAnsi="Arial" w:cs="Arial"/>
      <w:sz w:val="17"/>
      <w:szCs w:val="17"/>
    </w:rPr>
  </w:style>
  <w:style w:type="paragraph" w:customStyle="1" w:styleId="Resimyazs341">
    <w:name w:val="Resim yazısı (34)1"/>
    <w:basedOn w:val="Normal"/>
    <w:link w:val="Resimyazs34"/>
    <w:uiPriority w:val="99"/>
    <w:pPr>
      <w:shd w:val="clear" w:color="auto" w:fill="FFFFFF"/>
      <w:spacing w:line="240" w:lineRule="atLeast"/>
    </w:pPr>
    <w:rPr>
      <w:i/>
      <w:iCs/>
      <w:sz w:val="21"/>
      <w:szCs w:val="21"/>
    </w:rPr>
  </w:style>
  <w:style w:type="paragraph" w:customStyle="1" w:styleId="Resimyazs351">
    <w:name w:val="Resim yazısı (35)1"/>
    <w:basedOn w:val="Normal"/>
    <w:link w:val="Resimyazs35"/>
    <w:uiPriority w:val="99"/>
    <w:pPr>
      <w:shd w:val="clear" w:color="auto" w:fill="FFFFFF"/>
      <w:spacing w:line="240" w:lineRule="atLeast"/>
    </w:pPr>
    <w:rPr>
      <w:sz w:val="16"/>
      <w:szCs w:val="16"/>
    </w:rPr>
  </w:style>
  <w:style w:type="paragraph" w:customStyle="1" w:styleId="Gvdemetni371">
    <w:name w:val="Gövde metni (37)1"/>
    <w:basedOn w:val="Normal"/>
    <w:link w:val="Gvdemetni37"/>
    <w:uiPriority w:val="99"/>
    <w:pPr>
      <w:shd w:val="clear" w:color="auto" w:fill="FFFFFF"/>
      <w:spacing w:before="4860" w:after="120" w:line="240" w:lineRule="atLeast"/>
    </w:pPr>
    <w:rPr>
      <w:b/>
      <w:bCs/>
      <w:sz w:val="13"/>
      <w:szCs w:val="13"/>
    </w:rPr>
  </w:style>
  <w:style w:type="paragraph" w:customStyle="1" w:styleId="Gvdemetni39">
    <w:name w:val="Gövde metni (39)"/>
    <w:basedOn w:val="Normal"/>
    <w:link w:val="Gvdemetni39Exact"/>
    <w:uiPriority w:val="99"/>
    <w:pPr>
      <w:shd w:val="clear" w:color="auto" w:fill="FFFFFF"/>
      <w:spacing w:line="240" w:lineRule="atLeast"/>
    </w:pPr>
    <w:rPr>
      <w:rFonts w:ascii="Constantia" w:hAnsi="Constantia" w:cs="Constantia"/>
      <w:sz w:val="27"/>
      <w:szCs w:val="27"/>
    </w:rPr>
  </w:style>
  <w:style w:type="paragraph" w:customStyle="1" w:styleId="Gvdemetni400">
    <w:name w:val="Gövde metni (40)"/>
    <w:basedOn w:val="Normal"/>
    <w:link w:val="Gvdemetni40Exact"/>
    <w:uiPriority w:val="99"/>
    <w:pPr>
      <w:shd w:val="clear" w:color="auto" w:fill="FFFFFF"/>
      <w:spacing w:line="240" w:lineRule="atLeast"/>
    </w:pPr>
    <w:rPr>
      <w:noProof/>
      <w:sz w:val="20"/>
      <w:szCs w:val="20"/>
    </w:rPr>
  </w:style>
  <w:style w:type="paragraph" w:customStyle="1" w:styleId="Gvdemetni381">
    <w:name w:val="Gövde metni (38)1"/>
    <w:basedOn w:val="Normal"/>
    <w:link w:val="Gvdemetni380"/>
    <w:uiPriority w:val="99"/>
    <w:pPr>
      <w:shd w:val="clear" w:color="auto" w:fill="FFFFFF"/>
      <w:spacing w:after="2040" w:line="240" w:lineRule="atLeast"/>
    </w:pPr>
    <w:rPr>
      <w:b/>
      <w:bCs/>
      <w:noProof/>
      <w:w w:val="250"/>
      <w:sz w:val="140"/>
      <w:szCs w:val="140"/>
    </w:rPr>
  </w:style>
  <w:style w:type="paragraph" w:customStyle="1" w:styleId="Gvdemetni41">
    <w:name w:val="Gövde metni (41)"/>
    <w:basedOn w:val="Normal"/>
    <w:link w:val="Gvdemetni41Exact"/>
    <w:uiPriority w:val="99"/>
    <w:pPr>
      <w:shd w:val="clear" w:color="auto" w:fill="FFFFFF"/>
      <w:spacing w:line="240" w:lineRule="atLeast"/>
    </w:pPr>
    <w:rPr>
      <w:rFonts w:ascii="Franklin Gothic Heavy" w:hAnsi="Franklin Gothic Heavy" w:cs="Franklin Gothic Heavy"/>
      <w:noProof/>
      <w:sz w:val="62"/>
      <w:szCs w:val="62"/>
    </w:rPr>
  </w:style>
  <w:style w:type="paragraph" w:customStyle="1" w:styleId="Tabloyazs4">
    <w:name w:val="Tablo yazısı (4)"/>
    <w:basedOn w:val="Normal"/>
    <w:link w:val="Tabloyazs4Exact"/>
    <w:uiPriority w:val="99"/>
    <w:pPr>
      <w:shd w:val="clear" w:color="auto" w:fill="FFFFFF"/>
      <w:spacing w:line="240" w:lineRule="atLeast"/>
    </w:pPr>
    <w:rPr>
      <w:rFonts w:ascii="Arial" w:hAnsi="Arial" w:cs="Arial"/>
      <w:b/>
      <w:bCs/>
      <w:spacing w:val="1"/>
      <w:sz w:val="18"/>
      <w:szCs w:val="18"/>
    </w:rPr>
  </w:style>
  <w:style w:type="paragraph" w:customStyle="1" w:styleId="Tabloyazs5">
    <w:name w:val="Tablo yazısı (5)"/>
    <w:basedOn w:val="Normal"/>
    <w:link w:val="Tabloyazs5Exact"/>
    <w:uiPriority w:val="99"/>
    <w:pPr>
      <w:shd w:val="clear" w:color="auto" w:fill="FFFFFF"/>
      <w:spacing w:line="110" w:lineRule="exact"/>
    </w:pPr>
    <w:rPr>
      <w:spacing w:val="5"/>
      <w:sz w:val="10"/>
      <w:szCs w:val="10"/>
    </w:rPr>
  </w:style>
  <w:style w:type="paragraph" w:customStyle="1" w:styleId="Tabloyazs6">
    <w:name w:val="Tablo yazısı (6)"/>
    <w:basedOn w:val="Normal"/>
    <w:link w:val="Tabloyazs6Exact"/>
    <w:uiPriority w:val="99"/>
    <w:pPr>
      <w:shd w:val="clear" w:color="auto" w:fill="FFFFFF"/>
      <w:spacing w:line="134" w:lineRule="exact"/>
      <w:jc w:val="center"/>
    </w:pPr>
    <w:rPr>
      <w:spacing w:val="-2"/>
      <w:sz w:val="14"/>
      <w:szCs w:val="14"/>
    </w:rPr>
  </w:style>
  <w:style w:type="paragraph" w:customStyle="1" w:styleId="Gvdemetni42">
    <w:name w:val="Gövde metni (42)"/>
    <w:basedOn w:val="Normal"/>
    <w:link w:val="Gvdemetni42Exact"/>
    <w:uiPriority w:val="99"/>
    <w:pPr>
      <w:shd w:val="clear" w:color="auto" w:fill="FFFFFF"/>
      <w:spacing w:after="60" w:line="240" w:lineRule="atLeast"/>
    </w:pPr>
    <w:rPr>
      <w:spacing w:val="5"/>
      <w:sz w:val="10"/>
      <w:szCs w:val="10"/>
    </w:rPr>
  </w:style>
  <w:style w:type="paragraph" w:customStyle="1" w:styleId="Gvdemetni43">
    <w:name w:val="Gövde metni (43)"/>
    <w:basedOn w:val="Normal"/>
    <w:link w:val="Gvdemetni43Exact"/>
    <w:uiPriority w:val="99"/>
    <w:pPr>
      <w:shd w:val="clear" w:color="auto" w:fill="FFFFFF"/>
      <w:spacing w:line="240" w:lineRule="atLeast"/>
      <w:ind w:hanging="280"/>
    </w:pPr>
    <w:rPr>
      <w:rFonts w:ascii="Arial" w:hAnsi="Arial" w:cs="Arial"/>
      <w:b/>
      <w:bCs/>
      <w:sz w:val="12"/>
      <w:szCs w:val="12"/>
    </w:rPr>
  </w:style>
  <w:style w:type="paragraph" w:customStyle="1" w:styleId="Gvdemetni44">
    <w:name w:val="Gövde metni (44)"/>
    <w:basedOn w:val="Normal"/>
    <w:link w:val="Gvdemetni44Exact"/>
    <w:uiPriority w:val="99"/>
    <w:pPr>
      <w:shd w:val="clear" w:color="auto" w:fill="FFFFFF"/>
      <w:spacing w:line="240" w:lineRule="atLeast"/>
    </w:pPr>
    <w:rPr>
      <w:rFonts w:ascii="Georgia" w:hAnsi="Georgia" w:cs="Georgia"/>
      <w:sz w:val="20"/>
      <w:szCs w:val="20"/>
    </w:rPr>
  </w:style>
  <w:style w:type="paragraph" w:customStyle="1" w:styleId="Gvdemetni45">
    <w:name w:val="Gövde metni (45)"/>
    <w:basedOn w:val="Normal"/>
    <w:link w:val="Gvdemetni45Exact"/>
    <w:uiPriority w:val="99"/>
    <w:pPr>
      <w:shd w:val="clear" w:color="auto" w:fill="FFFFFF"/>
      <w:spacing w:line="240" w:lineRule="atLeast"/>
    </w:pPr>
    <w:rPr>
      <w:rFonts w:ascii="Lucida Sans Unicode" w:hAnsi="Lucida Sans Unicode" w:cs="Lucida Sans Unicode"/>
      <w:noProof/>
      <w:sz w:val="38"/>
      <w:szCs w:val="38"/>
    </w:rPr>
  </w:style>
  <w:style w:type="paragraph" w:customStyle="1" w:styleId="Gvdemetni46">
    <w:name w:val="Gövde metni (46)"/>
    <w:basedOn w:val="Normal"/>
    <w:link w:val="Gvdemetni46Exact"/>
    <w:uiPriority w:val="99"/>
    <w:pPr>
      <w:shd w:val="clear" w:color="auto" w:fill="FFFFFF"/>
      <w:spacing w:line="163" w:lineRule="exact"/>
    </w:pPr>
    <w:rPr>
      <w:rFonts w:ascii="Arial" w:hAnsi="Arial" w:cs="Arial"/>
      <w:b/>
      <w:bCs/>
      <w:sz w:val="12"/>
      <w:szCs w:val="12"/>
    </w:rPr>
  </w:style>
  <w:style w:type="paragraph" w:customStyle="1" w:styleId="Gvdemetni47">
    <w:name w:val="Gövde metni (47)"/>
    <w:basedOn w:val="Normal"/>
    <w:link w:val="Gvdemetni47Exact"/>
    <w:uiPriority w:val="99"/>
    <w:pPr>
      <w:shd w:val="clear" w:color="auto" w:fill="FFFFFF"/>
      <w:spacing w:line="240" w:lineRule="atLeast"/>
    </w:pPr>
    <w:rPr>
      <w:spacing w:val="10"/>
      <w:sz w:val="13"/>
      <w:szCs w:val="13"/>
    </w:rPr>
  </w:style>
  <w:style w:type="paragraph" w:customStyle="1" w:styleId="Gvdemetni48">
    <w:name w:val="Gövde metni (48)"/>
    <w:basedOn w:val="Normal"/>
    <w:link w:val="Gvdemetni48Exact"/>
    <w:uiPriority w:val="99"/>
    <w:pPr>
      <w:shd w:val="clear" w:color="auto" w:fill="FFFFFF"/>
      <w:spacing w:line="240" w:lineRule="atLeast"/>
    </w:pPr>
    <w:rPr>
      <w:rFonts w:ascii="Georgia" w:hAnsi="Georgia" w:cs="Georgia"/>
      <w:i/>
      <w:iCs/>
      <w:noProof/>
      <w:sz w:val="20"/>
      <w:szCs w:val="20"/>
    </w:rPr>
  </w:style>
  <w:style w:type="paragraph" w:customStyle="1" w:styleId="Gvdemetni49">
    <w:name w:val="Gövde metni (49)"/>
    <w:basedOn w:val="Normal"/>
    <w:link w:val="Gvdemetni49Exact"/>
    <w:uiPriority w:val="99"/>
    <w:pPr>
      <w:shd w:val="clear" w:color="auto" w:fill="FFFFFF"/>
      <w:spacing w:line="240" w:lineRule="atLeast"/>
    </w:pPr>
    <w:rPr>
      <w:rFonts w:ascii="Arial" w:hAnsi="Arial" w:cs="Arial"/>
      <w:i/>
      <w:iCs/>
      <w:noProof/>
      <w:sz w:val="20"/>
      <w:szCs w:val="20"/>
    </w:rPr>
  </w:style>
  <w:style w:type="paragraph" w:customStyle="1" w:styleId="Gvdemetni500">
    <w:name w:val="Gövde metni (50)"/>
    <w:basedOn w:val="Normal"/>
    <w:link w:val="Gvdemetni50Exact"/>
    <w:uiPriority w:val="99"/>
    <w:pPr>
      <w:shd w:val="clear" w:color="auto" w:fill="FFFFFF"/>
      <w:spacing w:line="240" w:lineRule="atLeast"/>
    </w:pPr>
    <w:rPr>
      <w:rFonts w:ascii="Arial" w:hAnsi="Arial" w:cs="Arial"/>
      <w:spacing w:val="-2"/>
      <w:sz w:val="11"/>
      <w:szCs w:val="11"/>
    </w:rPr>
  </w:style>
  <w:style w:type="paragraph" w:customStyle="1" w:styleId="Tabloyazs80">
    <w:name w:val="Tablo yazısı (8)"/>
    <w:basedOn w:val="Normal"/>
    <w:link w:val="Tabloyazs8Exact"/>
    <w:uiPriority w:val="99"/>
    <w:pPr>
      <w:shd w:val="clear" w:color="auto" w:fill="FFFFFF"/>
      <w:spacing w:line="226" w:lineRule="exact"/>
    </w:pPr>
    <w:rPr>
      <w:rFonts w:ascii="Arial" w:hAnsi="Arial" w:cs="Arial"/>
      <w:spacing w:val="-2"/>
      <w:sz w:val="11"/>
      <w:szCs w:val="11"/>
    </w:rPr>
  </w:style>
  <w:style w:type="paragraph" w:customStyle="1" w:styleId="Tabloyazs9">
    <w:name w:val="Tablo yazısı (9)"/>
    <w:basedOn w:val="Normal"/>
    <w:link w:val="Tabloyazs9Exact"/>
    <w:uiPriority w:val="99"/>
    <w:pPr>
      <w:shd w:val="clear" w:color="auto" w:fill="FFFFFF"/>
      <w:spacing w:line="240" w:lineRule="atLeast"/>
    </w:pPr>
    <w:rPr>
      <w:i/>
      <w:iCs/>
      <w:spacing w:val="23"/>
      <w:sz w:val="19"/>
      <w:szCs w:val="19"/>
    </w:rPr>
  </w:style>
  <w:style w:type="paragraph" w:customStyle="1" w:styleId="Tabloyazs10">
    <w:name w:val="Tablo yazısı (10)"/>
    <w:basedOn w:val="Normal"/>
    <w:link w:val="Tabloyazs10Exact"/>
    <w:uiPriority w:val="99"/>
    <w:pPr>
      <w:shd w:val="clear" w:color="auto" w:fill="FFFFFF"/>
      <w:spacing w:line="240" w:lineRule="atLeast"/>
    </w:pPr>
    <w:rPr>
      <w:sz w:val="14"/>
      <w:szCs w:val="14"/>
    </w:rPr>
  </w:style>
  <w:style w:type="paragraph" w:customStyle="1" w:styleId="Tabloyazs71">
    <w:name w:val="Tablo yazısı (7)1"/>
    <w:basedOn w:val="Normal"/>
    <w:link w:val="Tabloyazs7"/>
    <w:uiPriority w:val="99"/>
    <w:pPr>
      <w:shd w:val="clear" w:color="auto" w:fill="FFFFFF"/>
      <w:spacing w:line="182" w:lineRule="exact"/>
    </w:pPr>
    <w:rPr>
      <w:sz w:val="20"/>
      <w:szCs w:val="20"/>
    </w:rPr>
  </w:style>
  <w:style w:type="paragraph" w:customStyle="1" w:styleId="Resimyazs360">
    <w:name w:val="Resim yazısı (36)"/>
    <w:basedOn w:val="Normal"/>
    <w:link w:val="Resimyazs36"/>
    <w:uiPriority w:val="99"/>
    <w:pPr>
      <w:shd w:val="clear" w:color="auto" w:fill="FFFFFF"/>
      <w:spacing w:line="240" w:lineRule="atLeast"/>
    </w:pPr>
    <w:rPr>
      <w:rFonts w:ascii="Arial" w:hAnsi="Arial" w:cs="Arial"/>
      <w:b/>
      <w:bCs/>
      <w:sz w:val="15"/>
      <w:szCs w:val="15"/>
    </w:rPr>
  </w:style>
  <w:style w:type="paragraph" w:customStyle="1" w:styleId="Resimyazs371">
    <w:name w:val="Resim yazısı (37)1"/>
    <w:basedOn w:val="Normal"/>
    <w:link w:val="Resimyazs37"/>
    <w:uiPriority w:val="99"/>
    <w:pPr>
      <w:shd w:val="clear" w:color="auto" w:fill="FFFFFF"/>
      <w:spacing w:line="283" w:lineRule="exact"/>
    </w:pPr>
    <w:rPr>
      <w:rFonts w:ascii="Arial" w:hAnsi="Arial" w:cs="Arial"/>
      <w:b/>
      <w:bCs/>
      <w:sz w:val="14"/>
      <w:szCs w:val="14"/>
    </w:rPr>
  </w:style>
  <w:style w:type="paragraph" w:customStyle="1" w:styleId="Gvdemetni521">
    <w:name w:val="Gövde metni (52)"/>
    <w:basedOn w:val="Normal"/>
    <w:link w:val="Gvdemetni52Exact"/>
    <w:uiPriority w:val="99"/>
    <w:pPr>
      <w:shd w:val="clear" w:color="auto" w:fill="FFFFFF"/>
      <w:spacing w:line="110" w:lineRule="exact"/>
      <w:jc w:val="right"/>
    </w:pPr>
    <w:rPr>
      <w:spacing w:val="-4"/>
      <w:sz w:val="15"/>
      <w:szCs w:val="15"/>
    </w:rPr>
  </w:style>
  <w:style w:type="paragraph" w:customStyle="1" w:styleId="Gvdemetni513">
    <w:name w:val="Gövde metni (51)"/>
    <w:basedOn w:val="Normal"/>
    <w:link w:val="Gvdemetni512"/>
    <w:uiPriority w:val="99"/>
    <w:pPr>
      <w:shd w:val="clear" w:color="auto" w:fill="FFFFFF"/>
      <w:spacing w:before="480" w:line="240" w:lineRule="atLeast"/>
    </w:pPr>
    <w:rPr>
      <w:rFonts w:ascii="Impact" w:hAnsi="Impact" w:cs="Impact"/>
      <w:spacing w:val="20"/>
      <w:sz w:val="14"/>
      <w:szCs w:val="14"/>
    </w:rPr>
  </w:style>
  <w:style w:type="paragraph" w:customStyle="1" w:styleId="Tabloyazs110">
    <w:name w:val="Tablo yazısı (11)"/>
    <w:basedOn w:val="Normal"/>
    <w:link w:val="Tabloyazs11"/>
    <w:uiPriority w:val="99"/>
    <w:pPr>
      <w:shd w:val="clear" w:color="auto" w:fill="FFFFFF"/>
      <w:spacing w:line="240" w:lineRule="atLeast"/>
    </w:pPr>
    <w:rPr>
      <w:rFonts w:ascii="Franklin Gothic Heavy" w:hAnsi="Franklin Gothic Heavy" w:cs="Franklin Gothic Heavy"/>
      <w:sz w:val="15"/>
      <w:szCs w:val="15"/>
    </w:rPr>
  </w:style>
  <w:style w:type="paragraph" w:customStyle="1" w:styleId="Tabloyazs120">
    <w:name w:val="Tablo yazısı (12)"/>
    <w:basedOn w:val="Normal"/>
    <w:link w:val="Tabloyazs12"/>
    <w:uiPriority w:val="99"/>
    <w:pPr>
      <w:shd w:val="clear" w:color="auto" w:fill="FFFFFF"/>
      <w:spacing w:line="240" w:lineRule="atLeast"/>
    </w:pPr>
    <w:rPr>
      <w:sz w:val="16"/>
      <w:szCs w:val="16"/>
    </w:rPr>
  </w:style>
  <w:style w:type="paragraph" w:customStyle="1" w:styleId="Tabloyazs130">
    <w:name w:val="Tablo yazısı (13)"/>
    <w:basedOn w:val="Normal"/>
    <w:link w:val="Tabloyazs13"/>
    <w:uiPriority w:val="99"/>
    <w:pPr>
      <w:shd w:val="clear" w:color="auto" w:fill="FFFFFF"/>
      <w:spacing w:line="240" w:lineRule="atLeast"/>
    </w:pPr>
    <w:rPr>
      <w:rFonts w:ascii="Arial" w:hAnsi="Arial" w:cs="Arial"/>
      <w:b/>
      <w:bCs/>
      <w:sz w:val="15"/>
      <w:szCs w:val="15"/>
    </w:rPr>
  </w:style>
  <w:style w:type="paragraph" w:customStyle="1" w:styleId="Tabloyazs140">
    <w:name w:val="Tablo yazısı (14)"/>
    <w:basedOn w:val="Normal"/>
    <w:link w:val="Tabloyazs14"/>
    <w:uiPriority w:val="99"/>
    <w:pPr>
      <w:shd w:val="clear" w:color="auto" w:fill="FFFFFF"/>
      <w:spacing w:line="240" w:lineRule="atLeast"/>
    </w:pPr>
    <w:rPr>
      <w:b/>
      <w:bCs/>
      <w:sz w:val="16"/>
      <w:szCs w:val="16"/>
    </w:rPr>
  </w:style>
  <w:style w:type="paragraph" w:customStyle="1" w:styleId="Tabloyazs150">
    <w:name w:val="Tablo yazısı (15)"/>
    <w:basedOn w:val="Normal"/>
    <w:link w:val="Tabloyazs15"/>
    <w:uiPriority w:val="99"/>
    <w:pPr>
      <w:shd w:val="clear" w:color="auto" w:fill="FFFFFF"/>
      <w:spacing w:line="240" w:lineRule="atLeast"/>
    </w:pPr>
    <w:rPr>
      <w:sz w:val="16"/>
      <w:szCs w:val="16"/>
    </w:rPr>
  </w:style>
  <w:style w:type="paragraph" w:customStyle="1" w:styleId="Resimyazs380">
    <w:name w:val="Resim yazısı (38)"/>
    <w:basedOn w:val="Normal"/>
    <w:link w:val="Resimyazs38"/>
    <w:uiPriority w:val="99"/>
    <w:pPr>
      <w:shd w:val="clear" w:color="auto" w:fill="FFFFFF"/>
      <w:spacing w:line="240" w:lineRule="atLeast"/>
    </w:pPr>
    <w:rPr>
      <w:rFonts w:ascii="Arial" w:hAnsi="Arial" w:cs="Arial"/>
      <w:b/>
      <w:bCs/>
      <w:sz w:val="15"/>
      <w:szCs w:val="15"/>
    </w:rPr>
  </w:style>
  <w:style w:type="paragraph" w:customStyle="1" w:styleId="Balk621">
    <w:name w:val="Başlık #6 (2)1"/>
    <w:basedOn w:val="Normal"/>
    <w:link w:val="Balk620"/>
    <w:uiPriority w:val="99"/>
    <w:pPr>
      <w:shd w:val="clear" w:color="auto" w:fill="FFFFFF"/>
      <w:spacing w:before="300" w:after="60" w:line="240" w:lineRule="atLeast"/>
      <w:ind w:hanging="700"/>
      <w:outlineLvl w:val="5"/>
    </w:pPr>
    <w:rPr>
      <w:b/>
      <w:bCs/>
      <w:sz w:val="20"/>
      <w:szCs w:val="20"/>
    </w:rPr>
  </w:style>
  <w:style w:type="paragraph" w:customStyle="1" w:styleId="Balk630">
    <w:name w:val="Başlık #6 (3)"/>
    <w:basedOn w:val="Normal"/>
    <w:link w:val="Balk63"/>
    <w:uiPriority w:val="99"/>
    <w:pPr>
      <w:shd w:val="clear" w:color="auto" w:fill="FFFFFF"/>
      <w:spacing w:before="300" w:after="240" w:line="254" w:lineRule="exact"/>
      <w:ind w:hanging="540"/>
      <w:outlineLvl w:val="5"/>
    </w:pPr>
    <w:rPr>
      <w:sz w:val="21"/>
      <w:szCs w:val="21"/>
    </w:rPr>
  </w:style>
  <w:style w:type="paragraph" w:customStyle="1" w:styleId="Balk531">
    <w:name w:val="Başlık #5 (3)"/>
    <w:basedOn w:val="Normal"/>
    <w:link w:val="Balk530"/>
    <w:uiPriority w:val="99"/>
    <w:pPr>
      <w:shd w:val="clear" w:color="auto" w:fill="FFFFFF"/>
      <w:spacing w:before="180" w:line="259" w:lineRule="exact"/>
      <w:outlineLvl w:val="4"/>
    </w:pPr>
    <w:rPr>
      <w:b/>
      <w:bCs/>
      <w:sz w:val="20"/>
      <w:szCs w:val="20"/>
    </w:rPr>
  </w:style>
  <w:style w:type="paragraph" w:customStyle="1" w:styleId="Resimyazs39">
    <w:name w:val="Resim yazısı (39)"/>
    <w:basedOn w:val="Normal"/>
    <w:link w:val="Resimyazs39Exact"/>
    <w:uiPriority w:val="99"/>
    <w:pPr>
      <w:shd w:val="clear" w:color="auto" w:fill="FFFFFF"/>
      <w:spacing w:line="240" w:lineRule="atLeast"/>
    </w:pPr>
    <w:rPr>
      <w:rFonts w:ascii="Arial" w:hAnsi="Arial" w:cs="Arial"/>
      <w:b/>
      <w:bCs/>
      <w:spacing w:val="2"/>
      <w:sz w:val="21"/>
      <w:szCs w:val="21"/>
    </w:rPr>
  </w:style>
  <w:style w:type="paragraph" w:customStyle="1" w:styleId="Tabloyazs160">
    <w:name w:val="Tablo yazısı (16)"/>
    <w:basedOn w:val="Normal"/>
    <w:link w:val="Tabloyazs16"/>
    <w:uiPriority w:val="99"/>
    <w:pPr>
      <w:shd w:val="clear" w:color="auto" w:fill="FFFFFF"/>
      <w:spacing w:line="240" w:lineRule="atLeast"/>
    </w:pPr>
    <w:rPr>
      <w:b/>
      <w:bCs/>
      <w:i/>
      <w:iCs/>
      <w:sz w:val="20"/>
      <w:szCs w:val="20"/>
    </w:rPr>
  </w:style>
  <w:style w:type="paragraph" w:styleId="T2">
    <w:name w:val="toc 2"/>
    <w:basedOn w:val="Normal"/>
    <w:next w:val="Normal"/>
    <w:uiPriority w:val="39"/>
    <w:pPr>
      <w:shd w:val="clear" w:color="auto" w:fill="FFFFFF"/>
      <w:spacing w:before="60" w:line="326" w:lineRule="exact"/>
      <w:ind w:hanging="1140"/>
    </w:pPr>
    <w:rPr>
      <w:sz w:val="19"/>
      <w:szCs w:val="19"/>
    </w:rPr>
  </w:style>
  <w:style w:type="paragraph" w:styleId="T3">
    <w:name w:val="toc 3"/>
    <w:basedOn w:val="Normal"/>
    <w:next w:val="Normal"/>
    <w:uiPriority w:val="39"/>
    <w:pPr>
      <w:shd w:val="clear" w:color="auto" w:fill="FFFFFF"/>
      <w:spacing w:before="60" w:line="326" w:lineRule="exact"/>
      <w:ind w:hanging="1140"/>
    </w:pPr>
    <w:rPr>
      <w:sz w:val="19"/>
      <w:szCs w:val="19"/>
    </w:rPr>
  </w:style>
  <w:style w:type="paragraph" w:styleId="T4">
    <w:name w:val="toc 4"/>
    <w:basedOn w:val="Normal"/>
    <w:next w:val="Normal"/>
    <w:pPr>
      <w:shd w:val="clear" w:color="auto" w:fill="FFFFFF"/>
      <w:spacing w:before="60" w:line="326" w:lineRule="exact"/>
      <w:ind w:hanging="1140"/>
    </w:pPr>
    <w:rPr>
      <w:sz w:val="19"/>
      <w:szCs w:val="19"/>
    </w:rPr>
  </w:style>
  <w:style w:type="paragraph" w:styleId="T5">
    <w:name w:val="toc 5"/>
    <w:basedOn w:val="Normal"/>
    <w:next w:val="Normal"/>
    <w:pPr>
      <w:shd w:val="clear" w:color="auto" w:fill="FFFFFF"/>
      <w:spacing w:before="60" w:line="326" w:lineRule="exact"/>
      <w:ind w:hanging="1140"/>
    </w:pPr>
    <w:rPr>
      <w:sz w:val="19"/>
      <w:szCs w:val="19"/>
    </w:rPr>
  </w:style>
  <w:style w:type="paragraph" w:styleId="T6">
    <w:name w:val="toc 6"/>
    <w:basedOn w:val="Normal"/>
    <w:next w:val="Normal"/>
    <w:pPr>
      <w:shd w:val="clear" w:color="auto" w:fill="FFFFFF"/>
      <w:spacing w:before="60" w:line="326" w:lineRule="exact"/>
      <w:ind w:hanging="1140"/>
    </w:pPr>
    <w:rPr>
      <w:sz w:val="19"/>
      <w:szCs w:val="19"/>
    </w:rPr>
  </w:style>
  <w:style w:type="paragraph" w:styleId="stBilgi">
    <w:name w:val="header"/>
    <w:basedOn w:val="Normal"/>
    <w:link w:val="stBilgiChar"/>
    <w:uiPriority w:val="99"/>
    <w:unhideWhenUsed/>
    <w:rsid w:val="00684C86"/>
    <w:pPr>
      <w:widowControl w:val="0"/>
      <w:tabs>
        <w:tab w:val="center" w:pos="4536"/>
        <w:tab w:val="right" w:pos="9072"/>
      </w:tabs>
      <w:spacing w:line="276" w:lineRule="auto"/>
      <w:jc w:val="both"/>
    </w:pPr>
    <w:rPr>
      <w:rFonts w:cs="Courier New"/>
      <w:color w:val="000000"/>
    </w:rPr>
  </w:style>
  <w:style w:type="character" w:customStyle="1" w:styleId="stBilgiChar">
    <w:name w:val="Üst Bilgi Char"/>
    <w:link w:val="stBilgi"/>
    <w:uiPriority w:val="99"/>
    <w:locked/>
    <w:rsid w:val="00684C86"/>
    <w:rPr>
      <w:rFonts w:cs="Times New Roman"/>
      <w:color w:val="000000"/>
    </w:rPr>
  </w:style>
  <w:style w:type="paragraph" w:styleId="AltBilgi">
    <w:name w:val="footer"/>
    <w:basedOn w:val="Normal"/>
    <w:link w:val="AltBilgiChar"/>
    <w:uiPriority w:val="99"/>
    <w:unhideWhenUsed/>
    <w:rsid w:val="00684C86"/>
    <w:pPr>
      <w:tabs>
        <w:tab w:val="center" w:pos="4536"/>
        <w:tab w:val="right" w:pos="9072"/>
      </w:tabs>
    </w:pPr>
  </w:style>
  <w:style w:type="character" w:customStyle="1" w:styleId="AltBilgiChar">
    <w:name w:val="Alt Bilgi Char"/>
    <w:link w:val="AltBilgi"/>
    <w:uiPriority w:val="99"/>
    <w:locked/>
    <w:rsid w:val="00684C86"/>
    <w:rPr>
      <w:rFonts w:cs="Times New Roman"/>
      <w:color w:val="000000"/>
    </w:rPr>
  </w:style>
  <w:style w:type="table" w:styleId="TabloKlavuzu">
    <w:name w:val="Table Grid"/>
    <w:basedOn w:val="NormalTablo"/>
    <w:uiPriority w:val="39"/>
    <w:rsid w:val="006D4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1">
    <w:name w:val="caption"/>
    <w:aliases w:val="Subtitle,Annex,Caption Char,Caption Char1 Char,Caption Char Char Char,Caption Char2 Char1 Char Char,Caption Char1 Char Char Char Char,Caption Char Char Char Char Char Char,Caption Char Char1 Char Char Char,Altyazı1,Altyazı11"/>
    <w:basedOn w:val="Normal"/>
    <w:next w:val="Normal"/>
    <w:link w:val="ResimYazsChar"/>
    <w:unhideWhenUsed/>
    <w:qFormat/>
    <w:rsid w:val="002C0247"/>
    <w:pPr>
      <w:spacing w:line="360" w:lineRule="auto"/>
      <w:jc w:val="both"/>
    </w:pPr>
    <w:rPr>
      <w:rFonts w:eastAsiaTheme="minorHAnsi" w:cstheme="minorHAnsi"/>
      <w:b/>
      <w:iCs/>
      <w:color w:val="000000" w:themeColor="text1"/>
      <w:szCs w:val="18"/>
      <w:lang w:val="en-US" w:eastAsia="en-US"/>
    </w:rPr>
  </w:style>
  <w:style w:type="character" w:customStyle="1" w:styleId="ResimYazsChar">
    <w:name w:val="Resim Yazısı Char"/>
    <w:aliases w:val="Subtitle Char,Annex Char,Caption Char Char,Caption Char1 Char Char,Caption Char Char Char Char,Caption Char2 Char1 Char Char Char,Caption Char1 Char Char Char Char Char,Caption Char Char Char Char Char Char Char,Altyazı1 Char"/>
    <w:basedOn w:val="VarsaylanParagrafYazTipi"/>
    <w:link w:val="ResimYazs1"/>
    <w:rsid w:val="002C0247"/>
    <w:rPr>
      <w:rFonts w:ascii="Times New Roman" w:eastAsiaTheme="minorHAnsi" w:hAnsi="Times New Roman" w:cstheme="minorHAnsi"/>
      <w:b/>
      <w:iCs/>
      <w:color w:val="000000" w:themeColor="text1"/>
      <w:sz w:val="24"/>
      <w:szCs w:val="18"/>
      <w:lang w:val="en-US" w:eastAsia="en-US"/>
    </w:rPr>
  </w:style>
  <w:style w:type="paragraph" w:styleId="GvdeMetnia">
    <w:name w:val="Body Text"/>
    <w:basedOn w:val="Normal"/>
    <w:link w:val="GvdeMetniChar"/>
    <w:qFormat/>
    <w:rsid w:val="002C0247"/>
    <w:pPr>
      <w:widowControl w:val="0"/>
      <w:autoSpaceDE w:val="0"/>
      <w:autoSpaceDN w:val="0"/>
      <w:spacing w:line="276" w:lineRule="auto"/>
      <w:jc w:val="both"/>
    </w:pPr>
    <w:rPr>
      <w:sz w:val="22"/>
      <w:szCs w:val="22"/>
      <w:lang w:eastAsia="en-US"/>
    </w:rPr>
  </w:style>
  <w:style w:type="character" w:customStyle="1" w:styleId="GvdeMetniChar">
    <w:name w:val="Gövde Metni Char"/>
    <w:basedOn w:val="VarsaylanParagrafYazTipi"/>
    <w:link w:val="GvdeMetnia"/>
    <w:rsid w:val="002C0247"/>
    <w:rPr>
      <w:rFonts w:ascii="Times New Roman" w:hAnsi="Times New Roman" w:cs="Times New Roman"/>
      <w:sz w:val="22"/>
      <w:szCs w:val="22"/>
      <w:lang w:eastAsia="en-US"/>
    </w:rPr>
  </w:style>
  <w:style w:type="character" w:customStyle="1" w:styleId="Balk2Char">
    <w:name w:val="Başlık 2 Char"/>
    <w:basedOn w:val="VarsaylanParagrafYazTipi"/>
    <w:link w:val="Balk2"/>
    <w:uiPriority w:val="9"/>
    <w:rsid w:val="00621923"/>
    <w:rPr>
      <w:rFonts w:ascii="Times New Roman" w:eastAsiaTheme="majorEastAsia" w:hAnsi="Times New Roman" w:cstheme="majorBidi"/>
      <w:b/>
      <w:color w:val="000000" w:themeColor="text1"/>
      <w:sz w:val="24"/>
      <w:szCs w:val="26"/>
    </w:rPr>
  </w:style>
  <w:style w:type="character" w:customStyle="1" w:styleId="Balk3Char">
    <w:name w:val="Başlık 3 Char"/>
    <w:aliases w:val="H3 Char1,0 Char1"/>
    <w:basedOn w:val="VarsaylanParagrafYazTipi"/>
    <w:link w:val="Balk3"/>
    <w:uiPriority w:val="9"/>
    <w:rsid w:val="00621923"/>
    <w:rPr>
      <w:rFonts w:ascii="Times New Roman" w:eastAsiaTheme="majorEastAsia" w:hAnsi="Times New Roman" w:cstheme="majorBidi"/>
      <w:b/>
      <w:color w:val="000000" w:themeColor="text1"/>
      <w:sz w:val="24"/>
      <w:szCs w:val="24"/>
    </w:rPr>
  </w:style>
  <w:style w:type="character" w:customStyle="1" w:styleId="Balk4Char">
    <w:name w:val="Başlık 4 Char"/>
    <w:basedOn w:val="VarsaylanParagrafYazTipi"/>
    <w:link w:val="Balk4"/>
    <w:uiPriority w:val="9"/>
    <w:rsid w:val="00621923"/>
    <w:rPr>
      <w:rFonts w:ascii="Times New Roman" w:eastAsiaTheme="majorEastAsia" w:hAnsi="Times New Roman" w:cstheme="majorBidi"/>
      <w:b/>
      <w:iCs/>
      <w:color w:val="000000" w:themeColor="text1"/>
      <w:sz w:val="24"/>
      <w:szCs w:val="24"/>
    </w:rPr>
  </w:style>
  <w:style w:type="character" w:customStyle="1" w:styleId="Balk5Char">
    <w:name w:val="Başlık 5 Char"/>
    <w:basedOn w:val="VarsaylanParagrafYazTipi"/>
    <w:link w:val="Balk5"/>
    <w:uiPriority w:val="9"/>
    <w:rsid w:val="00DE2899"/>
    <w:rPr>
      <w:rFonts w:ascii="Times New Roman" w:hAnsi="Times New Roman" w:cs="Times New Roman"/>
      <w:b/>
      <w:color w:val="000000" w:themeColor="text1"/>
      <w:spacing w:val="2"/>
      <w:sz w:val="24"/>
      <w:szCs w:val="22"/>
      <w:lang w:val="en-US" w:eastAsia="en-US"/>
    </w:rPr>
  </w:style>
  <w:style w:type="character" w:customStyle="1" w:styleId="Balk6Char">
    <w:name w:val="Başlık 6 Char"/>
    <w:aliases w:val="heading 5 Char,Başlık 51 Char"/>
    <w:basedOn w:val="VarsaylanParagrafYazTipi"/>
    <w:link w:val="Balk6"/>
    <w:uiPriority w:val="9"/>
    <w:rsid w:val="00374C56"/>
    <w:rPr>
      <w:rFonts w:ascii="Arial" w:hAnsi="Arial" w:cs="Arial"/>
      <w:b/>
      <w:spacing w:val="2"/>
      <w:szCs w:val="22"/>
      <w:lang w:val="en-US" w:eastAsia="en-US"/>
    </w:rPr>
  </w:style>
  <w:style w:type="character" w:customStyle="1" w:styleId="Balk7Char">
    <w:name w:val="Başlık 7 Char"/>
    <w:aliases w:val="heading 6 Char"/>
    <w:basedOn w:val="VarsaylanParagrafYazTipi"/>
    <w:link w:val="Balk7"/>
    <w:uiPriority w:val="9"/>
    <w:rsid w:val="001461BF"/>
    <w:rPr>
      <w:rFonts w:ascii="Times New Roman" w:hAnsi="Times New Roman" w:cs="Arial"/>
      <w:b/>
      <w:iCs/>
      <w:sz w:val="24"/>
      <w:szCs w:val="22"/>
      <w:lang w:val="en-US" w:eastAsia="en-US"/>
    </w:rPr>
  </w:style>
  <w:style w:type="character" w:customStyle="1" w:styleId="Balk8Char">
    <w:name w:val="Başlık 8 Char"/>
    <w:aliases w:val="heading 7 Char"/>
    <w:basedOn w:val="VarsaylanParagrafYazTipi"/>
    <w:link w:val="Balk8"/>
    <w:uiPriority w:val="9"/>
    <w:rsid w:val="00374C56"/>
    <w:rPr>
      <w:rFonts w:ascii="Cambria" w:hAnsi="Cambria" w:cs="Times New Roman"/>
      <w:color w:val="272727"/>
      <w:spacing w:val="2"/>
      <w:sz w:val="21"/>
      <w:szCs w:val="21"/>
      <w:lang w:val="en-US" w:eastAsia="en-US"/>
    </w:rPr>
  </w:style>
  <w:style w:type="character" w:customStyle="1" w:styleId="Balk9Char">
    <w:name w:val="Başlık 9 Char"/>
    <w:basedOn w:val="VarsaylanParagrafYazTipi"/>
    <w:link w:val="Balk9"/>
    <w:uiPriority w:val="9"/>
    <w:rsid w:val="00374C56"/>
    <w:rPr>
      <w:rFonts w:ascii="Cambria" w:hAnsi="Cambria" w:cs="Times New Roman"/>
      <w:i/>
      <w:iCs/>
      <w:color w:val="272727"/>
      <w:spacing w:val="2"/>
      <w:sz w:val="21"/>
      <w:szCs w:val="21"/>
      <w:lang w:val="en-US" w:eastAsia="en-US"/>
    </w:rPr>
  </w:style>
  <w:style w:type="numbering" w:customStyle="1" w:styleId="ListeYok1">
    <w:name w:val="Liste Yok1"/>
    <w:next w:val="ListeYok"/>
    <w:uiPriority w:val="99"/>
    <w:semiHidden/>
    <w:unhideWhenUsed/>
    <w:rsid w:val="00374C56"/>
  </w:style>
  <w:style w:type="paragraph" w:styleId="ListeParagraf">
    <w:name w:val="List Paragraph"/>
    <w:aliases w:val="üçüncü başlık,PROVERE 1,Listenabsatz1,Bullet List Paragraph,Level 1 Bullet,Bullet List,Table of contents numbered,Liststycke SKL,Normal bullet 2,Bullet list,Bullet Points,Heading 2_sj,Dot pt,Numbered Para 1,List Paragraph Char Char Char"/>
    <w:basedOn w:val="Normal"/>
    <w:link w:val="ListeParagrafChar"/>
    <w:uiPriority w:val="1"/>
    <w:qFormat/>
    <w:rsid w:val="00374C56"/>
    <w:pPr>
      <w:widowControl w:val="0"/>
      <w:numPr>
        <w:numId w:val="17"/>
      </w:numPr>
      <w:tabs>
        <w:tab w:val="left" w:pos="567"/>
      </w:tabs>
      <w:spacing w:line="269" w:lineRule="exact"/>
      <w:contextualSpacing/>
      <w:jc w:val="both"/>
    </w:pPr>
    <w:rPr>
      <w:spacing w:val="2"/>
      <w:position w:val="-1"/>
      <w:sz w:val="22"/>
      <w:szCs w:val="22"/>
      <w:lang w:val="en-US" w:eastAsia="en-US"/>
    </w:rPr>
  </w:style>
  <w:style w:type="paragraph" w:customStyle="1" w:styleId="Maddemleci">
    <w:name w:val="Madde İmleci"/>
    <w:basedOn w:val="ListeParagraf"/>
    <w:link w:val="MaddemleciChar"/>
    <w:qFormat/>
    <w:rsid w:val="00374C56"/>
    <w:pPr>
      <w:spacing w:after="240" w:line="240" w:lineRule="auto"/>
      <w:ind w:hanging="283"/>
    </w:pPr>
  </w:style>
  <w:style w:type="character" w:customStyle="1" w:styleId="ListeParagrafChar">
    <w:name w:val="Liste Paragraf Char"/>
    <w:aliases w:val="üçüncü başlık Char,PROVERE 1 Char,Listenabsatz1 Char,Bullet List Paragraph Char,Level 1 Bullet Char,Bullet List Char,Table of contents numbered Char,Liststycke SKL Char,Normal bullet 2 Char,Bullet list Char,Bullet Points Char"/>
    <w:link w:val="ListeParagraf"/>
    <w:uiPriority w:val="1"/>
    <w:qFormat/>
    <w:rsid w:val="00374C56"/>
    <w:rPr>
      <w:rFonts w:ascii="Times New Roman" w:hAnsi="Times New Roman" w:cs="Times New Roman"/>
      <w:spacing w:val="2"/>
      <w:position w:val="-1"/>
      <w:sz w:val="22"/>
      <w:szCs w:val="22"/>
      <w:lang w:val="en-US" w:eastAsia="en-US"/>
    </w:rPr>
  </w:style>
  <w:style w:type="character" w:customStyle="1" w:styleId="MaddemleciChar">
    <w:name w:val="Madde İmleci Char"/>
    <w:link w:val="Maddemleci"/>
    <w:rsid w:val="00374C56"/>
    <w:rPr>
      <w:rFonts w:ascii="Times New Roman" w:hAnsi="Times New Roman" w:cs="Times New Roman"/>
      <w:spacing w:val="2"/>
      <w:position w:val="-1"/>
      <w:sz w:val="22"/>
      <w:szCs w:val="22"/>
      <w:lang w:val="en-US" w:eastAsia="en-US"/>
    </w:rPr>
  </w:style>
  <w:style w:type="table" w:customStyle="1" w:styleId="TabloKlavuzu1">
    <w:name w:val="Tablo Kılavuzu1"/>
    <w:basedOn w:val="NormalTablo"/>
    <w:next w:val="TabloKlavuzu"/>
    <w:uiPriority w:val="59"/>
    <w:rsid w:val="00374C56"/>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basedOn w:val="Normal"/>
    <w:link w:val="AralkYokChar"/>
    <w:uiPriority w:val="1"/>
    <w:qFormat/>
    <w:rsid w:val="00374C56"/>
    <w:pPr>
      <w:widowControl w:val="0"/>
      <w:spacing w:line="276" w:lineRule="auto"/>
      <w:jc w:val="center"/>
    </w:pPr>
    <w:rPr>
      <w:spacing w:val="2"/>
      <w:szCs w:val="22"/>
      <w:lang w:val="en-US" w:eastAsia="en-US"/>
    </w:rPr>
  </w:style>
  <w:style w:type="character" w:styleId="Vurgu">
    <w:name w:val="Emphasis"/>
    <w:aliases w:val="Şekil"/>
    <w:uiPriority w:val="20"/>
    <w:qFormat/>
    <w:rsid w:val="00374C56"/>
    <w:rPr>
      <w:rFonts w:ascii="Times New Roman" w:hAnsi="Times New Roman"/>
      <w:sz w:val="22"/>
    </w:rPr>
  </w:style>
  <w:style w:type="character" w:styleId="HafifVurgulama">
    <w:name w:val="Subtle Emphasis"/>
    <w:aliases w:val="Sayfa Kenarı"/>
    <w:uiPriority w:val="19"/>
    <w:qFormat/>
    <w:rsid w:val="00374C56"/>
    <w:rPr>
      <w:rFonts w:ascii="Times New Roman" w:hAnsi="Times New Roman"/>
      <w:b/>
      <w:caps w:val="0"/>
      <w:smallCaps w:val="0"/>
      <w:strike w:val="0"/>
      <w:dstrike w:val="0"/>
      <w:vanish w:val="0"/>
      <w:color w:val="0000FF"/>
      <w:kern w:val="0"/>
      <w:sz w:val="20"/>
      <w:vertAlign w:val="baseline"/>
    </w:rPr>
  </w:style>
  <w:style w:type="paragraph" w:customStyle="1" w:styleId="styaz">
    <w:name w:val="Üstyazı"/>
    <w:basedOn w:val="ResimYazs1"/>
    <w:link w:val="styazChar"/>
    <w:qFormat/>
    <w:rsid w:val="00374C56"/>
    <w:pPr>
      <w:widowControl w:val="0"/>
      <w:tabs>
        <w:tab w:val="left" w:pos="1134"/>
      </w:tabs>
      <w:spacing w:before="120" w:after="120" w:line="240" w:lineRule="auto"/>
      <w:ind w:left="1134" w:hanging="1134"/>
      <w:jc w:val="left"/>
    </w:pPr>
    <w:rPr>
      <w:rFonts w:eastAsia="Times New Roman" w:cs="Times New Roman"/>
      <w:color w:val="auto"/>
      <w:spacing w:val="2"/>
      <w:sz w:val="20"/>
    </w:rPr>
  </w:style>
  <w:style w:type="paragraph" w:styleId="KonuBal">
    <w:name w:val="Title"/>
    <w:aliases w:val="Tablo İçi"/>
    <w:basedOn w:val="AralkYok"/>
    <w:next w:val="Normal"/>
    <w:link w:val="KonuBalChar"/>
    <w:autoRedefine/>
    <w:uiPriority w:val="10"/>
    <w:qFormat/>
    <w:rsid w:val="004B0D48"/>
    <w:pPr>
      <w:jc w:val="both"/>
    </w:pPr>
    <w:rPr>
      <w:rFonts w:eastAsia="Calibri"/>
      <w:sz w:val="20"/>
      <w:szCs w:val="20"/>
    </w:rPr>
  </w:style>
  <w:style w:type="character" w:customStyle="1" w:styleId="KonuBalChar">
    <w:name w:val="Konu Başlığı Char"/>
    <w:aliases w:val="Tablo İçi Char"/>
    <w:basedOn w:val="VarsaylanParagrafYazTipi"/>
    <w:link w:val="KonuBal"/>
    <w:uiPriority w:val="10"/>
    <w:rsid w:val="004B0D48"/>
    <w:rPr>
      <w:rFonts w:ascii="Times New Roman" w:eastAsia="Calibri" w:hAnsi="Times New Roman" w:cs="Times New Roman"/>
      <w:spacing w:val="2"/>
      <w:lang w:val="en-US" w:eastAsia="en-US"/>
    </w:rPr>
  </w:style>
  <w:style w:type="character" w:customStyle="1" w:styleId="styazChar">
    <w:name w:val="Üstyazı Char"/>
    <w:link w:val="styaz"/>
    <w:rsid w:val="00374C56"/>
    <w:rPr>
      <w:rFonts w:ascii="Times New Roman" w:hAnsi="Times New Roman" w:cs="Times New Roman"/>
      <w:b/>
      <w:iCs/>
      <w:spacing w:val="2"/>
      <w:szCs w:val="18"/>
      <w:lang w:val="en-US" w:eastAsia="en-US"/>
    </w:rPr>
  </w:style>
  <w:style w:type="paragraph" w:customStyle="1" w:styleId="BalkSeviyesiz">
    <w:name w:val="Başlık (Seviyesiz)"/>
    <w:basedOn w:val="AralkYok"/>
    <w:link w:val="BalkSeviyesizChar"/>
    <w:qFormat/>
    <w:rsid w:val="00374C56"/>
    <w:pPr>
      <w:keepNext/>
      <w:keepLines/>
      <w:spacing w:after="40"/>
      <w:jc w:val="left"/>
    </w:pPr>
    <w:rPr>
      <w:b/>
      <w:sz w:val="22"/>
    </w:rPr>
  </w:style>
  <w:style w:type="character" w:customStyle="1" w:styleId="AralkYokChar">
    <w:name w:val="Aralık Yok Char"/>
    <w:link w:val="AralkYok"/>
    <w:uiPriority w:val="1"/>
    <w:rsid w:val="00374C56"/>
    <w:rPr>
      <w:rFonts w:ascii="Times New Roman" w:hAnsi="Times New Roman" w:cs="Times New Roman"/>
      <w:spacing w:val="2"/>
      <w:sz w:val="24"/>
      <w:szCs w:val="22"/>
      <w:lang w:val="en-US" w:eastAsia="en-US"/>
    </w:rPr>
  </w:style>
  <w:style w:type="character" w:customStyle="1" w:styleId="BalkSeviyesizChar">
    <w:name w:val="Başlık (Seviyesiz) Char"/>
    <w:link w:val="BalkSeviyesiz"/>
    <w:rsid w:val="00374C56"/>
    <w:rPr>
      <w:rFonts w:ascii="Times New Roman" w:hAnsi="Times New Roman" w:cs="Times New Roman"/>
      <w:b/>
      <w:spacing w:val="2"/>
      <w:sz w:val="22"/>
      <w:szCs w:val="22"/>
      <w:lang w:val="en-US" w:eastAsia="en-US"/>
    </w:rPr>
  </w:style>
  <w:style w:type="character" w:styleId="AklamaBavurusu">
    <w:name w:val="annotation reference"/>
    <w:uiPriority w:val="99"/>
    <w:semiHidden/>
    <w:unhideWhenUsed/>
    <w:rsid w:val="00374C56"/>
    <w:rPr>
      <w:sz w:val="16"/>
      <w:szCs w:val="16"/>
    </w:rPr>
  </w:style>
  <w:style w:type="paragraph" w:styleId="AklamaMetni">
    <w:name w:val="annotation text"/>
    <w:basedOn w:val="Normal"/>
    <w:link w:val="AklamaMetniChar"/>
    <w:uiPriority w:val="99"/>
    <w:unhideWhenUsed/>
    <w:rsid w:val="00374C56"/>
    <w:pPr>
      <w:keepNext/>
      <w:keepLines/>
      <w:widowControl w:val="0"/>
      <w:spacing w:after="240" w:line="300" w:lineRule="auto"/>
      <w:jc w:val="both"/>
    </w:pPr>
    <w:rPr>
      <w:spacing w:val="2"/>
      <w:sz w:val="20"/>
      <w:szCs w:val="20"/>
      <w:lang w:eastAsia="en-US"/>
    </w:rPr>
  </w:style>
  <w:style w:type="character" w:customStyle="1" w:styleId="AklamaMetniChar">
    <w:name w:val="Açıklama Metni Char"/>
    <w:basedOn w:val="VarsaylanParagrafYazTipi"/>
    <w:link w:val="AklamaMetni"/>
    <w:uiPriority w:val="99"/>
    <w:rsid w:val="00374C56"/>
    <w:rPr>
      <w:rFonts w:ascii="Times New Roman" w:hAnsi="Times New Roman" w:cs="Times New Roman"/>
      <w:spacing w:val="2"/>
      <w:lang w:eastAsia="en-US"/>
    </w:rPr>
  </w:style>
  <w:style w:type="table" w:customStyle="1" w:styleId="PlainTable21">
    <w:name w:val="Plain Table 21"/>
    <w:basedOn w:val="NormalTablo"/>
    <w:uiPriority w:val="42"/>
    <w:rsid w:val="00374C56"/>
    <w:rPr>
      <w:rFonts w:ascii="Calibri" w:eastAsia="Calibri" w:hAnsi="Calibri" w:cs="Times New Roman"/>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alonMetni">
    <w:name w:val="Balloon Text"/>
    <w:basedOn w:val="Normal"/>
    <w:link w:val="BalonMetniChar"/>
    <w:uiPriority w:val="99"/>
    <w:unhideWhenUsed/>
    <w:rsid w:val="00374C56"/>
    <w:pPr>
      <w:keepNext/>
      <w:keepLines/>
    </w:pPr>
    <w:rPr>
      <w:rFonts w:ascii="Segoe UI" w:hAnsi="Segoe UI" w:cs="Segoe UI"/>
      <w:spacing w:val="2"/>
      <w:sz w:val="18"/>
      <w:szCs w:val="18"/>
      <w:lang w:val="en-US" w:eastAsia="en-US"/>
    </w:rPr>
  </w:style>
  <w:style w:type="character" w:customStyle="1" w:styleId="BalonMetniChar">
    <w:name w:val="Balon Metni Char"/>
    <w:basedOn w:val="VarsaylanParagrafYazTipi"/>
    <w:link w:val="BalonMetni"/>
    <w:uiPriority w:val="99"/>
    <w:semiHidden/>
    <w:rsid w:val="00374C56"/>
    <w:rPr>
      <w:rFonts w:ascii="Segoe UI" w:hAnsi="Segoe UI" w:cs="Segoe UI"/>
      <w:spacing w:val="2"/>
      <w:sz w:val="18"/>
      <w:szCs w:val="18"/>
      <w:lang w:val="en-US" w:eastAsia="en-US"/>
    </w:rPr>
  </w:style>
  <w:style w:type="paragraph" w:styleId="AklamaKonusu">
    <w:name w:val="annotation subject"/>
    <w:basedOn w:val="AklamaMetni"/>
    <w:next w:val="AklamaMetni"/>
    <w:link w:val="AklamaKonusuChar"/>
    <w:uiPriority w:val="99"/>
    <w:semiHidden/>
    <w:unhideWhenUsed/>
    <w:rsid w:val="00374C56"/>
    <w:pPr>
      <w:spacing w:line="240" w:lineRule="auto"/>
    </w:pPr>
    <w:rPr>
      <w:b/>
      <w:bCs/>
      <w:lang w:val="en-US"/>
    </w:rPr>
  </w:style>
  <w:style w:type="character" w:customStyle="1" w:styleId="AklamaKonusuChar">
    <w:name w:val="Açıklama Konusu Char"/>
    <w:basedOn w:val="AklamaMetniChar"/>
    <w:link w:val="AklamaKonusu"/>
    <w:uiPriority w:val="99"/>
    <w:semiHidden/>
    <w:rsid w:val="00374C56"/>
    <w:rPr>
      <w:rFonts w:ascii="Times New Roman" w:hAnsi="Times New Roman" w:cs="Times New Roman"/>
      <w:b/>
      <w:bCs/>
      <w:spacing w:val="2"/>
      <w:lang w:val="en-US" w:eastAsia="en-US"/>
    </w:rPr>
  </w:style>
  <w:style w:type="character" w:customStyle="1" w:styleId="fontstyle01">
    <w:name w:val="fontstyle01"/>
    <w:rsid w:val="00374C56"/>
    <w:rPr>
      <w:rFonts w:ascii="MinionPro-Bold" w:hAnsi="MinionPro-Bold" w:hint="default"/>
      <w:b/>
      <w:bCs/>
      <w:i w:val="0"/>
      <w:iCs w:val="0"/>
      <w:color w:val="000000"/>
      <w:sz w:val="20"/>
      <w:szCs w:val="20"/>
    </w:rPr>
  </w:style>
  <w:style w:type="paragraph" w:styleId="DipnotMetni">
    <w:name w:val="footnote text"/>
    <w:basedOn w:val="Normal"/>
    <w:link w:val="DipnotMetniChar"/>
    <w:unhideWhenUsed/>
    <w:rsid w:val="00374C56"/>
    <w:pPr>
      <w:keepNext/>
      <w:keepLines/>
      <w:spacing w:after="240"/>
    </w:pPr>
    <w:rPr>
      <w:spacing w:val="2"/>
      <w:sz w:val="20"/>
      <w:szCs w:val="20"/>
      <w:lang w:val="en-US" w:eastAsia="en-US"/>
    </w:rPr>
  </w:style>
  <w:style w:type="character" w:customStyle="1" w:styleId="DipnotMetniChar">
    <w:name w:val="Dipnot Metni Char"/>
    <w:basedOn w:val="VarsaylanParagrafYazTipi"/>
    <w:link w:val="DipnotMetni"/>
    <w:rsid w:val="00374C56"/>
    <w:rPr>
      <w:rFonts w:ascii="Times New Roman" w:hAnsi="Times New Roman" w:cs="Times New Roman"/>
      <w:spacing w:val="2"/>
      <w:lang w:val="en-US" w:eastAsia="en-US"/>
    </w:rPr>
  </w:style>
  <w:style w:type="character" w:styleId="DipnotBavurusu">
    <w:name w:val="footnote reference"/>
    <w:unhideWhenUsed/>
    <w:rsid w:val="00374C56"/>
    <w:rPr>
      <w:vertAlign w:val="superscript"/>
    </w:rPr>
  </w:style>
  <w:style w:type="character" w:styleId="HTMLTanm">
    <w:name w:val="HTML Definition"/>
    <w:basedOn w:val="VarsaylanParagrafYazTipi"/>
    <w:semiHidden/>
    <w:unhideWhenUsed/>
    <w:rsid w:val="00374C56"/>
    <w:rPr>
      <w:i/>
      <w:iCs/>
    </w:rPr>
  </w:style>
  <w:style w:type="paragraph" w:customStyle="1" w:styleId="MET">
    <w:name w:val="MET"/>
    <w:basedOn w:val="Normal"/>
    <w:link w:val="METChar"/>
    <w:qFormat/>
    <w:rsid w:val="00AC33F5"/>
    <w:pPr>
      <w:spacing w:line="276" w:lineRule="auto"/>
      <w:jc w:val="both"/>
    </w:pPr>
    <w:rPr>
      <w:b/>
      <w:spacing w:val="2"/>
      <w:szCs w:val="22"/>
      <w:lang w:eastAsia="en-US"/>
    </w:rPr>
  </w:style>
  <w:style w:type="character" w:customStyle="1" w:styleId="METChar">
    <w:name w:val="MET Char"/>
    <w:link w:val="MET"/>
    <w:rsid w:val="00AC33F5"/>
    <w:rPr>
      <w:rFonts w:ascii="Times New Roman" w:hAnsi="Times New Roman" w:cs="Times New Roman"/>
      <w:b/>
      <w:spacing w:val="2"/>
      <w:sz w:val="24"/>
      <w:szCs w:val="22"/>
      <w:lang w:eastAsia="en-US"/>
    </w:rPr>
  </w:style>
  <w:style w:type="paragraph" w:customStyle="1" w:styleId="TBal1">
    <w:name w:val="İÇT Başlığı1"/>
    <w:basedOn w:val="Balk1"/>
    <w:next w:val="Normal"/>
    <w:uiPriority w:val="39"/>
    <w:unhideWhenUsed/>
    <w:qFormat/>
    <w:rsid w:val="00374C56"/>
    <w:pPr>
      <w:keepLines/>
      <w:widowControl/>
      <w:spacing w:line="259" w:lineRule="auto"/>
      <w:outlineLvl w:val="9"/>
    </w:pPr>
    <w:rPr>
      <w:b w:val="0"/>
      <w:bCs w:val="0"/>
      <w:color w:val="2F5496"/>
      <w:kern w:val="0"/>
      <w:lang w:val="en-US" w:eastAsia="en-US"/>
    </w:rPr>
  </w:style>
  <w:style w:type="paragraph" w:customStyle="1" w:styleId="SayfaBa">
    <w:name w:val="Sayfa Başı"/>
    <w:basedOn w:val="AralkYok"/>
    <w:link w:val="SayfaBaChar"/>
    <w:qFormat/>
    <w:rsid w:val="00374C56"/>
    <w:pPr>
      <w:pageBreakBefore/>
    </w:pPr>
    <w:rPr>
      <w:sz w:val="4"/>
    </w:rPr>
  </w:style>
  <w:style w:type="character" w:customStyle="1" w:styleId="SayfaBaChar">
    <w:name w:val="Sayfa Başı Char"/>
    <w:basedOn w:val="AralkYokChar"/>
    <w:link w:val="SayfaBa"/>
    <w:rsid w:val="00374C56"/>
    <w:rPr>
      <w:rFonts w:ascii="Times New Roman" w:hAnsi="Times New Roman" w:cs="Times New Roman"/>
      <w:spacing w:val="2"/>
      <w:sz w:val="4"/>
      <w:szCs w:val="22"/>
      <w:lang w:val="en-US" w:eastAsia="en-US"/>
    </w:rPr>
  </w:style>
  <w:style w:type="paragraph" w:styleId="Dzeltme">
    <w:name w:val="Revision"/>
    <w:hidden/>
    <w:uiPriority w:val="99"/>
    <w:semiHidden/>
    <w:rsid w:val="00374C56"/>
    <w:rPr>
      <w:rFonts w:ascii="Times New Roman" w:hAnsi="Times New Roman" w:cs="Times New Roman"/>
      <w:spacing w:val="2"/>
      <w:sz w:val="22"/>
      <w:szCs w:val="22"/>
      <w:lang w:val="en-US" w:eastAsia="en-US"/>
    </w:rPr>
  </w:style>
  <w:style w:type="character" w:customStyle="1" w:styleId="UnresolvedMention1">
    <w:name w:val="Unresolved Mention1"/>
    <w:basedOn w:val="VarsaylanParagrafYazTipi"/>
    <w:uiPriority w:val="99"/>
    <w:semiHidden/>
    <w:unhideWhenUsed/>
    <w:rsid w:val="00374C56"/>
    <w:rPr>
      <w:color w:val="605E5C"/>
      <w:shd w:val="clear" w:color="auto" w:fill="E1DFDD"/>
    </w:rPr>
  </w:style>
  <w:style w:type="paragraph" w:styleId="ekillerTablosu">
    <w:name w:val="table of figures"/>
    <w:basedOn w:val="Normal"/>
    <w:next w:val="Normal"/>
    <w:unhideWhenUsed/>
    <w:rsid w:val="00374C56"/>
    <w:rPr>
      <w:spacing w:val="2"/>
      <w:sz w:val="22"/>
      <w:szCs w:val="22"/>
      <w:lang w:val="en-US" w:eastAsia="en-US"/>
    </w:rPr>
  </w:style>
  <w:style w:type="character" w:customStyle="1" w:styleId="alt-edited">
    <w:name w:val="alt-edited"/>
    <w:rsid w:val="00374C56"/>
  </w:style>
  <w:style w:type="paragraph" w:styleId="ListeMaddemi">
    <w:name w:val="List Bullet"/>
    <w:basedOn w:val="Normal"/>
    <w:unhideWhenUsed/>
    <w:rsid w:val="00374C56"/>
    <w:pPr>
      <w:widowControl w:val="0"/>
      <w:numPr>
        <w:numId w:val="19"/>
      </w:numPr>
      <w:spacing w:after="240" w:line="276" w:lineRule="auto"/>
      <w:contextualSpacing/>
      <w:jc w:val="both"/>
    </w:pPr>
    <w:rPr>
      <w:spacing w:val="2"/>
      <w:sz w:val="22"/>
      <w:szCs w:val="22"/>
      <w:lang w:eastAsia="en-US"/>
    </w:rPr>
  </w:style>
  <w:style w:type="numbering" w:customStyle="1" w:styleId="ListeYok11">
    <w:name w:val="Liste Yok11"/>
    <w:next w:val="ListeYok"/>
    <w:uiPriority w:val="99"/>
    <w:semiHidden/>
    <w:unhideWhenUsed/>
    <w:rsid w:val="00374C56"/>
  </w:style>
  <w:style w:type="paragraph" w:customStyle="1" w:styleId="msonormal0">
    <w:name w:val="msonormal"/>
    <w:basedOn w:val="Normal"/>
    <w:rsid w:val="00374C56"/>
    <w:pPr>
      <w:spacing w:before="100" w:beforeAutospacing="1" w:after="100" w:afterAutospacing="1"/>
    </w:pPr>
  </w:style>
  <w:style w:type="numbering" w:customStyle="1" w:styleId="ListeYok2">
    <w:name w:val="Liste Yok2"/>
    <w:next w:val="ListeYok"/>
    <w:uiPriority w:val="99"/>
    <w:semiHidden/>
    <w:unhideWhenUsed/>
    <w:rsid w:val="00374C56"/>
  </w:style>
  <w:style w:type="numbering" w:customStyle="1" w:styleId="ListeYok3">
    <w:name w:val="Liste Yok3"/>
    <w:next w:val="ListeYok"/>
    <w:uiPriority w:val="99"/>
    <w:semiHidden/>
    <w:unhideWhenUsed/>
    <w:rsid w:val="00374C56"/>
  </w:style>
  <w:style w:type="numbering" w:customStyle="1" w:styleId="ListeYok4">
    <w:name w:val="Liste Yok4"/>
    <w:next w:val="ListeYok"/>
    <w:uiPriority w:val="99"/>
    <w:semiHidden/>
    <w:unhideWhenUsed/>
    <w:rsid w:val="00374C56"/>
  </w:style>
  <w:style w:type="numbering" w:customStyle="1" w:styleId="ListeYok5">
    <w:name w:val="Liste Yok5"/>
    <w:next w:val="ListeYok"/>
    <w:uiPriority w:val="99"/>
    <w:semiHidden/>
    <w:unhideWhenUsed/>
    <w:rsid w:val="00374C56"/>
  </w:style>
  <w:style w:type="numbering" w:customStyle="1" w:styleId="ListeYok6">
    <w:name w:val="Liste Yok6"/>
    <w:next w:val="ListeYok"/>
    <w:uiPriority w:val="99"/>
    <w:semiHidden/>
    <w:unhideWhenUsed/>
    <w:rsid w:val="00374C56"/>
  </w:style>
  <w:style w:type="numbering" w:customStyle="1" w:styleId="ListeYok7">
    <w:name w:val="Liste Yok7"/>
    <w:next w:val="ListeYok"/>
    <w:uiPriority w:val="99"/>
    <w:semiHidden/>
    <w:unhideWhenUsed/>
    <w:rsid w:val="00374C56"/>
  </w:style>
  <w:style w:type="paragraph" w:customStyle="1" w:styleId="T71">
    <w:name w:val="İÇT 71"/>
    <w:basedOn w:val="Normal"/>
    <w:next w:val="Normal"/>
    <w:autoRedefine/>
    <w:uiPriority w:val="39"/>
    <w:unhideWhenUsed/>
    <w:rsid w:val="00374C56"/>
    <w:pPr>
      <w:spacing w:after="100" w:line="259" w:lineRule="auto"/>
      <w:ind w:left="1320"/>
    </w:pPr>
    <w:rPr>
      <w:rFonts w:ascii="Calibri" w:hAnsi="Calibri"/>
      <w:sz w:val="22"/>
      <w:szCs w:val="22"/>
      <w:lang w:val="en-US" w:eastAsia="en-US"/>
    </w:rPr>
  </w:style>
  <w:style w:type="paragraph" w:customStyle="1" w:styleId="T81">
    <w:name w:val="İÇT 81"/>
    <w:basedOn w:val="Normal"/>
    <w:next w:val="Normal"/>
    <w:autoRedefine/>
    <w:uiPriority w:val="39"/>
    <w:unhideWhenUsed/>
    <w:rsid w:val="00374C56"/>
    <w:pPr>
      <w:spacing w:after="100" w:line="259" w:lineRule="auto"/>
      <w:ind w:left="1540"/>
    </w:pPr>
    <w:rPr>
      <w:rFonts w:ascii="Calibri" w:hAnsi="Calibri"/>
      <w:sz w:val="22"/>
      <w:szCs w:val="22"/>
      <w:lang w:val="en-US" w:eastAsia="en-US"/>
    </w:rPr>
  </w:style>
  <w:style w:type="paragraph" w:customStyle="1" w:styleId="T91">
    <w:name w:val="İÇT 91"/>
    <w:basedOn w:val="Normal"/>
    <w:next w:val="Normal"/>
    <w:autoRedefine/>
    <w:uiPriority w:val="39"/>
    <w:unhideWhenUsed/>
    <w:rsid w:val="00374C56"/>
    <w:pPr>
      <w:spacing w:after="100" w:line="259" w:lineRule="auto"/>
      <w:ind w:left="1760"/>
    </w:pPr>
    <w:rPr>
      <w:rFonts w:ascii="Calibri" w:hAnsi="Calibri"/>
      <w:sz w:val="22"/>
      <w:szCs w:val="22"/>
      <w:lang w:val="en-US" w:eastAsia="en-US"/>
    </w:rPr>
  </w:style>
  <w:style w:type="paragraph" w:customStyle="1" w:styleId="Balk110">
    <w:name w:val="Başlık 11"/>
    <w:basedOn w:val="Normal"/>
    <w:next w:val="Normal"/>
    <w:autoRedefine/>
    <w:uiPriority w:val="9"/>
    <w:qFormat/>
    <w:rsid w:val="00374C56"/>
    <w:pPr>
      <w:keepNext/>
      <w:keepLines/>
      <w:spacing w:before="240" w:after="240" w:line="276" w:lineRule="auto"/>
      <w:ind w:left="720" w:hanging="360"/>
      <w:jc w:val="both"/>
      <w:outlineLvl w:val="0"/>
    </w:pPr>
    <w:rPr>
      <w:rFonts w:ascii="Arial" w:hAnsi="Arial"/>
      <w:b/>
      <w:sz w:val="28"/>
      <w:szCs w:val="32"/>
      <w:lang w:eastAsia="en-US"/>
    </w:rPr>
  </w:style>
  <w:style w:type="numbering" w:customStyle="1" w:styleId="ListeYok8">
    <w:name w:val="Liste Yok8"/>
    <w:next w:val="ListeYok"/>
    <w:uiPriority w:val="99"/>
    <w:semiHidden/>
    <w:unhideWhenUsed/>
    <w:rsid w:val="00374C56"/>
  </w:style>
  <w:style w:type="character" w:styleId="zlenenKpr">
    <w:name w:val="FollowedHyperlink"/>
    <w:basedOn w:val="VarsaylanParagrafYazTipi"/>
    <w:unhideWhenUsed/>
    <w:rsid w:val="00374C56"/>
    <w:rPr>
      <w:color w:val="800080"/>
      <w:u w:val="single"/>
    </w:rPr>
  </w:style>
  <w:style w:type="character" w:customStyle="1" w:styleId="Heading1Char1">
    <w:name w:val="Heading 1 Char1"/>
    <w:aliases w:val="Başlık 1 Char1"/>
    <w:basedOn w:val="VarsaylanParagrafYazTipi"/>
    <w:uiPriority w:val="9"/>
    <w:rsid w:val="00374C56"/>
    <w:rPr>
      <w:rFonts w:ascii="Calibri Light" w:eastAsia="Times New Roman" w:hAnsi="Calibri Light" w:cs="Times New Roman"/>
      <w:color w:val="2F5496"/>
      <w:spacing w:val="2"/>
      <w:sz w:val="32"/>
      <w:szCs w:val="32"/>
    </w:rPr>
  </w:style>
  <w:style w:type="character" w:customStyle="1" w:styleId="Heading2Char1">
    <w:name w:val="Heading 2 Char1"/>
    <w:aliases w:val="Başlık 2 Char1"/>
    <w:basedOn w:val="VarsaylanParagrafYazTipi"/>
    <w:rsid w:val="00374C56"/>
    <w:rPr>
      <w:rFonts w:ascii="Calibri Light" w:eastAsia="Times New Roman" w:hAnsi="Calibri Light" w:cs="Times New Roman"/>
      <w:color w:val="2F5496"/>
      <w:spacing w:val="2"/>
      <w:sz w:val="26"/>
      <w:szCs w:val="26"/>
    </w:rPr>
  </w:style>
  <w:style w:type="character" w:customStyle="1" w:styleId="Heading3Char1">
    <w:name w:val="Heading 3 Char1"/>
    <w:aliases w:val="Başlık 3 Char1,H3 Char,0 Char"/>
    <w:basedOn w:val="VarsaylanParagrafYazTipi"/>
    <w:rsid w:val="00374C56"/>
    <w:rPr>
      <w:rFonts w:ascii="Calibri Light" w:eastAsia="Times New Roman" w:hAnsi="Calibri Light" w:cs="Times New Roman"/>
      <w:color w:val="1F3763"/>
      <w:spacing w:val="2"/>
      <w:sz w:val="24"/>
      <w:szCs w:val="24"/>
    </w:rPr>
  </w:style>
  <w:style w:type="character" w:customStyle="1" w:styleId="Heading4Char1">
    <w:name w:val="Heading 4 Char1"/>
    <w:aliases w:val="Başlık 4 Char1"/>
    <w:basedOn w:val="VarsaylanParagrafYazTipi"/>
    <w:uiPriority w:val="9"/>
    <w:semiHidden/>
    <w:rsid w:val="00374C56"/>
    <w:rPr>
      <w:rFonts w:ascii="Calibri Light" w:eastAsia="Times New Roman" w:hAnsi="Calibri Light" w:cs="Times New Roman"/>
      <w:i/>
      <w:iCs/>
      <w:color w:val="2F5496"/>
      <w:spacing w:val="2"/>
      <w:sz w:val="22"/>
      <w:szCs w:val="22"/>
    </w:rPr>
  </w:style>
  <w:style w:type="character" w:customStyle="1" w:styleId="Heading6Char1">
    <w:name w:val="Heading 6 Char1"/>
    <w:aliases w:val="Başlık 5 Char1"/>
    <w:basedOn w:val="VarsaylanParagrafYazTipi"/>
    <w:rsid w:val="00374C56"/>
    <w:rPr>
      <w:rFonts w:ascii="Calibri Light" w:eastAsia="Times New Roman" w:hAnsi="Calibri Light" w:cs="Times New Roman"/>
      <w:color w:val="1F3763"/>
      <w:spacing w:val="2"/>
      <w:sz w:val="22"/>
      <w:szCs w:val="22"/>
    </w:rPr>
  </w:style>
  <w:style w:type="character" w:customStyle="1" w:styleId="TitleChar1">
    <w:name w:val="Title Char1"/>
    <w:aliases w:val="Tablo İçi Char1"/>
    <w:basedOn w:val="VarsaylanParagrafYazTipi"/>
    <w:uiPriority w:val="10"/>
    <w:rsid w:val="00374C56"/>
    <w:rPr>
      <w:rFonts w:ascii="Calibri Light" w:eastAsia="Times New Roman" w:hAnsi="Calibri Light" w:cs="Times New Roman"/>
      <w:spacing w:val="-10"/>
      <w:kern w:val="28"/>
      <w:sz w:val="56"/>
      <w:szCs w:val="56"/>
    </w:rPr>
  </w:style>
  <w:style w:type="character" w:customStyle="1" w:styleId="SzlkAltBalChar">
    <w:name w:val="Sözlük Alt Başlığı Char"/>
    <w:link w:val="SzlkAltBal"/>
    <w:locked/>
    <w:rsid w:val="00374C56"/>
    <w:rPr>
      <w:rFonts w:ascii="Arial" w:hAnsi="Arial" w:cs="Arial"/>
      <w:b/>
      <w:spacing w:val="2"/>
      <w:sz w:val="28"/>
      <w:szCs w:val="28"/>
    </w:rPr>
  </w:style>
  <w:style w:type="paragraph" w:customStyle="1" w:styleId="SzlkAltBal">
    <w:name w:val="Sözlük Alt Başlığı"/>
    <w:basedOn w:val="Normal"/>
    <w:link w:val="SzlkAltBalChar"/>
    <w:qFormat/>
    <w:rsid w:val="00374C56"/>
    <w:pPr>
      <w:keepNext/>
      <w:keepLines/>
      <w:widowControl w:val="0"/>
      <w:tabs>
        <w:tab w:val="left" w:pos="567"/>
      </w:tabs>
      <w:spacing w:after="200" w:line="276" w:lineRule="auto"/>
      <w:jc w:val="both"/>
    </w:pPr>
    <w:rPr>
      <w:rFonts w:ascii="Arial" w:hAnsi="Arial" w:cs="Arial"/>
      <w:b/>
      <w:spacing w:val="2"/>
      <w:sz w:val="28"/>
      <w:szCs w:val="28"/>
    </w:rPr>
  </w:style>
  <w:style w:type="paragraph" w:customStyle="1" w:styleId="font5">
    <w:name w:val="font5"/>
    <w:basedOn w:val="Normal"/>
    <w:rsid w:val="00374C56"/>
    <w:pPr>
      <w:spacing w:before="100" w:beforeAutospacing="1" w:after="100" w:afterAutospacing="1"/>
    </w:pPr>
    <w:rPr>
      <w:sz w:val="20"/>
      <w:szCs w:val="20"/>
      <w:lang w:val="en-US" w:eastAsia="en-US"/>
    </w:rPr>
  </w:style>
  <w:style w:type="paragraph" w:customStyle="1" w:styleId="font6">
    <w:name w:val="font6"/>
    <w:basedOn w:val="Normal"/>
    <w:rsid w:val="00374C56"/>
    <w:pPr>
      <w:spacing w:before="100" w:beforeAutospacing="1" w:after="100" w:afterAutospacing="1"/>
    </w:pPr>
    <w:rPr>
      <w:sz w:val="20"/>
      <w:szCs w:val="20"/>
      <w:lang w:val="en-US" w:eastAsia="en-US"/>
    </w:rPr>
  </w:style>
  <w:style w:type="paragraph" w:customStyle="1" w:styleId="font7">
    <w:name w:val="font7"/>
    <w:basedOn w:val="Normal"/>
    <w:rsid w:val="00374C56"/>
    <w:pPr>
      <w:spacing w:before="100" w:beforeAutospacing="1" w:after="100" w:afterAutospacing="1"/>
    </w:pPr>
    <w:rPr>
      <w:i/>
      <w:iCs/>
      <w:sz w:val="20"/>
      <w:szCs w:val="20"/>
      <w:lang w:val="en-US" w:eastAsia="en-US"/>
    </w:rPr>
  </w:style>
  <w:style w:type="paragraph" w:customStyle="1" w:styleId="font8">
    <w:name w:val="font8"/>
    <w:basedOn w:val="Normal"/>
    <w:rsid w:val="00374C56"/>
    <w:pPr>
      <w:spacing w:before="100" w:beforeAutospacing="1" w:after="100" w:afterAutospacing="1"/>
    </w:pPr>
    <w:rPr>
      <w:sz w:val="20"/>
      <w:szCs w:val="20"/>
      <w:lang w:val="en-US" w:eastAsia="en-US"/>
    </w:rPr>
  </w:style>
  <w:style w:type="paragraph" w:customStyle="1" w:styleId="font9">
    <w:name w:val="font9"/>
    <w:basedOn w:val="Normal"/>
    <w:rsid w:val="00374C56"/>
    <w:pPr>
      <w:spacing w:before="100" w:beforeAutospacing="1" w:after="100" w:afterAutospacing="1"/>
    </w:pPr>
    <w:rPr>
      <w:color w:val="9C5700"/>
      <w:sz w:val="20"/>
      <w:szCs w:val="20"/>
      <w:lang w:val="en-US" w:eastAsia="en-US"/>
    </w:rPr>
  </w:style>
  <w:style w:type="paragraph" w:customStyle="1" w:styleId="font10">
    <w:name w:val="font10"/>
    <w:basedOn w:val="Normal"/>
    <w:rsid w:val="00374C56"/>
    <w:pPr>
      <w:spacing w:before="100" w:beforeAutospacing="1" w:after="100" w:afterAutospacing="1"/>
    </w:pPr>
    <w:rPr>
      <w:color w:val="9C5700"/>
      <w:sz w:val="20"/>
      <w:szCs w:val="20"/>
      <w:lang w:val="en-US" w:eastAsia="en-US"/>
    </w:rPr>
  </w:style>
  <w:style w:type="paragraph" w:customStyle="1" w:styleId="font11">
    <w:name w:val="font11"/>
    <w:basedOn w:val="Normal"/>
    <w:rsid w:val="00374C56"/>
    <w:pPr>
      <w:spacing w:before="100" w:beforeAutospacing="1" w:after="100" w:afterAutospacing="1"/>
    </w:pPr>
    <w:rPr>
      <w:color w:val="9C5700"/>
      <w:sz w:val="20"/>
      <w:szCs w:val="20"/>
      <w:lang w:val="en-US" w:eastAsia="en-US"/>
    </w:rPr>
  </w:style>
  <w:style w:type="paragraph" w:customStyle="1" w:styleId="font12">
    <w:name w:val="font12"/>
    <w:basedOn w:val="Normal"/>
    <w:rsid w:val="00374C56"/>
    <w:pPr>
      <w:spacing w:before="100" w:beforeAutospacing="1" w:after="100" w:afterAutospacing="1"/>
    </w:pPr>
    <w:rPr>
      <w:rFonts w:ascii="TimesNewRomanPSMT" w:hAnsi="TimesNewRomanPSMT"/>
      <w:sz w:val="20"/>
      <w:szCs w:val="20"/>
      <w:lang w:val="en-US" w:eastAsia="en-US"/>
    </w:rPr>
  </w:style>
  <w:style w:type="paragraph" w:customStyle="1" w:styleId="font13">
    <w:name w:val="font13"/>
    <w:basedOn w:val="Normal"/>
    <w:rsid w:val="00374C56"/>
    <w:pPr>
      <w:spacing w:before="100" w:beforeAutospacing="1" w:after="100" w:afterAutospacing="1"/>
    </w:pPr>
    <w:rPr>
      <w:rFonts w:ascii="TimesNewRomanPSMT" w:hAnsi="TimesNewRomanPSMT"/>
      <w:sz w:val="14"/>
      <w:szCs w:val="14"/>
      <w:lang w:val="en-US" w:eastAsia="en-US"/>
    </w:rPr>
  </w:style>
  <w:style w:type="paragraph" w:customStyle="1" w:styleId="xl63">
    <w:name w:val="xl63"/>
    <w:basedOn w:val="Normal"/>
    <w:rsid w:val="00374C56"/>
    <w:pPr>
      <w:spacing w:before="100" w:beforeAutospacing="1" w:after="100" w:afterAutospacing="1"/>
    </w:pPr>
    <w:rPr>
      <w:sz w:val="20"/>
      <w:szCs w:val="20"/>
      <w:lang w:val="en-US" w:eastAsia="en-US"/>
    </w:rPr>
  </w:style>
  <w:style w:type="paragraph" w:customStyle="1" w:styleId="xl64">
    <w:name w:val="xl64"/>
    <w:basedOn w:val="Normal"/>
    <w:rsid w:val="00374C56"/>
    <w:pPr>
      <w:spacing w:before="100" w:beforeAutospacing="1" w:after="100" w:afterAutospacing="1"/>
      <w:textAlignment w:val="top"/>
    </w:pPr>
    <w:rPr>
      <w:sz w:val="20"/>
      <w:szCs w:val="20"/>
      <w:lang w:val="en-US" w:eastAsia="en-US"/>
    </w:rPr>
  </w:style>
  <w:style w:type="paragraph" w:customStyle="1" w:styleId="xl65">
    <w:name w:val="xl65"/>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PS-BoldMT" w:hAnsi="TimesNewRomanPS-BoldMT"/>
      <w:b/>
      <w:bCs/>
      <w:sz w:val="18"/>
      <w:szCs w:val="18"/>
      <w:lang w:val="en-US" w:eastAsia="en-US"/>
    </w:rPr>
  </w:style>
  <w:style w:type="paragraph" w:customStyle="1" w:styleId="xl66">
    <w:name w:val="xl66"/>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PS-BoldMT" w:hAnsi="TimesNewRomanPS-BoldMT"/>
      <w:b/>
      <w:bCs/>
      <w:sz w:val="20"/>
      <w:szCs w:val="20"/>
      <w:lang w:val="en-US" w:eastAsia="en-US"/>
    </w:rPr>
  </w:style>
  <w:style w:type="paragraph" w:customStyle="1" w:styleId="xl67">
    <w:name w:val="xl67"/>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en-US"/>
    </w:rPr>
  </w:style>
  <w:style w:type="paragraph" w:customStyle="1" w:styleId="xl68">
    <w:name w:val="xl68"/>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69">
    <w:name w:val="xl69"/>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en-US" w:eastAsia="en-US"/>
    </w:rPr>
  </w:style>
  <w:style w:type="paragraph" w:customStyle="1" w:styleId="xl70">
    <w:name w:val="xl70"/>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71">
    <w:name w:val="xl71"/>
    <w:basedOn w:val="Normal"/>
    <w:rsid w:val="00374C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lang w:val="en-US" w:eastAsia="en-US"/>
    </w:rPr>
  </w:style>
  <w:style w:type="paragraph" w:customStyle="1" w:styleId="xl72">
    <w:name w:val="xl72"/>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444444"/>
      <w:sz w:val="17"/>
      <w:szCs w:val="17"/>
      <w:lang w:val="en-US" w:eastAsia="en-US"/>
    </w:rPr>
  </w:style>
  <w:style w:type="paragraph" w:customStyle="1" w:styleId="xl73">
    <w:name w:val="xl73"/>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222222"/>
      <w:sz w:val="21"/>
      <w:szCs w:val="21"/>
      <w:lang w:val="en-US" w:eastAsia="en-US"/>
    </w:rPr>
  </w:style>
  <w:style w:type="paragraph" w:customStyle="1" w:styleId="xl74">
    <w:name w:val="xl74"/>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9C5700"/>
      <w:sz w:val="20"/>
      <w:szCs w:val="20"/>
      <w:lang w:val="en-US" w:eastAsia="en-US"/>
    </w:rPr>
  </w:style>
  <w:style w:type="paragraph" w:customStyle="1" w:styleId="xl75">
    <w:name w:val="xl75"/>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76">
    <w:name w:val="xl76"/>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222222"/>
      <w:sz w:val="20"/>
      <w:szCs w:val="20"/>
      <w:lang w:val="en-US" w:eastAsia="en-US"/>
    </w:rPr>
  </w:style>
  <w:style w:type="paragraph" w:customStyle="1" w:styleId="xl77">
    <w:name w:val="xl77"/>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pPr>
    <w:rPr>
      <w:color w:val="222222"/>
      <w:sz w:val="20"/>
      <w:szCs w:val="20"/>
      <w:lang w:val="en-US" w:eastAsia="en-US"/>
    </w:rPr>
  </w:style>
  <w:style w:type="paragraph" w:customStyle="1" w:styleId="xl78">
    <w:name w:val="xl78"/>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PSMT" w:hAnsi="TimesNewRomanPSMT"/>
      <w:sz w:val="18"/>
      <w:szCs w:val="18"/>
      <w:lang w:val="en-US" w:eastAsia="en-US"/>
    </w:rPr>
  </w:style>
  <w:style w:type="paragraph" w:customStyle="1" w:styleId="xl79">
    <w:name w:val="xl79"/>
    <w:basedOn w:val="Normal"/>
    <w:rsid w:val="00374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PSMT" w:hAnsi="TimesNewRomanPSMT"/>
      <w:sz w:val="20"/>
      <w:szCs w:val="20"/>
      <w:lang w:val="en-US" w:eastAsia="en-US"/>
    </w:rPr>
  </w:style>
  <w:style w:type="table" w:customStyle="1" w:styleId="TabloKlavuzu2">
    <w:name w:val="Tablo Kılavuzu2"/>
    <w:basedOn w:val="NormalTablo"/>
    <w:next w:val="TabloKlavuzu"/>
    <w:uiPriority w:val="39"/>
    <w:rsid w:val="006F1A0E"/>
    <w:rPr>
      <w:rFonts w:asciiTheme="minorHAnsi" w:eastAsiaTheme="minorEastAsia" w:hAnsiTheme="minorHAnsi" w:cstheme="minorBidi"/>
      <w:sz w:val="22"/>
      <w:szCs w:val="22"/>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6F1A0E"/>
    <w:rPr>
      <w:rFonts w:asciiTheme="minorHAnsi" w:eastAsiaTheme="minorEastAsia" w:hAnsiTheme="minorHAnsi" w:cstheme="minorBidi"/>
      <w:sz w:val="22"/>
      <w:szCs w:val="22"/>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1E4463"/>
    <w:rPr>
      <w:color w:val="605E5C"/>
      <w:shd w:val="clear" w:color="auto" w:fill="E1DFDD"/>
    </w:rPr>
  </w:style>
  <w:style w:type="paragraph" w:customStyle="1" w:styleId="Default">
    <w:name w:val="Default"/>
    <w:rsid w:val="001E4463"/>
    <w:pPr>
      <w:autoSpaceDE w:val="0"/>
      <w:autoSpaceDN w:val="0"/>
      <w:adjustRightInd w:val="0"/>
    </w:pPr>
    <w:rPr>
      <w:rFonts w:ascii="Arial" w:eastAsiaTheme="minorEastAsia" w:hAnsi="Arial" w:cs="Arial"/>
      <w:color w:val="000000"/>
      <w:sz w:val="24"/>
      <w:szCs w:val="24"/>
      <w:lang w:eastAsia="ja-JP"/>
      <w14:ligatures w14:val="standardContextual"/>
    </w:rPr>
  </w:style>
  <w:style w:type="numbering" w:customStyle="1" w:styleId="ListeYok9">
    <w:name w:val="Liste Yok9"/>
    <w:next w:val="ListeYok"/>
    <w:uiPriority w:val="99"/>
    <w:semiHidden/>
    <w:unhideWhenUsed/>
    <w:rsid w:val="00790361"/>
  </w:style>
  <w:style w:type="table" w:customStyle="1" w:styleId="TabloKlavuzu4">
    <w:name w:val="Tablo Kılavuzu4"/>
    <w:basedOn w:val="NormalTablo"/>
    <w:next w:val="TabloKlavuzu"/>
    <w:uiPriority w:val="39"/>
    <w:rsid w:val="0079036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45ptKaln">
    <w:name w:val="Gövde metni + 4;5 pt;Kalın"/>
    <w:basedOn w:val="Gvdemetni"/>
    <w:rsid w:val="00790361"/>
    <w:rPr>
      <w:rFonts w:ascii="Arial Narrow" w:eastAsia="Arial Narrow" w:hAnsi="Arial Narrow" w:cs="Arial Narrow"/>
      <w:b/>
      <w:bCs/>
      <w:color w:val="000000"/>
      <w:spacing w:val="0"/>
      <w:w w:val="100"/>
      <w:position w:val="0"/>
      <w:sz w:val="9"/>
      <w:szCs w:val="9"/>
      <w:u w:val="none"/>
      <w:shd w:val="clear" w:color="auto" w:fill="FFFFFF"/>
      <w:lang w:val="tr-TR"/>
    </w:rPr>
  </w:style>
  <w:style w:type="paragraph" w:styleId="NormalWeb">
    <w:name w:val="Normal (Web)"/>
    <w:basedOn w:val="Normal"/>
    <w:uiPriority w:val="99"/>
    <w:unhideWhenUsed/>
    <w:rsid w:val="00790361"/>
    <w:pPr>
      <w:spacing w:before="100" w:beforeAutospacing="1" w:after="100" w:afterAutospacing="1"/>
    </w:pPr>
  </w:style>
  <w:style w:type="paragraph" w:customStyle="1" w:styleId="ekilYazs">
    <w:name w:val="Şekil Yazısı"/>
    <w:basedOn w:val="ResimYazs1"/>
    <w:link w:val="ekilYazsChar"/>
    <w:qFormat/>
    <w:rsid w:val="00790361"/>
    <w:pPr>
      <w:spacing w:after="200" w:line="240" w:lineRule="auto"/>
    </w:pPr>
    <w:rPr>
      <w:rFonts w:cs="Times New Roman"/>
      <w:b w:val="0"/>
      <w:i/>
    </w:rPr>
  </w:style>
  <w:style w:type="character" w:customStyle="1" w:styleId="ekilYazsChar">
    <w:name w:val="Şekil Yazısı Char"/>
    <w:basedOn w:val="ResimYazsChar"/>
    <w:link w:val="ekilYazs"/>
    <w:rsid w:val="00790361"/>
    <w:rPr>
      <w:rFonts w:ascii="Times New Roman" w:eastAsiaTheme="minorHAnsi" w:hAnsi="Times New Roman" w:cs="Times New Roman"/>
      <w:b w:val="0"/>
      <w:i/>
      <w:iCs/>
      <w:color w:val="000000" w:themeColor="text1"/>
      <w:sz w:val="24"/>
      <w:szCs w:val="18"/>
      <w:lang w:val="en-US" w:eastAsia="en-US"/>
    </w:rPr>
  </w:style>
  <w:style w:type="paragraph" w:styleId="HTMLncedenBiimlendirilmi">
    <w:name w:val="HTML Preformatted"/>
    <w:basedOn w:val="Normal"/>
    <w:link w:val="HTMLncedenBiimlendirilmiChar"/>
    <w:semiHidden/>
    <w:unhideWhenUsed/>
    <w:rsid w:val="00790361"/>
    <w:rPr>
      <w:rFonts w:ascii="Consolas" w:eastAsia="Calibri" w:hAnsi="Consolas"/>
      <w:sz w:val="20"/>
      <w:szCs w:val="20"/>
      <w:lang w:eastAsia="en-US"/>
    </w:rPr>
  </w:style>
  <w:style w:type="character" w:customStyle="1" w:styleId="HTMLncedenBiimlendirilmiChar">
    <w:name w:val="HTML Önceden Biçimlendirilmiş Char"/>
    <w:basedOn w:val="VarsaylanParagrafYazTipi"/>
    <w:link w:val="HTMLncedenBiimlendirilmi"/>
    <w:semiHidden/>
    <w:rsid w:val="00790361"/>
    <w:rPr>
      <w:rFonts w:ascii="Consolas" w:eastAsia="Calibri" w:hAnsi="Consolas" w:cs="Times New Roman"/>
      <w:lang w:eastAsia="en-US"/>
    </w:rPr>
  </w:style>
  <w:style w:type="paragraph" w:styleId="SonnotMetni">
    <w:name w:val="endnote text"/>
    <w:basedOn w:val="Normal"/>
    <w:link w:val="SonnotMetniChar"/>
    <w:uiPriority w:val="99"/>
    <w:semiHidden/>
    <w:unhideWhenUsed/>
    <w:rsid w:val="00790361"/>
    <w:rPr>
      <w:spacing w:val="2"/>
      <w:sz w:val="20"/>
      <w:szCs w:val="20"/>
      <w:lang w:val="en-US" w:eastAsia="en-US"/>
    </w:rPr>
  </w:style>
  <w:style w:type="character" w:customStyle="1" w:styleId="SonnotMetniChar">
    <w:name w:val="Sonnot Metni Char"/>
    <w:basedOn w:val="VarsaylanParagrafYazTipi"/>
    <w:link w:val="SonnotMetni"/>
    <w:uiPriority w:val="99"/>
    <w:semiHidden/>
    <w:rsid w:val="00790361"/>
    <w:rPr>
      <w:rFonts w:ascii="Times New Roman" w:hAnsi="Times New Roman" w:cs="Times New Roman"/>
      <w:spacing w:val="2"/>
      <w:lang w:val="en-US" w:eastAsia="en-US"/>
    </w:rPr>
  </w:style>
  <w:style w:type="character" w:styleId="SonnotBavurusu">
    <w:name w:val="endnote reference"/>
    <w:basedOn w:val="VarsaylanParagrafYazTipi"/>
    <w:uiPriority w:val="99"/>
    <w:semiHidden/>
    <w:unhideWhenUsed/>
    <w:rsid w:val="00790361"/>
    <w:rPr>
      <w:vertAlign w:val="superscript"/>
    </w:rPr>
  </w:style>
  <w:style w:type="table" w:customStyle="1" w:styleId="KlavuzuTablo4-Vurgu51">
    <w:name w:val="Kılavuzu Tablo 4 - Vurgu 51"/>
    <w:basedOn w:val="NormalTablo"/>
    <w:uiPriority w:val="49"/>
    <w:rsid w:val="00790361"/>
    <w:rPr>
      <w:rFonts w:ascii="Times New Roman" w:eastAsia="Calibri" w:hAnsi="Times New Roman" w:cs="Times New Roman"/>
      <w:sz w:val="24"/>
      <w:szCs w:val="22"/>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7Renkli-Vurgu51">
    <w:name w:val="Kılavuz Tablo 7 Renkli - Vurgu 51"/>
    <w:basedOn w:val="NormalTablo"/>
    <w:uiPriority w:val="52"/>
    <w:rsid w:val="00790361"/>
    <w:rPr>
      <w:rFonts w:ascii="Times New Roman" w:eastAsia="Calibri" w:hAnsi="Times New Roman" w:cs="Times New Roman"/>
      <w:color w:val="2E74B5"/>
      <w:sz w:val="24"/>
      <w:szCs w:val="22"/>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KlavuzuTablo4-Vurgu31">
    <w:name w:val="Kılavuzu Tablo 4 - Vurgu 31"/>
    <w:basedOn w:val="NormalTablo"/>
    <w:uiPriority w:val="49"/>
    <w:rsid w:val="00790361"/>
    <w:rPr>
      <w:rFonts w:ascii="Times New Roman" w:eastAsia="Calibri" w:hAnsi="Times New Roman" w:cs="Times New Roman"/>
      <w:sz w:val="24"/>
      <w:szCs w:val="22"/>
      <w:lang w:val="en-US"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fontstyle21">
    <w:name w:val="fontstyle21"/>
    <w:basedOn w:val="VarsaylanParagrafYazTipi"/>
    <w:rsid w:val="00790361"/>
    <w:rPr>
      <w:rFonts w:ascii="TimesNewRomanPSMT" w:hAnsi="TimesNewRomanPSMT" w:hint="default"/>
      <w:b w:val="0"/>
      <w:bCs w:val="0"/>
      <w:i w:val="0"/>
      <w:iCs w:val="0"/>
      <w:color w:val="000000"/>
      <w:sz w:val="22"/>
      <w:szCs w:val="22"/>
    </w:rPr>
  </w:style>
  <w:style w:type="paragraph" w:customStyle="1" w:styleId="ft">
    <w:name w:val="ft"/>
    <w:aliases w:val="hd,hd1,hd2,hd3,hd4,hd11,hd21,hd31,hd5,hd12,hd22,hd32,hd6,hd13,hd23,hd33,hd7,hd14,hd24,hd34,hd8,hd15,hd25,hd35"/>
    <w:basedOn w:val="Normal"/>
    <w:next w:val="letistBilgisi"/>
    <w:link w:val="AltbilgiChar0"/>
    <w:rsid w:val="00790361"/>
    <w:pPr>
      <w:pBdr>
        <w:top w:val="single" w:sz="6" w:space="1" w:color="auto"/>
        <w:left w:val="single" w:sz="6" w:space="1" w:color="auto"/>
        <w:bottom w:val="single" w:sz="6" w:space="1" w:color="auto"/>
        <w:right w:val="single" w:sz="6" w:space="1" w:color="auto"/>
      </w:pBdr>
      <w:shd w:val="pct20" w:color="auto" w:fill="auto"/>
      <w:ind w:left="1134" w:hanging="1134"/>
    </w:pPr>
    <w:rPr>
      <w:rFonts w:eastAsia="Calibri"/>
      <w:b/>
      <w:lang w:val="en-GB" w:eastAsia="en-US"/>
    </w:rPr>
  </w:style>
  <w:style w:type="character" w:styleId="SayfaNumaras">
    <w:name w:val="page number"/>
    <w:basedOn w:val="VarsaylanParagrafYazTipi"/>
    <w:semiHidden/>
    <w:rsid w:val="00790361"/>
  </w:style>
  <w:style w:type="paragraph" w:styleId="BelgeBalantlar">
    <w:name w:val="Document Map"/>
    <w:basedOn w:val="Normal"/>
    <w:link w:val="BelgeBalantlarChar"/>
    <w:semiHidden/>
    <w:rsid w:val="00790361"/>
    <w:pPr>
      <w:shd w:val="clear" w:color="auto" w:fill="000080"/>
    </w:pPr>
    <w:rPr>
      <w:rFonts w:ascii="Tahoma" w:hAnsi="Tahoma" w:cs="Tahoma"/>
      <w:sz w:val="20"/>
      <w:szCs w:val="20"/>
      <w:lang w:val="en-GB" w:eastAsia="en-US"/>
    </w:rPr>
  </w:style>
  <w:style w:type="character" w:customStyle="1" w:styleId="BelgeBalantlarChar">
    <w:name w:val="Belge Bağlantıları Char"/>
    <w:basedOn w:val="VarsaylanParagrafYazTipi"/>
    <w:link w:val="BelgeBalantlar"/>
    <w:semiHidden/>
    <w:rsid w:val="00790361"/>
    <w:rPr>
      <w:rFonts w:ascii="Tahoma" w:hAnsi="Tahoma" w:cs="Tahoma"/>
      <w:shd w:val="clear" w:color="auto" w:fill="000080"/>
      <w:lang w:val="en-GB" w:eastAsia="en-US"/>
    </w:rPr>
  </w:style>
  <w:style w:type="paragraph" w:styleId="T7">
    <w:name w:val="toc 7"/>
    <w:basedOn w:val="Normal"/>
    <w:next w:val="Normal"/>
    <w:autoRedefine/>
    <w:rsid w:val="00790361"/>
    <w:pPr>
      <w:tabs>
        <w:tab w:val="left" w:pos="3119"/>
        <w:tab w:val="right" w:leader="dot" w:pos="8495"/>
      </w:tabs>
      <w:ind w:left="2970" w:hanging="1760"/>
    </w:pPr>
    <w:rPr>
      <w:noProof/>
      <w:sz w:val="20"/>
      <w:lang w:val="en-GB" w:eastAsia="en-US"/>
    </w:rPr>
  </w:style>
  <w:style w:type="paragraph" w:styleId="T8">
    <w:name w:val="toc 8"/>
    <w:basedOn w:val="Normal"/>
    <w:next w:val="Normal"/>
    <w:autoRedefine/>
    <w:rsid w:val="00790361"/>
    <w:pPr>
      <w:ind w:left="1400"/>
    </w:pPr>
    <w:rPr>
      <w:sz w:val="18"/>
      <w:szCs w:val="18"/>
      <w:lang w:val="en-GB" w:eastAsia="en-US"/>
    </w:rPr>
  </w:style>
  <w:style w:type="paragraph" w:styleId="T9">
    <w:name w:val="toc 9"/>
    <w:basedOn w:val="Normal"/>
    <w:next w:val="Normal"/>
    <w:autoRedefine/>
    <w:rsid w:val="00790361"/>
    <w:pPr>
      <w:ind w:left="1600"/>
    </w:pPr>
    <w:rPr>
      <w:sz w:val="18"/>
      <w:szCs w:val="18"/>
      <w:lang w:val="en-GB" w:eastAsia="en-US"/>
    </w:rPr>
  </w:style>
  <w:style w:type="paragraph" w:customStyle="1" w:styleId="Captioncomment">
    <w:name w:val="Caption comment"/>
    <w:basedOn w:val="Normal"/>
    <w:next w:val="Normal"/>
    <w:link w:val="CaptioncommentChar"/>
    <w:rsid w:val="00790361"/>
    <w:pPr>
      <w:keepNext/>
      <w:keepLines/>
      <w:spacing w:line="260" w:lineRule="atLeast"/>
    </w:pPr>
    <w:rPr>
      <w:kern w:val="24"/>
      <w:sz w:val="22"/>
      <w:lang w:val="en-GB" w:eastAsia="en-US"/>
    </w:rPr>
  </w:style>
  <w:style w:type="paragraph" w:styleId="Liste2">
    <w:name w:val="List 2"/>
    <w:basedOn w:val="Normal"/>
    <w:semiHidden/>
    <w:rsid w:val="00790361"/>
    <w:pPr>
      <w:ind w:left="566" w:hanging="283"/>
    </w:pPr>
    <w:rPr>
      <w:sz w:val="22"/>
      <w:lang w:val="en-GB" w:eastAsia="en-US"/>
    </w:rPr>
  </w:style>
  <w:style w:type="paragraph" w:customStyle="1" w:styleId="Tabletitle">
    <w:name w:val="Table title"/>
    <w:basedOn w:val="Normal"/>
    <w:next w:val="Normal"/>
    <w:rsid w:val="00790361"/>
    <w:pPr>
      <w:keepNext/>
      <w:jc w:val="center"/>
    </w:pPr>
    <w:rPr>
      <w:rFonts w:ascii="Arial" w:hAnsi="Arial"/>
      <w:b/>
      <w:sz w:val="28"/>
      <w:szCs w:val="20"/>
      <w:lang w:val="en-GB" w:eastAsia="zh-CN"/>
    </w:rPr>
  </w:style>
  <w:style w:type="paragraph" w:customStyle="1" w:styleId="Style10ptRoseCentered">
    <w:name w:val="Style 10 pt Rose Centered"/>
    <w:basedOn w:val="Normal"/>
    <w:autoRedefine/>
    <w:rsid w:val="00790361"/>
    <w:pPr>
      <w:jc w:val="center"/>
    </w:pPr>
    <w:rPr>
      <w:color w:val="FF0000"/>
      <w:sz w:val="22"/>
      <w:lang w:val="en-GB" w:eastAsia="en-US"/>
    </w:rPr>
  </w:style>
  <w:style w:type="paragraph" w:styleId="Dizin1">
    <w:name w:val="index 1"/>
    <w:basedOn w:val="Normal"/>
    <w:next w:val="Normal"/>
    <w:autoRedefine/>
    <w:semiHidden/>
    <w:rsid w:val="00790361"/>
    <w:pPr>
      <w:widowControl w:val="0"/>
      <w:tabs>
        <w:tab w:val="right" w:leader="dot" w:pos="9360"/>
      </w:tabs>
      <w:suppressAutoHyphens/>
      <w:spacing w:line="276" w:lineRule="auto"/>
      <w:ind w:left="1440" w:right="720" w:hanging="1440"/>
      <w:jc w:val="both"/>
    </w:pPr>
    <w:rPr>
      <w:rFonts w:ascii="Futura Book" w:hAnsi="Futura Book"/>
      <w:sz w:val="22"/>
      <w:lang w:val="en-GB" w:eastAsia="en-US"/>
    </w:rPr>
  </w:style>
  <w:style w:type="paragraph" w:customStyle="1" w:styleId="Footerlandscape">
    <w:name w:val="Footer landscape"/>
    <w:rsid w:val="00790361"/>
    <w:pPr>
      <w:pBdr>
        <w:top w:val="single" w:sz="4" w:space="1" w:color="auto"/>
      </w:pBdr>
      <w:tabs>
        <w:tab w:val="center" w:pos="7088"/>
        <w:tab w:val="right" w:pos="14572"/>
      </w:tabs>
    </w:pPr>
    <w:rPr>
      <w:rFonts w:ascii="Times New Roman" w:hAnsi="Times New Roman" w:cs="Times New Roman"/>
      <w:b/>
      <w:szCs w:val="24"/>
      <w:lang w:val="en-GB" w:eastAsia="en-US"/>
    </w:rPr>
  </w:style>
  <w:style w:type="paragraph" w:customStyle="1" w:styleId="Headerlandscape">
    <w:name w:val="Header landscape"/>
    <w:rsid w:val="00790361"/>
    <w:pPr>
      <w:pBdr>
        <w:bottom w:val="single" w:sz="4" w:space="1" w:color="auto"/>
      </w:pBdr>
      <w:tabs>
        <w:tab w:val="center" w:pos="7088"/>
        <w:tab w:val="right" w:pos="14572"/>
      </w:tabs>
    </w:pPr>
    <w:rPr>
      <w:rFonts w:ascii="Times New Roman" w:hAnsi="Times New Roman" w:cs="Times New Roman"/>
      <w:b/>
      <w:szCs w:val="24"/>
      <w:lang w:val="en-GB" w:eastAsia="en-US"/>
    </w:rPr>
  </w:style>
  <w:style w:type="numbering" w:styleId="111111">
    <w:name w:val="Outline List 2"/>
    <w:basedOn w:val="ListeYok"/>
    <w:semiHidden/>
    <w:rsid w:val="00790361"/>
    <w:pPr>
      <w:numPr>
        <w:numId w:val="25"/>
      </w:numPr>
    </w:pPr>
  </w:style>
  <w:style w:type="paragraph" w:styleId="bekMetni">
    <w:name w:val="Block Text"/>
    <w:basedOn w:val="Normal"/>
    <w:rsid w:val="00790361"/>
    <w:pPr>
      <w:ind w:left="343" w:right="613"/>
    </w:pPr>
    <w:rPr>
      <w:lang w:val="en-GB" w:eastAsia="en-US"/>
    </w:rPr>
  </w:style>
  <w:style w:type="paragraph" w:styleId="GvdeMetni2b">
    <w:name w:val="Body Text 2"/>
    <w:basedOn w:val="Normal"/>
    <w:link w:val="GvdeMetni2Char"/>
    <w:rsid w:val="00790361"/>
    <w:rPr>
      <w:lang w:val="en-GB" w:eastAsia="en-US"/>
    </w:rPr>
  </w:style>
  <w:style w:type="character" w:customStyle="1" w:styleId="GvdeMetni2Char">
    <w:name w:val="Gövde Metni 2 Char"/>
    <w:basedOn w:val="VarsaylanParagrafYazTipi"/>
    <w:link w:val="GvdeMetni2b"/>
    <w:rsid w:val="00790361"/>
    <w:rPr>
      <w:rFonts w:ascii="Times New Roman" w:hAnsi="Times New Roman" w:cs="Times New Roman"/>
      <w:sz w:val="24"/>
      <w:szCs w:val="24"/>
      <w:lang w:val="en-GB" w:eastAsia="en-US"/>
    </w:rPr>
  </w:style>
  <w:style w:type="paragraph" w:styleId="GvdeMetni3b">
    <w:name w:val="Body Text 3"/>
    <w:basedOn w:val="Normal"/>
    <w:link w:val="GvdeMetni3Char"/>
    <w:rsid w:val="00790361"/>
    <w:pPr>
      <w:ind w:right="613"/>
    </w:pPr>
    <w:rPr>
      <w:lang w:val="en-GB" w:eastAsia="en-US"/>
    </w:rPr>
  </w:style>
  <w:style w:type="character" w:customStyle="1" w:styleId="GvdeMetni3Char">
    <w:name w:val="Gövde Metni 3 Char"/>
    <w:basedOn w:val="VarsaylanParagrafYazTipi"/>
    <w:link w:val="GvdeMetni3b"/>
    <w:rsid w:val="00790361"/>
    <w:rPr>
      <w:rFonts w:ascii="Times New Roman" w:hAnsi="Times New Roman" w:cs="Times New Roman"/>
      <w:sz w:val="24"/>
      <w:szCs w:val="24"/>
      <w:lang w:val="en-GB" w:eastAsia="en-US"/>
    </w:rPr>
  </w:style>
  <w:style w:type="paragraph" w:styleId="DzMetin">
    <w:name w:val="Plain Text"/>
    <w:basedOn w:val="Normal"/>
    <w:link w:val="DzMetinChar"/>
    <w:semiHidden/>
    <w:rsid w:val="00790361"/>
    <w:rPr>
      <w:sz w:val="20"/>
      <w:szCs w:val="20"/>
      <w:lang w:val="en-GB" w:eastAsia="en-US"/>
    </w:rPr>
  </w:style>
  <w:style w:type="character" w:customStyle="1" w:styleId="DzMetinChar">
    <w:name w:val="Düz Metin Char"/>
    <w:basedOn w:val="VarsaylanParagrafYazTipi"/>
    <w:link w:val="DzMetin"/>
    <w:semiHidden/>
    <w:rsid w:val="00790361"/>
    <w:rPr>
      <w:lang w:val="en-GB" w:eastAsia="en-US"/>
    </w:rPr>
  </w:style>
  <w:style w:type="table" w:customStyle="1" w:styleId="EIPPCBTable">
    <w:name w:val="EIPPCB Table"/>
    <w:basedOn w:val="NormalTablo"/>
    <w:rsid w:val="00790361"/>
    <w:pPr>
      <w:jc w:val="center"/>
    </w:pPr>
    <w:rPr>
      <w:rFonts w:ascii="Times New Roman" w:hAnsi="Times New Roman" w:cs="Times New Roman"/>
      <w:sz w:val="22"/>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jc w:val="center"/>
      </w:pPr>
      <w:rPr>
        <w:rFonts w:ascii="Times New Roman" w:hAnsi="Times New Roman"/>
        <w:b/>
        <w:sz w:val="22"/>
        <w:u w:val="none"/>
      </w:rPr>
    </w:tblStylePr>
    <w:tblStylePr w:type="lastRow">
      <w:pPr>
        <w:jc w:val="center"/>
      </w:pPr>
      <w:rPr>
        <w:rFonts w:ascii="Times New Roman" w:hAnsi="Times New Roman"/>
        <w:i/>
        <w:sz w:val="18"/>
      </w:rPr>
    </w:tblStylePr>
    <w:tblStylePr w:type="firstCol">
      <w:pPr>
        <w:jc w:val="left"/>
      </w:pPr>
      <w:rPr>
        <w:b/>
      </w:rPr>
    </w:tblStylePr>
  </w:style>
  <w:style w:type="table" w:customStyle="1" w:styleId="TableEIPPCB">
    <w:name w:val="Table EIPPCB"/>
    <w:basedOn w:val="NormalTablo"/>
    <w:rsid w:val="00790361"/>
    <w:rPr>
      <w:rFonts w:ascii="Times New Roman" w:hAnsi="Times New Roman" w:cs="Times New Roman"/>
      <w:sz w:val="22"/>
    </w:rPr>
    <w:tblPr/>
  </w:style>
  <w:style w:type="paragraph" w:customStyle="1" w:styleId="Captioncomments">
    <w:name w:val="Caption comments"/>
    <w:basedOn w:val="Normal"/>
    <w:next w:val="Normal"/>
    <w:link w:val="CaptioncommentsChar"/>
    <w:rsid w:val="00790361"/>
    <w:rPr>
      <w:b/>
      <w:sz w:val="20"/>
      <w:szCs w:val="20"/>
      <w:lang w:val="en-GB" w:eastAsia="zh-CN"/>
    </w:rPr>
  </w:style>
  <w:style w:type="numbering" w:customStyle="1" w:styleId="Letterlist">
    <w:name w:val="Letterlist"/>
    <w:basedOn w:val="ListeYok"/>
    <w:rsid w:val="00790361"/>
    <w:pPr>
      <w:numPr>
        <w:numId w:val="27"/>
      </w:numPr>
    </w:pPr>
  </w:style>
  <w:style w:type="paragraph" w:customStyle="1" w:styleId="Footerpotrait">
    <w:name w:val="Footer potrait"/>
    <w:basedOn w:val="AltBilgi"/>
    <w:rsid w:val="00790361"/>
    <w:pPr>
      <w:pBdr>
        <w:top w:val="single" w:sz="4" w:space="1" w:color="auto"/>
      </w:pBdr>
      <w:tabs>
        <w:tab w:val="clear" w:pos="4536"/>
        <w:tab w:val="clear" w:pos="9072"/>
        <w:tab w:val="center" w:pos="4253"/>
        <w:tab w:val="right" w:pos="8505"/>
      </w:tabs>
    </w:pPr>
    <w:rPr>
      <w:b/>
      <w:sz w:val="20"/>
      <w:lang w:val="en-GB" w:eastAsia="en-US"/>
    </w:rPr>
  </w:style>
  <w:style w:type="paragraph" w:customStyle="1" w:styleId="StyleHeading2Linespacing15lines">
    <w:name w:val="Style Heading 2 + Line spacing:  1.5 lines"/>
    <w:basedOn w:val="Balk2"/>
    <w:rsid w:val="00790361"/>
    <w:pPr>
      <w:pageBreakBefore/>
      <w:widowControl/>
      <w:spacing w:after="240"/>
    </w:pPr>
    <w:rPr>
      <w:rFonts w:ascii="Arial" w:eastAsia="Times New Roman" w:hAnsi="Arial" w:cs="Times New Roman"/>
      <w:b w:val="0"/>
      <w:bCs/>
      <w:color w:val="auto"/>
      <w:sz w:val="28"/>
      <w:szCs w:val="20"/>
      <w:lang w:val="en-GB" w:eastAsia="zh-CN"/>
    </w:rPr>
  </w:style>
  <w:style w:type="paragraph" w:styleId="DizinBal">
    <w:name w:val="index heading"/>
    <w:basedOn w:val="Normal"/>
    <w:next w:val="Dizin1"/>
    <w:semiHidden/>
    <w:rsid w:val="00790361"/>
    <w:rPr>
      <w:sz w:val="22"/>
      <w:lang w:val="en-GB" w:eastAsia="en-US"/>
    </w:rPr>
  </w:style>
  <w:style w:type="character" w:styleId="Gl">
    <w:name w:val="Strong"/>
    <w:uiPriority w:val="22"/>
    <w:qFormat/>
    <w:rsid w:val="00790361"/>
    <w:rPr>
      <w:b/>
      <w:bCs/>
    </w:rPr>
  </w:style>
  <w:style w:type="numbering" w:customStyle="1" w:styleId="Numberlist">
    <w:name w:val="Numberlist"/>
    <w:basedOn w:val="ListeYok"/>
    <w:rsid w:val="00790361"/>
    <w:pPr>
      <w:numPr>
        <w:numId w:val="39"/>
      </w:numPr>
    </w:pPr>
  </w:style>
  <w:style w:type="numbering" w:customStyle="1" w:styleId="01FirstBullets">
    <w:name w:val="01. First Bullets"/>
    <w:basedOn w:val="ListeYok"/>
    <w:rsid w:val="00790361"/>
    <w:pPr>
      <w:numPr>
        <w:numId w:val="22"/>
      </w:numPr>
    </w:pPr>
  </w:style>
  <w:style w:type="numbering" w:customStyle="1" w:styleId="02SecondBullets">
    <w:name w:val="02. Second Bullets"/>
    <w:basedOn w:val="ListeYok"/>
    <w:rsid w:val="00790361"/>
    <w:pPr>
      <w:numPr>
        <w:numId w:val="23"/>
      </w:numPr>
    </w:pPr>
  </w:style>
  <w:style w:type="numbering" w:customStyle="1" w:styleId="03ThirdBullet">
    <w:name w:val="03. Third Bullet"/>
    <w:rsid w:val="00790361"/>
    <w:pPr>
      <w:numPr>
        <w:numId w:val="24"/>
      </w:numPr>
    </w:pPr>
  </w:style>
  <w:style w:type="paragraph" w:customStyle="1" w:styleId="TableBullets">
    <w:name w:val="Table Bullets"/>
    <w:basedOn w:val="Normal"/>
    <w:link w:val="TableBulletsChar"/>
    <w:rsid w:val="00790361"/>
    <w:pPr>
      <w:numPr>
        <w:numId w:val="43"/>
      </w:numPr>
    </w:pPr>
    <w:rPr>
      <w:sz w:val="20"/>
      <w:szCs w:val="20"/>
      <w:lang w:val="en-GB" w:eastAsia="en-GB"/>
    </w:rPr>
  </w:style>
  <w:style w:type="paragraph" w:styleId="E-postamzas">
    <w:name w:val="E-mail Signature"/>
    <w:basedOn w:val="Normal"/>
    <w:link w:val="E-postamzasChar"/>
    <w:semiHidden/>
    <w:rsid w:val="00790361"/>
    <w:rPr>
      <w:sz w:val="22"/>
      <w:lang w:val="en-GB" w:eastAsia="en-US"/>
    </w:rPr>
  </w:style>
  <w:style w:type="character" w:customStyle="1" w:styleId="E-postamzasChar">
    <w:name w:val="E-posta İmzası Char"/>
    <w:basedOn w:val="VarsaylanParagrafYazTipi"/>
    <w:link w:val="E-postamzas"/>
    <w:semiHidden/>
    <w:rsid w:val="00790361"/>
    <w:rPr>
      <w:rFonts w:ascii="Times New Roman" w:hAnsi="Times New Roman" w:cs="Times New Roman"/>
      <w:sz w:val="22"/>
      <w:szCs w:val="24"/>
      <w:lang w:val="en-GB" w:eastAsia="en-US"/>
    </w:rPr>
  </w:style>
  <w:style w:type="paragraph" w:customStyle="1" w:styleId="Heading5Blue">
    <w:name w:val="Heading 5 + Blue"/>
    <w:basedOn w:val="Balk5"/>
    <w:link w:val="Heading5BlueChar"/>
    <w:rsid w:val="00790361"/>
    <w:pPr>
      <w:keepLines w:val="0"/>
      <w:widowControl/>
      <w:numPr>
        <w:ilvl w:val="4"/>
      </w:numPr>
      <w:spacing w:after="240"/>
      <w:ind w:left="1440" w:hanging="1080"/>
      <w:jc w:val="left"/>
    </w:pPr>
    <w:rPr>
      <w:rFonts w:ascii="Arial" w:hAnsi="Arial"/>
      <w:bCs/>
      <w:color w:val="0000FF"/>
      <w:lang w:val="en-GB" w:eastAsia="zh-CN"/>
    </w:rPr>
  </w:style>
  <w:style w:type="paragraph" w:customStyle="1" w:styleId="LettersTechniques">
    <w:name w:val="Letters_Techniques"/>
    <w:basedOn w:val="Normal"/>
    <w:rsid w:val="00790361"/>
    <w:pPr>
      <w:numPr>
        <w:numId w:val="28"/>
      </w:numPr>
      <w:tabs>
        <w:tab w:val="left" w:pos="567"/>
      </w:tabs>
    </w:pPr>
    <w:rPr>
      <w:sz w:val="22"/>
      <w:szCs w:val="22"/>
      <w:lang w:val="en-GB" w:eastAsia="en-US"/>
    </w:rPr>
  </w:style>
  <w:style w:type="numbering" w:customStyle="1" w:styleId="StyleNumbered">
    <w:name w:val="Style Numbered"/>
    <w:basedOn w:val="ListeYok"/>
    <w:rsid w:val="00790361"/>
    <w:pPr>
      <w:numPr>
        <w:numId w:val="42"/>
      </w:numPr>
    </w:pPr>
  </w:style>
  <w:style w:type="character" w:customStyle="1" w:styleId="Heading5BlueChar">
    <w:name w:val="Heading 5 + Blue Char"/>
    <w:basedOn w:val="Heading6Char1"/>
    <w:link w:val="Heading5Blue"/>
    <w:rsid w:val="00790361"/>
    <w:rPr>
      <w:rFonts w:ascii="Arial" w:eastAsia="Times New Roman" w:hAnsi="Arial" w:cs="Times New Roman"/>
      <w:bCs/>
      <w:color w:val="0000FF"/>
      <w:spacing w:val="2"/>
      <w:sz w:val="22"/>
      <w:szCs w:val="22"/>
      <w:lang w:val="en-GB" w:eastAsia="zh-CN"/>
    </w:rPr>
  </w:style>
  <w:style w:type="paragraph" w:customStyle="1" w:styleId="Standard">
    <w:name w:val="Standard"/>
    <w:basedOn w:val="Normal"/>
    <w:next w:val="Normal"/>
    <w:rsid w:val="00790361"/>
    <w:pPr>
      <w:autoSpaceDE w:val="0"/>
      <w:autoSpaceDN w:val="0"/>
      <w:adjustRightInd w:val="0"/>
    </w:pPr>
    <w:rPr>
      <w:rFonts w:ascii="Arial" w:hAnsi="Arial"/>
      <w:lang w:val="en-GB" w:eastAsia="en-US"/>
    </w:rPr>
  </w:style>
  <w:style w:type="paragraph" w:customStyle="1" w:styleId="Heading6Blue">
    <w:name w:val="Heading 6 + Blue"/>
    <w:basedOn w:val="Balk6"/>
    <w:rsid w:val="00790361"/>
    <w:pPr>
      <w:keepLines w:val="0"/>
      <w:widowControl/>
      <w:tabs>
        <w:tab w:val="left" w:pos="1985"/>
      </w:tabs>
      <w:spacing w:before="0" w:after="0"/>
      <w:jc w:val="left"/>
    </w:pPr>
    <w:rPr>
      <w:rFonts w:cs="Times New Roman"/>
      <w:b/>
      <w:i/>
      <w:color w:val="0000FF"/>
      <w:spacing w:val="0"/>
      <w:szCs w:val="20"/>
      <w:lang w:val="en-GB" w:eastAsia="zh-CN"/>
    </w:rPr>
  </w:style>
  <w:style w:type="character" w:customStyle="1" w:styleId="CaptioncommentsChar">
    <w:name w:val="Caption comments Char"/>
    <w:basedOn w:val="VarsaylanParagrafYazTipi"/>
    <w:link w:val="Captioncomments"/>
    <w:rsid w:val="00790361"/>
    <w:rPr>
      <w:rFonts w:ascii="Times New Roman" w:hAnsi="Times New Roman" w:cs="Times New Roman"/>
      <w:b/>
      <w:lang w:val="en-GB" w:eastAsia="zh-CN"/>
    </w:rPr>
  </w:style>
  <w:style w:type="paragraph" w:styleId="GvdeMetniGirintisi3">
    <w:name w:val="Body Text Indent 3"/>
    <w:basedOn w:val="Normal"/>
    <w:link w:val="GvdeMetniGirintisi3Char"/>
    <w:rsid w:val="00790361"/>
    <w:pPr>
      <w:tabs>
        <w:tab w:val="left" w:pos="137"/>
      </w:tabs>
      <w:ind w:left="137" w:hanging="137"/>
    </w:pPr>
    <w:rPr>
      <w:sz w:val="22"/>
      <w:lang w:val="en-GB" w:eastAsia="en-US"/>
    </w:rPr>
  </w:style>
  <w:style w:type="character" w:customStyle="1" w:styleId="GvdeMetniGirintisi3Char">
    <w:name w:val="Gövde Metni Girintisi 3 Char"/>
    <w:basedOn w:val="VarsaylanParagrafYazTipi"/>
    <w:link w:val="GvdeMetniGirintisi3"/>
    <w:rsid w:val="00790361"/>
    <w:rPr>
      <w:rFonts w:ascii="Times New Roman" w:hAnsi="Times New Roman" w:cs="Times New Roman"/>
      <w:sz w:val="22"/>
      <w:szCs w:val="24"/>
      <w:lang w:val="en-GB" w:eastAsia="en-US"/>
    </w:rPr>
  </w:style>
  <w:style w:type="paragraph" w:customStyle="1" w:styleId="StandardEnglish">
    <w:name w:val="Standard English"/>
    <w:basedOn w:val="Normal"/>
    <w:rsid w:val="00790361"/>
    <w:pPr>
      <w:spacing w:before="120" w:after="240"/>
    </w:pPr>
    <w:rPr>
      <w:lang w:val="en-GB" w:eastAsia="de-DE"/>
    </w:rPr>
  </w:style>
  <w:style w:type="paragraph" w:customStyle="1" w:styleId="Heading1notnumbered">
    <w:name w:val="Heading 1 not numbered"/>
    <w:basedOn w:val="Balk1"/>
    <w:next w:val="Normal"/>
    <w:rsid w:val="00790361"/>
    <w:pPr>
      <w:keepLines/>
      <w:widowControl/>
      <w:spacing w:after="240"/>
    </w:pPr>
    <w:rPr>
      <w:rFonts w:ascii="Arial" w:hAnsi="Arial"/>
      <w:color w:val="auto"/>
      <w:kern w:val="28"/>
      <w:sz w:val="28"/>
      <w:szCs w:val="28"/>
      <w:lang w:val="en-GB" w:eastAsia="zh-CN"/>
    </w:rPr>
  </w:style>
  <w:style w:type="paragraph" w:customStyle="1" w:styleId="Style9ptRedLeft0cmHanging051cm">
    <w:name w:val="Style 9 pt Red Left:  0 cm Hanging:  051 cm"/>
    <w:basedOn w:val="Normal"/>
    <w:rsid w:val="00790361"/>
    <w:pPr>
      <w:ind w:left="284" w:hanging="284"/>
    </w:pPr>
    <w:rPr>
      <w:color w:val="FF0000"/>
      <w:sz w:val="18"/>
      <w:lang w:val="en-GB" w:eastAsia="en-US"/>
    </w:rPr>
  </w:style>
  <w:style w:type="paragraph" w:styleId="GvdeMetniGirintisi">
    <w:name w:val="Body Text Indent"/>
    <w:basedOn w:val="Normal"/>
    <w:link w:val="GvdeMetniGirintisiChar"/>
    <w:rsid w:val="00790361"/>
    <w:pPr>
      <w:ind w:left="2160"/>
    </w:pPr>
    <w:rPr>
      <w:rFonts w:ascii="Arial" w:hAnsi="Arial"/>
      <w:lang w:val="en-GB" w:eastAsia="en-US"/>
    </w:rPr>
  </w:style>
  <w:style w:type="character" w:customStyle="1" w:styleId="GvdeMetniGirintisiChar">
    <w:name w:val="Gövde Metni Girintisi Char"/>
    <w:basedOn w:val="VarsaylanParagrafYazTipi"/>
    <w:link w:val="GvdeMetniGirintisi"/>
    <w:rsid w:val="00790361"/>
    <w:rPr>
      <w:rFonts w:ascii="Arial" w:hAnsi="Arial" w:cs="Times New Roman"/>
      <w:sz w:val="24"/>
      <w:szCs w:val="24"/>
      <w:lang w:val="en-GB" w:eastAsia="en-US"/>
    </w:rPr>
  </w:style>
  <w:style w:type="paragraph" w:styleId="GvdeMetnilkGirintisi">
    <w:name w:val="Body Text First Indent"/>
    <w:basedOn w:val="GvdeMetnia"/>
    <w:link w:val="GvdeMetnilkGirintisiChar"/>
    <w:rsid w:val="00790361"/>
    <w:pPr>
      <w:widowControl/>
      <w:autoSpaceDE/>
      <w:autoSpaceDN/>
      <w:spacing w:after="240"/>
      <w:ind w:firstLine="210"/>
    </w:pPr>
    <w:rPr>
      <w:szCs w:val="24"/>
      <w:lang w:val="en-GB"/>
    </w:rPr>
  </w:style>
  <w:style w:type="character" w:customStyle="1" w:styleId="GvdeMetnilkGirintisiChar">
    <w:name w:val="Gövde Metni İlk Girintisi Char"/>
    <w:basedOn w:val="GvdeMetniChar"/>
    <w:link w:val="GvdeMetnilkGirintisi"/>
    <w:rsid w:val="00790361"/>
    <w:rPr>
      <w:rFonts w:ascii="Times New Roman" w:hAnsi="Times New Roman" w:cs="Times New Roman"/>
      <w:sz w:val="22"/>
      <w:szCs w:val="24"/>
      <w:lang w:val="en-GB" w:eastAsia="en-US"/>
    </w:rPr>
  </w:style>
  <w:style w:type="paragraph" w:styleId="Kapan">
    <w:name w:val="Closing"/>
    <w:basedOn w:val="Normal"/>
    <w:link w:val="KapanChar"/>
    <w:rsid w:val="00790361"/>
    <w:pPr>
      <w:ind w:left="4320"/>
    </w:pPr>
    <w:rPr>
      <w:sz w:val="22"/>
      <w:lang w:val="en-GB" w:eastAsia="en-US"/>
    </w:rPr>
  </w:style>
  <w:style w:type="character" w:customStyle="1" w:styleId="KapanChar">
    <w:name w:val="Kapanış Char"/>
    <w:basedOn w:val="VarsaylanParagrafYazTipi"/>
    <w:link w:val="Kapan"/>
    <w:rsid w:val="00790361"/>
    <w:rPr>
      <w:rFonts w:ascii="Times New Roman" w:hAnsi="Times New Roman" w:cs="Times New Roman"/>
      <w:sz w:val="22"/>
      <w:szCs w:val="24"/>
      <w:lang w:val="en-GB" w:eastAsia="en-US"/>
    </w:rPr>
  </w:style>
  <w:style w:type="paragraph" w:styleId="Tarih">
    <w:name w:val="Date"/>
    <w:basedOn w:val="Normal"/>
    <w:next w:val="Normal"/>
    <w:link w:val="TarihChar"/>
    <w:semiHidden/>
    <w:rsid w:val="00790361"/>
    <w:rPr>
      <w:sz w:val="22"/>
      <w:lang w:val="en-GB" w:eastAsia="en-US"/>
    </w:rPr>
  </w:style>
  <w:style w:type="character" w:customStyle="1" w:styleId="TarihChar">
    <w:name w:val="Tarih Char"/>
    <w:basedOn w:val="VarsaylanParagrafYazTipi"/>
    <w:link w:val="Tarih"/>
    <w:semiHidden/>
    <w:rsid w:val="00790361"/>
    <w:rPr>
      <w:rFonts w:ascii="Times New Roman" w:hAnsi="Times New Roman" w:cs="Times New Roman"/>
      <w:sz w:val="22"/>
      <w:szCs w:val="24"/>
      <w:lang w:val="en-GB" w:eastAsia="en-US"/>
    </w:rPr>
  </w:style>
  <w:style w:type="paragraph" w:styleId="MektupAdresi">
    <w:name w:val="envelope address"/>
    <w:basedOn w:val="Normal"/>
    <w:rsid w:val="00790361"/>
    <w:pPr>
      <w:framePr w:w="7920" w:h="1980" w:hRule="exact" w:hSpace="180" w:wrap="auto" w:hAnchor="page" w:xAlign="center" w:yAlign="bottom"/>
      <w:spacing w:line="276" w:lineRule="auto"/>
      <w:ind w:left="2880"/>
      <w:jc w:val="both"/>
    </w:pPr>
    <w:rPr>
      <w:rFonts w:ascii="Arial" w:hAnsi="Arial"/>
      <w:lang w:val="en-GB" w:eastAsia="en-US"/>
    </w:rPr>
  </w:style>
  <w:style w:type="paragraph" w:styleId="ZarfDn">
    <w:name w:val="envelope return"/>
    <w:basedOn w:val="Normal"/>
    <w:rsid w:val="00790361"/>
    <w:rPr>
      <w:rFonts w:ascii="Arial" w:hAnsi="Arial"/>
      <w:sz w:val="22"/>
      <w:lang w:val="en-GB" w:eastAsia="en-US"/>
    </w:rPr>
  </w:style>
  <w:style w:type="paragraph" w:styleId="Dizin2">
    <w:name w:val="index 2"/>
    <w:basedOn w:val="Normal"/>
    <w:next w:val="Normal"/>
    <w:autoRedefine/>
    <w:semiHidden/>
    <w:rsid w:val="00790361"/>
    <w:pPr>
      <w:ind w:left="440" w:hanging="220"/>
    </w:pPr>
    <w:rPr>
      <w:sz w:val="22"/>
      <w:lang w:val="en-GB" w:eastAsia="en-US"/>
    </w:rPr>
  </w:style>
  <w:style w:type="paragraph" w:styleId="Dizin3">
    <w:name w:val="index 3"/>
    <w:basedOn w:val="Normal"/>
    <w:next w:val="Normal"/>
    <w:autoRedefine/>
    <w:semiHidden/>
    <w:rsid w:val="00790361"/>
    <w:pPr>
      <w:ind w:left="660" w:hanging="220"/>
    </w:pPr>
    <w:rPr>
      <w:sz w:val="22"/>
      <w:lang w:val="en-GB" w:eastAsia="en-US"/>
    </w:rPr>
  </w:style>
  <w:style w:type="paragraph" w:styleId="Dizin4">
    <w:name w:val="index 4"/>
    <w:basedOn w:val="Normal"/>
    <w:next w:val="Normal"/>
    <w:autoRedefine/>
    <w:semiHidden/>
    <w:rsid w:val="00790361"/>
    <w:pPr>
      <w:ind w:left="880" w:hanging="220"/>
    </w:pPr>
    <w:rPr>
      <w:sz w:val="22"/>
      <w:lang w:val="en-GB" w:eastAsia="en-US"/>
    </w:rPr>
  </w:style>
  <w:style w:type="paragraph" w:styleId="Dizin5">
    <w:name w:val="index 5"/>
    <w:basedOn w:val="Normal"/>
    <w:next w:val="Normal"/>
    <w:autoRedefine/>
    <w:semiHidden/>
    <w:rsid w:val="00790361"/>
    <w:pPr>
      <w:ind w:left="1100" w:hanging="220"/>
    </w:pPr>
    <w:rPr>
      <w:sz w:val="22"/>
      <w:lang w:val="en-GB" w:eastAsia="en-US"/>
    </w:rPr>
  </w:style>
  <w:style w:type="paragraph" w:styleId="Dizin6">
    <w:name w:val="index 6"/>
    <w:basedOn w:val="Normal"/>
    <w:next w:val="Normal"/>
    <w:autoRedefine/>
    <w:semiHidden/>
    <w:rsid w:val="00790361"/>
    <w:pPr>
      <w:ind w:left="1320" w:hanging="220"/>
    </w:pPr>
    <w:rPr>
      <w:sz w:val="22"/>
      <w:lang w:val="en-GB" w:eastAsia="en-US"/>
    </w:rPr>
  </w:style>
  <w:style w:type="paragraph" w:styleId="Dizin7">
    <w:name w:val="index 7"/>
    <w:basedOn w:val="Normal"/>
    <w:next w:val="Normal"/>
    <w:autoRedefine/>
    <w:semiHidden/>
    <w:rsid w:val="00790361"/>
    <w:pPr>
      <w:ind w:left="1540" w:hanging="220"/>
    </w:pPr>
    <w:rPr>
      <w:sz w:val="22"/>
      <w:lang w:val="en-GB" w:eastAsia="en-US"/>
    </w:rPr>
  </w:style>
  <w:style w:type="paragraph" w:styleId="Dizin8">
    <w:name w:val="index 8"/>
    <w:basedOn w:val="Normal"/>
    <w:next w:val="Normal"/>
    <w:autoRedefine/>
    <w:semiHidden/>
    <w:rsid w:val="00790361"/>
    <w:pPr>
      <w:ind w:left="1760" w:hanging="220"/>
    </w:pPr>
    <w:rPr>
      <w:sz w:val="22"/>
      <w:lang w:val="en-GB" w:eastAsia="en-US"/>
    </w:rPr>
  </w:style>
  <w:style w:type="paragraph" w:styleId="Dizin9">
    <w:name w:val="index 9"/>
    <w:basedOn w:val="Normal"/>
    <w:next w:val="Normal"/>
    <w:autoRedefine/>
    <w:semiHidden/>
    <w:rsid w:val="00790361"/>
    <w:pPr>
      <w:ind w:left="1980" w:hanging="220"/>
    </w:pPr>
    <w:rPr>
      <w:sz w:val="22"/>
      <w:lang w:val="en-GB" w:eastAsia="en-US"/>
    </w:rPr>
  </w:style>
  <w:style w:type="paragraph" w:styleId="Liste">
    <w:name w:val="List"/>
    <w:basedOn w:val="Normal"/>
    <w:semiHidden/>
    <w:rsid w:val="00790361"/>
    <w:pPr>
      <w:spacing w:line="276" w:lineRule="auto"/>
      <w:ind w:left="283" w:hanging="283"/>
      <w:jc w:val="both"/>
    </w:pPr>
    <w:rPr>
      <w:sz w:val="22"/>
      <w:lang w:val="en-GB" w:eastAsia="en-US"/>
    </w:rPr>
  </w:style>
  <w:style w:type="paragraph" w:styleId="Liste3">
    <w:name w:val="List 3"/>
    <w:basedOn w:val="Normal"/>
    <w:semiHidden/>
    <w:rsid w:val="00790361"/>
    <w:pPr>
      <w:ind w:left="849" w:hanging="283"/>
    </w:pPr>
    <w:rPr>
      <w:sz w:val="22"/>
      <w:lang w:val="en-GB" w:eastAsia="en-US"/>
    </w:rPr>
  </w:style>
  <w:style w:type="paragraph" w:styleId="Liste4">
    <w:name w:val="List 4"/>
    <w:basedOn w:val="Normal"/>
    <w:semiHidden/>
    <w:rsid w:val="00790361"/>
    <w:pPr>
      <w:ind w:left="1132" w:hanging="283"/>
    </w:pPr>
    <w:rPr>
      <w:sz w:val="22"/>
      <w:lang w:val="en-GB" w:eastAsia="en-US"/>
    </w:rPr>
  </w:style>
  <w:style w:type="paragraph" w:styleId="Liste5">
    <w:name w:val="List 5"/>
    <w:basedOn w:val="Normal"/>
    <w:semiHidden/>
    <w:rsid w:val="00790361"/>
    <w:pPr>
      <w:ind w:left="1415" w:hanging="283"/>
    </w:pPr>
    <w:rPr>
      <w:sz w:val="22"/>
      <w:lang w:val="en-GB" w:eastAsia="en-US"/>
    </w:rPr>
  </w:style>
  <w:style w:type="paragraph" w:customStyle="1" w:styleId="ListBullet1">
    <w:name w:val="List Bullet 1"/>
    <w:basedOn w:val="Normal"/>
    <w:rsid w:val="00790361"/>
    <w:pPr>
      <w:tabs>
        <w:tab w:val="num" w:pos="765"/>
      </w:tabs>
      <w:spacing w:after="240"/>
      <w:ind w:left="765" w:hanging="283"/>
    </w:pPr>
    <w:rPr>
      <w:lang w:val="en-GB" w:eastAsia="en-US"/>
    </w:rPr>
  </w:style>
  <w:style w:type="paragraph" w:styleId="ListeMaddemi2">
    <w:name w:val="List Bullet 2"/>
    <w:basedOn w:val="Normal"/>
    <w:semiHidden/>
    <w:rsid w:val="00790361"/>
    <w:pPr>
      <w:numPr>
        <w:numId w:val="29"/>
      </w:numPr>
    </w:pPr>
    <w:rPr>
      <w:sz w:val="22"/>
      <w:lang w:val="en-GB" w:eastAsia="en-US"/>
    </w:rPr>
  </w:style>
  <w:style w:type="paragraph" w:styleId="ListeMaddemi3">
    <w:name w:val="List Bullet 3"/>
    <w:basedOn w:val="Normal"/>
    <w:semiHidden/>
    <w:rsid w:val="00790361"/>
    <w:pPr>
      <w:numPr>
        <w:numId w:val="30"/>
      </w:numPr>
    </w:pPr>
    <w:rPr>
      <w:sz w:val="22"/>
      <w:lang w:val="en-GB" w:eastAsia="en-US"/>
    </w:rPr>
  </w:style>
  <w:style w:type="paragraph" w:styleId="ListeMaddemi4">
    <w:name w:val="List Bullet 4"/>
    <w:basedOn w:val="Normal"/>
    <w:semiHidden/>
    <w:rsid w:val="00790361"/>
    <w:pPr>
      <w:numPr>
        <w:numId w:val="31"/>
      </w:numPr>
    </w:pPr>
    <w:rPr>
      <w:sz w:val="22"/>
      <w:lang w:val="en-GB" w:eastAsia="en-US"/>
    </w:rPr>
  </w:style>
  <w:style w:type="paragraph" w:styleId="ListeMaddemi5">
    <w:name w:val="List Bullet 5"/>
    <w:basedOn w:val="Normal"/>
    <w:semiHidden/>
    <w:rsid w:val="00790361"/>
    <w:pPr>
      <w:numPr>
        <w:numId w:val="32"/>
      </w:numPr>
    </w:pPr>
    <w:rPr>
      <w:sz w:val="22"/>
      <w:lang w:val="en-GB" w:eastAsia="en-US"/>
    </w:rPr>
  </w:style>
  <w:style w:type="paragraph" w:styleId="ListeDevam">
    <w:name w:val="List Continue"/>
    <w:basedOn w:val="Normal"/>
    <w:semiHidden/>
    <w:rsid w:val="00790361"/>
    <w:pPr>
      <w:spacing w:after="240"/>
      <w:ind w:left="283"/>
    </w:pPr>
    <w:rPr>
      <w:sz w:val="22"/>
      <w:lang w:val="en-GB" w:eastAsia="en-US"/>
    </w:rPr>
  </w:style>
  <w:style w:type="paragraph" w:styleId="ListeDevam2">
    <w:name w:val="List Continue 2"/>
    <w:basedOn w:val="Normal"/>
    <w:semiHidden/>
    <w:rsid w:val="00790361"/>
    <w:pPr>
      <w:spacing w:after="240"/>
      <w:ind w:left="566"/>
    </w:pPr>
    <w:rPr>
      <w:sz w:val="22"/>
      <w:lang w:val="en-GB" w:eastAsia="en-US"/>
    </w:rPr>
  </w:style>
  <w:style w:type="paragraph" w:styleId="ListeDevam3">
    <w:name w:val="List Continue 3"/>
    <w:basedOn w:val="Normal"/>
    <w:semiHidden/>
    <w:rsid w:val="00790361"/>
    <w:pPr>
      <w:spacing w:after="240"/>
      <w:ind w:left="849"/>
    </w:pPr>
    <w:rPr>
      <w:sz w:val="22"/>
      <w:lang w:val="en-GB" w:eastAsia="en-US"/>
    </w:rPr>
  </w:style>
  <w:style w:type="paragraph" w:styleId="ListeDevam4">
    <w:name w:val="List Continue 4"/>
    <w:basedOn w:val="Normal"/>
    <w:semiHidden/>
    <w:rsid w:val="00790361"/>
    <w:pPr>
      <w:spacing w:after="240"/>
      <w:ind w:left="1132"/>
    </w:pPr>
    <w:rPr>
      <w:sz w:val="22"/>
      <w:lang w:val="en-GB" w:eastAsia="en-US"/>
    </w:rPr>
  </w:style>
  <w:style w:type="paragraph" w:styleId="ListeDevam5">
    <w:name w:val="List Continue 5"/>
    <w:basedOn w:val="Normal"/>
    <w:semiHidden/>
    <w:rsid w:val="00790361"/>
    <w:pPr>
      <w:spacing w:after="240"/>
      <w:ind w:left="1415"/>
    </w:pPr>
    <w:rPr>
      <w:sz w:val="22"/>
      <w:lang w:val="en-GB" w:eastAsia="en-US"/>
    </w:rPr>
  </w:style>
  <w:style w:type="paragraph" w:styleId="ListeNumaras">
    <w:name w:val="List Number"/>
    <w:basedOn w:val="Normal"/>
    <w:semiHidden/>
    <w:rsid w:val="00790361"/>
    <w:pPr>
      <w:numPr>
        <w:numId w:val="33"/>
      </w:numPr>
    </w:pPr>
    <w:rPr>
      <w:sz w:val="22"/>
      <w:lang w:val="en-GB" w:eastAsia="en-US"/>
    </w:rPr>
  </w:style>
  <w:style w:type="paragraph" w:customStyle="1" w:styleId="ListNumber1">
    <w:name w:val="List Number 1"/>
    <w:basedOn w:val="Normal"/>
    <w:rsid w:val="00790361"/>
    <w:pPr>
      <w:tabs>
        <w:tab w:val="num" w:pos="1191"/>
      </w:tabs>
      <w:spacing w:after="240"/>
      <w:ind w:left="1191" w:hanging="709"/>
    </w:pPr>
    <w:rPr>
      <w:lang w:val="en-GB" w:eastAsia="en-US"/>
    </w:rPr>
  </w:style>
  <w:style w:type="paragraph" w:styleId="ListeNumaras2">
    <w:name w:val="List Number 2"/>
    <w:basedOn w:val="Normal"/>
    <w:semiHidden/>
    <w:rsid w:val="00790361"/>
    <w:pPr>
      <w:numPr>
        <w:numId w:val="34"/>
      </w:numPr>
    </w:pPr>
    <w:rPr>
      <w:sz w:val="22"/>
      <w:lang w:val="en-GB" w:eastAsia="en-US"/>
    </w:rPr>
  </w:style>
  <w:style w:type="paragraph" w:styleId="ListeNumaras3">
    <w:name w:val="List Number 3"/>
    <w:basedOn w:val="Normal"/>
    <w:semiHidden/>
    <w:rsid w:val="00790361"/>
    <w:pPr>
      <w:numPr>
        <w:numId w:val="35"/>
      </w:numPr>
    </w:pPr>
    <w:rPr>
      <w:sz w:val="22"/>
      <w:lang w:val="en-GB" w:eastAsia="en-US"/>
    </w:rPr>
  </w:style>
  <w:style w:type="paragraph" w:styleId="ListeNumaras4">
    <w:name w:val="List Number 4"/>
    <w:basedOn w:val="Normal"/>
    <w:semiHidden/>
    <w:rsid w:val="00790361"/>
    <w:pPr>
      <w:numPr>
        <w:numId w:val="36"/>
      </w:numPr>
    </w:pPr>
    <w:rPr>
      <w:sz w:val="22"/>
      <w:lang w:val="en-GB" w:eastAsia="en-US"/>
    </w:rPr>
  </w:style>
  <w:style w:type="paragraph" w:styleId="ListeNumaras5">
    <w:name w:val="List Number 5"/>
    <w:basedOn w:val="Normal"/>
    <w:semiHidden/>
    <w:rsid w:val="00790361"/>
    <w:pPr>
      <w:numPr>
        <w:numId w:val="37"/>
      </w:numPr>
    </w:pPr>
    <w:rPr>
      <w:sz w:val="22"/>
      <w:lang w:val="en-GB" w:eastAsia="en-US"/>
    </w:rPr>
  </w:style>
  <w:style w:type="paragraph" w:styleId="MakroMetni">
    <w:name w:val="macro"/>
    <w:link w:val="MakroMetniChar"/>
    <w:semiHidden/>
    <w:rsid w:val="00790361"/>
    <w:pPr>
      <w:tabs>
        <w:tab w:val="left" w:pos="480"/>
        <w:tab w:val="left" w:pos="960"/>
        <w:tab w:val="left" w:pos="1440"/>
        <w:tab w:val="left" w:pos="1920"/>
        <w:tab w:val="left" w:pos="2400"/>
        <w:tab w:val="left" w:pos="2880"/>
        <w:tab w:val="left" w:pos="3360"/>
        <w:tab w:val="left" w:pos="3840"/>
        <w:tab w:val="left" w:pos="4320"/>
      </w:tabs>
      <w:jc w:val="both"/>
    </w:pPr>
    <w:rPr>
      <w:rFonts w:cs="Times New Roman"/>
      <w:lang w:val="en-GB" w:eastAsia="en-US"/>
    </w:rPr>
  </w:style>
  <w:style w:type="character" w:customStyle="1" w:styleId="MakroMetniChar">
    <w:name w:val="Makro Metni Char"/>
    <w:basedOn w:val="VarsaylanParagrafYazTipi"/>
    <w:link w:val="MakroMetni"/>
    <w:semiHidden/>
    <w:rsid w:val="00790361"/>
    <w:rPr>
      <w:rFonts w:cs="Times New Roman"/>
      <w:lang w:val="en-GB" w:eastAsia="en-US"/>
    </w:rPr>
  </w:style>
  <w:style w:type="paragraph" w:styleId="NormalGirinti">
    <w:name w:val="Normal Indent"/>
    <w:basedOn w:val="Normal"/>
    <w:semiHidden/>
    <w:rsid w:val="00790361"/>
    <w:pPr>
      <w:spacing w:line="276" w:lineRule="auto"/>
      <w:ind w:left="720"/>
      <w:jc w:val="both"/>
    </w:pPr>
    <w:rPr>
      <w:sz w:val="22"/>
      <w:lang w:val="en-GB" w:eastAsia="en-US"/>
    </w:rPr>
  </w:style>
  <w:style w:type="paragraph" w:styleId="NotBal">
    <w:name w:val="Note Heading"/>
    <w:basedOn w:val="Normal"/>
    <w:next w:val="Normal"/>
    <w:link w:val="NotBalChar"/>
    <w:semiHidden/>
    <w:rsid w:val="00790361"/>
    <w:rPr>
      <w:sz w:val="22"/>
      <w:lang w:val="en-GB" w:eastAsia="en-US"/>
    </w:rPr>
  </w:style>
  <w:style w:type="character" w:customStyle="1" w:styleId="NotBalChar">
    <w:name w:val="Not Başlığı Char"/>
    <w:basedOn w:val="VarsaylanParagrafYazTipi"/>
    <w:link w:val="NotBal"/>
    <w:semiHidden/>
    <w:rsid w:val="00790361"/>
    <w:rPr>
      <w:rFonts w:ascii="Times New Roman" w:hAnsi="Times New Roman" w:cs="Times New Roman"/>
      <w:sz w:val="22"/>
      <w:szCs w:val="24"/>
      <w:lang w:val="en-GB" w:eastAsia="en-US"/>
    </w:rPr>
  </w:style>
  <w:style w:type="paragraph" w:styleId="Selamlama">
    <w:name w:val="Salutation"/>
    <w:basedOn w:val="Normal"/>
    <w:next w:val="Normal"/>
    <w:link w:val="SelamlamaChar"/>
    <w:semiHidden/>
    <w:rsid w:val="00790361"/>
    <w:rPr>
      <w:sz w:val="22"/>
      <w:lang w:val="en-GB" w:eastAsia="en-US"/>
    </w:rPr>
  </w:style>
  <w:style w:type="character" w:customStyle="1" w:styleId="SelamlamaChar">
    <w:name w:val="Selamlama Char"/>
    <w:basedOn w:val="VarsaylanParagrafYazTipi"/>
    <w:link w:val="Selamlama"/>
    <w:semiHidden/>
    <w:rsid w:val="00790361"/>
    <w:rPr>
      <w:rFonts w:ascii="Times New Roman" w:hAnsi="Times New Roman" w:cs="Times New Roman"/>
      <w:sz w:val="22"/>
      <w:szCs w:val="24"/>
      <w:lang w:val="en-GB" w:eastAsia="en-US"/>
    </w:rPr>
  </w:style>
  <w:style w:type="paragraph" w:styleId="mza">
    <w:name w:val="Signature"/>
    <w:basedOn w:val="Normal"/>
    <w:link w:val="mzaChar"/>
    <w:semiHidden/>
    <w:rsid w:val="00790361"/>
    <w:pPr>
      <w:ind w:left="4252"/>
    </w:pPr>
    <w:rPr>
      <w:sz w:val="22"/>
      <w:lang w:val="en-GB" w:eastAsia="en-US"/>
    </w:rPr>
  </w:style>
  <w:style w:type="character" w:customStyle="1" w:styleId="mzaChar">
    <w:name w:val="İmza Char"/>
    <w:basedOn w:val="VarsaylanParagrafYazTipi"/>
    <w:link w:val="mza"/>
    <w:semiHidden/>
    <w:rsid w:val="00790361"/>
    <w:rPr>
      <w:rFonts w:ascii="Times New Roman" w:hAnsi="Times New Roman" w:cs="Times New Roman"/>
      <w:sz w:val="22"/>
      <w:szCs w:val="24"/>
      <w:lang w:val="en-GB" w:eastAsia="en-US"/>
    </w:rPr>
  </w:style>
  <w:style w:type="paragraph" w:customStyle="1" w:styleId="StandardWeb">
    <w:name w:val="Standard (Web)"/>
    <w:basedOn w:val="Normal"/>
    <w:rsid w:val="00790361"/>
    <w:pPr>
      <w:spacing w:before="100" w:after="100"/>
    </w:pPr>
    <w:rPr>
      <w:sz w:val="22"/>
      <w:lang w:val="en-GB" w:eastAsia="en-US"/>
    </w:rPr>
  </w:style>
  <w:style w:type="paragraph" w:styleId="Kaynaka">
    <w:name w:val="table of authorities"/>
    <w:basedOn w:val="Normal"/>
    <w:next w:val="Normal"/>
    <w:semiHidden/>
    <w:rsid w:val="00790361"/>
    <w:pPr>
      <w:ind w:left="220" w:hanging="220"/>
    </w:pPr>
    <w:rPr>
      <w:sz w:val="22"/>
      <w:lang w:val="en-GB" w:eastAsia="en-US"/>
    </w:rPr>
  </w:style>
  <w:style w:type="paragraph" w:styleId="KaynakaBal">
    <w:name w:val="toa heading"/>
    <w:basedOn w:val="Normal"/>
    <w:next w:val="Normal"/>
    <w:semiHidden/>
    <w:rsid w:val="00790361"/>
    <w:pPr>
      <w:spacing w:before="120"/>
    </w:pPr>
    <w:rPr>
      <w:rFonts w:ascii="Arial" w:hAnsi="Arial"/>
      <w:b/>
      <w:lang w:val="en-GB" w:eastAsia="en-US"/>
    </w:rPr>
  </w:style>
  <w:style w:type="paragraph" w:customStyle="1" w:styleId="Appendix1">
    <w:name w:val="Appendix 1"/>
    <w:basedOn w:val="Balk1"/>
    <w:next w:val="Normal"/>
    <w:rsid w:val="00790361"/>
    <w:pPr>
      <w:keepLines/>
      <w:widowControl/>
      <w:jc w:val="both"/>
    </w:pPr>
    <w:rPr>
      <w:rFonts w:ascii="Arial" w:hAnsi="Arial"/>
      <w:bCs w:val="0"/>
      <w:caps/>
      <w:color w:val="auto"/>
      <w:kern w:val="28"/>
      <w:sz w:val="28"/>
      <w:szCs w:val="20"/>
      <w:lang w:val="en-US" w:eastAsia="zh-CN"/>
    </w:rPr>
  </w:style>
  <w:style w:type="paragraph" w:customStyle="1" w:styleId="Appendix2">
    <w:name w:val="Appendix 2"/>
    <w:basedOn w:val="Balk2"/>
    <w:next w:val="Normal"/>
    <w:rsid w:val="00790361"/>
    <w:pPr>
      <w:pageBreakBefore/>
      <w:widowControl/>
      <w:spacing w:before="240" w:after="240"/>
    </w:pPr>
    <w:rPr>
      <w:rFonts w:ascii="Book Antiqua" w:eastAsia="Times New Roman" w:hAnsi="Book Antiqua" w:cs="Times New Roman"/>
      <w:i/>
      <w:color w:val="auto"/>
      <w:sz w:val="28"/>
      <w:szCs w:val="24"/>
      <w:lang w:val="en-US" w:eastAsia="zh-CN"/>
    </w:rPr>
  </w:style>
  <w:style w:type="paragraph" w:customStyle="1" w:styleId="Appendix3">
    <w:name w:val="Appendix 3"/>
    <w:basedOn w:val="Balk3"/>
    <w:next w:val="Normal"/>
    <w:rsid w:val="00790361"/>
    <w:pPr>
      <w:keepLines w:val="0"/>
      <w:widowControl/>
      <w:spacing w:before="240"/>
    </w:pPr>
    <w:rPr>
      <w:rFonts w:ascii="Arial" w:eastAsia="Times New Roman" w:hAnsi="Arial" w:cs="Times New Roman"/>
      <w:i/>
      <w:color w:val="auto"/>
      <w:szCs w:val="20"/>
      <w:lang w:val="en-US" w:eastAsia="zh-CN"/>
    </w:rPr>
  </w:style>
  <w:style w:type="paragraph" w:customStyle="1" w:styleId="Appendix4">
    <w:name w:val="Appendix 4"/>
    <w:basedOn w:val="Balk4"/>
    <w:next w:val="Normal"/>
    <w:rsid w:val="00790361"/>
    <w:pPr>
      <w:keepLines w:val="0"/>
      <w:pageBreakBefore/>
      <w:widowControl/>
      <w:spacing w:before="60" w:after="120"/>
    </w:pPr>
    <w:rPr>
      <w:rFonts w:ascii="Verdana" w:eastAsia="Times New Roman" w:hAnsi="Verdana" w:cs="Times New Roman"/>
      <w:b w:val="0"/>
      <w:i/>
      <w:iCs w:val="0"/>
      <w:smallCaps/>
      <w:color w:val="auto"/>
      <w:sz w:val="22"/>
      <w:szCs w:val="22"/>
      <w:lang w:val="en-AU" w:eastAsia="zh-CN"/>
    </w:rPr>
  </w:style>
  <w:style w:type="paragraph" w:customStyle="1" w:styleId="Bullet1">
    <w:name w:val="Bullet1"/>
    <w:basedOn w:val="NormalText"/>
    <w:rsid w:val="00790361"/>
    <w:pPr>
      <w:numPr>
        <w:numId w:val="26"/>
      </w:numPr>
      <w:tabs>
        <w:tab w:val="clear" w:pos="720"/>
      </w:tabs>
      <w:ind w:left="0" w:firstLine="0"/>
    </w:pPr>
  </w:style>
  <w:style w:type="paragraph" w:customStyle="1" w:styleId="NormalInitial">
    <w:name w:val="Normal Initial"/>
    <w:basedOn w:val="Normal"/>
    <w:next w:val="NormalText"/>
    <w:rsid w:val="00790361"/>
    <w:pPr>
      <w:spacing w:before="60" w:after="60"/>
    </w:pPr>
    <w:rPr>
      <w:kern w:val="24"/>
      <w:sz w:val="22"/>
      <w:lang w:val="en-GB" w:eastAsia="en-US"/>
    </w:rPr>
  </w:style>
  <w:style w:type="paragraph" w:customStyle="1" w:styleId="Bullet2">
    <w:name w:val="Bullet2"/>
    <w:basedOn w:val="NormalInitial"/>
    <w:rsid w:val="00790361"/>
    <w:pPr>
      <w:numPr>
        <w:ilvl w:val="1"/>
        <w:numId w:val="26"/>
      </w:numPr>
      <w:tabs>
        <w:tab w:val="left" w:pos="851"/>
      </w:tabs>
    </w:pPr>
  </w:style>
  <w:style w:type="paragraph" w:customStyle="1" w:styleId="CoverTitle">
    <w:name w:val="Cover Title"/>
    <w:basedOn w:val="Normal"/>
    <w:rsid w:val="00790361"/>
    <w:pPr>
      <w:framePr w:hSpace="181" w:wrap="notBeside" w:hAnchor="margin" w:x="2156" w:y="5671"/>
      <w:spacing w:after="60"/>
    </w:pPr>
    <w:rPr>
      <w:rFonts w:ascii="Arial Narrow" w:hAnsi="Arial Narrow"/>
      <w:b/>
      <w:smallCaps/>
      <w:kern w:val="28"/>
      <w:sz w:val="56"/>
      <w:lang w:val="en-GB" w:eastAsia="en-US"/>
    </w:rPr>
  </w:style>
  <w:style w:type="paragraph" w:customStyle="1" w:styleId="CoverType">
    <w:name w:val="Cover Type"/>
    <w:basedOn w:val="Normal"/>
    <w:rsid w:val="00790361"/>
    <w:pPr>
      <w:framePr w:hSpace="181" w:wrap="notBeside" w:hAnchor="margin" w:x="2156" w:y="5671"/>
      <w:spacing w:before="120"/>
    </w:pPr>
    <w:rPr>
      <w:rFonts w:ascii="Arial Narrow" w:hAnsi="Arial Narrow"/>
      <w:kern w:val="28"/>
      <w:sz w:val="48"/>
      <w:lang w:val="en-GB" w:eastAsia="en-US"/>
    </w:rPr>
  </w:style>
  <w:style w:type="paragraph" w:customStyle="1" w:styleId="HeadingTOC">
    <w:name w:val="Heading TOC"/>
    <w:basedOn w:val="Normal"/>
    <w:next w:val="Normal"/>
    <w:rsid w:val="00790361"/>
    <w:pPr>
      <w:keepNext/>
      <w:keepLines/>
      <w:pageBreakBefore/>
      <w:spacing w:before="680" w:after="60"/>
    </w:pPr>
    <w:rPr>
      <w:rFonts w:ascii="Century Gothic" w:hAnsi="Century Gothic"/>
      <w:caps/>
      <w:kern w:val="28"/>
      <w:sz w:val="28"/>
      <w:lang w:val="en-GB" w:eastAsia="en-US"/>
    </w:rPr>
  </w:style>
  <w:style w:type="paragraph" w:customStyle="1" w:styleId="Overview">
    <w:name w:val="Overview"/>
    <w:basedOn w:val="NormalInitial"/>
    <w:rsid w:val="00790361"/>
    <w:rPr>
      <w:b/>
      <w:i/>
      <w:sz w:val="24"/>
    </w:rPr>
  </w:style>
  <w:style w:type="paragraph" w:customStyle="1" w:styleId="ExecutiveSummarylevel2nonumber">
    <w:name w:val="Executive Summary level 2 no number"/>
    <w:basedOn w:val="ExecutiveSummarylevel2"/>
    <w:link w:val="ExecutiveSummarylevel2nonumberChar"/>
    <w:rsid w:val="00790361"/>
    <w:pPr>
      <w:ind w:left="510" w:firstLine="0"/>
    </w:pPr>
  </w:style>
  <w:style w:type="paragraph" w:customStyle="1" w:styleId="MyHeading1">
    <w:name w:val="MyHeading 1"/>
    <w:basedOn w:val="Normal"/>
    <w:rsid w:val="00790361"/>
    <w:rPr>
      <w:sz w:val="22"/>
      <w:lang w:val="en-GB" w:eastAsia="en-US"/>
    </w:rPr>
  </w:style>
  <w:style w:type="paragraph" w:customStyle="1" w:styleId="NormalItem">
    <w:name w:val="Normal Item"/>
    <w:basedOn w:val="Normal"/>
    <w:rsid w:val="00790361"/>
    <w:pPr>
      <w:numPr>
        <w:numId w:val="38"/>
      </w:numPr>
      <w:spacing w:after="240"/>
    </w:pPr>
    <w:rPr>
      <w:sz w:val="22"/>
      <w:lang w:val="en-GB" w:eastAsia="en-US"/>
    </w:rPr>
  </w:style>
  <w:style w:type="paragraph" w:customStyle="1" w:styleId="Questions">
    <w:name w:val="Questions"/>
    <w:basedOn w:val="Overview"/>
    <w:rsid w:val="00790361"/>
  </w:style>
  <w:style w:type="paragraph" w:customStyle="1" w:styleId="AppendixStyle">
    <w:name w:val="Appendix Style"/>
    <w:rsid w:val="00790361"/>
    <w:rPr>
      <w:rFonts w:ascii="Arial" w:hAnsi="Arial" w:cs="Times New Roman"/>
      <w:b/>
      <w:kern w:val="28"/>
      <w:sz w:val="26"/>
      <w:szCs w:val="26"/>
      <w:lang w:val="en-GB" w:eastAsia="en-US"/>
    </w:rPr>
  </w:style>
  <w:style w:type="paragraph" w:customStyle="1" w:styleId="HeadingTitle">
    <w:name w:val="Heading Title"/>
    <w:basedOn w:val="Balk1"/>
    <w:next w:val="Normal"/>
    <w:rsid w:val="00790361"/>
    <w:pPr>
      <w:keepLines/>
      <w:widowControl/>
      <w:spacing w:after="240"/>
    </w:pPr>
    <w:rPr>
      <w:rFonts w:ascii="Arial" w:hAnsi="Arial"/>
      <w:color w:val="auto"/>
      <w:kern w:val="28"/>
      <w:sz w:val="28"/>
      <w:szCs w:val="20"/>
      <w:lang w:val="en-GB" w:eastAsia="zh-CN"/>
    </w:rPr>
  </w:style>
  <w:style w:type="paragraph" w:styleId="HTMLAdresi">
    <w:name w:val="HTML Address"/>
    <w:basedOn w:val="Normal"/>
    <w:link w:val="HTMLAdresiChar"/>
    <w:semiHidden/>
    <w:rsid w:val="00790361"/>
    <w:rPr>
      <w:i/>
      <w:iCs/>
      <w:sz w:val="22"/>
      <w:lang w:val="en-GB" w:eastAsia="en-US"/>
    </w:rPr>
  </w:style>
  <w:style w:type="character" w:customStyle="1" w:styleId="HTMLAdresiChar">
    <w:name w:val="HTML Adresi Char"/>
    <w:basedOn w:val="VarsaylanParagrafYazTipi"/>
    <w:link w:val="HTMLAdresi"/>
    <w:semiHidden/>
    <w:rsid w:val="00790361"/>
    <w:rPr>
      <w:rFonts w:ascii="Times New Roman" w:hAnsi="Times New Roman" w:cs="Times New Roman"/>
      <w:i/>
      <w:iCs/>
      <w:sz w:val="22"/>
      <w:szCs w:val="24"/>
      <w:lang w:val="en-GB" w:eastAsia="en-US"/>
    </w:rPr>
  </w:style>
  <w:style w:type="character" w:styleId="HTMLCite">
    <w:name w:val="HTML Cite"/>
    <w:semiHidden/>
    <w:rsid w:val="00790361"/>
    <w:rPr>
      <w:i/>
      <w:iCs/>
    </w:rPr>
  </w:style>
  <w:style w:type="character" w:styleId="HTMLKodu">
    <w:name w:val="HTML Code"/>
    <w:semiHidden/>
    <w:rsid w:val="00790361"/>
    <w:rPr>
      <w:rFonts w:ascii="Courier New" w:hAnsi="Courier New" w:cs="Courier New"/>
      <w:sz w:val="20"/>
      <w:szCs w:val="20"/>
    </w:rPr>
  </w:style>
  <w:style w:type="character" w:styleId="HTMLKlavye">
    <w:name w:val="HTML Keyboard"/>
    <w:semiHidden/>
    <w:rsid w:val="00790361"/>
    <w:rPr>
      <w:rFonts w:ascii="Courier New" w:hAnsi="Courier New" w:cs="Courier New"/>
      <w:sz w:val="20"/>
      <w:szCs w:val="20"/>
    </w:rPr>
  </w:style>
  <w:style w:type="character" w:styleId="HTMLrnek">
    <w:name w:val="HTML Sample"/>
    <w:semiHidden/>
    <w:rsid w:val="00790361"/>
    <w:rPr>
      <w:rFonts w:ascii="Courier New" w:hAnsi="Courier New" w:cs="Courier New"/>
    </w:rPr>
  </w:style>
  <w:style w:type="character" w:styleId="HTMLDaktilo">
    <w:name w:val="HTML Typewriter"/>
    <w:semiHidden/>
    <w:rsid w:val="00790361"/>
    <w:rPr>
      <w:rFonts w:ascii="Courier New" w:hAnsi="Courier New" w:cs="Courier New"/>
      <w:sz w:val="20"/>
      <w:szCs w:val="20"/>
    </w:rPr>
  </w:style>
  <w:style w:type="character" w:styleId="HTMLDeiken">
    <w:name w:val="HTML Variable"/>
    <w:semiHidden/>
    <w:rsid w:val="00790361"/>
    <w:rPr>
      <w:i/>
      <w:iCs/>
    </w:rPr>
  </w:style>
  <w:style w:type="character" w:styleId="SatrNumaras">
    <w:name w:val="line number"/>
    <w:basedOn w:val="VarsaylanParagrafYazTipi"/>
    <w:semiHidden/>
    <w:rsid w:val="00790361"/>
  </w:style>
  <w:style w:type="table" w:styleId="Tablo3Befektler1">
    <w:name w:val="Table 3D effects 1"/>
    <w:basedOn w:val="NormalTablo"/>
    <w:semiHidden/>
    <w:rsid w:val="00790361"/>
    <w:pPr>
      <w:spacing w:after="240"/>
      <w:jc w:val="both"/>
    </w:pPr>
    <w:rPr>
      <w:rFonts w:ascii="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semiHidden/>
    <w:rsid w:val="00790361"/>
    <w:pPr>
      <w:spacing w:after="240"/>
      <w:jc w:val="both"/>
    </w:pPr>
    <w:rPr>
      <w:rFonts w:ascii="Times New Roman" w:hAnsi="Times New Roman" w:cs="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semiHidden/>
    <w:rsid w:val="00790361"/>
    <w:pPr>
      <w:spacing w:after="240"/>
      <w:jc w:val="both"/>
    </w:pPr>
    <w:rPr>
      <w:rFonts w:ascii="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semiHidden/>
    <w:rsid w:val="00790361"/>
    <w:pPr>
      <w:spacing w:after="240"/>
      <w:jc w:val="both"/>
    </w:pPr>
    <w:rPr>
      <w:rFonts w:ascii="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semiHidden/>
    <w:rsid w:val="00790361"/>
    <w:pPr>
      <w:spacing w:after="240"/>
      <w:jc w:val="both"/>
    </w:pPr>
    <w:rPr>
      <w:rFonts w:ascii="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semiHidden/>
    <w:rsid w:val="00790361"/>
    <w:pPr>
      <w:spacing w:after="240"/>
      <w:jc w:val="both"/>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semiHidden/>
    <w:rsid w:val="00790361"/>
    <w:pPr>
      <w:spacing w:after="240"/>
      <w:jc w:val="both"/>
    </w:pPr>
    <w:rPr>
      <w:rFonts w:ascii="Times New Roman" w:hAnsi="Times New Roman"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Renkli1">
    <w:name w:val="Table Colorful 1"/>
    <w:basedOn w:val="NormalTablo"/>
    <w:semiHidden/>
    <w:rsid w:val="00790361"/>
    <w:pPr>
      <w:spacing w:after="240"/>
      <w:jc w:val="both"/>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semiHidden/>
    <w:rsid w:val="00790361"/>
    <w:pPr>
      <w:spacing w:after="240"/>
      <w:jc w:val="both"/>
    </w:pPr>
    <w:rPr>
      <w:rFonts w:ascii="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semiHidden/>
    <w:rsid w:val="00790361"/>
    <w:pPr>
      <w:spacing w:after="240"/>
      <w:jc w:val="both"/>
    </w:pPr>
    <w:rPr>
      <w:rFonts w:ascii="Times New Roman" w:hAnsi="Times New Roman"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semiHidden/>
    <w:rsid w:val="00790361"/>
    <w:pPr>
      <w:spacing w:after="240"/>
      <w:jc w:val="both"/>
    </w:pPr>
    <w:rPr>
      <w:rFonts w:ascii="Times New Roman" w:hAnsi="Times New Roman" w:cs="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semiHidden/>
    <w:rsid w:val="00790361"/>
    <w:pPr>
      <w:spacing w:after="240"/>
      <w:jc w:val="both"/>
    </w:pPr>
    <w:rPr>
      <w:rFonts w:ascii="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semiHidden/>
    <w:rsid w:val="00790361"/>
    <w:pPr>
      <w:spacing w:after="240"/>
      <w:jc w:val="both"/>
    </w:pPr>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semiHidden/>
    <w:rsid w:val="00790361"/>
    <w:pPr>
      <w:spacing w:after="240"/>
      <w:jc w:val="both"/>
    </w:pPr>
    <w:rPr>
      <w:rFonts w:ascii="Times New Roman" w:hAnsi="Times New Roman" w:cs="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semiHidden/>
    <w:rsid w:val="00790361"/>
    <w:pPr>
      <w:spacing w:after="240"/>
      <w:jc w:val="both"/>
    </w:pPr>
    <w:rPr>
      <w:rFonts w:ascii="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ada">
    <w:name w:val="Table Contemporary"/>
    <w:basedOn w:val="NormalTablo"/>
    <w:semiHidden/>
    <w:rsid w:val="00790361"/>
    <w:pPr>
      <w:spacing w:after="240"/>
      <w:jc w:val="both"/>
    </w:pPr>
    <w:rPr>
      <w:rFonts w:ascii="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Zarif">
    <w:name w:val="Table Elegant"/>
    <w:basedOn w:val="NormalTablo"/>
    <w:semiHidden/>
    <w:rsid w:val="00790361"/>
    <w:pPr>
      <w:spacing w:after="240"/>
      <w:jc w:val="both"/>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Klavuz1">
    <w:name w:val="Table Grid 1"/>
    <w:basedOn w:val="NormalTablo"/>
    <w:semiHidden/>
    <w:rsid w:val="00790361"/>
    <w:pPr>
      <w:spacing w:after="240"/>
      <w:jc w:val="both"/>
    </w:pPr>
    <w:rPr>
      <w:rFonts w:ascii="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semiHidden/>
    <w:rsid w:val="00790361"/>
    <w:pPr>
      <w:spacing w:after="240"/>
      <w:jc w:val="both"/>
    </w:pPr>
    <w:rPr>
      <w:rFonts w:ascii="Times New Roman" w:hAnsi="Times New Roman" w:cs="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semiHidden/>
    <w:rsid w:val="00790361"/>
    <w:pPr>
      <w:spacing w:after="240"/>
      <w:jc w:val="both"/>
    </w:pPr>
    <w:rPr>
      <w:rFonts w:ascii="Times New Roman" w:hAnsi="Times New Roman"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semiHidden/>
    <w:rsid w:val="00790361"/>
    <w:pPr>
      <w:spacing w:after="240"/>
      <w:jc w:val="both"/>
    </w:pPr>
    <w:rPr>
      <w:rFonts w:ascii="Times New Roman" w:hAnsi="Times New Roman" w:cs="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semiHidden/>
    <w:rsid w:val="00790361"/>
    <w:pPr>
      <w:spacing w:after="240"/>
      <w:jc w:val="both"/>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semiHidden/>
    <w:rsid w:val="00790361"/>
    <w:pPr>
      <w:spacing w:after="240"/>
      <w:jc w:val="both"/>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semiHidden/>
    <w:rsid w:val="00790361"/>
    <w:pPr>
      <w:spacing w:after="240"/>
      <w:jc w:val="both"/>
    </w:pPr>
    <w:rPr>
      <w:rFonts w:ascii="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semiHidden/>
    <w:rsid w:val="00790361"/>
    <w:pPr>
      <w:spacing w:after="240"/>
      <w:jc w:val="both"/>
    </w:pPr>
    <w:rPr>
      <w:rFonts w:ascii="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Liste1">
    <w:name w:val="Table List 1"/>
    <w:basedOn w:val="NormalTablo"/>
    <w:semiHidden/>
    <w:rsid w:val="00790361"/>
    <w:pPr>
      <w:spacing w:after="240"/>
      <w:jc w:val="both"/>
    </w:pPr>
    <w:rPr>
      <w:rFonts w:ascii="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semiHidden/>
    <w:rsid w:val="00790361"/>
    <w:pPr>
      <w:spacing w:after="240"/>
      <w:jc w:val="both"/>
    </w:pPr>
    <w:rPr>
      <w:rFonts w:ascii="Times New Roman" w:hAnsi="Times New Roman" w:cs="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semiHidden/>
    <w:rsid w:val="00790361"/>
    <w:pPr>
      <w:spacing w:after="240"/>
      <w:jc w:val="both"/>
    </w:pPr>
    <w:rPr>
      <w:rFonts w:ascii="Times New Roman" w:hAnsi="Times New Roman" w:cs="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semiHidden/>
    <w:rsid w:val="00790361"/>
    <w:pPr>
      <w:spacing w:after="240"/>
      <w:jc w:val="both"/>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semiHidden/>
    <w:rsid w:val="00790361"/>
    <w:pPr>
      <w:spacing w:after="240"/>
      <w:jc w:val="both"/>
    </w:pPr>
    <w:rPr>
      <w:rFonts w:ascii="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semiHidden/>
    <w:rsid w:val="00790361"/>
    <w:pPr>
      <w:spacing w:after="240"/>
      <w:jc w:val="both"/>
    </w:pPr>
    <w:rPr>
      <w:rFonts w:ascii="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semiHidden/>
    <w:rsid w:val="00790361"/>
    <w:pPr>
      <w:spacing w:after="240"/>
      <w:jc w:val="both"/>
    </w:pPr>
    <w:rPr>
      <w:rFonts w:ascii="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semiHidden/>
    <w:rsid w:val="00790361"/>
    <w:pPr>
      <w:spacing w:after="240"/>
      <w:jc w:val="both"/>
    </w:pPr>
    <w:rPr>
      <w:rFonts w:ascii="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semiHidden/>
    <w:rsid w:val="00790361"/>
    <w:pPr>
      <w:spacing w:after="240"/>
      <w:jc w:val="both"/>
    </w:pPr>
    <w:rPr>
      <w:rFonts w:ascii="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Basit1">
    <w:name w:val="Table Simple 1"/>
    <w:basedOn w:val="NormalTablo"/>
    <w:semiHidden/>
    <w:rsid w:val="00790361"/>
    <w:pPr>
      <w:spacing w:after="240"/>
      <w:jc w:val="both"/>
    </w:pPr>
    <w:rPr>
      <w:rFonts w:ascii="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semiHidden/>
    <w:rsid w:val="00790361"/>
    <w:pPr>
      <w:spacing w:after="240"/>
      <w:jc w:val="both"/>
    </w:pPr>
    <w:rPr>
      <w:rFonts w:ascii="Times New Roman" w:hAnsi="Times New Roman" w:cs="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semiHidden/>
    <w:rsid w:val="00790361"/>
    <w:pPr>
      <w:spacing w:after="240"/>
      <w:jc w:val="both"/>
    </w:pPr>
    <w:rPr>
      <w:rFonts w:ascii="Times New Roman" w:hAnsi="Times New Roman" w:cs="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ltBalk1">
    <w:name w:val="Table Subtle 1"/>
    <w:basedOn w:val="NormalTablo"/>
    <w:semiHidden/>
    <w:rsid w:val="00790361"/>
    <w:pPr>
      <w:spacing w:after="240"/>
      <w:jc w:val="both"/>
    </w:pPr>
    <w:rPr>
      <w:rFonts w:ascii="Times New Roman" w:hAnsi="Times New Roman" w:cs="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semiHidden/>
    <w:rsid w:val="00790361"/>
    <w:pPr>
      <w:spacing w:after="240"/>
      <w:jc w:val="both"/>
    </w:pPr>
    <w:rPr>
      <w:rFonts w:ascii="Times New Roman" w:hAnsi="Times New Roman" w:cs="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Temas">
    <w:name w:val="Table Theme"/>
    <w:basedOn w:val="NormalTablo"/>
    <w:semiHidden/>
    <w:rsid w:val="00790361"/>
    <w:pPr>
      <w:spacing w:after="240"/>
      <w:jc w:val="both"/>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semiHidden/>
    <w:rsid w:val="00790361"/>
    <w:pPr>
      <w:spacing w:after="240"/>
      <w:jc w:val="both"/>
    </w:pPr>
    <w:rPr>
      <w:rFonts w:ascii="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semiHidden/>
    <w:rsid w:val="00790361"/>
    <w:pPr>
      <w:spacing w:after="240"/>
      <w:jc w:val="both"/>
    </w:pPr>
    <w:rPr>
      <w:rFonts w:ascii="Times New Roman"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semiHidden/>
    <w:rsid w:val="00790361"/>
    <w:pPr>
      <w:spacing w:after="240"/>
      <w:jc w:val="both"/>
    </w:pPr>
    <w:rPr>
      <w:rFonts w:ascii="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Underline">
    <w:name w:val="Underline"/>
    <w:basedOn w:val="Normal"/>
    <w:next w:val="Normal"/>
    <w:rsid w:val="00790361"/>
    <w:rPr>
      <w:sz w:val="22"/>
      <w:u w:val="single"/>
      <w:lang w:val="en-GB" w:eastAsia="en-US"/>
    </w:rPr>
  </w:style>
  <w:style w:type="paragraph" w:styleId="GvdeMetniGirintisi2">
    <w:name w:val="Body Text Indent 2"/>
    <w:basedOn w:val="Normal"/>
    <w:link w:val="GvdeMetniGirintisi2Char"/>
    <w:rsid w:val="00790361"/>
    <w:pPr>
      <w:ind w:left="2880"/>
    </w:pPr>
    <w:rPr>
      <w:rFonts w:ascii="Arial" w:hAnsi="Arial"/>
      <w:lang w:val="en-GB" w:eastAsia="en-US"/>
    </w:rPr>
  </w:style>
  <w:style w:type="character" w:customStyle="1" w:styleId="GvdeMetniGirintisi2Char">
    <w:name w:val="Gövde Metni Girintisi 2 Char"/>
    <w:basedOn w:val="VarsaylanParagrafYazTipi"/>
    <w:link w:val="GvdeMetniGirintisi2"/>
    <w:rsid w:val="00790361"/>
    <w:rPr>
      <w:rFonts w:ascii="Arial" w:hAnsi="Arial" w:cs="Times New Roman"/>
      <w:sz w:val="24"/>
      <w:szCs w:val="24"/>
      <w:lang w:val="en-GB" w:eastAsia="en-US"/>
    </w:rPr>
  </w:style>
  <w:style w:type="paragraph" w:customStyle="1" w:styleId="BodyText21">
    <w:name w:val="Body Text 21"/>
    <w:basedOn w:val="Normal"/>
    <w:rsid w:val="00790361"/>
    <w:pPr>
      <w:spacing w:before="120" w:after="240" w:line="312" w:lineRule="auto"/>
    </w:pPr>
    <w:rPr>
      <w:i/>
      <w:lang w:val="en-GB" w:eastAsia="en-US"/>
    </w:rPr>
  </w:style>
  <w:style w:type="paragraph" w:customStyle="1" w:styleId="BodyText22">
    <w:name w:val="Body Text 22"/>
    <w:basedOn w:val="Normal"/>
    <w:rsid w:val="00790361"/>
    <w:pPr>
      <w:spacing w:before="120" w:after="240" w:line="312" w:lineRule="auto"/>
      <w:ind w:left="425"/>
    </w:pPr>
    <w:rPr>
      <w:lang w:val="en-GB" w:eastAsia="en-US"/>
    </w:rPr>
  </w:style>
  <w:style w:type="paragraph" w:styleId="GvdeMetnilkGirintisi2">
    <w:name w:val="Body Text First Indent 2"/>
    <w:basedOn w:val="GvdeMetniGirintisi"/>
    <w:link w:val="GvdeMetnilkGirintisi2Char"/>
    <w:rsid w:val="00790361"/>
    <w:pPr>
      <w:spacing w:after="120"/>
      <w:ind w:left="360" w:firstLine="210"/>
    </w:pPr>
  </w:style>
  <w:style w:type="character" w:customStyle="1" w:styleId="GvdeMetnilkGirintisi2Char">
    <w:name w:val="Gövde Metni İlk Girintisi 2 Char"/>
    <w:basedOn w:val="GvdeMetniGirintisiChar"/>
    <w:link w:val="GvdeMetnilkGirintisi2"/>
    <w:rsid w:val="00790361"/>
    <w:rPr>
      <w:rFonts w:ascii="Arial" w:hAnsi="Arial" w:cs="Times New Roman"/>
      <w:sz w:val="24"/>
      <w:szCs w:val="24"/>
      <w:lang w:val="en-GB" w:eastAsia="en-US"/>
    </w:rPr>
  </w:style>
  <w:style w:type="paragraph" w:customStyle="1" w:styleId="CreateOutlineLevel">
    <w:name w:val="CreateOutlineLevel"/>
    <w:basedOn w:val="Normal"/>
    <w:rsid w:val="00790361"/>
    <w:pPr>
      <w:outlineLvl w:val="0"/>
    </w:pPr>
    <w:rPr>
      <w:sz w:val="22"/>
      <w:lang w:val="en-US" w:eastAsia="en-US"/>
    </w:rPr>
  </w:style>
  <w:style w:type="paragraph" w:customStyle="1" w:styleId="p11">
    <w:name w:val="p11"/>
    <w:basedOn w:val="Normal"/>
    <w:rsid w:val="00790361"/>
    <w:pPr>
      <w:tabs>
        <w:tab w:val="left" w:pos="900"/>
      </w:tabs>
      <w:spacing w:line="280" w:lineRule="atLeast"/>
      <w:ind w:left="540"/>
    </w:pPr>
    <w:rPr>
      <w:sz w:val="22"/>
      <w:lang w:val="it-IT" w:eastAsia="en-US"/>
    </w:rPr>
  </w:style>
  <w:style w:type="paragraph" w:customStyle="1" w:styleId="p13">
    <w:name w:val="p13"/>
    <w:basedOn w:val="Normal"/>
    <w:rsid w:val="00790361"/>
    <w:pPr>
      <w:tabs>
        <w:tab w:val="left" w:pos="720"/>
      </w:tabs>
      <w:spacing w:line="240" w:lineRule="atLeast"/>
    </w:pPr>
    <w:rPr>
      <w:sz w:val="22"/>
      <w:lang w:val="it-IT" w:eastAsia="en-US"/>
    </w:rPr>
  </w:style>
  <w:style w:type="paragraph" w:customStyle="1" w:styleId="p12">
    <w:name w:val="p12"/>
    <w:basedOn w:val="Normal"/>
    <w:rsid w:val="00790361"/>
    <w:pPr>
      <w:tabs>
        <w:tab w:val="left" w:pos="5020"/>
      </w:tabs>
      <w:spacing w:line="240" w:lineRule="atLeast"/>
      <w:ind w:left="3580"/>
    </w:pPr>
    <w:rPr>
      <w:sz w:val="22"/>
      <w:lang w:val="it-IT" w:eastAsia="en-US"/>
    </w:rPr>
  </w:style>
  <w:style w:type="paragraph" w:customStyle="1" w:styleId="p14">
    <w:name w:val="p14"/>
    <w:basedOn w:val="Normal"/>
    <w:rsid w:val="00790361"/>
    <w:pPr>
      <w:tabs>
        <w:tab w:val="left" w:pos="1280"/>
      </w:tabs>
      <w:spacing w:line="240" w:lineRule="atLeast"/>
      <w:ind w:left="160"/>
    </w:pPr>
    <w:rPr>
      <w:sz w:val="22"/>
      <w:lang w:val="it-IT" w:eastAsia="en-US"/>
    </w:rPr>
  </w:style>
  <w:style w:type="paragraph" w:customStyle="1" w:styleId="p28">
    <w:name w:val="p28"/>
    <w:basedOn w:val="Normal"/>
    <w:rsid w:val="00790361"/>
    <w:pPr>
      <w:tabs>
        <w:tab w:val="left" w:pos="520"/>
      </w:tabs>
      <w:spacing w:line="240" w:lineRule="atLeast"/>
      <w:ind w:left="920"/>
    </w:pPr>
    <w:rPr>
      <w:sz w:val="22"/>
      <w:lang w:val="it-IT" w:eastAsia="en-US"/>
    </w:rPr>
  </w:style>
  <w:style w:type="paragraph" w:customStyle="1" w:styleId="p19">
    <w:name w:val="p19"/>
    <w:basedOn w:val="Normal"/>
    <w:rsid w:val="00790361"/>
    <w:pPr>
      <w:spacing w:line="240" w:lineRule="atLeast"/>
      <w:ind w:left="144" w:hanging="288"/>
    </w:pPr>
    <w:rPr>
      <w:sz w:val="22"/>
      <w:lang w:val="it-IT" w:eastAsia="en-US"/>
    </w:rPr>
  </w:style>
  <w:style w:type="paragraph" w:customStyle="1" w:styleId="p20">
    <w:name w:val="p20"/>
    <w:basedOn w:val="Normal"/>
    <w:rsid w:val="00790361"/>
    <w:pPr>
      <w:spacing w:line="240" w:lineRule="atLeast"/>
      <w:ind w:left="100"/>
    </w:pPr>
    <w:rPr>
      <w:sz w:val="22"/>
      <w:lang w:val="it-IT" w:eastAsia="en-US"/>
    </w:rPr>
  </w:style>
  <w:style w:type="paragraph" w:customStyle="1" w:styleId="c9">
    <w:name w:val="c9"/>
    <w:basedOn w:val="Normal"/>
    <w:rsid w:val="00790361"/>
    <w:pPr>
      <w:spacing w:line="240" w:lineRule="atLeast"/>
      <w:jc w:val="center"/>
    </w:pPr>
    <w:rPr>
      <w:sz w:val="22"/>
      <w:lang w:val="it-IT" w:eastAsia="en-US"/>
    </w:rPr>
  </w:style>
  <w:style w:type="paragraph" w:customStyle="1" w:styleId="p18">
    <w:name w:val="p18"/>
    <w:basedOn w:val="Normal"/>
    <w:rsid w:val="00790361"/>
    <w:pPr>
      <w:tabs>
        <w:tab w:val="left" w:pos="840"/>
        <w:tab w:val="left" w:pos="2600"/>
      </w:tabs>
      <w:spacing w:line="240" w:lineRule="atLeast"/>
      <w:ind w:left="1152" w:hanging="1728"/>
    </w:pPr>
    <w:rPr>
      <w:sz w:val="22"/>
      <w:lang w:val="it-IT" w:eastAsia="en-US"/>
    </w:rPr>
  </w:style>
  <w:style w:type="paragraph" w:customStyle="1" w:styleId="p21">
    <w:name w:val="p21"/>
    <w:basedOn w:val="Normal"/>
    <w:rsid w:val="00790361"/>
    <w:pPr>
      <w:tabs>
        <w:tab w:val="left" w:pos="520"/>
      </w:tabs>
      <w:spacing w:line="240" w:lineRule="atLeast"/>
      <w:ind w:left="920"/>
    </w:pPr>
    <w:rPr>
      <w:sz w:val="22"/>
      <w:lang w:val="it-IT" w:eastAsia="en-US"/>
    </w:rPr>
  </w:style>
  <w:style w:type="paragraph" w:customStyle="1" w:styleId="p22">
    <w:name w:val="p22"/>
    <w:basedOn w:val="Normal"/>
    <w:rsid w:val="00790361"/>
    <w:pPr>
      <w:spacing w:line="280" w:lineRule="atLeast"/>
      <w:ind w:left="900"/>
    </w:pPr>
    <w:rPr>
      <w:sz w:val="22"/>
      <w:lang w:val="it-IT" w:eastAsia="en-US"/>
    </w:rPr>
  </w:style>
  <w:style w:type="paragraph" w:customStyle="1" w:styleId="p5">
    <w:name w:val="p5"/>
    <w:basedOn w:val="Normal"/>
    <w:rsid w:val="00790361"/>
    <w:pPr>
      <w:tabs>
        <w:tab w:val="left" w:pos="1160"/>
      </w:tabs>
      <w:spacing w:line="240" w:lineRule="atLeast"/>
      <w:ind w:left="280"/>
    </w:pPr>
    <w:rPr>
      <w:sz w:val="22"/>
      <w:lang w:val="it-IT" w:eastAsia="en-US"/>
    </w:rPr>
  </w:style>
  <w:style w:type="paragraph" w:customStyle="1" w:styleId="p6">
    <w:name w:val="p6"/>
    <w:basedOn w:val="Normal"/>
    <w:rsid w:val="00790361"/>
    <w:pPr>
      <w:tabs>
        <w:tab w:val="left" w:pos="1140"/>
        <w:tab w:val="left" w:pos="1680"/>
      </w:tabs>
      <w:spacing w:line="240" w:lineRule="atLeast"/>
      <w:ind w:left="288" w:hanging="576"/>
    </w:pPr>
    <w:rPr>
      <w:sz w:val="22"/>
      <w:lang w:val="it-IT" w:eastAsia="en-US"/>
    </w:rPr>
  </w:style>
  <w:style w:type="paragraph" w:customStyle="1" w:styleId="p4">
    <w:name w:val="p4"/>
    <w:basedOn w:val="Normal"/>
    <w:rsid w:val="00790361"/>
    <w:pPr>
      <w:tabs>
        <w:tab w:val="left" w:pos="720"/>
      </w:tabs>
      <w:spacing w:line="240" w:lineRule="atLeast"/>
    </w:pPr>
    <w:rPr>
      <w:sz w:val="22"/>
      <w:lang w:val="it-IT" w:eastAsia="en-US"/>
    </w:rPr>
  </w:style>
  <w:style w:type="paragraph" w:customStyle="1" w:styleId="p9">
    <w:name w:val="p9"/>
    <w:basedOn w:val="Normal"/>
    <w:rsid w:val="00790361"/>
    <w:pPr>
      <w:tabs>
        <w:tab w:val="left" w:pos="4680"/>
      </w:tabs>
      <w:spacing w:line="240" w:lineRule="atLeast"/>
      <w:ind w:left="3312" w:hanging="4032"/>
    </w:pPr>
    <w:rPr>
      <w:sz w:val="22"/>
      <w:lang w:val="it-IT" w:eastAsia="en-US"/>
    </w:rPr>
  </w:style>
  <w:style w:type="paragraph" w:customStyle="1" w:styleId="ExecutiveSummarylevel1nonumber">
    <w:name w:val="Executive Summary level 1 no number"/>
    <w:basedOn w:val="ExecutiveSummarylevel1"/>
    <w:link w:val="ExecutiveSummarylevel1nonumberChar"/>
    <w:rsid w:val="00790361"/>
    <w:pPr>
      <w:spacing w:after="60"/>
      <w:ind w:firstLine="0"/>
    </w:pPr>
    <w:rPr>
      <w:lang w:eastAsia="en-US"/>
    </w:rPr>
  </w:style>
  <w:style w:type="paragraph" w:customStyle="1" w:styleId="p24">
    <w:name w:val="p24"/>
    <w:basedOn w:val="Normal"/>
    <w:rsid w:val="00790361"/>
    <w:pPr>
      <w:tabs>
        <w:tab w:val="left" w:pos="540"/>
        <w:tab w:val="left" w:pos="1000"/>
      </w:tabs>
      <w:spacing w:line="240" w:lineRule="atLeast"/>
      <w:ind w:left="432" w:hanging="432"/>
    </w:pPr>
    <w:rPr>
      <w:lang w:val="it-IT" w:eastAsia="en-US"/>
    </w:rPr>
  </w:style>
  <w:style w:type="paragraph" w:customStyle="1" w:styleId="p2">
    <w:name w:val="p2"/>
    <w:basedOn w:val="Normal"/>
    <w:rsid w:val="00790361"/>
    <w:pPr>
      <w:tabs>
        <w:tab w:val="left" w:pos="1140"/>
      </w:tabs>
      <w:spacing w:line="240" w:lineRule="atLeast"/>
      <w:ind w:left="300"/>
    </w:pPr>
    <w:rPr>
      <w:lang w:val="it-IT" w:eastAsia="en-US"/>
    </w:rPr>
  </w:style>
  <w:style w:type="paragraph" w:customStyle="1" w:styleId="p7">
    <w:name w:val="p7"/>
    <w:basedOn w:val="Normal"/>
    <w:rsid w:val="00790361"/>
    <w:pPr>
      <w:spacing w:line="240" w:lineRule="atLeast"/>
      <w:ind w:left="280"/>
    </w:pPr>
    <w:rPr>
      <w:lang w:val="it-IT" w:eastAsia="en-US"/>
    </w:rPr>
  </w:style>
  <w:style w:type="paragraph" w:customStyle="1" w:styleId="p8">
    <w:name w:val="p8"/>
    <w:basedOn w:val="Normal"/>
    <w:rsid w:val="00790361"/>
    <w:pPr>
      <w:tabs>
        <w:tab w:val="left" w:pos="720"/>
      </w:tabs>
      <w:spacing w:line="240" w:lineRule="atLeast"/>
    </w:pPr>
    <w:rPr>
      <w:lang w:val="it-IT" w:eastAsia="en-US"/>
    </w:rPr>
  </w:style>
  <w:style w:type="paragraph" w:customStyle="1" w:styleId="p10">
    <w:name w:val="p10"/>
    <w:basedOn w:val="Normal"/>
    <w:rsid w:val="00790361"/>
    <w:pPr>
      <w:tabs>
        <w:tab w:val="left" w:pos="540"/>
      </w:tabs>
      <w:spacing w:line="240" w:lineRule="atLeast"/>
      <w:ind w:left="900"/>
    </w:pPr>
    <w:rPr>
      <w:lang w:val="it-IT" w:eastAsia="en-US"/>
    </w:rPr>
  </w:style>
  <w:style w:type="paragraph" w:customStyle="1" w:styleId="p15">
    <w:name w:val="p15"/>
    <w:basedOn w:val="Normal"/>
    <w:rsid w:val="00790361"/>
    <w:pPr>
      <w:tabs>
        <w:tab w:val="left" w:pos="1740"/>
      </w:tabs>
      <w:spacing w:line="240" w:lineRule="atLeast"/>
      <w:ind w:left="300"/>
    </w:pPr>
    <w:rPr>
      <w:lang w:val="it-IT" w:eastAsia="en-US"/>
    </w:rPr>
  </w:style>
  <w:style w:type="paragraph" w:customStyle="1" w:styleId="p16">
    <w:name w:val="p16"/>
    <w:basedOn w:val="Normal"/>
    <w:rsid w:val="00790361"/>
    <w:pPr>
      <w:tabs>
        <w:tab w:val="left" w:pos="280"/>
        <w:tab w:val="left" w:pos="1060"/>
      </w:tabs>
      <w:spacing w:line="240" w:lineRule="atLeast"/>
      <w:ind w:left="432" w:hanging="720"/>
    </w:pPr>
    <w:rPr>
      <w:lang w:val="it-IT" w:eastAsia="en-US"/>
    </w:rPr>
  </w:style>
  <w:style w:type="paragraph" w:customStyle="1" w:styleId="p17">
    <w:name w:val="p17"/>
    <w:basedOn w:val="Normal"/>
    <w:rsid w:val="00790361"/>
    <w:pPr>
      <w:tabs>
        <w:tab w:val="left" w:pos="1280"/>
        <w:tab w:val="left" w:pos="1540"/>
      </w:tabs>
      <w:spacing w:line="440" w:lineRule="atLeast"/>
      <w:ind w:left="144" w:firstLine="288"/>
    </w:pPr>
    <w:rPr>
      <w:lang w:val="it-IT" w:eastAsia="en-US"/>
    </w:rPr>
  </w:style>
  <w:style w:type="paragraph" w:customStyle="1" w:styleId="LearningObjectives">
    <w:name w:val="Learning Objectives"/>
    <w:basedOn w:val="Overview"/>
    <w:rsid w:val="00790361"/>
  </w:style>
  <w:style w:type="paragraph" w:customStyle="1" w:styleId="tabstandard2p">
    <w:name w:val="tab_standard_2p"/>
    <w:basedOn w:val="Normal"/>
    <w:rsid w:val="00790361"/>
    <w:pPr>
      <w:spacing w:before="40" w:after="40"/>
    </w:pPr>
    <w:rPr>
      <w:sz w:val="22"/>
      <w:lang w:val="en-GB" w:eastAsia="en-US"/>
    </w:rPr>
  </w:style>
  <w:style w:type="character" w:customStyle="1" w:styleId="ExecutiveSummarylevel1Char">
    <w:name w:val="Executive Summary level 1 Char"/>
    <w:basedOn w:val="VarsaylanParagrafYazTipi"/>
    <w:link w:val="ExecutiveSummarylevel1"/>
    <w:rsid w:val="00790361"/>
    <w:rPr>
      <w:color w:val="008000"/>
      <w:spacing w:val="-2"/>
      <w:lang w:val="en-GB"/>
    </w:rPr>
  </w:style>
  <w:style w:type="character" w:customStyle="1" w:styleId="CharChar">
    <w:name w:val="Char Char"/>
    <w:basedOn w:val="VarsaylanParagrafYazTipi"/>
    <w:rsid w:val="00790361"/>
    <w:rPr>
      <w:rFonts w:ascii="Arial" w:hAnsi="Arial"/>
      <w:b/>
      <w:sz w:val="24"/>
      <w:szCs w:val="24"/>
      <w:lang w:val="en-GB" w:eastAsia="zh-CN" w:bidi="ar-SA"/>
    </w:rPr>
  </w:style>
  <w:style w:type="paragraph" w:customStyle="1" w:styleId="ExecutiveSummarylevel1">
    <w:name w:val="Executive Summary level 1"/>
    <w:basedOn w:val="Normal"/>
    <w:link w:val="ExecutiveSummarylevel1Char"/>
    <w:rsid w:val="00790361"/>
    <w:pPr>
      <w:spacing w:after="240"/>
      <w:ind w:left="227" w:hanging="227"/>
    </w:pPr>
    <w:rPr>
      <w:color w:val="008000"/>
      <w:spacing w:val="-2"/>
      <w:sz w:val="20"/>
      <w:szCs w:val="20"/>
      <w:lang w:val="en-GB"/>
    </w:rPr>
  </w:style>
  <w:style w:type="paragraph" w:customStyle="1" w:styleId="ExecutiveSummarylevel2">
    <w:name w:val="Executive Summary level 2"/>
    <w:basedOn w:val="Normal"/>
    <w:link w:val="ExecutiveSummarylevel2Char"/>
    <w:rsid w:val="00790361"/>
    <w:pPr>
      <w:spacing w:after="240"/>
      <w:ind w:left="488" w:hanging="261"/>
    </w:pPr>
    <w:rPr>
      <w:color w:val="008000"/>
      <w:spacing w:val="-2"/>
      <w:sz w:val="20"/>
      <w:szCs w:val="20"/>
      <w:lang w:val="en-GB" w:eastAsia="en-US"/>
    </w:rPr>
  </w:style>
  <w:style w:type="paragraph" w:customStyle="1" w:styleId="CaptioncommentsCharCharCharCharCharCharCharCharCharChar">
    <w:name w:val="Caption comments Char Char Char Char Char Char Char Char Char Char"/>
    <w:basedOn w:val="Normal"/>
    <w:rsid w:val="00790361"/>
    <w:rPr>
      <w:b/>
      <w:sz w:val="22"/>
      <w:lang w:val="en-GB" w:eastAsia="en-US"/>
    </w:rPr>
  </w:style>
  <w:style w:type="paragraph" w:customStyle="1" w:styleId="Formatvorlage1">
    <w:name w:val="Formatvorlage1"/>
    <w:basedOn w:val="Normal"/>
    <w:rsid w:val="00790361"/>
    <w:pPr>
      <w:spacing w:line="360" w:lineRule="auto"/>
    </w:pPr>
    <w:rPr>
      <w:rFonts w:ascii="Arial" w:hAnsi="Arial"/>
      <w:sz w:val="22"/>
      <w:lang w:val="en-GB" w:eastAsia="en-US"/>
    </w:rPr>
  </w:style>
  <w:style w:type="paragraph" w:customStyle="1" w:styleId="ExecutiveSummarylevel3">
    <w:name w:val="Executive Summary level 3"/>
    <w:basedOn w:val="Normal"/>
    <w:rsid w:val="00790361"/>
    <w:pPr>
      <w:tabs>
        <w:tab w:val="left" w:pos="508"/>
      </w:tabs>
      <w:ind w:left="794" w:hanging="284"/>
    </w:pPr>
    <w:rPr>
      <w:color w:val="008000"/>
      <w:spacing w:val="-2"/>
      <w:sz w:val="20"/>
      <w:szCs w:val="20"/>
      <w:lang w:val="en-GB" w:eastAsia="en-US"/>
    </w:rPr>
  </w:style>
  <w:style w:type="character" w:customStyle="1" w:styleId="ExecutiveSummarylevel1nonumberChar">
    <w:name w:val="Executive Summary level 1 no number Char"/>
    <w:basedOn w:val="ExecutiveSummarylevel1Char"/>
    <w:link w:val="ExecutiveSummarylevel1nonumber"/>
    <w:rsid w:val="00790361"/>
    <w:rPr>
      <w:rFonts w:ascii="Times New Roman" w:hAnsi="Times New Roman" w:cs="Times New Roman"/>
      <w:color w:val="008000"/>
      <w:spacing w:val="-2"/>
      <w:lang w:val="en-GB" w:eastAsia="en-US"/>
    </w:rPr>
  </w:style>
  <w:style w:type="paragraph" w:customStyle="1" w:styleId="standard10">
    <w:name w:val="standard10"/>
    <w:basedOn w:val="Normal"/>
    <w:rsid w:val="00790361"/>
    <w:pPr>
      <w:spacing w:line="312" w:lineRule="auto"/>
    </w:pPr>
    <w:rPr>
      <w:lang w:val="en-GB" w:eastAsia="en-US"/>
    </w:rPr>
  </w:style>
  <w:style w:type="character" w:customStyle="1" w:styleId="ExecutiveSummarylevel2Char">
    <w:name w:val="Executive Summary level 2 Char"/>
    <w:basedOn w:val="VarsaylanParagrafYazTipi"/>
    <w:link w:val="ExecutiveSummarylevel2"/>
    <w:rsid w:val="00790361"/>
    <w:rPr>
      <w:rFonts w:ascii="Times New Roman" w:hAnsi="Times New Roman" w:cs="Times New Roman"/>
      <w:color w:val="008000"/>
      <w:spacing w:val="-2"/>
      <w:lang w:val="en-GB" w:eastAsia="en-US"/>
    </w:rPr>
  </w:style>
  <w:style w:type="character" w:customStyle="1" w:styleId="ExecutiveSummarylevel2nonumberChar">
    <w:name w:val="Executive Summary level 2 no number Char"/>
    <w:basedOn w:val="ExecutiveSummarylevel2Char"/>
    <w:link w:val="ExecutiveSummarylevel2nonumber"/>
    <w:rsid w:val="00790361"/>
    <w:rPr>
      <w:rFonts w:ascii="Times New Roman" w:hAnsi="Times New Roman" w:cs="Times New Roman"/>
      <w:color w:val="008000"/>
      <w:spacing w:val="-2"/>
      <w:lang w:val="en-GB" w:eastAsia="en-US"/>
    </w:rPr>
  </w:style>
  <w:style w:type="character" w:customStyle="1" w:styleId="CharChar1">
    <w:name w:val="Char Char1"/>
    <w:basedOn w:val="VarsaylanParagrafYazTipi"/>
    <w:rsid w:val="00790361"/>
    <w:rPr>
      <w:rFonts w:ascii="Arial" w:hAnsi="Arial"/>
      <w:lang w:val="en-GB" w:eastAsia="zh-CN" w:bidi="ar-SA"/>
    </w:rPr>
  </w:style>
  <w:style w:type="character" w:customStyle="1" w:styleId="CharChar3">
    <w:name w:val="Char Char3"/>
    <w:basedOn w:val="VarsaylanParagrafYazTipi"/>
    <w:rsid w:val="00790361"/>
    <w:rPr>
      <w:rFonts w:ascii="Arial" w:hAnsi="Arial"/>
      <w:b/>
      <w:sz w:val="22"/>
      <w:szCs w:val="24"/>
      <w:lang w:val="en-GB" w:eastAsia="zh-CN" w:bidi="ar-SA"/>
    </w:rPr>
  </w:style>
  <w:style w:type="character" w:customStyle="1" w:styleId="CharChar4">
    <w:name w:val="Char Char4"/>
    <w:basedOn w:val="VarsaylanParagrafYazTipi"/>
    <w:rsid w:val="00790361"/>
    <w:rPr>
      <w:rFonts w:ascii="Arial" w:hAnsi="Arial"/>
      <w:b/>
      <w:sz w:val="24"/>
      <w:lang w:val="en-GB" w:eastAsia="zh-CN" w:bidi="ar-SA"/>
    </w:rPr>
  </w:style>
  <w:style w:type="character" w:customStyle="1" w:styleId="CharChar5">
    <w:name w:val="Char Char5"/>
    <w:basedOn w:val="VarsaylanParagrafYazTipi"/>
    <w:rsid w:val="00790361"/>
    <w:rPr>
      <w:rFonts w:ascii="Arial" w:hAnsi="Arial"/>
      <w:b/>
      <w:sz w:val="28"/>
      <w:lang w:val="en-GB" w:eastAsia="zh-CN" w:bidi="ar-SA"/>
    </w:rPr>
  </w:style>
  <w:style w:type="character" w:customStyle="1" w:styleId="CharChar6">
    <w:name w:val="Char Char6"/>
    <w:basedOn w:val="VarsaylanParagrafYazTipi"/>
    <w:rsid w:val="00790361"/>
    <w:rPr>
      <w:rFonts w:ascii="Arial" w:hAnsi="Arial"/>
      <w:b/>
      <w:caps/>
      <w:kern w:val="28"/>
      <w:sz w:val="28"/>
      <w:lang w:val="en-GB" w:eastAsia="zh-CN" w:bidi="ar-SA"/>
    </w:rPr>
  </w:style>
  <w:style w:type="character" w:customStyle="1" w:styleId="Heading5CharChar">
    <w:name w:val="Heading 5 Char Char"/>
    <w:basedOn w:val="VarsaylanParagrafYazTipi"/>
    <w:rsid w:val="00790361"/>
    <w:rPr>
      <w:rFonts w:ascii="Arial" w:hAnsi="Arial"/>
      <w:b/>
      <w:sz w:val="22"/>
      <w:szCs w:val="24"/>
      <w:lang w:val="en-GB" w:eastAsia="zh-CN" w:bidi="ar-SA"/>
    </w:rPr>
  </w:style>
  <w:style w:type="paragraph" w:customStyle="1" w:styleId="StyleHeading1">
    <w:name w:val="Style Heading 1"/>
    <w:basedOn w:val="Balk1"/>
    <w:link w:val="StyleHeading1Char"/>
    <w:rsid w:val="00790361"/>
    <w:pPr>
      <w:keepLines/>
      <w:widowControl/>
      <w:spacing w:after="240"/>
    </w:pPr>
    <w:rPr>
      <w:rFonts w:ascii="Arial" w:hAnsi="Arial"/>
      <w:kern w:val="28"/>
      <w:sz w:val="28"/>
      <w:szCs w:val="28"/>
      <w:lang w:val="en-GB" w:eastAsia="zh-CN"/>
    </w:rPr>
  </w:style>
  <w:style w:type="paragraph" w:customStyle="1" w:styleId="StyleHeading1Blue">
    <w:name w:val="Style Heading 1 + Blue"/>
    <w:basedOn w:val="Balk1"/>
    <w:rsid w:val="00790361"/>
    <w:pPr>
      <w:keepLines/>
      <w:widowControl/>
      <w:spacing w:after="240"/>
    </w:pPr>
    <w:rPr>
      <w:rFonts w:ascii="Arial" w:hAnsi="Arial"/>
      <w:color w:val="auto"/>
      <w:kern w:val="28"/>
      <w:sz w:val="28"/>
      <w:szCs w:val="20"/>
      <w:lang w:val="en-GB" w:eastAsia="zh-CN"/>
    </w:rPr>
  </w:style>
  <w:style w:type="character" w:customStyle="1" w:styleId="StyleHeading1Char">
    <w:name w:val="Style Heading 1 Char"/>
    <w:basedOn w:val="Balk1Char"/>
    <w:link w:val="StyleHeading1"/>
    <w:rsid w:val="00790361"/>
    <w:rPr>
      <w:rFonts w:ascii="Arial" w:eastAsia="Times New Roman" w:hAnsi="Arial" w:cs="Times New Roman"/>
      <w:b/>
      <w:bCs/>
      <w:color w:val="000000"/>
      <w:kern w:val="28"/>
      <w:sz w:val="28"/>
      <w:szCs w:val="28"/>
      <w:lang w:val="en-GB" w:eastAsia="zh-CN"/>
    </w:rPr>
  </w:style>
  <w:style w:type="paragraph" w:customStyle="1" w:styleId="StyleHeading2">
    <w:name w:val="Style Heading 2"/>
    <w:basedOn w:val="Balk2"/>
    <w:link w:val="StyleHeading2Char"/>
    <w:autoRedefine/>
    <w:rsid w:val="00790361"/>
    <w:pPr>
      <w:pageBreakBefore/>
      <w:widowControl/>
      <w:spacing w:after="240"/>
    </w:pPr>
    <w:rPr>
      <w:rFonts w:ascii="Arial" w:eastAsia="Times New Roman" w:hAnsi="Arial" w:cs="Times New Roman"/>
      <w:b w:val="0"/>
      <w:color w:val="2F5496"/>
      <w:spacing w:val="2"/>
      <w:sz w:val="28"/>
      <w:szCs w:val="28"/>
      <w:lang w:val="en-GB" w:eastAsia="zh-CN"/>
    </w:rPr>
  </w:style>
  <w:style w:type="character" w:customStyle="1" w:styleId="StyleHeading2Char">
    <w:name w:val="Style Heading 2 Char"/>
    <w:basedOn w:val="Heading2Char1"/>
    <w:link w:val="StyleHeading2"/>
    <w:rsid w:val="00790361"/>
    <w:rPr>
      <w:rFonts w:ascii="Arial" w:eastAsia="Times New Roman" w:hAnsi="Arial" w:cs="Times New Roman"/>
      <w:b/>
      <w:color w:val="2F5496"/>
      <w:spacing w:val="2"/>
      <w:sz w:val="28"/>
      <w:szCs w:val="28"/>
      <w:lang w:val="en-GB" w:eastAsia="zh-CN"/>
    </w:rPr>
  </w:style>
  <w:style w:type="paragraph" w:customStyle="1" w:styleId="StyleHeading3">
    <w:name w:val="Style Heading 3"/>
    <w:basedOn w:val="Balk3"/>
    <w:link w:val="StyleHeading3Char"/>
    <w:autoRedefine/>
    <w:rsid w:val="00790361"/>
    <w:pPr>
      <w:keepLines w:val="0"/>
      <w:widowControl/>
    </w:pPr>
    <w:rPr>
      <w:rFonts w:ascii="Arial" w:eastAsia="Times New Roman" w:hAnsi="Arial" w:cs="Times New Roman"/>
      <w:b w:val="0"/>
      <w:i/>
      <w:color w:val="auto"/>
      <w:kern w:val="28"/>
      <w:lang w:val="en-GB" w:eastAsia="zh-CN"/>
    </w:rPr>
  </w:style>
  <w:style w:type="paragraph" w:customStyle="1" w:styleId="StyleHeading3Blue">
    <w:name w:val="Style Heading 3 +Blue"/>
    <w:basedOn w:val="Balk3"/>
    <w:link w:val="StyleHeading3BlueChar"/>
    <w:autoRedefine/>
    <w:rsid w:val="00790361"/>
    <w:pPr>
      <w:keepLines w:val="0"/>
      <w:widowControl/>
    </w:pPr>
    <w:rPr>
      <w:rFonts w:ascii="Arial" w:eastAsia="Times New Roman" w:hAnsi="Arial" w:cs="Times New Roman"/>
      <w:b w:val="0"/>
      <w:i/>
      <w:color w:val="0000FF"/>
      <w:kern w:val="28"/>
      <w:lang w:val="en-GB" w:eastAsia="zh-CN"/>
    </w:rPr>
  </w:style>
  <w:style w:type="character" w:customStyle="1" w:styleId="StyleHeading3BlueChar">
    <w:name w:val="Style Heading 3 +Blue Char"/>
    <w:basedOn w:val="CharChar4"/>
    <w:link w:val="StyleHeading3Blue"/>
    <w:rsid w:val="00790361"/>
    <w:rPr>
      <w:rFonts w:ascii="Arial" w:hAnsi="Arial" w:cs="Times New Roman"/>
      <w:b/>
      <w:i/>
      <w:color w:val="0000FF"/>
      <w:kern w:val="28"/>
      <w:sz w:val="24"/>
      <w:szCs w:val="24"/>
      <w:lang w:val="en-GB" w:eastAsia="zh-CN" w:bidi="ar-SA"/>
    </w:rPr>
  </w:style>
  <w:style w:type="paragraph" w:customStyle="1" w:styleId="StyleHeading3Blue0">
    <w:name w:val="Style Heading 3 Blue"/>
    <w:basedOn w:val="Balk3"/>
    <w:link w:val="StyleHeading3BlueChar0"/>
    <w:autoRedefine/>
    <w:rsid w:val="00790361"/>
    <w:pPr>
      <w:keepLines w:val="0"/>
      <w:widowControl/>
    </w:pPr>
    <w:rPr>
      <w:rFonts w:ascii="Arial" w:eastAsia="Times New Roman" w:hAnsi="Arial" w:cs="Times New Roman"/>
      <w:b w:val="0"/>
      <w:i/>
      <w:color w:val="0000FF"/>
      <w:kern w:val="28"/>
      <w:lang w:val="en-GB" w:eastAsia="zh-CN"/>
    </w:rPr>
  </w:style>
  <w:style w:type="character" w:customStyle="1" w:styleId="StyleHeading3BlueChar0">
    <w:name w:val="Style Heading 3 Blue Char"/>
    <w:basedOn w:val="CharChar4"/>
    <w:link w:val="StyleHeading3Blue0"/>
    <w:rsid w:val="00790361"/>
    <w:rPr>
      <w:rFonts w:ascii="Arial" w:hAnsi="Arial" w:cs="Times New Roman"/>
      <w:b/>
      <w:i/>
      <w:color w:val="0000FF"/>
      <w:kern w:val="28"/>
      <w:sz w:val="24"/>
      <w:szCs w:val="24"/>
      <w:lang w:val="en-GB" w:eastAsia="zh-CN" w:bidi="ar-SA"/>
    </w:rPr>
  </w:style>
  <w:style w:type="character" w:customStyle="1" w:styleId="StyleHeading3Char">
    <w:name w:val="Style Heading 3 Char"/>
    <w:basedOn w:val="CharChar4"/>
    <w:link w:val="StyleHeading3"/>
    <w:rsid w:val="00790361"/>
    <w:rPr>
      <w:rFonts w:ascii="Arial" w:hAnsi="Arial" w:cs="Times New Roman"/>
      <w:b/>
      <w:i/>
      <w:kern w:val="28"/>
      <w:sz w:val="24"/>
      <w:szCs w:val="24"/>
      <w:lang w:val="en-GB" w:eastAsia="zh-CN" w:bidi="ar-SA"/>
    </w:rPr>
  </w:style>
  <w:style w:type="paragraph" w:customStyle="1" w:styleId="StyleHeading4">
    <w:name w:val="Style Heading 4"/>
    <w:basedOn w:val="Balk4"/>
    <w:link w:val="StyleHeading4Char"/>
    <w:autoRedefine/>
    <w:rsid w:val="00790361"/>
    <w:pPr>
      <w:keepLines w:val="0"/>
      <w:widowControl/>
      <w:spacing w:after="120"/>
    </w:pPr>
    <w:rPr>
      <w:rFonts w:ascii="Arial" w:hAnsi="Arial" w:cs="Arial"/>
      <w:b w:val="0"/>
      <w:i/>
      <w:iCs w:val="0"/>
      <w:lang w:val="en-GB" w:eastAsia="zh-CN"/>
    </w:rPr>
  </w:style>
  <w:style w:type="paragraph" w:customStyle="1" w:styleId="StyleHeading40">
    <w:name w:val="Style Heading 4 +"/>
    <w:basedOn w:val="Balk4"/>
    <w:link w:val="StyleHeading4Char0"/>
    <w:autoRedefine/>
    <w:rsid w:val="00790361"/>
    <w:pPr>
      <w:keepLines w:val="0"/>
      <w:widowControl/>
      <w:spacing w:after="120"/>
    </w:pPr>
    <w:rPr>
      <w:rFonts w:ascii="Arial" w:hAnsi="Arial" w:cs="Times New Roman"/>
      <w:b w:val="0"/>
      <w:i/>
      <w:iCs w:val="0"/>
      <w:lang w:val="en-GB" w:eastAsia="zh-CN"/>
    </w:rPr>
  </w:style>
  <w:style w:type="paragraph" w:customStyle="1" w:styleId="StyleHeading4Blue">
    <w:name w:val="Style Heading 4 +  Blue"/>
    <w:basedOn w:val="Balk4"/>
    <w:link w:val="StyleHeading4BlueChar"/>
    <w:autoRedefine/>
    <w:rsid w:val="00790361"/>
    <w:pPr>
      <w:keepLines w:val="0"/>
      <w:widowControl/>
      <w:spacing w:after="120"/>
    </w:pPr>
    <w:rPr>
      <w:rFonts w:ascii="Arial" w:hAnsi="Arial" w:cs="Times New Roman"/>
      <w:b w:val="0"/>
      <w:i/>
      <w:iCs w:val="0"/>
      <w:color w:val="0000FF"/>
      <w:lang w:val="en-GB" w:eastAsia="zh-CN"/>
    </w:rPr>
  </w:style>
  <w:style w:type="character" w:customStyle="1" w:styleId="StyleHeading4BlueChar">
    <w:name w:val="Style Heading 4 +  Blue Char"/>
    <w:basedOn w:val="Balk4Char"/>
    <w:link w:val="StyleHeading4Blue"/>
    <w:rsid w:val="00790361"/>
    <w:rPr>
      <w:rFonts w:ascii="Arial" w:eastAsiaTheme="majorEastAsia" w:hAnsi="Arial" w:cs="Times New Roman"/>
      <w:b w:val="0"/>
      <w:i/>
      <w:iCs w:val="0"/>
      <w:color w:val="0000FF"/>
      <w:sz w:val="24"/>
      <w:szCs w:val="24"/>
      <w:lang w:val="en-GB" w:eastAsia="zh-CN"/>
    </w:rPr>
  </w:style>
  <w:style w:type="paragraph" w:customStyle="1" w:styleId="StyleHeading4BlueStrikethrough">
    <w:name w:val="Style Heading 4 +  Blue Strikethrough"/>
    <w:basedOn w:val="Balk4"/>
    <w:autoRedefine/>
    <w:rsid w:val="00790361"/>
    <w:pPr>
      <w:keepLines w:val="0"/>
      <w:widowControl/>
      <w:spacing w:after="120"/>
    </w:pPr>
    <w:rPr>
      <w:rFonts w:ascii="Arial" w:eastAsia="Times New Roman" w:hAnsi="Arial" w:cs="Times New Roman"/>
      <w:b w:val="0"/>
      <w:bCs/>
      <w:i/>
      <w:iCs w:val="0"/>
      <w:strike/>
      <w:color w:val="0000FF"/>
      <w:sz w:val="22"/>
      <w:szCs w:val="22"/>
      <w:lang w:val="en-GB" w:eastAsia="zh-CN"/>
    </w:rPr>
  </w:style>
  <w:style w:type="character" w:customStyle="1" w:styleId="StyleHeading4Char0">
    <w:name w:val="Style Heading 4 + Char"/>
    <w:basedOn w:val="Balk4Char"/>
    <w:link w:val="StyleHeading40"/>
    <w:rsid w:val="00790361"/>
    <w:rPr>
      <w:rFonts w:ascii="Arial" w:eastAsiaTheme="majorEastAsia" w:hAnsi="Arial" w:cs="Times New Roman"/>
      <w:b w:val="0"/>
      <w:i/>
      <w:iCs w:val="0"/>
      <w:color w:val="2E74B5" w:themeColor="accent1" w:themeShade="BF"/>
      <w:sz w:val="24"/>
      <w:szCs w:val="24"/>
      <w:lang w:val="en-GB" w:eastAsia="zh-CN"/>
    </w:rPr>
  </w:style>
  <w:style w:type="paragraph" w:customStyle="1" w:styleId="StyleHeading4TimesNewRomanBlueStrikethrough">
    <w:name w:val="Style Heading 4 + Times New Roman Blue Strikethrough"/>
    <w:basedOn w:val="Balk4"/>
    <w:link w:val="StyleHeading4TimesNewRomanBlueStrikethroughChar"/>
    <w:autoRedefine/>
    <w:rsid w:val="00790361"/>
    <w:pPr>
      <w:keepLines w:val="0"/>
      <w:widowControl/>
      <w:spacing w:after="120"/>
    </w:pPr>
    <w:rPr>
      <w:rFonts w:ascii="Arial" w:hAnsi="Arial" w:cs="Times New Roman"/>
      <w:b w:val="0"/>
      <w:i/>
      <w:iCs w:val="0"/>
      <w:strike/>
      <w:color w:val="0000FF"/>
      <w:lang w:val="en-GB" w:eastAsia="zh-CN"/>
    </w:rPr>
  </w:style>
  <w:style w:type="character" w:customStyle="1" w:styleId="StyleHeading4TimesNewRomanBlueStrikethroughChar">
    <w:name w:val="Style Heading 4 + Times New Roman Blue Strikethrough Char"/>
    <w:basedOn w:val="Balk4Char"/>
    <w:link w:val="StyleHeading4TimesNewRomanBlueStrikethrough"/>
    <w:rsid w:val="00790361"/>
    <w:rPr>
      <w:rFonts w:ascii="Arial" w:eastAsiaTheme="majorEastAsia" w:hAnsi="Arial" w:cs="Times New Roman"/>
      <w:b w:val="0"/>
      <w:i/>
      <w:iCs w:val="0"/>
      <w:strike/>
      <w:color w:val="0000FF"/>
      <w:sz w:val="24"/>
      <w:szCs w:val="24"/>
      <w:lang w:val="en-GB" w:eastAsia="zh-CN"/>
    </w:rPr>
  </w:style>
  <w:style w:type="character" w:customStyle="1" w:styleId="StyleHeading4Char">
    <w:name w:val="Style Heading 4 Char"/>
    <w:basedOn w:val="Balk4Char"/>
    <w:link w:val="StyleHeading4"/>
    <w:rsid w:val="00790361"/>
    <w:rPr>
      <w:rFonts w:ascii="Arial" w:eastAsiaTheme="majorEastAsia" w:hAnsi="Arial" w:cs="Arial"/>
      <w:b w:val="0"/>
      <w:i/>
      <w:iCs w:val="0"/>
      <w:color w:val="2E74B5" w:themeColor="accent1" w:themeShade="BF"/>
      <w:sz w:val="24"/>
      <w:szCs w:val="24"/>
      <w:lang w:val="en-GB" w:eastAsia="zh-CN"/>
    </w:rPr>
  </w:style>
  <w:style w:type="paragraph" w:customStyle="1" w:styleId="StyleHeading5">
    <w:name w:val="Style Heading 5 +"/>
    <w:basedOn w:val="Balk5"/>
    <w:link w:val="StyleHeading5Char"/>
    <w:autoRedefine/>
    <w:rsid w:val="00790361"/>
    <w:pPr>
      <w:keepLines w:val="0"/>
      <w:widowControl/>
      <w:numPr>
        <w:ilvl w:val="4"/>
      </w:numPr>
      <w:tabs>
        <w:tab w:val="left" w:pos="1701"/>
      </w:tabs>
      <w:spacing w:after="240"/>
      <w:ind w:left="1440" w:hanging="1080"/>
      <w:jc w:val="left"/>
    </w:pPr>
    <w:rPr>
      <w:rFonts w:ascii="Arial" w:hAnsi="Arial"/>
      <w:bCs/>
      <w:color w:val="0000FF"/>
      <w:lang w:val="en-GB" w:eastAsia="zh-CN"/>
    </w:rPr>
  </w:style>
  <w:style w:type="paragraph" w:customStyle="1" w:styleId="StyleHeading511pt">
    <w:name w:val="Style Heading 5 +  11 pt"/>
    <w:basedOn w:val="Balk5"/>
    <w:autoRedefine/>
    <w:rsid w:val="00790361"/>
    <w:pPr>
      <w:keepLines w:val="0"/>
      <w:widowControl/>
      <w:numPr>
        <w:ilvl w:val="4"/>
      </w:numPr>
      <w:tabs>
        <w:tab w:val="left" w:pos="1701"/>
      </w:tabs>
      <w:spacing w:after="240"/>
      <w:ind w:left="1440" w:hanging="1080"/>
      <w:jc w:val="left"/>
    </w:pPr>
    <w:rPr>
      <w:rFonts w:ascii="Arial" w:hAnsi="Arial"/>
      <w:bCs/>
      <w:color w:val="auto"/>
      <w:spacing w:val="0"/>
      <w:sz w:val="20"/>
      <w:lang w:val="en-GB" w:eastAsia="zh-CN"/>
    </w:rPr>
  </w:style>
  <w:style w:type="paragraph" w:customStyle="1" w:styleId="StyleHeading5Blue">
    <w:name w:val="Style Heading 5 +  Blue"/>
    <w:basedOn w:val="Balk5"/>
    <w:autoRedefine/>
    <w:rsid w:val="00790361"/>
    <w:pPr>
      <w:keepLines w:val="0"/>
      <w:widowControl/>
      <w:numPr>
        <w:ilvl w:val="4"/>
      </w:numPr>
      <w:tabs>
        <w:tab w:val="left" w:pos="1701"/>
      </w:tabs>
      <w:spacing w:after="240"/>
      <w:ind w:left="1440" w:hanging="1080"/>
      <w:jc w:val="left"/>
    </w:pPr>
    <w:rPr>
      <w:rFonts w:ascii="Arial" w:hAnsi="Arial"/>
      <w:bCs/>
      <w:color w:val="0000FF"/>
      <w:spacing w:val="0"/>
      <w:sz w:val="20"/>
      <w:szCs w:val="20"/>
      <w:lang w:val="en-GB" w:eastAsia="zh-CN"/>
    </w:rPr>
  </w:style>
  <w:style w:type="character" w:customStyle="1" w:styleId="StyleHeading5Char">
    <w:name w:val="Style Heading 5 + Char"/>
    <w:basedOn w:val="Heading6Char1"/>
    <w:link w:val="StyleHeading5"/>
    <w:rsid w:val="00790361"/>
    <w:rPr>
      <w:rFonts w:ascii="Arial" w:eastAsia="Times New Roman" w:hAnsi="Arial" w:cs="Times New Roman"/>
      <w:bCs/>
      <w:color w:val="0000FF"/>
      <w:spacing w:val="2"/>
      <w:sz w:val="22"/>
      <w:szCs w:val="22"/>
      <w:lang w:val="en-GB" w:eastAsia="zh-CN"/>
    </w:rPr>
  </w:style>
  <w:style w:type="paragraph" w:customStyle="1" w:styleId="StyleHeading6">
    <w:name w:val="Style Heading 6"/>
    <w:basedOn w:val="Balk6"/>
    <w:link w:val="StyleHeading6Char"/>
    <w:autoRedefine/>
    <w:rsid w:val="00790361"/>
    <w:pPr>
      <w:keepLines w:val="0"/>
      <w:widowControl/>
      <w:tabs>
        <w:tab w:val="left" w:pos="1985"/>
      </w:tabs>
      <w:spacing w:before="0" w:after="0"/>
      <w:jc w:val="left"/>
    </w:pPr>
    <w:rPr>
      <w:rFonts w:cs="Times New Roman"/>
      <w:iCs/>
      <w:lang w:val="en-GB" w:eastAsia="zh-CN"/>
    </w:rPr>
  </w:style>
  <w:style w:type="character" w:customStyle="1" w:styleId="StyleHeading6Char">
    <w:name w:val="Style Heading 6 Char"/>
    <w:basedOn w:val="Balk6Char"/>
    <w:link w:val="StyleHeading6"/>
    <w:rsid w:val="00790361"/>
    <w:rPr>
      <w:rFonts w:ascii="Arial" w:hAnsi="Arial" w:cs="Times New Roman"/>
      <w:b/>
      <w:iCs/>
      <w:spacing w:val="2"/>
      <w:szCs w:val="22"/>
      <w:lang w:val="en-GB" w:eastAsia="zh-CN"/>
    </w:rPr>
  </w:style>
  <w:style w:type="paragraph" w:customStyle="1" w:styleId="AbstractTitle">
    <w:name w:val="Abstract Title"/>
    <w:basedOn w:val="Normal"/>
    <w:next w:val="Normal"/>
    <w:rsid w:val="00790361"/>
    <w:pPr>
      <w:spacing w:before="360" w:after="180"/>
      <w:jc w:val="center"/>
    </w:pPr>
    <w:rPr>
      <w:b/>
      <w:kern w:val="24"/>
      <w:sz w:val="28"/>
      <w:lang w:val="en-GB" w:eastAsia="en-US"/>
    </w:rPr>
  </w:style>
  <w:style w:type="paragraph" w:customStyle="1" w:styleId="BodyTextKeepCharChar">
    <w:name w:val="Body Text Keep Char Char"/>
    <w:basedOn w:val="GvdeMetnia"/>
    <w:next w:val="GvdeMetnia"/>
    <w:rsid w:val="00790361"/>
    <w:pPr>
      <w:keepNext/>
      <w:widowControl/>
      <w:autoSpaceDE/>
      <w:autoSpaceDN/>
      <w:spacing w:after="240"/>
    </w:pPr>
    <w:rPr>
      <w:rFonts w:ascii="Garamond" w:hAnsi="Garamond"/>
      <w:spacing w:val="-5"/>
      <w:szCs w:val="24"/>
      <w:lang w:val="en-US"/>
    </w:rPr>
  </w:style>
  <w:style w:type="character" w:customStyle="1" w:styleId="BodyTextKeepCharCharChar">
    <w:name w:val="Body Text Keep Char Char Char"/>
    <w:basedOn w:val="VarsaylanParagrafYazTipi"/>
    <w:rsid w:val="00790361"/>
    <w:rPr>
      <w:rFonts w:ascii="Garamond" w:hAnsi="Garamond"/>
      <w:spacing w:val="-5"/>
      <w:sz w:val="24"/>
      <w:lang w:val="en-US" w:eastAsia="en-US" w:bidi="ar-SA"/>
    </w:rPr>
  </w:style>
  <w:style w:type="paragraph" w:customStyle="1" w:styleId="NormalText">
    <w:name w:val="Normal Text"/>
    <w:basedOn w:val="Normal"/>
    <w:link w:val="NormalTextChar"/>
    <w:rsid w:val="00790361"/>
    <w:pPr>
      <w:spacing w:before="60" w:after="60"/>
    </w:pPr>
    <w:rPr>
      <w:kern w:val="24"/>
      <w:sz w:val="22"/>
      <w:szCs w:val="20"/>
      <w:lang w:val="en-GB" w:eastAsia="en-US"/>
    </w:rPr>
  </w:style>
  <w:style w:type="paragraph" w:customStyle="1" w:styleId="featurecontent">
    <w:name w:val="featurecontent"/>
    <w:basedOn w:val="Normal"/>
    <w:rsid w:val="00790361"/>
    <w:pPr>
      <w:spacing w:before="100" w:beforeAutospacing="1" w:after="100" w:afterAutospacing="1"/>
    </w:pPr>
    <w:rPr>
      <w:rFonts w:ascii="Verdana" w:hAnsi="Verdana"/>
      <w:color w:val="333366"/>
      <w:sz w:val="16"/>
      <w:szCs w:val="16"/>
      <w:lang w:val="el-GR" w:eastAsia="el-GR"/>
    </w:rPr>
  </w:style>
  <w:style w:type="paragraph" w:customStyle="1" w:styleId="featureheader">
    <w:name w:val="featureheader"/>
    <w:basedOn w:val="Normal"/>
    <w:rsid w:val="00790361"/>
    <w:pPr>
      <w:spacing w:before="100" w:beforeAutospacing="1" w:after="100" w:afterAutospacing="1"/>
    </w:pPr>
    <w:rPr>
      <w:rFonts w:ascii="Verdana" w:hAnsi="Verdana"/>
      <w:b/>
      <w:bCs/>
      <w:sz w:val="19"/>
      <w:szCs w:val="19"/>
      <w:lang w:val="el-GR" w:eastAsia="el-GR"/>
    </w:rPr>
  </w:style>
  <w:style w:type="paragraph" w:customStyle="1" w:styleId="Heading3H30Char">
    <w:name w:val="Heading 3.H3.0 Char"/>
    <w:basedOn w:val="Balk1"/>
    <w:next w:val="NormalInitial"/>
    <w:rsid w:val="00790361"/>
    <w:pPr>
      <w:keepNext w:val="0"/>
      <w:keepLines/>
      <w:widowControl/>
      <w:autoSpaceDE w:val="0"/>
      <w:autoSpaceDN w:val="0"/>
      <w:spacing w:before="120" w:after="240"/>
      <w:ind w:left="567"/>
      <w:jc w:val="both"/>
      <w:outlineLvl w:val="2"/>
    </w:pPr>
    <w:rPr>
      <w:rFonts w:ascii="Arial" w:hAnsi="Arial"/>
      <w:b w:val="0"/>
      <w:color w:val="auto"/>
      <w:kern w:val="28"/>
      <w:sz w:val="28"/>
      <w:szCs w:val="24"/>
      <w:lang w:val="en-GB" w:eastAsia="el-GR"/>
    </w:rPr>
  </w:style>
  <w:style w:type="paragraph" w:customStyle="1" w:styleId="headtitle">
    <w:name w:val="headtitle"/>
    <w:basedOn w:val="Normal"/>
    <w:rsid w:val="00790361"/>
    <w:pPr>
      <w:spacing w:before="100" w:beforeAutospacing="1" w:after="100" w:afterAutospacing="1"/>
    </w:pPr>
    <w:rPr>
      <w:rFonts w:ascii="Arial" w:hAnsi="Arial" w:cs="Arial"/>
      <w:b/>
      <w:bCs/>
      <w:color w:val="000066"/>
      <w:sz w:val="21"/>
      <w:szCs w:val="21"/>
      <w:lang w:val="el-GR" w:eastAsia="el-GR"/>
    </w:rPr>
  </w:style>
  <w:style w:type="character" w:customStyle="1" w:styleId="NormalTextChar">
    <w:name w:val="Normal Text Char"/>
    <w:link w:val="NormalText"/>
    <w:rsid w:val="00790361"/>
    <w:rPr>
      <w:rFonts w:ascii="Times New Roman" w:hAnsi="Times New Roman" w:cs="Times New Roman"/>
      <w:kern w:val="24"/>
      <w:sz w:val="22"/>
      <w:lang w:val="en-GB" w:eastAsia="en-US"/>
    </w:rPr>
  </w:style>
  <w:style w:type="paragraph" w:customStyle="1" w:styleId="StyleHeading1Before0pt">
    <w:name w:val="Style Heading 1 + Before:  0 pt"/>
    <w:basedOn w:val="Balk1"/>
    <w:rsid w:val="00790361"/>
    <w:pPr>
      <w:keepLines/>
      <w:widowControl/>
      <w:spacing w:after="240"/>
    </w:pPr>
    <w:rPr>
      <w:rFonts w:ascii="Arial" w:hAnsi="Arial"/>
      <w:color w:val="auto"/>
      <w:kern w:val="28"/>
      <w:sz w:val="22"/>
      <w:szCs w:val="20"/>
      <w:lang w:val="en-GB" w:eastAsia="zh-CN"/>
    </w:rPr>
  </w:style>
  <w:style w:type="paragraph" w:customStyle="1" w:styleId="StyleHeading2Bold">
    <w:name w:val="Style Heading 2 + Bold"/>
    <w:basedOn w:val="Balk2"/>
    <w:rsid w:val="00790361"/>
    <w:pPr>
      <w:pageBreakBefore/>
      <w:widowControl/>
      <w:spacing w:after="240"/>
    </w:pPr>
    <w:rPr>
      <w:rFonts w:ascii="Arial" w:eastAsia="Times New Roman" w:hAnsi="Arial" w:cs="Times New Roman"/>
      <w:b w:val="0"/>
      <w:bCs/>
      <w:color w:val="auto"/>
      <w:sz w:val="28"/>
      <w:szCs w:val="20"/>
      <w:lang w:val="en-GB" w:eastAsia="zh-CN"/>
    </w:rPr>
  </w:style>
  <w:style w:type="paragraph" w:customStyle="1" w:styleId="StyleHeading5Before0ptAfter6pt">
    <w:name w:val="Style Heading 5 + Before:  0 pt After:  6 pt"/>
    <w:basedOn w:val="Balk5"/>
    <w:rsid w:val="00790361"/>
    <w:pPr>
      <w:keepLines w:val="0"/>
      <w:widowControl/>
      <w:numPr>
        <w:ilvl w:val="4"/>
        <w:numId w:val="40"/>
      </w:numPr>
      <w:tabs>
        <w:tab w:val="left" w:pos="1701"/>
      </w:tabs>
      <w:spacing w:after="120"/>
      <w:jc w:val="left"/>
    </w:pPr>
    <w:rPr>
      <w:rFonts w:ascii="Arial" w:hAnsi="Arial"/>
      <w:color w:val="auto"/>
      <w:spacing w:val="0"/>
      <w:sz w:val="20"/>
      <w:szCs w:val="20"/>
      <w:lang w:val="en-GB" w:eastAsia="zh-CN"/>
    </w:rPr>
  </w:style>
  <w:style w:type="paragraph" w:customStyle="1" w:styleId="StyleHeading5Left0Firstline0">
    <w:name w:val="Style Heading 5 + Left:  0&quot; First line:  0&quot;"/>
    <w:basedOn w:val="Balk5"/>
    <w:rsid w:val="00790361"/>
    <w:pPr>
      <w:keepLines w:val="0"/>
      <w:widowControl/>
      <w:numPr>
        <w:ilvl w:val="4"/>
        <w:numId w:val="41"/>
      </w:numPr>
      <w:tabs>
        <w:tab w:val="left" w:pos="1701"/>
      </w:tabs>
      <w:spacing w:before="100" w:beforeAutospacing="1" w:after="100" w:afterAutospacing="1"/>
      <w:jc w:val="left"/>
      <w:outlineLvl w:val="9"/>
    </w:pPr>
    <w:rPr>
      <w:rFonts w:ascii="Arial" w:hAnsi="Arial"/>
      <w:color w:val="auto"/>
      <w:spacing w:val="0"/>
      <w:sz w:val="20"/>
      <w:szCs w:val="20"/>
      <w:lang w:val="en-GB" w:eastAsia="zh-CN"/>
    </w:rPr>
  </w:style>
  <w:style w:type="paragraph" w:customStyle="1" w:styleId="StyleNormalTextLeft102cmFirstline0cm">
    <w:name w:val="Style Normal Text + Left:  102 cm First line:  0 cm"/>
    <w:basedOn w:val="NormalText"/>
    <w:rsid w:val="00790361"/>
    <w:pPr>
      <w:ind w:left="576"/>
    </w:pPr>
    <w:rPr>
      <w:szCs w:val="24"/>
    </w:rPr>
  </w:style>
  <w:style w:type="paragraph" w:customStyle="1" w:styleId="StyleStyleHeading5">
    <w:name w:val="Style Style Heading 5"/>
    <w:basedOn w:val="StyleHeading5Before0ptAfter6pt"/>
    <w:rsid w:val="00790361"/>
    <w:pPr>
      <w:numPr>
        <w:ilvl w:val="0"/>
        <w:numId w:val="0"/>
      </w:numPr>
    </w:pPr>
    <w:rPr>
      <w:color w:val="000000"/>
    </w:rPr>
  </w:style>
  <w:style w:type="paragraph" w:customStyle="1" w:styleId="StyleTOC1After6pt">
    <w:name w:val="Style TOC 1 + After:  6 pt"/>
    <w:basedOn w:val="T1"/>
    <w:autoRedefine/>
    <w:rsid w:val="00790361"/>
    <w:pPr>
      <w:widowControl/>
      <w:shd w:val="clear" w:color="auto" w:fill="auto"/>
      <w:tabs>
        <w:tab w:val="left" w:pos="425"/>
        <w:tab w:val="left" w:pos="480"/>
        <w:tab w:val="right" w:leader="dot" w:pos="8494"/>
        <w:tab w:val="right" w:leader="dot" w:pos="10195"/>
      </w:tabs>
      <w:spacing w:before="120" w:line="240" w:lineRule="auto"/>
      <w:ind w:left="425" w:hanging="425"/>
    </w:pPr>
    <w:rPr>
      <w:b/>
      <w:caps/>
      <w:noProof/>
      <w:sz w:val="20"/>
      <w:szCs w:val="20"/>
      <w:lang w:val="en-GB" w:eastAsia="zh-CN"/>
    </w:rPr>
  </w:style>
  <w:style w:type="paragraph" w:customStyle="1" w:styleId="TableL01">
    <w:name w:val="Table L0.1"/>
    <w:basedOn w:val="Normal"/>
    <w:rsid w:val="00790361"/>
    <w:pPr>
      <w:keepLines/>
      <w:spacing w:before="20" w:after="20"/>
      <w:ind w:left="57" w:right="57"/>
    </w:pPr>
    <w:rPr>
      <w:sz w:val="22"/>
      <w:lang w:val="en-GB" w:eastAsia="en-US"/>
    </w:rPr>
  </w:style>
  <w:style w:type="paragraph" w:customStyle="1" w:styleId="TOC232">
    <w:name w:val="TOC 232"/>
    <w:basedOn w:val="Normal"/>
    <w:rsid w:val="00790361"/>
    <w:pPr>
      <w:numPr>
        <w:ilvl w:val="1"/>
        <w:numId w:val="44"/>
      </w:numPr>
    </w:pPr>
    <w:rPr>
      <w:sz w:val="22"/>
      <w:lang w:val="en-GB" w:eastAsia="en-US"/>
    </w:rPr>
  </w:style>
  <w:style w:type="character" w:customStyle="1" w:styleId="CaptioncommentChar">
    <w:name w:val="Caption comment Char"/>
    <w:link w:val="Captioncomment"/>
    <w:rsid w:val="00790361"/>
    <w:rPr>
      <w:rFonts w:ascii="Times New Roman" w:hAnsi="Times New Roman" w:cs="Times New Roman"/>
      <w:kern w:val="24"/>
      <w:sz w:val="22"/>
      <w:szCs w:val="24"/>
      <w:lang w:val="en-GB" w:eastAsia="en-US"/>
    </w:rPr>
  </w:style>
  <w:style w:type="paragraph" w:customStyle="1" w:styleId="StyleExecutiveSummarylevel2Left09cmFirstline0cm">
    <w:name w:val="Style Executive Summary level 2 + Left:  0.9 cm First line:  0 cm"/>
    <w:basedOn w:val="ExecutiveSummarylevel2"/>
    <w:rsid w:val="00790361"/>
    <w:pPr>
      <w:spacing w:line="260" w:lineRule="exact"/>
      <w:ind w:left="510" w:firstLine="0"/>
    </w:pPr>
  </w:style>
  <w:style w:type="character" w:customStyle="1" w:styleId="TableBulletsChar">
    <w:name w:val="Table Bullets Char"/>
    <w:link w:val="TableBullets"/>
    <w:rsid w:val="00790361"/>
    <w:rPr>
      <w:rFonts w:ascii="Times New Roman" w:hAnsi="Times New Roman" w:cs="Times New Roman"/>
      <w:lang w:val="en-GB" w:eastAsia="en-GB"/>
    </w:rPr>
  </w:style>
  <w:style w:type="character" w:styleId="HTMLKsaltmas">
    <w:name w:val="HTML Acronym"/>
    <w:basedOn w:val="VarsaylanParagrafYazTipi"/>
    <w:semiHidden/>
    <w:rsid w:val="00790361"/>
  </w:style>
  <w:style w:type="character" w:customStyle="1" w:styleId="ftCarCar">
    <w:name w:val="ft Car Car"/>
    <w:basedOn w:val="VarsaylanParagrafYazTipi"/>
    <w:rsid w:val="00790361"/>
    <w:rPr>
      <w:b/>
      <w:szCs w:val="24"/>
      <w:lang w:val="en-GB" w:eastAsia="en-US" w:bidi="ar-SA"/>
    </w:rPr>
  </w:style>
  <w:style w:type="character" w:customStyle="1" w:styleId="H3Car">
    <w:name w:val="H3 Car"/>
    <w:aliases w:val="0 Car Car"/>
    <w:basedOn w:val="VarsaylanParagrafYazTipi"/>
    <w:rsid w:val="00790361"/>
    <w:rPr>
      <w:rFonts w:ascii="Arial" w:hAnsi="Arial"/>
      <w:b/>
      <w:sz w:val="24"/>
      <w:lang w:val="en-GB" w:eastAsia="zh-CN" w:bidi="ar-SA"/>
    </w:rPr>
  </w:style>
  <w:style w:type="paragraph" w:customStyle="1" w:styleId="captioncomments0">
    <w:name w:val="captioncomments"/>
    <w:basedOn w:val="Normal"/>
    <w:rsid w:val="00790361"/>
    <w:pPr>
      <w:spacing w:before="100" w:beforeAutospacing="1" w:after="100" w:afterAutospacing="1"/>
    </w:pPr>
    <w:rPr>
      <w:lang w:val="en-GB" w:eastAsia="en-GB"/>
    </w:rPr>
  </w:style>
  <w:style w:type="paragraph" w:customStyle="1" w:styleId="InsideAddress">
    <w:name w:val="Inside Address"/>
    <w:basedOn w:val="Normal"/>
    <w:rsid w:val="00790361"/>
    <w:rPr>
      <w:sz w:val="22"/>
      <w:lang w:val="en-GB" w:eastAsia="en-US"/>
    </w:rPr>
  </w:style>
  <w:style w:type="paragraph" w:customStyle="1" w:styleId="ReferenceLine">
    <w:name w:val="Reference Line"/>
    <w:basedOn w:val="GvdeMetnia"/>
    <w:rsid w:val="00790361"/>
    <w:pPr>
      <w:widowControl/>
      <w:autoSpaceDE/>
      <w:autoSpaceDN/>
      <w:spacing w:after="240"/>
    </w:pPr>
    <w:rPr>
      <w:szCs w:val="24"/>
      <w:lang w:val="en-GB"/>
    </w:rPr>
  </w:style>
  <w:style w:type="paragraph" w:customStyle="1" w:styleId="TabelTekst">
    <w:name w:val="Tabel Tekst"/>
    <w:basedOn w:val="Normal"/>
    <w:rsid w:val="00790361"/>
    <w:pPr>
      <w:keepLines/>
      <w:spacing w:line="240" w:lineRule="atLeast"/>
    </w:pPr>
    <w:rPr>
      <w:kern w:val="24"/>
      <w:sz w:val="22"/>
      <w:lang w:val="en-GB" w:eastAsia="en-US"/>
    </w:rPr>
  </w:style>
  <w:style w:type="paragraph" w:customStyle="1" w:styleId="ZCom">
    <w:name w:val="Z_Com"/>
    <w:basedOn w:val="Normal"/>
    <w:next w:val="ZDGName"/>
    <w:rsid w:val="00790361"/>
    <w:pPr>
      <w:ind w:right="85"/>
    </w:pPr>
    <w:rPr>
      <w:rFonts w:ascii="Arial" w:hAnsi="Arial"/>
      <w:snapToGrid w:val="0"/>
      <w:lang w:val="en-GB" w:eastAsia="en-US"/>
    </w:rPr>
  </w:style>
  <w:style w:type="paragraph" w:customStyle="1" w:styleId="ReferenceTable">
    <w:name w:val="Reference Table"/>
    <w:basedOn w:val="Normal"/>
    <w:rsid w:val="00790361"/>
    <w:pPr>
      <w:spacing w:after="240"/>
      <w:ind w:left="454" w:hanging="454"/>
    </w:pPr>
    <w:rPr>
      <w:rFonts w:ascii="Arial" w:hAnsi="Arial"/>
      <w:sz w:val="20"/>
      <w:lang w:val="fr-FR" w:eastAsia="en-US"/>
    </w:rPr>
  </w:style>
  <w:style w:type="paragraph" w:customStyle="1" w:styleId="ZDGName">
    <w:name w:val="Z_DGName"/>
    <w:basedOn w:val="Normal"/>
    <w:rsid w:val="00790361"/>
    <w:pPr>
      <w:ind w:right="85"/>
    </w:pPr>
    <w:rPr>
      <w:rFonts w:ascii="Arial" w:hAnsi="Arial"/>
      <w:snapToGrid w:val="0"/>
      <w:sz w:val="16"/>
      <w:lang w:val="en-GB" w:eastAsia="en-US"/>
    </w:rPr>
  </w:style>
  <w:style w:type="paragraph" w:customStyle="1" w:styleId="Tabell">
    <w:name w:val="Tabell"/>
    <w:basedOn w:val="Normal"/>
    <w:rsid w:val="00790361"/>
    <w:rPr>
      <w:rFonts w:ascii="Arial" w:hAnsi="Arial"/>
      <w:sz w:val="22"/>
      <w:lang w:val="sv-SE" w:eastAsia="en-US"/>
    </w:rPr>
  </w:style>
  <w:style w:type="paragraph" w:customStyle="1" w:styleId="Tabellen">
    <w:name w:val="Tabellen"/>
    <w:basedOn w:val="Normal"/>
    <w:rsid w:val="00790361"/>
    <w:pPr>
      <w:tabs>
        <w:tab w:val="left" w:pos="1134"/>
      </w:tabs>
      <w:spacing w:before="120"/>
    </w:pPr>
    <w:rPr>
      <w:sz w:val="22"/>
      <w:lang w:val="en-GB" w:eastAsia="en-US"/>
    </w:rPr>
  </w:style>
  <w:style w:type="paragraph" w:customStyle="1" w:styleId="Absatz">
    <w:name w:val="Absatz"/>
    <w:basedOn w:val="Normal"/>
    <w:rsid w:val="00790361"/>
    <w:pPr>
      <w:spacing w:after="240" w:line="360" w:lineRule="exact"/>
    </w:pPr>
    <w:rPr>
      <w:lang w:val="en-GB" w:eastAsia="en-US"/>
    </w:rPr>
  </w:style>
  <w:style w:type="paragraph" w:customStyle="1" w:styleId="BeschriftungB1">
    <w:name w:val="Beschriftung.B 1"/>
    <w:basedOn w:val="Normal"/>
    <w:next w:val="Normal"/>
    <w:rsid w:val="00790361"/>
    <w:pPr>
      <w:spacing w:before="60" w:after="240"/>
      <w:ind w:left="1191" w:hanging="1191"/>
    </w:pPr>
    <w:rPr>
      <w:b/>
      <w:lang w:val="en-GB" w:eastAsia="en-US"/>
    </w:rPr>
  </w:style>
  <w:style w:type="paragraph" w:customStyle="1" w:styleId="PleugerBildunterschriften">
    <w:name w:val="PleugerBildunterschriften"/>
    <w:basedOn w:val="GvdeMetnia"/>
    <w:autoRedefine/>
    <w:rsid w:val="00790361"/>
    <w:pPr>
      <w:widowControl/>
      <w:autoSpaceDE/>
      <w:autoSpaceDN/>
      <w:spacing w:before="120" w:after="240" w:line="300" w:lineRule="auto"/>
    </w:pPr>
    <w:rPr>
      <w:rFonts w:ascii="Arial" w:hAnsi="Arial"/>
      <w:szCs w:val="24"/>
      <w:lang w:val="en-GB"/>
    </w:rPr>
  </w:style>
  <w:style w:type="paragraph" w:customStyle="1" w:styleId="Quelle">
    <w:name w:val="Quelle"/>
    <w:basedOn w:val="Normal"/>
    <w:next w:val="Normal"/>
    <w:rsid w:val="00790361"/>
    <w:pPr>
      <w:spacing w:line="240" w:lineRule="atLeast"/>
    </w:pPr>
    <w:rPr>
      <w:sz w:val="22"/>
      <w:lang w:val="en-GB" w:eastAsia="en-US"/>
    </w:rPr>
  </w:style>
  <w:style w:type="paragraph" w:customStyle="1" w:styleId="Tabelle">
    <w:name w:val="Tabelle"/>
    <w:basedOn w:val="Normal"/>
    <w:rsid w:val="00790361"/>
    <w:pPr>
      <w:keepNext/>
      <w:tabs>
        <w:tab w:val="right" w:pos="720"/>
        <w:tab w:val="left" w:pos="1080"/>
      </w:tabs>
      <w:spacing w:before="40" w:after="40" w:line="240" w:lineRule="atLeast"/>
    </w:pPr>
    <w:rPr>
      <w:rFonts w:ascii="Arial" w:hAnsi="Arial"/>
      <w:sz w:val="18"/>
      <w:lang w:val="de-DE" w:eastAsia="de-DE"/>
    </w:rPr>
  </w:style>
  <w:style w:type="paragraph" w:customStyle="1" w:styleId="VR-fett-M">
    <w:name w:val="VR-fett-M"/>
    <w:basedOn w:val="Normal"/>
    <w:rsid w:val="00790361"/>
    <w:pPr>
      <w:tabs>
        <w:tab w:val="left" w:pos="1134"/>
        <w:tab w:val="left" w:pos="2268"/>
        <w:tab w:val="left" w:pos="3402"/>
        <w:tab w:val="left" w:pos="4536"/>
        <w:tab w:val="left" w:pos="5670"/>
        <w:tab w:val="left" w:pos="6804"/>
        <w:tab w:val="left" w:pos="7938"/>
        <w:tab w:val="left" w:pos="9072"/>
      </w:tabs>
    </w:pPr>
    <w:rPr>
      <w:rFonts w:ascii="Arial" w:hAnsi="Arial"/>
      <w:b/>
      <w:sz w:val="22"/>
      <w:lang w:val="de-CH" w:eastAsia="en-US"/>
    </w:rPr>
  </w:style>
  <w:style w:type="character" w:customStyle="1" w:styleId="AltbilgiChar0">
    <w:name w:val="Altbilgi Char"/>
    <w:aliases w:val="ft Char"/>
    <w:basedOn w:val="VarsaylanParagrafYazTipi"/>
    <w:link w:val="ft"/>
    <w:rsid w:val="00790361"/>
    <w:rPr>
      <w:rFonts w:ascii="Times New Roman" w:eastAsia="Calibri" w:hAnsi="Times New Roman" w:cs="Times New Roman"/>
      <w:b/>
      <w:sz w:val="24"/>
      <w:szCs w:val="24"/>
      <w:shd w:val="pct20" w:color="auto" w:fill="auto"/>
      <w:lang w:val="en-GB" w:eastAsia="en-US"/>
    </w:rPr>
  </w:style>
  <w:style w:type="table" w:customStyle="1" w:styleId="TablaWeb11">
    <w:name w:val="Tabla Web 11"/>
    <w:basedOn w:val="NormalTablo"/>
    <w:semiHidden/>
    <w:rsid w:val="00790361"/>
    <w:pPr>
      <w:spacing w:after="240"/>
      <w:jc w:val="both"/>
    </w:pPr>
    <w:rPr>
      <w:rFonts w:ascii="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Web21">
    <w:name w:val="Tabla Web 21"/>
    <w:basedOn w:val="NormalTablo"/>
    <w:semiHidden/>
    <w:rsid w:val="00790361"/>
    <w:pPr>
      <w:spacing w:after="240"/>
      <w:jc w:val="both"/>
    </w:pPr>
    <w:rPr>
      <w:rFonts w:ascii="Times New Roman"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Web31">
    <w:name w:val="Tabla Web 31"/>
    <w:basedOn w:val="NormalTablo"/>
    <w:semiHidden/>
    <w:rsid w:val="00790361"/>
    <w:pPr>
      <w:spacing w:after="240"/>
      <w:jc w:val="both"/>
    </w:pPr>
    <w:rPr>
      <w:rFonts w:ascii="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rrafomanual">
    <w:name w:val="Párrafo manual"/>
    <w:basedOn w:val="Normal"/>
    <w:rsid w:val="00790361"/>
    <w:pPr>
      <w:spacing w:after="240"/>
      <w:ind w:firstLine="567"/>
    </w:pPr>
    <w:rPr>
      <w:sz w:val="22"/>
      <w:lang w:val="en-US" w:eastAsia="en-US"/>
    </w:rPr>
  </w:style>
  <w:style w:type="paragraph" w:customStyle="1" w:styleId="Point0">
    <w:name w:val="Point 0"/>
    <w:basedOn w:val="Normal"/>
    <w:rsid w:val="00790361"/>
    <w:pPr>
      <w:spacing w:before="120" w:after="240" w:line="360" w:lineRule="auto"/>
      <w:ind w:left="850" w:hanging="850"/>
    </w:pPr>
    <w:rPr>
      <w:szCs w:val="20"/>
      <w:lang w:val="en-GB" w:eastAsia="en-US"/>
    </w:rPr>
  </w:style>
  <w:style w:type="paragraph" w:customStyle="1" w:styleId="tablebullets0">
    <w:name w:val="tablebullets"/>
    <w:basedOn w:val="Normal"/>
    <w:rsid w:val="00790361"/>
    <w:pPr>
      <w:spacing w:before="100" w:beforeAutospacing="1" w:after="100" w:afterAutospacing="1"/>
    </w:pPr>
    <w:rPr>
      <w:lang w:val="en-GB" w:eastAsia="en-GB"/>
    </w:rPr>
  </w:style>
  <w:style w:type="paragraph" w:customStyle="1" w:styleId="Captiontable">
    <w:name w:val="Caption table"/>
    <w:basedOn w:val="ResimYazs1"/>
    <w:link w:val="CaptiontableChar"/>
    <w:rsid w:val="00790361"/>
    <w:pPr>
      <w:tabs>
        <w:tab w:val="left" w:pos="1418"/>
      </w:tabs>
      <w:spacing w:after="120" w:line="240" w:lineRule="auto"/>
      <w:ind w:left="1418" w:hanging="1418"/>
      <w:contextualSpacing/>
    </w:pPr>
    <w:rPr>
      <w:rFonts w:cs="Times New Roman"/>
      <w:bCs/>
      <w:iCs w:val="0"/>
      <w:lang w:val="fr-FR"/>
    </w:rPr>
  </w:style>
  <w:style w:type="paragraph" w:customStyle="1" w:styleId="Captionpicture">
    <w:name w:val="Caption picture"/>
    <w:basedOn w:val="ResimYazs1"/>
    <w:link w:val="CaptionpictureChar"/>
    <w:rsid w:val="00790361"/>
    <w:pPr>
      <w:tabs>
        <w:tab w:val="left" w:pos="1418"/>
      </w:tabs>
      <w:spacing w:before="120" w:line="240" w:lineRule="auto"/>
      <w:ind w:left="1418" w:hanging="1418"/>
      <w:contextualSpacing/>
    </w:pPr>
    <w:rPr>
      <w:rFonts w:cs="Times New Roman"/>
      <w:bCs/>
      <w:iCs w:val="0"/>
      <w:lang w:val="fr-FR"/>
    </w:rPr>
  </w:style>
  <w:style w:type="character" w:customStyle="1" w:styleId="CaptiontableChar">
    <w:name w:val="Caption table Char"/>
    <w:basedOn w:val="ResimYazsChar"/>
    <w:link w:val="Captiontable"/>
    <w:rsid w:val="00790361"/>
    <w:rPr>
      <w:rFonts w:ascii="Times New Roman" w:eastAsiaTheme="minorHAnsi" w:hAnsi="Times New Roman" w:cs="Times New Roman"/>
      <w:b/>
      <w:bCs/>
      <w:iCs w:val="0"/>
      <w:color w:val="000000" w:themeColor="text1"/>
      <w:sz w:val="24"/>
      <w:szCs w:val="18"/>
      <w:lang w:val="fr-FR" w:eastAsia="en-US"/>
    </w:rPr>
  </w:style>
  <w:style w:type="character" w:customStyle="1" w:styleId="CaptionpictureChar">
    <w:name w:val="Caption picture Char"/>
    <w:basedOn w:val="ResimYazsChar"/>
    <w:link w:val="Captionpicture"/>
    <w:rsid w:val="00790361"/>
    <w:rPr>
      <w:rFonts w:ascii="Times New Roman" w:eastAsiaTheme="minorHAnsi" w:hAnsi="Times New Roman" w:cs="Times New Roman"/>
      <w:b/>
      <w:bCs/>
      <w:iCs w:val="0"/>
      <w:color w:val="000000" w:themeColor="text1"/>
      <w:sz w:val="24"/>
      <w:szCs w:val="18"/>
      <w:lang w:val="fr-FR" w:eastAsia="en-US"/>
    </w:rPr>
  </w:style>
  <w:style w:type="paragraph" w:customStyle="1" w:styleId="Considrant">
    <w:name w:val="Considérant"/>
    <w:basedOn w:val="Normal"/>
    <w:rsid w:val="00790361"/>
    <w:pPr>
      <w:numPr>
        <w:numId w:val="45"/>
      </w:numPr>
      <w:spacing w:before="120" w:after="240"/>
    </w:pPr>
    <w:rPr>
      <w:lang w:val="en-GB" w:eastAsia="de-DE"/>
    </w:rPr>
  </w:style>
  <w:style w:type="paragraph" w:customStyle="1" w:styleId="Fait">
    <w:name w:val="Fait à"/>
    <w:basedOn w:val="Normal"/>
    <w:next w:val="Institutionquisigne"/>
    <w:rsid w:val="00790361"/>
    <w:pPr>
      <w:keepNext/>
      <w:spacing w:before="120"/>
    </w:pPr>
    <w:rPr>
      <w:lang w:val="en-GB" w:eastAsia="de-DE"/>
    </w:rPr>
  </w:style>
  <w:style w:type="paragraph" w:customStyle="1" w:styleId="Formuledadoption">
    <w:name w:val="Formule d'adoption"/>
    <w:basedOn w:val="Normal"/>
    <w:next w:val="Titrearticle"/>
    <w:rsid w:val="00790361"/>
    <w:pPr>
      <w:keepNext/>
      <w:spacing w:before="120" w:after="240"/>
    </w:pPr>
    <w:rPr>
      <w:lang w:val="en-GB" w:eastAsia="de-DE"/>
    </w:rPr>
  </w:style>
  <w:style w:type="paragraph" w:customStyle="1" w:styleId="Institutionquiagit">
    <w:name w:val="Institution qui agit"/>
    <w:basedOn w:val="Normal"/>
    <w:next w:val="Normal"/>
    <w:rsid w:val="00790361"/>
    <w:pPr>
      <w:keepNext/>
      <w:spacing w:before="600" w:after="240"/>
    </w:pPr>
    <w:rPr>
      <w:lang w:val="en-GB" w:eastAsia="de-DE"/>
    </w:rPr>
  </w:style>
  <w:style w:type="paragraph" w:customStyle="1" w:styleId="Institutionquisigne">
    <w:name w:val="Institution qui signe"/>
    <w:basedOn w:val="Normal"/>
    <w:next w:val="Personnequisigne"/>
    <w:rsid w:val="00790361"/>
    <w:pPr>
      <w:keepNext/>
      <w:tabs>
        <w:tab w:val="left" w:pos="4252"/>
      </w:tabs>
      <w:spacing w:before="720"/>
    </w:pPr>
    <w:rPr>
      <w:i/>
      <w:lang w:val="en-GB" w:eastAsia="de-DE"/>
    </w:rPr>
  </w:style>
  <w:style w:type="paragraph" w:customStyle="1" w:styleId="Personnequisigne">
    <w:name w:val="Personne qui signe"/>
    <w:basedOn w:val="Normal"/>
    <w:next w:val="Institutionquisigne"/>
    <w:rsid w:val="00790361"/>
    <w:pPr>
      <w:tabs>
        <w:tab w:val="left" w:pos="4252"/>
      </w:tabs>
    </w:pPr>
    <w:rPr>
      <w:i/>
      <w:lang w:val="en-GB" w:eastAsia="de-DE"/>
    </w:rPr>
  </w:style>
  <w:style w:type="paragraph" w:customStyle="1" w:styleId="Sous-titreobjet">
    <w:name w:val="Sous-titre objet"/>
    <w:basedOn w:val="Normal"/>
    <w:rsid w:val="00790361"/>
    <w:pPr>
      <w:jc w:val="center"/>
    </w:pPr>
    <w:rPr>
      <w:b/>
      <w:lang w:val="en-GB" w:eastAsia="de-DE"/>
    </w:rPr>
  </w:style>
  <w:style w:type="paragraph" w:customStyle="1" w:styleId="Statut">
    <w:name w:val="Statut"/>
    <w:basedOn w:val="Normal"/>
    <w:next w:val="Typedudocument"/>
    <w:rsid w:val="00790361"/>
    <w:pPr>
      <w:spacing w:before="360"/>
      <w:jc w:val="center"/>
    </w:pPr>
    <w:rPr>
      <w:lang w:val="en-GB" w:eastAsia="de-DE"/>
    </w:rPr>
  </w:style>
  <w:style w:type="paragraph" w:customStyle="1" w:styleId="Titrearticle">
    <w:name w:val="Titre article"/>
    <w:basedOn w:val="Normal"/>
    <w:next w:val="Normal"/>
    <w:rsid w:val="00790361"/>
    <w:pPr>
      <w:keepNext/>
      <w:spacing w:before="360" w:after="240"/>
      <w:jc w:val="center"/>
    </w:pPr>
    <w:rPr>
      <w:i/>
      <w:lang w:val="en-GB" w:eastAsia="de-DE"/>
    </w:rPr>
  </w:style>
  <w:style w:type="paragraph" w:customStyle="1" w:styleId="Titreobjet">
    <w:name w:val="Titre objet"/>
    <w:basedOn w:val="Normal"/>
    <w:next w:val="Sous-titreobjet"/>
    <w:rsid w:val="00790361"/>
    <w:pPr>
      <w:spacing w:before="360" w:after="360"/>
      <w:jc w:val="center"/>
    </w:pPr>
    <w:rPr>
      <w:b/>
      <w:lang w:val="en-GB" w:eastAsia="de-DE"/>
    </w:rPr>
  </w:style>
  <w:style w:type="paragraph" w:customStyle="1" w:styleId="Typedudocument">
    <w:name w:val="Type du document"/>
    <w:basedOn w:val="Normal"/>
    <w:next w:val="Normal"/>
    <w:rsid w:val="00790361"/>
    <w:pPr>
      <w:spacing w:before="360"/>
      <w:jc w:val="center"/>
    </w:pPr>
    <w:rPr>
      <w:b/>
      <w:lang w:val="en-GB" w:eastAsia="de-DE"/>
    </w:rPr>
  </w:style>
  <w:style w:type="paragraph" w:customStyle="1" w:styleId="NumPar1">
    <w:name w:val="NumPar 1"/>
    <w:basedOn w:val="Balk1"/>
    <w:next w:val="Normal"/>
    <w:rsid w:val="00790361"/>
    <w:pPr>
      <w:keepNext w:val="0"/>
      <w:widowControl/>
      <w:tabs>
        <w:tab w:val="num" w:pos="480"/>
      </w:tabs>
      <w:spacing w:after="240"/>
      <w:ind w:left="480" w:hanging="480"/>
      <w:jc w:val="both"/>
      <w:outlineLvl w:val="9"/>
    </w:pPr>
    <w:rPr>
      <w:b w:val="0"/>
      <w:bCs w:val="0"/>
      <w:caps/>
      <w:color w:val="auto"/>
      <w:kern w:val="0"/>
      <w:szCs w:val="20"/>
      <w:lang w:val="en-GB" w:eastAsia="en-US"/>
    </w:rPr>
  </w:style>
  <w:style w:type="character" w:customStyle="1" w:styleId="st">
    <w:name w:val="st"/>
    <w:basedOn w:val="VarsaylanParagrafYazTipi"/>
    <w:rsid w:val="00790361"/>
  </w:style>
  <w:style w:type="paragraph" w:customStyle="1" w:styleId="letistBilgisi1">
    <w:name w:val="İleti Üst Bilgisi1"/>
    <w:basedOn w:val="Normal"/>
    <w:next w:val="letistBilgisi"/>
    <w:link w:val="letistBilgisiChar"/>
    <w:uiPriority w:val="99"/>
    <w:semiHidden/>
    <w:unhideWhenUsed/>
    <w:rsid w:val="0079036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rPr>
  </w:style>
  <w:style w:type="character" w:customStyle="1" w:styleId="letistBilgisiChar">
    <w:name w:val="İleti Üst Bilgisi Char"/>
    <w:basedOn w:val="VarsaylanParagrafYazTipi"/>
    <w:link w:val="letistBilgisi1"/>
    <w:uiPriority w:val="99"/>
    <w:semiHidden/>
    <w:rsid w:val="00790361"/>
    <w:rPr>
      <w:rFonts w:ascii="Calibri Light" w:eastAsia="Times New Roman" w:hAnsi="Calibri Light" w:cs="Times New Roman"/>
      <w:sz w:val="24"/>
      <w:szCs w:val="24"/>
      <w:shd w:val="pct20" w:color="auto" w:fill="auto"/>
    </w:rPr>
  </w:style>
  <w:style w:type="paragraph" w:customStyle="1" w:styleId="TBal2">
    <w:name w:val="İÇT Başlığı2"/>
    <w:basedOn w:val="Balk1"/>
    <w:next w:val="Normal"/>
    <w:uiPriority w:val="39"/>
    <w:unhideWhenUsed/>
    <w:qFormat/>
    <w:rsid w:val="00790361"/>
    <w:pPr>
      <w:keepLines/>
      <w:widowControl/>
      <w:spacing w:after="240" w:line="259" w:lineRule="auto"/>
      <w:outlineLvl w:val="9"/>
    </w:pPr>
    <w:rPr>
      <w:b w:val="0"/>
      <w:bCs w:val="0"/>
      <w:color w:val="2F5496"/>
      <w:kern w:val="0"/>
      <w:lang w:val="en-US" w:eastAsia="en-US"/>
    </w:rPr>
  </w:style>
  <w:style w:type="character" w:customStyle="1" w:styleId="fontstyle31">
    <w:name w:val="fontstyle31"/>
    <w:basedOn w:val="VarsaylanParagrafYazTipi"/>
    <w:rsid w:val="00790361"/>
    <w:rPr>
      <w:rFonts w:ascii="Calibri" w:hAnsi="Calibri" w:cs="Calibri" w:hint="default"/>
      <w:b w:val="0"/>
      <w:bCs w:val="0"/>
      <w:i w:val="0"/>
      <w:iCs w:val="0"/>
      <w:color w:val="000000"/>
      <w:sz w:val="22"/>
      <w:szCs w:val="22"/>
    </w:rPr>
  </w:style>
  <w:style w:type="character" w:customStyle="1" w:styleId="fontstyle41">
    <w:name w:val="fontstyle41"/>
    <w:basedOn w:val="VarsaylanParagrafYazTipi"/>
    <w:rsid w:val="00790361"/>
    <w:rPr>
      <w:rFonts w:ascii="TimesNewRomanPS-BoldItalicMT" w:hAnsi="TimesNewRomanPS-BoldItalicMT" w:hint="default"/>
      <w:b/>
      <w:bCs/>
      <w:i/>
      <w:iCs/>
      <w:color w:val="000000"/>
      <w:sz w:val="24"/>
      <w:szCs w:val="24"/>
    </w:rPr>
  </w:style>
  <w:style w:type="paragraph" w:customStyle="1" w:styleId="Latinnumaralandrma">
    <w:name w:val="Latin numaralandırma"/>
    <w:basedOn w:val="ListeParagraf"/>
    <w:link w:val="LatinnumaralandrmaChar"/>
    <w:qFormat/>
    <w:rsid w:val="00790361"/>
    <w:pPr>
      <w:widowControl/>
      <w:numPr>
        <w:numId w:val="46"/>
      </w:numPr>
      <w:tabs>
        <w:tab w:val="clear" w:pos="567"/>
        <w:tab w:val="num" w:pos="1080"/>
      </w:tabs>
      <w:spacing w:before="120" w:after="120" w:line="240" w:lineRule="auto"/>
    </w:pPr>
    <w:rPr>
      <w:rFonts w:eastAsia="Calibri"/>
      <w:sz w:val="24"/>
      <w:szCs w:val="24"/>
    </w:rPr>
  </w:style>
  <w:style w:type="character" w:customStyle="1" w:styleId="LatinnumaralandrmaChar">
    <w:name w:val="Latin numaralandırma Char"/>
    <w:basedOn w:val="ListeParagrafChar"/>
    <w:link w:val="Latinnumaralandrma"/>
    <w:rsid w:val="00790361"/>
    <w:rPr>
      <w:rFonts w:ascii="Times New Roman" w:eastAsia="Calibri" w:hAnsi="Times New Roman" w:cs="Times New Roman"/>
      <w:spacing w:val="2"/>
      <w:position w:val="-1"/>
      <w:sz w:val="24"/>
      <w:szCs w:val="24"/>
      <w:lang w:val="en-US" w:eastAsia="en-US"/>
    </w:rPr>
  </w:style>
  <w:style w:type="character" w:customStyle="1" w:styleId="zmlenmeyenBahsetme2">
    <w:name w:val="Çözümlenmeyen Bahsetme2"/>
    <w:basedOn w:val="VarsaylanParagrafYazTipi"/>
    <w:uiPriority w:val="99"/>
    <w:semiHidden/>
    <w:unhideWhenUsed/>
    <w:rsid w:val="00790361"/>
    <w:rPr>
      <w:color w:val="605E5C"/>
      <w:shd w:val="clear" w:color="auto" w:fill="E1DFDD"/>
    </w:rPr>
  </w:style>
  <w:style w:type="paragraph" w:styleId="letistBilgisi">
    <w:name w:val="Message Header"/>
    <w:basedOn w:val="Normal"/>
    <w:link w:val="letistBilgisiChar1"/>
    <w:uiPriority w:val="99"/>
    <w:semiHidden/>
    <w:unhideWhenUsed/>
    <w:rsid w:val="0079036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letistBilgisiChar1">
    <w:name w:val="İleti Üst Bilgisi Char1"/>
    <w:basedOn w:val="VarsaylanParagrafYazTipi"/>
    <w:link w:val="letistBilgisi"/>
    <w:uiPriority w:val="99"/>
    <w:semiHidden/>
    <w:rsid w:val="00790361"/>
    <w:rPr>
      <w:rFonts w:asciiTheme="majorHAnsi" w:eastAsiaTheme="majorEastAsia" w:hAnsiTheme="majorHAnsi" w:cstheme="majorBidi"/>
      <w:color w:val="000000"/>
      <w:sz w:val="24"/>
      <w:szCs w:val="24"/>
      <w:shd w:val="pct20" w:color="auto" w:fill="auto"/>
    </w:rPr>
  </w:style>
  <w:style w:type="numbering" w:customStyle="1" w:styleId="ListeYok10">
    <w:name w:val="Liste Yok10"/>
    <w:next w:val="ListeYok"/>
    <w:uiPriority w:val="99"/>
    <w:semiHidden/>
    <w:unhideWhenUsed/>
    <w:rsid w:val="00BB47A2"/>
  </w:style>
  <w:style w:type="table" w:customStyle="1" w:styleId="TabloKlavuzu5">
    <w:name w:val="Tablo Kılavuzu5"/>
    <w:basedOn w:val="NormalTablo"/>
    <w:next w:val="TabloKlavuzu"/>
    <w:uiPriority w:val="39"/>
    <w:rsid w:val="00BB47A2"/>
    <w:rPr>
      <w:rFonts w:ascii="Times New Roman" w:eastAsia="Calibri" w:hAnsi="Times New Roman" w:cs="Times New Roman"/>
      <w:sz w:val="24"/>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uTablo4-Vurgu511">
    <w:name w:val="Kılavuzu Tablo 4 - Vurgu 511"/>
    <w:basedOn w:val="NormalTablo"/>
    <w:uiPriority w:val="49"/>
    <w:rsid w:val="00BB47A2"/>
    <w:rPr>
      <w:rFonts w:ascii="Times New Roman" w:eastAsia="Calibri" w:hAnsi="Times New Roman" w:cs="Times New Roman"/>
      <w:sz w:val="24"/>
      <w:szCs w:val="22"/>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7Renkli-Vurgu511">
    <w:name w:val="Kılavuz Tablo 7 Renkli - Vurgu 511"/>
    <w:basedOn w:val="NormalTablo"/>
    <w:uiPriority w:val="52"/>
    <w:rsid w:val="00BB47A2"/>
    <w:rPr>
      <w:rFonts w:ascii="Times New Roman" w:eastAsia="Calibri" w:hAnsi="Times New Roman" w:cs="Times New Roman"/>
      <w:color w:val="2E74B5"/>
      <w:sz w:val="24"/>
      <w:szCs w:val="22"/>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KlavuzuTablo4-Vurgu311">
    <w:name w:val="Kılavuzu Tablo 4 - Vurgu 311"/>
    <w:basedOn w:val="NormalTablo"/>
    <w:uiPriority w:val="49"/>
    <w:rsid w:val="00BB47A2"/>
    <w:rPr>
      <w:rFonts w:ascii="Times New Roman" w:eastAsia="Calibri" w:hAnsi="Times New Roman" w:cs="Times New Roman"/>
      <w:sz w:val="24"/>
      <w:szCs w:val="22"/>
      <w:lang w:val="en-US"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1111111">
    <w:name w:val="1 / 1.1 / 1.1.11"/>
    <w:basedOn w:val="ListeYok"/>
    <w:next w:val="111111"/>
    <w:semiHidden/>
    <w:rsid w:val="00BB47A2"/>
    <w:pPr>
      <w:numPr>
        <w:numId w:val="3"/>
      </w:numPr>
    </w:pPr>
  </w:style>
  <w:style w:type="numbering" w:customStyle="1" w:styleId="Letterlist1">
    <w:name w:val="Letterlist1"/>
    <w:basedOn w:val="ListeYok"/>
    <w:rsid w:val="00BB47A2"/>
    <w:pPr>
      <w:numPr>
        <w:numId w:val="4"/>
      </w:numPr>
    </w:pPr>
  </w:style>
  <w:style w:type="numbering" w:customStyle="1" w:styleId="Numberlist1">
    <w:name w:val="Numberlist1"/>
    <w:basedOn w:val="ListeYok"/>
    <w:rsid w:val="00BB47A2"/>
  </w:style>
  <w:style w:type="numbering" w:customStyle="1" w:styleId="01FirstBullets1">
    <w:name w:val="01. First Bullets1"/>
    <w:basedOn w:val="ListeYok"/>
    <w:rsid w:val="00BB47A2"/>
    <w:pPr>
      <w:numPr>
        <w:numId w:val="123"/>
      </w:numPr>
    </w:pPr>
  </w:style>
  <w:style w:type="numbering" w:customStyle="1" w:styleId="02SecondBullets1">
    <w:name w:val="02. Second Bullets1"/>
    <w:basedOn w:val="ListeYok"/>
    <w:rsid w:val="00BB47A2"/>
    <w:pPr>
      <w:numPr>
        <w:numId w:val="1"/>
      </w:numPr>
    </w:pPr>
  </w:style>
  <w:style w:type="numbering" w:customStyle="1" w:styleId="03ThirdBullet1">
    <w:name w:val="03. Third Bullet1"/>
    <w:rsid w:val="00BB47A2"/>
    <w:pPr>
      <w:numPr>
        <w:numId w:val="2"/>
      </w:numPr>
    </w:pPr>
  </w:style>
  <w:style w:type="numbering" w:customStyle="1" w:styleId="StyleNumbered1">
    <w:name w:val="Style Numbered1"/>
    <w:basedOn w:val="ListeYok"/>
    <w:rsid w:val="00BB47A2"/>
    <w:pPr>
      <w:numPr>
        <w:numId w:val="11"/>
      </w:numPr>
    </w:pPr>
  </w:style>
  <w:style w:type="character" w:customStyle="1" w:styleId="Heading3Char">
    <w:name w:val="Heading 3 Char"/>
    <w:basedOn w:val="VarsaylanParagrafYazTipi"/>
    <w:rsid w:val="00BB47A2"/>
    <w:rPr>
      <w:rFonts w:ascii="Arial" w:hAnsi="Arial"/>
      <w:b/>
      <w:sz w:val="24"/>
      <w:lang w:val="en-GB" w:eastAsia="zh-CN" w:bidi="ar-SA"/>
    </w:rPr>
  </w:style>
  <w:style w:type="character" w:customStyle="1" w:styleId="Heading2Char">
    <w:name w:val="Heading 2 Char"/>
    <w:basedOn w:val="VarsaylanParagrafYazTipi"/>
    <w:rsid w:val="00BB47A2"/>
    <w:rPr>
      <w:rFonts w:ascii="Arial" w:hAnsi="Arial"/>
      <w:b/>
      <w:sz w:val="28"/>
      <w:szCs w:val="24"/>
      <w:lang w:val="en-GB" w:eastAsia="en-US" w:bidi="ar-SA"/>
    </w:rPr>
  </w:style>
  <w:style w:type="paragraph" w:customStyle="1" w:styleId="Altyaz2">
    <w:name w:val="Altyazı2"/>
    <w:basedOn w:val="Normal"/>
    <w:next w:val="Normal"/>
    <w:uiPriority w:val="11"/>
    <w:qFormat/>
    <w:rsid w:val="00BB47A2"/>
    <w:pPr>
      <w:numPr>
        <w:ilvl w:val="1"/>
      </w:numPr>
      <w:spacing w:after="160" w:line="276" w:lineRule="auto"/>
      <w:jc w:val="both"/>
    </w:pPr>
    <w:rPr>
      <w:rFonts w:ascii="Calibri" w:hAnsi="Calibri"/>
      <w:color w:val="5A5A5A"/>
      <w:spacing w:val="15"/>
      <w:sz w:val="22"/>
      <w:szCs w:val="22"/>
      <w:lang w:eastAsia="en-US"/>
    </w:rPr>
  </w:style>
  <w:style w:type="character" w:customStyle="1" w:styleId="AltyazChar">
    <w:name w:val="Altyazı Char"/>
    <w:basedOn w:val="VarsaylanParagrafYazTipi"/>
    <w:link w:val="Altyaz"/>
    <w:uiPriority w:val="11"/>
    <w:rsid w:val="00BB47A2"/>
    <w:rPr>
      <w:rFonts w:ascii="Calibri" w:eastAsia="Times New Roman" w:hAnsi="Calibri"/>
      <w:color w:val="5A5A5A"/>
      <w:spacing w:val="15"/>
      <w:sz w:val="22"/>
      <w:lang w:val="tr-TR"/>
    </w:rPr>
  </w:style>
  <w:style w:type="paragraph" w:styleId="Altyaz">
    <w:name w:val="Subtitle"/>
    <w:basedOn w:val="Normal"/>
    <w:next w:val="Normal"/>
    <w:link w:val="AltyazChar"/>
    <w:uiPriority w:val="11"/>
    <w:qFormat/>
    <w:rsid w:val="00BB47A2"/>
    <w:pPr>
      <w:widowControl w:val="0"/>
      <w:numPr>
        <w:ilvl w:val="1"/>
      </w:numPr>
      <w:spacing w:after="160" w:line="276" w:lineRule="auto"/>
      <w:jc w:val="both"/>
    </w:pPr>
    <w:rPr>
      <w:rFonts w:ascii="Calibri" w:hAnsi="Calibri" w:cs="Courier New"/>
      <w:color w:val="5A5A5A"/>
      <w:spacing w:val="15"/>
      <w:sz w:val="22"/>
      <w:szCs w:val="20"/>
    </w:rPr>
  </w:style>
  <w:style w:type="character" w:customStyle="1" w:styleId="AltyazChar1">
    <w:name w:val="Altyazı Char1"/>
    <w:basedOn w:val="VarsaylanParagrafYazTipi"/>
    <w:uiPriority w:val="11"/>
    <w:rsid w:val="00BB47A2"/>
    <w:rPr>
      <w:rFonts w:asciiTheme="minorHAnsi" w:eastAsiaTheme="minorEastAsia" w:hAnsiTheme="minorHAnsi" w:cstheme="minorBidi"/>
      <w:color w:val="5A5A5A" w:themeColor="text1" w:themeTint="A5"/>
      <w:spacing w:val="15"/>
      <w:sz w:val="22"/>
      <w:szCs w:val="22"/>
    </w:rPr>
  </w:style>
  <w:style w:type="numbering" w:customStyle="1" w:styleId="ListeYok12">
    <w:name w:val="Liste Yok12"/>
    <w:next w:val="ListeYok"/>
    <w:uiPriority w:val="99"/>
    <w:semiHidden/>
    <w:unhideWhenUsed/>
    <w:rsid w:val="00BB47A2"/>
  </w:style>
  <w:style w:type="table" w:customStyle="1" w:styleId="TabloKlavuzu6">
    <w:name w:val="Tablo Kılavuzu6"/>
    <w:basedOn w:val="NormalTablo"/>
    <w:next w:val="TabloKlavuzu"/>
    <w:rsid w:val="00BB47A2"/>
    <w:rPr>
      <w:rFonts w:ascii="Times New Roman" w:eastAsia="Calibri" w:hAnsi="Times New Roman" w:cs="Times New Roman"/>
      <w:sz w:val="24"/>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uTablo4-Vurgu512">
    <w:name w:val="Kılavuzu Tablo 4 - Vurgu 512"/>
    <w:basedOn w:val="NormalTablo"/>
    <w:uiPriority w:val="49"/>
    <w:rsid w:val="00BB47A2"/>
    <w:rPr>
      <w:rFonts w:ascii="Times New Roman" w:eastAsia="Calibri" w:hAnsi="Times New Roman" w:cs="Times New Roman"/>
      <w:sz w:val="24"/>
      <w:szCs w:val="22"/>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7Renkli-Vurgu512">
    <w:name w:val="Kılavuz Tablo 7 Renkli - Vurgu 512"/>
    <w:basedOn w:val="NormalTablo"/>
    <w:uiPriority w:val="52"/>
    <w:rsid w:val="00BB47A2"/>
    <w:rPr>
      <w:rFonts w:ascii="Times New Roman" w:eastAsia="Calibri" w:hAnsi="Times New Roman" w:cs="Times New Roman"/>
      <w:color w:val="2E74B5"/>
      <w:sz w:val="24"/>
      <w:szCs w:val="22"/>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KlavuzuTablo4-Vurgu312">
    <w:name w:val="Kılavuzu Tablo 4 - Vurgu 312"/>
    <w:basedOn w:val="NormalTablo"/>
    <w:uiPriority w:val="49"/>
    <w:rsid w:val="00BB47A2"/>
    <w:rPr>
      <w:rFonts w:ascii="Times New Roman" w:eastAsia="Calibri" w:hAnsi="Times New Roman" w:cs="Times New Roman"/>
      <w:sz w:val="24"/>
      <w:szCs w:val="22"/>
      <w:lang w:val="en-US"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1111112">
    <w:name w:val="1 / 1.1 / 1.1.12"/>
    <w:basedOn w:val="ListeYok"/>
    <w:next w:val="111111"/>
    <w:semiHidden/>
    <w:rsid w:val="00BB47A2"/>
    <w:pPr>
      <w:numPr>
        <w:numId w:val="8"/>
      </w:numPr>
    </w:pPr>
  </w:style>
  <w:style w:type="numbering" w:customStyle="1" w:styleId="Letterlist2">
    <w:name w:val="Letterlist2"/>
    <w:basedOn w:val="ListeYok"/>
    <w:rsid w:val="00BB47A2"/>
    <w:pPr>
      <w:numPr>
        <w:numId w:val="10"/>
      </w:numPr>
    </w:pPr>
  </w:style>
  <w:style w:type="numbering" w:customStyle="1" w:styleId="Numberlist2">
    <w:name w:val="Numberlist2"/>
    <w:basedOn w:val="ListeYok"/>
    <w:rsid w:val="00BB47A2"/>
    <w:pPr>
      <w:numPr>
        <w:numId w:val="13"/>
      </w:numPr>
    </w:pPr>
  </w:style>
  <w:style w:type="numbering" w:customStyle="1" w:styleId="01FirstBullets2">
    <w:name w:val="01. First Bullets2"/>
    <w:basedOn w:val="ListeYok"/>
    <w:rsid w:val="00BB47A2"/>
    <w:pPr>
      <w:numPr>
        <w:numId w:val="5"/>
      </w:numPr>
    </w:pPr>
  </w:style>
  <w:style w:type="numbering" w:customStyle="1" w:styleId="02SecondBullets2">
    <w:name w:val="02. Second Bullets2"/>
    <w:basedOn w:val="ListeYok"/>
    <w:rsid w:val="00BB47A2"/>
    <w:pPr>
      <w:numPr>
        <w:numId w:val="6"/>
      </w:numPr>
    </w:pPr>
  </w:style>
  <w:style w:type="numbering" w:customStyle="1" w:styleId="03ThirdBullet2">
    <w:name w:val="03. Third Bullet2"/>
    <w:rsid w:val="00BB47A2"/>
    <w:pPr>
      <w:numPr>
        <w:numId w:val="7"/>
      </w:numPr>
    </w:pPr>
  </w:style>
  <w:style w:type="numbering" w:customStyle="1" w:styleId="StyleNumbered2">
    <w:name w:val="Style Numbered2"/>
    <w:basedOn w:val="ListeYok"/>
    <w:rsid w:val="00BB47A2"/>
    <w:pPr>
      <w:numPr>
        <w:numId w:val="14"/>
      </w:numPr>
    </w:pPr>
  </w:style>
  <w:style w:type="numbering" w:customStyle="1" w:styleId="GeerliListe1">
    <w:name w:val="Geçerli Liste1"/>
    <w:uiPriority w:val="99"/>
    <w:rsid w:val="00A278CB"/>
    <w:pPr>
      <w:numPr>
        <w:numId w:val="59"/>
      </w:numPr>
    </w:pPr>
  </w:style>
  <w:style w:type="numbering" w:customStyle="1" w:styleId="GeerliListe2">
    <w:name w:val="Geçerli Liste2"/>
    <w:uiPriority w:val="99"/>
    <w:rsid w:val="00A278CB"/>
    <w:pPr>
      <w:numPr>
        <w:numId w:val="60"/>
      </w:numPr>
    </w:pPr>
  </w:style>
  <w:style w:type="numbering" w:customStyle="1" w:styleId="GeerliListe3">
    <w:name w:val="Geçerli Liste3"/>
    <w:uiPriority w:val="99"/>
    <w:rsid w:val="00A278CB"/>
    <w:pPr>
      <w:numPr>
        <w:numId w:val="61"/>
      </w:numPr>
    </w:pPr>
  </w:style>
  <w:style w:type="numbering" w:customStyle="1" w:styleId="GeerliListe4">
    <w:name w:val="Geçerli Liste4"/>
    <w:uiPriority w:val="99"/>
    <w:rsid w:val="00A278CB"/>
    <w:pPr>
      <w:numPr>
        <w:numId w:val="62"/>
      </w:numPr>
    </w:pPr>
  </w:style>
  <w:style w:type="numbering" w:customStyle="1" w:styleId="GeerliListe5">
    <w:name w:val="Geçerli Liste5"/>
    <w:uiPriority w:val="99"/>
    <w:rsid w:val="00A278CB"/>
    <w:pPr>
      <w:numPr>
        <w:numId w:val="64"/>
      </w:numPr>
    </w:pPr>
  </w:style>
  <w:style w:type="numbering" w:customStyle="1" w:styleId="GeerliListe6">
    <w:name w:val="Geçerli Liste6"/>
    <w:uiPriority w:val="99"/>
    <w:rsid w:val="00A278CB"/>
    <w:pPr>
      <w:numPr>
        <w:numId w:val="65"/>
      </w:numPr>
    </w:pPr>
  </w:style>
  <w:style w:type="numbering" w:customStyle="1" w:styleId="GeerliListe7">
    <w:name w:val="Geçerli Liste7"/>
    <w:uiPriority w:val="99"/>
    <w:rsid w:val="00A06578"/>
    <w:pPr>
      <w:numPr>
        <w:numId w:val="67"/>
      </w:numPr>
    </w:pPr>
  </w:style>
  <w:style w:type="numbering" w:customStyle="1" w:styleId="GeerliListe8">
    <w:name w:val="Geçerli Liste8"/>
    <w:uiPriority w:val="99"/>
    <w:rsid w:val="00A06578"/>
    <w:pPr>
      <w:numPr>
        <w:numId w:val="68"/>
      </w:numPr>
    </w:pPr>
  </w:style>
  <w:style w:type="numbering" w:customStyle="1" w:styleId="GeerliListe9">
    <w:name w:val="Geçerli Liste9"/>
    <w:uiPriority w:val="99"/>
    <w:rsid w:val="00A06578"/>
    <w:pPr>
      <w:numPr>
        <w:numId w:val="69"/>
      </w:numPr>
    </w:pPr>
  </w:style>
  <w:style w:type="numbering" w:customStyle="1" w:styleId="GeerliListe10">
    <w:name w:val="Geçerli Liste10"/>
    <w:uiPriority w:val="99"/>
    <w:rsid w:val="007200B5"/>
    <w:pPr>
      <w:numPr>
        <w:numId w:val="70"/>
      </w:numPr>
    </w:pPr>
  </w:style>
  <w:style w:type="numbering" w:customStyle="1" w:styleId="GeerliListe11">
    <w:name w:val="Geçerli Liste11"/>
    <w:uiPriority w:val="99"/>
    <w:rsid w:val="00686E8D"/>
    <w:pPr>
      <w:numPr>
        <w:numId w:val="71"/>
      </w:numPr>
    </w:pPr>
  </w:style>
  <w:style w:type="numbering" w:customStyle="1" w:styleId="GeerliListe12">
    <w:name w:val="Geçerli Liste12"/>
    <w:uiPriority w:val="99"/>
    <w:rsid w:val="00686E8D"/>
    <w:pPr>
      <w:numPr>
        <w:numId w:val="72"/>
      </w:numPr>
    </w:pPr>
  </w:style>
  <w:style w:type="numbering" w:customStyle="1" w:styleId="GeerliListe13">
    <w:name w:val="Geçerli Liste13"/>
    <w:uiPriority w:val="99"/>
    <w:rsid w:val="00093D96"/>
    <w:pPr>
      <w:numPr>
        <w:numId w:val="85"/>
      </w:numPr>
    </w:pPr>
  </w:style>
  <w:style w:type="numbering" w:customStyle="1" w:styleId="GeerliListe14">
    <w:name w:val="Geçerli Liste14"/>
    <w:uiPriority w:val="99"/>
    <w:rsid w:val="003F09E6"/>
    <w:pPr>
      <w:numPr>
        <w:numId w:val="128"/>
      </w:numPr>
    </w:pPr>
  </w:style>
  <w:style w:type="numbering" w:customStyle="1" w:styleId="GeerliListe15">
    <w:name w:val="Geçerli Liste15"/>
    <w:uiPriority w:val="99"/>
    <w:rsid w:val="001461BF"/>
    <w:pPr>
      <w:numPr>
        <w:numId w:val="234"/>
      </w:numPr>
    </w:pPr>
  </w:style>
  <w:style w:type="character" w:styleId="YerTutucuMetni">
    <w:name w:val="Placeholder Text"/>
    <w:basedOn w:val="VarsaylanParagrafYazTipi"/>
    <w:uiPriority w:val="99"/>
    <w:semiHidden/>
    <w:rsid w:val="00B42FFE"/>
    <w:rPr>
      <w:color w:val="666666"/>
    </w:rPr>
  </w:style>
  <w:style w:type="paragraph" w:customStyle="1" w:styleId="Normaltext0">
    <w:name w:val="Normal text"/>
    <w:basedOn w:val="Normal"/>
    <w:link w:val="NormaltextChar0"/>
    <w:autoRedefine/>
    <w:qFormat/>
    <w:rsid w:val="009A7412"/>
    <w:pPr>
      <w:spacing w:after="120" w:line="276" w:lineRule="auto"/>
      <w:jc w:val="both"/>
    </w:pPr>
    <w:rPr>
      <w:rFonts w:eastAsiaTheme="minorHAnsi" w:cstheme="minorHAnsi"/>
      <w:iCs/>
      <w:szCs w:val="18"/>
      <w:lang w:eastAsia="de-DE"/>
    </w:rPr>
  </w:style>
  <w:style w:type="character" w:customStyle="1" w:styleId="NormaltextChar0">
    <w:name w:val="Normal text Char"/>
    <w:basedOn w:val="VarsaylanParagrafYazTipi"/>
    <w:link w:val="Normaltext0"/>
    <w:rsid w:val="009A7412"/>
    <w:rPr>
      <w:rFonts w:ascii="Times New Roman" w:eastAsiaTheme="minorHAnsi" w:hAnsi="Times New Roman" w:cstheme="minorHAnsi"/>
      <w:iCs/>
      <w:sz w:val="24"/>
      <w:szCs w:val="18"/>
      <w:lang w:eastAsia="de-DE"/>
    </w:rPr>
  </w:style>
  <w:style w:type="numbering" w:customStyle="1" w:styleId="GeerliListe16">
    <w:name w:val="Geçerli Liste16"/>
    <w:uiPriority w:val="99"/>
    <w:rsid w:val="00917497"/>
    <w:pPr>
      <w:numPr>
        <w:numId w:val="246"/>
      </w:numPr>
    </w:pPr>
  </w:style>
  <w:style w:type="paragraph" w:styleId="Alnt">
    <w:name w:val="Quote"/>
    <w:basedOn w:val="Normal"/>
    <w:next w:val="Normal"/>
    <w:link w:val="AlntChar"/>
    <w:uiPriority w:val="29"/>
    <w:qFormat/>
    <w:rsid w:val="0007690F"/>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AlntChar">
    <w:name w:val="Alıntı Char"/>
    <w:basedOn w:val="VarsaylanParagrafYazTipi"/>
    <w:link w:val="Alnt"/>
    <w:uiPriority w:val="29"/>
    <w:rsid w:val="0007690F"/>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GlVurgulama">
    <w:name w:val="Intense Emphasis"/>
    <w:basedOn w:val="VarsaylanParagrafYazTipi"/>
    <w:uiPriority w:val="21"/>
    <w:qFormat/>
    <w:rsid w:val="0007690F"/>
    <w:rPr>
      <w:i/>
      <w:iCs/>
      <w:color w:val="2E74B5" w:themeColor="accent1" w:themeShade="BF"/>
    </w:rPr>
  </w:style>
  <w:style w:type="paragraph" w:styleId="GlAlnt">
    <w:name w:val="Intense Quote"/>
    <w:basedOn w:val="Normal"/>
    <w:next w:val="Normal"/>
    <w:link w:val="GlAlntChar"/>
    <w:uiPriority w:val="30"/>
    <w:qFormat/>
    <w:rsid w:val="0007690F"/>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lang w:eastAsia="en-US"/>
      <w14:ligatures w14:val="standardContextual"/>
    </w:rPr>
  </w:style>
  <w:style w:type="character" w:customStyle="1" w:styleId="GlAlntChar">
    <w:name w:val="Güçlü Alıntı Char"/>
    <w:basedOn w:val="VarsaylanParagrafYazTipi"/>
    <w:link w:val="GlAlnt"/>
    <w:uiPriority w:val="30"/>
    <w:rsid w:val="0007690F"/>
    <w:rPr>
      <w:rFonts w:asciiTheme="minorHAnsi" w:eastAsiaTheme="minorHAnsi" w:hAnsiTheme="minorHAnsi" w:cstheme="minorBidi"/>
      <w:i/>
      <w:iCs/>
      <w:color w:val="2E74B5" w:themeColor="accent1" w:themeShade="BF"/>
      <w:kern w:val="2"/>
      <w:sz w:val="24"/>
      <w:szCs w:val="24"/>
      <w:lang w:eastAsia="en-US"/>
      <w14:ligatures w14:val="standardContextual"/>
    </w:rPr>
  </w:style>
  <w:style w:type="character" w:styleId="GlBavuru">
    <w:name w:val="Intense Reference"/>
    <w:basedOn w:val="VarsaylanParagrafYazTipi"/>
    <w:uiPriority w:val="32"/>
    <w:qFormat/>
    <w:rsid w:val="0007690F"/>
    <w:rPr>
      <w:b/>
      <w:bCs/>
      <w:smallCaps/>
      <w:color w:val="2E74B5" w:themeColor="accent1" w:themeShade="BF"/>
      <w:spacing w:val="5"/>
    </w:rPr>
  </w:style>
  <w:style w:type="character" w:customStyle="1" w:styleId="apple-converted-space">
    <w:name w:val="apple-converted-space"/>
    <w:basedOn w:val="VarsaylanParagrafYazTipi"/>
    <w:rsid w:val="0007690F"/>
  </w:style>
  <w:style w:type="paragraph" w:customStyle="1" w:styleId="oj-ti-grseq-1">
    <w:name w:val="oj-ti-grseq-1"/>
    <w:basedOn w:val="Normal"/>
    <w:rsid w:val="00464754"/>
    <w:pPr>
      <w:spacing w:before="100" w:beforeAutospacing="1" w:after="100" w:afterAutospacing="1"/>
    </w:pPr>
  </w:style>
  <w:style w:type="character" w:customStyle="1" w:styleId="oj-bold">
    <w:name w:val="oj-bold"/>
    <w:basedOn w:val="VarsaylanParagrafYazTipi"/>
    <w:rsid w:val="00464754"/>
  </w:style>
  <w:style w:type="paragraph" w:customStyle="1" w:styleId="oj-normal">
    <w:name w:val="oj-normal"/>
    <w:basedOn w:val="Normal"/>
    <w:rsid w:val="00464754"/>
    <w:pPr>
      <w:spacing w:before="100" w:beforeAutospacing="1" w:after="100" w:afterAutospacing="1"/>
    </w:pPr>
  </w:style>
  <w:style w:type="character" w:customStyle="1" w:styleId="oj-italic">
    <w:name w:val="oj-italic"/>
    <w:basedOn w:val="VarsaylanParagrafYazTipi"/>
    <w:rsid w:val="00464754"/>
  </w:style>
  <w:style w:type="table" w:customStyle="1" w:styleId="TabloKlavuzu7">
    <w:name w:val="Tablo Kılavuzu7"/>
    <w:basedOn w:val="NormalTablo"/>
    <w:next w:val="TabloKlavuzu"/>
    <w:uiPriority w:val="39"/>
    <w:rsid w:val="002A7D25"/>
    <w:rPr>
      <w:rFonts w:ascii="Aptos" w:eastAsia="Aptos" w:hAnsi="Aptos" w:cs="Times New Roman"/>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245636">
      <w:bodyDiv w:val="1"/>
      <w:marLeft w:val="0"/>
      <w:marRight w:val="0"/>
      <w:marTop w:val="0"/>
      <w:marBottom w:val="0"/>
      <w:divBdr>
        <w:top w:val="none" w:sz="0" w:space="0" w:color="auto"/>
        <w:left w:val="none" w:sz="0" w:space="0" w:color="auto"/>
        <w:bottom w:val="none" w:sz="0" w:space="0" w:color="auto"/>
        <w:right w:val="none" w:sz="0" w:space="0" w:color="auto"/>
      </w:divBdr>
      <w:divsChild>
        <w:div w:id="834537385">
          <w:marLeft w:val="0"/>
          <w:marRight w:val="0"/>
          <w:marTop w:val="0"/>
          <w:marBottom w:val="0"/>
          <w:divBdr>
            <w:top w:val="none" w:sz="0" w:space="0" w:color="auto"/>
            <w:left w:val="none" w:sz="0" w:space="0" w:color="auto"/>
            <w:bottom w:val="none" w:sz="0" w:space="0" w:color="auto"/>
            <w:right w:val="none" w:sz="0" w:space="0" w:color="auto"/>
          </w:divBdr>
          <w:divsChild>
            <w:div w:id="123041942">
              <w:marLeft w:val="0"/>
              <w:marRight w:val="0"/>
              <w:marTop w:val="0"/>
              <w:marBottom w:val="0"/>
              <w:divBdr>
                <w:top w:val="none" w:sz="0" w:space="0" w:color="auto"/>
                <w:left w:val="none" w:sz="0" w:space="0" w:color="auto"/>
                <w:bottom w:val="none" w:sz="0" w:space="0" w:color="auto"/>
                <w:right w:val="none" w:sz="0" w:space="0" w:color="auto"/>
              </w:divBdr>
              <w:divsChild>
                <w:div w:id="79845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719305">
          <w:marLeft w:val="0"/>
          <w:marRight w:val="0"/>
          <w:marTop w:val="0"/>
          <w:marBottom w:val="0"/>
          <w:divBdr>
            <w:top w:val="none" w:sz="0" w:space="0" w:color="auto"/>
            <w:left w:val="none" w:sz="0" w:space="0" w:color="auto"/>
            <w:bottom w:val="none" w:sz="0" w:space="0" w:color="auto"/>
            <w:right w:val="none" w:sz="0" w:space="0" w:color="auto"/>
          </w:divBdr>
          <w:divsChild>
            <w:div w:id="1538199490">
              <w:marLeft w:val="0"/>
              <w:marRight w:val="0"/>
              <w:marTop w:val="0"/>
              <w:marBottom w:val="0"/>
              <w:divBdr>
                <w:top w:val="none" w:sz="0" w:space="0" w:color="auto"/>
                <w:left w:val="none" w:sz="0" w:space="0" w:color="auto"/>
                <w:bottom w:val="none" w:sz="0" w:space="0" w:color="auto"/>
                <w:right w:val="none" w:sz="0" w:space="0" w:color="auto"/>
              </w:divBdr>
              <w:divsChild>
                <w:div w:id="144400476">
                  <w:marLeft w:val="0"/>
                  <w:marRight w:val="0"/>
                  <w:marTop w:val="0"/>
                  <w:marBottom w:val="0"/>
                  <w:divBdr>
                    <w:top w:val="none" w:sz="0" w:space="0" w:color="auto"/>
                    <w:left w:val="none" w:sz="0" w:space="0" w:color="auto"/>
                    <w:bottom w:val="none" w:sz="0" w:space="0" w:color="auto"/>
                    <w:right w:val="none" w:sz="0" w:space="0" w:color="auto"/>
                  </w:divBdr>
                  <w:divsChild>
                    <w:div w:id="175269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225725">
      <w:bodyDiv w:val="1"/>
      <w:marLeft w:val="0"/>
      <w:marRight w:val="0"/>
      <w:marTop w:val="0"/>
      <w:marBottom w:val="0"/>
      <w:divBdr>
        <w:top w:val="none" w:sz="0" w:space="0" w:color="auto"/>
        <w:left w:val="none" w:sz="0" w:space="0" w:color="auto"/>
        <w:bottom w:val="none" w:sz="0" w:space="0" w:color="auto"/>
        <w:right w:val="none" w:sz="0" w:space="0" w:color="auto"/>
      </w:divBdr>
    </w:div>
    <w:div w:id="736971746">
      <w:bodyDiv w:val="1"/>
      <w:marLeft w:val="0"/>
      <w:marRight w:val="0"/>
      <w:marTop w:val="0"/>
      <w:marBottom w:val="0"/>
      <w:divBdr>
        <w:top w:val="none" w:sz="0" w:space="0" w:color="auto"/>
        <w:left w:val="none" w:sz="0" w:space="0" w:color="auto"/>
        <w:bottom w:val="none" w:sz="0" w:space="0" w:color="auto"/>
        <w:right w:val="none" w:sz="0" w:space="0" w:color="auto"/>
      </w:divBdr>
    </w:div>
    <w:div w:id="765536259">
      <w:bodyDiv w:val="1"/>
      <w:marLeft w:val="0"/>
      <w:marRight w:val="0"/>
      <w:marTop w:val="0"/>
      <w:marBottom w:val="0"/>
      <w:divBdr>
        <w:top w:val="none" w:sz="0" w:space="0" w:color="auto"/>
        <w:left w:val="none" w:sz="0" w:space="0" w:color="auto"/>
        <w:bottom w:val="none" w:sz="0" w:space="0" w:color="auto"/>
        <w:right w:val="none" w:sz="0" w:space="0" w:color="auto"/>
      </w:divBdr>
      <w:divsChild>
        <w:div w:id="348456764">
          <w:marLeft w:val="0"/>
          <w:marRight w:val="0"/>
          <w:marTop w:val="0"/>
          <w:marBottom w:val="0"/>
          <w:divBdr>
            <w:top w:val="none" w:sz="0" w:space="0" w:color="auto"/>
            <w:left w:val="none" w:sz="0" w:space="0" w:color="auto"/>
            <w:bottom w:val="none" w:sz="0" w:space="0" w:color="auto"/>
            <w:right w:val="none" w:sz="0" w:space="0" w:color="auto"/>
          </w:divBdr>
          <w:divsChild>
            <w:div w:id="6175755">
              <w:marLeft w:val="0"/>
              <w:marRight w:val="0"/>
              <w:marTop w:val="0"/>
              <w:marBottom w:val="0"/>
              <w:divBdr>
                <w:top w:val="none" w:sz="0" w:space="0" w:color="auto"/>
                <w:left w:val="none" w:sz="0" w:space="0" w:color="auto"/>
                <w:bottom w:val="none" w:sz="0" w:space="0" w:color="auto"/>
                <w:right w:val="none" w:sz="0" w:space="0" w:color="auto"/>
              </w:divBdr>
              <w:divsChild>
                <w:div w:id="86143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5882">
          <w:marLeft w:val="0"/>
          <w:marRight w:val="0"/>
          <w:marTop w:val="0"/>
          <w:marBottom w:val="0"/>
          <w:divBdr>
            <w:top w:val="none" w:sz="0" w:space="0" w:color="auto"/>
            <w:left w:val="none" w:sz="0" w:space="0" w:color="auto"/>
            <w:bottom w:val="none" w:sz="0" w:space="0" w:color="auto"/>
            <w:right w:val="none" w:sz="0" w:space="0" w:color="auto"/>
          </w:divBdr>
          <w:divsChild>
            <w:div w:id="1778015314">
              <w:marLeft w:val="0"/>
              <w:marRight w:val="0"/>
              <w:marTop w:val="0"/>
              <w:marBottom w:val="0"/>
              <w:divBdr>
                <w:top w:val="none" w:sz="0" w:space="0" w:color="auto"/>
                <w:left w:val="none" w:sz="0" w:space="0" w:color="auto"/>
                <w:bottom w:val="none" w:sz="0" w:space="0" w:color="auto"/>
                <w:right w:val="none" w:sz="0" w:space="0" w:color="auto"/>
              </w:divBdr>
              <w:divsChild>
                <w:div w:id="812647757">
                  <w:marLeft w:val="0"/>
                  <w:marRight w:val="0"/>
                  <w:marTop w:val="0"/>
                  <w:marBottom w:val="0"/>
                  <w:divBdr>
                    <w:top w:val="none" w:sz="0" w:space="0" w:color="auto"/>
                    <w:left w:val="none" w:sz="0" w:space="0" w:color="auto"/>
                    <w:bottom w:val="none" w:sz="0" w:space="0" w:color="auto"/>
                    <w:right w:val="none" w:sz="0" w:space="0" w:color="auto"/>
                  </w:divBdr>
                  <w:divsChild>
                    <w:div w:id="24353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857771">
      <w:bodyDiv w:val="1"/>
      <w:marLeft w:val="0"/>
      <w:marRight w:val="0"/>
      <w:marTop w:val="0"/>
      <w:marBottom w:val="0"/>
      <w:divBdr>
        <w:top w:val="none" w:sz="0" w:space="0" w:color="auto"/>
        <w:left w:val="none" w:sz="0" w:space="0" w:color="auto"/>
        <w:bottom w:val="none" w:sz="0" w:space="0" w:color="auto"/>
        <w:right w:val="none" w:sz="0" w:space="0" w:color="auto"/>
      </w:divBdr>
    </w:div>
    <w:div w:id="1262450717">
      <w:bodyDiv w:val="1"/>
      <w:marLeft w:val="0"/>
      <w:marRight w:val="0"/>
      <w:marTop w:val="0"/>
      <w:marBottom w:val="0"/>
      <w:divBdr>
        <w:top w:val="none" w:sz="0" w:space="0" w:color="auto"/>
        <w:left w:val="none" w:sz="0" w:space="0" w:color="auto"/>
        <w:bottom w:val="none" w:sz="0" w:space="0" w:color="auto"/>
        <w:right w:val="none" w:sz="0" w:space="0" w:color="auto"/>
      </w:divBdr>
    </w:div>
    <w:div w:id="1308825532">
      <w:bodyDiv w:val="1"/>
      <w:marLeft w:val="0"/>
      <w:marRight w:val="0"/>
      <w:marTop w:val="0"/>
      <w:marBottom w:val="0"/>
      <w:divBdr>
        <w:top w:val="none" w:sz="0" w:space="0" w:color="auto"/>
        <w:left w:val="none" w:sz="0" w:space="0" w:color="auto"/>
        <w:bottom w:val="none" w:sz="0" w:space="0" w:color="auto"/>
        <w:right w:val="none" w:sz="0" w:space="0" w:color="auto"/>
      </w:divBdr>
    </w:div>
    <w:div w:id="1411850142">
      <w:bodyDiv w:val="1"/>
      <w:marLeft w:val="0"/>
      <w:marRight w:val="0"/>
      <w:marTop w:val="0"/>
      <w:marBottom w:val="0"/>
      <w:divBdr>
        <w:top w:val="none" w:sz="0" w:space="0" w:color="auto"/>
        <w:left w:val="none" w:sz="0" w:space="0" w:color="auto"/>
        <w:bottom w:val="none" w:sz="0" w:space="0" w:color="auto"/>
        <w:right w:val="none" w:sz="0" w:space="0" w:color="auto"/>
      </w:divBdr>
    </w:div>
    <w:div w:id="1500579963">
      <w:bodyDiv w:val="1"/>
      <w:marLeft w:val="0"/>
      <w:marRight w:val="0"/>
      <w:marTop w:val="0"/>
      <w:marBottom w:val="0"/>
      <w:divBdr>
        <w:top w:val="none" w:sz="0" w:space="0" w:color="auto"/>
        <w:left w:val="none" w:sz="0" w:space="0" w:color="auto"/>
        <w:bottom w:val="none" w:sz="0" w:space="0" w:color="auto"/>
        <w:right w:val="none" w:sz="0" w:space="0" w:color="auto"/>
      </w:divBdr>
    </w:div>
    <w:div w:id="1576821921">
      <w:bodyDiv w:val="1"/>
      <w:marLeft w:val="0"/>
      <w:marRight w:val="0"/>
      <w:marTop w:val="0"/>
      <w:marBottom w:val="0"/>
      <w:divBdr>
        <w:top w:val="none" w:sz="0" w:space="0" w:color="auto"/>
        <w:left w:val="none" w:sz="0" w:space="0" w:color="auto"/>
        <w:bottom w:val="none" w:sz="0" w:space="0" w:color="auto"/>
        <w:right w:val="none" w:sz="0" w:space="0" w:color="auto"/>
      </w:divBdr>
    </w:div>
    <w:div w:id="1733306127">
      <w:bodyDiv w:val="1"/>
      <w:marLeft w:val="0"/>
      <w:marRight w:val="0"/>
      <w:marTop w:val="0"/>
      <w:marBottom w:val="0"/>
      <w:divBdr>
        <w:top w:val="none" w:sz="0" w:space="0" w:color="auto"/>
        <w:left w:val="none" w:sz="0" w:space="0" w:color="auto"/>
        <w:bottom w:val="none" w:sz="0" w:space="0" w:color="auto"/>
        <w:right w:val="none" w:sz="0" w:space="0" w:color="auto"/>
      </w:divBdr>
    </w:div>
    <w:div w:id="1853109886">
      <w:bodyDiv w:val="1"/>
      <w:marLeft w:val="0"/>
      <w:marRight w:val="0"/>
      <w:marTop w:val="0"/>
      <w:marBottom w:val="0"/>
      <w:divBdr>
        <w:top w:val="none" w:sz="0" w:space="0" w:color="auto"/>
        <w:left w:val="none" w:sz="0" w:space="0" w:color="auto"/>
        <w:bottom w:val="none" w:sz="0" w:space="0" w:color="auto"/>
        <w:right w:val="none" w:sz="0" w:space="0" w:color="auto"/>
      </w:divBdr>
    </w:div>
    <w:div w:id="1884705173">
      <w:bodyDiv w:val="1"/>
      <w:marLeft w:val="0"/>
      <w:marRight w:val="0"/>
      <w:marTop w:val="0"/>
      <w:marBottom w:val="0"/>
      <w:divBdr>
        <w:top w:val="none" w:sz="0" w:space="0" w:color="auto"/>
        <w:left w:val="none" w:sz="0" w:space="0" w:color="auto"/>
        <w:bottom w:val="none" w:sz="0" w:space="0" w:color="auto"/>
        <w:right w:val="none" w:sz="0" w:space="0" w:color="auto"/>
      </w:divBdr>
    </w:div>
    <w:div w:id="1941601406">
      <w:bodyDiv w:val="1"/>
      <w:marLeft w:val="0"/>
      <w:marRight w:val="0"/>
      <w:marTop w:val="0"/>
      <w:marBottom w:val="0"/>
      <w:divBdr>
        <w:top w:val="none" w:sz="0" w:space="0" w:color="auto"/>
        <w:left w:val="none" w:sz="0" w:space="0" w:color="auto"/>
        <w:bottom w:val="none" w:sz="0" w:space="0" w:color="auto"/>
        <w:right w:val="none" w:sz="0" w:space="0" w:color="auto"/>
      </w:divBdr>
    </w:div>
    <w:div w:id="1942029822">
      <w:bodyDiv w:val="1"/>
      <w:marLeft w:val="0"/>
      <w:marRight w:val="0"/>
      <w:marTop w:val="0"/>
      <w:marBottom w:val="0"/>
      <w:divBdr>
        <w:top w:val="none" w:sz="0" w:space="0" w:color="auto"/>
        <w:left w:val="none" w:sz="0" w:space="0" w:color="auto"/>
        <w:bottom w:val="none" w:sz="0" w:space="0" w:color="auto"/>
        <w:right w:val="none" w:sz="0" w:space="0" w:color="auto"/>
      </w:divBdr>
    </w:div>
    <w:div w:id="2077317349">
      <w:bodyDiv w:val="1"/>
      <w:marLeft w:val="0"/>
      <w:marRight w:val="0"/>
      <w:marTop w:val="0"/>
      <w:marBottom w:val="0"/>
      <w:divBdr>
        <w:top w:val="none" w:sz="0" w:space="0" w:color="auto"/>
        <w:left w:val="none" w:sz="0" w:space="0" w:color="auto"/>
        <w:bottom w:val="none" w:sz="0" w:space="0" w:color="auto"/>
        <w:right w:val="none" w:sz="0" w:space="0" w:color="auto"/>
      </w:divBdr>
    </w:div>
    <w:div w:id="21291580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eli/dec_impl/2024/2974/o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0E976-0CC9-4519-A7DC-D88D574D7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135</Pages>
  <Words>90145</Words>
  <Characters>513827</Characters>
  <Application>Microsoft Office Word</Application>
  <DocSecurity>0</DocSecurity>
  <Lines>4281</Lines>
  <Paragraphs>1205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Nurseda KOCA</cp:lastModifiedBy>
  <cp:revision>2</cp:revision>
  <cp:lastPrinted>2025-09-04T13:07:00Z</cp:lastPrinted>
  <dcterms:created xsi:type="dcterms:W3CDTF">2025-12-08T11:27:00Z</dcterms:created>
  <dcterms:modified xsi:type="dcterms:W3CDTF">2025-12-08T11:27:00Z</dcterms:modified>
</cp:coreProperties>
</file>